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FAEC3" w14:textId="77777777" w:rsidR="009113A3" w:rsidRPr="008F279C" w:rsidRDefault="009113A3" w:rsidP="009113A3">
      <w:pPr>
        <w:spacing w:before="78" w:line="240" w:lineRule="auto"/>
        <w:ind w:right="17"/>
        <w:jc w:val="center"/>
        <w:rPr>
          <w:lang w:val="sk-SK"/>
        </w:rPr>
      </w:pPr>
      <w:r w:rsidRPr="008F279C">
        <w:rPr>
          <w:b/>
          <w:bCs/>
          <w:lang w:val="sk-SK"/>
        </w:rPr>
        <w:t>Písomná informácia pre používateľa</w:t>
      </w:r>
    </w:p>
    <w:p w14:paraId="5998C324" w14:textId="13C39583" w:rsidR="00FF3E96" w:rsidRPr="008F279C" w:rsidRDefault="009113A3" w:rsidP="00FF3E96">
      <w:pPr>
        <w:jc w:val="center"/>
        <w:rPr>
          <w:color w:val="000000"/>
          <w:szCs w:val="24"/>
          <w:lang w:val="sk-SK"/>
        </w:rPr>
      </w:pPr>
      <w:r w:rsidRPr="008F279C">
        <w:rPr>
          <w:b/>
          <w:noProof/>
          <w:lang w:val="sk-SK"/>
        </w:rPr>
        <w:t>Alverox</w:t>
      </w:r>
      <w:r w:rsidR="00FF3E96" w:rsidRPr="008F279C">
        <w:rPr>
          <w:rFonts w:eastAsia="Arial"/>
          <w:b/>
          <w:bCs/>
          <w:color w:val="231F20"/>
          <w:spacing w:val="-7"/>
          <w:szCs w:val="24"/>
          <w:lang w:val="sk-SK"/>
        </w:rPr>
        <w:t xml:space="preserve"> </w:t>
      </w:r>
      <w:r w:rsidR="00804C81" w:rsidRPr="008F279C">
        <w:rPr>
          <w:rFonts w:eastAsia="Arial"/>
          <w:b/>
          <w:bCs/>
          <w:color w:val="231F20"/>
          <w:szCs w:val="24"/>
          <w:lang w:val="sk-SK"/>
        </w:rPr>
        <w:t>100</w:t>
      </w:r>
      <w:r w:rsidR="009A24F0" w:rsidRPr="008F279C">
        <w:rPr>
          <w:rFonts w:eastAsia="Arial"/>
          <w:b/>
          <w:bCs/>
          <w:color w:val="231F20"/>
          <w:szCs w:val="24"/>
          <w:lang w:val="sk-SK"/>
        </w:rPr>
        <w:t xml:space="preserve"> </w:t>
      </w:r>
      <w:proofErr w:type="spellStart"/>
      <w:r w:rsidR="00F911E4">
        <w:rPr>
          <w:rFonts w:eastAsia="Arial"/>
          <w:b/>
          <w:bCs/>
          <w:color w:val="231F20"/>
          <w:szCs w:val="24"/>
          <w:lang w:val="sk-SK"/>
        </w:rPr>
        <w:t>mikrogramov</w:t>
      </w:r>
      <w:proofErr w:type="spellEnd"/>
      <w:r w:rsidR="00A12A3C" w:rsidRPr="00A12A3C" w:rsidDel="00A12A3C">
        <w:rPr>
          <w:rFonts w:eastAsia="Arial"/>
          <w:b/>
          <w:bCs/>
          <w:color w:val="231F20"/>
          <w:szCs w:val="24"/>
          <w:lang w:val="sk-SK"/>
        </w:rPr>
        <w:t xml:space="preserve"> </w:t>
      </w:r>
      <w:r w:rsidR="00FF3E96" w:rsidRPr="008F279C">
        <w:rPr>
          <w:rFonts w:eastAsia="Arial"/>
          <w:b/>
          <w:bCs/>
          <w:color w:val="231F20"/>
          <w:szCs w:val="24"/>
          <w:lang w:val="sk-SK"/>
        </w:rPr>
        <w:t>/5</w:t>
      </w:r>
      <w:r w:rsidRPr="008F279C">
        <w:rPr>
          <w:rFonts w:eastAsia="Arial"/>
          <w:b/>
          <w:bCs/>
          <w:color w:val="231F20"/>
          <w:szCs w:val="24"/>
          <w:lang w:val="sk-SK"/>
        </w:rPr>
        <w:t xml:space="preserve"> </w:t>
      </w:r>
      <w:r w:rsidR="00FF3E96" w:rsidRPr="008F279C">
        <w:rPr>
          <w:rFonts w:eastAsia="Arial"/>
          <w:b/>
          <w:bCs/>
          <w:color w:val="231F20"/>
          <w:szCs w:val="24"/>
          <w:lang w:val="sk-SK"/>
        </w:rPr>
        <w:t>ml</w:t>
      </w:r>
      <w:r w:rsidR="009A24F0" w:rsidRPr="008F279C">
        <w:rPr>
          <w:rFonts w:eastAsia="Arial"/>
          <w:b/>
          <w:bCs/>
          <w:color w:val="231F20"/>
          <w:szCs w:val="24"/>
          <w:lang w:val="sk-SK"/>
        </w:rPr>
        <w:t xml:space="preserve"> </w:t>
      </w:r>
      <w:r w:rsidRPr="008F279C">
        <w:rPr>
          <w:rFonts w:eastAsia="Arial"/>
          <w:b/>
          <w:bCs/>
          <w:color w:val="231F20"/>
          <w:spacing w:val="-7"/>
          <w:szCs w:val="24"/>
          <w:lang w:val="sk-SK"/>
        </w:rPr>
        <w:t>perorálny roztok</w:t>
      </w:r>
    </w:p>
    <w:p w14:paraId="5A6AABA3" w14:textId="77777777" w:rsidR="00F911E4" w:rsidRDefault="00F911E4" w:rsidP="009113A3">
      <w:pPr>
        <w:spacing w:line="240" w:lineRule="auto"/>
        <w:ind w:right="12"/>
        <w:jc w:val="center"/>
        <w:rPr>
          <w:lang w:val="sk-SK"/>
        </w:rPr>
      </w:pPr>
    </w:p>
    <w:p w14:paraId="2D90C776" w14:textId="77777777" w:rsidR="009113A3" w:rsidRPr="008F279C" w:rsidRDefault="009113A3" w:rsidP="009113A3">
      <w:pPr>
        <w:spacing w:line="240" w:lineRule="auto"/>
        <w:ind w:right="12"/>
        <w:jc w:val="center"/>
        <w:rPr>
          <w:lang w:val="sk-SK"/>
        </w:rPr>
      </w:pPr>
      <w:r w:rsidRPr="008F279C">
        <w:rPr>
          <w:lang w:val="sk-SK"/>
        </w:rPr>
        <w:t xml:space="preserve">sodná soľ </w:t>
      </w:r>
      <w:proofErr w:type="spellStart"/>
      <w:r w:rsidRPr="008F279C">
        <w:rPr>
          <w:lang w:val="sk-SK"/>
        </w:rPr>
        <w:t>levotyroxínu</w:t>
      </w:r>
      <w:proofErr w:type="spellEnd"/>
    </w:p>
    <w:p w14:paraId="45459A86" w14:textId="77777777" w:rsidR="00FF3E96" w:rsidRPr="008F279C" w:rsidRDefault="00FF3E96" w:rsidP="00FF3E96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1FB82449" w14:textId="77777777" w:rsidR="009113A3" w:rsidRPr="008F279C" w:rsidRDefault="009113A3" w:rsidP="009113A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8F279C"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14:paraId="1D6AA979" w14:textId="77777777" w:rsidR="009113A3" w:rsidRPr="008F279C" w:rsidRDefault="009113A3" w:rsidP="009113A3">
      <w:pPr>
        <w:pStyle w:val="Odsekzoznamu"/>
        <w:numPr>
          <w:ilvl w:val="0"/>
          <w:numId w:val="1"/>
        </w:numPr>
        <w:ind w:left="567" w:right="-2" w:hanging="567"/>
        <w:rPr>
          <w:lang w:val="sk-SK"/>
        </w:rPr>
      </w:pPr>
      <w:r w:rsidRPr="008F279C">
        <w:rPr>
          <w:lang w:val="sk-SK"/>
        </w:rPr>
        <w:t>Túto písomnú informáciu si uschovajte. Možno bude potrebné, aby ste si ju znovu prečítali.</w:t>
      </w:r>
    </w:p>
    <w:p w14:paraId="75BEDA23" w14:textId="77777777" w:rsidR="009113A3" w:rsidRPr="008F279C" w:rsidRDefault="009113A3" w:rsidP="009113A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8F279C">
        <w:rPr>
          <w:lang w:val="sk-SK"/>
        </w:rPr>
        <w:t>Ak máte akékoľvek ďalšie otázky, obráťte sa na svojho lekára alebo lekárnika.</w:t>
      </w:r>
    </w:p>
    <w:p w14:paraId="15CF8F75" w14:textId="77777777" w:rsidR="009113A3" w:rsidRPr="008F279C" w:rsidRDefault="00FF3E96" w:rsidP="009113A3">
      <w:pPr>
        <w:spacing w:line="240" w:lineRule="auto"/>
        <w:ind w:left="567" w:right="-2" w:hanging="567"/>
        <w:rPr>
          <w:noProof/>
          <w:lang w:val="sk-SK"/>
        </w:rPr>
      </w:pPr>
      <w:r w:rsidRPr="008F279C">
        <w:rPr>
          <w:noProof/>
          <w:lang w:val="sk-SK"/>
        </w:rPr>
        <w:t>-</w:t>
      </w:r>
      <w:r w:rsidRPr="008F279C">
        <w:rPr>
          <w:noProof/>
          <w:lang w:val="sk-SK"/>
        </w:rPr>
        <w:tab/>
      </w:r>
      <w:r w:rsidR="009113A3" w:rsidRPr="008F279C">
        <w:rPr>
          <w:noProof/>
          <w:lang w:val="sk-SK"/>
        </w:rPr>
        <w:t>Tento liek bol predpísaný iba vám. Nedávajte ho nikomu inému. Môže mu uškodiť, dokonca aj vtedy, ak má rovnaké prejavy ochorenia ako vy.</w:t>
      </w:r>
    </w:p>
    <w:p w14:paraId="00CB5494" w14:textId="77777777" w:rsidR="009113A3" w:rsidRPr="008F279C" w:rsidRDefault="009113A3" w:rsidP="009113A3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8F279C">
        <w:rPr>
          <w:noProof/>
          <w:lang w:val="sk-SK"/>
        </w:rPr>
        <w:t>Ak sa u vás vyskytne akýkoľvek vedľajší účinok, obráťte sa na svojho lekára alebo lekárnika.</w:t>
      </w:r>
    </w:p>
    <w:p w14:paraId="137856C9" w14:textId="77777777" w:rsidR="009113A3" w:rsidRPr="008F279C" w:rsidRDefault="009113A3" w:rsidP="009113A3">
      <w:pPr>
        <w:pStyle w:val="Odsekzoznamu"/>
        <w:tabs>
          <w:tab w:val="clear" w:pos="567"/>
        </w:tabs>
        <w:spacing w:line="240" w:lineRule="auto"/>
        <w:ind w:left="567" w:right="-2"/>
        <w:rPr>
          <w:noProof/>
          <w:lang w:val="sk-SK"/>
        </w:rPr>
      </w:pPr>
      <w:r w:rsidRPr="008F279C">
        <w:rPr>
          <w:noProof/>
          <w:lang w:val="sk-SK"/>
        </w:rPr>
        <w:t>To sa týka aj akýchkoľvek vedľajších účinkov, ktoré nie sú uvedené v tejto písomnej informácii. Pozri časť 4.</w:t>
      </w:r>
    </w:p>
    <w:p w14:paraId="2E388CF5" w14:textId="77777777" w:rsidR="00FF3E96" w:rsidRPr="008F279C" w:rsidRDefault="00FF3E96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4CF11F6" w14:textId="65F7C1FE" w:rsidR="00FF3E96" w:rsidRPr="008F279C" w:rsidRDefault="009113A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8F279C">
        <w:rPr>
          <w:b/>
          <w:lang w:val="sk-SK"/>
        </w:rPr>
        <w:t>V tejto písomnej informácii sa dozviete</w:t>
      </w:r>
    </w:p>
    <w:p w14:paraId="6CDA0F0D" w14:textId="77777777" w:rsidR="009113A3" w:rsidRPr="008F279C" w:rsidRDefault="009113A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26F0DD64" w14:textId="59B7D36C" w:rsidR="00FF3E96" w:rsidRPr="008F279C" w:rsidRDefault="00FF3E96" w:rsidP="00FF3E96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8F279C">
        <w:rPr>
          <w:noProof/>
          <w:lang w:val="sk-SK"/>
        </w:rPr>
        <w:t>1.</w:t>
      </w:r>
      <w:r w:rsidRPr="008F279C">
        <w:rPr>
          <w:noProof/>
          <w:lang w:val="sk-SK"/>
        </w:rPr>
        <w:tab/>
      </w:r>
      <w:r w:rsidR="009113A3" w:rsidRPr="008F279C">
        <w:rPr>
          <w:lang w:val="sk-SK"/>
        </w:rPr>
        <w:t xml:space="preserve">Čo je </w:t>
      </w:r>
      <w:proofErr w:type="spellStart"/>
      <w:r w:rsidR="009113A3" w:rsidRPr="008F279C">
        <w:rPr>
          <w:lang w:val="sk-SK"/>
        </w:rPr>
        <w:t>Alverox</w:t>
      </w:r>
      <w:proofErr w:type="spellEnd"/>
      <w:r w:rsidR="009113A3" w:rsidRPr="008F279C">
        <w:rPr>
          <w:lang w:val="sk-SK"/>
        </w:rPr>
        <w:t xml:space="preserve"> a na čo sa používa</w:t>
      </w:r>
    </w:p>
    <w:p w14:paraId="3B5E0FE6" w14:textId="7D4126A3" w:rsidR="009113A3" w:rsidRPr="008F279C" w:rsidRDefault="00FF3E96" w:rsidP="009113A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8F279C">
        <w:rPr>
          <w:noProof/>
          <w:lang w:val="sk-SK"/>
        </w:rPr>
        <w:t>2.</w:t>
      </w:r>
      <w:r w:rsidRPr="008F279C">
        <w:rPr>
          <w:noProof/>
          <w:lang w:val="sk-SK"/>
        </w:rPr>
        <w:tab/>
      </w:r>
      <w:r w:rsidR="009113A3" w:rsidRPr="008F279C">
        <w:rPr>
          <w:noProof/>
          <w:lang w:val="sk-SK"/>
        </w:rPr>
        <w:t>Čo potrebujete vedieť predtým, ako užijete</w:t>
      </w:r>
      <w:r w:rsidR="009113A3" w:rsidRPr="008F279C" w:rsidDel="000E789E">
        <w:rPr>
          <w:noProof/>
          <w:lang w:val="sk-SK"/>
        </w:rPr>
        <w:t xml:space="preserve"> </w:t>
      </w:r>
      <w:proofErr w:type="spellStart"/>
      <w:r w:rsidR="009113A3" w:rsidRPr="008F279C">
        <w:rPr>
          <w:lang w:val="sk-SK"/>
        </w:rPr>
        <w:t>Alverox</w:t>
      </w:r>
      <w:proofErr w:type="spellEnd"/>
      <w:r w:rsidR="009113A3" w:rsidRPr="008F279C">
        <w:rPr>
          <w:lang w:val="sk-SK"/>
        </w:rPr>
        <w:t xml:space="preserve"> </w:t>
      </w:r>
    </w:p>
    <w:p w14:paraId="5AF6376F" w14:textId="52D5D5A5" w:rsidR="00FF3E96" w:rsidRPr="008F279C" w:rsidRDefault="00FF3E96" w:rsidP="00FF3E96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jc w:val="both"/>
        <w:rPr>
          <w:noProof/>
          <w:lang w:val="sk-SK"/>
        </w:rPr>
      </w:pPr>
      <w:r w:rsidRPr="008F279C">
        <w:rPr>
          <w:noProof/>
          <w:lang w:val="sk-SK"/>
        </w:rPr>
        <w:t>3.</w:t>
      </w:r>
      <w:r w:rsidRPr="008F279C">
        <w:rPr>
          <w:noProof/>
          <w:lang w:val="sk-SK"/>
        </w:rPr>
        <w:tab/>
      </w:r>
      <w:r w:rsidR="009113A3" w:rsidRPr="008F279C">
        <w:rPr>
          <w:lang w:val="sk-SK"/>
        </w:rPr>
        <w:t xml:space="preserve">Ako užívať </w:t>
      </w:r>
      <w:proofErr w:type="spellStart"/>
      <w:r w:rsidR="009113A3" w:rsidRPr="008F279C">
        <w:rPr>
          <w:lang w:val="sk-SK"/>
        </w:rPr>
        <w:t>Alverox</w:t>
      </w:r>
      <w:proofErr w:type="spellEnd"/>
      <w:r w:rsidR="009113A3" w:rsidRPr="008F279C">
        <w:rPr>
          <w:lang w:val="sk-SK"/>
        </w:rPr>
        <w:t xml:space="preserve"> </w:t>
      </w:r>
    </w:p>
    <w:p w14:paraId="32B99630" w14:textId="6E1477C8" w:rsidR="00FF3E96" w:rsidRPr="008F279C" w:rsidRDefault="00FF3E96" w:rsidP="00FF3E96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8F279C">
        <w:rPr>
          <w:noProof/>
          <w:lang w:val="sk-SK"/>
        </w:rPr>
        <w:t>4.</w:t>
      </w:r>
      <w:r w:rsidRPr="008F279C">
        <w:rPr>
          <w:noProof/>
          <w:lang w:val="sk-SK"/>
        </w:rPr>
        <w:tab/>
      </w:r>
      <w:r w:rsidR="009113A3" w:rsidRPr="008F279C">
        <w:rPr>
          <w:lang w:val="sk-SK"/>
        </w:rPr>
        <w:t>Možné vedľajšie účinky</w:t>
      </w:r>
    </w:p>
    <w:p w14:paraId="14C36DDB" w14:textId="62D05FE6" w:rsidR="00FF3E96" w:rsidRPr="008F279C" w:rsidRDefault="00FF3E96" w:rsidP="00FF3E96">
      <w:p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8F279C">
        <w:rPr>
          <w:noProof/>
          <w:lang w:val="sk-SK"/>
        </w:rPr>
        <w:t>5.</w:t>
      </w:r>
      <w:r w:rsidRPr="008F279C">
        <w:rPr>
          <w:noProof/>
          <w:lang w:val="sk-SK"/>
        </w:rPr>
        <w:tab/>
      </w:r>
      <w:r w:rsidR="009113A3" w:rsidRPr="008F279C">
        <w:rPr>
          <w:lang w:val="sk-SK"/>
        </w:rPr>
        <w:t xml:space="preserve">Ako uchovávať </w:t>
      </w:r>
      <w:proofErr w:type="spellStart"/>
      <w:r w:rsidR="009113A3" w:rsidRPr="008F279C">
        <w:rPr>
          <w:lang w:val="sk-SK"/>
        </w:rPr>
        <w:t>Alverox</w:t>
      </w:r>
      <w:proofErr w:type="spellEnd"/>
      <w:r w:rsidR="009113A3" w:rsidRPr="008F279C">
        <w:rPr>
          <w:lang w:val="sk-SK"/>
        </w:rPr>
        <w:t xml:space="preserve"> </w:t>
      </w:r>
    </w:p>
    <w:p w14:paraId="285A29CD" w14:textId="5F03D0C6" w:rsidR="00FF3E96" w:rsidRPr="008F279C" w:rsidRDefault="00FF3E96" w:rsidP="00FF3E96">
      <w:pPr>
        <w:tabs>
          <w:tab w:val="clear" w:pos="567"/>
          <w:tab w:val="left" w:pos="426"/>
        </w:tabs>
        <w:spacing w:line="240" w:lineRule="auto"/>
        <w:ind w:right="-29"/>
        <w:rPr>
          <w:noProof/>
          <w:lang w:val="sk-SK"/>
        </w:rPr>
      </w:pPr>
      <w:r w:rsidRPr="008F279C">
        <w:rPr>
          <w:noProof/>
          <w:lang w:val="sk-SK"/>
        </w:rPr>
        <w:t>6.</w:t>
      </w:r>
      <w:r w:rsidRPr="008F279C">
        <w:rPr>
          <w:noProof/>
          <w:lang w:val="sk-SK"/>
        </w:rPr>
        <w:tab/>
      </w:r>
      <w:r w:rsidR="009113A3" w:rsidRPr="008F279C">
        <w:rPr>
          <w:lang w:val="sk-SK"/>
        </w:rPr>
        <w:t>Obsah balenia a ďalšie informácie</w:t>
      </w:r>
    </w:p>
    <w:p w14:paraId="26025CA4" w14:textId="77777777" w:rsidR="00FF3E96" w:rsidRPr="008F279C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3A8B7C6" w14:textId="77777777" w:rsidR="00FF3E96" w:rsidRPr="008F279C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A9F099C" w14:textId="50829C2B" w:rsidR="00FF3E96" w:rsidRPr="008F279C" w:rsidRDefault="00FF3E96" w:rsidP="00FF3E96">
      <w:pPr>
        <w:spacing w:line="240" w:lineRule="auto"/>
        <w:ind w:right="-2"/>
        <w:rPr>
          <w:b/>
          <w:noProof/>
          <w:szCs w:val="22"/>
          <w:lang w:val="sk-SK"/>
        </w:rPr>
      </w:pPr>
      <w:r w:rsidRPr="008F279C">
        <w:rPr>
          <w:b/>
          <w:noProof/>
          <w:szCs w:val="22"/>
          <w:lang w:val="sk-SK"/>
        </w:rPr>
        <w:t>1.</w:t>
      </w:r>
      <w:r w:rsidRPr="008F279C">
        <w:rPr>
          <w:b/>
          <w:noProof/>
          <w:szCs w:val="22"/>
          <w:lang w:val="sk-SK"/>
        </w:rPr>
        <w:tab/>
      </w:r>
      <w:r w:rsidR="00BA3A70" w:rsidRPr="008F279C">
        <w:rPr>
          <w:b/>
          <w:lang w:val="sk-SK"/>
        </w:rPr>
        <w:t xml:space="preserve">Čo je </w:t>
      </w:r>
      <w:proofErr w:type="spellStart"/>
      <w:r w:rsidR="00BA3A70" w:rsidRPr="008F279C">
        <w:rPr>
          <w:b/>
          <w:lang w:val="sk-SK"/>
        </w:rPr>
        <w:t>Alverox</w:t>
      </w:r>
      <w:proofErr w:type="spellEnd"/>
      <w:r w:rsidR="00BA3A70" w:rsidRPr="008F279C">
        <w:rPr>
          <w:b/>
          <w:lang w:val="sk-SK"/>
        </w:rPr>
        <w:t xml:space="preserve"> a na čo sa používa</w:t>
      </w:r>
    </w:p>
    <w:p w14:paraId="024087FB" w14:textId="77777777" w:rsidR="00FF3E96" w:rsidRPr="008F279C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0AD67A7" w14:textId="6AA821C5" w:rsidR="00FF3E96" w:rsidRPr="008F279C" w:rsidRDefault="00BA3A70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8F279C">
        <w:rPr>
          <w:lang w:val="sk-SK"/>
        </w:rPr>
        <w:t>Alverox</w:t>
      </w:r>
      <w:proofErr w:type="spellEnd"/>
      <w:r w:rsidRPr="008F279C">
        <w:rPr>
          <w:lang w:val="sk-SK"/>
        </w:rPr>
        <w:t xml:space="preserve"> obsahuje liečivo sodn</w:t>
      </w:r>
      <w:r w:rsidR="0065657C">
        <w:rPr>
          <w:lang w:val="sk-SK"/>
        </w:rPr>
        <w:t>ú</w:t>
      </w:r>
      <w:r w:rsidRPr="008F279C">
        <w:rPr>
          <w:lang w:val="sk-SK"/>
        </w:rPr>
        <w:t xml:space="preserve"> soľ </w:t>
      </w:r>
      <w:proofErr w:type="spellStart"/>
      <w:r w:rsidRPr="008F279C">
        <w:rPr>
          <w:lang w:val="sk-SK"/>
        </w:rPr>
        <w:t>levotyroxínu</w:t>
      </w:r>
      <w:proofErr w:type="spellEnd"/>
      <w:r w:rsidRPr="008F279C">
        <w:rPr>
          <w:lang w:val="sk-SK"/>
        </w:rPr>
        <w:t>.</w:t>
      </w:r>
      <w:r w:rsidR="00FF3E96" w:rsidRPr="008F279C">
        <w:rPr>
          <w:noProof/>
          <w:lang w:val="sk-SK"/>
        </w:rPr>
        <w:t xml:space="preserve"> </w:t>
      </w:r>
    </w:p>
    <w:p w14:paraId="176E1F61" w14:textId="77777777" w:rsidR="00FF3E96" w:rsidRPr="008F279C" w:rsidRDefault="00FF3E96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49B6D27" w14:textId="39D61A2E" w:rsidR="00FF3E96" w:rsidRPr="008F279C" w:rsidRDefault="000D6B80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8F279C">
        <w:rPr>
          <w:noProof/>
          <w:lang w:val="sk-SK"/>
        </w:rPr>
        <w:t>Používa sa na liečbu hypotyreózy, stavu, pri ktorom je štítna žľaza málo aktívna a preto netvorí dostatok tyroxínu pre potreby tela.</w:t>
      </w:r>
    </w:p>
    <w:p w14:paraId="46A4D488" w14:textId="77777777" w:rsidR="000D6B80" w:rsidRPr="008F279C" w:rsidRDefault="000D6B80" w:rsidP="00FF3E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63E529A" w14:textId="75FD05ED" w:rsidR="000D6B80" w:rsidRPr="008F279C" w:rsidRDefault="000D6B80" w:rsidP="00FF3E9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proofErr w:type="spellStart"/>
      <w:r w:rsidRPr="008F279C">
        <w:rPr>
          <w:lang w:val="sk-SK"/>
        </w:rPr>
        <w:t>Alverox</w:t>
      </w:r>
      <w:proofErr w:type="spellEnd"/>
      <w:r w:rsidRPr="008F279C">
        <w:rPr>
          <w:lang w:val="sk-SK"/>
        </w:rPr>
        <w:t xml:space="preserve"> </w:t>
      </w:r>
      <w:r w:rsidRPr="008F279C">
        <w:rPr>
          <w:noProof/>
          <w:szCs w:val="22"/>
          <w:lang w:val="sk-SK"/>
        </w:rPr>
        <w:t xml:space="preserve">sa tiež používa na liečbu rakoviny štítnej žľazy a difúznej netoxickej strumy alebo Hashimotovej tyreoiditídy, stavov, pri ktorých sa štítna žľaza zväčšuje a spôsobuje opuch v prednej časti krku. </w:t>
      </w:r>
    </w:p>
    <w:p w14:paraId="36F0A6F8" w14:textId="77777777" w:rsidR="00FF3E96" w:rsidRPr="008F279C" w:rsidRDefault="00FF3E96" w:rsidP="00FF3E9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C9D7A18" w14:textId="77777777" w:rsidR="000C5196" w:rsidRPr="008F279C" w:rsidRDefault="000C5196" w:rsidP="00FF3E9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412403D" w14:textId="577421B5" w:rsidR="000D6B80" w:rsidRPr="008F279C" w:rsidRDefault="00FF3E96" w:rsidP="007423D5">
      <w:pPr>
        <w:ind w:left="567" w:hanging="567"/>
        <w:jc w:val="both"/>
        <w:rPr>
          <w:b/>
          <w:bCs/>
          <w:szCs w:val="22"/>
          <w:lang w:val="sk-SK"/>
        </w:rPr>
      </w:pPr>
      <w:r w:rsidRPr="008F279C">
        <w:rPr>
          <w:b/>
          <w:noProof/>
          <w:lang w:val="sk-SK"/>
        </w:rPr>
        <w:t>2.</w:t>
      </w:r>
      <w:r w:rsidRPr="008F279C">
        <w:rPr>
          <w:b/>
          <w:noProof/>
          <w:lang w:val="sk-SK"/>
        </w:rPr>
        <w:tab/>
      </w:r>
      <w:r w:rsidR="000D6B80" w:rsidRPr="008F279C">
        <w:rPr>
          <w:b/>
          <w:bCs/>
          <w:szCs w:val="22"/>
          <w:lang w:val="sk-SK"/>
        </w:rPr>
        <w:t xml:space="preserve">Čo potrebujete vedieť predtým, ako užijete </w:t>
      </w:r>
      <w:proofErr w:type="spellStart"/>
      <w:r w:rsidR="000D6B80" w:rsidRPr="008F279C">
        <w:rPr>
          <w:b/>
          <w:lang w:val="sk-SK"/>
        </w:rPr>
        <w:t>Alverox</w:t>
      </w:r>
      <w:proofErr w:type="spellEnd"/>
      <w:r w:rsidR="000D6B80" w:rsidRPr="008F279C">
        <w:rPr>
          <w:b/>
          <w:lang w:val="sk-SK"/>
        </w:rPr>
        <w:t xml:space="preserve"> </w:t>
      </w:r>
    </w:p>
    <w:p w14:paraId="0FF213A3" w14:textId="5514A532" w:rsidR="00FF3E96" w:rsidRPr="008F279C" w:rsidRDefault="00FF3E96" w:rsidP="000D6B80">
      <w:pPr>
        <w:spacing w:line="240" w:lineRule="auto"/>
        <w:ind w:right="-2"/>
        <w:rPr>
          <w:i/>
          <w:noProof/>
          <w:szCs w:val="22"/>
          <w:lang w:val="sk-SK"/>
        </w:rPr>
      </w:pPr>
    </w:p>
    <w:p w14:paraId="54E81806" w14:textId="4CD0A23B" w:rsidR="00FF3E96" w:rsidRPr="008F279C" w:rsidRDefault="000D6B80" w:rsidP="00FF3E9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8F279C">
        <w:rPr>
          <w:b/>
          <w:noProof/>
          <w:szCs w:val="22"/>
          <w:lang w:val="sk-SK"/>
        </w:rPr>
        <w:t xml:space="preserve">Neužívajte </w:t>
      </w:r>
      <w:proofErr w:type="spellStart"/>
      <w:r w:rsidRPr="008F279C">
        <w:rPr>
          <w:b/>
          <w:lang w:val="sk-SK"/>
        </w:rPr>
        <w:t>Alverox</w:t>
      </w:r>
      <w:proofErr w:type="spellEnd"/>
      <w:r w:rsidR="00FF3E96" w:rsidRPr="008F279C">
        <w:rPr>
          <w:b/>
          <w:noProof/>
          <w:szCs w:val="22"/>
          <w:lang w:val="sk-SK"/>
        </w:rPr>
        <w:t>:</w:t>
      </w:r>
    </w:p>
    <w:p w14:paraId="54B73C1E" w14:textId="3947A1DC" w:rsidR="000D6B80" w:rsidRPr="008F279C" w:rsidRDefault="008F279C" w:rsidP="008F279C">
      <w:pPr>
        <w:numPr>
          <w:ilvl w:val="0"/>
          <w:numId w:val="6"/>
        </w:numPr>
        <w:tabs>
          <w:tab w:val="clear" w:pos="360"/>
          <w:tab w:val="clear" w:pos="567"/>
          <w:tab w:val="num" w:pos="426"/>
        </w:tabs>
        <w:spacing w:line="240" w:lineRule="auto"/>
        <w:ind w:left="426" w:hanging="426"/>
        <w:jc w:val="both"/>
        <w:rPr>
          <w:lang w:val="sk-SK"/>
        </w:rPr>
      </w:pPr>
      <w:r w:rsidRPr="008F279C">
        <w:rPr>
          <w:szCs w:val="22"/>
          <w:lang w:val="sk-SK"/>
        </w:rPr>
        <w:t>a</w:t>
      </w:r>
      <w:r w:rsidR="000D6B80" w:rsidRPr="008F279C">
        <w:rPr>
          <w:szCs w:val="22"/>
          <w:lang w:val="sk-SK"/>
        </w:rPr>
        <w:t xml:space="preserve">k ste alergický na sodnú soľ </w:t>
      </w:r>
      <w:proofErr w:type="spellStart"/>
      <w:r w:rsidR="000D6B80" w:rsidRPr="008F279C">
        <w:rPr>
          <w:szCs w:val="22"/>
          <w:lang w:val="sk-SK"/>
        </w:rPr>
        <w:t>levotyroxínu</w:t>
      </w:r>
      <w:proofErr w:type="spellEnd"/>
      <w:r w:rsidR="000D6B80" w:rsidRPr="008F279C">
        <w:rPr>
          <w:szCs w:val="22"/>
          <w:lang w:val="sk-SK"/>
        </w:rPr>
        <w:t xml:space="preserve">, sodnú soľ </w:t>
      </w:r>
      <w:proofErr w:type="spellStart"/>
      <w:r w:rsidR="000D6B80" w:rsidRPr="008F279C">
        <w:rPr>
          <w:szCs w:val="22"/>
          <w:lang w:val="sk-SK"/>
        </w:rPr>
        <w:t>metyl-parahydroxybenzoátu</w:t>
      </w:r>
      <w:proofErr w:type="spellEnd"/>
      <w:r w:rsidR="000D6B80" w:rsidRPr="008F279C">
        <w:rPr>
          <w:szCs w:val="22"/>
          <w:lang w:val="sk-SK"/>
        </w:rPr>
        <w:t xml:space="preserve"> alebo na ktorúkoľvek z ďalších zložiek</w:t>
      </w:r>
      <w:r w:rsidR="000D6B80" w:rsidRPr="008F279C">
        <w:rPr>
          <w:b/>
          <w:szCs w:val="22"/>
          <w:lang w:val="sk-SK"/>
        </w:rPr>
        <w:t xml:space="preserve"> </w:t>
      </w:r>
      <w:r w:rsidR="000D6B80" w:rsidRPr="008F279C">
        <w:rPr>
          <w:lang w:val="sk-SK"/>
        </w:rPr>
        <w:t>tohto lieku (uvedených v časti 6)</w:t>
      </w:r>
      <w:r w:rsidRPr="008F279C">
        <w:rPr>
          <w:lang w:val="sk-SK"/>
        </w:rPr>
        <w:t>,</w:t>
      </w:r>
    </w:p>
    <w:p w14:paraId="67B57002" w14:textId="0C1944A6" w:rsidR="00FF3E96" w:rsidRPr="008F279C" w:rsidRDefault="00FF3E96" w:rsidP="008F279C">
      <w:pPr>
        <w:numPr>
          <w:ilvl w:val="12"/>
          <w:numId w:val="0"/>
        </w:numPr>
        <w:tabs>
          <w:tab w:val="clear" w:pos="567"/>
          <w:tab w:val="num" w:pos="426"/>
        </w:tabs>
        <w:spacing w:line="240" w:lineRule="auto"/>
        <w:ind w:left="426" w:hanging="426"/>
        <w:rPr>
          <w:noProof/>
          <w:szCs w:val="22"/>
          <w:lang w:val="sk-SK"/>
        </w:rPr>
      </w:pPr>
      <w:r w:rsidRPr="008F279C">
        <w:rPr>
          <w:noProof/>
          <w:szCs w:val="22"/>
          <w:lang w:val="sk-SK"/>
        </w:rPr>
        <w:t>-</w:t>
      </w:r>
      <w:r w:rsidRPr="008F279C">
        <w:rPr>
          <w:noProof/>
          <w:szCs w:val="22"/>
          <w:lang w:val="sk-SK"/>
        </w:rPr>
        <w:tab/>
      </w:r>
      <w:r w:rsidR="008F279C" w:rsidRPr="008F279C">
        <w:rPr>
          <w:color w:val="000000"/>
          <w:szCs w:val="22"/>
          <w:lang w:val="sk-SK" w:eastAsia="de-DE"/>
        </w:rPr>
        <w:t>a</w:t>
      </w:r>
      <w:r w:rsidR="00685F17" w:rsidRPr="008F279C">
        <w:rPr>
          <w:color w:val="000000"/>
          <w:szCs w:val="22"/>
          <w:lang w:val="sk-SK" w:eastAsia="de-DE"/>
        </w:rPr>
        <w:t xml:space="preserve">k trpíte nedostatočnosťou nadobličiek a nemáte dostatočné množstvo </w:t>
      </w:r>
      <w:proofErr w:type="spellStart"/>
      <w:r w:rsidR="00685F17" w:rsidRPr="008F279C">
        <w:rPr>
          <w:color w:val="000000"/>
          <w:szCs w:val="22"/>
          <w:lang w:val="sk-SK" w:eastAsia="de-DE"/>
        </w:rPr>
        <w:t>kortikosteroidov</w:t>
      </w:r>
      <w:proofErr w:type="spellEnd"/>
      <w:r w:rsidR="008F279C" w:rsidRPr="008F279C">
        <w:rPr>
          <w:color w:val="000000"/>
          <w:szCs w:val="22"/>
          <w:lang w:val="sk-SK" w:eastAsia="de-DE"/>
        </w:rPr>
        <w:t>,</w:t>
      </w:r>
    </w:p>
    <w:p w14:paraId="04B78442" w14:textId="406B51F9" w:rsidR="00685F17" w:rsidRPr="008F279C" w:rsidRDefault="008F279C" w:rsidP="008F279C">
      <w:pPr>
        <w:pStyle w:val="Odsekzoznamu"/>
        <w:numPr>
          <w:ilvl w:val="0"/>
          <w:numId w:val="7"/>
        </w:numPr>
        <w:tabs>
          <w:tab w:val="clear" w:pos="567"/>
          <w:tab w:val="num" w:pos="426"/>
        </w:tabs>
        <w:autoSpaceDE w:val="0"/>
        <w:autoSpaceDN w:val="0"/>
        <w:adjustRightInd w:val="0"/>
        <w:spacing w:line="252" w:lineRule="exact"/>
        <w:ind w:left="426" w:right="-20" w:hanging="426"/>
        <w:rPr>
          <w:color w:val="000000"/>
          <w:szCs w:val="22"/>
          <w:lang w:val="sk-SK" w:eastAsia="de-DE"/>
        </w:rPr>
      </w:pPr>
      <w:r w:rsidRPr="008F279C">
        <w:rPr>
          <w:color w:val="000000"/>
          <w:szCs w:val="22"/>
          <w:lang w:val="sk-SK" w:eastAsia="de-DE"/>
        </w:rPr>
        <w:t>a</w:t>
      </w:r>
      <w:r w:rsidR="00685F17" w:rsidRPr="008F279C">
        <w:rPr>
          <w:color w:val="000000"/>
          <w:szCs w:val="22"/>
          <w:lang w:val="sk-SK" w:eastAsia="de-DE"/>
        </w:rPr>
        <w:t xml:space="preserve">k máte srdcový infarkt (akútny infarkt myokardu), zápal srdcového svalu (akútna </w:t>
      </w:r>
      <w:proofErr w:type="spellStart"/>
      <w:r w:rsidR="00685F17" w:rsidRPr="008F279C">
        <w:rPr>
          <w:color w:val="000000"/>
          <w:szCs w:val="22"/>
          <w:lang w:val="sk-SK" w:eastAsia="de-DE"/>
        </w:rPr>
        <w:t>myokarditída</w:t>
      </w:r>
      <w:proofErr w:type="spellEnd"/>
      <w:r w:rsidR="00685F17" w:rsidRPr="008F279C">
        <w:rPr>
          <w:color w:val="000000"/>
          <w:szCs w:val="22"/>
          <w:lang w:val="sk-SK" w:eastAsia="de-DE"/>
        </w:rPr>
        <w:t xml:space="preserve">) alebo </w:t>
      </w:r>
      <w:r w:rsidR="00685F17" w:rsidRPr="008F279C">
        <w:rPr>
          <w:szCs w:val="22"/>
          <w:lang w:val="sk-SK"/>
        </w:rPr>
        <w:t xml:space="preserve">zápal všetkých vrstiev steny srdca (akútna </w:t>
      </w:r>
      <w:proofErr w:type="spellStart"/>
      <w:r w:rsidR="00685F17" w:rsidRPr="008F279C">
        <w:rPr>
          <w:szCs w:val="22"/>
          <w:lang w:val="sk-SK"/>
        </w:rPr>
        <w:t>pankarditída</w:t>
      </w:r>
      <w:proofErr w:type="spellEnd"/>
      <w:r w:rsidR="00685F17" w:rsidRPr="008F279C">
        <w:rPr>
          <w:szCs w:val="22"/>
          <w:lang w:val="sk-SK"/>
        </w:rPr>
        <w:t>)</w:t>
      </w:r>
      <w:r w:rsidRPr="008F279C">
        <w:rPr>
          <w:szCs w:val="22"/>
          <w:lang w:val="sk-SK"/>
        </w:rPr>
        <w:t>,</w:t>
      </w:r>
    </w:p>
    <w:p w14:paraId="30340979" w14:textId="703483BD" w:rsidR="00677336" w:rsidRPr="008F279C" w:rsidRDefault="00677336" w:rsidP="008F279C">
      <w:pPr>
        <w:tabs>
          <w:tab w:val="clear" w:pos="567"/>
          <w:tab w:val="num" w:pos="426"/>
        </w:tabs>
        <w:autoSpaceDE w:val="0"/>
        <w:autoSpaceDN w:val="0"/>
        <w:adjustRightInd w:val="0"/>
        <w:spacing w:line="252" w:lineRule="exact"/>
        <w:ind w:left="426" w:right="-20" w:hanging="426"/>
        <w:rPr>
          <w:color w:val="000000"/>
          <w:szCs w:val="22"/>
          <w:lang w:val="sk-SK" w:eastAsia="de-DE"/>
        </w:rPr>
      </w:pPr>
      <w:r w:rsidRPr="008F279C">
        <w:rPr>
          <w:color w:val="000000"/>
          <w:szCs w:val="22"/>
          <w:lang w:val="sk-SK" w:eastAsia="de-DE"/>
        </w:rPr>
        <w:t xml:space="preserve">-       </w:t>
      </w:r>
      <w:r w:rsidR="008F279C" w:rsidRPr="008F279C">
        <w:rPr>
          <w:lang w:val="sk-SK"/>
        </w:rPr>
        <w:t>a</w:t>
      </w:r>
      <w:r w:rsidR="008B36F2" w:rsidRPr="008F279C">
        <w:rPr>
          <w:lang w:val="sk-SK"/>
        </w:rPr>
        <w:t xml:space="preserve">k ste tehotná neužívajte tento liek v kombinácii s inými liekmi na liečbu </w:t>
      </w:r>
      <w:proofErr w:type="spellStart"/>
      <w:r w:rsidR="008B36F2" w:rsidRPr="008F279C">
        <w:rPr>
          <w:lang w:val="sk-SK"/>
        </w:rPr>
        <w:t>hypertyreózy</w:t>
      </w:r>
      <w:proofErr w:type="spellEnd"/>
      <w:r w:rsidR="008B36F2" w:rsidRPr="008F279C">
        <w:rPr>
          <w:lang w:val="sk-SK"/>
        </w:rPr>
        <w:t xml:space="preserve"> (pozri </w:t>
      </w:r>
      <w:r w:rsidR="008F279C" w:rsidRPr="008F279C">
        <w:rPr>
          <w:lang w:val="sk-SK"/>
        </w:rPr>
        <w:t xml:space="preserve">  </w:t>
      </w:r>
      <w:r w:rsidR="008B36F2" w:rsidRPr="008F279C">
        <w:rPr>
          <w:lang w:val="sk-SK"/>
        </w:rPr>
        <w:t xml:space="preserve">časť </w:t>
      </w:r>
      <w:r w:rsidR="00010A6D" w:rsidRPr="008F279C">
        <w:rPr>
          <w:lang w:val="sk-SK"/>
        </w:rPr>
        <w:t>„</w:t>
      </w:r>
      <w:r w:rsidR="008B36F2" w:rsidRPr="008F279C">
        <w:rPr>
          <w:lang w:val="sk-SK"/>
        </w:rPr>
        <w:t>Tehotenstvo a dojčenie</w:t>
      </w:r>
      <w:r w:rsidR="00010A6D" w:rsidRPr="008F279C">
        <w:rPr>
          <w:lang w:val="sk-SK"/>
        </w:rPr>
        <w:t>“</w:t>
      </w:r>
      <w:r w:rsidR="008B36F2" w:rsidRPr="008F279C">
        <w:rPr>
          <w:lang w:val="sk-SK"/>
        </w:rPr>
        <w:t>)</w:t>
      </w:r>
      <w:r w:rsidR="008F279C" w:rsidRPr="008F279C">
        <w:rPr>
          <w:lang w:val="sk-SK"/>
        </w:rPr>
        <w:t>.</w:t>
      </w:r>
      <w:r w:rsidR="008B36F2" w:rsidRPr="008F279C">
        <w:rPr>
          <w:color w:val="000000"/>
          <w:szCs w:val="22"/>
          <w:lang w:val="sk-SK" w:eastAsia="de-DE"/>
        </w:rPr>
        <w:t xml:space="preserve"> </w:t>
      </w:r>
    </w:p>
    <w:p w14:paraId="0831AF2A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519A2AA" w14:textId="4D34BBE5" w:rsidR="00FF3E96" w:rsidRPr="00BA3A70" w:rsidRDefault="008B36F2" w:rsidP="00FF3E9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8B36F2">
        <w:rPr>
          <w:b/>
          <w:noProof/>
          <w:lang w:val="sk-SK"/>
        </w:rPr>
        <w:t>Upozornenia a opatrenia</w:t>
      </w:r>
      <w:r w:rsidR="00FF3E96" w:rsidRPr="00BA3A70">
        <w:rPr>
          <w:b/>
          <w:noProof/>
          <w:lang w:val="sk-SK"/>
        </w:rPr>
        <w:t xml:space="preserve"> </w:t>
      </w:r>
    </w:p>
    <w:p w14:paraId="1CB2A423" w14:textId="72B553CC" w:rsidR="008B36F2" w:rsidRDefault="008B36F2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B35A20">
        <w:rPr>
          <w:lang w:val="sk-SK"/>
        </w:rPr>
        <w:t>Predtým, ako začnete užívať</w:t>
      </w:r>
      <w:r w:rsidRPr="00B35A20">
        <w:rPr>
          <w:b/>
          <w:lang w:val="sk-SK"/>
        </w:rPr>
        <w:t xml:space="preserve"> </w:t>
      </w:r>
      <w:proofErr w:type="spellStart"/>
      <w:r w:rsidRPr="00BA3A70">
        <w:rPr>
          <w:lang w:val="sk-SK"/>
        </w:rPr>
        <w:t>Alverox</w:t>
      </w:r>
      <w:proofErr w:type="spellEnd"/>
      <w:r w:rsidRPr="00B35A20">
        <w:rPr>
          <w:lang w:val="sk-SK"/>
        </w:rPr>
        <w:t>, obráťte sa na svojho lekára alebo lekárnika</w:t>
      </w:r>
      <w:r w:rsidR="008F279C">
        <w:rPr>
          <w:noProof/>
          <w:lang w:val="sk-SK"/>
        </w:rPr>
        <w:t>:</w:t>
      </w:r>
    </w:p>
    <w:p w14:paraId="68ED40C5" w14:textId="0440AB0A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BA3A70">
        <w:rPr>
          <w:noProof/>
          <w:lang w:val="sk-SK"/>
        </w:rPr>
        <w:t>-</w:t>
      </w:r>
      <w:r w:rsidRPr="00BA3A70">
        <w:rPr>
          <w:noProof/>
          <w:lang w:val="sk-SK"/>
        </w:rPr>
        <w:tab/>
      </w:r>
      <w:r w:rsidR="001C0B99">
        <w:rPr>
          <w:noProof/>
          <w:lang w:val="sk-SK"/>
        </w:rPr>
        <w:t>a</w:t>
      </w:r>
      <w:r w:rsidR="008B36F2" w:rsidRPr="008B36F2">
        <w:rPr>
          <w:noProof/>
          <w:lang w:val="sk-SK"/>
        </w:rPr>
        <w:t>k máte ochorenie srdca, problémy s krvným obehom alebo vysoký krvný tlak</w:t>
      </w:r>
      <w:r w:rsidR="008F279C">
        <w:rPr>
          <w:noProof/>
          <w:lang w:val="sk-SK"/>
        </w:rPr>
        <w:t>,</w:t>
      </w:r>
    </w:p>
    <w:p w14:paraId="65F9843A" w14:textId="77777777" w:rsidR="001C0B99" w:rsidRDefault="00FF3E96" w:rsidP="008B36F2">
      <w:pPr>
        <w:tabs>
          <w:tab w:val="clear" w:pos="567"/>
        </w:tabs>
        <w:spacing w:after="160" w:line="259" w:lineRule="auto"/>
        <w:ind w:left="709" w:hanging="709"/>
        <w:rPr>
          <w:color w:val="000000"/>
          <w:spacing w:val="1"/>
          <w:szCs w:val="22"/>
          <w:lang w:val="sk-SK" w:eastAsia="de-DE"/>
        </w:rPr>
      </w:pPr>
      <w:r w:rsidRPr="00BA3A70">
        <w:rPr>
          <w:noProof/>
          <w:lang w:val="sk-SK"/>
        </w:rPr>
        <w:t>-</w:t>
      </w:r>
      <w:r w:rsidRPr="00BA3A70">
        <w:rPr>
          <w:noProof/>
          <w:lang w:val="sk-SK"/>
        </w:rPr>
        <w:tab/>
      </w:r>
      <w:r w:rsidR="001C0B99">
        <w:rPr>
          <w:color w:val="000000"/>
          <w:spacing w:val="1"/>
          <w:szCs w:val="22"/>
          <w:lang w:val="sk-SK" w:eastAsia="de-DE"/>
        </w:rPr>
        <w:t>a</w:t>
      </w:r>
      <w:r w:rsidR="008B36F2" w:rsidRPr="008B36F2">
        <w:rPr>
          <w:color w:val="000000"/>
          <w:spacing w:val="1"/>
          <w:szCs w:val="22"/>
          <w:lang w:val="sk-SK" w:eastAsia="de-DE"/>
        </w:rPr>
        <w:t>k trpíte nadmernou činnosťou štítnej žľazy (</w:t>
      </w:r>
      <w:proofErr w:type="spellStart"/>
      <w:r w:rsidR="008B36F2" w:rsidRPr="008B36F2">
        <w:rPr>
          <w:color w:val="000000"/>
          <w:spacing w:val="1"/>
          <w:szCs w:val="22"/>
          <w:lang w:val="sk-SK" w:eastAsia="de-DE"/>
        </w:rPr>
        <w:t>hypertyreóza</w:t>
      </w:r>
      <w:proofErr w:type="spellEnd"/>
      <w:r w:rsidR="008B36F2" w:rsidRPr="008B36F2">
        <w:rPr>
          <w:color w:val="000000"/>
          <w:spacing w:val="1"/>
          <w:szCs w:val="22"/>
          <w:lang w:val="sk-SK" w:eastAsia="de-DE"/>
        </w:rPr>
        <w:t>), nedostatočnou činnosťou nadobličiek, cukrovkou alebo ste nejaký čas mali zníženú činnosť štítnej žľazy.</w:t>
      </w:r>
    </w:p>
    <w:p w14:paraId="7ED9416E" w14:textId="77777777" w:rsidR="001C0B99" w:rsidRPr="0057572B" w:rsidRDefault="001C0B99" w:rsidP="001C0B99">
      <w:pPr>
        <w:tabs>
          <w:tab w:val="clear" w:pos="567"/>
        </w:tabs>
        <w:spacing w:after="160" w:line="259" w:lineRule="auto"/>
        <w:rPr>
          <w:noProof/>
          <w:szCs w:val="22"/>
          <w:lang w:val="sk-SK"/>
        </w:rPr>
      </w:pPr>
      <w:r w:rsidRPr="0057572B">
        <w:rPr>
          <w:noProof/>
          <w:szCs w:val="22"/>
          <w:lang w:val="sk-SK"/>
        </w:rPr>
        <w:t xml:space="preserve">Ak potrebujete zmeniť liečbu na liečbu iným liekom obsahujúcim levotyroxín, môže dôjsť k nerovnováhe hormónov štítnej žľazy. Obráťte sa na svojho lekára, ak máte akékoľvek otázky týkajúce sa zmeny liečby. </w:t>
      </w:r>
      <w:r w:rsidRPr="0057572B">
        <w:rPr>
          <w:noProof/>
          <w:szCs w:val="22"/>
          <w:lang w:val="sk-SK"/>
        </w:rPr>
        <w:lastRenderedPageBreak/>
        <w:t>Počas prechodného obdobia je potrebné dôkladné sledovanie (klinické a biologické). Ak sa u vás vyskytne akýkoľvek vedľajší účinok, povedzte to svojmu lekárovi, pretože to môže naznačovať, že je potrebné vašu dávku zvýšiť alebo znížiť.</w:t>
      </w:r>
    </w:p>
    <w:p w14:paraId="6FB00C20" w14:textId="77777777" w:rsidR="001C0B99" w:rsidRPr="0057572B" w:rsidRDefault="001C0B99" w:rsidP="001C0B99">
      <w:pPr>
        <w:tabs>
          <w:tab w:val="clear" w:pos="567"/>
        </w:tabs>
        <w:spacing w:after="160" w:line="259" w:lineRule="auto"/>
        <w:rPr>
          <w:noProof/>
          <w:szCs w:val="22"/>
          <w:lang w:val="sk-SK"/>
        </w:rPr>
      </w:pPr>
      <w:r w:rsidRPr="0057572B">
        <w:rPr>
          <w:bCs/>
          <w:noProof/>
          <w:lang w:val="sk-SK"/>
        </w:rPr>
        <w:t xml:space="preserve">Hormóny štítnej žľazy nie sú vhodné na znižovanie hmotnosti. Príjem hormónov štítnej žľazy nezníži vašu hmotnosť, ak je hladina hormónu štítnej žľazy v normálnom rozmedzí. Môžu sa vyskytnúť závažné alebo dokonca život ohrozujúce vedľajšie účinky, ak zvýšite dávku bez osobitnej rady lekára, najmä keď sa užívajú spolu s inými liekmi na zníženie hmotnosti. </w:t>
      </w:r>
    </w:p>
    <w:p w14:paraId="2F636AF3" w14:textId="7E4F4FE6" w:rsidR="00FF3E96" w:rsidRPr="001C0B99" w:rsidRDefault="008B36F2" w:rsidP="001C0B99">
      <w:pPr>
        <w:tabs>
          <w:tab w:val="clear" w:pos="567"/>
        </w:tabs>
        <w:spacing w:after="160" w:line="259" w:lineRule="auto"/>
        <w:rPr>
          <w:noProof/>
          <w:szCs w:val="22"/>
          <w:lang w:val="sk-SK"/>
        </w:rPr>
      </w:pPr>
      <w:r>
        <w:rPr>
          <w:b/>
          <w:bCs/>
          <w:noProof/>
          <w:lang w:val="sk-SK"/>
        </w:rPr>
        <w:t>Deti</w:t>
      </w:r>
      <w:r w:rsidR="00FF3E96" w:rsidRPr="00BA3A70">
        <w:rPr>
          <w:b/>
          <w:bCs/>
          <w:noProof/>
          <w:lang w:val="sk-SK"/>
        </w:rPr>
        <w:t xml:space="preserve"> </w:t>
      </w:r>
    </w:p>
    <w:p w14:paraId="0B40907C" w14:textId="0C03A946" w:rsidR="008B36F2" w:rsidRPr="00BA3A70" w:rsidRDefault="008B36F2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8B36F2">
        <w:rPr>
          <w:lang w:val="sk-SK"/>
        </w:rPr>
        <w:t>Počas niekoľkých prvých mesiacov liečby sa môže vyskytnúť čiastočná strata vlasov, ale tento účinok je zvyčajne dočasný a zvyčajne dochádza k opätovnému rastu.</w:t>
      </w:r>
    </w:p>
    <w:p w14:paraId="7A067999" w14:textId="77777777" w:rsidR="00B61A37" w:rsidRPr="00BA3A70" w:rsidRDefault="00B61A37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49133B2" w14:textId="31D9EFFD" w:rsidR="00010A6D" w:rsidRDefault="00010A6D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10A6D">
        <w:rPr>
          <w:lang w:val="sk-SK"/>
        </w:rPr>
        <w:t xml:space="preserve">U predčasne narodených novorodencov s nízkou pôrodnou hmotnosťou je pri začatí liečby </w:t>
      </w:r>
      <w:proofErr w:type="spellStart"/>
      <w:r w:rsidRPr="00010A6D">
        <w:rPr>
          <w:lang w:val="sk-SK"/>
        </w:rPr>
        <w:t>levotyroxínom</w:t>
      </w:r>
      <w:proofErr w:type="spellEnd"/>
      <w:r w:rsidRPr="00010A6D">
        <w:rPr>
          <w:lang w:val="sk-SK"/>
        </w:rPr>
        <w:t xml:space="preserve"> potrebná mimoriadna opatrnosť. </w:t>
      </w:r>
    </w:p>
    <w:p w14:paraId="5C5C009E" w14:textId="77777777" w:rsidR="008F279C" w:rsidRPr="0057572B" w:rsidRDefault="008F279C" w:rsidP="008F279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7572B">
        <w:rPr>
          <w:lang w:val="sk-SK"/>
        </w:rPr>
        <w:t xml:space="preserve">Po začatí liečby </w:t>
      </w:r>
      <w:proofErr w:type="spellStart"/>
      <w:r w:rsidRPr="0057572B">
        <w:rPr>
          <w:lang w:val="sk-SK"/>
        </w:rPr>
        <w:t>levotyroxínom</w:t>
      </w:r>
      <w:proofErr w:type="spellEnd"/>
      <w:r w:rsidRPr="0057572B">
        <w:rPr>
          <w:lang w:val="sk-SK"/>
        </w:rPr>
        <w:t xml:space="preserve"> u predčasne narodených novorodencov s veľmi nízkou pôrodnou hmotnosťou sa bude pravidelne sledovať krvný tlak, pretože môže dôjsť k rýchlemu poklesu krvného tlaku (nazývanému obehový kolaps) (pozri časť 4. „Možné vedľajšie účinky“).</w:t>
      </w:r>
    </w:p>
    <w:p w14:paraId="26970FCF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B09CA2A" w14:textId="4C8EABC6" w:rsidR="00010A6D" w:rsidRDefault="00010A6D" w:rsidP="00010A6D">
      <w:pPr>
        <w:pStyle w:val="Nzov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Iné lieky a </w:t>
      </w:r>
      <w:proofErr w:type="spellStart"/>
      <w:r w:rsidRPr="00010A6D">
        <w:rPr>
          <w:sz w:val="22"/>
          <w:szCs w:val="22"/>
        </w:rPr>
        <w:t>Alverox</w:t>
      </w:r>
      <w:proofErr w:type="spellEnd"/>
      <w:r w:rsidRPr="00010A6D">
        <w:rPr>
          <w:sz w:val="22"/>
          <w:szCs w:val="22"/>
        </w:rPr>
        <w:t xml:space="preserve"> </w:t>
      </w:r>
    </w:p>
    <w:p w14:paraId="4FB2EB64" w14:textId="77777777" w:rsidR="00010A6D" w:rsidRPr="00B35A20" w:rsidRDefault="00010A6D" w:rsidP="00010A6D">
      <w:pPr>
        <w:rPr>
          <w:szCs w:val="22"/>
          <w:lang w:val="sk-SK"/>
        </w:rPr>
      </w:pPr>
      <w:r w:rsidRPr="00B35A20">
        <w:rPr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3B7DE0E5" w14:textId="77777777" w:rsidR="00FF3E96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09D3B19" w14:textId="0F2B3CD8" w:rsidR="00010A6D" w:rsidRPr="00010A6D" w:rsidRDefault="00010A6D" w:rsidP="00010A6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BA3A70">
        <w:rPr>
          <w:lang w:val="sk-SK"/>
        </w:rPr>
        <w:t>Alverox</w:t>
      </w:r>
      <w:proofErr w:type="spellEnd"/>
      <w:r w:rsidRPr="00BA3A70">
        <w:rPr>
          <w:lang w:val="sk-SK"/>
        </w:rPr>
        <w:t xml:space="preserve"> </w:t>
      </w:r>
      <w:r w:rsidRPr="00010A6D">
        <w:rPr>
          <w:lang w:val="sk-SK"/>
        </w:rPr>
        <w:t>môže ovplyvniť účinok niektorých liekov a naopak, niektoré lieky môžu mať vplyv na účinok</w:t>
      </w:r>
      <w:r>
        <w:rPr>
          <w:lang w:val="sk-SK"/>
        </w:rPr>
        <w:t xml:space="preserve"> </w:t>
      </w:r>
      <w:proofErr w:type="spellStart"/>
      <w:r w:rsidRPr="00BA3A70">
        <w:rPr>
          <w:lang w:val="sk-SK"/>
        </w:rPr>
        <w:t>Alverox</w:t>
      </w:r>
      <w:r>
        <w:rPr>
          <w:lang w:val="sk-SK"/>
        </w:rPr>
        <w:t>u</w:t>
      </w:r>
      <w:proofErr w:type="spellEnd"/>
      <w:r>
        <w:rPr>
          <w:lang w:val="sk-SK"/>
        </w:rPr>
        <w:t>. Informujte svojho l</w:t>
      </w:r>
      <w:r w:rsidR="002D2033">
        <w:rPr>
          <w:lang w:val="sk-SK"/>
        </w:rPr>
        <w:t>ekára alebo lekárnika</w:t>
      </w:r>
      <w:r w:rsidRPr="00010A6D">
        <w:rPr>
          <w:lang w:val="sk-SK"/>
        </w:rPr>
        <w:t xml:space="preserve"> najmä</w:t>
      </w:r>
      <w:r w:rsidR="008F279C">
        <w:rPr>
          <w:lang w:val="sk-SK"/>
        </w:rPr>
        <w:t xml:space="preserve"> vtedy</w:t>
      </w:r>
      <w:r w:rsidR="002D2033">
        <w:rPr>
          <w:lang w:val="sk-SK"/>
        </w:rPr>
        <w:t>,</w:t>
      </w:r>
      <w:r w:rsidRPr="00010A6D">
        <w:rPr>
          <w:lang w:val="sk-SK"/>
        </w:rPr>
        <w:t xml:space="preserve"> ak užívate nasledujúce lieky:</w:t>
      </w:r>
    </w:p>
    <w:p w14:paraId="3E91118C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DAA8846" w14:textId="52DD89A0" w:rsidR="008C616E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8C616E">
        <w:rPr>
          <w:lang w:val="sk-SK"/>
        </w:rPr>
        <w:t xml:space="preserve">lieky </w:t>
      </w:r>
      <w:r w:rsidR="00E0719F">
        <w:rPr>
          <w:lang w:val="sk-SK"/>
        </w:rPr>
        <w:t>proti zrážaniu</w:t>
      </w:r>
      <w:r w:rsidR="008C616E" w:rsidRPr="008C616E">
        <w:rPr>
          <w:lang w:val="sk-SK"/>
        </w:rPr>
        <w:t xml:space="preserve"> krvi </w:t>
      </w:r>
      <w:r w:rsidR="008C616E">
        <w:rPr>
          <w:lang w:val="sk-SK"/>
        </w:rPr>
        <w:t xml:space="preserve">(napríklad </w:t>
      </w:r>
      <w:proofErr w:type="spellStart"/>
      <w:r w:rsidR="008C616E">
        <w:rPr>
          <w:lang w:val="sk-SK"/>
        </w:rPr>
        <w:t>warfarín</w:t>
      </w:r>
      <w:proofErr w:type="spellEnd"/>
      <w:r w:rsidR="008C616E">
        <w:rPr>
          <w:lang w:val="sk-SK"/>
        </w:rPr>
        <w:t>)</w:t>
      </w:r>
      <w:r w:rsidR="008F279C">
        <w:rPr>
          <w:lang w:val="sk-SK"/>
        </w:rPr>
        <w:t>,</w:t>
      </w:r>
    </w:p>
    <w:p w14:paraId="62015CDB" w14:textId="17F5A435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>
        <w:rPr>
          <w:lang w:val="sk-SK"/>
        </w:rPr>
        <w:t>lieky na depresiu</w:t>
      </w:r>
      <w:r w:rsidRPr="00BA3A70">
        <w:rPr>
          <w:lang w:val="sk-SK"/>
        </w:rPr>
        <w:t xml:space="preserve"> (</w:t>
      </w:r>
      <w:r w:rsidR="00E0719F">
        <w:rPr>
          <w:lang w:val="sk-SK"/>
        </w:rPr>
        <w:t xml:space="preserve">napríklad </w:t>
      </w:r>
      <w:proofErr w:type="spellStart"/>
      <w:r w:rsidR="00E0719F" w:rsidRPr="00B35A20">
        <w:rPr>
          <w:szCs w:val="22"/>
          <w:lang w:val="sk-SK"/>
        </w:rPr>
        <w:t>sertralín</w:t>
      </w:r>
      <w:proofErr w:type="spellEnd"/>
      <w:r w:rsidR="00B61A37" w:rsidRPr="00BA3A70">
        <w:rPr>
          <w:color w:val="000000"/>
          <w:spacing w:val="1"/>
          <w:szCs w:val="22"/>
          <w:lang w:val="sk-SK" w:eastAsia="de-DE"/>
        </w:rPr>
        <w:t xml:space="preserve">, </w:t>
      </w:r>
      <w:proofErr w:type="spellStart"/>
      <w:r w:rsidR="00E0719F">
        <w:rPr>
          <w:lang w:val="sk-SK"/>
        </w:rPr>
        <w:t>imipramín</w:t>
      </w:r>
      <w:proofErr w:type="spellEnd"/>
      <w:r w:rsidRPr="00BA3A70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amitriptylín</w:t>
      </w:r>
      <w:proofErr w:type="spellEnd"/>
      <w:r w:rsidRPr="00BA3A70">
        <w:rPr>
          <w:lang w:val="sk-SK"/>
        </w:rPr>
        <w:t>)</w:t>
      </w:r>
      <w:r w:rsidR="008F279C">
        <w:rPr>
          <w:lang w:val="sk-SK"/>
        </w:rPr>
        <w:t>,</w:t>
      </w:r>
    </w:p>
    <w:p w14:paraId="69542C60" w14:textId="0EFF87A5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>
        <w:rPr>
          <w:lang w:val="sk-SK"/>
        </w:rPr>
        <w:t>lieky na epilepsiu</w:t>
      </w:r>
      <w:r w:rsidRPr="00BA3A70">
        <w:rPr>
          <w:lang w:val="sk-SK"/>
        </w:rPr>
        <w:t xml:space="preserve"> (</w:t>
      </w:r>
      <w:r w:rsidR="00E0719F">
        <w:rPr>
          <w:lang w:val="sk-SK"/>
        </w:rPr>
        <w:t>napríklad</w:t>
      </w:r>
      <w:r w:rsidRPr="00BA3A70">
        <w:rPr>
          <w:lang w:val="sk-SK"/>
        </w:rPr>
        <w:t xml:space="preserve"> </w:t>
      </w:r>
      <w:proofErr w:type="spellStart"/>
      <w:r w:rsidR="00E0719F">
        <w:rPr>
          <w:lang w:val="sk-SK"/>
        </w:rPr>
        <w:t>f</w:t>
      </w:r>
      <w:r w:rsidR="00E0719F" w:rsidRPr="00E0719F">
        <w:rPr>
          <w:lang w:val="sk-SK"/>
        </w:rPr>
        <w:t>enytoín</w:t>
      </w:r>
      <w:proofErr w:type="spellEnd"/>
      <w:r w:rsidR="00E0719F" w:rsidRPr="00E0719F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fenobarbital</w:t>
      </w:r>
      <w:proofErr w:type="spellEnd"/>
      <w:r w:rsidR="00E0719F" w:rsidRPr="00E0719F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karbamazepín</w:t>
      </w:r>
      <w:proofErr w:type="spellEnd"/>
      <w:r w:rsidRPr="00BA3A70">
        <w:rPr>
          <w:lang w:val="sk-SK"/>
        </w:rPr>
        <w:t xml:space="preserve">) </w:t>
      </w:r>
      <w:r w:rsidR="00E0719F">
        <w:rPr>
          <w:lang w:val="sk-SK"/>
        </w:rPr>
        <w:t>alebo</w:t>
      </w:r>
    </w:p>
    <w:p w14:paraId="5D375184" w14:textId="45A93A01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>
        <w:rPr>
          <w:lang w:val="sk-SK"/>
        </w:rPr>
        <w:t>lieky na liečbu cukrovky</w:t>
      </w:r>
      <w:r w:rsidR="008F279C">
        <w:rPr>
          <w:lang w:val="sk-SK"/>
        </w:rPr>
        <w:t>,</w:t>
      </w:r>
    </w:p>
    <w:p w14:paraId="2E3F0B59" w14:textId="08230D69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E0719F">
        <w:rPr>
          <w:lang w:val="sk-SK"/>
        </w:rPr>
        <w:t>r</w:t>
      </w:r>
      <w:r w:rsidR="00E0719F" w:rsidRPr="00E0719F">
        <w:rPr>
          <w:lang w:val="sk-SK"/>
        </w:rPr>
        <w:t>ifampicín</w:t>
      </w:r>
      <w:proofErr w:type="spellEnd"/>
      <w:r w:rsidR="00E0719F" w:rsidRPr="00E0719F">
        <w:rPr>
          <w:lang w:val="sk-SK"/>
        </w:rPr>
        <w:t xml:space="preserve"> (na liečbu infekcií, najmä tuberkulózy)</w:t>
      </w:r>
      <w:r w:rsidR="008F279C">
        <w:rPr>
          <w:lang w:val="sk-SK"/>
        </w:rPr>
        <w:t>,</w:t>
      </w:r>
    </w:p>
    <w:p w14:paraId="43A3195E" w14:textId="24FFC2B4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E0719F">
        <w:rPr>
          <w:lang w:val="sk-SK"/>
        </w:rPr>
        <w:t>d</w:t>
      </w:r>
      <w:r w:rsidR="00E0719F" w:rsidRPr="00E0719F">
        <w:rPr>
          <w:lang w:val="sk-SK"/>
        </w:rPr>
        <w:t>igoxín</w:t>
      </w:r>
      <w:proofErr w:type="spellEnd"/>
      <w:r w:rsidR="00E0719F" w:rsidRPr="00E0719F">
        <w:rPr>
          <w:lang w:val="sk-SK"/>
        </w:rPr>
        <w:t xml:space="preserve"> alebo </w:t>
      </w:r>
      <w:proofErr w:type="spellStart"/>
      <w:r w:rsidR="00E0719F" w:rsidRPr="00E0719F">
        <w:rPr>
          <w:lang w:val="sk-SK"/>
        </w:rPr>
        <w:t>amiodarón</w:t>
      </w:r>
      <w:proofErr w:type="spellEnd"/>
      <w:r w:rsidR="00E0719F" w:rsidRPr="00E0719F">
        <w:rPr>
          <w:lang w:val="sk-SK"/>
        </w:rPr>
        <w:t xml:space="preserve"> (</w:t>
      </w:r>
      <w:r w:rsidR="00E0719F">
        <w:rPr>
          <w:lang w:val="sk-SK"/>
        </w:rPr>
        <w:t>na</w:t>
      </w:r>
      <w:r w:rsidR="00E0719F" w:rsidRPr="00E0719F">
        <w:rPr>
          <w:lang w:val="sk-SK"/>
        </w:rPr>
        <w:t xml:space="preserve"> srdce)</w:t>
      </w:r>
      <w:r w:rsidR="008F279C">
        <w:rPr>
          <w:lang w:val="sk-SK"/>
        </w:rPr>
        <w:t>,</w:t>
      </w:r>
    </w:p>
    <w:p w14:paraId="6311024A" w14:textId="02DD29A5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left="705" w:right="-2" w:hanging="705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E0719F">
        <w:rPr>
          <w:lang w:val="sk-SK"/>
        </w:rPr>
        <w:t>p</w:t>
      </w:r>
      <w:r w:rsidR="00E0719F" w:rsidRPr="00E0719F">
        <w:rPr>
          <w:lang w:val="sk-SK"/>
        </w:rPr>
        <w:t>ropranolol</w:t>
      </w:r>
      <w:proofErr w:type="spellEnd"/>
      <w:r w:rsidR="00E0719F" w:rsidRPr="00E0719F">
        <w:rPr>
          <w:lang w:val="sk-SK"/>
        </w:rPr>
        <w:t xml:space="preserve"> (na vysoký krvný tlak), </w:t>
      </w:r>
      <w:proofErr w:type="spellStart"/>
      <w:r w:rsidR="00E0719F" w:rsidRPr="00E0719F">
        <w:rPr>
          <w:lang w:val="sk-SK"/>
        </w:rPr>
        <w:t>lovastatín</w:t>
      </w:r>
      <w:proofErr w:type="spellEnd"/>
      <w:r w:rsidR="00E0719F" w:rsidRPr="00E0719F">
        <w:rPr>
          <w:lang w:val="sk-SK"/>
        </w:rPr>
        <w:t xml:space="preserve"> (na vysoké hladiny cholesterolu) alebo </w:t>
      </w:r>
      <w:proofErr w:type="spellStart"/>
      <w:r w:rsidR="00E0719F" w:rsidRPr="00E0719F">
        <w:rPr>
          <w:lang w:val="sk-SK"/>
        </w:rPr>
        <w:t>fenylbutazón</w:t>
      </w:r>
      <w:proofErr w:type="spellEnd"/>
      <w:r w:rsidR="00E0719F" w:rsidRPr="00E0719F">
        <w:rPr>
          <w:lang w:val="sk-SK"/>
        </w:rPr>
        <w:t xml:space="preserve"> alebo aspirín (protizápalové lieky)</w:t>
      </w:r>
      <w:r w:rsidR="008F279C">
        <w:rPr>
          <w:lang w:val="sk-SK"/>
        </w:rPr>
        <w:t>,</w:t>
      </w:r>
    </w:p>
    <w:p w14:paraId="56BC5C74" w14:textId="66F6BC1B" w:rsidR="00B61A37" w:rsidRPr="00BA3A70" w:rsidRDefault="00FF3E96" w:rsidP="00E0719F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 w:rsidRPr="00E0719F">
        <w:rPr>
          <w:lang w:val="sk-SK"/>
        </w:rPr>
        <w:t>estrogén, výrobky obsahujúce estrogén a</w:t>
      </w:r>
      <w:r w:rsidR="008F279C">
        <w:rPr>
          <w:lang w:val="sk-SK"/>
        </w:rPr>
        <w:t> </w:t>
      </w:r>
      <w:r w:rsidR="00E0719F" w:rsidRPr="00E0719F">
        <w:rPr>
          <w:lang w:val="sk-SK"/>
        </w:rPr>
        <w:t>peroráln</w:t>
      </w:r>
      <w:r w:rsidR="008F279C">
        <w:rPr>
          <w:lang w:val="sk-SK"/>
        </w:rPr>
        <w:t>u antikoncepciu</w:t>
      </w:r>
      <w:r w:rsidR="00E0719F" w:rsidRPr="00E0719F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androgény</w:t>
      </w:r>
      <w:proofErr w:type="spellEnd"/>
      <w:r w:rsidR="00E0719F" w:rsidRPr="00E0719F">
        <w:rPr>
          <w:lang w:val="sk-SK"/>
        </w:rPr>
        <w:t xml:space="preserve"> alebo </w:t>
      </w:r>
      <w:proofErr w:type="spellStart"/>
      <w:r w:rsidR="00E0719F" w:rsidRPr="00E0719F">
        <w:rPr>
          <w:lang w:val="sk-SK"/>
        </w:rPr>
        <w:t>kortikosteroidy</w:t>
      </w:r>
      <w:proofErr w:type="spellEnd"/>
      <w:r w:rsidR="008F279C">
        <w:rPr>
          <w:lang w:val="sk-SK"/>
        </w:rPr>
        <w:t>,</w:t>
      </w:r>
    </w:p>
    <w:p w14:paraId="41BCE2F7" w14:textId="20F94523" w:rsidR="00B61A37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 w:rsidRPr="00E0719F">
        <w:rPr>
          <w:lang w:val="sk-SK"/>
        </w:rPr>
        <w:t>iné lieky vrátane tých, ktoré ste si kúpili bez lekárskeho predpisu</w:t>
      </w:r>
      <w:r w:rsidR="008F279C">
        <w:rPr>
          <w:lang w:val="sk-SK"/>
        </w:rPr>
        <w:t>,</w:t>
      </w:r>
    </w:p>
    <w:p w14:paraId="065BF699" w14:textId="45023AB5" w:rsidR="00780F9A" w:rsidRPr="00BA3A70" w:rsidRDefault="00FF3E96" w:rsidP="00780F9A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E0719F">
        <w:rPr>
          <w:lang w:val="sk-SK"/>
        </w:rPr>
        <w:t>s</w:t>
      </w:r>
      <w:r w:rsidR="00E0719F" w:rsidRPr="00E0719F">
        <w:rPr>
          <w:lang w:val="sk-SK"/>
        </w:rPr>
        <w:t>ukralfát</w:t>
      </w:r>
      <w:proofErr w:type="spellEnd"/>
      <w:r w:rsidR="00E0719F" w:rsidRPr="00E0719F">
        <w:rPr>
          <w:lang w:val="sk-SK"/>
        </w:rPr>
        <w:t xml:space="preserve">, </w:t>
      </w:r>
      <w:proofErr w:type="spellStart"/>
      <w:r w:rsidR="00E0719F" w:rsidRPr="00E0719F">
        <w:rPr>
          <w:lang w:val="sk-SK"/>
        </w:rPr>
        <w:t>cimetidín</w:t>
      </w:r>
      <w:proofErr w:type="spellEnd"/>
      <w:r w:rsidR="00E0719F" w:rsidRPr="00E0719F">
        <w:rPr>
          <w:lang w:val="sk-SK"/>
        </w:rPr>
        <w:t xml:space="preserve"> alebo hydroxid hlinitý na žalúdočné vredy,</w:t>
      </w:r>
    </w:p>
    <w:p w14:paraId="5A892A22" w14:textId="15DE1C85" w:rsidR="00E0719F" w:rsidRDefault="00780F9A" w:rsidP="000E152A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E0719F" w:rsidRPr="00E0719F">
        <w:rPr>
          <w:lang w:val="sk-SK"/>
        </w:rPr>
        <w:t>iné lieky obsahujúce hliník</w:t>
      </w:r>
      <w:r w:rsidR="008F279C">
        <w:rPr>
          <w:lang w:val="sk-SK"/>
        </w:rPr>
        <w:t>,</w:t>
      </w:r>
    </w:p>
    <w:p w14:paraId="72E1512D" w14:textId="6C15283E" w:rsidR="00E0719F" w:rsidRPr="00BA3A70" w:rsidRDefault="008C60B4" w:rsidP="00256296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 xml:space="preserve">-            </w:t>
      </w:r>
      <w:proofErr w:type="spellStart"/>
      <w:r w:rsidR="00256296">
        <w:rPr>
          <w:lang w:val="sk-SK"/>
        </w:rPr>
        <w:t>cholestyramín</w:t>
      </w:r>
      <w:proofErr w:type="spellEnd"/>
      <w:r w:rsidR="00256296">
        <w:rPr>
          <w:lang w:val="sk-SK"/>
        </w:rPr>
        <w:t xml:space="preserve"> alebo </w:t>
      </w:r>
      <w:proofErr w:type="spellStart"/>
      <w:r w:rsidR="00256296">
        <w:rPr>
          <w:lang w:val="sk-SK"/>
        </w:rPr>
        <w:t>k</w:t>
      </w:r>
      <w:r w:rsidR="00E0719F" w:rsidRPr="00E0719F">
        <w:rPr>
          <w:lang w:val="sk-SK"/>
        </w:rPr>
        <w:t>olesevelam</w:t>
      </w:r>
      <w:proofErr w:type="spellEnd"/>
      <w:r w:rsidR="00E0719F" w:rsidRPr="00E0719F">
        <w:rPr>
          <w:lang w:val="sk-SK"/>
        </w:rPr>
        <w:t xml:space="preserve"> na zníženie hladiny cholesterolu, </w:t>
      </w:r>
      <w:proofErr w:type="spellStart"/>
      <w:r w:rsidR="00E0719F" w:rsidRPr="00E0719F">
        <w:rPr>
          <w:lang w:val="sk-SK"/>
        </w:rPr>
        <w:t>polystyrénsulfonát</w:t>
      </w:r>
      <w:proofErr w:type="spellEnd"/>
      <w:r w:rsidR="00E0719F" w:rsidRPr="00E0719F">
        <w:rPr>
          <w:lang w:val="sk-SK"/>
        </w:rPr>
        <w:t xml:space="preserve"> sodný alebo doplnky vápnika alebo železa.</w:t>
      </w:r>
    </w:p>
    <w:p w14:paraId="09D90ED2" w14:textId="77777777" w:rsidR="007B15AA" w:rsidRPr="00BA3A70" w:rsidRDefault="007B15AA" w:rsidP="005507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2685914" w14:textId="4E2E7798" w:rsidR="00256296" w:rsidRDefault="00256296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BA3A70">
        <w:rPr>
          <w:lang w:val="sk-SK"/>
        </w:rPr>
        <w:t>Alverox</w:t>
      </w:r>
      <w:proofErr w:type="spellEnd"/>
      <w:r w:rsidRPr="00BA3A70">
        <w:rPr>
          <w:lang w:val="sk-SK"/>
        </w:rPr>
        <w:t xml:space="preserve"> </w:t>
      </w:r>
      <w:r w:rsidRPr="00256296">
        <w:rPr>
          <w:lang w:val="sk-SK"/>
        </w:rPr>
        <w:t>sa môže užívať s týmito liekmi, ale nie súčasne.</w:t>
      </w:r>
    </w:p>
    <w:p w14:paraId="7459F962" w14:textId="07DD547C" w:rsidR="00B61A37" w:rsidRPr="00BA3A70" w:rsidRDefault="00B61A37" w:rsidP="0000285E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 xml:space="preserve">-           </w:t>
      </w:r>
      <w:proofErr w:type="spellStart"/>
      <w:r w:rsidR="0000285E" w:rsidRPr="0000285E">
        <w:rPr>
          <w:lang w:val="sk-SK"/>
        </w:rPr>
        <w:t>chlorochin</w:t>
      </w:r>
      <w:proofErr w:type="spellEnd"/>
      <w:r w:rsidR="0000285E" w:rsidRPr="0000285E">
        <w:rPr>
          <w:lang w:val="sk-SK"/>
        </w:rPr>
        <w:t xml:space="preserve"> alebo </w:t>
      </w:r>
      <w:proofErr w:type="spellStart"/>
      <w:r w:rsidR="0000285E" w:rsidRPr="0000285E">
        <w:rPr>
          <w:lang w:val="sk-SK"/>
        </w:rPr>
        <w:t>proguanil</w:t>
      </w:r>
      <w:proofErr w:type="spellEnd"/>
      <w:r w:rsidR="0000285E" w:rsidRPr="0000285E">
        <w:rPr>
          <w:lang w:val="sk-SK"/>
        </w:rPr>
        <w:t xml:space="preserve"> </w:t>
      </w:r>
      <w:r w:rsidR="0000285E">
        <w:rPr>
          <w:lang w:val="sk-SK"/>
        </w:rPr>
        <w:t>na prevenciu malárie</w:t>
      </w:r>
    </w:p>
    <w:p w14:paraId="3AC1137F" w14:textId="0CF646A9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00285E" w:rsidRPr="0000285E">
        <w:rPr>
          <w:lang w:val="sk-SK"/>
        </w:rPr>
        <w:t xml:space="preserve">inhibítory </w:t>
      </w:r>
      <w:proofErr w:type="spellStart"/>
      <w:r w:rsidR="0000285E" w:rsidRPr="0000285E">
        <w:rPr>
          <w:lang w:val="sk-SK"/>
        </w:rPr>
        <w:t>proteáz</w:t>
      </w:r>
      <w:proofErr w:type="spellEnd"/>
      <w:r w:rsidR="0000285E" w:rsidRPr="0000285E">
        <w:rPr>
          <w:lang w:val="sk-SK"/>
        </w:rPr>
        <w:t xml:space="preserve"> </w:t>
      </w:r>
      <w:r w:rsidRPr="00BA3A70">
        <w:rPr>
          <w:lang w:val="sk-SK"/>
        </w:rPr>
        <w:t>(</w:t>
      </w:r>
      <w:r w:rsidR="0000285E">
        <w:rPr>
          <w:lang w:val="sk-SK"/>
        </w:rPr>
        <w:t>napríklad</w:t>
      </w:r>
      <w:r w:rsidRPr="00BA3A70">
        <w:rPr>
          <w:lang w:val="sk-SK"/>
        </w:rPr>
        <w:t xml:space="preserve"> </w:t>
      </w:r>
      <w:r w:rsidR="0000285E">
        <w:rPr>
          <w:lang w:val="sk-SK"/>
        </w:rPr>
        <w:t>-</w:t>
      </w:r>
      <w:r w:rsidR="0000285E">
        <w:rPr>
          <w:lang w:val="sk-SK"/>
        </w:rPr>
        <w:tab/>
      </w:r>
      <w:proofErr w:type="spellStart"/>
      <w:r w:rsidR="0000285E">
        <w:rPr>
          <w:lang w:val="sk-SK"/>
        </w:rPr>
        <w:t>ritonavir</w:t>
      </w:r>
      <w:proofErr w:type="spellEnd"/>
      <w:r w:rsidR="0000285E">
        <w:rPr>
          <w:lang w:val="sk-SK"/>
        </w:rPr>
        <w:t xml:space="preserve">, </w:t>
      </w:r>
      <w:proofErr w:type="spellStart"/>
      <w:r w:rsidR="0000285E">
        <w:rPr>
          <w:lang w:val="sk-SK"/>
        </w:rPr>
        <w:t>indinavir</w:t>
      </w:r>
      <w:proofErr w:type="spellEnd"/>
      <w:r w:rsidR="0000285E">
        <w:rPr>
          <w:lang w:val="sk-SK"/>
        </w:rPr>
        <w:t xml:space="preserve"> a</w:t>
      </w:r>
      <w:r w:rsidR="0000285E" w:rsidRPr="0000285E">
        <w:rPr>
          <w:lang w:val="sk-SK"/>
        </w:rPr>
        <w:t xml:space="preserve"> </w:t>
      </w:r>
      <w:proofErr w:type="spellStart"/>
      <w:r w:rsidR="0000285E" w:rsidRPr="0000285E">
        <w:rPr>
          <w:lang w:val="sk-SK"/>
        </w:rPr>
        <w:t>lopinavir</w:t>
      </w:r>
      <w:proofErr w:type="spellEnd"/>
      <w:r w:rsidRPr="00BA3A70">
        <w:rPr>
          <w:lang w:val="sk-SK"/>
        </w:rPr>
        <w:t xml:space="preserve">) </w:t>
      </w:r>
      <w:r w:rsidR="0000285E">
        <w:rPr>
          <w:lang w:val="sk-SK"/>
        </w:rPr>
        <w:t>používané na liečbu</w:t>
      </w:r>
      <w:r w:rsidRPr="00BA3A70">
        <w:rPr>
          <w:lang w:val="sk-SK"/>
        </w:rPr>
        <w:t xml:space="preserve"> HIV</w:t>
      </w:r>
    </w:p>
    <w:p w14:paraId="1C15C262" w14:textId="25F4AA1F" w:rsidR="00B61A37" w:rsidRPr="00BA3A70" w:rsidRDefault="00B61A37" w:rsidP="0000285E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>
        <w:rPr>
          <w:lang w:val="sk-SK"/>
        </w:rPr>
        <w:t>s</w:t>
      </w:r>
      <w:r w:rsidR="0000285E" w:rsidRPr="0000285E">
        <w:rPr>
          <w:lang w:val="sk-SK"/>
        </w:rPr>
        <w:t>evelamer</w:t>
      </w:r>
      <w:proofErr w:type="spellEnd"/>
      <w:r w:rsidR="0000285E" w:rsidRPr="0000285E">
        <w:rPr>
          <w:lang w:val="sk-SK"/>
        </w:rPr>
        <w:t xml:space="preserve"> (používaný na liečbu vysokých hladín fosfátov v krvi u pacientov so zlyhaním obličiek)</w:t>
      </w:r>
    </w:p>
    <w:p w14:paraId="09CEFBE0" w14:textId="6D7A7D0F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00285E" w:rsidRPr="0000285E">
        <w:rPr>
          <w:lang w:val="sk-SK"/>
        </w:rPr>
        <w:t xml:space="preserve">inhibítory </w:t>
      </w:r>
      <w:proofErr w:type="spellStart"/>
      <w:r w:rsidR="0000285E" w:rsidRPr="0000285E">
        <w:rPr>
          <w:lang w:val="sk-SK"/>
        </w:rPr>
        <w:t>tyrozínkinázy</w:t>
      </w:r>
      <w:proofErr w:type="spellEnd"/>
      <w:r w:rsidR="0000285E" w:rsidRPr="0000285E">
        <w:rPr>
          <w:lang w:val="sk-SK"/>
        </w:rPr>
        <w:t xml:space="preserve"> </w:t>
      </w:r>
      <w:r w:rsidRPr="00BA3A70">
        <w:rPr>
          <w:lang w:val="sk-SK"/>
        </w:rPr>
        <w:t>(</w:t>
      </w:r>
      <w:r w:rsidR="0000285E">
        <w:rPr>
          <w:lang w:val="sk-SK"/>
        </w:rPr>
        <w:t xml:space="preserve">napríklad </w:t>
      </w:r>
      <w:proofErr w:type="spellStart"/>
      <w:r w:rsidR="0000285E">
        <w:rPr>
          <w:lang w:val="sk-SK"/>
        </w:rPr>
        <w:t>i</w:t>
      </w:r>
      <w:r w:rsidRPr="00BA3A70">
        <w:rPr>
          <w:lang w:val="sk-SK"/>
        </w:rPr>
        <w:t>matinib</w:t>
      </w:r>
      <w:proofErr w:type="spellEnd"/>
      <w:r w:rsidRPr="00BA3A70">
        <w:rPr>
          <w:lang w:val="sk-SK"/>
        </w:rPr>
        <w:t xml:space="preserve"> a</w:t>
      </w:r>
      <w:r w:rsidR="0000285E">
        <w:rPr>
          <w:lang w:val="sk-SK"/>
        </w:rPr>
        <w:t xml:space="preserve"> </w:t>
      </w:r>
      <w:proofErr w:type="spellStart"/>
      <w:r w:rsidR="0000285E">
        <w:rPr>
          <w:lang w:val="sk-SK"/>
        </w:rPr>
        <w:t>s</w:t>
      </w:r>
      <w:r w:rsidRPr="00BA3A70">
        <w:rPr>
          <w:lang w:val="sk-SK"/>
        </w:rPr>
        <w:t>unitinib</w:t>
      </w:r>
      <w:proofErr w:type="spellEnd"/>
      <w:r w:rsidRPr="00BA3A70">
        <w:rPr>
          <w:lang w:val="sk-SK"/>
        </w:rPr>
        <w:t xml:space="preserve">) </w:t>
      </w:r>
      <w:r w:rsidR="0000285E">
        <w:rPr>
          <w:lang w:val="sk-SK"/>
        </w:rPr>
        <w:t>používané na liečbu rakoviny</w:t>
      </w:r>
    </w:p>
    <w:p w14:paraId="64A184C8" w14:textId="606AE563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 w:rsidRPr="0000285E">
        <w:rPr>
          <w:lang w:val="sk-SK"/>
        </w:rPr>
        <w:t>propyltiouracil</w:t>
      </w:r>
      <w:proofErr w:type="spellEnd"/>
      <w:r w:rsidR="0000285E" w:rsidRPr="0000285E">
        <w:rPr>
          <w:lang w:val="sk-SK"/>
        </w:rPr>
        <w:t xml:space="preserve"> </w:t>
      </w:r>
      <w:r w:rsidRPr="00BA3A70">
        <w:rPr>
          <w:lang w:val="sk-SK"/>
        </w:rPr>
        <w:t>(</w:t>
      </w:r>
      <w:r w:rsidR="0000285E">
        <w:rPr>
          <w:lang w:val="sk-SK"/>
        </w:rPr>
        <w:t xml:space="preserve">používaný na liečbu </w:t>
      </w:r>
      <w:proofErr w:type="spellStart"/>
      <w:r w:rsidR="0000285E">
        <w:rPr>
          <w:lang w:val="sk-SK"/>
        </w:rPr>
        <w:t>hypertyreózy</w:t>
      </w:r>
      <w:proofErr w:type="spellEnd"/>
      <w:r w:rsidRPr="00BA3A70">
        <w:rPr>
          <w:lang w:val="sk-SK"/>
        </w:rPr>
        <w:t>)</w:t>
      </w:r>
    </w:p>
    <w:p w14:paraId="236FE6A4" w14:textId="0148CE43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 w:rsidRPr="0000285E">
        <w:rPr>
          <w:lang w:val="sk-SK"/>
        </w:rPr>
        <w:t>betablokátory</w:t>
      </w:r>
      <w:proofErr w:type="spellEnd"/>
      <w:r w:rsidR="0000285E" w:rsidRPr="0000285E">
        <w:rPr>
          <w:lang w:val="sk-SK"/>
        </w:rPr>
        <w:t xml:space="preserve"> </w:t>
      </w:r>
      <w:r w:rsidRPr="00BA3A70">
        <w:rPr>
          <w:lang w:val="sk-SK"/>
        </w:rPr>
        <w:t>(</w:t>
      </w:r>
      <w:r w:rsidR="0000285E" w:rsidRPr="0000285E">
        <w:rPr>
          <w:lang w:val="sk-SK"/>
        </w:rPr>
        <w:t>používa</w:t>
      </w:r>
      <w:r w:rsidR="0000285E">
        <w:rPr>
          <w:lang w:val="sk-SK"/>
        </w:rPr>
        <w:t xml:space="preserve">né </w:t>
      </w:r>
      <w:r w:rsidR="0000285E" w:rsidRPr="0000285E">
        <w:rPr>
          <w:lang w:val="sk-SK"/>
        </w:rPr>
        <w:t>na liečbu vysokého krvného tlaku a srdcových problémov</w:t>
      </w:r>
      <w:r w:rsidRPr="00BA3A70">
        <w:rPr>
          <w:lang w:val="sk-SK"/>
        </w:rPr>
        <w:t>)</w:t>
      </w:r>
    </w:p>
    <w:p w14:paraId="0FE1E1B7" w14:textId="785D283D" w:rsidR="0000285E" w:rsidRPr="0000285E" w:rsidRDefault="00B61A37" w:rsidP="000028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>
        <w:rPr>
          <w:lang w:val="sk-SK"/>
        </w:rPr>
        <w:t>s</w:t>
      </w:r>
      <w:r w:rsidR="0000285E" w:rsidRPr="0000285E">
        <w:rPr>
          <w:lang w:val="sk-SK"/>
        </w:rPr>
        <w:t>ympatomimetické</w:t>
      </w:r>
      <w:proofErr w:type="spellEnd"/>
      <w:r w:rsidR="0000285E" w:rsidRPr="0000285E">
        <w:rPr>
          <w:lang w:val="sk-SK"/>
        </w:rPr>
        <w:t xml:space="preserve"> l</w:t>
      </w:r>
      <w:r w:rsidR="008F279C">
        <w:rPr>
          <w:lang w:val="sk-SK"/>
        </w:rPr>
        <w:t>ieky</w:t>
      </w:r>
      <w:r w:rsidR="0000285E" w:rsidRPr="0000285E">
        <w:rPr>
          <w:lang w:val="sk-SK"/>
        </w:rPr>
        <w:t xml:space="preserve"> </w:t>
      </w:r>
      <w:r w:rsidR="0000285E">
        <w:rPr>
          <w:lang w:val="sk-SK"/>
        </w:rPr>
        <w:t>(</w:t>
      </w:r>
      <w:r w:rsidR="0000285E" w:rsidRPr="0000285E">
        <w:rPr>
          <w:lang w:val="sk-SK"/>
        </w:rPr>
        <w:t>lieky, ktoré pôsobi</w:t>
      </w:r>
      <w:r w:rsidR="0000285E">
        <w:rPr>
          <w:lang w:val="sk-SK"/>
        </w:rPr>
        <w:t>a</w:t>
      </w:r>
      <w:r w:rsidR="008F279C">
        <w:rPr>
          <w:lang w:val="sk-SK"/>
        </w:rPr>
        <w:t xml:space="preserve"> tak, že</w:t>
      </w:r>
      <w:r w:rsidR="0000285E">
        <w:rPr>
          <w:lang w:val="sk-SK"/>
        </w:rPr>
        <w:t xml:space="preserve"> stimul</w:t>
      </w:r>
      <w:r w:rsidR="008F279C">
        <w:rPr>
          <w:lang w:val="sk-SK"/>
        </w:rPr>
        <w:t>ujú</w:t>
      </w:r>
      <w:r w:rsidR="0000285E">
        <w:rPr>
          <w:lang w:val="sk-SK"/>
        </w:rPr>
        <w:t xml:space="preserve"> sympatick</w:t>
      </w:r>
      <w:r w:rsidR="008F279C">
        <w:rPr>
          <w:lang w:val="sk-SK"/>
        </w:rPr>
        <w:t>ý</w:t>
      </w:r>
      <w:r w:rsidR="0000285E">
        <w:rPr>
          <w:lang w:val="sk-SK"/>
        </w:rPr>
        <w:t xml:space="preserve"> nervov</w:t>
      </w:r>
      <w:r w:rsidR="008F279C">
        <w:rPr>
          <w:lang w:val="sk-SK"/>
        </w:rPr>
        <w:t>ý</w:t>
      </w:r>
    </w:p>
    <w:p w14:paraId="16EFF055" w14:textId="28DD9549" w:rsidR="00B61A37" w:rsidRPr="00BA3A70" w:rsidRDefault="0000285E" w:rsidP="000028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00285E">
        <w:rPr>
          <w:lang w:val="sk-SK"/>
        </w:rPr>
        <w:t xml:space="preserve">            </w:t>
      </w:r>
      <w:r>
        <w:rPr>
          <w:lang w:val="sk-SK"/>
        </w:rPr>
        <w:t xml:space="preserve"> s</w:t>
      </w:r>
      <w:r w:rsidRPr="0000285E">
        <w:rPr>
          <w:lang w:val="sk-SK"/>
        </w:rPr>
        <w:t>ystém</w:t>
      </w:r>
      <w:r>
        <w:rPr>
          <w:lang w:val="sk-SK"/>
        </w:rPr>
        <w:t>)</w:t>
      </w:r>
    </w:p>
    <w:p w14:paraId="0DE39CB0" w14:textId="4B129339" w:rsidR="00B61A37" w:rsidRPr="00BA3A70" w:rsidRDefault="00B61A37" w:rsidP="0000285E">
      <w:pPr>
        <w:numPr>
          <w:ilvl w:val="12"/>
          <w:numId w:val="0"/>
        </w:numPr>
        <w:tabs>
          <w:tab w:val="clear" w:pos="567"/>
        </w:tabs>
        <w:spacing w:line="240" w:lineRule="auto"/>
        <w:ind w:left="709" w:right="-2" w:hanging="709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proofErr w:type="spellStart"/>
      <w:r w:rsidR="0000285E" w:rsidRPr="0000285E">
        <w:rPr>
          <w:lang w:val="sk-SK"/>
        </w:rPr>
        <w:t>glukokortikoidy</w:t>
      </w:r>
      <w:proofErr w:type="spellEnd"/>
      <w:r w:rsidRPr="00BA3A70">
        <w:rPr>
          <w:lang w:val="sk-SK"/>
        </w:rPr>
        <w:t xml:space="preserve"> (</w:t>
      </w:r>
      <w:proofErr w:type="spellStart"/>
      <w:r w:rsidR="0000285E" w:rsidRPr="0000285E">
        <w:rPr>
          <w:lang w:val="sk-SK"/>
        </w:rPr>
        <w:t>steroidné</w:t>
      </w:r>
      <w:proofErr w:type="spellEnd"/>
      <w:r w:rsidR="0000285E" w:rsidRPr="0000285E">
        <w:rPr>
          <w:lang w:val="sk-SK"/>
        </w:rPr>
        <w:t xml:space="preserve"> hormóny používané na liečbu nedostatočnosti nadobličiek a iných chorôb</w:t>
      </w:r>
      <w:r w:rsidRPr="00BA3A70">
        <w:rPr>
          <w:lang w:val="sk-SK"/>
        </w:rPr>
        <w:t>)</w:t>
      </w:r>
    </w:p>
    <w:p w14:paraId="174ACEE2" w14:textId="450878F3" w:rsidR="00581793" w:rsidRPr="00581793" w:rsidRDefault="00B61A37" w:rsidP="005817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t>-</w:t>
      </w:r>
      <w:r w:rsidRPr="00BA3A70">
        <w:rPr>
          <w:lang w:val="sk-SK"/>
        </w:rPr>
        <w:tab/>
      </w:r>
      <w:r w:rsidR="00581793">
        <w:rPr>
          <w:lang w:val="sk-SK"/>
        </w:rPr>
        <w:t>k</w:t>
      </w:r>
      <w:r w:rsidR="00581793" w:rsidRPr="00581793">
        <w:rPr>
          <w:lang w:val="sk-SK"/>
        </w:rPr>
        <w:t xml:space="preserve">ontrastné látky obsahujúce jód (používané na zvýšenie viditeľnosti </w:t>
      </w:r>
      <w:proofErr w:type="spellStart"/>
      <w:r w:rsidR="00581793" w:rsidRPr="00581793">
        <w:rPr>
          <w:lang w:val="sk-SK"/>
        </w:rPr>
        <w:t>vaskulárnych</w:t>
      </w:r>
      <w:proofErr w:type="spellEnd"/>
      <w:r w:rsidR="00581793" w:rsidRPr="00581793">
        <w:rPr>
          <w:lang w:val="sk-SK"/>
        </w:rPr>
        <w:t xml:space="preserve"> štruktúr a</w:t>
      </w:r>
    </w:p>
    <w:p w14:paraId="6FFEBB11" w14:textId="07A4D808" w:rsidR="00B61A37" w:rsidRPr="00BA3A70" w:rsidRDefault="00581793" w:rsidP="005817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             </w:t>
      </w:r>
      <w:r w:rsidRPr="00581793">
        <w:rPr>
          <w:lang w:val="sk-SK"/>
        </w:rPr>
        <w:t xml:space="preserve">orgánov počas </w:t>
      </w:r>
      <w:proofErr w:type="spellStart"/>
      <w:r w:rsidRPr="00581793">
        <w:rPr>
          <w:lang w:val="sk-SK"/>
        </w:rPr>
        <w:t>rádiografických</w:t>
      </w:r>
      <w:proofErr w:type="spellEnd"/>
      <w:r w:rsidRPr="00581793">
        <w:rPr>
          <w:lang w:val="sk-SK"/>
        </w:rPr>
        <w:t xml:space="preserve"> p</w:t>
      </w:r>
      <w:r>
        <w:rPr>
          <w:lang w:val="sk-SK"/>
        </w:rPr>
        <w:t>rocedúr</w:t>
      </w:r>
      <w:r w:rsidRPr="00581793">
        <w:rPr>
          <w:lang w:val="sk-SK"/>
        </w:rPr>
        <w:t>)</w:t>
      </w:r>
    </w:p>
    <w:p w14:paraId="1A5B5EAF" w14:textId="62AC7E47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BA3A70">
        <w:rPr>
          <w:lang w:val="sk-SK"/>
        </w:rPr>
        <w:lastRenderedPageBreak/>
        <w:t>-</w:t>
      </w:r>
      <w:r w:rsidRPr="00BA3A70">
        <w:rPr>
          <w:lang w:val="sk-SK"/>
        </w:rPr>
        <w:tab/>
      </w:r>
      <w:proofErr w:type="spellStart"/>
      <w:r w:rsidR="00581793" w:rsidRPr="00581793">
        <w:rPr>
          <w:lang w:val="sk-SK"/>
        </w:rPr>
        <w:t>orlistat</w:t>
      </w:r>
      <w:proofErr w:type="spellEnd"/>
      <w:r w:rsidRPr="00BA3A70">
        <w:rPr>
          <w:lang w:val="sk-SK"/>
        </w:rPr>
        <w:t xml:space="preserve"> </w:t>
      </w:r>
      <w:r w:rsidR="00581793">
        <w:rPr>
          <w:lang w:val="sk-SK"/>
        </w:rPr>
        <w:t>(</w:t>
      </w:r>
      <w:r w:rsidR="00581793" w:rsidRPr="00581793">
        <w:rPr>
          <w:lang w:val="sk-SK"/>
        </w:rPr>
        <w:t>liek na liečbu obezity</w:t>
      </w:r>
      <w:r w:rsidRPr="00BA3A70">
        <w:rPr>
          <w:lang w:val="sk-SK"/>
        </w:rPr>
        <w:t>)</w:t>
      </w:r>
    </w:p>
    <w:p w14:paraId="3E4C1B71" w14:textId="77777777" w:rsidR="00B61A37" w:rsidRPr="00BA3A70" w:rsidRDefault="00B61A37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left="705" w:right="-2" w:hanging="705"/>
        <w:rPr>
          <w:lang w:val="sk-SK"/>
        </w:rPr>
      </w:pPr>
    </w:p>
    <w:p w14:paraId="09CFD4E2" w14:textId="3B01CF33" w:rsidR="00581793" w:rsidRDefault="0058179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81793">
        <w:rPr>
          <w:noProof/>
          <w:szCs w:val="22"/>
          <w:lang w:val="sk-SK"/>
        </w:rPr>
        <w:t xml:space="preserve">Ak idete </w:t>
      </w:r>
      <w:r>
        <w:rPr>
          <w:noProof/>
          <w:szCs w:val="22"/>
          <w:lang w:val="sk-SK"/>
        </w:rPr>
        <w:t xml:space="preserve">do nemocnice </w:t>
      </w:r>
      <w:r w:rsidRPr="00581793">
        <w:rPr>
          <w:noProof/>
          <w:szCs w:val="22"/>
          <w:lang w:val="sk-SK"/>
        </w:rPr>
        <w:t xml:space="preserve">na operáciu, povedzte anesteziológovi alebo zdravotníckemu personálu, že užívate </w:t>
      </w:r>
      <w:proofErr w:type="spellStart"/>
      <w:r w:rsidRPr="00BA3A70">
        <w:rPr>
          <w:lang w:val="sk-SK"/>
        </w:rPr>
        <w:t>Alverox</w:t>
      </w:r>
      <w:proofErr w:type="spellEnd"/>
      <w:r>
        <w:rPr>
          <w:noProof/>
          <w:szCs w:val="22"/>
          <w:lang w:val="sk-SK"/>
        </w:rPr>
        <w:t>. Môže reagovať s anestetikom (ketamín), ktoré vám môže</w:t>
      </w:r>
      <w:r w:rsidRPr="00581793">
        <w:rPr>
          <w:noProof/>
          <w:szCs w:val="22"/>
          <w:lang w:val="sk-SK"/>
        </w:rPr>
        <w:t xml:space="preserve"> byť podané pred operáciou.</w:t>
      </w:r>
    </w:p>
    <w:p w14:paraId="3DA5D990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8C978E1" w14:textId="549C1E5F" w:rsidR="00A17235" w:rsidRDefault="00A17235" w:rsidP="00A17235">
      <w:pPr>
        <w:pStyle w:val="Nzov"/>
        <w:jc w:val="left"/>
        <w:rPr>
          <w:sz w:val="22"/>
          <w:szCs w:val="22"/>
        </w:rPr>
      </w:pPr>
      <w:proofErr w:type="spellStart"/>
      <w:r w:rsidRPr="00A17235">
        <w:rPr>
          <w:sz w:val="22"/>
          <w:szCs w:val="22"/>
        </w:rPr>
        <w:t>Alverox</w:t>
      </w:r>
      <w:proofErr w:type="spellEnd"/>
      <w:r w:rsidRPr="00A172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 jedlo a nápoje </w:t>
      </w:r>
    </w:p>
    <w:p w14:paraId="2B9085D1" w14:textId="34472CDB" w:rsidR="00FF3E96" w:rsidRPr="00BA3A70" w:rsidRDefault="00A17235" w:rsidP="00FF3E9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sk-SK"/>
        </w:rPr>
      </w:pPr>
      <w:r w:rsidRPr="00A17235">
        <w:rPr>
          <w:noProof/>
          <w:szCs w:val="22"/>
          <w:lang w:val="sk-SK"/>
        </w:rPr>
        <w:t xml:space="preserve">Výrobky, ktoré obsahujú sóju (najmä sójové doplnky), môžu </w:t>
      </w:r>
      <w:r w:rsidR="008F279C">
        <w:rPr>
          <w:noProof/>
          <w:szCs w:val="22"/>
          <w:lang w:val="sk-SK"/>
        </w:rPr>
        <w:t>vzájomne pôsobiť</w:t>
      </w:r>
      <w:r w:rsidRPr="00A17235">
        <w:rPr>
          <w:noProof/>
          <w:szCs w:val="22"/>
          <w:lang w:val="sk-SK"/>
        </w:rPr>
        <w:t xml:space="preserve"> s levotyroxínom, poraďte sa so svojím lekárom alebo lekárnikom.</w:t>
      </w:r>
    </w:p>
    <w:p w14:paraId="626A67DC" w14:textId="77777777" w:rsidR="009A24F0" w:rsidRPr="00BA3A70" w:rsidRDefault="009A24F0" w:rsidP="00FF3E9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sk-SK"/>
        </w:rPr>
      </w:pPr>
    </w:p>
    <w:p w14:paraId="271F40F5" w14:textId="5CE6C25D" w:rsidR="00FF3E96" w:rsidRPr="00BA3A70" w:rsidRDefault="00A17235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A17235">
        <w:rPr>
          <w:b/>
          <w:noProof/>
          <w:szCs w:val="22"/>
          <w:lang w:val="sk-SK"/>
        </w:rPr>
        <w:t>Tehotenstvo a dojčenie</w:t>
      </w:r>
    </w:p>
    <w:p w14:paraId="4F33E25E" w14:textId="77777777" w:rsidR="00A17235" w:rsidRDefault="00A17235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A17235">
        <w:rPr>
          <w:noProof/>
          <w:szCs w:val="22"/>
          <w:lang w:val="sk-SK"/>
        </w:rPr>
        <w:t>Skôr ako začnete užívať akýkoľvek liek, obráťte sa na svojho lekára alebo lekárnika.</w:t>
      </w:r>
    </w:p>
    <w:p w14:paraId="72AC4ED6" w14:textId="166B38A6" w:rsidR="00FF3E96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0C5196">
        <w:rPr>
          <w:noProof/>
          <w:szCs w:val="22"/>
          <w:lang w:val="sk-SK"/>
        </w:rPr>
        <w:t>Ak ste tehotná alebo dojčíte, ak si myslíte, že ste tehotná alebo ak plánujete otehotnieť</w:t>
      </w:r>
      <w:r>
        <w:rPr>
          <w:noProof/>
          <w:szCs w:val="22"/>
          <w:lang w:val="sk-SK"/>
        </w:rPr>
        <w:t xml:space="preserve">, povedzte to svojmu lekárovi alebo lekárnikovi. </w:t>
      </w:r>
    </w:p>
    <w:p w14:paraId="7ECCEB49" w14:textId="77777777" w:rsidR="000C5196" w:rsidRPr="00BA3A70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1A157630" w14:textId="190FB7AD" w:rsidR="00FF3E96" w:rsidRPr="00BA3A70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C5196">
        <w:rPr>
          <w:b/>
          <w:noProof/>
          <w:szCs w:val="22"/>
          <w:lang w:val="sk-SK"/>
        </w:rPr>
        <w:t>Vedenie vozidiel a obsluha strojov</w:t>
      </w:r>
    </w:p>
    <w:p w14:paraId="41CF0177" w14:textId="0EEA6763" w:rsidR="007209A3" w:rsidRDefault="000C5196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C5196">
        <w:rPr>
          <w:noProof/>
          <w:szCs w:val="22"/>
          <w:lang w:val="sk-SK"/>
        </w:rPr>
        <w:t>Je nepravdepodobné, že váš liek ovplyvní vašu schopnosť viesť vozidlá alebo obsluhovať stroje.</w:t>
      </w:r>
    </w:p>
    <w:p w14:paraId="518CEC7F" w14:textId="77777777" w:rsidR="000C5196" w:rsidRPr="00BA3A70" w:rsidRDefault="000C5196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14:paraId="3D780AA5" w14:textId="1C4FC7EF" w:rsidR="00A2326E" w:rsidRPr="00BA3A70" w:rsidRDefault="000C5196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0C5196">
        <w:rPr>
          <w:b/>
          <w:noProof/>
          <w:szCs w:val="22"/>
          <w:lang w:val="sk-SK"/>
        </w:rPr>
        <w:t xml:space="preserve">Alverox </w:t>
      </w:r>
      <w:r>
        <w:rPr>
          <w:b/>
          <w:noProof/>
          <w:szCs w:val="22"/>
          <w:lang w:val="sk-SK"/>
        </w:rPr>
        <w:t>obsahuje sodnú soľ m</w:t>
      </w:r>
      <w:r w:rsidRPr="000C5196">
        <w:rPr>
          <w:b/>
          <w:noProof/>
          <w:szCs w:val="22"/>
          <w:lang w:val="sk-SK"/>
        </w:rPr>
        <w:t>etyl-parahydroxybenzoát</w:t>
      </w:r>
      <w:r>
        <w:rPr>
          <w:b/>
          <w:noProof/>
          <w:szCs w:val="22"/>
          <w:lang w:val="sk-SK"/>
        </w:rPr>
        <w:t xml:space="preserve">u </w:t>
      </w:r>
      <w:r w:rsidR="007209A3" w:rsidRPr="00BA3A70">
        <w:rPr>
          <w:b/>
          <w:noProof/>
          <w:szCs w:val="22"/>
          <w:lang w:val="sk-SK"/>
        </w:rPr>
        <w:t>(E219)</w:t>
      </w:r>
    </w:p>
    <w:p w14:paraId="413D42AB" w14:textId="2BDDE2DD" w:rsidR="007209A3" w:rsidRDefault="007209A3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 xml:space="preserve"> </w:t>
      </w:r>
      <w:r w:rsidR="000C5196" w:rsidRPr="000C5196">
        <w:rPr>
          <w:noProof/>
          <w:szCs w:val="22"/>
          <w:lang w:val="sk-SK"/>
        </w:rPr>
        <w:t>- môže spôsobiť alergické reakcie (môžu byť oneskorené).</w:t>
      </w:r>
    </w:p>
    <w:p w14:paraId="5452E017" w14:textId="77777777" w:rsidR="000C5196" w:rsidRPr="00BA3A70" w:rsidRDefault="000C5196" w:rsidP="007209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9DD96C4" w14:textId="6BD34C3C" w:rsidR="000C5196" w:rsidRPr="00BA3A70" w:rsidRDefault="000C5196" w:rsidP="000C51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0C5196">
        <w:rPr>
          <w:b/>
          <w:noProof/>
          <w:szCs w:val="22"/>
          <w:lang w:val="sk-SK"/>
        </w:rPr>
        <w:t xml:space="preserve">Alverox </w:t>
      </w:r>
      <w:r>
        <w:rPr>
          <w:b/>
          <w:noProof/>
          <w:szCs w:val="22"/>
          <w:lang w:val="sk-SK"/>
        </w:rPr>
        <w:t>obsahuje glycerol</w:t>
      </w:r>
    </w:p>
    <w:p w14:paraId="59816B62" w14:textId="22845378" w:rsidR="00FF3E96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 w:eastAsia="de-DE"/>
        </w:rPr>
      </w:pPr>
      <w:proofErr w:type="spellStart"/>
      <w:r w:rsidRPr="000C5196">
        <w:rPr>
          <w:color w:val="000000"/>
          <w:szCs w:val="22"/>
          <w:lang w:val="sk-SK" w:eastAsia="de-DE"/>
        </w:rPr>
        <w:t>Glycerol</w:t>
      </w:r>
      <w:proofErr w:type="spellEnd"/>
      <w:r w:rsidRPr="000C5196">
        <w:rPr>
          <w:color w:val="000000"/>
          <w:szCs w:val="22"/>
          <w:lang w:val="sk-SK" w:eastAsia="de-DE"/>
        </w:rPr>
        <w:t xml:space="preserve"> môže spôsobiť bolesti hlavy, žalúdočné ťažkosti a hnačky.</w:t>
      </w:r>
    </w:p>
    <w:p w14:paraId="4982E308" w14:textId="77777777" w:rsidR="000C5196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 w:eastAsia="de-DE"/>
        </w:rPr>
      </w:pPr>
    </w:p>
    <w:p w14:paraId="3D4C8BD7" w14:textId="77777777" w:rsidR="000C5196" w:rsidRPr="00BA3A70" w:rsidRDefault="000C51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12A9312" w14:textId="1092F167" w:rsidR="00FF3E96" w:rsidRDefault="00FF3E96" w:rsidP="000C5196">
      <w:pPr>
        <w:spacing w:line="240" w:lineRule="auto"/>
        <w:ind w:right="-2"/>
        <w:rPr>
          <w:b/>
          <w:noProof/>
          <w:szCs w:val="22"/>
          <w:lang w:val="sk-SK"/>
        </w:rPr>
      </w:pPr>
      <w:r w:rsidRPr="00BA3A70">
        <w:rPr>
          <w:b/>
          <w:noProof/>
          <w:szCs w:val="22"/>
          <w:lang w:val="sk-SK"/>
        </w:rPr>
        <w:t>3.</w:t>
      </w:r>
      <w:r w:rsidRPr="00BA3A70">
        <w:rPr>
          <w:b/>
          <w:noProof/>
          <w:szCs w:val="22"/>
          <w:lang w:val="sk-SK"/>
        </w:rPr>
        <w:tab/>
      </w:r>
      <w:r w:rsidR="000C5196" w:rsidRPr="000C5196">
        <w:rPr>
          <w:b/>
          <w:noProof/>
          <w:szCs w:val="22"/>
          <w:lang w:val="sk-SK"/>
        </w:rPr>
        <w:t xml:space="preserve">Ako užívať Alverox </w:t>
      </w:r>
    </w:p>
    <w:p w14:paraId="4298EF64" w14:textId="77777777" w:rsidR="000C5196" w:rsidRPr="00BA3A70" w:rsidRDefault="000C5196" w:rsidP="000C5196">
      <w:pPr>
        <w:spacing w:line="240" w:lineRule="auto"/>
        <w:ind w:right="-2"/>
        <w:rPr>
          <w:noProof/>
          <w:szCs w:val="22"/>
          <w:lang w:val="sk-SK"/>
        </w:rPr>
      </w:pPr>
    </w:p>
    <w:p w14:paraId="142CC468" w14:textId="1477946A" w:rsidR="000C5196" w:rsidRDefault="000C5196" w:rsidP="000C5196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Vždy užívajte tento liek presne tak, ako vám povedal váš lekár. Ak si nie ste niečím istý, overte si to u svojho lekára alebo lekárnika. </w:t>
      </w:r>
    </w:p>
    <w:p w14:paraId="72167D95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3DCBC6E" w14:textId="6481A56A" w:rsidR="00FF3E96" w:rsidRPr="00BA3A70" w:rsidRDefault="000C5196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C5196">
        <w:rPr>
          <w:noProof/>
          <w:szCs w:val="22"/>
          <w:lang w:val="sk-SK"/>
        </w:rPr>
        <w:t>Váš lekár rozhodne, akú</w:t>
      </w:r>
      <w:r>
        <w:rPr>
          <w:noProof/>
          <w:szCs w:val="22"/>
          <w:lang w:val="sk-SK"/>
        </w:rPr>
        <w:t xml:space="preserve"> dennú</w:t>
      </w:r>
      <w:r w:rsidRPr="000C5196">
        <w:rPr>
          <w:noProof/>
          <w:szCs w:val="22"/>
          <w:lang w:val="sk-SK"/>
        </w:rPr>
        <w:t xml:space="preserve"> dávku máte užívať </w:t>
      </w:r>
      <w:r>
        <w:rPr>
          <w:noProof/>
          <w:szCs w:val="22"/>
          <w:lang w:val="sk-SK"/>
        </w:rPr>
        <w:t>v závislosti od vášho stavu</w:t>
      </w:r>
      <w:r w:rsidR="00A2326E" w:rsidRPr="00BA3A70">
        <w:rPr>
          <w:noProof/>
          <w:szCs w:val="22"/>
          <w:lang w:val="sk-SK"/>
        </w:rPr>
        <w:t xml:space="preserve">. </w:t>
      </w:r>
      <w:r w:rsidRPr="000C5196">
        <w:rPr>
          <w:noProof/>
          <w:szCs w:val="22"/>
          <w:lang w:val="sk-SK"/>
        </w:rPr>
        <w:t>Váš lekár vám bude v pravidelných intervaloch odoberať vzorky krvi, aby sledoval vašu odpoveď na liečbu.</w:t>
      </w:r>
    </w:p>
    <w:p w14:paraId="2635B92E" w14:textId="77777777" w:rsidR="00B61A37" w:rsidRPr="00BA3A70" w:rsidRDefault="00B61A37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60DDECB" w14:textId="214480AA" w:rsidR="00B61A37" w:rsidRPr="00BA3A70" w:rsidRDefault="000C5196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C5196">
        <w:rPr>
          <w:noProof/>
          <w:szCs w:val="22"/>
          <w:lang w:val="sk-SK"/>
        </w:rPr>
        <w:t xml:space="preserve">Ak prechádzate z perorálneho roztoku na tabletovú </w:t>
      </w:r>
      <w:r>
        <w:rPr>
          <w:noProof/>
          <w:szCs w:val="22"/>
          <w:lang w:val="sk-SK"/>
        </w:rPr>
        <w:t>formu</w:t>
      </w:r>
      <w:r w:rsidRPr="000C5196">
        <w:rPr>
          <w:noProof/>
          <w:szCs w:val="22"/>
          <w:lang w:val="sk-SK"/>
        </w:rPr>
        <w:t xml:space="preserve"> levotyroxínu alebo z tabletovej </w:t>
      </w:r>
      <w:r>
        <w:rPr>
          <w:noProof/>
          <w:szCs w:val="22"/>
          <w:lang w:val="sk-SK"/>
        </w:rPr>
        <w:t>formy</w:t>
      </w:r>
      <w:r w:rsidRPr="000C5196">
        <w:rPr>
          <w:noProof/>
          <w:szCs w:val="22"/>
          <w:lang w:val="sk-SK"/>
        </w:rPr>
        <w:t xml:space="preserve"> na perorálny roztok levotyroxínu, váš lekár vás bude dôsledne</w:t>
      </w:r>
      <w:r w:rsidR="008F279C">
        <w:rPr>
          <w:noProof/>
          <w:szCs w:val="22"/>
          <w:lang w:val="sk-SK"/>
        </w:rPr>
        <w:t>jšie</w:t>
      </w:r>
      <w:r w:rsidRPr="000C5196">
        <w:rPr>
          <w:noProof/>
          <w:szCs w:val="22"/>
          <w:lang w:val="sk-SK"/>
        </w:rPr>
        <w:t xml:space="preserve"> sledovať. </w:t>
      </w:r>
      <w:r w:rsidR="00F50E86" w:rsidRPr="00F50E86">
        <w:rPr>
          <w:noProof/>
          <w:szCs w:val="22"/>
          <w:lang w:val="sk-SK"/>
        </w:rPr>
        <w:t>To isté platí aj pri zmene výrobcu rôznych perorálnych roztokov obsahujúcich levotyroxín.</w:t>
      </w:r>
    </w:p>
    <w:p w14:paraId="0D28FDB9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89A4BF0" w14:textId="24F1BDD4" w:rsidR="00A2326E" w:rsidRPr="00BA3A70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Obvyklé denné dávky sú</w:t>
      </w:r>
      <w:r w:rsidR="00A2326E" w:rsidRPr="00BA3A70">
        <w:rPr>
          <w:b/>
          <w:lang w:val="sk-SK"/>
        </w:rPr>
        <w:t xml:space="preserve">: </w:t>
      </w:r>
      <w:r>
        <w:rPr>
          <w:b/>
          <w:lang w:val="sk-SK"/>
        </w:rPr>
        <w:t>Dospelí a deti nad</w:t>
      </w:r>
      <w:r w:rsidR="00A2326E" w:rsidRPr="00BA3A70">
        <w:rPr>
          <w:b/>
          <w:lang w:val="sk-SK"/>
        </w:rPr>
        <w:t xml:space="preserve"> 12 </w:t>
      </w:r>
      <w:r>
        <w:rPr>
          <w:b/>
          <w:lang w:val="sk-SK"/>
        </w:rPr>
        <w:t>rokov</w:t>
      </w:r>
      <w:r w:rsidR="00A2326E" w:rsidRPr="00BA3A70">
        <w:rPr>
          <w:b/>
          <w:lang w:val="sk-SK"/>
        </w:rPr>
        <w:t>:</w:t>
      </w:r>
    </w:p>
    <w:p w14:paraId="1C5E5FF3" w14:textId="175C9976" w:rsidR="00AB519A" w:rsidRPr="00BA3A70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B519A">
        <w:rPr>
          <w:lang w:val="sk-SK"/>
        </w:rPr>
        <w:t xml:space="preserve">Počiatočná dávka je 50 až 100 </w:t>
      </w:r>
      <w:proofErr w:type="spellStart"/>
      <w:r w:rsidRPr="00AB519A">
        <w:rPr>
          <w:lang w:val="sk-SK"/>
        </w:rPr>
        <w:t>mikrogramov</w:t>
      </w:r>
      <w:proofErr w:type="spellEnd"/>
      <w:r w:rsidRPr="00AB519A">
        <w:rPr>
          <w:lang w:val="sk-SK"/>
        </w:rPr>
        <w:t xml:space="preserve"> (</w:t>
      </w:r>
      <w:r>
        <w:rPr>
          <w:lang w:val="sk-SK"/>
        </w:rPr>
        <w:t>µg</w:t>
      </w:r>
      <w:r w:rsidRPr="00AB519A">
        <w:rPr>
          <w:lang w:val="sk-SK"/>
        </w:rPr>
        <w:t xml:space="preserve">) denne, ktorá sa zvyšuje o 25 až 50 </w:t>
      </w:r>
      <w:r>
        <w:rPr>
          <w:lang w:val="sk-SK"/>
        </w:rPr>
        <w:t>µg</w:t>
      </w:r>
      <w:r w:rsidRPr="00AB519A">
        <w:rPr>
          <w:lang w:val="sk-SK"/>
        </w:rPr>
        <w:t xml:space="preserve"> každé 3</w:t>
      </w:r>
      <w:r w:rsidR="008F279C">
        <w:rPr>
          <w:lang w:val="sk-SK"/>
        </w:rPr>
        <w:t xml:space="preserve"> </w:t>
      </w:r>
      <w:r w:rsidRPr="00AB519A">
        <w:rPr>
          <w:lang w:val="sk-SK"/>
        </w:rPr>
        <w:t>-</w:t>
      </w:r>
      <w:r w:rsidR="008F279C">
        <w:rPr>
          <w:lang w:val="sk-SK"/>
        </w:rPr>
        <w:t xml:space="preserve"> </w:t>
      </w:r>
      <w:r w:rsidRPr="00AB519A">
        <w:rPr>
          <w:lang w:val="sk-SK"/>
        </w:rPr>
        <w:t xml:space="preserve">4 týždne, až kým </w:t>
      </w:r>
      <w:r>
        <w:rPr>
          <w:lang w:val="sk-SK"/>
        </w:rPr>
        <w:t>nedosiahnete</w:t>
      </w:r>
      <w:r w:rsidRPr="00AB519A">
        <w:rPr>
          <w:lang w:val="sk-SK"/>
        </w:rPr>
        <w:t xml:space="preserve"> správne množstvo </w:t>
      </w:r>
      <w:r w:rsidR="008F279C">
        <w:rPr>
          <w:lang w:val="sk-SK"/>
        </w:rPr>
        <w:t>na</w:t>
      </w:r>
      <w:r w:rsidRPr="00AB519A">
        <w:rPr>
          <w:lang w:val="sk-SK"/>
        </w:rPr>
        <w:t xml:space="preserve"> váš stav. Zvyčajná udržiavacia dávka je 100 až </w:t>
      </w:r>
      <w:r>
        <w:rPr>
          <w:lang w:val="sk-SK"/>
        </w:rPr>
        <w:t xml:space="preserve">    </w:t>
      </w:r>
      <w:r w:rsidRPr="00AB519A">
        <w:rPr>
          <w:lang w:val="sk-SK"/>
        </w:rPr>
        <w:t xml:space="preserve">200 </w:t>
      </w:r>
      <w:r>
        <w:rPr>
          <w:lang w:val="sk-SK"/>
        </w:rPr>
        <w:t>µg</w:t>
      </w:r>
      <w:r w:rsidRPr="00AB519A">
        <w:rPr>
          <w:lang w:val="sk-SK"/>
        </w:rPr>
        <w:t xml:space="preserve"> denne.</w:t>
      </w:r>
    </w:p>
    <w:p w14:paraId="5113407D" w14:textId="77777777" w:rsidR="00B61A37" w:rsidRPr="00BA3A70" w:rsidRDefault="00B61A37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6804D99" w14:textId="0718C22C" w:rsidR="00B61A37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AB519A">
        <w:rPr>
          <w:noProof/>
          <w:szCs w:val="22"/>
          <w:lang w:val="sk-SK"/>
        </w:rPr>
        <w:t>Pri difúznej netoxickej strume alebo Hashimotovej tyreoiditíde je odporúčaná dávka 50 - 200 mikrogramov (</w:t>
      </w:r>
      <w:r>
        <w:rPr>
          <w:lang w:val="sk-SK"/>
        </w:rPr>
        <w:t>µg</w:t>
      </w:r>
      <w:r w:rsidRPr="00AB519A">
        <w:rPr>
          <w:noProof/>
          <w:szCs w:val="22"/>
          <w:lang w:val="sk-SK"/>
        </w:rPr>
        <w:t>) denne.</w:t>
      </w:r>
    </w:p>
    <w:p w14:paraId="67F511AD" w14:textId="77777777" w:rsidR="00AB519A" w:rsidRPr="00BA3A70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FE50241" w14:textId="06C60611" w:rsidR="00A2326E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AB519A">
        <w:rPr>
          <w:noProof/>
          <w:szCs w:val="22"/>
          <w:lang w:val="sk-SK"/>
        </w:rPr>
        <w:t>Na liečbu rakoviny štítnej žľazy je odporúčaná dávka 150 - 300 mikrogramov (</w:t>
      </w:r>
      <w:r>
        <w:rPr>
          <w:lang w:val="sk-SK"/>
        </w:rPr>
        <w:t>µg</w:t>
      </w:r>
      <w:r w:rsidRPr="00AB519A">
        <w:rPr>
          <w:noProof/>
          <w:szCs w:val="22"/>
          <w:lang w:val="sk-SK"/>
        </w:rPr>
        <w:t>) denne.</w:t>
      </w:r>
    </w:p>
    <w:p w14:paraId="567D8B46" w14:textId="77777777" w:rsidR="00AB519A" w:rsidRPr="00BA3A70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89046CA" w14:textId="77777777" w:rsidR="00AB519A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B519A">
        <w:rPr>
          <w:b/>
          <w:lang w:val="sk-SK"/>
        </w:rPr>
        <w:t>Starší pacienti (nad 50 rokov):</w:t>
      </w:r>
    </w:p>
    <w:p w14:paraId="67813D52" w14:textId="141D8245" w:rsidR="00A2326E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B519A">
        <w:rPr>
          <w:lang w:val="sk-SK"/>
        </w:rPr>
        <w:t xml:space="preserve">Počiatočná dávka je 12,5 </w:t>
      </w:r>
      <w:proofErr w:type="spellStart"/>
      <w:r w:rsidRPr="00AB519A">
        <w:rPr>
          <w:lang w:val="sk-SK"/>
        </w:rPr>
        <w:t>mikrogram</w:t>
      </w:r>
      <w:r w:rsidR="008F279C">
        <w:rPr>
          <w:lang w:val="sk-SK"/>
        </w:rPr>
        <w:t>u</w:t>
      </w:r>
      <w:proofErr w:type="spellEnd"/>
      <w:r w:rsidRPr="00AB519A">
        <w:rPr>
          <w:lang w:val="sk-SK"/>
        </w:rPr>
        <w:t xml:space="preserve"> (</w:t>
      </w:r>
      <w:r>
        <w:rPr>
          <w:lang w:val="sk-SK"/>
        </w:rPr>
        <w:t>µg</w:t>
      </w:r>
      <w:r w:rsidRPr="00AB519A">
        <w:rPr>
          <w:lang w:val="sk-SK"/>
        </w:rPr>
        <w:t xml:space="preserve">) denne a zvyšuje sa o 12,5 </w:t>
      </w:r>
      <w:r>
        <w:rPr>
          <w:lang w:val="sk-SK"/>
        </w:rPr>
        <w:t>µg</w:t>
      </w:r>
      <w:r w:rsidRPr="00AB519A">
        <w:rPr>
          <w:lang w:val="sk-SK"/>
        </w:rPr>
        <w:t xml:space="preserve"> každé 4 týždne, kým sa nedosiahne správna dávka. Zvyčajná konečná dávka je </w:t>
      </w:r>
      <w:r>
        <w:rPr>
          <w:lang w:val="sk-SK"/>
        </w:rPr>
        <w:t>medzi 50 a</w:t>
      </w:r>
      <w:r w:rsidRPr="00AB519A">
        <w:rPr>
          <w:lang w:val="sk-SK"/>
        </w:rPr>
        <w:t xml:space="preserve"> 200 </w:t>
      </w:r>
      <w:r>
        <w:rPr>
          <w:lang w:val="sk-SK"/>
        </w:rPr>
        <w:t>µg</w:t>
      </w:r>
      <w:r w:rsidRPr="00AB519A">
        <w:rPr>
          <w:lang w:val="sk-SK"/>
        </w:rPr>
        <w:t xml:space="preserve"> denne. Táto dávka sa vzťahuje aj na pacientov s ťažkou </w:t>
      </w:r>
      <w:proofErr w:type="spellStart"/>
      <w:r w:rsidRPr="00AB519A">
        <w:rPr>
          <w:lang w:val="sk-SK"/>
        </w:rPr>
        <w:t>hypotyreózou</w:t>
      </w:r>
      <w:proofErr w:type="spellEnd"/>
      <w:r w:rsidRPr="00AB519A">
        <w:rPr>
          <w:lang w:val="sk-SK"/>
        </w:rPr>
        <w:t xml:space="preserve"> a na pacientov so srdcovými chorobami.</w:t>
      </w:r>
    </w:p>
    <w:p w14:paraId="31878555" w14:textId="77777777" w:rsidR="00AB519A" w:rsidRPr="00BA3A70" w:rsidRDefault="00AB519A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10D15CE" w14:textId="77777777" w:rsidR="00AB519A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B519A">
        <w:rPr>
          <w:b/>
          <w:lang w:val="sk-SK"/>
        </w:rPr>
        <w:t>Deti do 12 rokov:</w:t>
      </w:r>
    </w:p>
    <w:p w14:paraId="7A95610A" w14:textId="5C0A5730" w:rsidR="00B61A37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AB519A">
        <w:rPr>
          <w:noProof/>
          <w:szCs w:val="22"/>
          <w:lang w:val="sk-SK"/>
        </w:rPr>
        <w:t xml:space="preserve">Dávka pre deti závisí od ich veku, hmotnosti a </w:t>
      </w:r>
      <w:r w:rsidR="00DD397B">
        <w:rPr>
          <w:noProof/>
          <w:szCs w:val="22"/>
          <w:lang w:val="sk-SK"/>
        </w:rPr>
        <w:t>liečeného stavu</w:t>
      </w:r>
      <w:r w:rsidRPr="00AB519A">
        <w:rPr>
          <w:noProof/>
          <w:szCs w:val="22"/>
          <w:lang w:val="sk-SK"/>
        </w:rPr>
        <w:t>. Vaše dieťa bude sledované, aby sa zabezpečilo, že dostane správnu dávku. Dajte svojmu dieťaťu tento liek buď ráno alebo večer, buď pred kŕmením alebo s jedlom, mal by sa však podávať rovnakým spôsobom každý deň.</w:t>
      </w:r>
    </w:p>
    <w:p w14:paraId="4E08D395" w14:textId="77777777" w:rsidR="00AB519A" w:rsidRPr="00BA3A70" w:rsidRDefault="00AB519A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FB8A66E" w14:textId="1806713D" w:rsidR="00B61A37" w:rsidRPr="00BA3A70" w:rsidRDefault="00DD397B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DD397B">
        <w:rPr>
          <w:noProof/>
          <w:szCs w:val="22"/>
          <w:lang w:val="sk-SK"/>
        </w:rPr>
        <w:lastRenderedPageBreak/>
        <w:t xml:space="preserve">Vrodená </w:t>
      </w:r>
      <w:r w:rsidRPr="00F917EB">
        <w:rPr>
          <w:lang w:val="sk"/>
        </w:rPr>
        <w:t>znížená činnosť štítnej žľazy</w:t>
      </w:r>
      <w:r w:rsidRPr="00DD397B">
        <w:rPr>
          <w:noProof/>
          <w:szCs w:val="22"/>
          <w:lang w:val="sk-SK"/>
        </w:rPr>
        <w:t xml:space="preserve"> u dojčiat:</w:t>
      </w:r>
    </w:p>
    <w:p w14:paraId="16B72198" w14:textId="19D0FF4C" w:rsidR="00B61A37" w:rsidRDefault="00DD397B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"/>
        </w:rPr>
      </w:pPr>
      <w:r w:rsidRPr="00F917EB">
        <w:rPr>
          <w:lang w:val="sk"/>
        </w:rPr>
        <w:t>Na začiatku 10 až 15 </w:t>
      </w:r>
      <w:proofErr w:type="spellStart"/>
      <w:r w:rsidRPr="00F917EB">
        <w:rPr>
          <w:lang w:val="sk"/>
        </w:rPr>
        <w:t>mikrogramov</w:t>
      </w:r>
      <w:proofErr w:type="spellEnd"/>
      <w:r w:rsidRPr="00F917EB">
        <w:rPr>
          <w:lang w:val="sk"/>
        </w:rPr>
        <w:t>/kg telesnej hmotnosti denne počas prvých 3 mesiacov. Dávka sa potom upraví v závislosti od odpovede na liečbu</w:t>
      </w:r>
      <w:r>
        <w:rPr>
          <w:lang w:val="sk"/>
        </w:rPr>
        <w:t>.</w:t>
      </w:r>
    </w:p>
    <w:p w14:paraId="7469CC56" w14:textId="77777777" w:rsidR="00DD397B" w:rsidRPr="00BA3A70" w:rsidRDefault="00DD397B" w:rsidP="001913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BDDC2BB" w14:textId="77777777" w:rsidR="00DD397B" w:rsidRDefault="00DD397B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"/>
        </w:rPr>
      </w:pPr>
      <w:r w:rsidRPr="00F917EB">
        <w:rPr>
          <w:lang w:val="sk"/>
        </w:rPr>
        <w:t xml:space="preserve">Získaná znížená činnosť štítnej žľazy u detí: </w:t>
      </w:r>
    </w:p>
    <w:p w14:paraId="620AC7D2" w14:textId="2F87B4CE" w:rsidR="00A2326E" w:rsidRDefault="00DD397B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lang w:val="sk"/>
        </w:rPr>
        <w:t>Na začiatku 12,5</w:t>
      </w:r>
      <w:r w:rsidRPr="00F917EB">
        <w:rPr>
          <w:lang w:val="sk"/>
        </w:rPr>
        <w:t xml:space="preserve"> až 50 </w:t>
      </w:r>
      <w:proofErr w:type="spellStart"/>
      <w:r w:rsidRPr="00F917EB">
        <w:rPr>
          <w:lang w:val="sk"/>
        </w:rPr>
        <w:t>mikrogramov</w:t>
      </w:r>
      <w:proofErr w:type="spellEnd"/>
      <w:r w:rsidRPr="00F917EB">
        <w:rPr>
          <w:lang w:val="sk"/>
        </w:rPr>
        <w:t xml:space="preserve"> denne</w:t>
      </w:r>
      <w:r w:rsidR="00B61A37" w:rsidRPr="00BA3A70">
        <w:rPr>
          <w:noProof/>
          <w:szCs w:val="22"/>
          <w:lang w:val="sk-SK"/>
        </w:rPr>
        <w:t>.</w:t>
      </w:r>
      <w:r w:rsidRPr="00B35A20">
        <w:rPr>
          <w:lang w:val="de-DE"/>
        </w:rPr>
        <w:t xml:space="preserve"> </w:t>
      </w:r>
      <w:r w:rsidRPr="00DD397B">
        <w:rPr>
          <w:noProof/>
          <w:szCs w:val="22"/>
          <w:lang w:val="sk-SK"/>
        </w:rPr>
        <w:t>Dávka sa má postupne zvyšovať každé 2 až 4 týždne v závislosti od odpovede na liečbu.</w:t>
      </w:r>
    </w:p>
    <w:p w14:paraId="04301436" w14:textId="77777777" w:rsidR="00DD397B" w:rsidRPr="00BA3A70" w:rsidRDefault="00DD397B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2A09DE0" w14:textId="230DCE74" w:rsidR="002651F5" w:rsidRPr="001D6AC0" w:rsidRDefault="008F279C" w:rsidP="0019130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000000"/>
          <w:sz w:val="23"/>
          <w:szCs w:val="23"/>
          <w:highlight w:val="lightGray"/>
          <w:lang w:val="sk-SK"/>
        </w:rPr>
      </w:pPr>
      <w:r>
        <w:rPr>
          <w:rFonts w:eastAsiaTheme="minorHAnsi"/>
          <w:color w:val="000000"/>
          <w:sz w:val="23"/>
          <w:szCs w:val="23"/>
          <w:highlight w:val="lightGray"/>
          <w:lang w:val="sk-SK"/>
        </w:rPr>
        <w:t>Na podanie</w:t>
      </w:r>
      <w:r w:rsidR="006B1E46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vašej konkrétnej dávky použite priloženú perorálnu striekačku - pozri pokyny nižšie.</w:t>
      </w:r>
      <w:r w:rsidR="006B1E46" w:rsidRPr="00B35A20">
        <w:rPr>
          <w:highlight w:val="lightGray"/>
          <w:lang w:val="sk-SK"/>
        </w:rPr>
        <w:t xml:space="preserve"> </w:t>
      </w:r>
      <w:r w:rsidR="006B1E46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>Striekačku je možné použiť na odmeranie</w:t>
      </w:r>
      <w:r w:rsidR="007F05DB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vašej</w:t>
      </w:r>
      <w:r w:rsidR="006B1E46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dávky natiahnutím kvapaliny po správnu značku na striekačke.</w:t>
      </w:r>
      <w:r w:rsidR="007F05DB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Napríklad, ak je vaša dávka 50 </w:t>
      </w:r>
      <w:proofErr w:type="spellStart"/>
      <w:r w:rsidR="007F05DB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>mikrogramov</w:t>
      </w:r>
      <w:proofErr w:type="spellEnd"/>
      <w:r w:rsidR="007F05DB" w:rsidRPr="001D6AC0">
        <w:rPr>
          <w:rFonts w:eastAsiaTheme="minorHAnsi"/>
          <w:color w:val="000000"/>
          <w:sz w:val="23"/>
          <w:szCs w:val="23"/>
          <w:highlight w:val="lightGray"/>
          <w:lang w:val="sk-SK"/>
        </w:rPr>
        <w:t xml:space="preserve"> denne, potom bude zodpovedajúci objem:</w:t>
      </w:r>
    </w:p>
    <w:p w14:paraId="79506BB0" w14:textId="7043C818" w:rsidR="002651F5" w:rsidRDefault="008F279C" w:rsidP="009A2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eastAsiaTheme="minorHAnsi"/>
          <w:b/>
          <w:bCs/>
          <w:color w:val="000000"/>
          <w:sz w:val="23"/>
          <w:szCs w:val="23"/>
          <w:lang w:val="sk-SK"/>
        </w:rPr>
      </w:pPr>
      <w:r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p</w:t>
      </w:r>
      <w:r w:rsidR="007F05DB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 xml:space="preserve">re silu </w:t>
      </w:r>
      <w:r w:rsidR="00804C81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100</w:t>
      </w:r>
      <w:r w:rsidR="007F05DB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 xml:space="preserve"> </w:t>
      </w:r>
      <w:r w:rsidR="00A12A3C" w:rsidRPr="00A12A3C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µg</w:t>
      </w:r>
      <w:r w:rsidR="007F05DB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 xml:space="preserve"> / 5 ml </w:t>
      </w:r>
      <w:r w:rsidR="001D6AC0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–</w:t>
      </w:r>
      <w:r w:rsidR="007F05DB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 xml:space="preserve"> </w:t>
      </w:r>
      <w:r w:rsidR="00804C81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2,</w:t>
      </w:r>
      <w:r w:rsidR="001D6AC0" w:rsidRPr="001D6AC0">
        <w:rPr>
          <w:rFonts w:eastAsiaTheme="minorHAnsi"/>
          <w:b/>
          <w:bCs/>
          <w:color w:val="000000"/>
          <w:sz w:val="23"/>
          <w:szCs w:val="23"/>
          <w:highlight w:val="lightGray"/>
          <w:lang w:val="sk-SK"/>
        </w:rPr>
        <w:t>5 ml</w:t>
      </w:r>
    </w:p>
    <w:p w14:paraId="4C66F49B" w14:textId="77777777" w:rsidR="007F05DB" w:rsidRPr="00BA3A70" w:rsidRDefault="007F05DB" w:rsidP="009A24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1D40375A" w14:textId="031EEF00" w:rsidR="002651F5" w:rsidRPr="00BA3A70" w:rsidRDefault="007F05DB" w:rsidP="001913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val="sk-SK"/>
        </w:rPr>
      </w:pPr>
      <w:r w:rsidRPr="007F05DB">
        <w:rPr>
          <w:rFonts w:eastAsiaTheme="minorHAnsi"/>
          <w:b/>
          <w:bCs/>
          <w:color w:val="000000"/>
          <w:sz w:val="23"/>
          <w:szCs w:val="23"/>
          <w:lang w:val="sk-SK"/>
        </w:rPr>
        <w:t>Ako používať perorálnu striekačku:</w:t>
      </w:r>
    </w:p>
    <w:p w14:paraId="658E034A" w14:textId="77777777" w:rsidR="008F279C" w:rsidRPr="0057572B" w:rsidRDefault="008F279C" w:rsidP="008F279C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57572B">
        <w:rPr>
          <w:rFonts w:eastAsiaTheme="minorHAnsi"/>
          <w:color w:val="000000"/>
          <w:spacing w:val="1"/>
          <w:szCs w:val="22"/>
          <w:lang w:val="sk-SK"/>
        </w:rPr>
        <w:t>Skontrolujte, či je viečko pevne na fľaši, a fľašu dobre pretrepte.</w:t>
      </w:r>
    </w:p>
    <w:p w14:paraId="57894A84" w14:textId="3AF3013A" w:rsidR="00B8321E" w:rsidRPr="0034045B" w:rsidRDefault="00B8321E" w:rsidP="00B8321E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 xml:space="preserve">Odstráňte uzáver. Poznámka: Uzáver </w:t>
      </w:r>
      <w:r w:rsidR="008F279C">
        <w:rPr>
          <w:rFonts w:eastAsiaTheme="minorHAnsi"/>
          <w:color w:val="000000"/>
          <w:spacing w:val="1"/>
          <w:szCs w:val="22"/>
          <w:lang w:val="sk-SK"/>
        </w:rPr>
        <w:t>nechajte poruke</w:t>
      </w:r>
      <w:r w:rsidRPr="0034045B">
        <w:rPr>
          <w:rFonts w:eastAsiaTheme="minorHAnsi"/>
          <w:color w:val="000000"/>
          <w:spacing w:val="1"/>
          <w:szCs w:val="22"/>
          <w:lang w:val="sk-SK"/>
        </w:rPr>
        <w:t>, aby ste fľašu po každom použití uzavreli.</w:t>
      </w:r>
    </w:p>
    <w:p w14:paraId="23E3FD8C" w14:textId="77777777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Zatlačte plastový adaptér do hrdla fľaše. Poznámka: Adaptér musí vždy zostať vo fľaši.</w:t>
      </w:r>
    </w:p>
    <w:p w14:paraId="2133DF26" w14:textId="1782E225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Vezmite striekačku a skontrolujte, či je piest úplne dole.</w:t>
      </w:r>
    </w:p>
    <w:p w14:paraId="2322D4B7" w14:textId="662160D6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Fľašu udržujte vo zvislej polohe a pevne vložte perorálnu striekačku do plastového adaptéra.</w:t>
      </w:r>
    </w:p>
    <w:p w14:paraId="108AD9C9" w14:textId="369C7845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Otočte celú fľašu so striekačkou hore dnom.</w:t>
      </w:r>
    </w:p>
    <w:p w14:paraId="6AEBAC1A" w14:textId="327793FE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 xml:space="preserve">Pomaly potiahnite piest úplne nadol, aby sa </w:t>
      </w:r>
      <w:r w:rsidR="00A12A3C">
        <w:rPr>
          <w:rFonts w:eastAsiaTheme="minorHAnsi"/>
          <w:color w:val="000000"/>
          <w:spacing w:val="1"/>
          <w:szCs w:val="22"/>
          <w:lang w:val="sk-SK"/>
        </w:rPr>
        <w:t xml:space="preserve">striekačka </w:t>
      </w:r>
      <w:r w:rsidRPr="0034045B">
        <w:rPr>
          <w:rFonts w:eastAsiaTheme="minorHAnsi"/>
          <w:color w:val="000000"/>
          <w:spacing w:val="1"/>
          <w:szCs w:val="22"/>
          <w:lang w:val="sk-SK"/>
        </w:rPr>
        <w:t>naplnila liekom. Zatlačte piest úplne nahor, aby ste vytlačili všetky veľké vzduchové bubliny, ktoré sa môžu zachytiť vo vnútri perorálnej striekačky.</w:t>
      </w:r>
    </w:p>
    <w:p w14:paraId="18EBA8AD" w14:textId="77777777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Potom pomaly vytiahnite piest späť na objem, ktorý potrebujete pre vašu dávku.</w:t>
      </w:r>
    </w:p>
    <w:p w14:paraId="062BB6FC" w14:textId="48C19B82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Otočte celú fľašu s</w:t>
      </w:r>
      <w:r w:rsidR="008F279C">
        <w:rPr>
          <w:rFonts w:eastAsiaTheme="minorHAnsi"/>
          <w:color w:val="000000"/>
          <w:spacing w:val="1"/>
          <w:szCs w:val="22"/>
          <w:lang w:val="sk-SK"/>
        </w:rPr>
        <w:t>o</w:t>
      </w:r>
      <w:r w:rsidRPr="0034045B">
        <w:rPr>
          <w:rFonts w:eastAsiaTheme="minorHAnsi"/>
          <w:color w:val="000000"/>
          <w:spacing w:val="1"/>
          <w:szCs w:val="22"/>
          <w:lang w:val="sk-SK"/>
        </w:rPr>
        <w:t xml:space="preserve"> striekačkou smerom nahor a vyberte striekačku z fľaše.</w:t>
      </w:r>
    </w:p>
    <w:p w14:paraId="477E16EF" w14:textId="77777777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after="30"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Dávka lieku sa teraz môže prehltnúť priamo z perorálnej striekačky. Uistite sa, že sedíte vzpriamene a piest musíte tlačiť pomaly, aby ste mohli prehltnúť dávku.</w:t>
      </w:r>
    </w:p>
    <w:p w14:paraId="604BA102" w14:textId="77777777" w:rsidR="0034045B" w:rsidRPr="0034045B" w:rsidRDefault="0034045B" w:rsidP="0034045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eastAsiaTheme="minorHAnsi"/>
          <w:color w:val="000000"/>
          <w:spacing w:val="1"/>
          <w:szCs w:val="22"/>
          <w:lang w:val="sk-SK"/>
        </w:rPr>
      </w:pPr>
      <w:r w:rsidRPr="0034045B">
        <w:rPr>
          <w:rFonts w:eastAsiaTheme="minorHAnsi"/>
          <w:color w:val="000000"/>
          <w:spacing w:val="1"/>
          <w:szCs w:val="22"/>
          <w:lang w:val="sk-SK"/>
        </w:rPr>
        <w:t>Po použití nasaďte späť detský bezpečnostný uzáver a nechajte adaptér na mieste.</w:t>
      </w:r>
    </w:p>
    <w:p w14:paraId="7E2C1AB5" w14:textId="7D099028" w:rsidR="0034045B" w:rsidRPr="0034045B" w:rsidRDefault="0034045B" w:rsidP="0034045B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ind w:left="426" w:right="-2" w:hanging="426"/>
        <w:jc w:val="both"/>
        <w:rPr>
          <w:spacing w:val="1"/>
          <w:szCs w:val="22"/>
          <w:lang w:val="sk-SK"/>
        </w:rPr>
      </w:pPr>
      <w:r w:rsidRPr="0034045B">
        <w:rPr>
          <w:b/>
          <w:spacing w:val="1"/>
          <w:szCs w:val="22"/>
          <w:lang w:val="sk-SK"/>
        </w:rPr>
        <w:t>Čistenie:</w:t>
      </w:r>
      <w:r w:rsidRPr="0034045B">
        <w:rPr>
          <w:spacing w:val="1"/>
          <w:szCs w:val="22"/>
          <w:lang w:val="sk-SK"/>
        </w:rPr>
        <w:t xml:space="preserve"> Po použití utrite vonkajšok striekačky suchou a čistou vreckovkou.</w:t>
      </w:r>
    </w:p>
    <w:p w14:paraId="1E9DF47E" w14:textId="55D597C4" w:rsidR="002651F5" w:rsidRPr="0034045B" w:rsidRDefault="002651F5" w:rsidP="00191304">
      <w:pPr>
        <w:numPr>
          <w:ilvl w:val="12"/>
          <w:numId w:val="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lang w:val="sk-SK"/>
        </w:rPr>
      </w:pPr>
    </w:p>
    <w:p w14:paraId="744F380C" w14:textId="77777777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5E6E13">
        <w:rPr>
          <w:b/>
          <w:lang w:val="sk-SK"/>
        </w:rPr>
        <w:t>Spôsob podávania</w:t>
      </w:r>
    </w:p>
    <w:p w14:paraId="147AA84B" w14:textId="07594EF3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proofErr w:type="spellStart"/>
      <w:r w:rsidRPr="00BA3A70">
        <w:rPr>
          <w:lang w:val="sk-SK"/>
        </w:rPr>
        <w:t>Alverox</w:t>
      </w:r>
      <w:proofErr w:type="spellEnd"/>
      <w:r w:rsidRPr="00BA3A70">
        <w:rPr>
          <w:lang w:val="sk-SK"/>
        </w:rPr>
        <w:t xml:space="preserve"> </w:t>
      </w:r>
      <w:r>
        <w:rPr>
          <w:lang w:val="sk-SK"/>
        </w:rPr>
        <w:t>má</w:t>
      </w:r>
      <w:r w:rsidR="00A12A3C">
        <w:rPr>
          <w:lang w:val="sk-SK"/>
        </w:rPr>
        <w:t>te</w:t>
      </w:r>
      <w:r w:rsidRPr="005E6E13">
        <w:rPr>
          <w:lang w:val="sk-SK"/>
        </w:rPr>
        <w:t xml:space="preserve"> prehltnúť. </w:t>
      </w:r>
      <w:proofErr w:type="spellStart"/>
      <w:r w:rsidRPr="00BA3A70">
        <w:rPr>
          <w:lang w:val="sk-SK"/>
        </w:rPr>
        <w:t>Alverox</w:t>
      </w:r>
      <w:proofErr w:type="spellEnd"/>
      <w:r>
        <w:rPr>
          <w:lang w:val="sk-SK"/>
        </w:rPr>
        <w:t>,</w:t>
      </w:r>
      <w:r w:rsidRPr="005E6E13">
        <w:rPr>
          <w:lang w:val="sk-SK"/>
        </w:rPr>
        <w:t xml:space="preserve"> </w:t>
      </w:r>
      <w:r w:rsidR="00F911E4" w:rsidRPr="00B35A20">
        <w:rPr>
          <w:lang w:val="sk-SK"/>
        </w:rPr>
        <w:t>máte</w:t>
      </w:r>
      <w:r w:rsidRPr="005E6E13">
        <w:rPr>
          <w:lang w:val="sk-SK"/>
        </w:rPr>
        <w:t xml:space="preserve"> už</w:t>
      </w:r>
      <w:r>
        <w:rPr>
          <w:lang w:val="sk-SK"/>
        </w:rPr>
        <w:t>ívať</w:t>
      </w:r>
      <w:r w:rsidRPr="005E6E13">
        <w:rPr>
          <w:lang w:val="sk-SK"/>
        </w:rPr>
        <w:t xml:space="preserve"> na prázdny žalúdok, zvyčajne pred raňajkami.</w:t>
      </w:r>
    </w:p>
    <w:p w14:paraId="1E4EE73A" w14:textId="77777777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35BD12A0" w14:textId="5E55B129" w:rsidR="00B61A37" w:rsidRPr="00BA3A70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>
        <w:rPr>
          <w:b/>
          <w:lang w:val="sk-SK"/>
        </w:rPr>
        <w:t>Trvanie liečby</w:t>
      </w:r>
    </w:p>
    <w:p w14:paraId="09F159A0" w14:textId="76D8321A" w:rsidR="005E6E13" w:rsidRDefault="005E6E13" w:rsidP="00A23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5E6E13">
        <w:rPr>
          <w:lang w:val="sk-SK"/>
        </w:rPr>
        <w:t>Dĺžka liečby je zvyčajne na celý život</w:t>
      </w:r>
      <w:r w:rsidRPr="005E6E1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pri liečbe</w:t>
      </w:r>
      <w:r w:rsidRPr="00D503D6">
        <w:rPr>
          <w:szCs w:val="22"/>
          <w:lang w:val="sk-SK"/>
        </w:rPr>
        <w:t xml:space="preserve"> zníženej funkci</w:t>
      </w:r>
      <w:r>
        <w:rPr>
          <w:szCs w:val="22"/>
          <w:lang w:val="sk-SK"/>
        </w:rPr>
        <w:t>e</w:t>
      </w:r>
      <w:r w:rsidRPr="00D503D6">
        <w:rPr>
          <w:szCs w:val="22"/>
          <w:lang w:val="sk-SK"/>
        </w:rPr>
        <w:t xml:space="preserve"> štítnej žľazy</w:t>
      </w:r>
      <w:r>
        <w:rPr>
          <w:lang w:val="sk-SK"/>
        </w:rPr>
        <w:t xml:space="preserve">, netoxickej difúznej strumy alebo </w:t>
      </w:r>
      <w:proofErr w:type="spellStart"/>
      <w:r>
        <w:rPr>
          <w:lang w:val="sk-SK"/>
        </w:rPr>
        <w:t>Hashimotovej</w:t>
      </w:r>
      <w:proofErr w:type="spellEnd"/>
      <w:r w:rsidRPr="005E6E13">
        <w:rPr>
          <w:lang w:val="sk-SK"/>
        </w:rPr>
        <w:t xml:space="preserve"> </w:t>
      </w:r>
      <w:proofErr w:type="spellStart"/>
      <w:r w:rsidRPr="005E6E13">
        <w:rPr>
          <w:lang w:val="sk-SK"/>
        </w:rPr>
        <w:t>tyr</w:t>
      </w:r>
      <w:r w:rsidR="008F279C">
        <w:rPr>
          <w:lang w:val="sk-SK"/>
        </w:rPr>
        <w:t>eoiditídy</w:t>
      </w:r>
      <w:proofErr w:type="spellEnd"/>
      <w:r w:rsidRPr="005E6E13">
        <w:rPr>
          <w:lang w:val="sk-SK"/>
        </w:rPr>
        <w:t>.</w:t>
      </w:r>
      <w:r>
        <w:rPr>
          <w:lang w:val="sk-SK"/>
        </w:rPr>
        <w:t xml:space="preserve"> </w:t>
      </w:r>
    </w:p>
    <w:p w14:paraId="54096D24" w14:textId="77777777" w:rsidR="005E6E13" w:rsidRDefault="005E6E13" w:rsidP="00A23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0503EA0" w14:textId="0495A8F1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5E6E13">
        <w:rPr>
          <w:b/>
          <w:lang w:val="sk-SK"/>
        </w:rPr>
        <w:t xml:space="preserve">Ak užijete viac </w:t>
      </w:r>
      <w:proofErr w:type="spellStart"/>
      <w:r w:rsidRPr="005E6E13">
        <w:rPr>
          <w:b/>
          <w:lang w:val="sk-SK"/>
        </w:rPr>
        <w:t>Alverox</w:t>
      </w:r>
      <w:r>
        <w:rPr>
          <w:b/>
          <w:lang w:val="sk-SK"/>
        </w:rPr>
        <w:t>u</w:t>
      </w:r>
      <w:proofErr w:type="spellEnd"/>
      <w:r w:rsidRPr="005E6E13">
        <w:rPr>
          <w:b/>
          <w:lang w:val="sk-SK"/>
        </w:rPr>
        <w:t>, ako máte</w:t>
      </w:r>
    </w:p>
    <w:p w14:paraId="23B11D12" w14:textId="201800A9" w:rsidR="00FF3E96" w:rsidRP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pacing w:val="1"/>
          <w:lang w:val="sk-SK"/>
        </w:rPr>
      </w:pPr>
      <w:r w:rsidRPr="005E6E13">
        <w:rPr>
          <w:spacing w:val="1"/>
          <w:lang w:val="sk-SK"/>
        </w:rPr>
        <w:t>Ak omylom užijete nadmernú dávku svojho lieku, ihneď kontaktujte svojho lekára alebo choďte na pohotovostné oddelenie najbližšej nemocnice.</w:t>
      </w:r>
      <w:r w:rsidR="00A2326E" w:rsidRPr="005E6E13">
        <w:rPr>
          <w:spacing w:val="1"/>
          <w:lang w:val="sk-SK"/>
        </w:rPr>
        <w:t xml:space="preserve"> </w:t>
      </w:r>
      <w:r w:rsidRPr="005E6E13">
        <w:rPr>
          <w:spacing w:val="1"/>
          <w:lang w:val="sk-SK"/>
        </w:rPr>
        <w:t>Medzi príznaky predávkovania patrí horúčka, nepravidelný srdcový rytmus, svalové kŕče, bolesť hlavy, nepokoj, návaly horúčavy, potenie alebo hnačky</w:t>
      </w:r>
      <w:r w:rsidR="00A2326E" w:rsidRPr="005E6E13">
        <w:rPr>
          <w:spacing w:val="1"/>
          <w:lang w:val="sk-SK"/>
        </w:rPr>
        <w:t xml:space="preserve">. </w:t>
      </w:r>
      <w:r w:rsidRPr="005E6E13">
        <w:rPr>
          <w:spacing w:val="1"/>
          <w:lang w:val="sk-SK"/>
        </w:rPr>
        <w:t>Zvyšný liek, obal a štítok vždy vezmite so sebou, aby bolo možné liek identifikovať.</w:t>
      </w:r>
    </w:p>
    <w:p w14:paraId="5CB4EE0A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A79E9EE" w14:textId="28F9D77C" w:rsidR="005E6E13" w:rsidRDefault="005E6E13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5E6E13">
        <w:rPr>
          <w:b/>
          <w:lang w:val="sk-SK"/>
        </w:rPr>
        <w:t xml:space="preserve">Ak zabudnete užiť </w:t>
      </w:r>
      <w:proofErr w:type="spellStart"/>
      <w:r w:rsidRPr="005E6E13">
        <w:rPr>
          <w:b/>
          <w:lang w:val="sk-SK"/>
        </w:rPr>
        <w:t>Alverox</w:t>
      </w:r>
      <w:proofErr w:type="spellEnd"/>
      <w:r w:rsidRPr="005E6E13">
        <w:rPr>
          <w:b/>
          <w:lang w:val="sk-SK"/>
        </w:rPr>
        <w:t xml:space="preserve"> </w:t>
      </w:r>
    </w:p>
    <w:p w14:paraId="02C2CA71" w14:textId="213414BE" w:rsidR="00A2326E" w:rsidRPr="00BA3A70" w:rsidRDefault="009433E8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r w:rsidRPr="009433E8">
        <w:rPr>
          <w:lang w:val="sk-SK"/>
        </w:rPr>
        <w:t>Ak zabudnete užiť svoju dávku lieku, užite j</w:t>
      </w:r>
      <w:r>
        <w:rPr>
          <w:lang w:val="sk-SK"/>
        </w:rPr>
        <w:t>u čo najskôr, ako si spomeniete a ď</w:t>
      </w:r>
      <w:r w:rsidRPr="009433E8">
        <w:rPr>
          <w:lang w:val="sk-SK"/>
        </w:rPr>
        <w:t>alšiu dávku užite vo zvyčajnom čase.</w:t>
      </w:r>
      <w:r>
        <w:rPr>
          <w:lang w:val="sk-SK"/>
        </w:rPr>
        <w:t xml:space="preserve"> </w:t>
      </w:r>
      <w:r w:rsidRPr="009433E8">
        <w:rPr>
          <w:lang w:val="sk-SK"/>
        </w:rPr>
        <w:t>Neužívajte dvojnásobnú dávku</w:t>
      </w:r>
      <w:r>
        <w:rPr>
          <w:lang w:val="sk-SK"/>
        </w:rPr>
        <w:t xml:space="preserve"> v tom istom čase</w:t>
      </w:r>
      <w:r w:rsidRPr="009433E8">
        <w:rPr>
          <w:lang w:val="sk-SK"/>
        </w:rPr>
        <w:t>, aby ste nahradili vynechanú dávku.</w:t>
      </w:r>
      <w:r>
        <w:rPr>
          <w:lang w:val="sk-SK"/>
        </w:rPr>
        <w:t xml:space="preserve"> </w:t>
      </w:r>
      <w:r w:rsidRPr="009433E8">
        <w:rPr>
          <w:lang w:val="sk-SK"/>
        </w:rPr>
        <w:t>Ak ste zabudli užiť niekoľko dávok, povedzte to svojmu lekárovi pri ďalšej kontrole alebo vyšetrení krvi</w:t>
      </w:r>
      <w:r>
        <w:rPr>
          <w:lang w:val="sk-SK"/>
        </w:rPr>
        <w:t>.</w:t>
      </w:r>
    </w:p>
    <w:p w14:paraId="05DCF40C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6490809" w14:textId="262679EB" w:rsidR="009433E8" w:rsidRDefault="009433E8" w:rsidP="0019130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9433E8">
        <w:rPr>
          <w:b/>
          <w:lang w:val="sk-SK"/>
        </w:rPr>
        <w:t xml:space="preserve">Ak prestanete užívať </w:t>
      </w:r>
      <w:proofErr w:type="spellStart"/>
      <w:r w:rsidRPr="005E6E13">
        <w:rPr>
          <w:b/>
          <w:lang w:val="sk-SK"/>
        </w:rPr>
        <w:t>Alverox</w:t>
      </w:r>
      <w:proofErr w:type="spellEnd"/>
      <w:r w:rsidR="007423D5">
        <w:rPr>
          <w:b/>
          <w:lang w:val="sk-SK"/>
        </w:rPr>
        <w:t xml:space="preserve"> </w:t>
      </w:r>
    </w:p>
    <w:p w14:paraId="49ACA557" w14:textId="6222FC33" w:rsidR="00623A93" w:rsidRPr="00623A93" w:rsidRDefault="00623A93" w:rsidP="00623A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r w:rsidRPr="00623A93">
        <w:rPr>
          <w:lang w:val="sk-SK"/>
        </w:rPr>
        <w:t xml:space="preserve">Aby bola vaša liečba úspešná, musíte </w:t>
      </w:r>
      <w:proofErr w:type="spellStart"/>
      <w:r w:rsidRPr="00623A93">
        <w:rPr>
          <w:lang w:val="sk-SK"/>
        </w:rPr>
        <w:t>Alverox</w:t>
      </w:r>
      <w:proofErr w:type="spellEnd"/>
      <w:r w:rsidRPr="00623A93">
        <w:rPr>
          <w:lang w:val="sk-SK"/>
        </w:rPr>
        <w:t xml:space="preserve"> užívať pravidelne</w:t>
      </w:r>
      <w:r>
        <w:rPr>
          <w:lang w:val="sk-SK"/>
        </w:rPr>
        <w:t>,</w:t>
      </w:r>
      <w:r w:rsidRPr="00623A93">
        <w:rPr>
          <w:lang w:val="sk-SK"/>
        </w:rPr>
        <w:t xml:space="preserve"> v</w:t>
      </w:r>
      <w:r w:rsidR="008F279C">
        <w:rPr>
          <w:lang w:val="sk-SK"/>
        </w:rPr>
        <w:t> </w:t>
      </w:r>
      <w:r w:rsidRPr="00623A93">
        <w:rPr>
          <w:lang w:val="sk-SK"/>
        </w:rPr>
        <w:t>dávkach</w:t>
      </w:r>
      <w:r w:rsidR="008F279C">
        <w:rPr>
          <w:lang w:val="sk-SK"/>
        </w:rPr>
        <w:t>, ktoré vám predpísal lekár</w:t>
      </w:r>
      <w:r w:rsidRPr="00623A93">
        <w:rPr>
          <w:lang w:val="sk-SK"/>
        </w:rPr>
        <w:t>.</w:t>
      </w:r>
      <w:r>
        <w:rPr>
          <w:lang w:val="sk-SK"/>
        </w:rPr>
        <w:t xml:space="preserve"> </w:t>
      </w:r>
      <w:r w:rsidRPr="00623A93">
        <w:rPr>
          <w:lang w:val="sk-SK"/>
        </w:rPr>
        <w:t>Predpísanú liečbu v žiadnom prípade nesmiete meniť, prerušiť a</w:t>
      </w:r>
      <w:r w:rsidR="008F279C">
        <w:rPr>
          <w:lang w:val="sk-SK"/>
        </w:rPr>
        <w:t>ni</w:t>
      </w:r>
      <w:r w:rsidRPr="00623A93">
        <w:rPr>
          <w:lang w:val="sk-SK"/>
        </w:rPr>
        <w:t xml:space="preserve"> ukončiť bez konzultácie s lekárom.</w:t>
      </w:r>
      <w:r>
        <w:rPr>
          <w:lang w:val="sk-SK"/>
        </w:rPr>
        <w:t xml:space="preserve"> </w:t>
      </w:r>
      <w:r w:rsidRPr="00623A93">
        <w:rPr>
          <w:lang w:val="sk-SK"/>
        </w:rPr>
        <w:t>Príznaky ochorenia sa môžu vrátiť, ak liečbu prerušíte alebo ukončíte skôr, ako by ste mali.</w:t>
      </w:r>
      <w:r>
        <w:rPr>
          <w:lang w:val="sk-SK"/>
        </w:rPr>
        <w:t xml:space="preserve"> </w:t>
      </w:r>
      <w:r w:rsidRPr="00623A93">
        <w:rPr>
          <w:lang w:val="sk-SK"/>
        </w:rPr>
        <w:t>Povaha týchto príznakov závisí od základnej choroby.</w:t>
      </w:r>
    </w:p>
    <w:p w14:paraId="6147CAC6" w14:textId="43B917E0" w:rsidR="00A2326E" w:rsidRPr="00BA3A70" w:rsidRDefault="00623A93" w:rsidP="001C0B9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r w:rsidRPr="00623A93">
        <w:rPr>
          <w:lang w:val="sk-SK"/>
        </w:rPr>
        <w:t>Ak máte ďalšie otázky týkajúce sa použitia tohto lieku, opýtajte sa svojho lekára alebo lekárnika.</w:t>
      </w:r>
    </w:p>
    <w:p w14:paraId="4E5A2C25" w14:textId="0E4C629C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BA3A70">
        <w:rPr>
          <w:b/>
          <w:lang w:val="sk-SK"/>
        </w:rPr>
        <w:lastRenderedPageBreak/>
        <w:t>4.</w:t>
      </w:r>
      <w:r w:rsidRPr="00BA3A70">
        <w:rPr>
          <w:b/>
          <w:lang w:val="sk-SK"/>
        </w:rPr>
        <w:tab/>
      </w:r>
      <w:r w:rsidR="004B570C" w:rsidRPr="004B570C">
        <w:rPr>
          <w:b/>
          <w:lang w:val="sk-SK"/>
        </w:rPr>
        <w:t>Možné vedľajšie účinky</w:t>
      </w:r>
    </w:p>
    <w:p w14:paraId="745C5D15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37FECAE" w14:textId="6232B3B8" w:rsidR="00A2326E" w:rsidRPr="00BA3A70" w:rsidRDefault="004B570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4B570C">
        <w:rPr>
          <w:noProof/>
          <w:szCs w:val="22"/>
          <w:lang w:val="sk-SK"/>
        </w:rPr>
        <w:t xml:space="preserve">Tak ako všetky lieky, aj tento liek môže spôsobovať vedľajšie účinky, hoci sa neprejavia u každého. </w:t>
      </w:r>
      <w:r>
        <w:rPr>
          <w:noProof/>
          <w:szCs w:val="22"/>
          <w:lang w:val="sk-SK"/>
        </w:rPr>
        <w:t xml:space="preserve">Väčšinou sa vyskytnú </w:t>
      </w:r>
      <w:r w:rsidRPr="004B570C">
        <w:rPr>
          <w:noProof/>
          <w:szCs w:val="22"/>
          <w:lang w:val="sk-SK"/>
        </w:rPr>
        <w:t>iba</w:t>
      </w:r>
      <w:r w:rsidR="008F279C">
        <w:rPr>
          <w:noProof/>
          <w:szCs w:val="22"/>
          <w:lang w:val="sk-SK"/>
        </w:rPr>
        <w:t xml:space="preserve"> vtedy</w:t>
      </w:r>
      <w:r>
        <w:rPr>
          <w:noProof/>
          <w:szCs w:val="22"/>
          <w:lang w:val="sk-SK"/>
        </w:rPr>
        <w:t>,</w:t>
      </w:r>
      <w:r w:rsidRPr="004B570C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ak je dávka, ktorú užívate</w:t>
      </w:r>
      <w:r w:rsidRPr="004B570C">
        <w:rPr>
          <w:noProof/>
          <w:szCs w:val="22"/>
          <w:lang w:val="sk-SK"/>
        </w:rPr>
        <w:t xml:space="preserve"> príliš vysoká.</w:t>
      </w:r>
    </w:p>
    <w:p w14:paraId="1DA79665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41416999" w14:textId="1C31C668" w:rsidR="00A2326E" w:rsidRPr="00BA3A70" w:rsidRDefault="004B570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sk-SK"/>
        </w:rPr>
      </w:pPr>
      <w:r w:rsidRPr="004B570C">
        <w:rPr>
          <w:b/>
          <w:noProof/>
          <w:szCs w:val="22"/>
          <w:lang w:val="sk-SK"/>
        </w:rPr>
        <w:t xml:space="preserve">Ak sa vyskytne niektorý z nasledujúcich stavov, prestaňte užívať </w:t>
      </w:r>
      <w:proofErr w:type="spellStart"/>
      <w:r w:rsidRPr="005E6E13">
        <w:rPr>
          <w:b/>
          <w:lang w:val="sk-SK"/>
        </w:rPr>
        <w:t>Alverox</w:t>
      </w:r>
      <w:proofErr w:type="spellEnd"/>
      <w:r w:rsidRPr="005E6E13">
        <w:rPr>
          <w:b/>
          <w:lang w:val="sk-SK"/>
        </w:rPr>
        <w:t xml:space="preserve"> </w:t>
      </w:r>
      <w:r w:rsidRPr="004B570C">
        <w:rPr>
          <w:b/>
          <w:noProof/>
          <w:szCs w:val="22"/>
          <w:lang w:val="sk-SK"/>
        </w:rPr>
        <w:t>a okamžite to oznámte svojmu lekárovi alebo choďte na pohotovostné oddelenie v najbližšej nemocnici</w:t>
      </w:r>
    </w:p>
    <w:p w14:paraId="057CE24F" w14:textId="0FAB3D0A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left="705" w:right="-29" w:hanging="705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8F279C">
        <w:rPr>
          <w:noProof/>
          <w:szCs w:val="22"/>
          <w:lang w:val="sk-SK"/>
        </w:rPr>
        <w:t>o</w:t>
      </w:r>
      <w:r w:rsidR="004B570C" w:rsidRPr="004B570C">
        <w:rPr>
          <w:noProof/>
          <w:szCs w:val="22"/>
          <w:lang w:val="sk-SK"/>
        </w:rPr>
        <w:t>puch rúk, nôh, členkov, tváre, pier, úst alebo hrdla, ktorý môže spôsobiť ťažkosti s prehĺtaním alebo dýchaním</w:t>
      </w:r>
    </w:p>
    <w:p w14:paraId="2302AE5E" w14:textId="49699746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8F279C">
        <w:rPr>
          <w:noProof/>
          <w:szCs w:val="22"/>
          <w:lang w:val="sk-SK"/>
        </w:rPr>
        <w:t>ž</w:t>
      </w:r>
      <w:r w:rsidR="004B570C">
        <w:rPr>
          <w:noProof/>
          <w:szCs w:val="22"/>
          <w:lang w:val="sk-SK"/>
        </w:rPr>
        <w:t>ihľavka</w:t>
      </w:r>
    </w:p>
    <w:p w14:paraId="38E8126F" w14:textId="28716EAD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8F279C">
        <w:rPr>
          <w:noProof/>
          <w:szCs w:val="22"/>
          <w:lang w:val="sk-SK"/>
        </w:rPr>
        <w:t>m</w:t>
      </w:r>
      <w:r w:rsidR="004B570C">
        <w:rPr>
          <w:noProof/>
          <w:szCs w:val="22"/>
          <w:lang w:val="sk-SK"/>
        </w:rPr>
        <w:t>dloby</w:t>
      </w:r>
    </w:p>
    <w:p w14:paraId="3A17EE56" w14:textId="464632E4" w:rsidR="00A2326E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BA3A70">
        <w:rPr>
          <w:noProof/>
          <w:szCs w:val="22"/>
          <w:lang w:val="sk-SK"/>
        </w:rPr>
        <w:t>-</w:t>
      </w:r>
      <w:r w:rsidRPr="00BA3A70">
        <w:rPr>
          <w:noProof/>
          <w:szCs w:val="22"/>
          <w:lang w:val="sk-SK"/>
        </w:rPr>
        <w:tab/>
      </w:r>
      <w:r w:rsidR="008F279C">
        <w:rPr>
          <w:noProof/>
          <w:szCs w:val="22"/>
          <w:lang w:val="sk-SK"/>
        </w:rPr>
        <w:t>z</w:t>
      </w:r>
      <w:r w:rsidR="004B570C" w:rsidRPr="004B570C">
        <w:rPr>
          <w:noProof/>
          <w:szCs w:val="22"/>
          <w:lang w:val="sk-SK"/>
        </w:rPr>
        <w:t>ož</w:t>
      </w:r>
      <w:r w:rsidR="004B570C">
        <w:rPr>
          <w:noProof/>
          <w:szCs w:val="22"/>
          <w:lang w:val="sk-SK"/>
        </w:rPr>
        <w:t xml:space="preserve">ltnutie kože a očí, </w:t>
      </w:r>
      <w:r w:rsidR="004B570C" w:rsidRPr="004B570C">
        <w:rPr>
          <w:noProof/>
          <w:szCs w:val="22"/>
          <w:lang w:val="sk-SK"/>
        </w:rPr>
        <w:t>tiež nazýva</w:t>
      </w:r>
      <w:r w:rsidR="004B570C">
        <w:rPr>
          <w:noProof/>
          <w:szCs w:val="22"/>
          <w:lang w:val="sk-SK"/>
        </w:rPr>
        <w:t>né</w:t>
      </w:r>
      <w:r w:rsidR="004B570C" w:rsidRPr="004B570C">
        <w:rPr>
          <w:noProof/>
          <w:szCs w:val="22"/>
          <w:lang w:val="sk-SK"/>
        </w:rPr>
        <w:t xml:space="preserve"> žltačka</w:t>
      </w:r>
    </w:p>
    <w:p w14:paraId="0E1B381D" w14:textId="77777777" w:rsidR="008F279C" w:rsidRPr="00BA3A70" w:rsidRDefault="008F279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1F1CDC9F" w14:textId="57C1E2AF" w:rsidR="00A2326E" w:rsidRDefault="004B570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4B570C">
        <w:rPr>
          <w:noProof/>
          <w:szCs w:val="22"/>
          <w:lang w:val="sk-SK"/>
        </w:rPr>
        <w:t xml:space="preserve">To sú všetko veľmi </w:t>
      </w:r>
      <w:r>
        <w:rPr>
          <w:noProof/>
          <w:szCs w:val="22"/>
          <w:lang w:val="sk-SK"/>
        </w:rPr>
        <w:t>závažné</w:t>
      </w:r>
      <w:r w:rsidRPr="004B570C">
        <w:rPr>
          <w:noProof/>
          <w:szCs w:val="22"/>
          <w:lang w:val="sk-SK"/>
        </w:rPr>
        <w:t xml:space="preserve"> vedľajšie účinky. Ak ich máte, môžete mať závažnú alergickú reakciu na Alverox</w:t>
      </w:r>
      <w:r>
        <w:rPr>
          <w:noProof/>
          <w:szCs w:val="22"/>
          <w:lang w:val="sk-SK"/>
        </w:rPr>
        <w:t>.</w:t>
      </w:r>
      <w:r w:rsidRPr="004B570C">
        <w:rPr>
          <w:noProof/>
          <w:szCs w:val="22"/>
          <w:lang w:val="sk-SK"/>
        </w:rPr>
        <w:t xml:space="preserve"> Možno budete potrebovať urgentnú lekársku pomoc alebo hospitalizáciu. Všetky tieto veľmi závažné vedľajšie účinky sú veľmi zriedkavé</w:t>
      </w:r>
      <w:r w:rsidR="008F279C">
        <w:rPr>
          <w:noProof/>
          <w:szCs w:val="22"/>
          <w:lang w:val="sk-SK"/>
        </w:rPr>
        <w:t>.</w:t>
      </w:r>
    </w:p>
    <w:p w14:paraId="235FDE58" w14:textId="77777777" w:rsidR="004B570C" w:rsidRPr="00BA3A70" w:rsidRDefault="004B570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4711A84B" w14:textId="77777777" w:rsidR="007A7F7D" w:rsidRDefault="007A7F7D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u w:val="single"/>
          <w:lang w:val="sk-SK"/>
        </w:rPr>
      </w:pPr>
      <w:r w:rsidRPr="007A7F7D">
        <w:rPr>
          <w:noProof/>
          <w:szCs w:val="22"/>
          <w:u w:val="single"/>
          <w:lang w:val="sk-SK"/>
        </w:rPr>
        <w:t>Povedzte svojmu lekárovi, ak spozorujete čokoľvek z nasledujúceho:</w:t>
      </w:r>
    </w:p>
    <w:p w14:paraId="46E0B5A5" w14:textId="3796AD44" w:rsidR="00A2326E" w:rsidRPr="00BA3A70" w:rsidRDefault="008F279C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</w:t>
      </w:r>
      <w:r w:rsidR="007A7F7D" w:rsidRPr="007A7F7D">
        <w:rPr>
          <w:noProof/>
          <w:szCs w:val="22"/>
          <w:lang w:val="sk-SK"/>
        </w:rPr>
        <w:t xml:space="preserve">epravidelný alebo rýchly </w:t>
      </w:r>
      <w:r>
        <w:rPr>
          <w:noProof/>
          <w:szCs w:val="22"/>
          <w:lang w:val="sk-SK"/>
        </w:rPr>
        <w:t>srdcový rytmus</w:t>
      </w:r>
      <w:r w:rsidR="00A2326E" w:rsidRPr="00BA3A70">
        <w:rPr>
          <w:noProof/>
          <w:szCs w:val="22"/>
          <w:lang w:val="sk-SK"/>
        </w:rPr>
        <w:t>,</w:t>
      </w:r>
      <w:r w:rsidR="001A5C04">
        <w:rPr>
          <w:noProof/>
          <w:szCs w:val="22"/>
          <w:lang w:val="sk-SK"/>
        </w:rPr>
        <w:t xml:space="preserve"> </w:t>
      </w:r>
      <w:r w:rsidR="007A7F7D">
        <w:rPr>
          <w:noProof/>
          <w:szCs w:val="22"/>
          <w:lang w:val="sk-SK"/>
        </w:rPr>
        <w:t>búšenie srdca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noProof/>
          <w:szCs w:val="22"/>
          <w:lang w:val="sk-SK"/>
        </w:rPr>
        <w:t>bolesť na hrudníku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noProof/>
          <w:szCs w:val="22"/>
          <w:lang w:val="sk-SK"/>
        </w:rPr>
        <w:t>svalová slabosť alebo kŕče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bolesť hlavy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nepokoj</w:t>
      </w:r>
      <w:r w:rsidR="00A2326E" w:rsidRPr="00BA3A70">
        <w:rPr>
          <w:noProof/>
          <w:szCs w:val="22"/>
          <w:lang w:val="sk-SK"/>
        </w:rPr>
        <w:t>,</w:t>
      </w:r>
      <w:r w:rsidR="001A5C04">
        <w:rPr>
          <w:noProof/>
          <w:szCs w:val="22"/>
          <w:lang w:val="sk-SK"/>
        </w:rPr>
        <w:t xml:space="preserve"> </w:t>
      </w:r>
      <w:r w:rsidR="007A7F7D">
        <w:rPr>
          <w:noProof/>
          <w:szCs w:val="22"/>
          <w:lang w:val="sk-SK"/>
        </w:rPr>
        <w:t>vzrušivosť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noProof/>
          <w:szCs w:val="22"/>
          <w:lang w:val="sk-SK"/>
        </w:rPr>
        <w:t>návaly tepla</w:t>
      </w:r>
      <w:r w:rsidR="00A2326E" w:rsidRPr="00BA3A70">
        <w:rPr>
          <w:noProof/>
          <w:szCs w:val="22"/>
          <w:lang w:val="sk-SK"/>
        </w:rPr>
        <w:t xml:space="preserve">, </w:t>
      </w:r>
      <w:r w:rsidR="001A5C04">
        <w:rPr>
          <w:noProof/>
          <w:szCs w:val="22"/>
          <w:lang w:val="sk-SK"/>
        </w:rPr>
        <w:t xml:space="preserve">obehový </w:t>
      </w:r>
      <w:r w:rsidR="007A7F7D" w:rsidRPr="007A7F7D">
        <w:rPr>
          <w:szCs w:val="22"/>
          <w:lang w:val="sk-SK" w:eastAsia="de-DE"/>
        </w:rPr>
        <w:t>kolaps u predčasne narodených novorodencov s nízkou pôrodnou hmotnosťou (pozri časť 2</w:t>
      </w:r>
      <w:r w:rsidR="00B61A37" w:rsidRPr="00BA3A70">
        <w:rPr>
          <w:szCs w:val="22"/>
          <w:lang w:val="sk-SK" w:eastAsia="de-DE"/>
        </w:rPr>
        <w:t xml:space="preserve">), </w:t>
      </w:r>
      <w:r w:rsidR="007A7F7D">
        <w:rPr>
          <w:noProof/>
          <w:szCs w:val="22"/>
          <w:lang w:val="sk-SK"/>
        </w:rPr>
        <w:t>potenie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hnačka, vracanie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horúčka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szCs w:val="22"/>
          <w:lang w:val="sk-SK" w:eastAsia="de-DE"/>
        </w:rPr>
        <w:t>poruchy menštruačného cyklu</w:t>
      </w:r>
      <w:r w:rsidR="00B61A37" w:rsidRPr="00BA3A70">
        <w:rPr>
          <w:szCs w:val="22"/>
          <w:lang w:val="sk-SK" w:eastAsia="de-DE"/>
        </w:rPr>
        <w:t xml:space="preserve">, </w:t>
      </w:r>
      <w:r w:rsidR="007A7F7D">
        <w:rPr>
          <w:szCs w:val="22"/>
          <w:lang w:val="sk-SK" w:eastAsia="de-DE"/>
        </w:rPr>
        <w:t>v</w:t>
      </w:r>
      <w:r w:rsidR="007A7F7D" w:rsidRPr="007A7F7D">
        <w:rPr>
          <w:szCs w:val="22"/>
          <w:lang w:val="sk-SK" w:eastAsia="de-DE"/>
        </w:rPr>
        <w:t xml:space="preserve">ysoký </w:t>
      </w:r>
      <w:proofErr w:type="spellStart"/>
      <w:r w:rsidR="007A7F7D" w:rsidRPr="007A7F7D">
        <w:rPr>
          <w:szCs w:val="22"/>
          <w:lang w:val="sk-SK" w:eastAsia="de-DE"/>
        </w:rPr>
        <w:t>vnútrolebečný</w:t>
      </w:r>
      <w:proofErr w:type="spellEnd"/>
      <w:r w:rsidR="007A7F7D" w:rsidRPr="007A7F7D">
        <w:rPr>
          <w:szCs w:val="22"/>
          <w:lang w:val="sk-SK" w:eastAsia="de-DE"/>
        </w:rPr>
        <w:t xml:space="preserve"> tlak</w:t>
      </w:r>
      <w:r w:rsidR="00B61A37" w:rsidRPr="00BA3A70">
        <w:rPr>
          <w:szCs w:val="22"/>
          <w:lang w:val="sk-SK" w:eastAsia="de-DE"/>
        </w:rPr>
        <w:t>,</w:t>
      </w:r>
      <w:r w:rsidR="00B61A37" w:rsidRPr="00BA3A70">
        <w:rPr>
          <w:spacing w:val="-2"/>
          <w:szCs w:val="22"/>
          <w:lang w:val="sk-SK" w:eastAsia="de-DE"/>
        </w:rPr>
        <w:t xml:space="preserve"> </w:t>
      </w:r>
      <w:r w:rsidR="00A2326E" w:rsidRPr="00BA3A70">
        <w:rPr>
          <w:noProof/>
          <w:szCs w:val="22"/>
          <w:lang w:val="sk-SK"/>
        </w:rPr>
        <w:t>tremor</w:t>
      </w:r>
      <w:r w:rsidR="002D6118">
        <w:rPr>
          <w:noProof/>
          <w:szCs w:val="22"/>
          <w:lang w:val="sk-SK"/>
        </w:rPr>
        <w:t xml:space="preserve"> (tras)</w:t>
      </w:r>
      <w:r w:rsidR="00A2326E" w:rsidRPr="00BA3A70">
        <w:rPr>
          <w:noProof/>
          <w:szCs w:val="22"/>
          <w:lang w:val="sk-SK"/>
        </w:rPr>
        <w:t xml:space="preserve">, </w:t>
      </w:r>
      <w:r w:rsidR="007A7F7D">
        <w:rPr>
          <w:noProof/>
          <w:szCs w:val="22"/>
          <w:lang w:val="sk-SK"/>
        </w:rPr>
        <w:t>nespavosť</w:t>
      </w:r>
      <w:r w:rsidR="00A2326E" w:rsidRPr="00BA3A70">
        <w:rPr>
          <w:noProof/>
          <w:szCs w:val="22"/>
          <w:lang w:val="sk-SK"/>
        </w:rPr>
        <w:t xml:space="preserve">, </w:t>
      </w:r>
      <w:r w:rsidR="007A7F7D" w:rsidRPr="007A7F7D">
        <w:rPr>
          <w:noProof/>
          <w:szCs w:val="22"/>
          <w:lang w:val="sk-SK"/>
        </w:rPr>
        <w:t xml:space="preserve">neznášanlivosť tepla </w:t>
      </w:r>
      <w:r w:rsidR="007A7F7D">
        <w:rPr>
          <w:noProof/>
          <w:szCs w:val="22"/>
          <w:lang w:val="sk-SK"/>
        </w:rPr>
        <w:t xml:space="preserve">a nadmerná strata </w:t>
      </w:r>
      <w:r w:rsidR="007A7F7D" w:rsidRPr="007A7F7D">
        <w:rPr>
          <w:noProof/>
          <w:szCs w:val="22"/>
          <w:lang w:val="sk-SK"/>
        </w:rPr>
        <w:t>telesnej hmotnosti</w:t>
      </w:r>
      <w:r w:rsidR="00A2326E" w:rsidRPr="00BA3A70">
        <w:rPr>
          <w:noProof/>
          <w:szCs w:val="22"/>
          <w:lang w:val="sk-SK"/>
        </w:rPr>
        <w:t xml:space="preserve">. </w:t>
      </w:r>
      <w:r w:rsidR="001A5C04">
        <w:rPr>
          <w:noProof/>
          <w:szCs w:val="22"/>
          <w:lang w:val="sk-SK"/>
        </w:rPr>
        <w:t>Môže</w:t>
      </w:r>
      <w:r w:rsidR="007A7F7D" w:rsidRPr="007A7F7D">
        <w:rPr>
          <w:noProof/>
          <w:szCs w:val="22"/>
          <w:lang w:val="sk-SK"/>
        </w:rPr>
        <w:t xml:space="preserve"> sa tiež vyskytnúť</w:t>
      </w:r>
      <w:r w:rsidR="001A5C04">
        <w:rPr>
          <w:noProof/>
          <w:szCs w:val="22"/>
          <w:lang w:val="sk-SK"/>
        </w:rPr>
        <w:t xml:space="preserve"> angioedém, vyrážka, žihľavka,</w:t>
      </w:r>
      <w:r w:rsidR="007A7F7D" w:rsidRPr="007A7F7D">
        <w:rPr>
          <w:noProof/>
          <w:szCs w:val="22"/>
          <w:lang w:val="sk-SK"/>
        </w:rPr>
        <w:t xml:space="preserve"> svrbenie a opuchy.</w:t>
      </w:r>
    </w:p>
    <w:p w14:paraId="35A565A4" w14:textId="77777777" w:rsidR="00A2326E" w:rsidRPr="00BA3A70" w:rsidRDefault="00A2326E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5FA4FDBE" w14:textId="0079AEFA" w:rsidR="002D6118" w:rsidRPr="00BA3A70" w:rsidRDefault="002D6118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>Veľmi zriedka</w:t>
      </w:r>
      <w:r>
        <w:rPr>
          <w:noProof/>
          <w:szCs w:val="22"/>
          <w:lang w:val="sk-SK"/>
        </w:rPr>
        <w:t>vo</w:t>
      </w:r>
      <w:r w:rsidRPr="002D6118">
        <w:rPr>
          <w:noProof/>
          <w:szCs w:val="22"/>
          <w:lang w:val="sk-SK"/>
        </w:rPr>
        <w:t xml:space="preserve">, ak sa užilo príliš veľa </w:t>
      </w:r>
      <w:r w:rsidRPr="004B570C">
        <w:rPr>
          <w:noProof/>
          <w:szCs w:val="22"/>
          <w:lang w:val="sk-SK"/>
        </w:rPr>
        <w:t>Alverox</w:t>
      </w:r>
      <w:r>
        <w:rPr>
          <w:noProof/>
          <w:szCs w:val="22"/>
          <w:lang w:val="sk-SK"/>
        </w:rPr>
        <w:t>u</w:t>
      </w:r>
      <w:r w:rsidRPr="004B570C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 xml:space="preserve">jednorazovo alebo </w:t>
      </w:r>
      <w:r w:rsidRPr="002D6118">
        <w:rPr>
          <w:noProof/>
          <w:szCs w:val="22"/>
          <w:lang w:val="sk-SK"/>
        </w:rPr>
        <w:t>po</w:t>
      </w:r>
      <w:r>
        <w:rPr>
          <w:noProof/>
          <w:szCs w:val="22"/>
          <w:lang w:val="sk-SK"/>
        </w:rPr>
        <w:t>čas mnohých</w:t>
      </w:r>
      <w:r w:rsidRPr="002D6118">
        <w:rPr>
          <w:noProof/>
          <w:szCs w:val="22"/>
          <w:lang w:val="sk-SK"/>
        </w:rPr>
        <w:t xml:space="preserve"> rokov, môže zlyhať</w:t>
      </w:r>
      <w:r w:rsidR="001A5C04">
        <w:rPr>
          <w:noProof/>
          <w:szCs w:val="22"/>
          <w:lang w:val="sk-SK"/>
        </w:rPr>
        <w:t xml:space="preserve"> srdce</w:t>
      </w:r>
      <w:r w:rsidRPr="002D6118">
        <w:rPr>
          <w:noProof/>
          <w:szCs w:val="22"/>
          <w:lang w:val="sk-SK"/>
        </w:rPr>
        <w:t xml:space="preserve"> a boli hlásené kóma a smrť.</w:t>
      </w:r>
    </w:p>
    <w:p w14:paraId="1956D74F" w14:textId="29FA2D82" w:rsidR="00A2326E" w:rsidRPr="00BA3A70" w:rsidRDefault="002D6118" w:rsidP="00A232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>Ak sa necítite dobre, povedzte to svojmu lekárovi čo najskôr.</w:t>
      </w:r>
    </w:p>
    <w:p w14:paraId="338EA121" w14:textId="77777777" w:rsidR="00A2326E" w:rsidRPr="00BA3A70" w:rsidRDefault="00A2326E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</w:p>
    <w:p w14:paraId="23B6634D" w14:textId="43D3CAD2" w:rsidR="002D6118" w:rsidRDefault="002D6118" w:rsidP="00FF3E9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2D6118">
        <w:rPr>
          <w:b/>
          <w:noProof/>
          <w:szCs w:val="22"/>
          <w:lang w:val="sk-SK"/>
        </w:rPr>
        <w:t>Ďalšie vedľajšie účinky u</w:t>
      </w:r>
      <w:r>
        <w:rPr>
          <w:b/>
          <w:noProof/>
          <w:szCs w:val="22"/>
          <w:lang w:val="sk-SK"/>
        </w:rPr>
        <w:t> </w:t>
      </w:r>
      <w:r w:rsidRPr="002D6118">
        <w:rPr>
          <w:b/>
          <w:noProof/>
          <w:szCs w:val="22"/>
          <w:lang w:val="sk-SK"/>
        </w:rPr>
        <w:t>detí</w:t>
      </w:r>
    </w:p>
    <w:p w14:paraId="56FFB288" w14:textId="3A1832F1" w:rsidR="00FF3E96" w:rsidRDefault="002D6118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 xml:space="preserve">U detí môže na začiatku liečby dôjsť k vypadávaniu vlasov, ktoré je však obvykle dočasné a vlasy </w:t>
      </w:r>
      <w:r>
        <w:rPr>
          <w:noProof/>
          <w:szCs w:val="22"/>
          <w:lang w:val="sk-SK"/>
        </w:rPr>
        <w:t>im dorastú.</w:t>
      </w:r>
    </w:p>
    <w:p w14:paraId="78A19128" w14:textId="77777777" w:rsidR="002D6118" w:rsidRPr="00BA3A70" w:rsidRDefault="002D6118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5C085350" w14:textId="77777777" w:rsidR="002D6118" w:rsidRDefault="002D6118" w:rsidP="00FF3E96">
      <w:pPr>
        <w:pStyle w:val="BodytextAgency"/>
        <w:spacing w:after="0" w:line="24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</w:pPr>
      <w:r w:rsidRPr="002D6118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Hlásenie vedľajších účinkov</w:t>
      </w:r>
    </w:p>
    <w:p w14:paraId="47C67E6E" w14:textId="77777777" w:rsidR="002D6118" w:rsidRPr="00F917EB" w:rsidRDefault="002D6118" w:rsidP="002D6118">
      <w:pPr>
        <w:spacing w:line="240" w:lineRule="auto"/>
        <w:ind w:right="12"/>
        <w:rPr>
          <w:lang w:val="sk"/>
        </w:rPr>
      </w:pPr>
      <w:r w:rsidRPr="00F917EB">
        <w:rPr>
          <w:lang w:val="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</w:t>
      </w:r>
      <w:r w:rsidRPr="003B646F">
        <w:rPr>
          <w:lang w:val="sk"/>
        </w:rPr>
        <w:t xml:space="preserve">priamo na </w:t>
      </w:r>
      <w:r w:rsidRPr="001D193E">
        <w:rPr>
          <w:color w:val="000000"/>
          <w:highlight w:val="lightGray"/>
          <w:lang w:val="sk"/>
        </w:rPr>
        <w:t xml:space="preserve">národné centrum hlásenia uvedené </w:t>
      </w:r>
      <w:r w:rsidRPr="001D193E">
        <w:rPr>
          <w:highlight w:val="lightGray"/>
          <w:lang w:val="sk"/>
        </w:rPr>
        <w:t>v </w:t>
      </w:r>
      <w:hyperlink r:id="rId7" w:history="1">
        <w:r w:rsidRPr="001D193E">
          <w:rPr>
            <w:rStyle w:val="Hypertextovprepojenie"/>
            <w:highlight w:val="lightGray"/>
            <w:lang w:val="sk"/>
          </w:rPr>
          <w:t>Prílohe V</w:t>
        </w:r>
      </w:hyperlink>
      <w:r w:rsidRPr="001D193E">
        <w:rPr>
          <w:rStyle w:val="Hypertextovprepojenie"/>
          <w:lang w:val="sk"/>
        </w:rPr>
        <w:t>.</w:t>
      </w:r>
    </w:p>
    <w:p w14:paraId="24ED2265" w14:textId="77777777" w:rsidR="002D6118" w:rsidRPr="00F917EB" w:rsidRDefault="002D6118" w:rsidP="002D6118">
      <w:pPr>
        <w:spacing w:line="240" w:lineRule="auto"/>
        <w:ind w:right="12"/>
        <w:rPr>
          <w:bCs/>
          <w:lang w:val="sk"/>
        </w:rPr>
      </w:pPr>
      <w:r w:rsidRPr="00F917EB">
        <w:rPr>
          <w:lang w:val="sk"/>
        </w:rPr>
        <w:t>Hlásením vedľajších účinkov môžete prispieť k získaniu ďalších informácií o bezpečnosti tohto lieku.</w:t>
      </w:r>
    </w:p>
    <w:p w14:paraId="7DAD979F" w14:textId="77777777" w:rsidR="00FF3E96" w:rsidRPr="00BA3A70" w:rsidRDefault="00FF3E96" w:rsidP="00FF3E9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79EA1B5" w14:textId="77777777" w:rsidR="00FF3E96" w:rsidRPr="00BA3A70" w:rsidRDefault="00FF3E96" w:rsidP="00FF3E9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B98072" w14:textId="7587558A" w:rsidR="002D6118" w:rsidRPr="00F917EB" w:rsidRDefault="00FF3E96" w:rsidP="002D6118">
      <w:pPr>
        <w:spacing w:line="240" w:lineRule="auto"/>
        <w:ind w:right="12"/>
        <w:rPr>
          <w:lang w:val="sk"/>
        </w:rPr>
      </w:pPr>
      <w:r w:rsidRPr="00BA3A70">
        <w:rPr>
          <w:b/>
          <w:noProof/>
          <w:szCs w:val="22"/>
          <w:lang w:val="sk-SK"/>
        </w:rPr>
        <w:t>5.</w:t>
      </w:r>
      <w:r w:rsidRPr="00BA3A70">
        <w:rPr>
          <w:b/>
          <w:noProof/>
          <w:szCs w:val="22"/>
          <w:lang w:val="sk-SK"/>
        </w:rPr>
        <w:tab/>
      </w:r>
      <w:r w:rsidR="002D6118" w:rsidRPr="00F917EB">
        <w:rPr>
          <w:b/>
          <w:bCs/>
          <w:lang w:val="sk"/>
        </w:rPr>
        <w:t xml:space="preserve">Ako uchovávať </w:t>
      </w:r>
      <w:proofErr w:type="spellStart"/>
      <w:r w:rsidR="002D6118" w:rsidRPr="005E6E13">
        <w:rPr>
          <w:b/>
          <w:lang w:val="sk-SK"/>
        </w:rPr>
        <w:t>Alverox</w:t>
      </w:r>
      <w:proofErr w:type="spellEnd"/>
      <w:r w:rsidR="002D6118" w:rsidRPr="005E6E13">
        <w:rPr>
          <w:b/>
          <w:lang w:val="sk-SK"/>
        </w:rPr>
        <w:t xml:space="preserve"> </w:t>
      </w:r>
    </w:p>
    <w:p w14:paraId="1737D0E7" w14:textId="08AD2037" w:rsidR="00FF3E96" w:rsidRPr="00BA3A70" w:rsidRDefault="00FF3E96" w:rsidP="002D611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</w:p>
    <w:p w14:paraId="250FFF30" w14:textId="0CE33EE6" w:rsidR="00FF3E96" w:rsidRDefault="002D6118" w:rsidP="002D61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>Tento liek uchováv</w:t>
      </w:r>
      <w:r>
        <w:rPr>
          <w:noProof/>
          <w:szCs w:val="22"/>
          <w:lang w:val="sk-SK"/>
        </w:rPr>
        <w:t>ajte mimo dohľadu a dosahu detí.</w:t>
      </w:r>
    </w:p>
    <w:p w14:paraId="622BF81C" w14:textId="77777777" w:rsidR="002D6118" w:rsidRPr="00BA3A70" w:rsidRDefault="002D6118" w:rsidP="002D61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5AFC513" w14:textId="7A1C7138" w:rsidR="002D6118" w:rsidRDefault="002D6118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2D6118">
        <w:rPr>
          <w:b/>
          <w:noProof/>
          <w:szCs w:val="22"/>
          <w:lang w:val="sk-SK"/>
        </w:rPr>
        <w:t xml:space="preserve">Dátum </w:t>
      </w:r>
      <w:r>
        <w:rPr>
          <w:b/>
          <w:noProof/>
          <w:szCs w:val="22"/>
          <w:lang w:val="sk-SK"/>
        </w:rPr>
        <w:t>exspirácie</w:t>
      </w:r>
    </w:p>
    <w:p w14:paraId="52A50FE3" w14:textId="77777777" w:rsidR="002D6118" w:rsidRDefault="002D6118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2D6118">
        <w:rPr>
          <w:noProof/>
          <w:szCs w:val="22"/>
          <w:lang w:val="sk-SK"/>
        </w:rPr>
        <w:t>Zlikvidujte všetok zvyšný liek 2 mesiace po otvorení.</w:t>
      </w:r>
    </w:p>
    <w:p w14:paraId="22899B3C" w14:textId="067B9ACD" w:rsidR="005E7D6C" w:rsidRPr="00F917EB" w:rsidRDefault="005E7D6C" w:rsidP="005E7D6C">
      <w:pPr>
        <w:spacing w:line="240" w:lineRule="auto"/>
        <w:ind w:right="12"/>
        <w:rPr>
          <w:lang w:val="sk"/>
        </w:rPr>
      </w:pPr>
      <w:r w:rsidRPr="00F917EB">
        <w:rPr>
          <w:lang w:val="sk"/>
        </w:rPr>
        <w:t xml:space="preserve">Nepoužívajte tento liek po dátume exspirácie, ktorý je uvedený na </w:t>
      </w:r>
      <w:r w:rsidRPr="0050445E">
        <w:rPr>
          <w:lang w:val="sk"/>
        </w:rPr>
        <w:t>obale</w:t>
      </w:r>
      <w:r w:rsidRPr="00F917EB">
        <w:rPr>
          <w:lang w:val="sk"/>
        </w:rPr>
        <w:t xml:space="preserve"> po EXP</w:t>
      </w:r>
      <w:r>
        <w:rPr>
          <w:lang w:val="sk"/>
        </w:rPr>
        <w:t xml:space="preserve"> (mesiac, rok)</w:t>
      </w:r>
      <w:r w:rsidRPr="00F917EB">
        <w:rPr>
          <w:lang w:val="sk"/>
        </w:rPr>
        <w:t>. Dátum exspirácie sa vzťahuje na posledný deň v danom mesiaci.</w:t>
      </w:r>
    </w:p>
    <w:p w14:paraId="28073336" w14:textId="77777777" w:rsidR="0088092F" w:rsidRPr="00BA3A70" w:rsidRDefault="0088092F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744570A" w14:textId="3D4BA61F" w:rsidR="0088092F" w:rsidRPr="00BA3A70" w:rsidRDefault="005E7D6C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Podmienky skladovania</w:t>
      </w:r>
    </w:p>
    <w:p w14:paraId="1136559C" w14:textId="77777777" w:rsidR="005E7D6C" w:rsidRDefault="005E7D6C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proofErr w:type="spellStart"/>
      <w:r w:rsidRPr="00966B4B">
        <w:rPr>
          <w:szCs w:val="22"/>
        </w:rPr>
        <w:t>Uchovávajte</w:t>
      </w:r>
      <w:proofErr w:type="spellEnd"/>
      <w:r w:rsidRPr="00966B4B">
        <w:rPr>
          <w:szCs w:val="22"/>
        </w:rPr>
        <w:t xml:space="preserve"> </w:t>
      </w:r>
      <w:proofErr w:type="spellStart"/>
      <w:r w:rsidRPr="00966B4B">
        <w:rPr>
          <w:szCs w:val="22"/>
        </w:rPr>
        <w:t>pri</w:t>
      </w:r>
      <w:proofErr w:type="spellEnd"/>
      <w:r w:rsidRPr="00966B4B">
        <w:rPr>
          <w:szCs w:val="22"/>
        </w:rPr>
        <w:t xml:space="preserve"> </w:t>
      </w:r>
      <w:proofErr w:type="spellStart"/>
      <w:r w:rsidRPr="00966B4B">
        <w:rPr>
          <w:szCs w:val="22"/>
        </w:rPr>
        <w:t>teplote</w:t>
      </w:r>
      <w:proofErr w:type="spellEnd"/>
      <w:r w:rsidRPr="00966B4B">
        <w:rPr>
          <w:szCs w:val="22"/>
        </w:rPr>
        <w:t xml:space="preserve"> do 25</w:t>
      </w:r>
      <w:r>
        <w:rPr>
          <w:szCs w:val="22"/>
        </w:rPr>
        <w:t xml:space="preserve"> </w:t>
      </w:r>
      <w:r w:rsidRPr="00966B4B">
        <w:rPr>
          <w:szCs w:val="22"/>
        </w:rPr>
        <w:sym w:font="Symbol" w:char="F0B0"/>
      </w:r>
      <w:r w:rsidRPr="00966B4B">
        <w:rPr>
          <w:szCs w:val="22"/>
        </w:rPr>
        <w:t>C.</w:t>
      </w:r>
      <w:r>
        <w:rPr>
          <w:b/>
          <w:szCs w:val="22"/>
        </w:rPr>
        <w:t xml:space="preserve"> </w:t>
      </w:r>
    </w:p>
    <w:p w14:paraId="6E8EE458" w14:textId="77777777" w:rsidR="005E7D6C" w:rsidRPr="00C57944" w:rsidRDefault="005E7D6C" w:rsidP="005E7D6C">
      <w:pPr>
        <w:pStyle w:val="Zarkazkladnhotextu"/>
        <w:spacing w:after="0" w:line="240" w:lineRule="exact"/>
        <w:ind w:left="0"/>
        <w:jc w:val="both"/>
        <w:rPr>
          <w:sz w:val="22"/>
          <w:szCs w:val="22"/>
        </w:rPr>
      </w:pPr>
      <w:r w:rsidRPr="00C57944">
        <w:rPr>
          <w:sz w:val="22"/>
          <w:szCs w:val="22"/>
        </w:rPr>
        <w:t>Uchovávajte v pôvodnom obale na ochranu pred svetlom.</w:t>
      </w:r>
    </w:p>
    <w:p w14:paraId="6E1A4373" w14:textId="77777777" w:rsidR="0088092F" w:rsidRPr="00BA3A70" w:rsidRDefault="0088092F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4284455" w14:textId="7E0F1B46" w:rsidR="005E7D6C" w:rsidRPr="00BA3A70" w:rsidRDefault="005E7D6C" w:rsidP="008809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E7D6C">
        <w:rPr>
          <w:noProof/>
          <w:szCs w:val="22"/>
          <w:lang w:val="sk-SK"/>
        </w:rPr>
        <w:t>Nepoužívajte Alverox</w:t>
      </w:r>
      <w:r>
        <w:rPr>
          <w:noProof/>
          <w:szCs w:val="22"/>
          <w:lang w:val="sk-SK"/>
        </w:rPr>
        <w:t>,</w:t>
      </w:r>
      <w:r w:rsidRPr="005E7D6C">
        <w:rPr>
          <w:noProof/>
          <w:szCs w:val="22"/>
          <w:lang w:val="sk-SK"/>
        </w:rPr>
        <w:t xml:space="preserve"> ak </w:t>
      </w:r>
      <w:r w:rsidR="001A5C04">
        <w:rPr>
          <w:noProof/>
          <w:szCs w:val="22"/>
          <w:lang w:val="sk-SK"/>
        </w:rPr>
        <w:t xml:space="preserve">spozorujete, že sa vzhľad alebo </w:t>
      </w:r>
      <w:r>
        <w:rPr>
          <w:noProof/>
          <w:szCs w:val="22"/>
          <w:lang w:val="sk-SK"/>
        </w:rPr>
        <w:t>pach vášho lieku zmenil</w:t>
      </w:r>
      <w:r w:rsidRPr="005E7D6C">
        <w:rPr>
          <w:noProof/>
          <w:szCs w:val="22"/>
          <w:lang w:val="sk-SK"/>
        </w:rPr>
        <w:t>. Poraďte sa s lekárnikom.</w:t>
      </w:r>
    </w:p>
    <w:p w14:paraId="4292D520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4315BA8" w14:textId="72F58101" w:rsidR="00E0710E" w:rsidRDefault="0076604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66043">
        <w:rPr>
          <w:noProof/>
          <w:szCs w:val="22"/>
          <w:lang w:val="sk-SK"/>
        </w:rPr>
        <w:lastRenderedPageBreak/>
        <w:t>Nelikvidujte lieky odpadovou vodou alebo domovým odpadom. Opýtajte sa svojho lekárnika, ako vyhodiť lieky, ktoré už nepoužívate. Tieto opatrenia pomôžu chrániť životné prostredie.</w:t>
      </w:r>
    </w:p>
    <w:p w14:paraId="4F62EEBC" w14:textId="77777777" w:rsidR="00766043" w:rsidRDefault="0076604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16D8761" w14:textId="77777777" w:rsidR="00766043" w:rsidRPr="00BA3A70" w:rsidRDefault="0076604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4960098" w14:textId="28C9204B" w:rsidR="00FF3E96" w:rsidRPr="00BA3A70" w:rsidRDefault="00FF3E96" w:rsidP="00FF3E96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BA3A70">
        <w:rPr>
          <w:b/>
          <w:lang w:val="sk-SK"/>
        </w:rPr>
        <w:t>6.</w:t>
      </w:r>
      <w:r w:rsidRPr="00BA3A70">
        <w:rPr>
          <w:b/>
          <w:lang w:val="sk-SK"/>
        </w:rPr>
        <w:tab/>
      </w:r>
      <w:r w:rsidR="008748B3" w:rsidRPr="008748B3">
        <w:rPr>
          <w:b/>
          <w:lang w:val="sk-SK"/>
        </w:rPr>
        <w:t>Obsah balenia a ďalšie informácie</w:t>
      </w:r>
    </w:p>
    <w:p w14:paraId="59A18269" w14:textId="77777777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8695C4C" w14:textId="363766E4" w:rsidR="008748B3" w:rsidRPr="008748B3" w:rsidRDefault="008748B3" w:rsidP="008748B3">
      <w:pPr>
        <w:rPr>
          <w:lang w:val="sk-SK"/>
        </w:rPr>
      </w:pPr>
      <w:r w:rsidRPr="008748B3">
        <w:rPr>
          <w:b/>
          <w:lang w:val="sk-SK"/>
        </w:rPr>
        <w:t xml:space="preserve">Čo </w:t>
      </w:r>
      <w:proofErr w:type="spellStart"/>
      <w:r w:rsidRPr="008748B3">
        <w:rPr>
          <w:b/>
          <w:lang w:val="sk-SK"/>
        </w:rPr>
        <w:t>Alverox</w:t>
      </w:r>
      <w:proofErr w:type="spellEnd"/>
      <w:r w:rsidRPr="008748B3">
        <w:rPr>
          <w:b/>
          <w:lang w:val="sk-SK"/>
        </w:rPr>
        <w:t xml:space="preserve"> obsahuje</w:t>
      </w:r>
    </w:p>
    <w:p w14:paraId="39169B74" w14:textId="53327C46" w:rsidR="008748B3" w:rsidRDefault="008748B3" w:rsidP="008748B3">
      <w:pPr>
        <w:pStyle w:val="Odsekzoznamu"/>
        <w:numPr>
          <w:ilvl w:val="0"/>
          <w:numId w:val="2"/>
        </w:numPr>
        <w:rPr>
          <w:lang w:val="sk-SK"/>
        </w:rPr>
      </w:pPr>
      <w:r w:rsidRPr="008748B3">
        <w:rPr>
          <w:lang w:val="sk-SK"/>
        </w:rPr>
        <w:t xml:space="preserve">Liečivo je sodná soľ </w:t>
      </w:r>
      <w:proofErr w:type="spellStart"/>
      <w:r w:rsidRPr="008748B3">
        <w:rPr>
          <w:lang w:val="sk-SK"/>
        </w:rPr>
        <w:t>levotyroxínu</w:t>
      </w:r>
      <w:proofErr w:type="spellEnd"/>
      <w:r w:rsidRPr="008748B3">
        <w:rPr>
          <w:lang w:val="sk-SK"/>
        </w:rPr>
        <w:t xml:space="preserve">. Každých 5 ml perorálneho roztoku obsahuje </w:t>
      </w:r>
      <w:proofErr w:type="spellStart"/>
      <w:r w:rsidRPr="008748B3">
        <w:rPr>
          <w:lang w:val="sk-SK"/>
        </w:rPr>
        <w:t>levotyroxín</w:t>
      </w:r>
      <w:proofErr w:type="spellEnd"/>
      <w:r w:rsidRPr="008748B3">
        <w:rPr>
          <w:lang w:val="sk-SK"/>
        </w:rPr>
        <w:t xml:space="preserve"> ekvivalentný</w:t>
      </w:r>
      <w:r>
        <w:rPr>
          <w:lang w:val="sk-SK"/>
        </w:rPr>
        <w:t xml:space="preserve"> </w:t>
      </w:r>
      <w:r w:rsidR="00804C81">
        <w:rPr>
          <w:lang w:val="sk-SK"/>
        </w:rPr>
        <w:t>100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mikrogramom</w:t>
      </w:r>
      <w:proofErr w:type="spellEnd"/>
      <w:r>
        <w:rPr>
          <w:lang w:val="sk-SK"/>
        </w:rPr>
        <w:t xml:space="preserve"> (µg) bezvodej sodnej soli </w:t>
      </w:r>
      <w:proofErr w:type="spellStart"/>
      <w:r>
        <w:rPr>
          <w:lang w:val="sk-SK"/>
        </w:rPr>
        <w:t>levotyroxínu</w:t>
      </w:r>
      <w:proofErr w:type="spellEnd"/>
      <w:r>
        <w:rPr>
          <w:lang w:val="sk-SK"/>
        </w:rPr>
        <w:t>.</w:t>
      </w:r>
    </w:p>
    <w:p w14:paraId="4F7DBF06" w14:textId="48F3C5A1" w:rsidR="00FF3E96" w:rsidRPr="008748B3" w:rsidRDefault="008748B3" w:rsidP="008748B3">
      <w:pPr>
        <w:pStyle w:val="Odsekzoznamu"/>
        <w:numPr>
          <w:ilvl w:val="0"/>
          <w:numId w:val="2"/>
        </w:numPr>
        <w:rPr>
          <w:lang w:val="sk-SK"/>
        </w:rPr>
      </w:pPr>
      <w:r w:rsidRPr="008748B3">
        <w:rPr>
          <w:noProof/>
          <w:szCs w:val="22"/>
          <w:lang w:val="sk-SK"/>
        </w:rPr>
        <w:t>Ďalšie zložky sú glycerol, monohydrát kyseliny citrónovej,</w:t>
      </w:r>
      <w:r>
        <w:rPr>
          <w:noProof/>
          <w:szCs w:val="22"/>
          <w:lang w:val="sk-SK"/>
        </w:rPr>
        <w:t xml:space="preserve"> sodná soľ </w:t>
      </w:r>
      <w:proofErr w:type="spellStart"/>
      <w:r w:rsidRPr="00B35A20">
        <w:rPr>
          <w:lang w:val="sk-SK"/>
        </w:rPr>
        <w:t>metyl-parahydroxybenzoátu</w:t>
      </w:r>
      <w:proofErr w:type="spellEnd"/>
      <w:r w:rsidRPr="008748B3">
        <w:rPr>
          <w:noProof/>
          <w:szCs w:val="22"/>
          <w:lang w:val="sk-SK"/>
        </w:rPr>
        <w:t xml:space="preserve"> (E219) a čistená voda</w:t>
      </w:r>
      <w:r>
        <w:rPr>
          <w:noProof/>
          <w:szCs w:val="22"/>
          <w:lang w:val="sk-SK"/>
        </w:rPr>
        <w:t>.</w:t>
      </w:r>
    </w:p>
    <w:p w14:paraId="0172F02F" w14:textId="77777777" w:rsidR="008748B3" w:rsidRPr="00BA3A70" w:rsidRDefault="008748B3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CDFEECE" w14:textId="0660EA27" w:rsidR="008748B3" w:rsidRDefault="008748B3" w:rsidP="008748B3">
      <w:pPr>
        <w:pStyle w:val="Nzov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Ako vyzerá </w:t>
      </w:r>
      <w:proofErr w:type="spellStart"/>
      <w:r w:rsidRPr="008748B3">
        <w:rPr>
          <w:sz w:val="22"/>
          <w:szCs w:val="22"/>
        </w:rPr>
        <w:t>Alverox</w:t>
      </w:r>
      <w:proofErr w:type="spellEnd"/>
      <w:r w:rsidRPr="008748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 obsah balenia  </w:t>
      </w:r>
    </w:p>
    <w:p w14:paraId="3C1BF38A" w14:textId="651279CC" w:rsidR="00FF3E96" w:rsidRPr="00BA3A70" w:rsidRDefault="008748B3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8748B3">
        <w:rPr>
          <w:lang w:val="sk-SK"/>
        </w:rPr>
        <w:t>Alverox</w:t>
      </w:r>
      <w:proofErr w:type="spellEnd"/>
      <w:r w:rsidRPr="008748B3">
        <w:rPr>
          <w:lang w:val="sk-SK"/>
        </w:rPr>
        <w:t xml:space="preserve"> je číra bezfarebná kvapalina</w:t>
      </w:r>
      <w:r w:rsidR="00F720AA" w:rsidRPr="00BA3A70">
        <w:rPr>
          <w:lang w:val="sk-SK"/>
        </w:rPr>
        <w:t xml:space="preserve">. </w:t>
      </w:r>
      <w:r w:rsidRPr="008748B3">
        <w:rPr>
          <w:lang w:val="sk-SK"/>
        </w:rPr>
        <w:t xml:space="preserve">Každá fľaša obsahuje 75 ml alebo 100 ml perorálneho roztoku </w:t>
      </w:r>
      <w:proofErr w:type="spellStart"/>
      <w:r w:rsidRPr="008748B3">
        <w:rPr>
          <w:lang w:val="sk-SK"/>
        </w:rPr>
        <w:t>levotyroxínu</w:t>
      </w:r>
      <w:proofErr w:type="spellEnd"/>
      <w:r w:rsidRPr="008748B3">
        <w:rPr>
          <w:lang w:val="sk-SK"/>
        </w:rPr>
        <w:t xml:space="preserve">. </w:t>
      </w:r>
      <w:proofErr w:type="spellStart"/>
      <w:r w:rsidRPr="008748B3">
        <w:rPr>
          <w:lang w:val="sk-SK"/>
        </w:rPr>
        <w:t>Alverox</w:t>
      </w:r>
      <w:proofErr w:type="spellEnd"/>
      <w:r w:rsidRPr="008748B3">
        <w:rPr>
          <w:lang w:val="sk-SK"/>
        </w:rPr>
        <w:t xml:space="preserve"> je </w:t>
      </w:r>
      <w:r>
        <w:rPr>
          <w:lang w:val="sk-SK"/>
        </w:rPr>
        <w:t>dostupný</w:t>
      </w:r>
      <w:r w:rsidRPr="008748B3">
        <w:rPr>
          <w:lang w:val="sk-SK"/>
        </w:rPr>
        <w:t xml:space="preserve"> v baleniach obsahujúcich jednu alebo dve sklenené fľaše, každá naplnená 75 ml perorálneho roztok</w:t>
      </w:r>
      <w:r w:rsidR="001A5C04">
        <w:rPr>
          <w:lang w:val="sk-SK"/>
        </w:rPr>
        <w:t>u alebo jednu sklenenú fľašu naplnenú</w:t>
      </w:r>
      <w:r w:rsidRPr="008748B3">
        <w:rPr>
          <w:lang w:val="sk-SK"/>
        </w:rPr>
        <w:t xml:space="preserve"> 100 ml perorálneho roztoku.</w:t>
      </w:r>
      <w:r>
        <w:rPr>
          <w:lang w:val="sk-SK"/>
        </w:rPr>
        <w:t xml:space="preserve"> </w:t>
      </w:r>
      <w:r w:rsidRPr="008748B3">
        <w:rPr>
          <w:lang w:val="sk-SK"/>
        </w:rPr>
        <w:t xml:space="preserve">Súčasťou balenia je aj 5 </w:t>
      </w:r>
      <w:r>
        <w:rPr>
          <w:lang w:val="sk-SK"/>
        </w:rPr>
        <w:t>ml striekačka na lieky na odmeranie potrebnej dávky.</w:t>
      </w:r>
    </w:p>
    <w:p w14:paraId="175ABF17" w14:textId="77777777" w:rsidR="00F720AA" w:rsidRPr="00BA3A70" w:rsidRDefault="003C51B4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BA3A70">
        <w:rPr>
          <w:lang w:val="sk-SK"/>
        </w:rPr>
        <w:t xml:space="preserve">                                                                          </w:t>
      </w:r>
    </w:p>
    <w:p w14:paraId="72D4AF5E" w14:textId="77777777" w:rsidR="008748B3" w:rsidRDefault="008748B3" w:rsidP="008748B3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trh nemusia byť uvedené všetky veľkosti balenia. </w:t>
      </w:r>
    </w:p>
    <w:p w14:paraId="2D66328F" w14:textId="77777777" w:rsidR="00F2516D" w:rsidRPr="00BA3A70" w:rsidRDefault="00F2516D" w:rsidP="00FF3E9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4E677AF" w14:textId="77777777" w:rsidR="008748B3" w:rsidRDefault="008748B3" w:rsidP="008748B3">
      <w:pPr>
        <w:pStyle w:val="Nzov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Držiteľ rozhodnutia o registrácii a výrobca </w:t>
      </w:r>
    </w:p>
    <w:p w14:paraId="44AE637A" w14:textId="394E88E4" w:rsidR="00FF3E96" w:rsidRPr="00BA3A70" w:rsidRDefault="00FF3E96" w:rsidP="00FF3E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5C3B573E" w14:textId="77777777" w:rsidR="00CD54CA" w:rsidRPr="00E02C1E" w:rsidRDefault="00CD54CA" w:rsidP="00CD54CA">
      <w:pPr>
        <w:autoSpaceDE w:val="0"/>
        <w:autoSpaceDN w:val="0"/>
        <w:adjustRightInd w:val="0"/>
        <w:rPr>
          <w:bCs/>
          <w:szCs w:val="22"/>
          <w:u w:val="single"/>
          <w:lang w:val="cs-CZ"/>
        </w:rPr>
      </w:pPr>
      <w:proofErr w:type="spellStart"/>
      <w:r w:rsidRPr="00E02C1E">
        <w:rPr>
          <w:bCs/>
          <w:szCs w:val="22"/>
          <w:u w:val="single"/>
          <w:lang w:val="cs-CZ"/>
        </w:rPr>
        <w:t>Držiteľ</w:t>
      </w:r>
      <w:proofErr w:type="spellEnd"/>
      <w:r w:rsidRPr="00E02C1E">
        <w:rPr>
          <w:bCs/>
          <w:szCs w:val="22"/>
          <w:u w:val="single"/>
          <w:lang w:val="cs-CZ"/>
        </w:rPr>
        <w:t xml:space="preserve"> </w:t>
      </w:r>
      <w:proofErr w:type="spellStart"/>
      <w:r w:rsidRPr="00E02C1E">
        <w:rPr>
          <w:bCs/>
          <w:szCs w:val="22"/>
          <w:u w:val="single"/>
          <w:lang w:val="cs-CZ"/>
        </w:rPr>
        <w:t>rozhodnutia</w:t>
      </w:r>
      <w:proofErr w:type="spellEnd"/>
      <w:r w:rsidRPr="00E02C1E">
        <w:rPr>
          <w:bCs/>
          <w:szCs w:val="22"/>
          <w:u w:val="single"/>
          <w:lang w:val="cs-CZ"/>
        </w:rPr>
        <w:t xml:space="preserve"> o </w:t>
      </w:r>
      <w:proofErr w:type="spellStart"/>
      <w:r w:rsidRPr="00E02C1E">
        <w:rPr>
          <w:bCs/>
          <w:szCs w:val="22"/>
          <w:u w:val="single"/>
          <w:lang w:val="cs-CZ"/>
        </w:rPr>
        <w:t>registrácii</w:t>
      </w:r>
      <w:proofErr w:type="spellEnd"/>
    </w:p>
    <w:p w14:paraId="442D9463" w14:textId="77777777" w:rsidR="00CD54CA" w:rsidRPr="00CD54CA" w:rsidRDefault="00CD54CA" w:rsidP="00CD54CA">
      <w:pPr>
        <w:rPr>
          <w:noProof/>
          <w:szCs w:val="22"/>
          <w:lang w:val="sk-SK"/>
        </w:rPr>
      </w:pPr>
      <w:r w:rsidRPr="00CD54CA">
        <w:rPr>
          <w:noProof/>
          <w:szCs w:val="22"/>
          <w:lang w:val="sk-SK"/>
        </w:rPr>
        <w:t>Zentiva, k.s.</w:t>
      </w:r>
    </w:p>
    <w:p w14:paraId="23A284F7" w14:textId="77777777" w:rsidR="00CD54CA" w:rsidRPr="00CD54CA" w:rsidRDefault="00CD54CA" w:rsidP="00CD54CA">
      <w:pPr>
        <w:rPr>
          <w:noProof/>
          <w:szCs w:val="22"/>
          <w:lang w:val="sk-SK"/>
        </w:rPr>
      </w:pPr>
      <w:r w:rsidRPr="00CD54CA">
        <w:rPr>
          <w:noProof/>
          <w:szCs w:val="22"/>
          <w:lang w:val="sk-SK"/>
        </w:rPr>
        <w:t>U kabelovny 130</w:t>
      </w:r>
    </w:p>
    <w:p w14:paraId="2CD3B9E5" w14:textId="77777777" w:rsidR="00CD54CA" w:rsidRPr="00CD54CA" w:rsidRDefault="00CD54CA" w:rsidP="00CD54CA">
      <w:pPr>
        <w:rPr>
          <w:noProof/>
          <w:szCs w:val="22"/>
          <w:lang w:val="sk-SK"/>
        </w:rPr>
      </w:pPr>
      <w:r w:rsidRPr="00CD54CA">
        <w:rPr>
          <w:noProof/>
          <w:szCs w:val="22"/>
          <w:lang w:val="sk-SK"/>
        </w:rPr>
        <w:t>102 37 Praha 10 – Dolní Měcholupy</w:t>
      </w:r>
    </w:p>
    <w:p w14:paraId="712B1CC1" w14:textId="518F4894" w:rsidR="00F720AA" w:rsidRPr="00BA3A70" w:rsidRDefault="00CD54CA" w:rsidP="00CD54CA">
      <w:pPr>
        <w:rPr>
          <w:noProof/>
          <w:szCs w:val="22"/>
          <w:lang w:val="sk-SK"/>
        </w:rPr>
      </w:pPr>
      <w:r w:rsidRPr="00CD54CA">
        <w:rPr>
          <w:noProof/>
          <w:szCs w:val="22"/>
          <w:lang w:val="sk-SK"/>
        </w:rPr>
        <w:t>Česká republika</w:t>
      </w:r>
    </w:p>
    <w:p w14:paraId="1DFB055C" w14:textId="77777777" w:rsidR="00F720AA" w:rsidRDefault="00F720AA" w:rsidP="00F720AA">
      <w:pPr>
        <w:rPr>
          <w:noProof/>
          <w:szCs w:val="22"/>
          <w:lang w:val="sk-SK"/>
        </w:rPr>
      </w:pPr>
    </w:p>
    <w:p w14:paraId="332D6361" w14:textId="6F4A4C4A" w:rsidR="00CD54CA" w:rsidRPr="00CD54CA" w:rsidRDefault="00CD54CA" w:rsidP="00F720AA">
      <w:pPr>
        <w:rPr>
          <w:noProof/>
          <w:szCs w:val="22"/>
          <w:u w:val="single"/>
          <w:lang w:val="sk-SK"/>
        </w:rPr>
      </w:pPr>
      <w:r w:rsidRPr="00CD54CA">
        <w:rPr>
          <w:noProof/>
          <w:szCs w:val="22"/>
          <w:u w:val="single"/>
          <w:lang w:val="sk-SK"/>
        </w:rPr>
        <w:t>Výrobca</w:t>
      </w:r>
    </w:p>
    <w:p w14:paraId="4A842833" w14:textId="77777777" w:rsidR="007423D5" w:rsidRPr="007423D5" w:rsidRDefault="007423D5" w:rsidP="007423D5">
      <w:pPr>
        <w:rPr>
          <w:noProof/>
          <w:szCs w:val="22"/>
          <w:lang w:val="sk-SK"/>
        </w:rPr>
      </w:pPr>
      <w:r w:rsidRPr="007423D5">
        <w:rPr>
          <w:noProof/>
          <w:szCs w:val="22"/>
          <w:lang w:val="sk-SK"/>
        </w:rPr>
        <w:t>Galenica Pharmaceutical Industry S.A.</w:t>
      </w:r>
    </w:p>
    <w:p w14:paraId="4B0706D1" w14:textId="77777777" w:rsidR="007423D5" w:rsidRPr="007423D5" w:rsidRDefault="007423D5" w:rsidP="007423D5">
      <w:pPr>
        <w:rPr>
          <w:noProof/>
          <w:szCs w:val="22"/>
          <w:lang w:val="sk-SK"/>
        </w:rPr>
      </w:pPr>
      <w:r w:rsidRPr="007423D5">
        <w:rPr>
          <w:noProof/>
          <w:szCs w:val="22"/>
          <w:lang w:val="sk-SK"/>
        </w:rPr>
        <w:t>3</w:t>
      </w:r>
      <w:r w:rsidRPr="007423D5">
        <w:rPr>
          <w:noProof/>
          <w:szCs w:val="22"/>
          <w:vertAlign w:val="superscript"/>
          <w:lang w:val="sk-SK"/>
        </w:rPr>
        <w:t>rd</w:t>
      </w:r>
      <w:r w:rsidRPr="007423D5">
        <w:rPr>
          <w:noProof/>
          <w:szCs w:val="22"/>
          <w:lang w:val="sk-SK"/>
        </w:rPr>
        <w:t xml:space="preserve"> km Old National Road Chalkida-Athens</w:t>
      </w:r>
    </w:p>
    <w:p w14:paraId="679D550B" w14:textId="77777777" w:rsidR="007423D5" w:rsidRPr="007423D5" w:rsidRDefault="007423D5" w:rsidP="007423D5">
      <w:pPr>
        <w:rPr>
          <w:noProof/>
          <w:szCs w:val="22"/>
          <w:lang w:val="sk-SK"/>
        </w:rPr>
      </w:pPr>
      <w:r w:rsidRPr="007423D5">
        <w:rPr>
          <w:noProof/>
          <w:szCs w:val="22"/>
          <w:lang w:val="sk-SK"/>
        </w:rPr>
        <w:t xml:space="preserve">Glifa Chalkida Eubia </w:t>
      </w:r>
    </w:p>
    <w:p w14:paraId="42096DF8" w14:textId="36552669" w:rsidR="00F720AA" w:rsidRDefault="007423D5" w:rsidP="007423D5">
      <w:pPr>
        <w:rPr>
          <w:noProof/>
          <w:szCs w:val="22"/>
          <w:lang w:val="sk-SK"/>
        </w:rPr>
      </w:pPr>
      <w:r w:rsidRPr="007423D5">
        <w:rPr>
          <w:noProof/>
          <w:szCs w:val="22"/>
          <w:lang w:val="sk-SK"/>
        </w:rPr>
        <w:t xml:space="preserve">34100 </w:t>
      </w:r>
      <w:r w:rsidR="00F911E4" w:rsidRPr="00B35A20">
        <w:rPr>
          <w:noProof/>
          <w:szCs w:val="22"/>
          <w:lang w:val="sk-SK"/>
        </w:rPr>
        <w:t>Grécko</w:t>
      </w:r>
    </w:p>
    <w:p w14:paraId="105DA63D" w14:textId="77777777" w:rsidR="00CD54CA" w:rsidRPr="00BA3A70" w:rsidRDefault="00CD54CA" w:rsidP="00F720AA">
      <w:pPr>
        <w:rPr>
          <w:noProof/>
          <w:szCs w:val="22"/>
          <w:lang w:val="sk-SK"/>
        </w:rPr>
      </w:pPr>
    </w:p>
    <w:p w14:paraId="17CF058A" w14:textId="77777777" w:rsidR="00CD54CA" w:rsidRPr="00F917EB" w:rsidRDefault="00CD54CA" w:rsidP="00CD54CA">
      <w:pPr>
        <w:spacing w:line="240" w:lineRule="auto"/>
        <w:ind w:right="12"/>
        <w:rPr>
          <w:lang w:val="pt-BR"/>
        </w:rPr>
      </w:pPr>
      <w:bookmarkStart w:id="0" w:name="_Hlk511643567"/>
      <w:r w:rsidRPr="00F917EB">
        <w:rPr>
          <w:b/>
          <w:bCs/>
          <w:lang w:val="sk"/>
        </w:rPr>
        <w:t>Liek je schválený v členských štátoch Európskeho hospodárskeho priestoru (EHP) pod nasledovnými názvami:</w:t>
      </w:r>
    </w:p>
    <w:p w14:paraId="07F88DAB" w14:textId="77777777" w:rsidR="0072579E" w:rsidRPr="00BA3A70" w:rsidRDefault="0072579E" w:rsidP="00F720AA">
      <w:pPr>
        <w:rPr>
          <w:b/>
          <w:noProof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423D5" w:rsidRPr="0057572B" w14:paraId="48768199" w14:textId="77777777" w:rsidTr="00F743F6">
        <w:tc>
          <w:tcPr>
            <w:tcW w:w="2122" w:type="dxa"/>
          </w:tcPr>
          <w:bookmarkEnd w:id="0"/>
          <w:p w14:paraId="5F703A3D" w14:textId="77777777" w:rsidR="007423D5" w:rsidRPr="0057572B" w:rsidRDefault="007423D5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Česká republika, Poľsko</w:t>
            </w:r>
          </w:p>
        </w:tc>
        <w:tc>
          <w:tcPr>
            <w:tcW w:w="6940" w:type="dxa"/>
          </w:tcPr>
          <w:p w14:paraId="6F772294" w14:textId="77777777" w:rsidR="007423D5" w:rsidRPr="0057572B" w:rsidRDefault="007423D5" w:rsidP="00F743F6">
            <w:pPr>
              <w:ind w:right="-2"/>
              <w:rPr>
                <w:szCs w:val="22"/>
                <w:lang w:val="sk-SK"/>
              </w:rPr>
            </w:pPr>
            <w:proofErr w:type="spellStart"/>
            <w:r w:rsidRPr="00B619C8">
              <w:rPr>
                <w:szCs w:val="22"/>
                <w:lang w:val="sk-SK"/>
              </w:rPr>
              <w:t>Althyxin</w:t>
            </w:r>
            <w:proofErr w:type="spellEnd"/>
          </w:p>
        </w:tc>
      </w:tr>
      <w:tr w:rsidR="007423D5" w:rsidRPr="0057572B" w14:paraId="5055D5FD" w14:textId="77777777" w:rsidTr="00F743F6">
        <w:tc>
          <w:tcPr>
            <w:tcW w:w="2122" w:type="dxa"/>
          </w:tcPr>
          <w:p w14:paraId="0556B1E9" w14:textId="77777777" w:rsidR="007423D5" w:rsidRPr="0057572B" w:rsidRDefault="007423D5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Estónsko</w:t>
            </w:r>
          </w:p>
        </w:tc>
        <w:tc>
          <w:tcPr>
            <w:tcW w:w="6940" w:type="dxa"/>
          </w:tcPr>
          <w:p w14:paraId="69F3FDA0" w14:textId="77777777" w:rsidR="007423D5" w:rsidRPr="0057572B" w:rsidRDefault="007423D5" w:rsidP="00F743F6">
            <w:pPr>
              <w:rPr>
                <w:noProof/>
                <w:szCs w:val="22"/>
                <w:lang w:val="sk-SK"/>
              </w:rPr>
            </w:pPr>
            <w:proofErr w:type="spellStart"/>
            <w:r w:rsidRPr="00B619C8">
              <w:rPr>
                <w:lang w:val="sk-SK"/>
              </w:rPr>
              <w:t>Lethyrin</w:t>
            </w:r>
            <w:proofErr w:type="spellEnd"/>
          </w:p>
        </w:tc>
      </w:tr>
      <w:tr w:rsidR="007423D5" w:rsidRPr="0057572B" w14:paraId="4FCE946C" w14:textId="77777777" w:rsidTr="00F743F6">
        <w:tc>
          <w:tcPr>
            <w:tcW w:w="2122" w:type="dxa"/>
          </w:tcPr>
          <w:p w14:paraId="07FF3636" w14:textId="77777777" w:rsidR="007423D5" w:rsidRPr="00716032" w:rsidRDefault="007423D5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Litva</w:t>
            </w:r>
          </w:p>
        </w:tc>
        <w:tc>
          <w:tcPr>
            <w:tcW w:w="6940" w:type="dxa"/>
          </w:tcPr>
          <w:p w14:paraId="1D93F299" w14:textId="39FB83B4" w:rsidR="007423D5" w:rsidRPr="0057572B" w:rsidRDefault="000A064E" w:rsidP="00F743F6">
            <w:pPr>
              <w:rPr>
                <w:lang w:val="sk-SK"/>
              </w:rPr>
            </w:pPr>
            <w:proofErr w:type="spellStart"/>
            <w:r w:rsidRPr="000A064E">
              <w:rPr>
                <w:lang w:val="sk-SK"/>
              </w:rPr>
              <w:t>Levothyroxine</w:t>
            </w:r>
            <w:proofErr w:type="spellEnd"/>
            <w:r w:rsidRPr="000A064E">
              <w:rPr>
                <w:lang w:val="sk-SK"/>
              </w:rPr>
              <w:t xml:space="preserve"> </w:t>
            </w:r>
            <w:proofErr w:type="spellStart"/>
            <w:r w:rsidRPr="000A064E">
              <w:rPr>
                <w:lang w:val="sk-SK"/>
              </w:rPr>
              <w:t>sodium</w:t>
            </w:r>
            <w:proofErr w:type="spellEnd"/>
            <w:r w:rsidRPr="000A064E">
              <w:rPr>
                <w:lang w:val="sk-SK"/>
              </w:rPr>
              <w:t xml:space="preserve"> </w:t>
            </w:r>
            <w:proofErr w:type="spellStart"/>
            <w:r w:rsidRPr="000A064E">
              <w:rPr>
                <w:lang w:val="sk-SK"/>
              </w:rPr>
              <w:t>Zentiva</w:t>
            </w:r>
            <w:proofErr w:type="spellEnd"/>
            <w:r w:rsidRPr="000A064E">
              <w:rPr>
                <w:lang w:val="sk-SK"/>
              </w:rPr>
              <w:t xml:space="preserve"> 100 </w:t>
            </w:r>
            <w:proofErr w:type="spellStart"/>
            <w:r w:rsidRPr="000A064E">
              <w:rPr>
                <w:lang w:val="sk-SK"/>
              </w:rPr>
              <w:t>mikrogramų</w:t>
            </w:r>
            <w:proofErr w:type="spellEnd"/>
            <w:r w:rsidRPr="000A064E">
              <w:rPr>
                <w:lang w:val="sk-SK"/>
              </w:rPr>
              <w:t xml:space="preserve">/5 ml </w:t>
            </w:r>
            <w:proofErr w:type="spellStart"/>
            <w:r w:rsidRPr="000A064E">
              <w:rPr>
                <w:lang w:val="sk-SK"/>
              </w:rPr>
              <w:t>geriamasis</w:t>
            </w:r>
            <w:proofErr w:type="spellEnd"/>
            <w:r w:rsidRPr="000A064E">
              <w:rPr>
                <w:lang w:val="sk-SK"/>
              </w:rPr>
              <w:t xml:space="preserve"> </w:t>
            </w:r>
            <w:proofErr w:type="spellStart"/>
            <w:r w:rsidRPr="000A064E">
              <w:rPr>
                <w:lang w:val="sk-SK"/>
              </w:rPr>
              <w:t>tirpalas</w:t>
            </w:r>
            <w:proofErr w:type="spellEnd"/>
            <w:r w:rsidRPr="000A064E" w:rsidDel="000A064E">
              <w:rPr>
                <w:lang w:val="sk-SK"/>
              </w:rPr>
              <w:t xml:space="preserve"> </w:t>
            </w:r>
          </w:p>
        </w:tc>
      </w:tr>
      <w:tr w:rsidR="007423D5" w:rsidRPr="0066452F" w14:paraId="1AD26133" w14:textId="77777777" w:rsidTr="00F743F6">
        <w:tc>
          <w:tcPr>
            <w:tcW w:w="2122" w:type="dxa"/>
          </w:tcPr>
          <w:p w14:paraId="4320DFF5" w14:textId="77777777" w:rsidR="007423D5" w:rsidRPr="00716032" w:rsidRDefault="007423D5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Lotyšsko</w:t>
            </w:r>
          </w:p>
        </w:tc>
        <w:tc>
          <w:tcPr>
            <w:tcW w:w="6940" w:type="dxa"/>
          </w:tcPr>
          <w:p w14:paraId="6FD00811" w14:textId="77777777" w:rsidR="007423D5" w:rsidRPr="0057572B" w:rsidRDefault="007423D5" w:rsidP="00F743F6">
            <w:pPr>
              <w:rPr>
                <w:lang w:val="sk-SK"/>
              </w:rPr>
            </w:pPr>
            <w:proofErr w:type="spellStart"/>
            <w:r w:rsidRPr="00B619C8">
              <w:rPr>
                <w:lang w:val="sk-SK"/>
              </w:rPr>
              <w:t>Lethyrin</w:t>
            </w:r>
            <w:proofErr w:type="spellEnd"/>
            <w:r w:rsidRPr="00B619C8">
              <w:rPr>
                <w:lang w:val="sk-SK"/>
              </w:rPr>
              <w:t xml:space="preserve"> 100 </w:t>
            </w:r>
            <w:proofErr w:type="spellStart"/>
            <w:r w:rsidRPr="00B619C8">
              <w:rPr>
                <w:lang w:val="sk-SK"/>
              </w:rPr>
              <w:t>mikrogrami</w:t>
            </w:r>
            <w:proofErr w:type="spellEnd"/>
            <w:r w:rsidRPr="00B619C8">
              <w:rPr>
                <w:lang w:val="sk-SK"/>
              </w:rPr>
              <w:t xml:space="preserve">/ 5ml </w:t>
            </w:r>
            <w:proofErr w:type="spellStart"/>
            <w:r w:rsidRPr="00B619C8">
              <w:rPr>
                <w:lang w:val="sk-SK"/>
              </w:rPr>
              <w:t>šķīdums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iekšķīgai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lietošanai</w:t>
            </w:r>
            <w:proofErr w:type="spellEnd"/>
          </w:p>
        </w:tc>
      </w:tr>
      <w:tr w:rsidR="007423D5" w:rsidRPr="0066452F" w14:paraId="1AF4DE21" w14:textId="77777777" w:rsidTr="00F743F6">
        <w:tc>
          <w:tcPr>
            <w:tcW w:w="2122" w:type="dxa"/>
          </w:tcPr>
          <w:p w14:paraId="13E7A018" w14:textId="77777777" w:rsidR="007423D5" w:rsidRPr="00716032" w:rsidRDefault="007423D5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Nemecko</w:t>
            </w:r>
          </w:p>
        </w:tc>
        <w:tc>
          <w:tcPr>
            <w:tcW w:w="6940" w:type="dxa"/>
          </w:tcPr>
          <w:p w14:paraId="6A0D4AA0" w14:textId="77777777" w:rsidR="007423D5" w:rsidRPr="0057572B" w:rsidRDefault="007423D5" w:rsidP="00F743F6">
            <w:pPr>
              <w:rPr>
                <w:lang w:val="sk-SK"/>
              </w:rPr>
            </w:pPr>
            <w:r w:rsidRPr="00B619C8">
              <w:rPr>
                <w:lang w:val="sk-SK"/>
              </w:rPr>
              <w:t>L-</w:t>
            </w:r>
            <w:proofErr w:type="spellStart"/>
            <w:r w:rsidRPr="00B619C8">
              <w:rPr>
                <w:lang w:val="sk-SK"/>
              </w:rPr>
              <w:t>Thyroxin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Zentiva</w:t>
            </w:r>
            <w:proofErr w:type="spellEnd"/>
            <w:r w:rsidRPr="00B619C8">
              <w:rPr>
                <w:lang w:val="sk-SK"/>
              </w:rPr>
              <w:t xml:space="preserve"> 100 </w:t>
            </w:r>
            <w:proofErr w:type="spellStart"/>
            <w:r w:rsidRPr="00B619C8">
              <w:rPr>
                <w:lang w:val="sk-SK"/>
              </w:rPr>
              <w:t>Mikrogramm</w:t>
            </w:r>
            <w:proofErr w:type="spellEnd"/>
            <w:r w:rsidRPr="00B619C8">
              <w:rPr>
                <w:lang w:val="sk-SK"/>
              </w:rPr>
              <w:t xml:space="preserve">/5mL </w:t>
            </w:r>
            <w:proofErr w:type="spellStart"/>
            <w:r w:rsidRPr="00B619C8">
              <w:rPr>
                <w:lang w:val="sk-SK"/>
              </w:rPr>
              <w:t>Lösung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zum</w:t>
            </w:r>
            <w:proofErr w:type="spellEnd"/>
            <w:r w:rsidRPr="00B619C8">
              <w:rPr>
                <w:lang w:val="sk-SK"/>
              </w:rPr>
              <w:t xml:space="preserve"> </w:t>
            </w:r>
            <w:proofErr w:type="spellStart"/>
            <w:r w:rsidRPr="00B619C8">
              <w:rPr>
                <w:lang w:val="sk-SK"/>
              </w:rPr>
              <w:t>Einnehmen</w:t>
            </w:r>
            <w:proofErr w:type="spellEnd"/>
          </w:p>
        </w:tc>
      </w:tr>
      <w:tr w:rsidR="007423D5" w:rsidRPr="0057572B" w14:paraId="0287E488" w14:textId="77777777" w:rsidTr="00F743F6">
        <w:tc>
          <w:tcPr>
            <w:tcW w:w="2122" w:type="dxa"/>
          </w:tcPr>
          <w:p w14:paraId="3EFA5116" w14:textId="77777777" w:rsidR="007423D5" w:rsidRPr="00716032" w:rsidRDefault="007423D5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Portugalsko</w:t>
            </w:r>
          </w:p>
        </w:tc>
        <w:tc>
          <w:tcPr>
            <w:tcW w:w="6940" w:type="dxa"/>
          </w:tcPr>
          <w:p w14:paraId="5A762C21" w14:textId="77777777" w:rsidR="007423D5" w:rsidRPr="0057572B" w:rsidRDefault="007423D5" w:rsidP="00F743F6">
            <w:pPr>
              <w:rPr>
                <w:lang w:val="sk-SK"/>
              </w:rPr>
            </w:pPr>
            <w:proofErr w:type="spellStart"/>
            <w:r w:rsidRPr="00B619C8">
              <w:rPr>
                <w:lang w:val="sk-SK"/>
              </w:rPr>
              <w:t>Alverox</w:t>
            </w:r>
            <w:proofErr w:type="spellEnd"/>
            <w:r w:rsidRPr="00B619C8">
              <w:rPr>
                <w:lang w:val="sk-SK"/>
              </w:rPr>
              <w:t xml:space="preserve"> 100μg/5ml </w:t>
            </w:r>
            <w:proofErr w:type="spellStart"/>
            <w:r w:rsidRPr="00B619C8">
              <w:rPr>
                <w:lang w:val="sk-SK"/>
              </w:rPr>
              <w:t>Solução</w:t>
            </w:r>
            <w:proofErr w:type="spellEnd"/>
            <w:r w:rsidRPr="00B619C8">
              <w:rPr>
                <w:lang w:val="sk-SK"/>
              </w:rPr>
              <w:t xml:space="preserve"> Oral</w:t>
            </w:r>
          </w:p>
        </w:tc>
      </w:tr>
      <w:tr w:rsidR="007423D5" w:rsidRPr="0066452F" w14:paraId="1777717B" w14:textId="77777777" w:rsidTr="00F743F6">
        <w:tc>
          <w:tcPr>
            <w:tcW w:w="2122" w:type="dxa"/>
          </w:tcPr>
          <w:p w14:paraId="3256DB9F" w14:textId="77777777" w:rsidR="007423D5" w:rsidRPr="00716032" w:rsidRDefault="007423D5" w:rsidP="00F743F6">
            <w:pPr>
              <w:rPr>
                <w:noProof/>
                <w:szCs w:val="22"/>
                <w:lang w:val="sk-SK"/>
              </w:rPr>
            </w:pPr>
            <w:r>
              <w:rPr>
                <w:noProof/>
                <w:szCs w:val="22"/>
                <w:lang w:val="sk-SK"/>
              </w:rPr>
              <w:t>Slovenská republika</w:t>
            </w:r>
          </w:p>
        </w:tc>
        <w:tc>
          <w:tcPr>
            <w:tcW w:w="6940" w:type="dxa"/>
          </w:tcPr>
          <w:p w14:paraId="7DC55C6B" w14:textId="39B8E86C" w:rsidR="007423D5" w:rsidRPr="0057572B" w:rsidRDefault="007423D5" w:rsidP="00F911E4">
            <w:pPr>
              <w:rPr>
                <w:lang w:val="sk-SK"/>
              </w:rPr>
            </w:pPr>
            <w:proofErr w:type="spellStart"/>
            <w:r w:rsidRPr="00B35A20">
              <w:rPr>
                <w:lang w:val="sk-SK"/>
              </w:rPr>
              <w:t>Alverox</w:t>
            </w:r>
            <w:proofErr w:type="spellEnd"/>
            <w:r w:rsidRPr="00B35A20">
              <w:rPr>
                <w:lang w:val="sk-SK"/>
              </w:rPr>
              <w:t xml:space="preserve"> 100</w:t>
            </w:r>
            <w:r w:rsidR="000A064E" w:rsidRPr="00B35A20">
              <w:rPr>
                <w:lang w:val="sk-SK"/>
              </w:rPr>
              <w:t xml:space="preserve"> </w:t>
            </w:r>
            <w:proofErr w:type="spellStart"/>
            <w:r w:rsidR="00F911E4" w:rsidRPr="00B35A20">
              <w:rPr>
                <w:lang w:val="sk-SK"/>
              </w:rPr>
              <w:t>mikrogramov</w:t>
            </w:r>
            <w:proofErr w:type="spellEnd"/>
            <w:r w:rsidRPr="00B619C8">
              <w:rPr>
                <w:lang w:val="sk-SK"/>
              </w:rPr>
              <w:t>/5ml perorálny roztok</w:t>
            </w:r>
          </w:p>
        </w:tc>
      </w:tr>
    </w:tbl>
    <w:p w14:paraId="5CDA899C" w14:textId="77777777" w:rsidR="0072579E" w:rsidRPr="00BA3A70" w:rsidRDefault="0072579E" w:rsidP="00F720AA">
      <w:pPr>
        <w:rPr>
          <w:b/>
          <w:noProof/>
          <w:szCs w:val="22"/>
          <w:lang w:val="sk-SK"/>
        </w:rPr>
      </w:pPr>
    </w:p>
    <w:p w14:paraId="46DE0BB9" w14:textId="77777777" w:rsidR="0072579E" w:rsidRPr="00BA3A70" w:rsidRDefault="0072579E" w:rsidP="00F720AA">
      <w:pPr>
        <w:rPr>
          <w:b/>
          <w:noProof/>
          <w:szCs w:val="22"/>
          <w:lang w:val="sk-SK"/>
        </w:rPr>
      </w:pPr>
    </w:p>
    <w:p w14:paraId="48584DE8" w14:textId="10FB2BAC" w:rsidR="00830BC1" w:rsidRPr="00BA3A70" w:rsidRDefault="00CD54CA" w:rsidP="00F720AA">
      <w:pPr>
        <w:rPr>
          <w:lang w:val="sk-SK"/>
        </w:rPr>
      </w:pPr>
      <w:r w:rsidRPr="00CD54CA">
        <w:rPr>
          <w:b/>
          <w:noProof/>
          <w:szCs w:val="22"/>
          <w:lang w:val="sk-SK"/>
        </w:rPr>
        <w:t>Táto písomná informácia bola naposledy aktualizovaná v</w:t>
      </w:r>
      <w:r w:rsidR="0066452F">
        <w:rPr>
          <w:b/>
          <w:noProof/>
          <w:szCs w:val="22"/>
          <w:lang w:val="sk-SK"/>
        </w:rPr>
        <w:t xml:space="preserve"> decembri </w:t>
      </w:r>
      <w:bookmarkStart w:id="1" w:name="_GoBack"/>
      <w:bookmarkEnd w:id="1"/>
      <w:r w:rsidR="00A12A3C">
        <w:rPr>
          <w:b/>
          <w:noProof/>
          <w:szCs w:val="22"/>
          <w:lang w:val="sk-SK"/>
        </w:rPr>
        <w:t>2020</w:t>
      </w:r>
      <w:r>
        <w:rPr>
          <w:noProof/>
          <w:szCs w:val="22"/>
          <w:lang w:val="sk-SK"/>
        </w:rPr>
        <w:t>.</w:t>
      </w:r>
    </w:p>
    <w:sectPr w:rsidR="00830BC1" w:rsidRPr="00BA3A70" w:rsidSect="0065657C">
      <w:headerReference w:type="default" r:id="rId8"/>
      <w:footerReference w:type="default" r:id="rId9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959D7" w14:textId="77777777" w:rsidR="00FF3E96" w:rsidRDefault="00FF3E96" w:rsidP="00FF3E96">
      <w:pPr>
        <w:spacing w:line="240" w:lineRule="auto"/>
      </w:pPr>
      <w:r>
        <w:separator/>
      </w:r>
    </w:p>
  </w:endnote>
  <w:endnote w:type="continuationSeparator" w:id="0">
    <w:p w14:paraId="419D8C84" w14:textId="77777777" w:rsidR="00FF3E96" w:rsidRDefault="00FF3E96" w:rsidP="00FF3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8386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D81C1A" w14:textId="0F78CC4D" w:rsidR="0065657C" w:rsidRPr="0065657C" w:rsidRDefault="0065657C">
        <w:pPr>
          <w:pStyle w:val="Pta"/>
          <w:jc w:val="center"/>
          <w:rPr>
            <w:sz w:val="18"/>
            <w:szCs w:val="18"/>
          </w:rPr>
        </w:pPr>
        <w:r w:rsidRPr="0065657C">
          <w:rPr>
            <w:sz w:val="18"/>
            <w:szCs w:val="18"/>
          </w:rPr>
          <w:fldChar w:fldCharType="begin"/>
        </w:r>
        <w:r w:rsidRPr="0065657C">
          <w:rPr>
            <w:sz w:val="18"/>
            <w:szCs w:val="18"/>
          </w:rPr>
          <w:instrText>PAGE   \* MERGEFORMAT</w:instrText>
        </w:r>
        <w:r w:rsidRPr="0065657C">
          <w:rPr>
            <w:sz w:val="18"/>
            <w:szCs w:val="18"/>
          </w:rPr>
          <w:fldChar w:fldCharType="separate"/>
        </w:r>
        <w:r w:rsidR="0066452F" w:rsidRPr="0066452F">
          <w:rPr>
            <w:noProof/>
            <w:sz w:val="18"/>
            <w:szCs w:val="18"/>
            <w:lang w:val="sk-SK"/>
          </w:rPr>
          <w:t>5</w:t>
        </w:r>
        <w:r w:rsidRPr="0065657C">
          <w:rPr>
            <w:sz w:val="18"/>
            <w:szCs w:val="18"/>
          </w:rPr>
          <w:fldChar w:fldCharType="end"/>
        </w:r>
      </w:p>
    </w:sdtContent>
  </w:sdt>
  <w:p w14:paraId="762E646C" w14:textId="77777777" w:rsidR="0065657C" w:rsidRDefault="0065657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F594D" w14:textId="77777777" w:rsidR="00FF3E96" w:rsidRDefault="00FF3E96" w:rsidP="00FF3E96">
      <w:pPr>
        <w:spacing w:line="240" w:lineRule="auto"/>
      </w:pPr>
      <w:r>
        <w:separator/>
      </w:r>
    </w:p>
  </w:footnote>
  <w:footnote w:type="continuationSeparator" w:id="0">
    <w:p w14:paraId="6BAE4DAE" w14:textId="77777777" w:rsidR="00FF3E96" w:rsidRDefault="00FF3E96" w:rsidP="00FF3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0C250" w14:textId="422B3208" w:rsidR="00A12A3C" w:rsidRPr="00586E8A" w:rsidRDefault="00A12A3C" w:rsidP="00A12A3C">
    <w:pPr>
      <w:pStyle w:val="Hlavika"/>
      <w:rPr>
        <w:sz w:val="18"/>
        <w:szCs w:val="18"/>
        <w:lang w:val="sk-SK"/>
      </w:rPr>
    </w:pPr>
    <w:r w:rsidRPr="00586E8A">
      <w:rPr>
        <w:sz w:val="18"/>
        <w:szCs w:val="18"/>
        <w:lang w:val="sk-SK"/>
      </w:rPr>
      <w:t xml:space="preserve">Schválený text k rozhodnutiu o registrácii, </w:t>
    </w:r>
    <w:proofErr w:type="spellStart"/>
    <w:r w:rsidRPr="00586E8A">
      <w:rPr>
        <w:sz w:val="18"/>
        <w:szCs w:val="18"/>
        <w:lang w:val="sk-SK"/>
      </w:rPr>
      <w:t>ev.č</w:t>
    </w:r>
    <w:proofErr w:type="spellEnd"/>
    <w:r w:rsidRPr="00586E8A">
      <w:rPr>
        <w:sz w:val="18"/>
        <w:szCs w:val="18"/>
        <w:lang w:val="sk-SK"/>
      </w:rPr>
      <w:t>.: 2019/06275-REG</w:t>
    </w:r>
  </w:p>
  <w:p w14:paraId="457C42D5" w14:textId="77777777" w:rsidR="00FF3E96" w:rsidRDefault="00FF3E9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68258B3"/>
    <w:multiLevelType w:val="hybridMultilevel"/>
    <w:tmpl w:val="E5D6D6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44E6A91"/>
    <w:multiLevelType w:val="hybridMultilevel"/>
    <w:tmpl w:val="FB9AFD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B5CFE"/>
    <w:multiLevelType w:val="hybridMultilevel"/>
    <w:tmpl w:val="B1BE40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584"/>
    <w:multiLevelType w:val="hybridMultilevel"/>
    <w:tmpl w:val="2FF2A15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5C22"/>
    <w:multiLevelType w:val="hybridMultilevel"/>
    <w:tmpl w:val="882A33E0"/>
    <w:lvl w:ilvl="0" w:tplc="70FA8066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42BA9"/>
    <w:multiLevelType w:val="hybridMultilevel"/>
    <w:tmpl w:val="429242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96"/>
    <w:rsid w:val="0000285E"/>
    <w:rsid w:val="00010A6D"/>
    <w:rsid w:val="0008052B"/>
    <w:rsid w:val="000922CB"/>
    <w:rsid w:val="000A064E"/>
    <w:rsid w:val="000C5196"/>
    <w:rsid w:val="000D6B80"/>
    <w:rsid w:val="000E152A"/>
    <w:rsid w:val="00123540"/>
    <w:rsid w:val="001657C9"/>
    <w:rsid w:val="00191304"/>
    <w:rsid w:val="001A5C04"/>
    <w:rsid w:val="001C0B99"/>
    <w:rsid w:val="001D6AC0"/>
    <w:rsid w:val="00215F7A"/>
    <w:rsid w:val="00256296"/>
    <w:rsid w:val="002651F5"/>
    <w:rsid w:val="002D2033"/>
    <w:rsid w:val="002D6118"/>
    <w:rsid w:val="00300B13"/>
    <w:rsid w:val="0034045B"/>
    <w:rsid w:val="003743B6"/>
    <w:rsid w:val="00377328"/>
    <w:rsid w:val="003C51B4"/>
    <w:rsid w:val="003F6368"/>
    <w:rsid w:val="004704BF"/>
    <w:rsid w:val="004B570C"/>
    <w:rsid w:val="004F3B8E"/>
    <w:rsid w:val="0054767D"/>
    <w:rsid w:val="0055074D"/>
    <w:rsid w:val="00563256"/>
    <w:rsid w:val="00581793"/>
    <w:rsid w:val="005D4527"/>
    <w:rsid w:val="005E6E13"/>
    <w:rsid w:val="005E7D6C"/>
    <w:rsid w:val="00623A93"/>
    <w:rsid w:val="00652301"/>
    <w:rsid w:val="0065657C"/>
    <w:rsid w:val="0066452F"/>
    <w:rsid w:val="00677336"/>
    <w:rsid w:val="00685F17"/>
    <w:rsid w:val="006B1E46"/>
    <w:rsid w:val="007209A3"/>
    <w:rsid w:val="0072579E"/>
    <w:rsid w:val="007423D5"/>
    <w:rsid w:val="00752A3C"/>
    <w:rsid w:val="00766043"/>
    <w:rsid w:val="00767378"/>
    <w:rsid w:val="00780F9A"/>
    <w:rsid w:val="007A7F7D"/>
    <w:rsid w:val="007B15AA"/>
    <w:rsid w:val="007F05DB"/>
    <w:rsid w:val="00804C81"/>
    <w:rsid w:val="00830BC1"/>
    <w:rsid w:val="008748B3"/>
    <w:rsid w:val="0088092F"/>
    <w:rsid w:val="008B36F2"/>
    <w:rsid w:val="008C60B4"/>
    <w:rsid w:val="008C616E"/>
    <w:rsid w:val="008F279C"/>
    <w:rsid w:val="009113A3"/>
    <w:rsid w:val="009433E8"/>
    <w:rsid w:val="009911F9"/>
    <w:rsid w:val="009A1471"/>
    <w:rsid w:val="009A24F0"/>
    <w:rsid w:val="00A12A3C"/>
    <w:rsid w:val="00A146C1"/>
    <w:rsid w:val="00A17235"/>
    <w:rsid w:val="00A2326E"/>
    <w:rsid w:val="00A4019B"/>
    <w:rsid w:val="00A76D7B"/>
    <w:rsid w:val="00AB519A"/>
    <w:rsid w:val="00B35A20"/>
    <w:rsid w:val="00B61A37"/>
    <w:rsid w:val="00B8321E"/>
    <w:rsid w:val="00BA37B9"/>
    <w:rsid w:val="00BA3A70"/>
    <w:rsid w:val="00BE71DB"/>
    <w:rsid w:val="00C73118"/>
    <w:rsid w:val="00CD54CA"/>
    <w:rsid w:val="00DB37C6"/>
    <w:rsid w:val="00DC1786"/>
    <w:rsid w:val="00DD397B"/>
    <w:rsid w:val="00DE0FDA"/>
    <w:rsid w:val="00E0710E"/>
    <w:rsid w:val="00E0719F"/>
    <w:rsid w:val="00E56D83"/>
    <w:rsid w:val="00E941CF"/>
    <w:rsid w:val="00F2516D"/>
    <w:rsid w:val="00F334EC"/>
    <w:rsid w:val="00F45ACA"/>
    <w:rsid w:val="00F50E86"/>
    <w:rsid w:val="00F720AA"/>
    <w:rsid w:val="00F911E4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AFD2"/>
  <w15:chartTrackingRefBased/>
  <w15:docId w15:val="{638C1FD7-AB4E-4A29-9F00-DC539E24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3E9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E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E96"/>
  </w:style>
  <w:style w:type="paragraph" w:styleId="Pta">
    <w:name w:val="footer"/>
    <w:basedOn w:val="Normlny"/>
    <w:link w:val="PtaChar"/>
    <w:uiPriority w:val="99"/>
    <w:unhideWhenUsed/>
    <w:rsid w:val="00FF3E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E96"/>
  </w:style>
  <w:style w:type="character" w:styleId="Hypertextovprepojenie">
    <w:name w:val="Hyperlink"/>
    <w:uiPriority w:val="99"/>
    <w:rsid w:val="00FF3E96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FF3E9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F3E96"/>
    <w:rPr>
      <w:rFonts w:ascii="Verdana" w:eastAsia="Verdana" w:hAnsi="Verdana" w:cs="Verdana"/>
      <w:sz w:val="18"/>
      <w:szCs w:val="18"/>
      <w:lang w:val="en-GB" w:eastAsia="en-GB"/>
    </w:rPr>
  </w:style>
  <w:style w:type="table" w:styleId="Mriekatabuky">
    <w:name w:val="Table Grid"/>
    <w:basedOn w:val="Normlnatabuka"/>
    <w:uiPriority w:val="39"/>
    <w:rsid w:val="00A2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20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1A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1A37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265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A37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37B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37B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37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37B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zov">
    <w:name w:val="Title"/>
    <w:basedOn w:val="Normlny"/>
    <w:link w:val="NzovChar"/>
    <w:qFormat/>
    <w:rsid w:val="00010A6D"/>
    <w:pPr>
      <w:tabs>
        <w:tab w:val="clear" w:pos="567"/>
      </w:tabs>
      <w:spacing w:line="240" w:lineRule="auto"/>
      <w:jc w:val="center"/>
    </w:pPr>
    <w:rPr>
      <w:b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010A6D"/>
    <w:rPr>
      <w:rFonts w:ascii="Times New Roman" w:eastAsia="Times New Roman" w:hAnsi="Times New Roman" w:cs="Times New Roman"/>
      <w:b/>
      <w:sz w:val="24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E7D6C"/>
    <w:pPr>
      <w:tabs>
        <w:tab w:val="clear" w:pos="567"/>
      </w:tabs>
      <w:spacing w:after="120" w:line="240" w:lineRule="auto"/>
      <w:ind w:left="360"/>
    </w:pPr>
    <w:rPr>
      <w:sz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E7D6C"/>
    <w:rPr>
      <w:rFonts w:ascii="Times New Roman" w:eastAsia="Times New Roman" w:hAnsi="Times New Roman" w:cs="Times New Roman"/>
      <w:sz w:val="24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2462</Words>
  <Characters>14035</Characters>
  <Application>Microsoft Office Word</Application>
  <DocSecurity>0</DocSecurity>
  <Lines>116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Friederike</dc:creator>
  <cp:keywords/>
  <dc:description/>
  <cp:lastModifiedBy>Kristína Ráczová</cp:lastModifiedBy>
  <cp:revision>6</cp:revision>
  <cp:lastPrinted>2019-09-13T07:24:00Z</cp:lastPrinted>
  <dcterms:created xsi:type="dcterms:W3CDTF">2020-11-10T08:52:00Z</dcterms:created>
  <dcterms:modified xsi:type="dcterms:W3CDTF">2020-12-03T08:40:00Z</dcterms:modified>
</cp:coreProperties>
</file>