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8D780" w14:textId="77777777" w:rsidR="00E372ED" w:rsidRPr="00E372ED" w:rsidRDefault="00E372ED" w:rsidP="00D8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>Písomná informácia pre používateľa</w:t>
      </w:r>
    </w:p>
    <w:p w14:paraId="03300E5D" w14:textId="0DCE3250" w:rsidR="00E372ED" w:rsidRPr="00E372ED" w:rsidRDefault="009B01A0" w:rsidP="009B01A0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ES"/>
        </w:rPr>
      </w:pPr>
      <w:r>
        <w:rPr>
          <w:rFonts w:ascii="Times New Roman" w:eastAsia="Times New Roman" w:hAnsi="Times New Roman" w:cs="Times New Roman"/>
          <w:b/>
          <w:bCs/>
          <w:lang w:val="es-ES"/>
        </w:rPr>
        <w:tab/>
      </w:r>
    </w:p>
    <w:p w14:paraId="65A3B67D" w14:textId="77777777" w:rsidR="00E372ED" w:rsidRPr="00E372ED" w:rsidRDefault="00E372ED" w:rsidP="00D8475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Fomicyt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549CB5CC" w14:textId="77777777" w:rsidR="00E372ED" w:rsidRPr="00E372ED" w:rsidRDefault="00337760" w:rsidP="00D8475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4</w:t>
      </w:r>
      <w:r w:rsidR="00E372ED" w:rsidRPr="00E372ED">
        <w:rPr>
          <w:rFonts w:ascii="Times New Roman" w:eastAsia="Times New Roman" w:hAnsi="Times New Roman" w:cs="Times New Roman"/>
          <w:lang w:val="sk-SK"/>
        </w:rPr>
        <w:t>0 mg/ml prášok na infúzny roztok</w:t>
      </w:r>
    </w:p>
    <w:p w14:paraId="1AF74288" w14:textId="77777777" w:rsidR="00E372ED" w:rsidRPr="00E372ED" w:rsidRDefault="00E372ED" w:rsidP="00D8475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</w:p>
    <w:p w14:paraId="1AC012B5" w14:textId="77777777" w:rsidR="00E372ED" w:rsidRPr="00E372ED" w:rsidRDefault="00E372ED" w:rsidP="00D8475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</w:t>
      </w:r>
      <w:proofErr w:type="spellEnd"/>
    </w:p>
    <w:p w14:paraId="559A5F2D" w14:textId="77777777" w:rsidR="00E372ED" w:rsidRPr="00E372ED" w:rsidRDefault="00E372ED" w:rsidP="00D847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sk-SK"/>
        </w:rPr>
      </w:pPr>
    </w:p>
    <w:p w14:paraId="1E422EBF" w14:textId="77777777" w:rsidR="00E372ED" w:rsidRPr="00E372ED" w:rsidRDefault="00E372ED" w:rsidP="00D8475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6C08105A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</w:p>
    <w:p w14:paraId="0C684B07" w14:textId="77777777" w:rsidR="00E372ED" w:rsidRPr="00E372ED" w:rsidRDefault="00E372ED" w:rsidP="00D8475C">
      <w:pPr>
        <w:numPr>
          <w:ilvl w:val="0"/>
          <w:numId w:val="10"/>
        </w:numPr>
        <w:spacing w:after="0" w:line="240" w:lineRule="auto"/>
        <w:ind w:left="0" w:right="-2" w:firstLine="0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Túto písomnú informáciu si uschovajte. Možno bude potrebné, aby ste si ju znovu prečítali. </w:t>
      </w:r>
    </w:p>
    <w:p w14:paraId="1813089D" w14:textId="77777777" w:rsidR="00E372ED" w:rsidRPr="00E372ED" w:rsidRDefault="00E372ED" w:rsidP="00C556DF">
      <w:pPr>
        <w:numPr>
          <w:ilvl w:val="0"/>
          <w:numId w:val="10"/>
        </w:numPr>
        <w:spacing w:after="0" w:line="240" w:lineRule="auto"/>
        <w:ind w:left="709" w:right="-2" w:hanging="709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Ak máte akékoľvek ďalšie otázky, obráťte sa na svojho lekára, lekárnika alebo zdravotnú sestru.</w:t>
      </w:r>
    </w:p>
    <w:p w14:paraId="2D3E23F0" w14:textId="77777777" w:rsidR="00E372ED" w:rsidRPr="00E372ED" w:rsidRDefault="00E372ED" w:rsidP="00977038">
      <w:pPr>
        <w:numPr>
          <w:ilvl w:val="0"/>
          <w:numId w:val="10"/>
        </w:numPr>
        <w:spacing w:after="0" w:line="240" w:lineRule="auto"/>
        <w:ind w:left="709" w:right="-2" w:hanging="709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Tento liek bol predpísaný iba vám. Nedávajte ho nikomu inému. Môže mu uškodiť, dokonca aj vtedy, ak má rovnaké prejavy ochorenia ako vy.</w:t>
      </w:r>
      <w:r w:rsidRPr="00E372ED">
        <w:rPr>
          <w:rFonts w:ascii="Times New Roman" w:eastAsia="Times New Roman" w:hAnsi="Times New Roman" w:cs="Times New Roman"/>
          <w:color w:val="008000"/>
          <w:lang w:val="sk-SK"/>
        </w:rPr>
        <w:t xml:space="preserve"> </w:t>
      </w:r>
    </w:p>
    <w:p w14:paraId="43F56ACE" w14:textId="77777777" w:rsidR="00E372ED" w:rsidRPr="00E372ED" w:rsidRDefault="00E372ED" w:rsidP="00977038">
      <w:pPr>
        <w:numPr>
          <w:ilvl w:val="0"/>
          <w:numId w:val="10"/>
        </w:numPr>
        <w:spacing w:after="0" w:line="240" w:lineRule="auto"/>
        <w:ind w:left="709" w:right="-2" w:hanging="709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 4.</w:t>
      </w:r>
    </w:p>
    <w:p w14:paraId="390F38A7" w14:textId="77777777" w:rsidR="00E372ED" w:rsidRPr="00E372ED" w:rsidRDefault="00E372ED" w:rsidP="00D847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en-GB"/>
        </w:rPr>
      </w:pPr>
    </w:p>
    <w:p w14:paraId="17FD3404" w14:textId="77777777" w:rsidR="00E372ED" w:rsidRPr="00E372ED" w:rsidRDefault="00E372ED" w:rsidP="00D847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>V tejto písomnej informácii sa dozviete</w:t>
      </w:r>
      <w:r w:rsidRPr="00977038">
        <w:rPr>
          <w:rFonts w:ascii="Times New Roman" w:eastAsia="Times New Roman" w:hAnsi="Times New Roman" w:cs="Times New Roman"/>
          <w:b/>
          <w:lang w:val="sk-SK"/>
        </w:rPr>
        <w:t>:</w:t>
      </w:r>
    </w:p>
    <w:p w14:paraId="67C12CA8" w14:textId="77777777" w:rsidR="00E372ED" w:rsidRPr="00E372ED" w:rsidRDefault="00E372ED" w:rsidP="00D847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en-GB"/>
        </w:rPr>
      </w:pPr>
    </w:p>
    <w:p w14:paraId="78DB1380" w14:textId="77777777" w:rsidR="00E372ED" w:rsidRPr="00E372ED" w:rsidRDefault="00E372ED" w:rsidP="00D8475C">
      <w:pPr>
        <w:numPr>
          <w:ilvl w:val="0"/>
          <w:numId w:val="11"/>
        </w:numPr>
        <w:spacing w:after="0" w:line="240" w:lineRule="auto"/>
        <w:ind w:left="0" w:right="-29" w:firstLine="0"/>
        <w:contextualSpacing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Čo je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Fomicyt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a na čo sa používa</w:t>
      </w:r>
    </w:p>
    <w:p w14:paraId="078819FA" w14:textId="5E0AABD2" w:rsidR="00E372ED" w:rsidRPr="00E372ED" w:rsidRDefault="00E372ED" w:rsidP="00D8475C">
      <w:pPr>
        <w:numPr>
          <w:ilvl w:val="0"/>
          <w:numId w:val="11"/>
        </w:numPr>
        <w:spacing w:after="0" w:line="240" w:lineRule="auto"/>
        <w:ind w:left="0" w:right="-29" w:firstLine="0"/>
        <w:contextualSpacing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Čo potrebujete vedieť predtým, ako </w:t>
      </w:r>
      <w:r w:rsidR="009F2F7A" w:rsidRPr="004C5849">
        <w:rPr>
          <w:rFonts w:ascii="Times New Roman" w:eastAsia="Times New Roman" w:hAnsi="Times New Roman" w:cs="Times New Roman"/>
          <w:lang w:val="sk-SK"/>
        </w:rPr>
        <w:t>použijete</w:t>
      </w:r>
      <w:r w:rsidRPr="00E372ED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Fomicyt</w:t>
      </w:r>
      <w:proofErr w:type="spellEnd"/>
    </w:p>
    <w:p w14:paraId="0B5944B2" w14:textId="77777777" w:rsidR="00074BAB" w:rsidRPr="004C5849" w:rsidRDefault="00074BAB" w:rsidP="00D8475C">
      <w:pPr>
        <w:numPr>
          <w:ilvl w:val="0"/>
          <w:numId w:val="11"/>
        </w:numPr>
        <w:spacing w:after="0" w:line="240" w:lineRule="auto"/>
        <w:ind w:left="0" w:right="-29" w:firstLine="0"/>
        <w:contextualSpacing/>
        <w:rPr>
          <w:rFonts w:ascii="Times New Roman" w:eastAsia="Times New Roman" w:hAnsi="Times New Roman" w:cs="Times New Roman"/>
          <w:lang w:val="sk-SK"/>
        </w:rPr>
      </w:pPr>
      <w:r w:rsidRPr="00074BAB">
        <w:rPr>
          <w:rFonts w:ascii="Times New Roman" w:eastAsia="SimSun" w:hAnsi="Times New Roman" w:cs="Times New Roman"/>
          <w:iCs/>
          <w:lang w:val="sk-SK" w:eastAsia="zh-CN"/>
        </w:rPr>
        <w:t xml:space="preserve">Ako používať </w:t>
      </w:r>
      <w:proofErr w:type="spellStart"/>
      <w:r w:rsidR="00C54DE3">
        <w:rPr>
          <w:rFonts w:ascii="Times New Roman" w:eastAsia="SimSun" w:hAnsi="Times New Roman" w:cs="Times New Roman"/>
          <w:iCs/>
          <w:lang w:val="sk-SK" w:eastAsia="zh-CN"/>
        </w:rPr>
        <w:t>Fomicyt</w:t>
      </w:r>
      <w:proofErr w:type="spellEnd"/>
    </w:p>
    <w:p w14:paraId="5C2423AC" w14:textId="77777777" w:rsidR="00E372ED" w:rsidRPr="00E372ED" w:rsidRDefault="00E372ED" w:rsidP="00D8475C">
      <w:pPr>
        <w:numPr>
          <w:ilvl w:val="0"/>
          <w:numId w:val="11"/>
        </w:numPr>
        <w:spacing w:after="0" w:line="240" w:lineRule="auto"/>
        <w:ind w:left="0" w:right="-29" w:firstLine="0"/>
        <w:contextualSpacing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Možné vedľajšie účinky</w:t>
      </w:r>
    </w:p>
    <w:p w14:paraId="717966C2" w14:textId="77777777" w:rsidR="00E372ED" w:rsidRPr="00E372ED" w:rsidRDefault="00E372ED" w:rsidP="00D8475C">
      <w:pPr>
        <w:numPr>
          <w:ilvl w:val="0"/>
          <w:numId w:val="11"/>
        </w:numPr>
        <w:spacing w:after="0" w:line="240" w:lineRule="auto"/>
        <w:ind w:left="0" w:right="-29" w:firstLine="0"/>
        <w:contextualSpacing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Ako uchovávať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Fomicyt</w:t>
      </w:r>
      <w:proofErr w:type="spellEnd"/>
    </w:p>
    <w:p w14:paraId="5968022F" w14:textId="77777777" w:rsidR="00E372ED" w:rsidRPr="00E372ED" w:rsidRDefault="00E372ED" w:rsidP="00D8475C">
      <w:pPr>
        <w:numPr>
          <w:ilvl w:val="0"/>
          <w:numId w:val="11"/>
        </w:numPr>
        <w:spacing w:after="0" w:line="240" w:lineRule="auto"/>
        <w:ind w:left="0" w:right="-29" w:firstLine="0"/>
        <w:contextualSpacing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Obsah balenia a ďalšie informácie</w:t>
      </w:r>
    </w:p>
    <w:p w14:paraId="06289986" w14:textId="77777777" w:rsidR="00E372ED" w:rsidRPr="00E372ED" w:rsidRDefault="00E372ED" w:rsidP="00D847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5E9651FD" w14:textId="77777777" w:rsidR="00E372ED" w:rsidRPr="00337760" w:rsidRDefault="00E372ED" w:rsidP="00D8475C">
      <w:pPr>
        <w:pStyle w:val="Odsekzoznamu"/>
        <w:keepNext/>
        <w:numPr>
          <w:ilvl w:val="0"/>
          <w:numId w:val="12"/>
        </w:numPr>
        <w:spacing w:after="0" w:line="260" w:lineRule="exact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lang w:val="sk-SK"/>
        </w:rPr>
      </w:pPr>
      <w:r w:rsidRPr="00337760">
        <w:rPr>
          <w:rFonts w:ascii="Times New Roman" w:eastAsia="Times New Roman" w:hAnsi="Times New Roman" w:cs="Times New Roman"/>
          <w:b/>
          <w:bCs/>
          <w:lang w:val="sk-SK"/>
        </w:rPr>
        <w:t xml:space="preserve">Čo je </w:t>
      </w:r>
      <w:proofErr w:type="spellStart"/>
      <w:r w:rsidRPr="00337760">
        <w:rPr>
          <w:rFonts w:ascii="Times New Roman" w:eastAsia="Times New Roman" w:hAnsi="Times New Roman" w:cs="Times New Roman"/>
          <w:b/>
          <w:bCs/>
          <w:lang w:val="sk-SK"/>
        </w:rPr>
        <w:t>Fomicyt</w:t>
      </w:r>
      <w:proofErr w:type="spellEnd"/>
      <w:r w:rsidRPr="00337760">
        <w:rPr>
          <w:rFonts w:ascii="Times New Roman" w:eastAsia="Times New Roman" w:hAnsi="Times New Roman" w:cs="Times New Roman"/>
          <w:b/>
          <w:bCs/>
          <w:lang w:val="sk-SK"/>
        </w:rPr>
        <w:t xml:space="preserve"> a na čo sa používa</w:t>
      </w:r>
    </w:p>
    <w:p w14:paraId="47D44C79" w14:textId="77777777" w:rsidR="00E372ED" w:rsidRPr="00E372ED" w:rsidRDefault="00E372ED" w:rsidP="00D847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36869792" w14:textId="77777777" w:rsidR="00CD280B" w:rsidRPr="004C5849" w:rsidRDefault="00E372ED" w:rsidP="00D8475C">
      <w:pPr>
        <w:pStyle w:val="BodytextAgency"/>
        <w:rPr>
          <w:rFonts w:ascii="Times New Roman" w:hAnsi="Times New Roman" w:cs="Times New Roman"/>
          <w:sz w:val="22"/>
          <w:szCs w:val="22"/>
        </w:rPr>
      </w:pPr>
      <w:proofErr w:type="spellStart"/>
      <w:r w:rsidRPr="004C5849">
        <w:rPr>
          <w:rFonts w:ascii="Times New Roman" w:hAnsi="Times New Roman" w:cs="Times New Roman"/>
          <w:sz w:val="22"/>
          <w:szCs w:val="22"/>
        </w:rPr>
        <w:t>Fomicyt</w:t>
      </w:r>
      <w:proofErr w:type="spellEnd"/>
      <w:r w:rsidRPr="004C5849">
        <w:rPr>
          <w:rFonts w:ascii="Times New Roman" w:hAnsi="Times New Roman" w:cs="Times New Roman"/>
          <w:sz w:val="22"/>
          <w:szCs w:val="22"/>
        </w:rPr>
        <w:t xml:space="preserve"> </w:t>
      </w:r>
      <w:r w:rsidR="00CD280B" w:rsidRPr="004C5849">
        <w:rPr>
          <w:rFonts w:ascii="Times New Roman" w:hAnsi="Times New Roman" w:cs="Times New Roman"/>
          <w:sz w:val="22"/>
          <w:szCs w:val="22"/>
        </w:rPr>
        <w:t xml:space="preserve">obsahuje účinnú látku </w:t>
      </w:r>
      <w:proofErr w:type="spellStart"/>
      <w:r w:rsidR="00CD280B" w:rsidRPr="004C5849">
        <w:rPr>
          <w:rFonts w:ascii="Times New Roman" w:hAnsi="Times New Roman" w:cs="Times New Roman"/>
          <w:sz w:val="22"/>
          <w:szCs w:val="22"/>
        </w:rPr>
        <w:t>fosfomycín</w:t>
      </w:r>
      <w:proofErr w:type="spellEnd"/>
      <w:r w:rsidR="00CD280B" w:rsidRPr="004C5849">
        <w:rPr>
          <w:rFonts w:ascii="Times New Roman" w:hAnsi="Times New Roman" w:cs="Times New Roman"/>
          <w:sz w:val="22"/>
          <w:szCs w:val="22"/>
        </w:rPr>
        <w:t xml:space="preserve">. Patrí do skupiny liekov nazývaných antibiotiká. Účinkuje usmrcovaním určitých druhov mikróbov (baktérií), ktoré spôsobujú závažné infekčné ochorenia. Váš lekár sa rozhodol, že vás bude liečiť liekom </w:t>
      </w:r>
      <w:proofErr w:type="spellStart"/>
      <w:r w:rsidR="00C54DE3">
        <w:rPr>
          <w:rFonts w:ascii="Times New Roman" w:hAnsi="Times New Roman" w:cs="Times New Roman"/>
          <w:sz w:val="22"/>
          <w:szCs w:val="22"/>
        </w:rPr>
        <w:t>Fomicyt</w:t>
      </w:r>
      <w:proofErr w:type="spellEnd"/>
      <w:r w:rsidR="00CD280B" w:rsidRPr="004C5849">
        <w:rPr>
          <w:rFonts w:ascii="Times New Roman" w:hAnsi="Times New Roman" w:cs="Times New Roman"/>
          <w:sz w:val="22"/>
          <w:szCs w:val="22"/>
        </w:rPr>
        <w:t xml:space="preserve">, ktorý pomôže vášmu telu v boji proti infekcii. Je dôležité, aby ste dostali účinnú liečbu tohto ochorenia. </w:t>
      </w:r>
    </w:p>
    <w:p w14:paraId="64719F2B" w14:textId="5B0AC9BA" w:rsidR="00CD280B" w:rsidRPr="00CD280B" w:rsidRDefault="00C54DE3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proofErr w:type="spellStart"/>
      <w:r>
        <w:rPr>
          <w:rFonts w:ascii="Times New Roman" w:eastAsia="Verdana" w:hAnsi="Times New Roman" w:cs="Times New Roman"/>
          <w:lang w:val="sk-SK" w:eastAsia="en-GB"/>
        </w:rPr>
        <w:t>Fomicyt</w:t>
      </w:r>
      <w:proofErr w:type="spellEnd"/>
      <w:r w:rsidR="00CD280B" w:rsidRPr="00CD280B">
        <w:rPr>
          <w:rFonts w:ascii="Times New Roman" w:eastAsia="Verdana" w:hAnsi="Times New Roman" w:cs="Times New Roman"/>
          <w:lang w:val="sk-SK" w:eastAsia="en-GB"/>
        </w:rPr>
        <w:t xml:space="preserve"> sa používa u dospelých, dospievajúcich a u detí na liečbu </w:t>
      </w:r>
      <w:r w:rsidR="00BA47CC">
        <w:rPr>
          <w:rFonts w:ascii="Times New Roman" w:eastAsia="Verdana" w:hAnsi="Times New Roman" w:cs="Times New Roman"/>
          <w:lang w:val="sk-SK" w:eastAsia="en-GB"/>
        </w:rPr>
        <w:t xml:space="preserve">infekcií spôsobených baktériami, ktoré postihujú: </w:t>
      </w:r>
    </w:p>
    <w:p w14:paraId="75F41A5F" w14:textId="77777777" w:rsidR="00CD280B" w:rsidRDefault="00CD280B" w:rsidP="00D8475C">
      <w:pPr>
        <w:numPr>
          <w:ilvl w:val="0"/>
          <w:numId w:val="13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močové cesty</w:t>
      </w:r>
    </w:p>
    <w:p w14:paraId="1A27619B" w14:textId="77777777" w:rsidR="00437B17" w:rsidRPr="00BC0ABE" w:rsidRDefault="00437B17" w:rsidP="00437B17">
      <w:pPr>
        <w:pStyle w:val="BodytextAgency"/>
        <w:numPr>
          <w:ilvl w:val="0"/>
          <w:numId w:val="13"/>
        </w:numPr>
        <w:spacing w:after="120"/>
        <w:ind w:left="0" w:firstLine="0"/>
        <w:rPr>
          <w:rFonts w:ascii="Times New Roman" w:hAnsi="Times New Roman" w:cs="Times New Roman"/>
          <w:sz w:val="22"/>
          <w:szCs w:val="22"/>
        </w:rPr>
      </w:pPr>
      <w:r w:rsidRPr="00BC0ABE">
        <w:rPr>
          <w:rFonts w:ascii="Times New Roman" w:hAnsi="Times New Roman" w:cs="Times New Roman"/>
          <w:sz w:val="22"/>
          <w:szCs w:val="22"/>
        </w:rPr>
        <w:t>srdce – niekedy sa to nazýva „</w:t>
      </w:r>
      <w:proofErr w:type="spellStart"/>
      <w:r w:rsidRPr="00BC0ABE">
        <w:rPr>
          <w:rFonts w:ascii="Times New Roman" w:hAnsi="Times New Roman" w:cs="Times New Roman"/>
          <w:sz w:val="22"/>
          <w:szCs w:val="22"/>
        </w:rPr>
        <w:t>endokarditída</w:t>
      </w:r>
      <w:proofErr w:type="spellEnd"/>
      <w:r w:rsidRPr="00BC0ABE">
        <w:rPr>
          <w:rFonts w:ascii="Times New Roman" w:hAnsi="Times New Roman" w:cs="Times New Roman"/>
          <w:sz w:val="22"/>
          <w:szCs w:val="22"/>
        </w:rPr>
        <w:t>“</w:t>
      </w:r>
    </w:p>
    <w:p w14:paraId="30A4A1FA" w14:textId="77777777" w:rsidR="00CD280B" w:rsidRPr="00CD280B" w:rsidRDefault="00CD280B" w:rsidP="00D8475C">
      <w:pPr>
        <w:numPr>
          <w:ilvl w:val="0"/>
          <w:numId w:val="13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kosti a kĺby</w:t>
      </w:r>
    </w:p>
    <w:p w14:paraId="36E6CA37" w14:textId="77777777" w:rsidR="00CD280B" w:rsidRDefault="00CD280B" w:rsidP="00D8475C">
      <w:pPr>
        <w:numPr>
          <w:ilvl w:val="0"/>
          <w:numId w:val="13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pľúca, nazýva sa to „zápal pľúc“</w:t>
      </w:r>
    </w:p>
    <w:p w14:paraId="4E57DCF8" w14:textId="77777777" w:rsidR="006E111E" w:rsidRPr="00BC0ABE" w:rsidRDefault="006E111E" w:rsidP="006E111E">
      <w:pPr>
        <w:pStyle w:val="BodytextAgency"/>
        <w:numPr>
          <w:ilvl w:val="0"/>
          <w:numId w:val="13"/>
        </w:numPr>
        <w:spacing w:after="120"/>
        <w:ind w:left="0" w:firstLine="0"/>
        <w:rPr>
          <w:rFonts w:ascii="Times New Roman" w:hAnsi="Times New Roman" w:cs="Times New Roman"/>
          <w:sz w:val="22"/>
          <w:szCs w:val="22"/>
        </w:rPr>
      </w:pPr>
      <w:r w:rsidRPr="00BC0ABE">
        <w:rPr>
          <w:rFonts w:ascii="Times New Roman" w:hAnsi="Times New Roman" w:cs="Times New Roman"/>
          <w:sz w:val="22"/>
          <w:szCs w:val="22"/>
        </w:rPr>
        <w:t>koža a tkanivá pod kožou</w:t>
      </w:r>
    </w:p>
    <w:p w14:paraId="4EE86404" w14:textId="77777777" w:rsidR="00CD280B" w:rsidRDefault="00CD280B" w:rsidP="00D8475C">
      <w:pPr>
        <w:numPr>
          <w:ilvl w:val="0"/>
          <w:numId w:val="13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centrálny nervový systém</w:t>
      </w:r>
    </w:p>
    <w:p w14:paraId="72AABCC0" w14:textId="77777777" w:rsidR="006E111E" w:rsidRPr="00BC0ABE" w:rsidRDefault="006E111E" w:rsidP="006E111E">
      <w:pPr>
        <w:pStyle w:val="BodytextAgency"/>
        <w:numPr>
          <w:ilvl w:val="0"/>
          <w:numId w:val="13"/>
        </w:numPr>
        <w:spacing w:after="120"/>
        <w:ind w:left="0" w:firstLine="0"/>
        <w:rPr>
          <w:rFonts w:ascii="Times New Roman" w:hAnsi="Times New Roman" w:cs="Times New Roman"/>
          <w:sz w:val="22"/>
          <w:szCs w:val="22"/>
        </w:rPr>
      </w:pPr>
      <w:r w:rsidRPr="00BC0ABE">
        <w:rPr>
          <w:rFonts w:ascii="Times New Roman" w:hAnsi="Times New Roman" w:cs="Times New Roman"/>
          <w:sz w:val="22"/>
          <w:szCs w:val="22"/>
        </w:rPr>
        <w:t>brucho</w:t>
      </w:r>
    </w:p>
    <w:p w14:paraId="4451C498" w14:textId="77777777" w:rsidR="00CD280B" w:rsidRPr="00CD280B" w:rsidRDefault="00CD280B" w:rsidP="00D8475C">
      <w:pPr>
        <w:numPr>
          <w:ilvl w:val="0"/>
          <w:numId w:val="13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krv, keď je to spôsobené niektorým z vyššie uvedených ochorení</w:t>
      </w:r>
    </w:p>
    <w:p w14:paraId="6CB2B1F2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E618BCD" w14:textId="7D6983C6" w:rsidR="00E372ED" w:rsidRPr="00E372ED" w:rsidRDefault="00E372ED" w:rsidP="00D847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E372ED">
        <w:rPr>
          <w:rFonts w:ascii="Times New Roman" w:eastAsia="Times New Roman" w:hAnsi="Times New Roman" w:cs="Times New Roman"/>
          <w:b/>
          <w:bCs/>
          <w:lang w:val="sk-SK"/>
        </w:rPr>
        <w:tab/>
        <w:t xml:space="preserve">Čo potrebujete vedieť predtým, ako </w:t>
      </w:r>
      <w:r w:rsidR="009F2F7A" w:rsidRPr="004C5849">
        <w:rPr>
          <w:rFonts w:ascii="Times New Roman" w:eastAsia="Times New Roman" w:hAnsi="Times New Roman" w:cs="Times New Roman"/>
          <w:b/>
          <w:bCs/>
          <w:lang w:val="sk-SK"/>
        </w:rPr>
        <w:t>použijete</w:t>
      </w:r>
      <w:r w:rsidRPr="00E372ED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proofErr w:type="spellStart"/>
      <w:r w:rsidRPr="00E372ED">
        <w:rPr>
          <w:rFonts w:ascii="Times New Roman" w:eastAsia="Times New Roman" w:hAnsi="Times New Roman" w:cs="Times New Roman"/>
          <w:b/>
          <w:bCs/>
          <w:lang w:val="sk-SK"/>
        </w:rPr>
        <w:t>Fomicyt</w:t>
      </w:r>
      <w:proofErr w:type="spellEnd"/>
    </w:p>
    <w:p w14:paraId="1F3CE6C1" w14:textId="77777777" w:rsidR="00E372ED" w:rsidRPr="00E372ED" w:rsidRDefault="00E372ED" w:rsidP="00D847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88FC9AC" w14:textId="77777777" w:rsidR="00135B8A" w:rsidRDefault="00135B8A">
      <w:pPr>
        <w:rPr>
          <w:rFonts w:ascii="Times New Roman" w:eastAsia="Verdana" w:hAnsi="Times New Roman" w:cs="Times New Roman"/>
          <w:b/>
          <w:bCs/>
          <w:lang w:val="sk-SK" w:eastAsia="en-GB"/>
        </w:rPr>
      </w:pPr>
      <w:r>
        <w:rPr>
          <w:rFonts w:ascii="Times New Roman" w:eastAsia="Verdana" w:hAnsi="Times New Roman" w:cs="Times New Roman"/>
          <w:b/>
          <w:bCs/>
          <w:lang w:val="sk-SK" w:eastAsia="en-GB"/>
        </w:rPr>
        <w:br w:type="page"/>
      </w:r>
    </w:p>
    <w:p w14:paraId="7E6D4530" w14:textId="0A3BF0C1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bCs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lastRenderedPageBreak/>
        <w:t xml:space="preserve">Nepoužívajte </w:t>
      </w:r>
      <w:proofErr w:type="spellStart"/>
      <w:r w:rsidR="00C54DE3">
        <w:rPr>
          <w:rFonts w:ascii="Times New Roman" w:eastAsia="Verdana" w:hAnsi="Times New Roman" w:cs="Times New Roman"/>
          <w:b/>
          <w:bCs/>
          <w:lang w:val="sk-SK" w:eastAsia="en-GB"/>
        </w:rPr>
        <w:t>Fomicyt</w:t>
      </w:r>
      <w:proofErr w:type="spellEnd"/>
    </w:p>
    <w:p w14:paraId="410442CA" w14:textId="77777777" w:rsidR="00CD280B" w:rsidRPr="00CD280B" w:rsidRDefault="00CD280B" w:rsidP="004C5849">
      <w:pPr>
        <w:numPr>
          <w:ilvl w:val="0"/>
          <w:numId w:val="14"/>
        </w:numPr>
        <w:spacing w:after="140" w:line="280" w:lineRule="atLeast"/>
        <w:ind w:left="709" w:hanging="709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 xml:space="preserve">ak ste alergický na 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fosfomycín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alebo na ktorúkoľvek z ďalších zložiek tohto lieku (uvedených v časti 6).</w:t>
      </w:r>
    </w:p>
    <w:p w14:paraId="5B831F11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Upozornenia a opatrenia</w:t>
      </w:r>
    </w:p>
    <w:p w14:paraId="504BA74A" w14:textId="77777777" w:rsidR="00CD280B" w:rsidRPr="00CD280B" w:rsidRDefault="00CD280B" w:rsidP="00D8475C">
      <w:pPr>
        <w:spacing w:after="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 xml:space="preserve">Predtým, ako začnete užívať </w:t>
      </w:r>
      <w:proofErr w:type="spellStart"/>
      <w:r w:rsidR="00C54DE3">
        <w:rPr>
          <w:rFonts w:ascii="Times New Roman" w:eastAsia="Verdana" w:hAnsi="Times New Roman" w:cs="Times New Roman"/>
          <w:lang w:val="sk-SK" w:eastAsia="en-GB"/>
        </w:rPr>
        <w:t>Fomicyt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>, obráťte sa na svojho lekára, lekárnika alebo zdravotnú sestru, ak máte niektorú z nasledovných porúch:</w:t>
      </w:r>
    </w:p>
    <w:p w14:paraId="015DB31B" w14:textId="77777777" w:rsidR="00CD280B" w:rsidRPr="00CD280B" w:rsidRDefault="00CD280B" w:rsidP="004931D2">
      <w:pPr>
        <w:numPr>
          <w:ilvl w:val="0"/>
          <w:numId w:val="14"/>
        </w:numPr>
        <w:spacing w:after="120" w:line="280" w:lineRule="atLeast"/>
        <w:ind w:left="709" w:hanging="709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 xml:space="preserve">problémy so srdcom (srdcová nedostatočnosť), hlave ak užívate 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digitalisový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liek (pre možný výskyt nízkej hladiny draslíka v krvi),</w:t>
      </w:r>
    </w:p>
    <w:p w14:paraId="02ACB189" w14:textId="77777777" w:rsidR="00CD280B" w:rsidRPr="00CD280B" w:rsidRDefault="00CD280B" w:rsidP="00D8475C">
      <w:pPr>
        <w:numPr>
          <w:ilvl w:val="0"/>
          <w:numId w:val="14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vysoký krvný tlak (hypertenzia),</w:t>
      </w:r>
    </w:p>
    <w:p w14:paraId="36237404" w14:textId="77777777" w:rsidR="00CD280B" w:rsidRPr="00CD280B" w:rsidRDefault="00CD280B" w:rsidP="00D8475C">
      <w:pPr>
        <w:numPr>
          <w:ilvl w:val="0"/>
          <w:numId w:val="14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určitá porucha hormonálneho systému (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hyperaldosteronizmus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>),</w:t>
      </w:r>
    </w:p>
    <w:p w14:paraId="092698FB" w14:textId="77777777" w:rsidR="00CD280B" w:rsidRPr="00CD280B" w:rsidRDefault="00CD280B" w:rsidP="00D8475C">
      <w:pPr>
        <w:numPr>
          <w:ilvl w:val="0"/>
          <w:numId w:val="14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vysoká hladina sodíka v krvi (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hypernatriémia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>),</w:t>
      </w:r>
    </w:p>
    <w:p w14:paraId="28C7800B" w14:textId="77777777" w:rsidR="00CD280B" w:rsidRPr="00CD280B" w:rsidRDefault="00CD280B" w:rsidP="00D8475C">
      <w:pPr>
        <w:numPr>
          <w:ilvl w:val="0"/>
          <w:numId w:val="14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hromadenie tekutín v pľúcach (pľúcny edém),</w:t>
      </w:r>
    </w:p>
    <w:p w14:paraId="0887FBF1" w14:textId="77777777" w:rsidR="00CD280B" w:rsidRPr="00CD280B" w:rsidRDefault="00CD280B" w:rsidP="004931D2">
      <w:pPr>
        <w:numPr>
          <w:ilvl w:val="0"/>
          <w:numId w:val="14"/>
        </w:numPr>
        <w:spacing w:after="120" w:line="280" w:lineRule="atLeast"/>
        <w:ind w:left="709" w:hanging="709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ťažkosti s obličkami. Váš lekár vám možno bude musieť zmeniť dávku lieku (pozri 3. časť tejto Písomnej informácie pre používateľa).</w:t>
      </w:r>
    </w:p>
    <w:p w14:paraId="63D90D23" w14:textId="77777777" w:rsidR="00CD280B" w:rsidRPr="00CD280B" w:rsidRDefault="00CD280B" w:rsidP="00D8475C">
      <w:pPr>
        <w:numPr>
          <w:ilvl w:val="0"/>
          <w:numId w:val="14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predchádzajúce prípady hnačky po užití alebo podaní akýchkoľvek iných antibiotík</w:t>
      </w:r>
    </w:p>
    <w:p w14:paraId="18D9E796" w14:textId="47E9BF15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 xml:space="preserve">Zdravotné ťažkosti, na ktoré si </w:t>
      </w:r>
      <w:r w:rsidR="007B71A0">
        <w:rPr>
          <w:rFonts w:ascii="Times New Roman" w:eastAsia="Verdana" w:hAnsi="Times New Roman" w:cs="Times New Roman"/>
          <w:b/>
          <w:bCs/>
          <w:lang w:val="sk-SK" w:eastAsia="en-GB"/>
        </w:rPr>
        <w:t>musíte</w:t>
      </w: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 xml:space="preserve"> dávať pozor</w:t>
      </w:r>
    </w:p>
    <w:p w14:paraId="7A96203C" w14:textId="77777777" w:rsidR="00CD280B" w:rsidRPr="00CD280B" w:rsidRDefault="00C54DE3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proofErr w:type="spellStart"/>
      <w:r>
        <w:rPr>
          <w:rFonts w:ascii="Times New Roman" w:eastAsia="Verdana" w:hAnsi="Times New Roman" w:cs="Times New Roman"/>
          <w:lang w:val="sk-SK" w:eastAsia="en-GB"/>
        </w:rPr>
        <w:t>Fomicyt</w:t>
      </w:r>
      <w:proofErr w:type="spellEnd"/>
      <w:r w:rsidR="00CD280B" w:rsidRPr="00CD280B">
        <w:rPr>
          <w:rFonts w:ascii="Times New Roman" w:eastAsia="Verdana" w:hAnsi="Times New Roman" w:cs="Times New Roman"/>
          <w:lang w:val="sk-SK" w:eastAsia="en-GB"/>
        </w:rPr>
        <w:t xml:space="preserve"> môže spôsobiť závažné vedľajšie účinky. Patria k ním alergické reakcie, zápal hrubého čreva a klesajúci počet bielych krviniek. Aby sa znížilo riziko vzniku akýchkoľvek ťažkostí, musíte si počas užívania tohto lieku dávať pozor na určité príznaky. Pozri časť 4. „Závažné vedľajšie účinky“.</w:t>
      </w:r>
    </w:p>
    <w:p w14:paraId="6C5F8738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 xml:space="preserve">Iné lieky a </w:t>
      </w:r>
      <w:proofErr w:type="spellStart"/>
      <w:r w:rsidR="00C54DE3">
        <w:rPr>
          <w:rFonts w:ascii="Times New Roman" w:eastAsia="Verdana" w:hAnsi="Times New Roman" w:cs="Times New Roman"/>
          <w:b/>
          <w:bCs/>
          <w:lang w:val="sk-SK" w:eastAsia="en-GB"/>
        </w:rPr>
        <w:t>Fomicyt</w:t>
      </w:r>
      <w:proofErr w:type="spellEnd"/>
    </w:p>
    <w:p w14:paraId="27D35F10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Ak teraz užívate, alebo ste v poslednom čase užívali, či práve budete užívať ďalšie lieky, povedzte to svojmu lekárovi alebo lekárnikovi.</w:t>
      </w:r>
    </w:p>
    <w:p w14:paraId="72F2BC0E" w14:textId="5BBF4B54" w:rsidR="00CD280B" w:rsidRPr="00CD280B" w:rsidRDefault="00CD280B" w:rsidP="004931D2">
      <w:pPr>
        <w:numPr>
          <w:ilvl w:val="0"/>
          <w:numId w:val="15"/>
        </w:numPr>
        <w:spacing w:after="140" w:line="280" w:lineRule="atLeast"/>
        <w:ind w:left="709" w:hanging="709"/>
        <w:rPr>
          <w:rFonts w:ascii="Times New Roman" w:eastAsia="Verdana" w:hAnsi="Times New Roman" w:cs="Times New Roman"/>
          <w:lang w:val="sk-SK" w:eastAsia="en-GB"/>
        </w:rPr>
      </w:pP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antikoagula</w:t>
      </w:r>
      <w:r w:rsidR="005D3D50">
        <w:rPr>
          <w:rFonts w:ascii="Times New Roman" w:eastAsia="Verdana" w:hAnsi="Times New Roman" w:cs="Times New Roman"/>
          <w:lang w:val="sk-SK" w:eastAsia="en-GB"/>
        </w:rPr>
        <w:t>nciá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(lieky proti zrážaniu krvi), pretože ich schopnosť zabrániť zrážaniu krvi môže byť pozmenená 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fosfomycínom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a inými antibiotikami.</w:t>
      </w:r>
    </w:p>
    <w:p w14:paraId="65255DB8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Tehotenstvo a dojčenie</w:t>
      </w:r>
    </w:p>
    <w:p w14:paraId="658946C4" w14:textId="5E796695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 xml:space="preserve">Ak ste tehotná alebo dojčíte, ak si myslíte, že ste tehotná alebo ak plánujete otehotnieť, poraďte sa so svojím lekárom alebo lekárnikom predtým, ako začnete </w:t>
      </w:r>
      <w:r w:rsidR="00B5167E">
        <w:rPr>
          <w:rFonts w:ascii="Times New Roman" w:eastAsia="Verdana" w:hAnsi="Times New Roman" w:cs="Times New Roman"/>
          <w:lang w:val="sk-SK" w:eastAsia="en-GB"/>
        </w:rPr>
        <w:t>po</w:t>
      </w:r>
      <w:r w:rsidRPr="00CD280B">
        <w:rPr>
          <w:rFonts w:ascii="Times New Roman" w:eastAsia="Verdana" w:hAnsi="Times New Roman" w:cs="Times New Roman"/>
          <w:lang w:val="sk-SK" w:eastAsia="en-GB"/>
        </w:rPr>
        <w:t>užívať tento liek.</w:t>
      </w:r>
    </w:p>
    <w:p w14:paraId="5E6CAEC2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Fosfomycín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môže prechádzať do dieťaťa v maternici alebo cez materské mlieko. Ak ste tehotná alebo dojčíte, váš lekár vám podá tento liek, len ak to bude jednoznačne nevyhnutné.</w:t>
      </w:r>
    </w:p>
    <w:p w14:paraId="0A79355A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Vedenie vozidiel a obsluha strojov</w:t>
      </w:r>
    </w:p>
    <w:p w14:paraId="67006E3F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 xml:space="preserve">Pri podávaní lieku </w:t>
      </w:r>
      <w:proofErr w:type="spellStart"/>
      <w:r w:rsidR="00C54DE3">
        <w:rPr>
          <w:rFonts w:ascii="Times New Roman" w:eastAsia="Verdana" w:hAnsi="Times New Roman" w:cs="Times New Roman"/>
          <w:lang w:val="sk-SK" w:eastAsia="en-GB"/>
        </w:rPr>
        <w:t>Fomicyt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sa môžu vyskytnúť vedľajšie účinky, ako je zmätenosť a slabosť. Ak sa vyskytnú, neveďte vozidlá a neobsluhujte stroje.</w:t>
      </w:r>
    </w:p>
    <w:p w14:paraId="6B759EF2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A5F8794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aps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 xml:space="preserve">Dôležité informácie o niektorých zložkách </w:t>
      </w:r>
      <w:proofErr w:type="spellStart"/>
      <w:r w:rsidRPr="00E372ED">
        <w:rPr>
          <w:rFonts w:ascii="Times New Roman" w:eastAsia="Times New Roman" w:hAnsi="Times New Roman" w:cs="Times New Roman"/>
          <w:b/>
          <w:bCs/>
          <w:lang w:val="sk-SK"/>
        </w:rPr>
        <w:t>Fomicytu</w:t>
      </w:r>
      <w:proofErr w:type="spellEnd"/>
      <w:r w:rsidRPr="00E372ED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5DE0EE56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Tento liek obsahuje 14 mmol (320 mg) sodíka na 1 mg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. To sa rovná 16 % odporúčaného maximálneho denného príjmu sodíka v potrave pre dospelých. Jedna fľaša obsahujúca 2 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obsahuje 28 mmol (640 mg) sodíka, jedna fľaša obsahujúca 4 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obsahuje 56 mmol (1 280 mg) sodíka a jedna fľaša obsahujúca 8 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obsahuje 111 mmol (2 560 mg) sodíka.</w:t>
      </w:r>
    </w:p>
    <w:p w14:paraId="19245494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Musí sa to vziať do úvahy, ak ste na diéte s kontrolovaným obsahom sodíka.</w:t>
      </w:r>
    </w:p>
    <w:p w14:paraId="21CD647F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Počas liečby týmto liekom dodržiavajte diétu s nízkym obsahom soli na zníženie príjmu sodíka.</w:t>
      </w:r>
    </w:p>
    <w:p w14:paraId="5F950E7D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</w:p>
    <w:p w14:paraId="7459ADA5" w14:textId="77777777" w:rsidR="005F19A9" w:rsidRDefault="00E372ED" w:rsidP="00D8475C">
      <w:pPr>
        <w:spacing w:after="0" w:line="240" w:lineRule="auto"/>
        <w:ind w:right="-2"/>
        <w:rPr>
          <w:rFonts w:ascii="Times New Roman" w:eastAsia="SimSun" w:hAnsi="Times New Roman" w:cs="Times New Roman"/>
          <w:iCs/>
          <w:lang w:val="sk-SK" w:eastAsia="zh-CN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lastRenderedPageBreak/>
        <w:t>3.</w:t>
      </w:r>
      <w:r w:rsidRPr="00E372ED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5F19A9" w:rsidRPr="00977038">
        <w:rPr>
          <w:rFonts w:ascii="Times New Roman" w:eastAsia="SimSun" w:hAnsi="Times New Roman" w:cs="Times New Roman"/>
          <w:b/>
          <w:iCs/>
          <w:lang w:val="sk-SK" w:eastAsia="zh-CN"/>
        </w:rPr>
        <w:t xml:space="preserve">Ako používať </w:t>
      </w:r>
      <w:proofErr w:type="spellStart"/>
      <w:r w:rsidR="00C54DE3" w:rsidRPr="00977038">
        <w:rPr>
          <w:rFonts w:ascii="Times New Roman" w:eastAsia="SimSun" w:hAnsi="Times New Roman" w:cs="Times New Roman"/>
          <w:b/>
          <w:iCs/>
          <w:lang w:val="sk-SK" w:eastAsia="zh-CN"/>
        </w:rPr>
        <w:t>Fomicyt</w:t>
      </w:r>
      <w:proofErr w:type="spellEnd"/>
    </w:p>
    <w:p w14:paraId="31377EC7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</w:p>
    <w:p w14:paraId="39075A15" w14:textId="7712537B" w:rsidR="00CD280B" w:rsidRPr="00CD280B" w:rsidRDefault="00C54DE3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proofErr w:type="spellStart"/>
      <w:r>
        <w:rPr>
          <w:rFonts w:ascii="Times New Roman" w:eastAsia="Verdana" w:hAnsi="Times New Roman" w:cs="Times New Roman"/>
          <w:lang w:val="sk-SK" w:eastAsia="en-GB"/>
        </w:rPr>
        <w:t>Fomicyt</w:t>
      </w:r>
      <w:proofErr w:type="spellEnd"/>
      <w:r w:rsidR="00CD280B" w:rsidRPr="00CD280B">
        <w:rPr>
          <w:rFonts w:ascii="Times New Roman" w:eastAsia="Verdana" w:hAnsi="Times New Roman" w:cs="Times New Roman"/>
          <w:lang w:val="sk-SK" w:eastAsia="en-GB"/>
        </w:rPr>
        <w:t xml:space="preserve"> vám podá lekár alebo zdravotná sestra ako infúziu  do žily. </w:t>
      </w:r>
    </w:p>
    <w:p w14:paraId="6A179D89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Dávkovanie</w:t>
      </w:r>
    </w:p>
    <w:p w14:paraId="27037CAB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Dávka, ktorú vám podajú, a frekvencia podávania budú závisieť od:</w:t>
      </w:r>
    </w:p>
    <w:p w14:paraId="4BD2752D" w14:textId="77777777" w:rsidR="00CD280B" w:rsidRPr="00CD280B" w:rsidRDefault="00CD280B" w:rsidP="00D8475C">
      <w:pPr>
        <w:numPr>
          <w:ilvl w:val="0"/>
          <w:numId w:val="16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druhu a závažnosti infekcie, ktorú máte,</w:t>
      </w:r>
    </w:p>
    <w:p w14:paraId="63E61D02" w14:textId="77777777" w:rsidR="00CD280B" w:rsidRPr="00CD280B" w:rsidRDefault="00CD280B" w:rsidP="00D8475C">
      <w:pPr>
        <w:numPr>
          <w:ilvl w:val="0"/>
          <w:numId w:val="16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funkcie vašich obličiek.</w:t>
      </w:r>
    </w:p>
    <w:p w14:paraId="0DF3B184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pl-PL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U detí to tiež závisí od:</w:t>
      </w:r>
    </w:p>
    <w:p w14:paraId="58EDDBFC" w14:textId="77777777" w:rsidR="00CD280B" w:rsidRPr="00CD280B" w:rsidRDefault="00CD280B" w:rsidP="00D8475C">
      <w:pPr>
        <w:numPr>
          <w:ilvl w:val="0"/>
          <w:numId w:val="17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telesnej hmotnosti dieťaťa,</w:t>
      </w:r>
    </w:p>
    <w:p w14:paraId="381D33E1" w14:textId="77777777" w:rsidR="00CD280B" w:rsidRPr="00CD280B" w:rsidRDefault="00CD280B" w:rsidP="00D8475C">
      <w:pPr>
        <w:numPr>
          <w:ilvl w:val="0"/>
          <w:numId w:val="17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veku dieťaťa.</w:t>
      </w:r>
    </w:p>
    <w:p w14:paraId="535C16B4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Ak máte ťažkosti s obličkami alebo potrebujete dialýzu, váš lekár vám možno bude musieť znížiť dávku tohto lieku.</w:t>
      </w:r>
    </w:p>
    <w:p w14:paraId="0EDFDAAD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u w:val="single"/>
          <w:lang w:val="sk-SK" w:eastAsia="en-GB"/>
        </w:rPr>
      </w:pPr>
      <w:r w:rsidRPr="00CD280B">
        <w:rPr>
          <w:rFonts w:ascii="Times New Roman" w:eastAsia="Verdana" w:hAnsi="Times New Roman" w:cs="Times New Roman"/>
          <w:u w:val="single"/>
          <w:lang w:val="sk-SK" w:eastAsia="en-GB"/>
        </w:rPr>
        <w:t>Cesta podania a spôsob podávania</w:t>
      </w:r>
    </w:p>
    <w:p w14:paraId="3CD4C5D0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Na intravenózne použitie.</w:t>
      </w:r>
    </w:p>
    <w:p w14:paraId="49B5816C" w14:textId="15198627" w:rsidR="00CD280B" w:rsidRPr="00CD280B" w:rsidRDefault="00C54DE3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proofErr w:type="spellStart"/>
      <w:r>
        <w:rPr>
          <w:rFonts w:ascii="Times New Roman" w:eastAsia="Verdana" w:hAnsi="Times New Roman" w:cs="Times New Roman"/>
          <w:lang w:val="sk-SK" w:eastAsia="en-GB"/>
        </w:rPr>
        <w:t>Fomicyt</w:t>
      </w:r>
      <w:proofErr w:type="spellEnd"/>
      <w:r w:rsidR="00CD280B" w:rsidRPr="00CD280B">
        <w:rPr>
          <w:rFonts w:ascii="Times New Roman" w:eastAsia="Verdana" w:hAnsi="Times New Roman" w:cs="Times New Roman"/>
          <w:lang w:val="sk-SK" w:eastAsia="en-GB"/>
        </w:rPr>
        <w:t xml:space="preserve"> vám podá lekár alebo zdravotná sestra ako infúziu  do žily. Podávanie infúzie zvyčajne trvá 15 až 60 minút v závislosti od vašej dávky. Tento liek sa zvyčajne podáva 2-, 3- alebo 4-krát denne.</w:t>
      </w:r>
    </w:p>
    <w:p w14:paraId="5332E34D" w14:textId="77777777" w:rsidR="00CD280B" w:rsidRPr="00CD280B" w:rsidRDefault="00CD280B" w:rsidP="00D8475C">
      <w:pPr>
        <w:keepNext/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Trvanie liečby</w:t>
      </w:r>
    </w:p>
    <w:p w14:paraId="6246DD5C" w14:textId="77777777" w:rsidR="00CD280B" w:rsidRPr="00CD280B" w:rsidRDefault="00CD280B" w:rsidP="00D8475C">
      <w:pPr>
        <w:keepNext/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 xml:space="preserve">Váš lekár rozhodne, ako dlho má trvať vaša liečba, v závislosti od toho, ako rýchlo sa bude váš stav zlepšovať. Pri liečbe bakteriálnych infekcií je dôležité dokončiť celý cyklus liečby. Aj po ustúpení horúčky a zmiernení príznakov sa má v liečbe pokračovať ešte niekoľko dní. </w:t>
      </w:r>
    </w:p>
    <w:p w14:paraId="53A6EAD6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Pri určitých infekciách, ako sú napríklad infekcie kostí, sa po ustúpení príznakov môže vyžadovať aj dlhšie liečebné obdobie.</w:t>
      </w:r>
    </w:p>
    <w:p w14:paraId="458BFA78" w14:textId="28B0045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 xml:space="preserve">Ak </w:t>
      </w:r>
      <w:r w:rsidR="001E0A81">
        <w:rPr>
          <w:rFonts w:ascii="Times New Roman" w:eastAsia="Verdana" w:hAnsi="Times New Roman" w:cs="Times New Roman"/>
          <w:b/>
          <w:bCs/>
          <w:lang w:val="sk-SK" w:eastAsia="en-GB"/>
        </w:rPr>
        <w:t>po</w:t>
      </w: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 xml:space="preserve">užijete viac </w:t>
      </w:r>
      <w:r w:rsidR="001E0A81">
        <w:rPr>
          <w:rFonts w:ascii="Times New Roman" w:eastAsia="Verdana" w:hAnsi="Times New Roman" w:cs="Times New Roman"/>
          <w:b/>
          <w:bCs/>
          <w:lang w:val="sk-SK" w:eastAsia="en-GB"/>
        </w:rPr>
        <w:t xml:space="preserve">lieku </w:t>
      </w:r>
      <w:proofErr w:type="spellStart"/>
      <w:r w:rsidR="00C54DE3">
        <w:rPr>
          <w:rFonts w:ascii="Times New Roman" w:eastAsia="Verdana" w:hAnsi="Times New Roman" w:cs="Times New Roman"/>
          <w:b/>
          <w:bCs/>
          <w:lang w:val="sk-SK" w:eastAsia="en-GB"/>
        </w:rPr>
        <w:t>Fomicyt</w:t>
      </w:r>
      <w:proofErr w:type="spellEnd"/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, ako máte</w:t>
      </w:r>
    </w:p>
    <w:p w14:paraId="2614A88F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Je nepravdepodobné, že vám váš lekár alebo zdravotná sestra podajú príliš veľa lieku. Ak si myslíte, že ste dostali príliš veľa tohto lieku, okamžite sa ich na to opýtajte.</w:t>
      </w:r>
    </w:p>
    <w:p w14:paraId="01933D0F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Ak máte akékoľvek ďalšie otázky týkajúce sa použitia tohto lieku, opýtajte sa svojho lekára, lekárnika alebo zdravotnej sestry.</w:t>
      </w:r>
    </w:p>
    <w:p w14:paraId="4F92B261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9D21578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>4.</w:t>
      </w:r>
      <w:r w:rsidRPr="00E372ED">
        <w:rPr>
          <w:rFonts w:ascii="Times New Roman" w:eastAsia="Times New Roman" w:hAnsi="Times New Roman" w:cs="Times New Roman"/>
          <w:b/>
          <w:bCs/>
          <w:lang w:val="sk-SK"/>
        </w:rPr>
        <w:tab/>
        <w:t>Možné vedľajšie účinky</w:t>
      </w:r>
    </w:p>
    <w:p w14:paraId="1B8E7B75" w14:textId="77777777" w:rsidR="00E372ED" w:rsidRPr="00E372ED" w:rsidRDefault="00E372ED" w:rsidP="00D8475C">
      <w:pPr>
        <w:spacing w:after="0" w:line="240" w:lineRule="auto"/>
        <w:ind w:right="-29"/>
        <w:rPr>
          <w:rFonts w:ascii="Times New Roman" w:eastAsia="Times New Roman" w:hAnsi="Times New Roman" w:cs="Times New Roman"/>
          <w:lang w:val="sk-SK"/>
        </w:rPr>
      </w:pPr>
    </w:p>
    <w:p w14:paraId="4422E955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Tak ako všetky lieky, aj tento liek môže spôsobovať vedľajšie účinky, hoci sa neprejavia u každého.</w:t>
      </w:r>
    </w:p>
    <w:p w14:paraId="0A5E33B4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Závažné vedľajšie účinky</w:t>
      </w:r>
    </w:p>
    <w:p w14:paraId="5AF2415A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Okamžite oznámte svojmu lekárovi, ak spozorujete ktorýkoľvek z nasledujúcich závažných vedľajších účinkov – možno budete potrebovať súrne lekárske ošetrenie:</w:t>
      </w:r>
    </w:p>
    <w:p w14:paraId="1AC2060B" w14:textId="77777777" w:rsidR="00CD280B" w:rsidRPr="00C21AC6" w:rsidRDefault="00CD280B" w:rsidP="00977038">
      <w:pPr>
        <w:pStyle w:val="Odsekzoznamu"/>
        <w:numPr>
          <w:ilvl w:val="0"/>
          <w:numId w:val="23"/>
        </w:numPr>
        <w:spacing w:after="140" w:line="280" w:lineRule="atLeast"/>
        <w:ind w:hanging="720"/>
        <w:rPr>
          <w:rFonts w:ascii="Times New Roman" w:eastAsia="Verdana" w:hAnsi="Times New Roman" w:cs="Times New Roman"/>
          <w:lang w:val="sk-SK" w:eastAsia="en-GB"/>
        </w:rPr>
      </w:pPr>
      <w:r w:rsidRPr="00C21AC6">
        <w:rPr>
          <w:rFonts w:ascii="Times New Roman" w:eastAsia="Verdana" w:hAnsi="Times New Roman" w:cs="Times New Roman"/>
          <w:lang w:val="sk-SK" w:eastAsia="en-GB"/>
        </w:rPr>
        <w:t>Prejavy závažnej alergickej reakcie (veľmi zriedkavé: môžu postihovať menej ako 1 z 10 000 osôb). Môžu k ním patriť: ťažkosti s dýchaním alebo prehĺtaním, náhly sipot, závrat, opuch očných viečok, tváre, pier alebo jazyka, vyrážka alebo svrbenie.</w:t>
      </w:r>
    </w:p>
    <w:p w14:paraId="206EA080" w14:textId="77777777" w:rsidR="00CD280B" w:rsidRPr="00CD280B" w:rsidRDefault="00CD280B" w:rsidP="004931D2">
      <w:pPr>
        <w:numPr>
          <w:ilvl w:val="0"/>
          <w:numId w:val="18"/>
        </w:numPr>
        <w:spacing w:after="120" w:line="280" w:lineRule="atLeast"/>
        <w:ind w:left="709" w:hanging="709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Závažná a pretrvávajúca hnačka, ktorá môže súvisieť s bolesťou brucha alebo horúčkou (frekvencia je neznáma). Môže to byť prejavom závažného zápalu čriev. Neužívajte lieky proti hnačke, ktoré utlmujú pohyb čriev (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antiperistaltiká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). </w:t>
      </w:r>
    </w:p>
    <w:p w14:paraId="4F10136F" w14:textId="77777777" w:rsidR="00CD280B" w:rsidRPr="00CD280B" w:rsidRDefault="00CD280B" w:rsidP="004931D2">
      <w:pPr>
        <w:numPr>
          <w:ilvl w:val="0"/>
          <w:numId w:val="18"/>
        </w:numPr>
        <w:spacing w:after="120" w:line="280" w:lineRule="atLeast"/>
        <w:ind w:left="709" w:hanging="709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lastRenderedPageBreak/>
        <w:t>Zožltnutie kože alebo očných bielok (žltačka, frekvencia je neznáma). Môže to byť skorým prejavom ťažkostí s pečeňou.</w:t>
      </w:r>
    </w:p>
    <w:p w14:paraId="36C6675C" w14:textId="77777777" w:rsidR="00CD280B" w:rsidRPr="00CD280B" w:rsidRDefault="00CD280B" w:rsidP="004931D2">
      <w:pPr>
        <w:numPr>
          <w:ilvl w:val="0"/>
          <w:numId w:val="18"/>
        </w:numPr>
        <w:spacing w:after="120" w:line="280" w:lineRule="atLeast"/>
        <w:ind w:left="709" w:hanging="709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 xml:space="preserve">Zmätenosť, svalové 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zášklby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alebo neobvyklý srdcový rytmus. Môže to byť spôsobené vysokými hladinami sodíka v krvi alebo nízkymi hladinami draslíka v krvi (časté: môžu postihovať menej ako 1 z 10 osôb).</w:t>
      </w:r>
    </w:p>
    <w:p w14:paraId="74780CAF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Ak spozorujete niektorý z nasledovných vedľajších účinkov, ihneď to povedzte svojmu lekárovi alebo zdravotnej sestre:</w:t>
      </w:r>
    </w:p>
    <w:p w14:paraId="3C8B94BA" w14:textId="77777777" w:rsidR="00CD280B" w:rsidRPr="00CD280B" w:rsidRDefault="00CD280B" w:rsidP="004931D2">
      <w:pPr>
        <w:numPr>
          <w:ilvl w:val="0"/>
          <w:numId w:val="19"/>
        </w:numPr>
        <w:spacing w:after="120" w:line="280" w:lineRule="atLeast"/>
        <w:ind w:left="709" w:hanging="709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Bolesť, pocit pálenia, sčervenanie alebo opuch pozdĺž žily, do ktorej sa infúzne podáva tento liek (časté: môžu postihovať menej ako 1 z 10 osôb).</w:t>
      </w:r>
    </w:p>
    <w:p w14:paraId="51D586D9" w14:textId="77777777" w:rsidR="00CD280B" w:rsidRPr="00CD280B" w:rsidRDefault="00CD280B" w:rsidP="004931D2">
      <w:pPr>
        <w:numPr>
          <w:ilvl w:val="0"/>
          <w:numId w:val="19"/>
        </w:numPr>
        <w:spacing w:after="120" w:line="280" w:lineRule="atLeast"/>
        <w:ind w:left="709" w:hanging="709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Ak sa u vás častejšie vyskytuje krvácanie, modriny alebo infekcie. Môže to byť v dôsledku nízkeho počtu bielych krviniek alebo krvných doštičiek (frekvencia je neznáma).</w:t>
      </w:r>
    </w:p>
    <w:p w14:paraId="07A32686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b/>
          <w:lang w:val="sk-SK" w:eastAsia="en-GB"/>
        </w:rPr>
      </w:pPr>
      <w:r w:rsidRPr="00CD280B">
        <w:rPr>
          <w:rFonts w:ascii="Times New Roman" w:eastAsia="Verdana" w:hAnsi="Times New Roman" w:cs="Times New Roman"/>
          <w:b/>
          <w:bCs/>
          <w:lang w:val="sk-SK" w:eastAsia="en-GB"/>
        </w:rPr>
        <w:t>K vedľajším účinkom môžu patriť tieto:</w:t>
      </w:r>
    </w:p>
    <w:p w14:paraId="1909A78B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u w:val="single"/>
          <w:lang w:val="sk-SK" w:eastAsia="en-GB"/>
        </w:rPr>
      </w:pPr>
      <w:r w:rsidRPr="00CD280B">
        <w:rPr>
          <w:rFonts w:ascii="Times New Roman" w:eastAsia="Verdana" w:hAnsi="Times New Roman" w:cs="Times New Roman"/>
          <w:u w:val="single"/>
          <w:lang w:val="sk-SK" w:eastAsia="en-GB"/>
        </w:rPr>
        <w:t>Časté vedľajšie účinky (môžu postihovať menej ako 1 z 10 osôb)</w:t>
      </w:r>
    </w:p>
    <w:p w14:paraId="226D3034" w14:textId="77777777" w:rsidR="00CD280B" w:rsidRPr="00CD280B" w:rsidRDefault="00CD280B" w:rsidP="00D8475C">
      <w:pPr>
        <w:numPr>
          <w:ilvl w:val="0"/>
          <w:numId w:val="20"/>
        </w:numPr>
        <w:spacing w:after="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poruchy chute</w:t>
      </w:r>
    </w:p>
    <w:p w14:paraId="51DEF0EA" w14:textId="77777777" w:rsidR="00CD280B" w:rsidRPr="00CD280B" w:rsidRDefault="00CD280B" w:rsidP="00D8475C">
      <w:pPr>
        <w:spacing w:after="0" w:line="280" w:lineRule="atLeast"/>
        <w:rPr>
          <w:rFonts w:ascii="Times New Roman" w:eastAsia="Verdana" w:hAnsi="Times New Roman" w:cs="Times New Roman"/>
          <w:lang w:val="sk-SK" w:eastAsia="en-GB"/>
        </w:rPr>
      </w:pPr>
    </w:p>
    <w:p w14:paraId="70CD196C" w14:textId="77777777" w:rsidR="00CD280B" w:rsidRPr="00CD280B" w:rsidRDefault="00CD280B" w:rsidP="00D8475C">
      <w:pPr>
        <w:keepNext/>
        <w:spacing w:after="140" w:line="280" w:lineRule="atLeast"/>
        <w:rPr>
          <w:rFonts w:ascii="Times New Roman" w:eastAsia="Verdana" w:hAnsi="Times New Roman" w:cs="Times New Roman"/>
          <w:u w:val="single"/>
          <w:lang w:val="sk-SK" w:eastAsia="en-GB"/>
        </w:rPr>
      </w:pPr>
      <w:r w:rsidRPr="00CD280B">
        <w:rPr>
          <w:rFonts w:ascii="Times New Roman" w:eastAsia="Verdana" w:hAnsi="Times New Roman" w:cs="Times New Roman"/>
          <w:u w:val="single"/>
          <w:lang w:val="sk-SK" w:eastAsia="en-GB"/>
        </w:rPr>
        <w:t>Menej časté vedľajšie účinky (môžu postihovať menej ako 1 zo 100 osôb)</w:t>
      </w:r>
    </w:p>
    <w:p w14:paraId="07552AF7" w14:textId="77777777" w:rsidR="00CD280B" w:rsidRPr="00CD280B" w:rsidRDefault="00CD280B" w:rsidP="00D8475C">
      <w:pPr>
        <w:keepNext/>
        <w:numPr>
          <w:ilvl w:val="0"/>
          <w:numId w:val="21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nevoľnosť, vracanie alebo mierna hnačka</w:t>
      </w:r>
    </w:p>
    <w:p w14:paraId="695DFA67" w14:textId="77777777" w:rsidR="00CD280B" w:rsidRPr="00CD280B" w:rsidRDefault="00CD280B" w:rsidP="00D8475C">
      <w:pPr>
        <w:numPr>
          <w:ilvl w:val="0"/>
          <w:numId w:val="21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bolesť hlavy</w:t>
      </w:r>
    </w:p>
    <w:p w14:paraId="555C35DB" w14:textId="77777777" w:rsidR="00CD280B" w:rsidRPr="00CD280B" w:rsidRDefault="00CD280B" w:rsidP="00D8475C">
      <w:pPr>
        <w:numPr>
          <w:ilvl w:val="0"/>
          <w:numId w:val="21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vysoké hladiny pečeňových enzýmov v krvi, pravdepodobne súvisiace s ťažkosťami s pečeňou</w:t>
      </w:r>
    </w:p>
    <w:p w14:paraId="4D8AF6BD" w14:textId="77777777" w:rsidR="00CD280B" w:rsidRPr="00977038" w:rsidRDefault="00CD280B" w:rsidP="00D8475C">
      <w:pPr>
        <w:numPr>
          <w:ilvl w:val="0"/>
          <w:numId w:val="21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977038">
        <w:rPr>
          <w:rFonts w:ascii="Times New Roman" w:eastAsia="Verdana" w:hAnsi="Times New Roman" w:cs="Times New Roman"/>
          <w:lang w:val="sk-SK" w:eastAsia="en-GB"/>
        </w:rPr>
        <w:t>vyrážka</w:t>
      </w:r>
    </w:p>
    <w:p w14:paraId="672884E1" w14:textId="77777777" w:rsidR="00CD280B" w:rsidRPr="00CD280B" w:rsidRDefault="00CD280B" w:rsidP="00D8475C">
      <w:pPr>
        <w:numPr>
          <w:ilvl w:val="0"/>
          <w:numId w:val="21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slabosť</w:t>
      </w:r>
    </w:p>
    <w:p w14:paraId="187E8BE0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u w:val="single"/>
          <w:lang w:val="sk-SK" w:eastAsia="en-GB"/>
        </w:rPr>
      </w:pPr>
      <w:r w:rsidRPr="00CD280B">
        <w:rPr>
          <w:rFonts w:ascii="Times New Roman" w:eastAsia="Verdana" w:hAnsi="Times New Roman" w:cs="Times New Roman"/>
          <w:u w:val="single"/>
          <w:lang w:val="sk-SK" w:eastAsia="en-GB"/>
        </w:rPr>
        <w:t>Vedľajšie účinky s neznámou frekvenciu (z dostupných údajov)</w:t>
      </w:r>
    </w:p>
    <w:p w14:paraId="49C8C593" w14:textId="77777777" w:rsidR="00CD280B" w:rsidRPr="00CD280B" w:rsidRDefault="00CD280B" w:rsidP="00D8475C">
      <w:pPr>
        <w:numPr>
          <w:ilvl w:val="0"/>
          <w:numId w:val="22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ťažkosti s pečeňou (hepatitída)</w:t>
      </w:r>
    </w:p>
    <w:p w14:paraId="365070E5" w14:textId="77777777" w:rsidR="00CD280B" w:rsidRPr="00CD280B" w:rsidRDefault="00CD280B" w:rsidP="00D8475C">
      <w:pPr>
        <w:numPr>
          <w:ilvl w:val="0"/>
          <w:numId w:val="22"/>
        </w:numPr>
        <w:spacing w:after="120" w:line="280" w:lineRule="atLeast"/>
        <w:ind w:left="0" w:firstLine="0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svrbenie, žihľavka</w:t>
      </w:r>
    </w:p>
    <w:p w14:paraId="3DE10E78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de-DE"/>
        </w:rPr>
      </w:pPr>
    </w:p>
    <w:p w14:paraId="7DF4D819" w14:textId="77777777" w:rsidR="00E372ED" w:rsidRPr="00175B28" w:rsidRDefault="00E372ED" w:rsidP="00D847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lang w:val="sk-SK" w:eastAsia="sk-SK"/>
        </w:rPr>
      </w:pPr>
      <w:r w:rsidRPr="00175B28">
        <w:rPr>
          <w:rFonts w:ascii="Times New Roman" w:eastAsia="Times New Roman" w:hAnsi="Times New Roman" w:cs="Times New Roman"/>
          <w:b/>
          <w:noProof/>
          <w:lang w:val="sk-SK" w:eastAsia="sk-SK"/>
        </w:rPr>
        <w:t>Hlásenie vedľajších účinkov</w:t>
      </w:r>
    </w:p>
    <w:p w14:paraId="3513345D" w14:textId="0F3C5260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 w:eastAsia="sk-SK"/>
        </w:rPr>
      </w:pPr>
      <w:r w:rsidRPr="00175B28">
        <w:rPr>
          <w:rFonts w:ascii="Times New Roman" w:eastAsia="Times New Roman" w:hAnsi="Times New Roman" w:cs="Times New Roman"/>
          <w:noProof/>
          <w:lang w:val="sk-SK" w:eastAsia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na </w:t>
      </w:r>
      <w:r w:rsidRPr="004C0D81">
        <w:rPr>
          <w:rFonts w:ascii="Times New Roman" w:eastAsia="Times New Roman" w:hAnsi="Times New Roman" w:cs="Times New Roman"/>
          <w:noProof/>
          <w:highlight w:val="lightGray"/>
          <w:lang w:val="sk-SK" w:eastAsia="sk-SK"/>
        </w:rPr>
        <w:t>národné centrum hlásenia uvedené v </w:t>
      </w:r>
      <w:hyperlink r:id="rId7" w:history="1">
        <w:r w:rsidR="00877C52" w:rsidRPr="004C0D81">
          <w:rPr>
            <w:rFonts w:ascii="Times New Roman" w:eastAsia="Times New Roman" w:hAnsi="Times New Roman" w:cs="Times New Roman"/>
            <w:color w:val="0000FF"/>
            <w:highlight w:val="lightGray"/>
            <w:u w:val="single"/>
            <w:lang w:val="sk-SK" w:eastAsia="en-GB"/>
          </w:rPr>
          <w:t>Prílohe V</w:t>
        </w:r>
      </w:hyperlink>
      <w:r w:rsidRPr="00175B28">
        <w:rPr>
          <w:rFonts w:ascii="Times New Roman" w:eastAsia="Times New Roman" w:hAnsi="Times New Roman" w:cs="Times New Roman"/>
          <w:noProof/>
          <w:lang w:val="sk-SK" w:eastAsia="sk-SK"/>
        </w:rPr>
        <w:t>.</w:t>
      </w:r>
      <w:r w:rsidRPr="00175B28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Pr="00175B28">
        <w:rPr>
          <w:rFonts w:ascii="Times New Roman" w:eastAsia="Times New Roman" w:hAnsi="Times New Roman" w:cs="Times New Roman"/>
          <w:noProof/>
          <w:lang w:val="sk-SK" w:eastAsia="sk-SK"/>
        </w:rPr>
        <w:t>Hlásením vedľajších účinkov môžete prispieť k získaniu ďalších informácií o bezpečnosti tohto lieku</w:t>
      </w:r>
      <w:r w:rsidRPr="00175B28">
        <w:rPr>
          <w:rFonts w:ascii="Times New Roman" w:eastAsia="Times New Roman" w:hAnsi="Times New Roman" w:cs="Times New Roman"/>
          <w:lang w:val="sk-SK" w:eastAsia="sk-SK"/>
        </w:rPr>
        <w:t>.</w:t>
      </w:r>
    </w:p>
    <w:p w14:paraId="3CCCA23C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 w:eastAsia="sk-SK"/>
        </w:rPr>
      </w:pPr>
    </w:p>
    <w:p w14:paraId="1178B875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E372ED">
        <w:rPr>
          <w:rFonts w:ascii="Times New Roman" w:eastAsia="Times New Roman" w:hAnsi="Times New Roman" w:cs="Times New Roman"/>
          <w:b/>
          <w:bCs/>
          <w:lang w:val="sk-SK"/>
        </w:rPr>
        <w:tab/>
        <w:t xml:space="preserve">Ako uchovávať </w:t>
      </w:r>
      <w:proofErr w:type="spellStart"/>
      <w:r w:rsidRPr="00E372ED">
        <w:rPr>
          <w:rFonts w:ascii="Times New Roman" w:eastAsia="Times New Roman" w:hAnsi="Times New Roman" w:cs="Times New Roman"/>
          <w:b/>
          <w:bCs/>
          <w:lang w:val="sk-SK"/>
        </w:rPr>
        <w:t>Fomicyt</w:t>
      </w:r>
      <w:proofErr w:type="spellEnd"/>
    </w:p>
    <w:p w14:paraId="5F49201E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en-GB"/>
        </w:rPr>
      </w:pPr>
    </w:p>
    <w:p w14:paraId="136200E8" w14:textId="77777777" w:rsidR="00E372ED" w:rsidRPr="00E372ED" w:rsidRDefault="00E372ED" w:rsidP="00D8475C">
      <w:pPr>
        <w:numPr>
          <w:ilvl w:val="0"/>
          <w:numId w:val="7"/>
        </w:numPr>
        <w:spacing w:after="0" w:line="240" w:lineRule="auto"/>
        <w:ind w:left="0" w:right="-2" w:firstLine="0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Tento liek uchovávajte mimo dohľadu a dosahu detí.</w:t>
      </w:r>
    </w:p>
    <w:p w14:paraId="31C98E3D" w14:textId="77777777" w:rsidR="00E372ED" w:rsidRPr="00E372ED" w:rsidRDefault="00E372ED" w:rsidP="00D8475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-3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Tento liek nevyžaduje žiadne zvláštne podmienky na uchovávanie.</w:t>
      </w:r>
    </w:p>
    <w:p w14:paraId="1C62785A" w14:textId="77777777" w:rsidR="00E372ED" w:rsidRPr="00E372ED" w:rsidRDefault="00E372ED" w:rsidP="004931D2">
      <w:pPr>
        <w:numPr>
          <w:ilvl w:val="0"/>
          <w:numId w:val="7"/>
        </w:numPr>
        <w:spacing w:after="0" w:line="240" w:lineRule="auto"/>
        <w:ind w:left="709" w:right="-2" w:hanging="709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Nepoužívajte tento liek po dátume exspirácie, ktorý je uvedený na škatuli a na označení obalu po „EXP“. Dátum exspirácie sa vzťahuje na posledný deň v danom mesiaci.</w:t>
      </w:r>
    </w:p>
    <w:p w14:paraId="08AFE566" w14:textId="77777777" w:rsidR="00E372ED" w:rsidRPr="00E372ED" w:rsidRDefault="00E372ED" w:rsidP="004931D2">
      <w:pPr>
        <w:numPr>
          <w:ilvl w:val="0"/>
          <w:numId w:val="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pacing w:val="-3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Po zmiešaní s rozpúšťadlom sa má tento liek použiť ihneď alebo uchovávať v chladničke (pri teplote 2</w:t>
      </w:r>
      <w:r w:rsidRPr="00E372ED">
        <w:rPr>
          <w:rFonts w:ascii="Times New Roman" w:eastAsia="Times New Roman" w:hAnsi="Times New Roman" w:cs="Times New Roman"/>
          <w:lang w:val="sk-SK"/>
        </w:rPr>
        <w:sym w:font="Symbol" w:char="F02D"/>
      </w:r>
      <w:r w:rsidRPr="00E372ED">
        <w:rPr>
          <w:rFonts w:ascii="Times New Roman" w:eastAsia="Times New Roman" w:hAnsi="Times New Roman" w:cs="Times New Roman"/>
          <w:lang w:val="sk-SK"/>
        </w:rPr>
        <w:t>8 °C) chránený pred svetlom maximálne 24 hodín.</w:t>
      </w:r>
    </w:p>
    <w:p w14:paraId="5F001F38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</w:p>
    <w:p w14:paraId="22BA84C8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6884B389" w14:textId="7F388FBE" w:rsidR="00135B8A" w:rsidRDefault="00135B8A">
      <w:pPr>
        <w:rPr>
          <w:rFonts w:ascii="Times New Roman" w:eastAsia="Times New Roman" w:hAnsi="Times New Roman" w:cs="Times New Roman"/>
          <w:bCs/>
          <w:lang w:val="sk-SK"/>
        </w:rPr>
      </w:pPr>
      <w:r>
        <w:rPr>
          <w:rFonts w:ascii="Times New Roman" w:eastAsia="Times New Roman" w:hAnsi="Times New Roman" w:cs="Times New Roman"/>
          <w:bCs/>
          <w:lang w:val="sk-SK"/>
        </w:rPr>
        <w:br w:type="page"/>
      </w:r>
    </w:p>
    <w:p w14:paraId="37EF5812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lang w:val="sk-SK"/>
        </w:rPr>
      </w:pPr>
    </w:p>
    <w:p w14:paraId="45E88887" w14:textId="77777777" w:rsidR="00E372ED" w:rsidRPr="00E372ED" w:rsidRDefault="00E372ED" w:rsidP="00D8475C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E372ED">
        <w:rPr>
          <w:rFonts w:ascii="Times New Roman" w:eastAsia="Times New Roman" w:hAnsi="Times New Roman" w:cs="Times New Roman"/>
          <w:b/>
          <w:bCs/>
          <w:lang w:val="sk-SK"/>
        </w:rPr>
        <w:tab/>
        <w:t>Obsah balenia a ďalšie informácie</w:t>
      </w:r>
    </w:p>
    <w:p w14:paraId="04CA8341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</w:p>
    <w:p w14:paraId="681A10C7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 xml:space="preserve">Čo </w:t>
      </w:r>
      <w:proofErr w:type="spellStart"/>
      <w:r w:rsidRPr="00E372ED">
        <w:rPr>
          <w:rFonts w:ascii="Times New Roman" w:eastAsia="Times New Roman" w:hAnsi="Times New Roman" w:cs="Times New Roman"/>
          <w:b/>
          <w:bCs/>
          <w:lang w:val="sk-SK"/>
        </w:rPr>
        <w:t>Fomicyt</w:t>
      </w:r>
      <w:proofErr w:type="spellEnd"/>
      <w:r w:rsidRPr="00E372ED">
        <w:rPr>
          <w:rFonts w:ascii="Times New Roman" w:eastAsia="Times New Roman" w:hAnsi="Times New Roman" w:cs="Times New Roman"/>
          <w:b/>
          <w:bCs/>
          <w:lang w:val="sk-SK"/>
        </w:rPr>
        <w:t xml:space="preserve"> obsahuje</w:t>
      </w:r>
    </w:p>
    <w:p w14:paraId="4B029D06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E4EDD40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Liečivo je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. Jeden ml infúzneho roztoku obsahuje 40 mg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>.</w:t>
      </w:r>
    </w:p>
    <w:p w14:paraId="728AB391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E17C147" w14:textId="77777777" w:rsidR="00E372ED" w:rsidRPr="00E372ED" w:rsidRDefault="00E372ED" w:rsidP="00175B28">
      <w:pPr>
        <w:numPr>
          <w:ilvl w:val="0"/>
          <w:numId w:val="9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Jedna fľaša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Fomicytu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2 g s 2,69 g prášku na prípravu roztoku v 50 ml rozpúšťadla obsahuje 2,64 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disodného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, čo zodpovedá 2 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a 0,64 g sodíka.</w:t>
      </w:r>
    </w:p>
    <w:p w14:paraId="005EA786" w14:textId="77777777" w:rsidR="00E372ED" w:rsidRPr="00E372ED" w:rsidRDefault="00E372ED" w:rsidP="00175B28">
      <w:pPr>
        <w:numPr>
          <w:ilvl w:val="0"/>
          <w:numId w:val="9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Jedna fľaša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Fomicytu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4 g s 5,38 g prášku na prípravu roztoku v 100 ml rozpúšťadla obsahuje 5,28 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disodného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, čo zodpovedá 4 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a 1,28 g sodíka.</w:t>
      </w:r>
    </w:p>
    <w:p w14:paraId="4A4D7447" w14:textId="77777777" w:rsidR="00E372ED" w:rsidRPr="00E372ED" w:rsidRDefault="00E372ED" w:rsidP="00175B28">
      <w:pPr>
        <w:numPr>
          <w:ilvl w:val="0"/>
          <w:numId w:val="9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Jedna fľaša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Fomicytu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8 g s 10,76 g prášku na prípravu roztoku v 200 ml rozpúšťadla obsahuje 10,56 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disodného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, čo zodpovedá 8 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a 2,56 g sodíka.</w:t>
      </w:r>
    </w:p>
    <w:p w14:paraId="1872B544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</w:p>
    <w:p w14:paraId="03A0C208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Ďalšia zložka je kyselina jantárová.</w:t>
      </w:r>
    </w:p>
    <w:p w14:paraId="49405598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</w:p>
    <w:p w14:paraId="442073E5" w14:textId="77777777" w:rsidR="00E372ED" w:rsidRPr="00E372ED" w:rsidRDefault="00E372ED" w:rsidP="00D8475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 xml:space="preserve">Ako vyzerá </w:t>
      </w:r>
      <w:proofErr w:type="spellStart"/>
      <w:r w:rsidRPr="00E372ED">
        <w:rPr>
          <w:rFonts w:ascii="Times New Roman" w:eastAsia="Times New Roman" w:hAnsi="Times New Roman" w:cs="Times New Roman"/>
          <w:b/>
          <w:bCs/>
          <w:lang w:val="sk-SK"/>
        </w:rPr>
        <w:t>Fomicyt</w:t>
      </w:r>
      <w:proofErr w:type="spellEnd"/>
      <w:r w:rsidRPr="00E372ED">
        <w:rPr>
          <w:rFonts w:ascii="Times New Roman" w:eastAsia="Times New Roman" w:hAnsi="Times New Roman" w:cs="Times New Roman"/>
          <w:b/>
          <w:bCs/>
          <w:lang w:val="sk-SK"/>
        </w:rPr>
        <w:t xml:space="preserve"> a obsah balenia</w:t>
      </w:r>
    </w:p>
    <w:p w14:paraId="2C0B0391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pl-PL"/>
        </w:rPr>
      </w:pPr>
    </w:p>
    <w:p w14:paraId="3D949051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Tento liek je biely až krémovo sfarbený prášok na infúzny roztok. Infúzny roztok je číry a bezfarebný až jemne žltý.</w:t>
      </w:r>
    </w:p>
    <w:p w14:paraId="07714793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FD38535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Liek je balený v čírych sklenených fľašiach (typu I) s gumovou zátkou (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brómbutylová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guma) a sťahovacím viečkom.</w:t>
      </w:r>
    </w:p>
    <w:p w14:paraId="10A9FB94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4250E84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Dostupné sú injekčné liekovky v troch veľkostiach:</w:t>
      </w:r>
    </w:p>
    <w:p w14:paraId="7CAACF2B" w14:textId="77777777" w:rsidR="00E372ED" w:rsidRPr="00E372ED" w:rsidRDefault="00E372ED" w:rsidP="00D8475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fľaše obsahujúce 2 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>,</w:t>
      </w:r>
    </w:p>
    <w:p w14:paraId="3FDA9012" w14:textId="77777777" w:rsidR="00E372ED" w:rsidRPr="00E372ED" w:rsidRDefault="00E372ED" w:rsidP="00D8475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fľaše obsahujúce 4 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>,</w:t>
      </w:r>
    </w:p>
    <w:p w14:paraId="3ED5C84C" w14:textId="77777777" w:rsidR="00E372ED" w:rsidRPr="00E372ED" w:rsidRDefault="00E372ED" w:rsidP="00D8475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fľaše obsahujúce 8 g </w:t>
      </w: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fosfomycínu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>.</w:t>
      </w:r>
    </w:p>
    <w:p w14:paraId="2A71E992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</w:p>
    <w:p w14:paraId="6F1A5755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bCs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Každé balenie obsahuje 10 fliaš.</w:t>
      </w:r>
    </w:p>
    <w:p w14:paraId="60955B27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5CD6C9FF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>Držiteľ rozhodnutia o registrácii a výrobca</w:t>
      </w:r>
    </w:p>
    <w:p w14:paraId="37102BE1" w14:textId="77777777" w:rsidR="00E372ED" w:rsidRPr="00E372ED" w:rsidRDefault="001154D3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sk-SK"/>
        </w:rPr>
        <w:t>Infectopharm</w:t>
      </w:r>
      <w:proofErr w:type="spellEnd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 xml:space="preserve"> </w:t>
      </w:r>
      <w:proofErr w:type="spellStart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>Arzneimittel</w:t>
      </w:r>
      <w:proofErr w:type="spellEnd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 xml:space="preserve"> </w:t>
      </w:r>
      <w:proofErr w:type="spellStart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>und</w:t>
      </w:r>
      <w:proofErr w:type="spellEnd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 xml:space="preserve"> </w:t>
      </w:r>
      <w:proofErr w:type="spellStart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>Consilium</w:t>
      </w:r>
      <w:proofErr w:type="spellEnd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 xml:space="preserve"> </w:t>
      </w:r>
      <w:proofErr w:type="spellStart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>GmbH</w:t>
      </w:r>
      <w:proofErr w:type="spellEnd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>, Von-</w:t>
      </w:r>
      <w:proofErr w:type="spellStart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>Humboldt</w:t>
      </w:r>
      <w:proofErr w:type="spellEnd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 xml:space="preserve">-Str. 1, 64646 </w:t>
      </w:r>
      <w:proofErr w:type="spellStart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>Heppenheim</w:t>
      </w:r>
      <w:proofErr w:type="spellEnd"/>
      <w:r w:rsidR="00E372ED" w:rsidRPr="00E372ED">
        <w:rPr>
          <w:rFonts w:ascii="Times New Roman" w:eastAsia="Times New Roman" w:hAnsi="Times New Roman" w:cs="Times New Roman"/>
          <w:color w:val="000000"/>
          <w:lang w:val="sk-SK"/>
        </w:rPr>
        <w:t>, Nemecko</w:t>
      </w:r>
    </w:p>
    <w:p w14:paraId="02703454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59428F9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E372ED">
        <w:rPr>
          <w:rFonts w:ascii="Times New Roman" w:eastAsia="Times New Roman" w:hAnsi="Times New Roman" w:cs="Times New Roman"/>
          <w:b/>
          <w:lang w:val="sk-SK"/>
        </w:rPr>
        <w:t>Liek je schválený v členských štátoch Európskeho hospodárskeho priestoru (EHP) pod nasledovnými názvami:</w:t>
      </w:r>
    </w:p>
    <w:p w14:paraId="3FF4A39D" w14:textId="77777777" w:rsidR="00E372ED" w:rsidRPr="00175B28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Veľká Británia:</w:t>
      </w:r>
      <w:r w:rsidRPr="00175B28">
        <w:rPr>
          <w:rFonts w:ascii="Times New Roman" w:eastAsia="Times New Roman" w:hAnsi="Times New Roman" w:cs="Times New Roman"/>
          <w:noProof/>
          <w:lang w:val="en-GB"/>
        </w:rPr>
        <w:tab/>
        <w:t>Fomicyt 40 mg/ml Powder for solution for infusion</w:t>
      </w:r>
    </w:p>
    <w:p w14:paraId="27358FA2" w14:textId="77777777" w:rsidR="00E372ED" w:rsidRPr="00175B28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Taliansko:</w:t>
      </w:r>
      <w:r w:rsidRPr="00175B28">
        <w:rPr>
          <w:rFonts w:ascii="Times New Roman" w:eastAsia="Times New Roman" w:hAnsi="Times New Roman" w:cs="Times New Roman"/>
          <w:noProof/>
          <w:lang w:val="en-GB"/>
        </w:rPr>
        <w:tab/>
        <w:t>InfectoFos</w:t>
      </w:r>
    </w:p>
    <w:p w14:paraId="4CD40C46" w14:textId="77777777" w:rsidR="00E372ED" w:rsidRPr="00175B28" w:rsidRDefault="00E372ED" w:rsidP="00175B28">
      <w:pPr>
        <w:tabs>
          <w:tab w:val="left" w:pos="3544"/>
        </w:tabs>
        <w:spacing w:after="0" w:line="240" w:lineRule="auto"/>
        <w:ind w:left="3544" w:hanging="3544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Poľsko:</w:t>
      </w:r>
      <w:r w:rsidRPr="00175B28">
        <w:rPr>
          <w:rFonts w:ascii="Times New Roman" w:eastAsia="Times New Roman" w:hAnsi="Times New Roman" w:cs="Times New Roman"/>
          <w:noProof/>
          <w:lang w:val="en-GB"/>
        </w:rPr>
        <w:tab/>
        <w:t>InfectoFos, 40 mg/ml, proszek do sporządzania roztworu do infuzji</w:t>
      </w:r>
    </w:p>
    <w:p w14:paraId="7DE7ABC6" w14:textId="77777777" w:rsidR="00E372ED" w:rsidRPr="00175B28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Írsko:</w:t>
      </w:r>
      <w:r w:rsidRPr="00175B28">
        <w:rPr>
          <w:rFonts w:ascii="Times New Roman" w:eastAsia="Times New Roman" w:hAnsi="Times New Roman" w:cs="Times New Roman"/>
          <w:noProof/>
          <w:lang w:val="en-GB"/>
        </w:rPr>
        <w:tab/>
        <w:t>Fomicyt 40 mg/ml Powder for solution for infusion</w:t>
      </w:r>
    </w:p>
    <w:p w14:paraId="3BB5BCAC" w14:textId="77777777" w:rsidR="00E372ED" w:rsidRPr="00175B28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Holandsko:</w:t>
      </w:r>
      <w:r w:rsidRPr="00175B28">
        <w:rPr>
          <w:rFonts w:ascii="Times New Roman" w:eastAsia="Times New Roman" w:hAnsi="Times New Roman" w:cs="Times New Roman"/>
          <w:noProof/>
          <w:lang w:val="en-GB"/>
        </w:rPr>
        <w:tab/>
        <w:t>Fomicyt 40 mg/ml Poeder voor oplossing voor infusie</w:t>
      </w:r>
    </w:p>
    <w:p w14:paraId="4613E222" w14:textId="77777777" w:rsidR="00E372ED" w:rsidRPr="00175B28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Grécko:</w:t>
      </w:r>
      <w:r w:rsidRPr="00175B28">
        <w:rPr>
          <w:rFonts w:ascii="Times New Roman" w:eastAsia="Times New Roman" w:hAnsi="Times New Roman" w:cs="Times New Roman"/>
          <w:noProof/>
          <w:lang w:val="en-GB"/>
        </w:rPr>
        <w:tab/>
        <w:t xml:space="preserve">Fomicyt 40 mg/ml Κόνις για διάλυμα προς έγχυση </w:t>
      </w:r>
    </w:p>
    <w:p w14:paraId="03D70F6B" w14:textId="77777777" w:rsidR="00E372ED" w:rsidRPr="00175B28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Dánsko, Fínsko, Nórsko, Švédsko:</w:t>
      </w:r>
      <w:r w:rsidRPr="00175B28">
        <w:rPr>
          <w:rFonts w:ascii="Times New Roman" w:eastAsia="Times New Roman" w:hAnsi="Times New Roman" w:cs="Times New Roman"/>
          <w:noProof/>
          <w:lang w:val="en-GB"/>
        </w:rPr>
        <w:tab/>
        <w:t>Fosfomycin Infectopharm</w:t>
      </w:r>
    </w:p>
    <w:p w14:paraId="6C771FE9" w14:textId="77777777" w:rsidR="00E372ED" w:rsidRPr="00175B28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Chorvátsko:</w:t>
      </w:r>
      <w:r w:rsidRPr="00175B28">
        <w:rPr>
          <w:rFonts w:ascii="Times New Roman" w:eastAsia="Times New Roman" w:hAnsi="Times New Roman" w:cs="Times New Roman"/>
          <w:noProof/>
          <w:lang w:val="en-GB"/>
        </w:rPr>
        <w:tab/>
        <w:t>Fomicyt 40 mg/ml prašak za otopinu za infuziju</w:t>
      </w:r>
    </w:p>
    <w:p w14:paraId="311015A5" w14:textId="77777777" w:rsidR="00E372ED" w:rsidRPr="00175B28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Rumunsko:</w:t>
      </w:r>
      <w:r w:rsidRPr="00175B28">
        <w:rPr>
          <w:rFonts w:ascii="Times New Roman" w:eastAsia="Times New Roman" w:hAnsi="Times New Roman" w:cs="Times New Roman"/>
          <w:noProof/>
          <w:lang w:val="en-GB"/>
        </w:rPr>
        <w:tab/>
        <w:t>Fomicyt 40 mg/ml Pulbere pentru soluţie perfuzabilă</w:t>
      </w:r>
    </w:p>
    <w:p w14:paraId="55A183F7" w14:textId="07DB374A" w:rsidR="00C556DF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 w:rsidRPr="00175B28">
        <w:rPr>
          <w:rFonts w:ascii="Times New Roman" w:eastAsia="Times New Roman" w:hAnsi="Times New Roman" w:cs="Times New Roman"/>
          <w:noProof/>
          <w:lang w:val="en-GB"/>
        </w:rPr>
        <w:t>Česká republika</w:t>
      </w:r>
      <w:r w:rsidR="00C556DF">
        <w:rPr>
          <w:rFonts w:ascii="Times New Roman" w:eastAsia="Times New Roman" w:hAnsi="Times New Roman" w:cs="Times New Roman"/>
          <w:noProof/>
          <w:lang w:val="en-GB"/>
        </w:rPr>
        <w:t>:</w:t>
      </w:r>
      <w:r w:rsidR="00C556DF">
        <w:rPr>
          <w:rFonts w:ascii="Times New Roman" w:eastAsia="Times New Roman" w:hAnsi="Times New Roman" w:cs="Times New Roman"/>
          <w:noProof/>
          <w:lang w:val="en-GB"/>
        </w:rPr>
        <w:tab/>
      </w:r>
      <w:proofErr w:type="spellStart"/>
      <w:r w:rsidR="003B4082" w:rsidRPr="00F91AF7">
        <w:rPr>
          <w:rFonts w:ascii="Times New Roman" w:hAnsi="Times New Roman" w:cs="Times New Roman"/>
          <w:lang w:val="en-US"/>
        </w:rPr>
        <w:t>Fomicyt</w:t>
      </w:r>
      <w:proofErr w:type="spellEnd"/>
    </w:p>
    <w:p w14:paraId="511B3947" w14:textId="248C2058" w:rsidR="00E372ED" w:rsidRPr="00087F8E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  <w:r w:rsidRPr="00087F8E">
        <w:rPr>
          <w:rFonts w:ascii="Times New Roman" w:eastAsia="Times New Roman" w:hAnsi="Times New Roman" w:cs="Times New Roman"/>
          <w:noProof/>
          <w:lang w:val="es-ES"/>
        </w:rPr>
        <w:t>Maďarsko</w:t>
      </w:r>
      <w:r w:rsidR="003B4082" w:rsidRPr="00087F8E">
        <w:rPr>
          <w:rFonts w:ascii="Times New Roman" w:eastAsia="Times New Roman" w:hAnsi="Times New Roman" w:cs="Times New Roman"/>
          <w:noProof/>
          <w:lang w:val="es-ES"/>
        </w:rPr>
        <w:t>:</w:t>
      </w:r>
      <w:r w:rsidRPr="00087F8E">
        <w:rPr>
          <w:rFonts w:ascii="Times New Roman" w:eastAsia="Times New Roman" w:hAnsi="Times New Roman" w:cs="Times New Roman"/>
          <w:noProof/>
          <w:lang w:val="es-ES"/>
        </w:rPr>
        <w:tab/>
      </w:r>
      <w:r w:rsidR="003B4082" w:rsidRPr="00087F8E">
        <w:rPr>
          <w:rFonts w:ascii="Times New Roman" w:hAnsi="Times New Roman" w:cs="Times New Roman"/>
          <w:lang w:val="es-ES"/>
        </w:rPr>
        <w:t>Fomicyt 40 mg/ml por oldatos infúzióhoz</w:t>
      </w:r>
    </w:p>
    <w:p w14:paraId="1C712692" w14:textId="77777777" w:rsidR="00E372ED" w:rsidRPr="00087F8E" w:rsidRDefault="00E372ED" w:rsidP="00175B2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  <w:r w:rsidRPr="00087F8E">
        <w:rPr>
          <w:rFonts w:ascii="Times New Roman" w:eastAsia="Times New Roman" w:hAnsi="Times New Roman" w:cs="Times New Roman"/>
          <w:noProof/>
          <w:lang w:val="es-ES"/>
        </w:rPr>
        <w:t>Slovensko:</w:t>
      </w:r>
      <w:r w:rsidRPr="00087F8E">
        <w:rPr>
          <w:rFonts w:ascii="Times New Roman" w:eastAsia="Times New Roman" w:hAnsi="Times New Roman" w:cs="Times New Roman"/>
          <w:noProof/>
          <w:lang w:val="es-ES"/>
        </w:rPr>
        <w:tab/>
        <w:t>Fomicyt</w:t>
      </w:r>
    </w:p>
    <w:p w14:paraId="3BE17758" w14:textId="5626612C" w:rsidR="00E372ED" w:rsidRPr="00087F8E" w:rsidRDefault="00E372ED" w:rsidP="00175B28">
      <w:pPr>
        <w:tabs>
          <w:tab w:val="left" w:pos="3544"/>
        </w:tabs>
        <w:spacing w:after="0" w:line="240" w:lineRule="auto"/>
        <w:ind w:left="3544" w:hanging="3544"/>
        <w:rPr>
          <w:rFonts w:ascii="Times New Roman" w:eastAsia="Times New Roman" w:hAnsi="Times New Roman" w:cs="Times New Roman"/>
          <w:noProof/>
          <w:lang w:val="es-ES"/>
        </w:rPr>
      </w:pPr>
      <w:r w:rsidRPr="00087F8E">
        <w:rPr>
          <w:rFonts w:ascii="Times New Roman" w:eastAsia="Times New Roman" w:hAnsi="Times New Roman" w:cs="Times New Roman"/>
          <w:noProof/>
          <w:lang w:val="es-ES"/>
        </w:rPr>
        <w:t>Belgicko:</w:t>
      </w:r>
      <w:r w:rsidRPr="00087F8E">
        <w:rPr>
          <w:rFonts w:ascii="Times New Roman" w:eastAsia="Times New Roman" w:hAnsi="Times New Roman" w:cs="Times New Roman"/>
          <w:noProof/>
          <w:lang w:val="es-ES"/>
        </w:rPr>
        <w:tab/>
        <w:t>Fomicyt 40 mg/ml Poudre pour solution pour perfusion</w:t>
      </w:r>
      <w:r w:rsidR="00087F8E">
        <w:rPr>
          <w:rFonts w:ascii="Times New Roman" w:eastAsia="Times New Roman" w:hAnsi="Times New Roman" w:cs="Times New Roman"/>
          <w:noProof/>
          <w:lang w:val="es-ES"/>
        </w:rPr>
        <w:t>/</w:t>
      </w:r>
      <w:r w:rsidRPr="00087F8E">
        <w:rPr>
          <w:rFonts w:ascii="Times New Roman" w:eastAsia="Times New Roman" w:hAnsi="Times New Roman" w:cs="Times New Roman"/>
          <w:noProof/>
          <w:lang w:val="es-ES"/>
        </w:rPr>
        <w:t xml:space="preserve"> Fomicyt 40 mg/ml Poeder voor oplossing voor infusie</w:t>
      </w:r>
      <w:r w:rsidR="00087F8E">
        <w:rPr>
          <w:rFonts w:ascii="Times New Roman" w:eastAsia="Times New Roman" w:hAnsi="Times New Roman" w:cs="Times New Roman"/>
          <w:noProof/>
          <w:lang w:val="es-ES"/>
        </w:rPr>
        <w:t>/</w:t>
      </w:r>
      <w:r w:rsidRPr="00087F8E">
        <w:rPr>
          <w:rFonts w:ascii="Times New Roman" w:eastAsia="Times New Roman" w:hAnsi="Times New Roman" w:cs="Times New Roman"/>
          <w:noProof/>
          <w:lang w:val="es-ES"/>
        </w:rPr>
        <w:t xml:space="preserve"> Fomicyt 40 mg/ml Pulver zur Herstellung einer Infusionslösung</w:t>
      </w:r>
    </w:p>
    <w:p w14:paraId="53AC4FAC" w14:textId="77777777" w:rsidR="00E372ED" w:rsidRDefault="00E372ED" w:rsidP="00175B28">
      <w:pPr>
        <w:tabs>
          <w:tab w:val="left" w:pos="3544"/>
        </w:tabs>
        <w:spacing w:after="0" w:line="240" w:lineRule="auto"/>
        <w:ind w:left="3544" w:hanging="3544"/>
        <w:rPr>
          <w:rFonts w:ascii="Times New Roman" w:eastAsia="Times New Roman" w:hAnsi="Times New Roman" w:cs="Times New Roman"/>
          <w:noProof/>
        </w:rPr>
      </w:pPr>
      <w:r w:rsidRPr="007F4B29">
        <w:rPr>
          <w:rFonts w:ascii="Times New Roman" w:eastAsia="Times New Roman" w:hAnsi="Times New Roman" w:cs="Times New Roman"/>
          <w:noProof/>
        </w:rPr>
        <w:t>Rakúsko:</w:t>
      </w:r>
      <w:r w:rsidRPr="007F4B29">
        <w:rPr>
          <w:rFonts w:ascii="Times New Roman" w:eastAsia="Times New Roman" w:hAnsi="Times New Roman" w:cs="Times New Roman"/>
          <w:noProof/>
        </w:rPr>
        <w:tab/>
        <w:t>Fomicyt 40 mg/ml Pulver zur Herstellung einer Infusionslösung</w:t>
      </w:r>
    </w:p>
    <w:p w14:paraId="06E23329" w14:textId="77777777" w:rsidR="00C556DF" w:rsidRPr="007F4B29" w:rsidRDefault="00C556DF" w:rsidP="00175B28">
      <w:pPr>
        <w:tabs>
          <w:tab w:val="left" w:pos="3544"/>
        </w:tabs>
        <w:spacing w:after="0" w:line="240" w:lineRule="auto"/>
        <w:ind w:left="3544" w:hanging="3544"/>
        <w:rPr>
          <w:rFonts w:ascii="Times New Roman" w:eastAsia="Times New Roman" w:hAnsi="Times New Roman" w:cs="Times New Roman"/>
          <w:noProof/>
        </w:rPr>
      </w:pPr>
    </w:p>
    <w:p w14:paraId="0E36608D" w14:textId="315FBB91" w:rsidR="00E372ED" w:rsidRPr="00E372ED" w:rsidRDefault="00E372ED" w:rsidP="00D847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lang w:val="sk-SK"/>
        </w:rPr>
      </w:pPr>
      <w:r w:rsidRPr="00E372ED">
        <w:rPr>
          <w:rFonts w:ascii="Times New Roman" w:eastAsia="Times New Roman" w:hAnsi="Times New Roman" w:cs="Times New Roman"/>
          <w:b/>
          <w:bCs/>
          <w:lang w:val="sk-SK"/>
        </w:rPr>
        <w:t>Táto písomná informácia bola naposledy aktualizovaná v</w:t>
      </w:r>
      <w:r w:rsidR="00CD280B">
        <w:rPr>
          <w:rFonts w:ascii="Times New Roman" w:eastAsia="Times New Roman" w:hAnsi="Times New Roman" w:cs="Times New Roman"/>
          <w:b/>
          <w:bCs/>
          <w:lang w:val="sk-SK"/>
        </w:rPr>
        <w:t> </w:t>
      </w:r>
      <w:r w:rsidR="007871AF">
        <w:rPr>
          <w:rFonts w:ascii="Times New Roman" w:eastAsia="Times New Roman" w:hAnsi="Times New Roman" w:cs="Times New Roman"/>
          <w:b/>
          <w:bCs/>
          <w:lang w:val="sk-SK"/>
        </w:rPr>
        <w:t>0</w:t>
      </w:r>
      <w:r w:rsidR="007E6884">
        <w:rPr>
          <w:rFonts w:ascii="Times New Roman" w:eastAsia="Times New Roman" w:hAnsi="Times New Roman" w:cs="Times New Roman"/>
          <w:b/>
          <w:bCs/>
          <w:lang w:val="sk-SK"/>
        </w:rPr>
        <w:t>1</w:t>
      </w:r>
      <w:r w:rsidR="00CD280B">
        <w:rPr>
          <w:rFonts w:ascii="Times New Roman" w:eastAsia="Times New Roman" w:hAnsi="Times New Roman" w:cs="Times New Roman"/>
          <w:b/>
          <w:bCs/>
          <w:lang w:val="sk-SK"/>
        </w:rPr>
        <w:t>/202</w:t>
      </w:r>
      <w:r w:rsidR="007E6884">
        <w:rPr>
          <w:rFonts w:ascii="Times New Roman" w:eastAsia="Times New Roman" w:hAnsi="Times New Roman" w:cs="Times New Roman"/>
          <w:b/>
          <w:bCs/>
          <w:lang w:val="sk-SK"/>
        </w:rPr>
        <w:t>1</w:t>
      </w:r>
      <w:r w:rsidRPr="00E372ED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14:paraId="5722B90B" w14:textId="77777777" w:rsidR="00E372ED" w:rsidRPr="00E372ED" w:rsidRDefault="00E372ED" w:rsidP="00D847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_____________________________________________________________________________</w:t>
      </w:r>
    </w:p>
    <w:p w14:paraId="6A21C132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E372ED">
        <w:rPr>
          <w:rFonts w:ascii="Times New Roman" w:eastAsia="Times New Roman" w:hAnsi="Times New Roman" w:cs="Times New Roman"/>
          <w:b/>
          <w:lang w:val="sk-SK"/>
        </w:rPr>
        <w:t xml:space="preserve">Nasledujúca informácia je určená len pre zdravotníckych pracovníkov: </w:t>
      </w:r>
    </w:p>
    <w:p w14:paraId="2BFD9214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9D9C6DB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E372ED">
        <w:rPr>
          <w:rFonts w:ascii="Times New Roman" w:eastAsia="Times New Roman" w:hAnsi="Times New Roman" w:cs="Times New Roman"/>
          <w:lang w:val="sk-SK"/>
        </w:rPr>
        <w:t>Fomicyt</w:t>
      </w:r>
      <w:proofErr w:type="spellEnd"/>
      <w:r w:rsidRPr="00E372ED">
        <w:rPr>
          <w:rFonts w:ascii="Times New Roman" w:eastAsia="Times New Roman" w:hAnsi="Times New Roman" w:cs="Times New Roman"/>
          <w:lang w:val="sk-SK"/>
        </w:rPr>
        <w:t xml:space="preserve"> 40 mg/ml prášok na infúzny roztok je určený len na jednorazové použitie a všetok nepoužitý roztok sa má zlikvidovať.</w:t>
      </w:r>
    </w:p>
    <w:p w14:paraId="72AEA53C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105DB4B" w14:textId="77777777" w:rsidR="00E372ED" w:rsidRPr="00E372ED" w:rsidRDefault="00E372ED" w:rsidP="00D8475C">
      <w:pPr>
        <w:keepNext/>
        <w:spacing w:after="0" w:line="260" w:lineRule="exact"/>
        <w:jc w:val="both"/>
        <w:outlineLvl w:val="2"/>
        <w:rPr>
          <w:rFonts w:ascii="Times New Roman" w:eastAsia="Times New Roman" w:hAnsi="Times New Roman" w:cs="Times New Roman"/>
          <w:u w:val="single"/>
          <w:lang w:val="sk-SK"/>
        </w:rPr>
      </w:pPr>
      <w:r w:rsidRPr="00E372ED">
        <w:rPr>
          <w:rFonts w:ascii="Times New Roman" w:eastAsia="Times New Roman" w:hAnsi="Times New Roman" w:cs="Times New Roman"/>
          <w:u w:val="single"/>
          <w:lang w:val="sk-SK"/>
        </w:rPr>
        <w:t xml:space="preserve">Príprava infúzneho roztoku </w:t>
      </w:r>
    </w:p>
    <w:p w14:paraId="48BAA6AF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sk-SK" w:bidi="ar-QA"/>
        </w:rPr>
      </w:pPr>
    </w:p>
    <w:p w14:paraId="3B996AA1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sk-SK"/>
        </w:rPr>
      </w:pPr>
      <w:proofErr w:type="spellStart"/>
      <w:r w:rsidRPr="00E372ED">
        <w:rPr>
          <w:rFonts w:ascii="Times New Roman" w:eastAsia="Times New Roman" w:hAnsi="Times New Roman" w:cs="Times New Roman"/>
          <w:b/>
          <w:snapToGrid w:val="0"/>
          <w:lang w:val="sk-SK"/>
        </w:rPr>
        <w:t>Fomicyt</w:t>
      </w:r>
      <w:proofErr w:type="spellEnd"/>
      <w:r w:rsidRPr="00E372ED">
        <w:rPr>
          <w:rFonts w:ascii="Times New Roman" w:eastAsia="Times New Roman" w:hAnsi="Times New Roman" w:cs="Times New Roman"/>
          <w:b/>
          <w:snapToGrid w:val="0"/>
          <w:lang w:val="sk-SK"/>
        </w:rPr>
        <w:t xml:space="preserve"> sa musí pred podaním rekonštituovať a zriediť.</w:t>
      </w:r>
    </w:p>
    <w:p w14:paraId="079C8147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Ako rozpúšťadlo na rekonštitúciu a zriedenie sa môžu použiť voda na injekcie a infúzia glukózy 50 mg/ml (5 %) alebo infúzia glukózy 100 mg/ml (10 %). Nesmú sa použiť rozpúšťadlá obsahujúce chlorid sodný.</w:t>
      </w:r>
    </w:p>
    <w:p w14:paraId="1A182BA8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C4F7B9D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Rekonštitúcia</w:t>
      </w:r>
    </w:p>
    <w:p w14:paraId="0045F6A1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Pred rekonštitúciou injekčnú liekovku pretrepte, aby sa uvoľnil prášok. Rekonštituujte 2 g alebo 4 g injekčné liekovky s 20 ml a 8 g injekčnú liekovku so 40 ml rozpúšťadla. Dobre pretrepte, aby sa prášok rozpustil. Pri rozpúšťaní prášku dochádza k miernemu otepleniu roztoku.</w:t>
      </w:r>
    </w:p>
    <w:p w14:paraId="171321A2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b/>
          <w:lang w:val="sk-SK"/>
        </w:rPr>
        <w:t xml:space="preserve">Upozornenie: </w:t>
      </w:r>
      <w:r w:rsidRPr="00E372ED">
        <w:rPr>
          <w:rFonts w:ascii="Times New Roman" w:eastAsia="Times New Roman" w:hAnsi="Times New Roman" w:cs="Times New Roman"/>
          <w:lang w:val="sk-SK"/>
        </w:rPr>
        <w:t>Tento prechodný roztok nie je určený na priamu infúziu. Roztok odoberte celý z pôvodnej injekčnej liekovky. Preneste odobratý roztok do infúzneho vaku alebo inej vhodnej infúznej nádoby na ďalšie zriedenie, ako je uvedené nasledovne:</w:t>
      </w:r>
    </w:p>
    <w:p w14:paraId="53FDFE99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21D0502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Zriedenie</w:t>
      </w:r>
    </w:p>
    <w:p w14:paraId="3E561071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Preneste rekonštituovaný obsah </w:t>
      </w:r>
      <w:r w:rsidRPr="00E372ED">
        <w:rPr>
          <w:rFonts w:ascii="Times New Roman" w:eastAsia="Times New Roman" w:hAnsi="Times New Roman" w:cs="Times New Roman"/>
          <w:b/>
          <w:lang w:val="sk-SK"/>
        </w:rPr>
        <w:t>2 g injekčných liekoviek</w:t>
      </w:r>
      <w:r w:rsidRPr="00E372ED">
        <w:rPr>
          <w:rFonts w:ascii="Times New Roman" w:eastAsia="Times New Roman" w:hAnsi="Times New Roman" w:cs="Times New Roman"/>
          <w:lang w:val="sk-SK"/>
        </w:rPr>
        <w:t xml:space="preserve"> do infúznej nádoby s ďalšími </w:t>
      </w:r>
      <w:r w:rsidRPr="00E372ED">
        <w:rPr>
          <w:rFonts w:ascii="Times New Roman" w:eastAsia="Times New Roman" w:hAnsi="Times New Roman" w:cs="Times New Roman"/>
          <w:b/>
          <w:lang w:val="sk-SK"/>
        </w:rPr>
        <w:t>30 ml</w:t>
      </w:r>
      <w:r w:rsidRPr="00E372ED">
        <w:rPr>
          <w:rFonts w:ascii="Times New Roman" w:eastAsia="Times New Roman" w:hAnsi="Times New Roman" w:cs="Times New Roman"/>
          <w:lang w:val="sk-SK"/>
        </w:rPr>
        <w:t xml:space="preserve"> rozpúšťadla. </w:t>
      </w:r>
    </w:p>
    <w:p w14:paraId="06C19C6A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Preneste rekonštituovaný obsah </w:t>
      </w:r>
      <w:r w:rsidRPr="00E372ED">
        <w:rPr>
          <w:rFonts w:ascii="Times New Roman" w:eastAsia="Times New Roman" w:hAnsi="Times New Roman" w:cs="Times New Roman"/>
          <w:b/>
          <w:lang w:val="sk-SK"/>
        </w:rPr>
        <w:t>4 g injekčných liekoviek</w:t>
      </w:r>
      <w:r w:rsidRPr="00E372ED">
        <w:rPr>
          <w:rFonts w:ascii="Times New Roman" w:eastAsia="Times New Roman" w:hAnsi="Times New Roman" w:cs="Times New Roman"/>
          <w:lang w:val="sk-SK"/>
        </w:rPr>
        <w:t xml:space="preserve"> do infúznej nádoby s ďalšími </w:t>
      </w:r>
      <w:r w:rsidRPr="00E372ED">
        <w:rPr>
          <w:rFonts w:ascii="Times New Roman" w:eastAsia="Times New Roman" w:hAnsi="Times New Roman" w:cs="Times New Roman"/>
          <w:b/>
          <w:lang w:val="sk-SK"/>
        </w:rPr>
        <w:t>80 ml</w:t>
      </w:r>
      <w:r w:rsidRPr="00E372ED">
        <w:rPr>
          <w:rFonts w:ascii="Times New Roman" w:eastAsia="Times New Roman" w:hAnsi="Times New Roman" w:cs="Times New Roman"/>
          <w:lang w:val="sk-SK"/>
        </w:rPr>
        <w:t xml:space="preserve"> rozpúšťadla. </w:t>
      </w:r>
    </w:p>
    <w:p w14:paraId="4C9A4E6C" w14:textId="77777777" w:rsidR="00E372ED" w:rsidRPr="00E372ED" w:rsidRDefault="00E372ED" w:rsidP="00D847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 xml:space="preserve">Preneste rekonštituovaný obsah </w:t>
      </w:r>
      <w:r w:rsidRPr="00E372ED">
        <w:rPr>
          <w:rFonts w:ascii="Times New Roman" w:eastAsia="Times New Roman" w:hAnsi="Times New Roman" w:cs="Times New Roman"/>
          <w:b/>
          <w:lang w:val="sk-SK"/>
        </w:rPr>
        <w:t>8 g injekčných liekoviek</w:t>
      </w:r>
      <w:r w:rsidRPr="00E372ED">
        <w:rPr>
          <w:rFonts w:ascii="Times New Roman" w:eastAsia="Times New Roman" w:hAnsi="Times New Roman" w:cs="Times New Roman"/>
          <w:lang w:val="sk-SK"/>
        </w:rPr>
        <w:t xml:space="preserve"> do infúznej nádoby s ďalšími </w:t>
      </w:r>
      <w:r w:rsidRPr="00E372ED">
        <w:rPr>
          <w:rFonts w:ascii="Times New Roman" w:eastAsia="Times New Roman" w:hAnsi="Times New Roman" w:cs="Times New Roman"/>
          <w:b/>
          <w:lang w:val="sk-SK"/>
        </w:rPr>
        <w:t>160 ml</w:t>
      </w:r>
      <w:r w:rsidRPr="00E372ED">
        <w:rPr>
          <w:rFonts w:ascii="Times New Roman" w:eastAsia="Times New Roman" w:hAnsi="Times New Roman" w:cs="Times New Roman"/>
          <w:lang w:val="sk-SK"/>
        </w:rPr>
        <w:t xml:space="preserve"> rozpúšťadla. </w:t>
      </w:r>
    </w:p>
    <w:p w14:paraId="56BF5CC0" w14:textId="77777777" w:rsidR="00E372ED" w:rsidRPr="00E372ED" w:rsidRDefault="00E372ED" w:rsidP="00D8475C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06561196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u w:val="single"/>
          <w:lang w:val="sk-SK"/>
        </w:rPr>
      </w:pPr>
      <w:r w:rsidRPr="00E372ED">
        <w:rPr>
          <w:rFonts w:ascii="Times New Roman" w:eastAsia="Times New Roman" w:hAnsi="Times New Roman" w:cs="Times New Roman"/>
          <w:snapToGrid w:val="0"/>
          <w:color w:val="000000"/>
          <w:u w:val="single"/>
          <w:lang w:val="sk-SK"/>
        </w:rPr>
        <w:t>Hodnoty</w:t>
      </w:r>
      <w:r w:rsidRPr="00E372ED">
        <w:rPr>
          <w:rFonts w:ascii="Times New Roman" w:eastAsia="Times New Roman" w:hAnsi="Times New Roman" w:cs="Times New Roman"/>
          <w:lang w:val="sk-SK"/>
        </w:rPr>
        <w:t xml:space="preserve"> </w:t>
      </w:r>
      <w:r w:rsidRPr="00E372ED">
        <w:rPr>
          <w:rFonts w:ascii="Times New Roman" w:eastAsia="Times New Roman" w:hAnsi="Times New Roman" w:cs="Times New Roman"/>
          <w:snapToGrid w:val="0"/>
          <w:color w:val="000000"/>
          <w:u w:val="single"/>
          <w:lang w:val="sk-SK"/>
        </w:rPr>
        <w:t>navýšenia objemu</w:t>
      </w:r>
    </w:p>
    <w:p w14:paraId="2EED672F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val="sk-SK"/>
        </w:rPr>
      </w:pPr>
      <w:r w:rsidRPr="00E372ED">
        <w:rPr>
          <w:rFonts w:ascii="Times New Roman" w:eastAsia="Times New Roman" w:hAnsi="Times New Roman" w:cs="Times New Roman"/>
          <w:snapToGrid w:val="0"/>
          <w:color w:val="000000"/>
          <w:lang w:val="sk-SK"/>
        </w:rPr>
        <w:t>Hodnoty navýšenia objemu pre roztoky sú 1 ml pre 2 g veľkosť balenia, 2 ml pre 4 g veľkosť balenia a 4 ml pre 8 g veľkosť balenia.</w:t>
      </w:r>
    </w:p>
    <w:p w14:paraId="649C38AF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val="sk-SK"/>
        </w:rPr>
      </w:pPr>
      <w:r w:rsidRPr="00E372ED">
        <w:rPr>
          <w:rFonts w:ascii="Times New Roman" w:eastAsia="Times New Roman" w:hAnsi="Times New Roman" w:cs="Times New Roman"/>
          <w:snapToGrid w:val="0"/>
          <w:color w:val="000000"/>
          <w:lang w:val="sk-SK"/>
        </w:rPr>
        <w:t>Tieto objemy zodpovedajú zvýšeniu objemu o 2 %. Má sa to vziať do úvahy, keď sa nepoužije celý objem konečného zriedeného roztoku.</w:t>
      </w:r>
    </w:p>
    <w:p w14:paraId="58377DC5" w14:textId="77777777" w:rsidR="00E372ED" w:rsidRPr="00E372ED" w:rsidRDefault="00E372ED" w:rsidP="00D8475C">
      <w:pPr>
        <w:spacing w:after="0" w:line="276" w:lineRule="auto"/>
        <w:rPr>
          <w:rFonts w:ascii="Times New Roman" w:eastAsia="Times New Roman" w:hAnsi="Times New Roman" w:cs="Times New Roman"/>
          <w:snapToGrid w:val="0"/>
          <w:color w:val="000000"/>
          <w:lang w:val="sk-SK" w:bidi="ar-QA"/>
        </w:rPr>
      </w:pPr>
    </w:p>
    <w:p w14:paraId="63E0D37E" w14:textId="77777777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u w:val="single"/>
          <w:lang w:val="pl-PL" w:eastAsia="en-GB"/>
        </w:rPr>
      </w:pPr>
      <w:r w:rsidRPr="00CD280B">
        <w:rPr>
          <w:rFonts w:ascii="Times New Roman" w:eastAsia="Verdana" w:hAnsi="Times New Roman" w:cs="Times New Roman"/>
          <w:u w:val="single"/>
          <w:lang w:val="sk-SK" w:eastAsia="en-GB"/>
        </w:rPr>
        <w:t>Spôsob podávania</w:t>
      </w:r>
    </w:p>
    <w:p w14:paraId="431E7C50" w14:textId="77777777" w:rsidR="00CD280B" w:rsidRPr="00CD280B" w:rsidRDefault="00CD280B" w:rsidP="00D8475C">
      <w:pPr>
        <w:spacing w:after="0" w:line="240" w:lineRule="auto"/>
        <w:rPr>
          <w:rFonts w:ascii="Times New Roman" w:eastAsia="Verdana" w:hAnsi="Times New Roman" w:cs="Times New Roman"/>
          <w:lang w:val="sk-SK" w:eastAsia="en-GB"/>
        </w:rPr>
      </w:pPr>
      <w:proofErr w:type="spellStart"/>
      <w:r w:rsidRPr="00CD280B">
        <w:rPr>
          <w:rFonts w:ascii="Times New Roman" w:eastAsia="Times New Roman" w:hAnsi="Times New Roman" w:cs="Times New Roman"/>
          <w:lang w:val="sk-SK" w:eastAsia="en-GB"/>
        </w:rPr>
        <w:t>Fomicyt</w:t>
      </w:r>
      <w:proofErr w:type="spellEnd"/>
      <w:r w:rsidRPr="00CD280B">
        <w:rPr>
          <w:rFonts w:ascii="Times New Roman" w:eastAsia="Times New Roman" w:hAnsi="Times New Roman" w:cs="Times New Roman"/>
          <w:lang w:val="sk-SK" w:eastAsia="en-GB"/>
        </w:rPr>
        <w:t xml:space="preserve"> </w:t>
      </w:r>
      <w:r w:rsidRPr="00CD280B">
        <w:rPr>
          <w:rFonts w:ascii="Times New Roman" w:eastAsia="Verdana" w:hAnsi="Times New Roman" w:cs="Times New Roman"/>
          <w:lang w:val="sk-SK" w:eastAsia="en-GB"/>
        </w:rPr>
        <w:t xml:space="preserve">je určený na intravenózne použitie. </w:t>
      </w:r>
    </w:p>
    <w:p w14:paraId="0393E65A" w14:textId="77777777" w:rsidR="00CD280B" w:rsidRPr="00CD280B" w:rsidRDefault="00CD280B" w:rsidP="00D8475C">
      <w:pPr>
        <w:spacing w:after="0" w:line="240" w:lineRule="auto"/>
        <w:rPr>
          <w:rFonts w:ascii="Times New Roman" w:eastAsia="Times New Roman" w:hAnsi="Times New Roman" w:cs="Times New Roman"/>
          <w:lang w:val="sk-SK" w:eastAsia="en-GB"/>
        </w:rPr>
      </w:pPr>
    </w:p>
    <w:p w14:paraId="5BF8C3A4" w14:textId="0CED0722" w:rsidR="00CD280B" w:rsidRPr="00CD280B" w:rsidRDefault="00CD280B" w:rsidP="00D8475C">
      <w:pPr>
        <w:spacing w:after="140" w:line="280" w:lineRule="atLeast"/>
        <w:rPr>
          <w:rFonts w:ascii="Times New Roman" w:eastAsia="Verdana" w:hAnsi="Times New Roman" w:cs="Times New Roman"/>
          <w:lang w:val="pl-PL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>Dĺžka podávania infúzie má byť aspoň 15 minút pri veľkosti balenia 2 g, aspoň 30 minút pri veľkosti balenia 4 g, a aspoň 60 minút pri veľkosti balenia 8 g.</w:t>
      </w:r>
    </w:p>
    <w:p w14:paraId="71764636" w14:textId="77777777" w:rsidR="00CD280B" w:rsidRDefault="00CD280B" w:rsidP="00D8475C">
      <w:pPr>
        <w:spacing w:after="0" w:line="240" w:lineRule="auto"/>
        <w:jc w:val="both"/>
        <w:rPr>
          <w:rFonts w:ascii="Times New Roman" w:eastAsia="Verdana" w:hAnsi="Times New Roman" w:cs="Times New Roman"/>
          <w:lang w:val="sk-SK" w:eastAsia="en-GB"/>
        </w:rPr>
      </w:pPr>
      <w:r w:rsidRPr="00CD280B">
        <w:rPr>
          <w:rFonts w:ascii="Times New Roman" w:eastAsia="Verdana" w:hAnsi="Times New Roman" w:cs="Times New Roman"/>
          <w:lang w:val="sk-SK" w:eastAsia="en-GB"/>
        </w:rPr>
        <w:t xml:space="preserve">Keďže neúmyselné 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intraarteriálne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podanie liekov špecificky neodporúčaných na 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intraarteriálnu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liečbu môže mať škodlivé účinky, je nevyhnutné zabezpečiť, aby sa </w:t>
      </w:r>
      <w:proofErr w:type="spellStart"/>
      <w:r w:rsidRPr="00CD280B">
        <w:rPr>
          <w:rFonts w:ascii="Times New Roman" w:eastAsia="Verdana" w:hAnsi="Times New Roman" w:cs="Times New Roman"/>
          <w:lang w:val="sk-SK" w:eastAsia="en-GB"/>
        </w:rPr>
        <w:t>fosfomycín</w:t>
      </w:r>
      <w:proofErr w:type="spellEnd"/>
      <w:r w:rsidRPr="00CD280B">
        <w:rPr>
          <w:rFonts w:ascii="Times New Roman" w:eastAsia="Verdana" w:hAnsi="Times New Roman" w:cs="Times New Roman"/>
          <w:lang w:val="sk-SK" w:eastAsia="en-GB"/>
        </w:rPr>
        <w:t xml:space="preserve"> podával len do žíl.</w:t>
      </w:r>
    </w:p>
    <w:p w14:paraId="1A858B27" w14:textId="77777777" w:rsidR="00E372ED" w:rsidRPr="00E372ED" w:rsidRDefault="00E372ED" w:rsidP="00D8475C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10381F2D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r w:rsidRPr="00E372ED">
        <w:rPr>
          <w:rFonts w:ascii="Times New Roman" w:eastAsia="Times New Roman" w:hAnsi="Times New Roman" w:cs="Times New Roman"/>
          <w:i/>
          <w:u w:val="single"/>
          <w:lang w:val="sk-SK"/>
        </w:rPr>
        <w:t xml:space="preserve">Doba použiteľnosti </w:t>
      </w:r>
      <w:r w:rsidRPr="00E372ED">
        <w:rPr>
          <w:rFonts w:ascii="Times New Roman" w:eastAsia="Times New Roman" w:hAnsi="Times New Roman" w:cs="Times New Roman"/>
          <w:i/>
          <w:snapToGrid w:val="0"/>
          <w:color w:val="000000"/>
          <w:u w:val="single"/>
          <w:lang w:val="sk-SK"/>
        </w:rPr>
        <w:t>infúzneho roztoku</w:t>
      </w:r>
    </w:p>
    <w:p w14:paraId="5410CA2D" w14:textId="77777777" w:rsidR="00E372ED" w:rsidRPr="00E372ED" w:rsidRDefault="00E372ED" w:rsidP="00D8475C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  <w:r w:rsidRPr="00E372ED">
        <w:rPr>
          <w:rFonts w:ascii="Times New Roman" w:eastAsia="Times New Roman" w:hAnsi="Times New Roman" w:cs="Times New Roman"/>
          <w:lang w:val="sk-SK"/>
        </w:rPr>
        <w:t>Chemická a fyzikálna stabilita pri používaní konečného zriedeného roztoku, ktorý bol pripravený pri sterilných podmienkach, sa preukázala počas 24 hodín pri teplote 25 °C, keď je roztok chránený pred svetlom.</w:t>
      </w:r>
    </w:p>
    <w:p w14:paraId="23290F78" w14:textId="77777777" w:rsidR="002E16C7" w:rsidRPr="00E372ED" w:rsidRDefault="00E372ED" w:rsidP="00D8475C">
      <w:pPr>
        <w:spacing w:after="0" w:line="240" w:lineRule="auto"/>
        <w:rPr>
          <w:rFonts w:eastAsia="Times New Roman"/>
          <w:sz w:val="20"/>
          <w:szCs w:val="20"/>
          <w:lang w:val="sk-SK"/>
        </w:rPr>
      </w:pPr>
      <w:r w:rsidRPr="00E372ED">
        <w:rPr>
          <w:rFonts w:ascii="Times New Roman" w:eastAsia="Times New Roman" w:hAnsi="Times New Roman" w:cs="Times New Roman"/>
          <w:snapToGrid w:val="0"/>
          <w:color w:val="000000"/>
          <w:lang w:val="sk-SK"/>
        </w:rPr>
        <w:t>Z mikrobiologického hľadiska sa má liek použiť okamžite. Ak sa liek nepoužije okamžite, za čas a podmienky uchovávania pred použitím zodpovedá používateľ a obvykle nemajú byť dlhšie ako 24 hodín pri teplote 2 až 8</w:t>
      </w:r>
      <w:r w:rsidRPr="00E372ED">
        <w:rPr>
          <w:rFonts w:ascii="Times New Roman" w:eastAsia="Times New Roman" w:hAnsi="Times New Roman" w:cs="Times New Roman"/>
          <w:lang w:val="sk-SK"/>
        </w:rPr>
        <w:t> °C</w:t>
      </w:r>
      <w:r w:rsidRPr="00E372ED">
        <w:rPr>
          <w:rFonts w:ascii="Times New Roman" w:eastAsia="Times New Roman" w:hAnsi="Times New Roman" w:cs="Times New Roman"/>
          <w:snapToGrid w:val="0"/>
          <w:color w:val="000000"/>
          <w:lang w:val="sk-SK"/>
        </w:rPr>
        <w:t>, pokiaľ sa príprava neuskutočnila pri kontrolovaných a validovaných sterilných podmienkach.</w:t>
      </w:r>
    </w:p>
    <w:sectPr w:rsidR="002E16C7" w:rsidRPr="00E37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EE36B" w14:textId="77777777" w:rsidR="00D17573" w:rsidRDefault="00D17573" w:rsidP="00E372ED">
      <w:pPr>
        <w:spacing w:after="0" w:line="240" w:lineRule="auto"/>
      </w:pPr>
      <w:r>
        <w:separator/>
      </w:r>
    </w:p>
  </w:endnote>
  <w:endnote w:type="continuationSeparator" w:id="0">
    <w:p w14:paraId="4CAFAF0F" w14:textId="77777777" w:rsidR="00D17573" w:rsidRDefault="00D17573" w:rsidP="00E3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1D56" w14:textId="77777777" w:rsidR="009B01A0" w:rsidRDefault="009B01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9A53F" w14:textId="77777777" w:rsidR="004C60A1" w:rsidRPr="00C54DE3" w:rsidRDefault="004C60A1" w:rsidP="004C60A1">
    <w:pPr>
      <w:pStyle w:val="Pta"/>
      <w:jc w:val="center"/>
      <w:rPr>
        <w:rFonts w:ascii="Times New Roman" w:hAnsi="Times New Roman" w:cs="Times New Roman"/>
      </w:rPr>
    </w:pPr>
    <w:r w:rsidRPr="00C54DE3">
      <w:rPr>
        <w:rFonts w:ascii="Times New Roman" w:hAnsi="Times New Roman" w:cs="Times New Roman"/>
      </w:rPr>
      <w:fldChar w:fldCharType="begin"/>
    </w:r>
    <w:r w:rsidRPr="00C54DE3">
      <w:rPr>
        <w:rFonts w:ascii="Times New Roman" w:hAnsi="Times New Roman" w:cs="Times New Roman"/>
      </w:rPr>
      <w:instrText>PAGE   \* MERGEFORMAT</w:instrText>
    </w:r>
    <w:r w:rsidRPr="00C54DE3">
      <w:rPr>
        <w:rFonts w:ascii="Times New Roman" w:hAnsi="Times New Roman" w:cs="Times New Roman"/>
      </w:rPr>
      <w:fldChar w:fldCharType="separate"/>
    </w:r>
    <w:r w:rsidR="009B01A0">
      <w:rPr>
        <w:rFonts w:ascii="Times New Roman" w:hAnsi="Times New Roman" w:cs="Times New Roman"/>
        <w:noProof/>
      </w:rPr>
      <w:t>1</w:t>
    </w:r>
    <w:r w:rsidRPr="00C54DE3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3F5DD" w14:textId="77777777" w:rsidR="009B01A0" w:rsidRDefault="009B01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49EDF" w14:textId="77777777" w:rsidR="00D17573" w:rsidRDefault="00D17573" w:rsidP="00E372ED">
      <w:pPr>
        <w:spacing w:after="0" w:line="240" w:lineRule="auto"/>
      </w:pPr>
      <w:r>
        <w:separator/>
      </w:r>
    </w:p>
  </w:footnote>
  <w:footnote w:type="continuationSeparator" w:id="0">
    <w:p w14:paraId="0DE242E6" w14:textId="77777777" w:rsidR="00D17573" w:rsidRDefault="00D17573" w:rsidP="00E3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C3623" w14:textId="77777777" w:rsidR="009B01A0" w:rsidRDefault="009B01A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E4651" w14:textId="07FD39AC" w:rsidR="003A0343" w:rsidRPr="000202CC" w:rsidRDefault="009B01A0" w:rsidP="003A0343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Príloha</w:t>
    </w:r>
    <w:proofErr w:type="spellEnd"/>
    <w:r>
      <w:rPr>
        <w:rFonts w:ascii="Times New Roman" w:hAnsi="Times New Roman" w:cs="Times New Roman"/>
        <w:sz w:val="18"/>
        <w:szCs w:val="18"/>
      </w:rPr>
      <w:t xml:space="preserve"> č.2</w:t>
    </w:r>
    <w:r w:rsidR="003A0343" w:rsidRPr="000202CC">
      <w:rPr>
        <w:rFonts w:ascii="Times New Roman" w:hAnsi="Times New Roman" w:cs="Times New Roman"/>
        <w:sz w:val="18"/>
        <w:szCs w:val="18"/>
      </w:rPr>
      <w:t xml:space="preserve"> k </w:t>
    </w:r>
    <w:proofErr w:type="spellStart"/>
    <w:r w:rsidR="003A0343" w:rsidRPr="000202CC">
      <w:rPr>
        <w:rFonts w:ascii="Times New Roman" w:hAnsi="Times New Roman" w:cs="Times New Roman"/>
        <w:sz w:val="18"/>
        <w:szCs w:val="18"/>
      </w:rPr>
      <w:t>notifikácii</w:t>
    </w:r>
    <w:proofErr w:type="spellEnd"/>
    <w:r w:rsidR="003A0343" w:rsidRPr="000202CC">
      <w:rPr>
        <w:rFonts w:ascii="Times New Roman" w:hAnsi="Times New Roman" w:cs="Times New Roman"/>
        <w:sz w:val="18"/>
        <w:szCs w:val="18"/>
      </w:rPr>
      <w:t xml:space="preserve"> o </w:t>
    </w:r>
    <w:proofErr w:type="spellStart"/>
    <w:r w:rsidR="003A0343" w:rsidRPr="000202CC">
      <w:rPr>
        <w:rFonts w:ascii="Times New Roman" w:hAnsi="Times New Roman" w:cs="Times New Roman"/>
        <w:sz w:val="18"/>
        <w:szCs w:val="18"/>
      </w:rPr>
      <w:t>zmene</w:t>
    </w:r>
    <w:proofErr w:type="spellEnd"/>
    <w:r w:rsidR="003A0343" w:rsidRPr="000202CC">
      <w:rPr>
        <w:rFonts w:ascii="Times New Roman" w:hAnsi="Times New Roman" w:cs="Times New Roman"/>
        <w:sz w:val="18"/>
        <w:szCs w:val="18"/>
      </w:rPr>
      <w:t>, ev. č. 2020/03241-Z1A, 2020/03603-Z1B</w:t>
    </w:r>
  </w:p>
  <w:p w14:paraId="30A9543F" w14:textId="1732E7AB" w:rsidR="00CD3F27" w:rsidRPr="003A0343" w:rsidRDefault="00CD3F27" w:rsidP="003A0343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002D9" w14:textId="77777777" w:rsidR="009B01A0" w:rsidRDefault="009B01A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B8D"/>
    <w:multiLevelType w:val="hybridMultilevel"/>
    <w:tmpl w:val="D6980E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6038"/>
    <w:multiLevelType w:val="hybridMultilevel"/>
    <w:tmpl w:val="08C855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52B5"/>
    <w:multiLevelType w:val="hybridMultilevel"/>
    <w:tmpl w:val="6728F186"/>
    <w:lvl w:ilvl="0" w:tplc="E5EAC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70E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A1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83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7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A5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8F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4B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E7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3968"/>
    <w:multiLevelType w:val="hybridMultilevel"/>
    <w:tmpl w:val="44C22A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5F77"/>
    <w:multiLevelType w:val="hybridMultilevel"/>
    <w:tmpl w:val="507E58AE"/>
    <w:lvl w:ilvl="0" w:tplc="3C68B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4B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F88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EB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AF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6C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47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BA8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45EE"/>
    <w:multiLevelType w:val="hybridMultilevel"/>
    <w:tmpl w:val="D8140DAA"/>
    <w:lvl w:ilvl="0" w:tplc="A4A03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00C6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64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80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A9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24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83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68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E2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A2A43"/>
    <w:multiLevelType w:val="hybridMultilevel"/>
    <w:tmpl w:val="118EDA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D127AE"/>
    <w:multiLevelType w:val="hybridMultilevel"/>
    <w:tmpl w:val="9BF44944"/>
    <w:lvl w:ilvl="0" w:tplc="34D8D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EC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6D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60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C8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06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A9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06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75488"/>
    <w:multiLevelType w:val="hybridMultilevel"/>
    <w:tmpl w:val="98685F06"/>
    <w:lvl w:ilvl="0" w:tplc="5E66F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400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82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68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A9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1AD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6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2B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A19A0"/>
    <w:multiLevelType w:val="hybridMultilevel"/>
    <w:tmpl w:val="9C8C191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B4459BF"/>
    <w:multiLevelType w:val="hybridMultilevel"/>
    <w:tmpl w:val="66F2BD4E"/>
    <w:lvl w:ilvl="0" w:tplc="00000001">
      <w:start w:val="1"/>
      <w:numFmt w:val="bullet"/>
      <w:lvlText w:val="-"/>
      <w:lvlJc w:val="left"/>
      <w:pPr>
        <w:tabs>
          <w:tab w:val="num" w:pos="720"/>
        </w:tabs>
      </w:pPr>
      <w:rPr>
        <w:rFonts w:ascii="Thorndale" w:hAnsi="Thorndale" w:cs="Thorndale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8E527B"/>
    <w:multiLevelType w:val="hybridMultilevel"/>
    <w:tmpl w:val="04987D96"/>
    <w:lvl w:ilvl="0" w:tplc="A3D0C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6472"/>
    <w:multiLevelType w:val="hybridMultilevel"/>
    <w:tmpl w:val="47D293B8"/>
    <w:lvl w:ilvl="0" w:tplc="C5FC0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3C2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05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C4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20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06F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2C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E60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96E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84318"/>
    <w:multiLevelType w:val="hybridMultilevel"/>
    <w:tmpl w:val="2A964198"/>
    <w:lvl w:ilvl="0" w:tplc="42F062F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75534"/>
    <w:multiLevelType w:val="hybridMultilevel"/>
    <w:tmpl w:val="E64A47DA"/>
    <w:lvl w:ilvl="0" w:tplc="F4A89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5EE3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0D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26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E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A1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8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2C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8FF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0768D"/>
    <w:multiLevelType w:val="hybridMultilevel"/>
    <w:tmpl w:val="966C5B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271C"/>
    <w:multiLevelType w:val="hybridMultilevel"/>
    <w:tmpl w:val="2F1C99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44B75"/>
    <w:multiLevelType w:val="hybridMultilevel"/>
    <w:tmpl w:val="0F0C9DAC"/>
    <w:lvl w:ilvl="0" w:tplc="BE2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36B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9E1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05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8E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1C9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EC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22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61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B1809"/>
    <w:multiLevelType w:val="hybridMultilevel"/>
    <w:tmpl w:val="578AC5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41FDC"/>
    <w:multiLevelType w:val="hybridMultilevel"/>
    <w:tmpl w:val="0358C1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C6607A"/>
    <w:multiLevelType w:val="hybridMultilevel"/>
    <w:tmpl w:val="02001310"/>
    <w:lvl w:ilvl="0" w:tplc="D9201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86B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00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2F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80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67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21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82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C7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E67FF"/>
    <w:multiLevelType w:val="hybridMultilevel"/>
    <w:tmpl w:val="B8D41D76"/>
    <w:lvl w:ilvl="0" w:tplc="A5B48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1ED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C0F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852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4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07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1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7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180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72BFD"/>
    <w:multiLevelType w:val="hybridMultilevel"/>
    <w:tmpl w:val="801A01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3"/>
  </w:num>
  <w:num w:numId="5">
    <w:abstractNumId w:val="22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15"/>
  </w:num>
  <w:num w:numId="11">
    <w:abstractNumId w:val="13"/>
  </w:num>
  <w:num w:numId="12">
    <w:abstractNumId w:val="18"/>
  </w:num>
  <w:num w:numId="13">
    <w:abstractNumId w:val="20"/>
  </w:num>
  <w:num w:numId="14">
    <w:abstractNumId w:val="8"/>
  </w:num>
  <w:num w:numId="15">
    <w:abstractNumId w:val="7"/>
  </w:num>
  <w:num w:numId="16">
    <w:abstractNumId w:val="17"/>
  </w:num>
  <w:num w:numId="17">
    <w:abstractNumId w:val="5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ED"/>
    <w:rsid w:val="00046F7D"/>
    <w:rsid w:val="000573E9"/>
    <w:rsid w:val="00074BAB"/>
    <w:rsid w:val="00087F8E"/>
    <w:rsid w:val="000D70A6"/>
    <w:rsid w:val="000F0AE3"/>
    <w:rsid w:val="00110017"/>
    <w:rsid w:val="001154D3"/>
    <w:rsid w:val="00135B8A"/>
    <w:rsid w:val="00145CAD"/>
    <w:rsid w:val="00175B28"/>
    <w:rsid w:val="001A67D4"/>
    <w:rsid w:val="001B5F90"/>
    <w:rsid w:val="001C50D5"/>
    <w:rsid w:val="001C740C"/>
    <w:rsid w:val="001E0A81"/>
    <w:rsid w:val="002E16C7"/>
    <w:rsid w:val="0030618E"/>
    <w:rsid w:val="003169DB"/>
    <w:rsid w:val="00322738"/>
    <w:rsid w:val="00337760"/>
    <w:rsid w:val="003A0343"/>
    <w:rsid w:val="003B4082"/>
    <w:rsid w:val="003E170F"/>
    <w:rsid w:val="00437B17"/>
    <w:rsid w:val="00464807"/>
    <w:rsid w:val="0048223D"/>
    <w:rsid w:val="004931D2"/>
    <w:rsid w:val="004A4C2E"/>
    <w:rsid w:val="004B5C0D"/>
    <w:rsid w:val="004C0D81"/>
    <w:rsid w:val="004C5849"/>
    <w:rsid w:val="004C60A1"/>
    <w:rsid w:val="00516AAC"/>
    <w:rsid w:val="005910D5"/>
    <w:rsid w:val="005B1731"/>
    <w:rsid w:val="005D3D50"/>
    <w:rsid w:val="005E5284"/>
    <w:rsid w:val="005F19A9"/>
    <w:rsid w:val="006116C9"/>
    <w:rsid w:val="00615DB3"/>
    <w:rsid w:val="006660C1"/>
    <w:rsid w:val="006844D0"/>
    <w:rsid w:val="006C19AC"/>
    <w:rsid w:val="006C2321"/>
    <w:rsid w:val="006E111E"/>
    <w:rsid w:val="006F30E6"/>
    <w:rsid w:val="00740B27"/>
    <w:rsid w:val="00766CE4"/>
    <w:rsid w:val="007871AF"/>
    <w:rsid w:val="007B71A0"/>
    <w:rsid w:val="007E6884"/>
    <w:rsid w:val="007F4B29"/>
    <w:rsid w:val="00813FB2"/>
    <w:rsid w:val="008338C9"/>
    <w:rsid w:val="00877C52"/>
    <w:rsid w:val="00890591"/>
    <w:rsid w:val="008943E9"/>
    <w:rsid w:val="008B4535"/>
    <w:rsid w:val="008E4D2B"/>
    <w:rsid w:val="008E51BF"/>
    <w:rsid w:val="00977038"/>
    <w:rsid w:val="009B01A0"/>
    <w:rsid w:val="009E40CD"/>
    <w:rsid w:val="009F2F7A"/>
    <w:rsid w:val="00A60E23"/>
    <w:rsid w:val="00AB7EA9"/>
    <w:rsid w:val="00AC0CB8"/>
    <w:rsid w:val="00B5167E"/>
    <w:rsid w:val="00B54DEC"/>
    <w:rsid w:val="00B921EB"/>
    <w:rsid w:val="00BA3404"/>
    <w:rsid w:val="00BA47CC"/>
    <w:rsid w:val="00C21AC6"/>
    <w:rsid w:val="00C420A0"/>
    <w:rsid w:val="00C54DE3"/>
    <w:rsid w:val="00C556DF"/>
    <w:rsid w:val="00CA338B"/>
    <w:rsid w:val="00CB4E59"/>
    <w:rsid w:val="00CD280B"/>
    <w:rsid w:val="00CD3F27"/>
    <w:rsid w:val="00CF3FCF"/>
    <w:rsid w:val="00D17573"/>
    <w:rsid w:val="00D8475C"/>
    <w:rsid w:val="00DD5D6C"/>
    <w:rsid w:val="00DD64ED"/>
    <w:rsid w:val="00DF5F8E"/>
    <w:rsid w:val="00E372ED"/>
    <w:rsid w:val="00EA7C27"/>
    <w:rsid w:val="00F001C0"/>
    <w:rsid w:val="00F336FC"/>
    <w:rsid w:val="00F372C9"/>
    <w:rsid w:val="00F4522E"/>
    <w:rsid w:val="00FB3EA6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06AD21"/>
  <w15:chartTrackingRefBased/>
  <w15:docId w15:val="{D1875A52-9BF5-49D3-B656-116708C7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2E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37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72ED"/>
  </w:style>
  <w:style w:type="paragraph" w:styleId="Pta">
    <w:name w:val="footer"/>
    <w:basedOn w:val="Normlny"/>
    <w:link w:val="PtaChar"/>
    <w:uiPriority w:val="99"/>
    <w:unhideWhenUsed/>
    <w:rsid w:val="00E37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72ED"/>
  </w:style>
  <w:style w:type="character" w:styleId="slostrany">
    <w:name w:val="page number"/>
    <w:basedOn w:val="Predvolenpsmoodseku"/>
    <w:rsid w:val="00E372ED"/>
  </w:style>
  <w:style w:type="paragraph" w:styleId="Odsekzoznamu">
    <w:name w:val="List Paragraph"/>
    <w:basedOn w:val="Normlny"/>
    <w:uiPriority w:val="34"/>
    <w:qFormat/>
    <w:rsid w:val="00337760"/>
    <w:pPr>
      <w:ind w:left="720"/>
      <w:contextualSpacing/>
    </w:pPr>
  </w:style>
  <w:style w:type="paragraph" w:customStyle="1" w:styleId="BodytextAgency">
    <w:name w:val="Body text (Agency)"/>
    <w:basedOn w:val="Normlny"/>
    <w:link w:val="BodytextAgencyChar"/>
    <w:uiPriority w:val="99"/>
    <w:qFormat/>
    <w:rsid w:val="00CD280B"/>
    <w:pPr>
      <w:spacing w:after="140" w:line="280" w:lineRule="atLeast"/>
    </w:pPr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BodytextAgencyChar">
    <w:name w:val="Body text (Agency) Char"/>
    <w:link w:val="BodytextAgency"/>
    <w:uiPriority w:val="99"/>
    <w:qFormat/>
    <w:rsid w:val="00CD280B"/>
    <w:rPr>
      <w:rFonts w:ascii="Verdana" w:eastAsia="Verdana" w:hAnsi="Verdana" w:cs="Verdana"/>
      <w:sz w:val="18"/>
      <w:szCs w:val="18"/>
      <w:lang w:val="sk-SK" w:eastAsia="en-GB"/>
    </w:rPr>
  </w:style>
  <w:style w:type="paragraph" w:styleId="Revzia">
    <w:name w:val="Revision"/>
    <w:hidden/>
    <w:uiPriority w:val="99"/>
    <w:semiHidden/>
    <w:rsid w:val="00CD280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1C50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50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50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50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50D5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7871AF"/>
  </w:style>
  <w:style w:type="character" w:styleId="Hypertextovprepojenie">
    <w:name w:val="Hyperlink"/>
    <w:basedOn w:val="Predvolenpsmoodseku"/>
    <w:uiPriority w:val="99"/>
    <w:unhideWhenUsed/>
    <w:rsid w:val="00F4522E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4522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77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1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5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52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8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95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2089</Words>
  <Characters>11909</Characters>
  <Application>Microsoft Office Word</Application>
  <DocSecurity>0</DocSecurity>
  <Lines>99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</dc:creator>
  <cp:keywords/>
  <dc:description/>
  <cp:lastModifiedBy>Repiščáková, Janka</cp:lastModifiedBy>
  <cp:revision>7</cp:revision>
  <cp:lastPrinted>2021-01-20T07:00:00Z</cp:lastPrinted>
  <dcterms:created xsi:type="dcterms:W3CDTF">2021-01-19T22:01:00Z</dcterms:created>
  <dcterms:modified xsi:type="dcterms:W3CDTF">2021-01-20T07:02:00Z</dcterms:modified>
</cp:coreProperties>
</file>