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E5BD" w14:textId="77777777" w:rsidR="002520FB" w:rsidRDefault="002520FB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  <w:bookmarkStart w:id="0" w:name="_GoBack"/>
      <w:bookmarkEnd w:id="0"/>
    </w:p>
    <w:p w14:paraId="12071BE9" w14:textId="5CD176A1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sz w:val="22"/>
        </w:rPr>
      </w:pPr>
      <w:r w:rsidRPr="00821AE9">
        <w:rPr>
          <w:b/>
          <w:bCs/>
          <w:sz w:val="22"/>
        </w:rPr>
        <w:t>Písomná informácia pre používateľa</w:t>
      </w:r>
    </w:p>
    <w:p w14:paraId="35C6669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</w:p>
    <w:p w14:paraId="175B1231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  <w:r w:rsidRPr="00821AE9">
        <w:rPr>
          <w:b/>
          <w:bCs/>
          <w:sz w:val="22"/>
        </w:rPr>
        <w:t>Perindamlostad 4 mg/5 mg tablety</w:t>
      </w:r>
    </w:p>
    <w:p w14:paraId="1BD5990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  <w:r w:rsidRPr="00821AE9">
        <w:rPr>
          <w:b/>
          <w:bCs/>
          <w:sz w:val="22"/>
        </w:rPr>
        <w:t>Perindamlostad 4 mg/10 mg tablety</w:t>
      </w:r>
    </w:p>
    <w:p w14:paraId="6C5C4FFF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  <w:r w:rsidRPr="00821AE9">
        <w:rPr>
          <w:b/>
          <w:bCs/>
          <w:sz w:val="22"/>
        </w:rPr>
        <w:t>Perindamlostad 8 mg/5 mg tablety</w:t>
      </w:r>
    </w:p>
    <w:p w14:paraId="2C75DB2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  <w:r w:rsidRPr="00821AE9">
        <w:rPr>
          <w:b/>
          <w:bCs/>
          <w:sz w:val="22"/>
        </w:rPr>
        <w:t>Perindamlostad 8 mg/10 mg tablety</w:t>
      </w:r>
    </w:p>
    <w:p w14:paraId="4065483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b/>
          <w:bCs/>
          <w:sz w:val="22"/>
        </w:rPr>
      </w:pPr>
    </w:p>
    <w:p w14:paraId="088FAEFD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sz w:val="22"/>
        </w:rPr>
      </w:pPr>
      <w:r w:rsidRPr="00821AE9">
        <w:rPr>
          <w:sz w:val="22"/>
        </w:rPr>
        <w:t>perindopril /amlodipín</w:t>
      </w:r>
    </w:p>
    <w:p w14:paraId="0B38C6F4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jc w:val="center"/>
        <w:rPr>
          <w:sz w:val="22"/>
        </w:rPr>
      </w:pPr>
    </w:p>
    <w:p w14:paraId="1C35241B" w14:textId="77777777" w:rsidR="00B81DB8" w:rsidRPr="00821AE9" w:rsidRDefault="00B81DB8">
      <w:pPr>
        <w:tabs>
          <w:tab w:val="left" w:pos="142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142" w:hanging="142"/>
        <w:rPr>
          <w:sz w:val="22"/>
        </w:rPr>
      </w:pPr>
      <w:r w:rsidRPr="00821AE9">
        <w:rPr>
          <w:b/>
          <w:bCs/>
          <w:sz w:val="22"/>
        </w:rPr>
        <w:t>Pozorne si prečítajte celú písomnú informáciu predtým, ako začnete užívať tento liek, pretože obsahuje pre vás dôležité informácie.</w:t>
      </w:r>
      <w:r w:rsidRPr="00821AE9">
        <w:rPr>
          <w:sz w:val="22"/>
        </w:rPr>
        <w:t xml:space="preserve"> </w:t>
      </w:r>
    </w:p>
    <w:p w14:paraId="3DB6F2C1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Túto písomnú informáciu si uschovajte. Možno bude potrebné, aby ste si ju znovu prečítali.</w:t>
      </w:r>
    </w:p>
    <w:p w14:paraId="2E8BB2E0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akékoľvek ďalšie otázky, obráťte sa na svojho lekára alebo lekárnika.</w:t>
      </w:r>
    </w:p>
    <w:p w14:paraId="405A1045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Tento liek bol predpísaný iba vám. Nedávajte ho nikomu inému. Môže mu uškodiť, dokonca aj vtedy, ak má rovnaké prejavy ochorenia ako vy.</w:t>
      </w:r>
    </w:p>
    <w:p w14:paraId="5A2EF930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sa u vás vyskytne akékoľvek vedľajší účinok, obráťte sa na svojho lekára alebo lekárnika. To sa týka aj akýchkoľvek vedľajších účinkov, ktoré nie sú uvedené v tejto písomnej informácii. Pozrite si časť 4.</w:t>
      </w:r>
    </w:p>
    <w:p w14:paraId="2F2AF04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1D513B40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V tejto písomnej informácii sa dozviete:</w:t>
      </w:r>
    </w:p>
    <w:p w14:paraId="505ABD19" w14:textId="77777777" w:rsidR="00B81DB8" w:rsidRPr="00821AE9" w:rsidRDefault="00B81DB8" w:rsidP="00520853">
      <w:pPr>
        <w:numPr>
          <w:ilvl w:val="0"/>
          <w:numId w:val="7"/>
        </w:numPr>
        <w:tabs>
          <w:tab w:val="left" w:pos="0"/>
          <w:tab w:val="left" w:pos="142"/>
        </w:tabs>
        <w:ind w:left="709" w:hanging="709"/>
        <w:rPr>
          <w:sz w:val="22"/>
        </w:rPr>
      </w:pPr>
      <w:r w:rsidRPr="00821AE9">
        <w:rPr>
          <w:sz w:val="22"/>
        </w:rPr>
        <w:t>Čo je Perindamlostad a na čo sa používa</w:t>
      </w:r>
    </w:p>
    <w:p w14:paraId="4415406C" w14:textId="77777777" w:rsidR="00B81DB8" w:rsidRPr="00821AE9" w:rsidRDefault="00B81DB8" w:rsidP="00520853">
      <w:pPr>
        <w:numPr>
          <w:ilvl w:val="0"/>
          <w:numId w:val="7"/>
        </w:numPr>
        <w:tabs>
          <w:tab w:val="left" w:pos="0"/>
          <w:tab w:val="left" w:pos="142"/>
        </w:tabs>
        <w:ind w:left="709" w:hanging="709"/>
        <w:rPr>
          <w:sz w:val="22"/>
        </w:rPr>
      </w:pPr>
      <w:r w:rsidRPr="00821AE9">
        <w:rPr>
          <w:sz w:val="22"/>
        </w:rPr>
        <w:t xml:space="preserve">Čo potrebujete vedieť predtým, ako užijete Perindamlostad </w:t>
      </w:r>
    </w:p>
    <w:p w14:paraId="7E554EFD" w14:textId="77777777" w:rsidR="00B81DB8" w:rsidRPr="00821AE9" w:rsidRDefault="00B81DB8" w:rsidP="00520853">
      <w:pPr>
        <w:numPr>
          <w:ilvl w:val="0"/>
          <w:numId w:val="7"/>
        </w:numPr>
        <w:tabs>
          <w:tab w:val="left" w:pos="0"/>
          <w:tab w:val="left" w:pos="142"/>
        </w:tabs>
        <w:ind w:left="709" w:hanging="709"/>
        <w:rPr>
          <w:sz w:val="22"/>
        </w:rPr>
      </w:pPr>
      <w:r w:rsidRPr="00821AE9">
        <w:rPr>
          <w:sz w:val="22"/>
        </w:rPr>
        <w:t xml:space="preserve">Ako užívať Perindamlostad </w:t>
      </w:r>
    </w:p>
    <w:p w14:paraId="29C4455C" w14:textId="77777777" w:rsidR="00B81DB8" w:rsidRPr="00821AE9" w:rsidRDefault="00B81DB8" w:rsidP="00520853">
      <w:pPr>
        <w:numPr>
          <w:ilvl w:val="0"/>
          <w:numId w:val="7"/>
        </w:numPr>
        <w:tabs>
          <w:tab w:val="left" w:pos="0"/>
          <w:tab w:val="left" w:pos="142"/>
        </w:tabs>
        <w:ind w:left="709" w:hanging="709"/>
        <w:rPr>
          <w:sz w:val="22"/>
        </w:rPr>
      </w:pPr>
      <w:r w:rsidRPr="00821AE9">
        <w:rPr>
          <w:sz w:val="22"/>
        </w:rPr>
        <w:t>Možné vedľajšie účinky</w:t>
      </w:r>
    </w:p>
    <w:p w14:paraId="69A5A13A" w14:textId="77777777" w:rsidR="00B81DB8" w:rsidRPr="00821AE9" w:rsidRDefault="00B81DB8" w:rsidP="00520853">
      <w:pPr>
        <w:numPr>
          <w:ilvl w:val="0"/>
          <w:numId w:val="7"/>
        </w:numPr>
        <w:tabs>
          <w:tab w:val="left" w:pos="0"/>
          <w:tab w:val="left" w:pos="142"/>
        </w:tabs>
        <w:ind w:left="709" w:hanging="709"/>
        <w:rPr>
          <w:sz w:val="22"/>
        </w:rPr>
      </w:pPr>
      <w:r w:rsidRPr="00821AE9">
        <w:rPr>
          <w:sz w:val="22"/>
        </w:rPr>
        <w:t xml:space="preserve">Ako uchovávať Perindamlostad </w:t>
      </w:r>
    </w:p>
    <w:p w14:paraId="122720DD" w14:textId="77777777" w:rsidR="00B81DB8" w:rsidRPr="00821AE9" w:rsidRDefault="00B81DB8" w:rsidP="00520853">
      <w:pPr>
        <w:numPr>
          <w:ilvl w:val="0"/>
          <w:numId w:val="7"/>
        </w:numPr>
        <w:tabs>
          <w:tab w:val="left" w:pos="0"/>
          <w:tab w:val="left" w:pos="142"/>
        </w:tabs>
        <w:ind w:left="709" w:hanging="709"/>
        <w:rPr>
          <w:sz w:val="22"/>
        </w:rPr>
      </w:pPr>
      <w:r w:rsidRPr="00821AE9">
        <w:rPr>
          <w:sz w:val="22"/>
        </w:rPr>
        <w:t>Obsah balenia a ďalšie informácie</w:t>
      </w:r>
    </w:p>
    <w:p w14:paraId="4CBF856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6A6DBEAC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F38BFCD" w14:textId="77777777" w:rsidR="00B81DB8" w:rsidRPr="00821AE9" w:rsidRDefault="00B81DB8">
      <w:pPr>
        <w:numPr>
          <w:ilvl w:val="0"/>
          <w:numId w:val="8"/>
        </w:num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Čo je Perindamlostad a na čo sa používa</w:t>
      </w:r>
    </w:p>
    <w:p w14:paraId="0F22E3D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488C0DDE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Perindamlostad sa predpisuje na liečbu vysokého krvného tlaku (hypertenzie) a/alebo na liečbu stabilnej ischemickej choroby srdca (stav, pri ktorom je prívod krvi do srdca znížený alebo blokovaný).</w:t>
      </w:r>
    </w:p>
    <w:p w14:paraId="3FFCD82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Pacienti, ktorí už užívajú perindopril a amlodipín, každý ako samostatnú tabletu, môžu užívať namiesto toho jednu tabletu Perindamlostadu, ktorá obsahuje obe liečivá.</w:t>
      </w:r>
    </w:p>
    <w:p w14:paraId="61FD86E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562DC00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Perindamlostad je kombinácia dvoch liečiv, perindoprilu a amlodipínu. Perindopril je inhibítor ACE (enzýmu konvertujúceho angiotenzín). Amlodipín je antagonista vápnika (ktorý patrí do skupiny liekov nazývaných dihydropyridíny). Spolu pôsobia tak, že rozširujú a uvoľňujú cievy, v dôsledku čoho dochádza k zníženiu krvného tlaku. Krv môže v tele ľahšie prúdiť a srdce sa nemusí tak namáhať.</w:t>
      </w:r>
    </w:p>
    <w:p w14:paraId="342CEADE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A3B191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83D99E4" w14:textId="77777777" w:rsidR="00B81DB8" w:rsidRPr="00821AE9" w:rsidRDefault="00B81DB8">
      <w:pPr>
        <w:numPr>
          <w:ilvl w:val="0"/>
          <w:numId w:val="9"/>
        </w:num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 xml:space="preserve">Čo potrebujete vedieť predtým, ako užijete Perindamlostad </w:t>
      </w:r>
    </w:p>
    <w:p w14:paraId="3E4564D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73A81F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NEUŽÍVAJTE Perindamlostad</w:t>
      </w:r>
    </w:p>
    <w:p w14:paraId="6A98D637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ste alergický na perindopril</w:t>
      </w:r>
      <w:r w:rsidRPr="00821AE9">
        <w:rPr>
          <w:i/>
          <w:iCs/>
          <w:sz w:val="22"/>
        </w:rPr>
        <w:t xml:space="preserve"> </w:t>
      </w:r>
      <w:r w:rsidRPr="00821AE9">
        <w:rPr>
          <w:sz w:val="22"/>
        </w:rPr>
        <w:t>alebo na ktorýkoľvek iný inhibítor ACE, amlodipín alebo na ktorékoľvek iné dihydropyridíny alebo na ktorúkoľvek z ďalších zložiek tohto lieku (uvedených v časti 6),</w:t>
      </w:r>
    </w:p>
    <w:p w14:paraId="045EF4FE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ste tehotná viac ako 3 mesiace (je tiež lepšie neužívať Perindamlostad</w:t>
      </w:r>
      <w:r w:rsidRPr="00821AE9">
        <w:rPr>
          <w:b/>
          <w:bCs/>
          <w:sz w:val="22"/>
        </w:rPr>
        <w:t xml:space="preserve"> </w:t>
      </w:r>
      <w:r w:rsidRPr="00821AE9">
        <w:rPr>
          <w:sz w:val="22"/>
        </w:rPr>
        <w:t>na začiatku tehotenstva – pozri časť „Tehotenstvo, dojčenie a plodnosť“),</w:t>
      </w:r>
    </w:p>
    <w:p w14:paraId="49E97529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sa u vás vyskytli príznaky ako sipot, opuchnutie tváre alebo jazyka, silné svrbenie alebo závažné kožné vyrážky pri predchádzajúcej liečbe inhibítorom ACE alebo ak sa tieto príznaky vyskytli u vás alebo u člena vašej rodiny za akýchkoľvek iných okolností (stav nazývaný angioedém),</w:t>
      </w:r>
    </w:p>
    <w:p w14:paraId="1C408B46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lastRenderedPageBreak/>
        <w:t>ak máte cukrovku (diabetes) alebo zhoršené fungovanie obličiek a liečite sa liekom na zníženie krvného tlaku, ktorý obsahuje aliskirén.</w:t>
      </w:r>
    </w:p>
    <w:p w14:paraId="732BCD0D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aortálnu stenózu (zúženie hlavnej cievy, ktorá vedie zo srdca) alebo kardiogénny šok (keď srdce nedokáže dostatočne zásobovať telo krvou),</w:t>
      </w:r>
    </w:p>
    <w:p w14:paraId="726656A5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závažne nízky tlak (závažná hypotenzia),</w:t>
      </w:r>
    </w:p>
    <w:p w14:paraId="5B16D992" w14:textId="52B1EF97" w:rsidR="00B81DB8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zlyhávanie srdca (srdce nepumpuje krv dostatočne, čo vedie k problémom s dýchaním alebo opuchom okrajových častí tela, napríklad opuchu nôh, členkov alebo chodidiel) po srdcovom infarkte</w:t>
      </w:r>
      <w:r w:rsidR="00FF56FB">
        <w:rPr>
          <w:sz w:val="22"/>
        </w:rPr>
        <w:t>,</w:t>
      </w:r>
    </w:p>
    <w:p w14:paraId="0B1C61EF" w14:textId="667F5822" w:rsidR="00520853" w:rsidRPr="005B7B85" w:rsidRDefault="00520853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5B7B85">
        <w:rPr>
          <w:sz w:val="22"/>
        </w:rPr>
        <w:t>ak ste užívali alebo teraz užívate sakubitril/valsartan, liek používaný na liečbu určitého typu dlhodobého (chronického) zlyhávania srdca u dospelých, pretože sa u vás zvyšuje riziko angioedému (náhly opuch pod kožou v oblasti, ako je hrdlo)</w:t>
      </w:r>
    </w:p>
    <w:p w14:paraId="3E00D9A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41A9F0BF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Upozornenia a opatrenia</w:t>
      </w:r>
    </w:p>
    <w:p w14:paraId="2F85A18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Predtým, ako začnete užívať Perindamlostad, obráťte sa na svojho lekára alebo lekárnika</w:t>
      </w:r>
    </w:p>
    <w:p w14:paraId="3491D510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hypertrofickú kardiomyopatiu (ochorenie srdcového svalu) alebo stenózu renálnej tepny (zúženie tepny zásobujúcej obličku krvou),</w:t>
      </w:r>
    </w:p>
    <w:p w14:paraId="59A7A2AC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zlyhanie srdca,</w:t>
      </w:r>
    </w:p>
    <w:p w14:paraId="0F1894DA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závažné zvýšenie krvného tlaku (hypertenzná kríza),</w:t>
      </w:r>
    </w:p>
    <w:p w14:paraId="3D13260B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akékoľvek iné problémy so srdcom,</w:t>
      </w:r>
    </w:p>
    <w:p w14:paraId="22A74C57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problémy s pečeňou,</w:t>
      </w:r>
    </w:p>
    <w:p w14:paraId="07285F01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problémy s obličkami alebo ak chodíte na dialýzu,</w:t>
      </w:r>
    </w:p>
    <w:p w14:paraId="32D16216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ochorenie cievneho kolagénu (ochorenie spojovacieho tkaniva), ako je systémový lupus erythematosus alebo sklerodermia,</w:t>
      </w:r>
    </w:p>
    <w:p w14:paraId="25ACACBA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cukrovku,</w:t>
      </w:r>
    </w:p>
    <w:p w14:paraId="6C6B2107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ste na diéte s obmedzeným príjmom soli alebo používate soľné náhrady obsahujúce draslík (dobre vyvážená hladina draslíka v krvi je dôležitá),</w:t>
      </w:r>
    </w:p>
    <w:p w14:paraId="64DEF1FE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ste starší a vaša dávka sa musí zvýšiť,</w:t>
      </w:r>
    </w:p>
    <w:p w14:paraId="57F67F34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ak užívate niektorý z nasledovných liekov používaných na liečbu vysokého krvného tlaku: </w:t>
      </w:r>
    </w:p>
    <w:p w14:paraId="267AD73E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blokátory receptora angiotenzínu II (ARB) (známe aj ako sartany – napríklad valsartan, telmisartan, irbesartan), najmä ak máte problémy s obličkami súvisiace s cukrovkou,</w:t>
      </w:r>
    </w:p>
    <w:p w14:paraId="51A027D6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72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aliskirén.</w:t>
      </w:r>
    </w:p>
    <w:p w14:paraId="08250D12" w14:textId="7B8F5917" w:rsidR="00B81DB8" w:rsidRPr="005B7B85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5B7B85">
        <w:rPr>
          <w:sz w:val="22"/>
        </w:rPr>
        <w:t>ak užívate niektorý z nasledovných liekov,</w:t>
      </w:r>
      <w:r w:rsidR="00205EB7" w:rsidRPr="005B7B85">
        <w:rPr>
          <w:sz w:val="22"/>
        </w:rPr>
        <w:t xml:space="preserve"> </w:t>
      </w:r>
      <w:r w:rsidR="00205EB7" w:rsidRPr="005B7B85">
        <w:rPr>
          <w:bCs/>
          <w:sz w:val="22"/>
          <w:szCs w:val="22"/>
        </w:rPr>
        <w:t xml:space="preserve">riziko angioedému (prudkého opuchu pod kožou </w:t>
      </w:r>
      <w:r w:rsidR="006D2936" w:rsidRPr="005B7B85">
        <w:rPr>
          <w:sz w:val="22"/>
        </w:rPr>
        <w:t>v oblasti, ako je hrdlo)</w:t>
      </w:r>
      <w:r w:rsidR="00FF56FB" w:rsidRPr="005B7B85">
        <w:rPr>
          <w:bCs/>
          <w:sz w:val="22"/>
          <w:szCs w:val="22"/>
        </w:rPr>
        <w:t xml:space="preserve"> </w:t>
      </w:r>
      <w:r w:rsidR="00FF56FB" w:rsidRPr="005B7B85">
        <w:rPr>
          <w:sz w:val="22"/>
        </w:rPr>
        <w:t>sa môže zvýšiť</w:t>
      </w:r>
      <w:r w:rsidRPr="005B7B85">
        <w:rPr>
          <w:sz w:val="22"/>
        </w:rPr>
        <w:t>:</w:t>
      </w:r>
    </w:p>
    <w:p w14:paraId="1073143A" w14:textId="2FBABDD2" w:rsidR="00B81DB8" w:rsidRPr="005B7B85" w:rsidRDefault="00B81DB8" w:rsidP="00151796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hanging="283"/>
        <w:rPr>
          <w:sz w:val="22"/>
        </w:rPr>
      </w:pPr>
      <w:r w:rsidRPr="005B7B85">
        <w:rPr>
          <w:sz w:val="22"/>
        </w:rPr>
        <w:t>racekadotril</w:t>
      </w:r>
      <w:r w:rsidR="00A40C3B" w:rsidRPr="005B7B85">
        <w:rPr>
          <w:sz w:val="22"/>
        </w:rPr>
        <w:t>,</w:t>
      </w:r>
      <w:r w:rsidRPr="005B7B85">
        <w:rPr>
          <w:sz w:val="22"/>
        </w:rPr>
        <w:t xml:space="preserve"> </w:t>
      </w:r>
      <w:r w:rsidR="00A40C3B" w:rsidRPr="005B7B85">
        <w:rPr>
          <w:sz w:val="22"/>
        </w:rPr>
        <w:t xml:space="preserve">liek </w:t>
      </w:r>
      <w:r w:rsidRPr="005B7B85">
        <w:rPr>
          <w:sz w:val="22"/>
        </w:rPr>
        <w:t>používaný na liečbu hnačky,</w:t>
      </w:r>
    </w:p>
    <w:p w14:paraId="7E06D97A" w14:textId="0BFC4821" w:rsidR="00B81DB8" w:rsidRPr="005B7B85" w:rsidRDefault="00A40C3B" w:rsidP="005B7B85">
      <w:pPr>
        <w:numPr>
          <w:ilvl w:val="0"/>
          <w:numId w:val="15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ind w:left="567" w:hanging="283"/>
        <w:rPr>
          <w:sz w:val="22"/>
        </w:rPr>
      </w:pPr>
      <w:r w:rsidRPr="005B7B85">
        <w:rPr>
          <w:sz w:val="22"/>
        </w:rPr>
        <w:t>lieky používané ako prevencia odmietnutia transplantovaného orgánu a na liečbu rakoviny</w:t>
      </w:r>
      <w:r w:rsidR="008D785F">
        <w:rPr>
          <w:sz w:val="22"/>
        </w:rPr>
        <w:t xml:space="preserve"> </w:t>
      </w:r>
      <w:r w:rsidRPr="005B7B85">
        <w:rPr>
          <w:sz w:val="22"/>
        </w:rPr>
        <w:t xml:space="preserve">(napr. </w:t>
      </w:r>
      <w:r w:rsidR="00B81DB8" w:rsidRPr="005B7B85">
        <w:rPr>
          <w:sz w:val="22"/>
        </w:rPr>
        <w:t>sirolimus, everolimus, tem</w:t>
      </w:r>
      <w:r w:rsidR="006A40BF" w:rsidRPr="005B7B85">
        <w:rPr>
          <w:sz w:val="22"/>
        </w:rPr>
        <w:t>s</w:t>
      </w:r>
      <w:r w:rsidR="00B81DB8" w:rsidRPr="005B7B85">
        <w:rPr>
          <w:sz w:val="22"/>
        </w:rPr>
        <w:t>irolimus a iné lieky patriace do triedy tzv. mT</w:t>
      </w:r>
      <w:r w:rsidR="00205EB7" w:rsidRPr="005B7B85">
        <w:rPr>
          <w:sz w:val="22"/>
        </w:rPr>
        <w:t>OR</w:t>
      </w:r>
      <w:r w:rsidR="00B81DB8" w:rsidRPr="005B7B85">
        <w:rPr>
          <w:sz w:val="22"/>
        </w:rPr>
        <w:t xml:space="preserve"> inhibítorov(používané na zamedzenie odvrhnutia transplantovaných orgánov)</w:t>
      </w:r>
    </w:p>
    <w:p w14:paraId="26C116C7" w14:textId="78A22A76" w:rsidR="006D2936" w:rsidRPr="005B7B85" w:rsidRDefault="006D2936" w:rsidP="005B7B85">
      <w:pPr>
        <w:numPr>
          <w:ilvl w:val="0"/>
          <w:numId w:val="1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sz w:val="22"/>
        </w:rPr>
      </w:pPr>
      <w:r w:rsidRPr="005B7B85">
        <w:rPr>
          <w:sz w:val="22"/>
        </w:rPr>
        <w:t>vildagliptín liek používaný na liečbu cukrovky</w:t>
      </w:r>
    </w:p>
    <w:p w14:paraId="352BEA72" w14:textId="77777777" w:rsidR="006D2936" w:rsidRDefault="006D2936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61AF1943" w14:textId="7240A5F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Váš lekár môže pravidelne sledovať fungovanie vašich obličiek, váš krvný tlak a množstvo elektrolytov (napr. draslíka) vo vašej krvi. </w:t>
      </w:r>
    </w:p>
    <w:p w14:paraId="156919B4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C0BCA41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Pozrite si aj informácie v časti „Neužívajte Perindamlostad“.</w:t>
      </w:r>
    </w:p>
    <w:p w14:paraId="6B5B24D5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2A0FE1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Povedzte svojmu lekárovi, ak si myslíte že ste (alebo môžete byť) tehotná. Perindamlostad sa neodporúča na začiatku tehotenstva a nesmiete ho užívať, ak ste tehotná dlhšie ako 3 mesiace, pretože pri užívaní v tomto štádiu tehotenstva môže spôsobiť závažné poškodenie vášho dieťaťa (pozri časť „Tehotenstvo“).</w:t>
      </w:r>
    </w:p>
    <w:p w14:paraId="15404B7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567" w:hanging="567"/>
        <w:rPr>
          <w:sz w:val="22"/>
        </w:rPr>
      </w:pPr>
    </w:p>
    <w:p w14:paraId="5E9BD3E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užívate Perindamlostad, informujte svojho lekára alebo zdravotníckych pracovníkov aj vtedy, ak:</w:t>
      </w:r>
    </w:p>
    <w:p w14:paraId="1B1DC759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máte podstúpiť celkovú anestéziu (narkózu) a/alebo veľký chirurgický výkon,</w:t>
      </w:r>
    </w:p>
    <w:p w14:paraId="6075672A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ste nedávno mali hnačku alebo ste vracali,</w:t>
      </w:r>
    </w:p>
    <w:p w14:paraId="13039B30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máte podstúpiť aferézu LDL (odstránenie cholesterolu z krvi pomocou prístroja),</w:t>
      </w:r>
    </w:p>
    <w:p w14:paraId="0C654D9E" w14:textId="77777777" w:rsidR="00B81DB8" w:rsidRPr="00821AE9" w:rsidRDefault="00B81DB8" w:rsidP="001677B8">
      <w:pPr>
        <w:numPr>
          <w:ilvl w:val="0"/>
          <w:numId w:val="6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máte podstúpiť desenzibilizačnú liečbu na zníženie alergických prejavov na uštipnutie včelou alebo osou.</w:t>
      </w:r>
    </w:p>
    <w:p w14:paraId="255F5D5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568BF21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Deti a dospievajúci</w:t>
      </w:r>
    </w:p>
    <w:p w14:paraId="51D384B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Užívanie Perindamlostadu sa neodporúča deťom a dospievajúcim.</w:t>
      </w:r>
    </w:p>
    <w:p w14:paraId="3A97664E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5D3C818C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 xml:space="preserve">Iné lieky a Perindamlostad </w:t>
      </w:r>
    </w:p>
    <w:p w14:paraId="7542AF13" w14:textId="77777777" w:rsidR="00B81DB8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teraz užívate, alebo ste v poslednom čase užívali, či práve budete užívať ďalšie lieky, povedzte to svojmu lekárovi alebo lekárnikovi.</w:t>
      </w:r>
    </w:p>
    <w:p w14:paraId="1A43563A" w14:textId="77777777" w:rsidR="00A40C3B" w:rsidRDefault="00A40C3B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44FBF52" w14:textId="29E84C09" w:rsidR="00A40C3B" w:rsidRPr="00A40C3B" w:rsidRDefault="00A40C3B" w:rsidP="00A40C3B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>
        <w:rPr>
          <w:sz w:val="22"/>
        </w:rPr>
        <w:t>Neužívajte Perindamlostad so sakubitrilom/valsartanom, liekom používaným na liečbu dlhodobého (ch</w:t>
      </w:r>
      <w:r w:rsidR="008D785F">
        <w:rPr>
          <w:sz w:val="22"/>
        </w:rPr>
        <w:t>ro</w:t>
      </w:r>
      <w:r>
        <w:rPr>
          <w:sz w:val="22"/>
        </w:rPr>
        <w:t>nického) zlyhávania srdca u dospelých. pozri časť 2 „</w:t>
      </w:r>
      <w:r w:rsidRPr="005B7B85">
        <w:rPr>
          <w:bCs/>
          <w:sz w:val="22"/>
        </w:rPr>
        <w:t>NEUŽÍVAJTE Perindamlostad“</w:t>
      </w:r>
    </w:p>
    <w:p w14:paraId="226B74DF" w14:textId="77777777" w:rsidR="00A40C3B" w:rsidRPr="00821AE9" w:rsidRDefault="00A40C3B" w:rsidP="00A40C3B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F6F5ED0" w14:textId="77777777" w:rsidR="00B81DB8" w:rsidRPr="005B7B85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i/>
          <w:sz w:val="22"/>
        </w:rPr>
      </w:pPr>
    </w:p>
    <w:p w14:paraId="3E95163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5B7B85">
        <w:rPr>
          <w:i/>
          <w:sz w:val="22"/>
        </w:rPr>
        <w:t>Vyhnite sa užívaniu Perindamlostadu s:</w:t>
      </w:r>
    </w:p>
    <w:p w14:paraId="788164B0" w14:textId="77777777" w:rsidR="00B81DB8" w:rsidRPr="00821AE9" w:rsidRDefault="00B81DB8" w:rsidP="005B7B85">
      <w:pPr>
        <w:numPr>
          <w:ilvl w:val="0"/>
          <w:numId w:val="14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lítiom (používaným na liečbu mánie alebo depresie),</w:t>
      </w:r>
    </w:p>
    <w:p w14:paraId="17009CB1" w14:textId="77777777" w:rsidR="00B81DB8" w:rsidRPr="00821AE9" w:rsidRDefault="00B81DB8" w:rsidP="005B7B85">
      <w:pPr>
        <w:numPr>
          <w:ilvl w:val="0"/>
          <w:numId w:val="14"/>
        </w:num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estramustínom (používaným na liečbu nádorového ochorenia),</w:t>
      </w:r>
    </w:p>
    <w:p w14:paraId="312AD91B" w14:textId="4BDCB456" w:rsidR="004F6B8B" w:rsidRPr="005B7B85" w:rsidRDefault="00B81DB8" w:rsidP="005B7B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567"/>
        <w:rPr>
          <w:sz w:val="22"/>
          <w:szCs w:val="22"/>
          <w:highlight w:val="yellow"/>
        </w:rPr>
      </w:pPr>
      <w:r w:rsidRPr="0088087A">
        <w:rPr>
          <w:sz w:val="22"/>
        </w:rPr>
        <w:t>draslík šetriacimi diuretikami (spironolaktón, triamterén), d</w:t>
      </w:r>
      <w:r w:rsidRPr="005B7B85">
        <w:rPr>
          <w:sz w:val="22"/>
        </w:rPr>
        <w:t>oplnkami draslík</w:t>
      </w:r>
      <w:r w:rsidR="00FE669D" w:rsidRPr="005B7B85">
        <w:rPr>
          <w:sz w:val="22"/>
        </w:rPr>
        <w:t>a(</w:t>
      </w:r>
      <w:r w:rsidR="00FE669D" w:rsidRPr="005B7B85">
        <w:rPr>
          <w:sz w:val="22"/>
          <w:szCs w:val="22"/>
        </w:rPr>
        <w:t xml:space="preserve">vrátane náhrad solí) </w:t>
      </w:r>
      <w:r w:rsidR="004F6B8B" w:rsidRPr="005B7B85">
        <w:rPr>
          <w:sz w:val="22"/>
          <w:szCs w:val="22"/>
        </w:rPr>
        <w:t>a</w:t>
      </w:r>
      <w:r w:rsidR="00A40C3B" w:rsidRPr="005B7B85">
        <w:rPr>
          <w:sz w:val="22"/>
          <w:szCs w:val="22"/>
        </w:rPr>
        <w:t xml:space="preserve"> iných</w:t>
      </w:r>
      <w:r w:rsidR="004F6B8B" w:rsidRPr="005B7B85">
        <w:rPr>
          <w:sz w:val="22"/>
          <w:szCs w:val="22"/>
        </w:rPr>
        <w:t> liek</w:t>
      </w:r>
      <w:r w:rsidR="00A40C3B" w:rsidRPr="005B7B85">
        <w:rPr>
          <w:sz w:val="22"/>
          <w:szCs w:val="22"/>
        </w:rPr>
        <w:t>ov</w:t>
      </w:r>
      <w:r w:rsidR="004F6B8B" w:rsidRPr="005B7B85">
        <w:rPr>
          <w:sz w:val="22"/>
          <w:szCs w:val="22"/>
        </w:rPr>
        <w:t xml:space="preserve">, ktoré môžu zvýšiť obsah draslíka </w:t>
      </w:r>
      <w:r w:rsidR="00A40C3B" w:rsidRPr="005B7B85">
        <w:rPr>
          <w:sz w:val="22"/>
          <w:szCs w:val="22"/>
        </w:rPr>
        <w:t xml:space="preserve">v krvi (napr. </w:t>
      </w:r>
      <w:r w:rsidR="00FE669D" w:rsidRPr="005B7B85">
        <w:rPr>
          <w:sz w:val="22"/>
          <w:szCs w:val="22"/>
        </w:rPr>
        <w:t xml:space="preserve">trimetoprim a </w:t>
      </w:r>
      <w:r w:rsidR="004F6B8B" w:rsidRPr="005B7B85">
        <w:rPr>
          <w:bCs/>
          <w:sz w:val="22"/>
          <w:szCs w:val="22"/>
        </w:rPr>
        <w:t>kotrimoxazol, známy aj ako trimetoprim/sulfametoxazol na</w:t>
      </w:r>
      <w:r w:rsidR="005E3B3A" w:rsidRPr="005B7B85">
        <w:rPr>
          <w:bCs/>
          <w:sz w:val="22"/>
          <w:szCs w:val="22"/>
        </w:rPr>
        <w:t xml:space="preserve"> liečbu</w:t>
      </w:r>
      <w:r w:rsidR="004F6B8B" w:rsidRPr="005B7B85">
        <w:rPr>
          <w:bCs/>
          <w:sz w:val="22"/>
          <w:szCs w:val="22"/>
        </w:rPr>
        <w:t xml:space="preserve"> </w:t>
      </w:r>
      <w:r w:rsidR="00A40C3B" w:rsidRPr="005B7B85">
        <w:rPr>
          <w:bCs/>
          <w:sz w:val="22"/>
          <w:szCs w:val="22"/>
        </w:rPr>
        <w:t>infekci</w:t>
      </w:r>
      <w:r w:rsidR="005E3B3A" w:rsidRPr="005B7B85">
        <w:rPr>
          <w:bCs/>
          <w:sz w:val="22"/>
          <w:szCs w:val="22"/>
        </w:rPr>
        <w:t>í</w:t>
      </w:r>
      <w:r w:rsidR="00FE669D" w:rsidRPr="005B7B85">
        <w:rPr>
          <w:sz w:val="22"/>
          <w:szCs w:val="22"/>
        </w:rPr>
        <w:t xml:space="preserve"> spôsoben</w:t>
      </w:r>
      <w:r w:rsidR="005E3B3A" w:rsidRPr="005B7B85">
        <w:rPr>
          <w:sz w:val="22"/>
          <w:szCs w:val="22"/>
        </w:rPr>
        <w:t>ých</w:t>
      </w:r>
      <w:r w:rsidR="00FE669D" w:rsidRPr="005B7B85">
        <w:rPr>
          <w:sz w:val="22"/>
          <w:szCs w:val="22"/>
        </w:rPr>
        <w:t xml:space="preserve"> baktériami</w:t>
      </w:r>
      <w:r w:rsidR="004F6B8B" w:rsidRPr="005B7B85">
        <w:rPr>
          <w:bCs/>
          <w:sz w:val="22"/>
          <w:szCs w:val="22"/>
        </w:rPr>
        <w:t>)</w:t>
      </w:r>
      <w:r w:rsidR="00A40C3B" w:rsidRPr="005B7B85">
        <w:rPr>
          <w:bCs/>
          <w:sz w:val="22"/>
          <w:szCs w:val="22"/>
        </w:rPr>
        <w:t xml:space="preserve">; cyklosporín, </w:t>
      </w:r>
      <w:r w:rsidR="005E3B3A" w:rsidRPr="005B7B85">
        <w:rPr>
          <w:bCs/>
          <w:sz w:val="22"/>
          <w:szCs w:val="22"/>
        </w:rPr>
        <w:t>liek potláčajúci imunitnú odpoveď organizmu</w:t>
      </w:r>
      <w:r w:rsidR="00A40C3B" w:rsidRPr="005B7B85">
        <w:rPr>
          <w:bCs/>
          <w:sz w:val="22"/>
          <w:szCs w:val="22"/>
        </w:rPr>
        <w:t xml:space="preserve"> </w:t>
      </w:r>
      <w:r w:rsidR="00743BD0" w:rsidRPr="005B7B85">
        <w:rPr>
          <w:bCs/>
          <w:sz w:val="22"/>
          <w:szCs w:val="22"/>
        </w:rPr>
        <w:t>používan</w:t>
      </w:r>
      <w:r w:rsidR="00F24CCB" w:rsidRPr="005B7B85">
        <w:rPr>
          <w:bCs/>
          <w:sz w:val="22"/>
          <w:szCs w:val="22"/>
        </w:rPr>
        <w:t>ý</w:t>
      </w:r>
      <w:r w:rsidR="00743BD0" w:rsidRPr="005B7B85">
        <w:rPr>
          <w:bCs/>
          <w:sz w:val="22"/>
          <w:szCs w:val="22"/>
        </w:rPr>
        <w:t xml:space="preserve"> </w:t>
      </w:r>
      <w:r w:rsidR="00F24CCB" w:rsidRPr="005B7B85">
        <w:rPr>
          <w:bCs/>
          <w:sz w:val="22"/>
          <w:szCs w:val="22"/>
        </w:rPr>
        <w:t>ako</w:t>
      </w:r>
      <w:r w:rsidR="00743BD0" w:rsidRPr="005B7B85">
        <w:rPr>
          <w:bCs/>
          <w:sz w:val="22"/>
          <w:szCs w:val="22"/>
        </w:rPr>
        <w:t xml:space="preserve"> prevenci</w:t>
      </w:r>
      <w:r w:rsidR="00F24CCB" w:rsidRPr="005B7B85">
        <w:rPr>
          <w:bCs/>
          <w:sz w:val="22"/>
          <w:szCs w:val="22"/>
        </w:rPr>
        <w:t>a</w:t>
      </w:r>
      <w:r w:rsidR="00743BD0" w:rsidRPr="005B7B85">
        <w:rPr>
          <w:bCs/>
          <w:sz w:val="22"/>
          <w:szCs w:val="22"/>
        </w:rPr>
        <w:t xml:space="preserve"> </w:t>
      </w:r>
      <w:r w:rsidR="00F24CCB" w:rsidRPr="005B7B85">
        <w:rPr>
          <w:bCs/>
          <w:sz w:val="22"/>
          <w:szCs w:val="22"/>
        </w:rPr>
        <w:t>odmietnutia transplantovaného</w:t>
      </w:r>
      <w:r w:rsidR="00743BD0" w:rsidRPr="005B7B85">
        <w:rPr>
          <w:bCs/>
          <w:sz w:val="22"/>
          <w:szCs w:val="22"/>
        </w:rPr>
        <w:t xml:space="preserve"> orgánu</w:t>
      </w:r>
      <w:r w:rsidR="00F24CCB" w:rsidRPr="005B7B85">
        <w:rPr>
          <w:bCs/>
          <w:sz w:val="22"/>
          <w:szCs w:val="22"/>
        </w:rPr>
        <w:t>;</w:t>
      </w:r>
      <w:r w:rsidR="00743BD0" w:rsidRPr="005B7B85">
        <w:rPr>
          <w:bCs/>
          <w:sz w:val="22"/>
          <w:szCs w:val="22"/>
        </w:rPr>
        <w:t xml:space="preserve"> a heparín, liek </w:t>
      </w:r>
      <w:r w:rsidR="005E3B3A" w:rsidRPr="005B7B85">
        <w:rPr>
          <w:bCs/>
          <w:sz w:val="22"/>
          <w:szCs w:val="22"/>
        </w:rPr>
        <w:t xml:space="preserve">používaný </w:t>
      </w:r>
      <w:r w:rsidR="00743BD0" w:rsidRPr="005B7B85">
        <w:rPr>
          <w:bCs/>
          <w:sz w:val="22"/>
          <w:szCs w:val="22"/>
        </w:rPr>
        <w:t xml:space="preserve">na riedenie krvi </w:t>
      </w:r>
      <w:r w:rsidR="005E3B3A" w:rsidRPr="005B7B85">
        <w:rPr>
          <w:bCs/>
          <w:sz w:val="22"/>
          <w:szCs w:val="22"/>
        </w:rPr>
        <w:t>ako</w:t>
      </w:r>
      <w:r w:rsidR="00743BD0" w:rsidRPr="005B7B85">
        <w:rPr>
          <w:bCs/>
          <w:sz w:val="22"/>
          <w:szCs w:val="22"/>
        </w:rPr>
        <w:t xml:space="preserve"> prevenci</w:t>
      </w:r>
      <w:r w:rsidR="00F24CCB" w:rsidRPr="005B7B85">
        <w:rPr>
          <w:bCs/>
          <w:sz w:val="22"/>
          <w:szCs w:val="22"/>
        </w:rPr>
        <w:t>a tv</w:t>
      </w:r>
      <w:r w:rsidR="005E3B3A" w:rsidRPr="005B7B85">
        <w:rPr>
          <w:bCs/>
          <w:sz w:val="22"/>
          <w:szCs w:val="22"/>
        </w:rPr>
        <w:t>orby krvných</w:t>
      </w:r>
      <w:r w:rsidR="00743BD0" w:rsidRPr="005B7B85">
        <w:rPr>
          <w:bCs/>
          <w:sz w:val="22"/>
          <w:szCs w:val="22"/>
        </w:rPr>
        <w:t xml:space="preserve"> zrazenín.</w:t>
      </w:r>
    </w:p>
    <w:p w14:paraId="7807B5C7" w14:textId="77777777" w:rsidR="00F24CCB" w:rsidRPr="005E3B3A" w:rsidRDefault="00F24CCB" w:rsidP="005B7B85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  <w:szCs w:val="22"/>
        </w:rPr>
      </w:pPr>
    </w:p>
    <w:p w14:paraId="49FF0B5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Liečba Perindamlostadom môže byť ovplyvnená inými liekmi. Môže byť potrebné, aby vám lekár zmenil dávkovanie a/alebo prijal iné opatrenia. Určite povedzte vášmu lekárovi, ak užívate niektorý z nasledujúcich liekov, pretože môže byť potrebná zvláštna opatrnosť:</w:t>
      </w:r>
    </w:p>
    <w:p w14:paraId="5863753A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iné lieky na liečbu vysokého krvného tlaku vrátane blokátora receptora angiotenzínu II (ARB), aliskirén (pozri aj informácie v častiach „NEUŽÍVAJTE Perindamlostad“ a „Upozornenia a opatrenia“) alebo diuretiká (lieky, ktoré zvyšujú množstvo moču vytvoreného obličkami),</w:t>
      </w:r>
    </w:p>
    <w:p w14:paraId="4688D231" w14:textId="6CFF1BC2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 xml:space="preserve">lieky, ktoré sa často užívajú na liečbu hnačky (racekadotril) alebo na zamedzenie odvrhnutia transplantovaných orgánov </w:t>
      </w:r>
      <w:r w:rsidR="00743BD0">
        <w:rPr>
          <w:sz w:val="22"/>
        </w:rPr>
        <w:t xml:space="preserve">a na rakovinu </w:t>
      </w:r>
      <w:r w:rsidRPr="00821AE9">
        <w:rPr>
          <w:sz w:val="22"/>
        </w:rPr>
        <w:t>(sirolimus, everolimus, tem</w:t>
      </w:r>
      <w:r w:rsidR="004346D5" w:rsidRPr="00821AE9">
        <w:rPr>
          <w:sz w:val="22"/>
        </w:rPr>
        <w:t>s</w:t>
      </w:r>
      <w:r w:rsidRPr="00821AE9">
        <w:rPr>
          <w:sz w:val="22"/>
        </w:rPr>
        <w:t>irolimus a iné lieky patriace do triedy tzv. mTor inhibítorov). Pozri časť „Upozornenia a opatrenia“.</w:t>
      </w:r>
      <w:r w:rsidR="00205EB7" w:rsidRPr="00FF56FB" w:rsidDel="00205EB7">
        <w:rPr>
          <w:sz w:val="22"/>
        </w:rPr>
        <w:t xml:space="preserve"> </w:t>
      </w:r>
      <w:r w:rsidRPr="00821AE9">
        <w:rPr>
          <w:sz w:val="22"/>
        </w:rPr>
        <w:t>nesteroidné protizápalové lieky (napr. ibuprofen) na zmiernenie bolesti alebo vysoké dávky kyseliny acetylsalicylovej,</w:t>
      </w:r>
    </w:p>
    <w:p w14:paraId="09F4750D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lieky na liečbu cukrovky (ako inzulín</w:t>
      </w:r>
      <w:r w:rsidR="00743BD0">
        <w:rPr>
          <w:sz w:val="22"/>
        </w:rPr>
        <w:t>, vildagliptín</w:t>
      </w:r>
      <w:r w:rsidRPr="00821AE9">
        <w:rPr>
          <w:sz w:val="22"/>
        </w:rPr>
        <w:t>),</w:t>
      </w:r>
    </w:p>
    <w:p w14:paraId="023B1FA2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lieky na liečbu mentálnych porúch ako sú depresia, úzkosť, schizofrénia atď. (napr. tricyklické antidepresíva, antipsychotiká, antidepresíva podobné imipramínu, neuroleptiká),</w:t>
      </w:r>
    </w:p>
    <w:p w14:paraId="31394E43" w14:textId="11D8DD7C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imunosupresíva (lieky, ktoré obmedzujú obranný mechanizmus tela) používané na liečbu autoimunitných ochorení alebo po transplantácii,</w:t>
      </w:r>
    </w:p>
    <w:p w14:paraId="7E7C33F5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alopurinol (na liečbu dny),</w:t>
      </w:r>
    </w:p>
    <w:p w14:paraId="7DE24A1E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prokaínamid (na liečbu nepravidelného srdcového tepu),</w:t>
      </w:r>
    </w:p>
    <w:p w14:paraId="6D425483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vazodil</w:t>
      </w:r>
      <w:r w:rsidR="004346D5" w:rsidRPr="00821AE9">
        <w:rPr>
          <w:sz w:val="22"/>
        </w:rPr>
        <w:t>atanciá</w:t>
      </w:r>
      <w:r w:rsidRPr="00821AE9">
        <w:rPr>
          <w:sz w:val="22"/>
        </w:rPr>
        <w:t xml:space="preserve"> vrátane nitrátov (lieky, ktoré rozširujú cievy),</w:t>
      </w:r>
    </w:p>
    <w:p w14:paraId="36D65E9A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efedrín, noradrenalín alebo adrenalín (lieky používané na liečbu nízkeho krvného tlaku, šoku alebo astmy),</w:t>
      </w:r>
    </w:p>
    <w:p w14:paraId="58F818CE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baklofén alebo dantrolén (infúzia) oba používané na liečbu stuhnutosti svalov pri ochoreniach ako skleróza multiplex; dantrolén sa tiež používa na liečbu nezhubnej hypertermie počas anestéz</w:t>
      </w:r>
      <w:r w:rsidR="004346D5" w:rsidRPr="00821AE9">
        <w:rPr>
          <w:sz w:val="22"/>
        </w:rPr>
        <w:t>ie</w:t>
      </w:r>
      <w:r w:rsidRPr="00821AE9">
        <w:rPr>
          <w:sz w:val="22"/>
        </w:rPr>
        <w:t xml:space="preserve"> (medzi príznaky patrí veľmi vysoká horúčka a stuhnutosť svalov),</w:t>
      </w:r>
    </w:p>
    <w:p w14:paraId="40DC6F07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niektoré antibiotiká ako rifampicín, erytromycín, klaritromycín,</w:t>
      </w:r>
    </w:p>
    <w:p w14:paraId="639C315D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 xml:space="preserve">antiepileptické lieky ako karbamazepín, fenobarbital, fenytoín, fosfenytoín, primidón, </w:t>
      </w:r>
    </w:p>
    <w:p w14:paraId="7A1EA41C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itrakonazol, ketokonazol (lieky používané na liečbu hubových infekcií),</w:t>
      </w:r>
    </w:p>
    <w:p w14:paraId="048AB286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alfablokátory používané na liečbu zväčšenej prostaty ako prazosín, alfuzosín, doxazosín, tamsulo</w:t>
      </w:r>
      <w:r w:rsidR="005E4C98" w:rsidRPr="00821AE9">
        <w:rPr>
          <w:sz w:val="22"/>
        </w:rPr>
        <w:t>s</w:t>
      </w:r>
      <w:r w:rsidRPr="00821AE9">
        <w:rPr>
          <w:sz w:val="22"/>
        </w:rPr>
        <w:t>ín, terazosín,</w:t>
      </w:r>
    </w:p>
    <w:p w14:paraId="57EF64F8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amifostín (používaný na prevenciu alebo obmedzenie vedľajších účinkov spôsobených inými liekmi alebo radiačnou liečbou, ktoré sa používajú na liečbu nádorového ochorenia),</w:t>
      </w:r>
    </w:p>
    <w:p w14:paraId="160150F8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kortikosteroidy (používané na liečbu rôznych stavov vrátane závažnej astmy a reumatoidnej artritídy),</w:t>
      </w:r>
    </w:p>
    <w:p w14:paraId="4B8BE986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soli zlata, najmä s intravenóznym podávaním (používané na liečbu príznakov reumatoidnej artritídy),</w:t>
      </w:r>
    </w:p>
    <w:p w14:paraId="518A92B2" w14:textId="77777777" w:rsidR="00B81DB8" w:rsidRPr="00821AE9" w:rsidRDefault="00B81DB8">
      <w:pPr>
        <w:numPr>
          <w:ilvl w:val="0"/>
          <w:numId w:val="6"/>
        </w:numPr>
        <w:tabs>
          <w:tab w:val="left" w:pos="36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360" w:hanging="360"/>
        <w:rPr>
          <w:sz w:val="22"/>
        </w:rPr>
      </w:pPr>
      <w:r w:rsidRPr="00821AE9">
        <w:rPr>
          <w:sz w:val="22"/>
        </w:rPr>
        <w:t>ritonavir, indinavir, nelfinavir (tzv. inhibítory proteázy používané na liečbu HIV).</w:t>
      </w:r>
    </w:p>
    <w:p w14:paraId="4C2A886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firstLine="567"/>
        <w:rPr>
          <w:sz w:val="22"/>
        </w:rPr>
      </w:pPr>
    </w:p>
    <w:p w14:paraId="16C00481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Perindamlostad a jedlo a nápoje</w:t>
      </w:r>
    </w:p>
    <w:p w14:paraId="5F7992F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Perindamlostad sa má užívať pred jedlom.</w:t>
      </w:r>
    </w:p>
    <w:p w14:paraId="56080038" w14:textId="60264846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Ľudia, ktorí užívajú Perindamlostad</w:t>
      </w:r>
      <w:r w:rsidR="004346D5" w:rsidRPr="00821AE9">
        <w:rPr>
          <w:sz w:val="22"/>
        </w:rPr>
        <w:t>,</w:t>
      </w:r>
      <w:r w:rsidRPr="00821AE9">
        <w:rPr>
          <w:sz w:val="22"/>
        </w:rPr>
        <w:t xml:space="preserve"> nemajú konzumovať grapefruitovú šťavu a grapefruit. Je to preto, lebo grapefruit a grapefruitová šťava môžu viesť k nárastu hladiny liečiva amlodipín</w:t>
      </w:r>
      <w:r w:rsidR="004346D5" w:rsidRPr="00821AE9">
        <w:rPr>
          <w:sz w:val="22"/>
        </w:rPr>
        <w:t>u</w:t>
      </w:r>
      <w:r w:rsidRPr="00821AE9">
        <w:rPr>
          <w:sz w:val="22"/>
        </w:rPr>
        <w:t xml:space="preserve"> v krvi, čo môže viesť k nepredvídateľnému vzostupu účinku Perindamlostadu na zníženie krvného tlaku.</w:t>
      </w:r>
    </w:p>
    <w:p w14:paraId="0BFD532B" w14:textId="77777777" w:rsidR="00B81DB8" w:rsidRPr="00821AE9" w:rsidRDefault="00B81DB8">
      <w:pPr>
        <w:tabs>
          <w:tab w:val="left" w:pos="129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sz w:val="22"/>
        </w:rPr>
      </w:pPr>
    </w:p>
    <w:p w14:paraId="106C3E8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 xml:space="preserve">Tehotenstvo a dojčenie </w:t>
      </w:r>
    </w:p>
    <w:p w14:paraId="7AE8E34A" w14:textId="7FB87288" w:rsidR="00B81DB8" w:rsidRPr="00821AE9" w:rsidRDefault="00151796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3648B6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i/>
          <w:iCs/>
          <w:sz w:val="22"/>
        </w:rPr>
      </w:pPr>
      <w:r w:rsidRPr="00821AE9">
        <w:rPr>
          <w:i/>
          <w:iCs/>
          <w:sz w:val="22"/>
        </w:rPr>
        <w:t>Tehotenstvo</w:t>
      </w:r>
    </w:p>
    <w:p w14:paraId="53443865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Ak si myslíte, že ste tehotná (alebo </w:t>
      </w:r>
      <w:r w:rsidRPr="00821AE9">
        <w:rPr>
          <w:sz w:val="22"/>
          <w:u w:val="single"/>
        </w:rPr>
        <w:t>môžete</w:t>
      </w:r>
      <w:r w:rsidRPr="00821AE9">
        <w:rPr>
          <w:sz w:val="22"/>
        </w:rPr>
        <w:t xml:space="preserve"> otehotnieť), musíte to povedať svojmu lekárovi. Váš lekár vám zvyčajne odporučí prerušiť užívanie Perindamlostadu predtým, ako otehotni</w:t>
      </w:r>
      <w:r w:rsidR="004346D5" w:rsidRPr="00821AE9">
        <w:rPr>
          <w:sz w:val="22"/>
        </w:rPr>
        <w:t>e</w:t>
      </w:r>
      <w:r w:rsidRPr="00821AE9">
        <w:rPr>
          <w:sz w:val="22"/>
        </w:rPr>
        <w:t xml:space="preserve">te alebo len čo zistíte, že ste tehotná a odporučí vám užívať iný liek namiesto Perindamlostadu. Perindamlostad sa neodporúča na začiatku tehotenstva a nesmie sa užívať, ak tehotenstvo trvá viac ako 3 mesiace, pretože môže spôsobiť závažné poškodenie vášho dieťaťa, ak sa užíva po treťom mesiaci tehotenstva. </w:t>
      </w:r>
    </w:p>
    <w:p w14:paraId="7B3455F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1D254A0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i/>
          <w:iCs/>
          <w:sz w:val="22"/>
        </w:rPr>
      </w:pPr>
      <w:r w:rsidRPr="00821AE9">
        <w:rPr>
          <w:i/>
          <w:iCs/>
          <w:sz w:val="22"/>
        </w:rPr>
        <w:t>Dojčenie</w:t>
      </w:r>
    </w:p>
    <w:p w14:paraId="1D052FA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Povedzte svojmu lekárovi, ak dojčíte alebo chcete začať dojčiť. Perindamlostad sa neodporúča dojčiacim matkám a váš lekár vám môže zvoliť inú liečbu, ak chcete dojčiť, najmä ak vaše dieťa je novorodenec alebo sa narodilo predčasne.</w:t>
      </w:r>
    </w:p>
    <w:p w14:paraId="6B01F5F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b/>
          <w:bCs/>
          <w:sz w:val="22"/>
        </w:rPr>
      </w:pPr>
    </w:p>
    <w:p w14:paraId="45466FA1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Vedenie vozidiel a obsluha strojov</w:t>
      </w:r>
    </w:p>
    <w:p w14:paraId="3A355E6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Perindamlostad môže ovplyvniť vašu schopnosť viesť vozidlá alebo obsluhovať stroje. Ak vám tieto tablety spôsobujú nevoľnosť, závrat, slabosť alebo únavu alebo vám spôsobujú bolesť hlavy, neveďte vozidlá ani neobsluhujte stroje a okamžite vyhľadajte svojho lekára.</w:t>
      </w:r>
    </w:p>
    <w:p w14:paraId="2C73C3B4" w14:textId="77777777" w:rsidR="00B81DB8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02796E5" w14:textId="77777777" w:rsidR="00FE669D" w:rsidRPr="005B7B85" w:rsidRDefault="00FE669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b/>
          <w:sz w:val="22"/>
        </w:rPr>
      </w:pPr>
      <w:r w:rsidRPr="005B7B85">
        <w:rPr>
          <w:b/>
          <w:sz w:val="22"/>
        </w:rPr>
        <w:t>Perindamlostad obsahuje sodík</w:t>
      </w:r>
    </w:p>
    <w:p w14:paraId="33B50C68" w14:textId="620EC34A" w:rsidR="00FE669D" w:rsidRDefault="00FE669D" w:rsidP="00FE669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5B7B85">
        <w:rPr>
          <w:sz w:val="22"/>
        </w:rPr>
        <w:t>Tento liek obsahuje menej ako 1 mmol sodíka (23 mg) v tablete, t.</w:t>
      </w:r>
      <w:r w:rsidR="0088087A" w:rsidRPr="005B7B85">
        <w:rPr>
          <w:sz w:val="22"/>
        </w:rPr>
        <w:t xml:space="preserve"> </w:t>
      </w:r>
      <w:r w:rsidRPr="005B7B85">
        <w:rPr>
          <w:sz w:val="22"/>
        </w:rPr>
        <w:t>j. v podstate zanedbateľné množstvo sodíka.</w:t>
      </w:r>
    </w:p>
    <w:p w14:paraId="43A9D270" w14:textId="77777777" w:rsidR="00FE669D" w:rsidRPr="00821AE9" w:rsidRDefault="00FE669D" w:rsidP="00FE669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64FAF8A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B2273C4" w14:textId="77777777" w:rsidR="00B81DB8" w:rsidRPr="00821AE9" w:rsidRDefault="00B81DB8">
      <w:pPr>
        <w:numPr>
          <w:ilvl w:val="0"/>
          <w:numId w:val="9"/>
        </w:num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 xml:space="preserve">Ako užívať Perindamlostad </w:t>
      </w:r>
    </w:p>
    <w:p w14:paraId="43BFF02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56D131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Vždy užívajte tento liek presne tak, ako vám povedal váš lekár. Ak si nie ste niečím istý, overte si to u svojho lekára alebo lekárnika. Odporúčaná dávka je jedna tableta denne.</w:t>
      </w:r>
    </w:p>
    <w:p w14:paraId="348203B1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AD468D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Tabletu prehltnite a zapite pohárom vody</w:t>
      </w:r>
      <w:r w:rsidR="00B1467C" w:rsidRPr="00821AE9">
        <w:rPr>
          <w:sz w:val="22"/>
        </w:rPr>
        <w:t xml:space="preserve"> (perorálne použitie)</w:t>
      </w:r>
      <w:r w:rsidRPr="00821AE9">
        <w:rPr>
          <w:sz w:val="22"/>
        </w:rPr>
        <w:t xml:space="preserve">, prednostne každý deň v rovnaký čas, ráno pred jedlom. Váš lekár rozhodne, ktorá dávka je pre vás správna. Zvyčajne je to jedna tableta denne. </w:t>
      </w:r>
    </w:p>
    <w:p w14:paraId="41C66A74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3EEAB1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Perindamlostad sa bude obvykle predpisovať pacientom, ktorí už užívajú perindopril a amlodipín každý ako samostatné tablety.</w:t>
      </w:r>
    </w:p>
    <w:p w14:paraId="2626B87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67EC9A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Ak užijete viac Perindamlostadu, ako máte</w:t>
      </w:r>
    </w:p>
    <w:p w14:paraId="390AD62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užijete priveľa tabliet, obráťte sa na najbližšiu pohotovosť alebo to okamžite oznámte svojmu lekárovi. Najpravdepodobnejšie príznaky predávkovania sú nízky krvný tlak, pri ktorom sa môžu u vás vyskytnúť závraty alebo mdloby. V takom prípade môže pomôcť ľahnúť si so zdvihnutými nohami.</w:t>
      </w:r>
    </w:p>
    <w:p w14:paraId="6FC6386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26EEE5C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Ak zabudnete užiť Perindamlostad</w:t>
      </w:r>
    </w:p>
    <w:p w14:paraId="14BB0D9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Je dôležité, aby ste váš liek užívali každý deň, pretože pravidelná liečba je účinnejšia. Ak však zabudnete užiť dávku Perindamlostadu, ďalšiu dávku užite vo zvyčajnom čase</w:t>
      </w:r>
      <w:r w:rsidRPr="00821AE9">
        <w:rPr>
          <w:b/>
          <w:bCs/>
          <w:sz w:val="22"/>
        </w:rPr>
        <w:t>.</w:t>
      </w:r>
      <w:r w:rsidRPr="00821AE9">
        <w:rPr>
          <w:sz w:val="22"/>
        </w:rPr>
        <w:t xml:space="preserve"> Neužívajte dvojnásobnú dávku, aby ste nahradili vynechanú dávku.</w:t>
      </w:r>
    </w:p>
    <w:p w14:paraId="6704852F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376528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Ak prestanete užívať Perindamlostad</w:t>
      </w:r>
    </w:p>
    <w:p w14:paraId="5D49324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Keďže liečba Perindamlostadom je obvykle celoživotná, predtým ako prestanete užívať tieto tablety, poraďte sa o tom so svojím lekárom. </w:t>
      </w:r>
    </w:p>
    <w:p w14:paraId="5C1AA5D5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máte akékoľvek ďalšie otázky týkajúce sa použitia tohto lieku, opýtajte sa svojho lekára alebo lekárnika.</w:t>
      </w:r>
    </w:p>
    <w:p w14:paraId="0558C6A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9C8D7B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69078CE5" w14:textId="77777777" w:rsidR="00B81DB8" w:rsidRPr="00821AE9" w:rsidRDefault="00B81DB8">
      <w:pPr>
        <w:numPr>
          <w:ilvl w:val="0"/>
          <w:numId w:val="9"/>
        </w:num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Možné vedľajšie účinky</w:t>
      </w:r>
    </w:p>
    <w:p w14:paraId="61B5271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DA9D83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Tak ako všetky lieky, aj tento liek môže spôsobovať vedľajšie účinky, hoci sa neprejavia u každého.</w:t>
      </w:r>
    </w:p>
    <w:p w14:paraId="77D9035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5B62B59D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Ak spozorujete ktorýkoľvek z nasledovných účinkov, ihneď ukončite užívanie lieku a </w:t>
      </w:r>
      <w:r w:rsidRPr="00821AE9">
        <w:rPr>
          <w:b/>
          <w:bCs/>
          <w:sz w:val="22"/>
        </w:rPr>
        <w:t>okamžite</w:t>
      </w:r>
      <w:r w:rsidRPr="00821AE9">
        <w:rPr>
          <w:sz w:val="22"/>
        </w:rPr>
        <w:t xml:space="preserve"> to oznámte svojmu lekárovi:</w:t>
      </w:r>
    </w:p>
    <w:p w14:paraId="74DE361A" w14:textId="77777777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>náhly sipot, bolesť na hrudi, dýchavičnosť alebo ťažkosti pri dýchaní,</w:t>
      </w:r>
    </w:p>
    <w:p w14:paraId="0BCE7D22" w14:textId="77777777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 xml:space="preserve">opuch očných viečok, tváre alebo pier, </w:t>
      </w:r>
    </w:p>
    <w:p w14:paraId="0BA3343B" w14:textId="77777777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 xml:space="preserve">opuch jazyka a hrtana, ktorý spôsobuje veľké problémy pri dýchaní, </w:t>
      </w:r>
    </w:p>
    <w:p w14:paraId="0F177BBA" w14:textId="6B66DFB2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>závažné kožné reakcie zahŕňajúce intenzívnu kožnú vyrážku, žihľavku, sčervenenie kože na celom tele, bolestivé svrbenie, pľuzgiere, odlupovanie kože a opuch kože, zápal slizníc (Stevensov-Johnsonov syndróm</w:t>
      </w:r>
      <w:r w:rsidR="00151796" w:rsidRPr="00821AE9">
        <w:rPr>
          <w:color w:val="000000"/>
          <w:sz w:val="22"/>
        </w:rPr>
        <w:t xml:space="preserve">, </w:t>
      </w:r>
      <w:r w:rsidR="00151796" w:rsidRPr="005B7B85">
        <w:rPr>
          <w:rFonts w:eastAsia="TimesNewRoman,Bold"/>
          <w:bCs/>
          <w:sz w:val="22"/>
          <w:szCs w:val="22"/>
        </w:rPr>
        <w:t>toxick</w:t>
      </w:r>
      <w:r w:rsidR="0088087A">
        <w:rPr>
          <w:rFonts w:eastAsia="TimesNewRoman,Bold"/>
          <w:bCs/>
          <w:sz w:val="22"/>
          <w:szCs w:val="22"/>
        </w:rPr>
        <w:t>á epidermálna nekrolýza</w:t>
      </w:r>
      <w:r w:rsidRPr="00821AE9">
        <w:rPr>
          <w:color w:val="000000"/>
          <w:sz w:val="22"/>
        </w:rPr>
        <w:t>) alebo iné alergické reakcie,</w:t>
      </w:r>
    </w:p>
    <w:p w14:paraId="12F23C34" w14:textId="77777777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>závažný závrat alebo mdloby</w:t>
      </w:r>
    </w:p>
    <w:p w14:paraId="71FC621E" w14:textId="77777777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 xml:space="preserve">srdcový záchvat, nezvyčajne rýchly alebo nepravidelný srdcový rytmus, </w:t>
      </w:r>
    </w:p>
    <w:p w14:paraId="7A4D00D2" w14:textId="77777777" w:rsidR="00B81DB8" w:rsidRPr="00821AE9" w:rsidRDefault="00B81DB8">
      <w:pPr>
        <w:numPr>
          <w:ilvl w:val="0"/>
          <w:numId w:val="10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color w:val="000000"/>
          <w:sz w:val="22"/>
        </w:rPr>
      </w:pPr>
      <w:r w:rsidRPr="00821AE9">
        <w:rPr>
          <w:color w:val="000000"/>
          <w:sz w:val="22"/>
        </w:rPr>
        <w:t>zápal pankreasu (podžalúdkovej žľazy), ktorý môže spôsobiť závažnú bolesť brucha alebo chrbta sprevádzanú pocitom</w:t>
      </w:r>
      <w:r w:rsidR="00122798" w:rsidRPr="00821AE9">
        <w:rPr>
          <w:color w:val="000000"/>
          <w:sz w:val="22"/>
        </w:rPr>
        <w:t>, že sa cítite veľmi zl</w:t>
      </w:r>
      <w:r w:rsidR="00110BA0" w:rsidRPr="00821AE9">
        <w:rPr>
          <w:color w:val="000000"/>
          <w:sz w:val="22"/>
        </w:rPr>
        <w:t>e</w:t>
      </w:r>
      <w:r w:rsidRPr="00821AE9">
        <w:rPr>
          <w:color w:val="000000"/>
          <w:sz w:val="22"/>
        </w:rPr>
        <w:t xml:space="preserve">. </w:t>
      </w:r>
    </w:p>
    <w:p w14:paraId="7725761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3304FA8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Hlásili sa nasledovné </w:t>
      </w:r>
      <w:r w:rsidRPr="00821AE9">
        <w:rPr>
          <w:b/>
          <w:bCs/>
          <w:sz w:val="22"/>
        </w:rPr>
        <w:t>časté vedľajšie účinky</w:t>
      </w:r>
      <w:r w:rsidRPr="00821AE9">
        <w:rPr>
          <w:sz w:val="22"/>
        </w:rPr>
        <w:t xml:space="preserve">. Ak vám ktorýkoľvek z nich spôsobuje problémy alebo ak </w:t>
      </w:r>
      <w:r w:rsidRPr="00821AE9">
        <w:rPr>
          <w:b/>
          <w:bCs/>
          <w:sz w:val="22"/>
        </w:rPr>
        <w:t>pretrvávajú dlhšie ako jeden týždeň</w:t>
      </w:r>
      <w:r w:rsidRPr="00821AE9">
        <w:rPr>
          <w:sz w:val="22"/>
        </w:rPr>
        <w:t xml:space="preserve">, </w:t>
      </w:r>
      <w:r w:rsidRPr="00821AE9">
        <w:rPr>
          <w:b/>
          <w:bCs/>
          <w:sz w:val="22"/>
        </w:rPr>
        <w:t>kontaktujte svojho lekára</w:t>
      </w:r>
      <w:r w:rsidRPr="00821AE9">
        <w:rPr>
          <w:sz w:val="22"/>
        </w:rPr>
        <w:t>.</w:t>
      </w:r>
    </w:p>
    <w:p w14:paraId="1F6CD140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CA4496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Ďalšie vedľajšie účinky zahŕňajú:</w:t>
      </w:r>
    </w:p>
    <w:p w14:paraId="35A10DB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Časté vedľajšie účinky (</w:t>
      </w:r>
      <w:r w:rsidRPr="00821AE9">
        <w:rPr>
          <w:sz w:val="22"/>
        </w:rPr>
        <w:t xml:space="preserve">môžu postihovať menej ako 1 z 10 osôb): </w:t>
      </w:r>
    </w:p>
    <w:p w14:paraId="7E983E1B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bolesť hlavy</w:t>
      </w:r>
    </w:p>
    <w:p w14:paraId="31939216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závrat</w:t>
      </w:r>
    </w:p>
    <w:p w14:paraId="05582EA3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ospalosť (najmä na začiatku liečby)</w:t>
      </w:r>
    </w:p>
    <w:p w14:paraId="2301D21F" w14:textId="77777777" w:rsidR="00B81DB8" w:rsidRPr="00821AE9" w:rsidRDefault="002A198C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závrat (vertigo)</w:t>
      </w:r>
    </w:p>
    <w:p w14:paraId="17E6BDDD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necitlivosť alebo pocit mravčenia vo vašich končatinách</w:t>
      </w:r>
    </w:p>
    <w:p w14:paraId="0A0E8F85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poruchy videnia (vrátane dvojitého videnia)</w:t>
      </w:r>
    </w:p>
    <w:p w14:paraId="6BA498B0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tin</w:t>
      </w:r>
      <w:r w:rsidR="002A198C" w:rsidRPr="00821AE9">
        <w:rPr>
          <w:sz w:val="22"/>
        </w:rPr>
        <w:t>n</w:t>
      </w:r>
      <w:r w:rsidRPr="00821AE9">
        <w:rPr>
          <w:sz w:val="22"/>
        </w:rPr>
        <w:t>itus (pocit zvukov v ušiach)</w:t>
      </w:r>
    </w:p>
    <w:p w14:paraId="24827AB2" w14:textId="03064F4B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palpitácie (poci</w:t>
      </w:r>
      <w:r w:rsidR="0088087A">
        <w:rPr>
          <w:sz w:val="22"/>
        </w:rPr>
        <w:t>t</w:t>
      </w:r>
      <w:r w:rsidRPr="00821AE9">
        <w:rPr>
          <w:sz w:val="22"/>
        </w:rPr>
        <w:t xml:space="preserve"> búšeni</w:t>
      </w:r>
      <w:r w:rsidR="0088087A">
        <w:rPr>
          <w:sz w:val="22"/>
        </w:rPr>
        <w:t>a</w:t>
      </w:r>
      <w:r w:rsidRPr="00821AE9">
        <w:rPr>
          <w:sz w:val="22"/>
        </w:rPr>
        <w:t xml:space="preserve"> srdca)</w:t>
      </w:r>
    </w:p>
    <w:p w14:paraId="3CA9C1BA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sčervenenie </w:t>
      </w:r>
    </w:p>
    <w:p w14:paraId="5779C5D9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točenie hlavy z dôvodu nízkeho krvného tlaku,</w:t>
      </w:r>
    </w:p>
    <w:p w14:paraId="75A80865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kašeľ,</w:t>
      </w:r>
    </w:p>
    <w:p w14:paraId="4A57007A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dýchavičnosť,</w:t>
      </w:r>
    </w:p>
    <w:p w14:paraId="06BA36D8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nevoľnosť, vracanie,</w:t>
      </w:r>
    </w:p>
    <w:p w14:paraId="30D6ACE0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bolesť brucha,</w:t>
      </w:r>
    </w:p>
    <w:p w14:paraId="36B2CDE4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poruchy chuti,</w:t>
      </w:r>
    </w:p>
    <w:p w14:paraId="0491665E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porucha trávenia alebo ťažkosti s trávením,</w:t>
      </w:r>
    </w:p>
    <w:p w14:paraId="5910E303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hnačka, </w:t>
      </w:r>
    </w:p>
    <w:p w14:paraId="77E1D323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zápcha,</w:t>
      </w:r>
    </w:p>
    <w:p w14:paraId="2D6DD8E2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alergické reakcie (ako sú kožné vyrážky, svrbenie),</w:t>
      </w:r>
    </w:p>
    <w:p w14:paraId="6A26109E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svalové kŕče,</w:t>
      </w:r>
    </w:p>
    <w:p w14:paraId="51587848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pocit únavy,</w:t>
      </w:r>
    </w:p>
    <w:p w14:paraId="4A0B37CD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slabosť,</w:t>
      </w:r>
    </w:p>
    <w:p w14:paraId="2B687E8D" w14:textId="77777777" w:rsidR="00B81DB8" w:rsidRPr="00821AE9" w:rsidRDefault="00B81DB8">
      <w:pPr>
        <w:numPr>
          <w:ilvl w:val="0"/>
          <w:numId w:val="11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opuch členkov (edém)</w:t>
      </w:r>
      <w:r w:rsidRPr="00821AE9">
        <w:rPr>
          <w:sz w:val="22"/>
        </w:rPr>
        <w:br/>
      </w:r>
    </w:p>
    <w:p w14:paraId="62CBC13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Ďalšie vedľajšie účinky, ktoré boli hlásené, sú zahrnuté do nasledovného zoznamu. Ak sa ktorýkoľvek z nich stane závažný alebo ak spozorujete akékoľvek vedľajšie účinky, ktoré nie sú uvedené v tejto písomnej informácii, povedzte to, prosím, svojmu lekárovi alebo lekárnikovi.</w:t>
      </w:r>
    </w:p>
    <w:p w14:paraId="3DC0143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CD4C63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Menej časté vedľajšie účinky (</w:t>
      </w:r>
      <w:r w:rsidRPr="00821AE9">
        <w:rPr>
          <w:sz w:val="22"/>
        </w:rPr>
        <w:t xml:space="preserve">môžu postihovať menej ako 1 zo 100 osôb): </w:t>
      </w:r>
    </w:p>
    <w:p w14:paraId="59C52151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zmeny nálady, </w:t>
      </w:r>
    </w:p>
    <w:p w14:paraId="7A9C0B7F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úzkosť,</w:t>
      </w:r>
    </w:p>
    <w:p w14:paraId="4F71F6A1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depresia,</w:t>
      </w:r>
    </w:p>
    <w:p w14:paraId="620F631D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nespavosť, poruchy spánku,</w:t>
      </w:r>
    </w:p>
    <w:p w14:paraId="035A4D92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triaška,</w:t>
      </w:r>
    </w:p>
    <w:p w14:paraId="3A5E7B15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mdloby,</w:t>
      </w:r>
    </w:p>
    <w:p w14:paraId="55A4B270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strata citlivosti na bolesť,</w:t>
      </w:r>
    </w:p>
    <w:p w14:paraId="2A5E5C6A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rinitída (upchatý nos alebo nádcha),</w:t>
      </w:r>
    </w:p>
    <w:p w14:paraId="010C0D4D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zmenená funkcia čriev,</w:t>
      </w:r>
    </w:p>
    <w:p w14:paraId="4666FEB1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vypadávanie vlasov,</w:t>
      </w:r>
    </w:p>
    <w:p w14:paraId="78459D39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červené škvrny na koži, zmena sfarbenia kože,</w:t>
      </w:r>
    </w:p>
    <w:p w14:paraId="21AD7F9B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bolesť chrbta, svalov alebo kĺbov, bolesť v hrudníku, </w:t>
      </w:r>
    </w:p>
    <w:p w14:paraId="1805265E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poruchy močenia, zvýšená potreba močenia počas noci, zvýšený počet močení,</w:t>
      </w:r>
    </w:p>
    <w:p w14:paraId="189D9B73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bolesť,</w:t>
      </w:r>
    </w:p>
    <w:p w14:paraId="71614033" w14:textId="77777777" w:rsidR="00B81DB8" w:rsidRPr="00821AE9" w:rsidRDefault="005E4C9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celková nevoľnosť</w:t>
      </w:r>
      <w:r w:rsidR="00B81DB8" w:rsidRPr="00821AE9">
        <w:rPr>
          <w:sz w:val="22"/>
        </w:rPr>
        <w:t>,</w:t>
      </w:r>
    </w:p>
    <w:p w14:paraId="3AE8D1EC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bronchospazmus (</w:t>
      </w:r>
      <w:r w:rsidR="00CE6784" w:rsidRPr="00821AE9">
        <w:rPr>
          <w:sz w:val="22"/>
        </w:rPr>
        <w:t>zvieranie</w:t>
      </w:r>
      <w:r w:rsidRPr="00821AE9">
        <w:rPr>
          <w:sz w:val="22"/>
        </w:rPr>
        <w:t xml:space="preserve"> hrudníka, sipot a dýchavičnosť), </w:t>
      </w:r>
    </w:p>
    <w:p w14:paraId="10CA2C12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suchosť úst, </w:t>
      </w:r>
    </w:p>
    <w:p w14:paraId="37096024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angioedém (príznaky ako sipot, opuch tváre alebo jazyka), </w:t>
      </w:r>
    </w:p>
    <w:p w14:paraId="7DBA285B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problémy s obličkami, </w:t>
      </w:r>
    </w:p>
    <w:p w14:paraId="69AB1EBF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impotencia (neschopnosť dosiahnuť erekciu), </w:t>
      </w:r>
    </w:p>
    <w:p w14:paraId="64C7709B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zvýšené potenie, </w:t>
      </w:r>
    </w:p>
    <w:p w14:paraId="5237E7BD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nepríjemný pocit alebo zväčšenie prsníkov u mužov, </w:t>
      </w:r>
    </w:p>
    <w:p w14:paraId="45C21A0C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zvýšenie alebo zníženie telesnej hmotnosti.</w:t>
      </w:r>
    </w:p>
    <w:p w14:paraId="426E16C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146C90A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Zriedkavé vedľajšie účinky (</w:t>
      </w:r>
      <w:r w:rsidRPr="00821AE9">
        <w:rPr>
          <w:sz w:val="22"/>
        </w:rPr>
        <w:t>môžu postihovať menej ako 1 z 1 000 osôb</w:t>
      </w:r>
      <w:r w:rsidRPr="00821AE9">
        <w:rPr>
          <w:b/>
          <w:bCs/>
          <w:sz w:val="22"/>
        </w:rPr>
        <w:t>)</w:t>
      </w:r>
      <w:r w:rsidRPr="00821AE9">
        <w:rPr>
          <w:sz w:val="22"/>
        </w:rPr>
        <w:t xml:space="preserve">: </w:t>
      </w:r>
    </w:p>
    <w:p w14:paraId="23F657FF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zmätenosť, </w:t>
      </w:r>
    </w:p>
    <w:p w14:paraId="3C9A98BF" w14:textId="77777777" w:rsidR="00B81DB8" w:rsidRDefault="00E6007B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>
        <w:rPr>
          <w:sz w:val="22"/>
        </w:rPr>
        <w:t>zhoršenie psoriázy</w:t>
      </w:r>
    </w:p>
    <w:p w14:paraId="11E29954" w14:textId="77777777" w:rsidR="00E6007B" w:rsidRPr="00821AE9" w:rsidRDefault="00E6007B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>
        <w:rPr>
          <w:sz w:val="22"/>
        </w:rPr>
        <w:t>zvýšenie hodnôt funkcie pečene (čo môže naznačovať poškodenie pečene) vrátane zvýšenia bilirubínu v krvi (čo môže v ťažkých prípadoch vyvolať zožltnutie kože a očí)</w:t>
      </w:r>
    </w:p>
    <w:p w14:paraId="3D20D8FF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031924B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Veľmi zriedkavé vedľajšie účinky (</w:t>
      </w:r>
      <w:r w:rsidRPr="00821AE9">
        <w:rPr>
          <w:sz w:val="22"/>
        </w:rPr>
        <w:t>môžu postihovať menej ako 1 z 10 000 osôb</w:t>
      </w:r>
      <w:r w:rsidRPr="00821AE9">
        <w:rPr>
          <w:b/>
          <w:bCs/>
          <w:sz w:val="22"/>
        </w:rPr>
        <w:t>)</w:t>
      </w:r>
      <w:r w:rsidRPr="00821AE9">
        <w:rPr>
          <w:sz w:val="22"/>
        </w:rPr>
        <w:t xml:space="preserve">: </w:t>
      </w:r>
    </w:p>
    <w:p w14:paraId="78C6110C" w14:textId="77777777" w:rsidR="00B81DB8" w:rsidRPr="00821AE9" w:rsidRDefault="00CE6784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srdcovocievne</w:t>
      </w:r>
      <w:r w:rsidR="00B81DB8" w:rsidRPr="00821AE9">
        <w:rPr>
          <w:sz w:val="22"/>
        </w:rPr>
        <w:t xml:space="preserve"> poruchy (nepravidelný tep, angína, infarkt a mŕtvica),</w:t>
      </w:r>
    </w:p>
    <w:p w14:paraId="6188F657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eozinofilná pneumónia (zriedkavý typ zápalu pľúc),</w:t>
      </w:r>
    </w:p>
    <w:p w14:paraId="5E5F408B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opuch očných viečok, tváre alebo pier, opuch jazyka alebo hrtana, ktorý môže spôsobiť veľké ťažkosti s dýchaním,</w:t>
      </w:r>
    </w:p>
    <w:p w14:paraId="073C05A4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ťažké kožné reakcie vrátane silnej kožnej vyrážky, žihľavky, sčervenenia kože na celom vašom tele, silné svrbenie, tvorba pľuzgierov, olupovanie kože a opuch kože (Stevensov-Johnsonov syndróm), multiformný erytém (kožná vyrážka, ktorá často začína červenými svrbiacimi fľakmi na tvári, ramenách alebo nohách),</w:t>
      </w:r>
    </w:p>
    <w:p w14:paraId="24B122B2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citlivosť na svetlo,</w:t>
      </w:r>
    </w:p>
    <w:p w14:paraId="3A8CD065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poruchy krvi,</w:t>
      </w:r>
    </w:p>
    <w:p w14:paraId="47238257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color w:val="000000"/>
          <w:sz w:val="22"/>
        </w:rPr>
        <w:t>zápal pankreasu (podžalúdkovej žľazy), ktorý môže spôsobiť závažnú bolesť brucha alebo chrbta sprevádzanú pocitom</w:t>
      </w:r>
      <w:r w:rsidR="00CE6784" w:rsidRPr="00821AE9">
        <w:rPr>
          <w:color w:val="000000"/>
          <w:sz w:val="22"/>
        </w:rPr>
        <w:t>, že sa cítite veľmi zl</w:t>
      </w:r>
      <w:r w:rsidR="00110BA0" w:rsidRPr="00821AE9">
        <w:rPr>
          <w:color w:val="000000"/>
          <w:sz w:val="22"/>
        </w:rPr>
        <w:t>e</w:t>
      </w:r>
      <w:r w:rsidRPr="00821AE9">
        <w:rPr>
          <w:color w:val="000000"/>
          <w:sz w:val="22"/>
        </w:rPr>
        <w:t>,</w:t>
      </w:r>
    </w:p>
    <w:p w14:paraId="384C20AB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abnormálna funkcia pečene, zápal pečene (hepatitída), zožltnutie kože (žltačka), zvýšené pečeňové enzýmy, ktoré môžu mať vplyv na niektoré laboratórne testy,</w:t>
      </w:r>
    </w:p>
    <w:p w14:paraId="5B8E0A86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nafúknutie brucha (gastritída),</w:t>
      </w:r>
    </w:p>
    <w:p w14:paraId="73369EAD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poruchy nervov, ktoré môžu spôsobiť slabosť, mravčenie alebo stratu citlivosti,</w:t>
      </w:r>
    </w:p>
    <w:p w14:paraId="1172578D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zvýšené svalové napätie,</w:t>
      </w:r>
    </w:p>
    <w:p w14:paraId="6A9563B5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vaskulitída (zápal ciev),</w:t>
      </w:r>
    </w:p>
    <w:p w14:paraId="001F0C65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opuch ďasien,</w:t>
      </w:r>
    </w:p>
    <w:p w14:paraId="422B38E9" w14:textId="77777777" w:rsidR="00B81DB8" w:rsidRPr="00821AE9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vysoká hladina cukru v krvi (hyperglykémia).</w:t>
      </w:r>
    </w:p>
    <w:p w14:paraId="0F3321A9" w14:textId="77777777" w:rsidR="00B81DB8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79EF82F" w14:textId="77777777" w:rsidR="00743BD0" w:rsidRPr="005B7B85" w:rsidRDefault="00743BD0" w:rsidP="00743BD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5B7B85">
        <w:rPr>
          <w:b/>
          <w:bCs/>
          <w:sz w:val="22"/>
        </w:rPr>
        <w:t>Neznáme (</w:t>
      </w:r>
      <w:r w:rsidRPr="005B7B85">
        <w:rPr>
          <w:sz w:val="22"/>
        </w:rPr>
        <w:t>častosť sa nedá odhadnúť z dostupných údajov</w:t>
      </w:r>
      <w:r w:rsidRPr="005B7B85">
        <w:rPr>
          <w:b/>
          <w:bCs/>
          <w:sz w:val="22"/>
        </w:rPr>
        <w:t>)</w:t>
      </w:r>
      <w:r w:rsidRPr="005B7B85">
        <w:rPr>
          <w:sz w:val="22"/>
        </w:rPr>
        <w:t xml:space="preserve">: </w:t>
      </w:r>
    </w:p>
    <w:p w14:paraId="68A3E7DB" w14:textId="77777777" w:rsidR="00743BD0" w:rsidRPr="005B7B85" w:rsidRDefault="00743BD0" w:rsidP="00743BD0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  <w:szCs w:val="22"/>
        </w:rPr>
      </w:pPr>
      <w:r w:rsidRPr="005B7B85">
        <w:rPr>
          <w:sz w:val="22"/>
          <w:szCs w:val="22"/>
        </w:rPr>
        <w:t>zmena sfarbenia, necitlivosť a bolesť v prstoch na rukách alebo nohách (Raynaudov fenomén).</w:t>
      </w:r>
    </w:p>
    <w:p w14:paraId="7302B304" w14:textId="77777777" w:rsidR="00743BD0" w:rsidRPr="00821AE9" w:rsidRDefault="00743BD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499AA75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Nasledovné vedľajšie účinky boli tiež hlásené u pacientov užívajúcich Perindamlostad:</w:t>
      </w:r>
    </w:p>
    <w:p w14:paraId="4D11F331" w14:textId="241CAAD8" w:rsidR="00B81DB8" w:rsidRDefault="00B81DB8">
      <w:pPr>
        <w:numPr>
          <w:ilvl w:val="0"/>
          <w:numId w:val="12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  <w:szCs w:val="22"/>
        </w:rPr>
      </w:pPr>
      <w:r w:rsidRPr="00821AE9">
        <w:rPr>
          <w:sz w:val="22"/>
          <w:szCs w:val="22"/>
        </w:rPr>
        <w:t>hypoglykémia (ve</w:t>
      </w:r>
      <w:r w:rsidR="00EF6ABC" w:rsidRPr="00821AE9">
        <w:rPr>
          <w:sz w:val="22"/>
          <w:szCs w:val="22"/>
        </w:rPr>
        <w:t>ľ</w:t>
      </w:r>
      <w:r w:rsidRPr="00821AE9">
        <w:rPr>
          <w:sz w:val="22"/>
          <w:szCs w:val="22"/>
        </w:rPr>
        <w:t xml:space="preserve">mi nízka hladina cukru v krvi), poruchy </w:t>
      </w:r>
      <w:r w:rsidR="006862ED" w:rsidRPr="00821AE9">
        <w:rPr>
          <w:sz w:val="22"/>
          <w:szCs w:val="22"/>
        </w:rPr>
        <w:t>kombinujúce</w:t>
      </w:r>
      <w:r w:rsidRPr="00821AE9">
        <w:rPr>
          <w:sz w:val="22"/>
          <w:szCs w:val="22"/>
        </w:rPr>
        <w:t xml:space="preserve"> svalovú stuhnutosť, tras a/alebo poruchy pohybu</w:t>
      </w:r>
      <w:r w:rsidR="00FE669D">
        <w:rPr>
          <w:sz w:val="22"/>
          <w:szCs w:val="22"/>
        </w:rPr>
        <w:t>,</w:t>
      </w:r>
    </w:p>
    <w:p w14:paraId="03B580EE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b/>
          <w:bCs/>
          <w:sz w:val="22"/>
          <w:szCs w:val="22"/>
        </w:rPr>
      </w:pPr>
    </w:p>
    <w:p w14:paraId="08186854" w14:textId="77777777" w:rsidR="002C0611" w:rsidRDefault="002C0611" w:rsidP="002C0611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14:paraId="2B6724CD" w14:textId="77777777" w:rsidR="002C0611" w:rsidRDefault="002C0611" w:rsidP="002C0611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14:paraId="1FF40667" w14:textId="77777777" w:rsidR="00FB7DBE" w:rsidRPr="00821AE9" w:rsidRDefault="00FB7DBE" w:rsidP="00FB7DBE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</w:p>
    <w:p w14:paraId="6FA65157" w14:textId="77777777" w:rsidR="00B81DB8" w:rsidRPr="00821AE9" w:rsidRDefault="00B81DB8">
      <w:pPr>
        <w:rPr>
          <w:sz w:val="22"/>
          <w:szCs w:val="22"/>
        </w:rPr>
      </w:pPr>
    </w:p>
    <w:p w14:paraId="5A8B7216" w14:textId="77777777" w:rsidR="00B81DB8" w:rsidRPr="00821AE9" w:rsidRDefault="00B81DB8">
      <w:pPr>
        <w:rPr>
          <w:b/>
          <w:bCs/>
          <w:sz w:val="22"/>
          <w:szCs w:val="22"/>
        </w:rPr>
      </w:pPr>
      <w:r w:rsidRPr="00821AE9">
        <w:rPr>
          <w:b/>
          <w:bCs/>
          <w:sz w:val="22"/>
          <w:szCs w:val="22"/>
        </w:rPr>
        <w:t>5.</w:t>
      </w:r>
      <w:r w:rsidRPr="00821AE9">
        <w:rPr>
          <w:b/>
          <w:bCs/>
          <w:sz w:val="22"/>
          <w:szCs w:val="22"/>
        </w:rPr>
        <w:tab/>
        <w:t>Ako uchovávať Perindamlostad</w:t>
      </w:r>
    </w:p>
    <w:p w14:paraId="32A49D05" w14:textId="77777777" w:rsidR="00B81DB8" w:rsidRPr="00821AE9" w:rsidRDefault="00B81DB8"/>
    <w:p w14:paraId="70289949" w14:textId="77777777" w:rsidR="00B81DB8" w:rsidRPr="00821AE9" w:rsidRDefault="00B81DB8">
      <w:pPr>
        <w:rPr>
          <w:sz w:val="22"/>
          <w:szCs w:val="22"/>
        </w:rPr>
      </w:pPr>
      <w:r w:rsidRPr="00821AE9">
        <w:rPr>
          <w:sz w:val="22"/>
          <w:szCs w:val="22"/>
        </w:rPr>
        <w:t>Tento liek uchovávajte mimo dohľadu a dosahu detí.</w:t>
      </w:r>
    </w:p>
    <w:p w14:paraId="608D88DE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0C8968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Neužívajte tento liek po dátume exspirácie, ktorý je uvedený na štítku, škatuľke alebo na fľaši po „EXP“. Dátum exspirácie sa vzťahuje na posledný deň v danom mesiaci.</w:t>
      </w:r>
    </w:p>
    <w:p w14:paraId="1A435F69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  <w:szCs w:val="22"/>
        </w:rPr>
      </w:pPr>
    </w:p>
    <w:p w14:paraId="25AFF29F" w14:textId="77777777" w:rsidR="00B81DB8" w:rsidRPr="00821AE9" w:rsidRDefault="00B81DB8">
      <w:pPr>
        <w:rPr>
          <w:sz w:val="22"/>
          <w:szCs w:val="22"/>
        </w:rPr>
      </w:pPr>
      <w:r w:rsidRPr="00821AE9">
        <w:rPr>
          <w:sz w:val="22"/>
          <w:szCs w:val="22"/>
        </w:rPr>
        <w:t>Blistrové balenie (ALU/ALU): Uchovávajte v pôvodnom obale na ochranu pred svetlom a vlhkosťou.</w:t>
      </w:r>
    </w:p>
    <w:p w14:paraId="69FB8F6E" w14:textId="77777777" w:rsidR="00B81DB8" w:rsidRPr="00821AE9" w:rsidRDefault="00B81DB8">
      <w:pPr>
        <w:rPr>
          <w:sz w:val="22"/>
          <w:szCs w:val="22"/>
        </w:rPr>
      </w:pPr>
      <w:r w:rsidRPr="00821AE9">
        <w:rPr>
          <w:sz w:val="22"/>
          <w:szCs w:val="22"/>
        </w:rPr>
        <w:t>HDPE fľaše: Uchovávajte pri teplote nepre</w:t>
      </w:r>
      <w:r w:rsidR="00EF6ABC" w:rsidRPr="00821AE9">
        <w:rPr>
          <w:sz w:val="22"/>
          <w:szCs w:val="22"/>
        </w:rPr>
        <w:t>vyšuj</w:t>
      </w:r>
      <w:r w:rsidRPr="00821AE9">
        <w:rPr>
          <w:sz w:val="22"/>
          <w:szCs w:val="22"/>
        </w:rPr>
        <w:t>úcej 30</w:t>
      </w:r>
      <w:r w:rsidR="00EF6ABC" w:rsidRPr="00821AE9">
        <w:rPr>
          <w:sz w:val="22"/>
          <w:szCs w:val="22"/>
        </w:rPr>
        <w:t xml:space="preserve"> </w:t>
      </w:r>
      <w:r w:rsidRPr="00821AE9">
        <w:rPr>
          <w:sz w:val="22"/>
          <w:szCs w:val="22"/>
        </w:rPr>
        <w:t>°C. Uchovávajte v pôvodnom obale na ochranu pred svetlom a vlhkosťou.</w:t>
      </w:r>
      <w:r w:rsidR="00EF6ABC" w:rsidRPr="00821AE9">
        <w:rPr>
          <w:sz w:val="22"/>
          <w:szCs w:val="22"/>
        </w:rPr>
        <w:t xml:space="preserve"> </w:t>
      </w:r>
      <w:r w:rsidR="00110BA0" w:rsidRPr="00821AE9">
        <w:rPr>
          <w:sz w:val="22"/>
          <w:szCs w:val="22"/>
        </w:rPr>
        <w:t>Použite do 3 mesiacov po prvom otvorení.</w:t>
      </w:r>
    </w:p>
    <w:p w14:paraId="72BA6EB6" w14:textId="77777777" w:rsidR="00B81DB8" w:rsidRPr="00821AE9" w:rsidRDefault="00B81DB8">
      <w:pPr>
        <w:rPr>
          <w:sz w:val="22"/>
          <w:szCs w:val="22"/>
        </w:rPr>
      </w:pPr>
    </w:p>
    <w:p w14:paraId="753630B4" w14:textId="77777777" w:rsidR="00B81DB8" w:rsidRPr="00821AE9" w:rsidRDefault="00B81DB8">
      <w:pPr>
        <w:rPr>
          <w:sz w:val="22"/>
          <w:szCs w:val="22"/>
        </w:rPr>
      </w:pPr>
      <w:r w:rsidRPr="00821AE9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AF75B82" w14:textId="77777777" w:rsidR="00B81DB8" w:rsidRPr="00821AE9" w:rsidRDefault="00B81DB8">
      <w:pPr>
        <w:rPr>
          <w:sz w:val="22"/>
        </w:rPr>
      </w:pPr>
    </w:p>
    <w:p w14:paraId="3E7E5647" w14:textId="77777777" w:rsidR="00B81DB8" w:rsidRPr="00821AE9" w:rsidRDefault="00B81DB8">
      <w:pPr>
        <w:rPr>
          <w:sz w:val="22"/>
        </w:rPr>
      </w:pPr>
    </w:p>
    <w:p w14:paraId="0FC0C9A6" w14:textId="77777777" w:rsidR="00B81DB8" w:rsidRPr="00821AE9" w:rsidRDefault="00B81DB8">
      <w:pPr>
        <w:rPr>
          <w:sz w:val="22"/>
        </w:rPr>
      </w:pPr>
      <w:r w:rsidRPr="00821AE9">
        <w:rPr>
          <w:b/>
          <w:bCs/>
          <w:sz w:val="22"/>
        </w:rPr>
        <w:t>6.</w:t>
      </w:r>
      <w:r w:rsidRPr="00821AE9">
        <w:rPr>
          <w:b/>
          <w:bCs/>
          <w:sz w:val="22"/>
        </w:rPr>
        <w:tab/>
        <w:t>Obsah balenia a ďalšie informácie</w:t>
      </w:r>
    </w:p>
    <w:p w14:paraId="72048F56" w14:textId="77777777" w:rsidR="00B81DB8" w:rsidRPr="00821AE9" w:rsidRDefault="00B81DB8">
      <w:pPr>
        <w:rPr>
          <w:sz w:val="22"/>
        </w:rPr>
      </w:pPr>
    </w:p>
    <w:p w14:paraId="33FBD2A0" w14:textId="77777777" w:rsidR="00B81DB8" w:rsidRPr="00821AE9" w:rsidRDefault="00B81DB8">
      <w:pPr>
        <w:rPr>
          <w:sz w:val="22"/>
        </w:rPr>
      </w:pPr>
      <w:r w:rsidRPr="00821AE9">
        <w:rPr>
          <w:b/>
          <w:bCs/>
          <w:sz w:val="22"/>
        </w:rPr>
        <w:t>Čo Perindamlostad obsahuje</w:t>
      </w:r>
    </w:p>
    <w:p w14:paraId="5ECC0BAE" w14:textId="77777777" w:rsidR="00B81DB8" w:rsidRPr="00821AE9" w:rsidRDefault="00B81DB8">
      <w:pPr>
        <w:rPr>
          <w:sz w:val="22"/>
          <w:u w:val="single"/>
        </w:rPr>
      </w:pPr>
    </w:p>
    <w:p w14:paraId="54E8FDF5" w14:textId="77777777" w:rsidR="00B81DB8" w:rsidRPr="00821AE9" w:rsidRDefault="00B81DB8">
      <w:pPr>
        <w:rPr>
          <w:sz w:val="22"/>
        </w:rPr>
      </w:pPr>
      <w:r w:rsidRPr="00821AE9">
        <w:rPr>
          <w:sz w:val="22"/>
        </w:rPr>
        <w:t xml:space="preserve">Liečivá sú perindopril </w:t>
      </w:r>
      <w:r w:rsidRPr="00821AE9">
        <w:rPr>
          <w:i/>
          <w:iCs/>
          <w:sz w:val="22"/>
        </w:rPr>
        <w:t>terc</w:t>
      </w:r>
      <w:r w:rsidRPr="00821AE9">
        <w:rPr>
          <w:sz w:val="22"/>
        </w:rPr>
        <w:t>-butylamín a amlodipín.</w:t>
      </w:r>
    </w:p>
    <w:p w14:paraId="0963817D" w14:textId="77777777" w:rsidR="00B81DB8" w:rsidRPr="00821AE9" w:rsidRDefault="00B81DB8">
      <w:pPr>
        <w:rPr>
          <w:sz w:val="22"/>
        </w:rPr>
      </w:pPr>
      <w:r w:rsidRPr="00821AE9">
        <w:rPr>
          <w:rFonts w:eastAsia="TimesNewRoman"/>
          <w:color w:val="000000"/>
          <w:sz w:val="22"/>
        </w:rPr>
        <w:t>Každá tableta obsahuje 4 mg perindopril</w:t>
      </w:r>
      <w:r w:rsidR="00307589" w:rsidRPr="00821AE9">
        <w:rPr>
          <w:rFonts w:eastAsia="TimesNewRoman"/>
          <w:color w:val="000000"/>
          <w:sz w:val="22"/>
        </w:rPr>
        <w:t>u</w:t>
      </w:r>
      <w:r w:rsidRPr="00821AE9">
        <w:rPr>
          <w:rFonts w:eastAsia="TimesNewRoman"/>
          <w:color w:val="000000"/>
          <w:sz w:val="22"/>
        </w:rPr>
        <w:t xml:space="preserve"> terc-butylamínu a 5 mg amlodipínu.</w:t>
      </w:r>
    </w:p>
    <w:p w14:paraId="496B57F3" w14:textId="77777777" w:rsidR="00B81DB8" w:rsidRPr="00821AE9" w:rsidRDefault="00B81DB8">
      <w:pPr>
        <w:rPr>
          <w:sz w:val="22"/>
        </w:rPr>
      </w:pPr>
      <w:r w:rsidRPr="00821AE9">
        <w:rPr>
          <w:rFonts w:eastAsia="TimesNewRoman"/>
          <w:color w:val="000000"/>
          <w:sz w:val="22"/>
        </w:rPr>
        <w:t>Každá tableta obsahuje 4 mg perindopril</w:t>
      </w:r>
      <w:r w:rsidR="00307589" w:rsidRPr="00821AE9">
        <w:rPr>
          <w:rFonts w:eastAsia="TimesNewRoman"/>
          <w:color w:val="000000"/>
          <w:sz w:val="22"/>
        </w:rPr>
        <w:t>u</w:t>
      </w:r>
      <w:r w:rsidRPr="00821AE9">
        <w:rPr>
          <w:rFonts w:eastAsia="TimesNewRoman"/>
          <w:color w:val="000000"/>
          <w:sz w:val="22"/>
        </w:rPr>
        <w:t xml:space="preserve"> terc-butylamínu a 10 mg amlodipínu.</w:t>
      </w:r>
    </w:p>
    <w:p w14:paraId="3619E051" w14:textId="77777777" w:rsidR="00B81DB8" w:rsidRPr="00821AE9" w:rsidRDefault="00B81DB8">
      <w:pPr>
        <w:rPr>
          <w:sz w:val="22"/>
        </w:rPr>
      </w:pPr>
      <w:r w:rsidRPr="00821AE9">
        <w:rPr>
          <w:rFonts w:eastAsia="TimesNewRoman"/>
          <w:color w:val="000000"/>
          <w:sz w:val="22"/>
        </w:rPr>
        <w:t>Každá tableta obsahuje 8 mg perindopril</w:t>
      </w:r>
      <w:r w:rsidR="00307589" w:rsidRPr="00821AE9">
        <w:rPr>
          <w:rFonts w:eastAsia="TimesNewRoman"/>
          <w:color w:val="000000"/>
          <w:sz w:val="22"/>
        </w:rPr>
        <w:t>u</w:t>
      </w:r>
      <w:r w:rsidRPr="00821AE9">
        <w:rPr>
          <w:rFonts w:eastAsia="TimesNewRoman"/>
          <w:color w:val="000000"/>
          <w:sz w:val="22"/>
        </w:rPr>
        <w:t xml:space="preserve"> terc-butylamínu a 5 mg amlodipínu.</w:t>
      </w:r>
    </w:p>
    <w:p w14:paraId="19BF5181" w14:textId="77777777" w:rsidR="00B81DB8" w:rsidRPr="00821AE9" w:rsidRDefault="00B81DB8">
      <w:pPr>
        <w:rPr>
          <w:sz w:val="22"/>
        </w:rPr>
      </w:pPr>
      <w:r w:rsidRPr="00821AE9">
        <w:rPr>
          <w:rFonts w:eastAsia="TimesNewRoman"/>
          <w:color w:val="000000"/>
          <w:sz w:val="22"/>
        </w:rPr>
        <w:t>Každá tableta obsahuje 8 mg perindopril</w:t>
      </w:r>
      <w:r w:rsidR="00307589" w:rsidRPr="00821AE9">
        <w:rPr>
          <w:rFonts w:eastAsia="TimesNewRoman"/>
          <w:color w:val="000000"/>
          <w:sz w:val="22"/>
        </w:rPr>
        <w:t>u</w:t>
      </w:r>
      <w:r w:rsidRPr="00821AE9">
        <w:rPr>
          <w:rFonts w:eastAsia="TimesNewRoman"/>
          <w:color w:val="000000"/>
          <w:sz w:val="22"/>
        </w:rPr>
        <w:t xml:space="preserve"> terc-butylamínu a 10 mg amlodipínu.</w:t>
      </w:r>
    </w:p>
    <w:p w14:paraId="5BA67FAE" w14:textId="055910BF" w:rsidR="00B81DB8" w:rsidRPr="00821AE9" w:rsidRDefault="00B81DB8">
      <w:pPr>
        <w:pStyle w:val="Zkladntext2"/>
      </w:pPr>
      <w:r w:rsidRPr="00821AE9">
        <w:t>Ďalšie zložky sú karboxymetylškrob A, sodná soľ; glyceroldibehenát, hydrogenfosforečnan vápenatý, bezvodý; trehalóza, dihydrát; mikrokryštalická celulóza, oxid horečnatý, ľahký; krospovidón, stear</w:t>
      </w:r>
      <w:r w:rsidR="0088087A">
        <w:t>át</w:t>
      </w:r>
      <w:r w:rsidRPr="00821AE9">
        <w:t xml:space="preserve"> horečnatý.</w:t>
      </w:r>
    </w:p>
    <w:p w14:paraId="1D7D0A6F" w14:textId="77777777" w:rsidR="00B81DB8" w:rsidRPr="00821AE9" w:rsidRDefault="00B81DB8">
      <w:pPr>
        <w:rPr>
          <w:sz w:val="22"/>
        </w:rPr>
      </w:pPr>
    </w:p>
    <w:p w14:paraId="6105FE18" w14:textId="77777777" w:rsidR="00B81DB8" w:rsidRPr="00821AE9" w:rsidRDefault="00B81DB8">
      <w:pPr>
        <w:rPr>
          <w:sz w:val="22"/>
        </w:rPr>
      </w:pPr>
      <w:r w:rsidRPr="00821AE9">
        <w:rPr>
          <w:b/>
          <w:bCs/>
          <w:sz w:val="22"/>
        </w:rPr>
        <w:t>Ako vyzerá Perindamlostad a obsah balenia</w:t>
      </w:r>
    </w:p>
    <w:p w14:paraId="3DF1BA48" w14:textId="01593019" w:rsidR="00B81DB8" w:rsidRPr="00821AE9" w:rsidRDefault="00B81DB8">
      <w:pPr>
        <w:autoSpaceDE w:val="0"/>
        <w:autoSpaceDN w:val="0"/>
        <w:adjustRightInd w:val="0"/>
        <w:rPr>
          <w:sz w:val="22"/>
        </w:rPr>
      </w:pPr>
      <w:r w:rsidRPr="00821AE9">
        <w:rPr>
          <w:sz w:val="22"/>
        </w:rPr>
        <w:t xml:space="preserve">Perindamlostad </w:t>
      </w:r>
      <w:r w:rsidRPr="00821AE9">
        <w:rPr>
          <w:color w:val="000000"/>
          <w:sz w:val="22"/>
          <w:szCs w:val="22"/>
        </w:rPr>
        <w:t>4 mg/5 mg tablety sú b</w:t>
      </w:r>
      <w:r w:rsidRPr="00821AE9">
        <w:rPr>
          <w:sz w:val="22"/>
        </w:rPr>
        <w:t>iele až takmer biele oválne obojstranne vypuklé tablety, 5 mm x 9 mm, na jednej strane označené 4|5 a hladké na druhej strane.</w:t>
      </w:r>
    </w:p>
    <w:p w14:paraId="7D8434A5" w14:textId="15A43A79" w:rsidR="00B81DB8" w:rsidRPr="00821AE9" w:rsidRDefault="00B81DB8">
      <w:pPr>
        <w:autoSpaceDE w:val="0"/>
        <w:autoSpaceDN w:val="0"/>
        <w:adjustRightInd w:val="0"/>
        <w:rPr>
          <w:sz w:val="22"/>
        </w:rPr>
      </w:pPr>
      <w:r w:rsidRPr="00821AE9">
        <w:rPr>
          <w:sz w:val="22"/>
        </w:rPr>
        <w:t xml:space="preserve">Perindamlostad </w:t>
      </w:r>
      <w:r w:rsidRPr="00821AE9">
        <w:rPr>
          <w:color w:val="000000"/>
          <w:sz w:val="22"/>
          <w:szCs w:val="22"/>
        </w:rPr>
        <w:t>4 mg/10 mg tablety sú b</w:t>
      </w:r>
      <w:r w:rsidRPr="00821AE9">
        <w:rPr>
          <w:sz w:val="22"/>
        </w:rPr>
        <w:t>iele až takmer biele obdĺžnikové obojstranne vypuklé tablety, 8 mm x 8 mm, na jednej strane označené 4|10 a hladké na druhej strane.</w:t>
      </w:r>
    </w:p>
    <w:p w14:paraId="53E48BA3" w14:textId="0EFC991B" w:rsidR="00B81DB8" w:rsidRPr="00821AE9" w:rsidRDefault="00B81DB8">
      <w:pPr>
        <w:autoSpaceDE w:val="0"/>
        <w:autoSpaceDN w:val="0"/>
        <w:adjustRightInd w:val="0"/>
        <w:rPr>
          <w:sz w:val="22"/>
        </w:rPr>
      </w:pPr>
      <w:r w:rsidRPr="00821AE9">
        <w:rPr>
          <w:sz w:val="22"/>
        </w:rPr>
        <w:t xml:space="preserve">Perindamlostad </w:t>
      </w:r>
      <w:r w:rsidRPr="00821AE9">
        <w:rPr>
          <w:color w:val="000000"/>
          <w:sz w:val="22"/>
          <w:szCs w:val="22"/>
        </w:rPr>
        <w:t>8 mg/5 mg tablety sú b</w:t>
      </w:r>
      <w:r w:rsidRPr="00821AE9">
        <w:rPr>
          <w:sz w:val="22"/>
        </w:rPr>
        <w:t>iele až takmer biele trojuholníkové obojstranne vypuklé tablety, jedna strana 9 mm</w:t>
      </w:r>
      <w:r w:rsidR="006862ED" w:rsidRPr="00821AE9">
        <w:rPr>
          <w:sz w:val="22"/>
        </w:rPr>
        <w:t xml:space="preserve"> dlhá</w:t>
      </w:r>
      <w:r w:rsidRPr="00821AE9">
        <w:rPr>
          <w:sz w:val="22"/>
        </w:rPr>
        <w:t>, na jednej strane označené 8|5 a hladké na druhej strane.</w:t>
      </w:r>
    </w:p>
    <w:p w14:paraId="01CDC310" w14:textId="57C4442D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 xml:space="preserve">Perindamlostad </w:t>
      </w:r>
      <w:r w:rsidRPr="00821AE9">
        <w:rPr>
          <w:color w:val="000000"/>
          <w:sz w:val="22"/>
          <w:szCs w:val="22"/>
        </w:rPr>
        <w:t>8 mg/10 mg tablety sú b</w:t>
      </w:r>
      <w:r w:rsidRPr="00821AE9">
        <w:rPr>
          <w:sz w:val="22"/>
        </w:rPr>
        <w:t>iele až takmer biele okrúhle obojstranne vypuklé tablety, priemer 9 mm, na jednej strane označené 8|10 a hladké na druhej strane.</w:t>
      </w:r>
    </w:p>
    <w:p w14:paraId="4DC0DDEE" w14:textId="77777777" w:rsidR="006862ED" w:rsidRPr="00821AE9" w:rsidRDefault="006862ED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7B0ED83D" w14:textId="77777777" w:rsidR="006862ED" w:rsidRPr="005B7B85" w:rsidRDefault="00110BA0" w:rsidP="006862ED">
      <w:pPr>
        <w:autoSpaceDE w:val="0"/>
        <w:autoSpaceDN w:val="0"/>
        <w:adjustRightInd w:val="0"/>
        <w:rPr>
          <w:iCs/>
          <w:sz w:val="22"/>
          <w:szCs w:val="22"/>
        </w:rPr>
      </w:pPr>
      <w:r w:rsidRPr="005B7B85">
        <w:rPr>
          <w:iCs/>
          <w:sz w:val="22"/>
          <w:szCs w:val="22"/>
        </w:rPr>
        <w:t>Veľkosti balenia</w:t>
      </w:r>
      <w:r w:rsidR="006862ED" w:rsidRPr="005B7B85">
        <w:rPr>
          <w:iCs/>
          <w:sz w:val="22"/>
          <w:szCs w:val="22"/>
        </w:rPr>
        <w:t>:</w:t>
      </w:r>
    </w:p>
    <w:p w14:paraId="038A98C5" w14:textId="77777777" w:rsidR="006862ED" w:rsidRPr="005B7B85" w:rsidRDefault="00110BA0" w:rsidP="006862ED">
      <w:pPr>
        <w:autoSpaceDE w:val="0"/>
        <w:autoSpaceDN w:val="0"/>
        <w:adjustRightInd w:val="0"/>
        <w:rPr>
          <w:sz w:val="22"/>
          <w:szCs w:val="22"/>
        </w:rPr>
      </w:pPr>
      <w:r w:rsidRPr="005B7B85">
        <w:rPr>
          <w:sz w:val="22"/>
          <w:szCs w:val="22"/>
        </w:rPr>
        <w:t>Blistrové balenia (ALU-ALU)</w:t>
      </w:r>
      <w:r w:rsidR="006862ED" w:rsidRPr="005B7B85">
        <w:rPr>
          <w:sz w:val="22"/>
          <w:szCs w:val="22"/>
        </w:rPr>
        <w:t xml:space="preserve">: 10, 30, 60, 90 </w:t>
      </w:r>
      <w:r w:rsidRPr="005B7B85">
        <w:rPr>
          <w:sz w:val="22"/>
          <w:szCs w:val="22"/>
        </w:rPr>
        <w:t>tabliet</w:t>
      </w:r>
    </w:p>
    <w:p w14:paraId="771373BD" w14:textId="77777777" w:rsidR="006862ED" w:rsidRPr="00821AE9" w:rsidRDefault="00110BA0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  <w:szCs w:val="22"/>
        </w:rPr>
        <w:t>Nádoba na tablety</w:t>
      </w:r>
      <w:r w:rsidR="00FB7DBE" w:rsidRPr="00821AE9">
        <w:rPr>
          <w:sz w:val="22"/>
          <w:szCs w:val="22"/>
        </w:rPr>
        <w:t xml:space="preserve"> (HDPE fľaša)</w:t>
      </w:r>
      <w:r w:rsidRPr="00821AE9">
        <w:rPr>
          <w:sz w:val="22"/>
          <w:szCs w:val="22"/>
        </w:rPr>
        <w:t>: 100 tabliet</w:t>
      </w:r>
    </w:p>
    <w:p w14:paraId="404C000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Na trh nemusia byť uvedené všetky veľkosti balenia.</w:t>
      </w:r>
    </w:p>
    <w:p w14:paraId="3EA951B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  <w:u w:val="single"/>
        </w:rPr>
      </w:pPr>
    </w:p>
    <w:p w14:paraId="00B10FDC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b/>
          <w:bCs/>
          <w:sz w:val="22"/>
        </w:rPr>
      </w:pPr>
      <w:r w:rsidRPr="00821AE9">
        <w:rPr>
          <w:b/>
          <w:bCs/>
          <w:sz w:val="22"/>
        </w:rPr>
        <w:t>Držiteľ rozhodnutia o registrácii a výrobca</w:t>
      </w:r>
    </w:p>
    <w:p w14:paraId="23BA22BF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b/>
          <w:bCs/>
          <w:sz w:val="22"/>
        </w:rPr>
      </w:pPr>
    </w:p>
    <w:p w14:paraId="36D3B93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  <w:u w:val="single"/>
        </w:rPr>
      </w:pPr>
      <w:r w:rsidRPr="00821AE9">
        <w:rPr>
          <w:sz w:val="22"/>
          <w:u w:val="single"/>
        </w:rPr>
        <w:t>Držiteľ rozhodnutia o registrácii:</w:t>
      </w:r>
    </w:p>
    <w:p w14:paraId="7375C21E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07A4EB8B" w14:textId="77777777" w:rsidR="00B81DB8" w:rsidRPr="00821AE9" w:rsidRDefault="00B81DB8">
      <w:pPr>
        <w:tabs>
          <w:tab w:val="left" w:pos="708"/>
        </w:tabs>
        <w:rPr>
          <w:sz w:val="22"/>
        </w:rPr>
      </w:pPr>
      <w:r w:rsidRPr="00821AE9">
        <w:rPr>
          <w:sz w:val="22"/>
        </w:rPr>
        <w:t>STADA Arzneimittel AG</w:t>
      </w:r>
    </w:p>
    <w:p w14:paraId="5CECE3AC" w14:textId="77777777" w:rsidR="00B81DB8" w:rsidRPr="00821AE9" w:rsidRDefault="00B81DB8">
      <w:pPr>
        <w:tabs>
          <w:tab w:val="left" w:pos="708"/>
        </w:tabs>
        <w:rPr>
          <w:sz w:val="22"/>
        </w:rPr>
      </w:pPr>
      <w:r w:rsidRPr="00821AE9">
        <w:rPr>
          <w:sz w:val="22"/>
        </w:rPr>
        <w:t>Stadastrasse 2-18</w:t>
      </w:r>
    </w:p>
    <w:p w14:paraId="06E735D3" w14:textId="77777777" w:rsidR="00B81DB8" w:rsidRPr="00821AE9" w:rsidRDefault="00B81DB8">
      <w:pPr>
        <w:tabs>
          <w:tab w:val="left" w:pos="708"/>
        </w:tabs>
        <w:rPr>
          <w:sz w:val="22"/>
        </w:rPr>
      </w:pPr>
      <w:r w:rsidRPr="00821AE9">
        <w:rPr>
          <w:sz w:val="22"/>
        </w:rPr>
        <w:t>61118 Bad Vilbel</w:t>
      </w:r>
    </w:p>
    <w:p w14:paraId="6F088830" w14:textId="77777777" w:rsidR="00B81DB8" w:rsidRPr="00821AE9" w:rsidRDefault="00B81DB8">
      <w:pPr>
        <w:tabs>
          <w:tab w:val="left" w:pos="708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Nemecko</w:t>
      </w:r>
    </w:p>
    <w:p w14:paraId="355D7D8B" w14:textId="77777777" w:rsidR="00B81DB8" w:rsidRPr="00821AE9" w:rsidRDefault="00B81DB8">
      <w:pPr>
        <w:tabs>
          <w:tab w:val="left" w:pos="708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5EA60ABF" w14:textId="77777777" w:rsidR="00B81DB8" w:rsidRPr="00821AE9" w:rsidRDefault="00B81DB8">
      <w:pPr>
        <w:pStyle w:val="Nadpis2"/>
      </w:pPr>
      <w:r w:rsidRPr="00821AE9">
        <w:t>Výrobca:</w:t>
      </w:r>
    </w:p>
    <w:p w14:paraId="7E6BDFC3" w14:textId="77777777" w:rsidR="00B81DB8" w:rsidRPr="00821AE9" w:rsidRDefault="00B81DB8">
      <w:pPr>
        <w:tabs>
          <w:tab w:val="left" w:pos="708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Actavis Ltd.</w:t>
      </w:r>
      <w:r w:rsidR="004F6B8B" w:rsidRPr="00821AE9">
        <w:rPr>
          <w:sz w:val="22"/>
        </w:rPr>
        <w:t xml:space="preserve">, </w:t>
      </w:r>
      <w:r w:rsidRPr="00821AE9">
        <w:rPr>
          <w:sz w:val="22"/>
        </w:rPr>
        <w:t>BLB 016, Bulebel Industrial Estate</w:t>
      </w:r>
      <w:r w:rsidR="004F6B8B" w:rsidRPr="00821AE9">
        <w:rPr>
          <w:sz w:val="22"/>
        </w:rPr>
        <w:t xml:space="preserve">, </w:t>
      </w:r>
      <w:r w:rsidRPr="00821AE9">
        <w:rPr>
          <w:sz w:val="22"/>
        </w:rPr>
        <w:t>ZTN 3000 Zejtun</w:t>
      </w:r>
      <w:r w:rsidR="004F6B8B" w:rsidRPr="00821AE9">
        <w:rPr>
          <w:sz w:val="22"/>
        </w:rPr>
        <w:t xml:space="preserve">, </w:t>
      </w:r>
      <w:r w:rsidRPr="00821AE9">
        <w:rPr>
          <w:sz w:val="22"/>
        </w:rPr>
        <w:t>Malta</w:t>
      </w:r>
    </w:p>
    <w:p w14:paraId="0B743E38" w14:textId="77777777" w:rsidR="00B81DB8" w:rsidRPr="00821AE9" w:rsidRDefault="00B81DB8" w:rsidP="004F6B8B">
      <w:pPr>
        <w:tabs>
          <w:tab w:val="left" w:pos="708"/>
        </w:tabs>
        <w:rPr>
          <w:sz w:val="22"/>
        </w:rPr>
      </w:pPr>
      <w:r w:rsidRPr="00821AE9">
        <w:rPr>
          <w:sz w:val="22"/>
        </w:rPr>
        <w:t>STADA Arzneimittel AG</w:t>
      </w:r>
      <w:r w:rsidR="004F6B8B" w:rsidRPr="00821AE9">
        <w:rPr>
          <w:sz w:val="22"/>
        </w:rPr>
        <w:t xml:space="preserve">, </w:t>
      </w:r>
      <w:r w:rsidRPr="00821AE9">
        <w:rPr>
          <w:sz w:val="22"/>
        </w:rPr>
        <w:t>Stadastrasse 2-18</w:t>
      </w:r>
      <w:r w:rsidR="004F6B8B" w:rsidRPr="00821AE9">
        <w:rPr>
          <w:sz w:val="22"/>
        </w:rPr>
        <w:t xml:space="preserve">, </w:t>
      </w:r>
      <w:r w:rsidRPr="00821AE9">
        <w:rPr>
          <w:sz w:val="22"/>
        </w:rPr>
        <w:t>61118 Bad Vilbel</w:t>
      </w:r>
      <w:r w:rsidR="004F6B8B" w:rsidRPr="00821AE9">
        <w:rPr>
          <w:sz w:val="22"/>
        </w:rPr>
        <w:t xml:space="preserve">, </w:t>
      </w:r>
      <w:r w:rsidRPr="00821AE9">
        <w:rPr>
          <w:sz w:val="22"/>
        </w:rPr>
        <w:t>Nemecko</w:t>
      </w:r>
    </w:p>
    <w:p w14:paraId="05839FEC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59ACF57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Liek je schválený v členských štátoch Európskeho hospodárskeho priestoru (EHP) pod nasledovnými názvami:</w:t>
      </w:r>
    </w:p>
    <w:p w14:paraId="3F1115B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i/>
          <w:iCs/>
          <w:sz w:val="22"/>
        </w:rPr>
      </w:pPr>
    </w:p>
    <w:p w14:paraId="0D7A2662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Style w:val="shorttext"/>
          <w:sz w:val="22"/>
        </w:rPr>
      </w:pPr>
      <w:r w:rsidRPr="00821AE9">
        <w:rPr>
          <w:rStyle w:val="shorttext"/>
          <w:sz w:val="22"/>
        </w:rPr>
        <w:t>Francúzsko:</w:t>
      </w:r>
      <w:r w:rsidRPr="00821AE9">
        <w:rPr>
          <w:rStyle w:val="shorttext"/>
          <w:sz w:val="22"/>
        </w:rPr>
        <w:tab/>
      </w:r>
      <w:r w:rsidRPr="00821AE9">
        <w:rPr>
          <w:rStyle w:val="shorttext"/>
          <w:sz w:val="22"/>
        </w:rPr>
        <w:tab/>
        <w:t xml:space="preserve">PERINDOPRIL TERT-BUTYLAMINE/AMLODIPINE EG 4 mg/5 mg </w:t>
      </w:r>
    </w:p>
    <w:p w14:paraId="221F337A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Style w:val="shorttext"/>
          <w:sz w:val="22"/>
        </w:rPr>
      </w:pPr>
      <w:r w:rsidRPr="00821AE9">
        <w:rPr>
          <w:rStyle w:val="shorttext"/>
          <w:sz w:val="22"/>
        </w:rPr>
        <w:tab/>
      </w:r>
      <w:r w:rsidRPr="00821AE9">
        <w:rPr>
          <w:rStyle w:val="shorttext"/>
          <w:sz w:val="22"/>
        </w:rPr>
        <w:tab/>
        <w:t>(4 mg/10 mg, 8 mg/5 mg, 8 mg/10 mg), comprimé</w:t>
      </w:r>
    </w:p>
    <w:p w14:paraId="220699CD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Slovensko</w:t>
      </w:r>
      <w:r w:rsidRPr="00821AE9">
        <w:rPr>
          <w:rStyle w:val="shorttext"/>
          <w:sz w:val="22"/>
        </w:rPr>
        <w:t>:</w:t>
      </w:r>
      <w:r w:rsidRPr="00821AE9">
        <w:rPr>
          <w:rStyle w:val="shorttext"/>
          <w:sz w:val="22"/>
        </w:rPr>
        <w:tab/>
      </w:r>
      <w:r w:rsidRPr="00821AE9">
        <w:rPr>
          <w:rStyle w:val="shorttext"/>
          <w:sz w:val="22"/>
        </w:rPr>
        <w:tab/>
        <w:t>Perindamlostad 4 mg/5 mg (4 mg/10 mg, 8 mg/5 mg, 8 mg/10 mg) tablety</w:t>
      </w:r>
    </w:p>
    <w:p w14:paraId="72471613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sz w:val="22"/>
        </w:rPr>
        <w:t>Taliansko:</w:t>
      </w:r>
      <w:r w:rsidRPr="00821AE9">
        <w:rPr>
          <w:sz w:val="22"/>
        </w:rPr>
        <w:tab/>
      </w:r>
      <w:r w:rsidRPr="00821AE9">
        <w:rPr>
          <w:sz w:val="22"/>
        </w:rPr>
        <w:tab/>
        <w:t>Perindopril e Amlodipina Eurogenerici</w:t>
      </w:r>
    </w:p>
    <w:p w14:paraId="58A77186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2ABB1825" w14:textId="5428D69E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  <w:r w:rsidRPr="00821AE9">
        <w:rPr>
          <w:b/>
          <w:bCs/>
          <w:sz w:val="22"/>
        </w:rPr>
        <w:t>Táto písomná informácia bola naposledy aktualizovaná v</w:t>
      </w:r>
      <w:r w:rsidR="00212920">
        <w:rPr>
          <w:b/>
          <w:bCs/>
          <w:sz w:val="22"/>
        </w:rPr>
        <w:t> januári 2021</w:t>
      </w:r>
      <w:r w:rsidR="0088087A">
        <w:rPr>
          <w:b/>
          <w:bCs/>
          <w:sz w:val="22"/>
        </w:rPr>
        <w:t>.</w:t>
      </w:r>
    </w:p>
    <w:p w14:paraId="6699FD95" w14:textId="77777777" w:rsidR="00B81DB8" w:rsidRPr="00821AE9" w:rsidRDefault="00B81DB8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sz w:val="22"/>
        </w:rPr>
      </w:pPr>
    </w:p>
    <w:p w14:paraId="3CA23B89" w14:textId="77777777" w:rsidR="00B81DB8" w:rsidRPr="00821AE9" w:rsidRDefault="00B81DB8">
      <w:pPr>
        <w:rPr>
          <w:sz w:val="22"/>
        </w:rPr>
      </w:pPr>
    </w:p>
    <w:sectPr w:rsidR="00B81DB8" w:rsidRPr="00821AE9" w:rsidSect="005B7B8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41F7" w14:textId="77777777" w:rsidR="00A66E6E" w:rsidRDefault="00A66E6E">
      <w:r>
        <w:separator/>
      </w:r>
    </w:p>
  </w:endnote>
  <w:endnote w:type="continuationSeparator" w:id="0">
    <w:p w14:paraId="53FA3573" w14:textId="77777777" w:rsidR="00A66E6E" w:rsidRDefault="00A6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F1D3" w14:textId="124537EC" w:rsidR="00B81DB8" w:rsidRPr="005B7B85" w:rsidRDefault="00B81DB8">
    <w:pPr>
      <w:pStyle w:val="Pta"/>
      <w:tabs>
        <w:tab w:val="clear" w:pos="8930"/>
        <w:tab w:val="right" w:pos="8931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ind w:right="96"/>
      <w:jc w:val="center"/>
      <w:rPr>
        <w:rStyle w:val="slostrany"/>
        <w:rFonts w:ascii="Times New Roman" w:hAnsi="Times New Roman"/>
        <w:sz w:val="18"/>
        <w:szCs w:val="18"/>
      </w:rPr>
    </w:pPr>
    <w:r w:rsidRPr="005B7B85">
      <w:rPr>
        <w:rStyle w:val="slostrany"/>
        <w:rFonts w:ascii="Times New Roman" w:hAnsi="Times New Roman"/>
        <w:sz w:val="18"/>
        <w:szCs w:val="18"/>
      </w:rPr>
      <w:fldChar w:fldCharType="begin"/>
    </w:r>
    <w:r w:rsidRPr="005B7B85">
      <w:rPr>
        <w:rStyle w:val="slostrany"/>
        <w:rFonts w:ascii="Times New Roman" w:hAnsi="Times New Roman"/>
        <w:sz w:val="18"/>
        <w:szCs w:val="18"/>
      </w:rPr>
      <w:instrText xml:space="preserve"> PAGE \* Arabic </w:instrText>
    </w:r>
    <w:r w:rsidRPr="005B7B85">
      <w:rPr>
        <w:rStyle w:val="slostrany"/>
        <w:rFonts w:ascii="Times New Roman" w:hAnsi="Times New Roman"/>
        <w:sz w:val="18"/>
        <w:szCs w:val="18"/>
      </w:rPr>
      <w:fldChar w:fldCharType="separate"/>
    </w:r>
    <w:r w:rsidR="00A66E6E">
      <w:rPr>
        <w:rStyle w:val="slostrany"/>
        <w:rFonts w:ascii="Times New Roman" w:hAnsi="Times New Roman"/>
        <w:noProof/>
        <w:sz w:val="18"/>
        <w:szCs w:val="18"/>
      </w:rPr>
      <w:t>1</w:t>
    </w:r>
    <w:r w:rsidRPr="005B7B8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DC0F" w14:textId="77777777" w:rsidR="00B81DB8" w:rsidRDefault="00B81DB8">
    <w:pPr>
      <w:pStyle w:val="Pta"/>
      <w:tabs>
        <w:tab w:val="clear" w:pos="8930"/>
        <w:tab w:val="right" w:pos="8931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ind w:right="96"/>
      <w:jc w:val="center"/>
      <w:rPr>
        <w:rStyle w:val="slostrany"/>
        <w:rFonts w:ascii="Times New Roman" w:hAnsi="Times New Roman"/>
        <w:sz w:val="18"/>
        <w:szCs w:val="18"/>
      </w:rPr>
    </w:pPr>
    <w:r>
      <w:rPr>
        <w:rStyle w:val="slostrany"/>
        <w:rFonts w:ascii="Times New Roman" w:hAnsi="Times New Roman"/>
        <w:sz w:val="18"/>
        <w:szCs w:val="18"/>
      </w:rPr>
      <w:fldChar w:fldCharType="begin"/>
    </w:r>
    <w:r>
      <w:rPr>
        <w:rStyle w:val="slostrany"/>
        <w:rFonts w:ascii="Times New Roman" w:hAnsi="Times New Roman"/>
        <w:sz w:val="18"/>
        <w:szCs w:val="18"/>
      </w:rPr>
      <w:instrText xml:space="preserve"> PAGE \* Arabic </w:instrText>
    </w:r>
    <w:r>
      <w:rPr>
        <w:rStyle w:val="slostrany"/>
        <w:rFonts w:ascii="Times New Roman" w:hAnsi="Times New Roman"/>
        <w:sz w:val="18"/>
        <w:szCs w:val="18"/>
      </w:rPr>
      <w:fldChar w:fldCharType="separate"/>
    </w:r>
    <w:r w:rsidR="00452B07">
      <w:rPr>
        <w:rStyle w:val="slostrany"/>
        <w:rFonts w:ascii="Times New Roman" w:hAnsi="Times New Roman"/>
        <w:noProof/>
        <w:sz w:val="18"/>
        <w:szCs w:val="18"/>
      </w:rPr>
      <w:t>1</w:t>
    </w:r>
    <w:r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16FA4" w14:textId="77777777" w:rsidR="00A66E6E" w:rsidRDefault="00A66E6E">
      <w:r>
        <w:separator/>
      </w:r>
    </w:p>
  </w:footnote>
  <w:footnote w:type="continuationSeparator" w:id="0">
    <w:p w14:paraId="0E32A6F6" w14:textId="77777777" w:rsidR="00A66E6E" w:rsidRDefault="00A6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C9588" w14:textId="21FD715E" w:rsidR="00C15F07" w:rsidRDefault="002C0611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 notifikácii o zmene, ev. č.: </w:t>
    </w:r>
    <w:r w:rsidR="004A4AE0">
      <w:rPr>
        <w:rFonts w:ascii="Times New Roman" w:hAnsi="Times New Roman"/>
        <w:sz w:val="18"/>
        <w:szCs w:val="18"/>
      </w:rPr>
      <w:t>2020/05960-Z1A</w:t>
    </w:r>
  </w:p>
  <w:p w14:paraId="0C013848" w14:textId="3C24337B" w:rsidR="00452B07" w:rsidRDefault="00452B07">
    <w:pPr>
      <w:pStyle w:val="Hlavika"/>
      <w:rPr>
        <w:rFonts w:ascii="Times New Roman" w:hAnsi="Times New Roman"/>
        <w:sz w:val="18"/>
        <w:szCs w:val="18"/>
      </w:rPr>
    </w:pPr>
  </w:p>
  <w:p w14:paraId="53D7C0B0" w14:textId="77777777" w:rsidR="002520FB" w:rsidRPr="005B7B85" w:rsidRDefault="002520FB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12C4F" w14:textId="77777777" w:rsidR="00B81DB8" w:rsidRDefault="00205EB7">
    <w:pPr>
      <w:pStyle w:val="Hlavika"/>
      <w:tabs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2017/0</w:t>
    </w:r>
    <w:r w:rsidR="00151796">
      <w:rPr>
        <w:rFonts w:ascii="Times New Roman" w:hAnsi="Times New Roman"/>
        <w:sz w:val="18"/>
        <w:szCs w:val="18"/>
      </w:rPr>
      <w:t>5675-Z1B</w:t>
    </w:r>
  </w:p>
  <w:p w14:paraId="4CBDD021" w14:textId="77777777" w:rsidR="00151796" w:rsidRDefault="00151796">
    <w:pPr>
      <w:pStyle w:val="Hlavika"/>
      <w:tabs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2018/0</w:t>
    </w:r>
    <w:r w:rsidR="00BF7A8C">
      <w:rPr>
        <w:rFonts w:ascii="Times New Roman" w:hAnsi="Times New Roman"/>
        <w:sz w:val="18"/>
        <w:szCs w:val="18"/>
      </w:rPr>
      <w:t>0224-Z1B</w:t>
    </w:r>
  </w:p>
  <w:p w14:paraId="28E65E87" w14:textId="77777777" w:rsidR="00FF56FB" w:rsidRDefault="00FF56FB" w:rsidP="00FF56FB">
    <w:pPr>
      <w:pStyle w:val="Hlavika"/>
      <w:tabs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2019/</w:t>
    </w:r>
    <w:r w:rsidR="00C15F07">
      <w:rPr>
        <w:rFonts w:ascii="Times New Roman" w:hAnsi="Times New Roman"/>
        <w:sz w:val="18"/>
        <w:szCs w:val="18"/>
      </w:rPr>
      <w:t>01761-Z1B</w:t>
    </w:r>
  </w:p>
  <w:p w14:paraId="28C52109" w14:textId="77777777" w:rsidR="00FF56FB" w:rsidRDefault="00FF56FB">
    <w:pPr>
      <w:pStyle w:val="Hlavika"/>
      <w:tabs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rPr>
        <w:rFonts w:ascii="Times New Roman" w:hAnsi="Times New Roman"/>
        <w:sz w:val="18"/>
        <w:szCs w:val="18"/>
      </w:rPr>
    </w:pPr>
  </w:p>
  <w:p w14:paraId="2D910E64" w14:textId="77777777" w:rsidR="00205EB7" w:rsidRDefault="00205EB7">
    <w:pPr>
      <w:pStyle w:val="Hlavika"/>
      <w:tabs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</w:tabs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"/>
      <w:lvlJc w:val="left"/>
      <w:pPr>
        <w:ind w:left="284" w:hanging="284"/>
      </w:pPr>
    </w:lvl>
    <w:lvl w:ilvl="1">
      <w:start w:val="1"/>
      <w:numFmt w:val="upperRoman"/>
      <w:lvlText w:val="%1%2"/>
      <w:lvlJc w:val="left"/>
      <w:pPr>
        <w:ind w:left="644" w:hanging="284"/>
      </w:pPr>
    </w:lvl>
    <w:lvl w:ilvl="2">
      <w:start w:val="1"/>
      <w:numFmt w:val="upperRoman"/>
      <w:lvlText w:val="%1%2%3"/>
      <w:lvlJc w:val="left"/>
      <w:pPr>
        <w:ind w:left="1004" w:hanging="284"/>
      </w:pPr>
    </w:lvl>
    <w:lvl w:ilvl="3">
      <w:start w:val="1"/>
      <w:numFmt w:val="upperRoman"/>
      <w:lvlText w:val="%1%2%3%4"/>
      <w:lvlJc w:val="left"/>
      <w:pPr>
        <w:ind w:left="1364" w:hanging="284"/>
      </w:pPr>
    </w:lvl>
    <w:lvl w:ilvl="4">
      <w:start w:val="1"/>
      <w:numFmt w:val="upperRoman"/>
      <w:lvlText w:val="%1%2%3%4%5"/>
      <w:lvlJc w:val="left"/>
      <w:pPr>
        <w:ind w:left="1724" w:hanging="284"/>
      </w:pPr>
    </w:lvl>
    <w:lvl w:ilvl="5">
      <w:start w:val="1"/>
      <w:numFmt w:val="upperRoman"/>
      <w:lvlText w:val="%1%2%3%4%5%6"/>
      <w:lvlJc w:val="left"/>
      <w:pPr>
        <w:ind w:left="2084" w:hanging="284"/>
      </w:pPr>
    </w:lvl>
    <w:lvl w:ilvl="6">
      <w:start w:val="1"/>
      <w:numFmt w:val="upperRoman"/>
      <w:lvlText w:val="%1%2%3%4%5%6%7"/>
      <w:lvlJc w:val="left"/>
      <w:pPr>
        <w:ind w:left="2444" w:hanging="284"/>
      </w:pPr>
    </w:lvl>
    <w:lvl w:ilvl="7">
      <w:start w:val="1"/>
      <w:numFmt w:val="upperRoman"/>
      <w:lvlText w:val="%1%2%3%4%5%6%7%8"/>
      <w:lvlJc w:val="left"/>
      <w:pPr>
        <w:ind w:left="2804" w:hanging="284"/>
      </w:pPr>
    </w:lvl>
    <w:lvl w:ilvl="8">
      <w:start w:val="1"/>
      <w:numFmt w:val="upperRoman"/>
      <w:lvlText w:val="%1%2%3%4%5%6%7%8%9"/>
      <w:lvlJc w:val="left"/>
      <w:pPr>
        <w:ind w:left="3164" w:hanging="2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.%2"/>
      <w:lvlJc w:val="left"/>
      <w:pPr>
        <w:ind w:left="709" w:hanging="425"/>
      </w:pPr>
    </w:lvl>
    <w:lvl w:ilvl="2">
      <w:start w:val="1"/>
      <w:numFmt w:val="decimal"/>
      <w:lvlText w:val="%1..%2.%3"/>
      <w:lvlJc w:val="left"/>
      <w:pPr>
        <w:ind w:left="1069" w:hanging="425"/>
      </w:pPr>
    </w:lvl>
    <w:lvl w:ilvl="3">
      <w:start w:val="1"/>
      <w:numFmt w:val="decimal"/>
      <w:lvlText w:val="%1..%2.%3.%4"/>
      <w:lvlJc w:val="left"/>
      <w:pPr>
        <w:ind w:left="1429" w:hanging="425"/>
      </w:pPr>
    </w:lvl>
    <w:lvl w:ilvl="4">
      <w:start w:val="1"/>
      <w:numFmt w:val="decimal"/>
      <w:lvlText w:val="%1..%2.%3.%4.%5"/>
      <w:lvlJc w:val="left"/>
      <w:pPr>
        <w:ind w:left="1789" w:hanging="425"/>
      </w:pPr>
    </w:lvl>
    <w:lvl w:ilvl="5">
      <w:start w:val="1"/>
      <w:numFmt w:val="decimal"/>
      <w:lvlText w:val="%1..%2.%3.%4.%5.%6"/>
      <w:lvlJc w:val="left"/>
      <w:pPr>
        <w:ind w:left="2149" w:hanging="425"/>
      </w:pPr>
    </w:lvl>
    <w:lvl w:ilvl="6">
      <w:start w:val="1"/>
      <w:numFmt w:val="decimal"/>
      <w:lvlText w:val="%1..%2.%3.%4.%5.%6.%7"/>
      <w:lvlJc w:val="left"/>
      <w:pPr>
        <w:ind w:left="2509" w:hanging="425"/>
      </w:pPr>
    </w:lvl>
    <w:lvl w:ilvl="7">
      <w:start w:val="1"/>
      <w:numFmt w:val="decimal"/>
      <w:lvlText w:val="%1..%2.%3.%4.%5.%6.%7.%8"/>
      <w:lvlJc w:val="left"/>
      <w:pPr>
        <w:ind w:left="2869" w:hanging="425"/>
      </w:pPr>
    </w:lvl>
    <w:lvl w:ilvl="8">
      <w:start w:val="1"/>
      <w:numFmt w:val="decimal"/>
      <w:lvlText w:val="%1..%2.%3.%4.%5.%6.%7.%8.%9"/>
      <w:lvlJc w:val="left"/>
      <w:pPr>
        <w:ind w:left="3229" w:hanging="425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916" w:hanging="567"/>
      </w:pPr>
    </w:lvl>
    <w:lvl w:ilvl="2">
      <w:start w:val="1"/>
      <w:numFmt w:val="decimal"/>
      <w:lvlText w:val="%1.%2..%3"/>
      <w:lvlJc w:val="left"/>
      <w:pPr>
        <w:ind w:left="1276" w:hanging="567"/>
      </w:pPr>
    </w:lvl>
    <w:lvl w:ilvl="3">
      <w:start w:val="1"/>
      <w:numFmt w:val="decimal"/>
      <w:lvlText w:val="%1.%2..%3.%4"/>
      <w:lvlJc w:val="left"/>
      <w:pPr>
        <w:ind w:left="1636" w:hanging="567"/>
      </w:pPr>
    </w:lvl>
    <w:lvl w:ilvl="4">
      <w:start w:val="1"/>
      <w:numFmt w:val="decimal"/>
      <w:lvlText w:val="%1.%2..%3.%4.%5"/>
      <w:lvlJc w:val="left"/>
      <w:pPr>
        <w:ind w:left="1996" w:hanging="567"/>
      </w:pPr>
    </w:lvl>
    <w:lvl w:ilvl="5">
      <w:start w:val="1"/>
      <w:numFmt w:val="decimal"/>
      <w:lvlText w:val="%1.%2..%3.%4.%5.%6"/>
      <w:lvlJc w:val="left"/>
      <w:pPr>
        <w:ind w:left="2356" w:hanging="567"/>
      </w:pPr>
    </w:lvl>
    <w:lvl w:ilvl="6">
      <w:start w:val="1"/>
      <w:numFmt w:val="decimal"/>
      <w:lvlText w:val="%1.%2..%3.%4.%5.%6.%7"/>
      <w:lvlJc w:val="left"/>
      <w:pPr>
        <w:ind w:left="2716" w:hanging="567"/>
      </w:pPr>
    </w:lvl>
    <w:lvl w:ilvl="7">
      <w:start w:val="1"/>
      <w:numFmt w:val="decimal"/>
      <w:lvlText w:val="%1.%2..%3.%4.%5.%6.%7.%8"/>
      <w:lvlJc w:val="left"/>
      <w:pPr>
        <w:ind w:left="3076" w:hanging="567"/>
      </w:pPr>
    </w:lvl>
    <w:lvl w:ilvl="8">
      <w:start w:val="1"/>
      <w:numFmt w:val="decimal"/>
      <w:lvlText w:val="%1.%2..%3.%4.%5.%6.%7.%8.%9"/>
      <w:lvlJc w:val="left"/>
      <w:pPr>
        <w:ind w:left="3436" w:hanging="567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567" w:hanging="567"/>
      </w:pPr>
    </w:lvl>
    <w:lvl w:ilvl="2">
      <w:start w:val="1"/>
      <w:numFmt w:val="lowerLetter"/>
      <w:lvlText w:val="%3."/>
      <w:lvlJc w:val="left"/>
      <w:pPr>
        <w:ind w:left="916" w:hanging="567"/>
      </w:pPr>
    </w:lvl>
    <w:lvl w:ilvl="3">
      <w:start w:val="1"/>
      <w:numFmt w:val="lowerLetter"/>
      <w:lvlText w:val="%4)"/>
      <w:lvlJc w:val="left"/>
      <w:pPr>
        <w:ind w:left="1276" w:hanging="567"/>
      </w:pPr>
    </w:lvl>
    <w:lvl w:ilvl="4">
      <w:start w:val="1"/>
      <w:numFmt w:val="lowerLetter"/>
      <w:lvlText w:val="%5)"/>
      <w:lvlJc w:val="left"/>
      <w:pPr>
        <w:ind w:left="1636" w:hanging="567"/>
      </w:pPr>
    </w:lvl>
    <w:lvl w:ilvl="5">
      <w:start w:val="1"/>
      <w:numFmt w:val="lowerLetter"/>
      <w:lvlText w:val="%6)"/>
      <w:lvlJc w:val="left"/>
      <w:pPr>
        <w:ind w:left="1996" w:hanging="567"/>
      </w:pPr>
    </w:lvl>
    <w:lvl w:ilvl="6">
      <w:start w:val="1"/>
      <w:numFmt w:val="lowerLetter"/>
      <w:lvlText w:val="%7)"/>
      <w:lvlJc w:val="left"/>
      <w:pPr>
        <w:ind w:left="2356" w:hanging="567"/>
      </w:pPr>
    </w:lvl>
    <w:lvl w:ilvl="7">
      <w:start w:val="1"/>
      <w:numFmt w:val="lowerLetter"/>
      <w:lvlText w:val="%8)"/>
      <w:lvlJc w:val="left"/>
      <w:pPr>
        <w:ind w:left="2716" w:hanging="567"/>
      </w:pPr>
    </w:lvl>
    <w:lvl w:ilvl="8">
      <w:start w:val="1"/>
      <w:numFmt w:val="lowerLetter"/>
      <w:lvlText w:val="%9)"/>
      <w:lvlJc w:val="left"/>
      <w:pPr>
        <w:ind w:left="3076" w:hanging="567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621" w:hanging="425"/>
      </w:pPr>
    </w:lvl>
    <w:lvl w:ilvl="2">
      <w:start w:val="1"/>
      <w:numFmt w:val="lowerLetter"/>
      <w:lvlText w:val="%3."/>
      <w:lvlJc w:val="left"/>
      <w:pPr>
        <w:ind w:left="981" w:hanging="425"/>
      </w:pPr>
    </w:lvl>
    <w:lvl w:ilvl="3">
      <w:start w:val="1"/>
      <w:numFmt w:val="lowerLetter"/>
      <w:lvlText w:val="%4."/>
      <w:lvlJc w:val="left"/>
      <w:pPr>
        <w:ind w:left="1341" w:hanging="425"/>
      </w:pPr>
    </w:lvl>
    <w:lvl w:ilvl="4">
      <w:start w:val="1"/>
      <w:numFmt w:val="lowerLetter"/>
      <w:lvlText w:val="%5)"/>
      <w:lvlJc w:val="left"/>
      <w:pPr>
        <w:ind w:left="1701" w:hanging="425"/>
      </w:pPr>
    </w:lvl>
    <w:lvl w:ilvl="5">
      <w:start w:val="1"/>
      <w:numFmt w:val="lowerLetter"/>
      <w:lvlText w:val="%6)"/>
      <w:lvlJc w:val="left"/>
      <w:pPr>
        <w:ind w:left="2061" w:hanging="425"/>
      </w:pPr>
    </w:lvl>
    <w:lvl w:ilvl="6">
      <w:start w:val="1"/>
      <w:numFmt w:val="lowerLetter"/>
      <w:lvlText w:val="%7)"/>
      <w:lvlJc w:val="left"/>
      <w:pPr>
        <w:ind w:left="2421" w:hanging="425"/>
      </w:pPr>
    </w:lvl>
    <w:lvl w:ilvl="7">
      <w:start w:val="1"/>
      <w:numFmt w:val="lowerLetter"/>
      <w:lvlText w:val="%8)"/>
      <w:lvlJc w:val="left"/>
      <w:pPr>
        <w:ind w:left="2781" w:hanging="425"/>
      </w:pPr>
    </w:lvl>
    <w:lvl w:ilvl="8">
      <w:start w:val="1"/>
      <w:numFmt w:val="lowerLetter"/>
      <w:lvlText w:val="%9)"/>
      <w:lvlJc w:val="left"/>
      <w:pPr>
        <w:ind w:left="3141" w:hanging="425"/>
      </w:pPr>
    </w:lvl>
  </w:abstractNum>
  <w:abstractNum w:abstractNumId="5" w15:restartNumberingAfterBreak="0">
    <w:nsid w:val="00000006"/>
    <w:multiLevelType w:val="multilevel"/>
    <w:tmpl w:val="4486590E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pPr>
        <w:ind w:left="92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pPr>
        <w:ind w:left="128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pPr>
        <w:ind w:left="164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pPr>
        <w:ind w:left="200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pPr>
        <w:ind w:left="236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pPr>
        <w:ind w:left="272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pPr>
        <w:ind w:left="308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pPr>
        <w:ind w:left="344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92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28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64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00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36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72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08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447" w:hanging="567"/>
      </w:pPr>
      <w:rPr>
        <w:rFonts w:ascii="Times New Roman" w:hAnsi="Times New Roman" w:cs="Times New Roman"/>
        <w:b w:val="0"/>
        <w:i w:val="0"/>
        <w:strike w:val="0"/>
        <w:color w:val="auto"/>
        <w:sz w:val="22"/>
        <w:szCs w:val="22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93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29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65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01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37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73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09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45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."/>
      <w:lvlJc w:val="left"/>
      <w:pPr>
        <w:ind w:left="57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93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2">
      <w:start w:val="2"/>
      <w:numFmt w:val="decimal"/>
      <w:lvlText w:val="%3."/>
      <w:lvlJc w:val="left"/>
      <w:pPr>
        <w:ind w:left="129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3">
      <w:start w:val="2"/>
      <w:numFmt w:val="decimal"/>
      <w:lvlText w:val="%4."/>
      <w:lvlJc w:val="left"/>
      <w:pPr>
        <w:ind w:left="165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4">
      <w:start w:val="2"/>
      <w:numFmt w:val="decimal"/>
      <w:lvlText w:val="%5."/>
      <w:lvlJc w:val="left"/>
      <w:pPr>
        <w:ind w:left="201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5">
      <w:start w:val="2"/>
      <w:numFmt w:val="decimal"/>
      <w:lvlText w:val="%6."/>
      <w:lvlJc w:val="left"/>
      <w:pPr>
        <w:ind w:left="237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6">
      <w:start w:val="2"/>
      <w:numFmt w:val="decimal"/>
      <w:lvlText w:val="%7."/>
      <w:lvlJc w:val="left"/>
      <w:pPr>
        <w:ind w:left="273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7">
      <w:start w:val="2"/>
      <w:numFmt w:val="decimal"/>
      <w:lvlText w:val="%8."/>
      <w:lvlJc w:val="left"/>
      <w:pPr>
        <w:ind w:left="309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  <w:lvl w:ilvl="8">
      <w:start w:val="2"/>
      <w:numFmt w:val="decimal"/>
      <w:lvlText w:val="%9."/>
      <w:lvlJc w:val="left"/>
      <w:pPr>
        <w:ind w:left="3450" w:hanging="570"/>
      </w:pPr>
      <w:rPr>
        <w:rFonts w:ascii="Times New Roman" w:hAnsi="Times New Roman" w:cs="Times New Roman"/>
        <w:b/>
        <w:i w:val="0"/>
        <w:strike w:val="0"/>
        <w:color w:val="auto"/>
        <w:sz w:val="22"/>
        <w:szCs w:val="22"/>
        <w:u w:val="none"/>
      </w:rPr>
    </w:lvl>
  </w:abstractNum>
  <w:abstractNum w:abstractNumId="9" w15:restartNumberingAfterBreak="0">
    <w:nsid w:val="004348BA"/>
    <w:multiLevelType w:val="hybridMultilevel"/>
    <w:tmpl w:val="2D5217C2"/>
    <w:lvl w:ilvl="0" w:tplc="7D06BA0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36E79AE"/>
    <w:multiLevelType w:val="hybridMultilevel"/>
    <w:tmpl w:val="9D24EDE2"/>
    <w:lvl w:ilvl="0" w:tplc="4F3AF9C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5A24C6C"/>
    <w:multiLevelType w:val="hybridMultilevel"/>
    <w:tmpl w:val="B8E6D8C8"/>
    <w:lvl w:ilvl="0" w:tplc="80862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FC"/>
    <w:multiLevelType w:val="multilevel"/>
    <w:tmpl w:val="A202D9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pPr>
        <w:ind w:left="92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pPr>
        <w:ind w:left="128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pPr>
        <w:ind w:left="164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pPr>
        <w:ind w:left="200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pPr>
        <w:ind w:left="236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pPr>
        <w:ind w:left="272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pPr>
        <w:ind w:left="308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pPr>
        <w:ind w:left="344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</w:abstractNum>
  <w:abstractNum w:abstractNumId="13" w15:restartNumberingAfterBreak="0">
    <w:nsid w:val="6D010306"/>
    <w:multiLevelType w:val="hybridMultilevel"/>
    <w:tmpl w:val="09B4AA46"/>
    <w:lvl w:ilvl="0" w:tplc="220EF996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 w:val="0"/>
      </w:rPr>
    </w:lvl>
    <w:lvl w:ilvl="1" w:tplc="7A44E1D4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5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Times New Roman" w:hint="default"/>
          <w:b w:val="0"/>
          <w:i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92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8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64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00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36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72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08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44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92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8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64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00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36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72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08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447" w:hanging="567"/>
        </w:pPr>
        <w:rPr>
          <w:rFonts w:ascii="Symbol" w:hAnsi="Symbol" w:cs="Times New Roman" w:hint="default"/>
          <w:b w:val="0"/>
          <w:i w:val="0"/>
          <w:strike w:val="0"/>
          <w:color w:val="auto"/>
          <w:sz w:val="22"/>
          <w:szCs w:val="22"/>
          <w:u w:val="none"/>
        </w:r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8"/>
    <w:rsid w:val="00052AEF"/>
    <w:rsid w:val="00110BA0"/>
    <w:rsid w:val="00122798"/>
    <w:rsid w:val="00151796"/>
    <w:rsid w:val="0016016C"/>
    <w:rsid w:val="001677B8"/>
    <w:rsid w:val="001C355B"/>
    <w:rsid w:val="00205EB7"/>
    <w:rsid w:val="00212920"/>
    <w:rsid w:val="002520FB"/>
    <w:rsid w:val="002A198C"/>
    <w:rsid w:val="002C0611"/>
    <w:rsid w:val="00307589"/>
    <w:rsid w:val="00335E7E"/>
    <w:rsid w:val="004022C9"/>
    <w:rsid w:val="004346D5"/>
    <w:rsid w:val="00452B07"/>
    <w:rsid w:val="004A4AE0"/>
    <w:rsid w:val="004B549B"/>
    <w:rsid w:val="004C517D"/>
    <w:rsid w:val="004F4BCC"/>
    <w:rsid w:val="004F6B8B"/>
    <w:rsid w:val="00517CBD"/>
    <w:rsid w:val="00520853"/>
    <w:rsid w:val="0055452B"/>
    <w:rsid w:val="005A3265"/>
    <w:rsid w:val="005B7B85"/>
    <w:rsid w:val="005E3B3A"/>
    <w:rsid w:val="005E4C98"/>
    <w:rsid w:val="00616A62"/>
    <w:rsid w:val="006862ED"/>
    <w:rsid w:val="006A40BF"/>
    <w:rsid w:val="006C64D2"/>
    <w:rsid w:val="006D193B"/>
    <w:rsid w:val="006D2936"/>
    <w:rsid w:val="00743BD0"/>
    <w:rsid w:val="007D185A"/>
    <w:rsid w:val="00821AE9"/>
    <w:rsid w:val="008229EA"/>
    <w:rsid w:val="0088087A"/>
    <w:rsid w:val="008D785F"/>
    <w:rsid w:val="008F1184"/>
    <w:rsid w:val="009869FF"/>
    <w:rsid w:val="009B19F6"/>
    <w:rsid w:val="009E256A"/>
    <w:rsid w:val="00A0677C"/>
    <w:rsid w:val="00A40C3B"/>
    <w:rsid w:val="00A66E6E"/>
    <w:rsid w:val="00AD7A2B"/>
    <w:rsid w:val="00B1467C"/>
    <w:rsid w:val="00B81DB8"/>
    <w:rsid w:val="00BF6D46"/>
    <w:rsid w:val="00BF7A8C"/>
    <w:rsid w:val="00C15F07"/>
    <w:rsid w:val="00C20E31"/>
    <w:rsid w:val="00CA0630"/>
    <w:rsid w:val="00CE6784"/>
    <w:rsid w:val="00D4711C"/>
    <w:rsid w:val="00D8110C"/>
    <w:rsid w:val="00DC24AD"/>
    <w:rsid w:val="00DD26D9"/>
    <w:rsid w:val="00DE25B9"/>
    <w:rsid w:val="00E413D9"/>
    <w:rsid w:val="00E6007B"/>
    <w:rsid w:val="00E629AC"/>
    <w:rsid w:val="00EA7D8A"/>
    <w:rsid w:val="00ED71E1"/>
    <w:rsid w:val="00EF6ABC"/>
    <w:rsid w:val="00F24CCB"/>
    <w:rsid w:val="00FB7DBE"/>
    <w:rsid w:val="00FE669D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8EABB"/>
  <w15:docId w15:val="{5B0AF9A3-BAE0-4C3B-B9B0-4ACD3EE4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tabs>
        <w:tab w:val="center" w:pos="4537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</w:tabs>
      <w:spacing w:line="276" w:lineRule="auto"/>
      <w:outlineLvl w:val="1"/>
    </w:pPr>
    <w:rPr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</w:pPr>
    <w:rPr>
      <w:sz w:val="22"/>
    </w:rPr>
  </w:style>
  <w:style w:type="paragraph" w:styleId="Zkladntext2">
    <w:name w:val="Body Text 2"/>
    <w:basedOn w:val="Normlny"/>
    <w:semiHidden/>
    <w:rPr>
      <w:rFonts w:eastAsia="TimesNewRoman"/>
      <w:color w:val="000000"/>
      <w:sz w:val="22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shorttext">
    <w:name w:val="short_text"/>
    <w:basedOn w:val="Predvolenpsmoodseku"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autoSpaceDE w:val="0"/>
      <w:autoSpaceDN w:val="0"/>
      <w:adjustRightInd w:val="0"/>
    </w:pPr>
    <w:rPr>
      <w:rFonts w:ascii="Helvetica" w:hAnsi="Helvetica"/>
      <w:sz w:val="16"/>
      <w:szCs w:val="16"/>
    </w:rPr>
  </w:style>
  <w:style w:type="paragraph" w:styleId="Hlavika">
    <w:name w:val="header"/>
    <w:basedOn w:val="Normlny"/>
    <w:link w:val="HlavikaChar"/>
    <w:semiHidden/>
    <w:pPr>
      <w:tabs>
        <w:tab w:val="left" w:pos="567"/>
        <w:tab w:val="center" w:pos="4153"/>
        <w:tab w:val="right" w:pos="8306"/>
      </w:tabs>
      <w:autoSpaceDE w:val="0"/>
      <w:autoSpaceDN w:val="0"/>
      <w:adjustRightInd w:val="0"/>
    </w:pPr>
    <w:rPr>
      <w:rFonts w:ascii="Helvetica" w:hAnsi="Helvetic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4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40BF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B14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6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67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67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1467C"/>
    <w:rPr>
      <w:b/>
      <w:bCs/>
    </w:rPr>
  </w:style>
  <w:style w:type="paragraph" w:styleId="Revzia">
    <w:name w:val="Revision"/>
    <w:hidden/>
    <w:uiPriority w:val="99"/>
    <w:semiHidden/>
    <w:rsid w:val="00FF56FB"/>
    <w:rPr>
      <w:sz w:val="24"/>
      <w:szCs w:val="24"/>
    </w:rPr>
  </w:style>
  <w:style w:type="character" w:customStyle="1" w:styleId="HlavikaChar">
    <w:name w:val="Hlavička Char"/>
    <w:link w:val="Hlavika"/>
    <w:semiHidden/>
    <w:rsid w:val="00452B07"/>
    <w:rPr>
      <w:rFonts w:ascii="Helvetica" w:hAnsi="Helvetica"/>
    </w:rPr>
  </w:style>
  <w:style w:type="character" w:customStyle="1" w:styleId="TextChar1">
    <w:name w:val="Text Char1"/>
    <w:link w:val="Text"/>
    <w:locked/>
    <w:rsid w:val="005B7B85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5B7B85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3086</Words>
  <Characters>17595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</Company>
  <LinksUpToDate>false</LinksUpToDate>
  <CharactersWithSpaces>20640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R-Pharmaservices</dc:creator>
  <cp:lastModifiedBy>ZGr</cp:lastModifiedBy>
  <cp:revision>7</cp:revision>
  <dcterms:created xsi:type="dcterms:W3CDTF">2020-10-19T16:27:00Z</dcterms:created>
  <dcterms:modified xsi:type="dcterms:W3CDTF">2021-01-18T10:19:00Z</dcterms:modified>
</cp:coreProperties>
</file>