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20F83" w14:textId="3628E178" w:rsidR="00167629" w:rsidRPr="0002065A" w:rsidRDefault="001D29E6" w:rsidP="009F4BA4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 w:rsidRPr="0002065A">
        <w:rPr>
          <w:b/>
        </w:rPr>
        <w:t>Písomná informácia pre používateľa</w:t>
      </w:r>
    </w:p>
    <w:p w14:paraId="42D9F313" w14:textId="77777777" w:rsidR="001D29E6" w:rsidRPr="0002065A" w:rsidRDefault="001D29E6" w:rsidP="009F4BA4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</w:p>
    <w:p w14:paraId="3E4EFB9D" w14:textId="37EAF6BA" w:rsidR="0002653D" w:rsidRPr="0002065A" w:rsidRDefault="00C42195" w:rsidP="00D6087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 w:rsidRPr="0002065A">
        <w:rPr>
          <w:b/>
          <w:bCs/>
        </w:rPr>
        <w:t>Serynox 50 %</w:t>
      </w:r>
      <w:r w:rsidR="00527CB1" w:rsidRPr="0002065A">
        <w:rPr>
          <w:b/>
          <w:bCs/>
        </w:rPr>
        <w:t xml:space="preserve"> </w:t>
      </w:r>
      <w:r w:rsidRPr="0002065A">
        <w:rPr>
          <w:b/>
          <w:bCs/>
        </w:rPr>
        <w:t>/</w:t>
      </w:r>
      <w:r w:rsidR="00527CB1" w:rsidRPr="0002065A">
        <w:rPr>
          <w:b/>
          <w:bCs/>
        </w:rPr>
        <w:t xml:space="preserve"> </w:t>
      </w:r>
      <w:r w:rsidRPr="0002065A">
        <w:rPr>
          <w:b/>
          <w:bCs/>
        </w:rPr>
        <w:t>50 % stlačený medicinálny plyn</w:t>
      </w:r>
    </w:p>
    <w:p w14:paraId="77179C76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</w:p>
    <w:p w14:paraId="5FDA4052" w14:textId="6E22656B" w:rsidR="001D29E6" w:rsidRPr="0002065A" w:rsidRDefault="00527CB1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 w:rsidRPr="0002065A">
        <w:t>o</w:t>
      </w:r>
      <w:r w:rsidR="0002653D" w:rsidRPr="0002065A">
        <w:t>xid dusný/kyslík</w:t>
      </w:r>
    </w:p>
    <w:p w14:paraId="52E26187" w14:textId="77777777" w:rsidR="00F00876" w:rsidRPr="0002065A" w:rsidRDefault="00F00876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</w:p>
    <w:p w14:paraId="51C46CC8" w14:textId="77777777" w:rsidR="001D29E6" w:rsidRPr="0002065A" w:rsidRDefault="001D29E6" w:rsidP="00F546E9">
      <w:pPr>
        <w:tabs>
          <w:tab w:val="clear" w:pos="567"/>
        </w:tabs>
        <w:suppressAutoHyphens/>
        <w:spacing w:line="240" w:lineRule="auto"/>
        <w:rPr>
          <w:noProof/>
        </w:rPr>
      </w:pPr>
      <w:r w:rsidRPr="0002065A">
        <w:rPr>
          <w:b/>
        </w:rPr>
        <w:t>Pozorne si prečítajte celú písomnú informáciu predtým, ako začnete používať tento liek, pretože obsahuje pre vás dôležité informácie.</w:t>
      </w:r>
    </w:p>
    <w:p w14:paraId="778E0E58" w14:textId="77777777" w:rsidR="004E6169" w:rsidRPr="0002065A" w:rsidRDefault="004E6169" w:rsidP="00901FF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2065A">
        <w:rPr>
          <w:szCs w:val="22"/>
        </w:rPr>
        <w:t>Túto písomnú informáciu si uschovajte. Možno bude potrebné, aby ste si ju znovu prečítali.</w:t>
      </w:r>
    </w:p>
    <w:p w14:paraId="1FC93012" w14:textId="77777777" w:rsidR="004E6169" w:rsidRPr="0002065A" w:rsidRDefault="004E6169" w:rsidP="00901FF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2065A">
        <w:rPr>
          <w:szCs w:val="22"/>
        </w:rPr>
        <w:t>Ak máte akékoľvek ďalšie otázky, obráťte sa na svojho lekára, lekárnika alebo zdravotnú sestru.</w:t>
      </w:r>
    </w:p>
    <w:p w14:paraId="0445DDD0" w14:textId="251406A1" w:rsidR="004E6169" w:rsidRPr="0002065A" w:rsidRDefault="004E6169" w:rsidP="00901FF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02065A">
        <w:rPr>
          <w:szCs w:val="22"/>
        </w:rPr>
        <w:t>Ak sa u vás vyskytne akýkoľvek vedľajší účinok, obráťte sa na</w:t>
      </w:r>
      <w:r w:rsidR="00A00A50" w:rsidRPr="0002065A">
        <w:rPr>
          <w:szCs w:val="22"/>
        </w:rPr>
        <w:t xml:space="preserve"> </w:t>
      </w:r>
      <w:r w:rsidRPr="0002065A">
        <w:rPr>
          <w:szCs w:val="22"/>
        </w:rPr>
        <w:t>svojho lekára, lekárnika alebo zdravotnú sestru. To sa týka aj akýchkoľvek vedľajších účinkov, ktoré nie sú uvedené v tejto písomnej informácii. Pozri časť 4.</w:t>
      </w:r>
    </w:p>
    <w:p w14:paraId="075B1BAE" w14:textId="77777777" w:rsidR="001D29E6" w:rsidRPr="0002065A" w:rsidRDefault="001D29E6" w:rsidP="00F546E9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4D418EA5" w14:textId="77777777" w:rsidR="001D29E6" w:rsidRPr="0002065A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670A1EC4" w14:textId="77777777" w:rsidR="001D29E6" w:rsidRPr="0002065A" w:rsidRDefault="00AF0A54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02065A">
        <w:rPr>
          <w:b/>
        </w:rPr>
        <w:t>V tejto písomnej informácii sa dozviete:</w:t>
      </w:r>
    </w:p>
    <w:p w14:paraId="0A4B2258" w14:textId="534F55BF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02065A">
        <w:t>1.</w:t>
      </w:r>
      <w:r w:rsidRPr="0002065A">
        <w:tab/>
        <w:t>Čo je Serynox a</w:t>
      </w:r>
      <w:r w:rsidR="00A00A50" w:rsidRPr="0002065A">
        <w:t> </w:t>
      </w:r>
      <w:r w:rsidRPr="0002065A">
        <w:t>na</w:t>
      </w:r>
      <w:r w:rsidR="00A00A50" w:rsidRPr="0002065A">
        <w:t xml:space="preserve"> </w:t>
      </w:r>
      <w:r w:rsidRPr="0002065A">
        <w:t>čo sa používa</w:t>
      </w:r>
    </w:p>
    <w:p w14:paraId="7F7134F9" w14:textId="52AE4E95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02065A">
        <w:t>2.</w:t>
      </w:r>
      <w:r w:rsidRPr="0002065A">
        <w:tab/>
        <w:t>Čo potrebujete vedieť predtým, ako použijete Serynox</w:t>
      </w:r>
    </w:p>
    <w:p w14:paraId="350A3EB3" w14:textId="7BFEB3ED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02065A">
        <w:t>3.</w:t>
      </w:r>
      <w:r w:rsidRPr="0002065A">
        <w:tab/>
        <w:t>Ako používať Serynox</w:t>
      </w:r>
    </w:p>
    <w:p w14:paraId="651437CF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02065A">
        <w:t>4.</w:t>
      </w:r>
      <w:r w:rsidRPr="0002065A">
        <w:tab/>
        <w:t>Možné vedľajšie účinky</w:t>
      </w:r>
    </w:p>
    <w:p w14:paraId="53ADF7C9" w14:textId="212FBD9F" w:rsidR="001D29E6" w:rsidRPr="0002065A" w:rsidRDefault="001D29E6" w:rsidP="009F4BA4">
      <w:pPr>
        <w:numPr>
          <w:ilvl w:val="0"/>
          <w:numId w:val="9"/>
        </w:numPr>
        <w:spacing w:line="240" w:lineRule="auto"/>
        <w:ind w:right="-29"/>
        <w:rPr>
          <w:noProof/>
        </w:rPr>
      </w:pPr>
      <w:r w:rsidRPr="0002065A">
        <w:t>Ako uchovávať Serynox</w:t>
      </w:r>
    </w:p>
    <w:p w14:paraId="5407AFF6" w14:textId="77777777" w:rsidR="001D29E6" w:rsidRPr="0002065A" w:rsidRDefault="001D29E6" w:rsidP="009F4BA4">
      <w:pPr>
        <w:tabs>
          <w:tab w:val="clear" w:pos="567"/>
        </w:tabs>
        <w:spacing w:line="240" w:lineRule="auto"/>
        <w:ind w:right="-29"/>
        <w:rPr>
          <w:noProof/>
        </w:rPr>
      </w:pPr>
      <w:r w:rsidRPr="0002065A">
        <w:t>6.</w:t>
      </w:r>
      <w:r w:rsidRPr="0002065A">
        <w:tab/>
        <w:t>Obsah balenia a ďalšie informácie</w:t>
      </w:r>
    </w:p>
    <w:p w14:paraId="45F65752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680AE4C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1AB545A" w14:textId="0AA52C86" w:rsidR="001D29E6" w:rsidRPr="0002065A" w:rsidRDefault="001D29E6" w:rsidP="009F4BA4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2065A">
        <w:rPr>
          <w:b/>
          <w:szCs w:val="22"/>
        </w:rPr>
        <w:t>Čo je Serynox a</w:t>
      </w:r>
      <w:r w:rsidR="00A00A50" w:rsidRPr="0002065A">
        <w:rPr>
          <w:b/>
          <w:szCs w:val="22"/>
        </w:rPr>
        <w:t> </w:t>
      </w:r>
      <w:r w:rsidRPr="0002065A">
        <w:rPr>
          <w:b/>
          <w:szCs w:val="22"/>
        </w:rPr>
        <w:t>na</w:t>
      </w:r>
      <w:r w:rsidR="00A00A50" w:rsidRPr="0002065A">
        <w:rPr>
          <w:b/>
          <w:szCs w:val="22"/>
        </w:rPr>
        <w:t xml:space="preserve"> </w:t>
      </w:r>
      <w:r w:rsidRPr="0002065A">
        <w:rPr>
          <w:b/>
          <w:szCs w:val="22"/>
        </w:rPr>
        <w:t>čo sa používa</w:t>
      </w:r>
    </w:p>
    <w:p w14:paraId="04CFEA20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755708B" w14:textId="3230C4A5" w:rsidR="004E6169" w:rsidRPr="0002065A" w:rsidRDefault="00C42195" w:rsidP="00F546E9">
      <w:pPr>
        <w:numPr>
          <w:ilvl w:val="0"/>
          <w:numId w:val="1"/>
        </w:numPr>
        <w:tabs>
          <w:tab w:val="clear" w:pos="567"/>
        </w:tabs>
        <w:ind w:left="567" w:hanging="567"/>
        <w:rPr>
          <w:szCs w:val="22"/>
        </w:rPr>
      </w:pPr>
      <w:r w:rsidRPr="0002065A">
        <w:rPr>
          <w:szCs w:val="22"/>
        </w:rPr>
        <w:t>Serynox obsahuje zmes 2 medicinálnych plynov:</w:t>
      </w:r>
    </w:p>
    <w:p w14:paraId="3E242BC5" w14:textId="77777777" w:rsidR="000A680B" w:rsidRPr="0002065A" w:rsidRDefault="00D01AA5" w:rsidP="0002065A">
      <w:pPr>
        <w:numPr>
          <w:ilvl w:val="0"/>
          <w:numId w:val="1"/>
        </w:numPr>
        <w:tabs>
          <w:tab w:val="clear" w:pos="567"/>
        </w:tabs>
        <w:spacing w:line="240" w:lineRule="auto"/>
        <w:ind w:left="1134" w:hanging="567"/>
      </w:pPr>
      <w:r w:rsidRPr="0002065A">
        <w:t>50 % oxid dusný (medicinálny „rajský plyn“),</w:t>
      </w:r>
    </w:p>
    <w:p w14:paraId="58189DEF" w14:textId="77777777" w:rsidR="000A680B" w:rsidRPr="0002065A" w:rsidRDefault="00D01AA5" w:rsidP="0002065A">
      <w:pPr>
        <w:numPr>
          <w:ilvl w:val="0"/>
          <w:numId w:val="1"/>
        </w:numPr>
        <w:tabs>
          <w:tab w:val="clear" w:pos="567"/>
        </w:tabs>
        <w:spacing w:line="240" w:lineRule="auto"/>
        <w:ind w:left="1134" w:hanging="567"/>
      </w:pPr>
      <w:r w:rsidRPr="0002065A">
        <w:t>50 % kyslík (medicinálny kyslík).</w:t>
      </w:r>
    </w:p>
    <w:p w14:paraId="5F65F4FF" w14:textId="77777777" w:rsidR="00DC5E22" w:rsidRPr="0002065A" w:rsidRDefault="00DC5E22" w:rsidP="00D01AA5">
      <w:pPr>
        <w:spacing w:line="240" w:lineRule="auto"/>
      </w:pPr>
    </w:p>
    <w:p w14:paraId="7F41D44B" w14:textId="6574B9DE" w:rsidR="00666C6C" w:rsidRPr="0002065A" w:rsidRDefault="00D01AA5" w:rsidP="00D01AA5">
      <w:pPr>
        <w:spacing w:line="240" w:lineRule="auto"/>
      </w:pPr>
      <w:r w:rsidRPr="0002065A">
        <w:t>Používa sa vdychovaním plynnej zmesi. Pri tejto koncentrácii nemá Serynox žiadny narkotický (anestetický) účinok.</w:t>
      </w:r>
    </w:p>
    <w:p w14:paraId="4A0B74AE" w14:textId="77777777" w:rsidR="00DC5E22" w:rsidRPr="0002065A" w:rsidRDefault="00DC5E22" w:rsidP="00D01AA5">
      <w:pPr>
        <w:spacing w:line="240" w:lineRule="auto"/>
      </w:pPr>
    </w:p>
    <w:p w14:paraId="1B7A3E61" w14:textId="782CBDCA" w:rsidR="00666C6C" w:rsidRPr="0002065A" w:rsidRDefault="00C42195" w:rsidP="00666C6C">
      <w:pPr>
        <w:spacing w:line="240" w:lineRule="auto"/>
      </w:pPr>
      <w:r w:rsidRPr="0002065A">
        <w:t>Serynox patrí do</w:t>
      </w:r>
      <w:r w:rsidR="00A00A50" w:rsidRPr="0002065A">
        <w:t xml:space="preserve"> </w:t>
      </w:r>
      <w:r w:rsidRPr="0002065A">
        <w:t xml:space="preserve">triedy </w:t>
      </w:r>
      <w:r w:rsidR="00A00A50" w:rsidRPr="0002065A">
        <w:t>kombinácií</w:t>
      </w:r>
      <w:r w:rsidRPr="0002065A">
        <w:t xml:space="preserve"> oxidu dusného.</w:t>
      </w:r>
    </w:p>
    <w:p w14:paraId="3BB7CFE7" w14:textId="77777777" w:rsidR="00666C6C" w:rsidRPr="0002065A" w:rsidRDefault="00666C6C" w:rsidP="00D6087D">
      <w:pPr>
        <w:spacing w:line="240" w:lineRule="auto"/>
      </w:pPr>
    </w:p>
    <w:p w14:paraId="2FDC0BF7" w14:textId="34881ACB" w:rsidR="000A680B" w:rsidRPr="0002065A" w:rsidRDefault="00C42195" w:rsidP="00E35D73">
      <w:pPr>
        <w:autoSpaceDE w:val="0"/>
        <w:autoSpaceDN w:val="0"/>
        <w:adjustRightInd w:val="0"/>
        <w:rPr>
          <w:bCs/>
          <w:szCs w:val="22"/>
        </w:rPr>
      </w:pPr>
      <w:r w:rsidRPr="0002065A">
        <w:rPr>
          <w:bCs/>
          <w:szCs w:val="22"/>
        </w:rPr>
        <w:t>Serynox sa môže používať u dospelých, dospievajúcich a deti starších ako 1 mesiac.</w:t>
      </w:r>
    </w:p>
    <w:p w14:paraId="6478A095" w14:textId="77777777" w:rsidR="00DC5E22" w:rsidRPr="0002065A" w:rsidRDefault="00DC5E22" w:rsidP="00E35D73">
      <w:pPr>
        <w:autoSpaceDE w:val="0"/>
        <w:autoSpaceDN w:val="0"/>
        <w:adjustRightInd w:val="0"/>
        <w:rPr>
          <w:bCs/>
          <w:szCs w:val="22"/>
        </w:rPr>
      </w:pPr>
    </w:p>
    <w:p w14:paraId="1DBE3810" w14:textId="77777777" w:rsidR="000A680B" w:rsidRPr="0002065A" w:rsidRDefault="00C42195" w:rsidP="00E35D73">
      <w:pPr>
        <w:autoSpaceDE w:val="0"/>
        <w:autoSpaceDN w:val="0"/>
        <w:adjustRightInd w:val="0"/>
        <w:rPr>
          <w:b/>
          <w:bCs/>
          <w:szCs w:val="22"/>
        </w:rPr>
      </w:pPr>
      <w:r w:rsidRPr="0002065A">
        <w:rPr>
          <w:b/>
          <w:bCs/>
          <w:szCs w:val="22"/>
        </w:rPr>
        <w:t>Serynox účinkuje zmierňovaním pocitu bolesti a zlepšovaním uvoľnenia počas:</w:t>
      </w:r>
    </w:p>
    <w:p w14:paraId="3F3B32B6" w14:textId="77777777" w:rsidR="000A680B" w:rsidRPr="0002065A" w:rsidRDefault="00E35D73" w:rsidP="004A63B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02065A">
        <w:rPr>
          <w:bCs/>
          <w:szCs w:val="22"/>
        </w:rPr>
        <w:t xml:space="preserve">krátkodobých bolestivých zákrokov alebo </w:t>
      </w:r>
      <w:r w:rsidRPr="0002065A">
        <w:rPr>
          <w:szCs w:val="22"/>
        </w:rPr>
        <w:t>liečby mierne až stredne bolestivých stavov a sedácie počas zubných chirurgických zákrokov, keď sa vyžaduje rýchly nástup a ústup účinkov zmierňujúcich bolesť.</w:t>
      </w:r>
    </w:p>
    <w:p w14:paraId="39A5F80B" w14:textId="257972F0" w:rsidR="003170D1" w:rsidRPr="0002065A" w:rsidRDefault="003170D1" w:rsidP="0002653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de-DE"/>
        </w:rPr>
      </w:pPr>
    </w:p>
    <w:p w14:paraId="2F299BF5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A50D74D" w14:textId="791DD9B9" w:rsidR="001D29E6" w:rsidRPr="0002065A" w:rsidRDefault="003B3D77" w:rsidP="009F4BA4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2065A">
        <w:rPr>
          <w:b/>
        </w:rPr>
        <w:t>Čo potrebujete vedieť predtým, ako použijete Serynox</w:t>
      </w:r>
    </w:p>
    <w:p w14:paraId="3A6081E2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3639DEF" w14:textId="3899B19B" w:rsidR="00C26624" w:rsidRPr="0002065A" w:rsidRDefault="001D29E6" w:rsidP="00C2662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02065A">
        <w:rPr>
          <w:b/>
        </w:rPr>
        <w:t>Nepoužívajte Serynox</w:t>
      </w:r>
    </w:p>
    <w:p w14:paraId="3FAEA3B4" w14:textId="6779F1E1" w:rsidR="00EB4AE6" w:rsidRPr="0002065A" w:rsidRDefault="00FF739F" w:rsidP="00816FC6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t>ak vám počas operácie oka podali plyn do</w:t>
      </w:r>
      <w:r w:rsidR="00A00A50" w:rsidRPr="0002065A">
        <w:t xml:space="preserve"> </w:t>
      </w:r>
      <w:r w:rsidRPr="0002065A">
        <w:t>oka, vždy to povedzte svojmu lekárovi, aby sa mohlo zaručiť, že podanie nebude viesť k závažným pooperačným komplikáciám v dôsledku zvýšeného vnútroočného tlaku,</w:t>
      </w:r>
    </w:p>
    <w:p w14:paraId="29CB0DFA" w14:textId="77777777" w:rsidR="00654AE0" w:rsidRPr="0002065A" w:rsidRDefault="00FF739F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noProof/>
        </w:rPr>
      </w:pPr>
      <w:r w:rsidRPr="0002065A">
        <w:t>ak váš stav vyžaduje podávanie 100 % kyslíka,</w:t>
      </w:r>
    </w:p>
    <w:p w14:paraId="129B2682" w14:textId="77777777" w:rsidR="000A680B" w:rsidRPr="0002065A" w:rsidRDefault="00FF739F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02065A">
        <w:t>v prípade nadmerného tlaku v hlave</w:t>
      </w:r>
      <w:r w:rsidRPr="0002065A">
        <w:rPr>
          <w:i/>
        </w:rPr>
        <w:t xml:space="preserve"> (intrakraniálna hypertenzia),</w:t>
      </w:r>
    </w:p>
    <w:p w14:paraId="5F92D2BB" w14:textId="5D153B92" w:rsidR="001D29E6" w:rsidRPr="0002065A" w:rsidRDefault="00FF739F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noProof/>
        </w:rPr>
      </w:pPr>
      <w:r w:rsidRPr="0002065A">
        <w:t>v prípade zmeny vedomia (nie úplne normálne vedomie),</w:t>
      </w:r>
    </w:p>
    <w:p w14:paraId="1EAB30F8" w14:textId="4C413C8C" w:rsidR="00313573" w:rsidRPr="0002065A" w:rsidRDefault="00FF739F" w:rsidP="00F546E9">
      <w:pPr>
        <w:numPr>
          <w:ilvl w:val="0"/>
          <w:numId w:val="1"/>
        </w:numPr>
        <w:ind w:left="567" w:hanging="567"/>
        <w:rPr>
          <w:noProof/>
        </w:rPr>
      </w:pPr>
      <w:r w:rsidRPr="0002065A">
        <w:t>v prípade známeho</w:t>
      </w:r>
      <w:r w:rsidR="00A00A50" w:rsidRPr="0002065A">
        <w:t>,</w:t>
      </w:r>
      <w:r w:rsidRPr="0002065A">
        <w:t xml:space="preserve"> neliečeného nedostatku vitamínu B12</w:t>
      </w:r>
      <w:r w:rsidR="00A00A50" w:rsidRPr="0002065A">
        <w:t xml:space="preserve"> </w:t>
      </w:r>
      <w:r w:rsidRPr="0002065A">
        <w:t>alebo kyseliny listovej,</w:t>
      </w:r>
    </w:p>
    <w:p w14:paraId="28825630" w14:textId="7DBCB1B4" w:rsidR="00313573" w:rsidRPr="0002065A" w:rsidRDefault="00FF739F" w:rsidP="00F546E9">
      <w:pPr>
        <w:numPr>
          <w:ilvl w:val="0"/>
          <w:numId w:val="1"/>
        </w:numPr>
        <w:ind w:left="567" w:hanging="567"/>
        <w:rPr>
          <w:noProof/>
        </w:rPr>
      </w:pPr>
      <w:r w:rsidRPr="0002065A">
        <w:t>v prípade nedávno sa vyskytujúcich</w:t>
      </w:r>
      <w:r w:rsidR="00A00A50" w:rsidRPr="0002065A">
        <w:t>,</w:t>
      </w:r>
      <w:r w:rsidRPr="0002065A">
        <w:t xml:space="preserve"> nevysvetl</w:t>
      </w:r>
      <w:r w:rsidR="00A00A50" w:rsidRPr="0002065A">
        <w:t>ených</w:t>
      </w:r>
      <w:r w:rsidRPr="0002065A">
        <w:t xml:space="preserve"> neurologických porúch</w:t>
      </w:r>
      <w:r w:rsidR="00005974" w:rsidRPr="0002065A">
        <w:t>,</w:t>
      </w:r>
    </w:p>
    <w:p w14:paraId="2B313CD7" w14:textId="7B3F6B56" w:rsidR="000B1AF8" w:rsidRPr="0002065A" w:rsidRDefault="00DC5E22" w:rsidP="00F546E9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02065A">
        <w:rPr>
          <w:szCs w:val="22"/>
        </w:rPr>
        <w:t>u </w:t>
      </w:r>
      <w:r w:rsidR="00005974" w:rsidRPr="0002065A">
        <w:rPr>
          <w:szCs w:val="22"/>
        </w:rPr>
        <w:t>pacient</w:t>
      </w:r>
      <w:r w:rsidRPr="0002065A">
        <w:rPr>
          <w:szCs w:val="22"/>
        </w:rPr>
        <w:t>ov</w:t>
      </w:r>
      <w:r w:rsidR="00005974" w:rsidRPr="0002065A">
        <w:rPr>
          <w:szCs w:val="22"/>
        </w:rPr>
        <w:t xml:space="preserve"> </w:t>
      </w:r>
      <w:r w:rsidR="000B1AF8" w:rsidRPr="0002065A">
        <w:rPr>
          <w:szCs w:val="22"/>
        </w:rPr>
        <w:t>so srdcovým zlyhaním alebo srdcovou dysfunkciou (napr. po operácii srdca)</w:t>
      </w:r>
      <w:r w:rsidR="00005974" w:rsidRPr="0002065A">
        <w:rPr>
          <w:szCs w:val="22"/>
        </w:rPr>
        <w:t>.</w:t>
      </w:r>
    </w:p>
    <w:p w14:paraId="1AF7CFEF" w14:textId="77777777" w:rsidR="00313573" w:rsidRPr="0002065A" w:rsidRDefault="00313573" w:rsidP="00D6087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2FF0D6C5" w14:textId="278961CC" w:rsidR="00654AE0" w:rsidRPr="0002065A" w:rsidRDefault="00654AE0" w:rsidP="00D6087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>Pri inhalácii Serynoxu môžu plynové bublin</w:t>
      </w:r>
      <w:r w:rsidR="00A00A50" w:rsidRPr="0002065A">
        <w:rPr>
          <w:szCs w:val="22"/>
        </w:rPr>
        <w:t>k</w:t>
      </w:r>
      <w:r w:rsidRPr="0002065A">
        <w:rPr>
          <w:szCs w:val="22"/>
        </w:rPr>
        <w:t>y a plynom vyplnené dutiny v tele expandovať a spôsobiť závažné poškodenie. Serynox sa preto nesmie používať, ak:</w:t>
      </w:r>
    </w:p>
    <w:p w14:paraId="4111EE74" w14:textId="77777777" w:rsidR="000A680B" w:rsidRPr="0002065A" w:rsidRDefault="00FF739F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máte zranenie hlavy,</w:t>
      </w:r>
    </w:p>
    <w:p w14:paraId="60210B68" w14:textId="6521143A" w:rsidR="00DC5BF3" w:rsidRPr="0002065A" w:rsidRDefault="00FF739F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máte zranenia tváre alebo čeľuste,</w:t>
      </w:r>
    </w:p>
    <w:p w14:paraId="6EBF8D43" w14:textId="77777777" w:rsidR="00654AE0" w:rsidRPr="0002065A" w:rsidRDefault="00FF739F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iCs/>
          <w:szCs w:val="22"/>
        </w:rPr>
        <w:t>u vás dochádza k hromadeniu vzduchu medzi pľúcami a hrudnou stenou</w:t>
      </w:r>
      <w:r w:rsidRPr="0002065A">
        <w:rPr>
          <w:szCs w:val="22"/>
        </w:rPr>
        <w:t xml:space="preserve"> </w:t>
      </w:r>
      <w:r w:rsidRPr="0002065A">
        <w:rPr>
          <w:i/>
          <w:szCs w:val="22"/>
        </w:rPr>
        <w:t>(pneumotorax)</w:t>
      </w:r>
      <w:r w:rsidRPr="0002065A">
        <w:rPr>
          <w:szCs w:val="22"/>
        </w:rPr>
        <w:t>,</w:t>
      </w:r>
    </w:p>
    <w:p w14:paraId="459B468A" w14:textId="77777777" w:rsidR="00654AE0" w:rsidRPr="0002065A" w:rsidRDefault="00FF739F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i/>
          <w:szCs w:val="22"/>
          <w:lang w:eastAsia="de-DE"/>
        </w:rPr>
      </w:pPr>
      <w:r w:rsidRPr="0002065A">
        <w:rPr>
          <w:szCs w:val="22"/>
        </w:rPr>
        <w:t xml:space="preserve">máte ochorenie pľúcnych alveol s následkom dýchacích ťažkostí </w:t>
      </w:r>
      <w:r w:rsidRPr="0002065A">
        <w:rPr>
          <w:i/>
          <w:szCs w:val="22"/>
        </w:rPr>
        <w:t>(závažný emfyzém),</w:t>
      </w:r>
    </w:p>
    <w:p w14:paraId="70EDF811" w14:textId="7E8FC5AB" w:rsidR="00FA381F" w:rsidRPr="0002065A" w:rsidRDefault="00EA61E0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i/>
          <w:szCs w:val="22"/>
          <w:lang w:eastAsia="de-DE"/>
        </w:rPr>
      </w:pPr>
      <w:r w:rsidRPr="0002065A">
        <w:rPr>
          <w:szCs w:val="22"/>
        </w:rPr>
        <w:t>u vás dochádza k tvorbe vzduchových bubl</w:t>
      </w:r>
      <w:r w:rsidR="00A00A50" w:rsidRPr="0002065A">
        <w:rPr>
          <w:szCs w:val="22"/>
        </w:rPr>
        <w:t>iniek</w:t>
      </w:r>
      <w:r w:rsidRPr="0002065A">
        <w:rPr>
          <w:szCs w:val="22"/>
        </w:rPr>
        <w:t xml:space="preserve"> v krvnom </w:t>
      </w:r>
      <w:r w:rsidR="00A00A50" w:rsidRPr="0002065A">
        <w:rPr>
          <w:szCs w:val="22"/>
        </w:rPr>
        <w:t>obehu</w:t>
      </w:r>
      <w:r w:rsidRPr="0002065A">
        <w:rPr>
          <w:szCs w:val="22"/>
        </w:rPr>
        <w:t xml:space="preserve"> </w:t>
      </w:r>
      <w:r w:rsidRPr="0002065A">
        <w:rPr>
          <w:i/>
          <w:szCs w:val="22"/>
        </w:rPr>
        <w:t>(plynová embólia),</w:t>
      </w:r>
    </w:p>
    <w:p w14:paraId="74529F81" w14:textId="7C7FF3C3" w:rsidR="00654AE0" w:rsidRPr="0002065A" w:rsidRDefault="00EA61E0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ste vykonávali hlbokomorské potápanie s rizikom dekompresnej choroby,</w:t>
      </w:r>
    </w:p>
    <w:p w14:paraId="259FFB7F" w14:textId="77777777" w:rsidR="005213B8" w:rsidRPr="0002065A" w:rsidRDefault="00675253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iCs/>
          <w:szCs w:val="22"/>
        </w:rPr>
        <w:t>ste podstúpili röntgenové vyšetrenie mozgu,</w:t>
      </w:r>
    </w:p>
    <w:p w14:paraId="20BE1778" w14:textId="6C9F34FE" w:rsidR="008E3DA2" w:rsidRPr="0002065A" w:rsidRDefault="00675253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 xml:space="preserve">ste podstúpili operáciu stredného ucha, vnútorného ucha alebo </w:t>
      </w:r>
      <w:r w:rsidR="00C840C3" w:rsidRPr="0002065A">
        <w:rPr>
          <w:szCs w:val="22"/>
        </w:rPr>
        <w:t>prínosových</w:t>
      </w:r>
      <w:r w:rsidRPr="0002065A">
        <w:rPr>
          <w:szCs w:val="22"/>
        </w:rPr>
        <w:t xml:space="preserve"> dutín,</w:t>
      </w:r>
    </w:p>
    <w:p w14:paraId="379716F5" w14:textId="77777777" w:rsidR="00654AE0" w:rsidRPr="0002065A" w:rsidRDefault="00161547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máte prítomný vzduch v bruchu, ktorý spôsobuje závažné brušné ťažkosti,</w:t>
      </w:r>
    </w:p>
    <w:p w14:paraId="3A588FF8" w14:textId="32C0E87D" w:rsidR="00E446E3" w:rsidRPr="0002065A" w:rsidRDefault="00EF2E25" w:rsidP="00F546E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2065A">
        <w:rPr>
          <w:szCs w:val="22"/>
        </w:rPr>
        <w:t>ste podstúpili anestéziu miechy na</w:t>
      </w:r>
      <w:r w:rsidR="00A00A50" w:rsidRPr="0002065A">
        <w:rPr>
          <w:szCs w:val="22"/>
        </w:rPr>
        <w:t xml:space="preserve"> </w:t>
      </w:r>
      <w:r w:rsidRPr="0002065A">
        <w:rPr>
          <w:szCs w:val="22"/>
        </w:rPr>
        <w:t>elimináciu bolesti od bedier smerom nadol (</w:t>
      </w:r>
      <w:r w:rsidRPr="0002065A">
        <w:rPr>
          <w:i/>
          <w:szCs w:val="22"/>
        </w:rPr>
        <w:t>epidurálna anestézia</w:t>
      </w:r>
      <w:r w:rsidRPr="0002065A">
        <w:rPr>
          <w:szCs w:val="22"/>
        </w:rPr>
        <w:t>), počas ktorej bol vstrekovaný vzduch.</w:t>
      </w:r>
    </w:p>
    <w:p w14:paraId="7297E433" w14:textId="77777777" w:rsidR="00005A4F" w:rsidRPr="0002065A" w:rsidRDefault="00005A4F" w:rsidP="00005A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481A60D4" w14:textId="77777777" w:rsidR="001D29E6" w:rsidRPr="0002065A" w:rsidRDefault="003B3D77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02065A">
        <w:rPr>
          <w:b/>
        </w:rPr>
        <w:t>Upozornenia a opatrenia</w:t>
      </w:r>
    </w:p>
    <w:p w14:paraId="370178DC" w14:textId="2DA3D2C3" w:rsidR="001600B9" w:rsidRPr="0002065A" w:rsidRDefault="001600B9" w:rsidP="003529D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2065A">
        <w:t>Predtým, ako začnete používať Serynox, obráťte sa na</w:t>
      </w:r>
      <w:r w:rsidR="00A00A50" w:rsidRPr="0002065A">
        <w:t xml:space="preserve"> </w:t>
      </w:r>
      <w:r w:rsidRPr="0002065A">
        <w:t>svojho lekára.</w:t>
      </w:r>
    </w:p>
    <w:p w14:paraId="4E867393" w14:textId="77777777" w:rsidR="001600B9" w:rsidRPr="0002065A" w:rsidRDefault="001600B9" w:rsidP="003529D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70CBE93" w14:textId="2A139B6F" w:rsidR="003529D3" w:rsidRPr="0002065A" w:rsidRDefault="00C42195" w:rsidP="003529D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2065A">
        <w:t>Serynox má podávať vyškolený personál. Má sa však uprednostniť, aby ste si ho podávali sami pod dohľadom lekára, ktorý tak môže vyhodnocovať stupeň vášho stavu vedomia. S </w:t>
      </w:r>
      <w:r w:rsidR="00C840C3" w:rsidRPr="0002065A">
        <w:t>tlakovou</w:t>
      </w:r>
      <w:r w:rsidR="00A00A50" w:rsidRPr="0002065A">
        <w:t xml:space="preserve"> </w:t>
      </w:r>
      <w:r w:rsidRPr="0002065A">
        <w:t xml:space="preserve">fľašou Serynox nesmiete NIKDY </w:t>
      </w:r>
      <w:r w:rsidR="00A00A50" w:rsidRPr="0002065A">
        <w:t xml:space="preserve">sami </w:t>
      </w:r>
      <w:r w:rsidRPr="0002065A">
        <w:t>manipulovať.</w:t>
      </w:r>
    </w:p>
    <w:p w14:paraId="5EF7BDA8" w14:textId="77777777" w:rsidR="003529D3" w:rsidRPr="0002065A" w:rsidRDefault="003529D3" w:rsidP="003529D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</w:p>
    <w:p w14:paraId="6133AEF8" w14:textId="792AF3C9" w:rsidR="003529D3" w:rsidRPr="0002065A" w:rsidRDefault="003529D3" w:rsidP="003529D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  <w:r w:rsidRPr="0002065A">
        <w:rPr>
          <w:bCs/>
        </w:rPr>
        <w:t>Miest</w:t>
      </w:r>
      <w:r w:rsidR="00A00A50" w:rsidRPr="0002065A">
        <w:rPr>
          <w:bCs/>
        </w:rPr>
        <w:t>nosti</w:t>
      </w:r>
      <w:r w:rsidRPr="0002065A">
        <w:rPr>
          <w:bCs/>
        </w:rPr>
        <w:t>, v ktorých sa používa Serynox, majú byť primerane vetrané a/alebo vybavené zariadeniami na</w:t>
      </w:r>
      <w:r w:rsidR="00A00A50" w:rsidRPr="0002065A">
        <w:rPr>
          <w:bCs/>
        </w:rPr>
        <w:t xml:space="preserve"> </w:t>
      </w:r>
      <w:r w:rsidRPr="0002065A">
        <w:rPr>
          <w:bCs/>
        </w:rPr>
        <w:t>zachytávanie a odvádzanie odpadových plynov, aby bola koncentrácia oxidu dusného v okolitom vzduchu čo najnižšia.</w:t>
      </w:r>
    </w:p>
    <w:p w14:paraId="16CC513D" w14:textId="77777777" w:rsidR="003529D3" w:rsidRPr="0002065A" w:rsidRDefault="003529D3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7554F47" w14:textId="7A040924" w:rsidR="003529D3" w:rsidRPr="0002065A" w:rsidRDefault="003529D3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2065A">
        <w:t>Pri inhalácii Serynoxu dýchajte normálne.</w:t>
      </w:r>
    </w:p>
    <w:p w14:paraId="5ECF2085" w14:textId="77777777" w:rsidR="00646B48" w:rsidRPr="0002065A" w:rsidRDefault="00646B48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3246794" w14:textId="77777777" w:rsidR="00877A06" w:rsidRPr="0002065A" w:rsidRDefault="00877A06" w:rsidP="00877A06">
      <w:pPr>
        <w:pStyle w:val="Text"/>
        <w:jc w:val="left"/>
        <w:rPr>
          <w:szCs w:val="22"/>
        </w:rPr>
      </w:pPr>
      <w:r w:rsidRPr="0002065A">
        <w:rPr>
          <w:szCs w:val="22"/>
        </w:rPr>
        <w:t>Použitie u novorodencov sa neodporúča.</w:t>
      </w:r>
    </w:p>
    <w:p w14:paraId="76A6632B" w14:textId="06B87C2D" w:rsidR="000F6218" w:rsidRPr="0002065A" w:rsidRDefault="00862700" w:rsidP="000F6218">
      <w:pPr>
        <w:numPr>
          <w:ilvl w:val="12"/>
          <w:numId w:val="0"/>
        </w:numPr>
        <w:rPr>
          <w:noProof/>
          <w:szCs w:val="22"/>
        </w:rPr>
      </w:pPr>
      <w:r w:rsidRPr="0002065A">
        <w:t xml:space="preserve">Ak sa Serynox podáva matke počas pôrodu, </w:t>
      </w:r>
      <w:r w:rsidRPr="0002065A">
        <w:rPr>
          <w:szCs w:val="22"/>
        </w:rPr>
        <w:t>majú sa sledovať jeho vedľajšie účinky na</w:t>
      </w:r>
      <w:r w:rsidR="00A00A50" w:rsidRPr="0002065A">
        <w:rPr>
          <w:szCs w:val="22"/>
        </w:rPr>
        <w:t xml:space="preserve"> </w:t>
      </w:r>
      <w:r w:rsidRPr="0002065A">
        <w:rPr>
          <w:szCs w:val="22"/>
        </w:rPr>
        <w:t xml:space="preserve">novorodencov, najmä </w:t>
      </w:r>
      <w:r w:rsidR="008A2A66" w:rsidRPr="0002065A">
        <w:rPr>
          <w:szCs w:val="22"/>
        </w:rPr>
        <w:t>útlm dýchania</w:t>
      </w:r>
      <w:r w:rsidRPr="0002065A">
        <w:rPr>
          <w:szCs w:val="22"/>
        </w:rPr>
        <w:t>.</w:t>
      </w:r>
    </w:p>
    <w:p w14:paraId="6837509F" w14:textId="77777777" w:rsidR="00862700" w:rsidRPr="0002065A" w:rsidRDefault="00862700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D1CC219" w14:textId="19CE8D1A" w:rsidR="00862700" w:rsidRPr="0002065A" w:rsidRDefault="00862700" w:rsidP="0086270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2065A">
        <w:t>Dlhodobé alebo opakované podávanie Serynoxu môže viesť k zneužívaniu a závislosti.</w:t>
      </w:r>
    </w:p>
    <w:p w14:paraId="434F06DC" w14:textId="77777777" w:rsidR="00862700" w:rsidRPr="0002065A" w:rsidRDefault="00862700" w:rsidP="0086270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9C6EE3A" w14:textId="6E808E4E" w:rsidR="00862700" w:rsidRPr="0002065A" w:rsidRDefault="00862700" w:rsidP="0086270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2065A">
        <w:t>V prípade opakovaného alebo dlhodobého podávania Serynoxu môže dôjsť k strate účinnosti vitamínu B12</w:t>
      </w:r>
      <w:r w:rsidR="008A2A66" w:rsidRPr="0002065A">
        <w:t xml:space="preserve"> </w:t>
      </w:r>
      <w:r w:rsidRPr="0002065A">
        <w:t>v tele. Môže byť potrebné, aby vám lekár predpísal vitamín B12.</w:t>
      </w:r>
    </w:p>
    <w:p w14:paraId="6FAE0BC5" w14:textId="77777777" w:rsidR="00922AA8" w:rsidRPr="0002065A" w:rsidRDefault="00922AA8" w:rsidP="0086270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3068991" w14:textId="77777777" w:rsidR="006C581C" w:rsidRPr="0002065A" w:rsidRDefault="006C581C" w:rsidP="006C581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2065A">
        <w:t>V nasledujúcich situáciách sa poraďte so svojím lekárom, pretože existuje riziko nedostatku vitamínu B12:</w:t>
      </w:r>
    </w:p>
    <w:p w14:paraId="2CD8430A" w14:textId="54E03CDF" w:rsidR="006C581C" w:rsidRPr="0002065A" w:rsidRDefault="006C581C" w:rsidP="001C1CCF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02065A">
        <w:t>-</w:t>
      </w:r>
      <w:r w:rsidR="00EE34CA" w:rsidRPr="0002065A">
        <w:tab/>
      </w:r>
      <w:r w:rsidRPr="0002065A">
        <w:t xml:space="preserve">ak máte anémiu, určitú formu zápalu sliznice žalúdka </w:t>
      </w:r>
      <w:r w:rsidRPr="0002065A">
        <w:rPr>
          <w:i/>
        </w:rPr>
        <w:t>(atrofickú gastritídu)</w:t>
      </w:r>
      <w:r w:rsidRPr="0002065A">
        <w:t xml:space="preserve"> alebo ochorenie mozgu,</w:t>
      </w:r>
    </w:p>
    <w:p w14:paraId="7F90956C" w14:textId="398C1EA3" w:rsidR="006C581C" w:rsidRPr="0002065A" w:rsidRDefault="006C581C" w:rsidP="001C1CCF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02065A">
        <w:t>-</w:t>
      </w:r>
      <w:r w:rsidR="00EE34CA" w:rsidRPr="0002065A">
        <w:tab/>
      </w:r>
      <w:r w:rsidRPr="0002065A">
        <w:t>ak ste vegetarián,</w:t>
      </w:r>
    </w:p>
    <w:p w14:paraId="68C14951" w14:textId="4F803512" w:rsidR="004713E2" w:rsidRPr="0002065A" w:rsidRDefault="006C581C" w:rsidP="001C1CCF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02065A">
        <w:t>-</w:t>
      </w:r>
      <w:r w:rsidR="00EE34CA" w:rsidRPr="0002065A">
        <w:tab/>
      </w:r>
      <w:r w:rsidRPr="0002065A">
        <w:t>ak ste alkoholik.</w:t>
      </w:r>
    </w:p>
    <w:p w14:paraId="5A2696A5" w14:textId="77777777" w:rsidR="00862700" w:rsidRPr="0002065A" w:rsidRDefault="00862700" w:rsidP="0086270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56E1934" w14:textId="77777777" w:rsidR="00862700" w:rsidRPr="0002065A" w:rsidRDefault="00862700" w:rsidP="0086270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2065A">
        <w:t>Ak trpíte alebo ak vaše deti trpia akútnou infekciou uší, povedzte to svojmu lekárovi.</w:t>
      </w:r>
    </w:p>
    <w:p w14:paraId="3BC98A87" w14:textId="77777777" w:rsidR="00F578C7" w:rsidRPr="0002065A" w:rsidRDefault="00F578C7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DD41E15" w14:textId="56B03613" w:rsidR="001D29E6" w:rsidRPr="0002065A" w:rsidRDefault="005F7B5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2065A">
        <w:rPr>
          <w:b/>
        </w:rPr>
        <w:t>Iné lieky a Serynox</w:t>
      </w:r>
    </w:p>
    <w:p w14:paraId="0D92D895" w14:textId="77777777" w:rsidR="001D29E6" w:rsidRPr="0002065A" w:rsidRDefault="005F7B5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2065A">
        <w:t>Ak teraz užívate alebo ste v poslednom čase užívali, či práve budete užívať ďalšie lieky, povedzte to svojmu lekárovi alebo lekárnikovi.</w:t>
      </w:r>
    </w:p>
    <w:p w14:paraId="558B9482" w14:textId="77777777" w:rsidR="00524FEA" w:rsidRPr="0002065A" w:rsidRDefault="00524FEA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6CD2AE5" w14:textId="77777777" w:rsidR="00524FEA" w:rsidRPr="0002065A" w:rsidRDefault="00524FEA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2065A">
        <w:t>Povedzte svojmu lekárovi, ak:</w:t>
      </w:r>
    </w:p>
    <w:p w14:paraId="67F39411" w14:textId="5D9B852A" w:rsidR="00524FEA" w:rsidRPr="0002065A" w:rsidRDefault="00524FEA" w:rsidP="00F546E9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 xml:space="preserve">ste počas operácie očí dostali injekciu oftalmologického plynu. Ak </w:t>
      </w:r>
      <w:r w:rsidR="008A2A66" w:rsidRPr="0002065A">
        <w:rPr>
          <w:szCs w:val="22"/>
        </w:rPr>
        <w:t>sa</w:t>
      </w:r>
      <w:r w:rsidRPr="0002065A">
        <w:rPr>
          <w:szCs w:val="22"/>
        </w:rPr>
        <w:t xml:space="preserve"> tlak v oku príliš </w:t>
      </w:r>
      <w:r w:rsidR="008A2A66" w:rsidRPr="0002065A">
        <w:rPr>
          <w:szCs w:val="22"/>
        </w:rPr>
        <w:t>zvýši</w:t>
      </w:r>
      <w:r w:rsidRPr="0002065A">
        <w:rPr>
          <w:szCs w:val="22"/>
        </w:rPr>
        <w:t>, existuje riziko pooperačných komplikácií.</w:t>
      </w:r>
    </w:p>
    <w:p w14:paraId="59352AC9" w14:textId="32509292" w:rsidR="000A680B" w:rsidRPr="0002065A" w:rsidRDefault="00311C67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užívate lieky pôsobiace na</w:t>
      </w:r>
      <w:r w:rsidR="008A2A66" w:rsidRPr="0002065A">
        <w:rPr>
          <w:szCs w:val="22"/>
        </w:rPr>
        <w:t xml:space="preserve"> </w:t>
      </w:r>
      <w:r w:rsidRPr="0002065A">
        <w:rPr>
          <w:szCs w:val="22"/>
        </w:rPr>
        <w:t>centrálny nervový systém (ako sú deriváty morfínu, benzodiazepíny a iné psychotropné lieky). Môže to zvýšiť hypnotické účinky.</w:t>
      </w:r>
    </w:p>
    <w:p w14:paraId="7A402844" w14:textId="5813BD9C" w:rsidR="000A680B" w:rsidRPr="0002065A" w:rsidRDefault="00311C67">
      <w:pPr>
        <w:numPr>
          <w:ilvl w:val="0"/>
          <w:numId w:val="1"/>
        </w:numPr>
        <w:ind w:left="567" w:hanging="567"/>
        <w:rPr>
          <w:szCs w:val="22"/>
        </w:rPr>
      </w:pPr>
      <w:r w:rsidRPr="0002065A">
        <w:rPr>
          <w:szCs w:val="22"/>
        </w:rPr>
        <w:t>užívate vitamín B12/kyselinu listovú, pretože vitamín B12</w:t>
      </w:r>
      <w:r w:rsidR="008A2A66" w:rsidRPr="0002065A">
        <w:rPr>
          <w:szCs w:val="22"/>
        </w:rPr>
        <w:t xml:space="preserve"> </w:t>
      </w:r>
      <w:r w:rsidRPr="0002065A">
        <w:rPr>
          <w:szCs w:val="22"/>
        </w:rPr>
        <w:t>môže byť z dôvodu pôsobenia Serynoxu neúčinný.</w:t>
      </w:r>
    </w:p>
    <w:p w14:paraId="7F025609" w14:textId="77777777" w:rsidR="00DC5E22" w:rsidRPr="0002065A" w:rsidRDefault="00DC5E22" w:rsidP="00311C67">
      <w:pPr>
        <w:rPr>
          <w:szCs w:val="22"/>
        </w:rPr>
      </w:pPr>
    </w:p>
    <w:p w14:paraId="7F03D665" w14:textId="3CDCD5C9" w:rsidR="00311C67" w:rsidRPr="0002065A" w:rsidRDefault="00C42195" w:rsidP="00311C67">
      <w:pPr>
        <w:rPr>
          <w:szCs w:val="22"/>
        </w:rPr>
      </w:pPr>
      <w:r w:rsidRPr="0002065A">
        <w:rPr>
          <w:szCs w:val="22"/>
        </w:rPr>
        <w:t xml:space="preserve">Serynox môže zvyšovať toxicitu metotrexátu prostredníctvom </w:t>
      </w:r>
      <w:r w:rsidR="008A2A66" w:rsidRPr="0002065A">
        <w:rPr>
          <w:szCs w:val="22"/>
        </w:rPr>
        <w:t xml:space="preserve">narušenia </w:t>
      </w:r>
      <w:r w:rsidRPr="0002065A">
        <w:rPr>
          <w:szCs w:val="22"/>
        </w:rPr>
        <w:t>metabolizm</w:t>
      </w:r>
      <w:r w:rsidR="008A2A66" w:rsidRPr="0002065A">
        <w:rPr>
          <w:szCs w:val="22"/>
        </w:rPr>
        <w:t>u</w:t>
      </w:r>
      <w:r w:rsidRPr="0002065A">
        <w:rPr>
          <w:szCs w:val="22"/>
        </w:rPr>
        <w:t xml:space="preserve"> folátu.</w:t>
      </w:r>
    </w:p>
    <w:p w14:paraId="5144D97A" w14:textId="77777777" w:rsidR="00311C67" w:rsidRPr="0002065A" w:rsidRDefault="00311C67" w:rsidP="00311C67">
      <w:pPr>
        <w:rPr>
          <w:szCs w:val="22"/>
        </w:rPr>
      </w:pPr>
    </w:p>
    <w:p w14:paraId="5957EFAA" w14:textId="11E87854" w:rsidR="001D29E6" w:rsidRPr="0002065A" w:rsidRDefault="00311C67" w:rsidP="00311C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02065A">
        <w:rPr>
          <w:szCs w:val="22"/>
        </w:rPr>
        <w:t>Pľúcna toxicita súvisiaca s liečivami ako sú bleomycín, amiodarón, furadantín a podobné antibiotiká, sa môže inhaláciou zvýšených koncentrácií kyslíka zhoršiť.</w:t>
      </w:r>
    </w:p>
    <w:p w14:paraId="1D923E80" w14:textId="77777777" w:rsidR="00311C67" w:rsidRPr="0002065A" w:rsidRDefault="00311C67" w:rsidP="00311C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</w:p>
    <w:p w14:paraId="0E748401" w14:textId="77777777" w:rsidR="001D29E6" w:rsidRPr="0002065A" w:rsidRDefault="001D29E6" w:rsidP="0002065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02065A">
        <w:rPr>
          <w:b/>
        </w:rPr>
        <w:t>Tehotenstvo</w:t>
      </w:r>
      <w:r w:rsidRPr="0002065A">
        <w:rPr>
          <w:b/>
          <w:szCs w:val="22"/>
        </w:rPr>
        <w:t xml:space="preserve">, </w:t>
      </w:r>
      <w:r w:rsidRPr="0002065A">
        <w:rPr>
          <w:b/>
        </w:rPr>
        <w:t>dojčenie a plodnosť</w:t>
      </w:r>
    </w:p>
    <w:p w14:paraId="26F8C320" w14:textId="77777777" w:rsidR="00B261BB" w:rsidRPr="0002065A" w:rsidRDefault="00B261BB" w:rsidP="00B261BB">
      <w:pPr>
        <w:numPr>
          <w:ilvl w:val="12"/>
          <w:numId w:val="0"/>
        </w:numPr>
        <w:rPr>
          <w:noProof/>
          <w:szCs w:val="22"/>
        </w:rPr>
      </w:pPr>
      <w:r w:rsidRPr="0002065A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30627546" w14:textId="77777777" w:rsidR="00524FEA" w:rsidRPr="0002065A" w:rsidRDefault="00524FEA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C39BF51" w14:textId="770F7621" w:rsidR="00CB069C" w:rsidRPr="0002065A" w:rsidRDefault="00C42195" w:rsidP="00CB06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>Serynox sa môže podávať počas tehotenstva, ak je to klinicky potrebné.</w:t>
      </w:r>
    </w:p>
    <w:p w14:paraId="5E6D6BCD" w14:textId="77777777" w:rsidR="00CB069C" w:rsidRPr="0002065A" w:rsidRDefault="00CB069C" w:rsidP="00CB06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26CD8E76" w14:textId="6F6D1B61" w:rsidR="00524FEA" w:rsidRPr="0002065A" w:rsidRDefault="00524FEA" w:rsidP="00524F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 xml:space="preserve">Ak sa používa </w:t>
      </w:r>
      <w:r w:rsidR="008A2A66" w:rsidRPr="0002065A">
        <w:rPr>
          <w:szCs w:val="22"/>
        </w:rPr>
        <w:t>tesne pred</w:t>
      </w:r>
      <w:r w:rsidRPr="0002065A">
        <w:rPr>
          <w:szCs w:val="22"/>
        </w:rPr>
        <w:t xml:space="preserve"> pôrod</w:t>
      </w:r>
      <w:r w:rsidR="008A2A66" w:rsidRPr="0002065A">
        <w:rPr>
          <w:szCs w:val="22"/>
        </w:rPr>
        <w:t>om</w:t>
      </w:r>
      <w:r w:rsidRPr="0002065A">
        <w:rPr>
          <w:szCs w:val="22"/>
        </w:rPr>
        <w:t>, majú sa u vášho dieťaťa sledovať akékoľvek nežiaduce účinky.</w:t>
      </w:r>
    </w:p>
    <w:p w14:paraId="36DF096D" w14:textId="77777777" w:rsidR="00524FEA" w:rsidRPr="0002065A" w:rsidRDefault="00524FEA" w:rsidP="00524F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25797C28" w14:textId="08680954" w:rsidR="00F70CE3" w:rsidRPr="0002065A" w:rsidRDefault="00F70CE3" w:rsidP="00F70CE3">
      <w:pPr>
        <w:numPr>
          <w:ilvl w:val="12"/>
          <w:numId w:val="0"/>
        </w:numPr>
        <w:rPr>
          <w:noProof/>
          <w:szCs w:val="22"/>
        </w:rPr>
      </w:pPr>
      <w:r w:rsidRPr="0002065A">
        <w:rPr>
          <w:szCs w:val="22"/>
        </w:rPr>
        <w:t>Po krátkodobom podávaní Serynoxu nie je potrebné prerušenie dojčenia.</w:t>
      </w:r>
    </w:p>
    <w:p w14:paraId="409CD10A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</w:p>
    <w:p w14:paraId="5B0C438C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02065A">
        <w:rPr>
          <w:b/>
        </w:rPr>
        <w:t>Vedenie vozidiel a obsluha strojov</w:t>
      </w:r>
    </w:p>
    <w:p w14:paraId="12DA8E1B" w14:textId="35E03D53" w:rsidR="000A680B" w:rsidRPr="0002065A" w:rsidRDefault="00C42195" w:rsidP="00D6087D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02065A">
        <w:t>Serynoxu ovplyvňuj</w:t>
      </w:r>
      <w:r w:rsidR="008A2A66" w:rsidRPr="0002065A">
        <w:t>e</w:t>
      </w:r>
      <w:r w:rsidRPr="0002065A">
        <w:t xml:space="preserve"> vaše vnímanie a vaše pohybové správanie (kognitívne a psychomotorické funkcie).</w:t>
      </w:r>
    </w:p>
    <w:p w14:paraId="070C1525" w14:textId="0A55A654" w:rsidR="00F76321" w:rsidRPr="0002065A" w:rsidRDefault="00F76321" w:rsidP="00F763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7593EC0E" w14:textId="2D6AA327" w:rsidR="004E0C4D" w:rsidRPr="0002065A" w:rsidRDefault="004E0C4D" w:rsidP="004E0C4D">
      <w:pPr>
        <w:rPr>
          <w:noProof/>
          <w:szCs w:val="22"/>
        </w:rPr>
      </w:pPr>
      <w:r w:rsidRPr="0002065A">
        <w:rPr>
          <w:szCs w:val="22"/>
        </w:rPr>
        <w:t xml:space="preserve">Po podaní Serynoxu budete sledovaní, kým neustúpia všetky účinky a kým sa neobnoví rovnaký stav bdelosti ako pred podaním. </w:t>
      </w:r>
      <w:r w:rsidRPr="0002065A">
        <w:rPr>
          <w:color w:val="000000"/>
          <w:szCs w:val="22"/>
        </w:rPr>
        <w:t>Vedenie vozidiel a </w:t>
      </w:r>
      <w:r w:rsidRPr="0002065A">
        <w:rPr>
          <w:szCs w:val="22"/>
        </w:rPr>
        <w:t xml:space="preserve">obsluha strojov alebo iné činnosti náročné z hľadiska psychomotorických funkcií </w:t>
      </w:r>
      <w:r w:rsidRPr="0002065A">
        <w:rPr>
          <w:color w:val="000000"/>
          <w:szCs w:val="22"/>
        </w:rPr>
        <w:t xml:space="preserve">sa po podaní oxidu dusného </w:t>
      </w:r>
      <w:r w:rsidRPr="0002065A">
        <w:rPr>
          <w:szCs w:val="22"/>
        </w:rPr>
        <w:t>po primeranú dobu po expozícii neodporúčajú</w:t>
      </w:r>
      <w:r w:rsidRPr="0002065A">
        <w:rPr>
          <w:color w:val="000000"/>
          <w:szCs w:val="22"/>
        </w:rPr>
        <w:t>.</w:t>
      </w:r>
    </w:p>
    <w:p w14:paraId="46D3C298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4DD19DC" w14:textId="77777777" w:rsidR="00F5012E" w:rsidRPr="0002065A" w:rsidRDefault="00F5012E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135E230" w14:textId="358BB7F6" w:rsidR="001D29E6" w:rsidRPr="0002065A" w:rsidRDefault="001D29E6" w:rsidP="009F4BA4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2065A">
        <w:rPr>
          <w:b/>
        </w:rPr>
        <w:t>Ako používať Serynox</w:t>
      </w:r>
    </w:p>
    <w:p w14:paraId="3B334067" w14:textId="77777777" w:rsidR="001D29E6" w:rsidRPr="0002065A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383A77B9" w14:textId="77777777" w:rsidR="00B95445" w:rsidRPr="0002065A" w:rsidRDefault="00B95445" w:rsidP="009F4BA4">
      <w:pPr>
        <w:tabs>
          <w:tab w:val="clear" w:pos="567"/>
        </w:tabs>
        <w:spacing w:line="240" w:lineRule="auto"/>
        <w:ind w:right="-2"/>
        <w:rPr>
          <w:noProof/>
          <w:u w:val="single"/>
        </w:rPr>
      </w:pPr>
      <w:r w:rsidRPr="0002065A">
        <w:rPr>
          <w:u w:val="single"/>
        </w:rPr>
        <w:t>Dávkovanie</w:t>
      </w:r>
    </w:p>
    <w:p w14:paraId="360FD8E9" w14:textId="0DCD946D" w:rsidR="003504F5" w:rsidRPr="0002065A" w:rsidRDefault="00B95445" w:rsidP="00524F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 xml:space="preserve">Serynox smie podávať iba personál, ktorý je oboznámený s touto formou lieku. Váš lekár vám vysvetlí, ako používať Serynox, ako účinkuje a aké účinky vyplývajú z jeho používania. Pri určitých </w:t>
      </w:r>
      <w:r w:rsidR="008A7530" w:rsidRPr="0002065A">
        <w:rPr>
          <w:szCs w:val="22"/>
        </w:rPr>
        <w:t>zákrokoch</w:t>
      </w:r>
      <w:r w:rsidRPr="0002065A">
        <w:rPr>
          <w:szCs w:val="22"/>
        </w:rPr>
        <w:t xml:space="preserve"> budete požiadaní, aby ste držali pomôcku na</w:t>
      </w:r>
      <w:r w:rsidR="008A7530" w:rsidRPr="0002065A">
        <w:rPr>
          <w:szCs w:val="22"/>
        </w:rPr>
        <w:t xml:space="preserve"> </w:t>
      </w:r>
      <w:r w:rsidRPr="0002065A">
        <w:rPr>
          <w:szCs w:val="22"/>
        </w:rPr>
        <w:t>podávanie plynu. Takto si môžete sami dávkovať množstvo plynu.</w:t>
      </w:r>
    </w:p>
    <w:p w14:paraId="05DFCFBD" w14:textId="22C3E49A" w:rsidR="000A680B" w:rsidRPr="0002065A" w:rsidRDefault="00524FEA" w:rsidP="00524FE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02065A">
        <w:rPr>
          <w:szCs w:val="22"/>
        </w:rPr>
        <w:t>Po celú dobu, počas ktorej budete používať Serynox, budete sledovaní ako vy, tak aj podávanie tohto lieku, aby sa zabezpečilo jeho bezpečné podávanie.</w:t>
      </w:r>
    </w:p>
    <w:p w14:paraId="60322A71" w14:textId="4DE70F79" w:rsidR="00124102" w:rsidRPr="0002065A" w:rsidRDefault="008A7530" w:rsidP="00124102">
      <w:bookmarkStart w:id="0" w:name="_Hlk56070751"/>
      <w:r w:rsidRPr="0002065A">
        <w:t xml:space="preserve">Nesmie sa pokračovať v podávaní </w:t>
      </w:r>
      <w:bookmarkStart w:id="1" w:name="_Hlk56070763"/>
      <w:bookmarkEnd w:id="0"/>
      <w:r w:rsidR="00C42195" w:rsidRPr="0002065A">
        <w:t>Serynox</w:t>
      </w:r>
      <w:r w:rsidRPr="0002065A">
        <w:t>u</w:t>
      </w:r>
      <w:bookmarkEnd w:id="1"/>
      <w:r w:rsidR="00C42195" w:rsidRPr="0002065A">
        <w:t>, ak dôjde k prerušeniu slovného kontaktu.</w:t>
      </w:r>
    </w:p>
    <w:p w14:paraId="7F930F3B" w14:textId="77777777" w:rsidR="00CA358C" w:rsidRPr="0002065A" w:rsidRDefault="00CA358C" w:rsidP="00CA358C">
      <w:pPr>
        <w:rPr>
          <w:szCs w:val="22"/>
        </w:rPr>
      </w:pPr>
      <w:r w:rsidRPr="0002065A">
        <w:rPr>
          <w:szCs w:val="22"/>
        </w:rPr>
        <w:t>Maximálny analgetický účinok sa dosiahne po najmenej 3 minútach.</w:t>
      </w:r>
    </w:p>
    <w:p w14:paraId="47BC5700" w14:textId="77777777" w:rsidR="00CA358C" w:rsidRPr="0002065A" w:rsidRDefault="00CA358C" w:rsidP="00CA358C">
      <w:pPr>
        <w:rPr>
          <w:szCs w:val="22"/>
        </w:rPr>
      </w:pPr>
    </w:p>
    <w:p w14:paraId="1F626B8D" w14:textId="77777777" w:rsidR="00CA358C" w:rsidRPr="0002065A" w:rsidRDefault="00CA358C" w:rsidP="00CA358C">
      <w:pPr>
        <w:rPr>
          <w:szCs w:val="22"/>
          <w:u w:val="single"/>
        </w:rPr>
      </w:pPr>
      <w:r w:rsidRPr="0002065A">
        <w:rPr>
          <w:szCs w:val="22"/>
          <w:u w:val="single"/>
        </w:rPr>
        <w:t>Spôsob podávania</w:t>
      </w:r>
    </w:p>
    <w:p w14:paraId="1DC4BDD1" w14:textId="344960B6" w:rsidR="00CA358C" w:rsidRPr="0002065A" w:rsidRDefault="00C42195" w:rsidP="00CA358C">
      <w:pPr>
        <w:rPr>
          <w:szCs w:val="22"/>
        </w:rPr>
      </w:pPr>
      <w:r w:rsidRPr="0002065A">
        <w:rPr>
          <w:szCs w:val="22"/>
        </w:rPr>
        <w:t>Serynox je určený na</w:t>
      </w:r>
      <w:r w:rsidR="008A7530" w:rsidRPr="0002065A">
        <w:rPr>
          <w:szCs w:val="22"/>
        </w:rPr>
        <w:t xml:space="preserve"> </w:t>
      </w:r>
      <w:r w:rsidRPr="0002065A">
        <w:rPr>
          <w:szCs w:val="22"/>
        </w:rPr>
        <w:t>inhalačné použitie.</w:t>
      </w:r>
    </w:p>
    <w:p w14:paraId="1FB2BA3E" w14:textId="77777777" w:rsidR="00CA358C" w:rsidRPr="0002065A" w:rsidRDefault="00CA358C" w:rsidP="00CA358C">
      <w:pPr>
        <w:rPr>
          <w:szCs w:val="22"/>
        </w:rPr>
      </w:pPr>
    </w:p>
    <w:p w14:paraId="552FE178" w14:textId="60CCFB65" w:rsidR="00235D23" w:rsidRPr="0002065A" w:rsidRDefault="00C42195" w:rsidP="00124102">
      <w:r w:rsidRPr="0002065A">
        <w:t xml:space="preserve">Serynox je zmes dvoch </w:t>
      </w:r>
      <w:r w:rsidR="00EB6D27">
        <w:t>medicinálnych</w:t>
      </w:r>
      <w:r w:rsidR="00EB6D27" w:rsidRPr="0002065A">
        <w:t xml:space="preserve"> </w:t>
      </w:r>
      <w:r w:rsidRPr="0002065A">
        <w:t>plynov, ktoré budete inhalovať a ktoré vám budú podávané cez tvárovú masku pomocou vhodnej pomôcky.</w:t>
      </w:r>
    </w:p>
    <w:p w14:paraId="28E99BA7" w14:textId="77777777" w:rsidR="000A0826" w:rsidRPr="0002065A" w:rsidRDefault="000A0826" w:rsidP="00124102"/>
    <w:p w14:paraId="25050E17" w14:textId="57F4DF55" w:rsidR="000A0826" w:rsidRPr="0002065A" w:rsidRDefault="000A0826" w:rsidP="000A08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>Počas inhalácie Serynoxu dýchajte normálne.</w:t>
      </w:r>
    </w:p>
    <w:p w14:paraId="4DFA5994" w14:textId="77777777" w:rsidR="006F2BB4" w:rsidRPr="0002065A" w:rsidRDefault="006F2BB4" w:rsidP="00524F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184B58B6" w14:textId="7E0FF217" w:rsidR="006F2BB4" w:rsidRPr="0002065A" w:rsidRDefault="00524FEA" w:rsidP="009F4BA4">
      <w:pPr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 xml:space="preserve">Po skončení používania Serynoxu bude </w:t>
      </w:r>
      <w:r w:rsidR="008A7530" w:rsidRPr="0002065A">
        <w:rPr>
          <w:szCs w:val="22"/>
        </w:rPr>
        <w:t xml:space="preserve">sa </w:t>
      </w:r>
      <w:r w:rsidRPr="0002065A">
        <w:rPr>
          <w:szCs w:val="22"/>
        </w:rPr>
        <w:t>maska od</w:t>
      </w:r>
      <w:r w:rsidR="008A7530" w:rsidRPr="0002065A">
        <w:rPr>
          <w:szCs w:val="22"/>
        </w:rPr>
        <w:t>oberie a vy</w:t>
      </w:r>
      <w:r w:rsidRPr="0002065A">
        <w:rPr>
          <w:szCs w:val="22"/>
        </w:rPr>
        <w:t xml:space="preserve"> si </w:t>
      </w:r>
      <w:r w:rsidR="008A7530" w:rsidRPr="0002065A">
        <w:rPr>
          <w:szCs w:val="22"/>
        </w:rPr>
        <w:t xml:space="preserve">máte </w:t>
      </w:r>
      <w:r w:rsidRPr="0002065A">
        <w:rPr>
          <w:szCs w:val="22"/>
        </w:rPr>
        <w:t>oddýchnuť a zotaviť sa, až kým nebudete mať pocit, že ste sa psychicky zotavili.</w:t>
      </w:r>
    </w:p>
    <w:p w14:paraId="1D96FEB5" w14:textId="77777777" w:rsidR="006F2BB4" w:rsidRPr="0002065A" w:rsidRDefault="006F2BB4" w:rsidP="009F4BA4">
      <w:pPr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44B62F42" w14:textId="77777777" w:rsidR="0044228A" w:rsidRPr="0002065A" w:rsidRDefault="0044228A" w:rsidP="009F4BA4">
      <w:pPr>
        <w:autoSpaceDE w:val="0"/>
        <w:autoSpaceDN w:val="0"/>
        <w:adjustRightInd w:val="0"/>
        <w:spacing w:line="240" w:lineRule="auto"/>
        <w:rPr>
          <w:szCs w:val="22"/>
          <w:u w:val="single"/>
          <w:lang w:eastAsia="de-DE"/>
        </w:rPr>
      </w:pPr>
      <w:r w:rsidRPr="0002065A">
        <w:rPr>
          <w:szCs w:val="22"/>
          <w:u w:val="single"/>
        </w:rPr>
        <w:t>Trvanie používania</w:t>
      </w:r>
    </w:p>
    <w:p w14:paraId="1C3FD816" w14:textId="44C7639A" w:rsidR="0044228A" w:rsidRPr="0002065A" w:rsidRDefault="0044228A" w:rsidP="0044228A">
      <w:pPr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 xml:space="preserve">Používanie Serynoxu závisí od trvania </w:t>
      </w:r>
      <w:r w:rsidR="008A7530" w:rsidRPr="0002065A">
        <w:rPr>
          <w:szCs w:val="22"/>
        </w:rPr>
        <w:t>zákroku</w:t>
      </w:r>
      <w:r w:rsidRPr="0002065A">
        <w:rPr>
          <w:szCs w:val="22"/>
        </w:rPr>
        <w:t xml:space="preserve"> a za normálnych okolností nemá presiahnuť 60 minút inhalácie denne. Opakované podávanie Serynoxu nemá presiahnuť 15 dní.</w:t>
      </w:r>
    </w:p>
    <w:p w14:paraId="5851870D" w14:textId="77777777" w:rsidR="00C53ACC" w:rsidRPr="0002065A" w:rsidRDefault="00C53ACC" w:rsidP="009F4BA4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4AB6ED5E" w14:textId="2BD02523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02065A">
        <w:rPr>
          <w:b/>
        </w:rPr>
        <w:t>Ak použijete viac Serynoxu, ako máte</w:t>
      </w:r>
    </w:p>
    <w:p w14:paraId="66BCFB59" w14:textId="3044DF8A" w:rsidR="006F2BB4" w:rsidRPr="0002065A" w:rsidRDefault="006F2BB4" w:rsidP="00D6087D">
      <w:pPr>
        <w:rPr>
          <w:lang w:eastAsia="de-DE"/>
        </w:rPr>
      </w:pPr>
      <w:r w:rsidRPr="0002065A">
        <w:t>Je veľmi nepravdepodobné, že by ste dostali príliš veľa plynu, pretože sami môžete regulovať, koľko plynu vdychujete cez masku a starostlivo vás budú sledovať.</w:t>
      </w:r>
    </w:p>
    <w:p w14:paraId="46767E0E" w14:textId="108A9F59" w:rsidR="000A680B" w:rsidRPr="0002065A" w:rsidRDefault="006F2BB4" w:rsidP="00D6087D">
      <w:pPr>
        <w:rPr>
          <w:szCs w:val="22"/>
        </w:rPr>
      </w:pPr>
      <w:r w:rsidRPr="0002065A">
        <w:t>Ak dýchate rýchlejšie než obvykle, kvôli čomu dost</w:t>
      </w:r>
      <w:r w:rsidR="0069607B" w:rsidRPr="0002065A">
        <w:t>anete</w:t>
      </w:r>
      <w:r w:rsidRPr="0002065A">
        <w:t xml:space="preserve"> viac oxidu dusného, než by ste dostali pri </w:t>
      </w:r>
      <w:r w:rsidRPr="0002065A">
        <w:rPr>
          <w:szCs w:val="22"/>
        </w:rPr>
        <w:t>normálnom dýchaní, môžete sa cítiť zna</w:t>
      </w:r>
      <w:r w:rsidR="0069607B" w:rsidRPr="0002065A">
        <w:rPr>
          <w:szCs w:val="22"/>
        </w:rPr>
        <w:t>čne</w:t>
      </w:r>
      <w:r w:rsidRPr="0002065A">
        <w:rPr>
          <w:szCs w:val="22"/>
        </w:rPr>
        <w:t xml:space="preserve"> unavení a do istej miery odpútaní od svojho okolia.</w:t>
      </w:r>
    </w:p>
    <w:p w14:paraId="4F971C6B" w14:textId="41F74748" w:rsidR="006F2BB4" w:rsidRPr="0002065A" w:rsidRDefault="006F2BB4" w:rsidP="00D6087D">
      <w:pPr>
        <w:rPr>
          <w:szCs w:val="22"/>
          <w:lang w:eastAsia="de-DE"/>
        </w:rPr>
      </w:pPr>
      <w:r w:rsidRPr="0002065A">
        <w:rPr>
          <w:szCs w:val="22"/>
        </w:rPr>
        <w:t>Za takýchto okolností okamžite informujte zdravotnícky personál a ukončite podávanie.</w:t>
      </w:r>
    </w:p>
    <w:p w14:paraId="732A0BB6" w14:textId="77777777" w:rsidR="006F2BB4" w:rsidRPr="0002065A" w:rsidRDefault="006F2BB4" w:rsidP="006F2B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794E1A1C" w14:textId="77777777" w:rsidR="000A680B" w:rsidRPr="0002065A" w:rsidRDefault="00112A43" w:rsidP="00112A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2065A">
        <w:rPr>
          <w:szCs w:val="22"/>
        </w:rPr>
        <w:t>Ak vaša pokožka počas používania Serynoxu zmodrie (cyanóza), zdravotnícky personál okamžite ukončí liečbu. Ak cyanóza rapídne neustúpi, bude vám poskytnutá ventilácia vzduchom pomocou ručného ventilačného balónika alebo kyslíkom.</w:t>
      </w:r>
    </w:p>
    <w:p w14:paraId="1B7FEC4C" w14:textId="4ACEC450" w:rsidR="00E72AF5" w:rsidRPr="0002065A" w:rsidRDefault="00E72AF5" w:rsidP="006F2B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1598ECCA" w14:textId="4133EF51" w:rsidR="00112A43" w:rsidRPr="0002065A" w:rsidRDefault="00E72AF5" w:rsidP="006F2B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eastAsia="de-DE"/>
        </w:rPr>
      </w:pPr>
      <w:r w:rsidRPr="0002065A">
        <w:rPr>
          <w:b/>
          <w:szCs w:val="22"/>
        </w:rPr>
        <w:t>Ak prestanete používať Serynox</w:t>
      </w:r>
    </w:p>
    <w:p w14:paraId="26C0B84F" w14:textId="046281D3" w:rsidR="00E72AF5" w:rsidRPr="0002065A" w:rsidRDefault="00B617F3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de-DE"/>
        </w:rPr>
      </w:pPr>
      <w:r w:rsidRPr="0002065A">
        <w:rPr>
          <w:szCs w:val="22"/>
        </w:rPr>
        <w:t>Analgetický účinok ustúpi okamžite po skončení podávania Serynoxu bez akýchkoľvek nezvratných účinkov.</w:t>
      </w:r>
    </w:p>
    <w:p w14:paraId="4A6B67A5" w14:textId="77777777" w:rsidR="00E72AF5" w:rsidRPr="0002065A" w:rsidRDefault="00E72AF5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de-DE"/>
        </w:rPr>
      </w:pPr>
    </w:p>
    <w:p w14:paraId="15740095" w14:textId="77777777" w:rsidR="001D29E6" w:rsidRPr="0002065A" w:rsidRDefault="006F2BB4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2065A">
        <w:rPr>
          <w:szCs w:val="22"/>
        </w:rPr>
        <w:t>Ak máte akékoľvek ďalšie otázky týkajúce sa použitia tohto lieku, opýtajte sa svojho lekára alebo lekárnika.</w:t>
      </w:r>
    </w:p>
    <w:p w14:paraId="1E470D3A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6D32D48" w14:textId="77777777" w:rsidR="00345444" w:rsidRPr="0002065A" w:rsidRDefault="00345444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E7CFA60" w14:textId="77777777" w:rsidR="001D29E6" w:rsidRPr="0002065A" w:rsidRDefault="001D29E6" w:rsidP="007C4562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noProof/>
        </w:rPr>
      </w:pPr>
      <w:r w:rsidRPr="0002065A">
        <w:rPr>
          <w:b/>
        </w:rPr>
        <w:tab/>
      </w:r>
      <w:r w:rsidRPr="0002065A">
        <w:rPr>
          <w:b/>
          <w:szCs w:val="22"/>
        </w:rPr>
        <w:t>Možné vedľajšie účinky</w:t>
      </w:r>
    </w:p>
    <w:p w14:paraId="6B9DF8D5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65FF9EB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02065A">
        <w:t>Tak ako všetky lieky, aj tento liek môže spôsobovať vedľajšie účinky, hoci sa neprejavia u každého.</w:t>
      </w:r>
    </w:p>
    <w:p w14:paraId="4B036DA2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D91C1B5" w14:textId="310FCD55" w:rsidR="008B1C08" w:rsidRPr="0002065A" w:rsidRDefault="008B1C08" w:rsidP="000A48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>Počas liečby sa môžu vyskytnúť nasledujúce vedľajšie účinky, ktoré do</w:t>
      </w:r>
      <w:r w:rsidR="0069607B" w:rsidRPr="0002065A">
        <w:rPr>
          <w:szCs w:val="22"/>
        </w:rPr>
        <w:t xml:space="preserve"> </w:t>
      </w:r>
      <w:r w:rsidRPr="0002065A">
        <w:rPr>
          <w:szCs w:val="22"/>
        </w:rPr>
        <w:t>niekoľkých minút po skončení inhalácie zmesi zvyčajne ustúpia:</w:t>
      </w:r>
    </w:p>
    <w:p w14:paraId="3BC11F23" w14:textId="77777777" w:rsidR="008B1C08" w:rsidRPr="0002065A" w:rsidRDefault="008B1C08" w:rsidP="008B1C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de-DE"/>
        </w:rPr>
      </w:pPr>
    </w:p>
    <w:p w14:paraId="7AD44825" w14:textId="464511F7" w:rsidR="008B1C08" w:rsidRPr="0002065A" w:rsidRDefault="008B1C08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i/>
          <w:iCs/>
          <w:szCs w:val="22"/>
        </w:rPr>
        <w:t xml:space="preserve">Časté: môžu postihovať </w:t>
      </w:r>
      <w:r w:rsidR="0069607B" w:rsidRPr="0002065A">
        <w:rPr>
          <w:i/>
          <w:iCs/>
          <w:szCs w:val="22"/>
        </w:rPr>
        <w:t>až</w:t>
      </w:r>
      <w:r w:rsidRPr="0002065A">
        <w:rPr>
          <w:i/>
          <w:iCs/>
          <w:szCs w:val="22"/>
        </w:rPr>
        <w:t xml:space="preserve"> 1 z 10 ľudí</w:t>
      </w:r>
    </w:p>
    <w:p w14:paraId="49569F20" w14:textId="77777777" w:rsidR="000A680B" w:rsidRPr="0002065A" w:rsidRDefault="002A14F4" w:rsidP="003672D1">
      <w:pPr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závrat,</w:t>
      </w:r>
    </w:p>
    <w:p w14:paraId="11DD23C3" w14:textId="444C9756" w:rsidR="002A14F4" w:rsidRPr="0002065A" w:rsidRDefault="002A14F4" w:rsidP="003672D1">
      <w:pPr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mdloby,</w:t>
      </w:r>
    </w:p>
    <w:p w14:paraId="6BB1B0BA" w14:textId="77777777" w:rsidR="007B0734" w:rsidRPr="0002065A" w:rsidRDefault="008B1C08" w:rsidP="00F546E9">
      <w:pPr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nevoľnosť,</w:t>
      </w:r>
    </w:p>
    <w:p w14:paraId="1AD5B4F3" w14:textId="77777777" w:rsidR="008B1C08" w:rsidRPr="0002065A" w:rsidRDefault="007B0734" w:rsidP="00F546E9">
      <w:pPr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vracanie.</w:t>
      </w:r>
    </w:p>
    <w:p w14:paraId="138B9EFA" w14:textId="77777777" w:rsidR="008B1C08" w:rsidRPr="0002065A" w:rsidRDefault="008B1C08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6E5EA858" w14:textId="62CF13A2" w:rsidR="008B1C08" w:rsidRPr="0002065A" w:rsidRDefault="008B1C08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i/>
          <w:iCs/>
          <w:szCs w:val="22"/>
        </w:rPr>
        <w:t xml:space="preserve">Menej časté: môžu postihovať </w:t>
      </w:r>
      <w:r w:rsidR="0069607B" w:rsidRPr="0002065A">
        <w:rPr>
          <w:i/>
          <w:iCs/>
          <w:szCs w:val="22"/>
        </w:rPr>
        <w:t>až</w:t>
      </w:r>
      <w:r w:rsidRPr="0002065A">
        <w:rPr>
          <w:i/>
          <w:iCs/>
          <w:szCs w:val="22"/>
        </w:rPr>
        <w:t xml:space="preserve"> 1 z</w:t>
      </w:r>
      <w:r w:rsidR="00005974" w:rsidRPr="0002065A">
        <w:rPr>
          <w:i/>
          <w:iCs/>
          <w:szCs w:val="22"/>
        </w:rPr>
        <w:t>o</w:t>
      </w:r>
      <w:r w:rsidRPr="0002065A">
        <w:rPr>
          <w:i/>
          <w:iCs/>
          <w:szCs w:val="22"/>
        </w:rPr>
        <w:t> 100 ľudí</w:t>
      </w:r>
    </w:p>
    <w:p w14:paraId="379F5816" w14:textId="77777777" w:rsidR="000A680B" w:rsidRPr="0002065A" w:rsidRDefault="007B0734" w:rsidP="003672D1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iCs/>
          <w:szCs w:val="22"/>
        </w:rPr>
        <w:t>tŕpnutie</w:t>
      </w:r>
      <w:r w:rsidRPr="0002065A">
        <w:rPr>
          <w:szCs w:val="22"/>
        </w:rPr>
        <w:t xml:space="preserve"> </w:t>
      </w:r>
      <w:r w:rsidRPr="0002065A">
        <w:rPr>
          <w:i/>
          <w:szCs w:val="22"/>
        </w:rPr>
        <w:t>(parestézia</w:t>
      </w:r>
      <w:r w:rsidRPr="0002065A">
        <w:rPr>
          <w:szCs w:val="22"/>
        </w:rPr>
        <w:t>),</w:t>
      </w:r>
    </w:p>
    <w:p w14:paraId="4B65FF87" w14:textId="77777777" w:rsidR="000A680B" w:rsidRPr="0002065A" w:rsidRDefault="007B0734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 xml:space="preserve">prehĺbenie sedácie </w:t>
      </w:r>
      <w:r w:rsidRPr="0002065A">
        <w:rPr>
          <w:i/>
          <w:szCs w:val="22"/>
        </w:rPr>
        <w:t>(</w:t>
      </w:r>
      <w:r w:rsidRPr="0002065A">
        <w:rPr>
          <w:i/>
          <w:iCs/>
          <w:szCs w:val="22"/>
        </w:rPr>
        <w:t>ospalosť</w:t>
      </w:r>
      <w:r w:rsidRPr="0002065A">
        <w:rPr>
          <w:i/>
          <w:szCs w:val="22"/>
        </w:rPr>
        <w:t>)</w:t>
      </w:r>
      <w:r w:rsidRPr="0002065A">
        <w:rPr>
          <w:szCs w:val="22"/>
        </w:rPr>
        <w:t>,</w:t>
      </w:r>
    </w:p>
    <w:p w14:paraId="216360B0" w14:textId="77777777" w:rsidR="000A680B" w:rsidRPr="0002065A" w:rsidRDefault="007B0734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halucinácie,</w:t>
      </w:r>
    </w:p>
    <w:p w14:paraId="7D87D2D4" w14:textId="77777777" w:rsidR="000A680B" w:rsidRPr="0002065A" w:rsidRDefault="007B0734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úzkosť,</w:t>
      </w:r>
    </w:p>
    <w:p w14:paraId="280D908A" w14:textId="7C810ACA" w:rsidR="008B1C08" w:rsidRPr="0002065A" w:rsidRDefault="007B0734" w:rsidP="00F546E9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agitácia,</w:t>
      </w:r>
    </w:p>
    <w:p w14:paraId="2B6EB641" w14:textId="77777777" w:rsidR="007B0734" w:rsidRPr="0002065A" w:rsidRDefault="007B0734" w:rsidP="00F546E9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eufória,</w:t>
      </w:r>
    </w:p>
    <w:p w14:paraId="5152B753" w14:textId="77777777" w:rsidR="008B1C08" w:rsidRPr="0002065A" w:rsidRDefault="007B0734" w:rsidP="00F546E9">
      <w:pPr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sny.</w:t>
      </w:r>
    </w:p>
    <w:p w14:paraId="6D4FD194" w14:textId="77777777" w:rsidR="008B1C08" w:rsidRPr="0002065A" w:rsidRDefault="008B1C08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2A280038" w14:textId="77777777" w:rsidR="008B1C08" w:rsidRPr="0002065A" w:rsidRDefault="008B1C08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eastAsia="de-DE"/>
        </w:rPr>
      </w:pPr>
      <w:r w:rsidRPr="0002065A">
        <w:rPr>
          <w:i/>
          <w:iCs/>
          <w:szCs w:val="22"/>
        </w:rPr>
        <w:t xml:space="preserve">Neznáme: </w:t>
      </w:r>
      <w:r w:rsidRPr="0002065A">
        <w:rPr>
          <w:i/>
          <w:szCs w:val="22"/>
        </w:rPr>
        <w:t>frekvencia sa nedá odhadnúť z dostupných údajov</w:t>
      </w:r>
    </w:p>
    <w:p w14:paraId="5B9D3C15" w14:textId="057FF050" w:rsidR="007B0734" w:rsidRPr="0002065A" w:rsidRDefault="007B0734" w:rsidP="00F546E9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bolesť hlavy,</w:t>
      </w:r>
    </w:p>
    <w:p w14:paraId="20424BC1" w14:textId="77777777" w:rsidR="000A680B" w:rsidRPr="0002065A" w:rsidRDefault="007B0734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kŕče,</w:t>
      </w:r>
    </w:p>
    <w:p w14:paraId="610BBB3E" w14:textId="3D312510" w:rsidR="000A680B" w:rsidRPr="0002065A" w:rsidRDefault="007B0734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 xml:space="preserve">zvýšený </w:t>
      </w:r>
      <w:r w:rsidR="0069607B" w:rsidRPr="0002065A">
        <w:rPr>
          <w:szCs w:val="22"/>
        </w:rPr>
        <w:t>vnútrolebečný</w:t>
      </w:r>
      <w:r w:rsidRPr="0002065A">
        <w:rPr>
          <w:szCs w:val="22"/>
        </w:rPr>
        <w:t xml:space="preserve"> tlak (pozri časť 2 – Nepoužívajte Serynox),</w:t>
      </w:r>
    </w:p>
    <w:p w14:paraId="1D29F84B" w14:textId="77777777" w:rsidR="000A680B" w:rsidRPr="0002065A" w:rsidRDefault="007B0734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bolesť ucha,</w:t>
      </w:r>
    </w:p>
    <w:p w14:paraId="3B816DBD" w14:textId="1A1B1CBB" w:rsidR="00B9360C" w:rsidRPr="0002065A" w:rsidRDefault="00B9360C" w:rsidP="00F546E9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psychóza,</w:t>
      </w:r>
    </w:p>
    <w:p w14:paraId="6F5BB922" w14:textId="77777777" w:rsidR="00B9360C" w:rsidRPr="0002065A" w:rsidRDefault="00B9360C" w:rsidP="00F546E9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zmätenosť,</w:t>
      </w:r>
    </w:p>
    <w:p w14:paraId="2CDA4683" w14:textId="77777777" w:rsidR="007B0734" w:rsidRPr="0002065A" w:rsidRDefault="007B0734" w:rsidP="00F546E9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de-DE"/>
        </w:rPr>
      </w:pPr>
      <w:r w:rsidRPr="0002065A">
        <w:rPr>
          <w:szCs w:val="22"/>
        </w:rPr>
        <w:t>dezorientácia,</w:t>
      </w:r>
    </w:p>
    <w:p w14:paraId="6DBF6DC3" w14:textId="05E2798C" w:rsidR="000A680B" w:rsidRPr="0002065A" w:rsidRDefault="00B12B30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>respiračn</w:t>
      </w:r>
      <w:r w:rsidR="0069607B" w:rsidRPr="0002065A">
        <w:rPr>
          <w:szCs w:val="22"/>
        </w:rPr>
        <w:t>ý</w:t>
      </w:r>
      <w:r w:rsidRPr="0002065A">
        <w:rPr>
          <w:szCs w:val="22"/>
        </w:rPr>
        <w:t xml:space="preserve"> </w:t>
      </w:r>
      <w:r w:rsidR="0069607B" w:rsidRPr="0002065A">
        <w:rPr>
          <w:szCs w:val="22"/>
        </w:rPr>
        <w:t>útlm</w:t>
      </w:r>
      <w:r w:rsidRPr="0002065A">
        <w:rPr>
          <w:szCs w:val="22"/>
        </w:rPr>
        <w:t xml:space="preserve"> (u novorodencov počas pôrodu),</w:t>
      </w:r>
    </w:p>
    <w:p w14:paraId="0ACCB95B" w14:textId="5C5D95D9" w:rsidR="000A680B" w:rsidRPr="0002065A" w:rsidRDefault="007B0734">
      <w:pPr>
        <w:numPr>
          <w:ilvl w:val="0"/>
          <w:numId w:val="4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02065A">
        <w:rPr>
          <w:szCs w:val="22"/>
        </w:rPr>
        <w:t xml:space="preserve">závažná porucha zraku (spôsobená </w:t>
      </w:r>
      <w:r w:rsidR="0069607B" w:rsidRPr="0002065A">
        <w:rPr>
          <w:szCs w:val="22"/>
        </w:rPr>
        <w:t>rozpínaním</w:t>
      </w:r>
      <w:r w:rsidRPr="0002065A">
        <w:rPr>
          <w:szCs w:val="22"/>
        </w:rPr>
        <w:t xml:space="preserve"> vnútroočného plynu, pozri časť 2 – Nepoužívajte Serynox).</w:t>
      </w:r>
    </w:p>
    <w:p w14:paraId="0F52A635" w14:textId="63E2B1D2" w:rsidR="008B1C08" w:rsidRPr="0002065A" w:rsidRDefault="008B1C08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70BEFD24" w14:textId="01A20DC8" w:rsidR="00284582" w:rsidRPr="0002065A" w:rsidRDefault="00284582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de-DE"/>
        </w:rPr>
      </w:pPr>
      <w:r w:rsidRPr="0002065A">
        <w:rPr>
          <w:szCs w:val="22"/>
          <w:u w:val="single"/>
        </w:rPr>
        <w:t>Po dlhodobom a opakovanom používaní Serynoxu</w:t>
      </w:r>
    </w:p>
    <w:p w14:paraId="6A024FA0" w14:textId="77777777" w:rsidR="00284582" w:rsidRPr="0002065A" w:rsidRDefault="00284582" w:rsidP="0028458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de-DE"/>
        </w:rPr>
      </w:pPr>
    </w:p>
    <w:p w14:paraId="75B5AF92" w14:textId="77777777" w:rsidR="00284582" w:rsidRPr="0002065A" w:rsidRDefault="00284582" w:rsidP="0028458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eastAsia="de-DE"/>
        </w:rPr>
      </w:pPr>
      <w:r w:rsidRPr="0002065A">
        <w:rPr>
          <w:i/>
          <w:iCs/>
          <w:szCs w:val="22"/>
        </w:rPr>
        <w:t xml:space="preserve">Neznáme: </w:t>
      </w:r>
      <w:r w:rsidRPr="0002065A">
        <w:rPr>
          <w:i/>
          <w:szCs w:val="22"/>
        </w:rPr>
        <w:t>frekvencia sa nedá odhadnúť z dostupných údajov</w:t>
      </w:r>
    </w:p>
    <w:p w14:paraId="04DCA085" w14:textId="32D52DB4" w:rsidR="000A680B" w:rsidRPr="0002065A" w:rsidRDefault="00EB6D27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P</w:t>
      </w:r>
      <w:r w:rsidR="007A0721" w:rsidRPr="0002065A">
        <w:rPr>
          <w:szCs w:val="22"/>
        </w:rPr>
        <w:t xml:space="preserve">o zvýšenom dýchaní počas inhalácie </w:t>
      </w:r>
      <w:r w:rsidR="007A0721" w:rsidRPr="0002065A">
        <w:rPr>
          <w:i/>
          <w:szCs w:val="22"/>
        </w:rPr>
        <w:t>(hyperventilácia)</w:t>
      </w:r>
      <w:r w:rsidR="007A0721" w:rsidRPr="0002065A">
        <w:rPr>
          <w:szCs w:val="22"/>
        </w:rPr>
        <w:t xml:space="preserve"> môže dôjsť k abnormálnym pohybom,</w:t>
      </w:r>
    </w:p>
    <w:p w14:paraId="445D108C" w14:textId="6AEF9965" w:rsidR="00DD2219" w:rsidRPr="0002065A" w:rsidRDefault="00DD2219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4150A453" w14:textId="77777777" w:rsidR="008B1C08" w:rsidRPr="0002065A" w:rsidRDefault="008B1C08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 xml:space="preserve">neurologické poruchy, ako napríklad </w:t>
      </w:r>
      <w:r w:rsidRPr="0002065A">
        <w:rPr>
          <w:iCs/>
          <w:szCs w:val="22"/>
        </w:rPr>
        <w:t>ochorenia miechy</w:t>
      </w:r>
      <w:r w:rsidRPr="0002065A">
        <w:rPr>
          <w:szCs w:val="22"/>
        </w:rPr>
        <w:t xml:space="preserve"> </w:t>
      </w:r>
      <w:r w:rsidRPr="0002065A">
        <w:rPr>
          <w:i/>
          <w:szCs w:val="22"/>
        </w:rPr>
        <w:t>(myeloneuropatie)</w:t>
      </w:r>
      <w:r w:rsidRPr="0002065A">
        <w:rPr>
          <w:szCs w:val="22"/>
        </w:rPr>
        <w:t>,</w:t>
      </w:r>
    </w:p>
    <w:p w14:paraId="4DBCD958" w14:textId="77777777" w:rsidR="008B1C08" w:rsidRPr="0002065A" w:rsidRDefault="008B1C08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61F1D2A8" w14:textId="77777777" w:rsidR="000A680B" w:rsidRPr="0002065A" w:rsidRDefault="007A0721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2065A">
        <w:rPr>
          <w:iCs/>
          <w:szCs w:val="22"/>
        </w:rPr>
        <w:t xml:space="preserve">pokles počtu červených krviniek sprevádzaný poklesom počtu bielych krviniek </w:t>
      </w:r>
      <w:r w:rsidRPr="0002065A">
        <w:rPr>
          <w:i/>
          <w:iCs/>
          <w:szCs w:val="22"/>
        </w:rPr>
        <w:t>(</w:t>
      </w:r>
      <w:r w:rsidRPr="0002065A">
        <w:rPr>
          <w:i/>
          <w:szCs w:val="22"/>
        </w:rPr>
        <w:t>megaloblastická anémia s leukopéniou),</w:t>
      </w:r>
    </w:p>
    <w:p w14:paraId="3077BA15" w14:textId="1F06C64A" w:rsidR="002B5553" w:rsidRPr="0002065A" w:rsidRDefault="002B5553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7C2A94FC" w14:textId="77777777" w:rsidR="002B5553" w:rsidRPr="0002065A" w:rsidRDefault="002B5553" w:rsidP="002B555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>zneužitie a závislosť,</w:t>
      </w:r>
    </w:p>
    <w:p w14:paraId="08A29431" w14:textId="77777777" w:rsidR="002B5553" w:rsidRPr="0002065A" w:rsidRDefault="002B5553" w:rsidP="008B1C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601BCD07" w14:textId="7E97D513" w:rsidR="00F029B6" w:rsidRPr="0002065A" w:rsidRDefault="00DD2219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2065A">
        <w:rPr>
          <w:szCs w:val="22"/>
        </w:rPr>
        <w:t>nedostatok vitamínu B12 (pozri časť 2</w:t>
      </w:r>
      <w:r w:rsidR="0069607B" w:rsidRPr="0002065A">
        <w:rPr>
          <w:szCs w:val="22"/>
        </w:rPr>
        <w:t xml:space="preserve"> - N</w:t>
      </w:r>
      <w:r w:rsidRPr="0002065A">
        <w:rPr>
          <w:szCs w:val="22"/>
        </w:rPr>
        <w:t>epoužívajte Serynox,</w:t>
      </w:r>
      <w:r w:rsidRPr="0002065A">
        <w:t xml:space="preserve"> </w:t>
      </w:r>
      <w:r w:rsidRPr="0002065A">
        <w:rPr>
          <w:szCs w:val="22"/>
        </w:rPr>
        <w:t>Upozornenia a opatrenia, Iné lieky a Serynox).</w:t>
      </w:r>
    </w:p>
    <w:p w14:paraId="25956C59" w14:textId="77777777" w:rsidR="00F3099C" w:rsidRPr="0002065A" w:rsidRDefault="00F3099C" w:rsidP="009F4BA4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</w:p>
    <w:p w14:paraId="706A4DE6" w14:textId="77777777" w:rsidR="00F00876" w:rsidRPr="0002065A" w:rsidRDefault="00F00876" w:rsidP="009F4BA4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02065A">
        <w:rPr>
          <w:b/>
          <w:szCs w:val="22"/>
        </w:rPr>
        <w:t>Hlásenie vedľajších účinkov</w:t>
      </w:r>
    </w:p>
    <w:p w14:paraId="54895017" w14:textId="4E237160" w:rsidR="00B96575" w:rsidRDefault="00F00876" w:rsidP="009F4BA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2065A">
        <w:rPr>
          <w:rFonts w:ascii="Times New Roman" w:hAnsi="Times New Roman" w:cs="Times New Roman"/>
          <w:sz w:val="22"/>
          <w:szCs w:val="22"/>
        </w:rPr>
        <w:t>Ak sa u vás vyskytne akýkoľvek vedľajší účinok, obráťte sa na svojho lekára, lekárnika alebo zdravotnú sestru. To sa týka aj akýchkoľvek vedľajších účinkov, ktoré nie sú uvedené v tejto písomnej informácii.</w:t>
      </w:r>
      <w:r w:rsidR="00DC5E22" w:rsidRPr="0002065A">
        <w:rPr>
          <w:rFonts w:ascii="Times New Roman" w:hAnsi="Times New Roman" w:cs="Times New Roman"/>
          <w:sz w:val="22"/>
          <w:szCs w:val="22"/>
        </w:rPr>
        <w:t xml:space="preserve"> </w:t>
      </w:r>
      <w:r w:rsidRPr="0002065A">
        <w:rPr>
          <w:rFonts w:ascii="Times New Roman" w:hAnsi="Times New Roman" w:cs="Times New Roman"/>
          <w:sz w:val="22"/>
          <w:szCs w:val="22"/>
        </w:rPr>
        <w:t>Vedľajšie účinky môžete hlásiť aj priamo na</w:t>
      </w:r>
      <w:r w:rsidR="0069607B" w:rsidRPr="0002065A">
        <w:rPr>
          <w:rFonts w:ascii="Times New Roman" w:hAnsi="Times New Roman" w:cs="Times New Roman"/>
          <w:sz w:val="22"/>
          <w:szCs w:val="22"/>
        </w:rPr>
        <w:t xml:space="preserve"> </w:t>
      </w:r>
      <w:r w:rsidR="00EB6D27">
        <w:rPr>
          <w:rFonts w:ascii="Times New Roman" w:hAnsi="Times New Roman" w:cs="Times New Roman"/>
          <w:sz w:val="22"/>
          <w:szCs w:val="22"/>
        </w:rPr>
        <w:t>národné centrum hlásenia uvedené v </w:t>
      </w:r>
      <w:hyperlink r:id="rId8" w:history="1">
        <w:r w:rsidR="00EB6D27" w:rsidRPr="00EB6D27">
          <w:rPr>
            <w:rStyle w:val="Hypertextovprepojenie"/>
            <w:rFonts w:ascii="Times New Roman" w:hAnsi="Times New Roman" w:cs="Times New Roman"/>
            <w:sz w:val="22"/>
            <w:szCs w:val="22"/>
          </w:rPr>
          <w:t>Prílohe V</w:t>
        </w:r>
      </w:hyperlink>
      <w:r w:rsidR="00EB6D27">
        <w:rPr>
          <w:rFonts w:ascii="Times New Roman" w:hAnsi="Times New Roman" w:cs="Times New Roman"/>
          <w:sz w:val="22"/>
          <w:szCs w:val="22"/>
        </w:rPr>
        <w:t>.</w:t>
      </w:r>
    </w:p>
    <w:p w14:paraId="34F4DBBE" w14:textId="519CC7C5" w:rsidR="00F00876" w:rsidRPr="00B96575" w:rsidRDefault="00F00876" w:rsidP="00B96575">
      <w:pPr>
        <w:tabs>
          <w:tab w:val="clear" w:pos="567"/>
        </w:tabs>
        <w:spacing w:line="240" w:lineRule="auto"/>
        <w:rPr>
          <w:rFonts w:eastAsia="Calibri"/>
          <w:szCs w:val="22"/>
          <w:lang w:eastAsia="zh-CN" w:bidi="ar-SA"/>
        </w:rPr>
      </w:pPr>
      <w:r w:rsidRPr="0002065A">
        <w:t>Hlásením vedľajších účinkov môžete prispieť k získaniu ďalších informácií o bezpečnosti tohto lieku.</w:t>
      </w:r>
    </w:p>
    <w:p w14:paraId="309EE649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AF54553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E7173F2" w14:textId="2CC9DE52" w:rsidR="001D29E6" w:rsidRPr="0002065A" w:rsidRDefault="001D29E6" w:rsidP="007C4562">
      <w:pPr>
        <w:numPr>
          <w:ilvl w:val="0"/>
          <w:numId w:val="24"/>
        </w:numPr>
        <w:spacing w:line="240" w:lineRule="auto"/>
        <w:ind w:right="-2"/>
        <w:rPr>
          <w:b/>
          <w:noProof/>
          <w:szCs w:val="22"/>
        </w:rPr>
      </w:pPr>
      <w:r w:rsidRPr="0002065A">
        <w:rPr>
          <w:b/>
          <w:szCs w:val="22"/>
        </w:rPr>
        <w:t>Ako uchovávať Serynox</w:t>
      </w:r>
    </w:p>
    <w:p w14:paraId="3179C8E2" w14:textId="77777777" w:rsidR="003854ED" w:rsidRPr="0002065A" w:rsidRDefault="003854ED" w:rsidP="00AC1216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281C41E5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2065A">
        <w:t>Tento liek uchovávajte mimo dohľadu a dosahu detí.</w:t>
      </w:r>
    </w:p>
    <w:p w14:paraId="5F18C615" w14:textId="77777777" w:rsidR="00AC1216" w:rsidRPr="0002065A" w:rsidRDefault="00AC1216" w:rsidP="00AC121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73EFF1" w14:textId="1EC4BFD8" w:rsidR="004F0B2E" w:rsidRPr="0002065A" w:rsidRDefault="004F0B2E" w:rsidP="004F0B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2065A">
        <w:t>Nepoužívajte tento liek po dátume exspirácie, ktorý je uvedený na</w:t>
      </w:r>
      <w:r w:rsidR="00757E68" w:rsidRPr="0002065A">
        <w:t xml:space="preserve"> </w:t>
      </w:r>
      <w:r w:rsidRPr="0002065A">
        <w:rPr>
          <w:szCs w:val="22"/>
        </w:rPr>
        <w:t xml:space="preserve">fľaši </w:t>
      </w:r>
      <w:r w:rsidR="00757E68" w:rsidRPr="0002065A">
        <w:rPr>
          <w:szCs w:val="22"/>
        </w:rPr>
        <w:t xml:space="preserve">na stlačený plyn </w:t>
      </w:r>
      <w:r w:rsidRPr="0002065A">
        <w:rPr>
          <w:szCs w:val="22"/>
        </w:rPr>
        <w:t>po EXP.</w:t>
      </w:r>
    </w:p>
    <w:p w14:paraId="7EC8C1FF" w14:textId="77777777" w:rsidR="00F8477C" w:rsidRPr="0002065A" w:rsidRDefault="00F8477C" w:rsidP="00AC1216">
      <w:pPr>
        <w:rPr>
          <w:b/>
          <w:bCs/>
          <w:szCs w:val="22"/>
          <w:u w:val="single"/>
        </w:rPr>
      </w:pPr>
    </w:p>
    <w:p w14:paraId="76C73E7B" w14:textId="77777777" w:rsidR="00AC1216" w:rsidRPr="0002065A" w:rsidRDefault="00AC1216" w:rsidP="00AC1216">
      <w:pPr>
        <w:rPr>
          <w:b/>
          <w:bCs/>
          <w:szCs w:val="22"/>
          <w:u w:val="single"/>
        </w:rPr>
      </w:pPr>
      <w:r w:rsidRPr="0002065A">
        <w:rPr>
          <w:b/>
          <w:bCs/>
          <w:szCs w:val="22"/>
          <w:u w:val="single"/>
        </w:rPr>
        <w:t>Uchovávanie plynových tlakových fliaš</w:t>
      </w:r>
    </w:p>
    <w:p w14:paraId="47E02053" w14:textId="77777777" w:rsidR="000A680B" w:rsidRPr="0002065A" w:rsidRDefault="00AC1216" w:rsidP="00AC1216">
      <w:pPr>
        <w:rPr>
          <w:szCs w:val="22"/>
        </w:rPr>
      </w:pPr>
      <w:r w:rsidRPr="0002065A">
        <w:rPr>
          <w:szCs w:val="22"/>
        </w:rPr>
        <w:t>Neuchovávajte v mrazničke.</w:t>
      </w:r>
    </w:p>
    <w:p w14:paraId="3D45F8A9" w14:textId="5578602B" w:rsidR="00AC1216" w:rsidRPr="0002065A" w:rsidRDefault="00AC1216" w:rsidP="00AC1216">
      <w:pPr>
        <w:rPr>
          <w:szCs w:val="22"/>
        </w:rPr>
      </w:pPr>
      <w:r w:rsidRPr="0002065A">
        <w:rPr>
          <w:szCs w:val="22"/>
        </w:rPr>
        <w:t xml:space="preserve">Zmes je pri teplote pod </w:t>
      </w:r>
      <w:r w:rsidR="00757E68" w:rsidRPr="0002065A">
        <w:rPr>
          <w:szCs w:val="22"/>
        </w:rPr>
        <w:noBreakHyphen/>
      </w:r>
      <w:r w:rsidRPr="0002065A">
        <w:rPr>
          <w:szCs w:val="22"/>
        </w:rPr>
        <w:t>5 °C nestabilná</w:t>
      </w:r>
      <w:r w:rsidR="00757E68" w:rsidRPr="0002065A">
        <w:rPr>
          <w:szCs w:val="22"/>
        </w:rPr>
        <w:t>.</w:t>
      </w:r>
      <w:r w:rsidRPr="0002065A">
        <w:rPr>
          <w:szCs w:val="22"/>
        </w:rPr>
        <w:t xml:space="preserve"> </w:t>
      </w:r>
      <w:r w:rsidR="00757E68" w:rsidRPr="0002065A">
        <w:rPr>
          <w:szCs w:val="22"/>
        </w:rPr>
        <w:t>Ď</w:t>
      </w:r>
      <w:r w:rsidRPr="0002065A">
        <w:rPr>
          <w:szCs w:val="22"/>
        </w:rPr>
        <w:t>alšie ochladenie môže viesť k skvapalneniu časti oxidu dusného, v dôsledku čoho sa bude podávať nerovnomerná zmes plynov obsahujúca spočiatku príliš veľa kyslíka (zmes so zníženou analgetickou aktivitou) a na konci liečby obsahujúca príliš veľa oxidu dusného (hypoxická zmes).</w:t>
      </w:r>
    </w:p>
    <w:p w14:paraId="406140AA" w14:textId="77777777" w:rsidR="00AC1216" w:rsidRPr="0002065A" w:rsidRDefault="00AC1216" w:rsidP="00AC1216">
      <w:pPr>
        <w:rPr>
          <w:szCs w:val="22"/>
        </w:rPr>
      </w:pPr>
      <w:r w:rsidRPr="0002065A">
        <w:rPr>
          <w:szCs w:val="22"/>
        </w:rPr>
        <w:t>Nikdy nevystavujte tlakové fľaše teplotám pod 0 °C.</w:t>
      </w:r>
    </w:p>
    <w:p w14:paraId="6DFA885B" w14:textId="77777777" w:rsidR="00AC1216" w:rsidRPr="0002065A" w:rsidRDefault="00AC1216" w:rsidP="00AC121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4DF9A7" w14:textId="060E35E1" w:rsidR="00F8477C" w:rsidRPr="0002065A" w:rsidRDefault="00757E68" w:rsidP="00F8477C">
      <w:r w:rsidRPr="0002065A">
        <w:t>F</w:t>
      </w:r>
      <w:r w:rsidR="00F8477C" w:rsidRPr="0002065A">
        <w:t xml:space="preserve">ľaše </w:t>
      </w:r>
      <w:r w:rsidRPr="0002065A">
        <w:t xml:space="preserve">na stlačený plyn </w:t>
      </w:r>
      <w:r w:rsidR="00F8477C" w:rsidRPr="0002065A">
        <w:t>uchovávajte nasledovne:</w:t>
      </w:r>
    </w:p>
    <w:p w14:paraId="2D6F5968" w14:textId="28504954" w:rsidR="00F8477C" w:rsidRPr="0002065A" w:rsidRDefault="00F8477C" w:rsidP="00F8477C">
      <w:r w:rsidRPr="0002065A">
        <w:t>Plné tlakové fľaše uchovávajte po dobu najmenej 48 hodín vo VODOROVNEJ POLOHE pri teplote nad +10 °C</w:t>
      </w:r>
      <w:r w:rsidR="00757E68" w:rsidRPr="0002065A">
        <w:t xml:space="preserve"> </w:t>
      </w:r>
      <w:r w:rsidRPr="0002065A">
        <w:t>v skladovacom priestore v lekárni a/alebo na</w:t>
      </w:r>
      <w:r w:rsidR="00757E68" w:rsidRPr="0002065A">
        <w:t xml:space="preserve"> </w:t>
      </w:r>
      <w:r w:rsidRPr="0002065A">
        <w:t>oddelení, kde sa bude tento plyn podávať.</w:t>
      </w:r>
    </w:p>
    <w:p w14:paraId="23C5A72D" w14:textId="1B060C66" w:rsidR="00F8477C" w:rsidRPr="0002065A" w:rsidRDefault="00F8477C" w:rsidP="00F8477C">
      <w:bookmarkStart w:id="2" w:name="_Hlk54963741"/>
      <w:r w:rsidRPr="0002065A">
        <w:t>Vo všetkých ostatných situáciách sa majú tlakové fľaše uchovávať dobre zabezpečené v</w:t>
      </w:r>
      <w:r w:rsidR="00757E68" w:rsidRPr="0002065A">
        <w:t>o VZPRIAMENEJ</w:t>
      </w:r>
      <w:r w:rsidRPr="0002065A">
        <w:t xml:space="preserve"> POLOHE (plné tlakové fľaše v priestoroch na</w:t>
      </w:r>
      <w:r w:rsidR="00757E68" w:rsidRPr="0002065A">
        <w:t xml:space="preserve"> </w:t>
      </w:r>
      <w:r w:rsidRPr="0002065A">
        <w:t xml:space="preserve">skladovanie plynu, plné tlakové fľaše pri používaní, plné tlakové fľaše </w:t>
      </w:r>
      <w:r w:rsidR="00757E68" w:rsidRPr="0002065A">
        <w:t xml:space="preserve">pri </w:t>
      </w:r>
      <w:r w:rsidRPr="0002065A">
        <w:t>preprav</w:t>
      </w:r>
      <w:r w:rsidR="00757E68" w:rsidRPr="0002065A">
        <w:t>e</w:t>
      </w:r>
      <w:r w:rsidRPr="0002065A">
        <w:t xml:space="preserve"> v zdravotníckych zariadeniach a vozidlách, </w:t>
      </w:r>
      <w:r w:rsidR="00757E68" w:rsidRPr="0002065A">
        <w:t>uchovávanie</w:t>
      </w:r>
      <w:r w:rsidRPr="0002065A">
        <w:t xml:space="preserve"> prázdnych tlakových fliaš).</w:t>
      </w:r>
    </w:p>
    <w:p w14:paraId="70AB2C42" w14:textId="77777777" w:rsidR="00F8477C" w:rsidRPr="0002065A" w:rsidRDefault="00F8477C" w:rsidP="00F8477C"/>
    <w:p w14:paraId="71CDC1AE" w14:textId="52166F88" w:rsidR="00F8477C" w:rsidRPr="0002065A" w:rsidRDefault="00F8477C" w:rsidP="00F8477C">
      <w:pPr>
        <w:rPr>
          <w:szCs w:val="22"/>
        </w:rPr>
      </w:pPr>
      <w:r w:rsidRPr="0002065A">
        <w:rPr>
          <w:szCs w:val="22"/>
        </w:rPr>
        <w:t xml:space="preserve">Rôzne typy medicinálnych plynov musia byť uchovávané vzájomne oddelené. Plné a prázdne fľaše </w:t>
      </w:r>
      <w:bookmarkStart w:id="3" w:name="_Hlk56069028"/>
      <w:r w:rsidR="00757E68" w:rsidRPr="0002065A">
        <w:t xml:space="preserve">na stlačený plyn </w:t>
      </w:r>
      <w:bookmarkEnd w:id="3"/>
      <w:r w:rsidRPr="0002065A">
        <w:rPr>
          <w:szCs w:val="22"/>
        </w:rPr>
        <w:t>musia byť uchovávané oddelene.</w:t>
      </w:r>
    </w:p>
    <w:bookmarkEnd w:id="2"/>
    <w:p w14:paraId="7D8C2B04" w14:textId="77777777" w:rsidR="00F8477C" w:rsidRPr="0002065A" w:rsidRDefault="00F8477C" w:rsidP="00F8477C"/>
    <w:p w14:paraId="055B2D92" w14:textId="2A139403" w:rsidR="00F8477C" w:rsidRPr="0002065A" w:rsidRDefault="00F8477C" w:rsidP="00F8477C">
      <w:pPr>
        <w:rPr>
          <w:b/>
          <w:bCs/>
          <w:u w:val="single"/>
        </w:rPr>
      </w:pPr>
      <w:r w:rsidRPr="0002065A">
        <w:rPr>
          <w:b/>
          <w:bCs/>
          <w:u w:val="single"/>
        </w:rPr>
        <w:t>Uchovávanie plných tlakových fliaš v priestoroch na</w:t>
      </w:r>
      <w:r w:rsidR="00757E68" w:rsidRPr="0002065A">
        <w:rPr>
          <w:b/>
          <w:bCs/>
          <w:u w:val="single"/>
        </w:rPr>
        <w:t xml:space="preserve"> </w:t>
      </w:r>
      <w:r w:rsidRPr="0002065A">
        <w:rPr>
          <w:b/>
          <w:bCs/>
          <w:u w:val="single"/>
        </w:rPr>
        <w:t>uchovávanie fliaš</w:t>
      </w:r>
      <w:r w:rsidR="00757E68" w:rsidRPr="0002065A">
        <w:rPr>
          <w:b/>
          <w:bCs/>
          <w:u w:val="single"/>
        </w:rPr>
        <w:t xml:space="preserve"> na stlačený plyn</w:t>
      </w:r>
    </w:p>
    <w:p w14:paraId="15EFE9EC" w14:textId="341322FE" w:rsidR="00F8477C" w:rsidRPr="0002065A" w:rsidRDefault="00F8477C" w:rsidP="00F8477C">
      <w:r w:rsidRPr="0002065A">
        <w:t xml:space="preserve">Plné tlakové fľaše musia byť </w:t>
      </w:r>
      <w:r w:rsidR="00757E68" w:rsidRPr="0002065A">
        <w:t>u</w:t>
      </w:r>
      <w:r w:rsidRPr="0002065A">
        <w:t>chovávané v</w:t>
      </w:r>
      <w:r w:rsidR="00757E68" w:rsidRPr="0002065A">
        <w:t>o VZPRIAMENEJ</w:t>
      </w:r>
      <w:r w:rsidRPr="0002065A">
        <w:t xml:space="preserve"> POLOHE na</w:t>
      </w:r>
      <w:r w:rsidR="00757E68" w:rsidRPr="0002065A">
        <w:t xml:space="preserve"> </w:t>
      </w:r>
      <w:r w:rsidRPr="0002065A">
        <w:t xml:space="preserve">čistom, </w:t>
      </w:r>
      <w:r w:rsidR="0099186B" w:rsidRPr="0002065A">
        <w:t>dobre vetranom mieste bez prítomnosti horľavých materiálov a chránenom pred nepriaznivým počasím</w:t>
      </w:r>
      <w:r w:rsidRPr="0002065A">
        <w:t>. Táto miestnosť musí byť vyhradená na</w:t>
      </w:r>
      <w:r w:rsidR="00757E68" w:rsidRPr="0002065A">
        <w:t xml:space="preserve"> </w:t>
      </w:r>
      <w:r w:rsidRPr="0002065A">
        <w:t>uchovávanie medicínskych plynov a uzamknutá.</w:t>
      </w:r>
    </w:p>
    <w:p w14:paraId="2FEDB8D5" w14:textId="77777777" w:rsidR="00F8477C" w:rsidRPr="0002065A" w:rsidRDefault="00F8477C" w:rsidP="00F8477C">
      <w:r w:rsidRPr="0002065A">
        <w:t>Prázdne tlakové fľaše sa musia uchovávať oddelene od plných tlakových fliaš.</w:t>
      </w:r>
    </w:p>
    <w:p w14:paraId="7B783F71" w14:textId="5F7AC5E3" w:rsidR="000A680B" w:rsidRPr="0002065A" w:rsidRDefault="00F8477C" w:rsidP="00F8477C">
      <w:r w:rsidRPr="0002065A">
        <w:t>Plné tlakové fľaše musia byť chránené pred nárazmi a pádom a pred zdrojmi tepla, vznietenia alebo horľavými látkami. Tiež musia byť chránené pred nepriaznivým počasím, najmä pred chladom. P</w:t>
      </w:r>
      <w:r w:rsidR="00757E68" w:rsidRPr="0002065A">
        <w:t>ri</w:t>
      </w:r>
      <w:r w:rsidRPr="0002065A">
        <w:t xml:space="preserve"> dodaní od výrobcu musia mať tlakové fľaše neporušenú plombu proti neoprávnenej manipulácii.</w:t>
      </w:r>
    </w:p>
    <w:p w14:paraId="0AE8F573" w14:textId="7C44EE55" w:rsidR="00F8477C" w:rsidRPr="0002065A" w:rsidRDefault="00F8477C" w:rsidP="00F8477C"/>
    <w:p w14:paraId="261CF1C1" w14:textId="77777777" w:rsidR="00F8477C" w:rsidRPr="0002065A" w:rsidRDefault="00F8477C" w:rsidP="00F8477C">
      <w:pPr>
        <w:rPr>
          <w:b/>
          <w:bCs/>
          <w:u w:val="single"/>
        </w:rPr>
      </w:pPr>
      <w:r w:rsidRPr="0002065A">
        <w:rPr>
          <w:b/>
          <w:bCs/>
          <w:u w:val="single"/>
        </w:rPr>
        <w:t>Uchovávanie plných tlakových fliaš 48 hodín pred použitím</w:t>
      </w:r>
    </w:p>
    <w:p w14:paraId="3F733CB3" w14:textId="092A6F82" w:rsidR="00F8477C" w:rsidRPr="0002065A" w:rsidRDefault="00F8477C" w:rsidP="00F8477C">
      <w:r w:rsidRPr="0002065A">
        <w:t>Plné tlakové fľaše sa musia pred použitím uchovávať po dobu najmenej 48 hodín vo VODOROVNEJ POLOHE pri teplote nad +10 °C</w:t>
      </w:r>
      <w:r w:rsidR="00B25CF7" w:rsidRPr="0002065A">
        <w:t xml:space="preserve"> </w:t>
      </w:r>
      <w:r w:rsidRPr="0002065A">
        <w:t>v skladovacom priestore v lekárni a/alebo na</w:t>
      </w:r>
      <w:r w:rsidR="00B25CF7" w:rsidRPr="0002065A">
        <w:t xml:space="preserve"> </w:t>
      </w:r>
      <w:r w:rsidRPr="0002065A">
        <w:t>oddelení, kde sa bude tento plyn podávať.</w:t>
      </w:r>
    </w:p>
    <w:p w14:paraId="42EC72B9" w14:textId="12FF32EE" w:rsidR="00F8477C" w:rsidRPr="0002065A" w:rsidRDefault="00F8477C" w:rsidP="00F8477C">
      <w:r w:rsidRPr="0002065A">
        <w:t>Tlakové fľaše musia byť uchovávané na</w:t>
      </w:r>
      <w:r w:rsidR="00B25CF7" w:rsidRPr="0002065A">
        <w:t xml:space="preserve"> </w:t>
      </w:r>
      <w:r w:rsidRPr="0002065A">
        <w:t>mieste</w:t>
      </w:r>
      <w:r w:rsidR="00B25CF7" w:rsidRPr="0002065A">
        <w:t>, kde sú</w:t>
      </w:r>
      <w:r w:rsidRPr="0002065A">
        <w:t xml:space="preserve"> chránen</w:t>
      </w:r>
      <w:r w:rsidR="00B25CF7" w:rsidRPr="0002065A">
        <w:t>é</w:t>
      </w:r>
      <w:r w:rsidRPr="0002065A">
        <w:t xml:space="preserve"> pred nárazmi, bez zdrojov tepla alebo vznietenia a horľavých materiálov.</w:t>
      </w:r>
    </w:p>
    <w:p w14:paraId="105F359F" w14:textId="5D322CA9" w:rsidR="0099186B" w:rsidRPr="0002065A" w:rsidRDefault="00DC5E22" w:rsidP="0099186B">
      <w:r w:rsidRPr="0002065A">
        <w:t xml:space="preserve">Tlakové fľaše sa majú uchovávať </w:t>
      </w:r>
      <w:r w:rsidR="0099186B" w:rsidRPr="0002065A">
        <w:t>s uzavretými ventilmi.</w:t>
      </w:r>
    </w:p>
    <w:p w14:paraId="27CF6E25" w14:textId="4F26C8F6" w:rsidR="00F8477C" w:rsidRPr="0002065A" w:rsidRDefault="00F8477C" w:rsidP="00F8477C"/>
    <w:p w14:paraId="5BC1574F" w14:textId="77777777" w:rsidR="00F8477C" w:rsidRPr="0002065A" w:rsidRDefault="00F8477C" w:rsidP="00F546E9">
      <w:pPr>
        <w:keepNext/>
        <w:rPr>
          <w:b/>
          <w:bCs/>
          <w:u w:val="single"/>
        </w:rPr>
      </w:pPr>
      <w:r w:rsidRPr="0002065A">
        <w:rPr>
          <w:b/>
          <w:bCs/>
          <w:u w:val="single"/>
        </w:rPr>
        <w:t>Preprava plných tlakových fliaš</w:t>
      </w:r>
    </w:p>
    <w:p w14:paraId="233F51AF" w14:textId="57924481" w:rsidR="00F8477C" w:rsidRPr="0002065A" w:rsidRDefault="00F8477C" w:rsidP="00F8477C">
      <w:r w:rsidRPr="0002065A">
        <w:t>V zdravotníckych zariadeniach musia byť plné tlakové fľaše určené na</w:t>
      </w:r>
      <w:r w:rsidR="00B25CF7" w:rsidRPr="0002065A">
        <w:t xml:space="preserve"> </w:t>
      </w:r>
      <w:r w:rsidRPr="0002065A">
        <w:t>prepravu dobre zaistené v</w:t>
      </w:r>
      <w:r w:rsidR="00B25CF7" w:rsidRPr="0002065A">
        <w:t>o VZPRIAMENEJ</w:t>
      </w:r>
      <w:r w:rsidRPr="0002065A">
        <w:t xml:space="preserve"> POLOHE pomocou vhodných prostriedkov (ručné vozíky s reťazami, kruhmi alebo tyčami), aby boli chránené pred nárazmi a spadnutím. Počas prepravy vo vozidlách musia byť plné tlakové fľaše dobre zaistené v</w:t>
      </w:r>
      <w:r w:rsidR="00B25CF7" w:rsidRPr="0002065A">
        <w:t>o VZPRIAMENEJ</w:t>
      </w:r>
      <w:r w:rsidRPr="0002065A">
        <w:t xml:space="preserve"> POLOHE. Záchranné zložky musia byť upozornené, že tlakové fľaše musia byť vo vozidlách aj počas ich používania vonku chránené pred chladom. Osobitnú pozornosť treba venovať pripojeniu tlakového regulátora v prípade tlakových fliaš s ventilmi na</w:t>
      </w:r>
      <w:r w:rsidR="00B25CF7" w:rsidRPr="0002065A">
        <w:t xml:space="preserve"> </w:t>
      </w:r>
      <w:r w:rsidRPr="0002065A">
        <w:t>reguláciu zvyškového tlaku, aby sa zabránilo náhodnému poškodeniu.</w:t>
      </w:r>
    </w:p>
    <w:p w14:paraId="4F2D7433" w14:textId="77777777" w:rsidR="00F8477C" w:rsidRPr="0002065A" w:rsidRDefault="00F8477C" w:rsidP="00F8477C"/>
    <w:p w14:paraId="17317ACF" w14:textId="215AE5DA" w:rsidR="00B25CF7" w:rsidRPr="0002065A" w:rsidRDefault="00F8477C" w:rsidP="00F8477C">
      <w:r w:rsidRPr="0002065A">
        <w:rPr>
          <w:b/>
          <w:bCs/>
          <w:u w:val="single"/>
        </w:rPr>
        <w:t>Uchovávanie prázdnych tlakových fliaš</w:t>
      </w:r>
    </w:p>
    <w:p w14:paraId="1DCFA943" w14:textId="37309FA2" w:rsidR="00F8477C" w:rsidRPr="0002065A" w:rsidRDefault="00F8477C" w:rsidP="00F8477C">
      <w:r w:rsidRPr="0002065A">
        <w:t>Prázdne tlakové fľaše musia byť dobre zaistené v</w:t>
      </w:r>
      <w:r w:rsidR="00B25CF7" w:rsidRPr="0002065A">
        <w:t>o VZPRIAMENEJ</w:t>
      </w:r>
      <w:r w:rsidRPr="0002065A">
        <w:t xml:space="preserve"> POLOHE.</w:t>
      </w:r>
    </w:p>
    <w:p w14:paraId="429D35EC" w14:textId="77777777" w:rsidR="00F8477C" w:rsidRPr="0002065A" w:rsidRDefault="00F8477C" w:rsidP="00F8477C">
      <w:r w:rsidRPr="0002065A">
        <w:t>Ventily musia byť zatvorené.</w:t>
      </w:r>
    </w:p>
    <w:p w14:paraId="242A7C9F" w14:textId="77777777" w:rsidR="003047A5" w:rsidRPr="0002065A" w:rsidRDefault="003047A5" w:rsidP="004213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0CFBAA18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DB91564" w14:textId="77777777" w:rsidR="001D29E6" w:rsidRPr="0002065A" w:rsidRDefault="00CD758F" w:rsidP="003E6D0D">
      <w:pPr>
        <w:numPr>
          <w:ilvl w:val="0"/>
          <w:numId w:val="24"/>
        </w:numPr>
        <w:spacing w:line="240" w:lineRule="auto"/>
        <w:ind w:right="-2"/>
        <w:rPr>
          <w:b/>
          <w:noProof/>
        </w:rPr>
      </w:pPr>
      <w:r w:rsidRPr="0002065A">
        <w:rPr>
          <w:b/>
        </w:rPr>
        <w:t>Obsah balenia a ďalšie informácie</w:t>
      </w:r>
    </w:p>
    <w:p w14:paraId="3076596C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75151A3" w14:textId="7F2F4D16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02065A">
        <w:rPr>
          <w:b/>
          <w:bCs/>
        </w:rPr>
        <w:t>Čo Serynox obsahuje</w:t>
      </w:r>
    </w:p>
    <w:p w14:paraId="15B5A60C" w14:textId="77777777" w:rsidR="00F3099C" w:rsidRPr="0002065A" w:rsidRDefault="00F3099C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</w:p>
    <w:p w14:paraId="74AFC6F0" w14:textId="77777777" w:rsidR="004213E4" w:rsidRPr="0002065A" w:rsidRDefault="001D29E6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</w:rPr>
      </w:pPr>
      <w:r w:rsidRPr="0002065A">
        <w:t>Liečivá sú:</w:t>
      </w:r>
    </w:p>
    <w:p w14:paraId="6314AF9E" w14:textId="68E826AF" w:rsidR="000A680B" w:rsidRPr="0002065A" w:rsidRDefault="004213E4" w:rsidP="0002065A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567"/>
        <w:rPr>
          <w:szCs w:val="22"/>
        </w:rPr>
      </w:pPr>
      <w:r w:rsidRPr="0002065A">
        <w:rPr>
          <w:szCs w:val="22"/>
        </w:rPr>
        <w:t>oxid dusný 50 % a</w:t>
      </w:r>
      <w:r w:rsidR="00DC5E22" w:rsidRPr="0002065A">
        <w:rPr>
          <w:szCs w:val="22"/>
        </w:rPr>
        <w:t> </w:t>
      </w:r>
      <w:r w:rsidRPr="0002065A">
        <w:rPr>
          <w:szCs w:val="22"/>
        </w:rPr>
        <w:t>kyslík 50 %</w:t>
      </w:r>
    </w:p>
    <w:p w14:paraId="76665DDD" w14:textId="5DF03456" w:rsidR="004213E4" w:rsidRPr="0002065A" w:rsidRDefault="00C42195" w:rsidP="00AE744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2065A">
        <w:t>Serynox neobsahuje žiadne ďalšie zložky.</w:t>
      </w:r>
    </w:p>
    <w:p w14:paraId="502BE23E" w14:textId="77777777" w:rsidR="00F3099C" w:rsidRPr="0002065A" w:rsidRDefault="00F3099C" w:rsidP="00F3099C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3E934136" w14:textId="4DBDDF12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02065A">
        <w:rPr>
          <w:b/>
          <w:bCs/>
        </w:rPr>
        <w:t>Ako vyzerá Serynox a obsah balenia</w:t>
      </w:r>
    </w:p>
    <w:p w14:paraId="3239828B" w14:textId="77777777" w:rsidR="001D29E6" w:rsidRPr="0002065A" w:rsidRDefault="001D29E6" w:rsidP="009F4BA4">
      <w:pPr>
        <w:tabs>
          <w:tab w:val="clear" w:pos="567"/>
        </w:tabs>
        <w:spacing w:line="240" w:lineRule="auto"/>
        <w:ind w:left="567" w:hanging="567"/>
      </w:pPr>
    </w:p>
    <w:p w14:paraId="04FAC628" w14:textId="77777777" w:rsidR="000A680B" w:rsidRPr="0002065A" w:rsidRDefault="00C42195" w:rsidP="009D1D01">
      <w:pPr>
        <w:autoSpaceDE w:val="0"/>
        <w:autoSpaceDN w:val="0"/>
        <w:adjustRightInd w:val="0"/>
        <w:rPr>
          <w:szCs w:val="22"/>
        </w:rPr>
      </w:pPr>
      <w:r w:rsidRPr="0002065A">
        <w:rPr>
          <w:szCs w:val="22"/>
        </w:rPr>
        <w:t>Serynox je bezfarebný stlačený medicinálny plyn.</w:t>
      </w:r>
    </w:p>
    <w:p w14:paraId="57C1031F" w14:textId="2BA21B37" w:rsidR="00B150A3" w:rsidRPr="0002065A" w:rsidRDefault="00B150A3" w:rsidP="00B150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4"/>
          <w:szCs w:val="24"/>
          <w:lang w:eastAsia="de-DE"/>
        </w:rPr>
      </w:pPr>
    </w:p>
    <w:p w14:paraId="7BFE796D" w14:textId="52F171A2" w:rsidR="000A680B" w:rsidRPr="0002065A" w:rsidRDefault="007C0717" w:rsidP="00B150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2065A">
        <w:rPr>
          <w:szCs w:val="22"/>
        </w:rPr>
        <w:t>2</w:t>
      </w:r>
      <w:r w:rsidR="00005974" w:rsidRPr="0002065A">
        <w:rPr>
          <w:szCs w:val="22"/>
        </w:rPr>
        <w:noBreakHyphen/>
      </w:r>
      <w:r w:rsidRPr="0002065A">
        <w:rPr>
          <w:szCs w:val="22"/>
        </w:rPr>
        <w:t>litrové, 5</w:t>
      </w:r>
      <w:r w:rsidR="00005974" w:rsidRPr="0002065A">
        <w:rPr>
          <w:szCs w:val="22"/>
        </w:rPr>
        <w:noBreakHyphen/>
      </w:r>
      <w:r w:rsidRPr="0002065A">
        <w:rPr>
          <w:szCs w:val="22"/>
        </w:rPr>
        <w:t>litrové, 10</w:t>
      </w:r>
      <w:r w:rsidR="00005974" w:rsidRPr="0002065A">
        <w:rPr>
          <w:szCs w:val="22"/>
        </w:rPr>
        <w:noBreakHyphen/>
      </w:r>
      <w:r w:rsidRPr="0002065A">
        <w:rPr>
          <w:szCs w:val="22"/>
        </w:rPr>
        <w:t>litrové, 15</w:t>
      </w:r>
      <w:r w:rsidR="00005974" w:rsidRPr="0002065A">
        <w:rPr>
          <w:szCs w:val="22"/>
        </w:rPr>
        <w:noBreakHyphen/>
      </w:r>
      <w:r w:rsidRPr="0002065A">
        <w:rPr>
          <w:szCs w:val="22"/>
        </w:rPr>
        <w:t>litrové a 20</w:t>
      </w:r>
      <w:r w:rsidR="00005974" w:rsidRPr="0002065A">
        <w:rPr>
          <w:szCs w:val="22"/>
        </w:rPr>
        <w:noBreakHyphen/>
      </w:r>
      <w:r w:rsidRPr="0002065A">
        <w:rPr>
          <w:szCs w:val="22"/>
        </w:rPr>
        <w:t xml:space="preserve">litrové fľaše </w:t>
      </w:r>
      <w:r w:rsidR="00B25CF7" w:rsidRPr="0002065A">
        <w:rPr>
          <w:szCs w:val="22"/>
        </w:rPr>
        <w:t xml:space="preserve">na stlačený plyn </w:t>
      </w:r>
      <w:r w:rsidRPr="0002065A">
        <w:rPr>
          <w:szCs w:val="22"/>
        </w:rPr>
        <w:t>z hliníka a/alebo ocele (označené modro</w:t>
      </w:r>
      <w:r w:rsidR="00005974" w:rsidRPr="0002065A">
        <w:rPr>
          <w:szCs w:val="22"/>
        </w:rPr>
        <w:noBreakHyphen/>
      </w:r>
      <w:r w:rsidRPr="0002065A">
        <w:rPr>
          <w:szCs w:val="22"/>
        </w:rPr>
        <w:t xml:space="preserve">bielou hornou časťou a bielym telom) naplnené pod tlakom 170 barov, vybavené </w:t>
      </w:r>
      <w:r w:rsidRPr="00A9357A">
        <w:rPr>
          <w:szCs w:val="22"/>
        </w:rPr>
        <w:t>ventilom na</w:t>
      </w:r>
      <w:r w:rsidR="00B25CF7" w:rsidRPr="00A9357A">
        <w:rPr>
          <w:szCs w:val="22"/>
        </w:rPr>
        <w:t xml:space="preserve"> </w:t>
      </w:r>
      <w:r w:rsidRPr="00A9357A">
        <w:rPr>
          <w:szCs w:val="22"/>
        </w:rPr>
        <w:t>reguláciu zvyškového tlaku a</w:t>
      </w:r>
      <w:r w:rsidRPr="0002065A">
        <w:rPr>
          <w:szCs w:val="22"/>
        </w:rPr>
        <w:t>/alebo ventilmi s integrovaným regulátorom tlaku so špecifickou výstupnou prípojkou.</w:t>
      </w:r>
    </w:p>
    <w:p w14:paraId="2CDCEB8C" w14:textId="23909059" w:rsidR="00B150A3" w:rsidRPr="0002065A" w:rsidRDefault="00B150A3" w:rsidP="00B150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7"/>
        <w:gridCol w:w="2227"/>
      </w:tblGrid>
      <w:tr w:rsidR="00B150A3" w:rsidRPr="0002065A" w14:paraId="246A5A27" w14:textId="77777777" w:rsidTr="00EF1BDF">
        <w:trPr>
          <w:trHeight w:val="39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53533" w14:textId="13A1252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Vodný objem nádoby [</w:t>
            </w:r>
            <w:r w:rsidR="00B25CF7" w:rsidRPr="0002065A">
              <w:rPr>
                <w:szCs w:val="22"/>
              </w:rPr>
              <w:t>l</w:t>
            </w:r>
            <w:r w:rsidRPr="0002065A">
              <w:rPr>
                <w:szCs w:val="22"/>
              </w:rPr>
              <w:t>]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143" w14:textId="77777777" w:rsidR="000A680B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2065A">
              <w:rPr>
                <w:szCs w:val="22"/>
              </w:rPr>
              <w:t>Ekvivalentné množstvo plynnej zmesi oxidu dusného a kyslíka v m³ pri tlaku 1 bar a teplote 15 °C</w:t>
            </w:r>
          </w:p>
          <w:p w14:paraId="1462913C" w14:textId="6C85354B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</w:p>
        </w:tc>
      </w:tr>
      <w:tr w:rsidR="00B150A3" w:rsidRPr="0002065A" w14:paraId="6C3487D0" w14:textId="77777777" w:rsidTr="00EF1BDF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115C37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B7FD8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0,59</w:t>
            </w:r>
          </w:p>
        </w:tc>
      </w:tr>
      <w:tr w:rsidR="00B150A3" w:rsidRPr="0002065A" w14:paraId="66011E58" w14:textId="77777777" w:rsidTr="00EF1BDF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4B2AA1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23E6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1,49</w:t>
            </w:r>
          </w:p>
        </w:tc>
      </w:tr>
      <w:tr w:rsidR="00B150A3" w:rsidRPr="0002065A" w14:paraId="105818FD" w14:textId="77777777" w:rsidTr="00EF1BDF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F61678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8E724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2,97</w:t>
            </w:r>
          </w:p>
        </w:tc>
      </w:tr>
      <w:tr w:rsidR="00B150A3" w:rsidRPr="0002065A" w14:paraId="2FF7D75E" w14:textId="77777777" w:rsidTr="00EF1BDF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C34B46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7A18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4,46</w:t>
            </w:r>
          </w:p>
        </w:tc>
      </w:tr>
      <w:tr w:rsidR="00B150A3" w:rsidRPr="0002065A" w14:paraId="49436D4A" w14:textId="77777777" w:rsidTr="00EF1BDF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0DF329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646B4" w14:textId="77777777" w:rsidR="00B150A3" w:rsidRPr="0002065A" w:rsidRDefault="00B150A3" w:rsidP="00B150A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de-DE"/>
              </w:rPr>
            </w:pPr>
            <w:r w:rsidRPr="0002065A">
              <w:rPr>
                <w:szCs w:val="22"/>
              </w:rPr>
              <w:t>5,95</w:t>
            </w:r>
          </w:p>
        </w:tc>
      </w:tr>
    </w:tbl>
    <w:p w14:paraId="3AC47A23" w14:textId="77777777" w:rsidR="00B150A3" w:rsidRPr="0002065A" w:rsidRDefault="00B150A3" w:rsidP="00B150A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1E8E6AC8" w14:textId="77777777" w:rsidR="004213E4" w:rsidRPr="0002065A" w:rsidRDefault="004213E4" w:rsidP="00D6087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4"/>
          <w:szCs w:val="24"/>
          <w:lang w:eastAsia="de-DE"/>
        </w:rPr>
      </w:pPr>
      <w:r w:rsidRPr="0002065A">
        <w:rPr>
          <w:szCs w:val="22"/>
        </w:rPr>
        <w:t>Na trh nemusia byť uvedené všetky veľkosti balenia.</w:t>
      </w:r>
    </w:p>
    <w:p w14:paraId="58A33ADE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09164A0B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02065A">
        <w:rPr>
          <w:b/>
          <w:bCs/>
        </w:rPr>
        <w:t>Držiteľ rozhodnutia o registrácii a výrobca</w:t>
      </w:r>
    </w:p>
    <w:p w14:paraId="372330FC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AA28F01" w14:textId="77777777" w:rsidR="000B7858" w:rsidRDefault="000B7858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Messer Tatragas spol. s r.o.</w:t>
      </w:r>
    </w:p>
    <w:p w14:paraId="79550149" w14:textId="77777777" w:rsidR="000B7858" w:rsidRDefault="000B7858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Chalupkova 9</w:t>
      </w:r>
    </w:p>
    <w:p w14:paraId="4D1F4B40" w14:textId="77777777" w:rsidR="000B7858" w:rsidRDefault="000B7858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81944 Bratislava</w:t>
      </w:r>
    </w:p>
    <w:p w14:paraId="528BE16D" w14:textId="69F2A22B" w:rsidR="00327AEE" w:rsidRDefault="0001434D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93CCE">
        <w:rPr>
          <w:szCs w:val="22"/>
        </w:rPr>
        <w:t>Slovenská republika</w:t>
      </w:r>
      <w:r w:rsidRPr="00327AEE" w:rsidDel="0001434D">
        <w:t xml:space="preserve"> </w:t>
      </w:r>
    </w:p>
    <w:p w14:paraId="453BD41A" w14:textId="395F95DF" w:rsidR="000B7858" w:rsidRDefault="000B7858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>R</w:t>
      </w:r>
      <w:r w:rsidRPr="000B7858">
        <w:rPr>
          <w:b/>
          <w:bCs/>
          <w:noProof/>
        </w:rPr>
        <w:t>egistrácii a</w:t>
      </w:r>
      <w:r>
        <w:rPr>
          <w:b/>
          <w:bCs/>
          <w:noProof/>
        </w:rPr>
        <w:t> </w:t>
      </w:r>
      <w:r w:rsidRPr="000B7858">
        <w:rPr>
          <w:b/>
          <w:bCs/>
          <w:noProof/>
        </w:rPr>
        <w:t>výrobca</w:t>
      </w:r>
    </w:p>
    <w:p w14:paraId="02E12002" w14:textId="77777777" w:rsidR="000B7858" w:rsidRPr="000B7858" w:rsidRDefault="000B7858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B7858">
        <w:rPr>
          <w:noProof/>
        </w:rPr>
        <w:t>MESSER FRANCE</w:t>
      </w:r>
    </w:p>
    <w:p w14:paraId="1195956A" w14:textId="77777777" w:rsidR="000B7858" w:rsidRPr="000B7858" w:rsidRDefault="000B7858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B7858">
        <w:rPr>
          <w:noProof/>
        </w:rPr>
        <w:t>ZI Lafayette, 35 rue de l'Europe</w:t>
      </w:r>
    </w:p>
    <w:p w14:paraId="3291CF30" w14:textId="77777777" w:rsidR="000B7858" w:rsidRPr="000B7858" w:rsidRDefault="000B7858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B7858">
        <w:rPr>
          <w:noProof/>
        </w:rPr>
        <w:t>38790 Saint-Georges-d'Espéranche</w:t>
      </w:r>
    </w:p>
    <w:p w14:paraId="5604B289" w14:textId="08A1F260" w:rsidR="000B7858" w:rsidRPr="0002065A" w:rsidRDefault="00327AEE" w:rsidP="000B7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327AEE">
        <w:rPr>
          <w:noProof/>
        </w:rPr>
        <w:t>Francúzsko</w:t>
      </w:r>
    </w:p>
    <w:p w14:paraId="53531093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4AFC3D3" w14:textId="77777777" w:rsidR="001D29E6" w:rsidRPr="0002065A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  <w:r w:rsidRPr="0002065A">
        <w:rPr>
          <w:b/>
        </w:rPr>
        <w:t>Liek je schválený v členských štátoch Európskeho hospodárskeho priestoru (EHP) pod nasledovnými názvami:</w:t>
      </w:r>
    </w:p>
    <w:p w14:paraId="55F8491F" w14:textId="77777777" w:rsidR="001D29E6" w:rsidRPr="0002065A" w:rsidRDefault="001D29E6" w:rsidP="009F4BA4">
      <w:pPr>
        <w:tabs>
          <w:tab w:val="clear" w:pos="567"/>
        </w:tabs>
        <w:spacing w:line="240" w:lineRule="auto"/>
        <w:rPr>
          <w:i/>
          <w:noProof/>
        </w:rPr>
      </w:pPr>
    </w:p>
    <w:p w14:paraId="311A1170" w14:textId="5E6CE77D" w:rsidR="00030236" w:rsidRPr="0002065A" w:rsidRDefault="00030236" w:rsidP="00DC5E22">
      <w:pPr>
        <w:tabs>
          <w:tab w:val="clear" w:pos="567"/>
        </w:tabs>
        <w:spacing w:line="240" w:lineRule="auto"/>
        <w:rPr>
          <w:i/>
          <w:noProof/>
        </w:rPr>
      </w:pPr>
      <w:r w:rsidRPr="0002065A">
        <w:rPr>
          <w:i/>
        </w:rPr>
        <w:t>Rakúsko</w:t>
      </w:r>
      <w:r w:rsidR="00DC5E22" w:rsidRPr="0002065A">
        <w:rPr>
          <w:i/>
        </w:rPr>
        <w:t>, Nemecko</w:t>
      </w:r>
      <w:r w:rsidRPr="0002065A">
        <w:rPr>
          <w:i/>
        </w:rPr>
        <w:t>:</w:t>
      </w:r>
      <w:r w:rsidR="00DC5E22" w:rsidRPr="0002065A">
        <w:rPr>
          <w:i/>
        </w:rPr>
        <w:t xml:space="preserve"> </w:t>
      </w:r>
      <w:r w:rsidR="00DC5E22" w:rsidRPr="0002065A">
        <w:rPr>
          <w:szCs w:val="22"/>
        </w:rPr>
        <w:t>Serynox 50% / 50% Gas zur medizinischen Anwendung, druckverdichtet</w:t>
      </w:r>
    </w:p>
    <w:p w14:paraId="27A3CF48" w14:textId="1F0C1478" w:rsidR="000A680B" w:rsidRPr="0002065A" w:rsidRDefault="00030236" w:rsidP="009F4BA4">
      <w:pPr>
        <w:tabs>
          <w:tab w:val="clear" w:pos="567"/>
        </w:tabs>
        <w:spacing w:line="240" w:lineRule="auto"/>
        <w:rPr>
          <w:i/>
        </w:rPr>
      </w:pPr>
      <w:r w:rsidRPr="0002065A">
        <w:rPr>
          <w:i/>
        </w:rPr>
        <w:t>Belgicko:</w:t>
      </w:r>
      <w:r w:rsidR="00DC5E22" w:rsidRPr="0002065A">
        <w:rPr>
          <w:i/>
        </w:rPr>
        <w:t xml:space="preserve"> </w:t>
      </w:r>
      <w:r w:rsidR="00DC5E22" w:rsidRPr="0002065A">
        <w:rPr>
          <w:bCs/>
          <w:iCs/>
          <w:szCs w:val="22"/>
        </w:rPr>
        <w:t>Placynox 50% / 50% v/v medicinaal gas, samengeperst / gaz médicinal comprimé</w:t>
      </w:r>
    </w:p>
    <w:p w14:paraId="56A497D3" w14:textId="1BF628FB" w:rsidR="00030236" w:rsidRPr="0002065A" w:rsidRDefault="00030236" w:rsidP="009F4BA4">
      <w:pPr>
        <w:tabs>
          <w:tab w:val="clear" w:pos="567"/>
        </w:tabs>
        <w:spacing w:line="240" w:lineRule="auto"/>
        <w:rPr>
          <w:i/>
          <w:noProof/>
        </w:rPr>
      </w:pPr>
      <w:r w:rsidRPr="0002065A">
        <w:rPr>
          <w:i/>
        </w:rPr>
        <w:t>Chorvátsko:</w:t>
      </w:r>
      <w:r w:rsidR="00DC5E22" w:rsidRPr="0002065A">
        <w:rPr>
          <w:i/>
        </w:rPr>
        <w:t xml:space="preserve"> </w:t>
      </w:r>
      <w:r w:rsidR="00DC5E22" w:rsidRPr="0002065A">
        <w:rPr>
          <w:rFonts w:eastAsia="Calibri"/>
          <w:szCs w:val="22"/>
        </w:rPr>
        <w:t xml:space="preserve">Serynox </w:t>
      </w:r>
      <w:r w:rsidR="00DC5E22" w:rsidRPr="0002065A">
        <w:rPr>
          <w:color w:val="000000"/>
          <w:szCs w:val="22"/>
          <w:lang w:eastAsia="de-DE"/>
        </w:rPr>
        <w:t>50%/50% V/V medicinski plin, stlačen</w:t>
      </w:r>
    </w:p>
    <w:p w14:paraId="03616434" w14:textId="59E69056" w:rsidR="00030236" w:rsidRPr="0002065A" w:rsidRDefault="00030236" w:rsidP="009F4BA4">
      <w:pPr>
        <w:tabs>
          <w:tab w:val="clear" w:pos="567"/>
        </w:tabs>
        <w:spacing w:line="240" w:lineRule="auto"/>
        <w:rPr>
          <w:i/>
          <w:noProof/>
        </w:rPr>
      </w:pPr>
      <w:r w:rsidRPr="0002065A">
        <w:rPr>
          <w:i/>
        </w:rPr>
        <w:t>Česká republika:</w:t>
      </w:r>
      <w:r w:rsidR="00DC5E22" w:rsidRPr="0002065A">
        <w:rPr>
          <w:i/>
        </w:rPr>
        <w:t xml:space="preserve"> </w:t>
      </w:r>
      <w:r w:rsidR="00DC5E22" w:rsidRPr="0002065A">
        <w:rPr>
          <w:rFonts w:eastAsia="Calibri"/>
          <w:bCs/>
          <w:iCs/>
          <w:color w:val="000000"/>
          <w:szCs w:val="22"/>
        </w:rPr>
        <w:t>Serynox</w:t>
      </w:r>
    </w:p>
    <w:p w14:paraId="4A4DDD9B" w14:textId="6C90D456" w:rsidR="00030236" w:rsidRPr="0002065A" w:rsidRDefault="00030236" w:rsidP="009F4BA4">
      <w:pPr>
        <w:tabs>
          <w:tab w:val="clear" w:pos="567"/>
        </w:tabs>
        <w:spacing w:line="240" w:lineRule="auto"/>
        <w:rPr>
          <w:i/>
          <w:noProof/>
        </w:rPr>
      </w:pPr>
      <w:r w:rsidRPr="0002065A">
        <w:rPr>
          <w:i/>
        </w:rPr>
        <w:t>Estónsko</w:t>
      </w:r>
      <w:r w:rsidR="00DC5E22" w:rsidRPr="0002065A">
        <w:rPr>
          <w:i/>
        </w:rPr>
        <w:t>, Lotyšsko, Litva</w:t>
      </w:r>
      <w:r w:rsidRPr="0002065A">
        <w:rPr>
          <w:i/>
        </w:rPr>
        <w:t>:</w:t>
      </w:r>
      <w:r w:rsidR="00DC5E22" w:rsidRPr="0002065A">
        <w:rPr>
          <w:i/>
        </w:rPr>
        <w:t xml:space="preserve"> </w:t>
      </w:r>
      <w:r w:rsidR="00DC5E22" w:rsidRPr="0002065A">
        <w:rPr>
          <w:szCs w:val="22"/>
        </w:rPr>
        <w:t>Serynox</w:t>
      </w:r>
    </w:p>
    <w:p w14:paraId="283B5E6C" w14:textId="5406DCB5" w:rsidR="00030236" w:rsidRPr="0002065A" w:rsidRDefault="00030236" w:rsidP="009F4BA4">
      <w:pPr>
        <w:tabs>
          <w:tab w:val="clear" w:pos="567"/>
        </w:tabs>
        <w:spacing w:line="240" w:lineRule="auto"/>
        <w:rPr>
          <w:i/>
          <w:noProof/>
        </w:rPr>
      </w:pPr>
      <w:r w:rsidRPr="0002065A">
        <w:rPr>
          <w:i/>
        </w:rPr>
        <w:t>Francúzsko:</w:t>
      </w:r>
      <w:r w:rsidR="00DC5E22" w:rsidRPr="0002065A">
        <w:rPr>
          <w:i/>
        </w:rPr>
        <w:t xml:space="preserve"> </w:t>
      </w:r>
      <w:r w:rsidR="00DC5E22" w:rsidRPr="0002065A">
        <w:rPr>
          <w:szCs w:val="22"/>
        </w:rPr>
        <w:t>Placynox 50% / 50% gaz médicinal comprimé</w:t>
      </w:r>
    </w:p>
    <w:p w14:paraId="467F10CA" w14:textId="12F99F93" w:rsidR="00030236" w:rsidRPr="0002065A" w:rsidRDefault="00030236" w:rsidP="009F4BA4">
      <w:pPr>
        <w:tabs>
          <w:tab w:val="clear" w:pos="567"/>
        </w:tabs>
        <w:spacing w:line="240" w:lineRule="auto"/>
        <w:rPr>
          <w:i/>
          <w:noProof/>
        </w:rPr>
      </w:pPr>
      <w:r w:rsidRPr="0002065A">
        <w:rPr>
          <w:i/>
        </w:rPr>
        <w:t>Poľsko:</w:t>
      </w:r>
      <w:r w:rsidR="00DC5E22" w:rsidRPr="0002065A">
        <w:rPr>
          <w:i/>
        </w:rPr>
        <w:t xml:space="preserve"> </w:t>
      </w:r>
      <w:r w:rsidR="00DC5E22" w:rsidRPr="0002065A">
        <w:rPr>
          <w:szCs w:val="22"/>
        </w:rPr>
        <w:t>Serynox</w:t>
      </w:r>
    </w:p>
    <w:p w14:paraId="13B3F1FF" w14:textId="7B7490D1" w:rsidR="00030236" w:rsidRPr="0002065A" w:rsidRDefault="00030236" w:rsidP="009F4BA4">
      <w:pPr>
        <w:tabs>
          <w:tab w:val="clear" w:pos="567"/>
        </w:tabs>
        <w:spacing w:line="240" w:lineRule="auto"/>
        <w:rPr>
          <w:i/>
          <w:noProof/>
        </w:rPr>
      </w:pPr>
      <w:r w:rsidRPr="0002065A">
        <w:rPr>
          <w:i/>
        </w:rPr>
        <w:t>Rumunsko:</w:t>
      </w:r>
      <w:r w:rsidR="00DC5E22" w:rsidRPr="0002065A">
        <w:rPr>
          <w:i/>
        </w:rPr>
        <w:t xml:space="preserve"> </w:t>
      </w:r>
      <w:r w:rsidR="00DC5E22" w:rsidRPr="0002065A">
        <w:rPr>
          <w:szCs w:val="22"/>
        </w:rPr>
        <w:t>Serynox 50% / 50% Gaz medicinal comprimat</w:t>
      </w:r>
    </w:p>
    <w:p w14:paraId="79578A97" w14:textId="2071FE21" w:rsidR="00030236" w:rsidRPr="0002065A" w:rsidRDefault="00030236" w:rsidP="009F4BA4">
      <w:pPr>
        <w:tabs>
          <w:tab w:val="clear" w:pos="567"/>
        </w:tabs>
        <w:spacing w:line="240" w:lineRule="auto"/>
        <w:rPr>
          <w:i/>
          <w:noProof/>
        </w:rPr>
      </w:pPr>
      <w:r w:rsidRPr="0002065A">
        <w:rPr>
          <w:i/>
        </w:rPr>
        <w:t>Slovinsko:</w:t>
      </w:r>
      <w:r w:rsidR="00DC5E22" w:rsidRPr="0002065A">
        <w:rPr>
          <w:i/>
        </w:rPr>
        <w:t xml:space="preserve"> </w:t>
      </w:r>
      <w:r w:rsidR="00DC5E22" w:rsidRPr="0002065A">
        <w:rPr>
          <w:rFonts w:eastAsia="Calibri"/>
          <w:color w:val="000000"/>
          <w:szCs w:val="22"/>
        </w:rPr>
        <w:t>Serynox 50 %/50 % V/V medicinski plin, stisnjeni</w:t>
      </w:r>
    </w:p>
    <w:p w14:paraId="2E6CC395" w14:textId="1C443DAA" w:rsidR="00030236" w:rsidRPr="0002065A" w:rsidRDefault="0001434D" w:rsidP="009F4BA4">
      <w:pPr>
        <w:tabs>
          <w:tab w:val="clear" w:pos="567"/>
        </w:tabs>
        <w:spacing w:line="240" w:lineRule="auto"/>
        <w:rPr>
          <w:i/>
          <w:noProof/>
        </w:rPr>
      </w:pPr>
      <w:r w:rsidRPr="00293CCE">
        <w:rPr>
          <w:szCs w:val="22"/>
        </w:rPr>
        <w:t>Slovenská republika</w:t>
      </w:r>
      <w:r w:rsidR="00030236" w:rsidRPr="0002065A">
        <w:rPr>
          <w:i/>
        </w:rPr>
        <w:t>:</w:t>
      </w:r>
      <w:r w:rsidR="00DC5E22" w:rsidRPr="0002065A">
        <w:rPr>
          <w:i/>
        </w:rPr>
        <w:t xml:space="preserve"> </w:t>
      </w:r>
      <w:r w:rsidR="00DC5E22" w:rsidRPr="0002065A">
        <w:rPr>
          <w:szCs w:val="22"/>
        </w:rPr>
        <w:t xml:space="preserve">Serynox 50% / 50% </w:t>
      </w:r>
      <w:r w:rsidR="00DC5E22" w:rsidRPr="0002065A">
        <w:rPr>
          <w:rFonts w:eastAsia="Calibri"/>
          <w:szCs w:val="22"/>
        </w:rPr>
        <w:t>stlačený medicinálny plyn</w:t>
      </w:r>
    </w:p>
    <w:p w14:paraId="1D98075E" w14:textId="6D64240B" w:rsidR="00030236" w:rsidRPr="0002065A" w:rsidRDefault="00030236" w:rsidP="00DC5E22">
      <w:pPr>
        <w:tabs>
          <w:tab w:val="left" w:pos="1425"/>
        </w:tabs>
        <w:rPr>
          <w:szCs w:val="22"/>
        </w:rPr>
      </w:pPr>
      <w:r w:rsidRPr="0002065A">
        <w:rPr>
          <w:i/>
        </w:rPr>
        <w:t>Španielsko:</w:t>
      </w:r>
      <w:r w:rsidR="00DC5E22" w:rsidRPr="0002065A">
        <w:rPr>
          <w:i/>
        </w:rPr>
        <w:t xml:space="preserve"> </w:t>
      </w:r>
      <w:r w:rsidR="00DC5E22" w:rsidRPr="0002065A">
        <w:rPr>
          <w:szCs w:val="22"/>
        </w:rPr>
        <w:t>Serynox 50% / 50% gas comprimido medicinal</w:t>
      </w:r>
    </w:p>
    <w:p w14:paraId="35C7AC6A" w14:textId="77777777" w:rsidR="00DC5E22" w:rsidRPr="0002065A" w:rsidRDefault="00DC5E22" w:rsidP="00DC5E22">
      <w:pPr>
        <w:tabs>
          <w:tab w:val="left" w:pos="1425"/>
        </w:tabs>
        <w:rPr>
          <w:i/>
          <w:noProof/>
        </w:rPr>
      </w:pPr>
    </w:p>
    <w:p w14:paraId="6C5F6BA0" w14:textId="77777777" w:rsidR="00030236" w:rsidRPr="0002065A" w:rsidRDefault="00030236" w:rsidP="009F4BA4">
      <w:pPr>
        <w:tabs>
          <w:tab w:val="clear" w:pos="567"/>
        </w:tabs>
        <w:spacing w:line="240" w:lineRule="auto"/>
        <w:rPr>
          <w:i/>
          <w:noProof/>
        </w:rPr>
      </w:pPr>
    </w:p>
    <w:p w14:paraId="23B0C819" w14:textId="3251586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02065A">
        <w:rPr>
          <w:b/>
        </w:rPr>
        <w:t>Táto písomná informácia bola naposledy aktualizovaná v</w:t>
      </w:r>
      <w:r w:rsidR="00B51451">
        <w:rPr>
          <w:b/>
        </w:rPr>
        <w:t>o</w:t>
      </w:r>
      <w:r w:rsidRPr="0002065A">
        <w:rPr>
          <w:b/>
        </w:rPr>
        <w:t> </w:t>
      </w:r>
      <w:r w:rsidR="00B51451">
        <w:rPr>
          <w:rFonts w:eastAsia="MS Mincho"/>
          <w:b/>
          <w:szCs w:val="22"/>
        </w:rPr>
        <w:t>februári</w:t>
      </w:r>
      <w:r w:rsidR="00904F4C">
        <w:rPr>
          <w:rFonts w:eastAsia="MS Mincho"/>
          <w:b/>
          <w:szCs w:val="22"/>
        </w:rPr>
        <w:t xml:space="preserve"> 2021-</w:t>
      </w:r>
    </w:p>
    <w:p w14:paraId="4FF91B02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A5D757F" w14:textId="77777777" w:rsidR="001D29E6" w:rsidRPr="0002065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C9129E8" w14:textId="77777777" w:rsidR="00DC5E22" w:rsidRPr="0002065A" w:rsidRDefault="00DC5E22" w:rsidP="00DC5E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2065A">
        <w:rPr>
          <w:noProof/>
        </w:rPr>
        <w:t>------------------------------------------------------------------------------------------------------------------------</w:t>
      </w:r>
    </w:p>
    <w:p w14:paraId="2E71599C" w14:textId="77777777" w:rsidR="00531786" w:rsidRPr="0002065A" w:rsidRDefault="00531786" w:rsidP="00C972B1">
      <w:pPr>
        <w:autoSpaceDE w:val="0"/>
        <w:autoSpaceDN w:val="0"/>
        <w:adjustRightInd w:val="0"/>
        <w:rPr>
          <w:b/>
          <w:snapToGrid w:val="0"/>
          <w:szCs w:val="22"/>
        </w:rPr>
      </w:pPr>
      <w:r w:rsidRPr="0002065A">
        <w:rPr>
          <w:b/>
          <w:snapToGrid w:val="0"/>
          <w:szCs w:val="22"/>
        </w:rPr>
        <w:t>Nasledujúca informácia je určená len pre zdravotníckych pracovníkov</w:t>
      </w:r>
    </w:p>
    <w:p w14:paraId="4D8792A8" w14:textId="77777777" w:rsidR="00531786" w:rsidRPr="0002065A" w:rsidRDefault="00531786" w:rsidP="00531786">
      <w:pPr>
        <w:autoSpaceDE w:val="0"/>
        <w:autoSpaceDN w:val="0"/>
        <w:adjustRightInd w:val="0"/>
        <w:rPr>
          <w:szCs w:val="22"/>
        </w:rPr>
      </w:pPr>
    </w:p>
    <w:p w14:paraId="651220D4" w14:textId="5AE7823D" w:rsidR="00531786" w:rsidRPr="0002065A" w:rsidRDefault="00C42195" w:rsidP="00531786">
      <w:pPr>
        <w:rPr>
          <w:szCs w:val="22"/>
        </w:rPr>
      </w:pPr>
      <w:r w:rsidRPr="0002065A">
        <w:rPr>
          <w:szCs w:val="22"/>
        </w:rPr>
        <w:t xml:space="preserve">Tlakové fľaše Serynox </w:t>
      </w:r>
      <w:r w:rsidRPr="00987E40">
        <w:rPr>
          <w:szCs w:val="22"/>
        </w:rPr>
        <w:t xml:space="preserve">sa </w:t>
      </w:r>
      <w:r w:rsidR="00DA5CC0" w:rsidRPr="00987E40">
        <w:rPr>
          <w:szCs w:val="22"/>
        </w:rPr>
        <w:t>môžu</w:t>
      </w:r>
      <w:bookmarkStart w:id="4" w:name="_GoBack"/>
      <w:bookmarkEnd w:id="4"/>
      <w:r w:rsidR="00DA5CC0" w:rsidRPr="0002065A">
        <w:rPr>
          <w:szCs w:val="22"/>
        </w:rPr>
        <w:t xml:space="preserve"> </w:t>
      </w:r>
      <w:r w:rsidRPr="0002065A">
        <w:rPr>
          <w:szCs w:val="22"/>
        </w:rPr>
        <w:t>používať výhradne na</w:t>
      </w:r>
      <w:r w:rsidR="00B25CF7" w:rsidRPr="0002065A">
        <w:rPr>
          <w:szCs w:val="22"/>
        </w:rPr>
        <w:t xml:space="preserve"> </w:t>
      </w:r>
      <w:r w:rsidRPr="0002065A">
        <w:rPr>
          <w:szCs w:val="22"/>
        </w:rPr>
        <w:t>lekárske účely.</w:t>
      </w:r>
    </w:p>
    <w:p w14:paraId="03825124" w14:textId="77777777" w:rsidR="00531786" w:rsidRPr="0002065A" w:rsidRDefault="00531786" w:rsidP="00531786">
      <w:pPr>
        <w:autoSpaceDE w:val="0"/>
        <w:autoSpaceDN w:val="0"/>
        <w:adjustRightInd w:val="0"/>
        <w:rPr>
          <w:szCs w:val="22"/>
        </w:rPr>
      </w:pPr>
    </w:p>
    <w:p w14:paraId="396F89AD" w14:textId="334CEB23" w:rsidR="0034322B" w:rsidRPr="0002065A" w:rsidRDefault="0034322B" w:rsidP="0034322B">
      <w:pPr>
        <w:rPr>
          <w:szCs w:val="22"/>
        </w:rPr>
      </w:pPr>
      <w:r w:rsidRPr="0002065A">
        <w:rPr>
          <w:rFonts w:eastAsia="Calibri"/>
          <w:szCs w:val="22"/>
        </w:rPr>
        <w:t xml:space="preserve">Miestnosti, v ktorých sa </w:t>
      </w:r>
      <w:r w:rsidRPr="0002065A">
        <w:rPr>
          <w:szCs w:val="22"/>
        </w:rPr>
        <w:t>Serynox</w:t>
      </w:r>
      <w:r w:rsidRPr="0002065A">
        <w:rPr>
          <w:rFonts w:eastAsia="Calibri"/>
          <w:szCs w:val="22"/>
        </w:rPr>
        <w:t xml:space="preserve"> často používa, musia byť vybavené </w:t>
      </w:r>
      <w:r w:rsidR="00B25CF7" w:rsidRPr="0002065A">
        <w:rPr>
          <w:rFonts w:eastAsia="Calibri"/>
          <w:szCs w:val="22"/>
        </w:rPr>
        <w:t>dostatočne efektívnym zariadením</w:t>
      </w:r>
      <w:r w:rsidRPr="0002065A">
        <w:rPr>
          <w:rFonts w:eastAsia="Calibri"/>
          <w:szCs w:val="22"/>
        </w:rPr>
        <w:t xml:space="preserve"> na zachytávanie a odvádzanie odpadových plynov alebo vetraním.</w:t>
      </w:r>
    </w:p>
    <w:p w14:paraId="07018326" w14:textId="77777777" w:rsidR="0034322B" w:rsidRPr="0002065A" w:rsidRDefault="0034322B" w:rsidP="0034322B">
      <w:pPr>
        <w:autoSpaceDE w:val="0"/>
        <w:autoSpaceDN w:val="0"/>
        <w:adjustRightInd w:val="0"/>
        <w:rPr>
          <w:szCs w:val="22"/>
        </w:rPr>
      </w:pPr>
    </w:p>
    <w:p w14:paraId="6010FF5A" w14:textId="28E57289" w:rsidR="0034322B" w:rsidRPr="0002065A" w:rsidRDefault="0034322B" w:rsidP="0034322B">
      <w:pPr>
        <w:rPr>
          <w:szCs w:val="22"/>
        </w:rPr>
      </w:pPr>
      <w:r w:rsidRPr="0002065A">
        <w:rPr>
          <w:szCs w:val="22"/>
        </w:rPr>
        <w:t xml:space="preserve">Rôzne typy medicinálnych plynov musia byť uchovávané vzájomne oddelené. Plné a prázdne fľaše </w:t>
      </w:r>
      <w:r w:rsidR="00B25CF7" w:rsidRPr="0002065A">
        <w:t xml:space="preserve">na stlačený plyn </w:t>
      </w:r>
      <w:r w:rsidRPr="0002065A">
        <w:rPr>
          <w:szCs w:val="22"/>
        </w:rPr>
        <w:t>musia byť uchovávané oddelene.</w:t>
      </w:r>
    </w:p>
    <w:p w14:paraId="07210288" w14:textId="77777777" w:rsidR="0034322B" w:rsidRPr="0002065A" w:rsidRDefault="0034322B" w:rsidP="0034322B">
      <w:pPr>
        <w:rPr>
          <w:color w:val="000000"/>
          <w:szCs w:val="22"/>
        </w:rPr>
      </w:pPr>
    </w:p>
    <w:p w14:paraId="4047F946" w14:textId="3D2083CA" w:rsidR="000A680B" w:rsidRPr="0002065A" w:rsidRDefault="0034322B" w:rsidP="0034322B">
      <w:pPr>
        <w:rPr>
          <w:szCs w:val="22"/>
        </w:rPr>
      </w:pPr>
      <w:r w:rsidRPr="0002065A">
        <w:rPr>
          <w:szCs w:val="22"/>
        </w:rPr>
        <w:t xml:space="preserve">Nikdy nepoužívajte olej ani mazivo, a to ani v prípade, ak sa ventil tlakovej fľaše ťažko otáča alebo ak </w:t>
      </w:r>
      <w:r w:rsidR="00B25CF7" w:rsidRPr="0002065A">
        <w:rPr>
          <w:szCs w:val="22"/>
        </w:rPr>
        <w:t>sa</w:t>
      </w:r>
      <w:r w:rsidRPr="0002065A">
        <w:rPr>
          <w:szCs w:val="22"/>
        </w:rPr>
        <w:t xml:space="preserve"> regulátor ťažko prip</w:t>
      </w:r>
      <w:r w:rsidR="00B25CF7" w:rsidRPr="0002065A">
        <w:rPr>
          <w:szCs w:val="22"/>
        </w:rPr>
        <w:t>ája</w:t>
      </w:r>
      <w:r w:rsidRPr="0002065A">
        <w:rPr>
          <w:szCs w:val="22"/>
        </w:rPr>
        <w:t>. S ventilmi a </w:t>
      </w:r>
      <w:r w:rsidR="00B25CF7" w:rsidRPr="0002065A">
        <w:rPr>
          <w:szCs w:val="22"/>
        </w:rPr>
        <w:t>dodávaným zariadením</w:t>
      </w:r>
      <w:r w:rsidRPr="0002065A">
        <w:rPr>
          <w:szCs w:val="22"/>
        </w:rPr>
        <w:t xml:space="preserve"> manipulujte čistými rukami bez mastnoty (krém na ruky atď.).</w:t>
      </w:r>
    </w:p>
    <w:p w14:paraId="522B4152" w14:textId="547C514E" w:rsidR="00794F79" w:rsidRPr="0002065A" w:rsidRDefault="00794F79" w:rsidP="0034322B">
      <w:pPr>
        <w:rPr>
          <w:szCs w:val="22"/>
        </w:rPr>
      </w:pPr>
    </w:p>
    <w:p w14:paraId="6075BB9B" w14:textId="1B5B489B" w:rsidR="0034322B" w:rsidRPr="0002065A" w:rsidRDefault="0034322B" w:rsidP="0034322B">
      <w:pPr>
        <w:rPr>
          <w:szCs w:val="22"/>
        </w:rPr>
      </w:pPr>
      <w:r w:rsidRPr="0002065A">
        <w:rPr>
          <w:szCs w:val="22"/>
        </w:rPr>
        <w:t xml:space="preserve">V prípade požiaru alebo ak zariadenie nepoužívate, vypnite ho. Ak existuje riziko požiaru, premiestnite fľašu </w:t>
      </w:r>
      <w:r w:rsidR="00B25CF7" w:rsidRPr="0002065A">
        <w:t xml:space="preserve">na stlačený plyn </w:t>
      </w:r>
      <w:r w:rsidRPr="0002065A">
        <w:rPr>
          <w:szCs w:val="22"/>
        </w:rPr>
        <w:t>na</w:t>
      </w:r>
      <w:r w:rsidR="00B25CF7" w:rsidRPr="0002065A">
        <w:rPr>
          <w:szCs w:val="22"/>
        </w:rPr>
        <w:t xml:space="preserve"> </w:t>
      </w:r>
      <w:r w:rsidRPr="0002065A">
        <w:rPr>
          <w:szCs w:val="22"/>
        </w:rPr>
        <w:t>bezpečné miesto.</w:t>
      </w:r>
    </w:p>
    <w:p w14:paraId="1FAB1AD4" w14:textId="77777777" w:rsidR="00794F79" w:rsidRPr="0002065A" w:rsidRDefault="00794F79" w:rsidP="0034322B">
      <w:pPr>
        <w:rPr>
          <w:szCs w:val="22"/>
        </w:rPr>
      </w:pPr>
    </w:p>
    <w:p w14:paraId="4B186D25" w14:textId="17FD34A8" w:rsidR="000A680B" w:rsidRPr="0002065A" w:rsidRDefault="0034322B" w:rsidP="0034322B">
      <w:pPr>
        <w:rPr>
          <w:snapToGrid w:val="0"/>
          <w:szCs w:val="22"/>
        </w:rPr>
      </w:pPr>
      <w:r w:rsidRPr="0002065A">
        <w:rPr>
          <w:szCs w:val="22"/>
        </w:rPr>
        <w:t xml:space="preserve">Používajte iba štandardné </w:t>
      </w:r>
      <w:r w:rsidR="00B25CF7" w:rsidRPr="0002065A">
        <w:rPr>
          <w:szCs w:val="22"/>
        </w:rPr>
        <w:t xml:space="preserve">zariadenie </w:t>
      </w:r>
      <w:r w:rsidRPr="0002065A">
        <w:rPr>
          <w:szCs w:val="22"/>
        </w:rPr>
        <w:t xml:space="preserve">určené pre plynovú zmes </w:t>
      </w:r>
      <w:r w:rsidRPr="0002065A">
        <w:rPr>
          <w:snapToGrid w:val="0"/>
          <w:szCs w:val="22"/>
        </w:rPr>
        <w:t>50 % N</w:t>
      </w:r>
      <w:r w:rsidRPr="0002065A">
        <w:rPr>
          <w:snapToGrid w:val="0"/>
          <w:szCs w:val="22"/>
          <w:vertAlign w:val="subscript"/>
        </w:rPr>
        <w:t>2</w:t>
      </w:r>
      <w:r w:rsidRPr="0002065A">
        <w:rPr>
          <w:snapToGrid w:val="0"/>
          <w:szCs w:val="22"/>
        </w:rPr>
        <w:t>O/50 % O</w:t>
      </w:r>
      <w:r w:rsidRPr="0002065A">
        <w:rPr>
          <w:snapToGrid w:val="0"/>
          <w:szCs w:val="22"/>
          <w:vertAlign w:val="subscript"/>
        </w:rPr>
        <w:t>2</w:t>
      </w:r>
      <w:r w:rsidRPr="0002065A">
        <w:rPr>
          <w:snapToGrid w:val="0"/>
          <w:szCs w:val="22"/>
        </w:rPr>
        <w:t>.</w:t>
      </w:r>
    </w:p>
    <w:p w14:paraId="2AB1C929" w14:textId="2432C767" w:rsidR="00794F79" w:rsidRPr="0002065A" w:rsidRDefault="00794F79" w:rsidP="0034322B">
      <w:pPr>
        <w:rPr>
          <w:szCs w:val="22"/>
        </w:rPr>
      </w:pPr>
    </w:p>
    <w:p w14:paraId="7D3FC3C4" w14:textId="77777777" w:rsidR="000A680B" w:rsidRPr="0002065A" w:rsidRDefault="0034322B" w:rsidP="0034322B">
      <w:pPr>
        <w:rPr>
          <w:szCs w:val="22"/>
        </w:rPr>
      </w:pPr>
      <w:r w:rsidRPr="0002065A">
        <w:rPr>
          <w:szCs w:val="22"/>
        </w:rPr>
        <w:t>Pred prvým použitím skontrolujte, či sú tlakové fľaše utesnené.</w:t>
      </w:r>
    </w:p>
    <w:p w14:paraId="7F801A53" w14:textId="031FFD29" w:rsidR="0034322B" w:rsidRPr="0002065A" w:rsidRDefault="0034322B" w:rsidP="0034322B">
      <w:pPr>
        <w:rPr>
          <w:color w:val="000000"/>
          <w:szCs w:val="22"/>
        </w:rPr>
      </w:pPr>
    </w:p>
    <w:p w14:paraId="707ED5EA" w14:textId="090A473C" w:rsidR="0034322B" w:rsidRPr="0002065A" w:rsidRDefault="0034322B" w:rsidP="0034322B">
      <w:pPr>
        <w:tabs>
          <w:tab w:val="left" w:pos="360"/>
        </w:tabs>
        <w:rPr>
          <w:szCs w:val="22"/>
        </w:rPr>
      </w:pPr>
      <w:r w:rsidRPr="0002065A">
        <w:rPr>
          <w:szCs w:val="22"/>
        </w:rPr>
        <w:t>V miestnostiach, kde sa vykonáva liečba Serynoxom, je prísne zakázané fajčenie a otvorený oheň.</w:t>
      </w:r>
    </w:p>
    <w:p w14:paraId="4CE16FD0" w14:textId="77777777" w:rsidR="0034322B" w:rsidRPr="0002065A" w:rsidRDefault="0034322B" w:rsidP="0034322B">
      <w:pPr>
        <w:tabs>
          <w:tab w:val="left" w:pos="360"/>
        </w:tabs>
        <w:rPr>
          <w:szCs w:val="22"/>
        </w:rPr>
      </w:pPr>
    </w:p>
    <w:p w14:paraId="7F8B5780" w14:textId="67D9DC68" w:rsidR="0034322B" w:rsidRPr="0002065A" w:rsidRDefault="0034322B" w:rsidP="0034322B">
      <w:pPr>
        <w:tabs>
          <w:tab w:val="left" w:pos="360"/>
        </w:tabs>
        <w:rPr>
          <w:szCs w:val="22"/>
        </w:rPr>
      </w:pPr>
      <w:r w:rsidRPr="0002065A">
        <w:rPr>
          <w:szCs w:val="22"/>
        </w:rPr>
        <w:t>Keď sa tlaková fľaša používa, musí byť pripevnená na</w:t>
      </w:r>
      <w:r w:rsidR="00B25CF7" w:rsidRPr="0002065A">
        <w:rPr>
          <w:szCs w:val="22"/>
        </w:rPr>
        <w:t xml:space="preserve"> </w:t>
      </w:r>
      <w:r w:rsidRPr="0002065A">
        <w:rPr>
          <w:szCs w:val="22"/>
        </w:rPr>
        <w:t>vhodnom podstavci.</w:t>
      </w:r>
    </w:p>
    <w:p w14:paraId="1FA8BAA5" w14:textId="77777777" w:rsidR="0034322B" w:rsidRPr="0002065A" w:rsidRDefault="0034322B" w:rsidP="0034322B">
      <w:pPr>
        <w:tabs>
          <w:tab w:val="left" w:pos="360"/>
        </w:tabs>
        <w:rPr>
          <w:szCs w:val="22"/>
        </w:rPr>
      </w:pPr>
    </w:p>
    <w:p w14:paraId="270D0A35" w14:textId="77777777" w:rsidR="0034322B" w:rsidRPr="0002065A" w:rsidRDefault="0034322B" w:rsidP="0034322B">
      <w:pPr>
        <w:rPr>
          <w:szCs w:val="22"/>
        </w:rPr>
      </w:pPr>
      <w:r w:rsidRPr="0002065A">
        <w:rPr>
          <w:szCs w:val="22"/>
        </w:rPr>
        <w:t>Po použití musí byť ventil tlakovej fľaše tesne uzavretý rukou. Vypustite pretlak z regulátora alebo prípojky.</w:t>
      </w:r>
    </w:p>
    <w:p w14:paraId="3A4D6AEC" w14:textId="6598CDB6" w:rsidR="004213E4" w:rsidRPr="0002065A" w:rsidRDefault="004213E4" w:rsidP="00B71C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76C7689E" w14:textId="77777777" w:rsidR="00DC5E22" w:rsidRPr="0002065A" w:rsidRDefault="00DC5E22" w:rsidP="00DC5E22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02065A">
        <w:rPr>
          <w:szCs w:val="22"/>
        </w:rPr>
        <w:t>Keď je fľaša na stlačený plyn prázdna, nelikvidujte ju. Dodávateľ vykonáva spätný zber prázdnych fliaš na stlačený plyn.</w:t>
      </w:r>
    </w:p>
    <w:p w14:paraId="3218A6E5" w14:textId="77777777" w:rsidR="00DC5E22" w:rsidRPr="0002065A" w:rsidRDefault="00DC5E22" w:rsidP="00B71C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sectPr w:rsidR="00DC5E22" w:rsidRPr="0002065A" w:rsidSect="00987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9D9D5" w14:textId="77777777" w:rsidR="00CE132B" w:rsidRDefault="00CE132B">
      <w:r>
        <w:separator/>
      </w:r>
    </w:p>
  </w:endnote>
  <w:endnote w:type="continuationSeparator" w:id="0">
    <w:p w14:paraId="3A1BFDCE" w14:textId="77777777" w:rsidR="00CE132B" w:rsidRDefault="00CE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66BFD" w14:textId="77777777" w:rsidR="00CB0A34" w:rsidRDefault="00CB0A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65A6E" w14:textId="6A6796E1" w:rsidR="00524FEA" w:rsidRPr="000C1913" w:rsidRDefault="00524FE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987E40">
      <w:rPr>
        <w:rStyle w:val="slostrany"/>
        <w:rFonts w:ascii="Arial" w:hAnsi="Arial" w:cs="Arial"/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BF246" w14:textId="726A4FAA" w:rsidR="00524FEA" w:rsidRPr="000C1913" w:rsidRDefault="00524FE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CB0A34">
      <w:rPr>
        <w:rStyle w:val="slostrany"/>
        <w:rFonts w:ascii="Arial" w:hAnsi="Arial" w:cs="Arial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C5007" w14:textId="77777777" w:rsidR="00CE132B" w:rsidRDefault="00CE132B">
      <w:r>
        <w:separator/>
      </w:r>
    </w:p>
  </w:footnote>
  <w:footnote w:type="continuationSeparator" w:id="0">
    <w:p w14:paraId="6C069EF5" w14:textId="77777777" w:rsidR="00CE132B" w:rsidRDefault="00CE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4F494" w14:textId="77777777" w:rsidR="00CB0A34" w:rsidRDefault="00CB0A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82805" w14:textId="77777777" w:rsidR="00CB0A34" w:rsidRPr="00970361" w:rsidRDefault="00CB0A34" w:rsidP="00CB0A34">
    <w:pPr>
      <w:pStyle w:val="Hlavika"/>
      <w:rPr>
        <w:rFonts w:ascii="Times New Roman" w:hAnsi="Times New Roman"/>
        <w:sz w:val="18"/>
        <w:szCs w:val="18"/>
      </w:rPr>
    </w:pPr>
    <w:r w:rsidRPr="00970361">
      <w:rPr>
        <w:rFonts w:ascii="Times New Roman" w:hAnsi="Times New Roman"/>
        <w:sz w:val="18"/>
        <w:szCs w:val="18"/>
      </w:rPr>
      <w:t>Schválený text k rozhodnutiu o registrácii, ev.č.:2019/04592-REG</w:t>
    </w:r>
  </w:p>
  <w:p w14:paraId="5BF5163B" w14:textId="4331F69F" w:rsidR="00CB0A34" w:rsidRDefault="00CB0A3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4EAA4" w14:textId="77777777" w:rsidR="00CB0A34" w:rsidRDefault="00CB0A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4441C5"/>
    <w:multiLevelType w:val="hybridMultilevel"/>
    <w:tmpl w:val="A8F89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E771C68"/>
    <w:multiLevelType w:val="hybridMultilevel"/>
    <w:tmpl w:val="33D6EF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B8456B9"/>
    <w:multiLevelType w:val="hybridMultilevel"/>
    <w:tmpl w:val="5C14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BF0354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3CA42839"/>
    <w:multiLevelType w:val="hybridMultilevel"/>
    <w:tmpl w:val="D07A65C4"/>
    <w:lvl w:ilvl="0" w:tplc="85686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7595B"/>
    <w:multiLevelType w:val="hybridMultilevel"/>
    <w:tmpl w:val="BE8E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A6B7F"/>
    <w:multiLevelType w:val="hybridMultilevel"/>
    <w:tmpl w:val="71288F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98BAB862"/>
    <w:lvl w:ilvl="0" w:tplc="117AC6E6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79D4295"/>
    <w:multiLevelType w:val="hybridMultilevel"/>
    <w:tmpl w:val="03DEDD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8A851D4"/>
    <w:multiLevelType w:val="hybridMultilevel"/>
    <w:tmpl w:val="F5BA991A"/>
    <w:lvl w:ilvl="0" w:tplc="1092376A">
      <w:numFmt w:val="bullet"/>
      <w:lvlText w:val="-"/>
      <w:lvlJc w:val="left"/>
      <w:pPr>
        <w:tabs>
          <w:tab w:val="num" w:pos="207"/>
        </w:tabs>
        <w:ind w:left="207" w:hanging="360"/>
      </w:pPr>
      <w:rPr>
        <w:rFonts w:ascii="Times New Roman" w:eastAsia="Times New Roman" w:hAnsi="Times New Roman" w:cs="Times New Roman" w:hint="default"/>
      </w:rPr>
    </w:lvl>
    <w:lvl w:ilvl="1" w:tplc="3A6A4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4E8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C8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88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6CD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8C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8B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06F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F1312"/>
    <w:multiLevelType w:val="hybridMultilevel"/>
    <w:tmpl w:val="A2B6B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 w15:restartNumberingAfterBreak="0">
    <w:nsid w:val="6E3B16E5"/>
    <w:multiLevelType w:val="singleLevel"/>
    <w:tmpl w:val="FFFFFFFF"/>
    <w:lvl w:ilvl="0">
      <w:numFmt w:val="decimal"/>
      <w:lvlText w:val="*"/>
      <w:lvlJc w:val="left"/>
    </w:lvl>
  </w:abstractNum>
  <w:abstractNum w:abstractNumId="44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41"/>
  </w:num>
  <w:num w:numId="5">
    <w:abstractNumId w:val="13"/>
  </w:num>
  <w:num w:numId="6">
    <w:abstractNumId w:val="26"/>
  </w:num>
  <w:num w:numId="7">
    <w:abstractNumId w:val="25"/>
  </w:num>
  <w:num w:numId="8">
    <w:abstractNumId w:val="9"/>
  </w:num>
  <w:num w:numId="9">
    <w:abstractNumId w:val="37"/>
  </w:num>
  <w:num w:numId="10">
    <w:abstractNumId w:val="40"/>
  </w:num>
  <w:num w:numId="11">
    <w:abstractNumId w:val="18"/>
  </w:num>
  <w:num w:numId="12">
    <w:abstractNumId w:val="15"/>
  </w:num>
  <w:num w:numId="13">
    <w:abstractNumId w:val="2"/>
  </w:num>
  <w:num w:numId="14">
    <w:abstractNumId w:val="35"/>
  </w:num>
  <w:num w:numId="15">
    <w:abstractNumId w:val="22"/>
  </w:num>
  <w:num w:numId="16">
    <w:abstractNumId w:val="44"/>
  </w:num>
  <w:num w:numId="17">
    <w:abstractNumId w:val="10"/>
  </w:num>
  <w:num w:numId="18">
    <w:abstractNumId w:val="1"/>
  </w:num>
  <w:num w:numId="19">
    <w:abstractNumId w:val="19"/>
  </w:num>
  <w:num w:numId="20">
    <w:abstractNumId w:val="4"/>
  </w:num>
  <w:num w:numId="21">
    <w:abstractNumId w:val="7"/>
  </w:num>
  <w:num w:numId="22">
    <w:abstractNumId w:val="30"/>
  </w:num>
  <w:num w:numId="23">
    <w:abstractNumId w:val="34"/>
  </w:num>
  <w:num w:numId="24">
    <w:abstractNumId w:val="29"/>
  </w:num>
  <w:num w:numId="25">
    <w:abstractNumId w:val="14"/>
  </w:num>
  <w:num w:numId="26">
    <w:abstractNumId w:val="12"/>
  </w:num>
  <w:num w:numId="27">
    <w:abstractNumId w:val="24"/>
  </w:num>
  <w:num w:numId="28">
    <w:abstractNumId w:val="27"/>
  </w:num>
  <w:num w:numId="29">
    <w:abstractNumId w:val="16"/>
  </w:num>
  <w:num w:numId="30">
    <w:abstractNumId w:val="11"/>
  </w:num>
  <w:num w:numId="31">
    <w:abstractNumId w:val="32"/>
  </w:num>
  <w:num w:numId="32">
    <w:abstractNumId w:val="33"/>
  </w:num>
  <w:num w:numId="33">
    <w:abstractNumId w:val="31"/>
  </w:num>
  <w:num w:numId="34">
    <w:abstractNumId w:val="17"/>
  </w:num>
  <w:num w:numId="35">
    <w:abstractNumId w:val="5"/>
  </w:num>
  <w:num w:numId="36">
    <w:abstractNumId w:val="45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38"/>
  </w:num>
  <w:num w:numId="39">
    <w:abstractNumId w:val="3"/>
  </w:num>
  <w:num w:numId="40">
    <w:abstractNumId w:val="39"/>
  </w:num>
  <w:num w:numId="41">
    <w:abstractNumId w:val="8"/>
  </w:num>
  <w:num w:numId="42">
    <w:abstractNumId w:val="23"/>
  </w:num>
  <w:num w:numId="43">
    <w:abstractNumId w:val="21"/>
  </w:num>
  <w:num w:numId="44">
    <w:abstractNumId w:val="6"/>
  </w:num>
  <w:num w:numId="45">
    <w:abstractNumId w:val="28"/>
  </w:num>
  <w:num w:numId="46">
    <w:abstractNumId w:val="36"/>
  </w:num>
  <w:num w:numId="47">
    <w:abstractNumId w:val="4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02FC"/>
    <w:rsid w:val="00005974"/>
    <w:rsid w:val="00005A4F"/>
    <w:rsid w:val="000064E6"/>
    <w:rsid w:val="00011DA2"/>
    <w:rsid w:val="000131C2"/>
    <w:rsid w:val="0001434D"/>
    <w:rsid w:val="0002065A"/>
    <w:rsid w:val="00021272"/>
    <w:rsid w:val="000212C3"/>
    <w:rsid w:val="0002653D"/>
    <w:rsid w:val="00030236"/>
    <w:rsid w:val="00032CFA"/>
    <w:rsid w:val="000425D4"/>
    <w:rsid w:val="00043B8F"/>
    <w:rsid w:val="00044F77"/>
    <w:rsid w:val="00052C85"/>
    <w:rsid w:val="000534AC"/>
    <w:rsid w:val="00054B9F"/>
    <w:rsid w:val="00057AB7"/>
    <w:rsid w:val="00061E2F"/>
    <w:rsid w:val="00062E88"/>
    <w:rsid w:val="00064F67"/>
    <w:rsid w:val="00067D17"/>
    <w:rsid w:val="000712CC"/>
    <w:rsid w:val="000716EF"/>
    <w:rsid w:val="00073B2B"/>
    <w:rsid w:val="00083518"/>
    <w:rsid w:val="00085BE1"/>
    <w:rsid w:val="00086803"/>
    <w:rsid w:val="0009047D"/>
    <w:rsid w:val="000919C5"/>
    <w:rsid w:val="00096DEC"/>
    <w:rsid w:val="000A0826"/>
    <w:rsid w:val="000A276C"/>
    <w:rsid w:val="000A4886"/>
    <w:rsid w:val="000A680B"/>
    <w:rsid w:val="000B1AF8"/>
    <w:rsid w:val="000B28B0"/>
    <w:rsid w:val="000B7858"/>
    <w:rsid w:val="000C0577"/>
    <w:rsid w:val="000C1913"/>
    <w:rsid w:val="000C30DD"/>
    <w:rsid w:val="000D6C38"/>
    <w:rsid w:val="000D7AA6"/>
    <w:rsid w:val="000E0504"/>
    <w:rsid w:val="000F268A"/>
    <w:rsid w:val="000F35A6"/>
    <w:rsid w:val="000F5DFC"/>
    <w:rsid w:val="000F6218"/>
    <w:rsid w:val="000F744D"/>
    <w:rsid w:val="00105508"/>
    <w:rsid w:val="00112A43"/>
    <w:rsid w:val="00113AF6"/>
    <w:rsid w:val="00120357"/>
    <w:rsid w:val="00124102"/>
    <w:rsid w:val="00130720"/>
    <w:rsid w:val="00134BD7"/>
    <w:rsid w:val="0014116A"/>
    <w:rsid w:val="00142E8F"/>
    <w:rsid w:val="001451E3"/>
    <w:rsid w:val="00151D28"/>
    <w:rsid w:val="00152A90"/>
    <w:rsid w:val="00152CC5"/>
    <w:rsid w:val="00152E50"/>
    <w:rsid w:val="001600B9"/>
    <w:rsid w:val="00161547"/>
    <w:rsid w:val="00163E1A"/>
    <w:rsid w:val="001659FC"/>
    <w:rsid w:val="00167629"/>
    <w:rsid w:val="00167900"/>
    <w:rsid w:val="00185256"/>
    <w:rsid w:val="00186FD5"/>
    <w:rsid w:val="00187A9E"/>
    <w:rsid w:val="0019054D"/>
    <w:rsid w:val="00196CE6"/>
    <w:rsid w:val="00197D0B"/>
    <w:rsid w:val="001A3B73"/>
    <w:rsid w:val="001A3D12"/>
    <w:rsid w:val="001B34DD"/>
    <w:rsid w:val="001B69A0"/>
    <w:rsid w:val="001B7372"/>
    <w:rsid w:val="001C1CCF"/>
    <w:rsid w:val="001C288D"/>
    <w:rsid w:val="001C3C60"/>
    <w:rsid w:val="001C47AA"/>
    <w:rsid w:val="001C7A30"/>
    <w:rsid w:val="001D29E6"/>
    <w:rsid w:val="001E3123"/>
    <w:rsid w:val="001E5585"/>
    <w:rsid w:val="001E6709"/>
    <w:rsid w:val="001F11D6"/>
    <w:rsid w:val="001F3539"/>
    <w:rsid w:val="00204A5C"/>
    <w:rsid w:val="0020568D"/>
    <w:rsid w:val="002074BB"/>
    <w:rsid w:val="00211F4D"/>
    <w:rsid w:val="00212E78"/>
    <w:rsid w:val="0021583A"/>
    <w:rsid w:val="0021585F"/>
    <w:rsid w:val="002175C2"/>
    <w:rsid w:val="00217692"/>
    <w:rsid w:val="0023008F"/>
    <w:rsid w:val="00232029"/>
    <w:rsid w:val="002359F3"/>
    <w:rsid w:val="00235D23"/>
    <w:rsid w:val="00235DF6"/>
    <w:rsid w:val="00242995"/>
    <w:rsid w:val="00242FBE"/>
    <w:rsid w:val="00246C7F"/>
    <w:rsid w:val="00247C9F"/>
    <w:rsid w:val="00251790"/>
    <w:rsid w:val="002541E4"/>
    <w:rsid w:val="002726EA"/>
    <w:rsid w:val="00272E0C"/>
    <w:rsid w:val="00276569"/>
    <w:rsid w:val="002826DD"/>
    <w:rsid w:val="002839CF"/>
    <w:rsid w:val="00284582"/>
    <w:rsid w:val="0029129A"/>
    <w:rsid w:val="00296927"/>
    <w:rsid w:val="0029721A"/>
    <w:rsid w:val="00297C6A"/>
    <w:rsid w:val="002A0360"/>
    <w:rsid w:val="002A14F4"/>
    <w:rsid w:val="002A68CD"/>
    <w:rsid w:val="002B1744"/>
    <w:rsid w:val="002B24F9"/>
    <w:rsid w:val="002B5553"/>
    <w:rsid w:val="002B57B9"/>
    <w:rsid w:val="002C02FF"/>
    <w:rsid w:val="002D5546"/>
    <w:rsid w:val="002E78CB"/>
    <w:rsid w:val="002F1FD2"/>
    <w:rsid w:val="002F20FB"/>
    <w:rsid w:val="002F522D"/>
    <w:rsid w:val="00300723"/>
    <w:rsid w:val="00300EB9"/>
    <w:rsid w:val="00302820"/>
    <w:rsid w:val="00303190"/>
    <w:rsid w:val="003047A5"/>
    <w:rsid w:val="00305B57"/>
    <w:rsid w:val="00305FBC"/>
    <w:rsid w:val="00311C67"/>
    <w:rsid w:val="0031220F"/>
    <w:rsid w:val="00312803"/>
    <w:rsid w:val="00313573"/>
    <w:rsid w:val="00313D9D"/>
    <w:rsid w:val="00315594"/>
    <w:rsid w:val="003170D1"/>
    <w:rsid w:val="00324A74"/>
    <w:rsid w:val="00327AEE"/>
    <w:rsid w:val="0034005B"/>
    <w:rsid w:val="0034322B"/>
    <w:rsid w:val="00345444"/>
    <w:rsid w:val="00346DA3"/>
    <w:rsid w:val="003504F5"/>
    <w:rsid w:val="003521B2"/>
    <w:rsid w:val="003529D3"/>
    <w:rsid w:val="00352B99"/>
    <w:rsid w:val="0035708D"/>
    <w:rsid w:val="00362281"/>
    <w:rsid w:val="003672D1"/>
    <w:rsid w:val="003716DA"/>
    <w:rsid w:val="00375714"/>
    <w:rsid w:val="00383A89"/>
    <w:rsid w:val="0038439B"/>
    <w:rsid w:val="00384FB2"/>
    <w:rsid w:val="003854ED"/>
    <w:rsid w:val="00390021"/>
    <w:rsid w:val="003B1D5B"/>
    <w:rsid w:val="003B3D77"/>
    <w:rsid w:val="003D212C"/>
    <w:rsid w:val="003E355A"/>
    <w:rsid w:val="003E4D40"/>
    <w:rsid w:val="003E6D0D"/>
    <w:rsid w:val="003F1011"/>
    <w:rsid w:val="003F689A"/>
    <w:rsid w:val="00404959"/>
    <w:rsid w:val="00415992"/>
    <w:rsid w:val="004213E4"/>
    <w:rsid w:val="00440B2A"/>
    <w:rsid w:val="0044228A"/>
    <w:rsid w:val="00442D9E"/>
    <w:rsid w:val="00445A98"/>
    <w:rsid w:val="00453B64"/>
    <w:rsid w:val="00456FB6"/>
    <w:rsid w:val="004634C0"/>
    <w:rsid w:val="004707DB"/>
    <w:rsid w:val="004713E2"/>
    <w:rsid w:val="004843CB"/>
    <w:rsid w:val="00485B1B"/>
    <w:rsid w:val="004918E9"/>
    <w:rsid w:val="00493AC4"/>
    <w:rsid w:val="004A3122"/>
    <w:rsid w:val="004A36DF"/>
    <w:rsid w:val="004A4EA9"/>
    <w:rsid w:val="004A5069"/>
    <w:rsid w:val="004A63BD"/>
    <w:rsid w:val="004A6540"/>
    <w:rsid w:val="004B0309"/>
    <w:rsid w:val="004B4AC3"/>
    <w:rsid w:val="004B560A"/>
    <w:rsid w:val="004B7233"/>
    <w:rsid w:val="004B7EC4"/>
    <w:rsid w:val="004C12B0"/>
    <w:rsid w:val="004C33C5"/>
    <w:rsid w:val="004C582F"/>
    <w:rsid w:val="004C5DD1"/>
    <w:rsid w:val="004D4AEA"/>
    <w:rsid w:val="004E0C4D"/>
    <w:rsid w:val="004E168E"/>
    <w:rsid w:val="004E1FD7"/>
    <w:rsid w:val="004E2D86"/>
    <w:rsid w:val="004E6169"/>
    <w:rsid w:val="004E675C"/>
    <w:rsid w:val="004E6AB3"/>
    <w:rsid w:val="004F0B2E"/>
    <w:rsid w:val="00501B2D"/>
    <w:rsid w:val="00501D86"/>
    <w:rsid w:val="005022DB"/>
    <w:rsid w:val="0050578A"/>
    <w:rsid w:val="00507D4F"/>
    <w:rsid w:val="005129F5"/>
    <w:rsid w:val="00512A79"/>
    <w:rsid w:val="00520F34"/>
    <w:rsid w:val="005213B8"/>
    <w:rsid w:val="00521F11"/>
    <w:rsid w:val="00524FEA"/>
    <w:rsid w:val="00527CB1"/>
    <w:rsid w:val="00527E72"/>
    <w:rsid w:val="00531786"/>
    <w:rsid w:val="0053357F"/>
    <w:rsid w:val="00535C38"/>
    <w:rsid w:val="00543FAD"/>
    <w:rsid w:val="00546E2D"/>
    <w:rsid w:val="00547410"/>
    <w:rsid w:val="005479EB"/>
    <w:rsid w:val="00560F47"/>
    <w:rsid w:val="0056769B"/>
    <w:rsid w:val="00576A9D"/>
    <w:rsid w:val="00585B6D"/>
    <w:rsid w:val="00590194"/>
    <w:rsid w:val="00591716"/>
    <w:rsid w:val="0059452A"/>
    <w:rsid w:val="0059608B"/>
    <w:rsid w:val="005A099B"/>
    <w:rsid w:val="005A2282"/>
    <w:rsid w:val="005A3C61"/>
    <w:rsid w:val="005A3FF3"/>
    <w:rsid w:val="005A5608"/>
    <w:rsid w:val="005B306A"/>
    <w:rsid w:val="005C1274"/>
    <w:rsid w:val="005C24B1"/>
    <w:rsid w:val="005C298D"/>
    <w:rsid w:val="005D0312"/>
    <w:rsid w:val="005D0958"/>
    <w:rsid w:val="005D1B99"/>
    <w:rsid w:val="005D3C26"/>
    <w:rsid w:val="005D5343"/>
    <w:rsid w:val="005E6D17"/>
    <w:rsid w:val="005E7DCD"/>
    <w:rsid w:val="005F7B5B"/>
    <w:rsid w:val="00607091"/>
    <w:rsid w:val="00610B88"/>
    <w:rsid w:val="00616114"/>
    <w:rsid w:val="00616BCA"/>
    <w:rsid w:val="00623E2D"/>
    <w:rsid w:val="0063449E"/>
    <w:rsid w:val="006348AB"/>
    <w:rsid w:val="00642675"/>
    <w:rsid w:val="00642E0C"/>
    <w:rsid w:val="006469FF"/>
    <w:rsid w:val="00646B48"/>
    <w:rsid w:val="00650D97"/>
    <w:rsid w:val="0065361B"/>
    <w:rsid w:val="0065384E"/>
    <w:rsid w:val="00653962"/>
    <w:rsid w:val="00654036"/>
    <w:rsid w:val="00654AE0"/>
    <w:rsid w:val="0066386B"/>
    <w:rsid w:val="00663EDA"/>
    <w:rsid w:val="00666C6C"/>
    <w:rsid w:val="00667AD2"/>
    <w:rsid w:val="00675253"/>
    <w:rsid w:val="0068410C"/>
    <w:rsid w:val="00687951"/>
    <w:rsid w:val="006931F2"/>
    <w:rsid w:val="006945B3"/>
    <w:rsid w:val="0069607B"/>
    <w:rsid w:val="006A3CE5"/>
    <w:rsid w:val="006A5078"/>
    <w:rsid w:val="006A6C7E"/>
    <w:rsid w:val="006A7897"/>
    <w:rsid w:val="006B42B7"/>
    <w:rsid w:val="006C0058"/>
    <w:rsid w:val="006C057F"/>
    <w:rsid w:val="006C581C"/>
    <w:rsid w:val="006C5957"/>
    <w:rsid w:val="006C6CAA"/>
    <w:rsid w:val="006D2A4D"/>
    <w:rsid w:val="006D2E72"/>
    <w:rsid w:val="006D7D29"/>
    <w:rsid w:val="006E5FD1"/>
    <w:rsid w:val="006F0477"/>
    <w:rsid w:val="006F1E6A"/>
    <w:rsid w:val="006F24C4"/>
    <w:rsid w:val="006F2B4E"/>
    <w:rsid w:val="006F2BB4"/>
    <w:rsid w:val="006F5B73"/>
    <w:rsid w:val="00701932"/>
    <w:rsid w:val="00713B52"/>
    <w:rsid w:val="00715E54"/>
    <w:rsid w:val="0073003D"/>
    <w:rsid w:val="0073251B"/>
    <w:rsid w:val="00732DA7"/>
    <w:rsid w:val="00735531"/>
    <w:rsid w:val="007553E4"/>
    <w:rsid w:val="007562C8"/>
    <w:rsid w:val="00756EE1"/>
    <w:rsid w:val="00757E68"/>
    <w:rsid w:val="00760459"/>
    <w:rsid w:val="007641A8"/>
    <w:rsid w:val="00766BBB"/>
    <w:rsid w:val="007678F1"/>
    <w:rsid w:val="007710EC"/>
    <w:rsid w:val="00776154"/>
    <w:rsid w:val="00777769"/>
    <w:rsid w:val="00787981"/>
    <w:rsid w:val="0079091F"/>
    <w:rsid w:val="00794F79"/>
    <w:rsid w:val="007A0721"/>
    <w:rsid w:val="007A0A72"/>
    <w:rsid w:val="007B0734"/>
    <w:rsid w:val="007B196D"/>
    <w:rsid w:val="007B6611"/>
    <w:rsid w:val="007C0717"/>
    <w:rsid w:val="007C4562"/>
    <w:rsid w:val="007D3315"/>
    <w:rsid w:val="007D34E2"/>
    <w:rsid w:val="007D75C2"/>
    <w:rsid w:val="007F56E1"/>
    <w:rsid w:val="007F7E38"/>
    <w:rsid w:val="00800E92"/>
    <w:rsid w:val="00800FCC"/>
    <w:rsid w:val="00816FC6"/>
    <w:rsid w:val="00821C57"/>
    <w:rsid w:val="008246E8"/>
    <w:rsid w:val="00825AF2"/>
    <w:rsid w:val="00825CF6"/>
    <w:rsid w:val="0083432B"/>
    <w:rsid w:val="00835E06"/>
    <w:rsid w:val="0084172C"/>
    <w:rsid w:val="0084213D"/>
    <w:rsid w:val="00847A3B"/>
    <w:rsid w:val="008509BF"/>
    <w:rsid w:val="00862700"/>
    <w:rsid w:val="008651F8"/>
    <w:rsid w:val="008664A0"/>
    <w:rsid w:val="00872BE2"/>
    <w:rsid w:val="0087542F"/>
    <w:rsid w:val="00875CA1"/>
    <w:rsid w:val="00875F0B"/>
    <w:rsid w:val="00877A06"/>
    <w:rsid w:val="008807F8"/>
    <w:rsid w:val="008819C9"/>
    <w:rsid w:val="00881B68"/>
    <w:rsid w:val="00881D4F"/>
    <w:rsid w:val="00884A54"/>
    <w:rsid w:val="00887CC8"/>
    <w:rsid w:val="008904D1"/>
    <w:rsid w:val="00897C4A"/>
    <w:rsid w:val="008A2A66"/>
    <w:rsid w:val="008A3D6B"/>
    <w:rsid w:val="008A506B"/>
    <w:rsid w:val="008A7530"/>
    <w:rsid w:val="008A7B54"/>
    <w:rsid w:val="008B1C08"/>
    <w:rsid w:val="008B4652"/>
    <w:rsid w:val="008C24B6"/>
    <w:rsid w:val="008C2839"/>
    <w:rsid w:val="008C3BA7"/>
    <w:rsid w:val="008C3DC6"/>
    <w:rsid w:val="008D3A86"/>
    <w:rsid w:val="008E3DA2"/>
    <w:rsid w:val="008F4511"/>
    <w:rsid w:val="008F73CB"/>
    <w:rsid w:val="009004CC"/>
    <w:rsid w:val="00900C4B"/>
    <w:rsid w:val="00901FFB"/>
    <w:rsid w:val="00904F4C"/>
    <w:rsid w:val="0092102E"/>
    <w:rsid w:val="00922AA8"/>
    <w:rsid w:val="009237A3"/>
    <w:rsid w:val="0093615D"/>
    <w:rsid w:val="00945C0C"/>
    <w:rsid w:val="00962267"/>
    <w:rsid w:val="009623D3"/>
    <w:rsid w:val="0096514C"/>
    <w:rsid w:val="009741D9"/>
    <w:rsid w:val="00976C33"/>
    <w:rsid w:val="00981CFE"/>
    <w:rsid w:val="0098434C"/>
    <w:rsid w:val="00984DE0"/>
    <w:rsid w:val="00987CA9"/>
    <w:rsid w:val="00987E40"/>
    <w:rsid w:val="0099186B"/>
    <w:rsid w:val="0099472E"/>
    <w:rsid w:val="0099577A"/>
    <w:rsid w:val="009B1765"/>
    <w:rsid w:val="009C4720"/>
    <w:rsid w:val="009C4B1B"/>
    <w:rsid w:val="009C5C3A"/>
    <w:rsid w:val="009D1D01"/>
    <w:rsid w:val="009D6593"/>
    <w:rsid w:val="009F2D2E"/>
    <w:rsid w:val="009F4BA4"/>
    <w:rsid w:val="00A00A50"/>
    <w:rsid w:val="00A0248D"/>
    <w:rsid w:val="00A113BB"/>
    <w:rsid w:val="00A12B33"/>
    <w:rsid w:val="00A16110"/>
    <w:rsid w:val="00A20993"/>
    <w:rsid w:val="00A256DE"/>
    <w:rsid w:val="00A359C3"/>
    <w:rsid w:val="00A35C14"/>
    <w:rsid w:val="00A35DE2"/>
    <w:rsid w:val="00A50657"/>
    <w:rsid w:val="00A53C84"/>
    <w:rsid w:val="00A54618"/>
    <w:rsid w:val="00A57054"/>
    <w:rsid w:val="00A61D57"/>
    <w:rsid w:val="00A62132"/>
    <w:rsid w:val="00A65F71"/>
    <w:rsid w:val="00A66E72"/>
    <w:rsid w:val="00A70A18"/>
    <w:rsid w:val="00A72A23"/>
    <w:rsid w:val="00A74710"/>
    <w:rsid w:val="00A862AF"/>
    <w:rsid w:val="00A9357A"/>
    <w:rsid w:val="00A95492"/>
    <w:rsid w:val="00AA2E81"/>
    <w:rsid w:val="00AA4AE0"/>
    <w:rsid w:val="00AB0522"/>
    <w:rsid w:val="00AC09EF"/>
    <w:rsid w:val="00AC1216"/>
    <w:rsid w:val="00AC2464"/>
    <w:rsid w:val="00AC3500"/>
    <w:rsid w:val="00AC3E02"/>
    <w:rsid w:val="00AD21F0"/>
    <w:rsid w:val="00AD3F92"/>
    <w:rsid w:val="00AD6E4F"/>
    <w:rsid w:val="00AD7639"/>
    <w:rsid w:val="00AE744E"/>
    <w:rsid w:val="00AF090A"/>
    <w:rsid w:val="00AF0A54"/>
    <w:rsid w:val="00AF131E"/>
    <w:rsid w:val="00AF2896"/>
    <w:rsid w:val="00AF2AFC"/>
    <w:rsid w:val="00AF325A"/>
    <w:rsid w:val="00AF48FD"/>
    <w:rsid w:val="00AF5DC3"/>
    <w:rsid w:val="00B011C7"/>
    <w:rsid w:val="00B02B79"/>
    <w:rsid w:val="00B068CA"/>
    <w:rsid w:val="00B10D84"/>
    <w:rsid w:val="00B12B30"/>
    <w:rsid w:val="00B150A3"/>
    <w:rsid w:val="00B221DB"/>
    <w:rsid w:val="00B25CF7"/>
    <w:rsid w:val="00B261BB"/>
    <w:rsid w:val="00B32F04"/>
    <w:rsid w:val="00B339FA"/>
    <w:rsid w:val="00B3550A"/>
    <w:rsid w:val="00B36711"/>
    <w:rsid w:val="00B41BA2"/>
    <w:rsid w:val="00B51451"/>
    <w:rsid w:val="00B54557"/>
    <w:rsid w:val="00B54AFE"/>
    <w:rsid w:val="00B617F3"/>
    <w:rsid w:val="00B71CFF"/>
    <w:rsid w:val="00B731F2"/>
    <w:rsid w:val="00B81CA8"/>
    <w:rsid w:val="00B8285A"/>
    <w:rsid w:val="00B8292C"/>
    <w:rsid w:val="00B84614"/>
    <w:rsid w:val="00B9225E"/>
    <w:rsid w:val="00B93404"/>
    <w:rsid w:val="00B9360C"/>
    <w:rsid w:val="00B95445"/>
    <w:rsid w:val="00B96575"/>
    <w:rsid w:val="00BA5364"/>
    <w:rsid w:val="00BB388F"/>
    <w:rsid w:val="00BB4C55"/>
    <w:rsid w:val="00BB4F73"/>
    <w:rsid w:val="00BC0DE9"/>
    <w:rsid w:val="00BC1D44"/>
    <w:rsid w:val="00BD1081"/>
    <w:rsid w:val="00BD67B3"/>
    <w:rsid w:val="00BE1588"/>
    <w:rsid w:val="00BE3896"/>
    <w:rsid w:val="00C0021F"/>
    <w:rsid w:val="00C00245"/>
    <w:rsid w:val="00C05036"/>
    <w:rsid w:val="00C0589F"/>
    <w:rsid w:val="00C05D4F"/>
    <w:rsid w:val="00C103C3"/>
    <w:rsid w:val="00C134B9"/>
    <w:rsid w:val="00C13901"/>
    <w:rsid w:val="00C142FB"/>
    <w:rsid w:val="00C15F0C"/>
    <w:rsid w:val="00C22678"/>
    <w:rsid w:val="00C23572"/>
    <w:rsid w:val="00C24C7B"/>
    <w:rsid w:val="00C26624"/>
    <w:rsid w:val="00C30142"/>
    <w:rsid w:val="00C30A5C"/>
    <w:rsid w:val="00C31676"/>
    <w:rsid w:val="00C33D5F"/>
    <w:rsid w:val="00C352FD"/>
    <w:rsid w:val="00C37246"/>
    <w:rsid w:val="00C4195C"/>
    <w:rsid w:val="00C42195"/>
    <w:rsid w:val="00C4270B"/>
    <w:rsid w:val="00C45C2C"/>
    <w:rsid w:val="00C53ACC"/>
    <w:rsid w:val="00C5581D"/>
    <w:rsid w:val="00C56AB5"/>
    <w:rsid w:val="00C57513"/>
    <w:rsid w:val="00C60440"/>
    <w:rsid w:val="00C77097"/>
    <w:rsid w:val="00C815C0"/>
    <w:rsid w:val="00C83378"/>
    <w:rsid w:val="00C834CD"/>
    <w:rsid w:val="00C840C3"/>
    <w:rsid w:val="00C87036"/>
    <w:rsid w:val="00C91083"/>
    <w:rsid w:val="00C919F9"/>
    <w:rsid w:val="00C9230B"/>
    <w:rsid w:val="00C972B1"/>
    <w:rsid w:val="00CA358C"/>
    <w:rsid w:val="00CA3953"/>
    <w:rsid w:val="00CB069C"/>
    <w:rsid w:val="00CB0A34"/>
    <w:rsid w:val="00CB327B"/>
    <w:rsid w:val="00CC02EB"/>
    <w:rsid w:val="00CC133F"/>
    <w:rsid w:val="00CC7459"/>
    <w:rsid w:val="00CD3424"/>
    <w:rsid w:val="00CD494C"/>
    <w:rsid w:val="00CD6CB9"/>
    <w:rsid w:val="00CD758F"/>
    <w:rsid w:val="00CE132B"/>
    <w:rsid w:val="00CE6B86"/>
    <w:rsid w:val="00CF043C"/>
    <w:rsid w:val="00CF6B90"/>
    <w:rsid w:val="00D01AA5"/>
    <w:rsid w:val="00D02BD3"/>
    <w:rsid w:val="00D064E1"/>
    <w:rsid w:val="00D35D5B"/>
    <w:rsid w:val="00D360BD"/>
    <w:rsid w:val="00D37B85"/>
    <w:rsid w:val="00D4345C"/>
    <w:rsid w:val="00D43772"/>
    <w:rsid w:val="00D452CE"/>
    <w:rsid w:val="00D52919"/>
    <w:rsid w:val="00D53239"/>
    <w:rsid w:val="00D570BC"/>
    <w:rsid w:val="00D6087D"/>
    <w:rsid w:val="00D64F25"/>
    <w:rsid w:val="00D67A2C"/>
    <w:rsid w:val="00D720AA"/>
    <w:rsid w:val="00D74541"/>
    <w:rsid w:val="00D77767"/>
    <w:rsid w:val="00D77D25"/>
    <w:rsid w:val="00D92996"/>
    <w:rsid w:val="00D93401"/>
    <w:rsid w:val="00D9705B"/>
    <w:rsid w:val="00DA0CA3"/>
    <w:rsid w:val="00DA1B07"/>
    <w:rsid w:val="00DA529D"/>
    <w:rsid w:val="00DA5CC0"/>
    <w:rsid w:val="00DC0F1B"/>
    <w:rsid w:val="00DC1818"/>
    <w:rsid w:val="00DC2C0C"/>
    <w:rsid w:val="00DC2D03"/>
    <w:rsid w:val="00DC3FFB"/>
    <w:rsid w:val="00DC43C6"/>
    <w:rsid w:val="00DC5BF3"/>
    <w:rsid w:val="00DC5E22"/>
    <w:rsid w:val="00DC62A4"/>
    <w:rsid w:val="00DD2219"/>
    <w:rsid w:val="00DD49C5"/>
    <w:rsid w:val="00DE012A"/>
    <w:rsid w:val="00DE0DB2"/>
    <w:rsid w:val="00DE28F4"/>
    <w:rsid w:val="00DF3ACF"/>
    <w:rsid w:val="00DF41D0"/>
    <w:rsid w:val="00DF4C06"/>
    <w:rsid w:val="00DF614C"/>
    <w:rsid w:val="00E03242"/>
    <w:rsid w:val="00E044A8"/>
    <w:rsid w:val="00E1335F"/>
    <w:rsid w:val="00E24EA1"/>
    <w:rsid w:val="00E26E06"/>
    <w:rsid w:val="00E309CD"/>
    <w:rsid w:val="00E33DE2"/>
    <w:rsid w:val="00E33F96"/>
    <w:rsid w:val="00E351F9"/>
    <w:rsid w:val="00E35D73"/>
    <w:rsid w:val="00E4001D"/>
    <w:rsid w:val="00E4380F"/>
    <w:rsid w:val="00E43E06"/>
    <w:rsid w:val="00E446E3"/>
    <w:rsid w:val="00E51327"/>
    <w:rsid w:val="00E52D3D"/>
    <w:rsid w:val="00E53D56"/>
    <w:rsid w:val="00E53ED4"/>
    <w:rsid w:val="00E54B51"/>
    <w:rsid w:val="00E5545A"/>
    <w:rsid w:val="00E629AF"/>
    <w:rsid w:val="00E64393"/>
    <w:rsid w:val="00E64E3C"/>
    <w:rsid w:val="00E70E83"/>
    <w:rsid w:val="00E72AF5"/>
    <w:rsid w:val="00E74980"/>
    <w:rsid w:val="00E76799"/>
    <w:rsid w:val="00E86EF9"/>
    <w:rsid w:val="00E935E3"/>
    <w:rsid w:val="00EA080B"/>
    <w:rsid w:val="00EA553E"/>
    <w:rsid w:val="00EA61E0"/>
    <w:rsid w:val="00EB1478"/>
    <w:rsid w:val="00EB4AE6"/>
    <w:rsid w:val="00EB6D27"/>
    <w:rsid w:val="00EC32D0"/>
    <w:rsid w:val="00EC53FC"/>
    <w:rsid w:val="00ED5D77"/>
    <w:rsid w:val="00EE309A"/>
    <w:rsid w:val="00EE33C0"/>
    <w:rsid w:val="00EE34CA"/>
    <w:rsid w:val="00EF1258"/>
    <w:rsid w:val="00EF1BDF"/>
    <w:rsid w:val="00EF2E25"/>
    <w:rsid w:val="00EF570C"/>
    <w:rsid w:val="00EF7CE9"/>
    <w:rsid w:val="00F00876"/>
    <w:rsid w:val="00F029B6"/>
    <w:rsid w:val="00F04224"/>
    <w:rsid w:val="00F11FF9"/>
    <w:rsid w:val="00F150BE"/>
    <w:rsid w:val="00F264A0"/>
    <w:rsid w:val="00F3099C"/>
    <w:rsid w:val="00F31264"/>
    <w:rsid w:val="00F32692"/>
    <w:rsid w:val="00F4014D"/>
    <w:rsid w:val="00F408D6"/>
    <w:rsid w:val="00F42CEA"/>
    <w:rsid w:val="00F5012E"/>
    <w:rsid w:val="00F5259E"/>
    <w:rsid w:val="00F53839"/>
    <w:rsid w:val="00F546E9"/>
    <w:rsid w:val="00F557B5"/>
    <w:rsid w:val="00F578C7"/>
    <w:rsid w:val="00F63D30"/>
    <w:rsid w:val="00F706FC"/>
    <w:rsid w:val="00F70CE3"/>
    <w:rsid w:val="00F752B0"/>
    <w:rsid w:val="00F76321"/>
    <w:rsid w:val="00F76B4F"/>
    <w:rsid w:val="00F8477C"/>
    <w:rsid w:val="00F8780D"/>
    <w:rsid w:val="00F87E05"/>
    <w:rsid w:val="00F91607"/>
    <w:rsid w:val="00F959E7"/>
    <w:rsid w:val="00F96B2D"/>
    <w:rsid w:val="00FA23D3"/>
    <w:rsid w:val="00FA2F2A"/>
    <w:rsid w:val="00FA3220"/>
    <w:rsid w:val="00FA381F"/>
    <w:rsid w:val="00FB325D"/>
    <w:rsid w:val="00FB7397"/>
    <w:rsid w:val="00FB78EC"/>
    <w:rsid w:val="00FC2DC8"/>
    <w:rsid w:val="00FC52AC"/>
    <w:rsid w:val="00FD2206"/>
    <w:rsid w:val="00FD4510"/>
    <w:rsid w:val="00FD6910"/>
    <w:rsid w:val="00FF1CA9"/>
    <w:rsid w:val="00FF739F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BFC3724"/>
  <w15:chartTrackingRefBased/>
  <w15:docId w15:val="{7D30879B-FB67-4898-964B-4C7ABACD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sk-SK" w:eastAsia="sk-SK" w:bidi="sk-SK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sk-SK" w:eastAsia="sk-SK" w:bidi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character" w:customStyle="1" w:styleId="HlavikaChar">
    <w:name w:val="Hlavička Char"/>
    <w:link w:val="Hlavika"/>
    <w:rsid w:val="008904D1"/>
    <w:rPr>
      <w:rFonts w:ascii="Helvetica" w:hAnsi="Helvetica"/>
    </w:rPr>
  </w:style>
  <w:style w:type="paragraph" w:styleId="Normlnywebov">
    <w:name w:val="Normal (Web)"/>
    <w:basedOn w:val="Normlny"/>
    <w:uiPriority w:val="99"/>
    <w:unhideWhenUsed/>
    <w:rsid w:val="00AC350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Revzia">
    <w:name w:val="Revision"/>
    <w:hidden/>
    <w:uiPriority w:val="99"/>
    <w:semiHidden/>
    <w:rsid w:val="00FA381F"/>
    <w:rPr>
      <w:sz w:val="22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D77767"/>
    <w:pPr>
      <w:ind w:left="720"/>
    </w:pPr>
  </w:style>
  <w:style w:type="paragraph" w:styleId="PredformtovanHTML">
    <w:name w:val="HTML Preformatted"/>
    <w:basedOn w:val="Normlny"/>
    <w:link w:val="PredformtovanHTMLChar"/>
    <w:rsid w:val="00E33F96"/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link w:val="PredformtovanHTML"/>
    <w:rsid w:val="00E33F96"/>
    <w:rPr>
      <w:rFonts w:ascii="Courier New" w:hAnsi="Courier New" w:cs="Courier New"/>
    </w:rPr>
  </w:style>
  <w:style w:type="paragraph" w:customStyle="1" w:styleId="Text">
    <w:name w:val="Text"/>
    <w:basedOn w:val="Normlny"/>
    <w:link w:val="TextChar"/>
    <w:rsid w:val="00877A06"/>
    <w:pPr>
      <w:tabs>
        <w:tab w:val="clear" w:pos="567"/>
      </w:tabs>
      <w:spacing w:line="240" w:lineRule="auto"/>
      <w:jc w:val="both"/>
    </w:pPr>
    <w:rPr>
      <w:szCs w:val="24"/>
    </w:rPr>
  </w:style>
  <w:style w:type="character" w:customStyle="1" w:styleId="TextChar">
    <w:name w:val="Text Char"/>
    <w:link w:val="Text"/>
    <w:rsid w:val="00877A06"/>
    <w:rPr>
      <w:sz w:val="22"/>
      <w:szCs w:val="24"/>
    </w:rPr>
  </w:style>
  <w:style w:type="character" w:customStyle="1" w:styleId="TextkomentraChar">
    <w:name w:val="Text komentára Char"/>
    <w:link w:val="Textkomentra"/>
    <w:semiHidden/>
    <w:rsid w:val="00DC5E22"/>
    <w:rPr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1B99-CF1B-4E2B-9B86-BF13C388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2390</Words>
  <Characters>14368</Characters>
  <Application>Microsoft Office Word</Application>
  <DocSecurity>0</DocSecurity>
  <Lines>119</Lines>
  <Paragraphs>33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33</vt:i4>
      </vt:variant>
    </vt:vector>
  </HeadingPairs>
  <TitlesOfParts>
    <vt:vector size="37" baseType="lpstr">
      <vt:lpstr/>
      <vt:lpstr/>
      <vt:lpstr/>
      <vt:lpstr>Hreferralspccleanen</vt:lpstr>
      <vt:lpstr>6.6	Special precautions for disposal and other handling</vt:lpstr>
      <vt:lpstr>LABELLING</vt:lpstr>
      <vt:lpstr>1.	NAME OF THE MEDICINAL PRODUCT</vt:lpstr>
      <vt:lpstr>2.	STATEMENT OF ACTIVE SUBSTANCE(S)</vt:lpstr>
      <vt:lpstr>3.	LIST OF EXCIPIENTS</vt:lpstr>
      <vt:lpstr>4.	PHARMACEUTICAL FORM AND CONTENTS</vt:lpstr>
      <vt:lpstr>5.	METHOD AND ROUTE(S) OF ADMINISTRATION</vt:lpstr>
      <vt:lpstr>6.	SPECIAL WARNING THAT THE MEDICINAL PRODUCT MUST BE STORED OUT OF THE SIGHT AN</vt:lpstr>
      <vt:lpstr>Keep out of the sight and reach of children.</vt:lpstr>
      <vt:lpstr>7.	OTHER SPECIAL WARNING(S), IF NECESSARY</vt:lpstr>
      <vt:lpstr>8.	EXPIRY DATE</vt:lpstr>
      <vt:lpstr>9.	SPECIAL STORAGE CONDITIONS</vt:lpstr>
      <vt:lpstr>10.	SPECIAL PRECAUTIONS FOR DISPOSAL OF UNUSED MEDICINAL PRODUCTS OR WASTE MATER</vt:lpstr>
      <vt:lpstr>11.	NAME AND ADDRESS OF THE MARKETING AUTHORISATION HOLDER</vt:lpstr>
      <vt:lpstr>12.	MARKETING AUTHORISATION NUMBER(S) </vt:lpstr>
      <vt:lpstr/>
      <vt:lpstr>13.	BATCH NUMBER</vt:lpstr>
      <vt:lpstr>14.	GENERAL CLASSIFICATION FOR SUPPLY</vt:lpstr>
      <vt:lpstr>15.	INSTRUCTIONS ON USE</vt:lpstr>
      <vt:lpstr>16.	INFORMATION IN BRAILLE</vt:lpstr>
      <vt:lpstr>PACKAGE LEAFLET</vt:lpstr>
      <vt:lpstr>Package leaflet: Information for the user</vt:lpstr>
      <vt:lpstr/>
      <vt:lpstr>What is in this leaflet</vt:lpstr>
      <vt:lpstr>Do not use {Invented name}:</vt:lpstr>
      <vt:lpstr>Warnings and precautions</vt:lpstr>
      <vt:lpstr>Pregnancy, breast-feeding and fertility</vt:lpstr>
      <vt:lpstr/>
      <vt:lpstr>Driving and using machines</vt:lpstr>
      <vt:lpstr>If you use more {Invented name} than you should</vt:lpstr>
      <vt:lpstr/>
      <vt:lpstr>Reporting of side effects</vt:lpstr>
      <vt:lpstr>This leaflet was last revised in &lt;{MM/YYYY}&gt; &lt;{month YYYY}&gt;.</vt:lpstr>
    </vt:vector>
  </TitlesOfParts>
  <Company>mt-g</Company>
  <LinksUpToDate>false</LinksUpToDate>
  <CharactersWithSpaces>16725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mt-g</dc:creator>
  <cp:keywords/>
  <cp:lastModifiedBy>Kristína Ráczová</cp:lastModifiedBy>
  <cp:revision>11</cp:revision>
  <cp:lastPrinted>2018-12-04T10:48:00Z</cp:lastPrinted>
  <dcterms:created xsi:type="dcterms:W3CDTF">2020-12-01T08:39:00Z</dcterms:created>
  <dcterms:modified xsi:type="dcterms:W3CDTF">2021-01-29T09:42:00Z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</Properties>
</file>