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781" w:rsidRPr="00382A2A" w:rsidRDefault="00F25781" w:rsidP="00F25781">
      <w:pPr>
        <w:widowControl w:val="0"/>
        <w:jc w:val="both"/>
        <w:rPr>
          <w:sz w:val="22"/>
          <w:szCs w:val="22"/>
        </w:rPr>
      </w:pPr>
      <w:bookmarkStart w:id="0" w:name="_GoBack"/>
      <w:bookmarkEnd w:id="0"/>
      <w:r w:rsidRPr="00382A2A">
        <w:rPr>
          <w:sz w:val="22"/>
          <w:szCs w:val="22"/>
        </w:rPr>
        <w:t xml:space="preserve">Schválený text k rozhodnutiu o registrácii lieku, ev. č.: 2010/01738-REG </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p>
    <w:p w:rsidR="00F25781" w:rsidRPr="00382A2A" w:rsidRDefault="00F25781" w:rsidP="00F25781">
      <w:pPr>
        <w:pStyle w:val="Nadpis1"/>
        <w:spacing w:before="0" w:after="0"/>
        <w:jc w:val="center"/>
        <w:rPr>
          <w:rFonts w:ascii="Times New Roman" w:hAnsi="Times New Roman"/>
          <w:sz w:val="22"/>
          <w:szCs w:val="22"/>
        </w:rPr>
      </w:pPr>
      <w:r w:rsidRPr="00382A2A">
        <w:rPr>
          <w:rFonts w:ascii="Times New Roman" w:hAnsi="Times New Roman"/>
          <w:sz w:val="22"/>
          <w:szCs w:val="22"/>
        </w:rPr>
        <w:t>SÚHRN CHARAKTERISTICKÝCH VLASTNOSTÍ LIEKU</w:t>
      </w:r>
    </w:p>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t>1.</w:t>
      </w:r>
      <w:r w:rsidRPr="00382A2A">
        <w:rPr>
          <w:rFonts w:ascii="Times New Roman" w:hAnsi="Times New Roman"/>
          <w:i w:val="0"/>
          <w:sz w:val="22"/>
          <w:szCs w:val="22"/>
          <w:lang w:val="sk-SK"/>
        </w:rPr>
        <w:tab/>
        <w:t xml:space="preserve">NÁZOV LIEKU </w:t>
      </w:r>
    </w:p>
    <w:p w:rsidR="00F25781" w:rsidRPr="00382A2A" w:rsidRDefault="00F25781" w:rsidP="00F25781">
      <w:pPr>
        <w:widowControl w:val="0"/>
        <w:rPr>
          <w:b/>
          <w:sz w:val="22"/>
          <w:szCs w:val="22"/>
        </w:rPr>
      </w:pPr>
    </w:p>
    <w:p w:rsidR="00F25781" w:rsidRPr="00382A2A" w:rsidRDefault="00F25781" w:rsidP="00F25781">
      <w:pPr>
        <w:widowControl w:val="0"/>
        <w:rPr>
          <w:b/>
          <w:sz w:val="22"/>
          <w:szCs w:val="22"/>
        </w:rPr>
      </w:pPr>
      <w:r w:rsidRPr="00382A2A">
        <w:rPr>
          <w:b/>
          <w:sz w:val="22"/>
          <w:szCs w:val="22"/>
        </w:rPr>
        <w:t>PARALEN GRIP</w:t>
      </w:r>
      <w:r w:rsidRPr="00382A2A">
        <w:rPr>
          <w:b/>
          <w:caps/>
          <w:sz w:val="22"/>
          <w:szCs w:val="22"/>
        </w:rPr>
        <w:t xml:space="preserve"> </w:t>
      </w:r>
      <w:r w:rsidRPr="00382A2A">
        <w:rPr>
          <w:b/>
          <w:sz w:val="22"/>
          <w:szCs w:val="22"/>
        </w:rPr>
        <w:t>chrípka a bolesť</w:t>
      </w:r>
    </w:p>
    <w:p w:rsidR="00F25781" w:rsidRPr="00382A2A" w:rsidRDefault="00F25781" w:rsidP="00F25781">
      <w:pPr>
        <w:widowControl w:val="0"/>
        <w:rPr>
          <w:sz w:val="22"/>
          <w:szCs w:val="22"/>
        </w:rPr>
      </w:pPr>
      <w:r w:rsidRPr="00382A2A">
        <w:rPr>
          <w:sz w:val="22"/>
          <w:szCs w:val="22"/>
        </w:rPr>
        <w:t>Filmom obalené tablety</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t>2.</w:t>
      </w:r>
      <w:r w:rsidRPr="00382A2A">
        <w:rPr>
          <w:rFonts w:ascii="Times New Roman" w:hAnsi="Times New Roman"/>
          <w:i w:val="0"/>
          <w:sz w:val="22"/>
          <w:szCs w:val="22"/>
          <w:lang w:val="sk-SK"/>
        </w:rPr>
        <w:tab/>
        <w:t xml:space="preserve">KVALITATÍVNE A KVANTITATÍVNE ZLOŽENIE </w:t>
      </w:r>
    </w:p>
    <w:p w:rsidR="00F25781" w:rsidRPr="00382A2A" w:rsidRDefault="00F25781" w:rsidP="00F25781">
      <w:pPr>
        <w:widowControl w:val="0"/>
        <w:jc w:val="both"/>
        <w:rPr>
          <w:sz w:val="22"/>
          <w:szCs w:val="22"/>
        </w:rPr>
      </w:pPr>
    </w:p>
    <w:p w:rsidR="00F25781" w:rsidRPr="00382A2A" w:rsidRDefault="00F25781" w:rsidP="00F25781">
      <w:pPr>
        <w:widowControl w:val="0"/>
        <w:rPr>
          <w:sz w:val="22"/>
          <w:szCs w:val="22"/>
        </w:rPr>
      </w:pPr>
      <w:r w:rsidRPr="00382A2A">
        <w:rPr>
          <w:sz w:val="22"/>
          <w:szCs w:val="22"/>
        </w:rPr>
        <w:t xml:space="preserve">Každá tableta obsahuje 500 mg paracetamolu, 25 mg  kofeínu a 5 mg fenylefríniumchloridu. </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Úplný zoznam pomocných látok, pozri časť 6.1.</w:t>
      </w:r>
    </w:p>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t>3</w:t>
      </w:r>
      <w:r w:rsidRPr="00382A2A">
        <w:rPr>
          <w:rFonts w:ascii="Times New Roman" w:hAnsi="Times New Roman"/>
          <w:i w:val="0"/>
          <w:sz w:val="22"/>
          <w:szCs w:val="22"/>
          <w:lang w:val="sk-SK"/>
        </w:rPr>
        <w:tab/>
        <w:t>LIEKOVÁ FORMA</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 xml:space="preserve">Filmom obalená tableta. </w:t>
      </w:r>
    </w:p>
    <w:p w:rsidR="00F25781" w:rsidRPr="00382A2A" w:rsidRDefault="00F25781" w:rsidP="00F25781">
      <w:pPr>
        <w:rPr>
          <w:sz w:val="22"/>
          <w:szCs w:val="22"/>
        </w:rPr>
      </w:pPr>
      <w:r w:rsidRPr="00382A2A">
        <w:rPr>
          <w:rStyle w:val="hps"/>
          <w:sz w:val="22"/>
          <w:szCs w:val="22"/>
        </w:rPr>
        <w:t>Vzhľad: takmer biele až  žltkasté filmom obalené,  podlhovasté , bikonvexné  tablety.</w:t>
      </w:r>
      <w:r w:rsidRPr="00382A2A">
        <w:rPr>
          <w:b/>
          <w:sz w:val="22"/>
          <w:szCs w:val="22"/>
        </w:rPr>
        <w:t xml:space="preserve"> </w:t>
      </w:r>
    </w:p>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t>4.</w:t>
      </w:r>
      <w:r w:rsidRPr="00382A2A">
        <w:rPr>
          <w:rFonts w:ascii="Times New Roman" w:hAnsi="Times New Roman"/>
          <w:i w:val="0"/>
          <w:sz w:val="22"/>
          <w:szCs w:val="22"/>
          <w:lang w:val="sk-SK"/>
        </w:rPr>
        <w:tab/>
        <w:t>KLINICKÉ ÚDAJE</w:t>
      </w:r>
    </w:p>
    <w:p w:rsidR="00F25781" w:rsidRPr="00382A2A" w:rsidRDefault="00F25781" w:rsidP="00F25781">
      <w:pPr>
        <w:pStyle w:val="Zkladntext"/>
        <w:rPr>
          <w:rFonts w:ascii="Times New Roman" w:hAnsi="Times New Roman" w:cs="Times New Roman"/>
          <w:b/>
          <w:sz w:val="22"/>
          <w:szCs w:val="22"/>
        </w:rPr>
      </w:pPr>
    </w:p>
    <w:p w:rsidR="00F25781" w:rsidRPr="00382A2A" w:rsidRDefault="00F25781" w:rsidP="00F25781">
      <w:pPr>
        <w:pStyle w:val="Zkladntext"/>
        <w:rPr>
          <w:rFonts w:ascii="Times New Roman" w:hAnsi="Times New Roman" w:cs="Times New Roman"/>
          <w:b/>
          <w:sz w:val="22"/>
          <w:szCs w:val="22"/>
        </w:rPr>
      </w:pPr>
      <w:r w:rsidRPr="00382A2A">
        <w:rPr>
          <w:rFonts w:ascii="Times New Roman" w:hAnsi="Times New Roman" w:cs="Times New Roman"/>
          <w:b/>
          <w:sz w:val="22"/>
          <w:szCs w:val="22"/>
        </w:rPr>
        <w:t>4.1</w:t>
      </w:r>
      <w:r w:rsidRPr="00382A2A">
        <w:rPr>
          <w:rFonts w:ascii="Times New Roman" w:hAnsi="Times New Roman" w:cs="Times New Roman"/>
          <w:b/>
          <w:sz w:val="22"/>
          <w:szCs w:val="22"/>
        </w:rPr>
        <w:tab/>
        <w:t>Terapeutické indikácie</w:t>
      </w:r>
    </w:p>
    <w:p w:rsidR="00F25781" w:rsidRPr="00382A2A" w:rsidRDefault="00F25781" w:rsidP="00F25781">
      <w:pPr>
        <w:pStyle w:val="Zkladntext"/>
        <w:rPr>
          <w:rFonts w:ascii="Times New Roman" w:hAnsi="Times New Roman" w:cs="Times New Roman"/>
          <w:bCs/>
          <w:sz w:val="22"/>
          <w:szCs w:val="22"/>
        </w:rPr>
      </w:pPr>
    </w:p>
    <w:p w:rsidR="00F25781" w:rsidRPr="00382A2A" w:rsidRDefault="00F25781" w:rsidP="00F25781">
      <w:pPr>
        <w:pStyle w:val="Zkladntext"/>
        <w:rPr>
          <w:rFonts w:ascii="Times New Roman" w:hAnsi="Times New Roman" w:cs="Times New Roman"/>
          <w:bCs/>
          <w:sz w:val="22"/>
          <w:szCs w:val="22"/>
        </w:rPr>
      </w:pPr>
      <w:r w:rsidRPr="00382A2A">
        <w:rPr>
          <w:rFonts w:ascii="Times New Roman" w:hAnsi="Times New Roman" w:cs="Times New Roman"/>
          <w:bCs/>
          <w:sz w:val="22"/>
          <w:szCs w:val="22"/>
        </w:rPr>
        <w:t>Symptomatická  úľava od príznakov chrípky a prechladnutia, ako je bolesť (bolesť hlavy, bolesť hrdla, bolesti svalov a kĺbov), horúčka, zimnica, upchatý nos, sinusitída (a nosový katar). Vďaka obsahu kofeínu pomáha bojovať proti únave a ospalosti.</w:t>
      </w:r>
    </w:p>
    <w:p w:rsidR="00F25781" w:rsidRPr="00382A2A" w:rsidRDefault="00F25781" w:rsidP="00F25781">
      <w:pPr>
        <w:pStyle w:val="Zkladntext"/>
        <w:rPr>
          <w:rFonts w:ascii="Times New Roman" w:hAnsi="Times New Roman" w:cs="Times New Roman"/>
          <w:bCs/>
          <w:sz w:val="22"/>
          <w:szCs w:val="22"/>
        </w:rPr>
      </w:pPr>
    </w:p>
    <w:p w:rsidR="00F25781" w:rsidRPr="00382A2A" w:rsidRDefault="00F25781" w:rsidP="00F25781">
      <w:pPr>
        <w:widowControl w:val="0"/>
        <w:jc w:val="both"/>
        <w:rPr>
          <w:sz w:val="22"/>
          <w:szCs w:val="22"/>
        </w:rPr>
      </w:pPr>
      <w:r w:rsidRPr="00382A2A">
        <w:rPr>
          <w:sz w:val="22"/>
          <w:szCs w:val="22"/>
        </w:rPr>
        <w:t>Liek je určený pre dospelých a mladistvých vo veku od 12 rokov.</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r w:rsidRPr="00382A2A">
        <w:rPr>
          <w:b/>
          <w:sz w:val="22"/>
          <w:szCs w:val="22"/>
        </w:rPr>
        <w:t>4.2</w:t>
      </w:r>
      <w:r w:rsidRPr="00382A2A">
        <w:rPr>
          <w:b/>
          <w:sz w:val="22"/>
          <w:szCs w:val="22"/>
        </w:rPr>
        <w:tab/>
        <w:t>Dávkovanie a spôsob podávania</w:t>
      </w:r>
    </w:p>
    <w:p w:rsidR="00F25781" w:rsidRPr="00382A2A" w:rsidRDefault="00F25781" w:rsidP="00F25781">
      <w:pPr>
        <w:widowControl w:val="0"/>
        <w:jc w:val="both"/>
        <w:rPr>
          <w:i/>
          <w:iCs/>
          <w:sz w:val="22"/>
          <w:szCs w:val="22"/>
          <w:u w:val="single"/>
        </w:rPr>
      </w:pPr>
    </w:p>
    <w:p w:rsidR="00F25781" w:rsidRPr="00382A2A" w:rsidRDefault="00F25781" w:rsidP="00F25781">
      <w:pPr>
        <w:widowControl w:val="0"/>
        <w:jc w:val="both"/>
        <w:rPr>
          <w:i/>
          <w:iCs/>
          <w:sz w:val="22"/>
          <w:szCs w:val="22"/>
          <w:u w:val="single"/>
        </w:rPr>
      </w:pPr>
      <w:r w:rsidRPr="00382A2A">
        <w:rPr>
          <w:i/>
          <w:iCs/>
          <w:sz w:val="22"/>
          <w:szCs w:val="22"/>
          <w:u w:val="single"/>
        </w:rPr>
        <w:t>Dospelí  a mladiství s telesnou hmotnosťou viac ako 65 kg:</w:t>
      </w:r>
    </w:p>
    <w:p w:rsidR="00F25781" w:rsidRPr="00382A2A" w:rsidRDefault="00F25781" w:rsidP="00F25781">
      <w:pPr>
        <w:widowControl w:val="0"/>
        <w:jc w:val="both"/>
        <w:rPr>
          <w:sz w:val="22"/>
          <w:szCs w:val="22"/>
        </w:rPr>
      </w:pPr>
      <w:r w:rsidRPr="00382A2A">
        <w:rPr>
          <w:sz w:val="22"/>
          <w:szCs w:val="22"/>
        </w:rPr>
        <w:t xml:space="preserve">Obvyklá dávka je 500 mg až 1000 mg (1-2 tablety) paracetamolu každé 4 hodiny podľa potreby, maximálne </w:t>
      </w:r>
      <w:smartTag w:uri="urn:schemas-microsoft-com:office:smarttags" w:element="metricconverter">
        <w:smartTagPr>
          <w:attr w:name="ProductID" w:val="4 g"/>
        </w:smartTagPr>
        <w:r w:rsidRPr="00382A2A">
          <w:rPr>
            <w:sz w:val="22"/>
            <w:szCs w:val="22"/>
          </w:rPr>
          <w:t>4 g</w:t>
        </w:r>
      </w:smartTag>
      <w:r w:rsidRPr="00382A2A">
        <w:rPr>
          <w:sz w:val="22"/>
          <w:szCs w:val="22"/>
        </w:rPr>
        <w:t xml:space="preserve"> (8 tabliet) denne.</w:t>
      </w:r>
    </w:p>
    <w:p w:rsidR="00F25781" w:rsidRPr="00382A2A" w:rsidRDefault="00F25781" w:rsidP="00F25781">
      <w:pPr>
        <w:widowControl w:val="0"/>
        <w:jc w:val="both"/>
        <w:rPr>
          <w:sz w:val="22"/>
          <w:szCs w:val="22"/>
        </w:rPr>
      </w:pPr>
    </w:p>
    <w:p w:rsidR="00F25781" w:rsidRPr="00382A2A" w:rsidRDefault="00F25781" w:rsidP="00F25781">
      <w:pPr>
        <w:widowControl w:val="0"/>
        <w:jc w:val="both"/>
        <w:rPr>
          <w:i/>
          <w:sz w:val="22"/>
          <w:szCs w:val="22"/>
          <w:u w:val="single"/>
        </w:rPr>
      </w:pPr>
      <w:r w:rsidRPr="00382A2A">
        <w:rPr>
          <w:i/>
          <w:sz w:val="22"/>
          <w:szCs w:val="22"/>
          <w:u w:val="single"/>
        </w:rPr>
        <w:t>Dospelí  a mladiství s telesnou hmotnosťou  43 až  65 kg:</w:t>
      </w:r>
    </w:p>
    <w:p w:rsidR="00F25781" w:rsidRPr="00382A2A" w:rsidRDefault="00F25781" w:rsidP="00F25781">
      <w:pPr>
        <w:widowControl w:val="0"/>
        <w:jc w:val="both"/>
        <w:rPr>
          <w:sz w:val="22"/>
          <w:szCs w:val="22"/>
        </w:rPr>
      </w:pPr>
      <w:r w:rsidRPr="00382A2A">
        <w:rPr>
          <w:sz w:val="22"/>
          <w:szCs w:val="22"/>
        </w:rPr>
        <w:t xml:space="preserve">Obvyklá dávka je 500 mg  (1 tableta) paracetamolu každé 4 hodiny podľa potreby, maximálne </w:t>
      </w:r>
      <w:smartTag w:uri="urn:schemas-microsoft-com:office:smarttags" w:element="metricconverter">
        <w:smartTagPr>
          <w:attr w:name="ProductID" w:val="3 g"/>
        </w:smartTagPr>
        <w:r w:rsidRPr="00382A2A">
          <w:rPr>
            <w:sz w:val="22"/>
            <w:szCs w:val="22"/>
          </w:rPr>
          <w:t>3 g</w:t>
        </w:r>
      </w:smartTag>
      <w:r w:rsidRPr="00382A2A">
        <w:rPr>
          <w:sz w:val="22"/>
          <w:szCs w:val="22"/>
        </w:rPr>
        <w:t xml:space="preserve"> (6 tabliet) denne.</w:t>
      </w:r>
    </w:p>
    <w:p w:rsidR="00F25781" w:rsidRPr="00382A2A" w:rsidRDefault="00F25781" w:rsidP="00F25781">
      <w:pPr>
        <w:widowControl w:val="0"/>
        <w:jc w:val="both"/>
        <w:rPr>
          <w:i/>
          <w:sz w:val="22"/>
          <w:szCs w:val="22"/>
          <w:u w:val="single"/>
        </w:rPr>
      </w:pPr>
    </w:p>
    <w:p w:rsidR="00F25781" w:rsidRPr="00382A2A" w:rsidRDefault="00F25781" w:rsidP="00F25781">
      <w:pPr>
        <w:widowControl w:val="0"/>
        <w:jc w:val="both"/>
        <w:rPr>
          <w:i/>
          <w:sz w:val="22"/>
          <w:szCs w:val="22"/>
          <w:u w:val="single"/>
        </w:rPr>
      </w:pPr>
      <w:r w:rsidRPr="00382A2A">
        <w:rPr>
          <w:i/>
          <w:sz w:val="22"/>
          <w:szCs w:val="22"/>
          <w:u w:val="single"/>
        </w:rPr>
        <w:t>Mladiství s telesnou hmotnosťou  33 až 43 kg:</w:t>
      </w:r>
    </w:p>
    <w:p w:rsidR="00F25781" w:rsidRPr="00382A2A" w:rsidRDefault="00F25781" w:rsidP="00F25781">
      <w:pPr>
        <w:widowControl w:val="0"/>
        <w:jc w:val="both"/>
        <w:rPr>
          <w:sz w:val="22"/>
          <w:szCs w:val="22"/>
        </w:rPr>
      </w:pPr>
      <w:r w:rsidRPr="00382A2A">
        <w:rPr>
          <w:sz w:val="22"/>
          <w:szCs w:val="22"/>
        </w:rPr>
        <w:t xml:space="preserve">Obvyklá dávka je 500 mg  (1 tableta) paracetamolu každých  6 hodín  podľa potreby, maximálne </w:t>
      </w:r>
      <w:smartTag w:uri="urn:schemas-microsoft-com:office:smarttags" w:element="metricconverter">
        <w:smartTagPr>
          <w:attr w:name="ProductID" w:val="2 g"/>
        </w:smartTagPr>
        <w:r w:rsidRPr="00382A2A">
          <w:rPr>
            <w:sz w:val="22"/>
            <w:szCs w:val="22"/>
          </w:rPr>
          <w:t>2 g</w:t>
        </w:r>
      </w:smartTag>
      <w:r w:rsidRPr="00382A2A">
        <w:rPr>
          <w:sz w:val="22"/>
          <w:szCs w:val="22"/>
        </w:rPr>
        <w:t xml:space="preserve"> (4 tablety) denne.</w:t>
      </w:r>
    </w:p>
    <w:p w:rsidR="00F25781" w:rsidRPr="00382A2A" w:rsidRDefault="00F25781" w:rsidP="00F25781">
      <w:pPr>
        <w:widowControl w:val="0"/>
        <w:jc w:val="both"/>
        <w:rPr>
          <w:i/>
          <w:sz w:val="22"/>
          <w:szCs w:val="22"/>
          <w:u w:val="single"/>
        </w:rPr>
      </w:pPr>
    </w:p>
    <w:p w:rsidR="00F25781" w:rsidRPr="00382A2A" w:rsidRDefault="00F25781" w:rsidP="00F25781">
      <w:pPr>
        <w:widowControl w:val="0"/>
        <w:jc w:val="both"/>
        <w:rPr>
          <w:i/>
          <w:sz w:val="22"/>
          <w:szCs w:val="22"/>
          <w:u w:val="single"/>
        </w:rPr>
      </w:pPr>
      <w:r w:rsidRPr="00382A2A">
        <w:rPr>
          <w:i/>
          <w:sz w:val="22"/>
          <w:szCs w:val="22"/>
          <w:u w:val="single"/>
        </w:rPr>
        <w:t>Deti :</w:t>
      </w:r>
    </w:p>
    <w:p w:rsidR="00F25781" w:rsidRPr="00382A2A" w:rsidRDefault="00F25781" w:rsidP="00F25781">
      <w:pPr>
        <w:widowControl w:val="0"/>
        <w:jc w:val="both"/>
        <w:rPr>
          <w:sz w:val="22"/>
          <w:szCs w:val="22"/>
        </w:rPr>
      </w:pPr>
      <w:r w:rsidRPr="00382A2A">
        <w:rPr>
          <w:sz w:val="22"/>
          <w:szCs w:val="22"/>
        </w:rPr>
        <w:t>Neodporúča sa pre deti vo veku do 12 rokov.</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i/>
          <w:sz w:val="22"/>
          <w:szCs w:val="22"/>
          <w:u w:val="single"/>
        </w:rPr>
      </w:pPr>
      <w:r w:rsidRPr="00382A2A">
        <w:rPr>
          <w:i/>
          <w:sz w:val="22"/>
          <w:szCs w:val="22"/>
          <w:u w:val="single"/>
        </w:rPr>
        <w:t>Renálna insuficiencia:</w:t>
      </w:r>
    </w:p>
    <w:p w:rsidR="00F25781" w:rsidRPr="00382A2A" w:rsidRDefault="00F25781" w:rsidP="00F25781">
      <w:pPr>
        <w:widowControl w:val="0"/>
        <w:jc w:val="both"/>
        <w:rPr>
          <w:rStyle w:val="hps"/>
          <w:sz w:val="22"/>
          <w:szCs w:val="22"/>
        </w:rPr>
      </w:pPr>
      <w:r w:rsidRPr="00382A2A">
        <w:rPr>
          <w:rStyle w:val="hps"/>
          <w:sz w:val="22"/>
          <w:szCs w:val="22"/>
        </w:rPr>
        <w:t>U pacientov so zníženou funkciou obličiek sa musí dávka upraviť.</w:t>
      </w:r>
    </w:p>
    <w:p w:rsidR="00F25781" w:rsidRPr="00382A2A" w:rsidRDefault="00F25781" w:rsidP="00F25781">
      <w:pPr>
        <w:widowControl w:val="0"/>
        <w:jc w:val="both"/>
        <w:rPr>
          <w:rStyle w:val="hps"/>
          <w:sz w:val="22"/>
          <w:szCs w:val="22"/>
        </w:rPr>
      </w:pPr>
      <w:r w:rsidRPr="00382A2A">
        <w:rPr>
          <w:rStyle w:val="hps"/>
          <w:sz w:val="22"/>
          <w:szCs w:val="22"/>
        </w:rPr>
        <w:lastRenderedPageBreak/>
        <w:t>V prípade stredne ťažkej renálnej insuficiencie (klírens kreatinínu 10-50 ml / min), by mal byť minimálny interval medzi dvoma dávkami 6 hodín.</w:t>
      </w:r>
    </w:p>
    <w:p w:rsidR="00F25781" w:rsidRPr="00382A2A" w:rsidRDefault="00F25781" w:rsidP="00F25781">
      <w:pPr>
        <w:widowControl w:val="0"/>
        <w:jc w:val="both"/>
        <w:rPr>
          <w:rStyle w:val="hps"/>
          <w:sz w:val="22"/>
          <w:szCs w:val="22"/>
        </w:rPr>
      </w:pPr>
      <w:r w:rsidRPr="00382A2A">
        <w:rPr>
          <w:rStyle w:val="hps"/>
          <w:sz w:val="22"/>
          <w:szCs w:val="22"/>
        </w:rPr>
        <w:t>V prípade ťažkej renálnej insuficiencie (klírens kreatinínu &lt;10 ml / min), minimálny interval medzi dvoma dávkami by mal byť 8 hodín.</w:t>
      </w:r>
    </w:p>
    <w:p w:rsidR="00F25781" w:rsidRPr="00382A2A" w:rsidRDefault="00F25781" w:rsidP="00F25781">
      <w:pPr>
        <w:widowControl w:val="0"/>
        <w:jc w:val="both"/>
        <w:rPr>
          <w:rStyle w:val="hps"/>
          <w:sz w:val="22"/>
          <w:szCs w:val="22"/>
        </w:rPr>
      </w:pPr>
    </w:p>
    <w:p w:rsidR="00F25781" w:rsidRPr="00382A2A" w:rsidRDefault="00F25781" w:rsidP="00F25781">
      <w:pPr>
        <w:widowControl w:val="0"/>
        <w:jc w:val="both"/>
        <w:rPr>
          <w:i/>
          <w:sz w:val="22"/>
          <w:szCs w:val="22"/>
          <w:u w:val="single"/>
        </w:rPr>
      </w:pPr>
      <w:r w:rsidRPr="00382A2A">
        <w:rPr>
          <w:i/>
          <w:sz w:val="22"/>
          <w:szCs w:val="22"/>
          <w:u w:val="single"/>
        </w:rPr>
        <w:t>Hepatálna insuficiencia:</w:t>
      </w:r>
    </w:p>
    <w:p w:rsidR="00F25781" w:rsidRPr="00382A2A" w:rsidRDefault="00F25781" w:rsidP="00F25781">
      <w:pPr>
        <w:widowControl w:val="0"/>
        <w:jc w:val="both"/>
        <w:rPr>
          <w:sz w:val="22"/>
          <w:szCs w:val="22"/>
        </w:rPr>
      </w:pPr>
      <w:r w:rsidRPr="00382A2A">
        <w:rPr>
          <w:sz w:val="22"/>
          <w:szCs w:val="22"/>
        </w:rPr>
        <w:t>Pri stabilizovanej chronickej hepatálnej insuficiencii nevyvoláva paracetamol poškodenie pečene, ak je podávaný vo vyššie uvedenom dávkovaní. Napriek tomu je vhodné u týchto pacientov nepodávať maximálne dávky a dodržiavať interval medzi jednotlivými dávkami minimálne 6 hodín.</w:t>
      </w:r>
    </w:p>
    <w:p w:rsidR="00F25781" w:rsidRPr="00382A2A" w:rsidRDefault="00F25781" w:rsidP="00F25781">
      <w:pPr>
        <w:widowControl w:val="0"/>
        <w:jc w:val="both"/>
        <w:rPr>
          <w:b/>
          <w:i/>
          <w:sz w:val="22"/>
          <w:szCs w:val="22"/>
          <w:u w:val="single"/>
        </w:rPr>
      </w:pPr>
    </w:p>
    <w:p w:rsidR="00F25781" w:rsidRPr="00382A2A" w:rsidRDefault="00F25781" w:rsidP="00F25781">
      <w:pPr>
        <w:widowControl w:val="0"/>
        <w:jc w:val="both"/>
        <w:rPr>
          <w:b/>
          <w:sz w:val="22"/>
          <w:szCs w:val="22"/>
        </w:rPr>
      </w:pPr>
      <w:r w:rsidRPr="00382A2A">
        <w:rPr>
          <w:b/>
          <w:sz w:val="22"/>
          <w:szCs w:val="22"/>
        </w:rPr>
        <w:t>4.3</w:t>
      </w:r>
      <w:r w:rsidRPr="00382A2A">
        <w:rPr>
          <w:b/>
          <w:sz w:val="22"/>
          <w:szCs w:val="22"/>
        </w:rPr>
        <w:tab/>
        <w:t>Kontraindikácie</w:t>
      </w:r>
    </w:p>
    <w:p w:rsidR="00F25781" w:rsidRPr="00382A2A" w:rsidRDefault="00F25781" w:rsidP="00F25781">
      <w:pPr>
        <w:widowControl w:val="0"/>
        <w:jc w:val="both"/>
        <w:rPr>
          <w:sz w:val="22"/>
          <w:szCs w:val="22"/>
        </w:rPr>
      </w:pPr>
    </w:p>
    <w:p w:rsidR="00F25781" w:rsidRPr="00382A2A" w:rsidRDefault="00F25781" w:rsidP="00F25781">
      <w:pPr>
        <w:widowControl w:val="0"/>
        <w:numPr>
          <w:ilvl w:val="0"/>
          <w:numId w:val="1"/>
        </w:numPr>
        <w:jc w:val="both"/>
        <w:rPr>
          <w:sz w:val="22"/>
          <w:szCs w:val="22"/>
        </w:rPr>
      </w:pPr>
      <w:r w:rsidRPr="00382A2A">
        <w:rPr>
          <w:sz w:val="22"/>
          <w:szCs w:val="22"/>
        </w:rPr>
        <w:t>hypersenzitivita na paracetamol, kofeín, fenylefrín alebo na ktorúkoľvek pomocnú látku tohto lieku uvedenú v časti 6.1</w:t>
      </w:r>
    </w:p>
    <w:p w:rsidR="00F25781" w:rsidRPr="00382A2A" w:rsidRDefault="00F25781" w:rsidP="00F25781">
      <w:pPr>
        <w:widowControl w:val="0"/>
        <w:numPr>
          <w:ilvl w:val="0"/>
          <w:numId w:val="1"/>
        </w:numPr>
        <w:jc w:val="both"/>
        <w:rPr>
          <w:sz w:val="22"/>
          <w:szCs w:val="22"/>
        </w:rPr>
      </w:pPr>
      <w:r w:rsidRPr="00382A2A">
        <w:rPr>
          <w:sz w:val="22"/>
          <w:szCs w:val="22"/>
        </w:rPr>
        <w:t>ťažká porucha funkcie pečene</w:t>
      </w:r>
    </w:p>
    <w:p w:rsidR="00F25781" w:rsidRPr="00382A2A" w:rsidRDefault="00F25781" w:rsidP="00F25781">
      <w:pPr>
        <w:widowControl w:val="0"/>
        <w:numPr>
          <w:ilvl w:val="0"/>
          <w:numId w:val="1"/>
        </w:numPr>
        <w:jc w:val="both"/>
        <w:rPr>
          <w:sz w:val="22"/>
          <w:szCs w:val="22"/>
        </w:rPr>
      </w:pPr>
      <w:r w:rsidRPr="00382A2A">
        <w:rPr>
          <w:sz w:val="22"/>
          <w:szCs w:val="22"/>
        </w:rPr>
        <w:t>hypertenzia</w:t>
      </w:r>
    </w:p>
    <w:p w:rsidR="00F25781" w:rsidRPr="00382A2A" w:rsidRDefault="00F25781" w:rsidP="00F25781">
      <w:pPr>
        <w:widowControl w:val="0"/>
        <w:numPr>
          <w:ilvl w:val="0"/>
          <w:numId w:val="1"/>
        </w:numPr>
        <w:jc w:val="both"/>
        <w:rPr>
          <w:sz w:val="22"/>
          <w:szCs w:val="22"/>
        </w:rPr>
      </w:pPr>
      <w:r w:rsidRPr="00382A2A">
        <w:rPr>
          <w:sz w:val="22"/>
          <w:szCs w:val="22"/>
        </w:rPr>
        <w:t>hypertyreóza</w:t>
      </w:r>
    </w:p>
    <w:p w:rsidR="00F25781" w:rsidRPr="00382A2A" w:rsidRDefault="00F25781" w:rsidP="00F25781">
      <w:pPr>
        <w:widowControl w:val="0"/>
        <w:numPr>
          <w:ilvl w:val="0"/>
          <w:numId w:val="1"/>
        </w:numPr>
        <w:jc w:val="both"/>
        <w:rPr>
          <w:sz w:val="22"/>
          <w:szCs w:val="22"/>
        </w:rPr>
      </w:pPr>
      <w:r w:rsidRPr="00382A2A">
        <w:rPr>
          <w:sz w:val="22"/>
          <w:szCs w:val="22"/>
        </w:rPr>
        <w:t xml:space="preserve">diabetes mellitus </w:t>
      </w:r>
    </w:p>
    <w:p w:rsidR="00F25781" w:rsidRPr="00382A2A" w:rsidRDefault="00F25781" w:rsidP="00F25781">
      <w:pPr>
        <w:widowControl w:val="0"/>
        <w:numPr>
          <w:ilvl w:val="0"/>
          <w:numId w:val="1"/>
        </w:numPr>
        <w:jc w:val="both"/>
        <w:rPr>
          <w:sz w:val="22"/>
          <w:szCs w:val="22"/>
        </w:rPr>
      </w:pPr>
      <w:r w:rsidRPr="00382A2A">
        <w:rPr>
          <w:sz w:val="22"/>
          <w:szCs w:val="22"/>
        </w:rPr>
        <w:t>ťažká ischemická choroba srdca</w:t>
      </w:r>
    </w:p>
    <w:p w:rsidR="00F25781" w:rsidRPr="00382A2A" w:rsidRDefault="00F25781" w:rsidP="00F25781">
      <w:pPr>
        <w:widowControl w:val="0"/>
        <w:numPr>
          <w:ilvl w:val="0"/>
          <w:numId w:val="1"/>
        </w:numPr>
        <w:jc w:val="both"/>
        <w:rPr>
          <w:sz w:val="22"/>
          <w:szCs w:val="22"/>
        </w:rPr>
      </w:pPr>
      <w:r w:rsidRPr="00382A2A">
        <w:rPr>
          <w:sz w:val="22"/>
          <w:szCs w:val="22"/>
        </w:rPr>
        <w:t>glaukóm s úzkym uhlom</w:t>
      </w:r>
    </w:p>
    <w:p w:rsidR="00F25781" w:rsidRPr="00382A2A" w:rsidRDefault="00F25781" w:rsidP="00F25781">
      <w:pPr>
        <w:widowControl w:val="0"/>
        <w:numPr>
          <w:ilvl w:val="0"/>
          <w:numId w:val="1"/>
        </w:numPr>
        <w:jc w:val="both"/>
        <w:rPr>
          <w:sz w:val="22"/>
          <w:szCs w:val="22"/>
        </w:rPr>
      </w:pPr>
      <w:r w:rsidRPr="00382A2A">
        <w:rPr>
          <w:sz w:val="22"/>
          <w:szCs w:val="22"/>
        </w:rPr>
        <w:t>retencia moču</w:t>
      </w:r>
    </w:p>
    <w:p w:rsidR="00F25781" w:rsidRPr="00382A2A" w:rsidRDefault="00F25781" w:rsidP="00F25781">
      <w:pPr>
        <w:widowControl w:val="0"/>
        <w:numPr>
          <w:ilvl w:val="0"/>
          <w:numId w:val="1"/>
        </w:numPr>
        <w:jc w:val="both"/>
        <w:rPr>
          <w:sz w:val="22"/>
          <w:szCs w:val="22"/>
        </w:rPr>
      </w:pPr>
      <w:r w:rsidRPr="00382A2A">
        <w:rPr>
          <w:sz w:val="22"/>
          <w:szCs w:val="22"/>
        </w:rPr>
        <w:t>feochromocytóm</w:t>
      </w:r>
    </w:p>
    <w:p w:rsidR="00F25781" w:rsidRPr="00382A2A" w:rsidRDefault="00F25781" w:rsidP="00F25781">
      <w:pPr>
        <w:widowControl w:val="0"/>
        <w:numPr>
          <w:ilvl w:val="0"/>
          <w:numId w:val="1"/>
        </w:numPr>
        <w:jc w:val="both"/>
        <w:rPr>
          <w:sz w:val="22"/>
          <w:szCs w:val="22"/>
        </w:rPr>
      </w:pPr>
      <w:r w:rsidRPr="00382A2A">
        <w:rPr>
          <w:sz w:val="22"/>
          <w:szCs w:val="22"/>
        </w:rPr>
        <w:t>podávanie pacientom ktorí v súčasnosti užívajú tricyklické antidepresíva alebo iné sympatomimetiká a tým  pacientom  ktorí v súčasnosti užívajú alebo počas posledných dvoch týždňov užívali inhibítory monoaminooxidázy.</w:t>
      </w:r>
    </w:p>
    <w:p w:rsidR="00F25781" w:rsidRPr="00382A2A" w:rsidRDefault="00F25781" w:rsidP="00F25781">
      <w:pPr>
        <w:rPr>
          <w:b/>
          <w:noProof/>
          <w:sz w:val="22"/>
          <w:szCs w:val="22"/>
        </w:rPr>
      </w:pPr>
    </w:p>
    <w:p w:rsidR="00F25781" w:rsidRPr="00382A2A" w:rsidRDefault="00F25781" w:rsidP="00F25781">
      <w:pPr>
        <w:rPr>
          <w:noProof/>
          <w:sz w:val="22"/>
          <w:szCs w:val="22"/>
        </w:rPr>
      </w:pPr>
      <w:r w:rsidRPr="00382A2A">
        <w:rPr>
          <w:b/>
          <w:noProof/>
          <w:sz w:val="22"/>
          <w:szCs w:val="22"/>
        </w:rPr>
        <w:t>4.4</w:t>
      </w:r>
      <w:r w:rsidRPr="00382A2A">
        <w:rPr>
          <w:b/>
          <w:noProof/>
          <w:sz w:val="22"/>
          <w:szCs w:val="22"/>
        </w:rPr>
        <w:tab/>
        <w:t>Osobitné upozornenia a opatrenia pri používaní</w:t>
      </w:r>
    </w:p>
    <w:p w:rsidR="00F25781" w:rsidRPr="00382A2A" w:rsidRDefault="00F25781" w:rsidP="00F25781">
      <w:pPr>
        <w:rPr>
          <w:noProof/>
          <w:sz w:val="22"/>
          <w:szCs w:val="22"/>
        </w:rPr>
      </w:pPr>
    </w:p>
    <w:p w:rsidR="00F25781" w:rsidRPr="00382A2A" w:rsidRDefault="00F25781" w:rsidP="00F25781">
      <w:pPr>
        <w:rPr>
          <w:sz w:val="22"/>
          <w:szCs w:val="22"/>
        </w:rPr>
      </w:pPr>
      <w:r w:rsidRPr="00382A2A">
        <w:rPr>
          <w:bCs/>
          <w:iCs/>
          <w:caps/>
          <w:sz w:val="22"/>
          <w:szCs w:val="22"/>
        </w:rPr>
        <w:t>Paralen Grip</w:t>
      </w:r>
      <w:r w:rsidRPr="00382A2A">
        <w:rPr>
          <w:bCs/>
          <w:iCs/>
          <w:sz w:val="22"/>
          <w:szCs w:val="22"/>
        </w:rPr>
        <w:t xml:space="preserve"> chrípka a bolesť by sa mal  používať zvlášť opatrne u pacientov s Raynaudovým syndrómom, hemolytickou anémiou, granulocytopéniou, astmou bronchiale a pri deficite enzýmu </w:t>
      </w:r>
      <w:r w:rsidRPr="00382A2A">
        <w:rPr>
          <w:sz w:val="22"/>
          <w:szCs w:val="22"/>
        </w:rPr>
        <w:t>glukózo-6-fosfátdehydrogenázy. Opatrnosť je tiež potrebná u mužov s hypertrofiou prostaty,  pretože môžu byť náchylní k zadržiavaniu moču.</w:t>
      </w:r>
    </w:p>
    <w:p w:rsidR="00F25781" w:rsidRPr="00382A2A" w:rsidRDefault="00F25781" w:rsidP="00F25781">
      <w:pPr>
        <w:rPr>
          <w:sz w:val="22"/>
          <w:szCs w:val="22"/>
        </w:rPr>
      </w:pPr>
    </w:p>
    <w:p w:rsidR="00F25781" w:rsidRPr="00382A2A" w:rsidRDefault="00F25781" w:rsidP="00F25781">
      <w:pPr>
        <w:rPr>
          <w:sz w:val="22"/>
          <w:szCs w:val="22"/>
        </w:rPr>
      </w:pPr>
      <w:r w:rsidRPr="00382A2A">
        <w:rPr>
          <w:sz w:val="22"/>
          <w:szCs w:val="22"/>
        </w:rPr>
        <w:t xml:space="preserve">Starostlivosť sa odporúča u pacientov s poruchou funkcie pečene, vrátane akútnej hepatitídy, alkoholizmu alebo u pacientov užívajúcich hepatotoxické lieky.  Užívanie vyšších ako odporúčaných dávok môže viesť k riziku závažného poškodenia pečene. U pacientov s ochorením pečene je vyššie nebezpečenstvo predávkovania. Použitie paracetamolu u pacientov so zhoršenou funkciou  pečene  a u pacientov dlhodobo (10 dní a viac) užívajúcich vysoké dávky paracetamolu (viac ako </w:t>
      </w:r>
      <w:smartTag w:uri="urn:schemas-microsoft-com:office:smarttags" w:element="metricconverter">
        <w:smartTagPr>
          <w:attr w:name="ProductID" w:val="6 g"/>
        </w:smartTagPr>
        <w:r w:rsidRPr="00382A2A">
          <w:rPr>
            <w:sz w:val="22"/>
            <w:szCs w:val="22"/>
          </w:rPr>
          <w:t>6 g</w:t>
        </w:r>
      </w:smartTag>
      <w:r w:rsidRPr="00382A2A">
        <w:rPr>
          <w:sz w:val="22"/>
          <w:szCs w:val="22"/>
        </w:rPr>
        <w:t xml:space="preserve"> denne)  je potrebné  pravidelne sledovať funkciu pečene.</w:t>
      </w:r>
    </w:p>
    <w:p w:rsidR="00F25781" w:rsidRPr="00382A2A" w:rsidRDefault="00F25781" w:rsidP="00F25781">
      <w:pPr>
        <w:rPr>
          <w:sz w:val="22"/>
          <w:szCs w:val="22"/>
        </w:rPr>
      </w:pPr>
      <w:r w:rsidRPr="00382A2A">
        <w:rPr>
          <w:sz w:val="22"/>
          <w:szCs w:val="22"/>
        </w:rPr>
        <w:t xml:space="preserve">Paracetamol môže byť pri vysokých dávkach (viac ako </w:t>
      </w:r>
      <w:smartTag w:uri="urn:schemas-microsoft-com:office:smarttags" w:element="metricconverter">
        <w:smartTagPr>
          <w:attr w:name="ProductID" w:val="6 gramov"/>
        </w:smartTagPr>
        <w:r w:rsidRPr="00382A2A">
          <w:rPr>
            <w:sz w:val="22"/>
            <w:szCs w:val="22"/>
          </w:rPr>
          <w:t>6 gramov</w:t>
        </w:r>
      </w:smartTag>
      <w:r w:rsidRPr="00382A2A">
        <w:rPr>
          <w:sz w:val="22"/>
          <w:szCs w:val="22"/>
        </w:rPr>
        <w:t xml:space="preserve"> denne) hepatotoxický (pozri časť 4.9). Poškodenie pečene sa však môže vyvinúť aj pri omnoho nižších dávkach, ak spolupôsobí alkohol, induktory pečeňových enzýmov alebo iné hepatotoxické látky (pozri časť 4.5). Dlhodobá konzumácia alkoholu významne zvyšuje riziko hepatotoxicity paracetamolu. Najvyššie riziko b</w:t>
      </w:r>
      <w:smartTag w:uri="urn:schemas-microsoft-com:office:smarttags" w:element="PersonName">
        <w:r w:rsidRPr="00382A2A">
          <w:rPr>
            <w:sz w:val="22"/>
            <w:szCs w:val="22"/>
          </w:rPr>
          <w:t>olo</w:t>
        </w:r>
      </w:smartTag>
      <w:r w:rsidRPr="00382A2A">
        <w:rPr>
          <w:sz w:val="22"/>
          <w:szCs w:val="22"/>
        </w:rPr>
        <w:t xml:space="preserve"> zaznamenané u chronických alkoholikov, ktorí pred použitím paracetamolu abstinujú krátko (12 h).</w:t>
      </w:r>
    </w:p>
    <w:p w:rsidR="00F25781" w:rsidRPr="00382A2A" w:rsidRDefault="00F25781" w:rsidP="00F25781">
      <w:pPr>
        <w:rPr>
          <w:sz w:val="22"/>
          <w:szCs w:val="22"/>
        </w:rPr>
      </w:pPr>
    </w:p>
    <w:p w:rsidR="00F25781" w:rsidRPr="00382A2A" w:rsidRDefault="00F25781" w:rsidP="00F25781">
      <w:pPr>
        <w:rPr>
          <w:sz w:val="22"/>
          <w:szCs w:val="22"/>
        </w:rPr>
      </w:pPr>
      <w:r w:rsidRPr="00382A2A">
        <w:rPr>
          <w:sz w:val="22"/>
          <w:szCs w:val="22"/>
        </w:rPr>
        <w:t>Pacientov treba poučiť, aby sa vyhli konzumácii alkoholu počas liečby PARALENom GRIP chrípka a bolesť.</w:t>
      </w:r>
    </w:p>
    <w:p w:rsidR="00F25781" w:rsidRPr="00382A2A" w:rsidRDefault="00F25781" w:rsidP="00F25781">
      <w:pPr>
        <w:rPr>
          <w:sz w:val="22"/>
          <w:szCs w:val="22"/>
        </w:rPr>
      </w:pPr>
    </w:p>
    <w:p w:rsidR="00F25781" w:rsidRPr="00382A2A" w:rsidRDefault="00F25781" w:rsidP="00F25781">
      <w:pPr>
        <w:rPr>
          <w:sz w:val="22"/>
          <w:szCs w:val="22"/>
        </w:rPr>
      </w:pPr>
      <w:r w:rsidRPr="00382A2A">
        <w:rPr>
          <w:sz w:val="22"/>
          <w:szCs w:val="22"/>
        </w:rPr>
        <w:t>Opatrnosť je tiež potrebná u pacientov s poškodením  obličiek. Pri renálnej insuficiencii sa odporúča predĺžiť dávkovací interval (pozri časť 4.2) Pri dlhodobej liečbe nemožno vylúčiť poškodenie obličiek.</w:t>
      </w:r>
    </w:p>
    <w:p w:rsidR="00F25781" w:rsidRPr="00382A2A" w:rsidRDefault="00F25781" w:rsidP="00F25781">
      <w:pPr>
        <w:rPr>
          <w:sz w:val="22"/>
          <w:szCs w:val="22"/>
        </w:rPr>
      </w:pPr>
    </w:p>
    <w:p w:rsidR="00F25781" w:rsidRPr="00382A2A" w:rsidRDefault="00F25781" w:rsidP="00F25781">
      <w:pPr>
        <w:rPr>
          <w:sz w:val="22"/>
          <w:szCs w:val="22"/>
        </w:rPr>
      </w:pPr>
      <w:r w:rsidRPr="00382A2A">
        <w:rPr>
          <w:sz w:val="22"/>
          <w:szCs w:val="22"/>
        </w:rPr>
        <w:t xml:space="preserve">Pacientov treba poučiť, aby súčasne s PARALENom GRIP chrípka a bolesť  neužívali iné lieky obsahujúce paracetamol , dekongestíva  alebo lieky na prechladnutie a chrípku. </w:t>
      </w:r>
    </w:p>
    <w:p w:rsidR="00F25781" w:rsidRPr="00382A2A" w:rsidRDefault="00F25781" w:rsidP="00F25781">
      <w:pPr>
        <w:rPr>
          <w:sz w:val="22"/>
          <w:szCs w:val="22"/>
        </w:rPr>
      </w:pPr>
      <w:r w:rsidRPr="00382A2A">
        <w:rPr>
          <w:sz w:val="22"/>
          <w:szCs w:val="22"/>
        </w:rPr>
        <w:lastRenderedPageBreak/>
        <w:t>Pri terapii perorálnymi antikoagulanciami a pri súčasnom dlhodobom podávaní vyšších dávok paracetamolu, najmä v kombinácii s dextropropoxyfenom či kodeínom je nutné kontr</w:t>
      </w:r>
      <w:smartTag w:uri="urn:schemas-microsoft-com:office:smarttags" w:element="PersonName">
        <w:r w:rsidRPr="00382A2A">
          <w:rPr>
            <w:sz w:val="22"/>
            <w:szCs w:val="22"/>
          </w:rPr>
          <w:t>olo</w:t>
        </w:r>
      </w:smartTag>
      <w:r w:rsidRPr="00382A2A">
        <w:rPr>
          <w:sz w:val="22"/>
          <w:szCs w:val="22"/>
        </w:rPr>
        <w:t xml:space="preserve">vať </w:t>
      </w:r>
    </w:p>
    <w:p w:rsidR="00F25781" w:rsidRPr="00382A2A" w:rsidRDefault="00F25781" w:rsidP="00F25781">
      <w:pPr>
        <w:rPr>
          <w:sz w:val="22"/>
          <w:szCs w:val="22"/>
        </w:rPr>
      </w:pPr>
      <w:r w:rsidRPr="00382A2A">
        <w:rPr>
          <w:sz w:val="22"/>
          <w:szCs w:val="22"/>
        </w:rPr>
        <w:t>protrombínový čas.</w:t>
      </w:r>
    </w:p>
    <w:p w:rsidR="00F25781" w:rsidRPr="00382A2A" w:rsidRDefault="00F25781" w:rsidP="00F25781">
      <w:pPr>
        <w:rPr>
          <w:sz w:val="22"/>
          <w:szCs w:val="22"/>
        </w:rPr>
      </w:pPr>
    </w:p>
    <w:p w:rsidR="00F25781" w:rsidRPr="00382A2A" w:rsidRDefault="00F25781" w:rsidP="00F25781">
      <w:pPr>
        <w:rPr>
          <w:sz w:val="22"/>
          <w:szCs w:val="22"/>
        </w:rPr>
      </w:pPr>
      <w:r w:rsidRPr="00382A2A">
        <w:rPr>
          <w:sz w:val="22"/>
          <w:szCs w:val="22"/>
        </w:rPr>
        <w:t>Lekár alebo lekárnik  by mali skontr</w:t>
      </w:r>
      <w:smartTag w:uri="urn:schemas-microsoft-com:office:smarttags" w:element="PersonName">
        <w:r w:rsidRPr="00382A2A">
          <w:rPr>
            <w:sz w:val="22"/>
            <w:szCs w:val="22"/>
          </w:rPr>
          <w:t>olo</w:t>
        </w:r>
      </w:smartTag>
      <w:r w:rsidRPr="00382A2A">
        <w:rPr>
          <w:sz w:val="22"/>
          <w:szCs w:val="22"/>
        </w:rPr>
        <w:t xml:space="preserve">vať, či pacient neužíva súčasne niekoľkými spôsobmi podania  sympatomimeticky pôsobiace lieky t.j. perorálne a topicky (nosné, očné a ušné lieky). </w:t>
      </w:r>
    </w:p>
    <w:p w:rsidR="00F25781" w:rsidRPr="00382A2A" w:rsidRDefault="00F25781" w:rsidP="00F25781">
      <w:pPr>
        <w:rPr>
          <w:sz w:val="22"/>
          <w:szCs w:val="22"/>
        </w:rPr>
      </w:pPr>
    </w:p>
    <w:p w:rsidR="00F25781" w:rsidRPr="00382A2A" w:rsidRDefault="00F25781" w:rsidP="00F25781">
      <w:pPr>
        <w:rPr>
          <w:sz w:val="22"/>
          <w:szCs w:val="22"/>
        </w:rPr>
      </w:pPr>
      <w:r w:rsidRPr="00382A2A">
        <w:rPr>
          <w:sz w:val="22"/>
          <w:szCs w:val="22"/>
        </w:rPr>
        <w:t xml:space="preserve">Pri užívaní tohto lieku je potrebné vyhnúť sa nadmernému  príjmu  kofeínu (napr. káva, čaj a niektoré konzervované nápoje),  pretože to môže viesť k nepokoju, nespavosti a tachykardii. </w:t>
      </w:r>
    </w:p>
    <w:p w:rsidR="00F25781" w:rsidRPr="00382A2A" w:rsidRDefault="00F25781" w:rsidP="00F25781">
      <w:pPr>
        <w:rPr>
          <w:sz w:val="22"/>
          <w:szCs w:val="22"/>
        </w:rPr>
      </w:pPr>
    </w:p>
    <w:p w:rsidR="00F25781" w:rsidRPr="00382A2A" w:rsidRDefault="00F25781" w:rsidP="00F25781">
      <w:pPr>
        <w:widowControl w:val="0"/>
        <w:jc w:val="both"/>
        <w:rPr>
          <w:b/>
          <w:sz w:val="22"/>
          <w:szCs w:val="22"/>
        </w:rPr>
      </w:pPr>
      <w:r w:rsidRPr="00382A2A">
        <w:rPr>
          <w:b/>
          <w:sz w:val="22"/>
          <w:szCs w:val="22"/>
        </w:rPr>
        <w:t>4.5</w:t>
      </w:r>
      <w:r w:rsidRPr="00382A2A">
        <w:rPr>
          <w:b/>
          <w:sz w:val="22"/>
          <w:szCs w:val="22"/>
        </w:rPr>
        <w:tab/>
        <w:t>Liekové a iné interakcie</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u w:val="single"/>
        </w:rPr>
      </w:pPr>
      <w:r w:rsidRPr="00382A2A">
        <w:rPr>
          <w:sz w:val="22"/>
          <w:szCs w:val="22"/>
          <w:u w:val="single"/>
        </w:rPr>
        <w:t>Paracetamol</w:t>
      </w:r>
    </w:p>
    <w:p w:rsidR="00F25781" w:rsidRPr="00382A2A" w:rsidRDefault="00F25781" w:rsidP="00F25781">
      <w:pPr>
        <w:widowControl w:val="0"/>
        <w:rPr>
          <w:sz w:val="22"/>
          <w:szCs w:val="22"/>
        </w:rPr>
      </w:pPr>
      <w:r w:rsidRPr="00382A2A">
        <w:rPr>
          <w:sz w:val="22"/>
          <w:szCs w:val="22"/>
        </w:rPr>
        <w:t>Metoklopramid  a domperidón  môžu absorpciu paracetamolu  urýchľovať,  kým cholestyramín môže viesť k spomaleniu absorpcie paracetamolu.</w:t>
      </w:r>
    </w:p>
    <w:p w:rsidR="00F25781" w:rsidRPr="00382A2A" w:rsidRDefault="00F25781" w:rsidP="00F25781">
      <w:pPr>
        <w:widowControl w:val="0"/>
        <w:rPr>
          <w:sz w:val="22"/>
          <w:szCs w:val="22"/>
        </w:rPr>
      </w:pPr>
    </w:p>
    <w:p w:rsidR="00F25781" w:rsidRPr="00382A2A" w:rsidRDefault="00F25781" w:rsidP="00F25781">
      <w:pPr>
        <w:widowControl w:val="0"/>
        <w:jc w:val="both"/>
        <w:rPr>
          <w:sz w:val="22"/>
          <w:szCs w:val="22"/>
        </w:rPr>
      </w:pPr>
      <w:r w:rsidRPr="00382A2A">
        <w:rPr>
          <w:sz w:val="22"/>
          <w:szCs w:val="22"/>
        </w:rPr>
        <w:t>Antikoagulačný účinok warfarínu a iných kumarínov môže byť zosilnený  dlhodobejším, pravidelným denným užívaním paracetamolu so zvýšeným rizikom krvácania; občasné dávky nemajú zásadný vplyv.</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Tieto interakcie sa považujú za klinicky nesignifikantné pri akútnom použití v navrhnutom dávkovacom režime.</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 xml:space="preserve">Lieky, ktoré spôsobujú indukciu pečeňových mikrozomálnych enzýmov, ako sú alkohol, barbituráty, inhibítory monoaminooxidázy a tricyklické antidepresíva, ľubovník bodkovaný, antiepileptiká ( glutetimid, fenobarbital, fenytoín, a karbamazepín) a rifampicín, môžu zhoršovať toxické účinky paracetamolu, najmä po predávkovaní. </w:t>
      </w:r>
      <w:r w:rsidRPr="00382A2A">
        <w:rPr>
          <w:caps/>
          <w:sz w:val="22"/>
          <w:szCs w:val="22"/>
        </w:rPr>
        <w:t xml:space="preserve">Paralen Grip </w:t>
      </w:r>
      <w:r w:rsidRPr="00382A2A">
        <w:rPr>
          <w:sz w:val="22"/>
          <w:szCs w:val="22"/>
        </w:rPr>
        <w:t>chrípka a bolesť nie je vhodný pre pacientov,  ktorí užívajú inhibítory monoaminooxidázy alebo ich užívali počas posledných dvoch týždňov.</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Pri súbežnom podávaní paracetamolu a lamotrigínu b</w:t>
      </w:r>
      <w:smartTag w:uri="urn:schemas-microsoft-com:office:smarttags" w:element="PersonName">
        <w:r w:rsidRPr="00382A2A">
          <w:rPr>
            <w:sz w:val="22"/>
            <w:szCs w:val="22"/>
          </w:rPr>
          <w:t>olo</w:t>
        </w:r>
      </w:smartTag>
      <w:r w:rsidRPr="00382A2A">
        <w:rPr>
          <w:sz w:val="22"/>
          <w:szCs w:val="22"/>
        </w:rPr>
        <w:t xml:space="preserve"> zistené zníženie účinnosti lamotrigínu pri zvýšení jeho pečeňového klírensu.</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 xml:space="preserve">Pri súbežnom užívaní paracetamolu a zidovudínu bol hlásený zvýšený sklon k rozvoju neutropénie a hepatotoxicity. Tento liek by sa preto mal súčasne so zidovudínom užívať len po starostlivom zvážení prínosu a rizika liečby. </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Niektoré správy uvádzajú, že izoniazid môže zvýšiť hepatotoxický potenciál paracetamolu. Pri súbežnom  podávaní by sa mala venovať  osobitná pozornosť klinickým  a laboratórnym dôkazom  hepatotoxicity.</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Súbežné dlhodobé podávanie paracetamolu a vysokých dávok NSA (predovšetkým kyseliny acetylsalicylovej)  zvyšuje riziko analgetickej nefropatie a ďalších renálnych nežiaducich účinkov.</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Perorálne kontraceptíva môžu zvýšiť rýchlosť klírensu  paracetamolu.</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u w:val="single"/>
        </w:rPr>
      </w:pPr>
      <w:r w:rsidRPr="00382A2A">
        <w:rPr>
          <w:sz w:val="22"/>
          <w:szCs w:val="22"/>
          <w:u w:val="single"/>
        </w:rPr>
        <w:t>Fenylefrín</w:t>
      </w:r>
    </w:p>
    <w:p w:rsidR="00F25781" w:rsidRPr="00382A2A" w:rsidRDefault="00F25781" w:rsidP="00F25781">
      <w:pPr>
        <w:widowControl w:val="0"/>
        <w:jc w:val="both"/>
        <w:rPr>
          <w:sz w:val="22"/>
          <w:szCs w:val="22"/>
        </w:rPr>
      </w:pPr>
      <w:r w:rsidRPr="00382A2A">
        <w:rPr>
          <w:sz w:val="22"/>
          <w:szCs w:val="22"/>
        </w:rPr>
        <w:t>Fenylefrín môže nepriaznivo interagovať s inými sympatomimetikami, vazodilatanciami a betablokátormi.</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Súbežné užívanie fenylefrínu s inhibítormi MAO a tricyklickými antidepresívami môže vyvolať hypertenznú krízu.</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Súčasné užívanie fenylefrínu s digoxínom alebo srdcovými glykozidmi môže zvyšovať riziko nepravidelnej srdcovej frekvencie alebo srdcového infarktu.</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Súbežné použitie s námeľovými alkaloidmi (ergotamín, metysergid) zvyšuje riziko ergotizmu.</w:t>
      </w:r>
    </w:p>
    <w:p w:rsidR="00F25781" w:rsidRPr="00382A2A" w:rsidRDefault="00F25781" w:rsidP="00F25781">
      <w:pPr>
        <w:widowControl w:val="0"/>
        <w:jc w:val="both"/>
        <w:rPr>
          <w:sz w:val="22"/>
          <w:szCs w:val="22"/>
        </w:rPr>
      </w:pPr>
    </w:p>
    <w:p w:rsidR="00F25781" w:rsidRPr="00382A2A" w:rsidRDefault="00F25781" w:rsidP="00F25781">
      <w:pPr>
        <w:rPr>
          <w:noProof/>
          <w:sz w:val="22"/>
          <w:szCs w:val="22"/>
        </w:rPr>
      </w:pPr>
      <w:r w:rsidRPr="00382A2A">
        <w:rPr>
          <w:b/>
          <w:noProof/>
          <w:sz w:val="22"/>
          <w:szCs w:val="22"/>
        </w:rPr>
        <w:t>4.6</w:t>
      </w:r>
      <w:r w:rsidRPr="00382A2A">
        <w:rPr>
          <w:b/>
          <w:noProof/>
          <w:sz w:val="22"/>
          <w:szCs w:val="22"/>
        </w:rPr>
        <w:tab/>
        <w:t>Fertilita, gravidita a laktácia</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sz w:val="22"/>
          <w:szCs w:val="22"/>
          <w:u w:val="single"/>
        </w:rPr>
      </w:pPr>
      <w:r w:rsidRPr="00382A2A">
        <w:rPr>
          <w:sz w:val="22"/>
          <w:szCs w:val="22"/>
          <w:u w:val="single"/>
        </w:rPr>
        <w:t>Paracetamol</w:t>
      </w:r>
    </w:p>
    <w:p w:rsidR="00F25781" w:rsidRPr="00382A2A" w:rsidRDefault="00F25781" w:rsidP="00F25781">
      <w:pPr>
        <w:widowControl w:val="0"/>
        <w:jc w:val="both"/>
        <w:rPr>
          <w:sz w:val="22"/>
          <w:szCs w:val="22"/>
        </w:rPr>
      </w:pPr>
      <w:r w:rsidRPr="00382A2A">
        <w:rPr>
          <w:sz w:val="22"/>
          <w:szCs w:val="22"/>
        </w:rPr>
        <w:t>Epidemi</w:t>
      </w:r>
      <w:smartTag w:uri="urn:schemas-microsoft-com:office:smarttags" w:element="PersonName">
        <w:r w:rsidRPr="00382A2A">
          <w:rPr>
            <w:sz w:val="22"/>
            <w:szCs w:val="22"/>
          </w:rPr>
          <w:t>olo</w:t>
        </w:r>
      </w:smartTag>
      <w:r w:rsidRPr="00382A2A">
        <w:rPr>
          <w:sz w:val="22"/>
          <w:szCs w:val="22"/>
        </w:rPr>
        <w:t>gické štúdie počas gravidity u ľudí nepreukázali škodlivé účinky paracetamolu užívaného v odporúčanom dávkovaní, ale pacienti by sa mali v prípade jeho použitia riadiť  pokynmi svojho lekára.</w:t>
      </w:r>
    </w:p>
    <w:p w:rsidR="00F25781" w:rsidRPr="00382A2A" w:rsidRDefault="00F25781" w:rsidP="00F25781">
      <w:pPr>
        <w:widowControl w:val="0"/>
        <w:jc w:val="both"/>
        <w:rPr>
          <w:sz w:val="22"/>
          <w:szCs w:val="22"/>
        </w:rPr>
      </w:pPr>
      <w:r w:rsidRPr="00382A2A">
        <w:rPr>
          <w:sz w:val="22"/>
          <w:szCs w:val="22"/>
        </w:rPr>
        <w:t>Paracetamol sa vylučuje do materského mlieka, ale nie v klinicky významnom množstve. Žiadne nežiaduce účinky sa  nepozorovali u dojčiat dokonca ani pri dlhodobej liečbe paracetam</w:t>
      </w:r>
      <w:smartTag w:uri="urn:schemas-microsoft-com:office:smarttags" w:element="PersonName">
        <w:r w:rsidRPr="00382A2A">
          <w:rPr>
            <w:sz w:val="22"/>
            <w:szCs w:val="22"/>
          </w:rPr>
          <w:t>olo</w:t>
        </w:r>
      </w:smartTag>
      <w:r w:rsidRPr="00382A2A">
        <w:rPr>
          <w:sz w:val="22"/>
          <w:szCs w:val="22"/>
        </w:rPr>
        <w:t xml:space="preserve">m </w:t>
      </w:r>
    </w:p>
    <w:p w:rsidR="00F25781" w:rsidRPr="00382A2A" w:rsidRDefault="00F25781" w:rsidP="00F25781">
      <w:pPr>
        <w:widowControl w:val="0"/>
        <w:jc w:val="both"/>
        <w:rPr>
          <w:sz w:val="22"/>
          <w:szCs w:val="22"/>
        </w:rPr>
      </w:pPr>
      <w:r w:rsidRPr="00382A2A">
        <w:rPr>
          <w:sz w:val="22"/>
          <w:szCs w:val="22"/>
        </w:rPr>
        <w:t>s výnimkou jedného prípadu makulopapulárnej vyrážky.</w:t>
      </w:r>
    </w:p>
    <w:p w:rsidR="00F25781" w:rsidRPr="00382A2A" w:rsidRDefault="00F25781" w:rsidP="00F25781">
      <w:pPr>
        <w:widowControl w:val="0"/>
        <w:jc w:val="both"/>
        <w:rPr>
          <w:sz w:val="22"/>
          <w:szCs w:val="22"/>
        </w:rPr>
      </w:pPr>
      <w:r w:rsidRPr="00382A2A">
        <w:rPr>
          <w:sz w:val="22"/>
          <w:szCs w:val="22"/>
        </w:rPr>
        <w:t>Dostupné publikované údaje nepreukazujú  kontraindikáciu pre použitie paracetamolu počas dojčenia.</w:t>
      </w:r>
    </w:p>
    <w:p w:rsidR="00F25781" w:rsidRPr="00382A2A" w:rsidRDefault="00F25781" w:rsidP="00F25781">
      <w:pPr>
        <w:widowControl w:val="0"/>
        <w:jc w:val="both"/>
        <w:rPr>
          <w:sz w:val="22"/>
          <w:szCs w:val="22"/>
          <w:u w:val="single"/>
        </w:rPr>
      </w:pPr>
    </w:p>
    <w:p w:rsidR="00F25781" w:rsidRPr="00382A2A" w:rsidRDefault="00F25781" w:rsidP="00F25781">
      <w:pPr>
        <w:widowControl w:val="0"/>
        <w:jc w:val="both"/>
        <w:rPr>
          <w:sz w:val="22"/>
          <w:szCs w:val="22"/>
          <w:u w:val="single"/>
        </w:rPr>
      </w:pPr>
      <w:r w:rsidRPr="00382A2A">
        <w:rPr>
          <w:sz w:val="22"/>
          <w:szCs w:val="22"/>
          <w:u w:val="single"/>
        </w:rPr>
        <w:t>Fenylefrín</w:t>
      </w:r>
    </w:p>
    <w:p w:rsidR="00F25781" w:rsidRPr="00382A2A" w:rsidRDefault="00F25781" w:rsidP="00F25781">
      <w:pPr>
        <w:widowControl w:val="0"/>
        <w:jc w:val="both"/>
        <w:rPr>
          <w:sz w:val="22"/>
          <w:szCs w:val="22"/>
        </w:rPr>
      </w:pPr>
      <w:r w:rsidRPr="00382A2A">
        <w:rPr>
          <w:sz w:val="22"/>
          <w:szCs w:val="22"/>
        </w:rPr>
        <w:t xml:space="preserve">Vzhľadom na vazokonstrikčné vlastnosti fenylefrínu by sa mal liek používať opatrne u žien s preeklampsiou v anamnéze. </w:t>
      </w:r>
    </w:p>
    <w:p w:rsidR="00F25781" w:rsidRPr="00382A2A" w:rsidRDefault="00F25781" w:rsidP="00F25781">
      <w:pPr>
        <w:widowControl w:val="0"/>
        <w:jc w:val="both"/>
        <w:rPr>
          <w:sz w:val="22"/>
          <w:szCs w:val="22"/>
        </w:rPr>
      </w:pPr>
      <w:r w:rsidRPr="00382A2A">
        <w:rPr>
          <w:sz w:val="22"/>
          <w:szCs w:val="22"/>
        </w:rPr>
        <w:t>Fenylefrín môže znížiť placentárnu perfúziu, a preto by sa mal  používať v tehotenstve len vtedy, ak prínos preváži toto riziko.</w:t>
      </w:r>
    </w:p>
    <w:p w:rsidR="00F25781" w:rsidRPr="00382A2A" w:rsidRDefault="00F25781" w:rsidP="00F25781">
      <w:pPr>
        <w:widowControl w:val="0"/>
        <w:jc w:val="both"/>
        <w:rPr>
          <w:sz w:val="22"/>
          <w:szCs w:val="22"/>
        </w:rPr>
      </w:pPr>
      <w:r w:rsidRPr="00382A2A">
        <w:rPr>
          <w:sz w:val="22"/>
          <w:szCs w:val="22"/>
        </w:rPr>
        <w:t>Štúdie na zvieratách ukazujú, že fenylefrín môže znížiť tvorbu mlieka a pseudoefedrín, farmak</w:t>
      </w:r>
      <w:smartTag w:uri="urn:schemas-microsoft-com:office:smarttags" w:element="PersonName">
        <w:r w:rsidRPr="00382A2A">
          <w:rPr>
            <w:sz w:val="22"/>
            <w:szCs w:val="22"/>
          </w:rPr>
          <w:t>olo</w:t>
        </w:r>
      </w:smartTag>
      <w:r w:rsidRPr="00382A2A">
        <w:rPr>
          <w:sz w:val="22"/>
          <w:szCs w:val="22"/>
        </w:rPr>
        <w:t>gicky podobný vazopresor, po perorálnom užití u dojčiacich matiek  znižuje tvorbu mlieka.</w:t>
      </w:r>
    </w:p>
    <w:p w:rsidR="00F25781" w:rsidRPr="00382A2A" w:rsidRDefault="00F25781" w:rsidP="00F25781">
      <w:pPr>
        <w:widowControl w:val="0"/>
        <w:jc w:val="both"/>
        <w:rPr>
          <w:sz w:val="22"/>
          <w:szCs w:val="22"/>
          <w:u w:val="single"/>
        </w:rPr>
      </w:pPr>
    </w:p>
    <w:p w:rsidR="00F25781" w:rsidRPr="00382A2A" w:rsidRDefault="00F25781" w:rsidP="00F25781">
      <w:pPr>
        <w:widowControl w:val="0"/>
        <w:jc w:val="both"/>
        <w:rPr>
          <w:sz w:val="22"/>
          <w:szCs w:val="22"/>
          <w:u w:val="single"/>
        </w:rPr>
      </w:pPr>
      <w:r w:rsidRPr="00382A2A">
        <w:rPr>
          <w:sz w:val="22"/>
          <w:szCs w:val="22"/>
          <w:u w:val="single"/>
        </w:rPr>
        <w:t>Kofeín</w:t>
      </w:r>
    </w:p>
    <w:p w:rsidR="00F25781" w:rsidRPr="00382A2A" w:rsidRDefault="00F25781" w:rsidP="00F25781">
      <w:pPr>
        <w:widowControl w:val="0"/>
        <w:jc w:val="both"/>
        <w:rPr>
          <w:sz w:val="22"/>
          <w:szCs w:val="22"/>
        </w:rPr>
      </w:pPr>
      <w:r w:rsidRPr="00382A2A">
        <w:rPr>
          <w:sz w:val="22"/>
          <w:szCs w:val="22"/>
        </w:rPr>
        <w:t>Dlhodobé užívanie vyššieho množstva kofeínu môže vyvolať potrat alebo predčasný pôrod.</w:t>
      </w:r>
    </w:p>
    <w:p w:rsidR="00F25781" w:rsidRPr="00382A2A" w:rsidRDefault="00F25781" w:rsidP="00F25781">
      <w:pPr>
        <w:widowControl w:val="0"/>
        <w:jc w:val="both"/>
        <w:rPr>
          <w:sz w:val="22"/>
          <w:szCs w:val="22"/>
        </w:rPr>
      </w:pPr>
      <w:r w:rsidRPr="00382A2A">
        <w:rPr>
          <w:sz w:val="22"/>
          <w:szCs w:val="22"/>
        </w:rPr>
        <w:t>Kofeín obsiahnutý v materskom  mlieku môže mať potenciálne stimulujúci vplyv na dojčené deti.</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caps/>
          <w:sz w:val="22"/>
          <w:szCs w:val="22"/>
        </w:rPr>
        <w:t xml:space="preserve">Paralen Grip </w:t>
      </w:r>
      <w:r w:rsidRPr="00382A2A">
        <w:rPr>
          <w:sz w:val="22"/>
          <w:szCs w:val="22"/>
        </w:rPr>
        <w:t>chrípka a bolesť sa neodporúča počas tehotenstva a dojčenia, uprednostňovať by sa mali monokomponentné lieky (obsahujúce len paracetamol).</w:t>
      </w:r>
    </w:p>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rPr>
      </w:pPr>
      <w:r w:rsidRPr="00382A2A">
        <w:rPr>
          <w:b/>
          <w:sz w:val="22"/>
          <w:szCs w:val="22"/>
        </w:rPr>
        <w:t>4.7</w:t>
      </w:r>
      <w:r w:rsidRPr="00382A2A">
        <w:rPr>
          <w:b/>
          <w:sz w:val="22"/>
          <w:szCs w:val="22"/>
        </w:rPr>
        <w:tab/>
        <w:t>Ovplyvnenie schopnosti viesť vozidlá a obsluhovať stroje</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U citlivých jedincov môže tento liek vyvolávať závraty. Pacientov treba upozorniť, aby neviedli vozidlá a neobsluhovali stroje, ak pocítia závraty.</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r w:rsidRPr="00382A2A">
        <w:rPr>
          <w:b/>
          <w:sz w:val="22"/>
          <w:szCs w:val="22"/>
        </w:rPr>
        <w:t>4.8</w:t>
      </w:r>
      <w:r w:rsidRPr="00382A2A">
        <w:rPr>
          <w:b/>
          <w:sz w:val="22"/>
          <w:szCs w:val="22"/>
        </w:rPr>
        <w:tab/>
        <w:t>Nežiaduce účinky</w:t>
      </w:r>
    </w:p>
    <w:p w:rsidR="00F25781" w:rsidRPr="00382A2A" w:rsidRDefault="00F25781" w:rsidP="00F25781">
      <w:pPr>
        <w:widowControl w:val="0"/>
        <w:jc w:val="both"/>
        <w:rPr>
          <w:sz w:val="22"/>
          <w:szCs w:val="22"/>
        </w:rPr>
      </w:pPr>
    </w:p>
    <w:p w:rsidR="00F25781" w:rsidRPr="00382A2A" w:rsidRDefault="00F25781" w:rsidP="00F25781">
      <w:pPr>
        <w:jc w:val="both"/>
        <w:rPr>
          <w:sz w:val="22"/>
          <w:szCs w:val="22"/>
        </w:rPr>
      </w:pPr>
      <w:r w:rsidRPr="00382A2A">
        <w:rPr>
          <w:sz w:val="22"/>
          <w:szCs w:val="22"/>
        </w:rPr>
        <w:t>V nasledujúcich tabuľkách sú zhrnuté nežiaduce účinky paracetamolu a fenylefrínu rozdelené do tried podľa orgánových systémov MedDRA s uvedením frekvencie ich výskytu:</w:t>
      </w:r>
    </w:p>
    <w:p w:rsidR="00F25781" w:rsidRPr="00382A2A" w:rsidRDefault="00F25781" w:rsidP="00F25781">
      <w:pPr>
        <w:jc w:val="both"/>
        <w:rPr>
          <w:sz w:val="22"/>
          <w:szCs w:val="22"/>
        </w:rPr>
      </w:pPr>
      <w:r w:rsidRPr="00382A2A">
        <w:rPr>
          <w:sz w:val="22"/>
          <w:szCs w:val="22"/>
        </w:rPr>
        <w:t>veľmi časté (≥1/10), časté (</w:t>
      </w:r>
      <w:r w:rsidRPr="00382A2A">
        <w:rPr>
          <w:sz w:val="22"/>
          <w:szCs w:val="22"/>
        </w:rPr>
        <w:sym w:font="Symbol" w:char="F0B3"/>
      </w:r>
      <w:r w:rsidRPr="00382A2A">
        <w:rPr>
          <w:sz w:val="22"/>
          <w:szCs w:val="22"/>
        </w:rPr>
        <w:t>1/100 až &lt;1/10), menej časté (</w:t>
      </w:r>
      <w:r w:rsidRPr="00382A2A">
        <w:rPr>
          <w:sz w:val="22"/>
          <w:szCs w:val="22"/>
        </w:rPr>
        <w:sym w:font="Symbol" w:char="F0B3"/>
      </w:r>
      <w:r w:rsidRPr="00382A2A">
        <w:rPr>
          <w:sz w:val="22"/>
          <w:szCs w:val="22"/>
        </w:rPr>
        <w:t>1/1000 až &lt;1/100), zriedkavé(</w:t>
      </w:r>
      <w:r w:rsidRPr="00382A2A">
        <w:rPr>
          <w:sz w:val="22"/>
          <w:szCs w:val="22"/>
        </w:rPr>
        <w:sym w:font="Symbol" w:char="F0B3"/>
      </w:r>
      <w:r w:rsidRPr="00382A2A">
        <w:rPr>
          <w:sz w:val="22"/>
          <w:szCs w:val="22"/>
        </w:rPr>
        <w:t xml:space="preserve">1/10000 </w:t>
      </w:r>
      <w:r w:rsidRPr="00382A2A">
        <w:rPr>
          <w:sz w:val="22"/>
          <w:szCs w:val="22"/>
        </w:rPr>
        <w:br/>
        <w:t>až &lt; 1/1000), veľmi zriedkavé (&lt;1/10000), neznáme (z dostupných údajov):</w:t>
      </w:r>
    </w:p>
    <w:p w:rsidR="00F25781" w:rsidRPr="00382A2A" w:rsidRDefault="00F25781" w:rsidP="00F25781">
      <w:pPr>
        <w:widowControl w:val="0"/>
        <w:jc w:val="both"/>
        <w:rPr>
          <w:sz w:val="22"/>
          <w:szCs w:val="22"/>
        </w:rPr>
      </w:pPr>
    </w:p>
    <w:p w:rsidR="00F25781" w:rsidRPr="00382A2A" w:rsidRDefault="00F25781" w:rsidP="00F25781">
      <w:pPr>
        <w:rPr>
          <w:b/>
          <w:sz w:val="22"/>
          <w:szCs w:val="22"/>
          <w:u w:val="single"/>
        </w:rPr>
      </w:pPr>
      <w:r w:rsidRPr="00382A2A">
        <w:rPr>
          <w:b/>
          <w:sz w:val="22"/>
          <w:szCs w:val="22"/>
          <w:u w:val="single"/>
        </w:rPr>
        <w:t>Paracetamol</w:t>
      </w:r>
      <w:r w:rsidRPr="00382A2A">
        <w:rPr>
          <w:b/>
          <w:sz w:val="22"/>
          <w:szCs w:val="22"/>
        </w:rPr>
        <w:t xml:space="preserve"> </w:t>
      </w:r>
    </w:p>
    <w:p w:rsidR="00F25781" w:rsidRPr="00382A2A" w:rsidRDefault="00F25781" w:rsidP="00F25781">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068"/>
        <w:gridCol w:w="2520"/>
        <w:gridCol w:w="2699"/>
      </w:tblGrid>
      <w:tr w:rsidR="00F25781" w:rsidRPr="00382A2A" w:rsidTr="00F25781">
        <w:tc>
          <w:tcPr>
            <w:tcW w:w="2190" w:type="pct"/>
            <w:vAlign w:val="center"/>
          </w:tcPr>
          <w:p w:rsidR="00F25781" w:rsidRPr="00382A2A" w:rsidRDefault="00F25781" w:rsidP="00F25781">
            <w:pPr>
              <w:pStyle w:val="Normln"/>
              <w:rPr>
                <w:b/>
                <w:sz w:val="22"/>
                <w:szCs w:val="22"/>
                <w:lang w:val="sk-SK"/>
              </w:rPr>
            </w:pPr>
            <w:r w:rsidRPr="00382A2A">
              <w:rPr>
                <w:b/>
                <w:sz w:val="22"/>
                <w:szCs w:val="22"/>
                <w:lang w:val="sk-SK"/>
              </w:rPr>
              <w:t>Trieda orgánových systémov podľa databázy MedDRA</w:t>
            </w:r>
          </w:p>
        </w:tc>
        <w:tc>
          <w:tcPr>
            <w:tcW w:w="1357" w:type="pct"/>
          </w:tcPr>
          <w:p w:rsidR="00F25781" w:rsidRPr="00382A2A" w:rsidRDefault="00F25781" w:rsidP="00F25781">
            <w:pPr>
              <w:pStyle w:val="Normln"/>
              <w:rPr>
                <w:b/>
                <w:sz w:val="22"/>
                <w:szCs w:val="22"/>
                <w:lang w:val="sk-SK"/>
              </w:rPr>
            </w:pPr>
            <w:r w:rsidRPr="00382A2A">
              <w:rPr>
                <w:b/>
                <w:sz w:val="22"/>
                <w:szCs w:val="22"/>
                <w:lang w:val="sk-SK"/>
              </w:rPr>
              <w:t>Frekvencia</w:t>
            </w:r>
          </w:p>
        </w:tc>
        <w:tc>
          <w:tcPr>
            <w:tcW w:w="1453" w:type="pct"/>
          </w:tcPr>
          <w:p w:rsidR="00F25781" w:rsidRPr="00382A2A" w:rsidRDefault="00F25781" w:rsidP="00F25781">
            <w:pPr>
              <w:pStyle w:val="Normln"/>
              <w:rPr>
                <w:b/>
                <w:sz w:val="22"/>
                <w:szCs w:val="22"/>
                <w:lang w:val="sk-SK"/>
              </w:rPr>
            </w:pPr>
            <w:r w:rsidRPr="00382A2A">
              <w:rPr>
                <w:b/>
                <w:sz w:val="22"/>
                <w:szCs w:val="22"/>
                <w:lang w:val="sk-SK"/>
              </w:rPr>
              <w:t>Nežiaduci účinok</w:t>
            </w:r>
          </w:p>
        </w:tc>
      </w:tr>
      <w:tr w:rsidR="00F25781" w:rsidRPr="00382A2A" w:rsidTr="00F25781">
        <w:trPr>
          <w:trHeight w:val="315"/>
        </w:trPr>
        <w:tc>
          <w:tcPr>
            <w:tcW w:w="2190" w:type="pct"/>
            <w:vAlign w:val="center"/>
          </w:tcPr>
          <w:p w:rsidR="00F25781" w:rsidRPr="00382A2A" w:rsidRDefault="00F25781" w:rsidP="00F25781">
            <w:pPr>
              <w:pStyle w:val="Nzov"/>
              <w:jc w:val="left"/>
              <w:rPr>
                <w:b w:val="0"/>
                <w:szCs w:val="22"/>
                <w:lang w:val="sk-SK"/>
              </w:rPr>
            </w:pPr>
            <w:r w:rsidRPr="00382A2A">
              <w:rPr>
                <w:b w:val="0"/>
                <w:szCs w:val="22"/>
                <w:lang w:val="sk-SK"/>
              </w:rPr>
              <w:t>Poruchy krvi a lymfatického systému</w:t>
            </w:r>
          </w:p>
        </w:tc>
        <w:tc>
          <w:tcPr>
            <w:tcW w:w="1357" w:type="pct"/>
            <w:vAlign w:val="center"/>
          </w:tcPr>
          <w:p w:rsidR="00F25781" w:rsidRPr="00382A2A" w:rsidRDefault="00F25781" w:rsidP="00F25781">
            <w:pPr>
              <w:rPr>
                <w:sz w:val="22"/>
                <w:szCs w:val="22"/>
              </w:rPr>
            </w:pPr>
            <w:r w:rsidRPr="00382A2A">
              <w:rPr>
                <w:sz w:val="22"/>
                <w:szCs w:val="22"/>
              </w:rPr>
              <w:t>veľmi zriedkavé</w:t>
            </w:r>
          </w:p>
        </w:tc>
        <w:tc>
          <w:tcPr>
            <w:tcW w:w="1453" w:type="pct"/>
            <w:vAlign w:val="center"/>
          </w:tcPr>
          <w:p w:rsidR="00F25781" w:rsidRPr="00382A2A" w:rsidRDefault="00F25781" w:rsidP="00F25781">
            <w:pPr>
              <w:pStyle w:val="Normln"/>
              <w:rPr>
                <w:sz w:val="22"/>
                <w:szCs w:val="22"/>
                <w:lang w:val="sk-SK"/>
              </w:rPr>
            </w:pPr>
            <w:r w:rsidRPr="00382A2A">
              <w:rPr>
                <w:sz w:val="22"/>
                <w:szCs w:val="22"/>
                <w:lang w:val="sk-SK"/>
              </w:rPr>
              <w:t xml:space="preserve">zmeny kompletného krvného obrazu  (celkový krvný obraz abnormálny)  včítane trombocytopénie a agranulocytózy </w:t>
            </w:r>
          </w:p>
        </w:tc>
      </w:tr>
      <w:tr w:rsidR="00F25781" w:rsidRPr="00382A2A" w:rsidTr="00F25781">
        <w:trPr>
          <w:trHeight w:val="555"/>
        </w:trPr>
        <w:tc>
          <w:tcPr>
            <w:tcW w:w="2190" w:type="pct"/>
            <w:vAlign w:val="center"/>
          </w:tcPr>
          <w:p w:rsidR="00F25781" w:rsidRPr="00382A2A" w:rsidRDefault="00F25781" w:rsidP="00F25781">
            <w:pPr>
              <w:pStyle w:val="Nzov"/>
              <w:jc w:val="left"/>
              <w:rPr>
                <w:b w:val="0"/>
                <w:szCs w:val="22"/>
                <w:lang w:val="sk-SK"/>
              </w:rPr>
            </w:pPr>
            <w:r w:rsidRPr="00382A2A">
              <w:rPr>
                <w:b w:val="0"/>
                <w:szCs w:val="22"/>
                <w:lang w:val="sk-SK"/>
              </w:rPr>
              <w:t>Poruchy imunitného systému</w:t>
            </w:r>
          </w:p>
        </w:tc>
        <w:tc>
          <w:tcPr>
            <w:tcW w:w="1357" w:type="pct"/>
            <w:vAlign w:val="center"/>
          </w:tcPr>
          <w:p w:rsidR="00F25781" w:rsidRPr="00382A2A" w:rsidRDefault="00F25781" w:rsidP="00F25781">
            <w:pPr>
              <w:rPr>
                <w:sz w:val="22"/>
                <w:szCs w:val="22"/>
              </w:rPr>
            </w:pPr>
            <w:r w:rsidRPr="00382A2A">
              <w:rPr>
                <w:sz w:val="22"/>
                <w:szCs w:val="22"/>
              </w:rPr>
              <w:t>veľmi zriedkavé</w:t>
            </w:r>
          </w:p>
        </w:tc>
        <w:tc>
          <w:tcPr>
            <w:tcW w:w="1453" w:type="pct"/>
            <w:vAlign w:val="center"/>
          </w:tcPr>
          <w:p w:rsidR="00F25781" w:rsidRPr="00382A2A" w:rsidRDefault="00F25781" w:rsidP="00F25781">
            <w:pPr>
              <w:pStyle w:val="Normln"/>
              <w:rPr>
                <w:sz w:val="22"/>
                <w:szCs w:val="22"/>
                <w:lang w:val="sk-SK"/>
              </w:rPr>
            </w:pPr>
            <w:r w:rsidRPr="00382A2A">
              <w:rPr>
                <w:noProof/>
                <w:sz w:val="22"/>
                <w:szCs w:val="22"/>
                <w:lang w:val="sk-SK"/>
              </w:rPr>
              <w:t xml:space="preserve">anafylaxia , kožné  reakcie z precitlivenosti včítane kožnej vyrážky, angioedém  a </w:t>
            </w:r>
            <w:r w:rsidRPr="00382A2A">
              <w:rPr>
                <w:sz w:val="22"/>
                <w:szCs w:val="22"/>
                <w:lang w:val="sk-SK"/>
              </w:rPr>
              <w:t xml:space="preserve">Stevensov-Johnsonov syndróm/toxická </w:t>
            </w:r>
            <w:r w:rsidRPr="00382A2A">
              <w:rPr>
                <w:sz w:val="22"/>
                <w:szCs w:val="22"/>
                <w:lang w:val="sk-SK"/>
              </w:rPr>
              <w:lastRenderedPageBreak/>
              <w:t>epidermálna nekrolýza</w:t>
            </w:r>
          </w:p>
        </w:tc>
      </w:tr>
      <w:tr w:rsidR="00F25781" w:rsidRPr="00382A2A" w:rsidTr="00F25781">
        <w:trPr>
          <w:trHeight w:val="555"/>
        </w:trPr>
        <w:tc>
          <w:tcPr>
            <w:tcW w:w="2190" w:type="pct"/>
            <w:vAlign w:val="center"/>
          </w:tcPr>
          <w:p w:rsidR="00F25781" w:rsidRPr="00382A2A" w:rsidRDefault="00F25781" w:rsidP="00F25781">
            <w:pPr>
              <w:rPr>
                <w:noProof/>
                <w:sz w:val="22"/>
                <w:szCs w:val="22"/>
              </w:rPr>
            </w:pPr>
            <w:r w:rsidRPr="00382A2A">
              <w:rPr>
                <w:noProof/>
                <w:sz w:val="22"/>
                <w:szCs w:val="22"/>
              </w:rPr>
              <w:lastRenderedPageBreak/>
              <w:t>Psychické poruchy</w:t>
            </w:r>
          </w:p>
        </w:tc>
        <w:tc>
          <w:tcPr>
            <w:tcW w:w="1357" w:type="pct"/>
            <w:vAlign w:val="center"/>
          </w:tcPr>
          <w:p w:rsidR="00F25781" w:rsidRPr="00382A2A" w:rsidRDefault="00F25781" w:rsidP="00F25781">
            <w:pPr>
              <w:pStyle w:val="Normln"/>
              <w:rPr>
                <w:sz w:val="22"/>
                <w:szCs w:val="22"/>
                <w:lang w:val="sk-SK"/>
              </w:rPr>
            </w:pPr>
            <w:r w:rsidRPr="00382A2A">
              <w:rPr>
                <w:sz w:val="22"/>
                <w:szCs w:val="22"/>
                <w:lang w:val="sk-SK"/>
              </w:rPr>
              <w:t>zriedkavé</w:t>
            </w:r>
          </w:p>
        </w:tc>
        <w:tc>
          <w:tcPr>
            <w:tcW w:w="1453" w:type="pct"/>
            <w:vAlign w:val="center"/>
          </w:tcPr>
          <w:p w:rsidR="00F25781" w:rsidRPr="00382A2A" w:rsidRDefault="00F25781" w:rsidP="00F25781">
            <w:pPr>
              <w:pStyle w:val="Normln"/>
              <w:rPr>
                <w:sz w:val="22"/>
                <w:szCs w:val="22"/>
                <w:lang w:val="sk-SK"/>
              </w:rPr>
            </w:pPr>
            <w:r w:rsidRPr="00382A2A">
              <w:rPr>
                <w:sz w:val="22"/>
                <w:szCs w:val="22"/>
                <w:lang w:val="sk-SK"/>
              </w:rPr>
              <w:t>nepokoj</w:t>
            </w:r>
          </w:p>
        </w:tc>
      </w:tr>
      <w:tr w:rsidR="00F25781" w:rsidRPr="00382A2A" w:rsidTr="00F25781">
        <w:trPr>
          <w:trHeight w:val="555"/>
        </w:trPr>
        <w:tc>
          <w:tcPr>
            <w:tcW w:w="2190" w:type="pct"/>
            <w:vAlign w:val="center"/>
          </w:tcPr>
          <w:p w:rsidR="00F25781" w:rsidRPr="00382A2A" w:rsidRDefault="00F25781" w:rsidP="00F25781">
            <w:pPr>
              <w:rPr>
                <w:noProof/>
                <w:sz w:val="22"/>
                <w:szCs w:val="22"/>
              </w:rPr>
            </w:pPr>
            <w:r w:rsidRPr="00382A2A">
              <w:rPr>
                <w:noProof/>
                <w:sz w:val="22"/>
                <w:szCs w:val="22"/>
              </w:rPr>
              <w:t>Poruchy nervového systému</w:t>
            </w:r>
          </w:p>
        </w:tc>
        <w:tc>
          <w:tcPr>
            <w:tcW w:w="1357" w:type="pct"/>
            <w:vAlign w:val="center"/>
          </w:tcPr>
          <w:p w:rsidR="00F25781" w:rsidRPr="00382A2A" w:rsidRDefault="00F25781" w:rsidP="00F25781">
            <w:pPr>
              <w:pStyle w:val="Normln"/>
              <w:rPr>
                <w:sz w:val="22"/>
                <w:szCs w:val="22"/>
                <w:lang w:val="sk-SK"/>
              </w:rPr>
            </w:pPr>
            <w:r w:rsidRPr="00382A2A">
              <w:rPr>
                <w:sz w:val="22"/>
                <w:szCs w:val="22"/>
                <w:lang w:val="sk-SK"/>
              </w:rPr>
              <w:t>zriedkavé</w:t>
            </w:r>
          </w:p>
        </w:tc>
        <w:tc>
          <w:tcPr>
            <w:tcW w:w="1453" w:type="pct"/>
            <w:vAlign w:val="center"/>
          </w:tcPr>
          <w:p w:rsidR="00F25781" w:rsidRPr="00382A2A" w:rsidRDefault="00F25781" w:rsidP="00F25781">
            <w:pPr>
              <w:pStyle w:val="Normln"/>
              <w:rPr>
                <w:sz w:val="22"/>
                <w:szCs w:val="22"/>
                <w:lang w:val="sk-SK"/>
              </w:rPr>
            </w:pPr>
            <w:r w:rsidRPr="00382A2A">
              <w:rPr>
                <w:sz w:val="22"/>
                <w:szCs w:val="22"/>
                <w:lang w:val="sk-SK"/>
              </w:rPr>
              <w:t>bolesti hlavy</w:t>
            </w:r>
          </w:p>
        </w:tc>
      </w:tr>
      <w:tr w:rsidR="00F25781" w:rsidRPr="00382A2A" w:rsidTr="00F25781">
        <w:trPr>
          <w:trHeight w:val="255"/>
        </w:trPr>
        <w:tc>
          <w:tcPr>
            <w:tcW w:w="2190" w:type="pct"/>
            <w:vAlign w:val="center"/>
          </w:tcPr>
          <w:p w:rsidR="00F25781" w:rsidRPr="00382A2A" w:rsidRDefault="00F25781" w:rsidP="00F25781">
            <w:pPr>
              <w:rPr>
                <w:sz w:val="22"/>
                <w:szCs w:val="22"/>
              </w:rPr>
            </w:pPr>
            <w:r w:rsidRPr="00382A2A">
              <w:rPr>
                <w:sz w:val="22"/>
                <w:szCs w:val="22"/>
              </w:rPr>
              <w:t>Poruchy dýchacej sústavy, hrudníka a mediastína</w:t>
            </w:r>
          </w:p>
        </w:tc>
        <w:tc>
          <w:tcPr>
            <w:tcW w:w="1357" w:type="pct"/>
            <w:vAlign w:val="center"/>
          </w:tcPr>
          <w:p w:rsidR="00F25781" w:rsidRPr="00382A2A" w:rsidRDefault="00F25781" w:rsidP="00F25781">
            <w:pPr>
              <w:rPr>
                <w:noProof/>
                <w:sz w:val="22"/>
                <w:szCs w:val="22"/>
              </w:rPr>
            </w:pPr>
            <w:r w:rsidRPr="00382A2A">
              <w:rPr>
                <w:sz w:val="22"/>
                <w:szCs w:val="22"/>
              </w:rPr>
              <w:t>veľmi zriedkavé</w:t>
            </w:r>
          </w:p>
        </w:tc>
        <w:tc>
          <w:tcPr>
            <w:tcW w:w="1453" w:type="pct"/>
            <w:vAlign w:val="center"/>
          </w:tcPr>
          <w:p w:rsidR="00F25781" w:rsidRPr="00382A2A" w:rsidRDefault="00F25781" w:rsidP="00F25781">
            <w:pPr>
              <w:rPr>
                <w:noProof/>
                <w:sz w:val="22"/>
                <w:szCs w:val="22"/>
              </w:rPr>
            </w:pPr>
            <w:r w:rsidRPr="00382A2A">
              <w:rPr>
                <w:noProof/>
                <w:sz w:val="22"/>
                <w:szCs w:val="22"/>
              </w:rPr>
              <w:t>bronchospazmus</w:t>
            </w:r>
          </w:p>
        </w:tc>
      </w:tr>
      <w:tr w:rsidR="00F25781" w:rsidRPr="00382A2A" w:rsidTr="00F25781">
        <w:trPr>
          <w:trHeight w:val="458"/>
        </w:trPr>
        <w:tc>
          <w:tcPr>
            <w:tcW w:w="2190" w:type="pct"/>
            <w:vAlign w:val="center"/>
          </w:tcPr>
          <w:p w:rsidR="00F25781" w:rsidRPr="00382A2A" w:rsidRDefault="00F25781" w:rsidP="00F25781">
            <w:pPr>
              <w:rPr>
                <w:noProof/>
                <w:sz w:val="22"/>
                <w:szCs w:val="22"/>
              </w:rPr>
            </w:pPr>
            <w:r w:rsidRPr="00382A2A">
              <w:rPr>
                <w:sz w:val="22"/>
                <w:szCs w:val="22"/>
              </w:rPr>
              <w:t xml:space="preserve"> Poruchy gastrointestinálneho traktu</w:t>
            </w:r>
          </w:p>
        </w:tc>
        <w:tc>
          <w:tcPr>
            <w:tcW w:w="1357" w:type="pct"/>
            <w:vAlign w:val="center"/>
          </w:tcPr>
          <w:p w:rsidR="00F25781" w:rsidRPr="00382A2A" w:rsidRDefault="00F25781" w:rsidP="00F25781">
            <w:pPr>
              <w:pStyle w:val="Normln"/>
              <w:rPr>
                <w:noProof/>
                <w:sz w:val="22"/>
                <w:szCs w:val="22"/>
                <w:lang w:val="sk-SK"/>
              </w:rPr>
            </w:pPr>
            <w:r w:rsidRPr="00382A2A">
              <w:rPr>
                <w:sz w:val="22"/>
                <w:szCs w:val="22"/>
                <w:lang w:val="sk-SK"/>
              </w:rPr>
              <w:t>zriedkavé</w:t>
            </w:r>
          </w:p>
        </w:tc>
        <w:tc>
          <w:tcPr>
            <w:tcW w:w="1453" w:type="pct"/>
            <w:vAlign w:val="center"/>
          </w:tcPr>
          <w:p w:rsidR="00F25781" w:rsidRPr="00382A2A" w:rsidRDefault="00F25781" w:rsidP="00F25781">
            <w:pPr>
              <w:pStyle w:val="Normln"/>
              <w:rPr>
                <w:noProof/>
                <w:sz w:val="22"/>
                <w:szCs w:val="22"/>
                <w:lang w:val="sk-SK"/>
              </w:rPr>
            </w:pPr>
            <w:r w:rsidRPr="00382A2A">
              <w:rPr>
                <w:noProof/>
                <w:sz w:val="22"/>
                <w:szCs w:val="22"/>
                <w:lang w:val="sk-SK"/>
              </w:rPr>
              <w:t>nauzea</w:t>
            </w:r>
          </w:p>
        </w:tc>
      </w:tr>
      <w:tr w:rsidR="00F25781" w:rsidRPr="00382A2A" w:rsidTr="00F25781">
        <w:trPr>
          <w:trHeight w:val="718"/>
        </w:trPr>
        <w:tc>
          <w:tcPr>
            <w:tcW w:w="2190" w:type="pct"/>
            <w:vAlign w:val="center"/>
          </w:tcPr>
          <w:p w:rsidR="00F25781" w:rsidRPr="00382A2A" w:rsidRDefault="00F25781" w:rsidP="00F25781">
            <w:pPr>
              <w:pStyle w:val="Nzov"/>
              <w:jc w:val="left"/>
              <w:rPr>
                <w:b w:val="0"/>
                <w:szCs w:val="22"/>
                <w:lang w:val="sk-SK"/>
              </w:rPr>
            </w:pPr>
            <w:r w:rsidRPr="00382A2A">
              <w:rPr>
                <w:b w:val="0"/>
                <w:szCs w:val="22"/>
                <w:lang w:val="sk-SK"/>
              </w:rPr>
              <w:t>Poruchy pečene a žlčových ciest</w:t>
            </w:r>
          </w:p>
        </w:tc>
        <w:tc>
          <w:tcPr>
            <w:tcW w:w="1357" w:type="pct"/>
            <w:vAlign w:val="center"/>
          </w:tcPr>
          <w:p w:rsidR="00F25781" w:rsidRPr="00382A2A" w:rsidRDefault="00F25781" w:rsidP="00F25781">
            <w:pPr>
              <w:rPr>
                <w:sz w:val="22"/>
                <w:szCs w:val="22"/>
              </w:rPr>
            </w:pPr>
            <w:r w:rsidRPr="00382A2A">
              <w:rPr>
                <w:sz w:val="22"/>
                <w:szCs w:val="22"/>
              </w:rPr>
              <w:t>veľmi zriedkavé</w:t>
            </w:r>
          </w:p>
        </w:tc>
        <w:tc>
          <w:tcPr>
            <w:tcW w:w="1453" w:type="pct"/>
            <w:vAlign w:val="center"/>
          </w:tcPr>
          <w:p w:rsidR="00F25781" w:rsidRPr="00382A2A" w:rsidRDefault="00F25781" w:rsidP="00F25781">
            <w:pPr>
              <w:rPr>
                <w:sz w:val="22"/>
                <w:szCs w:val="22"/>
              </w:rPr>
            </w:pPr>
            <w:r w:rsidRPr="00382A2A">
              <w:rPr>
                <w:sz w:val="22"/>
                <w:szCs w:val="22"/>
              </w:rPr>
              <w:t>hepatotoxicita</w:t>
            </w:r>
          </w:p>
        </w:tc>
      </w:tr>
      <w:tr w:rsidR="00F25781" w:rsidRPr="00382A2A" w:rsidTr="00F25781">
        <w:trPr>
          <w:trHeight w:val="560"/>
        </w:trPr>
        <w:tc>
          <w:tcPr>
            <w:tcW w:w="2190" w:type="pct"/>
            <w:vAlign w:val="center"/>
          </w:tcPr>
          <w:p w:rsidR="00F25781" w:rsidRPr="00382A2A" w:rsidRDefault="00F25781" w:rsidP="00F25781">
            <w:pPr>
              <w:rPr>
                <w:sz w:val="22"/>
                <w:szCs w:val="22"/>
              </w:rPr>
            </w:pPr>
            <w:r w:rsidRPr="00382A2A">
              <w:rPr>
                <w:sz w:val="22"/>
                <w:szCs w:val="22"/>
              </w:rPr>
              <w:t xml:space="preserve">Poruchy obličiek a </w:t>
            </w:r>
            <w:r w:rsidRPr="00382A2A">
              <w:rPr>
                <w:noProof/>
                <w:sz w:val="22"/>
                <w:szCs w:val="22"/>
              </w:rPr>
              <w:t>močových ciest</w:t>
            </w:r>
          </w:p>
        </w:tc>
        <w:tc>
          <w:tcPr>
            <w:tcW w:w="1357" w:type="pct"/>
            <w:vAlign w:val="center"/>
          </w:tcPr>
          <w:p w:rsidR="00F25781" w:rsidRPr="00382A2A" w:rsidRDefault="00F25781" w:rsidP="00F25781">
            <w:pPr>
              <w:pStyle w:val="Normln"/>
              <w:rPr>
                <w:sz w:val="22"/>
                <w:szCs w:val="22"/>
                <w:lang w:val="sk-SK"/>
              </w:rPr>
            </w:pPr>
            <w:r w:rsidRPr="00382A2A">
              <w:rPr>
                <w:sz w:val="22"/>
                <w:szCs w:val="22"/>
                <w:lang w:val="sk-SK"/>
              </w:rPr>
              <w:t>veľmi zriedkavé</w:t>
            </w:r>
          </w:p>
        </w:tc>
        <w:tc>
          <w:tcPr>
            <w:tcW w:w="1453" w:type="pct"/>
            <w:vAlign w:val="center"/>
          </w:tcPr>
          <w:p w:rsidR="00F25781" w:rsidRPr="00382A2A" w:rsidRDefault="00F25781" w:rsidP="00F25781">
            <w:pPr>
              <w:pStyle w:val="Normln"/>
              <w:rPr>
                <w:sz w:val="22"/>
                <w:szCs w:val="22"/>
                <w:lang w:val="sk-SK"/>
              </w:rPr>
            </w:pPr>
            <w:r w:rsidRPr="00382A2A">
              <w:rPr>
                <w:sz w:val="22"/>
                <w:szCs w:val="22"/>
                <w:lang w:val="sk-SK"/>
              </w:rPr>
              <w:t>nefropatia</w:t>
            </w:r>
          </w:p>
        </w:tc>
      </w:tr>
    </w:tbl>
    <w:p w:rsidR="00F25781" w:rsidRPr="00382A2A" w:rsidRDefault="00F25781" w:rsidP="00F25781">
      <w:pPr>
        <w:rPr>
          <w:sz w:val="22"/>
          <w:szCs w:val="22"/>
          <w:u w:val="single"/>
        </w:rPr>
      </w:pPr>
    </w:p>
    <w:p w:rsidR="00F25781" w:rsidRPr="00382A2A" w:rsidRDefault="00F25781" w:rsidP="00F25781">
      <w:pPr>
        <w:rPr>
          <w:sz w:val="22"/>
          <w:szCs w:val="22"/>
          <w:u w:val="single"/>
        </w:rPr>
      </w:pPr>
    </w:p>
    <w:p w:rsidR="00F25781" w:rsidRPr="00382A2A" w:rsidRDefault="00F25781" w:rsidP="00F25781">
      <w:pPr>
        <w:rPr>
          <w:b/>
          <w:sz w:val="22"/>
          <w:szCs w:val="22"/>
          <w:u w:val="single"/>
        </w:rPr>
      </w:pPr>
      <w:r w:rsidRPr="00382A2A">
        <w:rPr>
          <w:b/>
          <w:sz w:val="22"/>
          <w:szCs w:val="22"/>
          <w:u w:val="single"/>
        </w:rPr>
        <w:t>Fenylefrín</w:t>
      </w:r>
    </w:p>
    <w:p w:rsidR="00F25781" w:rsidRPr="00382A2A" w:rsidRDefault="00F25781" w:rsidP="00F25781">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40"/>
        <w:gridCol w:w="2138"/>
        <w:gridCol w:w="3509"/>
      </w:tblGrid>
      <w:tr w:rsidR="00F25781" w:rsidRPr="00382A2A" w:rsidTr="00F25781">
        <w:tc>
          <w:tcPr>
            <w:tcW w:w="1960" w:type="pct"/>
            <w:vAlign w:val="center"/>
          </w:tcPr>
          <w:p w:rsidR="00F25781" w:rsidRPr="00382A2A" w:rsidRDefault="00F25781" w:rsidP="00F25781">
            <w:pPr>
              <w:pStyle w:val="Normln"/>
              <w:rPr>
                <w:b/>
                <w:sz w:val="22"/>
                <w:szCs w:val="22"/>
                <w:lang w:val="sk-SK"/>
              </w:rPr>
            </w:pPr>
            <w:r w:rsidRPr="00382A2A">
              <w:rPr>
                <w:b/>
                <w:sz w:val="22"/>
                <w:szCs w:val="22"/>
                <w:lang w:val="sk-SK"/>
              </w:rPr>
              <w:t>Trieda orgánových systémov podľa databázy MedDRA</w:t>
            </w:r>
          </w:p>
        </w:tc>
        <w:tc>
          <w:tcPr>
            <w:tcW w:w="1151" w:type="pct"/>
          </w:tcPr>
          <w:p w:rsidR="00F25781" w:rsidRPr="00382A2A" w:rsidRDefault="00F25781" w:rsidP="00F25781">
            <w:pPr>
              <w:pStyle w:val="Normln"/>
              <w:rPr>
                <w:b/>
                <w:sz w:val="22"/>
                <w:szCs w:val="22"/>
                <w:lang w:val="sk-SK"/>
              </w:rPr>
            </w:pPr>
            <w:r w:rsidRPr="00382A2A">
              <w:rPr>
                <w:b/>
                <w:sz w:val="22"/>
                <w:szCs w:val="22"/>
                <w:lang w:val="sk-SK"/>
              </w:rPr>
              <w:t>Frekvencia</w:t>
            </w:r>
          </w:p>
        </w:tc>
        <w:tc>
          <w:tcPr>
            <w:tcW w:w="1889" w:type="pct"/>
          </w:tcPr>
          <w:p w:rsidR="00F25781" w:rsidRPr="00382A2A" w:rsidRDefault="00F25781" w:rsidP="00F25781">
            <w:pPr>
              <w:pStyle w:val="Normln"/>
              <w:rPr>
                <w:b/>
                <w:sz w:val="22"/>
                <w:szCs w:val="22"/>
                <w:lang w:val="sk-SK"/>
              </w:rPr>
            </w:pPr>
            <w:r w:rsidRPr="00382A2A">
              <w:rPr>
                <w:b/>
                <w:sz w:val="22"/>
                <w:szCs w:val="22"/>
                <w:lang w:val="sk-SK"/>
              </w:rPr>
              <w:t>Nežiaduci účinok</w:t>
            </w:r>
          </w:p>
        </w:tc>
      </w:tr>
      <w:tr w:rsidR="00F25781" w:rsidRPr="00382A2A" w:rsidTr="00F25781">
        <w:trPr>
          <w:trHeight w:val="195"/>
        </w:trPr>
        <w:tc>
          <w:tcPr>
            <w:tcW w:w="1960" w:type="pct"/>
          </w:tcPr>
          <w:p w:rsidR="00F25781" w:rsidRPr="00382A2A" w:rsidRDefault="00F25781" w:rsidP="00F25781">
            <w:pPr>
              <w:rPr>
                <w:noProof/>
                <w:sz w:val="22"/>
                <w:szCs w:val="22"/>
              </w:rPr>
            </w:pPr>
            <w:r w:rsidRPr="00382A2A">
              <w:rPr>
                <w:noProof/>
                <w:sz w:val="22"/>
                <w:szCs w:val="22"/>
              </w:rPr>
              <w:t>Psychické poruchy</w:t>
            </w:r>
          </w:p>
        </w:tc>
        <w:tc>
          <w:tcPr>
            <w:tcW w:w="1151" w:type="pct"/>
            <w:vAlign w:val="center"/>
          </w:tcPr>
          <w:p w:rsidR="00F25781" w:rsidRPr="00382A2A" w:rsidRDefault="00F25781" w:rsidP="00F25781">
            <w:pPr>
              <w:pStyle w:val="Normln"/>
              <w:rPr>
                <w:sz w:val="22"/>
                <w:szCs w:val="22"/>
                <w:lang w:val="sk-SK"/>
              </w:rPr>
            </w:pPr>
            <w:r w:rsidRPr="00382A2A">
              <w:rPr>
                <w:sz w:val="22"/>
                <w:szCs w:val="22"/>
                <w:lang w:val="sk-SK"/>
              </w:rPr>
              <w:t>zriedkavé</w:t>
            </w:r>
          </w:p>
        </w:tc>
        <w:tc>
          <w:tcPr>
            <w:tcW w:w="1889" w:type="pct"/>
            <w:vAlign w:val="center"/>
          </w:tcPr>
          <w:p w:rsidR="00F25781" w:rsidRPr="00382A2A" w:rsidRDefault="00F25781" w:rsidP="00F25781">
            <w:pPr>
              <w:pStyle w:val="Normln"/>
              <w:rPr>
                <w:sz w:val="22"/>
                <w:szCs w:val="22"/>
                <w:lang w:val="sk-SK"/>
              </w:rPr>
            </w:pPr>
            <w:r w:rsidRPr="00382A2A">
              <w:rPr>
                <w:sz w:val="22"/>
                <w:szCs w:val="22"/>
                <w:lang w:val="sk-SK"/>
              </w:rPr>
              <w:t>nervozita</w:t>
            </w:r>
          </w:p>
        </w:tc>
      </w:tr>
      <w:tr w:rsidR="00F25781" w:rsidRPr="00382A2A" w:rsidTr="00F25781">
        <w:trPr>
          <w:trHeight w:val="195"/>
        </w:trPr>
        <w:tc>
          <w:tcPr>
            <w:tcW w:w="1960" w:type="pct"/>
            <w:vAlign w:val="center"/>
          </w:tcPr>
          <w:p w:rsidR="00F25781" w:rsidRPr="00382A2A" w:rsidRDefault="00F25781" w:rsidP="00F25781">
            <w:pPr>
              <w:pStyle w:val="Nzov"/>
              <w:jc w:val="left"/>
              <w:rPr>
                <w:b w:val="0"/>
                <w:szCs w:val="22"/>
                <w:lang w:val="sk-SK"/>
              </w:rPr>
            </w:pPr>
            <w:r w:rsidRPr="00382A2A">
              <w:rPr>
                <w:b w:val="0"/>
                <w:szCs w:val="22"/>
                <w:lang w:val="sk-SK"/>
              </w:rPr>
              <w:t>Poruchy nervového systému</w:t>
            </w:r>
          </w:p>
        </w:tc>
        <w:tc>
          <w:tcPr>
            <w:tcW w:w="1151" w:type="pct"/>
            <w:vAlign w:val="center"/>
          </w:tcPr>
          <w:p w:rsidR="00F25781" w:rsidRPr="00382A2A" w:rsidRDefault="00F25781" w:rsidP="00F25781">
            <w:pPr>
              <w:pStyle w:val="Nzov"/>
              <w:jc w:val="left"/>
              <w:rPr>
                <w:b w:val="0"/>
                <w:szCs w:val="22"/>
                <w:lang w:val="sk-SK"/>
              </w:rPr>
            </w:pPr>
            <w:r w:rsidRPr="00382A2A">
              <w:rPr>
                <w:b w:val="0"/>
                <w:szCs w:val="22"/>
                <w:lang w:val="sk-SK"/>
              </w:rPr>
              <w:t>časté</w:t>
            </w:r>
          </w:p>
        </w:tc>
        <w:tc>
          <w:tcPr>
            <w:tcW w:w="1889" w:type="pct"/>
            <w:vAlign w:val="center"/>
          </w:tcPr>
          <w:p w:rsidR="00F25781" w:rsidRPr="00382A2A" w:rsidRDefault="00F25781" w:rsidP="00F25781">
            <w:pPr>
              <w:pStyle w:val="Nzov"/>
              <w:jc w:val="left"/>
              <w:rPr>
                <w:b w:val="0"/>
                <w:szCs w:val="22"/>
                <w:lang w:val="sk-SK"/>
              </w:rPr>
            </w:pPr>
            <w:r w:rsidRPr="00382A2A">
              <w:rPr>
                <w:b w:val="0"/>
                <w:szCs w:val="22"/>
                <w:lang w:val="sk-SK"/>
              </w:rPr>
              <w:t>bolesti hlavy,</w:t>
            </w:r>
            <w:r w:rsidRPr="00382A2A">
              <w:rPr>
                <w:b w:val="0"/>
                <w:szCs w:val="22"/>
                <w:lang w:val="sk-SK"/>
              </w:rPr>
              <w:br/>
              <w:t>závraty ,</w:t>
            </w:r>
            <w:r w:rsidRPr="00382A2A">
              <w:rPr>
                <w:b w:val="0"/>
                <w:szCs w:val="22"/>
                <w:lang w:val="sk-SK"/>
              </w:rPr>
              <w:br/>
              <w:t>nespavosť</w:t>
            </w:r>
          </w:p>
        </w:tc>
      </w:tr>
      <w:tr w:rsidR="00F25781" w:rsidRPr="00382A2A" w:rsidTr="00F25781">
        <w:trPr>
          <w:trHeight w:val="473"/>
        </w:trPr>
        <w:tc>
          <w:tcPr>
            <w:tcW w:w="1960" w:type="pct"/>
            <w:vAlign w:val="center"/>
          </w:tcPr>
          <w:p w:rsidR="00F25781" w:rsidRPr="00382A2A" w:rsidRDefault="00F25781" w:rsidP="00F25781">
            <w:pPr>
              <w:rPr>
                <w:noProof/>
                <w:sz w:val="22"/>
                <w:szCs w:val="22"/>
              </w:rPr>
            </w:pPr>
            <w:r w:rsidRPr="00382A2A">
              <w:rPr>
                <w:noProof/>
                <w:sz w:val="22"/>
                <w:szCs w:val="22"/>
              </w:rPr>
              <w:t>Poruchy oka</w:t>
            </w:r>
          </w:p>
        </w:tc>
        <w:tc>
          <w:tcPr>
            <w:tcW w:w="1151" w:type="pct"/>
            <w:vAlign w:val="center"/>
          </w:tcPr>
          <w:p w:rsidR="00F25781" w:rsidRPr="00382A2A" w:rsidRDefault="00F25781" w:rsidP="00F25781">
            <w:pPr>
              <w:rPr>
                <w:sz w:val="22"/>
                <w:szCs w:val="22"/>
              </w:rPr>
            </w:pPr>
            <w:r w:rsidRPr="00382A2A">
              <w:rPr>
                <w:sz w:val="22"/>
                <w:szCs w:val="22"/>
              </w:rPr>
              <w:t>neznáme</w:t>
            </w:r>
          </w:p>
        </w:tc>
        <w:tc>
          <w:tcPr>
            <w:tcW w:w="1889" w:type="pct"/>
            <w:vAlign w:val="center"/>
          </w:tcPr>
          <w:p w:rsidR="00F25781" w:rsidRPr="00382A2A" w:rsidRDefault="00F25781" w:rsidP="00F25781">
            <w:pPr>
              <w:rPr>
                <w:sz w:val="22"/>
                <w:szCs w:val="22"/>
              </w:rPr>
            </w:pPr>
            <w:r w:rsidRPr="00382A2A">
              <w:rPr>
                <w:sz w:val="22"/>
                <w:szCs w:val="22"/>
              </w:rPr>
              <w:t>bolesť oka, pichanie v očiach, rozmazané videnie, fotofóbia, akútny glaukóm s uzavretým uhlom</w:t>
            </w:r>
          </w:p>
        </w:tc>
      </w:tr>
      <w:tr w:rsidR="00F25781" w:rsidRPr="00382A2A" w:rsidTr="00F25781">
        <w:trPr>
          <w:trHeight w:val="473"/>
        </w:trPr>
        <w:tc>
          <w:tcPr>
            <w:tcW w:w="1960" w:type="pct"/>
            <w:tcBorders>
              <w:bottom w:val="nil"/>
            </w:tcBorders>
            <w:vAlign w:val="center"/>
          </w:tcPr>
          <w:p w:rsidR="00F25781" w:rsidRPr="00382A2A" w:rsidRDefault="00F25781" w:rsidP="00F25781">
            <w:pPr>
              <w:pStyle w:val="Nzov"/>
              <w:jc w:val="left"/>
              <w:rPr>
                <w:b w:val="0"/>
                <w:szCs w:val="22"/>
                <w:lang w:val="sk-SK"/>
              </w:rPr>
            </w:pPr>
            <w:r w:rsidRPr="00382A2A">
              <w:rPr>
                <w:b w:val="0"/>
                <w:szCs w:val="22"/>
                <w:lang w:val="sk-SK"/>
              </w:rPr>
              <w:t>Poruchy srdca a srdcovej činnosti</w:t>
            </w:r>
          </w:p>
        </w:tc>
        <w:tc>
          <w:tcPr>
            <w:tcW w:w="1151" w:type="pct"/>
            <w:vAlign w:val="center"/>
          </w:tcPr>
          <w:p w:rsidR="00F25781" w:rsidRPr="00382A2A" w:rsidRDefault="00F25781" w:rsidP="00F25781">
            <w:pPr>
              <w:pStyle w:val="Nzov"/>
              <w:jc w:val="left"/>
              <w:rPr>
                <w:b w:val="0"/>
                <w:szCs w:val="22"/>
                <w:lang w:val="sk-SK"/>
              </w:rPr>
            </w:pPr>
            <w:r w:rsidRPr="00382A2A">
              <w:rPr>
                <w:b w:val="0"/>
                <w:szCs w:val="22"/>
                <w:lang w:val="sk-SK"/>
              </w:rPr>
              <w:t>veľmi zriedkavé</w:t>
            </w:r>
          </w:p>
        </w:tc>
        <w:tc>
          <w:tcPr>
            <w:tcW w:w="1889" w:type="pct"/>
            <w:vAlign w:val="center"/>
          </w:tcPr>
          <w:p w:rsidR="00F25781" w:rsidRPr="00382A2A" w:rsidRDefault="00F25781" w:rsidP="00F25781">
            <w:pPr>
              <w:pStyle w:val="Nzov"/>
              <w:jc w:val="left"/>
              <w:rPr>
                <w:b w:val="0"/>
                <w:szCs w:val="22"/>
                <w:lang w:val="sk-SK"/>
              </w:rPr>
            </w:pPr>
            <w:r w:rsidRPr="00382A2A">
              <w:rPr>
                <w:b w:val="0"/>
                <w:szCs w:val="22"/>
                <w:lang w:val="sk-SK"/>
              </w:rPr>
              <w:t>palpitácia, zvýšenie krvného tlaku</w:t>
            </w:r>
          </w:p>
        </w:tc>
      </w:tr>
      <w:tr w:rsidR="00F25781" w:rsidRPr="00382A2A" w:rsidTr="00F25781">
        <w:trPr>
          <w:trHeight w:val="473"/>
        </w:trPr>
        <w:tc>
          <w:tcPr>
            <w:tcW w:w="1960" w:type="pct"/>
            <w:tcBorders>
              <w:top w:val="nil"/>
            </w:tcBorders>
            <w:vAlign w:val="center"/>
          </w:tcPr>
          <w:p w:rsidR="00F25781" w:rsidRPr="00382A2A" w:rsidRDefault="00F25781" w:rsidP="00F25781">
            <w:pPr>
              <w:pStyle w:val="Nzov"/>
              <w:jc w:val="left"/>
              <w:rPr>
                <w:b w:val="0"/>
                <w:szCs w:val="22"/>
                <w:lang w:val="sk-SK"/>
              </w:rPr>
            </w:pPr>
          </w:p>
        </w:tc>
        <w:tc>
          <w:tcPr>
            <w:tcW w:w="1151" w:type="pct"/>
            <w:vAlign w:val="center"/>
          </w:tcPr>
          <w:p w:rsidR="00F25781" w:rsidRPr="00382A2A" w:rsidRDefault="00F25781" w:rsidP="00F25781">
            <w:pPr>
              <w:pStyle w:val="Nzov"/>
              <w:jc w:val="left"/>
              <w:rPr>
                <w:b w:val="0"/>
                <w:szCs w:val="22"/>
                <w:lang w:val="sk-SK"/>
              </w:rPr>
            </w:pPr>
            <w:r w:rsidRPr="00382A2A">
              <w:rPr>
                <w:b w:val="0"/>
                <w:szCs w:val="22"/>
                <w:lang w:val="sk-SK"/>
              </w:rPr>
              <w:t>neznáme</w:t>
            </w:r>
          </w:p>
        </w:tc>
        <w:tc>
          <w:tcPr>
            <w:tcW w:w="1889" w:type="pct"/>
            <w:vAlign w:val="center"/>
          </w:tcPr>
          <w:p w:rsidR="00F25781" w:rsidRPr="00382A2A" w:rsidRDefault="00F25781" w:rsidP="00F25781">
            <w:pPr>
              <w:pStyle w:val="Nzov"/>
              <w:jc w:val="left"/>
              <w:rPr>
                <w:b w:val="0"/>
                <w:szCs w:val="22"/>
                <w:lang w:val="sk-SK"/>
              </w:rPr>
            </w:pPr>
            <w:r w:rsidRPr="00382A2A">
              <w:rPr>
                <w:b w:val="0"/>
                <w:szCs w:val="22"/>
                <w:lang w:val="sk-SK"/>
              </w:rPr>
              <w:t>arytmia, tachykardia</w:t>
            </w:r>
          </w:p>
        </w:tc>
      </w:tr>
      <w:tr w:rsidR="00F25781" w:rsidRPr="00382A2A" w:rsidTr="00F25781">
        <w:trPr>
          <w:trHeight w:val="690"/>
        </w:trPr>
        <w:tc>
          <w:tcPr>
            <w:tcW w:w="0" w:type="auto"/>
            <w:vAlign w:val="center"/>
          </w:tcPr>
          <w:p w:rsidR="00F25781" w:rsidRPr="00382A2A" w:rsidRDefault="00F25781" w:rsidP="00F25781">
            <w:pPr>
              <w:rPr>
                <w:sz w:val="22"/>
                <w:szCs w:val="22"/>
                <w:lang w:eastAsia="en-US"/>
              </w:rPr>
            </w:pPr>
            <w:r w:rsidRPr="00382A2A">
              <w:rPr>
                <w:sz w:val="22"/>
                <w:szCs w:val="22"/>
              </w:rPr>
              <w:t>Poruchy gastrointestinálneho traktu</w:t>
            </w:r>
          </w:p>
        </w:tc>
        <w:tc>
          <w:tcPr>
            <w:tcW w:w="1151" w:type="pct"/>
            <w:vAlign w:val="center"/>
          </w:tcPr>
          <w:p w:rsidR="00F25781" w:rsidRPr="00382A2A" w:rsidRDefault="00F25781" w:rsidP="00F25781">
            <w:pPr>
              <w:pStyle w:val="Nzov"/>
              <w:jc w:val="left"/>
              <w:rPr>
                <w:b w:val="0"/>
                <w:szCs w:val="22"/>
                <w:lang w:val="sk-SK"/>
              </w:rPr>
            </w:pPr>
            <w:r w:rsidRPr="00382A2A">
              <w:rPr>
                <w:b w:val="0"/>
                <w:szCs w:val="22"/>
                <w:lang w:val="sk-SK"/>
              </w:rPr>
              <w:t>veľmi zriedkavé</w:t>
            </w:r>
          </w:p>
        </w:tc>
        <w:tc>
          <w:tcPr>
            <w:tcW w:w="1889" w:type="pct"/>
            <w:vAlign w:val="center"/>
          </w:tcPr>
          <w:p w:rsidR="00F25781" w:rsidRPr="00382A2A" w:rsidRDefault="00F25781" w:rsidP="00F25781">
            <w:pPr>
              <w:pStyle w:val="Nzov"/>
              <w:jc w:val="left"/>
              <w:rPr>
                <w:szCs w:val="22"/>
                <w:lang w:val="sk-SK"/>
              </w:rPr>
            </w:pPr>
            <w:r w:rsidRPr="00382A2A">
              <w:rPr>
                <w:b w:val="0"/>
                <w:szCs w:val="22"/>
                <w:lang w:val="sk-SK"/>
              </w:rPr>
              <w:t>nauzea</w:t>
            </w:r>
            <w:r w:rsidRPr="00382A2A">
              <w:rPr>
                <w:szCs w:val="22"/>
                <w:lang w:val="sk-SK"/>
              </w:rPr>
              <w:t xml:space="preserve"> </w:t>
            </w:r>
          </w:p>
          <w:p w:rsidR="00F25781" w:rsidRPr="00382A2A" w:rsidRDefault="00F25781" w:rsidP="00F25781">
            <w:pPr>
              <w:pStyle w:val="Nzov"/>
              <w:jc w:val="left"/>
              <w:rPr>
                <w:b w:val="0"/>
                <w:szCs w:val="22"/>
                <w:lang w:val="sk-SK"/>
              </w:rPr>
            </w:pPr>
            <w:r w:rsidRPr="00382A2A">
              <w:rPr>
                <w:b w:val="0"/>
                <w:szCs w:val="22"/>
                <w:lang w:val="sk-SK"/>
              </w:rPr>
              <w:t>vracanie</w:t>
            </w:r>
            <w:r w:rsidRPr="00382A2A">
              <w:rPr>
                <w:b w:val="0"/>
                <w:szCs w:val="22"/>
                <w:lang w:val="sk-SK"/>
              </w:rPr>
              <w:br/>
              <w:t>hnačka</w:t>
            </w:r>
          </w:p>
        </w:tc>
      </w:tr>
    </w:tbl>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p>
    <w:p w:rsidR="00F25781" w:rsidRPr="00382A2A" w:rsidRDefault="00F25781" w:rsidP="00F25781">
      <w:pPr>
        <w:rPr>
          <w:b/>
          <w:sz w:val="22"/>
          <w:szCs w:val="22"/>
          <w:u w:val="single"/>
        </w:rPr>
      </w:pPr>
      <w:r w:rsidRPr="00382A2A">
        <w:rPr>
          <w:b/>
          <w:sz w:val="22"/>
          <w:szCs w:val="22"/>
          <w:u w:val="single"/>
        </w:rPr>
        <w:t>Kofeín</w:t>
      </w:r>
    </w:p>
    <w:p w:rsidR="00F25781" w:rsidRPr="00382A2A" w:rsidRDefault="00F25781" w:rsidP="00F25781">
      <w:pPr>
        <w:rPr>
          <w:sz w:val="22"/>
          <w:szCs w:val="22"/>
          <w:u w:val="singl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0"/>
        <w:gridCol w:w="2138"/>
        <w:gridCol w:w="3509"/>
      </w:tblGrid>
      <w:tr w:rsidR="00F25781" w:rsidRPr="00382A2A" w:rsidTr="00F25781">
        <w:tc>
          <w:tcPr>
            <w:tcW w:w="1960" w:type="pct"/>
            <w:vAlign w:val="center"/>
          </w:tcPr>
          <w:p w:rsidR="00F25781" w:rsidRPr="00382A2A" w:rsidRDefault="00F25781" w:rsidP="00F25781">
            <w:pPr>
              <w:pStyle w:val="Normln"/>
              <w:rPr>
                <w:b/>
                <w:sz w:val="22"/>
                <w:szCs w:val="22"/>
                <w:lang w:val="sk-SK"/>
              </w:rPr>
            </w:pPr>
            <w:r w:rsidRPr="00382A2A">
              <w:rPr>
                <w:b/>
                <w:sz w:val="22"/>
                <w:szCs w:val="22"/>
                <w:lang w:val="sk-SK"/>
              </w:rPr>
              <w:t>Trieda orgánových systémov podľa databázy MedDRA</w:t>
            </w:r>
          </w:p>
        </w:tc>
        <w:tc>
          <w:tcPr>
            <w:tcW w:w="1151" w:type="pct"/>
          </w:tcPr>
          <w:p w:rsidR="00F25781" w:rsidRPr="00382A2A" w:rsidRDefault="00F25781" w:rsidP="00F25781">
            <w:pPr>
              <w:pStyle w:val="Normln"/>
              <w:rPr>
                <w:b/>
                <w:sz w:val="22"/>
                <w:szCs w:val="22"/>
                <w:lang w:val="sk-SK"/>
              </w:rPr>
            </w:pPr>
            <w:r w:rsidRPr="00382A2A">
              <w:rPr>
                <w:b/>
                <w:sz w:val="22"/>
                <w:szCs w:val="22"/>
                <w:lang w:val="sk-SK"/>
              </w:rPr>
              <w:t>Frekvencia</w:t>
            </w:r>
          </w:p>
        </w:tc>
        <w:tc>
          <w:tcPr>
            <w:tcW w:w="1889" w:type="pct"/>
          </w:tcPr>
          <w:p w:rsidR="00F25781" w:rsidRPr="00382A2A" w:rsidRDefault="00F25781" w:rsidP="00F25781">
            <w:pPr>
              <w:pStyle w:val="Normln"/>
              <w:rPr>
                <w:b/>
                <w:sz w:val="22"/>
                <w:szCs w:val="22"/>
                <w:lang w:val="sk-SK"/>
              </w:rPr>
            </w:pPr>
            <w:r w:rsidRPr="00382A2A">
              <w:rPr>
                <w:b/>
                <w:sz w:val="22"/>
                <w:szCs w:val="22"/>
                <w:lang w:val="sk-SK"/>
              </w:rPr>
              <w:t>Nežiaduci účinok</w:t>
            </w:r>
          </w:p>
        </w:tc>
      </w:tr>
      <w:tr w:rsidR="00F25781" w:rsidRPr="00382A2A" w:rsidTr="00F25781">
        <w:trPr>
          <w:trHeight w:val="195"/>
        </w:trPr>
        <w:tc>
          <w:tcPr>
            <w:tcW w:w="1960" w:type="pct"/>
            <w:vAlign w:val="center"/>
          </w:tcPr>
          <w:p w:rsidR="00F25781" w:rsidRPr="00382A2A" w:rsidRDefault="00F25781" w:rsidP="00F25781">
            <w:pPr>
              <w:rPr>
                <w:sz w:val="22"/>
                <w:szCs w:val="22"/>
                <w:lang w:eastAsia="en-US"/>
              </w:rPr>
            </w:pPr>
            <w:r w:rsidRPr="00382A2A">
              <w:rPr>
                <w:sz w:val="22"/>
                <w:szCs w:val="22"/>
                <w:lang w:eastAsia="en-US"/>
              </w:rPr>
              <w:t>Poruchy nervového systému</w:t>
            </w:r>
          </w:p>
        </w:tc>
        <w:tc>
          <w:tcPr>
            <w:tcW w:w="1151" w:type="pct"/>
            <w:vAlign w:val="center"/>
          </w:tcPr>
          <w:p w:rsidR="00F25781" w:rsidRPr="00382A2A" w:rsidRDefault="00F25781" w:rsidP="00F25781">
            <w:pPr>
              <w:rPr>
                <w:sz w:val="22"/>
                <w:szCs w:val="22"/>
                <w:lang w:eastAsia="en-US"/>
              </w:rPr>
            </w:pPr>
            <w:r w:rsidRPr="00382A2A">
              <w:rPr>
                <w:sz w:val="22"/>
                <w:szCs w:val="22"/>
                <w:lang w:eastAsia="en-US"/>
              </w:rPr>
              <w:t>časté</w:t>
            </w:r>
          </w:p>
        </w:tc>
        <w:tc>
          <w:tcPr>
            <w:tcW w:w="1889" w:type="pct"/>
          </w:tcPr>
          <w:p w:rsidR="00F25781" w:rsidRPr="00382A2A" w:rsidRDefault="00F25781" w:rsidP="00F25781">
            <w:pPr>
              <w:rPr>
                <w:sz w:val="22"/>
                <w:szCs w:val="22"/>
                <w:lang w:eastAsia="en-US"/>
              </w:rPr>
            </w:pPr>
            <w:r w:rsidRPr="00382A2A">
              <w:rPr>
                <w:sz w:val="22"/>
                <w:szCs w:val="22"/>
                <w:lang w:eastAsia="en-US"/>
              </w:rPr>
              <w:t>nervozita a úzkosť, podráždenosť, nepokoj a vzrušivosť, závraty</w:t>
            </w:r>
          </w:p>
        </w:tc>
      </w:tr>
    </w:tbl>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r w:rsidRPr="00382A2A">
        <w:rPr>
          <w:b/>
          <w:sz w:val="22"/>
          <w:szCs w:val="22"/>
        </w:rPr>
        <w:t>4.9</w:t>
      </w:r>
      <w:r w:rsidRPr="00382A2A">
        <w:rPr>
          <w:b/>
          <w:sz w:val="22"/>
          <w:szCs w:val="22"/>
        </w:rPr>
        <w:tab/>
        <w:t>Predávkovanie</w:t>
      </w:r>
    </w:p>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u w:val="single"/>
        </w:rPr>
      </w:pPr>
      <w:r w:rsidRPr="00382A2A">
        <w:rPr>
          <w:b/>
          <w:sz w:val="22"/>
          <w:szCs w:val="22"/>
          <w:u w:val="single"/>
        </w:rPr>
        <w:t xml:space="preserve">Paracetamol </w:t>
      </w:r>
    </w:p>
    <w:p w:rsidR="00F25781" w:rsidRPr="00382A2A" w:rsidRDefault="00F25781" w:rsidP="00F25781">
      <w:pPr>
        <w:widowControl w:val="0"/>
        <w:jc w:val="both"/>
        <w:rPr>
          <w:b/>
          <w:sz w:val="22"/>
          <w:szCs w:val="22"/>
          <w:u w:val="single"/>
        </w:rPr>
      </w:pPr>
    </w:p>
    <w:p w:rsidR="00F25781" w:rsidRPr="00382A2A" w:rsidRDefault="00F25781" w:rsidP="00F25781">
      <w:pPr>
        <w:widowControl w:val="0"/>
        <w:jc w:val="both"/>
        <w:rPr>
          <w:sz w:val="22"/>
          <w:szCs w:val="22"/>
        </w:rPr>
      </w:pPr>
      <w:r w:rsidRPr="00382A2A">
        <w:rPr>
          <w:sz w:val="22"/>
          <w:szCs w:val="22"/>
        </w:rPr>
        <w:t xml:space="preserve">Poškodenie pečene je možné u dospelých, ktorí užili </w:t>
      </w:r>
      <w:smartTag w:uri="urn:schemas-microsoft-com:office:smarttags" w:element="metricconverter">
        <w:smartTagPr>
          <w:attr w:name="ProductID" w:val="10 g"/>
        </w:smartTagPr>
        <w:r w:rsidRPr="00382A2A">
          <w:rPr>
            <w:sz w:val="22"/>
            <w:szCs w:val="22"/>
          </w:rPr>
          <w:t>10 g</w:t>
        </w:r>
      </w:smartTag>
      <w:r w:rsidRPr="00382A2A">
        <w:rPr>
          <w:sz w:val="22"/>
          <w:szCs w:val="22"/>
        </w:rPr>
        <w:t xml:space="preserve"> alebo viac paracetamolu. Požitie </w:t>
      </w:r>
      <w:smartTag w:uri="urn:schemas-microsoft-com:office:smarttags" w:element="metricconverter">
        <w:smartTagPr>
          <w:attr w:name="ProductID" w:val="5 g"/>
        </w:smartTagPr>
        <w:r w:rsidRPr="00382A2A">
          <w:rPr>
            <w:sz w:val="22"/>
            <w:szCs w:val="22"/>
          </w:rPr>
          <w:t>5 g</w:t>
        </w:r>
      </w:smartTag>
      <w:r w:rsidRPr="00382A2A">
        <w:rPr>
          <w:sz w:val="22"/>
          <w:szCs w:val="22"/>
        </w:rPr>
        <w:t xml:space="preserve"> alebo viac paracetamolu môže viesť k poškodeniu pečene u pacienta s  rizikovými faktormi (pozri nižšie).</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u w:val="single"/>
        </w:rPr>
      </w:pPr>
      <w:r w:rsidRPr="00382A2A">
        <w:rPr>
          <w:sz w:val="22"/>
          <w:szCs w:val="22"/>
          <w:u w:val="single"/>
        </w:rPr>
        <w:t>Rizikové faktory</w:t>
      </w:r>
    </w:p>
    <w:p w:rsidR="00F25781" w:rsidRPr="00382A2A" w:rsidRDefault="00F25781" w:rsidP="00F25781">
      <w:pPr>
        <w:widowControl w:val="0"/>
        <w:jc w:val="both"/>
        <w:rPr>
          <w:sz w:val="22"/>
          <w:szCs w:val="22"/>
        </w:rPr>
      </w:pPr>
      <w:r w:rsidRPr="00382A2A">
        <w:rPr>
          <w:sz w:val="22"/>
          <w:szCs w:val="22"/>
        </w:rPr>
        <w:t>Ak pacient :</w:t>
      </w:r>
    </w:p>
    <w:p w:rsidR="00F25781" w:rsidRPr="00382A2A" w:rsidRDefault="00F25781" w:rsidP="00F25781">
      <w:pPr>
        <w:pStyle w:val="ListParagraph"/>
        <w:widowControl w:val="0"/>
        <w:numPr>
          <w:ilvl w:val="0"/>
          <w:numId w:val="2"/>
        </w:numPr>
        <w:jc w:val="both"/>
        <w:rPr>
          <w:sz w:val="22"/>
          <w:szCs w:val="22"/>
        </w:rPr>
      </w:pPr>
      <w:r w:rsidRPr="00382A2A">
        <w:rPr>
          <w:sz w:val="22"/>
          <w:szCs w:val="22"/>
        </w:rPr>
        <w:lastRenderedPageBreak/>
        <w:t>je dlhodobo liečený karbamazepínom, fenobarbitalom, fenytoínom, primidonom, rifampicínom, ľubovníkom bodkovaným alebo inými liekmi, ktoré indukujú pečeňové enzýmy, alebo</w:t>
      </w:r>
    </w:p>
    <w:p w:rsidR="00F25781" w:rsidRPr="00382A2A" w:rsidRDefault="00F25781" w:rsidP="00F25781">
      <w:pPr>
        <w:pStyle w:val="ListParagraph"/>
        <w:widowControl w:val="0"/>
        <w:numPr>
          <w:ilvl w:val="0"/>
          <w:numId w:val="2"/>
        </w:numPr>
        <w:jc w:val="both"/>
        <w:rPr>
          <w:sz w:val="22"/>
          <w:szCs w:val="22"/>
        </w:rPr>
      </w:pPr>
      <w:r w:rsidRPr="00382A2A">
        <w:rPr>
          <w:sz w:val="22"/>
          <w:szCs w:val="22"/>
        </w:rPr>
        <w:t>pravidelne konzumuje väčšie množstvo alkoholu než sa odporúča, alebo</w:t>
      </w:r>
    </w:p>
    <w:p w:rsidR="00F25781" w:rsidRPr="00382A2A" w:rsidRDefault="00F25781" w:rsidP="00F25781">
      <w:pPr>
        <w:pStyle w:val="ListParagraph"/>
        <w:widowControl w:val="0"/>
        <w:numPr>
          <w:ilvl w:val="0"/>
          <w:numId w:val="2"/>
        </w:numPr>
        <w:jc w:val="both"/>
        <w:rPr>
          <w:sz w:val="22"/>
          <w:szCs w:val="22"/>
        </w:rPr>
      </w:pPr>
      <w:r w:rsidRPr="00382A2A">
        <w:rPr>
          <w:sz w:val="22"/>
          <w:szCs w:val="22"/>
        </w:rPr>
        <w:t>je pravdepodobné, že sú vyčerpané zásoby glutatiónu, napr. pri poruche príjmu potravy, cystickej fibróze, HIV infekcii, hladovaní, kachexii.</w:t>
      </w:r>
    </w:p>
    <w:p w:rsidR="00F25781" w:rsidRPr="00382A2A" w:rsidRDefault="00F25781" w:rsidP="00F25781">
      <w:pPr>
        <w:widowControl w:val="0"/>
        <w:jc w:val="both"/>
        <w:rPr>
          <w:sz w:val="22"/>
          <w:szCs w:val="22"/>
          <w:u w:val="single"/>
        </w:rPr>
      </w:pPr>
    </w:p>
    <w:p w:rsidR="00F25781" w:rsidRPr="00382A2A" w:rsidRDefault="00F25781" w:rsidP="00F25781">
      <w:pPr>
        <w:widowControl w:val="0"/>
        <w:jc w:val="both"/>
        <w:rPr>
          <w:sz w:val="22"/>
          <w:szCs w:val="22"/>
          <w:u w:val="single"/>
        </w:rPr>
      </w:pPr>
      <w:r w:rsidRPr="00382A2A">
        <w:rPr>
          <w:sz w:val="22"/>
          <w:szCs w:val="22"/>
          <w:u w:val="single"/>
        </w:rPr>
        <w:t xml:space="preserve"> </w:t>
      </w:r>
    </w:p>
    <w:p w:rsidR="00F25781" w:rsidRPr="00382A2A" w:rsidRDefault="00F25781" w:rsidP="00F25781">
      <w:pPr>
        <w:widowControl w:val="0"/>
        <w:jc w:val="both"/>
        <w:rPr>
          <w:sz w:val="22"/>
          <w:szCs w:val="22"/>
          <w:u w:val="single"/>
        </w:rPr>
      </w:pPr>
      <w:r w:rsidRPr="00382A2A">
        <w:rPr>
          <w:sz w:val="22"/>
          <w:szCs w:val="22"/>
          <w:u w:val="single"/>
        </w:rPr>
        <w:t>Symptómy</w:t>
      </w:r>
    </w:p>
    <w:p w:rsidR="00F25781" w:rsidRPr="00382A2A" w:rsidRDefault="00F25781" w:rsidP="00F25781">
      <w:pPr>
        <w:widowControl w:val="0"/>
        <w:jc w:val="both"/>
        <w:rPr>
          <w:sz w:val="22"/>
          <w:szCs w:val="22"/>
        </w:rPr>
      </w:pPr>
      <w:r w:rsidRPr="00382A2A">
        <w:rPr>
          <w:sz w:val="22"/>
          <w:szCs w:val="22"/>
        </w:rPr>
        <w:t>Príznaky predávkovania paracetam</w:t>
      </w:r>
      <w:smartTag w:uri="urn:schemas-microsoft-com:office:smarttags" w:element="PersonName">
        <w:r w:rsidRPr="00382A2A">
          <w:rPr>
            <w:sz w:val="22"/>
            <w:szCs w:val="22"/>
          </w:rPr>
          <w:t>olo</w:t>
        </w:r>
      </w:smartTag>
      <w:r w:rsidRPr="00382A2A">
        <w:rPr>
          <w:sz w:val="22"/>
          <w:szCs w:val="22"/>
        </w:rPr>
        <w:t>m prvých  24 hodín sú bledosť,  nauzea, vracanie, nechutenstvo a bolesť brucha. Poškodenie pečene sa môže prejaviť od 12 do 48 hodín po požití. Môže dôjsť k  abnormalitám metabolizmu glukózy a metabolickej  acidóze. Pri  ťažkej otrave môže zlyhanie pečene progredovať do encefalopatie, krvácania, hypoglykémie, edému mozgu a smrti. K akútnemu zlyhaniu obličiek s akútnou tubulárnou nekrózou, na čo výrazne poukazuje bolesť v bedrovej oblasti, hematúria a proteinúria, môže dôjsť aj bez závažného poškodenia pečene. Boli hlásené srdcové arytmie a pankreatitída.</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u w:val="single"/>
        </w:rPr>
      </w:pPr>
      <w:r w:rsidRPr="00382A2A">
        <w:rPr>
          <w:sz w:val="22"/>
          <w:szCs w:val="22"/>
          <w:u w:val="single"/>
        </w:rPr>
        <w:t>Liečba</w:t>
      </w:r>
    </w:p>
    <w:p w:rsidR="00F25781" w:rsidRPr="00382A2A" w:rsidRDefault="00F25781" w:rsidP="00F25781">
      <w:pPr>
        <w:widowControl w:val="0"/>
        <w:jc w:val="both"/>
        <w:rPr>
          <w:sz w:val="22"/>
          <w:szCs w:val="22"/>
        </w:rPr>
      </w:pPr>
      <w:r w:rsidRPr="00382A2A">
        <w:rPr>
          <w:sz w:val="22"/>
          <w:szCs w:val="22"/>
        </w:rPr>
        <w:t>Pri predávkovaní paracetam</w:t>
      </w:r>
      <w:smartTag w:uri="urn:schemas-microsoft-com:office:smarttags" w:element="PersonName">
        <w:r w:rsidRPr="00382A2A">
          <w:rPr>
            <w:sz w:val="22"/>
            <w:szCs w:val="22"/>
          </w:rPr>
          <w:t>olo</w:t>
        </w:r>
      </w:smartTag>
      <w:r w:rsidRPr="00382A2A">
        <w:rPr>
          <w:sz w:val="22"/>
          <w:szCs w:val="22"/>
        </w:rPr>
        <w:t xml:space="preserve">m má zásadný význam okamžité začatie liečby. Aj napriek absencii výrazných skorých príznakov pacientov treba neodkladne previezť do nemocnice pre poskytnutie okamžitej lekárskej pomoci. Príznaky môžu byť obmedzené na nevoľnosť alebo vracanie a nemusia poukazovať na závažnosť predávkovania alebo riziko poškodenia orgánov. Liečenie by malo byť v súlade so zavedenými štandardnými terapeutickými postupmi. </w:t>
      </w:r>
    </w:p>
    <w:p w:rsidR="00F25781" w:rsidRPr="00382A2A" w:rsidRDefault="00F25781" w:rsidP="00F25781">
      <w:pPr>
        <w:widowControl w:val="0"/>
        <w:jc w:val="both"/>
        <w:rPr>
          <w:sz w:val="22"/>
          <w:szCs w:val="22"/>
        </w:rPr>
      </w:pPr>
      <w:r w:rsidRPr="00382A2A">
        <w:rPr>
          <w:sz w:val="22"/>
          <w:szCs w:val="22"/>
        </w:rPr>
        <w:t xml:space="preserve">Použitie aktívneho uhlia je potrebné zvážiť do hodiny po predávkovaní. Koncentrácie paracetamolu v plazme by sa mali  merať po 4 hodinách alebo neskôr po požití (skôr merané koncentrácie nie sú spoľahlivé). Liečba N-acetylcysteínom sa môže použiť do 24 hodín po požití paracetamolu, ale maximálny ochranný účinok sa dosiahne vtedy, keď bol podaný do 8 hodín po požití. Účinnosť antidota prudko klesá po prekročení tejto doby. Ak je to nutné, pacientovi by sa mal podať </w:t>
      </w:r>
    </w:p>
    <w:p w:rsidR="00F25781" w:rsidRPr="00382A2A" w:rsidRDefault="00F25781" w:rsidP="00F25781">
      <w:pPr>
        <w:widowControl w:val="0"/>
        <w:jc w:val="both"/>
        <w:rPr>
          <w:sz w:val="22"/>
          <w:szCs w:val="22"/>
        </w:rPr>
      </w:pPr>
      <w:r w:rsidRPr="00382A2A">
        <w:rPr>
          <w:sz w:val="22"/>
          <w:szCs w:val="22"/>
        </w:rPr>
        <w:t>N-acetylcysteín intravenózne v súlade so stanovenými dávkovacími schémami. Ak pacient nevracia, môže byť perorálne podanie methionínu vhodnou alternatívou v odľahlých oblastiach mimo nemocnice. Starostlivosť o pacientov, u ktorých sa prejavuje  vážna porucha funkcie pečene po 24 hodinách od požitia treba prediskutovať s NTIC (Národným toxik</w:t>
      </w:r>
      <w:smartTag w:uri="urn:schemas-microsoft-com:office:smarttags" w:element="PersonName">
        <w:r w:rsidRPr="00382A2A">
          <w:rPr>
            <w:sz w:val="22"/>
            <w:szCs w:val="22"/>
          </w:rPr>
          <w:t>olo</w:t>
        </w:r>
      </w:smartTag>
      <w:r w:rsidRPr="00382A2A">
        <w:rPr>
          <w:sz w:val="22"/>
          <w:szCs w:val="22"/>
        </w:rPr>
        <w:t>gickým informačným centrom) alebo s hepat</w:t>
      </w:r>
      <w:smartTag w:uri="urn:schemas-microsoft-com:office:smarttags" w:element="PersonName">
        <w:r w:rsidRPr="00382A2A">
          <w:rPr>
            <w:sz w:val="22"/>
            <w:szCs w:val="22"/>
          </w:rPr>
          <w:t>olo</w:t>
        </w:r>
      </w:smartTag>
      <w:r w:rsidRPr="00382A2A">
        <w:rPr>
          <w:sz w:val="22"/>
          <w:szCs w:val="22"/>
        </w:rPr>
        <w:t>gickou jednotkou intenzívnej starostlivosti.</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u w:val="single"/>
        </w:rPr>
      </w:pPr>
      <w:r w:rsidRPr="00382A2A">
        <w:rPr>
          <w:b/>
          <w:sz w:val="22"/>
          <w:szCs w:val="22"/>
          <w:u w:val="single"/>
        </w:rPr>
        <w:t>Kofeín</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sz w:val="22"/>
          <w:szCs w:val="22"/>
          <w:u w:val="single"/>
        </w:rPr>
      </w:pPr>
      <w:r w:rsidRPr="00382A2A">
        <w:rPr>
          <w:sz w:val="22"/>
          <w:szCs w:val="22"/>
          <w:u w:val="single"/>
        </w:rPr>
        <w:t>Symptómy</w:t>
      </w:r>
    </w:p>
    <w:p w:rsidR="00F25781" w:rsidRPr="00382A2A" w:rsidRDefault="00F25781" w:rsidP="00F25781">
      <w:pPr>
        <w:widowControl w:val="0"/>
        <w:jc w:val="both"/>
        <w:rPr>
          <w:sz w:val="22"/>
          <w:szCs w:val="22"/>
        </w:rPr>
      </w:pPr>
      <w:r w:rsidRPr="00382A2A">
        <w:rPr>
          <w:sz w:val="22"/>
          <w:szCs w:val="22"/>
        </w:rPr>
        <w:t>Predávkovanie kofeínom môže vyvolať nervozitu, nepokoj, nespavosť, vzrušenie, diurézu, sčervenanie v tvári, svalové zášklby, poruchu gastrointestinálneho traktu, tachykardiu alebo srdcovú arytmiu, nesúvislý tok myšlienok a reči, psychomotorický nepokoj alebo obdobia nevyčerpateľnosti.</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sz w:val="22"/>
          <w:szCs w:val="22"/>
          <w:u w:val="single"/>
        </w:rPr>
      </w:pPr>
      <w:r w:rsidRPr="00382A2A">
        <w:rPr>
          <w:sz w:val="22"/>
          <w:szCs w:val="22"/>
          <w:u w:val="single"/>
        </w:rPr>
        <w:t>Liečba</w:t>
      </w:r>
    </w:p>
    <w:p w:rsidR="00F25781" w:rsidRPr="00382A2A" w:rsidRDefault="00F25781" w:rsidP="00F25781">
      <w:pPr>
        <w:widowControl w:val="0"/>
        <w:jc w:val="both"/>
        <w:rPr>
          <w:sz w:val="22"/>
          <w:szCs w:val="22"/>
        </w:rPr>
      </w:pPr>
      <w:r w:rsidRPr="00382A2A">
        <w:rPr>
          <w:sz w:val="22"/>
          <w:szCs w:val="22"/>
        </w:rPr>
        <w:t>Pacienti by mali dostávať všeobecnú podpornú liečbu (napr. hydratáciu a udržiavanie vitálnych funkcií). Podanie aktívneho uhlia môže byť prospešné, ak je vykonané do jednej hodiny od predávkovania, ale môže prísť do úvahy až štyri hodiny po predávkovaní. Účinky predávkovania na CNS možno liečiť intravenózne sedatívami.</w:t>
      </w:r>
    </w:p>
    <w:p w:rsidR="00F25781" w:rsidRPr="00382A2A" w:rsidRDefault="00F25781" w:rsidP="00F25781">
      <w:pPr>
        <w:widowControl w:val="0"/>
        <w:jc w:val="both"/>
        <w:rPr>
          <w:sz w:val="22"/>
          <w:szCs w:val="22"/>
          <w:u w:val="single"/>
        </w:rPr>
      </w:pPr>
    </w:p>
    <w:p w:rsidR="00F25781" w:rsidRPr="00382A2A" w:rsidRDefault="00F25781" w:rsidP="00F25781">
      <w:pPr>
        <w:widowControl w:val="0"/>
        <w:jc w:val="both"/>
        <w:rPr>
          <w:sz w:val="22"/>
          <w:szCs w:val="22"/>
          <w:u w:val="single"/>
        </w:rPr>
      </w:pPr>
      <w:r w:rsidRPr="00382A2A">
        <w:rPr>
          <w:sz w:val="22"/>
          <w:szCs w:val="22"/>
          <w:u w:val="single"/>
        </w:rPr>
        <w:t>Zhrnutie:</w:t>
      </w:r>
    </w:p>
    <w:p w:rsidR="00F25781" w:rsidRPr="00382A2A" w:rsidRDefault="00F25781" w:rsidP="00F25781">
      <w:pPr>
        <w:widowControl w:val="0"/>
        <w:jc w:val="both"/>
        <w:rPr>
          <w:sz w:val="22"/>
          <w:szCs w:val="22"/>
        </w:rPr>
      </w:pPr>
      <w:r w:rsidRPr="00382A2A">
        <w:rPr>
          <w:sz w:val="22"/>
          <w:szCs w:val="22"/>
        </w:rPr>
        <w:t>Liečba predávkovania liekom PARALEN GRIP chrípka a bolesť vyžaduje posúdenie hladiny paracetamolu v plazme pre liečbu antidotom, spolu so symptomatickou liečbou známok a príznakov toxicity kofeínu.</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sz w:val="22"/>
          <w:szCs w:val="22"/>
        </w:rPr>
      </w:pPr>
      <w:r w:rsidRPr="00382A2A">
        <w:rPr>
          <w:sz w:val="22"/>
          <w:szCs w:val="22"/>
        </w:rPr>
        <w:t xml:space="preserve">Predávkovanie </w:t>
      </w:r>
      <w:r w:rsidRPr="00382A2A">
        <w:rPr>
          <w:b/>
          <w:sz w:val="22"/>
          <w:szCs w:val="22"/>
          <w:u w:val="single"/>
        </w:rPr>
        <w:t>fenylefrínom</w:t>
      </w:r>
      <w:r w:rsidRPr="00382A2A">
        <w:rPr>
          <w:b/>
          <w:sz w:val="22"/>
          <w:szCs w:val="22"/>
        </w:rPr>
        <w:t xml:space="preserve"> </w:t>
      </w:r>
      <w:r w:rsidRPr="00382A2A">
        <w:rPr>
          <w:sz w:val="22"/>
          <w:szCs w:val="22"/>
        </w:rPr>
        <w:t xml:space="preserve"> môže vyvolať hypertenziu. Avšak množstvo potrebné na vyvolanie toxicity by b</w:t>
      </w:r>
      <w:smartTag w:uri="urn:schemas-microsoft-com:office:smarttags" w:element="PersonName">
        <w:r w:rsidRPr="00382A2A">
          <w:rPr>
            <w:sz w:val="22"/>
            <w:szCs w:val="22"/>
          </w:rPr>
          <w:t>olo</w:t>
        </w:r>
      </w:smartTag>
      <w:r w:rsidRPr="00382A2A">
        <w:rPr>
          <w:sz w:val="22"/>
          <w:szCs w:val="22"/>
        </w:rPr>
        <w:t xml:space="preserve"> väčšie než množstvo spôsobujúce toxicitu paracetamolu.</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t>5.</w:t>
      </w:r>
      <w:r w:rsidRPr="00382A2A">
        <w:rPr>
          <w:rFonts w:ascii="Times New Roman" w:hAnsi="Times New Roman"/>
          <w:i w:val="0"/>
          <w:sz w:val="22"/>
          <w:szCs w:val="22"/>
          <w:lang w:val="sk-SK"/>
        </w:rPr>
        <w:tab/>
        <w:t>FARMAKOLOGICKÉ VLASTNOSTI</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sz w:val="22"/>
          <w:szCs w:val="22"/>
        </w:rPr>
      </w:pPr>
      <w:r w:rsidRPr="00382A2A">
        <w:rPr>
          <w:b/>
          <w:sz w:val="22"/>
          <w:szCs w:val="22"/>
        </w:rPr>
        <w:t>5.1</w:t>
      </w:r>
      <w:r w:rsidRPr="00382A2A">
        <w:rPr>
          <w:b/>
          <w:sz w:val="22"/>
          <w:szCs w:val="22"/>
        </w:rPr>
        <w:tab/>
        <w:t>Farmakodynamické vlastnosti</w:t>
      </w:r>
      <w:r w:rsidRPr="00382A2A">
        <w:rPr>
          <w:sz w:val="22"/>
          <w:szCs w:val="22"/>
        </w:rPr>
        <w:t xml:space="preserve"> </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sz w:val="22"/>
          <w:szCs w:val="22"/>
        </w:rPr>
      </w:pPr>
      <w:r w:rsidRPr="00382A2A">
        <w:rPr>
          <w:i/>
          <w:sz w:val="22"/>
          <w:szCs w:val="22"/>
        </w:rPr>
        <w:t xml:space="preserve">Farmakoterapeutická skupina: </w:t>
      </w:r>
      <w:r w:rsidRPr="00382A2A">
        <w:rPr>
          <w:sz w:val="22"/>
          <w:szCs w:val="22"/>
        </w:rPr>
        <w:t>Iné analgetiká a antipyretiká; paracetamol, kombinácia okrem psycholeptík.</w:t>
      </w:r>
    </w:p>
    <w:p w:rsidR="00F25781" w:rsidRPr="00382A2A" w:rsidRDefault="00F25781" w:rsidP="00F25781">
      <w:pPr>
        <w:widowControl w:val="0"/>
        <w:jc w:val="both"/>
        <w:rPr>
          <w:sz w:val="22"/>
          <w:szCs w:val="22"/>
        </w:rPr>
      </w:pPr>
      <w:r w:rsidRPr="00382A2A">
        <w:rPr>
          <w:i/>
          <w:sz w:val="22"/>
          <w:szCs w:val="22"/>
        </w:rPr>
        <w:t xml:space="preserve">ATC kód: </w:t>
      </w:r>
      <w:r w:rsidRPr="00382A2A">
        <w:rPr>
          <w:sz w:val="22"/>
          <w:szCs w:val="22"/>
        </w:rPr>
        <w:t xml:space="preserve">N02BE51 </w:t>
      </w:r>
    </w:p>
    <w:p w:rsidR="00F25781" w:rsidRPr="00382A2A" w:rsidRDefault="00F25781" w:rsidP="00F25781">
      <w:pPr>
        <w:widowControl w:val="0"/>
        <w:jc w:val="both"/>
        <w:rPr>
          <w:sz w:val="22"/>
          <w:szCs w:val="22"/>
        </w:rPr>
      </w:pPr>
    </w:p>
    <w:p w:rsidR="00F25781" w:rsidRPr="00382A2A" w:rsidRDefault="00F25781" w:rsidP="00F25781">
      <w:pPr>
        <w:pStyle w:val="Zkladntext"/>
        <w:rPr>
          <w:rFonts w:ascii="Times New Roman" w:hAnsi="Times New Roman" w:cs="Times New Roman"/>
          <w:sz w:val="22"/>
          <w:szCs w:val="22"/>
        </w:rPr>
      </w:pPr>
      <w:r w:rsidRPr="00382A2A">
        <w:rPr>
          <w:rFonts w:ascii="Times New Roman" w:hAnsi="Times New Roman" w:cs="Times New Roman"/>
          <w:b/>
          <w:sz w:val="22"/>
          <w:szCs w:val="22"/>
        </w:rPr>
        <w:t>Paracetamol</w:t>
      </w:r>
      <w:r w:rsidRPr="00382A2A">
        <w:rPr>
          <w:rFonts w:ascii="Times New Roman" w:hAnsi="Times New Roman" w:cs="Times New Roman"/>
          <w:sz w:val="22"/>
          <w:szCs w:val="22"/>
        </w:rPr>
        <w:t xml:space="preserve"> má analgetickú a antipyretickú účinnosť, ktorá je pravdepodobne sprostredkovaná hlavne prostredníctvom inhibície syntézy prostaglandínov v centrálnom nervovom systéme.</w:t>
      </w:r>
    </w:p>
    <w:p w:rsidR="00F25781" w:rsidRPr="00382A2A" w:rsidRDefault="00F25781" w:rsidP="00F25781">
      <w:pPr>
        <w:pStyle w:val="Zkladntext"/>
        <w:rPr>
          <w:rFonts w:ascii="Times New Roman" w:hAnsi="Times New Roman" w:cs="Times New Roman"/>
          <w:sz w:val="22"/>
          <w:szCs w:val="22"/>
        </w:rPr>
      </w:pPr>
    </w:p>
    <w:p w:rsidR="00F25781" w:rsidRPr="00382A2A" w:rsidRDefault="00F25781" w:rsidP="00F25781">
      <w:pPr>
        <w:pStyle w:val="Zkladntext"/>
        <w:jc w:val="left"/>
        <w:rPr>
          <w:rFonts w:ascii="Times New Roman" w:hAnsi="Times New Roman" w:cs="Times New Roman"/>
          <w:sz w:val="22"/>
          <w:szCs w:val="22"/>
        </w:rPr>
      </w:pPr>
      <w:r w:rsidRPr="00382A2A">
        <w:rPr>
          <w:rFonts w:ascii="Times New Roman" w:hAnsi="Times New Roman" w:cs="Times New Roman"/>
          <w:b/>
          <w:sz w:val="22"/>
          <w:szCs w:val="22"/>
        </w:rPr>
        <w:t>Fenylefrín</w:t>
      </w:r>
      <w:r w:rsidRPr="00382A2A">
        <w:rPr>
          <w:rFonts w:ascii="Times New Roman" w:hAnsi="Times New Roman" w:cs="Times New Roman"/>
          <w:sz w:val="22"/>
          <w:szCs w:val="22"/>
        </w:rPr>
        <w:t xml:space="preserve"> je postsynaptický antagonista α</w:t>
      </w:r>
      <w:r w:rsidRPr="00382A2A">
        <w:rPr>
          <w:rFonts w:ascii="Times New Roman" w:hAnsi="Times New Roman" w:cs="Times New Roman"/>
          <w:sz w:val="22"/>
          <w:szCs w:val="22"/>
          <w:vertAlign w:val="subscript"/>
        </w:rPr>
        <w:t>1</w:t>
      </w:r>
      <w:r w:rsidRPr="00382A2A">
        <w:rPr>
          <w:rFonts w:ascii="Times New Roman" w:hAnsi="Times New Roman" w:cs="Times New Roman"/>
          <w:sz w:val="22"/>
          <w:szCs w:val="22"/>
        </w:rPr>
        <w:t>-adrenergných receptorov s nízkou afinitou ku  kardioselektívnym  β-receptorom a minimálnym  stimulačným  účinkom na centrálny nervový systém.</w:t>
      </w:r>
    </w:p>
    <w:p w:rsidR="00F25781" w:rsidRPr="00382A2A" w:rsidRDefault="00F25781" w:rsidP="00F25781">
      <w:pPr>
        <w:pStyle w:val="Zkladntext"/>
        <w:rPr>
          <w:rFonts w:ascii="Times New Roman" w:hAnsi="Times New Roman" w:cs="Times New Roman"/>
          <w:sz w:val="22"/>
          <w:szCs w:val="22"/>
        </w:rPr>
      </w:pPr>
      <w:r w:rsidRPr="00382A2A">
        <w:rPr>
          <w:rFonts w:ascii="Times New Roman" w:hAnsi="Times New Roman" w:cs="Times New Roman"/>
          <w:sz w:val="22"/>
          <w:szCs w:val="22"/>
        </w:rPr>
        <w:t>Je overené dekongestívum, vazokonstrikčným účinkom  redukuje opuch a zdurenie nosovej sliznice.</w:t>
      </w:r>
    </w:p>
    <w:p w:rsidR="00F25781" w:rsidRPr="00382A2A" w:rsidRDefault="00F25781" w:rsidP="00F25781">
      <w:pPr>
        <w:pStyle w:val="Zkladntext"/>
        <w:rPr>
          <w:rFonts w:ascii="Times New Roman" w:hAnsi="Times New Roman" w:cs="Times New Roman"/>
          <w:sz w:val="22"/>
          <w:szCs w:val="22"/>
        </w:rPr>
      </w:pPr>
    </w:p>
    <w:p w:rsidR="00F25781" w:rsidRPr="00382A2A" w:rsidRDefault="00F25781" w:rsidP="00F25781">
      <w:pPr>
        <w:pStyle w:val="Zkladntext"/>
        <w:rPr>
          <w:rFonts w:ascii="Times New Roman" w:hAnsi="Times New Roman" w:cs="Times New Roman"/>
          <w:sz w:val="22"/>
          <w:szCs w:val="22"/>
        </w:rPr>
      </w:pPr>
      <w:r w:rsidRPr="00382A2A">
        <w:rPr>
          <w:rFonts w:ascii="Times New Roman" w:hAnsi="Times New Roman" w:cs="Times New Roman"/>
          <w:b/>
          <w:sz w:val="22"/>
          <w:szCs w:val="22"/>
        </w:rPr>
        <w:t>Kofeín</w:t>
      </w:r>
      <w:r w:rsidRPr="00382A2A">
        <w:rPr>
          <w:rFonts w:ascii="Times New Roman" w:hAnsi="Times New Roman" w:cs="Times New Roman"/>
          <w:sz w:val="22"/>
          <w:szCs w:val="22"/>
        </w:rPr>
        <w:t xml:space="preserve">  je  najaktívnejší xantínový derivát pokiaľ ide o stimuláciu centrálneho nervového systému, spôsobuje stav bdelosti a zvýšenej duševnej aktivity. B</w:t>
      </w:r>
      <w:smartTag w:uri="urn:schemas-microsoft-com:office:smarttags" w:element="PersonName">
        <w:r w:rsidRPr="00382A2A">
          <w:rPr>
            <w:rFonts w:ascii="Times New Roman" w:hAnsi="Times New Roman" w:cs="Times New Roman"/>
            <w:sz w:val="22"/>
            <w:szCs w:val="22"/>
          </w:rPr>
          <w:t>olo</w:t>
        </w:r>
      </w:smartTag>
      <w:r w:rsidRPr="00382A2A">
        <w:rPr>
          <w:rFonts w:ascii="Times New Roman" w:hAnsi="Times New Roman" w:cs="Times New Roman"/>
          <w:sz w:val="22"/>
          <w:szCs w:val="22"/>
        </w:rPr>
        <w:t xml:space="preserve"> tiež  preukázané, že kofeín pôsobí ako analgetické adjuvans pri použití v kombinácii s periférne pôsobiacimi analgetikami, ako je paracetamol. Pomáha pri úľave od bolesti tým, že zabezpečuje rýchlejší nástup účinku a/alebo zintenzívnenú úľavu od  bolesti pri nižších dávkach analgetík.</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r w:rsidRPr="00382A2A">
        <w:rPr>
          <w:b/>
          <w:sz w:val="22"/>
          <w:szCs w:val="22"/>
        </w:rPr>
        <w:t>5.2</w:t>
      </w:r>
      <w:r w:rsidRPr="00382A2A">
        <w:rPr>
          <w:b/>
          <w:sz w:val="22"/>
          <w:szCs w:val="22"/>
        </w:rPr>
        <w:tab/>
        <w:t>Farmakokinetické vlastnosti</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b/>
          <w:sz w:val="22"/>
          <w:szCs w:val="22"/>
        </w:rPr>
        <w:t xml:space="preserve">Paracetamol </w:t>
      </w:r>
      <w:r w:rsidRPr="00382A2A">
        <w:rPr>
          <w:sz w:val="22"/>
          <w:szCs w:val="22"/>
        </w:rPr>
        <w:t>sa rýchlo a úplne absorbuje predovšetkým z tenkého čreva a po perorálnom podaní dosahuje maximálnu koncentráciu v krvnej plazme za 15 – 20 minút. Systémová dostupnosť je predmetom first-pass metabolizmu a mení sa s dávkou  medzi 70% a 90%. Liečivo  je rýchlo a dobre distribuované do celého tela a je vylučované z plazmy s polčasom približne 2 hodiny. Hlavnými metabolitmi sú glukoronidové a sulfátové konjugáty (&gt; 80%), ktoré sa vylučujú močom.</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b/>
          <w:sz w:val="22"/>
          <w:szCs w:val="22"/>
        </w:rPr>
        <w:t>Fenylefrín</w:t>
      </w:r>
      <w:r w:rsidRPr="00382A2A">
        <w:rPr>
          <w:sz w:val="22"/>
          <w:szCs w:val="22"/>
        </w:rPr>
        <w:t xml:space="preserve"> sa z gastrointestinálneho traktu ľahko a rýchlo vstrebáva. Predsystémový metabolizmus je vysoký na úrovni asi 60%, čo má za následok systémovú bi</w:t>
      </w:r>
      <w:smartTag w:uri="urn:schemas-microsoft-com:office:smarttags" w:element="PersonName">
        <w:r w:rsidRPr="00382A2A">
          <w:rPr>
            <w:sz w:val="22"/>
            <w:szCs w:val="22"/>
          </w:rPr>
          <w:t>olo</w:t>
        </w:r>
      </w:smartTag>
      <w:r w:rsidRPr="00382A2A">
        <w:rPr>
          <w:sz w:val="22"/>
          <w:szCs w:val="22"/>
        </w:rPr>
        <w:t>gickú dostupnosť asi 40%.  Maximálna hladina v plazme sa dosiahne 1 – 2 hodiny po podaní, plazmatický polčas sa pohybuje medzi 2 – 3 hodinami. Pri perorálnom podaní sa fenylefrín ako nosové dekongestívum zvyčajne podáva v intervaloch 4 – 6 hodín.</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b/>
          <w:sz w:val="22"/>
          <w:szCs w:val="22"/>
        </w:rPr>
        <w:t>Kofeín</w:t>
      </w:r>
      <w:r w:rsidRPr="00382A2A">
        <w:rPr>
          <w:sz w:val="22"/>
          <w:szCs w:val="22"/>
        </w:rPr>
        <w:t xml:space="preserve"> sa rýchlo vstrebáva z gastrointestinálneho traktu. Analgetický účinok paracetamolu možno urýchliť pridaním kofeínu, pretože paracetamol sa lepšie vstrebáva z gastrointestinálneho traktu ak je podaný s kofeínom.</w:t>
      </w:r>
    </w:p>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rPr>
      </w:pPr>
      <w:r w:rsidRPr="00382A2A">
        <w:rPr>
          <w:b/>
          <w:sz w:val="22"/>
          <w:szCs w:val="22"/>
        </w:rPr>
        <w:t>5.3</w:t>
      </w:r>
      <w:r w:rsidRPr="00382A2A">
        <w:rPr>
          <w:b/>
          <w:sz w:val="22"/>
          <w:szCs w:val="22"/>
        </w:rPr>
        <w:tab/>
        <w:t>Predklinické údaje o bezpečnosti</w:t>
      </w:r>
    </w:p>
    <w:p w:rsidR="00F25781" w:rsidRPr="00382A2A" w:rsidRDefault="00F25781" w:rsidP="00F25781">
      <w:pPr>
        <w:widowControl w:val="0"/>
        <w:jc w:val="both"/>
        <w:rPr>
          <w:iCs/>
          <w:sz w:val="22"/>
          <w:szCs w:val="22"/>
        </w:rPr>
      </w:pPr>
    </w:p>
    <w:p w:rsidR="00F25781" w:rsidRPr="00382A2A" w:rsidRDefault="00F25781" w:rsidP="00F25781">
      <w:pPr>
        <w:rPr>
          <w:sz w:val="22"/>
          <w:szCs w:val="22"/>
        </w:rPr>
      </w:pPr>
      <w:r w:rsidRPr="00382A2A">
        <w:rPr>
          <w:sz w:val="22"/>
          <w:szCs w:val="22"/>
        </w:rPr>
        <w:t>Akútna toxicita  paracetamolu:</w:t>
      </w:r>
      <w:r w:rsidRPr="00382A2A">
        <w:rPr>
          <w:sz w:val="22"/>
          <w:szCs w:val="22"/>
        </w:rPr>
        <w:tab/>
        <w:t xml:space="preserve">             per os podanie  myšiam  LD</w:t>
      </w:r>
      <w:r w:rsidRPr="00382A2A">
        <w:rPr>
          <w:sz w:val="22"/>
          <w:szCs w:val="22"/>
          <w:vertAlign w:val="subscript"/>
        </w:rPr>
        <w:t>50</w:t>
      </w:r>
      <w:r w:rsidRPr="00382A2A">
        <w:rPr>
          <w:sz w:val="22"/>
          <w:szCs w:val="22"/>
        </w:rPr>
        <w:t xml:space="preserve"> 338 mg/kg </w:t>
      </w:r>
    </w:p>
    <w:p w:rsidR="00F25781" w:rsidRPr="00382A2A" w:rsidRDefault="00F25781" w:rsidP="00F25781">
      <w:pPr>
        <w:ind w:left="2832" w:firstLine="708"/>
        <w:rPr>
          <w:sz w:val="22"/>
          <w:szCs w:val="22"/>
        </w:rPr>
      </w:pPr>
      <w:r w:rsidRPr="00382A2A">
        <w:rPr>
          <w:sz w:val="22"/>
          <w:szCs w:val="22"/>
        </w:rPr>
        <w:t>intraperitoneálne  myšiam  LD</w:t>
      </w:r>
      <w:r w:rsidRPr="00382A2A">
        <w:rPr>
          <w:sz w:val="22"/>
          <w:szCs w:val="22"/>
          <w:vertAlign w:val="subscript"/>
        </w:rPr>
        <w:t>50</w:t>
      </w:r>
      <w:r w:rsidRPr="00382A2A">
        <w:rPr>
          <w:sz w:val="22"/>
          <w:szCs w:val="22"/>
        </w:rPr>
        <w:t xml:space="preserve"> 500 mg/kg</w:t>
      </w:r>
    </w:p>
    <w:p w:rsidR="00F25781" w:rsidRPr="00382A2A" w:rsidRDefault="00F25781" w:rsidP="00F25781">
      <w:pPr>
        <w:rPr>
          <w:sz w:val="22"/>
          <w:szCs w:val="22"/>
        </w:rPr>
      </w:pPr>
    </w:p>
    <w:p w:rsidR="00F25781" w:rsidRPr="00382A2A" w:rsidRDefault="00F25781" w:rsidP="00F25781">
      <w:pPr>
        <w:rPr>
          <w:sz w:val="22"/>
          <w:szCs w:val="22"/>
        </w:rPr>
      </w:pPr>
      <w:r w:rsidRPr="00382A2A">
        <w:rPr>
          <w:sz w:val="22"/>
          <w:szCs w:val="22"/>
        </w:rPr>
        <w:t>Akútna toxicita fenylefrínu:</w:t>
      </w:r>
      <w:r w:rsidRPr="00382A2A">
        <w:rPr>
          <w:sz w:val="22"/>
          <w:szCs w:val="22"/>
        </w:rPr>
        <w:tab/>
        <w:t xml:space="preserve">             podanie myšiam  LD</w:t>
      </w:r>
      <w:r w:rsidRPr="00382A2A">
        <w:rPr>
          <w:sz w:val="22"/>
          <w:szCs w:val="22"/>
          <w:vertAlign w:val="subscript"/>
        </w:rPr>
        <w:t>50</w:t>
      </w:r>
      <w:r w:rsidRPr="00382A2A">
        <w:rPr>
          <w:sz w:val="22"/>
          <w:szCs w:val="22"/>
        </w:rPr>
        <w:t xml:space="preserve"> 120 mg/kg</w:t>
      </w:r>
    </w:p>
    <w:p w:rsidR="00F25781" w:rsidRPr="00382A2A" w:rsidRDefault="00F25781" w:rsidP="00F25781">
      <w:pPr>
        <w:rPr>
          <w:sz w:val="22"/>
          <w:szCs w:val="22"/>
        </w:rPr>
      </w:pPr>
      <w:r w:rsidRPr="00382A2A">
        <w:rPr>
          <w:sz w:val="22"/>
          <w:szCs w:val="22"/>
        </w:rPr>
        <w:tab/>
        <w:t xml:space="preserve">     </w:t>
      </w:r>
      <w:r w:rsidRPr="00382A2A">
        <w:rPr>
          <w:sz w:val="22"/>
          <w:szCs w:val="22"/>
        </w:rPr>
        <w:tab/>
      </w:r>
      <w:r w:rsidRPr="00382A2A">
        <w:rPr>
          <w:sz w:val="22"/>
          <w:szCs w:val="22"/>
        </w:rPr>
        <w:tab/>
      </w:r>
      <w:r w:rsidRPr="00382A2A">
        <w:rPr>
          <w:sz w:val="22"/>
          <w:szCs w:val="22"/>
        </w:rPr>
        <w:tab/>
      </w:r>
      <w:r w:rsidRPr="00382A2A">
        <w:rPr>
          <w:sz w:val="22"/>
          <w:szCs w:val="22"/>
        </w:rPr>
        <w:tab/>
        <w:t>podanie potkanom  LD</w:t>
      </w:r>
      <w:r w:rsidRPr="00382A2A">
        <w:rPr>
          <w:sz w:val="22"/>
          <w:szCs w:val="22"/>
          <w:vertAlign w:val="subscript"/>
        </w:rPr>
        <w:t>50</w:t>
      </w:r>
      <w:r w:rsidRPr="00382A2A">
        <w:rPr>
          <w:sz w:val="22"/>
          <w:szCs w:val="22"/>
        </w:rPr>
        <w:t xml:space="preserve"> 350 mg/kg</w:t>
      </w:r>
    </w:p>
    <w:p w:rsidR="00F25781" w:rsidRPr="00382A2A" w:rsidRDefault="00F25781" w:rsidP="00F25781">
      <w:pPr>
        <w:rPr>
          <w:sz w:val="22"/>
          <w:szCs w:val="22"/>
        </w:rPr>
      </w:pPr>
      <w:r w:rsidRPr="00382A2A">
        <w:rPr>
          <w:sz w:val="22"/>
          <w:szCs w:val="22"/>
        </w:rPr>
        <w:t xml:space="preserve">Špecifické prejavy toxicity sa po podaní fenylefrínu zvieratám nepozorovali. </w:t>
      </w:r>
    </w:p>
    <w:p w:rsidR="00F25781" w:rsidRPr="00382A2A" w:rsidRDefault="00F25781" w:rsidP="00F25781">
      <w:pPr>
        <w:rPr>
          <w:sz w:val="22"/>
          <w:szCs w:val="22"/>
        </w:rPr>
      </w:pPr>
      <w:r w:rsidRPr="00382A2A">
        <w:rPr>
          <w:sz w:val="22"/>
          <w:szCs w:val="22"/>
        </w:rPr>
        <w:t>Štúdie genotoxicity s fenylefrínom poskytli nejednoznačné výsledky.</w:t>
      </w:r>
    </w:p>
    <w:p w:rsidR="00F25781" w:rsidRPr="00382A2A" w:rsidRDefault="00F25781" w:rsidP="00F25781">
      <w:pPr>
        <w:rPr>
          <w:sz w:val="22"/>
          <w:szCs w:val="22"/>
        </w:rPr>
      </w:pPr>
      <w:r w:rsidRPr="00382A2A">
        <w:rPr>
          <w:sz w:val="22"/>
          <w:szCs w:val="22"/>
        </w:rPr>
        <w:t xml:space="preserve">Po podaní fenylefrínu sa nepozoroval u hlodavcov karcinogénny potenciál. </w:t>
      </w:r>
    </w:p>
    <w:p w:rsidR="00F25781" w:rsidRPr="00382A2A" w:rsidRDefault="00F25781" w:rsidP="00F25781">
      <w:pPr>
        <w:rPr>
          <w:sz w:val="22"/>
          <w:szCs w:val="22"/>
        </w:rPr>
      </w:pPr>
      <w:r w:rsidRPr="00382A2A">
        <w:rPr>
          <w:sz w:val="22"/>
          <w:szCs w:val="22"/>
        </w:rPr>
        <w:t>Údaje o reprodukčnej toxicite a fetotoxicite pri zvieratách nie sú k dispozícii.</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lastRenderedPageBreak/>
        <w:t>6.</w:t>
      </w:r>
      <w:r w:rsidRPr="00382A2A">
        <w:rPr>
          <w:rFonts w:ascii="Times New Roman" w:hAnsi="Times New Roman"/>
          <w:i w:val="0"/>
          <w:sz w:val="22"/>
          <w:szCs w:val="22"/>
          <w:lang w:val="sk-SK"/>
        </w:rPr>
        <w:tab/>
        <w:t>FARMACEUTICKÉ INFORMÁCIE</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r w:rsidRPr="00382A2A">
        <w:rPr>
          <w:b/>
          <w:sz w:val="22"/>
          <w:szCs w:val="22"/>
        </w:rPr>
        <w:t>6.1</w:t>
      </w:r>
      <w:r w:rsidRPr="00382A2A">
        <w:rPr>
          <w:b/>
          <w:sz w:val="22"/>
          <w:szCs w:val="22"/>
        </w:rPr>
        <w:tab/>
        <w:t xml:space="preserve">Zoznam pomocných látok </w:t>
      </w:r>
    </w:p>
    <w:p w:rsidR="00F25781" w:rsidRPr="00382A2A" w:rsidRDefault="00F25781" w:rsidP="00F25781">
      <w:pPr>
        <w:rPr>
          <w:b/>
          <w:bCs/>
          <w:i/>
          <w:sz w:val="22"/>
          <w:szCs w:val="22"/>
        </w:rPr>
      </w:pPr>
    </w:p>
    <w:p w:rsidR="00F25781" w:rsidRPr="00382A2A" w:rsidRDefault="00F25781" w:rsidP="00F25781">
      <w:pPr>
        <w:rPr>
          <w:b/>
          <w:bCs/>
          <w:i/>
          <w:sz w:val="22"/>
          <w:szCs w:val="22"/>
        </w:rPr>
      </w:pPr>
      <w:r w:rsidRPr="00382A2A">
        <w:rPr>
          <w:b/>
          <w:bCs/>
          <w:i/>
          <w:sz w:val="22"/>
          <w:szCs w:val="22"/>
        </w:rPr>
        <w:t>Jadro tablety:</w:t>
      </w:r>
    </w:p>
    <w:p w:rsidR="00F25781" w:rsidRPr="00382A2A" w:rsidRDefault="00F25781" w:rsidP="00F25781">
      <w:pPr>
        <w:rPr>
          <w:bCs/>
          <w:sz w:val="22"/>
          <w:szCs w:val="22"/>
        </w:rPr>
      </w:pPr>
      <w:r w:rsidRPr="00382A2A">
        <w:rPr>
          <w:bCs/>
          <w:sz w:val="22"/>
          <w:szCs w:val="22"/>
        </w:rPr>
        <w:t xml:space="preserve">povidón K-25 </w:t>
      </w:r>
    </w:p>
    <w:p w:rsidR="00F25781" w:rsidRPr="00382A2A" w:rsidRDefault="00F25781" w:rsidP="00F25781">
      <w:pPr>
        <w:rPr>
          <w:bCs/>
          <w:sz w:val="22"/>
          <w:szCs w:val="22"/>
        </w:rPr>
      </w:pPr>
      <w:r w:rsidRPr="00382A2A">
        <w:rPr>
          <w:bCs/>
          <w:sz w:val="22"/>
          <w:szCs w:val="22"/>
        </w:rPr>
        <w:t>laurylsulfát sodný</w:t>
      </w:r>
    </w:p>
    <w:p w:rsidR="00F25781" w:rsidRPr="00382A2A" w:rsidRDefault="00F25781" w:rsidP="00F25781">
      <w:pPr>
        <w:widowControl w:val="0"/>
        <w:jc w:val="both"/>
        <w:rPr>
          <w:sz w:val="22"/>
          <w:szCs w:val="22"/>
        </w:rPr>
      </w:pPr>
      <w:r w:rsidRPr="00382A2A">
        <w:rPr>
          <w:sz w:val="22"/>
          <w:szCs w:val="22"/>
        </w:rPr>
        <w:t>mikrokryštalická celulóza</w:t>
      </w:r>
    </w:p>
    <w:p w:rsidR="00F25781" w:rsidRPr="00382A2A" w:rsidRDefault="00F25781" w:rsidP="00F25781">
      <w:pPr>
        <w:widowControl w:val="0"/>
        <w:jc w:val="both"/>
        <w:rPr>
          <w:sz w:val="22"/>
          <w:szCs w:val="22"/>
        </w:rPr>
      </w:pPr>
      <w:r w:rsidRPr="00382A2A">
        <w:rPr>
          <w:sz w:val="22"/>
          <w:szCs w:val="22"/>
        </w:rPr>
        <w:t>kukuričný škrob</w:t>
      </w:r>
    </w:p>
    <w:p w:rsidR="00F25781" w:rsidRPr="00382A2A" w:rsidRDefault="00F25781" w:rsidP="00F25781">
      <w:pPr>
        <w:widowControl w:val="0"/>
        <w:jc w:val="both"/>
        <w:rPr>
          <w:sz w:val="22"/>
          <w:szCs w:val="22"/>
        </w:rPr>
      </w:pPr>
      <w:r w:rsidRPr="00382A2A">
        <w:rPr>
          <w:sz w:val="22"/>
          <w:szCs w:val="22"/>
        </w:rPr>
        <w:t>predželatínovaný kukuričný škrob</w:t>
      </w:r>
    </w:p>
    <w:p w:rsidR="00F25781" w:rsidRPr="00382A2A" w:rsidRDefault="00F25781" w:rsidP="00F25781">
      <w:pPr>
        <w:widowControl w:val="0"/>
        <w:jc w:val="both"/>
        <w:rPr>
          <w:sz w:val="22"/>
          <w:szCs w:val="22"/>
        </w:rPr>
      </w:pPr>
      <w:r w:rsidRPr="00382A2A">
        <w:rPr>
          <w:sz w:val="22"/>
          <w:szCs w:val="22"/>
        </w:rPr>
        <w:t>k</w:t>
      </w:r>
      <w:smartTag w:uri="urn:schemas-microsoft-com:office:smarttags" w:element="PersonName">
        <w:r w:rsidRPr="00382A2A">
          <w:rPr>
            <w:sz w:val="22"/>
            <w:szCs w:val="22"/>
          </w:rPr>
          <w:t>olo</w:t>
        </w:r>
      </w:smartTag>
      <w:r w:rsidRPr="00382A2A">
        <w:rPr>
          <w:sz w:val="22"/>
          <w:szCs w:val="22"/>
        </w:rPr>
        <w:t xml:space="preserve">idný </w:t>
      </w:r>
      <w:r w:rsidR="004550EA">
        <w:rPr>
          <w:sz w:val="22"/>
          <w:szCs w:val="22"/>
        </w:rPr>
        <w:t>oxid</w:t>
      </w:r>
      <w:r w:rsidRPr="00382A2A">
        <w:rPr>
          <w:sz w:val="22"/>
          <w:szCs w:val="22"/>
        </w:rPr>
        <w:t xml:space="preserve"> kremičitý bezvodý</w:t>
      </w:r>
    </w:p>
    <w:p w:rsidR="00F25781" w:rsidRPr="00382A2A" w:rsidRDefault="00F25781" w:rsidP="00F25781">
      <w:pPr>
        <w:widowControl w:val="0"/>
        <w:jc w:val="both"/>
        <w:rPr>
          <w:sz w:val="22"/>
          <w:szCs w:val="22"/>
        </w:rPr>
      </w:pPr>
      <w:r w:rsidRPr="00382A2A">
        <w:rPr>
          <w:sz w:val="22"/>
          <w:szCs w:val="22"/>
        </w:rPr>
        <w:t>kyselina stearová</w:t>
      </w:r>
    </w:p>
    <w:p w:rsidR="00F25781" w:rsidRPr="00382A2A" w:rsidRDefault="00F25781" w:rsidP="00F25781">
      <w:pPr>
        <w:widowControl w:val="0"/>
        <w:jc w:val="both"/>
        <w:rPr>
          <w:sz w:val="22"/>
          <w:szCs w:val="22"/>
        </w:rPr>
      </w:pPr>
      <w:r w:rsidRPr="00382A2A">
        <w:rPr>
          <w:sz w:val="22"/>
          <w:szCs w:val="22"/>
        </w:rPr>
        <w:t>mastenec</w:t>
      </w:r>
    </w:p>
    <w:p w:rsidR="00F25781" w:rsidRPr="00382A2A" w:rsidRDefault="00F25781" w:rsidP="00F25781">
      <w:pPr>
        <w:tabs>
          <w:tab w:val="left" w:pos="3119"/>
          <w:tab w:val="left" w:pos="4962"/>
          <w:tab w:val="left" w:pos="6804"/>
        </w:tabs>
        <w:rPr>
          <w:sz w:val="22"/>
          <w:szCs w:val="22"/>
        </w:rPr>
      </w:pPr>
    </w:p>
    <w:p w:rsidR="00F25781" w:rsidRPr="00382A2A" w:rsidRDefault="00F25781" w:rsidP="00F25781">
      <w:pPr>
        <w:tabs>
          <w:tab w:val="left" w:pos="3119"/>
          <w:tab w:val="left" w:pos="4962"/>
          <w:tab w:val="left" w:pos="6804"/>
        </w:tabs>
        <w:rPr>
          <w:b/>
          <w:i/>
          <w:sz w:val="22"/>
          <w:szCs w:val="22"/>
        </w:rPr>
      </w:pPr>
      <w:r w:rsidRPr="00382A2A">
        <w:rPr>
          <w:b/>
          <w:i/>
          <w:sz w:val="22"/>
          <w:szCs w:val="22"/>
        </w:rPr>
        <w:t>Obal tablety:</w:t>
      </w:r>
    </w:p>
    <w:p w:rsidR="00F25781" w:rsidRPr="00382A2A" w:rsidRDefault="00F25781" w:rsidP="00F25781">
      <w:pPr>
        <w:tabs>
          <w:tab w:val="left" w:pos="3119"/>
          <w:tab w:val="left" w:pos="4962"/>
          <w:tab w:val="left" w:pos="6804"/>
        </w:tabs>
        <w:rPr>
          <w:sz w:val="22"/>
          <w:szCs w:val="22"/>
        </w:rPr>
      </w:pPr>
      <w:r w:rsidRPr="00382A2A">
        <w:rPr>
          <w:sz w:val="22"/>
          <w:szCs w:val="22"/>
        </w:rPr>
        <w:t xml:space="preserve">hypromelóza </w:t>
      </w:r>
    </w:p>
    <w:p w:rsidR="00F25781" w:rsidRPr="00382A2A" w:rsidRDefault="00F25781" w:rsidP="00F25781">
      <w:pPr>
        <w:tabs>
          <w:tab w:val="left" w:pos="3119"/>
          <w:tab w:val="left" w:pos="4962"/>
          <w:tab w:val="left" w:pos="6804"/>
        </w:tabs>
        <w:rPr>
          <w:sz w:val="22"/>
          <w:szCs w:val="22"/>
        </w:rPr>
      </w:pPr>
      <w:r w:rsidRPr="00382A2A">
        <w:rPr>
          <w:sz w:val="22"/>
          <w:szCs w:val="22"/>
        </w:rPr>
        <w:t xml:space="preserve">makrogol </w:t>
      </w:r>
    </w:p>
    <w:p w:rsidR="00F25781" w:rsidRPr="00382A2A" w:rsidRDefault="00F25781" w:rsidP="00F25781">
      <w:pPr>
        <w:tabs>
          <w:tab w:val="left" w:pos="3119"/>
          <w:tab w:val="left" w:pos="4962"/>
          <w:tab w:val="left" w:pos="6804"/>
        </w:tabs>
        <w:rPr>
          <w:sz w:val="22"/>
          <w:szCs w:val="22"/>
        </w:rPr>
      </w:pPr>
      <w:r w:rsidRPr="00382A2A">
        <w:rPr>
          <w:sz w:val="22"/>
          <w:szCs w:val="22"/>
        </w:rPr>
        <w:t>oxid titaničitý (E171)</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r w:rsidRPr="00382A2A">
        <w:rPr>
          <w:b/>
          <w:sz w:val="22"/>
          <w:szCs w:val="22"/>
        </w:rPr>
        <w:t>6.2</w:t>
      </w:r>
      <w:r w:rsidRPr="00382A2A">
        <w:rPr>
          <w:b/>
          <w:sz w:val="22"/>
          <w:szCs w:val="22"/>
        </w:rPr>
        <w:tab/>
        <w:t>Inkompatibility</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Neaplikovateľné.</w:t>
      </w:r>
    </w:p>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rPr>
      </w:pPr>
      <w:r w:rsidRPr="00382A2A">
        <w:rPr>
          <w:b/>
          <w:sz w:val="22"/>
          <w:szCs w:val="22"/>
        </w:rPr>
        <w:t>6.3</w:t>
      </w:r>
      <w:r w:rsidRPr="00382A2A">
        <w:rPr>
          <w:b/>
          <w:sz w:val="22"/>
          <w:szCs w:val="22"/>
        </w:rPr>
        <w:tab/>
        <w:t>Čas použiteľnosti</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2 roky</w:t>
      </w:r>
    </w:p>
    <w:p w:rsidR="00F25781" w:rsidRPr="00382A2A" w:rsidRDefault="00F25781" w:rsidP="00F25781">
      <w:pPr>
        <w:widowControl w:val="0"/>
        <w:jc w:val="both"/>
        <w:rPr>
          <w:sz w:val="22"/>
          <w:szCs w:val="22"/>
        </w:rPr>
      </w:pPr>
    </w:p>
    <w:p w:rsidR="00F25781" w:rsidRPr="00382A2A" w:rsidRDefault="00F25781" w:rsidP="00F25781">
      <w:pPr>
        <w:rPr>
          <w:noProof/>
          <w:sz w:val="22"/>
          <w:szCs w:val="22"/>
        </w:rPr>
      </w:pPr>
      <w:r w:rsidRPr="00382A2A">
        <w:rPr>
          <w:b/>
          <w:noProof/>
          <w:sz w:val="22"/>
          <w:szCs w:val="22"/>
        </w:rPr>
        <w:t>6.4</w:t>
      </w:r>
      <w:r w:rsidRPr="00382A2A">
        <w:rPr>
          <w:b/>
          <w:noProof/>
          <w:sz w:val="22"/>
          <w:szCs w:val="22"/>
        </w:rPr>
        <w:tab/>
        <w:t>Špeciálne upozornenia na uchovávanie</w:t>
      </w:r>
    </w:p>
    <w:p w:rsidR="00F25781" w:rsidRPr="00382A2A" w:rsidRDefault="00F25781" w:rsidP="00F25781">
      <w:pPr>
        <w:rPr>
          <w:noProof/>
          <w:sz w:val="22"/>
          <w:szCs w:val="22"/>
        </w:rPr>
      </w:pPr>
    </w:p>
    <w:p w:rsidR="00F25781" w:rsidRPr="00382A2A" w:rsidRDefault="00F25781" w:rsidP="00F25781">
      <w:pPr>
        <w:widowControl w:val="0"/>
        <w:jc w:val="both"/>
        <w:rPr>
          <w:sz w:val="22"/>
          <w:szCs w:val="22"/>
        </w:rPr>
      </w:pPr>
      <w:r w:rsidRPr="00382A2A">
        <w:rPr>
          <w:sz w:val="22"/>
          <w:szCs w:val="22"/>
        </w:rPr>
        <w:t>Uchovávajte pri teplote do 25 ºC v pôvodnom obale na ochranu pred svetlom.</w:t>
      </w:r>
    </w:p>
    <w:p w:rsidR="00F25781" w:rsidRPr="00382A2A" w:rsidRDefault="00F25781" w:rsidP="00F25781">
      <w:pPr>
        <w:widowControl w:val="0"/>
        <w:jc w:val="both"/>
        <w:rPr>
          <w:sz w:val="22"/>
          <w:szCs w:val="22"/>
        </w:rPr>
      </w:pPr>
    </w:p>
    <w:p w:rsidR="00F25781" w:rsidRPr="00382A2A" w:rsidRDefault="00F25781" w:rsidP="00F25781">
      <w:pPr>
        <w:rPr>
          <w:noProof/>
          <w:sz w:val="22"/>
          <w:szCs w:val="22"/>
        </w:rPr>
      </w:pPr>
      <w:r w:rsidRPr="00382A2A">
        <w:rPr>
          <w:b/>
          <w:noProof/>
          <w:sz w:val="22"/>
          <w:szCs w:val="22"/>
        </w:rPr>
        <w:t>6.5</w:t>
      </w:r>
      <w:r w:rsidRPr="00382A2A">
        <w:rPr>
          <w:b/>
          <w:noProof/>
          <w:sz w:val="22"/>
          <w:szCs w:val="22"/>
        </w:rPr>
        <w:tab/>
        <w:t xml:space="preserve">Druh obalu a obsah balenia </w:t>
      </w:r>
    </w:p>
    <w:p w:rsidR="00F25781" w:rsidRPr="00382A2A" w:rsidRDefault="00F25781" w:rsidP="00F25781">
      <w:pPr>
        <w:tabs>
          <w:tab w:val="left" w:pos="851"/>
        </w:tabs>
        <w:rPr>
          <w:sz w:val="22"/>
          <w:szCs w:val="22"/>
        </w:rPr>
      </w:pPr>
    </w:p>
    <w:p w:rsidR="00F25781" w:rsidRPr="00382A2A" w:rsidRDefault="00F25781" w:rsidP="00F25781">
      <w:pPr>
        <w:widowControl w:val="0"/>
        <w:rPr>
          <w:sz w:val="22"/>
          <w:szCs w:val="22"/>
        </w:rPr>
      </w:pPr>
      <w:r w:rsidRPr="00382A2A">
        <w:rPr>
          <w:sz w:val="22"/>
          <w:szCs w:val="22"/>
        </w:rPr>
        <w:t>Filmom obalené tablety sú balené do transparentného PVC/PVDC/AL alebo transparentného PVC/Aclar/Aluminium blistra. Vonkajšie balenie je papierová skladacia škatuľka.</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 xml:space="preserve">Veľkosť balenia: 12 alebo 24 tabliet </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Nie všetky veľkosti balenia musia byť uvedené na trh.</w:t>
      </w:r>
    </w:p>
    <w:p w:rsidR="00F25781" w:rsidRPr="00382A2A" w:rsidRDefault="00F25781" w:rsidP="00F25781">
      <w:pPr>
        <w:widowControl w:val="0"/>
        <w:jc w:val="both"/>
        <w:rPr>
          <w:sz w:val="22"/>
          <w:szCs w:val="22"/>
        </w:rPr>
      </w:pPr>
    </w:p>
    <w:p w:rsidR="00F25781" w:rsidRPr="00382A2A" w:rsidRDefault="00F25781" w:rsidP="00F25781">
      <w:pPr>
        <w:rPr>
          <w:b/>
          <w:bCs/>
          <w:noProof/>
          <w:sz w:val="22"/>
          <w:szCs w:val="22"/>
        </w:rPr>
      </w:pPr>
      <w:r w:rsidRPr="00382A2A">
        <w:rPr>
          <w:b/>
          <w:noProof/>
          <w:sz w:val="22"/>
          <w:szCs w:val="22"/>
        </w:rPr>
        <w:t>6.6</w:t>
      </w:r>
      <w:r w:rsidRPr="00382A2A">
        <w:rPr>
          <w:b/>
          <w:noProof/>
          <w:sz w:val="22"/>
          <w:szCs w:val="22"/>
        </w:rPr>
        <w:tab/>
      </w:r>
      <w:r w:rsidRPr="00382A2A">
        <w:rPr>
          <w:b/>
          <w:bCs/>
          <w:noProof/>
          <w:sz w:val="22"/>
          <w:szCs w:val="22"/>
        </w:rPr>
        <w:t>Špeciálne opatrenia na likvidáciu a iné zaobchádzanie s liekom</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sz w:val="22"/>
          <w:szCs w:val="22"/>
        </w:rPr>
      </w:pPr>
      <w:r w:rsidRPr="00382A2A">
        <w:rPr>
          <w:sz w:val="22"/>
          <w:szCs w:val="22"/>
        </w:rPr>
        <w:t>Nepoužitý liek alebo odpad vzniknutý z lieku treba vrátiť do lekárne.</w:t>
      </w:r>
    </w:p>
    <w:p w:rsidR="00F25781" w:rsidRPr="00382A2A" w:rsidRDefault="00F25781" w:rsidP="00F25781">
      <w:pPr>
        <w:widowControl w:val="0"/>
        <w:jc w:val="both"/>
        <w:rPr>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t>7.</w:t>
      </w:r>
      <w:r w:rsidRPr="00382A2A">
        <w:rPr>
          <w:rFonts w:ascii="Times New Roman" w:hAnsi="Times New Roman"/>
          <w:i w:val="0"/>
          <w:sz w:val="22"/>
          <w:szCs w:val="22"/>
          <w:lang w:val="sk-SK"/>
        </w:rPr>
        <w:tab/>
        <w:t>DRŽITEĽ ROZHODNUTIA O REGISTRÁCII</w:t>
      </w:r>
    </w:p>
    <w:p w:rsidR="00F25781" w:rsidRPr="00382A2A" w:rsidRDefault="00F25781" w:rsidP="00F25781">
      <w:pPr>
        <w:widowControl w:val="0"/>
        <w:jc w:val="both"/>
        <w:rPr>
          <w:sz w:val="22"/>
          <w:szCs w:val="22"/>
        </w:rPr>
      </w:pPr>
    </w:p>
    <w:p w:rsidR="00F25781" w:rsidRPr="00382A2A" w:rsidRDefault="00F25781" w:rsidP="00F25781">
      <w:pPr>
        <w:widowControl w:val="0"/>
        <w:jc w:val="both"/>
        <w:rPr>
          <w:sz w:val="22"/>
          <w:szCs w:val="22"/>
        </w:rPr>
      </w:pPr>
      <w:r w:rsidRPr="00382A2A">
        <w:rPr>
          <w:sz w:val="22"/>
          <w:szCs w:val="22"/>
        </w:rPr>
        <w:t>Zentiva, k.s., Praha, Česká republika</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t>8.</w:t>
      </w:r>
      <w:r w:rsidRPr="00382A2A">
        <w:rPr>
          <w:rFonts w:ascii="Times New Roman" w:hAnsi="Times New Roman"/>
          <w:i w:val="0"/>
          <w:sz w:val="22"/>
          <w:szCs w:val="22"/>
          <w:lang w:val="sk-SK"/>
        </w:rPr>
        <w:tab/>
        <w:t xml:space="preserve">REGISTRAČNÉ ČÍSLO </w:t>
      </w:r>
    </w:p>
    <w:p w:rsidR="00F25781" w:rsidRDefault="00F25781" w:rsidP="00F25781">
      <w:pPr>
        <w:widowControl w:val="0"/>
        <w:jc w:val="both"/>
        <w:rPr>
          <w:b/>
          <w:sz w:val="22"/>
          <w:szCs w:val="22"/>
        </w:rPr>
      </w:pPr>
    </w:p>
    <w:p w:rsidR="00F25781" w:rsidRPr="00382A2A" w:rsidRDefault="00F25781" w:rsidP="00F25781">
      <w:pPr>
        <w:widowControl w:val="0"/>
        <w:jc w:val="both"/>
        <w:rPr>
          <w:sz w:val="22"/>
          <w:szCs w:val="22"/>
        </w:rPr>
      </w:pPr>
      <w:r w:rsidRPr="00382A2A">
        <w:rPr>
          <w:sz w:val="22"/>
          <w:szCs w:val="22"/>
        </w:rPr>
        <w:t>07/0189/12-S</w:t>
      </w: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lastRenderedPageBreak/>
        <w:t>9.</w:t>
      </w:r>
      <w:r w:rsidRPr="00382A2A">
        <w:rPr>
          <w:rFonts w:ascii="Times New Roman" w:hAnsi="Times New Roman"/>
          <w:i w:val="0"/>
          <w:sz w:val="22"/>
          <w:szCs w:val="22"/>
          <w:lang w:val="sk-SK"/>
        </w:rPr>
        <w:tab/>
        <w:t xml:space="preserve">DÁTUM  PRVEJ REGISTRÁCIE/DÁTUM PREDĹŽENIA REGISTRÁCIE </w:t>
      </w:r>
    </w:p>
    <w:p w:rsidR="00F25781" w:rsidRPr="00382A2A" w:rsidRDefault="00F25781" w:rsidP="00F25781">
      <w:pPr>
        <w:widowControl w:val="0"/>
        <w:jc w:val="both"/>
        <w:rPr>
          <w:sz w:val="22"/>
          <w:szCs w:val="22"/>
        </w:rPr>
      </w:pPr>
    </w:p>
    <w:p w:rsidR="00F25781" w:rsidRPr="00382A2A" w:rsidRDefault="00F25781" w:rsidP="00F25781">
      <w:pPr>
        <w:rPr>
          <w:noProof/>
          <w:sz w:val="22"/>
          <w:szCs w:val="22"/>
        </w:rPr>
      </w:pPr>
      <w:r w:rsidRPr="00382A2A">
        <w:rPr>
          <w:noProof/>
          <w:sz w:val="22"/>
          <w:szCs w:val="22"/>
        </w:rPr>
        <w:t xml:space="preserve">Dátum prvej registrácie: </w:t>
      </w:r>
    </w:p>
    <w:p w:rsidR="00F25781" w:rsidRPr="00382A2A" w:rsidRDefault="00F25781" w:rsidP="00F25781">
      <w:pPr>
        <w:rPr>
          <w:sz w:val="22"/>
          <w:szCs w:val="22"/>
        </w:rPr>
      </w:pPr>
      <w:r w:rsidRPr="00382A2A">
        <w:rPr>
          <w:noProof/>
          <w:sz w:val="22"/>
          <w:szCs w:val="22"/>
        </w:rPr>
        <w:t xml:space="preserve">Dátum posledného predĺženia: </w:t>
      </w:r>
    </w:p>
    <w:p w:rsidR="00F25781" w:rsidRPr="00382A2A" w:rsidRDefault="00F25781" w:rsidP="00F25781">
      <w:pPr>
        <w:widowControl w:val="0"/>
        <w:jc w:val="both"/>
        <w:rPr>
          <w:b/>
          <w:sz w:val="22"/>
          <w:szCs w:val="22"/>
        </w:rPr>
      </w:pPr>
    </w:p>
    <w:p w:rsidR="00F25781" w:rsidRPr="00382A2A" w:rsidRDefault="00F25781" w:rsidP="00F25781">
      <w:pPr>
        <w:widowControl w:val="0"/>
        <w:jc w:val="both"/>
        <w:rPr>
          <w:b/>
          <w:sz w:val="22"/>
          <w:szCs w:val="22"/>
        </w:rPr>
      </w:pPr>
    </w:p>
    <w:p w:rsidR="00F25781" w:rsidRPr="00382A2A" w:rsidRDefault="00F25781" w:rsidP="00F25781">
      <w:pPr>
        <w:pStyle w:val="Nadpis2"/>
        <w:spacing w:before="0" w:after="0" w:line="240" w:lineRule="auto"/>
        <w:rPr>
          <w:rFonts w:ascii="Times New Roman" w:hAnsi="Times New Roman"/>
          <w:i w:val="0"/>
          <w:sz w:val="22"/>
          <w:szCs w:val="22"/>
          <w:lang w:val="sk-SK"/>
        </w:rPr>
      </w:pPr>
      <w:r w:rsidRPr="00382A2A">
        <w:rPr>
          <w:rFonts w:ascii="Times New Roman" w:hAnsi="Times New Roman"/>
          <w:i w:val="0"/>
          <w:sz w:val="22"/>
          <w:szCs w:val="22"/>
          <w:lang w:val="sk-SK"/>
        </w:rPr>
        <w:t>10.</w:t>
      </w:r>
      <w:r w:rsidRPr="00382A2A">
        <w:rPr>
          <w:rFonts w:ascii="Times New Roman" w:hAnsi="Times New Roman"/>
          <w:i w:val="0"/>
          <w:sz w:val="22"/>
          <w:szCs w:val="22"/>
          <w:lang w:val="sk-SK"/>
        </w:rPr>
        <w:tab/>
        <w:t>DÁTUM REVÍZIE TEXTU</w:t>
      </w:r>
    </w:p>
    <w:p w:rsidR="004F71F4" w:rsidRDefault="004F71F4"/>
    <w:sectPr w:rsidR="004F71F4" w:rsidSect="00F25781">
      <w:footerReference w:type="even" r:id="rId8"/>
      <w:footerReference w:type="default" r:id="rId9"/>
      <w:pgSz w:w="11907" w:h="16840"/>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015" w:rsidRDefault="001B5015">
      <w:r>
        <w:separator/>
      </w:r>
    </w:p>
  </w:endnote>
  <w:endnote w:type="continuationSeparator" w:id="0">
    <w:p w:rsidR="001B5015" w:rsidRDefault="001B50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Helvetica">
    <w:panose1 w:val="020B0604020202020204"/>
    <w:charset w:val="EE"/>
    <w:family w:val="swiss"/>
    <w:pitch w:val="variable"/>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781" w:rsidRDefault="00F25781">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5</w:t>
    </w:r>
    <w:r>
      <w:rPr>
        <w:rStyle w:val="slostrany"/>
      </w:rPr>
      <w:fldChar w:fldCharType="end"/>
    </w:r>
  </w:p>
  <w:p w:rsidR="00F25781" w:rsidRDefault="00F25781">
    <w:pPr>
      <w:pStyle w:val="Pt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781" w:rsidRDefault="00F25781">
    <w:pPr>
      <w:pStyle w:val="Pta"/>
      <w:framePr w:wrap="around" w:vAnchor="text" w:hAnchor="margin" w:xAlign="center" w:y="1"/>
      <w:rPr>
        <w:rStyle w:val="slostrany"/>
      </w:rPr>
    </w:pPr>
    <w:r>
      <w:rPr>
        <w:rStyle w:val="slostrany"/>
      </w:rPr>
      <w:fldChar w:fldCharType="begin"/>
    </w:r>
    <w:r>
      <w:rPr>
        <w:rStyle w:val="slostrany"/>
      </w:rPr>
      <w:instrText xml:space="preserve">PAGE  </w:instrText>
    </w:r>
    <w:r>
      <w:rPr>
        <w:rStyle w:val="slostrany"/>
      </w:rPr>
      <w:fldChar w:fldCharType="separate"/>
    </w:r>
    <w:r w:rsidR="00860BAC">
      <w:rPr>
        <w:rStyle w:val="slostrany"/>
        <w:noProof/>
      </w:rPr>
      <w:t>9</w:t>
    </w:r>
    <w:r>
      <w:rPr>
        <w:rStyle w:val="slostrany"/>
      </w:rPr>
      <w:fldChar w:fldCharType="end"/>
    </w:r>
  </w:p>
  <w:p w:rsidR="00F25781" w:rsidRDefault="00F25781" w:rsidP="00F25781">
    <w:pPr>
      <w:pStyle w:val="Pt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015" w:rsidRDefault="001B5015">
      <w:r>
        <w:separator/>
      </w:r>
    </w:p>
  </w:footnote>
  <w:footnote w:type="continuationSeparator" w:id="0">
    <w:p w:rsidR="001B5015" w:rsidRDefault="001B50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859F2"/>
    <w:multiLevelType w:val="hybridMultilevel"/>
    <w:tmpl w:val="EF7064B6"/>
    <w:lvl w:ilvl="0" w:tplc="041B0017">
      <w:start w:val="1"/>
      <w:numFmt w:val="lowerLetter"/>
      <w:lvlText w:val="%1)"/>
      <w:lvlJc w:val="left"/>
      <w:pPr>
        <w:ind w:left="720" w:hanging="360"/>
      </w:pPr>
      <w:rPr>
        <w:rFonts w:cs="Times New Roman" w:hint="default"/>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
    <w:nsid w:val="553A6543"/>
    <w:multiLevelType w:val="hybridMultilevel"/>
    <w:tmpl w:val="EAF2C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26"/>
  <w:drawingGridVerticalSpacing w:val="71"/>
  <w:displayHorizontalDrawingGridEvery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781"/>
    <w:rsid w:val="00000462"/>
    <w:rsid w:val="00000B93"/>
    <w:rsid w:val="00002400"/>
    <w:rsid w:val="000075AA"/>
    <w:rsid w:val="00007B41"/>
    <w:rsid w:val="000146D7"/>
    <w:rsid w:val="00016686"/>
    <w:rsid w:val="000252BA"/>
    <w:rsid w:val="00025F2E"/>
    <w:rsid w:val="00026C85"/>
    <w:rsid w:val="00026C90"/>
    <w:rsid w:val="00027E08"/>
    <w:rsid w:val="00030DC2"/>
    <w:rsid w:val="00032B53"/>
    <w:rsid w:val="00033EE6"/>
    <w:rsid w:val="00035160"/>
    <w:rsid w:val="00035944"/>
    <w:rsid w:val="000379EF"/>
    <w:rsid w:val="00043C83"/>
    <w:rsid w:val="000446CD"/>
    <w:rsid w:val="00045C02"/>
    <w:rsid w:val="00046884"/>
    <w:rsid w:val="00050B01"/>
    <w:rsid w:val="00052D7C"/>
    <w:rsid w:val="00054D85"/>
    <w:rsid w:val="0005571F"/>
    <w:rsid w:val="00055DD6"/>
    <w:rsid w:val="00061E13"/>
    <w:rsid w:val="000657EC"/>
    <w:rsid w:val="00065F97"/>
    <w:rsid w:val="00067142"/>
    <w:rsid w:val="000704E1"/>
    <w:rsid w:val="0007098A"/>
    <w:rsid w:val="00070ED7"/>
    <w:rsid w:val="000720C1"/>
    <w:rsid w:val="00073A05"/>
    <w:rsid w:val="0007436B"/>
    <w:rsid w:val="00075BF7"/>
    <w:rsid w:val="00075C2A"/>
    <w:rsid w:val="00075F23"/>
    <w:rsid w:val="00077C95"/>
    <w:rsid w:val="00080C3A"/>
    <w:rsid w:val="00081D20"/>
    <w:rsid w:val="0008664C"/>
    <w:rsid w:val="00087401"/>
    <w:rsid w:val="00092B92"/>
    <w:rsid w:val="0009661A"/>
    <w:rsid w:val="0009678A"/>
    <w:rsid w:val="00096AD6"/>
    <w:rsid w:val="00096B70"/>
    <w:rsid w:val="000A62D2"/>
    <w:rsid w:val="000A74D5"/>
    <w:rsid w:val="000B030B"/>
    <w:rsid w:val="000B077F"/>
    <w:rsid w:val="000B0971"/>
    <w:rsid w:val="000B12F2"/>
    <w:rsid w:val="000B168D"/>
    <w:rsid w:val="000B2F86"/>
    <w:rsid w:val="000B4A47"/>
    <w:rsid w:val="000C0E00"/>
    <w:rsid w:val="000C5290"/>
    <w:rsid w:val="000C6748"/>
    <w:rsid w:val="000C6B19"/>
    <w:rsid w:val="000C7527"/>
    <w:rsid w:val="000C781B"/>
    <w:rsid w:val="000D2646"/>
    <w:rsid w:val="000D2883"/>
    <w:rsid w:val="000D38CF"/>
    <w:rsid w:val="000E0F80"/>
    <w:rsid w:val="000E3BF5"/>
    <w:rsid w:val="000E7FC7"/>
    <w:rsid w:val="000F0A2B"/>
    <w:rsid w:val="000F2291"/>
    <w:rsid w:val="000F3DAD"/>
    <w:rsid w:val="000F46F0"/>
    <w:rsid w:val="000F5432"/>
    <w:rsid w:val="000F79F4"/>
    <w:rsid w:val="00102FCE"/>
    <w:rsid w:val="00104FAC"/>
    <w:rsid w:val="00105C0D"/>
    <w:rsid w:val="001065FD"/>
    <w:rsid w:val="00107736"/>
    <w:rsid w:val="001078ED"/>
    <w:rsid w:val="00110CCE"/>
    <w:rsid w:val="00112FD2"/>
    <w:rsid w:val="001153E8"/>
    <w:rsid w:val="00115A36"/>
    <w:rsid w:val="0011664B"/>
    <w:rsid w:val="00117205"/>
    <w:rsid w:val="00117694"/>
    <w:rsid w:val="00117EFB"/>
    <w:rsid w:val="001205E7"/>
    <w:rsid w:val="00121828"/>
    <w:rsid w:val="00126419"/>
    <w:rsid w:val="001364DE"/>
    <w:rsid w:val="00137B06"/>
    <w:rsid w:val="00137EBB"/>
    <w:rsid w:val="0014124F"/>
    <w:rsid w:val="0014444B"/>
    <w:rsid w:val="001458AD"/>
    <w:rsid w:val="00151731"/>
    <w:rsid w:val="0015202F"/>
    <w:rsid w:val="00152BB9"/>
    <w:rsid w:val="00152E3D"/>
    <w:rsid w:val="0015365A"/>
    <w:rsid w:val="001543DA"/>
    <w:rsid w:val="00154A5B"/>
    <w:rsid w:val="001565F9"/>
    <w:rsid w:val="0016208F"/>
    <w:rsid w:val="00162598"/>
    <w:rsid w:val="00164AC6"/>
    <w:rsid w:val="00164C15"/>
    <w:rsid w:val="00165D3B"/>
    <w:rsid w:val="001662AA"/>
    <w:rsid w:val="0016732B"/>
    <w:rsid w:val="00167DA9"/>
    <w:rsid w:val="00167F29"/>
    <w:rsid w:val="001704A2"/>
    <w:rsid w:val="00170570"/>
    <w:rsid w:val="00171F58"/>
    <w:rsid w:val="0017223A"/>
    <w:rsid w:val="00172983"/>
    <w:rsid w:val="00172A31"/>
    <w:rsid w:val="00172E45"/>
    <w:rsid w:val="00176686"/>
    <w:rsid w:val="00177D78"/>
    <w:rsid w:val="00193780"/>
    <w:rsid w:val="0019788F"/>
    <w:rsid w:val="001A1BE8"/>
    <w:rsid w:val="001A2141"/>
    <w:rsid w:val="001A2F51"/>
    <w:rsid w:val="001A3541"/>
    <w:rsid w:val="001A3630"/>
    <w:rsid w:val="001A6B3C"/>
    <w:rsid w:val="001B445C"/>
    <w:rsid w:val="001B5015"/>
    <w:rsid w:val="001B5CFC"/>
    <w:rsid w:val="001B660B"/>
    <w:rsid w:val="001C2D7F"/>
    <w:rsid w:val="001C3CAA"/>
    <w:rsid w:val="001C6137"/>
    <w:rsid w:val="001C6EDA"/>
    <w:rsid w:val="001C79CB"/>
    <w:rsid w:val="001D0265"/>
    <w:rsid w:val="001D0CA7"/>
    <w:rsid w:val="001D0ED6"/>
    <w:rsid w:val="001D342F"/>
    <w:rsid w:val="001D37DC"/>
    <w:rsid w:val="001E045F"/>
    <w:rsid w:val="001E08A7"/>
    <w:rsid w:val="001E1A56"/>
    <w:rsid w:val="001E22AF"/>
    <w:rsid w:val="001E2849"/>
    <w:rsid w:val="001E386C"/>
    <w:rsid w:val="001E41BE"/>
    <w:rsid w:val="001E49CC"/>
    <w:rsid w:val="001E4A85"/>
    <w:rsid w:val="001E4D04"/>
    <w:rsid w:val="001E6516"/>
    <w:rsid w:val="001F403C"/>
    <w:rsid w:val="001F5181"/>
    <w:rsid w:val="001F7C30"/>
    <w:rsid w:val="00201F3C"/>
    <w:rsid w:val="002037DC"/>
    <w:rsid w:val="00204705"/>
    <w:rsid w:val="00206153"/>
    <w:rsid w:val="00207552"/>
    <w:rsid w:val="0021062F"/>
    <w:rsid w:val="00210A45"/>
    <w:rsid w:val="00212196"/>
    <w:rsid w:val="00213A4E"/>
    <w:rsid w:val="00213AEE"/>
    <w:rsid w:val="00215432"/>
    <w:rsid w:val="00222E3A"/>
    <w:rsid w:val="002259D2"/>
    <w:rsid w:val="00225CE4"/>
    <w:rsid w:val="00230200"/>
    <w:rsid w:val="00230238"/>
    <w:rsid w:val="00231F22"/>
    <w:rsid w:val="002338A6"/>
    <w:rsid w:val="002339D7"/>
    <w:rsid w:val="002346E1"/>
    <w:rsid w:val="00234849"/>
    <w:rsid w:val="00241FA3"/>
    <w:rsid w:val="00242327"/>
    <w:rsid w:val="00242E26"/>
    <w:rsid w:val="0024560B"/>
    <w:rsid w:val="00247854"/>
    <w:rsid w:val="002478FA"/>
    <w:rsid w:val="00247D67"/>
    <w:rsid w:val="002500CD"/>
    <w:rsid w:val="00252F3E"/>
    <w:rsid w:val="00253301"/>
    <w:rsid w:val="0025381C"/>
    <w:rsid w:val="0025503A"/>
    <w:rsid w:val="002554FF"/>
    <w:rsid w:val="0025797C"/>
    <w:rsid w:val="00261E6D"/>
    <w:rsid w:val="00263F31"/>
    <w:rsid w:val="00264D54"/>
    <w:rsid w:val="00264FE7"/>
    <w:rsid w:val="00265803"/>
    <w:rsid w:val="002663A9"/>
    <w:rsid w:val="00266C1B"/>
    <w:rsid w:val="002674F6"/>
    <w:rsid w:val="0027117F"/>
    <w:rsid w:val="00271704"/>
    <w:rsid w:val="00272474"/>
    <w:rsid w:val="00274151"/>
    <w:rsid w:val="00275958"/>
    <w:rsid w:val="0027781A"/>
    <w:rsid w:val="002825CC"/>
    <w:rsid w:val="002826D1"/>
    <w:rsid w:val="002858E0"/>
    <w:rsid w:val="002864F9"/>
    <w:rsid w:val="00287D20"/>
    <w:rsid w:val="0029107C"/>
    <w:rsid w:val="002912FA"/>
    <w:rsid w:val="002939A4"/>
    <w:rsid w:val="00294715"/>
    <w:rsid w:val="002949F2"/>
    <w:rsid w:val="002979C5"/>
    <w:rsid w:val="002A6A1A"/>
    <w:rsid w:val="002B1D39"/>
    <w:rsid w:val="002B360E"/>
    <w:rsid w:val="002B4803"/>
    <w:rsid w:val="002B65D5"/>
    <w:rsid w:val="002C32D9"/>
    <w:rsid w:val="002C4180"/>
    <w:rsid w:val="002C632F"/>
    <w:rsid w:val="002D0D21"/>
    <w:rsid w:val="002D7EEA"/>
    <w:rsid w:val="002E5D85"/>
    <w:rsid w:val="002E5FC8"/>
    <w:rsid w:val="002E6A18"/>
    <w:rsid w:val="002E732C"/>
    <w:rsid w:val="002E77B7"/>
    <w:rsid w:val="002E7EC9"/>
    <w:rsid w:val="002F02DC"/>
    <w:rsid w:val="002F1CBF"/>
    <w:rsid w:val="002F1F79"/>
    <w:rsid w:val="002F3622"/>
    <w:rsid w:val="002F3D84"/>
    <w:rsid w:val="002F5335"/>
    <w:rsid w:val="002F5F96"/>
    <w:rsid w:val="002F69EA"/>
    <w:rsid w:val="003026FC"/>
    <w:rsid w:val="00303569"/>
    <w:rsid w:val="0030523E"/>
    <w:rsid w:val="00305C48"/>
    <w:rsid w:val="00305C4B"/>
    <w:rsid w:val="00306D54"/>
    <w:rsid w:val="00312096"/>
    <w:rsid w:val="00312535"/>
    <w:rsid w:val="00312D71"/>
    <w:rsid w:val="00315146"/>
    <w:rsid w:val="00317759"/>
    <w:rsid w:val="003218E5"/>
    <w:rsid w:val="0032245D"/>
    <w:rsid w:val="0032264B"/>
    <w:rsid w:val="00323E07"/>
    <w:rsid w:val="0032499F"/>
    <w:rsid w:val="00324D37"/>
    <w:rsid w:val="00325C16"/>
    <w:rsid w:val="00326130"/>
    <w:rsid w:val="003266A1"/>
    <w:rsid w:val="003276E0"/>
    <w:rsid w:val="003303EE"/>
    <w:rsid w:val="00330AF1"/>
    <w:rsid w:val="00332309"/>
    <w:rsid w:val="00335F98"/>
    <w:rsid w:val="00336ECF"/>
    <w:rsid w:val="00341B45"/>
    <w:rsid w:val="00343816"/>
    <w:rsid w:val="0034672F"/>
    <w:rsid w:val="00352012"/>
    <w:rsid w:val="0035264C"/>
    <w:rsid w:val="00357AAE"/>
    <w:rsid w:val="00357ACE"/>
    <w:rsid w:val="00360506"/>
    <w:rsid w:val="0036349A"/>
    <w:rsid w:val="00363639"/>
    <w:rsid w:val="00363C97"/>
    <w:rsid w:val="003673BF"/>
    <w:rsid w:val="003705B4"/>
    <w:rsid w:val="00373D03"/>
    <w:rsid w:val="003800FA"/>
    <w:rsid w:val="00380270"/>
    <w:rsid w:val="0038112D"/>
    <w:rsid w:val="00381252"/>
    <w:rsid w:val="003812D6"/>
    <w:rsid w:val="00381BDF"/>
    <w:rsid w:val="00384EEE"/>
    <w:rsid w:val="00392CE2"/>
    <w:rsid w:val="00394580"/>
    <w:rsid w:val="00395052"/>
    <w:rsid w:val="003956E9"/>
    <w:rsid w:val="003A0B65"/>
    <w:rsid w:val="003A1F00"/>
    <w:rsid w:val="003A2687"/>
    <w:rsid w:val="003A371D"/>
    <w:rsid w:val="003A3A11"/>
    <w:rsid w:val="003A3AEA"/>
    <w:rsid w:val="003A3B1B"/>
    <w:rsid w:val="003A5975"/>
    <w:rsid w:val="003B4B4B"/>
    <w:rsid w:val="003B732D"/>
    <w:rsid w:val="003C0758"/>
    <w:rsid w:val="003C1BA1"/>
    <w:rsid w:val="003C55A5"/>
    <w:rsid w:val="003C627C"/>
    <w:rsid w:val="003C7D7F"/>
    <w:rsid w:val="003D14FE"/>
    <w:rsid w:val="003D16EF"/>
    <w:rsid w:val="003D4C7D"/>
    <w:rsid w:val="003D66FB"/>
    <w:rsid w:val="003D6D22"/>
    <w:rsid w:val="003D7FE9"/>
    <w:rsid w:val="003E047F"/>
    <w:rsid w:val="003E076E"/>
    <w:rsid w:val="003E2882"/>
    <w:rsid w:val="003E2B12"/>
    <w:rsid w:val="003E4B24"/>
    <w:rsid w:val="003E4EB2"/>
    <w:rsid w:val="003E7D98"/>
    <w:rsid w:val="003F06AA"/>
    <w:rsid w:val="003F0E19"/>
    <w:rsid w:val="003F12FF"/>
    <w:rsid w:val="003F1904"/>
    <w:rsid w:val="003F2EF2"/>
    <w:rsid w:val="00400C72"/>
    <w:rsid w:val="00400DCA"/>
    <w:rsid w:val="00403C24"/>
    <w:rsid w:val="004069B1"/>
    <w:rsid w:val="0041327F"/>
    <w:rsid w:val="004137C4"/>
    <w:rsid w:val="00413835"/>
    <w:rsid w:val="004142E0"/>
    <w:rsid w:val="0041607A"/>
    <w:rsid w:val="00420593"/>
    <w:rsid w:val="004234C6"/>
    <w:rsid w:val="00424044"/>
    <w:rsid w:val="00425ACD"/>
    <w:rsid w:val="0043768F"/>
    <w:rsid w:val="00440168"/>
    <w:rsid w:val="00441DCC"/>
    <w:rsid w:val="00442D53"/>
    <w:rsid w:val="00443B2C"/>
    <w:rsid w:val="004452A1"/>
    <w:rsid w:val="004550EA"/>
    <w:rsid w:val="00457E64"/>
    <w:rsid w:val="004613A1"/>
    <w:rsid w:val="00461464"/>
    <w:rsid w:val="0046499C"/>
    <w:rsid w:val="00465CA8"/>
    <w:rsid w:val="00466501"/>
    <w:rsid w:val="00470F43"/>
    <w:rsid w:val="00473518"/>
    <w:rsid w:val="00473587"/>
    <w:rsid w:val="00476047"/>
    <w:rsid w:val="0047610E"/>
    <w:rsid w:val="00477BA6"/>
    <w:rsid w:val="00480F55"/>
    <w:rsid w:val="00483CB5"/>
    <w:rsid w:val="0048466B"/>
    <w:rsid w:val="00493409"/>
    <w:rsid w:val="004953AA"/>
    <w:rsid w:val="00497706"/>
    <w:rsid w:val="004A0929"/>
    <w:rsid w:val="004A2524"/>
    <w:rsid w:val="004A2533"/>
    <w:rsid w:val="004A2E20"/>
    <w:rsid w:val="004A77D8"/>
    <w:rsid w:val="004B0223"/>
    <w:rsid w:val="004B0E14"/>
    <w:rsid w:val="004B1596"/>
    <w:rsid w:val="004B1DB4"/>
    <w:rsid w:val="004B511C"/>
    <w:rsid w:val="004B51A2"/>
    <w:rsid w:val="004B7DA3"/>
    <w:rsid w:val="004C0C34"/>
    <w:rsid w:val="004C49F1"/>
    <w:rsid w:val="004C4BA7"/>
    <w:rsid w:val="004C6F48"/>
    <w:rsid w:val="004C70BB"/>
    <w:rsid w:val="004D175C"/>
    <w:rsid w:val="004D23D8"/>
    <w:rsid w:val="004D48B8"/>
    <w:rsid w:val="004D49FE"/>
    <w:rsid w:val="004D5232"/>
    <w:rsid w:val="004D74C1"/>
    <w:rsid w:val="004E094C"/>
    <w:rsid w:val="004E1C94"/>
    <w:rsid w:val="004E2367"/>
    <w:rsid w:val="004E2B57"/>
    <w:rsid w:val="004E596A"/>
    <w:rsid w:val="004E5ABA"/>
    <w:rsid w:val="004E7C62"/>
    <w:rsid w:val="004F16F9"/>
    <w:rsid w:val="004F2344"/>
    <w:rsid w:val="004F2E09"/>
    <w:rsid w:val="004F320A"/>
    <w:rsid w:val="004F6036"/>
    <w:rsid w:val="004F71F4"/>
    <w:rsid w:val="005046D8"/>
    <w:rsid w:val="005073E0"/>
    <w:rsid w:val="00511433"/>
    <w:rsid w:val="005125C2"/>
    <w:rsid w:val="005130DC"/>
    <w:rsid w:val="005140C1"/>
    <w:rsid w:val="0051591C"/>
    <w:rsid w:val="005171F1"/>
    <w:rsid w:val="00521EB7"/>
    <w:rsid w:val="0052315D"/>
    <w:rsid w:val="00531DEA"/>
    <w:rsid w:val="005362AF"/>
    <w:rsid w:val="00540B36"/>
    <w:rsid w:val="00541E5F"/>
    <w:rsid w:val="005421E6"/>
    <w:rsid w:val="00542E10"/>
    <w:rsid w:val="00544E0D"/>
    <w:rsid w:val="00544E50"/>
    <w:rsid w:val="005462E8"/>
    <w:rsid w:val="00546F98"/>
    <w:rsid w:val="00547F19"/>
    <w:rsid w:val="00551B0C"/>
    <w:rsid w:val="00563158"/>
    <w:rsid w:val="005646FA"/>
    <w:rsid w:val="0057064B"/>
    <w:rsid w:val="005742CD"/>
    <w:rsid w:val="00575DF3"/>
    <w:rsid w:val="0057755F"/>
    <w:rsid w:val="005822BD"/>
    <w:rsid w:val="00582BE7"/>
    <w:rsid w:val="00583A2F"/>
    <w:rsid w:val="00584BE9"/>
    <w:rsid w:val="005851E1"/>
    <w:rsid w:val="00591FE1"/>
    <w:rsid w:val="00592FC4"/>
    <w:rsid w:val="005934EE"/>
    <w:rsid w:val="00593A80"/>
    <w:rsid w:val="005940B2"/>
    <w:rsid w:val="00595C7D"/>
    <w:rsid w:val="005A0A6A"/>
    <w:rsid w:val="005A2F3A"/>
    <w:rsid w:val="005A5966"/>
    <w:rsid w:val="005A5EB6"/>
    <w:rsid w:val="005A6486"/>
    <w:rsid w:val="005A6D85"/>
    <w:rsid w:val="005B27A9"/>
    <w:rsid w:val="005B45A8"/>
    <w:rsid w:val="005B63BC"/>
    <w:rsid w:val="005B75AD"/>
    <w:rsid w:val="005C3ABA"/>
    <w:rsid w:val="005C47B5"/>
    <w:rsid w:val="005C48CC"/>
    <w:rsid w:val="005C52C8"/>
    <w:rsid w:val="005C5B24"/>
    <w:rsid w:val="005C68F4"/>
    <w:rsid w:val="005D0486"/>
    <w:rsid w:val="005D245E"/>
    <w:rsid w:val="005D2550"/>
    <w:rsid w:val="005D31D7"/>
    <w:rsid w:val="005D4F1F"/>
    <w:rsid w:val="005D6257"/>
    <w:rsid w:val="005D6953"/>
    <w:rsid w:val="005D718F"/>
    <w:rsid w:val="005E08FD"/>
    <w:rsid w:val="005E5526"/>
    <w:rsid w:val="005E66E2"/>
    <w:rsid w:val="005F1432"/>
    <w:rsid w:val="005F1AA0"/>
    <w:rsid w:val="005F1F9E"/>
    <w:rsid w:val="005F482D"/>
    <w:rsid w:val="005F611C"/>
    <w:rsid w:val="006029B6"/>
    <w:rsid w:val="00603B15"/>
    <w:rsid w:val="00605343"/>
    <w:rsid w:val="00611200"/>
    <w:rsid w:val="00611AED"/>
    <w:rsid w:val="00613065"/>
    <w:rsid w:val="006130B7"/>
    <w:rsid w:val="0062441D"/>
    <w:rsid w:val="00624AC6"/>
    <w:rsid w:val="00624C88"/>
    <w:rsid w:val="00624E6E"/>
    <w:rsid w:val="00625B24"/>
    <w:rsid w:val="00626A28"/>
    <w:rsid w:val="00637D38"/>
    <w:rsid w:val="00641384"/>
    <w:rsid w:val="0064221F"/>
    <w:rsid w:val="00642221"/>
    <w:rsid w:val="006430A8"/>
    <w:rsid w:val="00646E6C"/>
    <w:rsid w:val="0064725D"/>
    <w:rsid w:val="00650BA4"/>
    <w:rsid w:val="00654277"/>
    <w:rsid w:val="00655C05"/>
    <w:rsid w:val="00656B56"/>
    <w:rsid w:val="00657B3A"/>
    <w:rsid w:val="00663348"/>
    <w:rsid w:val="00664EB8"/>
    <w:rsid w:val="00665691"/>
    <w:rsid w:val="0066656C"/>
    <w:rsid w:val="00667083"/>
    <w:rsid w:val="00667098"/>
    <w:rsid w:val="0067031C"/>
    <w:rsid w:val="00672A0B"/>
    <w:rsid w:val="006750FD"/>
    <w:rsid w:val="00676C1C"/>
    <w:rsid w:val="00683843"/>
    <w:rsid w:val="00692D35"/>
    <w:rsid w:val="00694C82"/>
    <w:rsid w:val="006953C8"/>
    <w:rsid w:val="006977FA"/>
    <w:rsid w:val="00697D7E"/>
    <w:rsid w:val="006A1656"/>
    <w:rsid w:val="006A3A3A"/>
    <w:rsid w:val="006A4184"/>
    <w:rsid w:val="006A4283"/>
    <w:rsid w:val="006B1BBB"/>
    <w:rsid w:val="006B30C4"/>
    <w:rsid w:val="006B40BB"/>
    <w:rsid w:val="006C3AF1"/>
    <w:rsid w:val="006C57C1"/>
    <w:rsid w:val="006C7012"/>
    <w:rsid w:val="006C7F19"/>
    <w:rsid w:val="006D0A29"/>
    <w:rsid w:val="006D2230"/>
    <w:rsid w:val="006D291E"/>
    <w:rsid w:val="006D34EC"/>
    <w:rsid w:val="006D5338"/>
    <w:rsid w:val="006D5486"/>
    <w:rsid w:val="006D743C"/>
    <w:rsid w:val="006E13FE"/>
    <w:rsid w:val="006E2DD0"/>
    <w:rsid w:val="006E7422"/>
    <w:rsid w:val="006F0215"/>
    <w:rsid w:val="006F210F"/>
    <w:rsid w:val="006F27D3"/>
    <w:rsid w:val="006F5C59"/>
    <w:rsid w:val="006F5EF9"/>
    <w:rsid w:val="006F6DBE"/>
    <w:rsid w:val="006F7150"/>
    <w:rsid w:val="006F79B0"/>
    <w:rsid w:val="00700C79"/>
    <w:rsid w:val="00700F79"/>
    <w:rsid w:val="00701901"/>
    <w:rsid w:val="007042E0"/>
    <w:rsid w:val="00704B2A"/>
    <w:rsid w:val="00705F66"/>
    <w:rsid w:val="00706548"/>
    <w:rsid w:val="0071140D"/>
    <w:rsid w:val="00711E47"/>
    <w:rsid w:val="00713B8C"/>
    <w:rsid w:val="00714028"/>
    <w:rsid w:val="007177F1"/>
    <w:rsid w:val="00717AB8"/>
    <w:rsid w:val="00720C0B"/>
    <w:rsid w:val="00720CF0"/>
    <w:rsid w:val="0072351B"/>
    <w:rsid w:val="00723C23"/>
    <w:rsid w:val="00726CB4"/>
    <w:rsid w:val="00726CED"/>
    <w:rsid w:val="007315B7"/>
    <w:rsid w:val="007331C7"/>
    <w:rsid w:val="00736E95"/>
    <w:rsid w:val="00737F90"/>
    <w:rsid w:val="00741CAE"/>
    <w:rsid w:val="007421DD"/>
    <w:rsid w:val="007425B0"/>
    <w:rsid w:val="00743D54"/>
    <w:rsid w:val="00744CE9"/>
    <w:rsid w:val="00745BC5"/>
    <w:rsid w:val="007461A2"/>
    <w:rsid w:val="007462F2"/>
    <w:rsid w:val="00746450"/>
    <w:rsid w:val="0074716A"/>
    <w:rsid w:val="00747E79"/>
    <w:rsid w:val="00750ECA"/>
    <w:rsid w:val="00752670"/>
    <w:rsid w:val="00754525"/>
    <w:rsid w:val="007555A4"/>
    <w:rsid w:val="00760218"/>
    <w:rsid w:val="007614CD"/>
    <w:rsid w:val="00764FD6"/>
    <w:rsid w:val="00765044"/>
    <w:rsid w:val="00766390"/>
    <w:rsid w:val="00766E18"/>
    <w:rsid w:val="007676CC"/>
    <w:rsid w:val="00767899"/>
    <w:rsid w:val="00775235"/>
    <w:rsid w:val="00776F42"/>
    <w:rsid w:val="00786291"/>
    <w:rsid w:val="00786B01"/>
    <w:rsid w:val="0079123A"/>
    <w:rsid w:val="00793728"/>
    <w:rsid w:val="007A10FA"/>
    <w:rsid w:val="007A1FA2"/>
    <w:rsid w:val="007A53F0"/>
    <w:rsid w:val="007A6A88"/>
    <w:rsid w:val="007B18F4"/>
    <w:rsid w:val="007B45A3"/>
    <w:rsid w:val="007C04FB"/>
    <w:rsid w:val="007C0EE2"/>
    <w:rsid w:val="007C316B"/>
    <w:rsid w:val="007C4EB4"/>
    <w:rsid w:val="007C6EEC"/>
    <w:rsid w:val="007C7AED"/>
    <w:rsid w:val="007D01AA"/>
    <w:rsid w:val="007D124E"/>
    <w:rsid w:val="007D12CB"/>
    <w:rsid w:val="007D1C13"/>
    <w:rsid w:val="007D1CBC"/>
    <w:rsid w:val="007D20F1"/>
    <w:rsid w:val="007D2A45"/>
    <w:rsid w:val="007D5828"/>
    <w:rsid w:val="007D6695"/>
    <w:rsid w:val="007D782E"/>
    <w:rsid w:val="007E280C"/>
    <w:rsid w:val="007E2AE6"/>
    <w:rsid w:val="007E35B9"/>
    <w:rsid w:val="007E3B3A"/>
    <w:rsid w:val="007E47B7"/>
    <w:rsid w:val="007E5073"/>
    <w:rsid w:val="007E712B"/>
    <w:rsid w:val="007E721D"/>
    <w:rsid w:val="007F01E3"/>
    <w:rsid w:val="007F0DE5"/>
    <w:rsid w:val="007F43A7"/>
    <w:rsid w:val="007F6014"/>
    <w:rsid w:val="0080004C"/>
    <w:rsid w:val="00801B4F"/>
    <w:rsid w:val="00802EDB"/>
    <w:rsid w:val="00803440"/>
    <w:rsid w:val="008044B9"/>
    <w:rsid w:val="008079E1"/>
    <w:rsid w:val="00810141"/>
    <w:rsid w:val="00811B82"/>
    <w:rsid w:val="0081550F"/>
    <w:rsid w:val="00815CA5"/>
    <w:rsid w:val="00817AFE"/>
    <w:rsid w:val="00817CAD"/>
    <w:rsid w:val="008203F1"/>
    <w:rsid w:val="008214E0"/>
    <w:rsid w:val="0082532F"/>
    <w:rsid w:val="008257C6"/>
    <w:rsid w:val="00825932"/>
    <w:rsid w:val="0082593D"/>
    <w:rsid w:val="00833FF8"/>
    <w:rsid w:val="00840661"/>
    <w:rsid w:val="008446FB"/>
    <w:rsid w:val="008509BC"/>
    <w:rsid w:val="0085145E"/>
    <w:rsid w:val="00860BAC"/>
    <w:rsid w:val="008629F5"/>
    <w:rsid w:val="00867083"/>
    <w:rsid w:val="008673B5"/>
    <w:rsid w:val="008744B7"/>
    <w:rsid w:val="00874518"/>
    <w:rsid w:val="00874CAE"/>
    <w:rsid w:val="00877E17"/>
    <w:rsid w:val="0088096F"/>
    <w:rsid w:val="008822B8"/>
    <w:rsid w:val="00882DE3"/>
    <w:rsid w:val="00883801"/>
    <w:rsid w:val="00884CE8"/>
    <w:rsid w:val="0088512A"/>
    <w:rsid w:val="00885D1A"/>
    <w:rsid w:val="008878E3"/>
    <w:rsid w:val="0089022B"/>
    <w:rsid w:val="00891ECA"/>
    <w:rsid w:val="00892DBF"/>
    <w:rsid w:val="00896B7B"/>
    <w:rsid w:val="00897629"/>
    <w:rsid w:val="008A0332"/>
    <w:rsid w:val="008A0B30"/>
    <w:rsid w:val="008A1AA0"/>
    <w:rsid w:val="008A297F"/>
    <w:rsid w:val="008A61BC"/>
    <w:rsid w:val="008A7747"/>
    <w:rsid w:val="008A7DD1"/>
    <w:rsid w:val="008A7E84"/>
    <w:rsid w:val="008B1EE6"/>
    <w:rsid w:val="008B50EA"/>
    <w:rsid w:val="008B5830"/>
    <w:rsid w:val="008B5B27"/>
    <w:rsid w:val="008C04CE"/>
    <w:rsid w:val="008C0B58"/>
    <w:rsid w:val="008C100E"/>
    <w:rsid w:val="008C1BF5"/>
    <w:rsid w:val="008C1F9D"/>
    <w:rsid w:val="008C2B2C"/>
    <w:rsid w:val="008C71AC"/>
    <w:rsid w:val="008C7D58"/>
    <w:rsid w:val="008D03C9"/>
    <w:rsid w:val="008D7A21"/>
    <w:rsid w:val="008E3FAA"/>
    <w:rsid w:val="008F0689"/>
    <w:rsid w:val="008F137D"/>
    <w:rsid w:val="008F3E8E"/>
    <w:rsid w:val="008F406B"/>
    <w:rsid w:val="008F4D13"/>
    <w:rsid w:val="008F7A6D"/>
    <w:rsid w:val="009005D8"/>
    <w:rsid w:val="009025F6"/>
    <w:rsid w:val="009047C2"/>
    <w:rsid w:val="00906947"/>
    <w:rsid w:val="0091041B"/>
    <w:rsid w:val="00914642"/>
    <w:rsid w:val="00915643"/>
    <w:rsid w:val="00917CC6"/>
    <w:rsid w:val="009207EC"/>
    <w:rsid w:val="00920F77"/>
    <w:rsid w:val="00923BFD"/>
    <w:rsid w:val="00925A62"/>
    <w:rsid w:val="00925C97"/>
    <w:rsid w:val="0093050F"/>
    <w:rsid w:val="009351BF"/>
    <w:rsid w:val="00936D4E"/>
    <w:rsid w:val="00940C34"/>
    <w:rsid w:val="009426DD"/>
    <w:rsid w:val="009443E0"/>
    <w:rsid w:val="009444FA"/>
    <w:rsid w:val="00945F31"/>
    <w:rsid w:val="009466FB"/>
    <w:rsid w:val="00950524"/>
    <w:rsid w:val="00950A71"/>
    <w:rsid w:val="009526A5"/>
    <w:rsid w:val="009553E1"/>
    <w:rsid w:val="00955634"/>
    <w:rsid w:val="009568F0"/>
    <w:rsid w:val="0096063B"/>
    <w:rsid w:val="00961D21"/>
    <w:rsid w:val="009625F8"/>
    <w:rsid w:val="00962D7D"/>
    <w:rsid w:val="00964DC8"/>
    <w:rsid w:val="00965E10"/>
    <w:rsid w:val="00966081"/>
    <w:rsid w:val="0096693C"/>
    <w:rsid w:val="00971775"/>
    <w:rsid w:val="0097564B"/>
    <w:rsid w:val="00975C33"/>
    <w:rsid w:val="00980C6E"/>
    <w:rsid w:val="009821D1"/>
    <w:rsid w:val="00985622"/>
    <w:rsid w:val="00990F84"/>
    <w:rsid w:val="0099402A"/>
    <w:rsid w:val="00994C84"/>
    <w:rsid w:val="00996C75"/>
    <w:rsid w:val="00997254"/>
    <w:rsid w:val="009A16E3"/>
    <w:rsid w:val="009A1A9C"/>
    <w:rsid w:val="009A5246"/>
    <w:rsid w:val="009A6BDE"/>
    <w:rsid w:val="009B1292"/>
    <w:rsid w:val="009B1355"/>
    <w:rsid w:val="009B45A9"/>
    <w:rsid w:val="009B65D3"/>
    <w:rsid w:val="009B6F48"/>
    <w:rsid w:val="009C1CA3"/>
    <w:rsid w:val="009D3C83"/>
    <w:rsid w:val="009D4804"/>
    <w:rsid w:val="009D4FA4"/>
    <w:rsid w:val="009D5791"/>
    <w:rsid w:val="009D76BD"/>
    <w:rsid w:val="009E1543"/>
    <w:rsid w:val="009E1E44"/>
    <w:rsid w:val="009E2F5C"/>
    <w:rsid w:val="009E3454"/>
    <w:rsid w:val="009E4D08"/>
    <w:rsid w:val="009E5E07"/>
    <w:rsid w:val="009F00A3"/>
    <w:rsid w:val="009F3D38"/>
    <w:rsid w:val="009F5718"/>
    <w:rsid w:val="00A00222"/>
    <w:rsid w:val="00A0077B"/>
    <w:rsid w:val="00A01008"/>
    <w:rsid w:val="00A0121F"/>
    <w:rsid w:val="00A02FCE"/>
    <w:rsid w:val="00A04D4E"/>
    <w:rsid w:val="00A04E8E"/>
    <w:rsid w:val="00A0669F"/>
    <w:rsid w:val="00A10C62"/>
    <w:rsid w:val="00A11022"/>
    <w:rsid w:val="00A12579"/>
    <w:rsid w:val="00A12EBA"/>
    <w:rsid w:val="00A20F4B"/>
    <w:rsid w:val="00A23453"/>
    <w:rsid w:val="00A24E03"/>
    <w:rsid w:val="00A27C42"/>
    <w:rsid w:val="00A30DBE"/>
    <w:rsid w:val="00A36878"/>
    <w:rsid w:val="00A37B7C"/>
    <w:rsid w:val="00A42FD4"/>
    <w:rsid w:val="00A44F7A"/>
    <w:rsid w:val="00A505D5"/>
    <w:rsid w:val="00A5452F"/>
    <w:rsid w:val="00A54F48"/>
    <w:rsid w:val="00A553E2"/>
    <w:rsid w:val="00A5725A"/>
    <w:rsid w:val="00A57946"/>
    <w:rsid w:val="00A60468"/>
    <w:rsid w:val="00A614C8"/>
    <w:rsid w:val="00A615C7"/>
    <w:rsid w:val="00A61948"/>
    <w:rsid w:val="00A65BF4"/>
    <w:rsid w:val="00A664DC"/>
    <w:rsid w:val="00A70E90"/>
    <w:rsid w:val="00A7133E"/>
    <w:rsid w:val="00A73E85"/>
    <w:rsid w:val="00A75F50"/>
    <w:rsid w:val="00A81E91"/>
    <w:rsid w:val="00A83592"/>
    <w:rsid w:val="00A850F2"/>
    <w:rsid w:val="00A85292"/>
    <w:rsid w:val="00A90124"/>
    <w:rsid w:val="00A903EC"/>
    <w:rsid w:val="00A90B45"/>
    <w:rsid w:val="00A91A8D"/>
    <w:rsid w:val="00A92A0B"/>
    <w:rsid w:val="00A957F0"/>
    <w:rsid w:val="00AA0760"/>
    <w:rsid w:val="00AA181F"/>
    <w:rsid w:val="00AA21C1"/>
    <w:rsid w:val="00AA397A"/>
    <w:rsid w:val="00AA4B03"/>
    <w:rsid w:val="00AA55ED"/>
    <w:rsid w:val="00AA5F1D"/>
    <w:rsid w:val="00AA66C3"/>
    <w:rsid w:val="00AB12D7"/>
    <w:rsid w:val="00AB178B"/>
    <w:rsid w:val="00AB54EE"/>
    <w:rsid w:val="00AB5752"/>
    <w:rsid w:val="00AB764D"/>
    <w:rsid w:val="00AC0B0E"/>
    <w:rsid w:val="00AC1C82"/>
    <w:rsid w:val="00AC28ED"/>
    <w:rsid w:val="00AC5BCF"/>
    <w:rsid w:val="00AC61D7"/>
    <w:rsid w:val="00AD0DBA"/>
    <w:rsid w:val="00AD1E28"/>
    <w:rsid w:val="00AE08B2"/>
    <w:rsid w:val="00AE17D7"/>
    <w:rsid w:val="00AE236C"/>
    <w:rsid w:val="00AE39EA"/>
    <w:rsid w:val="00AE4466"/>
    <w:rsid w:val="00AE63D1"/>
    <w:rsid w:val="00AF0E57"/>
    <w:rsid w:val="00AF3BE2"/>
    <w:rsid w:val="00AF4D21"/>
    <w:rsid w:val="00AF74E4"/>
    <w:rsid w:val="00B01422"/>
    <w:rsid w:val="00B0462C"/>
    <w:rsid w:val="00B04728"/>
    <w:rsid w:val="00B04AFF"/>
    <w:rsid w:val="00B05DD0"/>
    <w:rsid w:val="00B06C7E"/>
    <w:rsid w:val="00B102BE"/>
    <w:rsid w:val="00B10450"/>
    <w:rsid w:val="00B108F7"/>
    <w:rsid w:val="00B12AD7"/>
    <w:rsid w:val="00B12BBE"/>
    <w:rsid w:val="00B1580D"/>
    <w:rsid w:val="00B1792D"/>
    <w:rsid w:val="00B2119C"/>
    <w:rsid w:val="00B2183D"/>
    <w:rsid w:val="00B245D0"/>
    <w:rsid w:val="00B24733"/>
    <w:rsid w:val="00B27ECA"/>
    <w:rsid w:val="00B30C65"/>
    <w:rsid w:val="00B32185"/>
    <w:rsid w:val="00B35473"/>
    <w:rsid w:val="00B35D4C"/>
    <w:rsid w:val="00B37750"/>
    <w:rsid w:val="00B40CF7"/>
    <w:rsid w:val="00B40DF1"/>
    <w:rsid w:val="00B413E2"/>
    <w:rsid w:val="00B43248"/>
    <w:rsid w:val="00B43634"/>
    <w:rsid w:val="00B50870"/>
    <w:rsid w:val="00B547EE"/>
    <w:rsid w:val="00B56D2A"/>
    <w:rsid w:val="00B605B9"/>
    <w:rsid w:val="00B61801"/>
    <w:rsid w:val="00B64B99"/>
    <w:rsid w:val="00B65F86"/>
    <w:rsid w:val="00B6698B"/>
    <w:rsid w:val="00B70BE2"/>
    <w:rsid w:val="00B7255A"/>
    <w:rsid w:val="00B72D78"/>
    <w:rsid w:val="00B73499"/>
    <w:rsid w:val="00B73D1C"/>
    <w:rsid w:val="00B74394"/>
    <w:rsid w:val="00B74635"/>
    <w:rsid w:val="00B800AD"/>
    <w:rsid w:val="00B83A52"/>
    <w:rsid w:val="00B860DC"/>
    <w:rsid w:val="00B90A80"/>
    <w:rsid w:val="00B93D2A"/>
    <w:rsid w:val="00B940B5"/>
    <w:rsid w:val="00B94874"/>
    <w:rsid w:val="00B94919"/>
    <w:rsid w:val="00BA13F2"/>
    <w:rsid w:val="00BA220A"/>
    <w:rsid w:val="00BA405C"/>
    <w:rsid w:val="00BA4B17"/>
    <w:rsid w:val="00BA7816"/>
    <w:rsid w:val="00BB6531"/>
    <w:rsid w:val="00BC407B"/>
    <w:rsid w:val="00BC49DC"/>
    <w:rsid w:val="00BC508A"/>
    <w:rsid w:val="00BD10BA"/>
    <w:rsid w:val="00BD14A3"/>
    <w:rsid w:val="00BD20D5"/>
    <w:rsid w:val="00BD2F0F"/>
    <w:rsid w:val="00BD5546"/>
    <w:rsid w:val="00BD728B"/>
    <w:rsid w:val="00BD72D5"/>
    <w:rsid w:val="00BE2FA3"/>
    <w:rsid w:val="00BE3550"/>
    <w:rsid w:val="00BE7ED3"/>
    <w:rsid w:val="00BF202C"/>
    <w:rsid w:val="00BF2259"/>
    <w:rsid w:val="00BF4298"/>
    <w:rsid w:val="00BF4E86"/>
    <w:rsid w:val="00BF57D1"/>
    <w:rsid w:val="00BF5AA0"/>
    <w:rsid w:val="00BF6E8D"/>
    <w:rsid w:val="00C01279"/>
    <w:rsid w:val="00C065F2"/>
    <w:rsid w:val="00C0690A"/>
    <w:rsid w:val="00C06C3D"/>
    <w:rsid w:val="00C07191"/>
    <w:rsid w:val="00C108A7"/>
    <w:rsid w:val="00C11329"/>
    <w:rsid w:val="00C1525E"/>
    <w:rsid w:val="00C176A4"/>
    <w:rsid w:val="00C20523"/>
    <w:rsid w:val="00C20A13"/>
    <w:rsid w:val="00C2152D"/>
    <w:rsid w:val="00C26991"/>
    <w:rsid w:val="00C27882"/>
    <w:rsid w:val="00C3143C"/>
    <w:rsid w:val="00C358DB"/>
    <w:rsid w:val="00C370D9"/>
    <w:rsid w:val="00C37338"/>
    <w:rsid w:val="00C37702"/>
    <w:rsid w:val="00C40EBE"/>
    <w:rsid w:val="00C4181E"/>
    <w:rsid w:val="00C41AAE"/>
    <w:rsid w:val="00C41DCF"/>
    <w:rsid w:val="00C4303B"/>
    <w:rsid w:val="00C4467E"/>
    <w:rsid w:val="00C447C6"/>
    <w:rsid w:val="00C45871"/>
    <w:rsid w:val="00C47A10"/>
    <w:rsid w:val="00C47C63"/>
    <w:rsid w:val="00C511BB"/>
    <w:rsid w:val="00C5435D"/>
    <w:rsid w:val="00C546A5"/>
    <w:rsid w:val="00C55877"/>
    <w:rsid w:val="00C56C3B"/>
    <w:rsid w:val="00C61894"/>
    <w:rsid w:val="00C638FF"/>
    <w:rsid w:val="00C67F17"/>
    <w:rsid w:val="00C67FB3"/>
    <w:rsid w:val="00C715A0"/>
    <w:rsid w:val="00C72340"/>
    <w:rsid w:val="00C7630A"/>
    <w:rsid w:val="00C813EB"/>
    <w:rsid w:val="00C81CC2"/>
    <w:rsid w:val="00C8301A"/>
    <w:rsid w:val="00C83884"/>
    <w:rsid w:val="00C85BCB"/>
    <w:rsid w:val="00C86722"/>
    <w:rsid w:val="00C9293F"/>
    <w:rsid w:val="00C930B0"/>
    <w:rsid w:val="00C93BE3"/>
    <w:rsid w:val="00C96767"/>
    <w:rsid w:val="00C96B9A"/>
    <w:rsid w:val="00CA636D"/>
    <w:rsid w:val="00CB10F0"/>
    <w:rsid w:val="00CB1F3B"/>
    <w:rsid w:val="00CB296F"/>
    <w:rsid w:val="00CB48CE"/>
    <w:rsid w:val="00CB5596"/>
    <w:rsid w:val="00CB767F"/>
    <w:rsid w:val="00CC1124"/>
    <w:rsid w:val="00CC468B"/>
    <w:rsid w:val="00CC5139"/>
    <w:rsid w:val="00CC7A78"/>
    <w:rsid w:val="00CD3E70"/>
    <w:rsid w:val="00CE2B08"/>
    <w:rsid w:val="00CE3408"/>
    <w:rsid w:val="00CE5DB4"/>
    <w:rsid w:val="00CE7761"/>
    <w:rsid w:val="00CF257F"/>
    <w:rsid w:val="00D005C3"/>
    <w:rsid w:val="00D01A7F"/>
    <w:rsid w:val="00D03C9C"/>
    <w:rsid w:val="00D05076"/>
    <w:rsid w:val="00D10357"/>
    <w:rsid w:val="00D1077F"/>
    <w:rsid w:val="00D12B54"/>
    <w:rsid w:val="00D13CD8"/>
    <w:rsid w:val="00D15F74"/>
    <w:rsid w:val="00D21D52"/>
    <w:rsid w:val="00D22F48"/>
    <w:rsid w:val="00D252CB"/>
    <w:rsid w:val="00D26B6F"/>
    <w:rsid w:val="00D32A2D"/>
    <w:rsid w:val="00D32FB4"/>
    <w:rsid w:val="00D33291"/>
    <w:rsid w:val="00D37F23"/>
    <w:rsid w:val="00D37F3D"/>
    <w:rsid w:val="00D411A3"/>
    <w:rsid w:val="00D43EAA"/>
    <w:rsid w:val="00D44ABA"/>
    <w:rsid w:val="00D46DFB"/>
    <w:rsid w:val="00D47045"/>
    <w:rsid w:val="00D5003F"/>
    <w:rsid w:val="00D50D3E"/>
    <w:rsid w:val="00D53D74"/>
    <w:rsid w:val="00D5456B"/>
    <w:rsid w:val="00D54907"/>
    <w:rsid w:val="00D54C85"/>
    <w:rsid w:val="00D5584D"/>
    <w:rsid w:val="00D564ED"/>
    <w:rsid w:val="00D6040E"/>
    <w:rsid w:val="00D61423"/>
    <w:rsid w:val="00D6184A"/>
    <w:rsid w:val="00D7110B"/>
    <w:rsid w:val="00D73FDD"/>
    <w:rsid w:val="00D76035"/>
    <w:rsid w:val="00D767F0"/>
    <w:rsid w:val="00D771B6"/>
    <w:rsid w:val="00D81B80"/>
    <w:rsid w:val="00D836B8"/>
    <w:rsid w:val="00D850BA"/>
    <w:rsid w:val="00D851C0"/>
    <w:rsid w:val="00D856C6"/>
    <w:rsid w:val="00D86511"/>
    <w:rsid w:val="00D875C0"/>
    <w:rsid w:val="00D90017"/>
    <w:rsid w:val="00D91357"/>
    <w:rsid w:val="00D9170C"/>
    <w:rsid w:val="00D92009"/>
    <w:rsid w:val="00D93F9B"/>
    <w:rsid w:val="00D943DB"/>
    <w:rsid w:val="00D94935"/>
    <w:rsid w:val="00D9544A"/>
    <w:rsid w:val="00D9591C"/>
    <w:rsid w:val="00D97BE9"/>
    <w:rsid w:val="00DA1B6C"/>
    <w:rsid w:val="00DA2BE8"/>
    <w:rsid w:val="00DA3A65"/>
    <w:rsid w:val="00DA7ACE"/>
    <w:rsid w:val="00DB103C"/>
    <w:rsid w:val="00DB2A6B"/>
    <w:rsid w:val="00DB646D"/>
    <w:rsid w:val="00DC1258"/>
    <w:rsid w:val="00DC175D"/>
    <w:rsid w:val="00DC4D52"/>
    <w:rsid w:val="00DC52B3"/>
    <w:rsid w:val="00DC59E3"/>
    <w:rsid w:val="00DC5DB1"/>
    <w:rsid w:val="00DD0068"/>
    <w:rsid w:val="00DD1922"/>
    <w:rsid w:val="00DD25F6"/>
    <w:rsid w:val="00DD3A95"/>
    <w:rsid w:val="00DD5D1E"/>
    <w:rsid w:val="00DD7B47"/>
    <w:rsid w:val="00DE0911"/>
    <w:rsid w:val="00DE17C7"/>
    <w:rsid w:val="00DE4571"/>
    <w:rsid w:val="00DE6AB0"/>
    <w:rsid w:val="00DE7576"/>
    <w:rsid w:val="00DF1785"/>
    <w:rsid w:val="00DF1A1A"/>
    <w:rsid w:val="00DF2C04"/>
    <w:rsid w:val="00DF6104"/>
    <w:rsid w:val="00DF7E45"/>
    <w:rsid w:val="00E01FA7"/>
    <w:rsid w:val="00E032D2"/>
    <w:rsid w:val="00E03D11"/>
    <w:rsid w:val="00E1123F"/>
    <w:rsid w:val="00E1204F"/>
    <w:rsid w:val="00E162E2"/>
    <w:rsid w:val="00E16C0E"/>
    <w:rsid w:val="00E2263E"/>
    <w:rsid w:val="00E2448B"/>
    <w:rsid w:val="00E25439"/>
    <w:rsid w:val="00E27737"/>
    <w:rsid w:val="00E312D1"/>
    <w:rsid w:val="00E35FCB"/>
    <w:rsid w:val="00E363F5"/>
    <w:rsid w:val="00E36BC8"/>
    <w:rsid w:val="00E40BD3"/>
    <w:rsid w:val="00E41EBF"/>
    <w:rsid w:val="00E422C6"/>
    <w:rsid w:val="00E42D0A"/>
    <w:rsid w:val="00E43BEF"/>
    <w:rsid w:val="00E51884"/>
    <w:rsid w:val="00E62AEC"/>
    <w:rsid w:val="00E63A7D"/>
    <w:rsid w:val="00E6543A"/>
    <w:rsid w:val="00E655FA"/>
    <w:rsid w:val="00E668A0"/>
    <w:rsid w:val="00E673AB"/>
    <w:rsid w:val="00E67DD1"/>
    <w:rsid w:val="00E71063"/>
    <w:rsid w:val="00E71217"/>
    <w:rsid w:val="00E72AAE"/>
    <w:rsid w:val="00E72B07"/>
    <w:rsid w:val="00E739AD"/>
    <w:rsid w:val="00E7740D"/>
    <w:rsid w:val="00E77500"/>
    <w:rsid w:val="00E80722"/>
    <w:rsid w:val="00E855B6"/>
    <w:rsid w:val="00E869E7"/>
    <w:rsid w:val="00E8789E"/>
    <w:rsid w:val="00E91F47"/>
    <w:rsid w:val="00E920E0"/>
    <w:rsid w:val="00E94596"/>
    <w:rsid w:val="00EA114C"/>
    <w:rsid w:val="00EA11F0"/>
    <w:rsid w:val="00EA3943"/>
    <w:rsid w:val="00EA39BB"/>
    <w:rsid w:val="00EA464E"/>
    <w:rsid w:val="00EA5D6C"/>
    <w:rsid w:val="00EA70BD"/>
    <w:rsid w:val="00EA76E7"/>
    <w:rsid w:val="00EB0595"/>
    <w:rsid w:val="00EB1607"/>
    <w:rsid w:val="00EB4C4F"/>
    <w:rsid w:val="00EB564A"/>
    <w:rsid w:val="00EB5831"/>
    <w:rsid w:val="00EB615E"/>
    <w:rsid w:val="00EC42EB"/>
    <w:rsid w:val="00EC5159"/>
    <w:rsid w:val="00EC5425"/>
    <w:rsid w:val="00EC6AEE"/>
    <w:rsid w:val="00EC6D7F"/>
    <w:rsid w:val="00ED097F"/>
    <w:rsid w:val="00ED2457"/>
    <w:rsid w:val="00ED6B03"/>
    <w:rsid w:val="00EE0F3F"/>
    <w:rsid w:val="00EE1B5D"/>
    <w:rsid w:val="00EE2CD2"/>
    <w:rsid w:val="00EE3E97"/>
    <w:rsid w:val="00EE4645"/>
    <w:rsid w:val="00EE51C4"/>
    <w:rsid w:val="00EE66E5"/>
    <w:rsid w:val="00EF0255"/>
    <w:rsid w:val="00EF0E13"/>
    <w:rsid w:val="00EF23BE"/>
    <w:rsid w:val="00EF2E83"/>
    <w:rsid w:val="00EF7EB3"/>
    <w:rsid w:val="00F0204E"/>
    <w:rsid w:val="00F0231E"/>
    <w:rsid w:val="00F02387"/>
    <w:rsid w:val="00F03AAD"/>
    <w:rsid w:val="00F049B4"/>
    <w:rsid w:val="00F06EAC"/>
    <w:rsid w:val="00F112A8"/>
    <w:rsid w:val="00F11E6D"/>
    <w:rsid w:val="00F132A2"/>
    <w:rsid w:val="00F143DE"/>
    <w:rsid w:val="00F17A6C"/>
    <w:rsid w:val="00F20276"/>
    <w:rsid w:val="00F204F4"/>
    <w:rsid w:val="00F20564"/>
    <w:rsid w:val="00F2174C"/>
    <w:rsid w:val="00F25781"/>
    <w:rsid w:val="00F265E3"/>
    <w:rsid w:val="00F26C24"/>
    <w:rsid w:val="00F26CF4"/>
    <w:rsid w:val="00F34A66"/>
    <w:rsid w:val="00F372B9"/>
    <w:rsid w:val="00F3741F"/>
    <w:rsid w:val="00F403A5"/>
    <w:rsid w:val="00F42454"/>
    <w:rsid w:val="00F4267C"/>
    <w:rsid w:val="00F54540"/>
    <w:rsid w:val="00F55180"/>
    <w:rsid w:val="00F55DD9"/>
    <w:rsid w:val="00F56EAA"/>
    <w:rsid w:val="00F60970"/>
    <w:rsid w:val="00F62F53"/>
    <w:rsid w:val="00F637AE"/>
    <w:rsid w:val="00F63819"/>
    <w:rsid w:val="00F6667B"/>
    <w:rsid w:val="00F70824"/>
    <w:rsid w:val="00F70B61"/>
    <w:rsid w:val="00F7228F"/>
    <w:rsid w:val="00F768C8"/>
    <w:rsid w:val="00F77194"/>
    <w:rsid w:val="00F810FC"/>
    <w:rsid w:val="00F827B3"/>
    <w:rsid w:val="00F8621E"/>
    <w:rsid w:val="00F90C1E"/>
    <w:rsid w:val="00F90D3C"/>
    <w:rsid w:val="00F91EC6"/>
    <w:rsid w:val="00F9214D"/>
    <w:rsid w:val="00F93D9F"/>
    <w:rsid w:val="00F943D8"/>
    <w:rsid w:val="00F97D7E"/>
    <w:rsid w:val="00FA019B"/>
    <w:rsid w:val="00FA1973"/>
    <w:rsid w:val="00FA2ED3"/>
    <w:rsid w:val="00FA562E"/>
    <w:rsid w:val="00FA5D2E"/>
    <w:rsid w:val="00FA6F49"/>
    <w:rsid w:val="00FA7007"/>
    <w:rsid w:val="00FB0E8D"/>
    <w:rsid w:val="00FB2FC4"/>
    <w:rsid w:val="00FB723C"/>
    <w:rsid w:val="00FC56E1"/>
    <w:rsid w:val="00FC596B"/>
    <w:rsid w:val="00FC6315"/>
    <w:rsid w:val="00FC773D"/>
    <w:rsid w:val="00FD053E"/>
    <w:rsid w:val="00FD115C"/>
    <w:rsid w:val="00FD1852"/>
    <w:rsid w:val="00FD3269"/>
    <w:rsid w:val="00FD37E9"/>
    <w:rsid w:val="00FE0586"/>
    <w:rsid w:val="00FE09A9"/>
    <w:rsid w:val="00FE1B6F"/>
    <w:rsid w:val="00FE25BC"/>
    <w:rsid w:val="00FE318D"/>
    <w:rsid w:val="00FE4122"/>
    <w:rsid w:val="00FE52A2"/>
    <w:rsid w:val="00FE58BC"/>
    <w:rsid w:val="00FE5C43"/>
    <w:rsid w:val="00FF2889"/>
    <w:rsid w:val="00FF3B11"/>
    <w:rsid w:val="00FF5078"/>
    <w:rsid w:val="00FF607C"/>
    <w:rsid w:val="00FF674B"/>
    <w:rsid w:val="00FF684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F25781"/>
    <w:rPr>
      <w:lang w:eastAsia="cs-CZ"/>
    </w:rPr>
  </w:style>
  <w:style w:type="paragraph" w:styleId="Nadpis1">
    <w:name w:val="heading 1"/>
    <w:basedOn w:val="Normlny"/>
    <w:next w:val="Normlny"/>
    <w:link w:val="Nadpis1Char"/>
    <w:qFormat/>
    <w:rsid w:val="00F25781"/>
    <w:pPr>
      <w:keepNext/>
      <w:spacing w:before="240" w:after="60"/>
      <w:outlineLvl w:val="0"/>
    </w:pPr>
    <w:rPr>
      <w:rFonts w:ascii="Cambria" w:hAnsi="Cambria"/>
      <w:b/>
      <w:bCs/>
      <w:kern w:val="32"/>
      <w:sz w:val="32"/>
      <w:szCs w:val="32"/>
    </w:rPr>
  </w:style>
  <w:style w:type="paragraph" w:styleId="Nadpis2">
    <w:name w:val="heading 2"/>
    <w:basedOn w:val="Normlny"/>
    <w:next w:val="Normlny"/>
    <w:link w:val="Nadpis2Char"/>
    <w:qFormat/>
    <w:rsid w:val="00F25781"/>
    <w:pPr>
      <w:keepNext/>
      <w:tabs>
        <w:tab w:val="left" w:pos="567"/>
      </w:tabs>
      <w:spacing w:before="240" w:after="60" w:line="260" w:lineRule="exact"/>
      <w:outlineLvl w:val="1"/>
    </w:pPr>
    <w:rPr>
      <w:rFonts w:ascii="Helvetica" w:hAnsi="Helvetica"/>
      <w:b/>
      <w:i/>
      <w:sz w:val="24"/>
      <w:lang w:val="cs-CZ" w:eastAsia="en-US"/>
    </w:rPr>
  </w:style>
  <w:style w:type="character" w:default="1" w:styleId="Predvolenpsmoodseku">
    <w:name w:val="Default Paragraph Font"/>
    <w:semiHidden/>
  </w:style>
  <w:style w:type="table" w:default="1" w:styleId="Normlnatabuka">
    <w:name w:val="Normal Table"/>
    <w:semiHidden/>
    <w:tblPr>
      <w:tblInd w:w="0" w:type="dxa"/>
      <w:tblCellMar>
        <w:top w:w="0" w:type="dxa"/>
        <w:left w:w="108" w:type="dxa"/>
        <w:bottom w:w="0" w:type="dxa"/>
        <w:right w:w="108" w:type="dxa"/>
      </w:tblCellMar>
    </w:tblPr>
  </w:style>
  <w:style w:type="numbering" w:default="1" w:styleId="Bezzoznamu">
    <w:name w:val="No List"/>
    <w:semiHidden/>
  </w:style>
  <w:style w:type="paragraph" w:styleId="Pta">
    <w:name w:val="footer"/>
    <w:basedOn w:val="Normlny"/>
    <w:rsid w:val="00F25781"/>
    <w:pPr>
      <w:tabs>
        <w:tab w:val="center" w:pos="4536"/>
        <w:tab w:val="right" w:pos="9072"/>
      </w:tabs>
    </w:pPr>
  </w:style>
  <w:style w:type="character" w:styleId="slostrany">
    <w:name w:val="page number"/>
    <w:basedOn w:val="Predvolenpsmoodseku"/>
    <w:rsid w:val="00F25781"/>
    <w:rPr>
      <w:rFonts w:cs="Times New Roman"/>
    </w:rPr>
  </w:style>
  <w:style w:type="paragraph" w:styleId="Zkladntext">
    <w:name w:val="Body Text"/>
    <w:basedOn w:val="Normlny"/>
    <w:rsid w:val="00F25781"/>
    <w:pPr>
      <w:widowControl w:val="0"/>
      <w:jc w:val="both"/>
    </w:pPr>
    <w:rPr>
      <w:rFonts w:ascii="Arial" w:hAnsi="Arial" w:cs="Arial"/>
    </w:rPr>
  </w:style>
  <w:style w:type="paragraph" w:styleId="Nzov">
    <w:name w:val="Title"/>
    <w:basedOn w:val="Normlny"/>
    <w:link w:val="NzovChar"/>
    <w:qFormat/>
    <w:rsid w:val="00F25781"/>
    <w:pPr>
      <w:jc w:val="center"/>
    </w:pPr>
    <w:rPr>
      <w:b/>
      <w:sz w:val="22"/>
      <w:lang w:val="en-GB" w:eastAsia="en-US"/>
    </w:rPr>
  </w:style>
  <w:style w:type="character" w:customStyle="1" w:styleId="NzovChar">
    <w:name w:val="Názov Char"/>
    <w:basedOn w:val="Predvolenpsmoodseku"/>
    <w:link w:val="Nzov"/>
    <w:locked/>
    <w:rsid w:val="00F25781"/>
    <w:rPr>
      <w:b/>
      <w:sz w:val="22"/>
      <w:lang w:val="en-GB" w:eastAsia="en-US" w:bidi="ar-SA"/>
    </w:rPr>
  </w:style>
  <w:style w:type="paragraph" w:customStyle="1" w:styleId="Normln">
    <w:name w:val="Norm‡ln’"/>
    <w:rsid w:val="00F25781"/>
    <w:rPr>
      <w:lang w:val="cs-CZ" w:eastAsia="cs-CZ"/>
    </w:rPr>
  </w:style>
  <w:style w:type="character" w:customStyle="1" w:styleId="hps">
    <w:name w:val="hps"/>
    <w:basedOn w:val="Predvolenpsmoodseku"/>
    <w:rsid w:val="00F25781"/>
    <w:rPr>
      <w:rFonts w:cs="Times New Roman"/>
    </w:rPr>
  </w:style>
  <w:style w:type="character" w:customStyle="1" w:styleId="Nadpis2Char">
    <w:name w:val="Nadpis 2 Char"/>
    <w:basedOn w:val="Predvolenpsmoodseku"/>
    <w:link w:val="Nadpis2"/>
    <w:locked/>
    <w:rsid w:val="00F25781"/>
    <w:rPr>
      <w:rFonts w:ascii="Helvetica" w:hAnsi="Helvetica"/>
      <w:b/>
      <w:i/>
      <w:sz w:val="24"/>
      <w:lang w:val="cs-CZ" w:eastAsia="en-US" w:bidi="ar-SA"/>
    </w:rPr>
  </w:style>
  <w:style w:type="character" w:customStyle="1" w:styleId="Nadpis1Char">
    <w:name w:val="Nadpis 1 Char"/>
    <w:basedOn w:val="Predvolenpsmoodseku"/>
    <w:link w:val="Nadpis1"/>
    <w:locked/>
    <w:rsid w:val="00F25781"/>
    <w:rPr>
      <w:rFonts w:ascii="Cambria" w:hAnsi="Cambria"/>
      <w:b/>
      <w:bCs/>
      <w:kern w:val="32"/>
      <w:sz w:val="32"/>
      <w:szCs w:val="32"/>
      <w:lang w:val="sk-SK" w:eastAsia="cs-CZ" w:bidi="ar-SA"/>
    </w:rPr>
  </w:style>
  <w:style w:type="paragraph" w:customStyle="1" w:styleId="ListParagraph">
    <w:name w:val="List Paragraph"/>
    <w:basedOn w:val="Normlny"/>
    <w:rsid w:val="00F2578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y">
    <w:name w:val="Normal"/>
    <w:qFormat/>
    <w:rsid w:val="00F25781"/>
    <w:rPr>
      <w:lang w:eastAsia="cs-CZ"/>
    </w:rPr>
  </w:style>
  <w:style w:type="paragraph" w:styleId="Nadpis1">
    <w:name w:val="heading 1"/>
    <w:basedOn w:val="Normlny"/>
    <w:next w:val="Normlny"/>
    <w:link w:val="Nadpis1Char"/>
    <w:qFormat/>
    <w:rsid w:val="00F25781"/>
    <w:pPr>
      <w:keepNext/>
      <w:spacing w:before="240" w:after="60"/>
      <w:outlineLvl w:val="0"/>
    </w:pPr>
    <w:rPr>
      <w:rFonts w:ascii="Cambria" w:hAnsi="Cambria"/>
      <w:b/>
      <w:bCs/>
      <w:kern w:val="32"/>
      <w:sz w:val="32"/>
      <w:szCs w:val="32"/>
    </w:rPr>
  </w:style>
  <w:style w:type="paragraph" w:styleId="Nadpis2">
    <w:name w:val="heading 2"/>
    <w:basedOn w:val="Normlny"/>
    <w:next w:val="Normlny"/>
    <w:link w:val="Nadpis2Char"/>
    <w:qFormat/>
    <w:rsid w:val="00F25781"/>
    <w:pPr>
      <w:keepNext/>
      <w:tabs>
        <w:tab w:val="left" w:pos="567"/>
      </w:tabs>
      <w:spacing w:before="240" w:after="60" w:line="260" w:lineRule="exact"/>
      <w:outlineLvl w:val="1"/>
    </w:pPr>
    <w:rPr>
      <w:rFonts w:ascii="Helvetica" w:hAnsi="Helvetica"/>
      <w:b/>
      <w:i/>
      <w:sz w:val="24"/>
      <w:lang w:val="cs-CZ" w:eastAsia="en-US"/>
    </w:rPr>
  </w:style>
  <w:style w:type="character" w:default="1" w:styleId="Predvolenpsmoodseku">
    <w:name w:val="Default Paragraph Font"/>
    <w:semiHidden/>
  </w:style>
  <w:style w:type="table" w:default="1" w:styleId="Normlnatabuka">
    <w:name w:val="Normal Table"/>
    <w:semiHidden/>
    <w:tblPr>
      <w:tblInd w:w="0" w:type="dxa"/>
      <w:tblCellMar>
        <w:top w:w="0" w:type="dxa"/>
        <w:left w:w="108" w:type="dxa"/>
        <w:bottom w:w="0" w:type="dxa"/>
        <w:right w:w="108" w:type="dxa"/>
      </w:tblCellMar>
    </w:tblPr>
  </w:style>
  <w:style w:type="numbering" w:default="1" w:styleId="Bezzoznamu">
    <w:name w:val="No List"/>
    <w:semiHidden/>
  </w:style>
  <w:style w:type="paragraph" w:styleId="Pta">
    <w:name w:val="footer"/>
    <w:basedOn w:val="Normlny"/>
    <w:rsid w:val="00F25781"/>
    <w:pPr>
      <w:tabs>
        <w:tab w:val="center" w:pos="4536"/>
        <w:tab w:val="right" w:pos="9072"/>
      </w:tabs>
    </w:pPr>
  </w:style>
  <w:style w:type="character" w:styleId="slostrany">
    <w:name w:val="page number"/>
    <w:basedOn w:val="Predvolenpsmoodseku"/>
    <w:rsid w:val="00F25781"/>
    <w:rPr>
      <w:rFonts w:cs="Times New Roman"/>
    </w:rPr>
  </w:style>
  <w:style w:type="paragraph" w:styleId="Zkladntext">
    <w:name w:val="Body Text"/>
    <w:basedOn w:val="Normlny"/>
    <w:rsid w:val="00F25781"/>
    <w:pPr>
      <w:widowControl w:val="0"/>
      <w:jc w:val="both"/>
    </w:pPr>
    <w:rPr>
      <w:rFonts w:ascii="Arial" w:hAnsi="Arial" w:cs="Arial"/>
    </w:rPr>
  </w:style>
  <w:style w:type="paragraph" w:styleId="Nzov">
    <w:name w:val="Title"/>
    <w:basedOn w:val="Normlny"/>
    <w:link w:val="NzovChar"/>
    <w:qFormat/>
    <w:rsid w:val="00F25781"/>
    <w:pPr>
      <w:jc w:val="center"/>
    </w:pPr>
    <w:rPr>
      <w:b/>
      <w:sz w:val="22"/>
      <w:lang w:val="en-GB" w:eastAsia="en-US"/>
    </w:rPr>
  </w:style>
  <w:style w:type="character" w:customStyle="1" w:styleId="NzovChar">
    <w:name w:val="Názov Char"/>
    <w:basedOn w:val="Predvolenpsmoodseku"/>
    <w:link w:val="Nzov"/>
    <w:locked/>
    <w:rsid w:val="00F25781"/>
    <w:rPr>
      <w:b/>
      <w:sz w:val="22"/>
      <w:lang w:val="en-GB" w:eastAsia="en-US" w:bidi="ar-SA"/>
    </w:rPr>
  </w:style>
  <w:style w:type="paragraph" w:customStyle="1" w:styleId="Normln">
    <w:name w:val="Norm‡ln’"/>
    <w:rsid w:val="00F25781"/>
    <w:rPr>
      <w:lang w:val="cs-CZ" w:eastAsia="cs-CZ"/>
    </w:rPr>
  </w:style>
  <w:style w:type="character" w:customStyle="1" w:styleId="hps">
    <w:name w:val="hps"/>
    <w:basedOn w:val="Predvolenpsmoodseku"/>
    <w:rsid w:val="00F25781"/>
    <w:rPr>
      <w:rFonts w:cs="Times New Roman"/>
    </w:rPr>
  </w:style>
  <w:style w:type="character" w:customStyle="1" w:styleId="Nadpis2Char">
    <w:name w:val="Nadpis 2 Char"/>
    <w:basedOn w:val="Predvolenpsmoodseku"/>
    <w:link w:val="Nadpis2"/>
    <w:locked/>
    <w:rsid w:val="00F25781"/>
    <w:rPr>
      <w:rFonts w:ascii="Helvetica" w:hAnsi="Helvetica"/>
      <w:b/>
      <w:i/>
      <w:sz w:val="24"/>
      <w:lang w:val="cs-CZ" w:eastAsia="en-US" w:bidi="ar-SA"/>
    </w:rPr>
  </w:style>
  <w:style w:type="character" w:customStyle="1" w:styleId="Nadpis1Char">
    <w:name w:val="Nadpis 1 Char"/>
    <w:basedOn w:val="Predvolenpsmoodseku"/>
    <w:link w:val="Nadpis1"/>
    <w:locked/>
    <w:rsid w:val="00F25781"/>
    <w:rPr>
      <w:rFonts w:ascii="Cambria" w:hAnsi="Cambria"/>
      <w:b/>
      <w:bCs/>
      <w:kern w:val="32"/>
      <w:sz w:val="32"/>
      <w:szCs w:val="32"/>
      <w:lang w:val="sk-SK" w:eastAsia="cs-CZ" w:bidi="ar-SA"/>
    </w:rPr>
  </w:style>
  <w:style w:type="paragraph" w:customStyle="1" w:styleId="ListParagraph">
    <w:name w:val="List Paragraph"/>
    <w:basedOn w:val="Normlny"/>
    <w:rsid w:val="00F257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2739</Words>
  <Characters>15614</Characters>
  <Application>Microsoft Office Word</Application>
  <DocSecurity>0</DocSecurity>
  <Lines>130</Lines>
  <Paragraphs>36</Paragraphs>
  <ScaleCrop>false</ScaleCrop>
  <HeadingPairs>
    <vt:vector size="2" baseType="variant">
      <vt:variant>
        <vt:lpstr>Názov</vt:lpstr>
      </vt:variant>
      <vt:variant>
        <vt:i4>1</vt:i4>
      </vt:variant>
    </vt:vector>
  </HeadingPairs>
  <TitlesOfParts>
    <vt:vector size="1" baseType="lpstr">
      <vt:lpstr>Schválený text k rozhodnutiu o registrácii lieku, ev</vt:lpstr>
    </vt:vector>
  </TitlesOfParts>
  <Company>SUKL</Company>
  <LinksUpToDate>false</LinksUpToDate>
  <CharactersWithSpaces>18317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Schválený text k rozhodnutiu o registrácii lieku, ev</dc:title>
  <dc:creator>marosz</dc:creator>
  <cp:lastModifiedBy>Hranaiova, Margita PH/SK</cp:lastModifiedBy>
  <cp:revision>2</cp:revision>
  <dcterms:created xsi:type="dcterms:W3CDTF">2012-03-22T13:22:00Z</dcterms:created>
  <dcterms:modified xsi:type="dcterms:W3CDTF">2012-03-22T13:22:00Z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-847268470</vt:i4>
  </property>
  <property fmtid="{D5CDD505-2E9C-101B-9397-08002B2CF9AE}" pid="3" name="_NewReviewCycle">
    <vt:lpwstr/>
  </property>
  <property fmtid="{D5CDD505-2E9C-101B-9397-08002B2CF9AE}" pid="4" name="_EmailSubject">
    <vt:lpwstr>CZ/H/0224/001/DC - PARALEN GRIP chrípka a bolesť</vt:lpwstr>
  </property>
  <property fmtid="{D5CDD505-2E9C-101B-9397-08002B2CF9AE}" pid="5" name="_AuthorEmail">
    <vt:lpwstr>margita.hranaiova@sanofi.com</vt:lpwstr>
  </property>
  <property fmtid="{D5CDD505-2E9C-101B-9397-08002B2CF9AE}" pid="6" name="_AuthorEmailDisplayName">
    <vt:lpwstr>Hranaiova, Margita PH/SK</vt:lpwstr>
  </property>
</Properties>
</file>