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EC" w:rsidRPr="004D4761" w:rsidRDefault="006A4DEC" w:rsidP="00BC7FCD">
      <w:pPr>
        <w:tabs>
          <w:tab w:val="left" w:pos="640"/>
        </w:tabs>
        <w:spacing w:after="0" w:line="240" w:lineRule="auto"/>
        <w:rPr>
          <w:rFonts w:ascii="Times New Roman" w:hAnsi="Times New Roman"/>
          <w:bCs/>
          <w:spacing w:val="-1"/>
          <w:lang w:val="sk-SK"/>
        </w:rPr>
      </w:pPr>
      <w:r w:rsidRPr="004D4761">
        <w:rPr>
          <w:rFonts w:ascii="Times New Roman" w:hAnsi="Times New Roman"/>
          <w:bCs/>
          <w:spacing w:val="-1"/>
          <w:lang w:val="sk-SK"/>
        </w:rPr>
        <w:t xml:space="preserve">Schválený text k rozhodnutiu o registrácii lieku, ev. č.: </w:t>
      </w:r>
      <w:r>
        <w:rPr>
          <w:rFonts w:ascii="Times New Roman" w:hAnsi="Times New Roman"/>
          <w:bCs/>
          <w:spacing w:val="-1"/>
          <w:lang w:val="sk-SK"/>
        </w:rPr>
        <w:t xml:space="preserve">2011/01627-REG          </w:t>
      </w:r>
    </w:p>
    <w:p w:rsidR="006A4DEC" w:rsidRPr="007A4C0A" w:rsidRDefault="006A4DEC">
      <w:pPr>
        <w:spacing w:line="240" w:lineRule="auto"/>
        <w:rPr>
          <w:rFonts w:ascii="Times New Roman" w:hAnsi="Times New Roman"/>
          <w:sz w:val="18"/>
          <w:lang w:val="sk-SK"/>
        </w:rPr>
      </w:pPr>
    </w:p>
    <w:p w:rsidR="006A4DEC" w:rsidRPr="004D4761" w:rsidRDefault="006A4DEC" w:rsidP="005420CA">
      <w:pPr>
        <w:spacing w:line="240" w:lineRule="auto"/>
        <w:jc w:val="center"/>
        <w:rPr>
          <w:rFonts w:ascii="Times New Roman" w:hAnsi="Times New Roman"/>
          <w:b/>
          <w:lang w:val="sk-SK"/>
        </w:rPr>
      </w:pPr>
      <w:r>
        <w:rPr>
          <w:rFonts w:ascii="Times New Roman" w:hAnsi="Times New Roman"/>
          <w:b/>
          <w:lang w:val="sk-SK"/>
        </w:rPr>
        <w:t>SÚHRN CHARAKTERISTICKÝCH VLASTNOSTÍ LIEKU</w:t>
      </w:r>
    </w:p>
    <w:p w:rsidR="006A4DEC" w:rsidRPr="004D4761" w:rsidRDefault="006A4DEC" w:rsidP="00A57A67">
      <w:pPr>
        <w:pStyle w:val="Heading1"/>
        <w:spacing w:before="80" w:after="120"/>
        <w:rPr>
          <w:szCs w:val="22"/>
          <w:lang w:val="sk-SK"/>
        </w:rPr>
      </w:pPr>
      <w:r>
        <w:rPr>
          <w:szCs w:val="22"/>
          <w:lang w:val="sk-SK"/>
        </w:rPr>
        <w:t>NÁZOV LIEKU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Levocetirizin Hetero 5 mg filmom obalené tablety</w:t>
      </w:r>
    </w:p>
    <w:p w:rsidR="006A4DEC" w:rsidRPr="007A4C0A" w:rsidRDefault="006A4DEC" w:rsidP="00A57A67">
      <w:pPr>
        <w:spacing w:before="80" w:after="120" w:line="240" w:lineRule="auto"/>
        <w:rPr>
          <w:rFonts w:ascii="Times New Roman" w:hAnsi="Times New Roman"/>
          <w:sz w:val="18"/>
          <w:lang w:val="sk-SK"/>
        </w:rPr>
      </w:pPr>
    </w:p>
    <w:p w:rsidR="006A4DEC" w:rsidRPr="004D4761" w:rsidRDefault="006A4DEC" w:rsidP="00A57A67">
      <w:pPr>
        <w:pStyle w:val="Heading1"/>
        <w:spacing w:before="80" w:after="120"/>
        <w:rPr>
          <w:szCs w:val="22"/>
          <w:lang w:val="sk-SK"/>
        </w:rPr>
      </w:pPr>
      <w:r>
        <w:rPr>
          <w:szCs w:val="22"/>
          <w:lang w:val="sk-SK"/>
        </w:rPr>
        <w:t>KVALITATÍVNE A KVANTITATÍVNE ZLOŽENIE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Každá filmom obalená tableta obsahuje 5 mg levocetirizin dihydrochloridu.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Pomocné látky zo známym účinkom: 65,95 mg monohydrátu laktózy / tabletu.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Úplný zoznam pomocných látok, pozri časť 6.1.</w:t>
      </w:r>
    </w:p>
    <w:p w:rsidR="006A4DEC" w:rsidRPr="007A4C0A" w:rsidRDefault="006A4DEC" w:rsidP="00A57A67">
      <w:pPr>
        <w:spacing w:before="80" w:after="120" w:line="240" w:lineRule="auto"/>
        <w:rPr>
          <w:rFonts w:ascii="Times New Roman" w:hAnsi="Times New Roman"/>
          <w:sz w:val="18"/>
          <w:lang w:val="sk-SK"/>
        </w:rPr>
      </w:pPr>
    </w:p>
    <w:p w:rsidR="006A4DEC" w:rsidRPr="004D4761" w:rsidRDefault="006A4DEC" w:rsidP="00A57A67">
      <w:pPr>
        <w:pStyle w:val="Heading1"/>
        <w:spacing w:before="80" w:after="120"/>
        <w:rPr>
          <w:szCs w:val="22"/>
          <w:lang w:val="sk-SK"/>
        </w:rPr>
      </w:pPr>
      <w:r>
        <w:rPr>
          <w:szCs w:val="22"/>
          <w:lang w:val="sk-SK"/>
        </w:rPr>
        <w:t>LIEKOVÁ FORMA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Filmom obalená tableta.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Biele, okrúhle, bikonvexné, filmom obalené tablety, označené "161" na jednej strane a "H" na druhej strane.</w:t>
      </w:r>
    </w:p>
    <w:p w:rsidR="006A4DEC" w:rsidRPr="007A4C0A" w:rsidRDefault="006A4DEC" w:rsidP="00A57A67">
      <w:pPr>
        <w:spacing w:before="80" w:after="120" w:line="240" w:lineRule="auto"/>
        <w:rPr>
          <w:rFonts w:ascii="Times New Roman" w:hAnsi="Times New Roman"/>
          <w:sz w:val="18"/>
          <w:highlight w:val="lightGray"/>
          <w:lang w:val="sk-SK"/>
        </w:rPr>
      </w:pPr>
    </w:p>
    <w:p w:rsidR="006A4DEC" w:rsidRPr="004D4761" w:rsidRDefault="006A4DEC" w:rsidP="00A57A67">
      <w:pPr>
        <w:pStyle w:val="Heading1"/>
        <w:spacing w:before="80" w:after="120"/>
        <w:rPr>
          <w:szCs w:val="22"/>
          <w:lang w:val="sk-SK"/>
        </w:rPr>
      </w:pPr>
      <w:r>
        <w:rPr>
          <w:szCs w:val="22"/>
          <w:lang w:val="sk-SK"/>
        </w:rPr>
        <w:t>KLINICKÉ ÚDAJE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>
        <w:rPr>
          <w:szCs w:val="22"/>
          <w:lang w:val="sk-SK"/>
        </w:rPr>
        <w:t>Terapeutické indikácie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Symptomatická liečba alergickej nádchy (vrátane perzistujúcej alergickej nádchy) a urtikárie.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>
        <w:rPr>
          <w:szCs w:val="22"/>
          <w:lang w:val="sk-SK"/>
        </w:rPr>
        <w:t>Dávkovanie a spôsob podávania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Filmom obalená tableta sa musí užívať perorálne, prehĺta sa celá, zapíja sa tekutinou a môže sa užívať s jedlom alebo bez jedla. Dennú dávku sa odporúča užívať v jednej jednorazovej dávke.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b/>
          <w:lang w:val="sk-SK"/>
        </w:rPr>
      </w:pPr>
      <w:r>
        <w:rPr>
          <w:rFonts w:ascii="Times New Roman" w:hAnsi="Times New Roman"/>
          <w:b/>
          <w:lang w:val="sk-SK"/>
        </w:rPr>
        <w:t>Dospelí a dospievajúci od 12 rokov: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Odporúčaná denná dávka je 5 mg (1 filmom obalená tableta).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b/>
          <w:lang w:val="sk-SK"/>
        </w:rPr>
      </w:pPr>
      <w:r>
        <w:rPr>
          <w:rFonts w:ascii="Times New Roman" w:hAnsi="Times New Roman"/>
          <w:b/>
          <w:lang w:val="sk-SK"/>
        </w:rPr>
        <w:t>Starší pacienti: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U starších pacientov so stredne závažným až závažným poškodením funkcie obličiek sa odporúča úprava dávky (pozri nižšie Pacienti s poškodením funkcie obličiek).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b/>
          <w:lang w:val="sk-SK"/>
        </w:rPr>
      </w:pPr>
      <w:r>
        <w:rPr>
          <w:rFonts w:ascii="Times New Roman" w:hAnsi="Times New Roman"/>
          <w:b/>
          <w:lang w:val="sk-SK"/>
        </w:rPr>
        <w:t>Deti vo veku 6 až 12 rokov: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Odporúčaná denná dávka je 5 mg (1 filmom obalená tableta).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Pre deti vo veku od 2 do 6 rokov nie je možná žiadna úprava dávky s liekovou formou filmom obalené tablety. Odporúča sa používať pediatrickú formu levocetirizinu.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b/>
          <w:lang w:val="sk-SK"/>
        </w:rPr>
      </w:pPr>
      <w:r>
        <w:rPr>
          <w:rFonts w:ascii="Times New Roman" w:hAnsi="Times New Roman"/>
          <w:b/>
          <w:lang w:val="sk-SK"/>
        </w:rPr>
        <w:t>Pacienti s poškodením funkcie obličiek:</w:t>
      </w:r>
    </w:p>
    <w:p w:rsidR="006A4DEC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Intervaly podávania sa musia prispôsobiť individuálne podľa funkcie obličiek. Úpravu dávkovania možno určiť pomocou nasledovnej tabuľky. Na použitie tejto dávkovacej tabuľky je potrebné stanovenie klírensu kreatinínu pacienta (CLcr) v ml/min. CLcr (ml/min) možno vypočítať na základe sérového kreatinínu (mg/dl) pomocou nasledovného vzorca: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</w:p>
    <w:tbl>
      <w:tblPr>
        <w:tblW w:w="0" w:type="auto"/>
        <w:tblInd w:w="192" w:type="dxa"/>
        <w:tblCellMar>
          <w:left w:w="0" w:type="dxa"/>
          <w:right w:w="160" w:type="dxa"/>
        </w:tblCellMar>
        <w:tblLook w:val="00A0"/>
      </w:tblPr>
      <w:tblGrid>
        <w:gridCol w:w="628"/>
        <w:gridCol w:w="285"/>
        <w:gridCol w:w="3236"/>
      </w:tblGrid>
      <w:tr w:rsidR="006A4DEC" w:rsidRPr="004D4761" w:rsidTr="0039046A">
        <w:tc>
          <w:tcPr>
            <w:tcW w:w="0" w:type="auto"/>
            <w:vAlign w:val="center"/>
          </w:tcPr>
          <w:p w:rsidR="006A4DEC" w:rsidRDefault="006A4DEC" w:rsidP="007A4C0A">
            <w:pPr>
              <w:framePr w:hSpace="141" w:wrap="around" w:vAnchor="text" w:hAnchor="text" w:y="1"/>
              <w:spacing w:after="0" w:line="240" w:lineRule="auto"/>
              <w:suppressOverlap/>
              <w:jc w:val="right"/>
              <w:rPr>
                <w:rFonts w:ascii="Times New Roman" w:hAnsi="Times New Roman"/>
                <w:lang w:val="sk-SK" w:eastAsia="cs-CZ"/>
              </w:rPr>
            </w:pPr>
            <w:r>
              <w:rPr>
                <w:rFonts w:ascii="Times New Roman" w:hAnsi="Times New Roman"/>
                <w:lang w:val="sk-SK" w:eastAsia="cs-CZ"/>
              </w:rPr>
              <w:t>CL</w:t>
            </w:r>
            <w:r>
              <w:rPr>
                <w:rFonts w:ascii="Times New Roman" w:hAnsi="Times New Roman"/>
                <w:vertAlign w:val="subscript"/>
                <w:lang w:val="sk-SK" w:eastAsia="cs-CZ"/>
              </w:rPr>
              <w:t>CR</w:t>
            </w:r>
          </w:p>
        </w:tc>
        <w:tc>
          <w:tcPr>
            <w:tcW w:w="0" w:type="auto"/>
            <w:vAlign w:val="center"/>
          </w:tcPr>
          <w:p w:rsidR="006A4DEC" w:rsidRDefault="006A4DEC" w:rsidP="007A4C0A">
            <w:pPr>
              <w:framePr w:hSpace="141" w:wrap="around" w:vAnchor="text" w:hAnchor="text" w:y="1"/>
              <w:spacing w:after="0" w:line="240" w:lineRule="auto"/>
              <w:suppressOverlap/>
              <w:jc w:val="center"/>
              <w:rPr>
                <w:rFonts w:ascii="Times New Roman" w:hAnsi="Times New Roman"/>
                <w:lang w:val="sk-SK" w:eastAsia="cs-CZ"/>
              </w:rPr>
            </w:pPr>
            <w:r>
              <w:rPr>
                <w:rFonts w:ascii="Times New Roman" w:hAnsi="Times New Roman"/>
                <w:lang w:val="sk-SK" w:eastAsia="cs-CZ"/>
              </w:rPr>
              <w:t>=</w:t>
            </w:r>
          </w:p>
        </w:tc>
        <w:tc>
          <w:tcPr>
            <w:tcW w:w="0" w:type="auto"/>
            <w:vAlign w:val="center"/>
          </w:tcPr>
          <w:p w:rsidR="006A4DEC" w:rsidRDefault="006A4DEC" w:rsidP="007A4C0A">
            <w:pPr>
              <w:framePr w:hSpace="141" w:wrap="around" w:vAnchor="text" w:hAnchor="text" w:y="1"/>
              <w:spacing w:after="0" w:line="240" w:lineRule="auto"/>
              <w:suppressOverlap/>
              <w:jc w:val="center"/>
              <w:rPr>
                <w:rFonts w:ascii="Times New Roman" w:hAnsi="Times New Roman"/>
                <w:lang w:val="sk-SK" w:eastAsia="cs-CZ"/>
              </w:rPr>
            </w:pPr>
            <w:r>
              <w:rPr>
                <w:rFonts w:ascii="Times New Roman" w:hAnsi="Times New Roman"/>
                <w:lang w:val="sk-SK" w:eastAsia="cs-CZ"/>
              </w:rPr>
              <w:t xml:space="preserve">[140 - vek (roky)] x hmotnosť (kg) </w:t>
            </w:r>
          </w:p>
          <w:p w:rsidR="006A4DEC" w:rsidRDefault="006A4DEC" w:rsidP="007A4C0A">
            <w:pPr>
              <w:framePr w:hSpace="141" w:wrap="around" w:vAnchor="text" w:hAnchor="text" w:y="1"/>
              <w:spacing w:after="0" w:line="240" w:lineRule="auto"/>
              <w:suppressOverlap/>
              <w:jc w:val="center"/>
              <w:rPr>
                <w:rFonts w:ascii="Times New Roman" w:hAnsi="Times New Roman"/>
                <w:lang w:val="sk-SK" w:eastAsia="cs-CZ"/>
              </w:rPr>
            </w:pPr>
            <w:r w:rsidRPr="00702E92">
              <w:rPr>
                <w:rFonts w:ascii="Times New Roman" w:hAnsi="Times New Roman"/>
                <w:lang w:val="sk-SK" w:eastAsia="cs-CZ"/>
              </w:rPr>
              <w:pict>
                <v:rect id="_x0000_i1025" style="width:0;height:.75pt" o:hralign="center" o:hrstd="t" o:hrnoshade="t" o:hr="t" fillcolor="black" stroked="f"/>
              </w:pict>
            </w:r>
            <w:r>
              <w:rPr>
                <w:rFonts w:ascii="Times New Roman" w:hAnsi="Times New Roman"/>
                <w:lang w:val="sk-SK" w:eastAsia="cs-CZ"/>
              </w:rPr>
              <w:t>72 x kreatinín v séru (mg/dl)</w:t>
            </w:r>
          </w:p>
        </w:tc>
      </w:tr>
    </w:tbl>
    <w:p w:rsidR="006A4DEC" w:rsidRDefault="006A4DEC" w:rsidP="00907D8A">
      <w:pPr>
        <w:spacing w:before="80" w:after="120" w:line="240" w:lineRule="auto"/>
        <w:rPr>
          <w:rFonts w:ascii="Times New Roman" w:hAnsi="Times New Roman"/>
          <w:lang w:val="sk-SK" w:eastAsia="cs-CZ"/>
        </w:rPr>
      </w:pPr>
    </w:p>
    <w:p w:rsidR="006A4DEC" w:rsidRDefault="006A4DEC" w:rsidP="0039046A">
      <w:pPr>
        <w:spacing w:before="80" w:after="120" w:line="240" w:lineRule="auto"/>
        <w:rPr>
          <w:rFonts w:ascii="Times New Roman" w:hAnsi="Times New Roman"/>
          <w:lang w:val="sk-SK" w:eastAsia="cs-CZ"/>
        </w:rPr>
      </w:pPr>
      <w:r>
        <w:rPr>
          <w:rFonts w:ascii="Times New Roman" w:hAnsi="Times New Roman"/>
          <w:lang w:val="sk-SK" w:eastAsia="cs-CZ"/>
        </w:rPr>
        <w:t>(x 0,85 pre ženy)</w:t>
      </w:r>
    </w:p>
    <w:p w:rsidR="006A4DEC" w:rsidRPr="004D4761" w:rsidRDefault="006A4DEC" w:rsidP="0039046A">
      <w:pPr>
        <w:spacing w:before="80" w:after="120" w:line="240" w:lineRule="auto"/>
        <w:rPr>
          <w:rFonts w:ascii="Times New Roman" w:hAnsi="Times New Roman"/>
          <w:lang w:val="sk-SK" w:eastAsia="cs-CZ"/>
        </w:rPr>
      </w:pP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b/>
          <w:lang w:val="sk-SK" w:eastAsia="cs-CZ"/>
        </w:rPr>
      </w:pPr>
      <w:r>
        <w:rPr>
          <w:rFonts w:ascii="Times New Roman" w:hAnsi="Times New Roman"/>
          <w:b/>
          <w:lang w:val="sk-SK" w:eastAsia="cs-CZ"/>
        </w:rPr>
        <w:t>Úprava dávkovania u pacientov s poškodením funkcie obličiek: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38"/>
        <w:gridCol w:w="2520"/>
        <w:gridCol w:w="3192"/>
      </w:tblGrid>
      <w:tr w:rsidR="006A4DEC" w:rsidRPr="004D4761" w:rsidTr="00DC44B7">
        <w:trPr>
          <w:jc w:val="center"/>
        </w:trPr>
        <w:tc>
          <w:tcPr>
            <w:tcW w:w="2538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Skupina</w:t>
            </w:r>
          </w:p>
        </w:tc>
        <w:tc>
          <w:tcPr>
            <w:tcW w:w="2520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Klírens kreatinínu (ml/min)</w:t>
            </w:r>
          </w:p>
        </w:tc>
        <w:tc>
          <w:tcPr>
            <w:tcW w:w="3192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Dávka a frekvencia</w:t>
            </w:r>
          </w:p>
        </w:tc>
      </w:tr>
      <w:tr w:rsidR="006A4DEC" w:rsidRPr="004D4761" w:rsidTr="00DC44B7">
        <w:trPr>
          <w:jc w:val="center"/>
        </w:trPr>
        <w:tc>
          <w:tcPr>
            <w:tcW w:w="2538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Normálna</w:t>
            </w:r>
          </w:p>
        </w:tc>
        <w:tc>
          <w:tcPr>
            <w:tcW w:w="2520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≥ 80</w:t>
            </w:r>
          </w:p>
        </w:tc>
        <w:tc>
          <w:tcPr>
            <w:tcW w:w="3192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1 tableta raz denne</w:t>
            </w:r>
          </w:p>
        </w:tc>
      </w:tr>
      <w:tr w:rsidR="006A4DEC" w:rsidRPr="004D4761" w:rsidTr="00DC44B7">
        <w:trPr>
          <w:jc w:val="center"/>
        </w:trPr>
        <w:tc>
          <w:tcPr>
            <w:tcW w:w="2538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Mierna</w:t>
            </w:r>
          </w:p>
        </w:tc>
        <w:tc>
          <w:tcPr>
            <w:tcW w:w="2520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50-79</w:t>
            </w:r>
          </w:p>
        </w:tc>
        <w:tc>
          <w:tcPr>
            <w:tcW w:w="3192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1 tableta raz denne</w:t>
            </w:r>
          </w:p>
        </w:tc>
      </w:tr>
      <w:tr w:rsidR="006A4DEC" w:rsidRPr="004D4761" w:rsidTr="00DC44B7">
        <w:trPr>
          <w:jc w:val="center"/>
        </w:trPr>
        <w:tc>
          <w:tcPr>
            <w:tcW w:w="2538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Stredne závažná</w:t>
            </w:r>
          </w:p>
        </w:tc>
        <w:tc>
          <w:tcPr>
            <w:tcW w:w="2520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30-49</w:t>
            </w:r>
          </w:p>
        </w:tc>
        <w:tc>
          <w:tcPr>
            <w:tcW w:w="3192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1 tableta každé 2 dni</w:t>
            </w:r>
          </w:p>
        </w:tc>
      </w:tr>
      <w:tr w:rsidR="006A4DEC" w:rsidRPr="004D4761" w:rsidTr="00DC44B7">
        <w:trPr>
          <w:jc w:val="center"/>
        </w:trPr>
        <w:tc>
          <w:tcPr>
            <w:tcW w:w="2538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Závažná</w:t>
            </w:r>
          </w:p>
        </w:tc>
        <w:tc>
          <w:tcPr>
            <w:tcW w:w="2520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&lt; 30</w:t>
            </w:r>
          </w:p>
        </w:tc>
        <w:tc>
          <w:tcPr>
            <w:tcW w:w="3192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>
              <w:rPr>
                <w:rFonts w:ascii="Times New Roman" w:hAnsi="Times New Roman"/>
                <w:lang w:val="sk-SK"/>
              </w:rPr>
              <w:t>1 tableta každé 3 dni</w:t>
            </w:r>
          </w:p>
        </w:tc>
      </w:tr>
      <w:tr w:rsidR="006A4DEC" w:rsidRPr="004D4761" w:rsidTr="00DC44B7">
        <w:trPr>
          <w:jc w:val="center"/>
        </w:trPr>
        <w:tc>
          <w:tcPr>
            <w:tcW w:w="2538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i/>
                <w:lang w:val="sk-SK"/>
              </w:rPr>
            </w:pPr>
            <w:r>
              <w:rPr>
                <w:rStyle w:val="Emphasis"/>
                <w:rFonts w:ascii="Times New Roman" w:hAnsi="Times New Roman"/>
                <w:i w:val="0"/>
                <w:lang w:val="sk-SK"/>
              </w:rPr>
              <w:t>Konečné štádia renálneho</w:t>
            </w:r>
            <w:r>
              <w:rPr>
                <w:rFonts w:ascii="Times New Roman" w:hAnsi="Times New Roman"/>
                <w:i/>
                <w:iCs/>
                <w:lang w:val="sk-SK"/>
              </w:rPr>
              <w:br/>
            </w:r>
            <w:r>
              <w:rPr>
                <w:rStyle w:val="Emphasis"/>
                <w:rFonts w:ascii="Times New Roman" w:hAnsi="Times New Roman"/>
                <w:i w:val="0"/>
                <w:lang w:val="sk-SK"/>
              </w:rPr>
              <w:t>poškodenia - pacienti s dialýzou</w:t>
            </w:r>
          </w:p>
        </w:tc>
        <w:tc>
          <w:tcPr>
            <w:tcW w:w="2520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&lt; 10</w:t>
            </w:r>
          </w:p>
        </w:tc>
        <w:tc>
          <w:tcPr>
            <w:tcW w:w="3192" w:type="dxa"/>
            <w:vAlign w:val="center"/>
          </w:tcPr>
          <w:p w:rsidR="006A4DEC" w:rsidRPr="004D4761" w:rsidRDefault="006A4DEC" w:rsidP="00A57A67">
            <w:pPr>
              <w:spacing w:before="80" w:after="120" w:line="240" w:lineRule="auto"/>
              <w:jc w:val="center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kontraindikované</w:t>
            </w:r>
          </w:p>
        </w:tc>
      </w:tr>
    </w:tbl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U pediatrických pacientov s poškodením funkcie obličiek sa dávka má upraviť individuálne so zohľadnením renálneho klírensu pacienta a jeho telesnej hmotnosti. U detí s poškodením funkcie obličiek nie sú žiadne špecifické údaje.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b/>
          <w:lang w:val="sk-SK"/>
        </w:rPr>
      </w:pPr>
      <w:r w:rsidRPr="00AD0CA7">
        <w:rPr>
          <w:rFonts w:ascii="Times New Roman" w:hAnsi="Times New Roman"/>
          <w:b/>
          <w:lang w:val="sk-SK"/>
        </w:rPr>
        <w:t>Pacienti s poškodením funkcie pečene: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U pacientov len s poškodením funkcie pečene nie je potrebná žiadna úprava dávkovania. U pacientov s poškodením funkcie pečene a poškodením funkcie obličiek sa odporúča úprava dávky (pozri vyššie Pacienti s poškodením funkcie obličiek).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b/>
          <w:lang w:val="sk-SK"/>
        </w:rPr>
        <w:t xml:space="preserve">Dĺžka užívania:      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Intermitentná alergická rinitída (príznaky &lt; 4 dni do týždňa alebo počas menej ako 4 týždňov) sa má liečiť podľa ochorenia a jeho anamnézy; možno ju ukončiť, len čo vymiznú príznaky a obnoviť, keď sa opätovne prejavia príznaky. V prípade perzistentnej alergickej rinitídy (príznaky &gt; 4 dni do týždňa a počas viac ako 4 týždňov) možno naplánovať kontinuálnu liečbu pacienta počas obdobia expozície alergénom. V súčasnosti sú dostupné klinické skúsenosti s podávaním 5 mg levocetiriz</w:t>
      </w:r>
      <w:r>
        <w:rPr>
          <w:rFonts w:ascii="Times New Roman" w:hAnsi="Times New Roman"/>
          <w:lang w:val="sk-SK"/>
        </w:rPr>
        <w:t>i</w:t>
      </w:r>
      <w:r w:rsidRPr="00AD0CA7">
        <w:rPr>
          <w:rFonts w:ascii="Times New Roman" w:hAnsi="Times New Roman"/>
          <w:lang w:val="sk-SK"/>
        </w:rPr>
        <w:t>nu vo forme filmom obalených tabliet počas 6 mesiacov liečby. Pri chronickej urtikárii a chronickej alergickej nádche sú dostupné jednoročné klinické skúsenosti s racemátom.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Kontraindikácie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Precitlivenosť na levocetiriz</w:t>
      </w:r>
      <w:r>
        <w:rPr>
          <w:rFonts w:ascii="Times New Roman" w:hAnsi="Times New Roman"/>
          <w:lang w:val="sk-SK"/>
        </w:rPr>
        <w:t>i</w:t>
      </w:r>
      <w:r w:rsidRPr="00AD0CA7">
        <w:rPr>
          <w:rFonts w:ascii="Times New Roman" w:hAnsi="Times New Roman"/>
          <w:lang w:val="sk-SK"/>
        </w:rPr>
        <w:t>n, na iné piperazínové deriváty alebo na ktorúkoľvek z pomocných látok uvedených v bodu 6.1.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Pacienti so závažným poškodením funkcie obličiek s klírensom kreatinínu menej ako 10 ml/min.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Špeciálne upozornenie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Použitie filmom obalených tabliet sa neodporúča u detí mladších ako 6 rokov, pretože táto lieková forma neumožňuje vhodnú úpravu dávkovania. Odporúča sa používať pediatrickú formu levocetiriz</w:t>
      </w:r>
      <w:r>
        <w:rPr>
          <w:rFonts w:ascii="Times New Roman" w:hAnsi="Times New Roman"/>
          <w:lang w:val="sk-SK"/>
        </w:rPr>
        <w:t>i</w:t>
      </w:r>
      <w:r w:rsidRPr="00AD0CA7">
        <w:rPr>
          <w:rFonts w:ascii="Times New Roman" w:hAnsi="Times New Roman"/>
          <w:lang w:val="sk-SK"/>
        </w:rPr>
        <w:t>nu.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Podávanie levocetiriz</w:t>
      </w:r>
      <w:r>
        <w:rPr>
          <w:rFonts w:ascii="Times New Roman" w:hAnsi="Times New Roman"/>
          <w:lang w:val="sk-SK"/>
        </w:rPr>
        <w:t>i</w:t>
      </w:r>
      <w:r w:rsidRPr="00AD0CA7">
        <w:rPr>
          <w:rFonts w:ascii="Times New Roman" w:hAnsi="Times New Roman"/>
          <w:lang w:val="sk-SK"/>
        </w:rPr>
        <w:t>nu dojčatám a batoľatám veku do 2 rokov sa neodporúča.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Opatrnosť sa odporúča pri požívaní alkoholu (pozri Liekové a iné interakcie).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Pacienti so zriedkavými dedičnými problémami intolerancie galaktózy, lapónskym deficitom laktázy alebo glukózo-galaktózovou malabsorpciou nemajú užívať tento liek.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Interakcie s inými liečivami a ďalšie možné interakcie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S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om sa neuskutočnili interakčné štúdie (vrátane štúdií s CYP3A4 induktormi); štúdie s racemátom cetirizínu preukázali, že sa nevyskytujú žiadne klinicky významné nežiaduce interakcie (s pseudoefedrínom, cimetidínom, ketokonaz</w:t>
      </w:r>
      <w:smartTag w:uri="urn:schemas-microsoft-com:office:smarttags" w:element="PersonName">
        <w:r w:rsidRPr="00AD0CA7">
          <w:rPr>
            <w:rFonts w:ascii="Times New Roman" w:hAnsi="Times New Roman"/>
            <w:lang w:val="sk-SK"/>
          </w:rPr>
          <w:t>olo</w:t>
        </w:r>
      </w:smartTag>
      <w:r w:rsidRPr="00AD0CA7">
        <w:rPr>
          <w:rFonts w:ascii="Times New Roman" w:hAnsi="Times New Roman"/>
          <w:lang w:val="sk-SK"/>
        </w:rPr>
        <w:t>m, erytromycínom, azitromycínom, glipizidom a diazepamom). V štúdii s opakovanými dávkami teofylínu (400 mg jedenkrát denne) sa pozoroval malý pokles klírensu cetirizínu (16%), zatiaľ čo sa dostupnosť teofylínu súbežným podávaním s cetirizínom nemenila.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Miera absorpcie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nie je znížená jedlom, znižuje sa však rýchlosť absorpcie.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U citlivých pacientov môže súbežné podávanie cetirizínu alebo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a alkoholu alebo iných antidepresív CNS ovplyvniť centrálny nervový systém, hoci sa dokázalo, že racemát cetirizínu nezosilňuje účinok alkoholu.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Plodnosť, gravidita a laktácia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Nie sú k dispozícii žiadne klinické údaje o gravidných ženách vystavených účinku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u. Štúdie so zvieratami nenaznačujú priame či nepriame škodlivé účinky vzhľadom na graviditu, embryonálny/fetálny vývin, pôrod alebo postnatálny vývin.</w:t>
      </w:r>
    </w:p>
    <w:p w:rsidR="006A4DEC" w:rsidRPr="004D4761" w:rsidRDefault="006A4DEC" w:rsidP="00A57A67">
      <w:pPr>
        <w:pStyle w:val="NormalWeb"/>
        <w:spacing w:before="80" w:after="120"/>
        <w:rPr>
          <w:sz w:val="22"/>
          <w:szCs w:val="22"/>
          <w:lang w:val="sk-SK"/>
        </w:rPr>
      </w:pPr>
      <w:r w:rsidRPr="00AD0CA7">
        <w:rPr>
          <w:sz w:val="22"/>
          <w:szCs w:val="22"/>
          <w:lang w:val="sk-SK"/>
        </w:rPr>
        <w:t>Pri predpisovaní lieku gravidným alebo dojčiacim ženám je potrebná opatrnosť. Predpokladá sa, že le</w:t>
      </w:r>
      <w:r>
        <w:rPr>
          <w:sz w:val="22"/>
          <w:szCs w:val="22"/>
          <w:lang w:val="sk-SK"/>
        </w:rPr>
        <w:t>vocetirizin</w:t>
      </w:r>
      <w:r w:rsidRPr="00AD0CA7">
        <w:rPr>
          <w:sz w:val="22"/>
          <w:szCs w:val="22"/>
          <w:lang w:val="sk-SK"/>
        </w:rPr>
        <w:t xml:space="preserve"> sa vylučuje do materského mlieka a vzhľadom na nedostatok dát sa užívanie le</w:t>
      </w:r>
      <w:r>
        <w:rPr>
          <w:sz w:val="22"/>
          <w:szCs w:val="22"/>
          <w:lang w:val="sk-SK"/>
        </w:rPr>
        <w:t>vocetirizin</w:t>
      </w:r>
      <w:r w:rsidRPr="00AD0CA7">
        <w:rPr>
          <w:sz w:val="22"/>
          <w:szCs w:val="22"/>
          <w:lang w:val="sk-SK"/>
        </w:rPr>
        <w:t xml:space="preserve">u počas dojčenia neodporúča, najmä pri dlhodobej liečbe. 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Dáta týkajúce sa ovplyvnenia plodnosti nie sú k dispozícii.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Ovplyvnenie schopnosti viesť vozidlá a obsluhovať stroje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Tento liek má minimálny vplyv na schopnosť viesť vozidlá a obsluhovať stroje. Porovnávacie klinické štúdie neodhalili žiadne známky, že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v odporúčanej dávke oslabuje psychickú pozornosť, reaktivitu alebo schopnosť viesť vozidlá. Avšak niektorí pacienti pri liečbe Levocetirizinom Hetero môžu pociťovať ospalosť, únavu a asténiu. Preto pacienti, ktorí plánujú viesť vozidlá, zúčastňovať sa potenciálne riskantných aktivít alebo obsluhovať stroje, majú zohľadniť svoju reakciu na liek.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Nežiaduce účinky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V terapeutických štúdiách so ženami a mužmi vo veku od 12 do 71 rokov malo 15,1% pacientov v skupine s 5 mg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aspoň jednu nežiaducu liekovú reakciu v porovnaní s 11,3% osôb v skupine s placebom. Z týchto nežiaducich liekových reakcií b</w:t>
      </w:r>
      <w:smartTag w:uri="urn:schemas-microsoft-com:office:smarttags" w:element="PersonName">
        <w:r w:rsidRPr="00AD0CA7">
          <w:rPr>
            <w:rFonts w:ascii="Times New Roman" w:hAnsi="Times New Roman"/>
            <w:lang w:val="sk-SK"/>
          </w:rPr>
          <w:t>olo</w:t>
        </w:r>
      </w:smartTag>
      <w:r w:rsidRPr="00AD0CA7">
        <w:rPr>
          <w:rFonts w:ascii="Times New Roman" w:hAnsi="Times New Roman"/>
          <w:lang w:val="sk-SK"/>
        </w:rPr>
        <w:t xml:space="preserve"> 91,6% miernych až stredne závažných.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V terapeutických štúdiách b</w:t>
      </w:r>
      <w:smartTag w:uri="urn:schemas-microsoft-com:office:smarttags" w:element="PersonName">
        <w:r w:rsidRPr="00AD0CA7">
          <w:rPr>
            <w:rFonts w:ascii="Times New Roman" w:hAnsi="Times New Roman"/>
            <w:lang w:val="sk-SK"/>
          </w:rPr>
          <w:t>olo</w:t>
        </w:r>
      </w:smartTag>
      <w:r w:rsidRPr="00AD0CA7">
        <w:rPr>
          <w:rFonts w:ascii="Times New Roman" w:hAnsi="Times New Roman"/>
          <w:lang w:val="sk-SK"/>
        </w:rPr>
        <w:t xml:space="preserve"> percento pacientov, ktorí boli zo štúdie vyradení pre nežiaduce účinky 1% (9/935) pri 5 mg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a 1,8% (14/771) pri placebe.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Frekvencia nežiaducich účinkov je definovaná ako veľmi časté (≥ 1/10), časté (≥ 1/100 to &lt;1/10), menej časté (≥ 1/1, 000 to &lt;1/100), zriedkavé (≥ 1/10, 000 to &lt;1/1, 000), veľmi zriedkavé (&lt;1/10, 000); neznáme (frekvenciu nemožno odhadnúť z dostupných údajov).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Klinické terapeutické štúdie s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om zahŕňali 935 jedincov, ktorí užívali odporúčanú dávku 5 mg denne. V tejto skupine sa zaznamenala nasledovná incidencia nežiaducich liekových reakcií s frekvenciou 1% alebo vyššou (časté: &gt; 1/100, &lt; 1/10) po podaní 5 mg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alebo placeba:</w:t>
      </w:r>
    </w:p>
    <w:tbl>
      <w:tblPr>
        <w:tblW w:w="0" w:type="auto"/>
        <w:jc w:val="center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21"/>
        <w:gridCol w:w="2853"/>
        <w:gridCol w:w="2945"/>
      </w:tblGrid>
      <w:tr w:rsidR="006A4DEC" w:rsidRPr="004D4761" w:rsidTr="005420CA">
        <w:trPr>
          <w:jc w:val="center"/>
        </w:trPr>
        <w:tc>
          <w:tcPr>
            <w:tcW w:w="2921" w:type="dxa"/>
          </w:tcPr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Preferenčný termín (WHOART)</w:t>
            </w:r>
          </w:p>
        </w:tc>
        <w:tc>
          <w:tcPr>
            <w:tcW w:w="2854" w:type="dxa"/>
          </w:tcPr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Placebo</w:t>
            </w:r>
          </w:p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(n= 771)</w:t>
            </w:r>
          </w:p>
        </w:tc>
        <w:tc>
          <w:tcPr>
            <w:tcW w:w="2946" w:type="dxa"/>
          </w:tcPr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Levocetirizine 5 mg</w:t>
            </w:r>
          </w:p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(n=935)</w:t>
            </w:r>
          </w:p>
        </w:tc>
      </w:tr>
      <w:tr w:rsidR="006A4DEC" w:rsidRPr="004D4761" w:rsidTr="005420CA">
        <w:trPr>
          <w:jc w:val="center"/>
        </w:trPr>
        <w:tc>
          <w:tcPr>
            <w:tcW w:w="2921" w:type="dxa"/>
          </w:tcPr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Bolesť hlavy</w:t>
            </w:r>
          </w:p>
        </w:tc>
        <w:tc>
          <w:tcPr>
            <w:tcW w:w="2854" w:type="dxa"/>
          </w:tcPr>
          <w:p w:rsidR="006A4DEC" w:rsidRPr="004D4761" w:rsidRDefault="006A4DEC" w:rsidP="00215953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25 (3,2%)</w:t>
            </w:r>
          </w:p>
        </w:tc>
        <w:tc>
          <w:tcPr>
            <w:tcW w:w="2946" w:type="dxa"/>
          </w:tcPr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24 (2,6%)</w:t>
            </w:r>
          </w:p>
        </w:tc>
      </w:tr>
      <w:tr w:rsidR="006A4DEC" w:rsidRPr="004D4761" w:rsidTr="005420CA">
        <w:trPr>
          <w:jc w:val="center"/>
        </w:trPr>
        <w:tc>
          <w:tcPr>
            <w:tcW w:w="2921" w:type="dxa"/>
          </w:tcPr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Ospalosť</w:t>
            </w:r>
          </w:p>
        </w:tc>
        <w:tc>
          <w:tcPr>
            <w:tcW w:w="2854" w:type="dxa"/>
          </w:tcPr>
          <w:p w:rsidR="006A4DEC" w:rsidRPr="004D4761" w:rsidRDefault="006A4DEC" w:rsidP="00215953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11 (1,4%)</w:t>
            </w:r>
          </w:p>
        </w:tc>
        <w:tc>
          <w:tcPr>
            <w:tcW w:w="2946" w:type="dxa"/>
          </w:tcPr>
          <w:p w:rsidR="006A4DEC" w:rsidRPr="004D4761" w:rsidRDefault="006A4DEC" w:rsidP="00C474CC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49 (5,2%)</w:t>
            </w:r>
          </w:p>
        </w:tc>
      </w:tr>
      <w:tr w:rsidR="006A4DEC" w:rsidRPr="004D4761" w:rsidTr="005420CA">
        <w:trPr>
          <w:jc w:val="center"/>
        </w:trPr>
        <w:tc>
          <w:tcPr>
            <w:tcW w:w="2921" w:type="dxa"/>
          </w:tcPr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Sucho v ústach</w:t>
            </w:r>
          </w:p>
        </w:tc>
        <w:tc>
          <w:tcPr>
            <w:tcW w:w="2854" w:type="dxa"/>
          </w:tcPr>
          <w:p w:rsidR="006A4DEC" w:rsidRPr="004D4761" w:rsidRDefault="006A4DEC" w:rsidP="00A354F1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12 (1,6%)</w:t>
            </w:r>
          </w:p>
        </w:tc>
        <w:tc>
          <w:tcPr>
            <w:tcW w:w="2946" w:type="dxa"/>
          </w:tcPr>
          <w:p w:rsidR="006A4DEC" w:rsidRPr="004D4761" w:rsidRDefault="006A4DEC" w:rsidP="00C474CC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24 (2,6%)</w:t>
            </w:r>
          </w:p>
        </w:tc>
      </w:tr>
      <w:tr w:rsidR="006A4DEC" w:rsidRPr="004D4761" w:rsidTr="005420CA">
        <w:trPr>
          <w:jc w:val="center"/>
        </w:trPr>
        <w:tc>
          <w:tcPr>
            <w:tcW w:w="2921" w:type="dxa"/>
          </w:tcPr>
          <w:p w:rsidR="006A4DEC" w:rsidRPr="004D4761" w:rsidRDefault="006A4DEC" w:rsidP="00A57A67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Únava</w:t>
            </w:r>
          </w:p>
        </w:tc>
        <w:tc>
          <w:tcPr>
            <w:tcW w:w="2854" w:type="dxa"/>
          </w:tcPr>
          <w:p w:rsidR="006A4DEC" w:rsidRPr="004D4761" w:rsidRDefault="006A4DEC" w:rsidP="00215953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 xml:space="preserve">  9 (1,2%)</w:t>
            </w:r>
          </w:p>
        </w:tc>
        <w:tc>
          <w:tcPr>
            <w:tcW w:w="2946" w:type="dxa"/>
          </w:tcPr>
          <w:p w:rsidR="006A4DEC" w:rsidRPr="004D4761" w:rsidRDefault="006A4DEC" w:rsidP="00C474CC">
            <w:pPr>
              <w:spacing w:before="80" w:after="120" w:line="240" w:lineRule="auto"/>
              <w:rPr>
                <w:rFonts w:ascii="Times New Roman" w:hAnsi="Times New Roman"/>
                <w:lang w:val="sk-SK"/>
              </w:rPr>
            </w:pPr>
            <w:r w:rsidRPr="00AD0CA7">
              <w:rPr>
                <w:rFonts w:ascii="Times New Roman" w:hAnsi="Times New Roman"/>
                <w:lang w:val="sk-SK"/>
              </w:rPr>
              <w:t>23 (2,5%)</w:t>
            </w:r>
          </w:p>
        </w:tc>
      </w:tr>
    </w:tbl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Ďalej sa pozoroval menej častý výskyt nežiaducich reakcií (menej časté: &gt; 1/1000 až &lt; 1/100), ako je asténia alebo bolesti brucha.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Výskyt sedatívnych nežiaducich liekových reakcií, ako je ospalosť, únava a asténia, sa všeobecne pozoroval častejšie (8,1%) po 5 mg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ako po užívaní placeba (3,1%).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Okrem nežiaducich účinkov hlásených počas klinických štúdií a uvedených vyššie sa v postmarketingovej praxi zaznamenali veľmi zriedkavé prípady nasledovných nežiaducich liekových reakcií.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Poruchy imunitného systému: precitlivenosť vrátane anafylaxie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Psychické poruchy: agresivita, agitácia, halucinácia, depresia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Poruchy nervového systému: kŕče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Poruchy oka: poruchy zraku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Poruchy srdca a srdcovej činnosti: palpitácie, tachykardia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Poruchy dýchacej sústavy, hrudníka a mediastína: dyspnoe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Poruchy gastrointestinálneho traktu: nauzea, zvracania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Poruchy pečene a žlčových ciest: hepatitída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Poruchy kože a podkožného tkaniva: angioneurotický edém, lokalizovaná lieková vyrážka, pruritus, vyrážka, žihľavka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Poruchy kostrovej a svalovej sústavy a spojivového tkaniva: myalgia</w:t>
      </w:r>
    </w:p>
    <w:p w:rsidR="006A4DEC" w:rsidRPr="004D4761" w:rsidRDefault="006A4DEC" w:rsidP="00A57A67">
      <w:pPr>
        <w:pStyle w:val="ListParagraph"/>
        <w:numPr>
          <w:ilvl w:val="0"/>
          <w:numId w:val="2"/>
        </w:numPr>
        <w:spacing w:before="80" w:after="120" w:line="240" w:lineRule="auto"/>
        <w:ind w:left="357" w:hanging="357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Laboratórne a funkčné vyšetrenia: zvýšenie telesnej hmotnosti, abnormálne pečeňové funkčné testy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Predávkovanie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i/>
          <w:lang w:val="sk-SK"/>
        </w:rPr>
      </w:pPr>
      <w:r w:rsidRPr="00CB7878">
        <w:rPr>
          <w:rFonts w:ascii="Times New Roman" w:hAnsi="Times New Roman"/>
          <w:i/>
          <w:lang w:val="sk-SK"/>
        </w:rPr>
        <w:t>a) Príznaky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Príznaky predávkovania môžu zahŕňať ospalosť u dospelých a na začiatku agitovanosť a nepokoj a ďalej ospalosť u detí.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i/>
          <w:lang w:val="sk-SK"/>
        </w:rPr>
      </w:pPr>
      <w:r w:rsidRPr="00CB7878">
        <w:rPr>
          <w:rFonts w:ascii="Times New Roman" w:hAnsi="Times New Roman"/>
          <w:i/>
          <w:lang w:val="sk-SK"/>
        </w:rPr>
        <w:t>b) Postup pri predávkovaní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Nie je známe žiadne špecifické antidotum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Pokiaľ dôjde k predávkovaniu, odporúča sa symptomatická alebo podporná liečba. Pri krátkom intervale od požitia je vhodné uskutočniť výplach žalúdka.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nie je účinne odstraňovaný hemodialýzou.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</w:p>
    <w:p w:rsidR="006A4DEC" w:rsidRPr="004D4761" w:rsidRDefault="006A4DEC" w:rsidP="00A57A67">
      <w:pPr>
        <w:pStyle w:val="Heading1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FARMAKOLOGICKÉ VLASTNOSTI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Farmakodynamické vlastnosti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Farmakoterapeutická skupina: antihistaminiká na systémové použitie, piperazínové deriváty, ATC kód: R06A E09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, (R) enantiomér cetirizínu, je účinný a selektívny antagonista periférnych H1 - receptorov.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Väzbové štúdie dokázali, že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má značnú afinitu k ľudským H1 -receptorom (Ki = 3,2 nmol/l).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má dvojnásobne vyššiu afinitu v porovnaní s cetirizínom (Ki = 6,3 nmol/l).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sa uvoľňuje z H1 - receptorov s polčasom 115 ± 38 min. Po jednorazovom podaní vykazuje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obsadenosť receptora 90% po 4 hodinách a 57% po 24 hodinách.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Farmakodynamické štúdie u zdravých dobrovoľníkov dokázali, že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má v polovičnej dávke porovnateľný účinok s cetirizínom ako na kožu, tak i v nose.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Farmakodynamická aktivita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sa študovala v randomizovaných, kontrolovaných skúšaniach: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V štúdii porovnávajúcej účinky 5 mg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u, 5 mg desloratadínu a placeba na histamínom vyvolaný edém a sčervenanie bolo výsledkom liečby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om významné zníženie tvorby edému a sčervenania, čo bolo najvýraznejšie počas prvých 12 hodín a pretrvávalo 24 hodín (p&lt;0,001) v porovnaní s placebom a desloratadínom.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Nástup pôsobenia 5 mg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u pri kontrolovaných peľom indukovaných príznakoch sa pozoroval 1 hodinu po užití lieku v placebom kontrolovaných skúšaniach v modeli allergen challenge chamber (expozičné komôrky alergénu). 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i/>
          <w:lang w:val="sk-SK"/>
        </w:rPr>
        <w:t>In vitro</w:t>
      </w:r>
      <w:r w:rsidRPr="00AD0CA7">
        <w:rPr>
          <w:rFonts w:ascii="Times New Roman" w:hAnsi="Times New Roman"/>
          <w:lang w:val="sk-SK"/>
        </w:rPr>
        <w:t xml:space="preserve"> štúdie (technika Boydenovych komôrok a tkanivových kultúr) ukázali, že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inhibuje eotaxínom indukovanú transendoteliálnu migráciu eozinofilov do kožných a pľúcnych buniek. Farmakodynamické experimentálne štúdie in vivo (metóda kožných komôrok) ukázali tri hlavné inhibičné účinky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5 mg v prvých 6 hodinách peľom indukovaných reakcií, v porovnaní s placebom u 14 dospelých pacientov: inhibíciu uvoľnenia VCAM-1, moduláciu cievnej permeability a zníženie migrácie eozinofilov.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Účinnosť a bezpečnosť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boli dokázané v niekoľkých dvojito zaslepených, placebom kontrolovaných klinických štúdiách uskutočnených s dospelými pacientmi trpiacimi sezónnou alergickou nádchou, chronickou alergickou nádchou alebo perzistentnou alergickou nádchou.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vykazoval v niektorých štúdiách významné zlepšenie príznakov alergickej nádchy, vrátane obštrukcie nosa.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6-mesačná klinická štúdia s 551 dospelými pacientmi (vrátane 276 pacientov liečených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om) trpiacimi perzistentnou alergickou nádchou (príznaky prítomné 4 dni v týždni najmenej 4 po sebe nasledujúce týždne) a so zvýšenou precitlivenosťou na roztoče z domáceho prachu a trávový peľ dokázala, že 5 mg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bolo klinicky i štatisticky významne účinnejších než placebo z hľadiska úľavy celkových príznakov alergickej nádchy počas celého trvania štúdie bez akejkoľvek tachyfylaxie. Počas celého trvania štúdie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významne zlepšil kvalitu života pacientov.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Bezpečnosť a účinnosť tabliet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u detských pacientov sa skúmala v dvoch placebom kontrolovaných klinických skúšaniach zahŕňajúcich pacientov vo veku od 6 do 12 rokov so sezónnou, resp. chronickou alergickou nádchou. V oboch skúšaniach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významne zlepšil príznaky a zvýšil kvalitu života súvisiacu so zdravím.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V placebom kontrolovanom klinickom skúšaní zahŕňajúcom 166 pacientov s chronickou idiopatickou žihľavkou 85 pacientov bolo liečených placebom a 81 pacientov 5 mg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jedenkrát denne počas šiestich týždňov. Liečba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om znamenala významné zníženie závažnosti pruritu počas prvého týždňa a počas celého obdobia liečby v porovnaní s placebom.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mal tiež za následok rozsiahlejšie zlepšenie kvality života súvisiacej so zdravím hodnotenej podľa Dermatology Life Quality Index v porovnaní s placebom.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Chronická idiopatická urtikária sa skúmala ako model podmienok urtikárie. Keďže uvoľnenie histamínu je príčinným faktorom žihľavkových ochorení, predpokladá sa, že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bude účinný pri poskytovaní zmiernenia príznakov aj pre iné stavy urtikárií popri chronickej idiopatickej urtikárii.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Vzťah farmakokinetiky k farmakodynamike: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Účinok na histamínom indukovanú kožnú reakciu nie je priamou funkciou plazmatických koncentrácií.</w:t>
      </w:r>
    </w:p>
    <w:p w:rsidR="006A4DEC" w:rsidRPr="004D4761" w:rsidRDefault="006A4DEC" w:rsidP="00A57A67">
      <w:pPr>
        <w:spacing w:before="80" w:after="120" w:line="240" w:lineRule="auto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EKG neukázalo významné účinky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na QT interval.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Farmakokinetické vlastnosti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Farmakokinetika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u je lineárna a nezávislá od dávky a času s nízkou variabilitou medzi jednotlivými subjektmi. Farmakokinetický profil je rovnaký po podaní samotného enantioméru alebo cetirizínu. V procese absorpcie a eliminácie nedochádza ku chirálnej inverzii. 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b/>
          <w:lang w:val="sk-SK"/>
        </w:rPr>
      </w:pPr>
      <w:r w:rsidRPr="00AD0CA7">
        <w:rPr>
          <w:rFonts w:ascii="Times New Roman" w:hAnsi="Times New Roman"/>
          <w:b/>
          <w:lang w:val="sk-SK"/>
        </w:rPr>
        <w:t>Absorpcia: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Po perorálnom podaní sa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rýchlo a vo veľkom množstve absorbuje. Maximálne plazmatické koncentrácie sa dosiahnu za 0,9 hodiny po podaní. Rovnovážny stav sa dosiahne za dva dni. Maximálne koncentrácie sú obvykle 270 ng/ml po jednorazovej 5 mg dávke a 308 ng/ml po podaní opakovanej dávky 5 mg jedenkrát denne. Rozsah absorpcie nie je závislý od dávky a nie je ovplyvnený príjmom potravy, ale maximálna koncentrácia je znížená a oneskorená.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b/>
          <w:lang w:val="sk-SK"/>
        </w:rPr>
      </w:pPr>
      <w:r w:rsidRPr="00AD0CA7">
        <w:rPr>
          <w:rFonts w:ascii="Times New Roman" w:hAnsi="Times New Roman"/>
          <w:b/>
          <w:lang w:val="sk-SK"/>
        </w:rPr>
        <w:t>Distribúcia: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U ľudí nie sú k dispozícii žiadne údaje týkajúce sa tkanivovej distribúcie ani ohľadom prechodu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hematoencefalickou bariérou. U potkanov a psov sa najvyššie hladiny v tkanive pozorovali v pečeni a obličkách a najnižšie v CNS kompartmente.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sa viaže z 90% na plazmatické proteíny. Distribúcia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je obmedzená, pretože distribučný objem je 0,4 l/kg.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b/>
          <w:lang w:val="sk-SK"/>
        </w:rPr>
      </w:pPr>
      <w:r w:rsidRPr="00AD0CA7">
        <w:rPr>
          <w:rFonts w:ascii="Times New Roman" w:hAnsi="Times New Roman"/>
          <w:b/>
          <w:lang w:val="sk-SK"/>
        </w:rPr>
        <w:t>Biotransformácia: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Rozsah metabolizmu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u ľudí je menej ako 14% dávky a preto sa predpokladá, že rozdiely dané genetickým polymorfizmom alebo súbežným podávaním enzymatických inhibítorov sú zanedbateľné. Metabolická premena spočíva v aromatickej oxidácii, N- a O- dealkylácii a konjugácii s taurínom. Proces dealkylácie je primárne sprostredkovaný CYP 3A4, aromatická oxidácia zahŕňa mnohonásobné a/alebo neurčené CYP izoformy.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v perorálnej dávke 5 mg neovplyvňoval pri dosiahnutých koncentráciách vyšších ako maximálna koncentrácia aktivitu CYP izoenzýmov 1A2, 2C9, 2C19, 2D6, 2E1 a 3A4.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Vzhľadom na nízky metabolizmus a nulový metabolický inhibičný potenciál je interakcia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s inými látkami alebo naopak nepravdepodobná.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b/>
          <w:lang w:val="sk-SK"/>
        </w:rPr>
      </w:pPr>
      <w:r w:rsidRPr="00AD0CA7">
        <w:rPr>
          <w:rFonts w:ascii="Times New Roman" w:hAnsi="Times New Roman"/>
          <w:b/>
          <w:lang w:val="sk-SK"/>
        </w:rPr>
        <w:t>Eliminácia: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Plazmatický polčas u dospelých je 7,9 ± 1,9 hodiny. Priemerný zdanlivý celkový telesný klírens je 0,63 ml/min/kg. Najvýznamnejšia cesta vylučovania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a metabolitov je prostredníctvom moču, v priemernom množstve 85,4% dávky. Vylučovanie stolicou predstavuje iba 12,9% dávky.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 xml:space="preserve"> sa teda vylučuje glomerulárnou filtráciou a aktívnou tubulárnou sekréciou. 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b/>
          <w:lang w:val="sk-SK"/>
        </w:rPr>
      </w:pPr>
      <w:r w:rsidRPr="00AD0CA7">
        <w:rPr>
          <w:rFonts w:ascii="Times New Roman" w:hAnsi="Times New Roman"/>
          <w:b/>
          <w:lang w:val="sk-SK"/>
        </w:rPr>
        <w:t>Poškodenie funkcie obličiek: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Zdanlivý telesný klírens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má vzťah ku klírensu kreatinínu. Preto sa odporúča u pacientov so stredne závažným a závažným poškodením funkcie obličiek upraviť intervaly podávania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na základe klírensu kreatinínu. U pacientov s anúriou v konečnom štádiu obličkového zlyhania sa znižuje celkový telesný klírens približne o 80% v porovnaní so zdravými osobami. Množstvo le</w:t>
      </w:r>
      <w:r>
        <w:rPr>
          <w:rFonts w:ascii="Times New Roman" w:hAnsi="Times New Roman"/>
          <w:lang w:val="sk-SK"/>
        </w:rPr>
        <w:t>vocetirizin</w:t>
      </w:r>
      <w:r w:rsidRPr="00AD0CA7">
        <w:rPr>
          <w:rFonts w:ascii="Times New Roman" w:hAnsi="Times New Roman"/>
          <w:lang w:val="sk-SK"/>
        </w:rPr>
        <w:t>u odstránené štandardnou 4-hodinovou hemodialýzou je &lt;10%.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Predklinické údaje o bezpečnostnom profile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Predklinické údaje na základe obvyklých štúdií farmakologickej bezpečnosti, toxicity po opakovanom podaní, genotoxicity, karcinogénneho potenciálu, reprodukčnej toxicity neodhalili žiadne osobitné riziko pre ľudí.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</w:p>
    <w:p w:rsidR="006A4DEC" w:rsidRPr="004D4761" w:rsidRDefault="006A4DEC" w:rsidP="00A57A67">
      <w:pPr>
        <w:pStyle w:val="Heading1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FARMACEUTICKÉ INFORMÁCIE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Zoznam pomocných látok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u w:val="single"/>
          <w:lang w:val="sk-SK"/>
        </w:rPr>
        <w:t>Jadro tablety</w:t>
      </w:r>
      <w:r w:rsidRPr="00AD0CA7">
        <w:rPr>
          <w:rFonts w:ascii="Times New Roman" w:hAnsi="Times New Roman"/>
          <w:lang w:val="sk-SK"/>
        </w:rPr>
        <w:t>: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Monohydrát laktózy, mikrokryštalická celulóza, koloidný bezvodý oxid kremičitý, magnéziumstearát (E572).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u w:val="single"/>
          <w:lang w:val="sk-SK"/>
        </w:rPr>
        <w:t>Filmová vrstva</w:t>
      </w:r>
      <w:r w:rsidRPr="00AD0CA7">
        <w:rPr>
          <w:rFonts w:ascii="Times New Roman" w:hAnsi="Times New Roman"/>
          <w:lang w:val="sk-SK"/>
        </w:rPr>
        <w:t>: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Oxid titaničitý (E171), hypromelóza (E464), makrogol 400, polysorbát 80.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Inkompatibility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Neaplikovateľné.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Čas použiteľnosti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3 roky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Špeciálne upozornenia pre uchovávanie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Tento liek nevyžaduje žiadne zvláštne podmienky na uchovávanie.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Druh obalu a obsah balenia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Hliník - OPA/hliník/PVC blister.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 xml:space="preserve">Veľkosť balenia: 1, 2, 4, 5, 7, 10, 14, 15, 20, 21, 28, 30, 40, 50, 56, 60, 70, 90, 100, </w:t>
      </w:r>
      <w:r w:rsidRPr="00AD0CA7">
        <w:rPr>
          <w:rFonts w:ascii="Times New Roman" w:hAnsi="Times New Roman"/>
          <w:lang w:val="en-GB"/>
        </w:rPr>
        <w:t xml:space="preserve">112 </w:t>
      </w:r>
      <w:r w:rsidRPr="00AD0CA7">
        <w:rPr>
          <w:rFonts w:ascii="Times New Roman" w:hAnsi="Times New Roman"/>
          <w:lang w:val="sk-SK"/>
        </w:rPr>
        <w:t xml:space="preserve"> a 120 filmom obalených tabliet.</w:t>
      </w:r>
    </w:p>
    <w:p w:rsidR="006A4DEC" w:rsidRPr="004D4761" w:rsidRDefault="006A4DEC" w:rsidP="00A57A67">
      <w:pPr>
        <w:pStyle w:val="Sinespaciado1"/>
        <w:spacing w:before="80" w:after="120"/>
        <w:rPr>
          <w:rFonts w:ascii="Times New Roman" w:hAnsi="Times New Roman" w:cs="Times New Roman"/>
          <w:lang w:val="sk-SK"/>
        </w:rPr>
      </w:pPr>
      <w:r w:rsidRPr="00AD0CA7">
        <w:rPr>
          <w:rFonts w:ascii="Times New Roman" w:hAnsi="Times New Roman" w:cs="Times New Roman"/>
          <w:lang w:val="sk-SK"/>
        </w:rPr>
        <w:t xml:space="preserve">Nie všetky veľkosti balenia musia byť uvedené na trh. </w:t>
      </w:r>
    </w:p>
    <w:p w:rsidR="006A4DEC" w:rsidRPr="004D4761" w:rsidRDefault="006A4DEC" w:rsidP="00A57A67">
      <w:pPr>
        <w:pStyle w:val="Heading2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Špeciálne opatrenia na likvidáciu</w:t>
      </w:r>
    </w:p>
    <w:p w:rsidR="006A4DEC" w:rsidRPr="004D4761" w:rsidRDefault="006A4DEC" w:rsidP="00A57A67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Nepoužitý liek alebo odpad musí byť zlikvidovaný v súlade s miestnymi požiadavkami.</w:t>
      </w:r>
    </w:p>
    <w:p w:rsidR="006A4DEC" w:rsidRPr="004D4761" w:rsidRDefault="006A4DEC" w:rsidP="00A57A67">
      <w:pPr>
        <w:pStyle w:val="Heading1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DRŽITEĽ ROZHODNUTIA O REGISTRÁCII</w:t>
      </w:r>
    </w:p>
    <w:p w:rsidR="006A4DEC" w:rsidRPr="004D4761" w:rsidRDefault="006A4DEC" w:rsidP="001A4420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Hetero Europe S.L.</w:t>
      </w:r>
    </w:p>
    <w:p w:rsidR="006A4DEC" w:rsidRPr="004D4761" w:rsidRDefault="006A4DEC" w:rsidP="001A4420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Viladecans Business Park – Edificio Brasil</w:t>
      </w:r>
    </w:p>
    <w:p w:rsidR="006A4DEC" w:rsidRPr="004D4761" w:rsidRDefault="006A4DEC" w:rsidP="001A4420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Catalunya 83-85</w:t>
      </w:r>
    </w:p>
    <w:p w:rsidR="006A4DEC" w:rsidRPr="004D4761" w:rsidRDefault="006A4DEC" w:rsidP="001A4420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08840 Viladecans (Barce</w:t>
      </w:r>
      <w:bookmarkStart w:id="0" w:name="_GoBack"/>
      <w:bookmarkEnd w:id="0"/>
      <w:r w:rsidRPr="00AD0CA7">
        <w:rPr>
          <w:rFonts w:ascii="Times New Roman" w:hAnsi="Times New Roman"/>
          <w:lang w:val="sk-SK"/>
        </w:rPr>
        <w:t>lona)</w:t>
      </w:r>
    </w:p>
    <w:p w:rsidR="006A4DEC" w:rsidRPr="004D4761" w:rsidRDefault="006A4DEC" w:rsidP="001A4420">
      <w:pPr>
        <w:spacing w:before="80" w:after="120"/>
        <w:rPr>
          <w:rFonts w:ascii="Times New Roman" w:hAnsi="Times New Roman"/>
          <w:lang w:val="sk-SK"/>
        </w:rPr>
      </w:pPr>
      <w:r w:rsidRPr="00AD0CA7">
        <w:rPr>
          <w:rFonts w:ascii="Times New Roman" w:hAnsi="Times New Roman"/>
          <w:lang w:val="sk-SK"/>
        </w:rPr>
        <w:t>Španielsko</w:t>
      </w:r>
    </w:p>
    <w:p w:rsidR="006A4DEC" w:rsidRPr="004D4761" w:rsidRDefault="006A4DEC" w:rsidP="001A4420">
      <w:pPr>
        <w:spacing w:before="80" w:after="120"/>
        <w:rPr>
          <w:rFonts w:ascii="Times New Roman" w:hAnsi="Times New Roman"/>
          <w:lang w:val="sk-SK"/>
        </w:rPr>
      </w:pPr>
    </w:p>
    <w:p w:rsidR="006A4DEC" w:rsidRPr="004D4761" w:rsidRDefault="006A4DEC" w:rsidP="001A4420">
      <w:pPr>
        <w:pStyle w:val="Heading1"/>
        <w:rPr>
          <w:lang w:val="sk-SK"/>
        </w:rPr>
      </w:pPr>
      <w:r w:rsidRPr="00AD0CA7">
        <w:rPr>
          <w:lang w:val="sk-SK"/>
        </w:rPr>
        <w:t>REGISTRAČNÉ ČÍSLO</w:t>
      </w:r>
    </w:p>
    <w:p w:rsidR="006A4DEC" w:rsidRDefault="006A4DEC">
      <w:pPr>
        <w:rPr>
          <w:lang w:val="sk-SK"/>
        </w:rPr>
      </w:pPr>
    </w:p>
    <w:p w:rsidR="006A4DEC" w:rsidRDefault="006A4DEC">
      <w:pPr>
        <w:rPr>
          <w:lang w:val="sk-SK"/>
        </w:rPr>
      </w:pPr>
      <w:r w:rsidRPr="00AD0CA7">
        <w:rPr>
          <w:rFonts w:ascii="Times New Roman" w:hAnsi="Times New Roman"/>
          <w:lang w:val="sk-SK"/>
        </w:rPr>
        <w:t>24/0243/12-S</w:t>
      </w:r>
    </w:p>
    <w:p w:rsidR="006A4DEC" w:rsidRPr="004D4761" w:rsidRDefault="006A4DEC" w:rsidP="00A57A67">
      <w:pPr>
        <w:pStyle w:val="Heading1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DÁTUM PRVEJ REGISTRÁCIE/ PREDĹŽENIE REGISTRÁCIE</w:t>
      </w:r>
    </w:p>
    <w:p w:rsidR="006A4DEC" w:rsidRDefault="006A4DEC">
      <w:pPr>
        <w:rPr>
          <w:lang w:val="sk-SK"/>
        </w:rPr>
      </w:pPr>
    </w:p>
    <w:p w:rsidR="006A4DEC" w:rsidRPr="004D4761" w:rsidRDefault="006A4DEC" w:rsidP="00A57A67">
      <w:pPr>
        <w:pStyle w:val="Heading1"/>
        <w:spacing w:before="80" w:after="120"/>
        <w:rPr>
          <w:szCs w:val="22"/>
          <w:lang w:val="sk-SK"/>
        </w:rPr>
      </w:pPr>
      <w:r w:rsidRPr="00AD0CA7">
        <w:rPr>
          <w:szCs w:val="22"/>
          <w:lang w:val="sk-SK"/>
        </w:rPr>
        <w:t>DÁTUM REVÍZIE TEXTU</w:t>
      </w:r>
    </w:p>
    <w:sectPr w:rsidR="006A4DEC" w:rsidRPr="004D4761" w:rsidSect="007A4C0A">
      <w:pgSz w:w="11906" w:h="16838"/>
      <w:pgMar w:top="1247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E785E"/>
    <w:multiLevelType w:val="hybridMultilevel"/>
    <w:tmpl w:val="F0CE8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A7741B"/>
    <w:multiLevelType w:val="multilevel"/>
    <w:tmpl w:val="F3A80BB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9EA"/>
    <w:rsid w:val="00037C3C"/>
    <w:rsid w:val="00042375"/>
    <w:rsid w:val="000A51C5"/>
    <w:rsid w:val="00141EB9"/>
    <w:rsid w:val="001709EA"/>
    <w:rsid w:val="00172146"/>
    <w:rsid w:val="00187DFA"/>
    <w:rsid w:val="001A4420"/>
    <w:rsid w:val="001A708A"/>
    <w:rsid w:val="00215953"/>
    <w:rsid w:val="00240955"/>
    <w:rsid w:val="002437F6"/>
    <w:rsid w:val="003078B1"/>
    <w:rsid w:val="0032746D"/>
    <w:rsid w:val="0034726B"/>
    <w:rsid w:val="0039046A"/>
    <w:rsid w:val="003C6E8C"/>
    <w:rsid w:val="003E07D9"/>
    <w:rsid w:val="0048400B"/>
    <w:rsid w:val="004D4761"/>
    <w:rsid w:val="005420CA"/>
    <w:rsid w:val="005438D7"/>
    <w:rsid w:val="005D7B77"/>
    <w:rsid w:val="00602048"/>
    <w:rsid w:val="00635CCF"/>
    <w:rsid w:val="006420B8"/>
    <w:rsid w:val="00692CDB"/>
    <w:rsid w:val="006A4DEC"/>
    <w:rsid w:val="006B0B5A"/>
    <w:rsid w:val="006E31CF"/>
    <w:rsid w:val="006F329D"/>
    <w:rsid w:val="00702E92"/>
    <w:rsid w:val="007338E3"/>
    <w:rsid w:val="00787A5F"/>
    <w:rsid w:val="007A4C0A"/>
    <w:rsid w:val="007B5A22"/>
    <w:rsid w:val="007F718E"/>
    <w:rsid w:val="00842E55"/>
    <w:rsid w:val="00870E08"/>
    <w:rsid w:val="008F5470"/>
    <w:rsid w:val="00907D8A"/>
    <w:rsid w:val="009C2B6D"/>
    <w:rsid w:val="009D2853"/>
    <w:rsid w:val="00A120BB"/>
    <w:rsid w:val="00A22A2C"/>
    <w:rsid w:val="00A354F1"/>
    <w:rsid w:val="00A404B5"/>
    <w:rsid w:val="00A57A67"/>
    <w:rsid w:val="00A915A2"/>
    <w:rsid w:val="00A94625"/>
    <w:rsid w:val="00AC668F"/>
    <w:rsid w:val="00AD0CA7"/>
    <w:rsid w:val="00BA6363"/>
    <w:rsid w:val="00BC7FCD"/>
    <w:rsid w:val="00C04EB5"/>
    <w:rsid w:val="00C474CC"/>
    <w:rsid w:val="00CB7878"/>
    <w:rsid w:val="00D07CC8"/>
    <w:rsid w:val="00D17092"/>
    <w:rsid w:val="00DB061E"/>
    <w:rsid w:val="00DC44B7"/>
    <w:rsid w:val="00DD2B61"/>
    <w:rsid w:val="00DD4AAD"/>
    <w:rsid w:val="00DF225C"/>
    <w:rsid w:val="00E256C2"/>
    <w:rsid w:val="00EC045C"/>
    <w:rsid w:val="00F015DF"/>
    <w:rsid w:val="00F20FD3"/>
    <w:rsid w:val="00F35F3C"/>
    <w:rsid w:val="00F94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87A5F"/>
    <w:pPr>
      <w:spacing w:after="200" w:line="276" w:lineRule="auto"/>
    </w:pPr>
    <w:rPr>
      <w:lang w:val="cs-CZ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20CA"/>
    <w:pPr>
      <w:keepNext/>
      <w:keepLines/>
      <w:numPr>
        <w:numId w:val="1"/>
      </w:numPr>
      <w:spacing w:before="120" w:after="0" w:line="240" w:lineRule="auto"/>
      <w:outlineLvl w:val="0"/>
    </w:pPr>
    <w:rPr>
      <w:rFonts w:ascii="Times New Roman" w:eastAsia="Times New Roman" w:hAnsi="Times New Roman"/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09EA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Times New Roman" w:eastAsia="Times New Roman" w:hAnsi="Times New Roman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709EA"/>
    <w:pPr>
      <w:keepNext/>
      <w:keepLines/>
      <w:numPr>
        <w:ilvl w:val="2"/>
        <w:numId w:val="1"/>
      </w:numPr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709EA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709EA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709EA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709EA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709EA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709EA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420CA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709EA"/>
    <w:rPr>
      <w:rFonts w:ascii="Times New Roman" w:hAnsi="Times New Roman" w:cs="Times New Roman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709EA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709EA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709EA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709EA"/>
    <w:rPr>
      <w:rFonts w:ascii="Cambria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709EA"/>
    <w:rPr>
      <w:rFonts w:ascii="Cambria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709EA"/>
    <w:rPr>
      <w:rFonts w:ascii="Cambria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709EA"/>
    <w:rPr>
      <w:rFonts w:ascii="Cambria" w:hAnsi="Cambria" w:cs="Times New Roman"/>
      <w:i/>
      <w:iCs/>
      <w:color w:val="404040"/>
      <w:sz w:val="20"/>
      <w:szCs w:val="20"/>
    </w:rPr>
  </w:style>
  <w:style w:type="character" w:styleId="Emphasis">
    <w:name w:val="Emphasis"/>
    <w:basedOn w:val="DefaultParagraphFont"/>
    <w:uiPriority w:val="99"/>
    <w:qFormat/>
    <w:rsid w:val="00BA6363"/>
    <w:rPr>
      <w:rFonts w:cs="Times New Roman"/>
      <w:i/>
      <w:iCs/>
    </w:rPr>
  </w:style>
  <w:style w:type="paragraph" w:styleId="NormalWeb">
    <w:name w:val="Normal (Web)"/>
    <w:basedOn w:val="Normal"/>
    <w:uiPriority w:val="99"/>
    <w:rsid w:val="00C04EB5"/>
    <w:pPr>
      <w:spacing w:before="96" w:after="96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99"/>
    <w:qFormat/>
    <w:rsid w:val="006E31CF"/>
    <w:pPr>
      <w:ind w:left="720"/>
      <w:contextualSpacing/>
    </w:pPr>
  </w:style>
  <w:style w:type="paragraph" w:customStyle="1" w:styleId="Sinespaciado1">
    <w:name w:val="Sin espaciado1"/>
    <w:basedOn w:val="Normal"/>
    <w:uiPriority w:val="99"/>
    <w:rsid w:val="00DD4AAD"/>
    <w:pPr>
      <w:suppressAutoHyphens/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BC7F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7CC8"/>
    <w:rPr>
      <w:rFonts w:ascii="Times New Roman" w:hAnsi="Times New Roman" w:cs="Times New Roman"/>
      <w:sz w:val="2"/>
      <w:lang w:val="cs-CZ" w:eastAsia="en-US"/>
    </w:rPr>
  </w:style>
  <w:style w:type="character" w:styleId="CommentReference">
    <w:name w:val="annotation reference"/>
    <w:basedOn w:val="DefaultParagraphFont"/>
    <w:uiPriority w:val="99"/>
    <w:semiHidden/>
    <w:locked/>
    <w:rsid w:val="003078B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3078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078B1"/>
    <w:rPr>
      <w:rFonts w:cs="Times New Roman"/>
      <w:sz w:val="20"/>
      <w:szCs w:val="20"/>
      <w:lang w:val="cs-CZ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3078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078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7</Pages>
  <Words>2605</Words>
  <Characters>14851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Schválený text k rozhodnutiu o registrácii lieku, ev</dc:title>
  <dc:subject/>
  <dc:creator>Zuzana</dc:creator>
  <cp:keywords/>
  <dc:description/>
  <cp:lastModifiedBy>marosz</cp:lastModifiedBy>
  <cp:revision>4</cp:revision>
  <cp:lastPrinted>2012-05-25T07:51:00Z</cp:lastPrinted>
  <dcterms:created xsi:type="dcterms:W3CDTF">2012-05-11T11:20:00Z</dcterms:created>
  <dcterms:modified xsi:type="dcterms:W3CDTF">2012-05-25T07:53:00Z</dcterms:modified>
</cp:coreProperties>
</file>