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EB4" w:rsidRPr="00502F89" w:rsidRDefault="00561EB4" w:rsidP="00D94AD8">
      <w:pPr>
        <w:rPr>
          <w:rFonts w:ascii="Arial" w:hAnsi="Arial" w:cs="Arial"/>
          <w:sz w:val="16"/>
          <w:szCs w:val="16"/>
        </w:rPr>
      </w:pPr>
      <w:r w:rsidRPr="00665938">
        <w:rPr>
          <w:rFonts w:ascii="Arial" w:hAnsi="Arial" w:cs="Arial"/>
          <w:sz w:val="16"/>
          <w:szCs w:val="16"/>
        </w:rPr>
        <w:t xml:space="preserve">Príloha č. </w:t>
      </w:r>
      <w:r>
        <w:rPr>
          <w:rFonts w:ascii="Arial" w:hAnsi="Arial" w:cs="Arial"/>
          <w:sz w:val="16"/>
          <w:szCs w:val="16"/>
        </w:rPr>
        <w:t>2</w:t>
      </w:r>
      <w:r w:rsidRPr="00665938">
        <w:rPr>
          <w:rFonts w:ascii="Arial" w:hAnsi="Arial" w:cs="Arial"/>
          <w:sz w:val="16"/>
          <w:szCs w:val="16"/>
        </w:rPr>
        <w:t xml:space="preserve"> k</w:t>
      </w:r>
      <w:r>
        <w:rPr>
          <w:rFonts w:ascii="Arial" w:hAnsi="Arial" w:cs="Arial"/>
          <w:sz w:val="16"/>
          <w:szCs w:val="16"/>
        </w:rPr>
        <w:t xml:space="preserve"> notifikácii zmeny v </w:t>
      </w:r>
      <w:r w:rsidRPr="00665938">
        <w:rPr>
          <w:rFonts w:ascii="Arial" w:hAnsi="Arial" w:cs="Arial"/>
          <w:sz w:val="16"/>
          <w:szCs w:val="16"/>
        </w:rPr>
        <w:t xml:space="preserve">registrácii lieku, </w:t>
      </w:r>
      <w:r>
        <w:rPr>
          <w:rFonts w:ascii="Arial" w:hAnsi="Arial" w:cs="Arial"/>
          <w:sz w:val="16"/>
          <w:szCs w:val="16"/>
        </w:rPr>
        <w:t>ev.č.: 2011/02350, 2009/11674, 2009/11672</w:t>
      </w:r>
    </w:p>
    <w:p w:rsidR="00561EB4" w:rsidRPr="00665938" w:rsidRDefault="00561EB4" w:rsidP="00D94AD8">
      <w:pPr>
        <w:rPr>
          <w:b/>
          <w:szCs w:val="22"/>
        </w:rPr>
      </w:pPr>
    </w:p>
    <w:p w:rsidR="00561EB4" w:rsidRPr="00665938" w:rsidRDefault="00561EB4" w:rsidP="00D94AD8">
      <w:pPr>
        <w:rPr>
          <w:b/>
          <w:szCs w:val="22"/>
        </w:rPr>
      </w:pPr>
    </w:p>
    <w:p w:rsidR="00561EB4" w:rsidRPr="00665938" w:rsidRDefault="00561EB4" w:rsidP="00D94AD8">
      <w:pPr>
        <w:rPr>
          <w:b/>
          <w:szCs w:val="22"/>
        </w:rPr>
      </w:pPr>
      <w:r w:rsidRPr="00665938">
        <w:rPr>
          <w:b/>
          <w:szCs w:val="22"/>
        </w:rPr>
        <w:t>SÚHRN CHARAKTERISTICKÝCH VLASTNOSTÍ LIEKU</w:t>
      </w:r>
    </w:p>
    <w:p w:rsidR="00561EB4" w:rsidRPr="00665938" w:rsidRDefault="00561EB4" w:rsidP="00D94AD8">
      <w:pPr>
        <w:rPr>
          <w:b/>
          <w:szCs w:val="22"/>
        </w:rPr>
      </w:pPr>
    </w:p>
    <w:p w:rsidR="00561EB4" w:rsidRPr="00665938" w:rsidRDefault="00561EB4" w:rsidP="00D94AD8">
      <w:pPr>
        <w:rPr>
          <w:b/>
          <w:szCs w:val="22"/>
        </w:rPr>
      </w:pPr>
    </w:p>
    <w:p w:rsidR="00561EB4" w:rsidRPr="00665938" w:rsidRDefault="00561EB4" w:rsidP="00D94AD8">
      <w:pPr>
        <w:rPr>
          <w:szCs w:val="22"/>
        </w:rPr>
      </w:pPr>
      <w:r w:rsidRPr="00665938">
        <w:rPr>
          <w:b/>
          <w:szCs w:val="22"/>
        </w:rPr>
        <w:t>1.</w:t>
      </w:r>
      <w:r w:rsidRPr="00665938">
        <w:rPr>
          <w:b/>
          <w:szCs w:val="22"/>
        </w:rPr>
        <w:tab/>
        <w:t>NÁZOV LIEKU</w:t>
      </w:r>
    </w:p>
    <w:p w:rsidR="00561EB4" w:rsidRPr="00665938" w:rsidRDefault="00561EB4" w:rsidP="00D94AD8">
      <w:pPr>
        <w:rPr>
          <w:szCs w:val="22"/>
        </w:rPr>
      </w:pPr>
    </w:p>
    <w:p w:rsidR="00561EB4" w:rsidRPr="00665938" w:rsidRDefault="00561EB4" w:rsidP="0064243B">
      <w:pPr>
        <w:rPr>
          <w:szCs w:val="22"/>
        </w:rPr>
      </w:pPr>
      <w:r>
        <w:rPr>
          <w:szCs w:val="22"/>
        </w:rPr>
        <w:t>Piperacillin/Tazobactam Sandoz 4 g/0,5 g prášok na infúzny roztok</w:t>
      </w:r>
    </w:p>
    <w:p w:rsidR="00561EB4" w:rsidRPr="00665938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  <w:r w:rsidRPr="00665938">
        <w:rPr>
          <w:b/>
          <w:szCs w:val="22"/>
        </w:rPr>
        <w:t>2.</w:t>
      </w:r>
      <w:r w:rsidRPr="00665938">
        <w:rPr>
          <w:b/>
          <w:szCs w:val="22"/>
        </w:rPr>
        <w:tab/>
        <w:t>KVALITATÍVNE A KVANTITATÍVNE ZLOŽENIE</w:t>
      </w:r>
    </w:p>
    <w:p w:rsidR="00561EB4" w:rsidRPr="00665938" w:rsidRDefault="00561EB4" w:rsidP="00D94AD8">
      <w:pPr>
        <w:ind w:left="0" w:firstLine="0"/>
      </w:pPr>
    </w:p>
    <w:p w:rsidR="00561EB4" w:rsidRDefault="00561EB4" w:rsidP="0064243B">
      <w:pPr>
        <w:ind w:left="0" w:firstLine="0"/>
        <w:rPr>
          <w:szCs w:val="22"/>
        </w:rPr>
      </w:pPr>
      <w:r w:rsidRPr="00665938">
        <w:rPr>
          <w:szCs w:val="22"/>
        </w:rPr>
        <w:t xml:space="preserve">Každá </w:t>
      </w:r>
      <w:r>
        <w:rPr>
          <w:szCs w:val="22"/>
        </w:rPr>
        <w:t xml:space="preserve">injekčná liekovka obsahuje </w:t>
      </w:r>
      <w:smartTag w:uri="urn:schemas-microsoft-com:office:smarttags" w:element="metricconverter">
        <w:smartTagPr>
          <w:attr w:name="ProductID" w:val="4ﾠg"/>
        </w:smartTagPr>
        <w:r>
          <w:rPr>
            <w:szCs w:val="22"/>
          </w:rPr>
          <w:t>4 g</w:t>
        </w:r>
      </w:smartTag>
      <w:r>
        <w:rPr>
          <w:szCs w:val="22"/>
        </w:rPr>
        <w:t xml:space="preserve"> piperacilínu (ako sodnú soľ) a 0,5 g tazobaktámu (ako sodnú soľ).</w:t>
      </w:r>
    </w:p>
    <w:p w:rsidR="00561EB4" w:rsidRDefault="00561EB4" w:rsidP="0064243B">
      <w:pPr>
        <w:ind w:left="0" w:firstLine="0"/>
        <w:rPr>
          <w:szCs w:val="22"/>
        </w:rPr>
      </w:pPr>
      <w:r>
        <w:rPr>
          <w:szCs w:val="22"/>
        </w:rPr>
        <w:t>Každá</w:t>
      </w:r>
      <w:r w:rsidRPr="00665938">
        <w:rPr>
          <w:szCs w:val="22"/>
        </w:rPr>
        <w:t xml:space="preserve"> </w:t>
      </w:r>
      <w:r>
        <w:rPr>
          <w:szCs w:val="22"/>
        </w:rPr>
        <w:t>injekčná liekovka lieku Piperacillin/Tazobactam Sandoz 4 g/0,5 g prášok na infúzny roztok obsahuje 9,4 mmol (216 mg) sodíka.</w:t>
      </w:r>
    </w:p>
    <w:p w:rsidR="00561EB4" w:rsidRDefault="00561EB4" w:rsidP="0064243B">
      <w:pPr>
        <w:ind w:left="0" w:firstLine="0"/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caps/>
          <w:szCs w:val="22"/>
        </w:rPr>
      </w:pPr>
      <w:r w:rsidRPr="00665938">
        <w:rPr>
          <w:b/>
          <w:szCs w:val="22"/>
        </w:rPr>
        <w:t>3.</w:t>
      </w:r>
      <w:r w:rsidRPr="00665938">
        <w:rPr>
          <w:b/>
          <w:szCs w:val="22"/>
        </w:rPr>
        <w:tab/>
        <w:t>LIEKOVÁ FORMA</w:t>
      </w:r>
    </w:p>
    <w:p w:rsidR="00561EB4" w:rsidRPr="00665938" w:rsidRDefault="00561EB4" w:rsidP="00D94AD8"/>
    <w:p w:rsidR="00561EB4" w:rsidRDefault="00561EB4" w:rsidP="00AF218B">
      <w:r>
        <w:t>Prášok na infúzny roztok.</w:t>
      </w:r>
    </w:p>
    <w:p w:rsidR="00561EB4" w:rsidRDefault="00561EB4" w:rsidP="00AF218B">
      <w:r>
        <w:t>Biely až takmer biely prášok.</w:t>
      </w:r>
    </w:p>
    <w:p w:rsidR="00561EB4" w:rsidRDefault="00561EB4" w:rsidP="00AF218B"/>
    <w:p w:rsidR="00561EB4" w:rsidRPr="00665938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caps/>
          <w:szCs w:val="22"/>
        </w:rPr>
      </w:pPr>
      <w:r w:rsidRPr="00665938">
        <w:rPr>
          <w:b/>
          <w:caps/>
          <w:szCs w:val="22"/>
        </w:rPr>
        <w:t>4.</w:t>
      </w:r>
      <w:r w:rsidRPr="00665938">
        <w:rPr>
          <w:b/>
          <w:caps/>
          <w:szCs w:val="22"/>
        </w:rPr>
        <w:tab/>
        <w:t>KLINICKÉ ÚDAJE</w:t>
      </w:r>
    </w:p>
    <w:p w:rsidR="00561EB4" w:rsidRPr="00665938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  <w:r w:rsidRPr="00665938">
        <w:rPr>
          <w:b/>
          <w:szCs w:val="22"/>
        </w:rPr>
        <w:t>4.1</w:t>
      </w:r>
      <w:r w:rsidRPr="00665938">
        <w:rPr>
          <w:b/>
          <w:szCs w:val="22"/>
        </w:rPr>
        <w:tab/>
        <w:t>Terapeutické indikácie</w:t>
      </w:r>
    </w:p>
    <w:p w:rsidR="00561EB4" w:rsidRPr="00665938" w:rsidRDefault="00561EB4" w:rsidP="00D94AD8">
      <w:pPr>
        <w:rPr>
          <w:szCs w:val="22"/>
        </w:rPr>
      </w:pPr>
    </w:p>
    <w:p w:rsidR="00561EB4" w:rsidRDefault="00561EB4" w:rsidP="00C71573">
      <w:pPr>
        <w:ind w:left="0" w:firstLine="0"/>
        <w:rPr>
          <w:szCs w:val="22"/>
        </w:rPr>
      </w:pPr>
      <w:r>
        <w:rPr>
          <w:szCs w:val="22"/>
        </w:rPr>
        <w:t>Piperacillin/Tazobactam Sandoz</w:t>
      </w:r>
      <w:r w:rsidDel="00E02883">
        <w:rPr>
          <w:szCs w:val="22"/>
        </w:rPr>
        <w:t xml:space="preserve"> </w:t>
      </w:r>
      <w:r>
        <w:rPr>
          <w:szCs w:val="22"/>
        </w:rPr>
        <w:t>je indikovaný na liečbu nasledujúcich infekcií u dospelých a detí starších ako 2 roky (pozri časti 4.2 a 5.1):</w:t>
      </w:r>
    </w:p>
    <w:p w:rsidR="00561EB4" w:rsidRDefault="00561EB4" w:rsidP="00C71573">
      <w:pPr>
        <w:ind w:left="0" w:firstLine="0"/>
        <w:rPr>
          <w:szCs w:val="22"/>
        </w:rPr>
      </w:pPr>
    </w:p>
    <w:p w:rsidR="00561EB4" w:rsidRPr="000E1F43" w:rsidRDefault="00561EB4" w:rsidP="00C71573">
      <w:pPr>
        <w:ind w:left="0" w:firstLine="0"/>
        <w:rPr>
          <w:szCs w:val="22"/>
          <w:u w:val="single"/>
        </w:rPr>
      </w:pPr>
      <w:r w:rsidRPr="000E1F43">
        <w:rPr>
          <w:szCs w:val="22"/>
          <w:u w:val="single"/>
        </w:rPr>
        <w:t>Dospelí</w:t>
      </w:r>
      <w:r>
        <w:rPr>
          <w:szCs w:val="22"/>
          <w:u w:val="single"/>
        </w:rPr>
        <w:t xml:space="preserve"> a </w:t>
      </w:r>
      <w:r w:rsidRPr="000E1F43">
        <w:rPr>
          <w:szCs w:val="22"/>
          <w:u w:val="single"/>
        </w:rPr>
        <w:t>dospievajúci</w:t>
      </w:r>
    </w:p>
    <w:p w:rsidR="00561EB4" w:rsidRPr="00C61104" w:rsidRDefault="00561EB4" w:rsidP="00C71573">
      <w:pPr>
        <w:numPr>
          <w:ilvl w:val="0"/>
          <w:numId w:val="3"/>
        </w:numPr>
        <w:rPr>
          <w:b/>
          <w:szCs w:val="22"/>
        </w:rPr>
      </w:pPr>
      <w:r>
        <w:rPr>
          <w:szCs w:val="22"/>
        </w:rPr>
        <w:t>ťažká pneumónia vrátane v nemocnici získanej pneumónie a pneumónie vznikajúcej v súvislosti s použitím dýchacieho prístroja</w:t>
      </w:r>
    </w:p>
    <w:p w:rsidR="00561EB4" w:rsidRPr="00C71573" w:rsidRDefault="00561EB4" w:rsidP="00C71573">
      <w:pPr>
        <w:numPr>
          <w:ilvl w:val="0"/>
          <w:numId w:val="3"/>
        </w:numPr>
        <w:rPr>
          <w:b/>
          <w:szCs w:val="22"/>
        </w:rPr>
      </w:pPr>
      <w:r>
        <w:rPr>
          <w:szCs w:val="22"/>
        </w:rPr>
        <w:t>komplikované infekcie močového traktu (vrátane pyelonefritídy)</w:t>
      </w:r>
    </w:p>
    <w:p w:rsidR="00561EB4" w:rsidRPr="00C71573" w:rsidRDefault="00561EB4" w:rsidP="00C71573">
      <w:pPr>
        <w:numPr>
          <w:ilvl w:val="0"/>
          <w:numId w:val="3"/>
        </w:numPr>
        <w:rPr>
          <w:b/>
          <w:szCs w:val="22"/>
        </w:rPr>
      </w:pPr>
      <w:r>
        <w:rPr>
          <w:szCs w:val="22"/>
        </w:rPr>
        <w:t>komplikované intraabdominálne infekcie</w:t>
      </w:r>
    </w:p>
    <w:p w:rsidR="00561EB4" w:rsidRPr="00333517" w:rsidRDefault="00561EB4" w:rsidP="00333517">
      <w:pPr>
        <w:numPr>
          <w:ilvl w:val="0"/>
          <w:numId w:val="3"/>
        </w:numPr>
        <w:rPr>
          <w:b/>
          <w:szCs w:val="22"/>
        </w:rPr>
      </w:pPr>
      <w:r w:rsidRPr="00333517">
        <w:rPr>
          <w:szCs w:val="22"/>
        </w:rPr>
        <w:t>komplikované infekcie kože a mäkkých tkanív (vrátane infekcií diabetickej nohy).</w:t>
      </w:r>
    </w:p>
    <w:p w:rsidR="00561EB4" w:rsidRDefault="00561EB4" w:rsidP="00C71573">
      <w:pPr>
        <w:rPr>
          <w:szCs w:val="22"/>
        </w:rPr>
      </w:pPr>
    </w:p>
    <w:p w:rsidR="00561EB4" w:rsidRDefault="00561EB4" w:rsidP="00C61104">
      <w:pPr>
        <w:ind w:left="0" w:firstLine="0"/>
        <w:rPr>
          <w:szCs w:val="22"/>
        </w:rPr>
      </w:pPr>
      <w:r>
        <w:rPr>
          <w:szCs w:val="22"/>
        </w:rPr>
        <w:t>Liečba pacientov s bakterémiou, ktorá sa vyskytuje v súvislosti alebo sa predpokladá v súvislosti s akýmikoľvek infekciami uvedenými vyššie.</w:t>
      </w:r>
    </w:p>
    <w:p w:rsidR="00561EB4" w:rsidRDefault="00561EB4" w:rsidP="00C71573">
      <w:pPr>
        <w:rPr>
          <w:szCs w:val="22"/>
        </w:rPr>
      </w:pPr>
    </w:p>
    <w:p w:rsidR="00561EB4" w:rsidRDefault="00561EB4" w:rsidP="00C61104">
      <w:pPr>
        <w:ind w:left="0" w:firstLine="0"/>
        <w:rPr>
          <w:szCs w:val="22"/>
        </w:rPr>
      </w:pPr>
      <w:r>
        <w:rPr>
          <w:szCs w:val="22"/>
        </w:rPr>
        <w:t>Piperacillin/Tazobactam Sandoz sa môže použiť pri liečbe neutropenických pacientov s horúčkou s podozrením na bakteriálnu infekciu.</w:t>
      </w:r>
    </w:p>
    <w:p w:rsidR="00561EB4" w:rsidRDefault="00561EB4" w:rsidP="00C71573">
      <w:pPr>
        <w:rPr>
          <w:szCs w:val="22"/>
        </w:rPr>
      </w:pPr>
    </w:p>
    <w:p w:rsidR="00561EB4" w:rsidRPr="000E1F43" w:rsidRDefault="00561EB4" w:rsidP="00C71573">
      <w:pPr>
        <w:rPr>
          <w:szCs w:val="22"/>
          <w:u w:val="single"/>
        </w:rPr>
      </w:pPr>
      <w:r w:rsidRPr="000E1F43">
        <w:rPr>
          <w:szCs w:val="22"/>
          <w:u w:val="single"/>
        </w:rPr>
        <w:t xml:space="preserve">Deti vo veku </w:t>
      </w:r>
      <w:r>
        <w:rPr>
          <w:szCs w:val="22"/>
          <w:u w:val="single"/>
        </w:rPr>
        <w:t xml:space="preserve">od </w:t>
      </w:r>
      <w:r w:rsidRPr="000E1F43">
        <w:rPr>
          <w:szCs w:val="22"/>
          <w:u w:val="single"/>
        </w:rPr>
        <w:t>2</w:t>
      </w:r>
      <w:r>
        <w:rPr>
          <w:szCs w:val="22"/>
          <w:u w:val="single"/>
        </w:rPr>
        <w:t xml:space="preserve"> do </w:t>
      </w:r>
      <w:r w:rsidRPr="000E1F43">
        <w:rPr>
          <w:szCs w:val="22"/>
          <w:u w:val="single"/>
        </w:rPr>
        <w:t>12 rokov</w:t>
      </w:r>
    </w:p>
    <w:p w:rsidR="00561EB4" w:rsidRPr="00C71573" w:rsidRDefault="00561EB4" w:rsidP="002E7CF3">
      <w:pPr>
        <w:numPr>
          <w:ilvl w:val="0"/>
          <w:numId w:val="3"/>
        </w:numPr>
        <w:rPr>
          <w:b/>
          <w:szCs w:val="22"/>
        </w:rPr>
      </w:pPr>
      <w:r>
        <w:rPr>
          <w:szCs w:val="22"/>
        </w:rPr>
        <w:t>komplikované intraabdominálne infekcie.</w:t>
      </w:r>
    </w:p>
    <w:p w:rsidR="00561EB4" w:rsidRDefault="00561EB4" w:rsidP="00C71573">
      <w:pPr>
        <w:rPr>
          <w:szCs w:val="22"/>
        </w:rPr>
      </w:pPr>
    </w:p>
    <w:p w:rsidR="00561EB4" w:rsidRDefault="00561EB4" w:rsidP="00C61104">
      <w:pPr>
        <w:ind w:left="0" w:firstLine="0"/>
        <w:rPr>
          <w:szCs w:val="22"/>
        </w:rPr>
      </w:pPr>
      <w:r>
        <w:rPr>
          <w:szCs w:val="22"/>
        </w:rPr>
        <w:t>Piperacillin/Tazobactam Sandoz sa môže používať pri liečbe neutropenických detí s horúčkou s podozrením na bakteriálnu infekciu.</w:t>
      </w:r>
    </w:p>
    <w:p w:rsidR="00561EB4" w:rsidRDefault="00561EB4" w:rsidP="00C61104">
      <w:pPr>
        <w:ind w:left="0" w:firstLine="0"/>
        <w:rPr>
          <w:szCs w:val="22"/>
        </w:rPr>
      </w:pPr>
    </w:p>
    <w:p w:rsidR="00561EB4" w:rsidRDefault="00561EB4" w:rsidP="00C71573">
      <w:pPr>
        <w:rPr>
          <w:szCs w:val="22"/>
        </w:rPr>
      </w:pPr>
      <w:r>
        <w:rPr>
          <w:szCs w:val="22"/>
        </w:rPr>
        <w:t>Je potrebné vziať do úvahy oficiálny pokyn na vhodné používanie antibakteriálnych látok.</w:t>
      </w:r>
    </w:p>
    <w:p w:rsidR="00561EB4" w:rsidRPr="00665938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b/>
          <w:szCs w:val="22"/>
        </w:rPr>
      </w:pPr>
      <w:r w:rsidRPr="00665938">
        <w:rPr>
          <w:b/>
          <w:szCs w:val="22"/>
        </w:rPr>
        <w:t>4.2</w:t>
      </w:r>
      <w:r w:rsidRPr="00665938">
        <w:rPr>
          <w:b/>
          <w:szCs w:val="22"/>
        </w:rPr>
        <w:tab/>
        <w:t>Dávkovanie a spôsob podávania</w:t>
      </w:r>
    </w:p>
    <w:p w:rsidR="00561EB4" w:rsidRDefault="00561EB4" w:rsidP="00D94AD8">
      <w:pPr>
        <w:rPr>
          <w:szCs w:val="22"/>
        </w:rPr>
      </w:pPr>
    </w:p>
    <w:p w:rsidR="00561EB4" w:rsidRPr="00C61104" w:rsidRDefault="00561EB4" w:rsidP="00342011">
      <w:pPr>
        <w:ind w:left="0" w:firstLine="0"/>
        <w:rPr>
          <w:szCs w:val="22"/>
          <w:u w:val="single"/>
        </w:rPr>
      </w:pPr>
      <w:r w:rsidRPr="00C61104">
        <w:rPr>
          <w:szCs w:val="22"/>
          <w:u w:val="single"/>
        </w:rPr>
        <w:t>Dávkovanie</w:t>
      </w:r>
    </w:p>
    <w:p w:rsidR="00561EB4" w:rsidRDefault="00561EB4" w:rsidP="00342011">
      <w:pPr>
        <w:ind w:left="0" w:firstLine="0"/>
        <w:rPr>
          <w:szCs w:val="22"/>
        </w:rPr>
      </w:pPr>
      <w:r>
        <w:rPr>
          <w:szCs w:val="22"/>
        </w:rPr>
        <w:t>Dávka a častosť podávania lieku Piperacillin/Tazobactam Sandoz</w:t>
      </w:r>
      <w:r w:rsidDel="00E02883">
        <w:rPr>
          <w:szCs w:val="22"/>
        </w:rPr>
        <w:t xml:space="preserve"> </w:t>
      </w:r>
      <w:r>
        <w:rPr>
          <w:szCs w:val="22"/>
        </w:rPr>
        <w:t>závisia od závažnosti a lokalizácie infekcie a očakávaných patogénov.</w:t>
      </w:r>
    </w:p>
    <w:p w:rsidR="00561EB4" w:rsidRDefault="00561EB4" w:rsidP="00342011">
      <w:pPr>
        <w:ind w:left="0" w:firstLine="0"/>
        <w:rPr>
          <w:szCs w:val="22"/>
        </w:rPr>
      </w:pPr>
    </w:p>
    <w:p w:rsidR="00561EB4" w:rsidRDefault="00561EB4" w:rsidP="00342011">
      <w:pPr>
        <w:ind w:left="0" w:firstLine="0"/>
        <w:rPr>
          <w:b/>
          <w:i/>
          <w:szCs w:val="22"/>
        </w:rPr>
      </w:pPr>
      <w:r>
        <w:rPr>
          <w:b/>
          <w:i/>
          <w:szCs w:val="22"/>
        </w:rPr>
        <w:t>Dospelí a dospievajúci pacienti</w:t>
      </w:r>
    </w:p>
    <w:p w:rsidR="00561EB4" w:rsidRDefault="00561EB4" w:rsidP="00342011">
      <w:pPr>
        <w:ind w:left="0" w:firstLine="0"/>
        <w:rPr>
          <w:b/>
          <w:i/>
          <w:szCs w:val="22"/>
        </w:rPr>
      </w:pPr>
    </w:p>
    <w:p w:rsidR="00561EB4" w:rsidRDefault="00561EB4" w:rsidP="00342011">
      <w:pPr>
        <w:ind w:left="0" w:firstLine="0"/>
        <w:rPr>
          <w:i/>
          <w:szCs w:val="22"/>
        </w:rPr>
      </w:pPr>
      <w:r>
        <w:rPr>
          <w:i/>
          <w:szCs w:val="22"/>
        </w:rPr>
        <w:t>Infekcie</w:t>
      </w:r>
    </w:p>
    <w:p w:rsidR="00561EB4" w:rsidRDefault="00561EB4" w:rsidP="00342011">
      <w:pPr>
        <w:ind w:left="0" w:firstLine="0"/>
        <w:rPr>
          <w:szCs w:val="22"/>
        </w:rPr>
      </w:pPr>
      <w:r>
        <w:rPr>
          <w:szCs w:val="22"/>
        </w:rPr>
        <w:t xml:space="preserve">Zvyčajná dávka je </w:t>
      </w:r>
      <w:smartTag w:uri="urn:schemas-microsoft-com:office:smarttags" w:element="metricconverter">
        <w:smartTagPr>
          <w:attr w:name="ProductID" w:val="4ﾠg"/>
        </w:smartTagPr>
        <w:r>
          <w:rPr>
            <w:szCs w:val="22"/>
          </w:rPr>
          <w:t>4 g</w:t>
        </w:r>
      </w:smartTag>
      <w:r>
        <w:rPr>
          <w:szCs w:val="22"/>
        </w:rPr>
        <w:t xml:space="preserve"> piperacilínu/0,5 g tazobaktámu podávaná každých 8 hodín.</w:t>
      </w:r>
    </w:p>
    <w:p w:rsidR="00561EB4" w:rsidRDefault="00561EB4" w:rsidP="00342011">
      <w:pPr>
        <w:ind w:left="0" w:firstLine="0"/>
        <w:rPr>
          <w:szCs w:val="22"/>
        </w:rPr>
      </w:pPr>
    </w:p>
    <w:p w:rsidR="00561EB4" w:rsidRDefault="00561EB4" w:rsidP="00342011">
      <w:pPr>
        <w:ind w:left="0" w:firstLine="0"/>
        <w:rPr>
          <w:szCs w:val="22"/>
        </w:rPr>
      </w:pPr>
      <w:r>
        <w:rPr>
          <w:szCs w:val="22"/>
        </w:rPr>
        <w:t xml:space="preserve">Odporúčaná dávka pre neutropenických pacientov s nozokomiálnou pneumóniou a bakteriálnymi infekciami je </w:t>
      </w:r>
      <w:smartTag w:uri="urn:schemas-microsoft-com:office:smarttags" w:element="metricconverter">
        <w:smartTagPr>
          <w:attr w:name="ProductID" w:val="4ﾠg"/>
        </w:smartTagPr>
        <w:r>
          <w:rPr>
            <w:szCs w:val="22"/>
          </w:rPr>
          <w:t>4 g</w:t>
        </w:r>
      </w:smartTag>
      <w:r>
        <w:rPr>
          <w:szCs w:val="22"/>
        </w:rPr>
        <w:t xml:space="preserve"> piperacilínu/0,5 g tazobaktámu podávaná každých 6 hodín. Táto schéma sa môže použiť aj pri liečbe pacientov s inými indikovanými infekciami, najmä ak sú závažné. </w:t>
      </w:r>
    </w:p>
    <w:p w:rsidR="00561EB4" w:rsidRDefault="00561EB4" w:rsidP="00342011">
      <w:pPr>
        <w:ind w:left="0" w:firstLine="0"/>
        <w:rPr>
          <w:szCs w:val="22"/>
        </w:rPr>
      </w:pPr>
    </w:p>
    <w:p w:rsidR="00561EB4" w:rsidRDefault="00561EB4" w:rsidP="00342011">
      <w:pPr>
        <w:ind w:left="0" w:firstLine="0"/>
        <w:rPr>
          <w:szCs w:val="22"/>
        </w:rPr>
      </w:pPr>
      <w:r>
        <w:rPr>
          <w:szCs w:val="22"/>
        </w:rPr>
        <w:t>Nasledujúca tabuľka zahŕňa častosť liečby a odporúčanú dávku pre dospelých a dospievajúcich pacientov podľa indikácie alebo stavu:</w:t>
      </w:r>
    </w:p>
    <w:p w:rsidR="00561EB4" w:rsidRDefault="00561EB4" w:rsidP="00342011">
      <w:pPr>
        <w:ind w:left="0" w:firstLine="0"/>
        <w:rPr>
          <w:szCs w:val="22"/>
        </w:rPr>
      </w:pPr>
    </w:p>
    <w:tbl>
      <w:tblPr>
        <w:tblW w:w="0" w:type="auto"/>
        <w:tblLook w:val="00A0"/>
      </w:tblPr>
      <w:tblGrid>
        <w:gridCol w:w="2235"/>
        <w:gridCol w:w="6662"/>
      </w:tblGrid>
      <w:tr w:rsidR="00561EB4" w:rsidTr="00C61104">
        <w:tc>
          <w:tcPr>
            <w:tcW w:w="2235" w:type="dxa"/>
          </w:tcPr>
          <w:p w:rsidR="00561EB4" w:rsidRPr="00A4601B" w:rsidRDefault="00561EB4" w:rsidP="00A4601B">
            <w:pPr>
              <w:ind w:left="0" w:firstLine="0"/>
              <w:rPr>
                <w:b/>
              </w:rPr>
            </w:pPr>
            <w:r w:rsidRPr="00A4601B">
              <w:rPr>
                <w:b/>
                <w:szCs w:val="22"/>
              </w:rPr>
              <w:t>Častosť liečby</w:t>
            </w:r>
          </w:p>
        </w:tc>
        <w:tc>
          <w:tcPr>
            <w:tcW w:w="6662" w:type="dxa"/>
          </w:tcPr>
          <w:p w:rsidR="00561EB4" w:rsidRPr="00A4601B" w:rsidRDefault="00561EB4" w:rsidP="00A4601B">
            <w:pPr>
              <w:ind w:left="0" w:firstLine="0"/>
              <w:rPr>
                <w:b/>
              </w:rPr>
            </w:pPr>
            <w:r w:rsidRPr="00A4601B">
              <w:rPr>
                <w:b/>
                <w:szCs w:val="22"/>
              </w:rPr>
              <w:t>Piperacillin/Tazobactam Sandoz 4 g/0,5 g</w:t>
            </w:r>
          </w:p>
        </w:tc>
      </w:tr>
      <w:tr w:rsidR="00561EB4" w:rsidTr="00C61104">
        <w:tc>
          <w:tcPr>
            <w:tcW w:w="2235" w:type="dxa"/>
          </w:tcPr>
          <w:p w:rsidR="00561EB4" w:rsidRPr="00A4601B" w:rsidRDefault="00561EB4" w:rsidP="00A4601B">
            <w:pPr>
              <w:ind w:left="0" w:firstLine="0"/>
            </w:pPr>
            <w:r w:rsidRPr="00A4601B">
              <w:rPr>
                <w:szCs w:val="22"/>
              </w:rPr>
              <w:t>Každých 6 hodín</w:t>
            </w:r>
          </w:p>
        </w:tc>
        <w:tc>
          <w:tcPr>
            <w:tcW w:w="6662" w:type="dxa"/>
          </w:tcPr>
          <w:p w:rsidR="00561EB4" w:rsidRPr="00A4601B" w:rsidRDefault="00561EB4" w:rsidP="00A4601B">
            <w:pPr>
              <w:ind w:left="0" w:firstLine="0"/>
            </w:pPr>
            <w:r w:rsidRPr="00A4601B">
              <w:rPr>
                <w:szCs w:val="22"/>
              </w:rPr>
              <w:t>Ťažká pneumónia</w:t>
            </w:r>
          </w:p>
        </w:tc>
      </w:tr>
      <w:tr w:rsidR="00561EB4" w:rsidTr="00C61104">
        <w:tc>
          <w:tcPr>
            <w:tcW w:w="2235" w:type="dxa"/>
          </w:tcPr>
          <w:p w:rsidR="00561EB4" w:rsidRPr="00A4601B" w:rsidRDefault="00561EB4" w:rsidP="00A4601B">
            <w:pPr>
              <w:ind w:left="0" w:firstLine="0"/>
            </w:pPr>
          </w:p>
        </w:tc>
        <w:tc>
          <w:tcPr>
            <w:tcW w:w="6662" w:type="dxa"/>
          </w:tcPr>
          <w:p w:rsidR="00561EB4" w:rsidRPr="00A4601B" w:rsidRDefault="00561EB4" w:rsidP="00A4601B">
            <w:pPr>
              <w:ind w:left="0" w:firstLine="0"/>
            </w:pPr>
            <w:r w:rsidRPr="00A4601B">
              <w:rPr>
                <w:szCs w:val="22"/>
              </w:rPr>
              <w:t>Neutropenickí dospelí pacienti s horúčkou s podozrením na bakteriálnu infekciu</w:t>
            </w:r>
          </w:p>
        </w:tc>
      </w:tr>
      <w:tr w:rsidR="00561EB4" w:rsidTr="00C61104">
        <w:tc>
          <w:tcPr>
            <w:tcW w:w="2235" w:type="dxa"/>
          </w:tcPr>
          <w:p w:rsidR="00561EB4" w:rsidRPr="00A4601B" w:rsidRDefault="00561EB4" w:rsidP="00A4601B">
            <w:pPr>
              <w:ind w:left="0" w:firstLine="0"/>
            </w:pPr>
            <w:r w:rsidRPr="00A4601B">
              <w:rPr>
                <w:szCs w:val="22"/>
              </w:rPr>
              <w:t>Každých 8 hodín</w:t>
            </w:r>
          </w:p>
        </w:tc>
        <w:tc>
          <w:tcPr>
            <w:tcW w:w="6662" w:type="dxa"/>
          </w:tcPr>
          <w:p w:rsidR="00561EB4" w:rsidRPr="00A4601B" w:rsidRDefault="00561EB4" w:rsidP="00A4601B">
            <w:pPr>
              <w:ind w:left="0" w:firstLine="0"/>
            </w:pPr>
            <w:r w:rsidRPr="00A4601B">
              <w:rPr>
                <w:szCs w:val="22"/>
              </w:rPr>
              <w:t>Komplikované infekcie močového traktu (vrátane pyelonefritídy)</w:t>
            </w:r>
          </w:p>
        </w:tc>
      </w:tr>
      <w:tr w:rsidR="00561EB4" w:rsidTr="00C61104">
        <w:tc>
          <w:tcPr>
            <w:tcW w:w="2235" w:type="dxa"/>
          </w:tcPr>
          <w:p w:rsidR="00561EB4" w:rsidRPr="00A4601B" w:rsidRDefault="00561EB4" w:rsidP="00A4601B">
            <w:pPr>
              <w:ind w:left="0" w:firstLine="0"/>
            </w:pPr>
          </w:p>
        </w:tc>
        <w:tc>
          <w:tcPr>
            <w:tcW w:w="6662" w:type="dxa"/>
          </w:tcPr>
          <w:p w:rsidR="00561EB4" w:rsidRPr="00A4601B" w:rsidRDefault="00561EB4" w:rsidP="00A4601B">
            <w:pPr>
              <w:ind w:left="0" w:firstLine="0"/>
            </w:pPr>
            <w:r w:rsidRPr="00A4601B">
              <w:rPr>
                <w:szCs w:val="22"/>
              </w:rPr>
              <w:t>Komplikované intraabdominálne infekcie</w:t>
            </w:r>
          </w:p>
        </w:tc>
      </w:tr>
      <w:tr w:rsidR="00561EB4" w:rsidTr="00C61104">
        <w:tc>
          <w:tcPr>
            <w:tcW w:w="2235" w:type="dxa"/>
          </w:tcPr>
          <w:p w:rsidR="00561EB4" w:rsidRPr="00A4601B" w:rsidRDefault="00561EB4" w:rsidP="00A4601B">
            <w:pPr>
              <w:ind w:left="0" w:firstLine="0"/>
            </w:pPr>
          </w:p>
        </w:tc>
        <w:tc>
          <w:tcPr>
            <w:tcW w:w="6662" w:type="dxa"/>
          </w:tcPr>
          <w:p w:rsidR="00561EB4" w:rsidRPr="00A4601B" w:rsidRDefault="00561EB4" w:rsidP="00A4601B">
            <w:pPr>
              <w:ind w:left="0" w:firstLine="0"/>
            </w:pPr>
            <w:r w:rsidRPr="00A4601B">
              <w:rPr>
                <w:szCs w:val="22"/>
              </w:rPr>
              <w:t>Infekcie kože a mäkkých tkanív (vrátane infekcií diabetickej nohy)</w:t>
            </w:r>
          </w:p>
        </w:tc>
      </w:tr>
    </w:tbl>
    <w:p w:rsidR="00561EB4" w:rsidRDefault="00561EB4" w:rsidP="00342011">
      <w:pPr>
        <w:ind w:left="0" w:firstLine="0"/>
        <w:rPr>
          <w:szCs w:val="22"/>
        </w:rPr>
      </w:pPr>
    </w:p>
    <w:p w:rsidR="00561EB4" w:rsidRPr="00C61104" w:rsidRDefault="00561EB4" w:rsidP="009F1DD2">
      <w:pPr>
        <w:pStyle w:val="Default"/>
        <w:rPr>
          <w:lang w:val="sk-SK"/>
        </w:rPr>
      </w:pPr>
      <w:r w:rsidRPr="00C61104">
        <w:rPr>
          <w:i/>
          <w:iCs/>
          <w:sz w:val="22"/>
          <w:szCs w:val="22"/>
          <w:u w:val="single"/>
          <w:lang w:val="sk-SK"/>
        </w:rPr>
        <w:t xml:space="preserve">Porucha funkcie obličiek </w:t>
      </w:r>
    </w:p>
    <w:p w:rsidR="00561EB4" w:rsidRDefault="00561EB4" w:rsidP="009F1DD2">
      <w:pPr>
        <w:ind w:left="0" w:firstLine="0"/>
        <w:rPr>
          <w:szCs w:val="22"/>
        </w:rPr>
      </w:pPr>
      <w:r>
        <w:rPr>
          <w:szCs w:val="22"/>
        </w:rPr>
        <w:t>Intravenózna dávka sa má upraviť podľa stupňa aktuálnej renálnej poruchy nasledovne (každý pacient sa musí dôkladne monitorovať na príznaky látkovej toxicity; dávka lieku a interval sa majú podľa toho upraviť):</w:t>
      </w:r>
    </w:p>
    <w:p w:rsidR="00561EB4" w:rsidRPr="00C61104" w:rsidRDefault="00561EB4" w:rsidP="00BB0EB6">
      <w:pPr>
        <w:autoSpaceDE w:val="0"/>
        <w:autoSpaceDN w:val="0"/>
        <w:adjustRightInd w:val="0"/>
        <w:ind w:left="0" w:firstLine="0"/>
        <w:rPr>
          <w:color w:val="000000"/>
          <w:sz w:val="24"/>
          <w:lang w:eastAsia="en-US"/>
        </w:rPr>
      </w:pPr>
    </w:p>
    <w:tbl>
      <w:tblPr>
        <w:tblW w:w="0" w:type="auto"/>
        <w:tblLayout w:type="fixed"/>
        <w:tblLook w:val="0000"/>
      </w:tblPr>
      <w:tblGrid>
        <w:gridCol w:w="2196"/>
        <w:gridCol w:w="6756"/>
      </w:tblGrid>
      <w:tr w:rsidR="00561EB4" w:rsidTr="00C61104">
        <w:trPr>
          <w:trHeight w:val="272"/>
        </w:trPr>
        <w:tc>
          <w:tcPr>
            <w:tcW w:w="2196" w:type="dxa"/>
          </w:tcPr>
          <w:p w:rsidR="00561EB4" w:rsidRDefault="00561EB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Klírens kreatinínu </w:t>
            </w:r>
          </w:p>
          <w:p w:rsidR="00561EB4" w:rsidRDefault="00561EB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(ml/min) </w:t>
            </w:r>
          </w:p>
        </w:tc>
        <w:tc>
          <w:tcPr>
            <w:tcW w:w="6756" w:type="dxa"/>
          </w:tcPr>
          <w:p w:rsidR="00561EB4" w:rsidRPr="00EE1178" w:rsidRDefault="00561EB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C61104">
              <w:rPr>
                <w:b/>
                <w:sz w:val="22"/>
                <w:szCs w:val="22"/>
              </w:rPr>
              <w:t>Piperacillin/Tazobactam Sandoz 4</w:t>
            </w:r>
            <w:r w:rsidRPr="00BA7BF6">
              <w:rPr>
                <w:b/>
                <w:sz w:val="22"/>
                <w:szCs w:val="22"/>
              </w:rPr>
              <w:t> </w:t>
            </w:r>
            <w:r w:rsidRPr="00C61104">
              <w:rPr>
                <w:b/>
                <w:sz w:val="22"/>
                <w:szCs w:val="22"/>
              </w:rPr>
              <w:t>g/0,5</w:t>
            </w:r>
            <w:r w:rsidRPr="00BA7BF6">
              <w:rPr>
                <w:b/>
                <w:sz w:val="22"/>
                <w:szCs w:val="22"/>
              </w:rPr>
              <w:t> </w:t>
            </w:r>
            <w:r w:rsidRPr="00C61104">
              <w:rPr>
                <w:b/>
                <w:sz w:val="22"/>
                <w:szCs w:val="22"/>
              </w:rPr>
              <w:t>g</w:t>
            </w:r>
            <w:r w:rsidRPr="00EE1178">
              <w:rPr>
                <w:b/>
                <w:bCs/>
                <w:sz w:val="22"/>
                <w:szCs w:val="22"/>
              </w:rPr>
              <w:t xml:space="preserve"> </w:t>
            </w:r>
          </w:p>
          <w:p w:rsidR="00561EB4" w:rsidRDefault="00561EB4">
            <w:pPr>
              <w:pStyle w:val="Default"/>
              <w:jc w:val="center"/>
              <w:rPr>
                <w:sz w:val="22"/>
                <w:szCs w:val="22"/>
              </w:rPr>
            </w:pPr>
            <w:r w:rsidRPr="000D7C56">
              <w:rPr>
                <w:b/>
                <w:bCs/>
                <w:sz w:val="22"/>
                <w:szCs w:val="22"/>
              </w:rPr>
              <w:t>(odporúčaná dávka)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561EB4" w:rsidTr="00C61104">
        <w:trPr>
          <w:trHeight w:val="144"/>
        </w:trPr>
        <w:tc>
          <w:tcPr>
            <w:tcW w:w="2196" w:type="dxa"/>
          </w:tcPr>
          <w:p w:rsidR="00561EB4" w:rsidRDefault="00561EB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&gt; 40 </w:t>
            </w:r>
          </w:p>
        </w:tc>
        <w:tc>
          <w:tcPr>
            <w:tcW w:w="6756" w:type="dxa"/>
          </w:tcPr>
          <w:p w:rsidR="00561EB4" w:rsidRPr="00C61104" w:rsidRDefault="00561EB4">
            <w:pPr>
              <w:pStyle w:val="Default"/>
              <w:ind w:left="567" w:hanging="567"/>
              <w:jc w:val="center"/>
              <w:rPr>
                <w:sz w:val="22"/>
                <w:szCs w:val="22"/>
                <w:lang w:val="de-DE"/>
              </w:rPr>
            </w:pPr>
            <w:r w:rsidRPr="00C61104">
              <w:rPr>
                <w:sz w:val="22"/>
                <w:szCs w:val="22"/>
                <w:lang w:val="de-DE"/>
              </w:rPr>
              <w:t xml:space="preserve">Nie je nutná úprava dávky </w:t>
            </w:r>
          </w:p>
        </w:tc>
      </w:tr>
      <w:tr w:rsidR="00561EB4" w:rsidTr="00C61104">
        <w:trPr>
          <w:trHeight w:val="144"/>
        </w:trPr>
        <w:tc>
          <w:tcPr>
            <w:tcW w:w="2196" w:type="dxa"/>
          </w:tcPr>
          <w:p w:rsidR="00561EB4" w:rsidRDefault="00561EB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20-40 </w:t>
            </w:r>
          </w:p>
        </w:tc>
        <w:tc>
          <w:tcPr>
            <w:tcW w:w="6756" w:type="dxa"/>
          </w:tcPr>
          <w:p w:rsidR="00561EB4" w:rsidRDefault="00561EB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Odporúčaná najvyššia dávka: 4 g/0,5 g každých 8 hodín </w:t>
            </w:r>
          </w:p>
        </w:tc>
      </w:tr>
      <w:tr w:rsidR="00561EB4" w:rsidTr="00C61104">
        <w:trPr>
          <w:trHeight w:val="144"/>
        </w:trPr>
        <w:tc>
          <w:tcPr>
            <w:tcW w:w="2196" w:type="dxa"/>
          </w:tcPr>
          <w:p w:rsidR="00561EB4" w:rsidRDefault="00561EB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&lt; 20 </w:t>
            </w:r>
          </w:p>
        </w:tc>
        <w:tc>
          <w:tcPr>
            <w:tcW w:w="6756" w:type="dxa"/>
          </w:tcPr>
          <w:p w:rsidR="00561EB4" w:rsidRDefault="00561EB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Odporúčaná najvyššia dávka: 4 g/0,5 g každých 12 hodín </w:t>
            </w:r>
          </w:p>
        </w:tc>
      </w:tr>
    </w:tbl>
    <w:p w:rsidR="00561EB4" w:rsidRDefault="00561EB4" w:rsidP="00342011">
      <w:pPr>
        <w:ind w:left="0" w:firstLine="0"/>
        <w:rPr>
          <w:szCs w:val="22"/>
        </w:rPr>
      </w:pPr>
    </w:p>
    <w:p w:rsidR="00561EB4" w:rsidRDefault="00561EB4" w:rsidP="009F1DD2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Hemodialyzovaným pacientom sa má pridať navyše jedna dávka </w:t>
      </w:r>
      <w:smartTag w:uri="urn:schemas-microsoft-com:office:smarttags" w:element="metricconverter">
        <w:smartTagPr>
          <w:attr w:name="ProductID" w:val="2 g"/>
        </w:smartTagPr>
        <w:r w:rsidRPr="00C61104">
          <w:rPr>
            <w:sz w:val="22"/>
            <w:szCs w:val="22"/>
            <w:lang w:val="sk-SK"/>
          </w:rPr>
          <w:t>2 g</w:t>
        </w:r>
      </w:smartTag>
      <w:r w:rsidRPr="00C61104">
        <w:rPr>
          <w:sz w:val="22"/>
          <w:szCs w:val="22"/>
          <w:lang w:val="sk-SK"/>
        </w:rPr>
        <w:t xml:space="preserve"> piperacilínu/0,25 g tazobaktámu, ktorá má nasledovať po každom dialyzačnom intervale, pretože hemodialýzou sa odstráni 30 %-50 % piperacilínu počas 4 hodín. </w:t>
      </w:r>
    </w:p>
    <w:p w:rsidR="00561EB4" w:rsidRPr="00C61104" w:rsidRDefault="00561EB4" w:rsidP="009F1DD2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9F1DD2">
      <w:pPr>
        <w:pStyle w:val="Default"/>
        <w:rPr>
          <w:sz w:val="22"/>
          <w:szCs w:val="22"/>
          <w:lang w:val="sk-SK"/>
        </w:rPr>
      </w:pPr>
      <w:r w:rsidRPr="00C61104">
        <w:rPr>
          <w:i/>
          <w:iCs/>
          <w:sz w:val="22"/>
          <w:szCs w:val="22"/>
          <w:u w:val="single"/>
          <w:lang w:val="sk-SK"/>
        </w:rPr>
        <w:t xml:space="preserve">Porucha funkcie pečene </w:t>
      </w:r>
    </w:p>
    <w:p w:rsidR="00561EB4" w:rsidRDefault="00561EB4" w:rsidP="009F1DD2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Nie je potrebná úprava dávky (pozri časť 5.2). </w:t>
      </w:r>
    </w:p>
    <w:p w:rsidR="00561EB4" w:rsidRPr="00C61104" w:rsidRDefault="00561EB4" w:rsidP="009F1DD2">
      <w:pPr>
        <w:pStyle w:val="Default"/>
        <w:rPr>
          <w:sz w:val="22"/>
          <w:szCs w:val="22"/>
          <w:lang w:val="sk-SK"/>
        </w:rPr>
      </w:pPr>
    </w:p>
    <w:p w:rsidR="00561EB4" w:rsidRDefault="00561EB4" w:rsidP="009F1DD2">
      <w:pPr>
        <w:pStyle w:val="Default"/>
        <w:rPr>
          <w:i/>
          <w:iCs/>
          <w:sz w:val="22"/>
          <w:szCs w:val="22"/>
          <w:lang w:val="sk-SK"/>
        </w:rPr>
      </w:pPr>
      <w:r w:rsidRPr="00C61104">
        <w:rPr>
          <w:i/>
          <w:iCs/>
          <w:sz w:val="22"/>
          <w:szCs w:val="22"/>
          <w:lang w:val="sk-SK"/>
        </w:rPr>
        <w:t xml:space="preserve">Dávka u starších pacientov </w:t>
      </w:r>
    </w:p>
    <w:p w:rsidR="00561EB4" w:rsidRDefault="00561EB4" w:rsidP="009F1DD2">
      <w:pPr>
        <w:pStyle w:val="Default"/>
        <w:rPr>
          <w:iCs/>
          <w:sz w:val="22"/>
          <w:szCs w:val="22"/>
          <w:lang w:val="sk-SK"/>
        </w:rPr>
      </w:pPr>
      <w:r w:rsidRPr="00C61104">
        <w:rPr>
          <w:iCs/>
          <w:sz w:val="22"/>
          <w:szCs w:val="22"/>
          <w:lang w:val="sk-SK"/>
        </w:rPr>
        <w:t>Neodporúča sa úprava dávky u starších pacientov s normálnou renálnou funkciou alebo hladinami klírensu kreatinínu nad 40 ml/min.</w:t>
      </w:r>
    </w:p>
    <w:p w:rsidR="00561EB4" w:rsidRDefault="00561EB4" w:rsidP="009F1DD2">
      <w:pPr>
        <w:pStyle w:val="Default"/>
        <w:rPr>
          <w:iCs/>
          <w:sz w:val="22"/>
          <w:szCs w:val="22"/>
          <w:lang w:val="sk-SK"/>
        </w:rPr>
      </w:pPr>
    </w:p>
    <w:p w:rsidR="00561EB4" w:rsidRPr="00C61104" w:rsidRDefault="00561EB4" w:rsidP="009F1DD2">
      <w:pPr>
        <w:pStyle w:val="Default"/>
        <w:rPr>
          <w:b/>
          <w:sz w:val="22"/>
          <w:szCs w:val="22"/>
          <w:lang w:val="it-IT"/>
        </w:rPr>
      </w:pPr>
      <w:r w:rsidRPr="00C61104">
        <w:rPr>
          <w:b/>
          <w:i/>
          <w:iCs/>
          <w:sz w:val="22"/>
          <w:szCs w:val="22"/>
          <w:lang w:val="it-IT"/>
        </w:rPr>
        <w:t xml:space="preserve">Pediatrickí pacienti (vo veku 2 - 12 rokov) </w:t>
      </w:r>
    </w:p>
    <w:p w:rsidR="00561EB4" w:rsidRPr="00C61104" w:rsidRDefault="00561EB4" w:rsidP="009F1DD2">
      <w:pPr>
        <w:pStyle w:val="Default"/>
        <w:rPr>
          <w:i/>
          <w:iCs/>
          <w:sz w:val="22"/>
          <w:szCs w:val="22"/>
          <w:u w:val="single"/>
          <w:lang w:val="it-IT"/>
        </w:rPr>
      </w:pPr>
    </w:p>
    <w:p w:rsidR="00561EB4" w:rsidRPr="00514C40" w:rsidRDefault="00561EB4" w:rsidP="009F1DD2">
      <w:pPr>
        <w:pStyle w:val="Default"/>
        <w:rPr>
          <w:sz w:val="22"/>
          <w:szCs w:val="22"/>
          <w:lang w:val="it-IT"/>
        </w:rPr>
      </w:pPr>
      <w:r w:rsidRPr="00514C40">
        <w:rPr>
          <w:i/>
          <w:iCs/>
          <w:sz w:val="22"/>
          <w:szCs w:val="22"/>
          <w:u w:val="single"/>
          <w:lang w:val="it-IT"/>
        </w:rPr>
        <w:t xml:space="preserve">Infekcie </w:t>
      </w:r>
    </w:p>
    <w:p w:rsidR="00561EB4" w:rsidRPr="00514C40" w:rsidRDefault="00561EB4" w:rsidP="009F1DD2">
      <w:pPr>
        <w:pStyle w:val="Default"/>
        <w:rPr>
          <w:sz w:val="22"/>
          <w:szCs w:val="22"/>
          <w:lang w:val="it-IT"/>
        </w:rPr>
      </w:pPr>
      <w:r w:rsidRPr="00514C40">
        <w:rPr>
          <w:sz w:val="22"/>
          <w:szCs w:val="22"/>
          <w:lang w:val="it-IT"/>
        </w:rPr>
        <w:t>Nasledujúca tabuľka zahŕňa častosť liečby a dávku na základe telesnej hmotnosti pre pediatrických pacientov vo veku 2-12 rokov podľa indikácie a stavu:</w:t>
      </w:r>
    </w:p>
    <w:p w:rsidR="00561EB4" w:rsidRDefault="00561EB4" w:rsidP="009F1DD2">
      <w:pPr>
        <w:pStyle w:val="Default"/>
        <w:rPr>
          <w:sz w:val="22"/>
          <w:szCs w:val="22"/>
          <w:lang w:val="it-IT"/>
        </w:rPr>
      </w:pPr>
    </w:p>
    <w:p w:rsidR="00561EB4" w:rsidRDefault="00561EB4" w:rsidP="009F1DD2">
      <w:pPr>
        <w:pStyle w:val="Default"/>
        <w:rPr>
          <w:sz w:val="22"/>
          <w:szCs w:val="22"/>
          <w:lang w:val="it-IT"/>
        </w:rPr>
      </w:pPr>
    </w:p>
    <w:p w:rsidR="00561EB4" w:rsidRPr="00514C40" w:rsidRDefault="00561EB4" w:rsidP="009F1DD2">
      <w:pPr>
        <w:pStyle w:val="Default"/>
        <w:rPr>
          <w:sz w:val="22"/>
          <w:szCs w:val="22"/>
          <w:lang w:val="it-IT"/>
        </w:rPr>
      </w:pPr>
    </w:p>
    <w:p w:rsidR="00561EB4" w:rsidRPr="00514C40" w:rsidRDefault="00561EB4" w:rsidP="009F1DD2">
      <w:pPr>
        <w:pStyle w:val="Default"/>
        <w:rPr>
          <w:sz w:val="22"/>
          <w:szCs w:val="22"/>
          <w:lang w:val="it-IT"/>
        </w:rPr>
      </w:pPr>
    </w:p>
    <w:tbl>
      <w:tblPr>
        <w:tblW w:w="9144" w:type="dxa"/>
        <w:tblLayout w:type="fixed"/>
        <w:tblLook w:val="0000"/>
      </w:tblPr>
      <w:tblGrid>
        <w:gridCol w:w="4606"/>
        <w:gridCol w:w="4538"/>
      </w:tblGrid>
      <w:tr w:rsidR="00561EB4" w:rsidTr="00C61104">
        <w:trPr>
          <w:trHeight w:val="146"/>
        </w:trPr>
        <w:tc>
          <w:tcPr>
            <w:tcW w:w="4606" w:type="dxa"/>
          </w:tcPr>
          <w:p w:rsidR="00561EB4" w:rsidRPr="00514C40" w:rsidRDefault="00561EB4">
            <w:pPr>
              <w:pStyle w:val="Default"/>
              <w:rPr>
                <w:sz w:val="22"/>
                <w:szCs w:val="22"/>
                <w:lang w:val="it-IT"/>
              </w:rPr>
            </w:pPr>
            <w:bookmarkStart w:id="0" w:name="_GoBack" w:colFirst="2" w:colLast="2"/>
            <w:r w:rsidRPr="00514C40">
              <w:rPr>
                <w:b/>
                <w:bCs/>
                <w:sz w:val="22"/>
                <w:szCs w:val="22"/>
                <w:lang w:val="it-IT"/>
              </w:rPr>
              <w:t xml:space="preserve">Dávka na hmotnosť a častosť terapie </w:t>
            </w:r>
          </w:p>
        </w:tc>
        <w:tc>
          <w:tcPr>
            <w:tcW w:w="4538" w:type="dxa"/>
          </w:tcPr>
          <w:p w:rsidR="00561EB4" w:rsidRDefault="00561EB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Indikácia/stav </w:t>
            </w:r>
          </w:p>
        </w:tc>
      </w:tr>
      <w:tr w:rsidR="00561EB4" w:rsidTr="00C61104">
        <w:trPr>
          <w:trHeight w:val="270"/>
        </w:trPr>
        <w:tc>
          <w:tcPr>
            <w:tcW w:w="4606" w:type="dxa"/>
          </w:tcPr>
          <w:p w:rsidR="00561EB4" w:rsidRPr="009F1DD2" w:rsidRDefault="00561EB4">
            <w:pPr>
              <w:pStyle w:val="Default"/>
              <w:ind w:left="567" w:hanging="567"/>
              <w:rPr>
                <w:sz w:val="22"/>
                <w:szCs w:val="22"/>
                <w:lang w:val="sk-SK"/>
              </w:rPr>
            </w:pPr>
            <w:r w:rsidRPr="00C61104">
              <w:rPr>
                <w:sz w:val="22"/>
                <w:szCs w:val="22"/>
                <w:lang w:val="sk-SK"/>
              </w:rPr>
              <w:t xml:space="preserve">80 mg piperacilínu/10 mg tazobaktámu na kg hmotnosti/každých 6 hodín </w:t>
            </w:r>
          </w:p>
        </w:tc>
        <w:tc>
          <w:tcPr>
            <w:tcW w:w="4538" w:type="dxa"/>
          </w:tcPr>
          <w:p w:rsidR="00561EB4" w:rsidRPr="009F1DD2" w:rsidRDefault="00561EB4">
            <w:pPr>
              <w:pStyle w:val="Default"/>
              <w:ind w:left="567" w:hanging="567"/>
              <w:rPr>
                <w:sz w:val="22"/>
                <w:szCs w:val="22"/>
                <w:lang w:val="sk-SK"/>
              </w:rPr>
            </w:pPr>
            <w:r w:rsidRPr="00C61104">
              <w:rPr>
                <w:sz w:val="22"/>
                <w:szCs w:val="22"/>
                <w:lang w:val="sk-SK"/>
              </w:rPr>
              <w:t xml:space="preserve">Neutropenické deti s horúčkou spôsobenou predpokladanou bakteriálnou infekciou* </w:t>
            </w:r>
          </w:p>
        </w:tc>
      </w:tr>
      <w:tr w:rsidR="00561EB4" w:rsidTr="00C61104">
        <w:trPr>
          <w:trHeight w:val="270"/>
        </w:trPr>
        <w:tc>
          <w:tcPr>
            <w:tcW w:w="4606" w:type="dxa"/>
          </w:tcPr>
          <w:p w:rsidR="00561EB4" w:rsidRPr="009F1DD2" w:rsidRDefault="00561EB4">
            <w:pPr>
              <w:pStyle w:val="Default"/>
              <w:ind w:left="567" w:hanging="567"/>
              <w:rPr>
                <w:sz w:val="22"/>
                <w:szCs w:val="22"/>
                <w:lang w:val="sk-SK"/>
              </w:rPr>
            </w:pPr>
            <w:r w:rsidRPr="00C61104">
              <w:rPr>
                <w:sz w:val="22"/>
                <w:szCs w:val="22"/>
                <w:lang w:val="sk-SK"/>
              </w:rPr>
              <w:t xml:space="preserve">100 mg piperacilínu/12,5 mg tazobaktámu na kg hmotnosti/každých 8 hodín </w:t>
            </w:r>
          </w:p>
        </w:tc>
        <w:tc>
          <w:tcPr>
            <w:tcW w:w="4538" w:type="dxa"/>
          </w:tcPr>
          <w:p w:rsidR="00561EB4" w:rsidRDefault="00561EB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Komplikované intraabdominálne infekcie* </w:t>
            </w:r>
          </w:p>
        </w:tc>
      </w:tr>
    </w:tbl>
    <w:bookmarkEnd w:id="0"/>
    <w:p w:rsidR="00561EB4" w:rsidRPr="00C61104" w:rsidRDefault="00561EB4" w:rsidP="009F1DD2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>* Nesmie presiahnuť maximum 4 g/0,5 g na dávku nad 30 minút</w:t>
      </w:r>
    </w:p>
    <w:p w:rsidR="00561EB4" w:rsidRDefault="00561EB4" w:rsidP="009F1DD2">
      <w:pPr>
        <w:pStyle w:val="Default"/>
        <w:rPr>
          <w:iCs/>
          <w:sz w:val="22"/>
          <w:szCs w:val="22"/>
          <w:lang w:val="sk-SK"/>
        </w:rPr>
      </w:pPr>
    </w:p>
    <w:p w:rsidR="00561EB4" w:rsidRPr="00C61104" w:rsidRDefault="00561EB4" w:rsidP="008F2368">
      <w:pPr>
        <w:pStyle w:val="Default"/>
        <w:rPr>
          <w:lang w:val="sk-SK"/>
        </w:rPr>
      </w:pPr>
      <w:r w:rsidRPr="00C61104">
        <w:rPr>
          <w:i/>
          <w:iCs/>
          <w:sz w:val="22"/>
          <w:szCs w:val="22"/>
          <w:u w:val="single"/>
          <w:lang w:val="sk-SK"/>
        </w:rPr>
        <w:t xml:space="preserve">Porucha funkcie obličiek </w:t>
      </w:r>
    </w:p>
    <w:p w:rsidR="00561EB4" w:rsidRDefault="00561EB4" w:rsidP="008F2368">
      <w:pPr>
        <w:ind w:left="0" w:firstLine="0"/>
        <w:rPr>
          <w:szCs w:val="22"/>
        </w:rPr>
      </w:pPr>
      <w:r>
        <w:rPr>
          <w:szCs w:val="22"/>
        </w:rPr>
        <w:t>Intravenózna dávka sa má upraviť podľa stupňa aktuálnej renálnej poruchy nasledovne (každý pacient sa musí dôkladne monitorovať na príznaky látkovej toxicity; dávka lieku a interval sa majú podľa toho upraviť):</w:t>
      </w:r>
    </w:p>
    <w:p w:rsidR="00561EB4" w:rsidRDefault="00561EB4" w:rsidP="008F2368">
      <w:pPr>
        <w:ind w:left="0" w:firstLine="0"/>
        <w:rPr>
          <w:szCs w:val="22"/>
        </w:rPr>
      </w:pPr>
    </w:p>
    <w:tbl>
      <w:tblPr>
        <w:tblW w:w="0" w:type="auto"/>
        <w:tblLayout w:type="fixed"/>
        <w:tblLook w:val="0000"/>
      </w:tblPr>
      <w:tblGrid>
        <w:gridCol w:w="2055"/>
        <w:gridCol w:w="6203"/>
      </w:tblGrid>
      <w:tr w:rsidR="00561EB4" w:rsidRPr="008F2368" w:rsidTr="00C61104">
        <w:trPr>
          <w:trHeight w:val="272"/>
        </w:trPr>
        <w:tc>
          <w:tcPr>
            <w:tcW w:w="2055" w:type="dxa"/>
          </w:tcPr>
          <w:p w:rsidR="00561EB4" w:rsidRPr="008F2368" w:rsidRDefault="00561EB4" w:rsidP="008F2368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lang w:val="en-US" w:eastAsia="en-US"/>
              </w:rPr>
            </w:pPr>
            <w:r w:rsidRPr="008F2368">
              <w:rPr>
                <w:b/>
                <w:bCs/>
                <w:color w:val="000000"/>
                <w:szCs w:val="22"/>
                <w:lang w:val="en-US" w:eastAsia="en-US"/>
              </w:rPr>
              <w:t xml:space="preserve">Klírens kreatinínu </w:t>
            </w:r>
          </w:p>
          <w:p w:rsidR="00561EB4" w:rsidRPr="008F2368" w:rsidRDefault="00561EB4" w:rsidP="008F2368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lang w:val="en-US" w:eastAsia="en-US"/>
              </w:rPr>
            </w:pPr>
            <w:r w:rsidRPr="008F2368">
              <w:rPr>
                <w:b/>
                <w:bCs/>
                <w:color w:val="000000"/>
                <w:szCs w:val="22"/>
                <w:lang w:val="en-US" w:eastAsia="en-US"/>
              </w:rPr>
              <w:t xml:space="preserve">(ml/min) </w:t>
            </w:r>
          </w:p>
        </w:tc>
        <w:tc>
          <w:tcPr>
            <w:tcW w:w="6203" w:type="dxa"/>
          </w:tcPr>
          <w:p w:rsidR="00561EB4" w:rsidRPr="008F2368" w:rsidRDefault="00561EB4" w:rsidP="008F2368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C61104">
              <w:rPr>
                <w:b/>
                <w:sz w:val="22"/>
                <w:szCs w:val="22"/>
              </w:rPr>
              <w:t>Piperacillin/Tazobactam Sandoz 4</w:t>
            </w:r>
            <w:r w:rsidRPr="00BA7BF6">
              <w:rPr>
                <w:b/>
                <w:sz w:val="22"/>
                <w:szCs w:val="22"/>
              </w:rPr>
              <w:t> </w:t>
            </w:r>
            <w:r w:rsidRPr="00C61104">
              <w:rPr>
                <w:b/>
                <w:sz w:val="22"/>
                <w:szCs w:val="22"/>
              </w:rPr>
              <w:t>g/0,5</w:t>
            </w:r>
            <w:r w:rsidRPr="00BA7BF6">
              <w:rPr>
                <w:b/>
                <w:sz w:val="22"/>
                <w:szCs w:val="22"/>
              </w:rPr>
              <w:t> </w:t>
            </w:r>
            <w:r w:rsidRPr="00C61104">
              <w:rPr>
                <w:b/>
                <w:sz w:val="22"/>
                <w:szCs w:val="22"/>
              </w:rPr>
              <w:t>g</w:t>
            </w:r>
            <w:r w:rsidRPr="008F2368">
              <w:rPr>
                <w:b/>
                <w:bCs/>
                <w:sz w:val="22"/>
                <w:szCs w:val="22"/>
              </w:rPr>
              <w:t xml:space="preserve"> </w:t>
            </w:r>
          </w:p>
          <w:p w:rsidR="00561EB4" w:rsidRPr="008F2368" w:rsidRDefault="00561EB4" w:rsidP="008F2368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lang w:val="en-US" w:eastAsia="en-US"/>
              </w:rPr>
            </w:pPr>
            <w:r w:rsidRPr="008F2368">
              <w:rPr>
                <w:b/>
                <w:bCs/>
                <w:color w:val="000000"/>
                <w:szCs w:val="22"/>
                <w:lang w:val="en-US" w:eastAsia="en-US"/>
              </w:rPr>
              <w:t xml:space="preserve"> (odporúčaná dávka) </w:t>
            </w:r>
          </w:p>
        </w:tc>
      </w:tr>
      <w:tr w:rsidR="00561EB4" w:rsidRPr="008F2368" w:rsidTr="00C61104">
        <w:trPr>
          <w:trHeight w:val="144"/>
        </w:trPr>
        <w:tc>
          <w:tcPr>
            <w:tcW w:w="2055" w:type="dxa"/>
          </w:tcPr>
          <w:p w:rsidR="00561EB4" w:rsidRPr="008F2368" w:rsidRDefault="00561EB4" w:rsidP="008F2368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lang w:val="en-US" w:eastAsia="en-US"/>
              </w:rPr>
            </w:pPr>
            <w:r w:rsidRPr="008F2368">
              <w:rPr>
                <w:color w:val="000000"/>
                <w:szCs w:val="22"/>
                <w:lang w:val="en-US" w:eastAsia="en-US"/>
              </w:rPr>
              <w:t xml:space="preserve">&gt; 50 </w:t>
            </w:r>
          </w:p>
        </w:tc>
        <w:tc>
          <w:tcPr>
            <w:tcW w:w="6203" w:type="dxa"/>
          </w:tcPr>
          <w:p w:rsidR="00561EB4" w:rsidRPr="00C61104" w:rsidRDefault="00561EB4" w:rsidP="008F2368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lang w:val="de-DE" w:eastAsia="en-US"/>
              </w:rPr>
            </w:pPr>
            <w:r w:rsidRPr="00C61104">
              <w:rPr>
                <w:color w:val="000000"/>
                <w:szCs w:val="22"/>
                <w:lang w:val="de-DE" w:eastAsia="en-US"/>
              </w:rPr>
              <w:t xml:space="preserve">Nie je nutná úprava dávky </w:t>
            </w:r>
          </w:p>
        </w:tc>
      </w:tr>
      <w:tr w:rsidR="00561EB4" w:rsidRPr="008F2368" w:rsidTr="00C61104">
        <w:trPr>
          <w:trHeight w:val="270"/>
        </w:trPr>
        <w:tc>
          <w:tcPr>
            <w:tcW w:w="2055" w:type="dxa"/>
          </w:tcPr>
          <w:p w:rsidR="00561EB4" w:rsidRPr="008F2368" w:rsidRDefault="00561EB4" w:rsidP="008F2368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  <w:szCs w:val="22"/>
                <w:lang w:val="en-US" w:eastAsia="en-US"/>
              </w:rPr>
              <w:t>≤</w:t>
            </w:r>
            <w:r w:rsidRPr="008F2368">
              <w:rPr>
                <w:color w:val="000000"/>
                <w:szCs w:val="22"/>
                <w:lang w:val="en-US" w:eastAsia="en-US"/>
              </w:rPr>
              <w:t xml:space="preserve"> 50 </w:t>
            </w:r>
          </w:p>
        </w:tc>
        <w:tc>
          <w:tcPr>
            <w:tcW w:w="6203" w:type="dxa"/>
          </w:tcPr>
          <w:p w:rsidR="00561EB4" w:rsidRPr="008F2368" w:rsidRDefault="00561EB4" w:rsidP="008F2368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lang w:val="en-US" w:eastAsia="en-US"/>
              </w:rPr>
            </w:pPr>
            <w:r w:rsidRPr="008F2368">
              <w:rPr>
                <w:color w:val="000000"/>
                <w:szCs w:val="22"/>
                <w:lang w:val="en-US" w:eastAsia="en-US"/>
              </w:rPr>
              <w:t xml:space="preserve">70 mg piperacilínu/8,75 mg tazobaktámu/kg </w:t>
            </w:r>
          </w:p>
          <w:p w:rsidR="00561EB4" w:rsidRPr="008F2368" w:rsidRDefault="00561EB4" w:rsidP="008F2368">
            <w:p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lang w:val="en-US" w:eastAsia="en-US"/>
              </w:rPr>
            </w:pPr>
            <w:r w:rsidRPr="008F2368">
              <w:rPr>
                <w:color w:val="000000"/>
                <w:szCs w:val="22"/>
                <w:lang w:val="en-US" w:eastAsia="en-US"/>
              </w:rPr>
              <w:t xml:space="preserve">každých 8 hodín. </w:t>
            </w:r>
          </w:p>
        </w:tc>
      </w:tr>
    </w:tbl>
    <w:p w:rsidR="00561EB4" w:rsidRDefault="00561EB4" w:rsidP="008F2368">
      <w:pPr>
        <w:ind w:left="0" w:firstLine="0"/>
        <w:rPr>
          <w:szCs w:val="22"/>
          <w:lang w:val="en-US"/>
        </w:rPr>
      </w:pPr>
    </w:p>
    <w:p w:rsidR="00561EB4" w:rsidRDefault="00561EB4" w:rsidP="008F236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Hemodialyzovaným deťom sa má pridať navyše jedna dávka 40 mg piperacilínu/5 mg tazobaktámu/kg, ktorá má nasledovať po každom dialyzačnom intervale.</w:t>
      </w:r>
    </w:p>
    <w:p w:rsidR="00561EB4" w:rsidRDefault="00561EB4" w:rsidP="008F236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561EB4" w:rsidRDefault="00561EB4" w:rsidP="008F2368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Použitie u detí mladších ako 2 roky </w:t>
      </w:r>
    </w:p>
    <w:p w:rsidR="00561EB4" w:rsidRDefault="00561EB4" w:rsidP="008F236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Bezpečnosť a účinnosť kombinácie piperacilín/tazobaktám u detí vo veku 0-2 roky sa nestanovila. </w:t>
      </w:r>
    </w:p>
    <w:p w:rsidR="00561EB4" w:rsidRDefault="00561EB4" w:rsidP="008F236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Nie sú dostupné údaje z kontrolovaných klinických stúdií. </w:t>
      </w:r>
    </w:p>
    <w:p w:rsidR="00561EB4" w:rsidRDefault="00561EB4" w:rsidP="008F2368">
      <w:pPr>
        <w:pStyle w:val="Default"/>
        <w:rPr>
          <w:sz w:val="22"/>
          <w:szCs w:val="22"/>
        </w:rPr>
      </w:pPr>
    </w:p>
    <w:p w:rsidR="00561EB4" w:rsidRDefault="00561EB4" w:rsidP="008F2368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Trvanie liečby </w:t>
      </w:r>
    </w:p>
    <w:p w:rsidR="00561EB4" w:rsidRDefault="00561EB4" w:rsidP="008F236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Zvyčajná dĺžka liečby pre väčšinu indikácií je v rozmedzí 5-14 dní. Avšak trvanie liečby má závisieť od závažnosti infekcie, patogénu (patogénov) a klinického a bakteriologického napredovania pacienta. </w:t>
      </w:r>
    </w:p>
    <w:p w:rsidR="00561EB4" w:rsidRDefault="00561EB4" w:rsidP="008F2368">
      <w:pPr>
        <w:pStyle w:val="Default"/>
        <w:rPr>
          <w:sz w:val="22"/>
          <w:szCs w:val="22"/>
          <w:u w:val="single"/>
        </w:rPr>
      </w:pPr>
    </w:p>
    <w:p w:rsidR="00561EB4" w:rsidRPr="00C61104" w:rsidRDefault="00561EB4" w:rsidP="008F2368">
      <w:pPr>
        <w:pStyle w:val="Default"/>
        <w:rPr>
          <w:b/>
          <w:sz w:val="22"/>
          <w:szCs w:val="22"/>
          <w:u w:val="single"/>
        </w:rPr>
      </w:pPr>
      <w:r w:rsidRPr="00C61104">
        <w:rPr>
          <w:b/>
          <w:sz w:val="22"/>
          <w:szCs w:val="22"/>
          <w:u w:val="single"/>
        </w:rPr>
        <w:t xml:space="preserve">Spôsob podania </w:t>
      </w:r>
    </w:p>
    <w:p w:rsidR="00561EB4" w:rsidRDefault="00561EB4" w:rsidP="008F2368">
      <w:pPr>
        <w:pStyle w:val="Default"/>
        <w:rPr>
          <w:sz w:val="22"/>
          <w:szCs w:val="22"/>
        </w:rPr>
      </w:pPr>
      <w:r w:rsidRPr="008F2368">
        <w:rPr>
          <w:sz w:val="22"/>
          <w:szCs w:val="22"/>
        </w:rPr>
        <w:t>Piperacillin/Tazobactam Sandoz</w:t>
      </w:r>
      <w:r>
        <w:rPr>
          <w:sz w:val="22"/>
          <w:szCs w:val="22"/>
        </w:rPr>
        <w:t xml:space="preserve"> 4 g/0,5 g sa podáva intravenóznou infúziou (viac ako 30 minút). </w:t>
      </w:r>
    </w:p>
    <w:p w:rsidR="00561EB4" w:rsidRDefault="00561EB4" w:rsidP="008F2368">
      <w:pPr>
        <w:pStyle w:val="Default"/>
        <w:rPr>
          <w:sz w:val="22"/>
          <w:szCs w:val="22"/>
        </w:rPr>
      </w:pPr>
    </w:p>
    <w:p w:rsidR="00561EB4" w:rsidRPr="00C61104" w:rsidRDefault="00561EB4" w:rsidP="008F2368">
      <w:pPr>
        <w:ind w:left="0" w:firstLine="0"/>
        <w:rPr>
          <w:szCs w:val="22"/>
          <w:lang w:val="en-US"/>
        </w:rPr>
      </w:pPr>
      <w:r>
        <w:rPr>
          <w:szCs w:val="22"/>
        </w:rPr>
        <w:t>Pokyny na prípravu lieku pred podaním, pozri časť 6.6.</w:t>
      </w:r>
    </w:p>
    <w:p w:rsidR="00561EB4" w:rsidRDefault="00561EB4" w:rsidP="00206742">
      <w:pPr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  <w:r w:rsidRPr="00665938">
        <w:rPr>
          <w:b/>
          <w:szCs w:val="22"/>
        </w:rPr>
        <w:t>4.3</w:t>
      </w:r>
      <w:r w:rsidRPr="00665938">
        <w:rPr>
          <w:b/>
          <w:szCs w:val="22"/>
        </w:rPr>
        <w:tab/>
        <w:t xml:space="preserve">Kontraindikácie </w:t>
      </w:r>
    </w:p>
    <w:p w:rsidR="00561EB4" w:rsidRPr="00665938" w:rsidRDefault="00561EB4" w:rsidP="00D94AD8">
      <w:pPr>
        <w:rPr>
          <w:szCs w:val="22"/>
        </w:rPr>
      </w:pPr>
    </w:p>
    <w:p w:rsidR="00561EB4" w:rsidRPr="00C61104" w:rsidRDefault="00561EB4" w:rsidP="008F2368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Precitlivenosť na liečivá, iné penicilínové antibiotiká alebo na ktorúkoľvek z pomocných látok. </w:t>
      </w:r>
    </w:p>
    <w:p w:rsidR="00561EB4" w:rsidRDefault="00561EB4" w:rsidP="00D94AD8">
      <w:pPr>
        <w:pStyle w:val="BodyText"/>
        <w:rPr>
          <w:szCs w:val="22"/>
        </w:rPr>
      </w:pPr>
    </w:p>
    <w:p w:rsidR="00561EB4" w:rsidRDefault="00561EB4" w:rsidP="00D94AD8">
      <w:pPr>
        <w:pStyle w:val="BodyText"/>
        <w:rPr>
          <w:szCs w:val="22"/>
        </w:rPr>
      </w:pPr>
      <w:r>
        <w:rPr>
          <w:szCs w:val="22"/>
        </w:rPr>
        <w:t xml:space="preserve">Anamnéza závažnej akútnej alergickej reakcie na iné betalaktámové liečivá (napr. cefalosporíny, monobaktám alebo karbapeném). </w:t>
      </w:r>
    </w:p>
    <w:p w:rsidR="00561EB4" w:rsidRPr="00665938" w:rsidRDefault="00561EB4" w:rsidP="00D94AD8">
      <w:pPr>
        <w:pStyle w:val="BodyText"/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  <w:r w:rsidRPr="00665938">
        <w:rPr>
          <w:b/>
          <w:szCs w:val="22"/>
        </w:rPr>
        <w:t>4.4</w:t>
      </w:r>
      <w:r w:rsidRPr="00665938">
        <w:rPr>
          <w:b/>
          <w:szCs w:val="22"/>
        </w:rPr>
        <w:tab/>
        <w:t>Osobitné upozornenia a opatrenia pri používaní</w:t>
      </w:r>
    </w:p>
    <w:p w:rsidR="00561EB4" w:rsidRDefault="00561EB4" w:rsidP="00D94AD8">
      <w:pPr>
        <w:rPr>
          <w:szCs w:val="22"/>
        </w:rPr>
      </w:pPr>
    </w:p>
    <w:p w:rsidR="00561EB4" w:rsidRDefault="00561EB4" w:rsidP="0010710F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Pri výbere piperacilínu/tazobaktámu na liečbu jednotlivých pacientov sa má vziať do úvahy vhodnosť použitia širokospektrálneho semisyntetického penicilínu založeného na faktoroch ako sú závažnosť infekcie a prevalencia rezistencie na iné vhodné antibakteriálne lieky. </w:t>
      </w:r>
    </w:p>
    <w:p w:rsidR="00561EB4" w:rsidRPr="00C61104" w:rsidRDefault="00561EB4" w:rsidP="0010710F">
      <w:pPr>
        <w:pStyle w:val="Default"/>
        <w:rPr>
          <w:sz w:val="22"/>
          <w:szCs w:val="22"/>
          <w:lang w:val="sk-SK"/>
        </w:rPr>
      </w:pPr>
    </w:p>
    <w:p w:rsidR="00561EB4" w:rsidRDefault="00561EB4" w:rsidP="0010710F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Pred začatím liečby </w:t>
      </w:r>
      <w:r>
        <w:rPr>
          <w:sz w:val="22"/>
          <w:szCs w:val="22"/>
          <w:lang w:val="sk-SK"/>
        </w:rPr>
        <w:t xml:space="preserve">liekom </w:t>
      </w:r>
      <w:r w:rsidRPr="00C61104">
        <w:rPr>
          <w:sz w:val="22"/>
          <w:szCs w:val="22"/>
          <w:lang w:val="sk-SK"/>
        </w:rPr>
        <w:t xml:space="preserve">Piperacillin/Tazobactam Sandoz je potrebné starostlivo zistiť predchádzajúce hypersenzitívne reakcie na penicilíny, iné betalaktámové lieky (napr. cefalosporíny, monobaktámy alebo karbapenémy) alebo iné alergény. U pacientov liečených penicilínmi vrátane piperacilínu/tazobaktámu sa pozorovali vážne a ojedinele fatálne hypersenzitívne anafylaktické/anafylaktoidné reakcie (vrátane šoku). Tieto reakcie sa s väčšou pravdepodobnosťou vyskytnú u osôb s predchádzajúcou vnímavosťou na viaceré alergény. Závažné hypersenzitívne reakcie si vyžadujú vysadenie antibiotika a môže byť potrebné podanie adrenalínu a iných urgentných opatrení. </w:t>
      </w:r>
    </w:p>
    <w:p w:rsidR="00561EB4" w:rsidRPr="00C61104" w:rsidRDefault="00561EB4" w:rsidP="0010710F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10710F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Pseudomembranózna kolitída indukovaná antibiotikami sa môže manifestovať závažnou pretrvávajúcou hnačkou, ktorá môže byť život ohrozujúca. Symptómy pseudomembranóznej kolitídy sa môžu vyskytnúť počas antibiotickej liečby alebo po nej. V týchto prípadoch je nevyhnutné prerušiť podávanie lieku Piperacillin/Tazobactam Sandoz. </w:t>
      </w:r>
    </w:p>
    <w:p w:rsidR="00561EB4" w:rsidRPr="00C61104" w:rsidRDefault="00561EB4" w:rsidP="0010710F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10710F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Liečba liekom Piperacillin/Tazobactam Sandoz môže spôsobiť nárast rezistentných organizmov, ktoré môžu spôsobiť superinfekciu. </w:t>
      </w:r>
    </w:p>
    <w:p w:rsidR="00561EB4" w:rsidRPr="00C61104" w:rsidRDefault="00561EB4" w:rsidP="0010710F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10710F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U niektorých pacientov liečených betalaktámovými antibiotikami sa môže manifestovať krvácanie. Tieto reakcie niekedy môžu súvisieť s abnormalitami koagulačných parametrov ako sú čas zrážania, agregácia trombocytov a protrombínový čas a sú častejšie prítomné u pacientov so zlyhávaním obličiek. Ak sa objaví krvácanie, terapia antibiotikom sa má prerušiť a má sa začať vhodná liečba. </w:t>
      </w:r>
    </w:p>
    <w:p w:rsidR="00561EB4" w:rsidRPr="00C61104" w:rsidRDefault="00561EB4" w:rsidP="0010710F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10710F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Môže sa vyskytnúť leukopénia a neutropénia hlavne počas dlhodobej liečby, preto sa majú pravidelne sledovať hodnoty hematopoetických funkcií. </w:t>
      </w:r>
    </w:p>
    <w:p w:rsidR="00561EB4" w:rsidRPr="00C61104" w:rsidRDefault="00561EB4" w:rsidP="0010710F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10710F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Podobne ako pri liečbe inými penicilínmi sa môžu pri podaní vysokých dávok vyskytnúť neurologické komplikácie vo forme kŕčov, predovšetkým u pacientov s poškodenou funkciou obličiek. </w:t>
      </w:r>
    </w:p>
    <w:p w:rsidR="00561EB4" w:rsidRPr="00C61104" w:rsidRDefault="00561EB4" w:rsidP="0010710F">
      <w:pPr>
        <w:pStyle w:val="Default"/>
        <w:rPr>
          <w:sz w:val="22"/>
          <w:szCs w:val="22"/>
          <w:lang w:val="sk-SK"/>
        </w:rPr>
      </w:pPr>
    </w:p>
    <w:p w:rsidR="00561EB4" w:rsidRDefault="00561EB4" w:rsidP="00C61104">
      <w:pPr>
        <w:ind w:left="0" w:firstLine="0"/>
        <w:rPr>
          <w:szCs w:val="22"/>
        </w:rPr>
      </w:pPr>
      <w:r>
        <w:rPr>
          <w:szCs w:val="22"/>
        </w:rPr>
        <w:t xml:space="preserve">Každá injekčná liekovka lieku Piperacillin/Tazobactam Sandoz 4 g/0,5 g prášok na infúzny roztok obsahuje 9,4 mmol (216 mg) sodíka. Je to potrebné vziať do úvahy u pacientov na diéte sledujúcej obsah sodíka. </w:t>
      </w:r>
    </w:p>
    <w:p w:rsidR="00561EB4" w:rsidRDefault="00561EB4" w:rsidP="00C61104">
      <w:pPr>
        <w:ind w:left="0" w:firstLine="0"/>
        <w:rPr>
          <w:szCs w:val="22"/>
        </w:rPr>
      </w:pPr>
    </w:p>
    <w:p w:rsidR="00561EB4" w:rsidRDefault="00561EB4" w:rsidP="0010710F">
      <w:pPr>
        <w:ind w:left="0" w:firstLine="0"/>
        <w:rPr>
          <w:szCs w:val="22"/>
        </w:rPr>
      </w:pPr>
      <w:r>
        <w:rPr>
          <w:szCs w:val="22"/>
        </w:rPr>
        <w:t>Hypokaliémia sa môže vyskytnúť u pacientov s nízkou hladinou draslíka alebo u tých, ktorí užívajú lieky, ktoré spôsobujú zníženie hladiny draslíka; u týchto pacientov sa odporúča pravidelné sledovanie hladín elektrolytov.</w:t>
      </w:r>
    </w:p>
    <w:p w:rsidR="00561EB4" w:rsidRPr="00665938" w:rsidRDefault="00561EB4" w:rsidP="0010710F">
      <w:pPr>
        <w:ind w:left="0" w:firstLine="0"/>
        <w:rPr>
          <w:szCs w:val="22"/>
        </w:rPr>
      </w:pPr>
    </w:p>
    <w:p w:rsidR="00561EB4" w:rsidRPr="00665938" w:rsidRDefault="00561EB4" w:rsidP="00B90E7D">
      <w:pPr>
        <w:ind w:left="0" w:firstLine="0"/>
        <w:rPr>
          <w:b/>
          <w:szCs w:val="22"/>
        </w:rPr>
      </w:pPr>
      <w:r w:rsidRPr="00665938">
        <w:rPr>
          <w:b/>
          <w:szCs w:val="22"/>
        </w:rPr>
        <w:t>4.5</w:t>
      </w:r>
      <w:r w:rsidRPr="00665938">
        <w:rPr>
          <w:b/>
          <w:szCs w:val="22"/>
        </w:rPr>
        <w:tab/>
        <w:t>Liekové a iné interakcie</w:t>
      </w:r>
    </w:p>
    <w:p w:rsidR="00561EB4" w:rsidRDefault="00561EB4" w:rsidP="00D94AD8">
      <w:pPr>
        <w:rPr>
          <w:szCs w:val="22"/>
        </w:rPr>
      </w:pPr>
    </w:p>
    <w:p w:rsidR="00561EB4" w:rsidRPr="00C61104" w:rsidRDefault="00561EB4" w:rsidP="00FB46F5">
      <w:pPr>
        <w:pStyle w:val="Default"/>
        <w:rPr>
          <w:sz w:val="22"/>
          <w:szCs w:val="22"/>
          <w:u w:val="single"/>
          <w:lang w:val="sk-SK"/>
        </w:rPr>
      </w:pPr>
      <w:r w:rsidRPr="00C61104">
        <w:rPr>
          <w:bCs/>
          <w:sz w:val="22"/>
          <w:szCs w:val="22"/>
          <w:u w:val="single"/>
          <w:lang w:val="sk-SK"/>
        </w:rPr>
        <w:t xml:space="preserve">Nedepolarizujúce svalové relaxanciá </w:t>
      </w:r>
    </w:p>
    <w:p w:rsidR="00561EB4" w:rsidRDefault="00561EB4" w:rsidP="00FB46F5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Keď sa piperacilín súbežne používa s vekuróniom dohádza k predĺženiu neuromuskulárnej blokády spôsobenej vekuróniom. Vzhľadom na ich podobný mechanizmu účinku sa očakáva, že neuromuskulárna blokáda spôsobená nedepolarizujúcim myorelaxanciom sa môže predĺžiť v prítomnosti piperacilínu. </w:t>
      </w:r>
    </w:p>
    <w:p w:rsidR="00561EB4" w:rsidRPr="00C61104" w:rsidRDefault="00561EB4" w:rsidP="00FB46F5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FB46F5">
      <w:pPr>
        <w:pStyle w:val="Default"/>
        <w:rPr>
          <w:sz w:val="22"/>
          <w:szCs w:val="22"/>
          <w:u w:val="single"/>
          <w:lang w:val="sk-SK"/>
        </w:rPr>
      </w:pPr>
      <w:r w:rsidRPr="00C61104">
        <w:rPr>
          <w:bCs/>
          <w:sz w:val="22"/>
          <w:szCs w:val="22"/>
          <w:u w:val="single"/>
          <w:lang w:val="sk-SK"/>
        </w:rPr>
        <w:t xml:space="preserve">Perorálne antikoagulanciá </w:t>
      </w:r>
    </w:p>
    <w:p w:rsidR="00561EB4" w:rsidRDefault="00561EB4" w:rsidP="00C61104">
      <w:pPr>
        <w:ind w:left="0" w:firstLine="0"/>
        <w:rPr>
          <w:szCs w:val="22"/>
        </w:rPr>
      </w:pPr>
      <w:r>
        <w:rPr>
          <w:szCs w:val="22"/>
        </w:rPr>
        <w:t>Pri súčasnom podávaní heparínu, perorálnych antikoagulancií a iných látok, ktoré môžu mať vplyv na koagulačný systém krvi vrátane funkcie trombocytov sa majú vhodné koagulačné testy vykonávať častejšie a majú sa pravidelne kontrolovať.</w:t>
      </w:r>
    </w:p>
    <w:p w:rsidR="00561EB4" w:rsidRDefault="00561EB4" w:rsidP="00C61104">
      <w:pPr>
        <w:ind w:left="0" w:firstLine="0"/>
        <w:rPr>
          <w:szCs w:val="22"/>
        </w:rPr>
      </w:pPr>
    </w:p>
    <w:p w:rsidR="00561EB4" w:rsidRPr="00C61104" w:rsidRDefault="00561EB4" w:rsidP="00FB46F5">
      <w:pPr>
        <w:pStyle w:val="Default"/>
        <w:rPr>
          <w:sz w:val="22"/>
          <w:szCs w:val="22"/>
          <w:u w:val="single"/>
          <w:lang w:val="sk-SK"/>
        </w:rPr>
      </w:pPr>
      <w:r w:rsidRPr="00C61104">
        <w:rPr>
          <w:bCs/>
          <w:sz w:val="22"/>
          <w:szCs w:val="22"/>
          <w:u w:val="single"/>
          <w:lang w:val="sk-SK"/>
        </w:rPr>
        <w:t xml:space="preserve">Metotrexát </w:t>
      </w:r>
    </w:p>
    <w:p w:rsidR="00561EB4" w:rsidRDefault="00561EB4" w:rsidP="00FB46F5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Piperacilín môže znížiť vylučovanie metotrexátu; preto aby sa predišlo látkovej toxicite majú sa monitorovať sérové hladiny metotrexátu. </w:t>
      </w:r>
    </w:p>
    <w:p w:rsidR="00561EB4" w:rsidRPr="00C61104" w:rsidRDefault="00561EB4" w:rsidP="00FB46F5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FB46F5">
      <w:pPr>
        <w:pStyle w:val="Default"/>
        <w:rPr>
          <w:sz w:val="22"/>
          <w:szCs w:val="22"/>
          <w:u w:val="single"/>
          <w:lang w:val="sk-SK"/>
        </w:rPr>
      </w:pPr>
      <w:r w:rsidRPr="00C61104">
        <w:rPr>
          <w:bCs/>
          <w:sz w:val="22"/>
          <w:szCs w:val="22"/>
          <w:u w:val="single"/>
          <w:lang w:val="sk-SK"/>
        </w:rPr>
        <w:t xml:space="preserve">Probenecid </w:t>
      </w:r>
    </w:p>
    <w:p w:rsidR="00561EB4" w:rsidRDefault="00561EB4" w:rsidP="00FB46F5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Ako aj u iných penicilínov, súčasné podávanie probenecidu a piperacilínu/tazobaktámu spôsobuje dlhší polčas a nižší renálny klírens pre piperacilín a tazobaktám, napriek tomu vrcholové plazmatické koncentrácie oboch liečiv nie sú ovplyvnené. </w:t>
      </w:r>
    </w:p>
    <w:p w:rsidR="00561EB4" w:rsidRPr="00C61104" w:rsidRDefault="00561EB4" w:rsidP="00FB46F5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FB46F5">
      <w:pPr>
        <w:pStyle w:val="Default"/>
        <w:rPr>
          <w:sz w:val="22"/>
          <w:szCs w:val="22"/>
          <w:u w:val="single"/>
          <w:lang w:val="sk-SK"/>
        </w:rPr>
      </w:pPr>
      <w:r w:rsidRPr="00C61104">
        <w:rPr>
          <w:bCs/>
          <w:sz w:val="22"/>
          <w:szCs w:val="22"/>
          <w:u w:val="single"/>
          <w:lang w:val="sk-SK"/>
        </w:rPr>
        <w:t xml:space="preserve">Aminoglykozidy </w:t>
      </w:r>
    </w:p>
    <w:p w:rsidR="00561EB4" w:rsidRDefault="00561EB4" w:rsidP="00FB46F5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Piperacilín buď samostatný alebo s tazobaktámom signifikantne neovplyvňuje farmakokinetiku tobramycínu u subjektov s normálnou renálnou funkciou a s ľahkou alebo stredne ťažkou renálnou poruchou. Farmakokinetika piperacilínu, tazobaktámu a M1 metabolitu taktiež nebola signifikantne ovplyvnená podávaním tobramycínu. </w:t>
      </w:r>
    </w:p>
    <w:p w:rsidR="00561EB4" w:rsidRPr="00C61104" w:rsidRDefault="00561EB4" w:rsidP="00FB46F5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FB46F5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Inaktivácia tobramycínu a gentamicínu piperacilínom sa dokázala u pacientov so závažným poškodením funkcie obličiek. </w:t>
      </w:r>
    </w:p>
    <w:p w:rsidR="00561EB4" w:rsidRPr="00C61104" w:rsidRDefault="00561EB4" w:rsidP="00FB46F5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FB46F5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Informácie týkajúce sa podania piperacilínu/tazobaktámu s aminoglykozidmi, pozri časti 6.2 a 6.6. </w:t>
      </w:r>
    </w:p>
    <w:p w:rsidR="00561EB4" w:rsidRPr="00C61104" w:rsidRDefault="00561EB4" w:rsidP="00FB46F5">
      <w:pPr>
        <w:pStyle w:val="Default"/>
        <w:rPr>
          <w:sz w:val="22"/>
          <w:szCs w:val="22"/>
          <w:lang w:val="sk-SK"/>
        </w:rPr>
      </w:pPr>
    </w:p>
    <w:p w:rsidR="00561EB4" w:rsidRPr="00514C40" w:rsidRDefault="00561EB4" w:rsidP="00FB46F5">
      <w:pPr>
        <w:pStyle w:val="Default"/>
        <w:rPr>
          <w:sz w:val="22"/>
          <w:szCs w:val="22"/>
          <w:u w:val="single"/>
          <w:lang w:val="sk-SK"/>
        </w:rPr>
      </w:pPr>
      <w:r w:rsidRPr="00514C40">
        <w:rPr>
          <w:bCs/>
          <w:sz w:val="22"/>
          <w:szCs w:val="22"/>
          <w:u w:val="single"/>
          <w:lang w:val="sk-SK"/>
        </w:rPr>
        <w:t xml:space="preserve">Vankomycín </w:t>
      </w:r>
    </w:p>
    <w:p w:rsidR="00561EB4" w:rsidRPr="00514C40" w:rsidRDefault="00561EB4" w:rsidP="00FB46F5">
      <w:pPr>
        <w:pStyle w:val="Default"/>
        <w:rPr>
          <w:sz w:val="22"/>
          <w:szCs w:val="22"/>
          <w:lang w:val="sk-SK"/>
        </w:rPr>
      </w:pPr>
      <w:r w:rsidRPr="00514C40">
        <w:rPr>
          <w:sz w:val="22"/>
          <w:szCs w:val="22"/>
          <w:lang w:val="sk-SK"/>
        </w:rPr>
        <w:t xml:space="preserve">Žiadne farmakokinetické interakcie sa nezaznamenali medzi piperacilínom/tazobaktámom a vankomycínom. </w:t>
      </w:r>
    </w:p>
    <w:p w:rsidR="00561EB4" w:rsidRPr="00514C40" w:rsidRDefault="00561EB4" w:rsidP="00FB46F5">
      <w:pPr>
        <w:pStyle w:val="Default"/>
        <w:rPr>
          <w:sz w:val="22"/>
          <w:szCs w:val="22"/>
          <w:lang w:val="sk-SK"/>
        </w:rPr>
      </w:pPr>
    </w:p>
    <w:p w:rsidR="00561EB4" w:rsidRPr="00514C40" w:rsidRDefault="00561EB4" w:rsidP="00FB46F5">
      <w:pPr>
        <w:pStyle w:val="Default"/>
        <w:rPr>
          <w:sz w:val="22"/>
          <w:szCs w:val="22"/>
          <w:u w:val="single"/>
          <w:lang w:val="sk-SK"/>
        </w:rPr>
      </w:pPr>
      <w:r w:rsidRPr="00514C40">
        <w:rPr>
          <w:bCs/>
          <w:sz w:val="22"/>
          <w:szCs w:val="22"/>
          <w:u w:val="single"/>
          <w:lang w:val="sk-SK"/>
        </w:rPr>
        <w:t xml:space="preserve">Účinky na laboratórne testy </w:t>
      </w:r>
    </w:p>
    <w:p w:rsidR="00561EB4" w:rsidRPr="00514C40" w:rsidRDefault="00561EB4" w:rsidP="00FB46F5">
      <w:pPr>
        <w:pStyle w:val="Default"/>
        <w:rPr>
          <w:sz w:val="22"/>
          <w:szCs w:val="22"/>
          <w:lang w:val="sk-SK"/>
        </w:rPr>
      </w:pPr>
      <w:r w:rsidRPr="00514C40">
        <w:rPr>
          <w:sz w:val="22"/>
          <w:szCs w:val="22"/>
          <w:lang w:val="sk-SK"/>
        </w:rPr>
        <w:t xml:space="preserve">Ako aj u ostatných penicilínov môžu neenzymatické metódy merania glukózy v moči viesť k falošne pozitívnym výsledkom. Preto sa odporúča enzymatický spôsob merania glukózy v moči počas liečby kombináciou piperacilín/tazobaktám. </w:t>
      </w:r>
    </w:p>
    <w:p w:rsidR="00561EB4" w:rsidRPr="00514C40" w:rsidRDefault="00561EB4" w:rsidP="00FB46F5">
      <w:pPr>
        <w:pStyle w:val="Default"/>
        <w:rPr>
          <w:sz w:val="22"/>
          <w:szCs w:val="22"/>
          <w:lang w:val="sk-SK"/>
        </w:rPr>
      </w:pPr>
    </w:p>
    <w:p w:rsidR="00561EB4" w:rsidRPr="00514C40" w:rsidRDefault="00561EB4" w:rsidP="00FB46F5">
      <w:pPr>
        <w:pStyle w:val="Default"/>
        <w:rPr>
          <w:sz w:val="22"/>
          <w:szCs w:val="22"/>
          <w:lang w:val="sk-SK"/>
        </w:rPr>
      </w:pPr>
      <w:r w:rsidRPr="00514C40">
        <w:rPr>
          <w:sz w:val="22"/>
          <w:szCs w:val="22"/>
          <w:lang w:val="sk-SK"/>
        </w:rPr>
        <w:t xml:space="preserve">Mnoho chemických metód merania bielkovín v moči môžu viesť k falošne pozitívnym výsledkom. Meranie proteínov močovými tyčinkami nie je ovplyvnené. </w:t>
      </w:r>
    </w:p>
    <w:p w:rsidR="00561EB4" w:rsidRPr="00514C40" w:rsidRDefault="00561EB4" w:rsidP="00FB46F5">
      <w:pPr>
        <w:pStyle w:val="Default"/>
        <w:rPr>
          <w:sz w:val="22"/>
          <w:szCs w:val="22"/>
          <w:lang w:val="sk-SK"/>
        </w:rPr>
      </w:pPr>
    </w:p>
    <w:p w:rsidR="00561EB4" w:rsidRPr="00514C40" w:rsidRDefault="00561EB4" w:rsidP="00FB46F5">
      <w:pPr>
        <w:pStyle w:val="Default"/>
        <w:rPr>
          <w:sz w:val="22"/>
          <w:szCs w:val="22"/>
          <w:lang w:val="sk-SK"/>
        </w:rPr>
      </w:pPr>
      <w:r w:rsidRPr="00514C40">
        <w:rPr>
          <w:sz w:val="22"/>
          <w:szCs w:val="22"/>
          <w:lang w:val="sk-SK"/>
        </w:rPr>
        <w:t xml:space="preserve">Priamy Coombsov test môže byť pozitívny. </w:t>
      </w:r>
    </w:p>
    <w:p w:rsidR="00561EB4" w:rsidRPr="00514C40" w:rsidRDefault="00561EB4" w:rsidP="00FB46F5">
      <w:pPr>
        <w:pStyle w:val="Default"/>
        <w:rPr>
          <w:sz w:val="22"/>
          <w:szCs w:val="22"/>
          <w:lang w:val="sk-SK"/>
        </w:rPr>
      </w:pPr>
    </w:p>
    <w:p w:rsidR="00561EB4" w:rsidRPr="00514C40" w:rsidRDefault="00561EB4" w:rsidP="00FB46F5">
      <w:pPr>
        <w:pStyle w:val="Default"/>
        <w:rPr>
          <w:sz w:val="22"/>
          <w:szCs w:val="22"/>
          <w:lang w:val="sk-SK"/>
        </w:rPr>
      </w:pPr>
      <w:r w:rsidRPr="00514C40">
        <w:rPr>
          <w:sz w:val="22"/>
          <w:szCs w:val="22"/>
          <w:lang w:val="sk-SK"/>
        </w:rPr>
        <w:t xml:space="preserve">U pacientov liečených kombináciou piperacilín/tazobaktám môžu Bio-Rad Laboratories </w:t>
      </w:r>
      <w:r w:rsidRPr="00514C40">
        <w:rPr>
          <w:i/>
          <w:iCs/>
          <w:sz w:val="22"/>
          <w:szCs w:val="22"/>
          <w:lang w:val="sk-SK"/>
        </w:rPr>
        <w:t xml:space="preserve">Platelia Aspergillus </w:t>
      </w:r>
      <w:r w:rsidRPr="00514C40">
        <w:rPr>
          <w:sz w:val="22"/>
          <w:szCs w:val="22"/>
          <w:lang w:val="sk-SK"/>
        </w:rPr>
        <w:t xml:space="preserve">EIA testy viesť k falošne pozitívnym výsledkom. Boli hlásené skrížené reakcie u non – </w:t>
      </w:r>
      <w:r w:rsidRPr="00514C40">
        <w:rPr>
          <w:i/>
          <w:iCs/>
          <w:sz w:val="22"/>
          <w:szCs w:val="22"/>
          <w:lang w:val="sk-SK"/>
        </w:rPr>
        <w:t xml:space="preserve">Aspergillus </w:t>
      </w:r>
      <w:r w:rsidRPr="00514C40">
        <w:rPr>
          <w:sz w:val="22"/>
          <w:szCs w:val="22"/>
          <w:lang w:val="sk-SK"/>
        </w:rPr>
        <w:t xml:space="preserve">polysacharidov a polyfuranóz s Bio-Rad Laboratories </w:t>
      </w:r>
      <w:r w:rsidRPr="00514C40">
        <w:rPr>
          <w:i/>
          <w:iCs/>
          <w:sz w:val="22"/>
          <w:szCs w:val="22"/>
          <w:lang w:val="sk-SK"/>
        </w:rPr>
        <w:t xml:space="preserve">Platelia Aspergillus </w:t>
      </w:r>
      <w:r w:rsidRPr="00514C40">
        <w:rPr>
          <w:sz w:val="22"/>
          <w:szCs w:val="22"/>
          <w:lang w:val="sk-SK"/>
        </w:rPr>
        <w:t xml:space="preserve">EIA testom. </w:t>
      </w:r>
    </w:p>
    <w:p w:rsidR="00561EB4" w:rsidRDefault="00561EB4" w:rsidP="00C61104">
      <w:pPr>
        <w:ind w:left="0" w:firstLine="0"/>
        <w:rPr>
          <w:szCs w:val="22"/>
        </w:rPr>
      </w:pPr>
      <w:r>
        <w:rPr>
          <w:szCs w:val="22"/>
        </w:rPr>
        <w:t>U pacientov liečených kombináciou piperacilín/tazobaktám sa majú pozitívne výsledky z analytických testov uvedených vyššie potvrdiť inými diagnostickými metódami.</w:t>
      </w:r>
    </w:p>
    <w:p w:rsidR="00561EB4" w:rsidRDefault="00561EB4" w:rsidP="00C61104">
      <w:pPr>
        <w:ind w:left="0" w:firstLine="0"/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  <w:r w:rsidRPr="00665938">
        <w:rPr>
          <w:b/>
          <w:szCs w:val="22"/>
        </w:rPr>
        <w:t>4.6</w:t>
      </w:r>
      <w:r w:rsidRPr="00665938">
        <w:rPr>
          <w:b/>
          <w:szCs w:val="22"/>
        </w:rPr>
        <w:tab/>
      </w:r>
      <w:r>
        <w:rPr>
          <w:b/>
          <w:szCs w:val="22"/>
        </w:rPr>
        <w:t>Fertilita, g</w:t>
      </w:r>
      <w:r w:rsidRPr="00665938">
        <w:rPr>
          <w:b/>
          <w:szCs w:val="22"/>
        </w:rPr>
        <w:t>ravidita a laktácia</w:t>
      </w:r>
    </w:p>
    <w:p w:rsidR="00561EB4" w:rsidRDefault="00561EB4" w:rsidP="00D94AD8">
      <w:pPr>
        <w:rPr>
          <w:szCs w:val="22"/>
        </w:rPr>
      </w:pPr>
    </w:p>
    <w:p w:rsidR="00561EB4" w:rsidRPr="00C61104" w:rsidRDefault="00561EB4" w:rsidP="00FB46F5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u w:val="single"/>
          <w:lang w:val="sk-SK"/>
        </w:rPr>
        <w:t xml:space="preserve">Gravidita </w:t>
      </w:r>
    </w:p>
    <w:p w:rsidR="00561EB4" w:rsidRPr="00C61104" w:rsidRDefault="00561EB4" w:rsidP="00FB46F5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Nie sú k dispozícii alebo je iba obmedzené množstvo údajov o použití Tazocinu u gravidných žien. </w:t>
      </w:r>
    </w:p>
    <w:p w:rsidR="00561EB4" w:rsidRDefault="00561EB4" w:rsidP="00C61104">
      <w:pPr>
        <w:ind w:left="0" w:firstLine="0"/>
        <w:rPr>
          <w:szCs w:val="22"/>
        </w:rPr>
      </w:pPr>
      <w:r>
        <w:rPr>
          <w:szCs w:val="22"/>
        </w:rPr>
        <w:t>Štúdie na zvieratách preukázali vývojovú toxicitu, ale nepreukázali teratogenitu pri dávkach toxických pre matku (pozri časť 5.3).</w:t>
      </w:r>
    </w:p>
    <w:p w:rsidR="00561EB4" w:rsidRDefault="00561EB4" w:rsidP="00C61104">
      <w:pPr>
        <w:ind w:left="0" w:firstLine="0"/>
        <w:rPr>
          <w:szCs w:val="22"/>
        </w:rPr>
      </w:pPr>
    </w:p>
    <w:p w:rsidR="00561EB4" w:rsidRDefault="00561EB4" w:rsidP="00FB46F5">
      <w:pPr>
        <w:pStyle w:val="Default"/>
        <w:rPr>
          <w:sz w:val="22"/>
          <w:szCs w:val="22"/>
          <w:lang w:val="es-ES"/>
        </w:rPr>
      </w:pPr>
      <w:r w:rsidRPr="00C61104">
        <w:rPr>
          <w:sz w:val="22"/>
          <w:szCs w:val="22"/>
          <w:lang w:val="es-ES"/>
        </w:rPr>
        <w:t>Piperacilín a tazobaktám prechádzajú placentou. Piperacilín/tazobaktám sa má používať počas gravidity, iba ak je jednoznačne indikovaný, napr. iba ak očakávaný pr</w:t>
      </w:r>
      <w:r>
        <w:rPr>
          <w:sz w:val="22"/>
          <w:szCs w:val="22"/>
          <w:lang w:val="es-ES"/>
        </w:rPr>
        <w:t>ínos</w:t>
      </w:r>
      <w:r w:rsidRPr="00C61104">
        <w:rPr>
          <w:sz w:val="22"/>
          <w:szCs w:val="22"/>
          <w:lang w:val="es-ES"/>
        </w:rPr>
        <w:t xml:space="preserve"> prevýši možné riziká na gravidnú ženu a plod. </w:t>
      </w:r>
    </w:p>
    <w:p w:rsidR="00561EB4" w:rsidRPr="00C61104" w:rsidRDefault="00561EB4" w:rsidP="00FB46F5">
      <w:pPr>
        <w:pStyle w:val="Default"/>
        <w:rPr>
          <w:sz w:val="22"/>
          <w:szCs w:val="22"/>
          <w:lang w:val="es-ES"/>
        </w:rPr>
      </w:pPr>
    </w:p>
    <w:p w:rsidR="00561EB4" w:rsidRPr="00C61104" w:rsidRDefault="00561EB4" w:rsidP="00FB46F5">
      <w:pPr>
        <w:pStyle w:val="Default"/>
        <w:rPr>
          <w:sz w:val="22"/>
          <w:szCs w:val="22"/>
          <w:lang w:val="es-ES"/>
        </w:rPr>
      </w:pPr>
      <w:r w:rsidRPr="00C61104">
        <w:rPr>
          <w:sz w:val="22"/>
          <w:szCs w:val="22"/>
          <w:u w:val="single"/>
          <w:lang w:val="es-ES"/>
        </w:rPr>
        <w:t xml:space="preserve">Laktácia </w:t>
      </w:r>
    </w:p>
    <w:p w:rsidR="00561EB4" w:rsidRDefault="00561EB4" w:rsidP="00FB46F5">
      <w:pPr>
        <w:pStyle w:val="Default"/>
        <w:rPr>
          <w:sz w:val="22"/>
          <w:szCs w:val="22"/>
          <w:lang w:val="es-ES"/>
        </w:rPr>
      </w:pPr>
      <w:r w:rsidRPr="00C61104">
        <w:rPr>
          <w:sz w:val="22"/>
          <w:szCs w:val="22"/>
          <w:lang w:val="es-ES"/>
        </w:rPr>
        <w:t xml:space="preserve">Piperacilín sa v nízkych koncentráciách vylučuje do materského mlieka; koncentrácie tazobaktámu sa v materskom mlieku nesledovali. Ženy, ktoré dojčia sa majú liečiť iba vtedy, keď očakávaný prínos prevýši možné riziká pre ženu a dieťa. </w:t>
      </w:r>
    </w:p>
    <w:p w:rsidR="00561EB4" w:rsidRPr="00C61104" w:rsidRDefault="00561EB4" w:rsidP="00FB46F5">
      <w:pPr>
        <w:pStyle w:val="Default"/>
        <w:rPr>
          <w:sz w:val="22"/>
          <w:szCs w:val="22"/>
          <w:lang w:val="es-ES"/>
        </w:rPr>
      </w:pPr>
    </w:p>
    <w:p w:rsidR="00561EB4" w:rsidRPr="00C61104" w:rsidRDefault="00561EB4" w:rsidP="00FB46F5">
      <w:pPr>
        <w:pStyle w:val="Default"/>
        <w:rPr>
          <w:sz w:val="22"/>
          <w:szCs w:val="22"/>
          <w:lang w:val="es-ES"/>
        </w:rPr>
      </w:pPr>
      <w:r w:rsidRPr="00C61104">
        <w:rPr>
          <w:sz w:val="22"/>
          <w:szCs w:val="22"/>
          <w:u w:val="single"/>
          <w:lang w:val="es-ES"/>
        </w:rPr>
        <w:t xml:space="preserve">Fertilita </w:t>
      </w:r>
    </w:p>
    <w:p w:rsidR="00561EB4" w:rsidRDefault="00561EB4" w:rsidP="00C61104">
      <w:pPr>
        <w:ind w:left="0" w:firstLine="0"/>
        <w:rPr>
          <w:szCs w:val="22"/>
        </w:rPr>
      </w:pPr>
      <w:r>
        <w:rPr>
          <w:szCs w:val="22"/>
        </w:rPr>
        <w:t>Štúdia fertility na potkanoch nepreukázala účinok na fertilitu a párenie po intraperitoneálnom podaní tazobaktámu alebo kombinácie piperacilínu/tazobaktámu (pozri časť 5.3).</w:t>
      </w:r>
    </w:p>
    <w:p w:rsidR="00561EB4" w:rsidRDefault="00561EB4" w:rsidP="00C61104">
      <w:pPr>
        <w:ind w:left="0" w:firstLine="0"/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  <w:r w:rsidRPr="00665938">
        <w:rPr>
          <w:b/>
          <w:szCs w:val="22"/>
        </w:rPr>
        <w:t>4.7</w:t>
      </w:r>
      <w:r w:rsidRPr="00665938">
        <w:rPr>
          <w:b/>
          <w:szCs w:val="22"/>
        </w:rPr>
        <w:tab/>
        <w:t>Ovplyvnenie schopnosti viesť vozidlá a obsluhovať stroje</w:t>
      </w:r>
    </w:p>
    <w:p w:rsidR="00561EB4" w:rsidRPr="00665938" w:rsidRDefault="00561EB4" w:rsidP="00D94AD8">
      <w:pPr>
        <w:rPr>
          <w:szCs w:val="22"/>
        </w:rPr>
      </w:pPr>
    </w:p>
    <w:p w:rsidR="00561EB4" w:rsidRDefault="00561EB4" w:rsidP="00D94AD8">
      <w:pPr>
        <w:rPr>
          <w:szCs w:val="22"/>
        </w:rPr>
      </w:pPr>
      <w:r>
        <w:rPr>
          <w:szCs w:val="22"/>
        </w:rPr>
        <w:t>Neuskutočnili sa žiadne štúdie o účinkoch na schopnosť viesť vozidlá a obsluhovať stroje.</w:t>
      </w:r>
    </w:p>
    <w:p w:rsidR="00561EB4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b/>
          <w:szCs w:val="22"/>
        </w:rPr>
      </w:pPr>
      <w:r w:rsidRPr="00665938">
        <w:rPr>
          <w:b/>
          <w:szCs w:val="22"/>
        </w:rPr>
        <w:t>4.8</w:t>
      </w:r>
      <w:r w:rsidRPr="00665938">
        <w:rPr>
          <w:b/>
          <w:szCs w:val="22"/>
        </w:rPr>
        <w:tab/>
        <w:t>Nežiaduce účinky</w:t>
      </w:r>
    </w:p>
    <w:p w:rsidR="00561EB4" w:rsidRPr="00665938" w:rsidRDefault="00561EB4" w:rsidP="00D94AD8">
      <w:pPr>
        <w:pStyle w:val="BodyText"/>
      </w:pPr>
    </w:p>
    <w:p w:rsidR="00561EB4" w:rsidRPr="00C61104" w:rsidRDefault="00561EB4" w:rsidP="00FB46F5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Najčastejšie hlásené nežiaduce účinky ( vyskytujúce sa u 1 až 10 pacientov zo 100) sú hnačka, vracanie, nauzea a vyrážka. </w:t>
      </w:r>
    </w:p>
    <w:p w:rsidR="00561EB4" w:rsidRDefault="00561EB4" w:rsidP="002816A1">
      <w:pPr>
        <w:pStyle w:val="BodyText"/>
        <w:rPr>
          <w:szCs w:val="22"/>
        </w:rPr>
      </w:pPr>
      <w:r>
        <w:rPr>
          <w:szCs w:val="22"/>
        </w:rPr>
        <w:t xml:space="preserve">V nasledujúcej tabuľke sú uvedené nežiaduce reakcie podľa triedy orgánových systémov a podľa databázy MedDRA. V každej skupine frekvencií sú nežiaduce účinky usporiadané podľa klesajúcej závažnosti. </w:t>
      </w:r>
    </w:p>
    <w:p w:rsidR="00561EB4" w:rsidRDefault="00561EB4" w:rsidP="002816A1">
      <w:pPr>
        <w:pStyle w:val="BodyText"/>
        <w:rPr>
          <w:szCs w:val="22"/>
        </w:rPr>
      </w:pPr>
    </w:p>
    <w:tbl>
      <w:tblPr>
        <w:tblW w:w="9889" w:type="dxa"/>
        <w:tblLayout w:type="fixed"/>
        <w:tblLook w:val="00A0"/>
      </w:tblPr>
      <w:tblGrid>
        <w:gridCol w:w="2235"/>
        <w:gridCol w:w="1842"/>
        <w:gridCol w:w="2127"/>
        <w:gridCol w:w="1842"/>
        <w:gridCol w:w="1843"/>
      </w:tblGrid>
      <w:tr w:rsidR="00561EB4" w:rsidTr="00C61104">
        <w:tc>
          <w:tcPr>
            <w:tcW w:w="2235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b/>
                <w:bCs/>
                <w:szCs w:val="22"/>
              </w:rPr>
              <w:t>Trieda orgánových systémov</w:t>
            </w:r>
          </w:p>
        </w:tc>
        <w:tc>
          <w:tcPr>
            <w:tcW w:w="1842" w:type="dxa"/>
          </w:tcPr>
          <w:p w:rsidR="00561EB4" w:rsidRPr="00A4601B" w:rsidRDefault="00561EB4" w:rsidP="00A4601B">
            <w:pPr>
              <w:pStyle w:val="Default"/>
              <w:ind w:left="567" w:hanging="567"/>
              <w:rPr>
                <w:sz w:val="22"/>
                <w:szCs w:val="22"/>
              </w:rPr>
            </w:pPr>
            <w:r w:rsidRPr="00A4601B">
              <w:rPr>
                <w:b/>
                <w:bCs/>
                <w:sz w:val="22"/>
                <w:szCs w:val="22"/>
              </w:rPr>
              <w:t xml:space="preserve">Časté </w:t>
            </w:r>
          </w:p>
          <w:p w:rsidR="00561EB4" w:rsidRDefault="00561EB4" w:rsidP="005B56EC">
            <w:pPr>
              <w:pStyle w:val="BodyText"/>
            </w:pPr>
            <w:r w:rsidRPr="00A4601B">
              <w:rPr>
                <w:szCs w:val="22"/>
              </w:rPr>
              <w:t xml:space="preserve">≥ 1/100 až </w:t>
            </w:r>
          </w:p>
          <w:p w:rsidR="00561EB4" w:rsidRPr="00A4601B" w:rsidRDefault="00561EB4" w:rsidP="005B56EC">
            <w:pPr>
              <w:pStyle w:val="BodyText"/>
            </w:pPr>
            <w:r w:rsidRPr="00A4601B">
              <w:rPr>
                <w:szCs w:val="22"/>
              </w:rPr>
              <w:t>&lt; 1/100</w:t>
            </w:r>
          </w:p>
        </w:tc>
        <w:tc>
          <w:tcPr>
            <w:tcW w:w="2127" w:type="dxa"/>
          </w:tcPr>
          <w:p w:rsidR="00561EB4" w:rsidRPr="00A4601B" w:rsidRDefault="00561EB4" w:rsidP="00A4601B">
            <w:pPr>
              <w:pStyle w:val="Default"/>
              <w:ind w:left="567" w:hanging="567"/>
              <w:rPr>
                <w:sz w:val="22"/>
                <w:szCs w:val="22"/>
              </w:rPr>
            </w:pPr>
            <w:r w:rsidRPr="00A4601B">
              <w:rPr>
                <w:b/>
                <w:bCs/>
                <w:sz w:val="22"/>
                <w:szCs w:val="22"/>
              </w:rPr>
              <w:t xml:space="preserve">Menej časté </w:t>
            </w:r>
          </w:p>
          <w:p w:rsidR="00561EB4" w:rsidRPr="00A4601B" w:rsidRDefault="00561EB4" w:rsidP="005B56EC">
            <w:pPr>
              <w:pStyle w:val="BodyText"/>
            </w:pPr>
            <w:r w:rsidRPr="00A4601B">
              <w:rPr>
                <w:szCs w:val="22"/>
              </w:rPr>
              <w:t>≥ 1/1000 až &lt; 1/100</w:t>
            </w:r>
          </w:p>
        </w:tc>
        <w:tc>
          <w:tcPr>
            <w:tcW w:w="1842" w:type="dxa"/>
          </w:tcPr>
          <w:p w:rsidR="00561EB4" w:rsidRPr="00A4601B" w:rsidRDefault="00561EB4" w:rsidP="00A4601B">
            <w:pPr>
              <w:pStyle w:val="Default"/>
              <w:ind w:left="567" w:hanging="567"/>
              <w:rPr>
                <w:sz w:val="22"/>
                <w:szCs w:val="22"/>
              </w:rPr>
            </w:pPr>
            <w:r w:rsidRPr="00A4601B">
              <w:rPr>
                <w:b/>
                <w:bCs/>
                <w:sz w:val="22"/>
                <w:szCs w:val="22"/>
              </w:rPr>
              <w:t xml:space="preserve">Zriedkavé </w:t>
            </w:r>
          </w:p>
          <w:p w:rsidR="00561EB4" w:rsidRDefault="00561EB4" w:rsidP="005B56EC">
            <w:pPr>
              <w:pStyle w:val="BodyText"/>
            </w:pPr>
            <w:r w:rsidRPr="00A4601B">
              <w:rPr>
                <w:szCs w:val="22"/>
              </w:rPr>
              <w:t xml:space="preserve">≥ 1/10 000 až </w:t>
            </w:r>
          </w:p>
          <w:p w:rsidR="00561EB4" w:rsidRPr="00A4601B" w:rsidRDefault="00561EB4" w:rsidP="005B56EC">
            <w:pPr>
              <w:pStyle w:val="BodyText"/>
            </w:pPr>
            <w:r w:rsidRPr="00A4601B">
              <w:rPr>
                <w:szCs w:val="22"/>
              </w:rPr>
              <w:t>&lt; 1/1000</w:t>
            </w:r>
          </w:p>
        </w:tc>
        <w:tc>
          <w:tcPr>
            <w:tcW w:w="1843" w:type="dxa"/>
          </w:tcPr>
          <w:p w:rsidR="00561EB4" w:rsidRPr="00A4601B" w:rsidRDefault="00561EB4" w:rsidP="00A4601B">
            <w:pPr>
              <w:pStyle w:val="Default"/>
              <w:ind w:left="567" w:hanging="567"/>
              <w:rPr>
                <w:sz w:val="22"/>
                <w:szCs w:val="22"/>
              </w:rPr>
            </w:pPr>
            <w:r w:rsidRPr="00A4601B">
              <w:rPr>
                <w:b/>
                <w:bCs/>
                <w:sz w:val="22"/>
                <w:szCs w:val="22"/>
              </w:rPr>
              <w:t xml:space="preserve">Veľmi zriedkavé </w:t>
            </w:r>
          </w:p>
          <w:p w:rsidR="00561EB4" w:rsidRPr="00A4601B" w:rsidRDefault="00561EB4" w:rsidP="005B56EC">
            <w:pPr>
              <w:pStyle w:val="BodyText"/>
            </w:pPr>
            <w:r w:rsidRPr="00A4601B">
              <w:rPr>
                <w:szCs w:val="22"/>
              </w:rPr>
              <w:t>&lt; 1/10 000</w:t>
            </w:r>
          </w:p>
        </w:tc>
      </w:tr>
      <w:tr w:rsidR="00561EB4" w:rsidTr="00C61104">
        <w:tc>
          <w:tcPr>
            <w:tcW w:w="2235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b/>
                <w:bCs/>
                <w:szCs w:val="22"/>
              </w:rPr>
              <w:t>Infekcie a nákazy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</w:p>
        </w:tc>
        <w:tc>
          <w:tcPr>
            <w:tcW w:w="2127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kandidové superinfekcie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</w:p>
        </w:tc>
        <w:tc>
          <w:tcPr>
            <w:tcW w:w="1843" w:type="dxa"/>
          </w:tcPr>
          <w:p w:rsidR="00561EB4" w:rsidRPr="00A4601B" w:rsidRDefault="00561EB4" w:rsidP="002816A1">
            <w:pPr>
              <w:pStyle w:val="BodyText"/>
            </w:pPr>
          </w:p>
        </w:tc>
      </w:tr>
      <w:tr w:rsidR="00561EB4" w:rsidTr="00C61104">
        <w:tc>
          <w:tcPr>
            <w:tcW w:w="2235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b/>
                <w:bCs/>
                <w:szCs w:val="22"/>
              </w:rPr>
              <w:t>Poruchy krvi a lymfatického systému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</w:p>
        </w:tc>
        <w:tc>
          <w:tcPr>
            <w:tcW w:w="2127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leukopénia, neutropénia, trombocytopénia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anémia, hemolytická anémia, purpura, epistaxa, predĺžený čas krvácavosti, eozinofília</w:t>
            </w:r>
          </w:p>
        </w:tc>
        <w:tc>
          <w:tcPr>
            <w:tcW w:w="1843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agranulocytóza, pancytopénia, aktivovaný čiastočný predĺžený tromboplastínový čas, predĺžený protrombínový čas, pozitivita priameho Coombsovho testu, trombocytémia</w:t>
            </w:r>
          </w:p>
        </w:tc>
      </w:tr>
      <w:tr w:rsidR="00561EB4" w:rsidTr="00C61104">
        <w:tc>
          <w:tcPr>
            <w:tcW w:w="2235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b/>
                <w:bCs/>
                <w:szCs w:val="22"/>
              </w:rPr>
              <w:t>Poruchy imunitného systému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</w:p>
        </w:tc>
        <w:tc>
          <w:tcPr>
            <w:tcW w:w="2127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hypersenzitivita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anafylaktická/ anafylaxtoidná reakcia (vrátane šoku)</w:t>
            </w:r>
          </w:p>
        </w:tc>
        <w:tc>
          <w:tcPr>
            <w:tcW w:w="1843" w:type="dxa"/>
          </w:tcPr>
          <w:p w:rsidR="00561EB4" w:rsidRPr="00A4601B" w:rsidRDefault="00561EB4" w:rsidP="002816A1">
            <w:pPr>
              <w:pStyle w:val="BodyText"/>
            </w:pPr>
          </w:p>
        </w:tc>
      </w:tr>
      <w:tr w:rsidR="00561EB4" w:rsidTr="00C61104">
        <w:tc>
          <w:tcPr>
            <w:tcW w:w="2235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b/>
                <w:bCs/>
                <w:szCs w:val="22"/>
              </w:rPr>
              <w:t xml:space="preserve">Poruchy metabolizmu a výživy 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</w:p>
        </w:tc>
        <w:tc>
          <w:tcPr>
            <w:tcW w:w="2127" w:type="dxa"/>
          </w:tcPr>
          <w:p w:rsidR="00561EB4" w:rsidRPr="00A4601B" w:rsidRDefault="00561EB4" w:rsidP="002816A1">
            <w:pPr>
              <w:pStyle w:val="BodyText"/>
            </w:pP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</w:p>
        </w:tc>
        <w:tc>
          <w:tcPr>
            <w:tcW w:w="1843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hypokaliémia, pokles glukózy v krvi, pokles albumínu v krvi, pokles celkových bielkovín v krvi</w:t>
            </w:r>
          </w:p>
        </w:tc>
      </w:tr>
      <w:tr w:rsidR="00561EB4" w:rsidTr="00C61104">
        <w:tc>
          <w:tcPr>
            <w:tcW w:w="2235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b/>
                <w:bCs/>
                <w:szCs w:val="22"/>
              </w:rPr>
              <w:t>Poruchy nervového systému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</w:p>
        </w:tc>
        <w:tc>
          <w:tcPr>
            <w:tcW w:w="2127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 xml:space="preserve">bolesť hlavy, nespavosť 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</w:p>
        </w:tc>
        <w:tc>
          <w:tcPr>
            <w:tcW w:w="1843" w:type="dxa"/>
          </w:tcPr>
          <w:p w:rsidR="00561EB4" w:rsidRPr="00A4601B" w:rsidRDefault="00561EB4" w:rsidP="002816A1">
            <w:pPr>
              <w:pStyle w:val="BodyText"/>
            </w:pPr>
          </w:p>
        </w:tc>
      </w:tr>
      <w:tr w:rsidR="00561EB4" w:rsidTr="00C61104">
        <w:tc>
          <w:tcPr>
            <w:tcW w:w="2235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b/>
                <w:bCs/>
                <w:szCs w:val="22"/>
              </w:rPr>
              <w:t>Poruchy ciev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</w:p>
        </w:tc>
        <w:tc>
          <w:tcPr>
            <w:tcW w:w="2127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hypotenzia, tromboflebitída, flebitída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začervenanie</w:t>
            </w:r>
          </w:p>
        </w:tc>
        <w:tc>
          <w:tcPr>
            <w:tcW w:w="1843" w:type="dxa"/>
          </w:tcPr>
          <w:p w:rsidR="00561EB4" w:rsidRPr="00A4601B" w:rsidRDefault="00561EB4" w:rsidP="002816A1">
            <w:pPr>
              <w:pStyle w:val="BodyText"/>
            </w:pPr>
          </w:p>
        </w:tc>
      </w:tr>
      <w:tr w:rsidR="00561EB4" w:rsidTr="00C61104">
        <w:tc>
          <w:tcPr>
            <w:tcW w:w="2235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b/>
                <w:bCs/>
                <w:szCs w:val="22"/>
              </w:rPr>
              <w:t>Poruchy gastrointestinálneho traktu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hnačka, vracanie, nauzea</w:t>
            </w:r>
          </w:p>
        </w:tc>
        <w:tc>
          <w:tcPr>
            <w:tcW w:w="2127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žltačka, stomatitída, zápcha, dyspepsia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pseudomembranózna kolitída, bolesť brucha</w:t>
            </w:r>
          </w:p>
        </w:tc>
        <w:tc>
          <w:tcPr>
            <w:tcW w:w="1843" w:type="dxa"/>
          </w:tcPr>
          <w:p w:rsidR="00561EB4" w:rsidRPr="00A4601B" w:rsidRDefault="00561EB4" w:rsidP="002816A1">
            <w:pPr>
              <w:pStyle w:val="BodyText"/>
            </w:pPr>
          </w:p>
        </w:tc>
      </w:tr>
      <w:tr w:rsidR="00561EB4" w:rsidTr="00C61104">
        <w:tc>
          <w:tcPr>
            <w:tcW w:w="2235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b/>
                <w:bCs/>
                <w:szCs w:val="22"/>
              </w:rPr>
              <w:t>Poruchy pečene a žlčových ciest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</w:p>
        </w:tc>
        <w:tc>
          <w:tcPr>
            <w:tcW w:w="2127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zvýšenie alanínaminotransferázy, zvýšenie aspartátamino-transferázy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hepatitída, zvýšenie bilirubínu v krvi, zvýšenie alkalickej fosfatázy v krvi, zvýšenie gama-glutamyltransferá-zy</w:t>
            </w:r>
          </w:p>
        </w:tc>
        <w:tc>
          <w:tcPr>
            <w:tcW w:w="1843" w:type="dxa"/>
          </w:tcPr>
          <w:p w:rsidR="00561EB4" w:rsidRPr="00A4601B" w:rsidRDefault="00561EB4" w:rsidP="002816A1">
            <w:pPr>
              <w:pStyle w:val="BodyText"/>
            </w:pPr>
          </w:p>
        </w:tc>
      </w:tr>
      <w:tr w:rsidR="00561EB4" w:rsidTr="00C61104">
        <w:tc>
          <w:tcPr>
            <w:tcW w:w="2235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b/>
                <w:bCs/>
                <w:szCs w:val="22"/>
              </w:rPr>
              <w:t>Poruchy kože a podkožného tkaniva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vyrážka vrátane makulopapulóznej vyrážky</w:t>
            </w:r>
          </w:p>
        </w:tc>
        <w:tc>
          <w:tcPr>
            <w:tcW w:w="2127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urtikária, pruritus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erythema multiforme, bulózna dermatitída, exantém</w:t>
            </w:r>
          </w:p>
        </w:tc>
        <w:tc>
          <w:tcPr>
            <w:tcW w:w="1843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toxická epidermálna nekrolýza, Stevensov-Johnsonov syndróm</w:t>
            </w:r>
          </w:p>
        </w:tc>
      </w:tr>
      <w:tr w:rsidR="00561EB4" w:rsidTr="00C61104">
        <w:tc>
          <w:tcPr>
            <w:tcW w:w="2235" w:type="dxa"/>
          </w:tcPr>
          <w:p w:rsidR="00561EB4" w:rsidRPr="00A4601B" w:rsidRDefault="00561EB4">
            <w:pPr>
              <w:pStyle w:val="Default"/>
              <w:rPr>
                <w:sz w:val="22"/>
                <w:szCs w:val="22"/>
                <w:lang w:val="sk-SK" w:eastAsia="sk-SK"/>
              </w:rPr>
            </w:pPr>
            <w:r w:rsidRPr="00A4601B">
              <w:rPr>
                <w:b/>
                <w:bCs/>
                <w:sz w:val="22"/>
                <w:szCs w:val="22"/>
                <w:lang w:val="sk-SK"/>
              </w:rPr>
              <w:t xml:space="preserve">Poruchy kostrovej a svalovej sústavy </w:t>
            </w:r>
          </w:p>
          <w:p w:rsidR="00561EB4" w:rsidRPr="00A4601B" w:rsidRDefault="00561EB4" w:rsidP="005B56EC">
            <w:pPr>
              <w:pStyle w:val="BodyText"/>
            </w:pPr>
            <w:r w:rsidRPr="00A4601B">
              <w:rPr>
                <w:b/>
                <w:bCs/>
                <w:szCs w:val="22"/>
              </w:rPr>
              <w:t>a spojivového tkaniva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</w:p>
        </w:tc>
        <w:tc>
          <w:tcPr>
            <w:tcW w:w="2127" w:type="dxa"/>
          </w:tcPr>
          <w:p w:rsidR="00561EB4" w:rsidRPr="00A4601B" w:rsidRDefault="00561EB4" w:rsidP="002816A1">
            <w:pPr>
              <w:pStyle w:val="BodyText"/>
            </w:pP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artralgia, myalgia</w:t>
            </w:r>
          </w:p>
        </w:tc>
        <w:tc>
          <w:tcPr>
            <w:tcW w:w="1843" w:type="dxa"/>
          </w:tcPr>
          <w:p w:rsidR="00561EB4" w:rsidRPr="00A4601B" w:rsidRDefault="00561EB4" w:rsidP="002816A1">
            <w:pPr>
              <w:pStyle w:val="BodyText"/>
            </w:pPr>
          </w:p>
        </w:tc>
      </w:tr>
      <w:tr w:rsidR="00561EB4" w:rsidTr="00C61104">
        <w:tc>
          <w:tcPr>
            <w:tcW w:w="2235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b/>
                <w:bCs/>
                <w:szCs w:val="22"/>
              </w:rPr>
              <w:t>Poruchy obličiek a močových ciest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</w:p>
        </w:tc>
        <w:tc>
          <w:tcPr>
            <w:tcW w:w="2127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zvýšenie kreatinínu v krvi</w:t>
            </w:r>
          </w:p>
        </w:tc>
        <w:tc>
          <w:tcPr>
            <w:tcW w:w="1842" w:type="dxa"/>
          </w:tcPr>
          <w:p w:rsidR="00561EB4" w:rsidRPr="00A4601B" w:rsidRDefault="00561EB4" w:rsidP="001170B5">
            <w:pPr>
              <w:pStyle w:val="BodyText"/>
            </w:pPr>
            <w:r w:rsidRPr="00A4601B">
              <w:rPr>
                <w:szCs w:val="22"/>
              </w:rPr>
              <w:t>renálne zlyhanie, tubulointersticiál-na nefritída</w:t>
            </w:r>
          </w:p>
        </w:tc>
        <w:tc>
          <w:tcPr>
            <w:tcW w:w="1843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zvýšenie močoviny v krvi</w:t>
            </w:r>
          </w:p>
        </w:tc>
      </w:tr>
      <w:tr w:rsidR="00561EB4" w:rsidTr="00C61104">
        <w:tc>
          <w:tcPr>
            <w:tcW w:w="2235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b/>
                <w:bCs/>
                <w:szCs w:val="22"/>
              </w:rPr>
              <w:t>Celkové poruchy a reakcie v mieste podania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</w:p>
        </w:tc>
        <w:tc>
          <w:tcPr>
            <w:tcW w:w="2127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horúčka, reakcia v mieste podania</w:t>
            </w:r>
          </w:p>
        </w:tc>
        <w:tc>
          <w:tcPr>
            <w:tcW w:w="1842" w:type="dxa"/>
          </w:tcPr>
          <w:p w:rsidR="00561EB4" w:rsidRPr="00A4601B" w:rsidRDefault="00561EB4" w:rsidP="002816A1">
            <w:pPr>
              <w:pStyle w:val="BodyText"/>
            </w:pPr>
            <w:r w:rsidRPr="00A4601B">
              <w:rPr>
                <w:szCs w:val="22"/>
              </w:rPr>
              <w:t>zimnica</w:t>
            </w:r>
          </w:p>
        </w:tc>
        <w:tc>
          <w:tcPr>
            <w:tcW w:w="1843" w:type="dxa"/>
          </w:tcPr>
          <w:p w:rsidR="00561EB4" w:rsidRPr="00A4601B" w:rsidRDefault="00561EB4" w:rsidP="002816A1">
            <w:pPr>
              <w:pStyle w:val="BodyText"/>
            </w:pPr>
          </w:p>
        </w:tc>
      </w:tr>
    </w:tbl>
    <w:p w:rsidR="00561EB4" w:rsidRDefault="00561EB4" w:rsidP="002816A1">
      <w:pPr>
        <w:pStyle w:val="BodyText"/>
        <w:rPr>
          <w:szCs w:val="22"/>
        </w:rPr>
      </w:pPr>
    </w:p>
    <w:p w:rsidR="00561EB4" w:rsidRPr="00665938" w:rsidRDefault="00561EB4" w:rsidP="002816A1">
      <w:pPr>
        <w:pStyle w:val="BodyText"/>
      </w:pPr>
      <w:r>
        <w:rPr>
          <w:szCs w:val="22"/>
        </w:rPr>
        <w:t xml:space="preserve">Liečba piperacilínom u pacientov s cystickou fibrózou bola spojená so zvýšeným výskytom horúčky a vyrážok. </w:t>
      </w:r>
    </w:p>
    <w:p w:rsidR="00561EB4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  <w:r w:rsidRPr="00665938">
        <w:rPr>
          <w:b/>
          <w:szCs w:val="22"/>
        </w:rPr>
        <w:t>4.9</w:t>
      </w:r>
      <w:r w:rsidRPr="00665938">
        <w:rPr>
          <w:b/>
          <w:szCs w:val="22"/>
        </w:rPr>
        <w:tab/>
        <w:t>Predávkovanie</w:t>
      </w:r>
    </w:p>
    <w:p w:rsidR="00561EB4" w:rsidRPr="00665938" w:rsidRDefault="00561EB4" w:rsidP="00D94AD8">
      <w:pPr>
        <w:rPr>
          <w:szCs w:val="22"/>
        </w:rPr>
      </w:pPr>
    </w:p>
    <w:p w:rsidR="00561EB4" w:rsidRPr="00C61104" w:rsidRDefault="00561EB4" w:rsidP="001170B5">
      <w:pPr>
        <w:pStyle w:val="Default"/>
        <w:rPr>
          <w:sz w:val="22"/>
          <w:szCs w:val="22"/>
          <w:u w:val="single"/>
          <w:lang w:val="sk-SK"/>
        </w:rPr>
      </w:pPr>
      <w:r w:rsidRPr="00C61104">
        <w:rPr>
          <w:bCs/>
          <w:sz w:val="22"/>
          <w:szCs w:val="22"/>
          <w:u w:val="single"/>
          <w:lang w:val="sk-SK"/>
        </w:rPr>
        <w:t xml:space="preserve">Symptómy </w:t>
      </w:r>
    </w:p>
    <w:p w:rsidR="00561EB4" w:rsidRDefault="00561EB4" w:rsidP="001170B5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>Po uvedení lieku na trh boli hlásené prípady predávkovania piperacilínom/tazobaktámom. Väčšina týchto zaznamenaných udalostí vrátane nauzey, vracania a hnačky boli tiež hlásené pri bežne odporučenej dávke. Pacienti môže mať neu</w:t>
      </w:r>
      <w:r>
        <w:rPr>
          <w:sz w:val="22"/>
          <w:szCs w:val="22"/>
          <w:lang w:val="sk-SK"/>
        </w:rPr>
        <w:t>r</w:t>
      </w:r>
      <w:r w:rsidRPr="00C61104">
        <w:rPr>
          <w:sz w:val="22"/>
          <w:szCs w:val="22"/>
          <w:lang w:val="sk-SK"/>
        </w:rPr>
        <w:t xml:space="preserve">omuskulárnu dráždivosť alebo kŕče, ak je podávaná intravenózna dávka vyššia ako odporúčaná (najmä pri výskyte renálneho zlyhania). </w:t>
      </w:r>
    </w:p>
    <w:p w:rsidR="00561EB4" w:rsidRPr="00C61104" w:rsidRDefault="00561EB4" w:rsidP="001170B5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1170B5">
      <w:pPr>
        <w:pStyle w:val="Default"/>
        <w:rPr>
          <w:sz w:val="22"/>
          <w:szCs w:val="22"/>
          <w:u w:val="single"/>
          <w:lang w:val="sk-SK"/>
        </w:rPr>
      </w:pPr>
      <w:r w:rsidRPr="00C61104">
        <w:rPr>
          <w:bCs/>
          <w:sz w:val="22"/>
          <w:szCs w:val="22"/>
          <w:u w:val="single"/>
          <w:lang w:val="sk-SK"/>
        </w:rPr>
        <w:t xml:space="preserve">Liečba </w:t>
      </w:r>
    </w:p>
    <w:p w:rsidR="00561EB4" w:rsidRDefault="00561EB4" w:rsidP="001170B5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V prípade predávkovania piperacilínom/tazobaktámom sa má liečba prerušiť. Nie je známe špecifické antidotum. </w:t>
      </w:r>
    </w:p>
    <w:p w:rsidR="00561EB4" w:rsidRPr="00C61104" w:rsidRDefault="00561EB4" w:rsidP="001170B5">
      <w:pPr>
        <w:pStyle w:val="Default"/>
        <w:rPr>
          <w:sz w:val="22"/>
          <w:szCs w:val="22"/>
          <w:lang w:val="sk-SK"/>
        </w:rPr>
      </w:pPr>
    </w:p>
    <w:p w:rsidR="00561EB4" w:rsidRDefault="00561EB4" w:rsidP="001170B5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Liečba má byť podporná a symptomatická vzhľadom na klinický obraz pacienta. </w:t>
      </w:r>
    </w:p>
    <w:p w:rsidR="00561EB4" w:rsidRPr="00C61104" w:rsidRDefault="00561EB4" w:rsidP="001170B5">
      <w:pPr>
        <w:pStyle w:val="Default"/>
        <w:rPr>
          <w:sz w:val="22"/>
          <w:szCs w:val="22"/>
          <w:lang w:val="sk-SK"/>
        </w:rPr>
      </w:pPr>
    </w:p>
    <w:p w:rsidR="00561EB4" w:rsidRDefault="00561EB4" w:rsidP="00C61104">
      <w:pPr>
        <w:ind w:left="0" w:firstLine="0"/>
        <w:rPr>
          <w:i/>
          <w:szCs w:val="22"/>
        </w:rPr>
      </w:pPr>
      <w:r>
        <w:rPr>
          <w:szCs w:val="22"/>
        </w:rPr>
        <w:t xml:space="preserve">Nadmerné sérové koncentrácie piperacilínu alebo tazobaktámu sa môžu redukovať hemodialýzou (pozri časť 4.4). </w:t>
      </w:r>
    </w:p>
    <w:p w:rsidR="00561EB4" w:rsidRPr="00665938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  <w:r w:rsidRPr="00665938">
        <w:rPr>
          <w:b/>
          <w:szCs w:val="22"/>
        </w:rPr>
        <w:t>5.</w:t>
      </w:r>
      <w:r w:rsidRPr="00665938">
        <w:rPr>
          <w:b/>
          <w:szCs w:val="22"/>
        </w:rPr>
        <w:tab/>
        <w:t>FARMAKOLOGICKÉ VLASTNOSTI</w:t>
      </w:r>
    </w:p>
    <w:p w:rsidR="00561EB4" w:rsidRPr="00665938" w:rsidRDefault="00561EB4" w:rsidP="00D94AD8">
      <w:pPr>
        <w:rPr>
          <w:bCs/>
          <w:szCs w:val="22"/>
        </w:rPr>
      </w:pPr>
    </w:p>
    <w:p w:rsidR="00561EB4" w:rsidRPr="00665938" w:rsidRDefault="00561EB4" w:rsidP="00D94AD8">
      <w:pPr>
        <w:rPr>
          <w:szCs w:val="22"/>
        </w:rPr>
      </w:pPr>
      <w:r w:rsidRPr="00665938">
        <w:rPr>
          <w:b/>
          <w:szCs w:val="22"/>
        </w:rPr>
        <w:t>5.1</w:t>
      </w:r>
      <w:r w:rsidRPr="00665938">
        <w:rPr>
          <w:b/>
          <w:szCs w:val="22"/>
        </w:rPr>
        <w:tab/>
        <w:t>Farmakodynamické vlastnosti</w:t>
      </w:r>
    </w:p>
    <w:p w:rsidR="00561EB4" w:rsidRPr="00665938" w:rsidRDefault="00561EB4" w:rsidP="00D94AD8">
      <w:pPr>
        <w:rPr>
          <w:szCs w:val="22"/>
        </w:rPr>
      </w:pPr>
    </w:p>
    <w:p w:rsidR="00561EB4" w:rsidRDefault="00561EB4" w:rsidP="00C61104">
      <w:pPr>
        <w:ind w:left="0" w:firstLine="0"/>
        <w:outlineLvl w:val="0"/>
        <w:rPr>
          <w:szCs w:val="22"/>
        </w:rPr>
      </w:pPr>
      <w:r w:rsidRPr="00665938">
        <w:rPr>
          <w:szCs w:val="22"/>
        </w:rPr>
        <w:t xml:space="preserve">Farmakoterapeutická skupina: </w:t>
      </w:r>
      <w:r>
        <w:rPr>
          <w:szCs w:val="22"/>
        </w:rPr>
        <w:t>Antibiotiká na systémové použitie, kombinácie penicilínov vrátane inhibítorov betalaktamáz</w:t>
      </w:r>
    </w:p>
    <w:p w:rsidR="00561EB4" w:rsidRDefault="00561EB4" w:rsidP="001302F4">
      <w:pPr>
        <w:outlineLvl w:val="0"/>
        <w:rPr>
          <w:szCs w:val="22"/>
        </w:rPr>
      </w:pPr>
      <w:r>
        <w:rPr>
          <w:szCs w:val="22"/>
        </w:rPr>
        <w:t xml:space="preserve">ATC kód: J01CR05 </w:t>
      </w:r>
    </w:p>
    <w:p w:rsidR="00561EB4" w:rsidRDefault="00561EB4" w:rsidP="001302F4">
      <w:pPr>
        <w:outlineLvl w:val="0"/>
        <w:rPr>
          <w:szCs w:val="22"/>
        </w:rPr>
      </w:pPr>
    </w:p>
    <w:p w:rsidR="00561EB4" w:rsidRPr="00C61104" w:rsidRDefault="00561EB4" w:rsidP="001302F4">
      <w:pPr>
        <w:pStyle w:val="Default"/>
        <w:rPr>
          <w:sz w:val="22"/>
          <w:szCs w:val="22"/>
          <w:u w:val="single"/>
          <w:lang w:val="sk-SK"/>
        </w:rPr>
      </w:pPr>
      <w:r w:rsidRPr="00C61104">
        <w:rPr>
          <w:bCs/>
          <w:sz w:val="22"/>
          <w:szCs w:val="22"/>
          <w:u w:val="single"/>
          <w:lang w:val="sk-SK"/>
        </w:rPr>
        <w:t xml:space="preserve">Mechanizmus účinku </w:t>
      </w:r>
    </w:p>
    <w:p w:rsidR="00561EB4" w:rsidRDefault="00561EB4" w:rsidP="001302F4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Piperacilín, široko spektrálny semisyntetický penicilín s baktericídnou aktivitou, inhibuje syntézu septa a bunkovej steny. </w:t>
      </w:r>
    </w:p>
    <w:p w:rsidR="00561EB4" w:rsidRPr="00C61104" w:rsidRDefault="00561EB4" w:rsidP="001302F4">
      <w:pPr>
        <w:pStyle w:val="Default"/>
        <w:rPr>
          <w:sz w:val="22"/>
          <w:szCs w:val="22"/>
          <w:lang w:val="sk-SK"/>
        </w:rPr>
      </w:pPr>
    </w:p>
    <w:p w:rsidR="00561EB4" w:rsidRDefault="00561EB4" w:rsidP="001302F4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Tazobaktám, betalaktám štrukturálne podobný penicilínom, je inhibítorom viacerých betalaktamáz, ktoré zvyčajne spôsobujú rezistenciu na penicilíny a cefalosporíny ale neinhibuje AmpC enzýmy alebo metalo betalaktamázu. Tazobaktám rozširuje antibiotické spektrum piperacilínu vrátane mnohých betalaktamázu produkujúcich baktérií, ktoré získali rezistenciu na samotný piperacilín. </w:t>
      </w:r>
    </w:p>
    <w:p w:rsidR="00561EB4" w:rsidRPr="00C61104" w:rsidRDefault="00561EB4" w:rsidP="001302F4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1302F4">
      <w:pPr>
        <w:pStyle w:val="Default"/>
        <w:rPr>
          <w:sz w:val="22"/>
          <w:szCs w:val="22"/>
          <w:u w:val="single"/>
          <w:lang w:val="sk-SK"/>
        </w:rPr>
      </w:pPr>
      <w:r w:rsidRPr="00C61104">
        <w:rPr>
          <w:bCs/>
          <w:sz w:val="22"/>
          <w:szCs w:val="22"/>
          <w:u w:val="single"/>
          <w:lang w:val="sk-SK"/>
        </w:rPr>
        <w:t xml:space="preserve">Farmakokinetický/farmakodynamický vzťah </w:t>
      </w:r>
    </w:p>
    <w:p w:rsidR="00561EB4" w:rsidRDefault="00561EB4" w:rsidP="001302F4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Hlavným farmakodynamickým rozhodujúcim činiteľom účinnosti piperacilínu je čas nad minimálnou inhibičnou koncentráciou (T&gt;MIC). </w:t>
      </w:r>
    </w:p>
    <w:p w:rsidR="00561EB4" w:rsidRPr="00C61104" w:rsidRDefault="00561EB4" w:rsidP="001302F4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1302F4">
      <w:pPr>
        <w:pStyle w:val="Default"/>
        <w:rPr>
          <w:sz w:val="22"/>
          <w:szCs w:val="22"/>
          <w:u w:val="single"/>
          <w:lang w:val="sk-SK"/>
        </w:rPr>
      </w:pPr>
      <w:r w:rsidRPr="00C61104">
        <w:rPr>
          <w:bCs/>
          <w:sz w:val="22"/>
          <w:szCs w:val="22"/>
          <w:u w:val="single"/>
          <w:lang w:val="sk-SK"/>
        </w:rPr>
        <w:t xml:space="preserve">Mechanizmus rezistencie </w:t>
      </w:r>
    </w:p>
    <w:p w:rsidR="00561EB4" w:rsidRPr="00C61104" w:rsidRDefault="00561EB4" w:rsidP="001302F4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Známe sú dva hlavné mechanizmy rezistencie na piperacilín/tazobaktám: </w:t>
      </w:r>
    </w:p>
    <w:p w:rsidR="00561EB4" w:rsidRPr="00C61104" w:rsidRDefault="00561EB4" w:rsidP="00C61104">
      <w:pPr>
        <w:pStyle w:val="Default"/>
        <w:numPr>
          <w:ilvl w:val="0"/>
          <w:numId w:val="3"/>
        </w:numPr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Inaktivácia súčastí piperacilínu tými betalaktammázami, ktoré nie sú inhibované tazobaktámom: betalaktamázy molekulovej triedy B,C a D. Okrem toho, tazobaktám neposkytuje ochranu proti rozšírenému spektru betalaktamáz (ESBL) v molekulovej triede A a v skupinách enzýmu D. </w:t>
      </w:r>
    </w:p>
    <w:p w:rsidR="00561EB4" w:rsidRPr="00C61104" w:rsidRDefault="00561EB4" w:rsidP="00C61104">
      <w:pPr>
        <w:pStyle w:val="Default"/>
        <w:numPr>
          <w:ilvl w:val="0"/>
          <w:numId w:val="3"/>
        </w:numPr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Zmena penicilín viažúcich proteínov (PBP), ktorých výsledkom je zníženie afinity piperacilínu pre molekulárne terče baktérie. </w:t>
      </w:r>
    </w:p>
    <w:p w:rsidR="00561EB4" w:rsidRPr="00C61104" w:rsidRDefault="00561EB4" w:rsidP="001302F4">
      <w:pPr>
        <w:pStyle w:val="Default"/>
        <w:rPr>
          <w:sz w:val="22"/>
          <w:szCs w:val="22"/>
          <w:lang w:val="sk-SK"/>
        </w:rPr>
      </w:pPr>
    </w:p>
    <w:p w:rsidR="00561EB4" w:rsidRDefault="00561EB4" w:rsidP="001302F4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Okrem toho, zmeny v permeabilite bakteriálnej membrány, ako aj zvýraznenie efluxných púmp pre mnohé lieky, môže viesť alebo prispieť k bakteriálnej rezistencii na piperacilín/tazobaktám, hlavne u gramnegatívnych baktérií. </w:t>
      </w:r>
    </w:p>
    <w:p w:rsidR="00561EB4" w:rsidRPr="00C61104" w:rsidRDefault="00561EB4" w:rsidP="001302F4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1302F4">
      <w:pPr>
        <w:pStyle w:val="Default"/>
        <w:rPr>
          <w:sz w:val="22"/>
          <w:szCs w:val="22"/>
          <w:u w:val="single"/>
          <w:lang w:val="sk-SK"/>
        </w:rPr>
      </w:pPr>
      <w:r w:rsidRPr="00C61104">
        <w:rPr>
          <w:bCs/>
          <w:sz w:val="22"/>
          <w:szCs w:val="22"/>
          <w:u w:val="single"/>
          <w:lang w:val="sk-SK"/>
        </w:rPr>
        <w:t xml:space="preserve">Hraničné hodnoty </w:t>
      </w:r>
    </w:p>
    <w:p w:rsidR="00561EB4" w:rsidRDefault="00561EB4" w:rsidP="00C61104">
      <w:pPr>
        <w:ind w:left="0" w:firstLine="0"/>
        <w:outlineLvl w:val="0"/>
        <w:rPr>
          <w:szCs w:val="22"/>
        </w:rPr>
      </w:pPr>
      <w:r>
        <w:rPr>
          <w:b/>
          <w:bCs/>
          <w:szCs w:val="22"/>
        </w:rPr>
        <w:t xml:space="preserve">Klinické EUCAST MIC hraničné hodnoty pre piperacilín/tazobaktám (2009-12-02, v 1). Pre účely skúšania citlivosti je 4 mg/l fixná koncentrácia tazobaktámu </w:t>
      </w:r>
    </w:p>
    <w:tbl>
      <w:tblPr>
        <w:tblW w:w="9000" w:type="dxa"/>
        <w:tblLayout w:type="fixed"/>
        <w:tblLook w:val="0000"/>
      </w:tblPr>
      <w:tblGrid>
        <w:gridCol w:w="2480"/>
        <w:gridCol w:w="6520"/>
      </w:tblGrid>
      <w:tr w:rsidR="00561EB4" w:rsidTr="00C61104">
        <w:trPr>
          <w:trHeight w:val="146"/>
        </w:trPr>
        <w:tc>
          <w:tcPr>
            <w:tcW w:w="2480" w:type="dxa"/>
          </w:tcPr>
          <w:p w:rsidR="00561EB4" w:rsidRDefault="00561EB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Patogén </w:t>
            </w:r>
          </w:p>
        </w:tc>
        <w:tc>
          <w:tcPr>
            <w:tcW w:w="6520" w:type="dxa"/>
          </w:tcPr>
          <w:p w:rsidR="00561EB4" w:rsidRDefault="00561EB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Druhovo závislé hraničné hodnoty (S≤/R&gt;) </w:t>
            </w:r>
          </w:p>
        </w:tc>
      </w:tr>
      <w:tr w:rsidR="00561EB4" w:rsidTr="00C61104">
        <w:trPr>
          <w:trHeight w:val="144"/>
        </w:trPr>
        <w:tc>
          <w:tcPr>
            <w:tcW w:w="2480" w:type="dxa"/>
          </w:tcPr>
          <w:p w:rsidR="00561EB4" w:rsidRDefault="00561EB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Enterobacteriaceae </w:t>
            </w:r>
          </w:p>
        </w:tc>
        <w:tc>
          <w:tcPr>
            <w:tcW w:w="6520" w:type="dxa"/>
          </w:tcPr>
          <w:p w:rsidR="00561EB4" w:rsidRDefault="00561EB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8/16 </w:t>
            </w:r>
          </w:p>
        </w:tc>
      </w:tr>
      <w:tr w:rsidR="00561EB4" w:rsidTr="00C61104">
        <w:trPr>
          <w:trHeight w:val="144"/>
        </w:trPr>
        <w:tc>
          <w:tcPr>
            <w:tcW w:w="2480" w:type="dxa"/>
          </w:tcPr>
          <w:p w:rsidR="00561EB4" w:rsidRDefault="00561EB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Pseudomonas </w:t>
            </w:r>
          </w:p>
        </w:tc>
        <w:tc>
          <w:tcPr>
            <w:tcW w:w="6520" w:type="dxa"/>
          </w:tcPr>
          <w:p w:rsidR="00561EB4" w:rsidRDefault="00561EB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16/16 </w:t>
            </w:r>
          </w:p>
        </w:tc>
      </w:tr>
      <w:tr w:rsidR="00561EB4" w:rsidTr="00C61104">
        <w:trPr>
          <w:trHeight w:val="397"/>
        </w:trPr>
        <w:tc>
          <w:tcPr>
            <w:tcW w:w="2480" w:type="dxa"/>
          </w:tcPr>
          <w:p w:rsidR="00561EB4" w:rsidRDefault="00561EB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Gramnegatívne a grampozitívne anaeróby </w:t>
            </w:r>
          </w:p>
        </w:tc>
        <w:tc>
          <w:tcPr>
            <w:tcW w:w="6520" w:type="dxa"/>
          </w:tcPr>
          <w:p w:rsidR="00561EB4" w:rsidRDefault="00561EB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8/16 </w:t>
            </w:r>
          </w:p>
        </w:tc>
      </w:tr>
      <w:tr w:rsidR="00561EB4" w:rsidTr="00C61104">
        <w:trPr>
          <w:trHeight w:val="397"/>
        </w:trPr>
        <w:tc>
          <w:tcPr>
            <w:tcW w:w="2480" w:type="dxa"/>
          </w:tcPr>
          <w:p w:rsidR="00561EB4" w:rsidRDefault="00561EB4" w:rsidP="00514C40">
            <w:pPr>
              <w:pStyle w:val="Default"/>
              <w:rPr>
                <w:sz w:val="22"/>
                <w:szCs w:val="22"/>
                <w:lang w:val="sk-SK"/>
              </w:rPr>
            </w:pPr>
            <w:r w:rsidRPr="00C61104">
              <w:rPr>
                <w:sz w:val="22"/>
                <w:szCs w:val="22"/>
                <w:lang w:val="sk-SK"/>
              </w:rPr>
              <w:t xml:space="preserve">Hraničné hodnoty nezávislé od druhu baktérie </w:t>
            </w:r>
          </w:p>
        </w:tc>
        <w:tc>
          <w:tcPr>
            <w:tcW w:w="6520" w:type="dxa"/>
          </w:tcPr>
          <w:p w:rsidR="00561EB4" w:rsidRDefault="00561EB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4/16 </w:t>
            </w:r>
          </w:p>
        </w:tc>
      </w:tr>
    </w:tbl>
    <w:p w:rsidR="00561EB4" w:rsidRPr="00C61104" w:rsidRDefault="00561EB4" w:rsidP="00C71006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Citlivosť </w:t>
      </w:r>
      <w:r w:rsidRPr="00C61104">
        <w:rPr>
          <w:i/>
          <w:iCs/>
          <w:sz w:val="22"/>
          <w:szCs w:val="22"/>
          <w:lang w:val="sk-SK"/>
        </w:rPr>
        <w:t xml:space="preserve">streptokokov </w:t>
      </w:r>
      <w:r w:rsidRPr="00C61104">
        <w:rPr>
          <w:sz w:val="22"/>
          <w:szCs w:val="22"/>
          <w:lang w:val="sk-SK"/>
        </w:rPr>
        <w:t xml:space="preserve">vyplýva z citlivosti na penicilín. </w:t>
      </w:r>
    </w:p>
    <w:p w:rsidR="00561EB4" w:rsidRDefault="00561EB4" w:rsidP="00C71006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Citlivosť </w:t>
      </w:r>
      <w:r w:rsidRPr="00C61104">
        <w:rPr>
          <w:i/>
          <w:iCs/>
          <w:sz w:val="22"/>
          <w:szCs w:val="22"/>
          <w:lang w:val="sk-SK"/>
        </w:rPr>
        <w:t xml:space="preserve">stafylokokov </w:t>
      </w:r>
      <w:r w:rsidRPr="00C61104">
        <w:rPr>
          <w:sz w:val="22"/>
          <w:szCs w:val="22"/>
          <w:lang w:val="sk-SK"/>
        </w:rPr>
        <w:t xml:space="preserve">vyplýva z citlivosti na oxacilín. </w:t>
      </w:r>
    </w:p>
    <w:p w:rsidR="00561EB4" w:rsidRPr="00C61104" w:rsidRDefault="00561EB4" w:rsidP="00C71006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C71006">
      <w:pPr>
        <w:pStyle w:val="Default"/>
        <w:rPr>
          <w:sz w:val="22"/>
          <w:szCs w:val="22"/>
          <w:u w:val="single"/>
          <w:lang w:val="sk-SK"/>
        </w:rPr>
      </w:pPr>
      <w:r w:rsidRPr="00C61104">
        <w:rPr>
          <w:bCs/>
          <w:sz w:val="22"/>
          <w:szCs w:val="22"/>
          <w:u w:val="single"/>
          <w:lang w:val="sk-SK"/>
        </w:rPr>
        <w:t xml:space="preserve">Citlivosť </w:t>
      </w:r>
    </w:p>
    <w:p w:rsidR="00561EB4" w:rsidRDefault="00561EB4" w:rsidP="00C61104">
      <w:pPr>
        <w:ind w:left="0" w:firstLine="0"/>
        <w:outlineLvl w:val="0"/>
        <w:rPr>
          <w:szCs w:val="22"/>
          <w:u w:val="single"/>
        </w:rPr>
      </w:pPr>
      <w:r>
        <w:rPr>
          <w:szCs w:val="22"/>
        </w:rPr>
        <w:t>Prevalencia získanej rezistencie sa môže líšiť geograficky alebo s časom pre vybrané druhy, vhodné sú lokálne informácie o výskyte rezistencie, najmä v liečbe ťažkých infekcií. Ak je to nevyhnutné, potrebná je odborná pomoc, keď lokálna prevalencia rezistencie je taká, že je prospešnosť lieku aspoň u niektorých typov infekcií sporná.</w:t>
      </w:r>
    </w:p>
    <w:p w:rsidR="00561EB4" w:rsidRDefault="00561EB4" w:rsidP="00D94AD8">
      <w:pPr>
        <w:outlineLvl w:val="0"/>
        <w:rPr>
          <w:szCs w:val="22"/>
          <w:u w:val="single"/>
        </w:rPr>
      </w:pPr>
    </w:p>
    <w:tbl>
      <w:tblPr>
        <w:tblW w:w="0" w:type="auto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/>
      </w:tblPr>
      <w:tblGrid>
        <w:gridCol w:w="9551"/>
      </w:tblGrid>
      <w:tr w:rsidR="00561EB4">
        <w:trPr>
          <w:trHeight w:val="146"/>
        </w:trPr>
        <w:tc>
          <w:tcPr>
            <w:tcW w:w="9551" w:type="dxa"/>
            <w:tcBorders>
              <w:top w:val="single" w:sz="8" w:space="0" w:color="000000"/>
              <w:bottom w:val="single" w:sz="8" w:space="0" w:color="000000"/>
            </w:tcBorders>
          </w:tcPr>
          <w:p w:rsidR="00561EB4" w:rsidRPr="00C71006" w:rsidRDefault="00561EB4">
            <w:pPr>
              <w:pStyle w:val="Default"/>
              <w:ind w:left="567" w:hanging="567"/>
              <w:rPr>
                <w:sz w:val="22"/>
                <w:szCs w:val="22"/>
                <w:lang w:val="sk-SK"/>
              </w:rPr>
            </w:pPr>
            <w:r w:rsidRPr="00C61104">
              <w:rPr>
                <w:b/>
                <w:bCs/>
                <w:sz w:val="22"/>
                <w:szCs w:val="22"/>
                <w:lang w:val="sk-SK"/>
              </w:rPr>
              <w:t xml:space="preserve">Zoskupenie vhodných druhov baktérií podľa citlivosti na piperacilín/tazobaktám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8" w:space="0" w:color="000000"/>
              <w:bottom w:val="single" w:sz="8" w:space="0" w:color="000000"/>
            </w:tcBorders>
          </w:tcPr>
          <w:p w:rsidR="00561EB4" w:rsidRDefault="00561EB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BEŽNE CITLIVÉ DRUHY </w:t>
            </w:r>
          </w:p>
        </w:tc>
      </w:tr>
      <w:tr w:rsidR="00561EB4">
        <w:trPr>
          <w:trHeight w:val="144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Aeróbne grampozitívne mikroorganizmy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Enterococcus faecalis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Listeria monocytogenes </w:t>
            </w:r>
          </w:p>
        </w:tc>
      </w:tr>
      <w:tr w:rsidR="00561EB4">
        <w:trPr>
          <w:trHeight w:val="154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Pr="00514C40" w:rsidRDefault="00561EB4" w:rsidP="00514C40">
            <w:pPr>
              <w:pStyle w:val="Default"/>
              <w:ind w:left="567" w:hanging="27"/>
              <w:rPr>
                <w:sz w:val="22"/>
                <w:szCs w:val="22"/>
                <w:lang w:val="fr-FR"/>
              </w:rPr>
            </w:pPr>
            <w:r w:rsidRPr="00C61104">
              <w:rPr>
                <w:i/>
                <w:iCs/>
                <w:sz w:val="22"/>
                <w:szCs w:val="22"/>
                <w:lang w:val="fr-FR"/>
              </w:rPr>
              <w:t xml:space="preserve">Staphylococcus aureus, </w:t>
            </w:r>
            <w:r w:rsidRPr="00C61104">
              <w:rPr>
                <w:sz w:val="22"/>
                <w:szCs w:val="22"/>
                <w:lang w:val="fr-FR"/>
              </w:rPr>
              <w:t>citlivý na meticilín</w:t>
            </w:r>
            <w:r w:rsidRPr="00C61104">
              <w:rPr>
                <w:position w:val="8"/>
                <w:sz w:val="22"/>
                <w:szCs w:val="22"/>
                <w:vertAlign w:val="superscript"/>
                <w:lang w:val="fr-FR"/>
              </w:rPr>
              <w:t xml:space="preserve">£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Staphylococcus </w:t>
            </w:r>
            <w:r>
              <w:rPr>
                <w:sz w:val="22"/>
                <w:szCs w:val="22"/>
              </w:rPr>
              <w:t>species</w:t>
            </w:r>
            <w:r>
              <w:rPr>
                <w:i/>
                <w:iCs/>
                <w:sz w:val="22"/>
                <w:szCs w:val="22"/>
              </w:rPr>
              <w:t>, coagulase negative</w:t>
            </w:r>
            <w:r>
              <w:rPr>
                <w:sz w:val="22"/>
                <w:szCs w:val="22"/>
              </w:rPr>
              <w:t xml:space="preserve">, citlivý na meticilín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Streptococcus pyogenes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Skupina B streptokokov </w:t>
            </w:r>
          </w:p>
        </w:tc>
      </w:tr>
      <w:tr w:rsidR="00561EB4">
        <w:trPr>
          <w:trHeight w:val="144"/>
        </w:trPr>
        <w:tc>
          <w:tcPr>
            <w:tcW w:w="9551" w:type="dxa"/>
            <w:tcBorders>
              <w:top w:val="single" w:sz="8" w:space="0" w:color="000000"/>
              <w:bottom w:val="single" w:sz="6" w:space="0" w:color="000000"/>
            </w:tcBorders>
          </w:tcPr>
          <w:p w:rsidR="00561EB4" w:rsidRDefault="00561EB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Aeróbne gramnegatívne mikroorganizmy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Citrobacter koseri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Haemophilus influenza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Moraxella catarrhalis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Proteus mirabilis </w:t>
            </w:r>
          </w:p>
        </w:tc>
      </w:tr>
      <w:tr w:rsidR="00561EB4">
        <w:trPr>
          <w:trHeight w:val="144"/>
        </w:trPr>
        <w:tc>
          <w:tcPr>
            <w:tcW w:w="9551" w:type="dxa"/>
            <w:tcBorders>
              <w:top w:val="single" w:sz="8" w:space="0" w:color="000000"/>
              <w:bottom w:val="single" w:sz="6" w:space="0" w:color="000000"/>
            </w:tcBorders>
          </w:tcPr>
          <w:p w:rsidR="00561EB4" w:rsidRDefault="00561EB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Anaeróbne grampozitívne mikroorganizmy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Clostridium </w:t>
            </w:r>
            <w:r>
              <w:rPr>
                <w:sz w:val="22"/>
                <w:szCs w:val="22"/>
              </w:rPr>
              <w:t xml:space="preserve">species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Eubacterium </w:t>
            </w:r>
            <w:r>
              <w:rPr>
                <w:sz w:val="22"/>
                <w:szCs w:val="22"/>
              </w:rPr>
              <w:t xml:space="preserve">species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8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Peptostreptococcus </w:t>
            </w:r>
            <w:r>
              <w:rPr>
                <w:sz w:val="22"/>
                <w:szCs w:val="22"/>
              </w:rPr>
              <w:t xml:space="preserve">species </w:t>
            </w:r>
          </w:p>
        </w:tc>
      </w:tr>
      <w:tr w:rsidR="00561EB4">
        <w:trPr>
          <w:trHeight w:val="144"/>
        </w:trPr>
        <w:tc>
          <w:tcPr>
            <w:tcW w:w="9551" w:type="dxa"/>
            <w:tcBorders>
              <w:top w:val="single" w:sz="8" w:space="0" w:color="000000"/>
              <w:bottom w:val="single" w:sz="6" w:space="0" w:color="000000"/>
            </w:tcBorders>
          </w:tcPr>
          <w:p w:rsidR="00561EB4" w:rsidRDefault="00561EB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Anaeróbne gramnegatívne mikroorganizmy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Bacteroides fragilis </w:t>
            </w:r>
            <w:r>
              <w:rPr>
                <w:sz w:val="22"/>
                <w:szCs w:val="22"/>
              </w:rPr>
              <w:t xml:space="preserve">group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Fusobacterium </w:t>
            </w:r>
            <w:r>
              <w:rPr>
                <w:sz w:val="22"/>
                <w:szCs w:val="22"/>
              </w:rPr>
              <w:t xml:space="preserve">species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Porphyromonas </w:t>
            </w:r>
            <w:r>
              <w:rPr>
                <w:sz w:val="22"/>
                <w:szCs w:val="22"/>
              </w:rPr>
              <w:t xml:space="preserve">species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8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Prevotella </w:t>
            </w:r>
            <w:r>
              <w:rPr>
                <w:sz w:val="22"/>
                <w:szCs w:val="22"/>
              </w:rPr>
              <w:t xml:space="preserve">species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8" w:space="0" w:color="000000"/>
              <w:bottom w:val="single" w:sz="8" w:space="0" w:color="000000"/>
            </w:tcBorders>
          </w:tcPr>
          <w:p w:rsidR="00561EB4" w:rsidRPr="00C71006" w:rsidRDefault="00561EB4">
            <w:pPr>
              <w:pStyle w:val="Default"/>
              <w:ind w:left="567" w:hanging="567"/>
              <w:rPr>
                <w:sz w:val="22"/>
                <w:szCs w:val="22"/>
                <w:lang w:val="sk-SK"/>
              </w:rPr>
            </w:pPr>
            <w:r w:rsidRPr="00C61104">
              <w:rPr>
                <w:b/>
                <w:bCs/>
                <w:sz w:val="22"/>
                <w:szCs w:val="22"/>
                <w:lang w:val="sk-SK"/>
              </w:rPr>
              <w:t xml:space="preserve">DRUHY, KTORÝCH PRIDRUŽENÁ REZISTENCIA MÔŽE BYŤ PROBLÉMOM </w:t>
            </w:r>
          </w:p>
        </w:tc>
      </w:tr>
      <w:tr w:rsidR="00561EB4">
        <w:trPr>
          <w:trHeight w:val="144"/>
        </w:trPr>
        <w:tc>
          <w:tcPr>
            <w:tcW w:w="9551" w:type="dxa"/>
            <w:tcBorders>
              <w:top w:val="single" w:sz="8" w:space="0" w:color="000000"/>
              <w:bottom w:val="single" w:sz="6" w:space="0" w:color="000000"/>
            </w:tcBorders>
          </w:tcPr>
          <w:p w:rsidR="00561EB4" w:rsidRDefault="00561EB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Aeróbne grampozitívne mikroorganizmy </w:t>
            </w:r>
          </w:p>
        </w:tc>
      </w:tr>
      <w:tr w:rsidR="00561EB4">
        <w:trPr>
          <w:trHeight w:val="154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Enterococcus faecium</w:t>
            </w:r>
            <w:r>
              <w:rPr>
                <w:position w:val="8"/>
                <w:sz w:val="22"/>
                <w:szCs w:val="22"/>
                <w:vertAlign w:val="superscript"/>
              </w:rPr>
              <w:t xml:space="preserve">$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Streptoccoccus pneumonia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Skupina Streptococcus viridans </w:t>
            </w:r>
          </w:p>
        </w:tc>
      </w:tr>
      <w:tr w:rsidR="00561EB4">
        <w:trPr>
          <w:trHeight w:val="144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Aeróbne gramnegatívne mikroorganizmy </w:t>
            </w:r>
          </w:p>
        </w:tc>
      </w:tr>
      <w:tr w:rsidR="00561EB4">
        <w:trPr>
          <w:trHeight w:val="154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Acinetobacter baumannii</w:t>
            </w:r>
            <w:r>
              <w:rPr>
                <w:position w:val="8"/>
                <w:sz w:val="22"/>
                <w:szCs w:val="22"/>
                <w:vertAlign w:val="superscript"/>
              </w:rPr>
              <w:t xml:space="preserve">$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Burkholderia cepacia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Citrobacter freundii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Enterobacter </w:t>
            </w:r>
            <w:r>
              <w:rPr>
                <w:sz w:val="22"/>
                <w:szCs w:val="22"/>
              </w:rPr>
              <w:t xml:space="preserve">species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Escherichia coli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Klebsiella pneumonia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Morganella morganii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Proteus vulgaris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Providentia ssp.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8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Pseudomonas aeruginosa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Serratia </w:t>
            </w:r>
            <w:r>
              <w:rPr>
                <w:sz w:val="22"/>
                <w:szCs w:val="22"/>
              </w:rPr>
              <w:t xml:space="preserve">species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8" w:space="0" w:color="000000"/>
              <w:bottom w:val="single" w:sz="8" w:space="0" w:color="000000"/>
            </w:tcBorders>
          </w:tcPr>
          <w:p w:rsidR="00561EB4" w:rsidRDefault="00561EB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PRIRODZENE REZISTENTNÉ ORGANIZMY </w:t>
            </w:r>
          </w:p>
        </w:tc>
      </w:tr>
      <w:tr w:rsidR="00561EB4">
        <w:trPr>
          <w:trHeight w:val="144"/>
        </w:trPr>
        <w:tc>
          <w:tcPr>
            <w:tcW w:w="9551" w:type="dxa"/>
            <w:tcBorders>
              <w:top w:val="single" w:sz="8" w:space="0" w:color="000000"/>
              <w:bottom w:val="single" w:sz="6" w:space="0" w:color="000000"/>
            </w:tcBorders>
          </w:tcPr>
          <w:p w:rsidR="00561EB4" w:rsidRDefault="00561EB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Aeróbne grampozitívne mikroorganizmy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Corynebacterium jeikeium </w:t>
            </w:r>
          </w:p>
        </w:tc>
      </w:tr>
      <w:tr w:rsidR="00561EB4">
        <w:trPr>
          <w:trHeight w:val="144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Aeróbne gramnegatívne mikroorganizmy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6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Legionella </w:t>
            </w:r>
            <w:r>
              <w:rPr>
                <w:sz w:val="22"/>
                <w:szCs w:val="22"/>
              </w:rPr>
              <w:t xml:space="preserve">species </w:t>
            </w:r>
          </w:p>
        </w:tc>
      </w:tr>
      <w:tr w:rsidR="00561EB4">
        <w:trPr>
          <w:trHeight w:val="154"/>
        </w:trPr>
        <w:tc>
          <w:tcPr>
            <w:tcW w:w="9551" w:type="dxa"/>
            <w:tcBorders>
              <w:top w:val="single" w:sz="6" w:space="0" w:color="000000"/>
              <w:bottom w:val="single" w:sz="8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Stenotrophomonas maltophilia</w:t>
            </w:r>
            <w:r>
              <w:rPr>
                <w:position w:val="8"/>
                <w:sz w:val="22"/>
                <w:szCs w:val="22"/>
                <w:vertAlign w:val="superscript"/>
              </w:rPr>
              <w:t xml:space="preserve">+,$ </w:t>
            </w:r>
          </w:p>
        </w:tc>
      </w:tr>
      <w:tr w:rsidR="00561EB4">
        <w:trPr>
          <w:trHeight w:val="144"/>
        </w:trPr>
        <w:tc>
          <w:tcPr>
            <w:tcW w:w="9551" w:type="dxa"/>
            <w:tcBorders>
              <w:top w:val="single" w:sz="6" w:space="0" w:color="000000"/>
              <w:bottom w:val="single" w:sz="8" w:space="0" w:color="000000"/>
            </w:tcBorders>
          </w:tcPr>
          <w:p w:rsidR="00561EB4" w:rsidRDefault="00561EB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Iné mikroorganizmy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8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Chlamydophilia pneumonia </w:t>
            </w:r>
          </w:p>
        </w:tc>
      </w:tr>
      <w:tr w:rsidR="00561EB4">
        <w:trPr>
          <w:trHeight w:val="146"/>
        </w:trPr>
        <w:tc>
          <w:tcPr>
            <w:tcW w:w="9551" w:type="dxa"/>
            <w:tcBorders>
              <w:top w:val="single" w:sz="6" w:space="0" w:color="000000"/>
              <w:bottom w:val="single" w:sz="8" w:space="0" w:color="000000"/>
            </w:tcBorders>
          </w:tcPr>
          <w:p w:rsidR="00561EB4" w:rsidRDefault="00561EB4" w:rsidP="00270E2B">
            <w:pPr>
              <w:pStyle w:val="Default"/>
              <w:ind w:firstLine="5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Mycoplasma pneumonia </w:t>
            </w:r>
          </w:p>
        </w:tc>
      </w:tr>
      <w:tr w:rsidR="00561EB4">
        <w:trPr>
          <w:trHeight w:val="533"/>
        </w:trPr>
        <w:tc>
          <w:tcPr>
            <w:tcW w:w="9551" w:type="dxa"/>
            <w:tcBorders>
              <w:top w:val="single" w:sz="8" w:space="0" w:color="000000"/>
              <w:bottom w:val="single" w:sz="8" w:space="0" w:color="000000"/>
            </w:tcBorders>
          </w:tcPr>
          <w:p w:rsidR="00561EB4" w:rsidRPr="00C71006" w:rsidRDefault="00561EB4">
            <w:pPr>
              <w:pStyle w:val="Default"/>
              <w:ind w:left="567" w:hanging="567"/>
              <w:rPr>
                <w:sz w:val="22"/>
                <w:szCs w:val="22"/>
                <w:lang w:val="sk-SK"/>
              </w:rPr>
            </w:pPr>
            <w:r w:rsidRPr="00C61104">
              <w:rPr>
                <w:position w:val="8"/>
                <w:vertAlign w:val="superscript"/>
                <w:lang w:val="sk-SK"/>
              </w:rPr>
              <w:t xml:space="preserve">$ </w:t>
            </w:r>
            <w:r w:rsidRPr="00C61104">
              <w:rPr>
                <w:sz w:val="22"/>
                <w:szCs w:val="22"/>
                <w:lang w:val="sk-SK"/>
              </w:rPr>
              <w:t xml:space="preserve">Druhy vykazujúce prirodzene slabú citlivosť. </w:t>
            </w:r>
          </w:p>
          <w:p w:rsidR="00561EB4" w:rsidRPr="00C71006" w:rsidRDefault="00561EB4">
            <w:pPr>
              <w:pStyle w:val="Default"/>
              <w:ind w:left="567" w:hanging="567"/>
              <w:rPr>
                <w:sz w:val="22"/>
                <w:szCs w:val="22"/>
                <w:lang w:val="sk-SK"/>
              </w:rPr>
            </w:pPr>
            <w:r w:rsidRPr="00C61104">
              <w:rPr>
                <w:position w:val="8"/>
                <w:sz w:val="22"/>
                <w:szCs w:val="22"/>
                <w:vertAlign w:val="superscript"/>
                <w:lang w:val="sk-SK"/>
              </w:rPr>
              <w:t xml:space="preserve">+ </w:t>
            </w:r>
            <w:r w:rsidRPr="00C61104">
              <w:rPr>
                <w:sz w:val="22"/>
                <w:szCs w:val="22"/>
                <w:lang w:val="sk-SK"/>
              </w:rPr>
              <w:t xml:space="preserve">Druhy, u ktorých bol zaznamenaný vysoký podiel rezistencie (viac ako 50 %) v jednej alebo </w:t>
            </w:r>
          </w:p>
          <w:p w:rsidR="00561EB4" w:rsidRPr="00C61104" w:rsidRDefault="00561EB4">
            <w:pPr>
              <w:pStyle w:val="Default"/>
              <w:ind w:left="567" w:hanging="567"/>
              <w:rPr>
                <w:sz w:val="22"/>
                <w:szCs w:val="22"/>
                <w:lang w:val="de-DE"/>
              </w:rPr>
            </w:pPr>
            <w:r w:rsidRPr="00C61104">
              <w:rPr>
                <w:sz w:val="22"/>
                <w:szCs w:val="22"/>
                <w:lang w:val="de-DE"/>
              </w:rPr>
              <w:t xml:space="preserve">viacerých oblastiach/krajinách/regiónoch EU. </w:t>
            </w:r>
          </w:p>
          <w:p w:rsidR="00561EB4" w:rsidRPr="00C61104" w:rsidRDefault="00561EB4">
            <w:pPr>
              <w:pStyle w:val="Default"/>
              <w:ind w:left="567" w:hanging="567"/>
              <w:rPr>
                <w:sz w:val="22"/>
                <w:szCs w:val="22"/>
                <w:lang w:val="de-DE"/>
              </w:rPr>
            </w:pPr>
            <w:r w:rsidRPr="00C61104">
              <w:rPr>
                <w:position w:val="8"/>
                <w:sz w:val="22"/>
                <w:szCs w:val="22"/>
                <w:vertAlign w:val="superscript"/>
                <w:lang w:val="de-DE"/>
              </w:rPr>
              <w:t xml:space="preserve">£ </w:t>
            </w:r>
            <w:r w:rsidRPr="00C61104">
              <w:rPr>
                <w:sz w:val="22"/>
                <w:szCs w:val="22"/>
                <w:lang w:val="de-DE"/>
              </w:rPr>
              <w:t xml:space="preserve">Všetky stafylokoky rezistentné na meticilín sú rezistentné na piperacilín/tazobaktám. </w:t>
            </w:r>
          </w:p>
        </w:tc>
      </w:tr>
    </w:tbl>
    <w:p w:rsidR="00561EB4" w:rsidRPr="00A21088" w:rsidRDefault="00561EB4" w:rsidP="00D94AD8">
      <w:pPr>
        <w:outlineLvl w:val="0"/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  <w:r w:rsidRPr="00665938">
        <w:rPr>
          <w:b/>
          <w:szCs w:val="22"/>
        </w:rPr>
        <w:t>5.2</w:t>
      </w:r>
      <w:r w:rsidRPr="00665938">
        <w:rPr>
          <w:b/>
          <w:szCs w:val="22"/>
        </w:rPr>
        <w:tab/>
        <w:t>Farmakokinetické vlastnosti</w:t>
      </w:r>
    </w:p>
    <w:p w:rsidR="00561EB4" w:rsidRDefault="00561EB4" w:rsidP="00D94AD8">
      <w:pPr>
        <w:rPr>
          <w:szCs w:val="22"/>
        </w:rPr>
      </w:pPr>
    </w:p>
    <w:p w:rsidR="00561EB4" w:rsidRPr="00C61104" w:rsidRDefault="00561EB4" w:rsidP="00C71006">
      <w:pPr>
        <w:pStyle w:val="Default"/>
        <w:rPr>
          <w:sz w:val="22"/>
          <w:szCs w:val="22"/>
          <w:u w:val="single"/>
          <w:lang w:val="sk-SK"/>
        </w:rPr>
      </w:pPr>
      <w:r w:rsidRPr="00C61104">
        <w:rPr>
          <w:bCs/>
          <w:sz w:val="22"/>
          <w:szCs w:val="22"/>
          <w:u w:val="single"/>
          <w:lang w:val="sk-SK"/>
        </w:rPr>
        <w:t xml:space="preserve">Absorpcia </w:t>
      </w:r>
    </w:p>
    <w:p w:rsidR="00561EB4" w:rsidRDefault="00561EB4" w:rsidP="00C71006">
      <w:pPr>
        <w:pStyle w:val="Default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Maximálne</w:t>
      </w:r>
      <w:r w:rsidRPr="00C61104">
        <w:rPr>
          <w:sz w:val="22"/>
          <w:szCs w:val="22"/>
          <w:lang w:val="sk-SK"/>
        </w:rPr>
        <w:t xml:space="preserve"> koncentrácie piperacilínu/tazobaktámu 4 g/0,5 g podaných intravenóznou infúzou počas 30 minút sú 298 </w:t>
      </w:r>
      <w:r>
        <w:rPr>
          <w:sz w:val="22"/>
          <w:szCs w:val="22"/>
        </w:rPr>
        <w:t>μ</w:t>
      </w:r>
      <w:r w:rsidRPr="00C61104">
        <w:rPr>
          <w:sz w:val="22"/>
          <w:szCs w:val="22"/>
          <w:lang w:val="sk-SK"/>
        </w:rPr>
        <w:t xml:space="preserve">g/ml a 34 </w:t>
      </w:r>
      <w:r>
        <w:rPr>
          <w:sz w:val="22"/>
          <w:szCs w:val="22"/>
        </w:rPr>
        <w:t>μ</w:t>
      </w:r>
      <w:r w:rsidRPr="00C61104">
        <w:rPr>
          <w:sz w:val="22"/>
          <w:szCs w:val="22"/>
          <w:lang w:val="sk-SK"/>
        </w:rPr>
        <w:t xml:space="preserve">g/ml v tomto poradí. </w:t>
      </w:r>
    </w:p>
    <w:p w:rsidR="00561EB4" w:rsidRPr="00C61104" w:rsidRDefault="00561EB4" w:rsidP="00C71006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C71006">
      <w:pPr>
        <w:pStyle w:val="Default"/>
        <w:rPr>
          <w:sz w:val="22"/>
          <w:szCs w:val="22"/>
          <w:u w:val="single"/>
          <w:lang w:val="sk-SK"/>
        </w:rPr>
      </w:pPr>
      <w:r w:rsidRPr="00C61104">
        <w:rPr>
          <w:bCs/>
          <w:sz w:val="22"/>
          <w:szCs w:val="22"/>
          <w:u w:val="single"/>
          <w:lang w:val="sk-SK"/>
        </w:rPr>
        <w:t xml:space="preserve">Distribúcia </w:t>
      </w:r>
    </w:p>
    <w:p w:rsidR="00561EB4" w:rsidRDefault="00561EB4" w:rsidP="00C71006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Väzba oboch liečiv, piperacilínu a tazobaktámu, na plazmatické proteíny je približne 30 %. Väzba na proteín, či už piperacilínu alebo tazobaktámu, nie je ovplyvnená prítomnosťou inej zlúčeniny. Väzba metabolitov tazobaktámu na proteín je zanedbateľná. </w:t>
      </w:r>
    </w:p>
    <w:p w:rsidR="00561EB4" w:rsidRPr="00C61104" w:rsidRDefault="00561EB4" w:rsidP="00C71006">
      <w:pPr>
        <w:pStyle w:val="Default"/>
        <w:rPr>
          <w:sz w:val="22"/>
          <w:szCs w:val="22"/>
          <w:lang w:val="sk-SK"/>
        </w:rPr>
      </w:pPr>
    </w:p>
    <w:p w:rsidR="00561EB4" w:rsidRDefault="00561EB4" w:rsidP="00C71006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Piperacilín/tazobaktám sa dobre distribuujú v tkanivách a telových tekutinách vrátane sliznice čreva, žlčníka, pľúc, žlče a kostí. Priemerné tkanivové koncentrácie sú spravidla 50 % až 100 % z tých, ktoré sú v plazme. U subjektov bez zápalu mozgomiechovej pleny, podobne ako u iných penicilínov, je distribúcia do cerebrospinálnej tekutiny nízka. </w:t>
      </w:r>
    </w:p>
    <w:p w:rsidR="00561EB4" w:rsidRPr="00C61104" w:rsidRDefault="00561EB4" w:rsidP="00C71006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C71006">
      <w:pPr>
        <w:pStyle w:val="Default"/>
        <w:rPr>
          <w:sz w:val="22"/>
          <w:szCs w:val="22"/>
          <w:u w:val="single"/>
          <w:lang w:val="sk-SK"/>
        </w:rPr>
      </w:pPr>
      <w:r w:rsidRPr="00C61104">
        <w:rPr>
          <w:bCs/>
          <w:sz w:val="22"/>
          <w:szCs w:val="22"/>
          <w:u w:val="single"/>
          <w:lang w:val="sk-SK"/>
        </w:rPr>
        <w:t xml:space="preserve">Biotransformácia </w:t>
      </w:r>
    </w:p>
    <w:p w:rsidR="00561EB4" w:rsidRDefault="00561EB4" w:rsidP="00C71006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Piperacilín sa metabolizuje na málo mikrobiologicko aktívny desethyl metabolit. Tazobaktám sa metabolizuje na samostatný metabolit, ktorý je mikrobiologicky inaktívny. </w:t>
      </w:r>
    </w:p>
    <w:p w:rsidR="00561EB4" w:rsidRPr="00C61104" w:rsidRDefault="00561EB4" w:rsidP="00C71006">
      <w:pPr>
        <w:pStyle w:val="Default"/>
        <w:rPr>
          <w:sz w:val="22"/>
          <w:szCs w:val="22"/>
          <w:lang w:val="sk-SK"/>
        </w:rPr>
      </w:pPr>
    </w:p>
    <w:p w:rsidR="00561EB4" w:rsidRPr="00514C40" w:rsidRDefault="00561EB4" w:rsidP="00C71006">
      <w:pPr>
        <w:pStyle w:val="Default"/>
        <w:rPr>
          <w:sz w:val="22"/>
          <w:szCs w:val="22"/>
          <w:u w:val="single"/>
          <w:lang w:val="sk-SK"/>
        </w:rPr>
      </w:pPr>
      <w:r w:rsidRPr="00514C40">
        <w:rPr>
          <w:bCs/>
          <w:sz w:val="22"/>
          <w:szCs w:val="22"/>
          <w:u w:val="single"/>
          <w:lang w:val="sk-SK"/>
        </w:rPr>
        <w:t xml:space="preserve">Eliminácia </w:t>
      </w:r>
    </w:p>
    <w:p w:rsidR="00561EB4" w:rsidRPr="00514C40" w:rsidRDefault="00561EB4" w:rsidP="00C71006">
      <w:pPr>
        <w:pStyle w:val="Default"/>
        <w:rPr>
          <w:sz w:val="22"/>
          <w:szCs w:val="22"/>
          <w:lang w:val="sk-SK"/>
        </w:rPr>
      </w:pPr>
      <w:r w:rsidRPr="00514C40">
        <w:rPr>
          <w:sz w:val="22"/>
          <w:szCs w:val="22"/>
          <w:lang w:val="sk-SK"/>
        </w:rPr>
        <w:t xml:space="preserve">Piperacilín a tazobaktám sa vylučujú obličkami glomerulárnou filtráciou a tubulárnou sekréciou. </w:t>
      </w:r>
    </w:p>
    <w:p w:rsidR="00561EB4" w:rsidRPr="00514C40" w:rsidRDefault="00561EB4" w:rsidP="00C71006">
      <w:pPr>
        <w:pStyle w:val="Default"/>
        <w:rPr>
          <w:sz w:val="22"/>
          <w:szCs w:val="22"/>
          <w:lang w:val="sk-SK"/>
        </w:rPr>
      </w:pPr>
    </w:p>
    <w:p w:rsidR="00561EB4" w:rsidRPr="00514C40" w:rsidRDefault="00561EB4" w:rsidP="00C71006">
      <w:pPr>
        <w:pStyle w:val="Default"/>
        <w:rPr>
          <w:sz w:val="22"/>
          <w:szCs w:val="22"/>
          <w:lang w:val="sk-SK"/>
        </w:rPr>
      </w:pPr>
      <w:r w:rsidRPr="00514C40">
        <w:rPr>
          <w:sz w:val="22"/>
          <w:szCs w:val="22"/>
          <w:lang w:val="sk-SK"/>
        </w:rPr>
        <w:t xml:space="preserve">Piperacilín sa rýchlo vylučuje v nezmenej forme, 68 % z podanej dávky sa vylúči močom. Tazobaktám a jeho metabolity sa primárne vylučujú renálnou exkréciou, pričom 80 % z podanej dávky sa vylúči v nezmenej podobe a zbytok ako samostatný metabolit. Piperacilín, tazobaktám a desethyl piperacilín sa tiež vylučujú do žlče. </w:t>
      </w:r>
    </w:p>
    <w:p w:rsidR="00561EB4" w:rsidRPr="00514C40" w:rsidRDefault="00561EB4" w:rsidP="00C71006">
      <w:pPr>
        <w:pStyle w:val="Default"/>
        <w:rPr>
          <w:sz w:val="22"/>
          <w:szCs w:val="22"/>
          <w:lang w:val="sk-SK"/>
        </w:rPr>
      </w:pPr>
    </w:p>
    <w:p w:rsidR="00561EB4" w:rsidRPr="00514C40" w:rsidRDefault="00561EB4" w:rsidP="00C71006">
      <w:pPr>
        <w:pStyle w:val="Default"/>
        <w:rPr>
          <w:sz w:val="22"/>
          <w:szCs w:val="22"/>
          <w:lang w:val="sk-SK"/>
        </w:rPr>
      </w:pPr>
      <w:r w:rsidRPr="00514C40">
        <w:rPr>
          <w:sz w:val="22"/>
          <w:szCs w:val="22"/>
          <w:lang w:val="sk-SK"/>
        </w:rPr>
        <w:t xml:space="preserve">Po jednorázovej alebo opakovanej dávke piperacilínu/tazobaktámu podanej zdravým subjektom sa plazmatický polčas piperacilínu/tazobaktámu pohyboval od 0,7 hodiny do 1,2 hodiny a nebol ovplyvnený dávkou alebo trvaním infúzie. Polčasy eliminácie oboch liečiv, piperacilínu a tazobaktámu, rastú so znížením renálneho klírensu. </w:t>
      </w:r>
    </w:p>
    <w:p w:rsidR="00561EB4" w:rsidRPr="00514C40" w:rsidRDefault="00561EB4" w:rsidP="00C71006">
      <w:pPr>
        <w:pStyle w:val="Default"/>
        <w:rPr>
          <w:sz w:val="22"/>
          <w:szCs w:val="22"/>
          <w:lang w:val="sk-SK"/>
        </w:rPr>
      </w:pPr>
    </w:p>
    <w:p w:rsidR="00561EB4" w:rsidRPr="00514C40" w:rsidRDefault="00561EB4" w:rsidP="00C71006">
      <w:pPr>
        <w:pStyle w:val="Default"/>
        <w:rPr>
          <w:sz w:val="22"/>
          <w:szCs w:val="22"/>
          <w:lang w:val="sk-SK"/>
        </w:rPr>
      </w:pPr>
      <w:r w:rsidRPr="00514C40">
        <w:rPr>
          <w:sz w:val="22"/>
          <w:szCs w:val="22"/>
          <w:lang w:val="sk-SK"/>
        </w:rPr>
        <w:t xml:space="preserve">Nie sú známe signifikantné zmeny farmakokinetiky piperacilínu spostredkovanej tazobaktámom. Zdá sa, že piperacilín mierne znižuje klírens tazobaktámu. </w:t>
      </w:r>
    </w:p>
    <w:p w:rsidR="00561EB4" w:rsidRPr="00514C40" w:rsidRDefault="00561EB4" w:rsidP="00C71006">
      <w:pPr>
        <w:pStyle w:val="Default"/>
        <w:rPr>
          <w:sz w:val="22"/>
          <w:szCs w:val="22"/>
          <w:lang w:val="sk-SK"/>
        </w:rPr>
      </w:pPr>
    </w:p>
    <w:p w:rsidR="00561EB4" w:rsidRPr="00514C40" w:rsidRDefault="00561EB4" w:rsidP="00C71006">
      <w:pPr>
        <w:pStyle w:val="Default"/>
        <w:rPr>
          <w:sz w:val="22"/>
          <w:szCs w:val="22"/>
          <w:u w:val="single"/>
          <w:lang w:val="sk-SK"/>
        </w:rPr>
      </w:pPr>
      <w:r w:rsidRPr="00514C40">
        <w:rPr>
          <w:bCs/>
          <w:sz w:val="22"/>
          <w:szCs w:val="22"/>
          <w:u w:val="single"/>
          <w:lang w:val="sk-SK"/>
        </w:rPr>
        <w:t xml:space="preserve">Osobitné skupiny pacientov </w:t>
      </w:r>
    </w:p>
    <w:p w:rsidR="00561EB4" w:rsidRPr="00514C40" w:rsidRDefault="00561EB4" w:rsidP="00C71006">
      <w:pPr>
        <w:pStyle w:val="Default"/>
        <w:rPr>
          <w:sz w:val="22"/>
          <w:szCs w:val="22"/>
          <w:lang w:val="sk-SK"/>
        </w:rPr>
      </w:pPr>
      <w:r w:rsidRPr="00514C40">
        <w:rPr>
          <w:sz w:val="22"/>
          <w:szCs w:val="22"/>
          <w:lang w:val="sk-SK"/>
        </w:rPr>
        <w:t xml:space="preserve">Biologický polčas piperacilínu a tazobaktámu sa zvyšuje približne o 25 % a 18 % u pacientov s hepatálnou cirhózou v porovnaní so zdravými jedincami. </w:t>
      </w:r>
    </w:p>
    <w:p w:rsidR="00561EB4" w:rsidRPr="00514C40" w:rsidRDefault="00561EB4" w:rsidP="00C71006">
      <w:pPr>
        <w:pStyle w:val="Default"/>
        <w:rPr>
          <w:sz w:val="22"/>
          <w:szCs w:val="22"/>
          <w:lang w:val="sk-SK"/>
        </w:rPr>
      </w:pPr>
    </w:p>
    <w:p w:rsidR="00561EB4" w:rsidRPr="00514C40" w:rsidRDefault="00561EB4" w:rsidP="00C71006">
      <w:pPr>
        <w:pStyle w:val="Default"/>
        <w:rPr>
          <w:sz w:val="22"/>
          <w:szCs w:val="22"/>
          <w:lang w:val="sk-SK"/>
        </w:rPr>
      </w:pPr>
      <w:r w:rsidRPr="00514C40">
        <w:rPr>
          <w:sz w:val="22"/>
          <w:szCs w:val="22"/>
          <w:lang w:val="sk-SK"/>
        </w:rPr>
        <w:t xml:space="preserve">Biologický polčas piperacilínu a tazobaktámu sa zvyšuje s poklesom klírensu kreatinínu. Vzostup biologického polčasu je 2-násobný a 4-násobný pre piperacilín a tazobaktám pri poklese klírensu pod 20 ml/min v porovnaní s pacientmi s normálnou renálnou funkciou. </w:t>
      </w:r>
    </w:p>
    <w:p w:rsidR="00561EB4" w:rsidRPr="00514C40" w:rsidRDefault="00561EB4" w:rsidP="00C71006">
      <w:pPr>
        <w:pStyle w:val="Default"/>
        <w:rPr>
          <w:sz w:val="22"/>
          <w:szCs w:val="22"/>
          <w:lang w:val="sk-SK"/>
        </w:rPr>
      </w:pPr>
    </w:p>
    <w:p w:rsidR="00561EB4" w:rsidRDefault="00561EB4" w:rsidP="00C61104">
      <w:pPr>
        <w:ind w:left="0" w:firstLine="0"/>
        <w:rPr>
          <w:szCs w:val="22"/>
        </w:rPr>
      </w:pPr>
      <w:r>
        <w:rPr>
          <w:szCs w:val="22"/>
        </w:rPr>
        <w:t>Hemodialýzou sa odstráni 30 % až 50 % piperacilínu/tazobaktámu s dodatočnými 5 % dávkami tazobaktámu odstránenými ako metabolit tazobaktámu. Peritoneálnou dialýzou sa odstráni 6 % a 21 % podanej dávky piperacilínu a tazobaktámu, pričom až 18 % podanej dávky tazobaktámu sa odstráni ako metabolit tazobaktámu.</w:t>
      </w:r>
    </w:p>
    <w:p w:rsidR="00561EB4" w:rsidRDefault="00561EB4" w:rsidP="00C61104">
      <w:pPr>
        <w:ind w:left="0" w:firstLine="0"/>
        <w:rPr>
          <w:szCs w:val="22"/>
        </w:rPr>
      </w:pPr>
    </w:p>
    <w:p w:rsidR="00561EB4" w:rsidRPr="00C61104" w:rsidRDefault="00561EB4" w:rsidP="00C71006">
      <w:pPr>
        <w:pStyle w:val="Default"/>
        <w:rPr>
          <w:sz w:val="22"/>
          <w:szCs w:val="22"/>
          <w:lang w:val="sk-SK"/>
        </w:rPr>
      </w:pPr>
      <w:r w:rsidRPr="00C61104">
        <w:rPr>
          <w:i/>
          <w:iCs/>
          <w:sz w:val="22"/>
          <w:szCs w:val="22"/>
          <w:lang w:val="sk-SK"/>
        </w:rPr>
        <w:t xml:space="preserve">Deti a dospievajúci </w:t>
      </w:r>
    </w:p>
    <w:p w:rsidR="00561EB4" w:rsidRDefault="00561EB4" w:rsidP="00C71006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Podľa populačnej farmakokinetickej (PK) analýzy bol odhadovaný klírens v populácii 9 mesačných až 12 ročných pacientov porovnateľný ako u dospelých s priemernou hodnotou pre populáciu (SE) 5,64 (0,34) ml/min/kg. Odhadovaný klírens piperacilínu je 80 % z tejto hodnoty pre pediatrických pacientov vo veku 2 až 9 mesiacov. Priemerná hodnota (SE) distribučného objemu piperacilínu populácie je 0,243 (0,011) l/kg a je nezávislá od veku. </w:t>
      </w:r>
    </w:p>
    <w:p w:rsidR="00561EB4" w:rsidRPr="00C61104" w:rsidRDefault="00561EB4" w:rsidP="00C71006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C71006">
      <w:pPr>
        <w:pStyle w:val="Default"/>
        <w:rPr>
          <w:sz w:val="22"/>
          <w:szCs w:val="22"/>
          <w:lang w:val="sk-SK"/>
        </w:rPr>
      </w:pPr>
      <w:r w:rsidRPr="00C61104">
        <w:rPr>
          <w:i/>
          <w:iCs/>
          <w:sz w:val="22"/>
          <w:szCs w:val="22"/>
          <w:lang w:val="sk-SK"/>
        </w:rPr>
        <w:t xml:space="preserve">Starší pacienti </w:t>
      </w:r>
    </w:p>
    <w:p w:rsidR="00561EB4" w:rsidRDefault="00561EB4" w:rsidP="00C71006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Priemerné biologické polčasy piperacilínu a tazobaktámu boli u starších pacientov dlhšie 32 % a 55 % v porovnaní s mladšími subjektmi. Tento rozdiel môže byť spôsobený vekovo podmienenými zmenami v klírense kreatinínu. </w:t>
      </w:r>
    </w:p>
    <w:p w:rsidR="00561EB4" w:rsidRPr="00C61104" w:rsidRDefault="00561EB4" w:rsidP="00C71006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C71006">
      <w:pPr>
        <w:pStyle w:val="Default"/>
        <w:rPr>
          <w:sz w:val="22"/>
          <w:szCs w:val="22"/>
          <w:lang w:val="sk-SK"/>
        </w:rPr>
      </w:pPr>
      <w:r w:rsidRPr="00C61104">
        <w:rPr>
          <w:i/>
          <w:iCs/>
          <w:sz w:val="22"/>
          <w:szCs w:val="22"/>
          <w:lang w:val="sk-SK"/>
        </w:rPr>
        <w:t xml:space="preserve">Rasa </w:t>
      </w:r>
    </w:p>
    <w:p w:rsidR="00561EB4" w:rsidRDefault="00561EB4" w:rsidP="00C61104">
      <w:pPr>
        <w:ind w:left="0" w:firstLine="0"/>
        <w:rPr>
          <w:szCs w:val="22"/>
        </w:rPr>
      </w:pPr>
      <w:r>
        <w:rPr>
          <w:szCs w:val="22"/>
        </w:rPr>
        <w:t>Nepozoroval sa rozdiel vo farmakokinetike piperacilínu a tazobaktámu medzi ázijskými (n=9) a kaukazskými (n=9) zdravými dobrovoľníkmi, ktorí dostali jednu dávku 4 g/0,5 g.</w:t>
      </w:r>
    </w:p>
    <w:p w:rsidR="00561EB4" w:rsidRDefault="00561EB4" w:rsidP="00C61104">
      <w:pPr>
        <w:ind w:left="0" w:firstLine="0"/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  <w:r w:rsidRPr="00665938">
        <w:rPr>
          <w:b/>
          <w:szCs w:val="22"/>
        </w:rPr>
        <w:t>5.3</w:t>
      </w:r>
      <w:r w:rsidRPr="00665938">
        <w:rPr>
          <w:b/>
          <w:szCs w:val="22"/>
        </w:rPr>
        <w:tab/>
        <w:t>Predklinické údaje o bezpečnosti</w:t>
      </w:r>
    </w:p>
    <w:p w:rsidR="00561EB4" w:rsidRPr="00665938" w:rsidRDefault="00561EB4" w:rsidP="00D94AD8">
      <w:pPr>
        <w:rPr>
          <w:szCs w:val="22"/>
        </w:rPr>
      </w:pPr>
    </w:p>
    <w:p w:rsidR="00561EB4" w:rsidRDefault="00561EB4" w:rsidP="00EE1178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Predklinické údaje založené na konvenčných štúdiách toxicity a genotoxicity opakovanej dávky neodhalili žiadne osobitné riziká pre ľudí. Štúdie karcinogenity sa s piperacilínom/tazobaktámom nevykonali. </w:t>
      </w:r>
    </w:p>
    <w:p w:rsidR="00561EB4" w:rsidRPr="00C61104" w:rsidRDefault="00561EB4" w:rsidP="00EE1178">
      <w:pPr>
        <w:pStyle w:val="Default"/>
        <w:rPr>
          <w:sz w:val="22"/>
          <w:szCs w:val="22"/>
          <w:lang w:val="sk-SK"/>
        </w:rPr>
      </w:pPr>
    </w:p>
    <w:p w:rsidR="00561EB4" w:rsidRDefault="00561EB4" w:rsidP="00EE1178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V štúdiách fertility a v štúdiách všeobecnej reprodukcie u potkanov po intraperitoneálnom podaní tazobaktámu alebo kombinácie piperacilínu/tazobaktámu bolo hlásené zmenšenie veľkosti vrhu, zvýšenie oneskorenej osifikácie plodu a zmeny rebier súbežne s dávkou toxickou pre matku. Fertilita F1 generácie a embryonálny vývoj F2 generácie neboli zhoršené. </w:t>
      </w:r>
    </w:p>
    <w:p w:rsidR="00561EB4" w:rsidRPr="00C61104" w:rsidRDefault="00561EB4" w:rsidP="00EE1178">
      <w:pPr>
        <w:pStyle w:val="Default"/>
        <w:rPr>
          <w:sz w:val="22"/>
          <w:szCs w:val="22"/>
          <w:lang w:val="sk-SK"/>
        </w:rPr>
      </w:pPr>
    </w:p>
    <w:p w:rsidR="00561EB4" w:rsidRDefault="00561EB4" w:rsidP="00EE1178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V štúdiách teratogenity intravenózne podanie tazobaktámu alebo kombinácie piperacilínu/tazobaktámu potkanom alebo myšiam viedlo k miernej redukcii fetálnej hmotnosti potkanov pri dávkach toxických pre matku, ale nepreukázalo teratogénne účinky. </w:t>
      </w:r>
    </w:p>
    <w:p w:rsidR="00561EB4" w:rsidRPr="00C61104" w:rsidRDefault="00561EB4" w:rsidP="00EE1178">
      <w:pPr>
        <w:pStyle w:val="Default"/>
        <w:rPr>
          <w:sz w:val="22"/>
          <w:szCs w:val="22"/>
          <w:lang w:val="sk-SK"/>
        </w:rPr>
      </w:pPr>
    </w:p>
    <w:p w:rsidR="00561EB4" w:rsidRDefault="00561EB4" w:rsidP="00C61104">
      <w:pPr>
        <w:ind w:left="0" w:firstLine="0"/>
        <w:rPr>
          <w:szCs w:val="22"/>
        </w:rPr>
      </w:pPr>
      <w:r>
        <w:rPr>
          <w:szCs w:val="22"/>
        </w:rPr>
        <w:t xml:space="preserve">U potkanov sa po intraperitoneálnom podaní tazobaktámu alebo kombinácie piperacilínu/tazobaktámu pozorovalo poškodenie peri/postnatálneho vývoja (zníženie hmotnosti plodu, zvýšenie mortality mláďat, zvýšenie narodenia mŕtvych plodov) súbežne s dávkou toxickou pre matku. </w:t>
      </w:r>
    </w:p>
    <w:p w:rsidR="00561EB4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b/>
          <w:szCs w:val="22"/>
        </w:rPr>
      </w:pPr>
      <w:r w:rsidRPr="00665938">
        <w:rPr>
          <w:b/>
          <w:szCs w:val="22"/>
        </w:rPr>
        <w:t>6.</w:t>
      </w:r>
      <w:r w:rsidRPr="00665938">
        <w:rPr>
          <w:b/>
          <w:szCs w:val="22"/>
        </w:rPr>
        <w:tab/>
        <w:t>FARMACEUTICKÉ INFORMÁCIE</w:t>
      </w:r>
    </w:p>
    <w:p w:rsidR="00561EB4" w:rsidRPr="00665938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  <w:r w:rsidRPr="00665938">
        <w:rPr>
          <w:b/>
          <w:szCs w:val="22"/>
        </w:rPr>
        <w:t>6.1</w:t>
      </w:r>
      <w:r w:rsidRPr="00665938">
        <w:rPr>
          <w:b/>
          <w:szCs w:val="22"/>
        </w:rPr>
        <w:tab/>
        <w:t>Zoznam pomocných látok</w:t>
      </w:r>
    </w:p>
    <w:p w:rsidR="00561EB4" w:rsidRPr="00665938" w:rsidRDefault="00561EB4" w:rsidP="00D94AD8"/>
    <w:p w:rsidR="00561EB4" w:rsidRPr="00665938" w:rsidRDefault="00561EB4" w:rsidP="00D94AD8">
      <w:pPr>
        <w:rPr>
          <w:szCs w:val="22"/>
        </w:rPr>
      </w:pPr>
      <w:r>
        <w:rPr>
          <w:szCs w:val="22"/>
        </w:rPr>
        <w:t>Neobsahuje pomocné látky.</w:t>
      </w:r>
    </w:p>
    <w:p w:rsidR="00561EB4" w:rsidRPr="00665938" w:rsidRDefault="00561EB4" w:rsidP="00D94AD8">
      <w:pPr>
        <w:rPr>
          <w:szCs w:val="22"/>
          <w:highlight w:val="yellow"/>
        </w:rPr>
      </w:pPr>
    </w:p>
    <w:p w:rsidR="00561EB4" w:rsidRPr="00665938" w:rsidRDefault="00561EB4" w:rsidP="00D94AD8">
      <w:pPr>
        <w:rPr>
          <w:szCs w:val="22"/>
        </w:rPr>
      </w:pPr>
      <w:r w:rsidRPr="00665938">
        <w:rPr>
          <w:b/>
          <w:szCs w:val="22"/>
        </w:rPr>
        <w:t>6.2</w:t>
      </w:r>
      <w:r w:rsidRPr="00665938">
        <w:rPr>
          <w:b/>
          <w:szCs w:val="22"/>
        </w:rPr>
        <w:tab/>
        <w:t>Inkompatibility</w:t>
      </w:r>
    </w:p>
    <w:p w:rsidR="00561EB4" w:rsidRPr="00665938" w:rsidRDefault="00561EB4" w:rsidP="00D94AD8">
      <w:pPr>
        <w:rPr>
          <w:szCs w:val="22"/>
        </w:rPr>
      </w:pPr>
    </w:p>
    <w:p w:rsidR="00561EB4" w:rsidRDefault="00561EB4" w:rsidP="00D94AD8">
      <w:r>
        <w:t>Tento liek sa nesmie miešať s inými liekmi okrem tých, ktoré sú uvedené v časti 6.6.</w:t>
      </w:r>
    </w:p>
    <w:p w:rsidR="00561EB4" w:rsidRDefault="00561EB4" w:rsidP="00D94AD8"/>
    <w:p w:rsidR="00561EB4" w:rsidRDefault="00561EB4" w:rsidP="00C2153E">
      <w:pPr>
        <w:ind w:left="0" w:firstLine="0"/>
      </w:pPr>
      <w:r>
        <w:t xml:space="preserve">Ak sa </w:t>
      </w:r>
      <w:r w:rsidRPr="00C61104">
        <w:rPr>
          <w:szCs w:val="22"/>
        </w:rPr>
        <w:t>Piperacillin/Tazobactam Sandoz 4</w:t>
      </w:r>
      <w:r w:rsidRPr="00BA7BF6">
        <w:rPr>
          <w:szCs w:val="22"/>
        </w:rPr>
        <w:t> </w:t>
      </w:r>
      <w:r w:rsidRPr="00C61104">
        <w:rPr>
          <w:szCs w:val="22"/>
        </w:rPr>
        <w:t>g/0,5</w:t>
      </w:r>
      <w:r w:rsidRPr="00BA7BF6">
        <w:rPr>
          <w:szCs w:val="22"/>
        </w:rPr>
        <w:t> </w:t>
      </w:r>
      <w:r w:rsidRPr="00C61104">
        <w:rPr>
          <w:szCs w:val="22"/>
        </w:rPr>
        <w:t>g</w:t>
      </w:r>
      <w:r w:rsidDel="00EE1178">
        <w:t xml:space="preserve"> </w:t>
      </w:r>
      <w:r>
        <w:t xml:space="preserve">podáva súčasne s iným antibiotikom (napr. aminoglykozidmi), liečivá sa musia podávať oddelene. Zmiešanie betalaktámových antibiotík s aminoglykozidom </w:t>
      </w:r>
      <w:r w:rsidRPr="00C2153E">
        <w:rPr>
          <w:i/>
        </w:rPr>
        <w:t>in vitro</w:t>
      </w:r>
      <w:r>
        <w:t xml:space="preserve"> môže viesť k značnej inaktivácii aminoglykozidu.</w:t>
      </w:r>
    </w:p>
    <w:p w:rsidR="00561EB4" w:rsidRDefault="00561EB4" w:rsidP="00C2153E">
      <w:pPr>
        <w:ind w:left="0" w:firstLine="0"/>
      </w:pPr>
    </w:p>
    <w:p w:rsidR="00561EB4" w:rsidRDefault="00561EB4" w:rsidP="00C2153E">
      <w:pPr>
        <w:ind w:left="0" w:firstLine="0"/>
      </w:pPr>
      <w:r w:rsidRPr="000D7C56">
        <w:t>Piperacillin/Tazobactam Sandoz 4 g/0,5 g</w:t>
      </w:r>
      <w:r w:rsidRPr="000D7C56" w:rsidDel="000D7C56">
        <w:t xml:space="preserve"> </w:t>
      </w:r>
      <w:r>
        <w:t>sa nemá miešať s inými liečivami v injekčnej striekačke alebo infúznej fľaši, u ktorých nebola stanovená kompatibilita.</w:t>
      </w:r>
    </w:p>
    <w:p w:rsidR="00561EB4" w:rsidRDefault="00561EB4" w:rsidP="00C2153E">
      <w:pPr>
        <w:ind w:left="0" w:firstLine="0"/>
      </w:pPr>
    </w:p>
    <w:p w:rsidR="00561EB4" w:rsidRDefault="00561EB4" w:rsidP="00C2153E">
      <w:pPr>
        <w:ind w:left="0" w:firstLine="0"/>
      </w:pPr>
      <w:r>
        <w:t xml:space="preserve">Z dôvodu chemickej nestability sa </w:t>
      </w:r>
      <w:r w:rsidRPr="000D7C56">
        <w:t>Piperacillin/Tazobactam Sandoz 4 g/0,5 g</w:t>
      </w:r>
      <w:r w:rsidRPr="000D7C56" w:rsidDel="000D7C56">
        <w:t xml:space="preserve"> </w:t>
      </w:r>
      <w:r>
        <w:t>nemá podávať v roztoku, ktorý obsahuje len uhličitan sodný.</w:t>
      </w:r>
    </w:p>
    <w:p w:rsidR="00561EB4" w:rsidRDefault="00561EB4" w:rsidP="00C2153E">
      <w:pPr>
        <w:ind w:left="0" w:firstLine="0"/>
      </w:pPr>
    </w:p>
    <w:p w:rsidR="00561EB4" w:rsidRDefault="00561EB4" w:rsidP="00C2153E">
      <w:pPr>
        <w:ind w:left="0" w:firstLine="0"/>
      </w:pPr>
      <w:r>
        <w:t xml:space="preserve">Ringerov (Hartmanov) roztok s laktátom nie je kompatibilný s liekom </w:t>
      </w:r>
      <w:r w:rsidRPr="000D7C56">
        <w:t>Piperacillin/Tazobactam Sandoz 4 g/0,5 g</w:t>
      </w:r>
      <w:r>
        <w:t>.</w:t>
      </w:r>
    </w:p>
    <w:p w:rsidR="00561EB4" w:rsidRDefault="00561EB4" w:rsidP="00C2153E">
      <w:pPr>
        <w:ind w:left="0" w:firstLine="0"/>
      </w:pPr>
    </w:p>
    <w:p w:rsidR="00561EB4" w:rsidRPr="00665938" w:rsidRDefault="00561EB4" w:rsidP="00C2153E">
      <w:pPr>
        <w:ind w:left="0" w:firstLine="0"/>
        <w:rPr>
          <w:szCs w:val="22"/>
        </w:rPr>
      </w:pPr>
      <w:r w:rsidRPr="000D7C56">
        <w:t>Piperacillin/Tazobactam Sandoz 4 g/0,5 g</w:t>
      </w:r>
      <w:r w:rsidRPr="000D7C56" w:rsidDel="000D7C56">
        <w:t xml:space="preserve"> </w:t>
      </w:r>
      <w:r>
        <w:t xml:space="preserve">sa nemá pridávať ku krvným derivátom alebo hydrolyzátom albumínu. </w:t>
      </w:r>
    </w:p>
    <w:p w:rsidR="00561EB4" w:rsidRPr="00665938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  <w:r w:rsidRPr="00665938">
        <w:rPr>
          <w:b/>
          <w:szCs w:val="22"/>
        </w:rPr>
        <w:t>6.3</w:t>
      </w:r>
      <w:r w:rsidRPr="00665938">
        <w:rPr>
          <w:b/>
          <w:szCs w:val="22"/>
        </w:rPr>
        <w:tab/>
        <w:t>Čas použiteľnosti</w:t>
      </w:r>
    </w:p>
    <w:p w:rsidR="00561EB4" w:rsidRPr="00665938" w:rsidRDefault="00561EB4" w:rsidP="00D94AD8">
      <w:pPr>
        <w:rPr>
          <w:szCs w:val="22"/>
        </w:rPr>
      </w:pPr>
    </w:p>
    <w:p w:rsidR="00561EB4" w:rsidRDefault="00561EB4" w:rsidP="00D94AD8">
      <w:pPr>
        <w:ind w:left="540" w:hanging="540"/>
        <w:rPr>
          <w:szCs w:val="22"/>
        </w:rPr>
      </w:pPr>
      <w:r>
        <w:rPr>
          <w:b/>
          <w:szCs w:val="22"/>
        </w:rPr>
        <w:t xml:space="preserve">Neotvorená injekčná liekovka: </w:t>
      </w:r>
      <w:r>
        <w:rPr>
          <w:szCs w:val="22"/>
        </w:rPr>
        <w:t>2 roky</w:t>
      </w:r>
    </w:p>
    <w:p w:rsidR="00561EB4" w:rsidRDefault="00561EB4" w:rsidP="00D94AD8">
      <w:pPr>
        <w:ind w:left="540" w:hanging="540"/>
        <w:rPr>
          <w:szCs w:val="22"/>
        </w:rPr>
      </w:pPr>
    </w:p>
    <w:p w:rsidR="00561EB4" w:rsidRDefault="00561EB4" w:rsidP="00D94AD8">
      <w:pPr>
        <w:ind w:left="540" w:hanging="540"/>
        <w:rPr>
          <w:szCs w:val="22"/>
        </w:rPr>
      </w:pPr>
      <w:r>
        <w:rPr>
          <w:szCs w:val="22"/>
        </w:rPr>
        <w:t>Pripravený roztok v injekčnej liekovke/riedený infúzny roztok:</w:t>
      </w:r>
    </w:p>
    <w:p w:rsidR="00561EB4" w:rsidRDefault="00561EB4" w:rsidP="00C61104">
      <w:pPr>
        <w:ind w:left="0" w:firstLine="0"/>
        <w:rPr>
          <w:szCs w:val="22"/>
        </w:rPr>
      </w:pPr>
      <w:r>
        <w:rPr>
          <w:szCs w:val="22"/>
        </w:rPr>
        <w:t xml:space="preserve">Pripravený </w:t>
      </w:r>
      <w:r w:rsidRPr="000D7C56">
        <w:rPr>
          <w:szCs w:val="22"/>
        </w:rPr>
        <w:t xml:space="preserve">Piperacillin/Tazobactam Sandoz 4 g/0,5 g </w:t>
      </w:r>
      <w:r>
        <w:rPr>
          <w:szCs w:val="22"/>
        </w:rPr>
        <w:t>sa môže použiť 24 hodín, ak sa uchováva v chladničke (t.j. pri teplote 2°- 8°C).</w:t>
      </w:r>
    </w:p>
    <w:p w:rsidR="00561EB4" w:rsidRDefault="00561EB4" w:rsidP="00D94AD8">
      <w:pPr>
        <w:ind w:left="540" w:hanging="540"/>
        <w:rPr>
          <w:szCs w:val="22"/>
        </w:rPr>
      </w:pPr>
    </w:p>
    <w:p w:rsidR="00561EB4" w:rsidRDefault="00561EB4" w:rsidP="00D94AD8">
      <w:pPr>
        <w:ind w:left="540" w:hanging="540"/>
        <w:rPr>
          <w:szCs w:val="22"/>
        </w:rPr>
      </w:pPr>
      <w:r>
        <w:rPr>
          <w:szCs w:val="22"/>
        </w:rPr>
        <w:t xml:space="preserve">Riedený </w:t>
      </w:r>
      <w:r w:rsidRPr="000D7C56">
        <w:rPr>
          <w:szCs w:val="22"/>
        </w:rPr>
        <w:t>Piperacillin/Tazobactam Sandoz 4 g/0,5 g</w:t>
      </w:r>
      <w:r>
        <w:rPr>
          <w:szCs w:val="22"/>
        </w:rPr>
        <w:t xml:space="preserve"> sa musí použiť okamžite.</w:t>
      </w:r>
    </w:p>
    <w:p w:rsidR="00561EB4" w:rsidRDefault="00561EB4" w:rsidP="00D94AD8">
      <w:pPr>
        <w:ind w:left="540" w:hanging="540"/>
        <w:rPr>
          <w:szCs w:val="22"/>
        </w:rPr>
      </w:pPr>
    </w:p>
    <w:p w:rsidR="00561EB4" w:rsidRDefault="00561EB4" w:rsidP="009832D2">
      <w:pPr>
        <w:ind w:left="0" w:firstLine="0"/>
        <w:rPr>
          <w:szCs w:val="22"/>
        </w:rPr>
      </w:pPr>
      <w:r>
        <w:rPr>
          <w:szCs w:val="22"/>
        </w:rPr>
        <w:t xml:space="preserve">Z mikrobiologického hľadiska sa liek musí podať okamžite. </w:t>
      </w:r>
    </w:p>
    <w:p w:rsidR="00561EB4" w:rsidRDefault="00561EB4" w:rsidP="009832D2">
      <w:pPr>
        <w:ind w:left="0" w:firstLine="0"/>
        <w:rPr>
          <w:szCs w:val="22"/>
        </w:rPr>
      </w:pPr>
    </w:p>
    <w:p w:rsidR="00561EB4" w:rsidRDefault="00561EB4" w:rsidP="009832D2">
      <w:pPr>
        <w:ind w:left="0" w:firstLine="0"/>
        <w:rPr>
          <w:szCs w:val="22"/>
        </w:rPr>
      </w:pPr>
      <w:r>
        <w:rPr>
          <w:szCs w:val="22"/>
        </w:rPr>
        <w:t>Nepoužitý roztok sa má zlikvidovať.</w:t>
      </w:r>
    </w:p>
    <w:p w:rsidR="00561EB4" w:rsidRPr="005315BB" w:rsidRDefault="00561EB4" w:rsidP="00D94AD8">
      <w:pPr>
        <w:ind w:left="540" w:hanging="540"/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  <w:r w:rsidRPr="00665938">
        <w:rPr>
          <w:b/>
          <w:szCs w:val="22"/>
        </w:rPr>
        <w:t>6.4</w:t>
      </w:r>
      <w:r w:rsidRPr="00665938">
        <w:rPr>
          <w:b/>
          <w:szCs w:val="22"/>
        </w:rPr>
        <w:tab/>
        <w:t>Špeciálne upozornenia na uchovávanie</w:t>
      </w:r>
    </w:p>
    <w:p w:rsidR="00561EB4" w:rsidRDefault="00561EB4" w:rsidP="00D94AD8"/>
    <w:p w:rsidR="00561EB4" w:rsidRDefault="00561EB4" w:rsidP="00D94AD8">
      <w:r w:rsidRPr="00D810B0">
        <w:t>Neotvoren</w:t>
      </w:r>
      <w:r>
        <w:t>á injekčná liekovka</w:t>
      </w:r>
      <w:r w:rsidRPr="00D810B0">
        <w:t xml:space="preserve">: </w:t>
      </w:r>
      <w:r>
        <w:t>žiadne špeciálne upozornenia na uchovávanie.</w:t>
      </w:r>
    </w:p>
    <w:p w:rsidR="00561EB4" w:rsidRDefault="00561EB4" w:rsidP="00D94AD8"/>
    <w:p w:rsidR="00561EB4" w:rsidRDefault="00561EB4" w:rsidP="00D94AD8">
      <w:r>
        <w:t>Podmienky uchovávania pripraveného a riedeného lieku pozri v časti 6.3.</w:t>
      </w:r>
    </w:p>
    <w:p w:rsidR="00561EB4" w:rsidRPr="00665938" w:rsidRDefault="00561EB4" w:rsidP="00D94AD8"/>
    <w:p w:rsidR="00561EB4" w:rsidRPr="00665938" w:rsidRDefault="00561EB4" w:rsidP="00D94AD8">
      <w:pPr>
        <w:rPr>
          <w:szCs w:val="22"/>
        </w:rPr>
      </w:pPr>
      <w:r w:rsidRPr="00665938">
        <w:rPr>
          <w:b/>
          <w:szCs w:val="22"/>
        </w:rPr>
        <w:t>6.5</w:t>
      </w:r>
      <w:r w:rsidRPr="00665938">
        <w:rPr>
          <w:b/>
          <w:szCs w:val="22"/>
        </w:rPr>
        <w:tab/>
        <w:t>Druh obalu a obsah balenia</w:t>
      </w:r>
      <w:r w:rsidRPr="00665938">
        <w:rPr>
          <w:b/>
          <w:color w:val="0000FF"/>
          <w:szCs w:val="22"/>
        </w:rPr>
        <w:t xml:space="preserve"> </w:t>
      </w:r>
    </w:p>
    <w:p w:rsidR="00561EB4" w:rsidRPr="00665938" w:rsidRDefault="00561EB4" w:rsidP="00D94AD8">
      <w:pPr>
        <w:rPr>
          <w:szCs w:val="22"/>
        </w:rPr>
      </w:pPr>
    </w:p>
    <w:p w:rsidR="00561EB4" w:rsidRDefault="00561EB4" w:rsidP="001D5BC1">
      <w:pPr>
        <w:ind w:left="0" w:firstLine="0"/>
        <w:rPr>
          <w:szCs w:val="22"/>
        </w:rPr>
      </w:pPr>
      <w:r>
        <w:rPr>
          <w:szCs w:val="22"/>
        </w:rPr>
        <w:t>48 ml sklenená injekčná liekovka s brómbutylovou gumovou zátkou sivej farby s PP/Al vyklápacím tesnením červenej farby.</w:t>
      </w:r>
    </w:p>
    <w:p w:rsidR="00561EB4" w:rsidRDefault="00561EB4" w:rsidP="001D5BC1">
      <w:pPr>
        <w:ind w:left="0" w:firstLine="0"/>
        <w:rPr>
          <w:szCs w:val="22"/>
        </w:rPr>
      </w:pPr>
    </w:p>
    <w:p w:rsidR="00561EB4" w:rsidRDefault="00561EB4" w:rsidP="00D94AD8">
      <w:pPr>
        <w:rPr>
          <w:szCs w:val="22"/>
        </w:rPr>
      </w:pPr>
      <w:r>
        <w:rPr>
          <w:szCs w:val="22"/>
        </w:rPr>
        <w:t>Veľkosť balenia: 1, 5, 10, 12 a 50 injekčných liekoviek.</w:t>
      </w:r>
    </w:p>
    <w:p w:rsidR="00561EB4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  <w:r w:rsidRPr="00D810B0">
        <w:rPr>
          <w:szCs w:val="22"/>
        </w:rPr>
        <w:t>Nie všetky veľkosti balenia musia byť uvedené na trh.</w:t>
      </w:r>
    </w:p>
    <w:p w:rsidR="00561EB4" w:rsidRPr="00665938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b/>
          <w:bCs/>
        </w:rPr>
      </w:pPr>
      <w:r w:rsidRPr="00D810B0">
        <w:rPr>
          <w:b/>
          <w:szCs w:val="22"/>
        </w:rPr>
        <w:t>6.6</w:t>
      </w:r>
      <w:r w:rsidRPr="00D810B0">
        <w:rPr>
          <w:b/>
          <w:szCs w:val="22"/>
        </w:rPr>
        <w:tab/>
      </w:r>
      <w:r w:rsidRPr="00D810B0">
        <w:rPr>
          <w:b/>
          <w:bCs/>
        </w:rPr>
        <w:t>Špeciálne opatrenia na likvidáciu</w:t>
      </w:r>
      <w:r w:rsidRPr="00D810B0">
        <w:rPr>
          <w:b/>
          <w:szCs w:val="22"/>
        </w:rPr>
        <w:t xml:space="preserve"> a iné zaobchádzanie s liekom</w:t>
      </w:r>
    </w:p>
    <w:p w:rsidR="00561EB4" w:rsidRDefault="00561EB4" w:rsidP="00D94AD8">
      <w:pPr>
        <w:rPr>
          <w:b/>
          <w:bCs/>
        </w:rPr>
      </w:pPr>
    </w:p>
    <w:p w:rsidR="00561EB4" w:rsidRDefault="00561EB4" w:rsidP="008F2524">
      <w:pPr>
        <w:pStyle w:val="Default"/>
        <w:rPr>
          <w:sz w:val="22"/>
          <w:szCs w:val="22"/>
          <w:lang w:val="sk-SK"/>
        </w:rPr>
      </w:pPr>
      <w:r w:rsidRPr="00C61104">
        <w:rPr>
          <w:sz w:val="22"/>
          <w:szCs w:val="22"/>
          <w:lang w:val="sk-SK"/>
        </w:rPr>
        <w:t xml:space="preserve">Príprava a riedenie sa majú vykonávať za aseptických podmienok. Pred podaním je potrebné vizuálne skontrolovať roztok na prítomnosť častíc a zmenu sfarbenia. Roztok sa má použiť iba vtedy, keď je číry a je bez viditeľných častíc. </w:t>
      </w:r>
    </w:p>
    <w:p w:rsidR="00561EB4" w:rsidRPr="00C61104" w:rsidRDefault="00561EB4" w:rsidP="008F2524">
      <w:pPr>
        <w:pStyle w:val="Default"/>
        <w:rPr>
          <w:sz w:val="22"/>
          <w:szCs w:val="22"/>
          <w:lang w:val="sk-SK"/>
        </w:rPr>
      </w:pPr>
    </w:p>
    <w:p w:rsidR="00561EB4" w:rsidRPr="00C61104" w:rsidRDefault="00561EB4" w:rsidP="008F2524">
      <w:pPr>
        <w:pStyle w:val="Default"/>
        <w:rPr>
          <w:sz w:val="22"/>
          <w:szCs w:val="22"/>
          <w:u w:val="single"/>
          <w:lang w:val="sk-SK"/>
        </w:rPr>
      </w:pPr>
      <w:r w:rsidRPr="00C61104">
        <w:rPr>
          <w:bCs/>
          <w:sz w:val="22"/>
          <w:szCs w:val="22"/>
          <w:u w:val="single"/>
          <w:lang w:val="sk-SK"/>
        </w:rPr>
        <w:t xml:space="preserve">Intravenózne použitie </w:t>
      </w:r>
    </w:p>
    <w:p w:rsidR="00561EB4" w:rsidRDefault="00561EB4" w:rsidP="00C61104">
      <w:pPr>
        <w:ind w:left="0" w:firstLine="0"/>
        <w:rPr>
          <w:szCs w:val="22"/>
        </w:rPr>
      </w:pPr>
      <w:r>
        <w:rPr>
          <w:szCs w:val="22"/>
        </w:rPr>
        <w:t>Pripravte každú injekčnú liekovku použitím daného objemu rozpúšťadla z tabuľky uvedenej nižšie pomocou jedného z kompatibilných rozpúšťadiel na riedenie uvedených nižšie. Roztok miešajte, kým sa nerozpustí. Pri konštantnom vírení sa príprava uskutoční počas 5 až 10 minút (pre pokyny týkajúce sa uchovávania, prosím, pozri nižšie).</w:t>
      </w:r>
    </w:p>
    <w:p w:rsidR="00561EB4" w:rsidRDefault="00561EB4" w:rsidP="00C61104">
      <w:pPr>
        <w:ind w:left="0" w:firstLine="0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4"/>
        <w:gridCol w:w="4644"/>
      </w:tblGrid>
      <w:tr w:rsidR="00561EB4" w:rsidTr="00A4601B">
        <w:tc>
          <w:tcPr>
            <w:tcW w:w="4644" w:type="dxa"/>
          </w:tcPr>
          <w:p w:rsidR="00561EB4" w:rsidRPr="00A4601B" w:rsidRDefault="00561EB4" w:rsidP="00A4601B">
            <w:pPr>
              <w:ind w:left="0" w:firstLine="0"/>
              <w:rPr>
                <w:b/>
              </w:rPr>
            </w:pPr>
            <w:r w:rsidRPr="00A4601B">
              <w:rPr>
                <w:b/>
                <w:szCs w:val="22"/>
              </w:rPr>
              <w:t>Obsah injekčnej liekovky</w:t>
            </w:r>
          </w:p>
        </w:tc>
        <w:tc>
          <w:tcPr>
            <w:tcW w:w="4644" w:type="dxa"/>
          </w:tcPr>
          <w:p w:rsidR="00561EB4" w:rsidRPr="00A4601B" w:rsidRDefault="00561EB4" w:rsidP="00A4601B">
            <w:pPr>
              <w:ind w:left="0" w:firstLine="0"/>
            </w:pPr>
            <w:r w:rsidRPr="00A4601B">
              <w:rPr>
                <w:b/>
                <w:bCs/>
                <w:color w:val="000000"/>
                <w:szCs w:val="22"/>
              </w:rPr>
              <w:t>Objem rozpúšťadla * pridaný do injekčnej liekovky</w:t>
            </w:r>
          </w:p>
        </w:tc>
      </w:tr>
      <w:tr w:rsidR="00561EB4" w:rsidTr="00A4601B">
        <w:tc>
          <w:tcPr>
            <w:tcW w:w="4644" w:type="dxa"/>
          </w:tcPr>
          <w:p w:rsidR="00561EB4" w:rsidRPr="00A4601B" w:rsidRDefault="00561EB4" w:rsidP="00A4601B">
            <w:pPr>
              <w:ind w:left="0" w:firstLine="0"/>
            </w:pPr>
            <w:r w:rsidRPr="00A4601B">
              <w:rPr>
                <w:szCs w:val="22"/>
              </w:rPr>
              <w:t>4 g/0,5 g (4 g piperacilínu a 0,5 g tazobaktámu)</w:t>
            </w:r>
          </w:p>
        </w:tc>
        <w:tc>
          <w:tcPr>
            <w:tcW w:w="4644" w:type="dxa"/>
          </w:tcPr>
          <w:p w:rsidR="00561EB4" w:rsidRPr="00A4601B" w:rsidRDefault="00561EB4" w:rsidP="00A4601B">
            <w:pPr>
              <w:ind w:left="0" w:firstLine="0"/>
            </w:pPr>
            <w:r w:rsidRPr="00A4601B">
              <w:rPr>
                <w:szCs w:val="22"/>
              </w:rPr>
              <w:t>20 ml</w:t>
            </w:r>
          </w:p>
        </w:tc>
      </w:tr>
    </w:tbl>
    <w:p w:rsidR="00561EB4" w:rsidRDefault="00561EB4" w:rsidP="00C61104">
      <w:pPr>
        <w:ind w:left="0" w:firstLine="0"/>
        <w:rPr>
          <w:szCs w:val="22"/>
        </w:rPr>
      </w:pPr>
    </w:p>
    <w:p w:rsidR="00561EB4" w:rsidRDefault="00561EB4" w:rsidP="008F2524">
      <w:pPr>
        <w:pStyle w:val="Default"/>
      </w:pPr>
      <w:r>
        <w:rPr>
          <w:sz w:val="22"/>
          <w:szCs w:val="22"/>
          <w:u w:val="single"/>
        </w:rPr>
        <w:t xml:space="preserve">*Kompatibilné rozpúšťadlá na prípravu: </w:t>
      </w:r>
    </w:p>
    <w:p w:rsidR="00561EB4" w:rsidRDefault="00561EB4" w:rsidP="00C61104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 xml:space="preserve">0,9 % injekčný roztok chloridu sodného </w:t>
      </w:r>
    </w:p>
    <w:p w:rsidR="00561EB4" w:rsidRDefault="00561EB4" w:rsidP="00C61104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sterilná voda na injekciu</w:t>
      </w:r>
      <w:r>
        <w:rPr>
          <w:position w:val="8"/>
          <w:sz w:val="22"/>
          <w:szCs w:val="22"/>
          <w:vertAlign w:val="superscript"/>
        </w:rPr>
        <w:t xml:space="preserve">(1) </w:t>
      </w:r>
    </w:p>
    <w:p w:rsidR="00561EB4" w:rsidRDefault="00561EB4" w:rsidP="00C61104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 xml:space="preserve">5% glukóza </w:t>
      </w:r>
    </w:p>
    <w:p w:rsidR="00561EB4" w:rsidRDefault="00561EB4" w:rsidP="008F2524">
      <w:pPr>
        <w:pStyle w:val="Default"/>
        <w:rPr>
          <w:sz w:val="22"/>
          <w:szCs w:val="22"/>
        </w:rPr>
      </w:pPr>
    </w:p>
    <w:p w:rsidR="00561EB4" w:rsidRDefault="00561EB4" w:rsidP="008F2524">
      <w:pPr>
        <w:pStyle w:val="Default"/>
        <w:rPr>
          <w:sz w:val="22"/>
          <w:szCs w:val="22"/>
        </w:rPr>
      </w:pPr>
      <w:r>
        <w:rPr>
          <w:position w:val="8"/>
          <w:sz w:val="22"/>
          <w:szCs w:val="22"/>
          <w:vertAlign w:val="superscript"/>
        </w:rPr>
        <w:t xml:space="preserve">(1) </w:t>
      </w:r>
      <w:r>
        <w:rPr>
          <w:sz w:val="22"/>
          <w:szCs w:val="22"/>
        </w:rPr>
        <w:t xml:space="preserve">Maximálny odporúčaný objem sterilnej vody na injekciu na dávku je 50 ml. </w:t>
      </w:r>
    </w:p>
    <w:p w:rsidR="00561EB4" w:rsidRDefault="00561EB4" w:rsidP="008F2524">
      <w:pPr>
        <w:pStyle w:val="Default"/>
        <w:rPr>
          <w:sz w:val="22"/>
          <w:szCs w:val="22"/>
        </w:rPr>
      </w:pPr>
    </w:p>
    <w:p w:rsidR="00561EB4" w:rsidRDefault="00561EB4" w:rsidP="008F252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Pripravený roztok sa musí natiahnuť z injekčnej liekovky pomocou injekčnej striekačky. Po nariedení podľa návodu poskytne obsah injekčnej liekovky natiahnutý injekčnou striekačkou požadované množstvom piperacilínu a tazobaktámu. </w:t>
      </w:r>
    </w:p>
    <w:p w:rsidR="00561EB4" w:rsidRDefault="00561EB4" w:rsidP="008F2524">
      <w:pPr>
        <w:pStyle w:val="Default"/>
        <w:rPr>
          <w:sz w:val="22"/>
          <w:szCs w:val="22"/>
        </w:rPr>
      </w:pPr>
    </w:p>
    <w:p w:rsidR="00561EB4" w:rsidRDefault="00561EB4" w:rsidP="008F2524">
      <w:pPr>
        <w:pStyle w:val="Default"/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Pripravený roztok sa môže ďalej riediť na požadovaný objem (napr. 50 ml až 150 ml) jedným z kompatibilných rozpúšťadiel na intravenózne použitie uvedených nižšie: </w:t>
      </w:r>
    </w:p>
    <w:p w:rsidR="00561EB4" w:rsidRDefault="00561EB4" w:rsidP="00C61104">
      <w:pPr>
        <w:pStyle w:val="Default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0,9% (9 mg/ml) injekčný roztok chloridu sodného </w:t>
      </w:r>
    </w:p>
    <w:p w:rsidR="00561EB4" w:rsidRDefault="00561EB4" w:rsidP="00C61104">
      <w:pPr>
        <w:pStyle w:val="Default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5% glukóza </w:t>
      </w:r>
    </w:p>
    <w:p w:rsidR="00561EB4" w:rsidRDefault="00561EB4" w:rsidP="00C61104">
      <w:pPr>
        <w:pStyle w:val="Default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6% dextrán v 0,9% roztoku chloridu sodného </w:t>
      </w:r>
    </w:p>
    <w:p w:rsidR="00561EB4" w:rsidRDefault="00561EB4" w:rsidP="008F2524">
      <w:pPr>
        <w:pStyle w:val="Default"/>
        <w:rPr>
          <w:sz w:val="22"/>
          <w:szCs w:val="22"/>
        </w:rPr>
      </w:pPr>
    </w:p>
    <w:p w:rsidR="00561EB4" w:rsidRDefault="00561EB4" w:rsidP="008F252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Inkompatibility pozri v časti 6.2.</w:t>
      </w:r>
    </w:p>
    <w:p w:rsidR="00561EB4" w:rsidRDefault="00561EB4" w:rsidP="008F2524">
      <w:pPr>
        <w:pStyle w:val="Default"/>
        <w:rPr>
          <w:sz w:val="22"/>
          <w:szCs w:val="22"/>
        </w:rPr>
      </w:pPr>
    </w:p>
    <w:p w:rsidR="00561EB4" w:rsidRDefault="00561EB4" w:rsidP="001D5BC1">
      <w:pPr>
        <w:ind w:left="0" w:firstLine="0"/>
        <w:rPr>
          <w:bCs/>
        </w:rPr>
      </w:pPr>
      <w:r>
        <w:rPr>
          <w:bCs/>
        </w:rPr>
        <w:t>Nepoužitý liek alebo odpad vzniknutý z lieku má byť zlikvidovaný v súlade s národnými požiadavkami.</w:t>
      </w:r>
    </w:p>
    <w:p w:rsidR="00561EB4" w:rsidRDefault="00561EB4" w:rsidP="001D5BC1">
      <w:pPr>
        <w:ind w:left="0" w:firstLine="0"/>
        <w:rPr>
          <w:bCs/>
        </w:rPr>
      </w:pPr>
    </w:p>
    <w:p w:rsidR="00561EB4" w:rsidRDefault="00561EB4" w:rsidP="00F768D2">
      <w:pPr>
        <w:ind w:left="0" w:firstLine="0"/>
        <w:rPr>
          <w:bCs/>
        </w:rPr>
      </w:pPr>
      <w:r>
        <w:rPr>
          <w:bCs/>
        </w:rPr>
        <w:t>Len na jednorazové použitie. Nepoužitý roztok zlikvidujte.</w:t>
      </w:r>
    </w:p>
    <w:p w:rsidR="00561EB4" w:rsidRDefault="00561EB4" w:rsidP="001D5BC1">
      <w:pPr>
        <w:ind w:left="0" w:firstLine="0"/>
        <w:rPr>
          <w:bCs/>
        </w:rPr>
      </w:pPr>
    </w:p>
    <w:p w:rsidR="00561EB4" w:rsidRPr="00665938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b/>
          <w:szCs w:val="22"/>
        </w:rPr>
      </w:pPr>
      <w:r w:rsidRPr="00665938">
        <w:rPr>
          <w:b/>
          <w:szCs w:val="22"/>
        </w:rPr>
        <w:t>7.</w:t>
      </w:r>
      <w:r w:rsidRPr="00665938">
        <w:rPr>
          <w:b/>
          <w:szCs w:val="22"/>
        </w:rPr>
        <w:tab/>
        <w:t>DRŽITEĽ ROZHODNUTIA O REGISTRÁCII</w:t>
      </w:r>
    </w:p>
    <w:p w:rsidR="00561EB4" w:rsidRPr="00665938" w:rsidRDefault="00561EB4" w:rsidP="00D94AD8">
      <w:pPr>
        <w:rPr>
          <w:szCs w:val="22"/>
        </w:rPr>
      </w:pPr>
    </w:p>
    <w:p w:rsidR="00561EB4" w:rsidRDefault="00561EB4" w:rsidP="00A02B04">
      <w:pPr>
        <w:ind w:left="0" w:firstLine="0"/>
        <w:rPr>
          <w:szCs w:val="22"/>
        </w:rPr>
      </w:pPr>
      <w:r>
        <w:rPr>
          <w:szCs w:val="22"/>
        </w:rPr>
        <w:t>Sandoz Pharmaceuticals d.d.</w:t>
      </w:r>
    </w:p>
    <w:p w:rsidR="00561EB4" w:rsidRDefault="00561EB4" w:rsidP="00A02B04">
      <w:pPr>
        <w:ind w:left="0" w:firstLine="0"/>
        <w:rPr>
          <w:szCs w:val="22"/>
        </w:rPr>
      </w:pPr>
      <w:r>
        <w:rPr>
          <w:szCs w:val="22"/>
        </w:rPr>
        <w:t>Verovškova 57</w:t>
      </w:r>
    </w:p>
    <w:p w:rsidR="00561EB4" w:rsidRDefault="00561EB4" w:rsidP="00A02B04">
      <w:pPr>
        <w:ind w:left="0" w:firstLine="0"/>
        <w:rPr>
          <w:szCs w:val="22"/>
        </w:rPr>
      </w:pPr>
      <w:r>
        <w:rPr>
          <w:szCs w:val="22"/>
        </w:rPr>
        <w:t>1000 Ľubľana</w:t>
      </w:r>
    </w:p>
    <w:p w:rsidR="00561EB4" w:rsidRPr="00665938" w:rsidRDefault="00561EB4" w:rsidP="00A02B04">
      <w:pPr>
        <w:ind w:left="0" w:firstLine="0"/>
        <w:rPr>
          <w:szCs w:val="22"/>
        </w:rPr>
      </w:pPr>
      <w:r>
        <w:rPr>
          <w:szCs w:val="22"/>
        </w:rPr>
        <w:t>Slovinsko</w:t>
      </w:r>
    </w:p>
    <w:p w:rsidR="00561EB4" w:rsidRPr="00665938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</w:p>
    <w:p w:rsidR="00561EB4" w:rsidRDefault="00561EB4" w:rsidP="00D94AD8">
      <w:pPr>
        <w:rPr>
          <w:b/>
          <w:szCs w:val="22"/>
        </w:rPr>
      </w:pPr>
      <w:r w:rsidRPr="00665938">
        <w:rPr>
          <w:b/>
          <w:szCs w:val="22"/>
        </w:rPr>
        <w:t>8.</w:t>
      </w:r>
      <w:r w:rsidRPr="00665938">
        <w:rPr>
          <w:b/>
          <w:szCs w:val="22"/>
        </w:rPr>
        <w:tab/>
        <w:t>REGISTRAČNÉ ČÍSL</w:t>
      </w:r>
      <w:r>
        <w:rPr>
          <w:b/>
          <w:szCs w:val="22"/>
        </w:rPr>
        <w:t>O</w:t>
      </w:r>
    </w:p>
    <w:p w:rsidR="00561EB4" w:rsidRDefault="00561EB4" w:rsidP="00D94AD8">
      <w:pPr>
        <w:rPr>
          <w:b/>
          <w:szCs w:val="22"/>
        </w:rPr>
      </w:pPr>
    </w:p>
    <w:p w:rsidR="00561EB4" w:rsidRDefault="00561EB4" w:rsidP="00D94AD8">
      <w:pPr>
        <w:rPr>
          <w:szCs w:val="22"/>
        </w:rPr>
      </w:pPr>
      <w:r>
        <w:rPr>
          <w:szCs w:val="22"/>
        </w:rPr>
        <w:t>15/0599/09-S</w:t>
      </w:r>
    </w:p>
    <w:p w:rsidR="00561EB4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b/>
          <w:szCs w:val="22"/>
        </w:rPr>
      </w:pPr>
      <w:r w:rsidRPr="00665938">
        <w:rPr>
          <w:b/>
          <w:szCs w:val="22"/>
        </w:rPr>
        <w:t>9.</w:t>
      </w:r>
      <w:r w:rsidRPr="00665938">
        <w:rPr>
          <w:b/>
          <w:szCs w:val="22"/>
        </w:rPr>
        <w:tab/>
        <w:t>DÁTUM PRVEJ REGISTRÁCIE/ PREDĹŽENIA REGISTRÁCIE</w:t>
      </w:r>
    </w:p>
    <w:p w:rsidR="00561EB4" w:rsidRPr="00665938" w:rsidRDefault="00561EB4" w:rsidP="00D94AD8">
      <w:pPr>
        <w:rPr>
          <w:szCs w:val="22"/>
        </w:rPr>
      </w:pPr>
    </w:p>
    <w:p w:rsidR="00561EB4" w:rsidRDefault="00561EB4" w:rsidP="00D94AD8">
      <w:pPr>
        <w:rPr>
          <w:szCs w:val="22"/>
        </w:rPr>
      </w:pPr>
      <w:r>
        <w:rPr>
          <w:szCs w:val="22"/>
        </w:rPr>
        <w:t>15.10.2010</w:t>
      </w:r>
    </w:p>
    <w:p w:rsidR="00561EB4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szCs w:val="22"/>
        </w:rPr>
      </w:pPr>
    </w:p>
    <w:p w:rsidR="00561EB4" w:rsidRPr="00665938" w:rsidRDefault="00561EB4" w:rsidP="00D94AD8">
      <w:pPr>
        <w:rPr>
          <w:b/>
          <w:szCs w:val="22"/>
        </w:rPr>
      </w:pPr>
      <w:r w:rsidRPr="00665938">
        <w:rPr>
          <w:b/>
          <w:szCs w:val="22"/>
        </w:rPr>
        <w:t>10.</w:t>
      </w:r>
      <w:r w:rsidRPr="00665938">
        <w:rPr>
          <w:b/>
          <w:szCs w:val="22"/>
        </w:rPr>
        <w:tab/>
        <w:t>DÁTUM REVÍZIE TEXTU</w:t>
      </w:r>
    </w:p>
    <w:p w:rsidR="00561EB4" w:rsidRDefault="00561EB4" w:rsidP="00D94AD8">
      <w:pPr>
        <w:rPr>
          <w:b/>
          <w:szCs w:val="22"/>
        </w:rPr>
      </w:pPr>
    </w:p>
    <w:p w:rsidR="00561EB4" w:rsidRPr="00D421CD" w:rsidRDefault="00561EB4" w:rsidP="00D94AD8">
      <w:pPr>
        <w:rPr>
          <w:szCs w:val="22"/>
        </w:rPr>
      </w:pPr>
      <w:r>
        <w:rPr>
          <w:szCs w:val="22"/>
        </w:rPr>
        <w:t>Máj 2012</w:t>
      </w:r>
    </w:p>
    <w:sectPr w:rsidR="00561EB4" w:rsidRPr="00D421CD" w:rsidSect="00BA7BF6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EB4" w:rsidRDefault="00561EB4">
      <w:r>
        <w:separator/>
      </w:r>
    </w:p>
  </w:endnote>
  <w:endnote w:type="continuationSeparator" w:id="0">
    <w:p w:rsidR="00561EB4" w:rsidRDefault="00561E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EB4" w:rsidRDefault="00561EB4" w:rsidP="00D94AD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61EB4" w:rsidRDefault="00561EB4" w:rsidP="00D94AD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EB4" w:rsidRDefault="00561EB4" w:rsidP="00D94AD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561EB4" w:rsidRDefault="00561EB4" w:rsidP="00D94AD8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EB4" w:rsidRDefault="00561EB4">
      <w:r>
        <w:separator/>
      </w:r>
    </w:p>
  </w:footnote>
  <w:footnote w:type="continuationSeparator" w:id="0">
    <w:p w:rsidR="00561EB4" w:rsidRDefault="00561E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4F8E689"/>
    <w:multiLevelType w:val="hybridMultilevel"/>
    <w:tmpl w:val="2E36D60A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F49E8B34"/>
    <w:multiLevelType w:val="hybridMultilevel"/>
    <w:tmpl w:val="B11C23F9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1A6F3A69"/>
    <w:multiLevelType w:val="hybridMultilevel"/>
    <w:tmpl w:val="E58CD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981B6D"/>
    <w:multiLevelType w:val="hybridMultilevel"/>
    <w:tmpl w:val="CD316BDB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2EFC2CA8"/>
    <w:multiLevelType w:val="hybridMultilevel"/>
    <w:tmpl w:val="5E6246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EB90076"/>
    <w:multiLevelType w:val="hybridMultilevel"/>
    <w:tmpl w:val="B7782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0E381C"/>
    <w:multiLevelType w:val="hybridMultilevel"/>
    <w:tmpl w:val="A566D5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6491CE0"/>
    <w:multiLevelType w:val="hybridMultilevel"/>
    <w:tmpl w:val="9E383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B32357"/>
    <w:multiLevelType w:val="hybridMultilevel"/>
    <w:tmpl w:val="CECC03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A039D"/>
    <w:multiLevelType w:val="hybridMultilevel"/>
    <w:tmpl w:val="A63CB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57512"/>
    <w:multiLevelType w:val="hybridMultilevel"/>
    <w:tmpl w:val="FFEA6AC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7A07D0F"/>
    <w:multiLevelType w:val="hybridMultilevel"/>
    <w:tmpl w:val="F306C9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4"/>
  </w:num>
  <w:num w:numId="4">
    <w:abstractNumId w:val="8"/>
  </w:num>
  <w:num w:numId="5">
    <w:abstractNumId w:val="11"/>
  </w:num>
  <w:num w:numId="6">
    <w:abstractNumId w:val="9"/>
  </w:num>
  <w:num w:numId="7">
    <w:abstractNumId w:val="3"/>
  </w:num>
  <w:num w:numId="8">
    <w:abstractNumId w:val="1"/>
  </w:num>
  <w:num w:numId="9">
    <w:abstractNumId w:val="5"/>
  </w:num>
  <w:num w:numId="10">
    <w:abstractNumId w:val="0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449"/>
    <w:rsid w:val="00010201"/>
    <w:rsid w:val="000118B0"/>
    <w:rsid w:val="00014333"/>
    <w:rsid w:val="000271DB"/>
    <w:rsid w:val="00027F23"/>
    <w:rsid w:val="000358A4"/>
    <w:rsid w:val="000472C9"/>
    <w:rsid w:val="00052AE0"/>
    <w:rsid w:val="000545EB"/>
    <w:rsid w:val="000571E6"/>
    <w:rsid w:val="00060993"/>
    <w:rsid w:val="0006644E"/>
    <w:rsid w:val="0007041D"/>
    <w:rsid w:val="000715B4"/>
    <w:rsid w:val="00077040"/>
    <w:rsid w:val="000828A0"/>
    <w:rsid w:val="000852A3"/>
    <w:rsid w:val="00085347"/>
    <w:rsid w:val="000856FD"/>
    <w:rsid w:val="000866E5"/>
    <w:rsid w:val="0009237D"/>
    <w:rsid w:val="000B6385"/>
    <w:rsid w:val="000C4534"/>
    <w:rsid w:val="000C7792"/>
    <w:rsid w:val="000C7991"/>
    <w:rsid w:val="000D6138"/>
    <w:rsid w:val="000D7C56"/>
    <w:rsid w:val="000E1F43"/>
    <w:rsid w:val="000E4656"/>
    <w:rsid w:val="000E49BF"/>
    <w:rsid w:val="000F7409"/>
    <w:rsid w:val="0010710F"/>
    <w:rsid w:val="001170B5"/>
    <w:rsid w:val="00123C28"/>
    <w:rsid w:val="00125479"/>
    <w:rsid w:val="00126CDA"/>
    <w:rsid w:val="001302F4"/>
    <w:rsid w:val="00133FD3"/>
    <w:rsid w:val="001349B2"/>
    <w:rsid w:val="00150AC6"/>
    <w:rsid w:val="0016350E"/>
    <w:rsid w:val="001649A8"/>
    <w:rsid w:val="00170187"/>
    <w:rsid w:val="0017394E"/>
    <w:rsid w:val="00174046"/>
    <w:rsid w:val="00180860"/>
    <w:rsid w:val="001826EE"/>
    <w:rsid w:val="00183405"/>
    <w:rsid w:val="001905DF"/>
    <w:rsid w:val="00196414"/>
    <w:rsid w:val="001A24BD"/>
    <w:rsid w:val="001A42B3"/>
    <w:rsid w:val="001A6A49"/>
    <w:rsid w:val="001B235C"/>
    <w:rsid w:val="001B36C6"/>
    <w:rsid w:val="001B5EAE"/>
    <w:rsid w:val="001B6EEF"/>
    <w:rsid w:val="001B74A1"/>
    <w:rsid w:val="001C29E0"/>
    <w:rsid w:val="001C7179"/>
    <w:rsid w:val="001D35FE"/>
    <w:rsid w:val="001D4747"/>
    <w:rsid w:val="001D5BC1"/>
    <w:rsid w:val="001F062A"/>
    <w:rsid w:val="001F0E9A"/>
    <w:rsid w:val="001F52E7"/>
    <w:rsid w:val="00206742"/>
    <w:rsid w:val="002075F5"/>
    <w:rsid w:val="002106BF"/>
    <w:rsid w:val="00236535"/>
    <w:rsid w:val="00250739"/>
    <w:rsid w:val="002528D5"/>
    <w:rsid w:val="00255F75"/>
    <w:rsid w:val="0025656C"/>
    <w:rsid w:val="0025744B"/>
    <w:rsid w:val="002578D3"/>
    <w:rsid w:val="00264E13"/>
    <w:rsid w:val="00270E2B"/>
    <w:rsid w:val="002725E0"/>
    <w:rsid w:val="00277871"/>
    <w:rsid w:val="002816A1"/>
    <w:rsid w:val="002859C1"/>
    <w:rsid w:val="00291DAC"/>
    <w:rsid w:val="002B7EFF"/>
    <w:rsid w:val="002C276F"/>
    <w:rsid w:val="002C71B3"/>
    <w:rsid w:val="002D36F7"/>
    <w:rsid w:val="002D454C"/>
    <w:rsid w:val="002E7CF3"/>
    <w:rsid w:val="00301829"/>
    <w:rsid w:val="0030296B"/>
    <w:rsid w:val="00311449"/>
    <w:rsid w:val="003118A5"/>
    <w:rsid w:val="003154A0"/>
    <w:rsid w:val="00324647"/>
    <w:rsid w:val="003275B9"/>
    <w:rsid w:val="003309E5"/>
    <w:rsid w:val="00331663"/>
    <w:rsid w:val="00331D51"/>
    <w:rsid w:val="00333517"/>
    <w:rsid w:val="00342011"/>
    <w:rsid w:val="00367E4E"/>
    <w:rsid w:val="0037157F"/>
    <w:rsid w:val="00372F60"/>
    <w:rsid w:val="00376537"/>
    <w:rsid w:val="0038233A"/>
    <w:rsid w:val="0039321E"/>
    <w:rsid w:val="003947A7"/>
    <w:rsid w:val="003A4946"/>
    <w:rsid w:val="003A4C5C"/>
    <w:rsid w:val="003B7B64"/>
    <w:rsid w:val="003B7C81"/>
    <w:rsid w:val="003C0AC2"/>
    <w:rsid w:val="003C21B0"/>
    <w:rsid w:val="003C5C5E"/>
    <w:rsid w:val="003C6034"/>
    <w:rsid w:val="003C673D"/>
    <w:rsid w:val="003D2C9E"/>
    <w:rsid w:val="003F1D62"/>
    <w:rsid w:val="003F2BA9"/>
    <w:rsid w:val="003F68B2"/>
    <w:rsid w:val="00402F93"/>
    <w:rsid w:val="00410DD4"/>
    <w:rsid w:val="0041647E"/>
    <w:rsid w:val="0043663D"/>
    <w:rsid w:val="00442168"/>
    <w:rsid w:val="00442A86"/>
    <w:rsid w:val="00447B99"/>
    <w:rsid w:val="00447FB3"/>
    <w:rsid w:val="00463CEE"/>
    <w:rsid w:val="00465215"/>
    <w:rsid w:val="004756FB"/>
    <w:rsid w:val="00477056"/>
    <w:rsid w:val="00477E86"/>
    <w:rsid w:val="00480ED8"/>
    <w:rsid w:val="0048397C"/>
    <w:rsid w:val="00495039"/>
    <w:rsid w:val="004A1A43"/>
    <w:rsid w:val="004A3F01"/>
    <w:rsid w:val="004A6178"/>
    <w:rsid w:val="004B514C"/>
    <w:rsid w:val="004B5AE9"/>
    <w:rsid w:val="004B619B"/>
    <w:rsid w:val="004C03BD"/>
    <w:rsid w:val="004C2F12"/>
    <w:rsid w:val="004D0701"/>
    <w:rsid w:val="004D088F"/>
    <w:rsid w:val="004D157F"/>
    <w:rsid w:val="004E0998"/>
    <w:rsid w:val="004E4EB6"/>
    <w:rsid w:val="004F60AC"/>
    <w:rsid w:val="00500096"/>
    <w:rsid w:val="00502F89"/>
    <w:rsid w:val="00503590"/>
    <w:rsid w:val="00506504"/>
    <w:rsid w:val="00514C40"/>
    <w:rsid w:val="00522622"/>
    <w:rsid w:val="00526A70"/>
    <w:rsid w:val="005315BB"/>
    <w:rsid w:val="0053212D"/>
    <w:rsid w:val="005354B5"/>
    <w:rsid w:val="00540308"/>
    <w:rsid w:val="00544168"/>
    <w:rsid w:val="005468D4"/>
    <w:rsid w:val="005611CB"/>
    <w:rsid w:val="005611D5"/>
    <w:rsid w:val="00561711"/>
    <w:rsid w:val="00561EB4"/>
    <w:rsid w:val="00583902"/>
    <w:rsid w:val="00594333"/>
    <w:rsid w:val="00597B1E"/>
    <w:rsid w:val="005A2562"/>
    <w:rsid w:val="005A7D0C"/>
    <w:rsid w:val="005B0B31"/>
    <w:rsid w:val="005B56EC"/>
    <w:rsid w:val="005C1DFF"/>
    <w:rsid w:val="005C4410"/>
    <w:rsid w:val="005D1ECD"/>
    <w:rsid w:val="005D23EB"/>
    <w:rsid w:val="005D2B50"/>
    <w:rsid w:val="005D58A5"/>
    <w:rsid w:val="005D6A3F"/>
    <w:rsid w:val="005D7925"/>
    <w:rsid w:val="005E68E6"/>
    <w:rsid w:val="006133E8"/>
    <w:rsid w:val="00616A5E"/>
    <w:rsid w:val="0062278A"/>
    <w:rsid w:val="006232CD"/>
    <w:rsid w:val="006246CD"/>
    <w:rsid w:val="006412C7"/>
    <w:rsid w:val="0064243B"/>
    <w:rsid w:val="00645F36"/>
    <w:rsid w:val="0065034D"/>
    <w:rsid w:val="0065439B"/>
    <w:rsid w:val="00655789"/>
    <w:rsid w:val="00665938"/>
    <w:rsid w:val="0066628F"/>
    <w:rsid w:val="00693B79"/>
    <w:rsid w:val="006958BC"/>
    <w:rsid w:val="006A1A16"/>
    <w:rsid w:val="006A3844"/>
    <w:rsid w:val="006A7E6C"/>
    <w:rsid w:val="006B329C"/>
    <w:rsid w:val="006C01E1"/>
    <w:rsid w:val="006C2205"/>
    <w:rsid w:val="006C2F73"/>
    <w:rsid w:val="006D0103"/>
    <w:rsid w:val="006D0870"/>
    <w:rsid w:val="006E1E44"/>
    <w:rsid w:val="006E4F16"/>
    <w:rsid w:val="006E6F26"/>
    <w:rsid w:val="006F1E15"/>
    <w:rsid w:val="006F6C77"/>
    <w:rsid w:val="00703FAE"/>
    <w:rsid w:val="00704748"/>
    <w:rsid w:val="00704D24"/>
    <w:rsid w:val="00712863"/>
    <w:rsid w:val="00723E54"/>
    <w:rsid w:val="00724483"/>
    <w:rsid w:val="007324E6"/>
    <w:rsid w:val="00734BFA"/>
    <w:rsid w:val="007472DD"/>
    <w:rsid w:val="00762285"/>
    <w:rsid w:val="0076251B"/>
    <w:rsid w:val="007639BA"/>
    <w:rsid w:val="00765BA7"/>
    <w:rsid w:val="007679DA"/>
    <w:rsid w:val="00775FE6"/>
    <w:rsid w:val="007806D3"/>
    <w:rsid w:val="00785589"/>
    <w:rsid w:val="00786181"/>
    <w:rsid w:val="0079508D"/>
    <w:rsid w:val="007A0B3D"/>
    <w:rsid w:val="007A1664"/>
    <w:rsid w:val="007A2416"/>
    <w:rsid w:val="007B3F99"/>
    <w:rsid w:val="007C41BC"/>
    <w:rsid w:val="007F30C5"/>
    <w:rsid w:val="007F5F14"/>
    <w:rsid w:val="007F68CE"/>
    <w:rsid w:val="00801F1B"/>
    <w:rsid w:val="00811093"/>
    <w:rsid w:val="008144EA"/>
    <w:rsid w:val="00820B2C"/>
    <w:rsid w:val="00851E7E"/>
    <w:rsid w:val="00870D72"/>
    <w:rsid w:val="00875BC1"/>
    <w:rsid w:val="0087612B"/>
    <w:rsid w:val="00885A84"/>
    <w:rsid w:val="00892D3D"/>
    <w:rsid w:val="00894852"/>
    <w:rsid w:val="008B3608"/>
    <w:rsid w:val="008B62E6"/>
    <w:rsid w:val="008D1AD3"/>
    <w:rsid w:val="008D52A1"/>
    <w:rsid w:val="008D63B8"/>
    <w:rsid w:val="008D7B60"/>
    <w:rsid w:val="008E1F32"/>
    <w:rsid w:val="008E3709"/>
    <w:rsid w:val="008E6224"/>
    <w:rsid w:val="008F224C"/>
    <w:rsid w:val="008F2368"/>
    <w:rsid w:val="008F2524"/>
    <w:rsid w:val="008F4E2B"/>
    <w:rsid w:val="008F5D6A"/>
    <w:rsid w:val="00901152"/>
    <w:rsid w:val="009128D1"/>
    <w:rsid w:val="00912E15"/>
    <w:rsid w:val="009223B0"/>
    <w:rsid w:val="009251DB"/>
    <w:rsid w:val="00925DFB"/>
    <w:rsid w:val="00930B99"/>
    <w:rsid w:val="009327F7"/>
    <w:rsid w:val="00936B36"/>
    <w:rsid w:val="009430DB"/>
    <w:rsid w:val="0095127F"/>
    <w:rsid w:val="00952E90"/>
    <w:rsid w:val="009617A3"/>
    <w:rsid w:val="0097409A"/>
    <w:rsid w:val="0097497B"/>
    <w:rsid w:val="00975647"/>
    <w:rsid w:val="00980F7A"/>
    <w:rsid w:val="00980F89"/>
    <w:rsid w:val="009832D2"/>
    <w:rsid w:val="009843CE"/>
    <w:rsid w:val="009B3A4D"/>
    <w:rsid w:val="009B5A45"/>
    <w:rsid w:val="009B6F52"/>
    <w:rsid w:val="009C0CC6"/>
    <w:rsid w:val="009E40A8"/>
    <w:rsid w:val="009E5C01"/>
    <w:rsid w:val="009F1971"/>
    <w:rsid w:val="009F1DD2"/>
    <w:rsid w:val="009F5B61"/>
    <w:rsid w:val="00A02B04"/>
    <w:rsid w:val="00A06E2C"/>
    <w:rsid w:val="00A140B0"/>
    <w:rsid w:val="00A2085D"/>
    <w:rsid w:val="00A21088"/>
    <w:rsid w:val="00A364DB"/>
    <w:rsid w:val="00A4546F"/>
    <w:rsid w:val="00A4601B"/>
    <w:rsid w:val="00A46528"/>
    <w:rsid w:val="00A469A0"/>
    <w:rsid w:val="00A57E23"/>
    <w:rsid w:val="00A6197D"/>
    <w:rsid w:val="00A61A2D"/>
    <w:rsid w:val="00A76E4E"/>
    <w:rsid w:val="00A849C0"/>
    <w:rsid w:val="00A957CF"/>
    <w:rsid w:val="00AA567B"/>
    <w:rsid w:val="00AC133F"/>
    <w:rsid w:val="00AD2834"/>
    <w:rsid w:val="00AD4CD0"/>
    <w:rsid w:val="00AE0A1A"/>
    <w:rsid w:val="00AE214C"/>
    <w:rsid w:val="00AE69FF"/>
    <w:rsid w:val="00AE6E74"/>
    <w:rsid w:val="00AF0C08"/>
    <w:rsid w:val="00AF218B"/>
    <w:rsid w:val="00AF613A"/>
    <w:rsid w:val="00AF6A1F"/>
    <w:rsid w:val="00B04D08"/>
    <w:rsid w:val="00B200DA"/>
    <w:rsid w:val="00B21EAE"/>
    <w:rsid w:val="00B24301"/>
    <w:rsid w:val="00B277E9"/>
    <w:rsid w:val="00B278F6"/>
    <w:rsid w:val="00B30F99"/>
    <w:rsid w:val="00B3543A"/>
    <w:rsid w:val="00B44B7B"/>
    <w:rsid w:val="00B52D56"/>
    <w:rsid w:val="00B53D73"/>
    <w:rsid w:val="00B5431D"/>
    <w:rsid w:val="00B54ADE"/>
    <w:rsid w:val="00B551A1"/>
    <w:rsid w:val="00B55561"/>
    <w:rsid w:val="00B55AE8"/>
    <w:rsid w:val="00B635F5"/>
    <w:rsid w:val="00B70898"/>
    <w:rsid w:val="00B7160A"/>
    <w:rsid w:val="00B74572"/>
    <w:rsid w:val="00B7747C"/>
    <w:rsid w:val="00B86C2D"/>
    <w:rsid w:val="00B87924"/>
    <w:rsid w:val="00B9030C"/>
    <w:rsid w:val="00B90A69"/>
    <w:rsid w:val="00B90E7D"/>
    <w:rsid w:val="00B9377C"/>
    <w:rsid w:val="00B94605"/>
    <w:rsid w:val="00B95977"/>
    <w:rsid w:val="00BA5CC3"/>
    <w:rsid w:val="00BA7BF6"/>
    <w:rsid w:val="00BB00B5"/>
    <w:rsid w:val="00BB0442"/>
    <w:rsid w:val="00BB0EB6"/>
    <w:rsid w:val="00BB5BF9"/>
    <w:rsid w:val="00BB7E45"/>
    <w:rsid w:val="00BC7681"/>
    <w:rsid w:val="00BD0088"/>
    <w:rsid w:val="00BD0E6A"/>
    <w:rsid w:val="00BF0DA9"/>
    <w:rsid w:val="00BF422E"/>
    <w:rsid w:val="00BF57F6"/>
    <w:rsid w:val="00C03154"/>
    <w:rsid w:val="00C13ED5"/>
    <w:rsid w:val="00C14D21"/>
    <w:rsid w:val="00C2153E"/>
    <w:rsid w:val="00C34893"/>
    <w:rsid w:val="00C40DE0"/>
    <w:rsid w:val="00C44419"/>
    <w:rsid w:val="00C47D52"/>
    <w:rsid w:val="00C61104"/>
    <w:rsid w:val="00C65EF4"/>
    <w:rsid w:val="00C71006"/>
    <w:rsid w:val="00C71573"/>
    <w:rsid w:val="00C718B2"/>
    <w:rsid w:val="00C736DC"/>
    <w:rsid w:val="00C75017"/>
    <w:rsid w:val="00C80EDF"/>
    <w:rsid w:val="00C83696"/>
    <w:rsid w:val="00C84C02"/>
    <w:rsid w:val="00C8634D"/>
    <w:rsid w:val="00CA09C3"/>
    <w:rsid w:val="00CA1C55"/>
    <w:rsid w:val="00CA232A"/>
    <w:rsid w:val="00CA2446"/>
    <w:rsid w:val="00CA4210"/>
    <w:rsid w:val="00CA44D3"/>
    <w:rsid w:val="00CA50A8"/>
    <w:rsid w:val="00CB4E52"/>
    <w:rsid w:val="00CC4E55"/>
    <w:rsid w:val="00CD1CBB"/>
    <w:rsid w:val="00CD74EF"/>
    <w:rsid w:val="00CE6BC8"/>
    <w:rsid w:val="00D066E7"/>
    <w:rsid w:val="00D13D2A"/>
    <w:rsid w:val="00D21D37"/>
    <w:rsid w:val="00D240A3"/>
    <w:rsid w:val="00D25942"/>
    <w:rsid w:val="00D2689D"/>
    <w:rsid w:val="00D30F83"/>
    <w:rsid w:val="00D37B01"/>
    <w:rsid w:val="00D421CD"/>
    <w:rsid w:val="00D461B2"/>
    <w:rsid w:val="00D6557A"/>
    <w:rsid w:val="00D65D59"/>
    <w:rsid w:val="00D6657B"/>
    <w:rsid w:val="00D72177"/>
    <w:rsid w:val="00D734B3"/>
    <w:rsid w:val="00D77745"/>
    <w:rsid w:val="00D810B0"/>
    <w:rsid w:val="00D86A78"/>
    <w:rsid w:val="00D939EF"/>
    <w:rsid w:val="00D94AD8"/>
    <w:rsid w:val="00DA2CCF"/>
    <w:rsid w:val="00DA4C94"/>
    <w:rsid w:val="00DB7F6E"/>
    <w:rsid w:val="00DC0A6A"/>
    <w:rsid w:val="00DC4759"/>
    <w:rsid w:val="00DC512E"/>
    <w:rsid w:val="00DD1FF5"/>
    <w:rsid w:val="00DE508F"/>
    <w:rsid w:val="00E02883"/>
    <w:rsid w:val="00E0431D"/>
    <w:rsid w:val="00E17C65"/>
    <w:rsid w:val="00E30C06"/>
    <w:rsid w:val="00E53F66"/>
    <w:rsid w:val="00E56E4B"/>
    <w:rsid w:val="00E643DA"/>
    <w:rsid w:val="00E70722"/>
    <w:rsid w:val="00E71955"/>
    <w:rsid w:val="00E82AD7"/>
    <w:rsid w:val="00E83E78"/>
    <w:rsid w:val="00E843E2"/>
    <w:rsid w:val="00E97CBB"/>
    <w:rsid w:val="00EB503A"/>
    <w:rsid w:val="00EB6662"/>
    <w:rsid w:val="00EB6F56"/>
    <w:rsid w:val="00EC263E"/>
    <w:rsid w:val="00EE1178"/>
    <w:rsid w:val="00EE5C41"/>
    <w:rsid w:val="00EE5F38"/>
    <w:rsid w:val="00EF0B11"/>
    <w:rsid w:val="00EF45A3"/>
    <w:rsid w:val="00EF69B7"/>
    <w:rsid w:val="00EF7B6A"/>
    <w:rsid w:val="00F033C2"/>
    <w:rsid w:val="00F15200"/>
    <w:rsid w:val="00F21CB2"/>
    <w:rsid w:val="00F27A3F"/>
    <w:rsid w:val="00F32E76"/>
    <w:rsid w:val="00F34C54"/>
    <w:rsid w:val="00F4254C"/>
    <w:rsid w:val="00F44BAF"/>
    <w:rsid w:val="00F470D9"/>
    <w:rsid w:val="00F50A4B"/>
    <w:rsid w:val="00F51713"/>
    <w:rsid w:val="00F52512"/>
    <w:rsid w:val="00F6068D"/>
    <w:rsid w:val="00F6075A"/>
    <w:rsid w:val="00F61D56"/>
    <w:rsid w:val="00F63561"/>
    <w:rsid w:val="00F663B3"/>
    <w:rsid w:val="00F67CCA"/>
    <w:rsid w:val="00F7246F"/>
    <w:rsid w:val="00F74648"/>
    <w:rsid w:val="00F75460"/>
    <w:rsid w:val="00F768D2"/>
    <w:rsid w:val="00F969E5"/>
    <w:rsid w:val="00FA0FF3"/>
    <w:rsid w:val="00FA4036"/>
    <w:rsid w:val="00FA7402"/>
    <w:rsid w:val="00FA783E"/>
    <w:rsid w:val="00FB46F5"/>
    <w:rsid w:val="00FB757E"/>
    <w:rsid w:val="00FC62B9"/>
    <w:rsid w:val="00FC7A59"/>
    <w:rsid w:val="00FD1052"/>
    <w:rsid w:val="00FD1888"/>
    <w:rsid w:val="00FD2368"/>
    <w:rsid w:val="00FD276D"/>
    <w:rsid w:val="00FD35D6"/>
    <w:rsid w:val="00FD4112"/>
    <w:rsid w:val="00FD5718"/>
    <w:rsid w:val="00FD62CA"/>
    <w:rsid w:val="00FF0CE3"/>
    <w:rsid w:val="00FF0F7F"/>
    <w:rsid w:val="00FF1D56"/>
    <w:rsid w:val="00FF3B06"/>
    <w:rsid w:val="00FF5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4AD8"/>
    <w:pPr>
      <w:ind w:left="567" w:hanging="567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EAEnBodyText">
    <w:name w:val="EMEA En Body Text"/>
    <w:basedOn w:val="Normal"/>
    <w:uiPriority w:val="99"/>
    <w:rsid w:val="00D94AD8"/>
    <w:pPr>
      <w:spacing w:before="120" w:after="120"/>
      <w:ind w:left="0" w:firstLine="0"/>
      <w:jc w:val="both"/>
    </w:pPr>
    <w:rPr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D94AD8"/>
    <w:pPr>
      <w:ind w:left="0" w:firstLine="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30F83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D94A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30F83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D94AD8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430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0F83"/>
    <w:rPr>
      <w:rFonts w:cs="Times New Roman"/>
      <w:sz w:val="2"/>
    </w:rPr>
  </w:style>
  <w:style w:type="character" w:styleId="CommentReference">
    <w:name w:val="annotation reference"/>
    <w:basedOn w:val="DefaultParagraphFont"/>
    <w:uiPriority w:val="99"/>
    <w:semiHidden/>
    <w:rsid w:val="003C21B0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C21B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30F83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C21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30F83"/>
    <w:rPr>
      <w:b/>
      <w:bCs/>
    </w:rPr>
  </w:style>
  <w:style w:type="table" w:styleId="TableGrid">
    <w:name w:val="Table Grid"/>
    <w:basedOn w:val="TableNormal"/>
    <w:uiPriority w:val="99"/>
    <w:rsid w:val="00B7747C"/>
    <w:pPr>
      <w:ind w:left="567" w:hanging="567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uiPriority w:val="99"/>
    <w:rsid w:val="0020674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D30F83"/>
    <w:rPr>
      <w:rFonts w:cs="Times New Roman"/>
      <w:sz w:val="24"/>
      <w:szCs w:val="24"/>
    </w:rPr>
  </w:style>
  <w:style w:type="paragraph" w:customStyle="1" w:styleId="Normlny">
    <w:name w:val="Normlny"/>
    <w:uiPriority w:val="99"/>
    <w:rsid w:val="00376537"/>
    <w:pPr>
      <w:suppressAutoHyphens/>
      <w:autoSpaceDE w:val="0"/>
    </w:pPr>
    <w:rPr>
      <w:rFonts w:ascii="Arial" w:hAnsi="Arial"/>
      <w:sz w:val="24"/>
      <w:szCs w:val="20"/>
      <w:lang w:val="en-US" w:eastAsia="en-US"/>
    </w:rPr>
  </w:style>
  <w:style w:type="paragraph" w:customStyle="1" w:styleId="Default">
    <w:name w:val="Default"/>
    <w:uiPriority w:val="99"/>
    <w:rsid w:val="00BB0EB6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customStyle="1" w:styleId="Mandatorysafetyconcepts">
    <w:name w:val="Mandatory safety concepts"/>
    <w:basedOn w:val="Default"/>
    <w:next w:val="Default"/>
    <w:uiPriority w:val="99"/>
    <w:rsid w:val="008F2524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13</Pages>
  <Words>4103</Words>
  <Characters>23392</Characters>
  <Application>Microsoft Office Outlook</Application>
  <DocSecurity>0</DocSecurity>
  <Lines>0</Lines>
  <Paragraphs>0</Paragraphs>
  <ScaleCrop>false</ScaleCrop>
  <Company>Kupkova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Andrea</dc:creator>
  <cp:keywords/>
  <dc:description/>
  <cp:lastModifiedBy>alexandra.kmetonyova</cp:lastModifiedBy>
  <cp:revision>3</cp:revision>
  <cp:lastPrinted>2007-03-28T13:56:00Z</cp:lastPrinted>
  <dcterms:created xsi:type="dcterms:W3CDTF">2012-05-29T12:12:00Z</dcterms:created>
  <dcterms:modified xsi:type="dcterms:W3CDTF">2012-05-30T07:49:00Z</dcterms:modified>
</cp:coreProperties>
</file>