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69B3" w:rsidRPr="006E6C4E" w:rsidRDefault="004169B3" w:rsidP="00FC4CE3">
      <w:pPr>
        <w:tabs>
          <w:tab w:val="clear" w:pos="567"/>
          <w:tab w:val="left" w:pos="-1440"/>
          <w:tab w:val="left" w:pos="-720"/>
        </w:tabs>
        <w:spacing w:line="240" w:lineRule="auto"/>
        <w:rPr>
          <w:rFonts w:ascii="Arial" w:hAnsi="Arial" w:cs="Arial"/>
          <w:b/>
          <w:noProof/>
          <w:sz w:val="16"/>
          <w:szCs w:val="16"/>
        </w:rPr>
      </w:pPr>
      <w:r w:rsidRPr="006E6C4E">
        <w:rPr>
          <w:noProof/>
          <w:sz w:val="16"/>
          <w:szCs w:val="16"/>
        </w:rPr>
        <w:t>PRÍLOHA č.1 K ROZHODNUTIU O</w:t>
      </w:r>
      <w:r>
        <w:rPr>
          <w:noProof/>
          <w:sz w:val="16"/>
          <w:szCs w:val="16"/>
        </w:rPr>
        <w:t> ZMENE V</w:t>
      </w:r>
      <w:r w:rsidRPr="006E6C4E">
        <w:rPr>
          <w:noProof/>
          <w:sz w:val="16"/>
          <w:szCs w:val="16"/>
        </w:rPr>
        <w:t xml:space="preserve"> REGISTRÁCIE LIEKU, ev.č.: </w:t>
      </w:r>
      <w:r>
        <w:rPr>
          <w:noProof/>
          <w:sz w:val="16"/>
          <w:szCs w:val="16"/>
        </w:rPr>
        <w:t xml:space="preserve"> 2011/07753</w:t>
      </w:r>
    </w:p>
    <w:p w:rsidR="004169B3" w:rsidRDefault="004169B3" w:rsidP="00FC4CE3">
      <w:pPr>
        <w:tabs>
          <w:tab w:val="clear" w:pos="567"/>
          <w:tab w:val="left" w:pos="-1440"/>
          <w:tab w:val="left" w:pos="-720"/>
        </w:tabs>
        <w:spacing w:line="240" w:lineRule="auto"/>
        <w:jc w:val="center"/>
        <w:rPr>
          <w:b/>
          <w:noProof/>
          <w:szCs w:val="22"/>
        </w:rPr>
      </w:pPr>
    </w:p>
    <w:p w:rsidR="004169B3" w:rsidRDefault="004169B3" w:rsidP="00FC4CE3">
      <w:pPr>
        <w:tabs>
          <w:tab w:val="clear" w:pos="567"/>
          <w:tab w:val="left" w:pos="-1440"/>
          <w:tab w:val="left" w:pos="-720"/>
        </w:tabs>
        <w:spacing w:line="240" w:lineRule="auto"/>
        <w:jc w:val="center"/>
        <w:rPr>
          <w:b/>
          <w:noProof/>
          <w:szCs w:val="22"/>
        </w:rPr>
      </w:pPr>
    </w:p>
    <w:p w:rsidR="004169B3" w:rsidRPr="006E6C4E" w:rsidRDefault="004169B3" w:rsidP="00FC4CE3">
      <w:pPr>
        <w:tabs>
          <w:tab w:val="clear" w:pos="567"/>
          <w:tab w:val="left" w:pos="-1440"/>
          <w:tab w:val="left" w:pos="-720"/>
        </w:tabs>
        <w:spacing w:line="240" w:lineRule="auto"/>
        <w:jc w:val="center"/>
        <w:rPr>
          <w:noProof/>
          <w:szCs w:val="22"/>
        </w:rPr>
      </w:pPr>
      <w:r w:rsidRPr="006E6C4E">
        <w:rPr>
          <w:b/>
          <w:noProof/>
          <w:szCs w:val="22"/>
        </w:rPr>
        <w:t>SÚHRN CHARAKTERISTICKÝCH VLASTNOSTÍ LIEKU</w:t>
      </w:r>
    </w:p>
    <w:p w:rsidR="004169B3" w:rsidRPr="006E6C4E" w:rsidRDefault="004169B3" w:rsidP="00FC4CE3">
      <w:pPr>
        <w:tabs>
          <w:tab w:val="clear" w:pos="567"/>
          <w:tab w:val="left" w:pos="-1440"/>
          <w:tab w:val="left" w:pos="-720"/>
        </w:tabs>
        <w:spacing w:line="240" w:lineRule="auto"/>
        <w:jc w:val="center"/>
        <w:rPr>
          <w:noProof/>
          <w:szCs w:val="22"/>
        </w:rPr>
      </w:pPr>
    </w:p>
    <w:p w:rsidR="004169B3" w:rsidRPr="006E6C4E" w:rsidRDefault="004169B3" w:rsidP="00FC4CE3">
      <w:pPr>
        <w:tabs>
          <w:tab w:val="clear" w:pos="567"/>
          <w:tab w:val="left" w:pos="-1440"/>
          <w:tab w:val="left" w:pos="-720"/>
        </w:tabs>
        <w:spacing w:line="240" w:lineRule="auto"/>
        <w:jc w:val="center"/>
        <w:rPr>
          <w:noProof/>
          <w:szCs w:val="22"/>
        </w:rPr>
      </w:pPr>
    </w:p>
    <w:p w:rsidR="004169B3" w:rsidRPr="006E6C4E" w:rsidRDefault="004169B3" w:rsidP="00FC4CE3">
      <w:pPr>
        <w:tabs>
          <w:tab w:val="clear" w:pos="567"/>
        </w:tabs>
        <w:spacing w:line="240" w:lineRule="auto"/>
        <w:rPr>
          <w:noProof/>
          <w:szCs w:val="22"/>
        </w:rPr>
      </w:pPr>
      <w:r w:rsidRPr="006E6C4E">
        <w:rPr>
          <w:b/>
          <w:noProof/>
          <w:szCs w:val="22"/>
        </w:rPr>
        <w:t>1.</w:t>
      </w:r>
      <w:r w:rsidRPr="006E6C4E">
        <w:rPr>
          <w:b/>
          <w:noProof/>
          <w:szCs w:val="22"/>
        </w:rPr>
        <w:tab/>
        <w:t>NÁZOV LIEKU</w:t>
      </w:r>
    </w:p>
    <w:p w:rsidR="004169B3" w:rsidRPr="006E6C4E" w:rsidRDefault="004169B3" w:rsidP="00FC4CE3">
      <w:pPr>
        <w:tabs>
          <w:tab w:val="clear" w:pos="567"/>
        </w:tabs>
        <w:spacing w:line="240" w:lineRule="auto"/>
        <w:rPr>
          <w:iCs/>
          <w:noProof/>
          <w:szCs w:val="22"/>
        </w:rPr>
      </w:pPr>
    </w:p>
    <w:p w:rsidR="004169B3" w:rsidRPr="006E6C4E" w:rsidRDefault="004169B3" w:rsidP="00FC4CE3">
      <w:pPr>
        <w:rPr>
          <w:b/>
          <w:szCs w:val="22"/>
        </w:rPr>
      </w:pPr>
      <w:r w:rsidRPr="006E6C4E">
        <w:rPr>
          <w:b/>
          <w:szCs w:val="22"/>
        </w:rPr>
        <w:t>Matrifen 12 µg</w:t>
      </w:r>
    </w:p>
    <w:p w:rsidR="004169B3" w:rsidRPr="006E6C4E" w:rsidRDefault="004169B3" w:rsidP="00FC4CE3">
      <w:pPr>
        <w:rPr>
          <w:i/>
          <w:szCs w:val="22"/>
        </w:rPr>
      </w:pPr>
      <w:r w:rsidRPr="006E6C4E">
        <w:rPr>
          <w:i/>
          <w:szCs w:val="22"/>
        </w:rPr>
        <w:t>12 mikrogramov/h</w:t>
      </w:r>
    </w:p>
    <w:p w:rsidR="004169B3" w:rsidRPr="006E6C4E" w:rsidRDefault="004169B3" w:rsidP="00FC4CE3">
      <w:pPr>
        <w:rPr>
          <w:b/>
          <w:szCs w:val="22"/>
        </w:rPr>
      </w:pPr>
      <w:r w:rsidRPr="006E6C4E">
        <w:rPr>
          <w:b/>
          <w:szCs w:val="22"/>
        </w:rPr>
        <w:t>Matrifen 25 µg</w:t>
      </w:r>
    </w:p>
    <w:p w:rsidR="004169B3" w:rsidRPr="006E6C4E" w:rsidRDefault="004169B3" w:rsidP="00FC4CE3">
      <w:pPr>
        <w:rPr>
          <w:i/>
          <w:szCs w:val="22"/>
        </w:rPr>
      </w:pPr>
      <w:r w:rsidRPr="006E6C4E">
        <w:rPr>
          <w:i/>
          <w:szCs w:val="22"/>
        </w:rPr>
        <w:t>25mikrogramov/h</w:t>
      </w:r>
    </w:p>
    <w:p w:rsidR="004169B3" w:rsidRPr="006E6C4E" w:rsidRDefault="004169B3" w:rsidP="00FC4CE3">
      <w:pPr>
        <w:rPr>
          <w:b/>
          <w:szCs w:val="22"/>
        </w:rPr>
      </w:pPr>
      <w:r w:rsidRPr="006E6C4E">
        <w:rPr>
          <w:b/>
          <w:szCs w:val="22"/>
        </w:rPr>
        <w:t>Matrifen 50 µg</w:t>
      </w:r>
    </w:p>
    <w:p w:rsidR="004169B3" w:rsidRPr="006E6C4E" w:rsidRDefault="004169B3" w:rsidP="00FC4CE3">
      <w:pPr>
        <w:rPr>
          <w:i/>
          <w:szCs w:val="22"/>
        </w:rPr>
      </w:pPr>
      <w:r w:rsidRPr="006E6C4E">
        <w:rPr>
          <w:i/>
          <w:szCs w:val="22"/>
        </w:rPr>
        <w:t>50 mikrogramov/h</w:t>
      </w:r>
    </w:p>
    <w:p w:rsidR="004169B3" w:rsidRPr="006E6C4E" w:rsidRDefault="004169B3" w:rsidP="00FC4CE3">
      <w:pPr>
        <w:rPr>
          <w:b/>
          <w:szCs w:val="22"/>
        </w:rPr>
      </w:pPr>
      <w:r w:rsidRPr="006E6C4E">
        <w:rPr>
          <w:b/>
          <w:szCs w:val="22"/>
        </w:rPr>
        <w:t>Matrifen 75 µg</w:t>
      </w:r>
    </w:p>
    <w:p w:rsidR="004169B3" w:rsidRPr="006E6C4E" w:rsidRDefault="004169B3" w:rsidP="00FC4CE3">
      <w:pPr>
        <w:rPr>
          <w:i/>
          <w:szCs w:val="22"/>
        </w:rPr>
      </w:pPr>
      <w:r w:rsidRPr="006E6C4E">
        <w:rPr>
          <w:i/>
          <w:szCs w:val="22"/>
        </w:rPr>
        <w:t>75 mikrogramov/h</w:t>
      </w:r>
    </w:p>
    <w:p w:rsidR="004169B3" w:rsidRPr="006E6C4E" w:rsidRDefault="004169B3" w:rsidP="00FC4CE3">
      <w:pPr>
        <w:rPr>
          <w:b/>
          <w:szCs w:val="22"/>
        </w:rPr>
      </w:pPr>
      <w:r w:rsidRPr="006E6C4E">
        <w:rPr>
          <w:b/>
          <w:szCs w:val="22"/>
        </w:rPr>
        <w:t>Matrifen 100 µg</w:t>
      </w:r>
    </w:p>
    <w:p w:rsidR="004169B3" w:rsidRPr="006E6C4E" w:rsidRDefault="004169B3" w:rsidP="00FC4CE3">
      <w:pPr>
        <w:rPr>
          <w:i/>
          <w:szCs w:val="22"/>
        </w:rPr>
      </w:pPr>
      <w:r w:rsidRPr="006E6C4E">
        <w:rPr>
          <w:i/>
          <w:szCs w:val="22"/>
        </w:rPr>
        <w:t>100 mikrogramov/h</w:t>
      </w:r>
    </w:p>
    <w:p w:rsidR="004169B3" w:rsidRPr="006E6C4E" w:rsidRDefault="004169B3" w:rsidP="00FC4CE3">
      <w:pPr>
        <w:jc w:val="center"/>
        <w:rPr>
          <w:i/>
          <w:szCs w:val="22"/>
        </w:rPr>
      </w:pPr>
    </w:p>
    <w:p w:rsidR="004169B3" w:rsidRPr="006E6C4E" w:rsidRDefault="004169B3" w:rsidP="00FC4CE3">
      <w:pPr>
        <w:rPr>
          <w:b/>
          <w:szCs w:val="22"/>
        </w:rPr>
      </w:pPr>
      <w:r w:rsidRPr="006E6C4E">
        <w:rPr>
          <w:szCs w:val="22"/>
        </w:rPr>
        <w:t>transdermálna náplasť</w:t>
      </w:r>
    </w:p>
    <w:p w:rsidR="004169B3" w:rsidRPr="006E6C4E" w:rsidRDefault="004169B3" w:rsidP="00FC4CE3">
      <w:pPr>
        <w:autoSpaceDE w:val="0"/>
        <w:autoSpaceDN w:val="0"/>
        <w:adjustRightInd w:val="0"/>
        <w:jc w:val="both"/>
        <w:rPr>
          <w:noProof/>
          <w:szCs w:val="22"/>
        </w:rPr>
      </w:pPr>
    </w:p>
    <w:p w:rsidR="004169B3" w:rsidRPr="006E6C4E" w:rsidRDefault="004169B3" w:rsidP="00FC4CE3">
      <w:pPr>
        <w:widowControl w:val="0"/>
        <w:tabs>
          <w:tab w:val="clear" w:pos="567"/>
        </w:tabs>
        <w:spacing w:line="240" w:lineRule="auto"/>
        <w:rPr>
          <w:bCs/>
          <w:noProof/>
          <w:szCs w:val="22"/>
        </w:rPr>
      </w:pPr>
    </w:p>
    <w:p w:rsidR="004169B3" w:rsidRPr="006E6C4E" w:rsidRDefault="004169B3" w:rsidP="00FC4CE3">
      <w:pPr>
        <w:widowControl w:val="0"/>
        <w:tabs>
          <w:tab w:val="clear" w:pos="567"/>
        </w:tabs>
        <w:spacing w:line="240" w:lineRule="auto"/>
        <w:rPr>
          <w:noProof/>
          <w:szCs w:val="22"/>
        </w:rPr>
      </w:pPr>
      <w:r w:rsidRPr="006E6C4E">
        <w:rPr>
          <w:b/>
          <w:noProof/>
          <w:szCs w:val="22"/>
        </w:rPr>
        <w:t>2.       KVALITATÍVNE A KVANTITATÍVNE ZLOŽENIE</w:t>
      </w:r>
    </w:p>
    <w:p w:rsidR="004169B3" w:rsidRPr="006E6C4E" w:rsidRDefault="004169B3" w:rsidP="00FC4CE3">
      <w:pPr>
        <w:widowControl w:val="0"/>
        <w:tabs>
          <w:tab w:val="clear" w:pos="567"/>
        </w:tabs>
        <w:spacing w:line="240" w:lineRule="auto"/>
        <w:rPr>
          <w:bCs/>
          <w:noProof/>
          <w:szCs w:val="22"/>
        </w:rPr>
      </w:pPr>
    </w:p>
    <w:p w:rsidR="004169B3" w:rsidRPr="006E6C4E" w:rsidRDefault="004169B3" w:rsidP="00FC4CE3">
      <w:pPr>
        <w:jc w:val="both"/>
        <w:rPr>
          <w:szCs w:val="22"/>
        </w:rPr>
      </w:pPr>
      <w:r w:rsidRPr="006E6C4E">
        <w:rPr>
          <w:szCs w:val="22"/>
        </w:rPr>
        <w:t>Matrifen 12 µg: každá transdermálna náplasť obsahuje 1,38 mg fentanylu v náplasti 4,2 cm</w:t>
      </w:r>
      <w:r w:rsidRPr="006E6C4E">
        <w:rPr>
          <w:szCs w:val="22"/>
          <w:vertAlign w:val="superscript"/>
        </w:rPr>
        <w:t xml:space="preserve">2 </w:t>
      </w:r>
      <w:r w:rsidRPr="006E6C4E">
        <w:rPr>
          <w:szCs w:val="22"/>
        </w:rPr>
        <w:t>a  uvoľňuje 12 mikrogramov fentanylu/h</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Matrifen 25 µg: každá transdermálna náplasť obsahuje 2,75 mg fentanylu v náplasti 8,4 cm</w:t>
      </w:r>
      <w:r w:rsidRPr="006E6C4E">
        <w:rPr>
          <w:szCs w:val="22"/>
          <w:vertAlign w:val="superscript"/>
        </w:rPr>
        <w:t>2</w:t>
      </w:r>
      <w:r w:rsidRPr="006E6C4E">
        <w:rPr>
          <w:szCs w:val="22"/>
        </w:rPr>
        <w:t xml:space="preserve"> a  uvoľňuje 25 mikrogramov fentanylu/h</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Matrifen 50 µg: každá transdermálna náplasť obsahuje 5,50 mg fentanylu v náplasti 16,8 cm</w:t>
      </w:r>
      <w:r w:rsidRPr="006E6C4E">
        <w:rPr>
          <w:szCs w:val="22"/>
          <w:vertAlign w:val="superscript"/>
        </w:rPr>
        <w:t>2</w:t>
      </w:r>
      <w:r w:rsidRPr="006E6C4E">
        <w:rPr>
          <w:szCs w:val="22"/>
        </w:rPr>
        <w:t xml:space="preserve"> a  uvoľňuje 50 mikrogramov fentanylu/h</w:t>
      </w:r>
    </w:p>
    <w:p w:rsidR="004169B3" w:rsidRPr="006E6C4E" w:rsidRDefault="004169B3" w:rsidP="00FC4CE3">
      <w:pPr>
        <w:jc w:val="both"/>
        <w:rPr>
          <w:szCs w:val="22"/>
        </w:rPr>
      </w:pPr>
    </w:p>
    <w:p w:rsidR="004169B3" w:rsidRPr="006E6C4E" w:rsidRDefault="004169B3" w:rsidP="00FC4CE3">
      <w:pPr>
        <w:jc w:val="both"/>
        <w:rPr>
          <w:b/>
          <w:i/>
          <w:szCs w:val="22"/>
        </w:rPr>
      </w:pPr>
      <w:r w:rsidRPr="006E6C4E">
        <w:rPr>
          <w:szCs w:val="22"/>
        </w:rPr>
        <w:t>Matrifen 75 µg: každá transdermálna náplasť obsahuje 8,25 mg fentanylu v náplasti 25,2 cm</w:t>
      </w:r>
      <w:r w:rsidRPr="006E6C4E">
        <w:rPr>
          <w:szCs w:val="22"/>
          <w:vertAlign w:val="superscript"/>
        </w:rPr>
        <w:t>2</w:t>
      </w:r>
      <w:r w:rsidRPr="006E6C4E">
        <w:rPr>
          <w:szCs w:val="22"/>
        </w:rPr>
        <w:t xml:space="preserve"> a  uvoľňuje 75 mikrogramov fentanylu/h</w:t>
      </w:r>
    </w:p>
    <w:p w:rsidR="004169B3" w:rsidRPr="006E6C4E" w:rsidRDefault="004169B3" w:rsidP="00FC4CE3">
      <w:pPr>
        <w:jc w:val="both"/>
        <w:rPr>
          <w:szCs w:val="22"/>
        </w:rPr>
      </w:pPr>
    </w:p>
    <w:p w:rsidR="004169B3" w:rsidRPr="006E6C4E" w:rsidRDefault="004169B3" w:rsidP="00FC4CE3">
      <w:pPr>
        <w:jc w:val="both"/>
        <w:rPr>
          <w:szCs w:val="22"/>
        </w:rPr>
      </w:pPr>
      <w:r w:rsidRPr="006E6C4E">
        <w:t xml:space="preserve">Matrifen 100 </w:t>
      </w:r>
      <w:r w:rsidRPr="006E6C4E">
        <w:rPr>
          <w:szCs w:val="22"/>
        </w:rPr>
        <w:t>µg</w:t>
      </w:r>
      <w:r w:rsidRPr="006E6C4E">
        <w:t xml:space="preserve">: každá transdermálna náplasť obsahuje 11,0 mg </w:t>
      </w:r>
      <w:bookmarkStart w:id="0" w:name="OLE_LINK8"/>
      <w:r w:rsidRPr="006E6C4E">
        <w:t>fentanylu v náplasti 33,6 cm</w:t>
      </w:r>
      <w:r w:rsidRPr="006E6C4E">
        <w:rPr>
          <w:vertAlign w:val="superscript"/>
        </w:rPr>
        <w:t>2</w:t>
      </w:r>
      <w:bookmarkEnd w:id="0"/>
      <w:r w:rsidRPr="006E6C4E">
        <w:t xml:space="preserve"> a  uvoľňuje 100 </w:t>
      </w:r>
      <w:r w:rsidRPr="006E6C4E">
        <w:rPr>
          <w:szCs w:val="22"/>
        </w:rPr>
        <w:t>mikrogramov fentanylu/h</w:t>
      </w:r>
    </w:p>
    <w:p w:rsidR="004169B3" w:rsidRPr="006E6C4E" w:rsidRDefault="004169B3" w:rsidP="00FC4CE3">
      <w:pPr>
        <w:jc w:val="both"/>
      </w:pPr>
    </w:p>
    <w:p w:rsidR="004169B3" w:rsidRPr="006E6C4E" w:rsidRDefault="004169B3" w:rsidP="00FC4CE3">
      <w:pPr>
        <w:jc w:val="both"/>
      </w:pPr>
      <w:r w:rsidRPr="006E6C4E">
        <w:t xml:space="preserve">Úplný zoznam pomocných látok, pozri časť 6.1. </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caps/>
          <w:noProof/>
          <w:szCs w:val="22"/>
        </w:rPr>
      </w:pPr>
      <w:r w:rsidRPr="006E6C4E">
        <w:rPr>
          <w:b/>
          <w:noProof/>
          <w:szCs w:val="22"/>
        </w:rPr>
        <w:t>3.</w:t>
      </w:r>
      <w:r w:rsidRPr="006E6C4E">
        <w:rPr>
          <w:b/>
          <w:noProof/>
          <w:szCs w:val="22"/>
        </w:rPr>
        <w:tab/>
        <w:t>LIEKOVÁ FORMA</w:t>
      </w:r>
    </w:p>
    <w:p w:rsidR="004169B3" w:rsidRPr="006E6C4E" w:rsidRDefault="004169B3" w:rsidP="00FC4CE3">
      <w:pPr>
        <w:rPr>
          <w:noProof/>
          <w:szCs w:val="22"/>
        </w:rPr>
      </w:pPr>
    </w:p>
    <w:p w:rsidR="004169B3" w:rsidRPr="006E6C4E" w:rsidRDefault="004169B3" w:rsidP="00FC4CE3">
      <w:pPr>
        <w:rPr>
          <w:noProof/>
          <w:szCs w:val="22"/>
        </w:rPr>
      </w:pPr>
      <w:r w:rsidRPr="006E6C4E">
        <w:rPr>
          <w:noProof/>
          <w:szCs w:val="22"/>
        </w:rPr>
        <w:t>Transdermálna náplasť.</w:t>
      </w:r>
    </w:p>
    <w:p w:rsidR="004169B3" w:rsidRPr="006E6C4E" w:rsidRDefault="004169B3" w:rsidP="00FC4CE3">
      <w:pPr>
        <w:rPr>
          <w:noProof/>
          <w:szCs w:val="22"/>
        </w:rPr>
      </w:pPr>
    </w:p>
    <w:p w:rsidR="004169B3" w:rsidRPr="006E6C4E" w:rsidRDefault="004169B3" w:rsidP="00FC4CE3">
      <w:pPr>
        <w:jc w:val="both"/>
        <w:rPr>
          <w:szCs w:val="22"/>
        </w:rPr>
      </w:pPr>
      <w:r w:rsidRPr="006E6C4E">
        <w:rPr>
          <w:szCs w:val="22"/>
        </w:rPr>
        <w:t xml:space="preserve">Pravouhlá, priesvitná náplasť na odstrániteľnom ochrannom filme. Ochranný film je väčší ako náplasť.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Na náplastiach je farebná potlač s názvom lieku a silou. </w:t>
      </w:r>
    </w:p>
    <w:p w:rsidR="004169B3" w:rsidRPr="006E6C4E" w:rsidRDefault="004169B3" w:rsidP="00FC4CE3">
      <w:pPr>
        <w:jc w:val="both"/>
        <w:rPr>
          <w:szCs w:val="22"/>
        </w:rPr>
      </w:pPr>
      <w:r w:rsidRPr="006E6C4E">
        <w:rPr>
          <w:szCs w:val="22"/>
        </w:rPr>
        <w:t>Matrifen 12 µg, 12 mikrogramov/h: hnedá potlač</w:t>
      </w:r>
    </w:p>
    <w:p w:rsidR="004169B3" w:rsidRPr="006E6C4E" w:rsidRDefault="004169B3" w:rsidP="00FC4CE3">
      <w:pPr>
        <w:jc w:val="both"/>
        <w:rPr>
          <w:szCs w:val="22"/>
        </w:rPr>
      </w:pPr>
      <w:r w:rsidRPr="006E6C4E">
        <w:rPr>
          <w:szCs w:val="22"/>
        </w:rPr>
        <w:t>Matrifen 25 µg, 25 mikrogramov/h: červená potlač</w:t>
      </w:r>
    </w:p>
    <w:p w:rsidR="004169B3" w:rsidRPr="006E6C4E" w:rsidRDefault="004169B3" w:rsidP="00FC4CE3">
      <w:pPr>
        <w:jc w:val="both"/>
        <w:rPr>
          <w:szCs w:val="22"/>
        </w:rPr>
      </w:pPr>
      <w:r w:rsidRPr="006E6C4E">
        <w:rPr>
          <w:szCs w:val="22"/>
        </w:rPr>
        <w:t>Matrifen 50 µg, 50 mikrogramov/h: zelená potlač</w:t>
      </w:r>
    </w:p>
    <w:p w:rsidR="004169B3" w:rsidRPr="006E6C4E" w:rsidRDefault="004169B3" w:rsidP="00FC4CE3">
      <w:pPr>
        <w:jc w:val="both"/>
        <w:rPr>
          <w:szCs w:val="22"/>
        </w:rPr>
      </w:pPr>
      <w:r w:rsidRPr="006E6C4E">
        <w:rPr>
          <w:szCs w:val="22"/>
        </w:rPr>
        <w:t>Matrifen 75 µg, 75 mikrogramov/h: bledomodrá potlač</w:t>
      </w:r>
    </w:p>
    <w:p w:rsidR="004169B3" w:rsidRPr="006E6C4E" w:rsidRDefault="004169B3" w:rsidP="00FC4CE3">
      <w:pPr>
        <w:jc w:val="both"/>
        <w:rPr>
          <w:szCs w:val="22"/>
        </w:rPr>
      </w:pPr>
      <w:r w:rsidRPr="006E6C4E">
        <w:rPr>
          <w:szCs w:val="22"/>
        </w:rPr>
        <w:t>Matrifen 100 µg, 100 mikrogramov/h: šedá potlač</w:t>
      </w:r>
    </w:p>
    <w:p w:rsidR="004169B3" w:rsidRPr="006E6C4E" w:rsidRDefault="004169B3" w:rsidP="00FC4CE3">
      <w:pPr>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caps/>
          <w:noProof/>
          <w:szCs w:val="22"/>
        </w:rPr>
      </w:pPr>
      <w:r w:rsidRPr="006E6C4E">
        <w:rPr>
          <w:b/>
          <w:caps/>
          <w:noProof/>
          <w:szCs w:val="22"/>
        </w:rPr>
        <w:t>4.</w:t>
      </w:r>
      <w:r w:rsidRPr="006E6C4E">
        <w:rPr>
          <w:b/>
          <w:caps/>
          <w:noProof/>
          <w:szCs w:val="22"/>
        </w:rPr>
        <w:tab/>
        <w:t>KLINICKÉ ÚDAJE</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4.1</w:t>
      </w:r>
      <w:r w:rsidRPr="006E6C4E">
        <w:rPr>
          <w:b/>
          <w:noProof/>
          <w:szCs w:val="22"/>
        </w:rPr>
        <w:tab/>
        <w:t>Terapeutické indikácie</w:t>
      </w:r>
    </w:p>
    <w:p w:rsidR="004169B3" w:rsidRDefault="004169B3" w:rsidP="00FC4CE3">
      <w:pPr>
        <w:jc w:val="both"/>
        <w:rPr>
          <w:strike/>
          <w:szCs w:val="22"/>
        </w:rPr>
      </w:pPr>
    </w:p>
    <w:p w:rsidR="004169B3" w:rsidRPr="0046756A" w:rsidRDefault="004169B3" w:rsidP="0046756A">
      <w:pPr>
        <w:tabs>
          <w:tab w:val="left" w:pos="-1296"/>
          <w:tab w:val="left" w:pos="1"/>
          <w:tab w:val="left" w:pos="1296"/>
          <w:tab w:val="left" w:pos="2592"/>
          <w:tab w:val="left" w:pos="3888"/>
          <w:tab w:val="left" w:pos="5184"/>
          <w:tab w:val="left" w:pos="6480"/>
          <w:tab w:val="left" w:pos="7776"/>
          <w:tab w:val="left" w:pos="9072"/>
        </w:tabs>
        <w:rPr>
          <w:szCs w:val="22"/>
          <w:u w:val="single"/>
        </w:rPr>
      </w:pPr>
      <w:r w:rsidRPr="00D836AD">
        <w:rPr>
          <w:szCs w:val="22"/>
          <w:u w:val="single"/>
        </w:rPr>
        <w:t>Dospelí</w:t>
      </w:r>
      <w:r>
        <w:rPr>
          <w:szCs w:val="22"/>
          <w:u w:val="single"/>
        </w:rPr>
        <w:t>:</w:t>
      </w:r>
    </w:p>
    <w:p w:rsidR="004169B3" w:rsidRPr="006E6C4E" w:rsidRDefault="004169B3" w:rsidP="00FC4CE3">
      <w:pPr>
        <w:tabs>
          <w:tab w:val="left" w:pos="-1296"/>
          <w:tab w:val="left" w:pos="1"/>
          <w:tab w:val="left" w:pos="1296"/>
          <w:tab w:val="left" w:pos="2592"/>
          <w:tab w:val="left" w:pos="3888"/>
          <w:tab w:val="left" w:pos="5184"/>
          <w:tab w:val="left" w:pos="6480"/>
          <w:tab w:val="left" w:pos="7776"/>
          <w:tab w:val="left" w:pos="9072"/>
        </w:tabs>
        <w:rPr>
          <w:szCs w:val="22"/>
        </w:rPr>
      </w:pPr>
      <w:r w:rsidRPr="006E6C4E">
        <w:rPr>
          <w:szCs w:val="22"/>
        </w:rPr>
        <w:t>Ťažká chronická bolesť, ktorá sa dá primerane kontr</w:t>
      </w:r>
      <w:smartTag w:uri="urn:schemas-microsoft-com:office:smarttags" w:element="PersonName">
        <w:r w:rsidRPr="006E6C4E">
          <w:rPr>
            <w:szCs w:val="22"/>
          </w:rPr>
          <w:t>olo</w:t>
        </w:r>
      </w:smartTag>
      <w:r w:rsidRPr="006E6C4E">
        <w:rPr>
          <w:szCs w:val="22"/>
        </w:rPr>
        <w:t xml:space="preserve">vať len opioidnými analgetikami. </w:t>
      </w:r>
    </w:p>
    <w:p w:rsidR="004169B3" w:rsidRDefault="004169B3" w:rsidP="00FC4CE3">
      <w:pPr>
        <w:tabs>
          <w:tab w:val="clear" w:pos="567"/>
          <w:tab w:val="left" w:pos="1296"/>
        </w:tabs>
        <w:spacing w:line="240" w:lineRule="auto"/>
        <w:rPr>
          <w:noProof/>
          <w:szCs w:val="22"/>
        </w:rPr>
      </w:pPr>
    </w:p>
    <w:p w:rsidR="004169B3" w:rsidRPr="0046756A" w:rsidRDefault="004169B3" w:rsidP="00FC4CE3">
      <w:pPr>
        <w:tabs>
          <w:tab w:val="clear" w:pos="567"/>
          <w:tab w:val="left" w:pos="1296"/>
        </w:tabs>
        <w:spacing w:line="240" w:lineRule="auto"/>
        <w:rPr>
          <w:noProof/>
          <w:szCs w:val="22"/>
          <w:u w:val="single"/>
        </w:rPr>
      </w:pPr>
      <w:r>
        <w:rPr>
          <w:noProof/>
          <w:szCs w:val="22"/>
          <w:u w:val="single"/>
        </w:rPr>
        <w:t>Deti:</w:t>
      </w:r>
    </w:p>
    <w:p w:rsidR="004169B3" w:rsidRDefault="004169B3" w:rsidP="00FC4CE3">
      <w:pPr>
        <w:tabs>
          <w:tab w:val="clear" w:pos="567"/>
        </w:tabs>
        <w:spacing w:line="240" w:lineRule="auto"/>
        <w:rPr>
          <w:noProof/>
          <w:szCs w:val="22"/>
        </w:rPr>
      </w:pPr>
      <w:r>
        <w:rPr>
          <w:noProof/>
          <w:szCs w:val="22"/>
        </w:rPr>
        <w:t xml:space="preserve">Dlhodobý manažment závažnej chronickej bolesti u detí, ktoré sú liečené  opioidmi od druhého roku veku. </w:t>
      </w:r>
    </w:p>
    <w:p w:rsidR="004169B3" w:rsidRDefault="004169B3" w:rsidP="00FC4CE3">
      <w:pPr>
        <w:tabs>
          <w:tab w:val="left" w:pos="-1296"/>
          <w:tab w:val="left" w:pos="1"/>
          <w:tab w:val="left" w:pos="1296"/>
          <w:tab w:val="left" w:pos="2592"/>
          <w:tab w:val="left" w:pos="3888"/>
          <w:tab w:val="left" w:pos="5184"/>
          <w:tab w:val="left" w:pos="6480"/>
          <w:tab w:val="left" w:pos="7776"/>
          <w:tab w:val="left" w:pos="9072"/>
        </w:tabs>
        <w:rPr>
          <w:szCs w:val="22"/>
        </w:rPr>
      </w:pPr>
    </w:p>
    <w:p w:rsidR="004169B3" w:rsidRPr="006E6C4E" w:rsidRDefault="004169B3" w:rsidP="00FC4CE3">
      <w:pPr>
        <w:tabs>
          <w:tab w:val="left" w:pos="-1296"/>
          <w:tab w:val="left" w:pos="1"/>
          <w:tab w:val="left" w:pos="1296"/>
          <w:tab w:val="left" w:pos="2592"/>
          <w:tab w:val="left" w:pos="3888"/>
          <w:tab w:val="left" w:pos="5184"/>
          <w:tab w:val="left" w:pos="6480"/>
          <w:tab w:val="left" w:pos="7776"/>
          <w:tab w:val="left" w:pos="9072"/>
        </w:tabs>
        <w:rPr>
          <w:szCs w:val="22"/>
        </w:rPr>
      </w:pPr>
    </w:p>
    <w:p w:rsidR="004169B3" w:rsidRPr="006E6C4E" w:rsidRDefault="004169B3" w:rsidP="00FC4CE3">
      <w:pPr>
        <w:numPr>
          <w:ilvl w:val="1"/>
          <w:numId w:val="3"/>
          <w:numberingChange w:id="1" w:author="Unknown" w:date="2012-06-15T12:26:00Z" w:original="%1:4:0:.%2:2:0:"/>
        </w:numPr>
        <w:spacing w:line="240" w:lineRule="auto"/>
        <w:outlineLvl w:val="0"/>
        <w:rPr>
          <w:b/>
          <w:noProof/>
          <w:szCs w:val="22"/>
        </w:rPr>
      </w:pPr>
      <w:r w:rsidRPr="006E6C4E">
        <w:rPr>
          <w:b/>
          <w:noProof/>
          <w:szCs w:val="22"/>
        </w:rPr>
        <w:t>Dávkovanie a spôsob podávania</w:t>
      </w:r>
    </w:p>
    <w:p w:rsidR="004169B3" w:rsidRPr="006E6C4E" w:rsidRDefault="004169B3" w:rsidP="00FC4CE3">
      <w:pPr>
        <w:tabs>
          <w:tab w:val="clear" w:pos="567"/>
        </w:tabs>
        <w:spacing w:line="240" w:lineRule="auto"/>
        <w:outlineLvl w:val="0"/>
        <w:rPr>
          <w:b/>
          <w:noProof/>
          <w:szCs w:val="22"/>
        </w:rPr>
      </w:pPr>
    </w:p>
    <w:p w:rsidR="004169B3" w:rsidRPr="006E6C4E" w:rsidRDefault="004169B3" w:rsidP="00FC4CE3">
      <w:pPr>
        <w:suppressAutoHyphens/>
        <w:rPr>
          <w:spacing w:val="-3"/>
          <w:szCs w:val="22"/>
        </w:rPr>
      </w:pPr>
      <w:r w:rsidRPr="006E6C4E">
        <w:rPr>
          <w:spacing w:val="-3"/>
          <w:szCs w:val="22"/>
        </w:rPr>
        <w:t xml:space="preserve">Fentanyl transdermálne náplasti uvoľňujú liečivo viac ako 72 hodín. Rýchlosť uvoľňovania fentanylu je 12, 25, 50, </w:t>
      </w:r>
      <w:smartTag w:uri="urn:schemas-microsoft-com:office:smarttags" w:element="metricconverter">
        <w:smartTagPr>
          <w:attr w:name="ProductID" w:val="75 a"/>
        </w:smartTagPr>
        <w:r w:rsidRPr="006E6C4E">
          <w:rPr>
            <w:spacing w:val="-3"/>
            <w:szCs w:val="22"/>
          </w:rPr>
          <w:t>75 a</w:t>
        </w:r>
      </w:smartTag>
      <w:r w:rsidRPr="006E6C4E">
        <w:rPr>
          <w:spacing w:val="-3"/>
          <w:szCs w:val="22"/>
        </w:rPr>
        <w:t xml:space="preserve"> 100 mikrogramov/h </w:t>
      </w:r>
      <w:r w:rsidRPr="006E6C4E">
        <w:rPr>
          <w:color w:val="000000"/>
          <w:spacing w:val="-3"/>
          <w:szCs w:val="22"/>
        </w:rPr>
        <w:t>a zodpovedajúci aktívny povrch je</w:t>
      </w:r>
      <w:r w:rsidRPr="006E6C4E">
        <w:rPr>
          <w:spacing w:val="-3"/>
          <w:szCs w:val="22"/>
        </w:rPr>
        <w:t xml:space="preserve"> 4,2; 8,4; 16,8; 25,2 and 33,6 cm</w:t>
      </w:r>
      <w:r w:rsidRPr="006E6C4E">
        <w:rPr>
          <w:spacing w:val="-3"/>
          <w:szCs w:val="22"/>
          <w:vertAlign w:val="superscript"/>
        </w:rPr>
        <w:t>2</w:t>
      </w:r>
      <w:r w:rsidRPr="006E6C4E">
        <w:rPr>
          <w:spacing w:val="-3"/>
          <w:szCs w:val="22"/>
        </w:rPr>
        <w:t>.</w:t>
      </w:r>
    </w:p>
    <w:p w:rsidR="004169B3" w:rsidRDefault="004169B3" w:rsidP="00FC4CE3">
      <w:pPr>
        <w:jc w:val="both"/>
        <w:rPr>
          <w:i/>
          <w:szCs w:val="22"/>
        </w:rPr>
      </w:pPr>
    </w:p>
    <w:p w:rsidR="004169B3" w:rsidRPr="00D836AD" w:rsidRDefault="004169B3" w:rsidP="00FC4CE3">
      <w:pPr>
        <w:jc w:val="both"/>
        <w:rPr>
          <w:i/>
          <w:szCs w:val="22"/>
        </w:rPr>
      </w:pPr>
      <w:r>
        <w:rPr>
          <w:i/>
          <w:szCs w:val="22"/>
        </w:rPr>
        <w:t>Spôsob podávania</w:t>
      </w:r>
    </w:p>
    <w:p w:rsidR="004169B3" w:rsidRDefault="004169B3" w:rsidP="00FC4CE3">
      <w:pPr>
        <w:jc w:val="both"/>
        <w:rPr>
          <w:szCs w:val="22"/>
        </w:rPr>
      </w:pPr>
      <w:r>
        <w:rPr>
          <w:szCs w:val="22"/>
        </w:rPr>
        <w:t xml:space="preserve">Na transdermálne použitie </w:t>
      </w:r>
    </w:p>
    <w:p w:rsidR="004169B3" w:rsidRDefault="004169B3" w:rsidP="00FC4CE3">
      <w:pPr>
        <w:spacing w:line="240" w:lineRule="auto"/>
        <w:rPr>
          <w:i/>
          <w:szCs w:val="22"/>
        </w:rPr>
      </w:pPr>
    </w:p>
    <w:p w:rsidR="004169B3" w:rsidRPr="00D836AD" w:rsidRDefault="004169B3" w:rsidP="00FC4CE3">
      <w:pPr>
        <w:spacing w:line="240" w:lineRule="auto"/>
        <w:rPr>
          <w:szCs w:val="22"/>
        </w:rPr>
      </w:pPr>
      <w:r w:rsidRPr="00EB38CB">
        <w:rPr>
          <w:szCs w:val="22"/>
        </w:rPr>
        <w:t>Transdermáln</w:t>
      </w:r>
      <w:r>
        <w:rPr>
          <w:szCs w:val="22"/>
        </w:rPr>
        <w:t>a</w:t>
      </w:r>
      <w:r w:rsidRPr="00EB38CB">
        <w:rPr>
          <w:szCs w:val="22"/>
        </w:rPr>
        <w:t xml:space="preserve"> fentanylov</w:t>
      </w:r>
      <w:r>
        <w:rPr>
          <w:szCs w:val="22"/>
        </w:rPr>
        <w:t>á náplasť sa musí</w:t>
      </w:r>
      <w:r w:rsidRPr="00EB38CB">
        <w:rPr>
          <w:szCs w:val="22"/>
        </w:rPr>
        <w:t xml:space="preserve"> aplikovať na kožu, ktorá nie je podráždená a ož</w:t>
      </w:r>
      <w:r>
        <w:rPr>
          <w:szCs w:val="22"/>
        </w:rPr>
        <w:t>arovaná</w:t>
      </w:r>
      <w:r w:rsidRPr="00EB38CB">
        <w:rPr>
          <w:szCs w:val="22"/>
        </w:rPr>
        <w:t>, na plochú časť hrude alebo hornú časť ramena</w:t>
      </w:r>
      <w:r w:rsidRPr="00396D11">
        <w:rPr>
          <w:i/>
          <w:szCs w:val="22"/>
          <w:u w:val="single"/>
        </w:rPr>
        <w:t xml:space="preserve">. </w:t>
      </w:r>
      <w:r>
        <w:rPr>
          <w:szCs w:val="22"/>
        </w:rPr>
        <w:t xml:space="preserve">U malých detí sa uprednostňuje </w:t>
      </w:r>
      <w:r w:rsidRPr="00E519FA">
        <w:t xml:space="preserve">aplikácia na hornú časť </w:t>
      </w:r>
      <w:r>
        <w:t>chrbta</w:t>
      </w:r>
      <w:r>
        <w:rPr>
          <w:szCs w:val="22"/>
        </w:rPr>
        <w:t xml:space="preserve">, aby sa minimalizovala možnosť, že si dieťa náplasť odstráni. Skôr ako sa náplasť aplikuje, ochlpenie sa má na miestach aplikácie (uprednostňuje sa oblasť bez ochlpenia) ostrihať (nie oholiť). Ak je potrebné miesto aplikácie  pred priložením náplasti očistiť, má sa tak urobiť vodou. Mydlá, oleje, kozmetické prípravky, alkohol alebo akékoľvek iné prostriedky môžu podráždiť kožu alebo zmeniť jej charakteristiky, preto sa nemajú na čistenie použiť. Pred priložením náplasti sa má koža úplne vysušiť. </w:t>
      </w:r>
    </w:p>
    <w:p w:rsidR="004169B3" w:rsidRDefault="004169B3" w:rsidP="00FC4CE3">
      <w:pPr>
        <w:spacing w:line="240" w:lineRule="auto"/>
        <w:rPr>
          <w:szCs w:val="22"/>
        </w:rPr>
      </w:pPr>
    </w:p>
    <w:p w:rsidR="004169B3" w:rsidRDefault="004169B3" w:rsidP="00FC4CE3">
      <w:pPr>
        <w:spacing w:line="240" w:lineRule="auto"/>
        <w:rPr>
          <w:szCs w:val="22"/>
        </w:rPr>
      </w:pPr>
      <w:r>
        <w:rPr>
          <w:szCs w:val="22"/>
        </w:rPr>
        <w:t xml:space="preserve">Transdermálna náplasť je na povrchu  chránená nepremokavou fóliou, môže preto zostať nalepená aj počas krátkeho sprchovania. </w:t>
      </w:r>
    </w:p>
    <w:p w:rsidR="004169B3" w:rsidRDefault="004169B3" w:rsidP="00FC4CE3">
      <w:pPr>
        <w:spacing w:line="240" w:lineRule="auto"/>
        <w:rPr>
          <w:szCs w:val="22"/>
        </w:rPr>
      </w:pPr>
    </w:p>
    <w:p w:rsidR="004169B3" w:rsidRDefault="004169B3" w:rsidP="00FC4CE3">
      <w:pPr>
        <w:pStyle w:val="NormalTemplatenormal"/>
        <w:spacing w:line="240" w:lineRule="auto"/>
        <w:jc w:val="both"/>
        <w:rPr>
          <w:rFonts w:ascii="Times New Roman" w:hAnsi="Times New Roman"/>
          <w:spacing w:val="-3"/>
          <w:szCs w:val="22"/>
          <w:lang w:val="sk-SK"/>
        </w:rPr>
      </w:pPr>
      <w:r>
        <w:rPr>
          <w:rFonts w:ascii="Times New Roman" w:hAnsi="Times New Roman"/>
          <w:spacing w:val="-3"/>
          <w:szCs w:val="22"/>
          <w:lang w:val="sk-SK"/>
        </w:rPr>
        <w:t>Fentanylová transdermálna náplasť sa má nalepiť ihneď po otvorení obalu. Po odstránení ochrannej vrstvy sa musí pevne pritlačiť na kožu dlaňou približne 30 sekúnd, aby sa zabezpečil úplný kontakt náplaste s kožou, zvlášť okolo okrajov. Môže byť potrebné dodatočné fixovanie transdermálnej náplasti. Po aplikácii náplaste sa majú umyť ruky čistou vodou.</w:t>
      </w:r>
    </w:p>
    <w:p w:rsidR="004169B3" w:rsidRDefault="004169B3" w:rsidP="00FC4CE3">
      <w:pPr>
        <w:pStyle w:val="NormalTemplatenormal"/>
        <w:spacing w:line="240" w:lineRule="auto"/>
        <w:jc w:val="both"/>
        <w:rPr>
          <w:rFonts w:ascii="Times New Roman" w:hAnsi="Times New Roman"/>
          <w:spacing w:val="-3"/>
          <w:szCs w:val="22"/>
          <w:lang w:val="sk-SK"/>
        </w:rPr>
      </w:pPr>
      <w:r>
        <w:rPr>
          <w:rFonts w:ascii="Times New Roman" w:hAnsi="Times New Roman"/>
          <w:spacing w:val="-3"/>
          <w:szCs w:val="22"/>
          <w:lang w:val="sk-SK"/>
        </w:rPr>
        <w:t>Fentanylová transdermálna náplasť sa má používať nepretržite 72 hodín, potom vymeniť. Nová transdermálna náplasť sa musí vždy aplikovať na iné miesto, ako predchádzajúca. Rovnaké aplikačné miesto sa môže použiť znovu až po intervale najmenej 7 dní.</w:t>
      </w:r>
    </w:p>
    <w:p w:rsidR="004169B3" w:rsidRDefault="004169B3" w:rsidP="00FC4CE3">
      <w:pPr>
        <w:pStyle w:val="NormalTemplatenormal"/>
        <w:spacing w:line="240" w:lineRule="auto"/>
        <w:rPr>
          <w:rFonts w:ascii="Times New Roman" w:hAnsi="Times New Roman"/>
          <w:spacing w:val="-3"/>
          <w:szCs w:val="22"/>
          <w:lang w:val="sk-SK"/>
        </w:rPr>
      </w:pPr>
    </w:p>
    <w:p w:rsidR="004169B3" w:rsidRPr="003E303C" w:rsidRDefault="004169B3" w:rsidP="00FC4CE3">
      <w:pPr>
        <w:pStyle w:val="NormalTemplatenormal"/>
        <w:spacing w:line="240" w:lineRule="auto"/>
        <w:rPr>
          <w:rFonts w:ascii="Times New Roman" w:hAnsi="Times New Roman"/>
          <w:spacing w:val="-3"/>
          <w:szCs w:val="22"/>
          <w:lang w:val="sk-SK"/>
        </w:rPr>
      </w:pPr>
      <w:r>
        <w:rPr>
          <w:rFonts w:ascii="Times New Roman" w:hAnsi="Times New Roman"/>
          <w:spacing w:val="-3"/>
          <w:szCs w:val="22"/>
          <w:lang w:val="sk-SK"/>
        </w:rPr>
        <w:t xml:space="preserve">Transdermálna náplasť sa nemá deliť ani strihať (pozri časť 4.4). </w:t>
      </w:r>
    </w:p>
    <w:p w:rsidR="004169B3" w:rsidRPr="003E303C" w:rsidRDefault="004169B3" w:rsidP="00FC4CE3">
      <w:pPr>
        <w:pStyle w:val="NormalTemplatenormal"/>
        <w:spacing w:line="240" w:lineRule="auto"/>
        <w:rPr>
          <w:rFonts w:ascii="Times New Roman" w:hAnsi="Times New Roman"/>
          <w:spacing w:val="-3"/>
          <w:szCs w:val="22"/>
          <w:lang w:val="sk-SK"/>
        </w:rPr>
      </w:pPr>
    </w:p>
    <w:p w:rsidR="004169B3" w:rsidRPr="00EB38CB" w:rsidRDefault="004169B3" w:rsidP="00FC4CE3">
      <w:pPr>
        <w:pStyle w:val="NormalTemplatenormal"/>
        <w:spacing w:line="240" w:lineRule="auto"/>
        <w:rPr>
          <w:rFonts w:ascii="Times New Roman" w:hAnsi="Times New Roman"/>
          <w:spacing w:val="-3"/>
          <w:szCs w:val="22"/>
          <w:lang w:val="sk-SK"/>
        </w:rPr>
      </w:pPr>
      <w:r w:rsidRPr="00EB38CB">
        <w:rPr>
          <w:rFonts w:ascii="Times New Roman" w:hAnsi="Times New Roman"/>
          <w:spacing w:val="-3"/>
          <w:szCs w:val="22"/>
          <w:lang w:val="sk-SK"/>
        </w:rPr>
        <w:t xml:space="preserve">Návod na likvidáciu je v časti 6.6. </w:t>
      </w:r>
    </w:p>
    <w:p w:rsidR="004169B3" w:rsidRDefault="004169B3" w:rsidP="00FC4CE3">
      <w:pPr>
        <w:jc w:val="both"/>
        <w:rPr>
          <w:szCs w:val="22"/>
        </w:rPr>
      </w:pPr>
    </w:p>
    <w:p w:rsidR="004169B3" w:rsidRPr="006E6C4E" w:rsidRDefault="004169B3" w:rsidP="00FC4CE3">
      <w:pPr>
        <w:suppressAutoHyphens/>
        <w:rPr>
          <w:szCs w:val="22"/>
        </w:rPr>
      </w:pPr>
    </w:p>
    <w:p w:rsidR="004169B3" w:rsidRPr="006E6C4E" w:rsidRDefault="004169B3" w:rsidP="00FC4CE3">
      <w:pPr>
        <w:suppressAutoHyphens/>
        <w:rPr>
          <w:i/>
          <w:spacing w:val="-3"/>
          <w:szCs w:val="22"/>
        </w:rPr>
      </w:pPr>
      <w:r w:rsidRPr="006E6C4E">
        <w:rPr>
          <w:szCs w:val="22"/>
        </w:rPr>
        <w:t xml:space="preserve">Potrebná dávka fentanylu sa nastaví individuálne a má sa vyhodnotiť pravidelne po každej aplikácii. </w:t>
      </w:r>
    </w:p>
    <w:p w:rsidR="004169B3" w:rsidRDefault="004169B3" w:rsidP="00FC4CE3">
      <w:pPr>
        <w:suppressAutoHyphens/>
        <w:rPr>
          <w:i/>
          <w:spacing w:val="-3"/>
          <w:szCs w:val="22"/>
        </w:rPr>
      </w:pPr>
      <w:r w:rsidRPr="00914B64">
        <w:rPr>
          <w:i/>
          <w:spacing w:val="-3"/>
          <w:szCs w:val="22"/>
        </w:rPr>
        <w:t>Dospelí</w:t>
      </w:r>
      <w:r>
        <w:rPr>
          <w:i/>
          <w:spacing w:val="-3"/>
          <w:szCs w:val="22"/>
        </w:rPr>
        <w:t>:</w:t>
      </w:r>
    </w:p>
    <w:p w:rsidR="004169B3" w:rsidRPr="006E6C4E" w:rsidRDefault="004169B3" w:rsidP="00FC4CE3">
      <w:pPr>
        <w:suppressAutoHyphens/>
        <w:rPr>
          <w:i/>
          <w:spacing w:val="-3"/>
          <w:szCs w:val="22"/>
        </w:rPr>
      </w:pPr>
    </w:p>
    <w:p w:rsidR="004169B3" w:rsidRPr="006E6C4E" w:rsidRDefault="004169B3" w:rsidP="00FC4CE3">
      <w:pPr>
        <w:suppressAutoHyphens/>
        <w:rPr>
          <w:i/>
          <w:spacing w:val="-3"/>
          <w:szCs w:val="22"/>
        </w:rPr>
      </w:pPr>
      <w:r w:rsidRPr="006E6C4E">
        <w:rPr>
          <w:i/>
          <w:spacing w:val="-3"/>
          <w:szCs w:val="22"/>
        </w:rPr>
        <w:t xml:space="preserve">Určenie počiatočnej dávky  </w:t>
      </w:r>
    </w:p>
    <w:p w:rsidR="004169B3" w:rsidRPr="006E6C4E" w:rsidRDefault="004169B3" w:rsidP="00FC4CE3">
      <w:pPr>
        <w:suppressAutoHyphens/>
        <w:jc w:val="both"/>
        <w:rPr>
          <w:spacing w:val="-3"/>
          <w:szCs w:val="22"/>
        </w:rPr>
      </w:pPr>
      <w:r w:rsidRPr="006E6C4E">
        <w:rPr>
          <w:spacing w:val="-3"/>
          <w:szCs w:val="22"/>
        </w:rPr>
        <w:t xml:space="preserve">Hladina dávky fentanylu závisí od predchádzajúceho používania opioidov, do úvahy je potrebné vziať možný vývoj tolerancie, súbežnú medikamentóznu liečbu, celkový zdravotný stav pacienta a stupeň závažnosti ochorenia.  </w:t>
      </w:r>
    </w:p>
    <w:p w:rsidR="004169B3" w:rsidRPr="006E6C4E" w:rsidRDefault="004169B3" w:rsidP="00FC4CE3">
      <w:pPr>
        <w:suppressAutoHyphens/>
        <w:rPr>
          <w:spacing w:val="-3"/>
          <w:szCs w:val="22"/>
        </w:rPr>
      </w:pPr>
    </w:p>
    <w:p w:rsidR="004169B3" w:rsidRPr="006E6C4E" w:rsidRDefault="004169B3" w:rsidP="00FC4CE3">
      <w:pPr>
        <w:jc w:val="both"/>
        <w:rPr>
          <w:szCs w:val="22"/>
        </w:rPr>
      </w:pPr>
      <w:r w:rsidRPr="006E6C4E">
        <w:rPr>
          <w:szCs w:val="22"/>
        </w:rPr>
        <w:t xml:space="preserve">Počiatočná dávka nemá prekročiť 25 </w:t>
      </w:r>
      <w:r w:rsidRPr="006E6C4E">
        <w:rPr>
          <w:spacing w:val="-3"/>
          <w:szCs w:val="22"/>
        </w:rPr>
        <w:t xml:space="preserve">mikrogramov/h, keď spôsob odpovede bolesti na opioidy nie je celkom známy.  </w:t>
      </w:r>
    </w:p>
    <w:p w:rsidR="004169B3" w:rsidRPr="006E6C4E" w:rsidRDefault="004169B3" w:rsidP="00FC4CE3">
      <w:pPr>
        <w:suppressAutoHyphens/>
        <w:rPr>
          <w:spacing w:val="-3"/>
          <w:szCs w:val="22"/>
        </w:rPr>
      </w:pPr>
    </w:p>
    <w:p w:rsidR="004169B3" w:rsidRPr="006E6C4E" w:rsidRDefault="004169B3" w:rsidP="00FC4CE3">
      <w:pPr>
        <w:suppressAutoHyphens/>
        <w:rPr>
          <w:i/>
          <w:spacing w:val="-3"/>
          <w:szCs w:val="22"/>
        </w:rPr>
      </w:pPr>
      <w:r w:rsidRPr="006E6C4E">
        <w:rPr>
          <w:i/>
          <w:spacing w:val="-3"/>
          <w:szCs w:val="22"/>
        </w:rPr>
        <w:t xml:space="preserve">Prechod z liečby inými opioidmi  </w:t>
      </w:r>
    </w:p>
    <w:p w:rsidR="004169B3" w:rsidRPr="006E6C4E" w:rsidRDefault="004169B3" w:rsidP="00FC4CE3">
      <w:pPr>
        <w:suppressAutoHyphens/>
        <w:rPr>
          <w:spacing w:val="-3"/>
          <w:szCs w:val="22"/>
        </w:rPr>
      </w:pPr>
      <w:r w:rsidRPr="006E6C4E">
        <w:rPr>
          <w:spacing w:val="-3"/>
          <w:szCs w:val="22"/>
        </w:rPr>
        <w:t xml:space="preserve">Ak sa prechádza z perorálnej alebo parenterálnej liečby opioidmi na liečbu fentanylom, počiatočná dávka sa má vypočítať nasledovne:  </w:t>
      </w:r>
    </w:p>
    <w:p w:rsidR="004169B3" w:rsidRPr="006E6C4E" w:rsidRDefault="004169B3" w:rsidP="00FC4CE3">
      <w:pPr>
        <w:suppressAutoHyphens/>
        <w:rPr>
          <w:spacing w:val="-3"/>
          <w:szCs w:val="22"/>
        </w:rPr>
      </w:pPr>
    </w:p>
    <w:p w:rsidR="004169B3" w:rsidRPr="006E6C4E" w:rsidRDefault="004169B3" w:rsidP="00FC4CE3">
      <w:pPr>
        <w:suppressAutoHyphens/>
        <w:rPr>
          <w:spacing w:val="-3"/>
          <w:szCs w:val="22"/>
        </w:rPr>
      </w:pPr>
      <w:r w:rsidRPr="006E6C4E">
        <w:rPr>
          <w:spacing w:val="-3"/>
          <w:szCs w:val="22"/>
        </w:rPr>
        <w:t xml:space="preserve">1. Musí sa stanoviť množstvo analgetika potrebného za posledných 24 hodín.  </w:t>
      </w:r>
    </w:p>
    <w:p w:rsidR="004169B3" w:rsidRPr="006E6C4E" w:rsidRDefault="004169B3" w:rsidP="00FC4CE3">
      <w:pPr>
        <w:suppressAutoHyphens/>
        <w:rPr>
          <w:i/>
          <w:spacing w:val="-3"/>
          <w:szCs w:val="22"/>
        </w:rPr>
      </w:pPr>
      <w:r w:rsidRPr="006E6C4E">
        <w:rPr>
          <w:spacing w:val="-3"/>
          <w:szCs w:val="22"/>
        </w:rPr>
        <w:t xml:space="preserve">2. Zistené množstvo sa musí prepočítať na zodpovedajúcu perorálnu dávku morfínu podľa Tabuľky 1.  </w:t>
      </w:r>
    </w:p>
    <w:p w:rsidR="004169B3" w:rsidRPr="006E6C4E" w:rsidRDefault="004169B3" w:rsidP="00FC4CE3">
      <w:pPr>
        <w:suppressAutoHyphens/>
        <w:rPr>
          <w:color w:val="000000"/>
          <w:spacing w:val="-3"/>
          <w:szCs w:val="22"/>
        </w:rPr>
      </w:pPr>
      <w:r w:rsidRPr="006E6C4E">
        <w:rPr>
          <w:spacing w:val="-3"/>
          <w:szCs w:val="22"/>
        </w:rPr>
        <w:t>3. Zodpovedajúca dávka fentanylu sa stanoví podľa Tabuľky 2.</w:t>
      </w:r>
    </w:p>
    <w:p w:rsidR="004169B3" w:rsidRPr="006E6C4E" w:rsidRDefault="004169B3" w:rsidP="00FC4CE3">
      <w:pPr>
        <w:jc w:val="both"/>
        <w:rPr>
          <w:szCs w:val="22"/>
        </w:rPr>
      </w:pPr>
    </w:p>
    <w:p w:rsidR="004169B3" w:rsidRPr="006E6C4E" w:rsidRDefault="004169B3" w:rsidP="00FC4CE3">
      <w:pPr>
        <w:jc w:val="both"/>
        <w:rPr>
          <w:szCs w:val="22"/>
        </w:rPr>
      </w:pPr>
      <w:r w:rsidRPr="006E6C4E">
        <w:rPr>
          <w:i/>
          <w:szCs w:val="22"/>
        </w:rPr>
        <w:t xml:space="preserve">Tabuľka 1: Ekvianalgetická účinnosť liečiv  </w:t>
      </w:r>
    </w:p>
    <w:p w:rsidR="004169B3" w:rsidRPr="006E6C4E" w:rsidRDefault="004169B3" w:rsidP="00FC4CE3">
      <w:pPr>
        <w:jc w:val="both"/>
        <w:rPr>
          <w:szCs w:val="22"/>
        </w:rPr>
      </w:pPr>
      <w:r w:rsidRPr="006E6C4E">
        <w:rPr>
          <w:szCs w:val="22"/>
        </w:rPr>
        <w:t xml:space="preserve">Všetky i.m. a perorálne dávky uvedené v tabuľke majú ekvivalentný analgetický účinok ako 10 mg morfínu aplikovaného intramuskulárne. </w:t>
      </w:r>
    </w:p>
    <w:p w:rsidR="004169B3" w:rsidRPr="006E6C4E" w:rsidRDefault="004169B3" w:rsidP="00FC4CE3">
      <w:pPr>
        <w:jc w:val="both"/>
        <w:rPr>
          <w:b/>
          <w:szCs w:val="22"/>
          <w:highlight w:val="yellow"/>
        </w:rPr>
      </w:pPr>
    </w:p>
    <w:p w:rsidR="004169B3" w:rsidRPr="006E6C4E" w:rsidRDefault="004169B3" w:rsidP="00FC4CE3">
      <w:pPr>
        <w:jc w:val="both"/>
        <w:rPr>
          <w:szCs w:val="22"/>
        </w:rPr>
      </w:pPr>
      <w:r w:rsidRPr="006E6C4E">
        <w:rPr>
          <w:szCs w:val="22"/>
        </w:rPr>
        <w:t xml:space="preserve">Názov liečiva        </w:t>
      </w:r>
      <w:r w:rsidRPr="006E6C4E">
        <w:rPr>
          <w:szCs w:val="22"/>
        </w:rPr>
        <w:tab/>
        <w:t>Ekvianalgetická dávka (mg)</w:t>
      </w:r>
    </w:p>
    <w:p w:rsidR="004169B3" w:rsidRPr="006E6C4E" w:rsidRDefault="004169B3" w:rsidP="00FC4CE3">
      <w:pPr>
        <w:rPr>
          <w:szCs w:val="22"/>
          <w:u w:val="single"/>
        </w:rPr>
      </w:pPr>
      <w:r w:rsidRPr="006E6C4E">
        <w:rPr>
          <w:szCs w:val="22"/>
          <w:u w:val="single"/>
        </w:rPr>
        <w:tab/>
      </w:r>
      <w:r w:rsidRPr="006E6C4E">
        <w:rPr>
          <w:szCs w:val="22"/>
          <w:u w:val="single"/>
        </w:rPr>
        <w:tab/>
      </w:r>
      <w:r w:rsidRPr="006E6C4E">
        <w:rPr>
          <w:szCs w:val="22"/>
          <w:u w:val="single"/>
        </w:rPr>
        <w:tab/>
      </w:r>
      <w:r w:rsidRPr="006E6C4E">
        <w:rPr>
          <w:szCs w:val="22"/>
          <w:u w:val="single"/>
        </w:rPr>
        <w:tab/>
      </w:r>
      <w:r w:rsidRPr="006E6C4E">
        <w:rPr>
          <w:szCs w:val="22"/>
          <w:u w:val="single"/>
        </w:rPr>
        <w:tab/>
      </w:r>
      <w:r w:rsidRPr="006E6C4E">
        <w:rPr>
          <w:szCs w:val="22"/>
          <w:u w:val="single"/>
        </w:rPr>
        <w:tab/>
        <w:t xml:space="preserve">i.m.*       </w:t>
      </w:r>
      <w:r w:rsidRPr="006E6C4E">
        <w:rPr>
          <w:szCs w:val="22"/>
          <w:u w:val="single"/>
        </w:rPr>
        <w:tab/>
        <w:t>perorálne __</w:t>
      </w:r>
    </w:p>
    <w:p w:rsidR="004169B3" w:rsidRPr="006E6C4E" w:rsidRDefault="004169B3" w:rsidP="00FC4CE3">
      <w:pPr>
        <w:rPr>
          <w:szCs w:val="22"/>
        </w:rPr>
      </w:pPr>
    </w:p>
    <w:p w:rsidR="004169B3" w:rsidRPr="006E6C4E" w:rsidRDefault="004169B3" w:rsidP="00FC4CE3">
      <w:pPr>
        <w:rPr>
          <w:szCs w:val="22"/>
        </w:rPr>
      </w:pPr>
      <w:r w:rsidRPr="006E6C4E">
        <w:rPr>
          <w:szCs w:val="22"/>
        </w:rPr>
        <w:t xml:space="preserve">Morfín </w:t>
      </w:r>
      <w:r w:rsidRPr="006E6C4E">
        <w:rPr>
          <w:szCs w:val="22"/>
        </w:rPr>
        <w:tab/>
      </w:r>
      <w:r w:rsidRPr="006E6C4E">
        <w:rPr>
          <w:szCs w:val="22"/>
        </w:rPr>
        <w:tab/>
      </w:r>
      <w:r w:rsidRPr="006E6C4E">
        <w:rPr>
          <w:szCs w:val="22"/>
        </w:rPr>
        <w:tab/>
      </w:r>
      <w:r w:rsidRPr="006E6C4E">
        <w:rPr>
          <w:szCs w:val="22"/>
        </w:rPr>
        <w:tab/>
      </w:r>
      <w:r w:rsidRPr="006E6C4E">
        <w:rPr>
          <w:szCs w:val="22"/>
        </w:rPr>
        <w:tab/>
        <w:t xml:space="preserve">10 </w:t>
      </w:r>
      <w:r w:rsidRPr="006E6C4E">
        <w:rPr>
          <w:szCs w:val="22"/>
        </w:rPr>
        <w:tab/>
      </w:r>
      <w:r w:rsidRPr="006E6C4E">
        <w:rPr>
          <w:szCs w:val="22"/>
        </w:rPr>
        <w:tab/>
        <w:t xml:space="preserve">30 (predpokladané opakované podanie)** </w:t>
      </w:r>
      <w:r w:rsidRPr="006E6C4E">
        <w:rPr>
          <w:szCs w:val="22"/>
        </w:rPr>
        <w:tab/>
      </w:r>
      <w:r w:rsidRPr="006E6C4E">
        <w:rPr>
          <w:szCs w:val="22"/>
        </w:rPr>
        <w:tab/>
      </w:r>
      <w:r w:rsidRPr="006E6C4E">
        <w:rPr>
          <w:szCs w:val="22"/>
        </w:rPr>
        <w:tab/>
        <w:t xml:space="preserve">                </w:t>
      </w:r>
      <w:r w:rsidRPr="006E6C4E">
        <w:rPr>
          <w:szCs w:val="22"/>
        </w:rPr>
        <w:tab/>
        <w:t>60 (predpokladané jednorazové podanie alebo a občasné dávky)</w:t>
      </w:r>
    </w:p>
    <w:p w:rsidR="004169B3" w:rsidRPr="006E6C4E" w:rsidRDefault="004169B3" w:rsidP="00FC4CE3">
      <w:pPr>
        <w:rPr>
          <w:szCs w:val="22"/>
        </w:rPr>
      </w:pPr>
      <w:r w:rsidRPr="006E6C4E">
        <w:rPr>
          <w:szCs w:val="22"/>
        </w:rPr>
        <w:t xml:space="preserve">Hydromorfon </w:t>
      </w:r>
      <w:r w:rsidRPr="006E6C4E">
        <w:rPr>
          <w:szCs w:val="22"/>
        </w:rPr>
        <w:tab/>
      </w:r>
      <w:r w:rsidRPr="006E6C4E">
        <w:rPr>
          <w:szCs w:val="22"/>
        </w:rPr>
        <w:tab/>
      </w:r>
      <w:r w:rsidRPr="006E6C4E">
        <w:rPr>
          <w:szCs w:val="22"/>
        </w:rPr>
        <w:tab/>
      </w:r>
      <w:r w:rsidRPr="006E6C4E">
        <w:rPr>
          <w:szCs w:val="22"/>
        </w:rPr>
        <w:tab/>
      </w:r>
      <w:r w:rsidRPr="006E6C4E">
        <w:rPr>
          <w:szCs w:val="22"/>
        </w:rPr>
        <w:tab/>
        <w:t>1.5</w:t>
      </w:r>
      <w:r w:rsidRPr="006E6C4E">
        <w:rPr>
          <w:szCs w:val="22"/>
        </w:rPr>
        <w:tab/>
        <w:t>7.5</w:t>
      </w:r>
    </w:p>
    <w:p w:rsidR="004169B3" w:rsidRPr="006E6C4E" w:rsidRDefault="004169B3" w:rsidP="00FC4CE3">
      <w:pPr>
        <w:rPr>
          <w:szCs w:val="22"/>
        </w:rPr>
      </w:pPr>
      <w:r w:rsidRPr="006E6C4E">
        <w:rPr>
          <w:szCs w:val="22"/>
        </w:rPr>
        <w:t xml:space="preserve">Metadon          </w:t>
      </w:r>
      <w:r w:rsidRPr="006E6C4E">
        <w:rPr>
          <w:szCs w:val="22"/>
        </w:rPr>
        <w:tab/>
      </w:r>
      <w:r w:rsidRPr="006E6C4E">
        <w:rPr>
          <w:szCs w:val="22"/>
        </w:rPr>
        <w:tab/>
      </w:r>
      <w:r w:rsidRPr="006E6C4E">
        <w:rPr>
          <w:szCs w:val="22"/>
        </w:rPr>
        <w:tab/>
      </w:r>
      <w:r w:rsidRPr="006E6C4E">
        <w:rPr>
          <w:szCs w:val="22"/>
        </w:rPr>
        <w:tab/>
        <w:t>10</w:t>
      </w:r>
      <w:r w:rsidRPr="006E6C4E">
        <w:rPr>
          <w:szCs w:val="22"/>
        </w:rPr>
        <w:tab/>
        <w:t>20</w:t>
      </w:r>
    </w:p>
    <w:p w:rsidR="004169B3" w:rsidRPr="006E6C4E" w:rsidRDefault="004169B3" w:rsidP="00FC4CE3">
      <w:pPr>
        <w:rPr>
          <w:szCs w:val="22"/>
        </w:rPr>
      </w:pPr>
      <w:r w:rsidRPr="006E6C4E">
        <w:rPr>
          <w:szCs w:val="22"/>
        </w:rPr>
        <w:t>Oxykodon</w:t>
      </w:r>
      <w:r w:rsidRPr="006E6C4E">
        <w:rPr>
          <w:szCs w:val="22"/>
        </w:rPr>
        <w:tab/>
      </w:r>
      <w:r w:rsidRPr="006E6C4E">
        <w:rPr>
          <w:szCs w:val="22"/>
        </w:rPr>
        <w:tab/>
      </w:r>
      <w:r w:rsidRPr="006E6C4E">
        <w:rPr>
          <w:szCs w:val="22"/>
        </w:rPr>
        <w:tab/>
      </w:r>
      <w:r w:rsidRPr="006E6C4E">
        <w:rPr>
          <w:szCs w:val="22"/>
        </w:rPr>
        <w:tab/>
      </w:r>
      <w:r w:rsidRPr="006E6C4E">
        <w:rPr>
          <w:szCs w:val="22"/>
        </w:rPr>
        <w:tab/>
        <w:t>10-15</w:t>
      </w:r>
      <w:r w:rsidRPr="006E6C4E">
        <w:rPr>
          <w:szCs w:val="22"/>
        </w:rPr>
        <w:tab/>
        <w:t>20-30</w:t>
      </w:r>
    </w:p>
    <w:p w:rsidR="004169B3" w:rsidRPr="006E6C4E" w:rsidRDefault="004169B3" w:rsidP="00FC4CE3">
      <w:pPr>
        <w:rPr>
          <w:szCs w:val="22"/>
        </w:rPr>
      </w:pPr>
      <w:r w:rsidRPr="006E6C4E">
        <w:rPr>
          <w:szCs w:val="22"/>
        </w:rPr>
        <w:t xml:space="preserve">Levorfanol                                   </w:t>
      </w:r>
      <w:r w:rsidRPr="006E6C4E">
        <w:rPr>
          <w:szCs w:val="22"/>
        </w:rPr>
        <w:tab/>
      </w:r>
      <w:r w:rsidRPr="006E6C4E">
        <w:rPr>
          <w:szCs w:val="22"/>
        </w:rPr>
        <w:tab/>
      </w:r>
      <w:r w:rsidRPr="006E6C4E">
        <w:rPr>
          <w:szCs w:val="22"/>
        </w:rPr>
        <w:tab/>
        <w:t xml:space="preserve">2                  </w:t>
      </w:r>
      <w:r w:rsidRPr="006E6C4E">
        <w:rPr>
          <w:szCs w:val="22"/>
        </w:rPr>
        <w:tab/>
        <w:t>4</w:t>
      </w:r>
    </w:p>
    <w:p w:rsidR="004169B3" w:rsidRPr="006E6C4E" w:rsidRDefault="004169B3" w:rsidP="00FC4CE3">
      <w:pPr>
        <w:rPr>
          <w:szCs w:val="22"/>
        </w:rPr>
      </w:pPr>
      <w:r w:rsidRPr="006E6C4E">
        <w:rPr>
          <w:szCs w:val="22"/>
        </w:rPr>
        <w:t xml:space="preserve">Oxymorfín                                  </w:t>
      </w:r>
      <w:r w:rsidRPr="006E6C4E">
        <w:rPr>
          <w:szCs w:val="22"/>
        </w:rPr>
        <w:tab/>
      </w:r>
      <w:r w:rsidRPr="006E6C4E">
        <w:rPr>
          <w:szCs w:val="22"/>
        </w:rPr>
        <w:tab/>
      </w:r>
      <w:r w:rsidRPr="006E6C4E">
        <w:rPr>
          <w:szCs w:val="22"/>
        </w:rPr>
        <w:tab/>
        <w:t xml:space="preserve">1                 </w:t>
      </w:r>
      <w:r w:rsidRPr="006E6C4E">
        <w:rPr>
          <w:szCs w:val="22"/>
        </w:rPr>
        <w:tab/>
        <w:t>10 (rektálne)</w:t>
      </w:r>
    </w:p>
    <w:p w:rsidR="004169B3" w:rsidRPr="006E6C4E" w:rsidRDefault="004169B3" w:rsidP="00FC4CE3">
      <w:pPr>
        <w:rPr>
          <w:szCs w:val="22"/>
        </w:rPr>
      </w:pPr>
      <w:r w:rsidRPr="006E6C4E">
        <w:rPr>
          <w:szCs w:val="22"/>
        </w:rPr>
        <w:t xml:space="preserve">Diamorfín                                   </w:t>
      </w:r>
      <w:r w:rsidRPr="006E6C4E">
        <w:rPr>
          <w:szCs w:val="22"/>
        </w:rPr>
        <w:tab/>
      </w:r>
      <w:r w:rsidRPr="006E6C4E">
        <w:rPr>
          <w:szCs w:val="22"/>
        </w:rPr>
        <w:tab/>
      </w:r>
      <w:r w:rsidRPr="006E6C4E">
        <w:rPr>
          <w:szCs w:val="22"/>
        </w:rPr>
        <w:tab/>
        <w:t xml:space="preserve">5                 </w:t>
      </w:r>
      <w:r w:rsidRPr="006E6C4E">
        <w:rPr>
          <w:szCs w:val="22"/>
        </w:rPr>
        <w:tab/>
        <w:t xml:space="preserve">60 </w:t>
      </w:r>
    </w:p>
    <w:p w:rsidR="004169B3" w:rsidRPr="006E6C4E" w:rsidRDefault="004169B3" w:rsidP="00FC4CE3">
      <w:pPr>
        <w:rPr>
          <w:szCs w:val="22"/>
        </w:rPr>
      </w:pPr>
      <w:r w:rsidRPr="006E6C4E">
        <w:rPr>
          <w:szCs w:val="22"/>
        </w:rPr>
        <w:t>Petidín</w:t>
      </w:r>
      <w:r w:rsidRPr="006E6C4E">
        <w:rPr>
          <w:szCs w:val="22"/>
        </w:rPr>
        <w:tab/>
      </w:r>
      <w:r w:rsidRPr="006E6C4E">
        <w:rPr>
          <w:szCs w:val="22"/>
        </w:rPr>
        <w:tab/>
      </w:r>
      <w:r w:rsidRPr="006E6C4E">
        <w:rPr>
          <w:szCs w:val="22"/>
        </w:rPr>
        <w:tab/>
      </w:r>
      <w:r w:rsidRPr="006E6C4E">
        <w:rPr>
          <w:szCs w:val="22"/>
        </w:rPr>
        <w:tab/>
      </w:r>
      <w:r w:rsidRPr="006E6C4E">
        <w:rPr>
          <w:szCs w:val="22"/>
        </w:rPr>
        <w:tab/>
        <w:t>75</w:t>
      </w:r>
      <w:r w:rsidRPr="006E6C4E">
        <w:rPr>
          <w:szCs w:val="22"/>
        </w:rPr>
        <w:tab/>
        <w:t>-</w:t>
      </w:r>
    </w:p>
    <w:p w:rsidR="004169B3" w:rsidRPr="006E6C4E" w:rsidRDefault="004169B3" w:rsidP="00FC4CE3">
      <w:pPr>
        <w:rPr>
          <w:szCs w:val="22"/>
        </w:rPr>
      </w:pPr>
      <w:r w:rsidRPr="006E6C4E">
        <w:rPr>
          <w:szCs w:val="22"/>
        </w:rPr>
        <w:t>Kodeín</w:t>
      </w:r>
      <w:r w:rsidRPr="006E6C4E">
        <w:rPr>
          <w:szCs w:val="22"/>
        </w:rPr>
        <w:tab/>
      </w:r>
      <w:r w:rsidRPr="006E6C4E">
        <w:rPr>
          <w:szCs w:val="22"/>
        </w:rPr>
        <w:tab/>
      </w:r>
      <w:r w:rsidRPr="006E6C4E">
        <w:rPr>
          <w:szCs w:val="22"/>
        </w:rPr>
        <w:tab/>
      </w:r>
      <w:r w:rsidRPr="006E6C4E">
        <w:rPr>
          <w:szCs w:val="22"/>
        </w:rPr>
        <w:tab/>
      </w:r>
      <w:r w:rsidRPr="006E6C4E">
        <w:rPr>
          <w:szCs w:val="22"/>
        </w:rPr>
        <w:tab/>
        <w:t>-</w:t>
      </w:r>
      <w:r w:rsidRPr="006E6C4E">
        <w:rPr>
          <w:szCs w:val="22"/>
        </w:rPr>
        <w:tab/>
        <w:t>200</w:t>
      </w:r>
    </w:p>
    <w:p w:rsidR="004169B3" w:rsidRPr="006E6C4E" w:rsidRDefault="004169B3" w:rsidP="00FC4CE3">
      <w:pPr>
        <w:ind w:left="5216" w:hanging="5216"/>
        <w:rPr>
          <w:szCs w:val="22"/>
        </w:rPr>
      </w:pPr>
      <w:r w:rsidRPr="006E6C4E">
        <w:rPr>
          <w:szCs w:val="22"/>
        </w:rPr>
        <w:t xml:space="preserve">Buprenorfín  </w:t>
      </w:r>
      <w:r w:rsidRPr="006E6C4E">
        <w:rPr>
          <w:szCs w:val="22"/>
        </w:rPr>
        <w:tab/>
      </w:r>
      <w:r w:rsidRPr="006E6C4E">
        <w:rPr>
          <w:szCs w:val="22"/>
        </w:rPr>
        <w:tab/>
        <w:t xml:space="preserve">0.4            0.8 (sublinguálne)                                                                                                           </w:t>
      </w:r>
    </w:p>
    <w:p w:rsidR="004169B3" w:rsidRPr="006E6C4E" w:rsidRDefault="004169B3" w:rsidP="00FC4CE3">
      <w:pPr>
        <w:rPr>
          <w:szCs w:val="22"/>
        </w:rPr>
      </w:pPr>
      <w:r w:rsidRPr="006E6C4E">
        <w:rPr>
          <w:szCs w:val="22"/>
        </w:rPr>
        <w:t xml:space="preserve">Ketobemidon    </w:t>
      </w:r>
      <w:r w:rsidRPr="006E6C4E">
        <w:rPr>
          <w:szCs w:val="22"/>
        </w:rPr>
        <w:tab/>
      </w:r>
      <w:r w:rsidRPr="006E6C4E">
        <w:rPr>
          <w:szCs w:val="22"/>
        </w:rPr>
        <w:tab/>
      </w:r>
      <w:r w:rsidRPr="006E6C4E">
        <w:rPr>
          <w:szCs w:val="22"/>
        </w:rPr>
        <w:tab/>
      </w:r>
      <w:r w:rsidRPr="006E6C4E">
        <w:rPr>
          <w:szCs w:val="22"/>
        </w:rPr>
        <w:tab/>
        <w:t xml:space="preserve">10 </w:t>
      </w:r>
      <w:r w:rsidRPr="006E6C4E">
        <w:rPr>
          <w:szCs w:val="22"/>
        </w:rPr>
        <w:tab/>
        <w:t>30</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*Na základe výsledkov štúdií s jednorazovou dávkou, v ktorých sa porovnávala i.m. dávka hore uvedených liečiv s morfínom potrebná na dosiahnutie ekvivalentnej účinnosti. Perorálne dávky sú dávkami odporučenými na prechod z parenterálnej aplikácie na perorálnu.  </w:t>
      </w:r>
    </w:p>
    <w:p w:rsidR="004169B3" w:rsidRPr="006E6C4E" w:rsidRDefault="004169B3" w:rsidP="00FC4CE3">
      <w:pPr>
        <w:jc w:val="both"/>
        <w:rPr>
          <w:szCs w:val="22"/>
        </w:rPr>
      </w:pPr>
      <w:r w:rsidRPr="006E6C4E">
        <w:rPr>
          <w:szCs w:val="22"/>
        </w:rPr>
        <w:t xml:space="preserve">**Pomer účinnosti 3:1 u morfínu i.m./perorálna aplikácia vychádza z klinických štúdií u pacientov s chronickou bolesťou.  </w:t>
      </w:r>
    </w:p>
    <w:p w:rsidR="004169B3" w:rsidRPr="006E6C4E" w:rsidRDefault="004169B3" w:rsidP="00FC4CE3">
      <w:pPr>
        <w:jc w:val="both"/>
        <w:rPr>
          <w:b/>
          <w:szCs w:val="22"/>
        </w:rPr>
      </w:pPr>
    </w:p>
    <w:p w:rsidR="004169B3" w:rsidRPr="006E6C4E" w:rsidRDefault="004169B3" w:rsidP="00FC4CE3">
      <w:pPr>
        <w:jc w:val="both"/>
        <w:rPr>
          <w:i/>
          <w:szCs w:val="22"/>
        </w:rPr>
      </w:pPr>
      <w:r w:rsidRPr="006E6C4E">
        <w:rPr>
          <w:i/>
          <w:szCs w:val="22"/>
        </w:rPr>
        <w:t xml:space="preserve">Tabuľka 2: Odporúčaná počiatočná dávka Matrifenu odvodená od dennej perorálnej dávky morfínu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Perorálna dávka morfínu</w:t>
      </w:r>
      <w:r w:rsidRPr="006E6C4E">
        <w:rPr>
          <w:szCs w:val="22"/>
        </w:rPr>
        <w:tab/>
      </w:r>
      <w:r w:rsidRPr="006E6C4E">
        <w:rPr>
          <w:szCs w:val="22"/>
        </w:rPr>
        <w:tab/>
        <w:t xml:space="preserve">Dávka Matrifen transdermálna náplasť </w:t>
      </w:r>
    </w:p>
    <w:p w:rsidR="004169B3" w:rsidRPr="006E6C4E" w:rsidRDefault="004169B3" w:rsidP="00FC4CE3">
      <w:pPr>
        <w:pBdr>
          <w:bottom w:val="single" w:sz="12" w:space="1" w:color="auto"/>
        </w:pBdr>
        <w:jc w:val="both"/>
        <w:rPr>
          <w:szCs w:val="22"/>
        </w:rPr>
      </w:pPr>
      <w:r w:rsidRPr="006E6C4E">
        <w:rPr>
          <w:szCs w:val="22"/>
        </w:rPr>
        <w:t>za 24 hodín (mg/deň)</w:t>
      </w:r>
      <w:r w:rsidRPr="006E6C4E">
        <w:rPr>
          <w:szCs w:val="22"/>
        </w:rPr>
        <w:tab/>
        <w:t xml:space="preserve">                             mikrogramy/h          </w:t>
      </w:r>
    </w:p>
    <w:p w:rsidR="004169B3" w:rsidRPr="006E6C4E" w:rsidRDefault="004169B3" w:rsidP="00FC4CE3">
      <w:pPr>
        <w:jc w:val="both"/>
        <w:rPr>
          <w:szCs w:val="22"/>
        </w:rPr>
      </w:pPr>
      <w:r w:rsidRPr="006E6C4E">
        <w:rPr>
          <w:szCs w:val="22"/>
        </w:rPr>
        <w:t xml:space="preserve">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&lt; 135</w:t>
      </w:r>
      <w:r w:rsidRPr="006E6C4E">
        <w:rPr>
          <w:szCs w:val="22"/>
        </w:rPr>
        <w:tab/>
      </w:r>
      <w:r w:rsidRPr="006E6C4E">
        <w:rPr>
          <w:szCs w:val="22"/>
        </w:rPr>
        <w:tab/>
      </w:r>
      <w:r w:rsidRPr="006E6C4E">
        <w:rPr>
          <w:szCs w:val="22"/>
        </w:rPr>
        <w:tab/>
      </w:r>
      <w:r w:rsidRPr="006E6C4E">
        <w:rPr>
          <w:szCs w:val="22"/>
        </w:rPr>
        <w:tab/>
      </w:r>
      <w:r w:rsidRPr="006E6C4E">
        <w:rPr>
          <w:szCs w:val="22"/>
        </w:rPr>
        <w:tab/>
        <w:t>25</w:t>
      </w:r>
    </w:p>
    <w:p w:rsidR="004169B3" w:rsidRPr="006E6C4E" w:rsidRDefault="004169B3" w:rsidP="00FC4CE3">
      <w:pPr>
        <w:jc w:val="both"/>
        <w:rPr>
          <w:szCs w:val="22"/>
        </w:rPr>
      </w:pPr>
      <w:r w:rsidRPr="006E6C4E">
        <w:rPr>
          <w:szCs w:val="22"/>
        </w:rPr>
        <w:t>135-224</w:t>
      </w:r>
      <w:r w:rsidRPr="006E6C4E">
        <w:rPr>
          <w:szCs w:val="22"/>
        </w:rPr>
        <w:tab/>
      </w:r>
      <w:r w:rsidRPr="006E6C4E">
        <w:rPr>
          <w:szCs w:val="22"/>
        </w:rPr>
        <w:tab/>
      </w:r>
      <w:r w:rsidRPr="006E6C4E">
        <w:rPr>
          <w:szCs w:val="22"/>
        </w:rPr>
        <w:tab/>
      </w:r>
      <w:r w:rsidRPr="006E6C4E">
        <w:rPr>
          <w:szCs w:val="22"/>
        </w:rPr>
        <w:tab/>
        <w:t>50</w:t>
      </w:r>
    </w:p>
    <w:p w:rsidR="004169B3" w:rsidRPr="006E6C4E" w:rsidRDefault="004169B3" w:rsidP="00FC4CE3">
      <w:pPr>
        <w:jc w:val="both"/>
        <w:rPr>
          <w:szCs w:val="22"/>
        </w:rPr>
      </w:pPr>
      <w:r w:rsidRPr="006E6C4E">
        <w:rPr>
          <w:szCs w:val="22"/>
        </w:rPr>
        <w:t>225-314</w:t>
      </w:r>
      <w:r w:rsidRPr="006E6C4E">
        <w:rPr>
          <w:szCs w:val="22"/>
        </w:rPr>
        <w:tab/>
      </w:r>
      <w:r w:rsidRPr="006E6C4E">
        <w:rPr>
          <w:szCs w:val="22"/>
        </w:rPr>
        <w:tab/>
      </w:r>
      <w:r w:rsidRPr="006E6C4E">
        <w:rPr>
          <w:szCs w:val="22"/>
        </w:rPr>
        <w:tab/>
      </w:r>
      <w:r w:rsidRPr="006E6C4E">
        <w:rPr>
          <w:szCs w:val="22"/>
        </w:rPr>
        <w:tab/>
        <w:t>75</w:t>
      </w:r>
    </w:p>
    <w:p w:rsidR="004169B3" w:rsidRPr="006E6C4E" w:rsidRDefault="004169B3" w:rsidP="00FC4CE3">
      <w:pPr>
        <w:jc w:val="both"/>
        <w:rPr>
          <w:szCs w:val="22"/>
        </w:rPr>
      </w:pPr>
      <w:r w:rsidRPr="006E6C4E">
        <w:rPr>
          <w:szCs w:val="22"/>
        </w:rPr>
        <w:t>315-404</w:t>
      </w:r>
      <w:r w:rsidRPr="006E6C4E">
        <w:rPr>
          <w:szCs w:val="22"/>
        </w:rPr>
        <w:tab/>
      </w:r>
      <w:r w:rsidRPr="006E6C4E">
        <w:rPr>
          <w:szCs w:val="22"/>
        </w:rPr>
        <w:tab/>
      </w:r>
      <w:r w:rsidRPr="006E6C4E">
        <w:rPr>
          <w:szCs w:val="22"/>
        </w:rPr>
        <w:tab/>
      </w:r>
      <w:r w:rsidRPr="006E6C4E">
        <w:rPr>
          <w:szCs w:val="22"/>
        </w:rPr>
        <w:tab/>
        <w:t>100</w:t>
      </w:r>
    </w:p>
    <w:p w:rsidR="004169B3" w:rsidRPr="006E6C4E" w:rsidRDefault="004169B3" w:rsidP="00FC4CE3">
      <w:pPr>
        <w:jc w:val="both"/>
        <w:rPr>
          <w:szCs w:val="22"/>
        </w:rPr>
      </w:pPr>
      <w:r w:rsidRPr="006E6C4E">
        <w:rPr>
          <w:szCs w:val="22"/>
        </w:rPr>
        <w:t>405-494</w:t>
      </w:r>
      <w:r w:rsidRPr="006E6C4E">
        <w:rPr>
          <w:szCs w:val="22"/>
        </w:rPr>
        <w:tab/>
      </w:r>
      <w:r w:rsidRPr="006E6C4E">
        <w:rPr>
          <w:szCs w:val="22"/>
        </w:rPr>
        <w:tab/>
      </w:r>
      <w:r w:rsidRPr="006E6C4E">
        <w:rPr>
          <w:szCs w:val="22"/>
        </w:rPr>
        <w:tab/>
      </w:r>
      <w:r w:rsidRPr="006E6C4E">
        <w:rPr>
          <w:szCs w:val="22"/>
        </w:rPr>
        <w:tab/>
        <w:t>125</w:t>
      </w:r>
    </w:p>
    <w:p w:rsidR="004169B3" w:rsidRPr="006E6C4E" w:rsidRDefault="004169B3" w:rsidP="00FC4CE3">
      <w:pPr>
        <w:jc w:val="both"/>
        <w:rPr>
          <w:szCs w:val="22"/>
        </w:rPr>
      </w:pPr>
      <w:r w:rsidRPr="006E6C4E">
        <w:rPr>
          <w:szCs w:val="22"/>
        </w:rPr>
        <w:t>495-584</w:t>
      </w:r>
      <w:r w:rsidRPr="006E6C4E">
        <w:rPr>
          <w:szCs w:val="22"/>
        </w:rPr>
        <w:tab/>
      </w:r>
      <w:r w:rsidRPr="006E6C4E">
        <w:rPr>
          <w:szCs w:val="22"/>
        </w:rPr>
        <w:tab/>
      </w:r>
      <w:r w:rsidRPr="006E6C4E">
        <w:rPr>
          <w:szCs w:val="22"/>
        </w:rPr>
        <w:tab/>
      </w:r>
      <w:r w:rsidRPr="006E6C4E">
        <w:rPr>
          <w:szCs w:val="22"/>
        </w:rPr>
        <w:tab/>
        <w:t>150</w:t>
      </w:r>
    </w:p>
    <w:p w:rsidR="004169B3" w:rsidRPr="006E6C4E" w:rsidRDefault="004169B3" w:rsidP="00FC4CE3">
      <w:pPr>
        <w:jc w:val="both"/>
        <w:rPr>
          <w:szCs w:val="22"/>
        </w:rPr>
      </w:pPr>
      <w:r w:rsidRPr="006E6C4E">
        <w:rPr>
          <w:szCs w:val="22"/>
        </w:rPr>
        <w:t>585-674</w:t>
      </w:r>
      <w:r w:rsidRPr="006E6C4E">
        <w:rPr>
          <w:szCs w:val="22"/>
        </w:rPr>
        <w:tab/>
      </w:r>
      <w:r w:rsidRPr="006E6C4E">
        <w:rPr>
          <w:szCs w:val="22"/>
        </w:rPr>
        <w:tab/>
      </w:r>
      <w:r w:rsidRPr="006E6C4E">
        <w:rPr>
          <w:szCs w:val="22"/>
        </w:rPr>
        <w:tab/>
      </w:r>
      <w:r w:rsidRPr="006E6C4E">
        <w:rPr>
          <w:szCs w:val="22"/>
        </w:rPr>
        <w:tab/>
        <w:t>175</w:t>
      </w:r>
    </w:p>
    <w:p w:rsidR="004169B3" w:rsidRPr="006E6C4E" w:rsidRDefault="004169B3" w:rsidP="00FC4CE3">
      <w:pPr>
        <w:jc w:val="both"/>
        <w:rPr>
          <w:szCs w:val="22"/>
        </w:rPr>
      </w:pPr>
      <w:r w:rsidRPr="006E6C4E">
        <w:rPr>
          <w:szCs w:val="22"/>
        </w:rPr>
        <w:t>675-764</w:t>
      </w:r>
      <w:r w:rsidRPr="006E6C4E">
        <w:rPr>
          <w:szCs w:val="22"/>
        </w:rPr>
        <w:tab/>
      </w:r>
      <w:r w:rsidRPr="006E6C4E">
        <w:rPr>
          <w:szCs w:val="22"/>
        </w:rPr>
        <w:tab/>
      </w:r>
      <w:r w:rsidRPr="006E6C4E">
        <w:rPr>
          <w:szCs w:val="22"/>
        </w:rPr>
        <w:tab/>
      </w:r>
      <w:r w:rsidRPr="006E6C4E">
        <w:rPr>
          <w:szCs w:val="22"/>
        </w:rPr>
        <w:tab/>
        <w:t>200</w:t>
      </w:r>
    </w:p>
    <w:p w:rsidR="004169B3" w:rsidRPr="006E6C4E" w:rsidRDefault="004169B3" w:rsidP="00FC4CE3">
      <w:pPr>
        <w:jc w:val="both"/>
        <w:rPr>
          <w:szCs w:val="22"/>
        </w:rPr>
      </w:pPr>
      <w:r w:rsidRPr="006E6C4E">
        <w:rPr>
          <w:szCs w:val="22"/>
        </w:rPr>
        <w:t>765-854</w:t>
      </w:r>
      <w:r w:rsidRPr="006E6C4E">
        <w:rPr>
          <w:szCs w:val="22"/>
        </w:rPr>
        <w:tab/>
      </w:r>
      <w:r w:rsidRPr="006E6C4E">
        <w:rPr>
          <w:szCs w:val="22"/>
        </w:rPr>
        <w:tab/>
      </w:r>
      <w:r w:rsidRPr="006E6C4E">
        <w:rPr>
          <w:szCs w:val="22"/>
        </w:rPr>
        <w:tab/>
      </w:r>
      <w:r w:rsidRPr="006E6C4E">
        <w:rPr>
          <w:szCs w:val="22"/>
        </w:rPr>
        <w:tab/>
        <w:t>225</w:t>
      </w:r>
    </w:p>
    <w:p w:rsidR="004169B3" w:rsidRPr="006E6C4E" w:rsidRDefault="004169B3" w:rsidP="00FC4CE3">
      <w:pPr>
        <w:jc w:val="both"/>
        <w:rPr>
          <w:szCs w:val="22"/>
        </w:rPr>
      </w:pPr>
      <w:r w:rsidRPr="006E6C4E">
        <w:rPr>
          <w:szCs w:val="22"/>
        </w:rPr>
        <w:t>855-944</w:t>
      </w:r>
      <w:r w:rsidRPr="006E6C4E">
        <w:rPr>
          <w:szCs w:val="22"/>
        </w:rPr>
        <w:tab/>
      </w:r>
      <w:r w:rsidRPr="006E6C4E">
        <w:rPr>
          <w:szCs w:val="22"/>
        </w:rPr>
        <w:tab/>
      </w:r>
      <w:r w:rsidRPr="006E6C4E">
        <w:rPr>
          <w:szCs w:val="22"/>
        </w:rPr>
        <w:tab/>
      </w:r>
      <w:r w:rsidRPr="006E6C4E">
        <w:rPr>
          <w:szCs w:val="22"/>
        </w:rPr>
        <w:tab/>
        <w:t>250</w:t>
      </w:r>
    </w:p>
    <w:p w:rsidR="004169B3" w:rsidRPr="006E6C4E" w:rsidRDefault="004169B3" w:rsidP="00FC4CE3">
      <w:pPr>
        <w:jc w:val="both"/>
        <w:rPr>
          <w:szCs w:val="22"/>
        </w:rPr>
      </w:pPr>
      <w:r w:rsidRPr="006E6C4E">
        <w:rPr>
          <w:szCs w:val="22"/>
        </w:rPr>
        <w:t>945-1034</w:t>
      </w:r>
      <w:r w:rsidRPr="006E6C4E">
        <w:rPr>
          <w:szCs w:val="22"/>
        </w:rPr>
        <w:tab/>
      </w:r>
      <w:r w:rsidRPr="006E6C4E">
        <w:rPr>
          <w:szCs w:val="22"/>
        </w:rPr>
        <w:tab/>
      </w:r>
      <w:r w:rsidRPr="006E6C4E">
        <w:rPr>
          <w:szCs w:val="22"/>
        </w:rPr>
        <w:tab/>
      </w:r>
      <w:r w:rsidRPr="006E6C4E">
        <w:rPr>
          <w:szCs w:val="22"/>
        </w:rPr>
        <w:tab/>
        <w:t>275</w:t>
      </w:r>
    </w:p>
    <w:p w:rsidR="004169B3" w:rsidRPr="006E6C4E" w:rsidRDefault="004169B3" w:rsidP="00FC4CE3">
      <w:pPr>
        <w:jc w:val="both"/>
        <w:rPr>
          <w:szCs w:val="22"/>
        </w:rPr>
      </w:pPr>
      <w:r w:rsidRPr="006E6C4E">
        <w:rPr>
          <w:szCs w:val="22"/>
        </w:rPr>
        <w:t>1035-1124</w:t>
      </w:r>
      <w:r w:rsidRPr="006E6C4E">
        <w:rPr>
          <w:szCs w:val="22"/>
        </w:rPr>
        <w:tab/>
      </w:r>
      <w:r w:rsidRPr="006E6C4E">
        <w:rPr>
          <w:szCs w:val="22"/>
        </w:rPr>
        <w:tab/>
      </w:r>
      <w:r w:rsidRPr="006E6C4E">
        <w:rPr>
          <w:szCs w:val="22"/>
        </w:rPr>
        <w:tab/>
      </w:r>
      <w:r w:rsidRPr="006E6C4E">
        <w:rPr>
          <w:szCs w:val="22"/>
        </w:rPr>
        <w:tab/>
        <w:t>300</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Konverzné schémy sú odvodené od klinických štúdií. Schémy pochádzajúce z iných štúdií sú tiež užitočné v klinickej praxi a môžu sa použiť.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Počiatočné hodnotenie maximálneho analgetického účinku Matrifenu sa nemá urobiť skôr ako po 24 hodinách od nalepenia náplasti. Dôvodom je postupné zvyšovanie sérových koncentrácií fentanylu v prvých 24 hodinách po aplikácii náplasti. Predchádzajúca liečba opioidmi sa môže od času nalepenia prvej náplasti postupne znižovať, až kým sa nedosiahne analgetický účinok s Matrifenom.</w:t>
      </w:r>
    </w:p>
    <w:p w:rsidR="004169B3" w:rsidRPr="006E6C4E" w:rsidRDefault="004169B3" w:rsidP="00FC4CE3">
      <w:pPr>
        <w:jc w:val="both"/>
        <w:rPr>
          <w:szCs w:val="22"/>
        </w:rPr>
      </w:pPr>
    </w:p>
    <w:p w:rsidR="004169B3" w:rsidRPr="006E6C4E" w:rsidRDefault="004169B3" w:rsidP="00FC4CE3">
      <w:pPr>
        <w:keepNext/>
        <w:keepLines/>
        <w:jc w:val="both"/>
        <w:rPr>
          <w:szCs w:val="22"/>
        </w:rPr>
      </w:pPr>
      <w:r w:rsidRPr="006E6C4E">
        <w:rPr>
          <w:i/>
          <w:szCs w:val="22"/>
        </w:rPr>
        <w:t xml:space="preserve">Nastavenie dávky a udržiavacia liečba </w:t>
      </w:r>
    </w:p>
    <w:p w:rsidR="004169B3" w:rsidRPr="006E6C4E" w:rsidRDefault="004169B3" w:rsidP="00FC4CE3">
      <w:pPr>
        <w:keepNext/>
        <w:keepLines/>
        <w:jc w:val="both"/>
        <w:rPr>
          <w:szCs w:val="22"/>
        </w:rPr>
      </w:pPr>
      <w:r w:rsidRPr="006E6C4E">
        <w:rPr>
          <w:szCs w:val="22"/>
        </w:rPr>
        <w:t xml:space="preserve">Náplasť sa musí vymeniť každých 72 hodín. Dávka sa musí nastavovať individuálne, až kým sa dosiahne analgetický účinok. Pacientom, ktorým sa výrazne zníži analgézia v čase medzi 48 – 72 hodinami po aplikácii, môže byť potrebné nahradiť fentanyl po 48 hodinách. Dávka 12 mikrogramov/h je vhodná na nastavenie dávky v nižšej dávkovacej oblasti. Ak analgézia nie je dostatočná na konci počiatočného dávkovacieho cyklu, dávka sa môže zvýšiť po 3 dňoch, až kým sa u každého pacienta nedosiahne požadovaný účinok. Dávka sa dodatočne zvyšuje o 12 mikrogramov/h alebo 25 mikrogramov/h, do úvahy je potrebné vziať doplňujúcu analgetickú liečbu a stav bolesti pacienta. Viac ako jedna náplasť sa môže použiť na nastavenie dávky a pre dávky vyššie ako 100 mikrogramov/h. Na zvládnutie bolesti môžu pacienti potrebovať pravidelné doplňujúce dávky krátko účinkujúcich analgetík. Ak dávka Matrifenu presiahne 300 mikrogramov/h, je vhodné uvažovať o prídavných alebo alternatívnych metódach analgézie alebo alternatívnej aplikácii opioidov.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Pri prechode z dlhodobej liečby morfínom na transdermálny fentanyl boli napriek dostatočnej analgézii zaznamenané abstinenčné príznaky. Pri ich objavení sa odporúča liečba nízkymi dávkami krátkodobo účinkujúceho morfínu.    </w:t>
      </w:r>
    </w:p>
    <w:p w:rsidR="004169B3" w:rsidRPr="006E6C4E" w:rsidRDefault="004169B3" w:rsidP="00FC4CE3">
      <w:pPr>
        <w:jc w:val="both"/>
        <w:rPr>
          <w:szCs w:val="22"/>
        </w:rPr>
      </w:pPr>
    </w:p>
    <w:p w:rsidR="004169B3" w:rsidRPr="006E6C4E" w:rsidRDefault="004169B3" w:rsidP="00FC4CE3">
      <w:pPr>
        <w:jc w:val="both"/>
        <w:rPr>
          <w:szCs w:val="22"/>
        </w:rPr>
      </w:pPr>
      <w:r w:rsidRPr="006E6C4E">
        <w:rPr>
          <w:i/>
          <w:szCs w:val="22"/>
        </w:rPr>
        <w:t xml:space="preserve">Prerušenie liečby Matrifenom </w:t>
      </w:r>
    </w:p>
    <w:p w:rsidR="004169B3" w:rsidRPr="006E6C4E" w:rsidRDefault="004169B3" w:rsidP="00FC4CE3">
      <w:pPr>
        <w:jc w:val="both"/>
        <w:rPr>
          <w:szCs w:val="22"/>
        </w:rPr>
      </w:pPr>
      <w:r w:rsidRPr="006E6C4E">
        <w:rPr>
          <w:szCs w:val="22"/>
        </w:rPr>
        <w:t xml:space="preserve">Ak je potrebné prerušiť aplikáciu náplasti, akákoľvek náhrada inými opioidmi musí byť postupná, začínajúca nízkymi dávkami a pomaly sa zvyšujúca. Je to kvôli tomu, že hladiny fentanylu po odstránení náplasti klesajú pomaly; sérová koncentrácia fentanylu sa zníži na 50% najmenej za 17 hodín (časť 5.2). Obecným pravidlom je, že prerušenie opioidnej analgézie musí byť postupné, aby sa predišlo abstinenčným príznakom (nauzea, vracanie, hnačka, úzkosť a tras svalov).   </w:t>
      </w:r>
    </w:p>
    <w:p w:rsidR="004169B3" w:rsidRPr="006E6C4E" w:rsidRDefault="004169B3" w:rsidP="00FC4CE3">
      <w:pPr>
        <w:jc w:val="both"/>
        <w:rPr>
          <w:szCs w:val="22"/>
        </w:rPr>
      </w:pPr>
      <w:r w:rsidRPr="006E6C4E">
        <w:rPr>
          <w:szCs w:val="22"/>
        </w:rPr>
        <w:t xml:space="preserve">  </w:t>
      </w:r>
    </w:p>
    <w:p w:rsidR="004169B3" w:rsidRPr="006E6C4E" w:rsidRDefault="004169B3" w:rsidP="00FC4CE3">
      <w:pPr>
        <w:jc w:val="both"/>
        <w:rPr>
          <w:i/>
          <w:szCs w:val="22"/>
        </w:rPr>
      </w:pPr>
      <w:r w:rsidRPr="006E6C4E">
        <w:rPr>
          <w:i/>
          <w:szCs w:val="22"/>
        </w:rPr>
        <w:t xml:space="preserve">Používanie u starších pacientov </w:t>
      </w:r>
    </w:p>
    <w:p w:rsidR="004169B3" w:rsidRPr="006E6C4E" w:rsidRDefault="004169B3" w:rsidP="00FC4CE3">
      <w:pPr>
        <w:jc w:val="both"/>
        <w:rPr>
          <w:szCs w:val="22"/>
        </w:rPr>
      </w:pPr>
      <w:r w:rsidRPr="006E6C4E">
        <w:rPr>
          <w:szCs w:val="22"/>
        </w:rPr>
        <w:t>Starší alebo kachektickí pacienti majú byť starostlivo sledovaní a ak je to potrené, treba im znížiť dávku (časť 4.4).</w:t>
      </w:r>
    </w:p>
    <w:p w:rsidR="004169B3" w:rsidRPr="006E6C4E" w:rsidRDefault="004169B3" w:rsidP="00FC4CE3">
      <w:pPr>
        <w:jc w:val="both"/>
        <w:rPr>
          <w:b/>
          <w:szCs w:val="22"/>
        </w:rPr>
      </w:pPr>
    </w:p>
    <w:p w:rsidR="004169B3" w:rsidRPr="006E6C4E" w:rsidRDefault="004169B3" w:rsidP="00FC4CE3">
      <w:pPr>
        <w:pStyle w:val="Heading8"/>
        <w:ind w:left="0" w:firstLine="0"/>
        <w:rPr>
          <w:b w:val="0"/>
          <w:szCs w:val="22"/>
        </w:rPr>
      </w:pPr>
      <w:r w:rsidRPr="006E6C4E">
        <w:rPr>
          <w:b w:val="0"/>
          <w:szCs w:val="22"/>
        </w:rPr>
        <w:t xml:space="preserve">Použitie u pacientov s poruchou pečene alebo obličiek </w:t>
      </w:r>
    </w:p>
    <w:p w:rsidR="004169B3" w:rsidRPr="006E6C4E" w:rsidRDefault="004169B3" w:rsidP="00FC4CE3">
      <w:pPr>
        <w:jc w:val="both"/>
        <w:rPr>
          <w:szCs w:val="22"/>
        </w:rPr>
      </w:pPr>
      <w:r w:rsidRPr="006E6C4E">
        <w:rPr>
          <w:szCs w:val="22"/>
        </w:rPr>
        <w:t>U pacientov s poruchou funkcie pečene alebo obličiek je nutné dôsledne sledovať príznaky predávkovania a dávku prípadne znížiť (časť 4.4).</w:t>
      </w:r>
    </w:p>
    <w:p w:rsidR="004169B3" w:rsidRPr="006E6C4E" w:rsidRDefault="004169B3" w:rsidP="00FC4CE3">
      <w:pPr>
        <w:rPr>
          <w:b/>
          <w:i/>
          <w:szCs w:val="22"/>
        </w:rPr>
      </w:pPr>
    </w:p>
    <w:p w:rsidR="004169B3" w:rsidRPr="006E6C4E" w:rsidRDefault="004169B3" w:rsidP="00FC4CE3">
      <w:pPr>
        <w:pStyle w:val="Heading8"/>
        <w:ind w:left="0" w:firstLine="0"/>
        <w:rPr>
          <w:b w:val="0"/>
          <w:szCs w:val="22"/>
        </w:rPr>
      </w:pPr>
      <w:r w:rsidRPr="006E6C4E">
        <w:rPr>
          <w:b w:val="0"/>
          <w:szCs w:val="22"/>
        </w:rPr>
        <w:t xml:space="preserve">Použitie u pacientov s horúčkou </w:t>
      </w:r>
    </w:p>
    <w:p w:rsidR="004169B3" w:rsidRPr="006E6C4E" w:rsidRDefault="004169B3" w:rsidP="00FC4CE3">
      <w:pPr>
        <w:rPr>
          <w:szCs w:val="22"/>
        </w:rPr>
      </w:pPr>
      <w:r w:rsidRPr="006E6C4E">
        <w:rPr>
          <w:szCs w:val="22"/>
        </w:rPr>
        <w:t xml:space="preserve">V čase horúčky môže byť potrebné pacientom dávku upraviť (časť 4.4). </w:t>
      </w:r>
    </w:p>
    <w:p w:rsidR="004169B3" w:rsidRPr="006E6C4E" w:rsidRDefault="004169B3" w:rsidP="00FC4CE3">
      <w:pPr>
        <w:rPr>
          <w:b/>
          <w:szCs w:val="22"/>
        </w:rPr>
      </w:pPr>
    </w:p>
    <w:p w:rsidR="004169B3" w:rsidRPr="006E6C4E" w:rsidRDefault="004169B3" w:rsidP="00FC4CE3">
      <w:pPr>
        <w:pStyle w:val="Heading9"/>
        <w:rPr>
          <w:b w:val="0"/>
          <w:szCs w:val="22"/>
        </w:rPr>
      </w:pPr>
    </w:p>
    <w:p w:rsidR="004169B3" w:rsidRPr="006E6C4E" w:rsidRDefault="004169B3" w:rsidP="00FC4CE3">
      <w:pPr>
        <w:rPr>
          <w:szCs w:val="22"/>
        </w:rPr>
      </w:pPr>
    </w:p>
    <w:p w:rsidR="004169B3" w:rsidRPr="006E6C4E" w:rsidRDefault="004169B3" w:rsidP="00FC4CE3">
      <w:pPr>
        <w:rPr>
          <w:szCs w:val="22"/>
        </w:rPr>
      </w:pPr>
    </w:p>
    <w:p w:rsidR="004169B3" w:rsidRPr="006E6C4E" w:rsidRDefault="004169B3" w:rsidP="00FC4CE3">
      <w:pPr>
        <w:jc w:val="both"/>
        <w:rPr>
          <w:i/>
          <w:szCs w:val="22"/>
        </w:rPr>
      </w:pPr>
      <w:r w:rsidRPr="006E6C4E">
        <w:rPr>
          <w:szCs w:val="22"/>
        </w:rPr>
        <w:t xml:space="preserve">     </w:t>
      </w:r>
    </w:p>
    <w:p w:rsidR="004169B3" w:rsidRPr="006E6C4E" w:rsidRDefault="004169B3" w:rsidP="00FC4CE3">
      <w:pPr>
        <w:rPr>
          <w:b/>
          <w:szCs w:val="22"/>
        </w:rPr>
      </w:pPr>
    </w:p>
    <w:p w:rsidR="004169B3" w:rsidRPr="006E6C4E" w:rsidRDefault="004169B3" w:rsidP="00FC4CE3">
      <w:pPr>
        <w:jc w:val="both"/>
        <w:rPr>
          <w:szCs w:val="22"/>
        </w:rPr>
      </w:pPr>
    </w:p>
    <w:p w:rsidR="004169B3" w:rsidRPr="006E6C4E" w:rsidRDefault="004169B3" w:rsidP="00FC4CE3">
      <w:pPr>
        <w:suppressAutoHyphens/>
        <w:rPr>
          <w:szCs w:val="22"/>
        </w:rPr>
      </w:pPr>
    </w:p>
    <w:p w:rsidR="004169B3" w:rsidRPr="006E6C4E" w:rsidRDefault="004169B3" w:rsidP="00FC4CE3">
      <w:pPr>
        <w:pStyle w:val="NormalTemplatenormal"/>
        <w:spacing w:line="240" w:lineRule="auto"/>
        <w:rPr>
          <w:rFonts w:ascii="Times New Roman" w:hAnsi="Times New Roman"/>
          <w:szCs w:val="22"/>
          <w:lang w:val="sk-SK"/>
        </w:rPr>
      </w:pPr>
    </w:p>
    <w:p w:rsidR="004169B3" w:rsidRDefault="004169B3" w:rsidP="00FC4CE3">
      <w:pPr>
        <w:pStyle w:val="NormalTemplatenormal"/>
        <w:spacing w:line="240" w:lineRule="auto"/>
        <w:rPr>
          <w:rFonts w:ascii="Times New Roman" w:hAnsi="Times New Roman"/>
          <w:i/>
          <w:szCs w:val="22"/>
          <w:lang w:val="sk-SK"/>
        </w:rPr>
      </w:pPr>
      <w:r w:rsidRPr="006E6C4E">
        <w:rPr>
          <w:rFonts w:ascii="Times New Roman" w:hAnsi="Times New Roman"/>
          <w:i/>
          <w:szCs w:val="22"/>
          <w:lang w:val="sk-SK"/>
        </w:rPr>
        <w:t xml:space="preserve">Požívanie u detí </w:t>
      </w:r>
    </w:p>
    <w:p w:rsidR="004169B3" w:rsidRDefault="004169B3" w:rsidP="00FC4CE3">
      <w:pPr>
        <w:pStyle w:val="NormalTemplatenormal"/>
        <w:spacing w:line="240" w:lineRule="auto"/>
        <w:rPr>
          <w:rFonts w:ascii="Times New Roman" w:hAnsi="Times New Roman"/>
          <w:i/>
          <w:szCs w:val="22"/>
          <w:lang w:val="sk-SK"/>
        </w:rPr>
      </w:pPr>
    </w:p>
    <w:p w:rsidR="004169B3" w:rsidRPr="00914B64" w:rsidRDefault="004169B3" w:rsidP="00FC4CE3">
      <w:pPr>
        <w:pStyle w:val="NormalTemplatenormal"/>
        <w:spacing w:line="240" w:lineRule="auto"/>
        <w:rPr>
          <w:rFonts w:ascii="Times New Roman" w:hAnsi="Times New Roman"/>
          <w:lang w:val="sk-SK"/>
        </w:rPr>
      </w:pPr>
      <w:r>
        <w:rPr>
          <w:rFonts w:ascii="Times New Roman" w:hAnsi="Times New Roman"/>
          <w:lang w:val="sk-SK"/>
        </w:rPr>
        <w:t xml:space="preserve">Deti 16 ročné a staršie: dávkovanie ako u dospelých </w:t>
      </w:r>
    </w:p>
    <w:p w:rsidR="004169B3" w:rsidRDefault="004169B3" w:rsidP="00FC4CE3">
      <w:pPr>
        <w:tabs>
          <w:tab w:val="clear" w:pos="567"/>
          <w:tab w:val="left" w:pos="3945"/>
        </w:tabs>
        <w:spacing w:line="240" w:lineRule="auto"/>
        <w:rPr>
          <w:szCs w:val="22"/>
        </w:rPr>
      </w:pPr>
      <w:r>
        <w:rPr>
          <w:szCs w:val="22"/>
        </w:rPr>
        <w:tab/>
      </w:r>
    </w:p>
    <w:p w:rsidR="004169B3" w:rsidRDefault="004169B3" w:rsidP="00FC4CE3">
      <w:pPr>
        <w:spacing w:line="240" w:lineRule="auto"/>
        <w:rPr>
          <w:szCs w:val="22"/>
        </w:rPr>
      </w:pPr>
      <w:r>
        <w:rPr>
          <w:szCs w:val="22"/>
        </w:rPr>
        <w:t>Deti vo veku 2 až 16 rokov:</w:t>
      </w:r>
    </w:p>
    <w:p w:rsidR="004169B3" w:rsidRPr="006E6C4E" w:rsidRDefault="004169B3" w:rsidP="00FC4CE3">
      <w:pPr>
        <w:pStyle w:val="NormalTemplatenormal"/>
        <w:spacing w:line="240" w:lineRule="auto"/>
        <w:rPr>
          <w:rFonts w:ascii="Times New Roman" w:hAnsi="Times New Roman"/>
          <w:i/>
          <w:szCs w:val="22"/>
          <w:lang w:val="sk-SK"/>
        </w:rPr>
      </w:pPr>
    </w:p>
    <w:p w:rsidR="004169B3" w:rsidRPr="006E6C4E" w:rsidRDefault="004169B3" w:rsidP="00FC4CE3">
      <w:pPr>
        <w:pStyle w:val="NormalTemplatenormal"/>
        <w:spacing w:line="240" w:lineRule="auto"/>
        <w:jc w:val="both"/>
        <w:rPr>
          <w:rFonts w:ascii="Times New Roman" w:hAnsi="Times New Roman"/>
          <w:lang w:val="sk-SK"/>
        </w:rPr>
      </w:pPr>
      <w:r w:rsidRPr="006E6C4E">
        <w:rPr>
          <w:rFonts w:ascii="Times New Roman" w:hAnsi="Times New Roman"/>
          <w:lang w:val="sk-SK"/>
        </w:rPr>
        <w:t xml:space="preserve">. </w:t>
      </w:r>
    </w:p>
    <w:p w:rsidR="004169B3" w:rsidRPr="006E6C4E" w:rsidRDefault="004169B3" w:rsidP="00FC4CE3">
      <w:pPr>
        <w:pStyle w:val="NormalTemplatenormal"/>
        <w:spacing w:line="240" w:lineRule="auto"/>
        <w:rPr>
          <w:rFonts w:ascii="Times New Roman" w:hAnsi="Times New Roman"/>
          <w:i/>
          <w:lang w:val="sk-SK"/>
        </w:rPr>
      </w:pPr>
    </w:p>
    <w:p w:rsidR="004169B3" w:rsidRDefault="004169B3" w:rsidP="00FC4CE3">
      <w:pPr>
        <w:pStyle w:val="NormalTemplatenormal"/>
        <w:spacing w:line="240" w:lineRule="auto"/>
        <w:jc w:val="both"/>
        <w:rPr>
          <w:rFonts w:ascii="Times New Roman" w:hAnsi="Times New Roman"/>
          <w:i/>
          <w:lang w:val="sk-SK"/>
        </w:rPr>
      </w:pPr>
    </w:p>
    <w:p w:rsidR="004169B3" w:rsidRPr="006E6C4E" w:rsidRDefault="004169B3" w:rsidP="00FC4CE3">
      <w:pPr>
        <w:pStyle w:val="NormalTemplatenormal"/>
        <w:spacing w:line="240" w:lineRule="auto"/>
        <w:jc w:val="both"/>
        <w:rPr>
          <w:rFonts w:ascii="Times New Roman" w:hAnsi="Times New Roman"/>
          <w:lang w:val="sk-SK"/>
        </w:rPr>
      </w:pPr>
      <w:r w:rsidRPr="006E6C4E">
        <w:rPr>
          <w:rFonts w:ascii="Times New Roman" w:hAnsi="Times New Roman"/>
          <w:lang w:val="sk-SK"/>
        </w:rPr>
        <w:t xml:space="preserve">Matrifen sa môže aplikovať len tým pediatrickým pacientom, ktorí </w:t>
      </w:r>
      <w:r w:rsidRPr="006E6C4E">
        <w:rPr>
          <w:rFonts w:ascii="Times New Roman" w:hAnsi="Times New Roman"/>
          <w:b/>
          <w:lang w:val="sk-SK"/>
        </w:rPr>
        <w:t>tolerujú liečbu opioidmi ( vo veku 2 až 16 rokov)</w:t>
      </w:r>
      <w:r w:rsidRPr="006E6C4E">
        <w:rPr>
          <w:rFonts w:ascii="Times New Roman" w:hAnsi="Times New Roman"/>
          <w:lang w:val="sk-SK"/>
        </w:rPr>
        <w:t xml:space="preserve"> a ktorí už dostávali perorálnu dennú dávku ekvivalentnú minimálne 30 mg morfínu. Na prechod pediatrických pacientov z perorálnych alebo parenterálnych opioidov na Matrifen platí </w:t>
      </w:r>
      <w:r w:rsidRPr="006E6C4E">
        <w:rPr>
          <w:rFonts w:ascii="Times New Roman" w:hAnsi="Times New Roman"/>
          <w:szCs w:val="22"/>
          <w:lang w:val="sk-SK"/>
        </w:rPr>
        <w:t xml:space="preserve">ekvianalgetická účinnosť liečiv </w:t>
      </w:r>
      <w:r w:rsidRPr="006E6C4E">
        <w:rPr>
          <w:rFonts w:ascii="Times New Roman" w:hAnsi="Times New Roman"/>
          <w:lang w:val="sk-SK"/>
        </w:rPr>
        <w:t xml:space="preserve">(Tabuľka 1) a odporúčaná počiatočná dávka Matrifenu odvodená od dennej perorálnej dávky morfínu (Tabuľka 3). </w:t>
      </w:r>
    </w:p>
    <w:p w:rsidR="004169B3" w:rsidRPr="006E6C4E" w:rsidRDefault="004169B3" w:rsidP="00FC4CE3">
      <w:pPr>
        <w:pStyle w:val="NormalTemplatenormal"/>
        <w:spacing w:line="240" w:lineRule="auto"/>
        <w:rPr>
          <w:rFonts w:ascii="Times New Roman" w:hAnsi="Times New Roman"/>
          <w:b/>
          <w:color w:val="FF0000"/>
          <w:lang w:val="sk-SK"/>
        </w:rPr>
      </w:pPr>
    </w:p>
    <w:p w:rsidR="004169B3" w:rsidRPr="006E6C4E" w:rsidRDefault="004169B3" w:rsidP="00FC4CE3">
      <w:pPr>
        <w:pStyle w:val="NormalTemplatenormal"/>
        <w:spacing w:line="240" w:lineRule="auto"/>
        <w:rPr>
          <w:rFonts w:ascii="Times New Roman" w:hAnsi="Times New Roman"/>
          <w:b/>
          <w:lang w:val="sk-SK"/>
        </w:rPr>
      </w:pPr>
    </w:p>
    <w:p w:rsidR="004169B3" w:rsidRPr="006E6C4E" w:rsidRDefault="004169B3" w:rsidP="00FC4CE3">
      <w:pPr>
        <w:pStyle w:val="NormalTemplatenormal"/>
        <w:spacing w:line="240" w:lineRule="auto"/>
        <w:rPr>
          <w:rFonts w:ascii="Times New Roman" w:hAnsi="Times New Roman"/>
          <w:i/>
          <w:lang w:val="sk-SK"/>
        </w:rPr>
      </w:pPr>
      <w:r w:rsidRPr="006E6C4E">
        <w:rPr>
          <w:rFonts w:ascii="Times New Roman" w:hAnsi="Times New Roman"/>
          <w:i/>
          <w:lang w:val="sk-SK"/>
        </w:rPr>
        <w:t xml:space="preserve">Tabuľka 3: </w:t>
      </w:r>
      <w:r w:rsidRPr="006E6C4E">
        <w:rPr>
          <w:rFonts w:ascii="Times New Roman" w:hAnsi="Times New Roman"/>
          <w:i/>
          <w:szCs w:val="22"/>
          <w:lang w:val="sk-SK"/>
        </w:rPr>
        <w:t>Odporúčaná počiatočná dávka Matrifenu odvodená od dennej perorálnej dávky morfínu</w:t>
      </w:r>
      <w:r w:rsidRPr="006E6C4E">
        <w:rPr>
          <w:rFonts w:ascii="Times New Roman" w:hAnsi="Times New Roman"/>
          <w:i/>
          <w:szCs w:val="22"/>
          <w:vertAlign w:val="superscript"/>
          <w:lang w:val="sk-SK"/>
        </w:rPr>
        <w:t>1</w:t>
      </w:r>
      <w:r w:rsidRPr="006E6C4E">
        <w:rPr>
          <w:rFonts w:ascii="Times New Roman" w:hAnsi="Times New Roman"/>
          <w:i/>
          <w:szCs w:val="22"/>
          <w:lang w:val="sk-SK"/>
        </w:rPr>
        <w:t xml:space="preserve"> </w:t>
      </w:r>
    </w:p>
    <w:p w:rsidR="004169B3" w:rsidRPr="006E6C4E" w:rsidRDefault="004169B3" w:rsidP="00FC4CE3">
      <w:pPr>
        <w:jc w:val="both"/>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3"/>
        <w:gridCol w:w="4643"/>
      </w:tblGrid>
      <w:tr w:rsidR="004169B3" w:rsidRPr="006E6C4E" w:rsidTr="00230490">
        <w:tc>
          <w:tcPr>
            <w:tcW w:w="4643" w:type="dxa"/>
          </w:tcPr>
          <w:p w:rsidR="004169B3" w:rsidRPr="006E6C4E" w:rsidRDefault="004169B3" w:rsidP="00230490">
            <w:pPr>
              <w:spacing w:line="240" w:lineRule="auto"/>
              <w:rPr>
                <w:szCs w:val="22"/>
              </w:rPr>
            </w:pPr>
            <w:r w:rsidRPr="006E6C4E">
              <w:rPr>
                <w:szCs w:val="22"/>
              </w:rPr>
              <w:t>Perorálna dávka morfínu za 24 hodín (mg/deň)</w:t>
            </w:r>
          </w:p>
        </w:tc>
        <w:tc>
          <w:tcPr>
            <w:tcW w:w="4643" w:type="dxa"/>
          </w:tcPr>
          <w:p w:rsidR="004169B3" w:rsidRPr="006E6C4E" w:rsidRDefault="004169B3" w:rsidP="00230490">
            <w:pPr>
              <w:spacing w:line="240" w:lineRule="auto"/>
              <w:rPr>
                <w:szCs w:val="22"/>
              </w:rPr>
            </w:pPr>
            <w:r w:rsidRPr="006E6C4E">
              <w:rPr>
                <w:szCs w:val="22"/>
              </w:rPr>
              <w:t>Dávka Matrifen transdermálna náplasť mikrogramy/h</w:t>
            </w:r>
          </w:p>
        </w:tc>
      </w:tr>
      <w:tr w:rsidR="004169B3" w:rsidRPr="006E6C4E" w:rsidTr="00230490">
        <w:tc>
          <w:tcPr>
            <w:tcW w:w="4643" w:type="dxa"/>
          </w:tcPr>
          <w:p w:rsidR="004169B3" w:rsidRPr="006E6C4E" w:rsidRDefault="004169B3" w:rsidP="00230490">
            <w:pPr>
              <w:spacing w:line="240" w:lineRule="auto"/>
              <w:jc w:val="both"/>
              <w:rPr>
                <w:szCs w:val="22"/>
              </w:rPr>
            </w:pPr>
          </w:p>
        </w:tc>
        <w:tc>
          <w:tcPr>
            <w:tcW w:w="4643" w:type="dxa"/>
          </w:tcPr>
          <w:p w:rsidR="004169B3" w:rsidRPr="006E6C4E" w:rsidRDefault="004169B3" w:rsidP="00230490">
            <w:pPr>
              <w:spacing w:line="240" w:lineRule="auto"/>
              <w:jc w:val="both"/>
              <w:rPr>
                <w:szCs w:val="22"/>
              </w:rPr>
            </w:pPr>
          </w:p>
        </w:tc>
      </w:tr>
      <w:tr w:rsidR="004169B3" w:rsidRPr="006E6C4E" w:rsidTr="00230490">
        <w:tc>
          <w:tcPr>
            <w:tcW w:w="4643" w:type="dxa"/>
          </w:tcPr>
          <w:p w:rsidR="004169B3" w:rsidRPr="006E6C4E" w:rsidRDefault="004169B3" w:rsidP="00230490">
            <w:pPr>
              <w:spacing w:line="240" w:lineRule="auto"/>
              <w:jc w:val="both"/>
              <w:rPr>
                <w:szCs w:val="22"/>
              </w:rPr>
            </w:pPr>
            <w:r w:rsidRPr="006E6C4E">
              <w:rPr>
                <w:szCs w:val="22"/>
              </w:rPr>
              <w:t>Pre pediatrických pacientov</w:t>
            </w:r>
            <w:r w:rsidRPr="006E6C4E">
              <w:rPr>
                <w:szCs w:val="22"/>
                <w:vertAlign w:val="superscript"/>
              </w:rPr>
              <w:t>2</w:t>
            </w:r>
            <w:r w:rsidRPr="006E6C4E">
              <w:rPr>
                <w:szCs w:val="22"/>
              </w:rPr>
              <w:t xml:space="preserve">  </w:t>
            </w:r>
          </w:p>
        </w:tc>
        <w:tc>
          <w:tcPr>
            <w:tcW w:w="4643" w:type="dxa"/>
          </w:tcPr>
          <w:p w:rsidR="004169B3" w:rsidRPr="006E6C4E" w:rsidRDefault="004169B3" w:rsidP="00230490">
            <w:pPr>
              <w:spacing w:line="240" w:lineRule="auto"/>
              <w:jc w:val="both"/>
              <w:rPr>
                <w:szCs w:val="22"/>
              </w:rPr>
            </w:pPr>
            <w:r w:rsidRPr="006E6C4E">
              <w:rPr>
                <w:szCs w:val="22"/>
              </w:rPr>
              <w:t>Pre pediatrických pacientov</w:t>
            </w:r>
            <w:r w:rsidRPr="006E6C4E">
              <w:rPr>
                <w:szCs w:val="22"/>
                <w:vertAlign w:val="superscript"/>
              </w:rPr>
              <w:t>2</w:t>
            </w:r>
            <w:r w:rsidRPr="006E6C4E">
              <w:rPr>
                <w:szCs w:val="22"/>
              </w:rPr>
              <w:t xml:space="preserve">  </w:t>
            </w:r>
          </w:p>
        </w:tc>
      </w:tr>
      <w:tr w:rsidR="004169B3" w:rsidRPr="006E6C4E" w:rsidTr="00230490">
        <w:tc>
          <w:tcPr>
            <w:tcW w:w="4643" w:type="dxa"/>
          </w:tcPr>
          <w:p w:rsidR="004169B3" w:rsidRPr="006E6C4E" w:rsidRDefault="004169B3" w:rsidP="00230490">
            <w:pPr>
              <w:spacing w:line="240" w:lineRule="auto"/>
              <w:jc w:val="both"/>
              <w:rPr>
                <w:szCs w:val="22"/>
              </w:rPr>
            </w:pPr>
            <w:r w:rsidRPr="006E6C4E">
              <w:rPr>
                <w:szCs w:val="22"/>
              </w:rPr>
              <w:t>30-44</w:t>
            </w:r>
          </w:p>
        </w:tc>
        <w:tc>
          <w:tcPr>
            <w:tcW w:w="4643" w:type="dxa"/>
          </w:tcPr>
          <w:p w:rsidR="004169B3" w:rsidRPr="006E6C4E" w:rsidRDefault="004169B3" w:rsidP="00230490">
            <w:pPr>
              <w:spacing w:line="240" w:lineRule="auto"/>
              <w:jc w:val="both"/>
              <w:rPr>
                <w:szCs w:val="22"/>
              </w:rPr>
            </w:pPr>
            <w:r w:rsidRPr="006E6C4E">
              <w:rPr>
                <w:szCs w:val="22"/>
              </w:rPr>
              <w:t>12</w:t>
            </w:r>
          </w:p>
        </w:tc>
      </w:tr>
      <w:tr w:rsidR="004169B3" w:rsidRPr="006E6C4E" w:rsidTr="00230490">
        <w:tc>
          <w:tcPr>
            <w:tcW w:w="4643" w:type="dxa"/>
          </w:tcPr>
          <w:p w:rsidR="004169B3" w:rsidRPr="006E6C4E" w:rsidRDefault="004169B3" w:rsidP="00230490">
            <w:pPr>
              <w:spacing w:line="240" w:lineRule="auto"/>
              <w:jc w:val="both"/>
              <w:rPr>
                <w:szCs w:val="22"/>
              </w:rPr>
            </w:pPr>
            <w:r w:rsidRPr="006E6C4E">
              <w:rPr>
                <w:szCs w:val="22"/>
              </w:rPr>
              <w:t>45-134</w:t>
            </w:r>
          </w:p>
        </w:tc>
        <w:tc>
          <w:tcPr>
            <w:tcW w:w="4643" w:type="dxa"/>
          </w:tcPr>
          <w:p w:rsidR="004169B3" w:rsidRPr="006E6C4E" w:rsidRDefault="004169B3" w:rsidP="00230490">
            <w:pPr>
              <w:keepNext/>
              <w:spacing w:line="240" w:lineRule="auto"/>
              <w:jc w:val="both"/>
              <w:rPr>
                <w:szCs w:val="22"/>
              </w:rPr>
            </w:pPr>
            <w:r w:rsidRPr="006E6C4E">
              <w:rPr>
                <w:szCs w:val="22"/>
              </w:rPr>
              <w:t>25</w:t>
            </w:r>
          </w:p>
        </w:tc>
      </w:tr>
    </w:tbl>
    <w:p w:rsidR="004169B3" w:rsidRPr="006E6C4E" w:rsidRDefault="004169B3" w:rsidP="00FC4CE3">
      <w:pPr>
        <w:pStyle w:val="NormalTemplatenormal"/>
        <w:spacing w:line="240" w:lineRule="auto"/>
        <w:rPr>
          <w:rFonts w:ascii="Times New Roman" w:hAnsi="Times New Roman"/>
          <w:vertAlign w:val="superscript"/>
          <w:lang w:val="sk-SK"/>
        </w:rPr>
      </w:pPr>
    </w:p>
    <w:p w:rsidR="004169B3" w:rsidRPr="00E519FA" w:rsidRDefault="004169B3" w:rsidP="00FC4CE3">
      <w:pPr>
        <w:pStyle w:val="NormalTemplatenormal"/>
        <w:spacing w:line="240" w:lineRule="auto"/>
        <w:rPr>
          <w:rFonts w:ascii="Times New Roman" w:hAnsi="Times New Roman"/>
          <w:szCs w:val="22"/>
          <w:lang w:val="sk-SK"/>
        </w:rPr>
      </w:pPr>
      <w:r w:rsidRPr="006E6C4E">
        <w:rPr>
          <w:rFonts w:ascii="Times New Roman" w:hAnsi="Times New Roman"/>
          <w:vertAlign w:val="superscript"/>
          <w:lang w:val="sk-SK"/>
        </w:rPr>
        <w:t xml:space="preserve">1  </w:t>
      </w:r>
      <w:r w:rsidRPr="00F35FB8">
        <w:rPr>
          <w:szCs w:val="22"/>
        </w:rPr>
        <w:t xml:space="preserve"> </w:t>
      </w:r>
      <w:r>
        <w:rPr>
          <w:rFonts w:ascii="Times New Roman" w:hAnsi="Times New Roman"/>
          <w:szCs w:val="22"/>
          <w:lang w:val="sk-SK"/>
        </w:rPr>
        <w:t xml:space="preserve">Uvedené rozsahy denných dávok  perorálneho morfínu odvodené z klinických štúdií boli použité ako základ prechodu na Matrifen. </w:t>
      </w:r>
    </w:p>
    <w:p w:rsidR="004169B3" w:rsidRPr="006E6C4E" w:rsidRDefault="004169B3" w:rsidP="00FC4CE3">
      <w:pPr>
        <w:pStyle w:val="NormalTemplatenormal"/>
        <w:spacing w:line="240" w:lineRule="auto"/>
        <w:rPr>
          <w:rFonts w:ascii="Times New Roman" w:hAnsi="Times New Roman"/>
          <w:szCs w:val="22"/>
          <w:lang w:val="sk-SK"/>
        </w:rPr>
      </w:pPr>
    </w:p>
    <w:p w:rsidR="004169B3" w:rsidRPr="006E6C4E" w:rsidRDefault="004169B3" w:rsidP="00FC4CE3">
      <w:pPr>
        <w:pStyle w:val="NormalTemplatenormal"/>
        <w:spacing w:line="240" w:lineRule="auto"/>
        <w:rPr>
          <w:rFonts w:ascii="Times New Roman" w:hAnsi="Times New Roman"/>
          <w:szCs w:val="22"/>
          <w:lang w:val="sk-SK"/>
        </w:rPr>
      </w:pPr>
      <w:r w:rsidRPr="006E6C4E">
        <w:rPr>
          <w:rFonts w:ascii="Times New Roman" w:hAnsi="Times New Roman"/>
          <w:szCs w:val="22"/>
          <w:vertAlign w:val="superscript"/>
          <w:lang w:val="sk-SK"/>
        </w:rPr>
        <w:t>2</w:t>
      </w:r>
      <w:r w:rsidRPr="006E6C4E">
        <w:rPr>
          <w:rFonts w:ascii="Times New Roman" w:hAnsi="Times New Roman"/>
          <w:szCs w:val="22"/>
          <w:lang w:val="sk-SK"/>
        </w:rPr>
        <w:t xml:space="preserve"> Konverzia na dávky Matrifenu vyššia ako 25 mikrogramov/h je rovnaká pre dospelých aj pre pediatrických pacientov.</w:t>
      </w:r>
    </w:p>
    <w:p w:rsidR="004169B3" w:rsidRPr="006E6C4E" w:rsidRDefault="004169B3" w:rsidP="00FC4CE3">
      <w:pPr>
        <w:pStyle w:val="NormalTemplatenormal"/>
        <w:spacing w:line="240" w:lineRule="auto"/>
        <w:rPr>
          <w:rFonts w:ascii="Times New Roman" w:hAnsi="Times New Roman"/>
          <w:szCs w:val="22"/>
          <w:lang w:val="sk-SK"/>
        </w:rPr>
      </w:pPr>
    </w:p>
    <w:p w:rsidR="004169B3" w:rsidRPr="006E6C4E" w:rsidRDefault="004169B3" w:rsidP="00FC4CE3">
      <w:pPr>
        <w:pStyle w:val="NormalTemplatenormal"/>
        <w:spacing w:line="240" w:lineRule="auto"/>
        <w:jc w:val="both"/>
        <w:rPr>
          <w:rFonts w:ascii="Times New Roman" w:hAnsi="Times New Roman"/>
          <w:szCs w:val="22"/>
          <w:lang w:val="sk-SK"/>
        </w:rPr>
      </w:pPr>
      <w:r w:rsidRPr="006E6C4E">
        <w:rPr>
          <w:rFonts w:ascii="Times New Roman" w:hAnsi="Times New Roman"/>
          <w:noProof/>
          <w:lang w:val="sk-SK"/>
        </w:rPr>
        <w:t xml:space="preserve">V súčasnosti sú k dispozícii len obmedzené informácie z klinických skúšaní u detí, ktoré dostávajú perorálnu dennú dávku morfínu viac ako 90 mg. </w:t>
      </w:r>
      <w:r w:rsidRPr="006E6C4E">
        <w:rPr>
          <w:rFonts w:ascii="Times New Roman" w:hAnsi="Times New Roman"/>
          <w:szCs w:val="22"/>
          <w:lang w:val="sk-SK"/>
        </w:rPr>
        <w:t>V pediatrických štúdiách sa požadovaná dávka fentanylu v transdermálnej náplasti vypočítala konzervatívnym spôsobom: 30 mg až 4</w:t>
      </w:r>
      <w:r>
        <w:rPr>
          <w:rFonts w:ascii="Times New Roman" w:hAnsi="Times New Roman"/>
          <w:szCs w:val="22"/>
          <w:lang w:val="sk-SK"/>
        </w:rPr>
        <w:t>4</w:t>
      </w:r>
      <w:r w:rsidRPr="006E6C4E">
        <w:rPr>
          <w:rFonts w:ascii="Times New Roman" w:hAnsi="Times New Roman"/>
          <w:szCs w:val="22"/>
          <w:lang w:val="sk-SK"/>
        </w:rPr>
        <w:t xml:space="preserve"> mg perorálne podaného morfínu denne alebo ekvivalent dávky opioidu sa nahradil jednou náplasťou fentanylu 12 mikrogramov/h. Treba poznamenať, že táto konverzná schéma pre deti platí iba vtedy, keď sa prechádza z morfínu podávaného perorálne (alebo jeho ekvivalentu) na fentanyl podávaný v transdermálnej náplasti. Konverzná schéma sa nemôže použiť na konverziu z fentanylu podávaného v transdermálnej náplasti na iné opioidy, pretože by mohlo dôjsť k predávkovaniu.   </w:t>
      </w:r>
    </w:p>
    <w:p w:rsidR="004169B3" w:rsidRPr="006E6C4E" w:rsidRDefault="004169B3" w:rsidP="00FC4CE3">
      <w:pPr>
        <w:pStyle w:val="NormalTemplatenormal"/>
        <w:spacing w:line="240" w:lineRule="auto"/>
        <w:rPr>
          <w:rFonts w:ascii="Times New Roman" w:hAnsi="Times New Roman"/>
          <w:szCs w:val="22"/>
          <w:lang w:val="sk-SK"/>
        </w:rPr>
      </w:pPr>
    </w:p>
    <w:p w:rsidR="004169B3" w:rsidRPr="006E6C4E" w:rsidRDefault="004169B3" w:rsidP="00FC4CE3">
      <w:pPr>
        <w:pStyle w:val="NormalTemplatenormal"/>
        <w:spacing w:line="240" w:lineRule="auto"/>
        <w:jc w:val="both"/>
        <w:rPr>
          <w:rFonts w:ascii="Times New Roman" w:hAnsi="Times New Roman"/>
          <w:szCs w:val="22"/>
          <w:lang w:val="sk-SK"/>
        </w:rPr>
      </w:pPr>
      <w:r w:rsidRPr="006E6C4E">
        <w:rPr>
          <w:rFonts w:ascii="Times New Roman" w:hAnsi="Times New Roman"/>
          <w:szCs w:val="22"/>
          <w:lang w:val="sk-SK"/>
        </w:rPr>
        <w:t xml:space="preserve">Analgetický účinok prvej dávky Matrifen náplasti nebude v priebehu prvých 24 hodín optimálny. Z tohto dôvodu má pacient po prechode na Matrifen počas prvých 12 hodín užívať aj predchádzajúce analgetiká v pravidelnej dávke. Počas ďalších 12 hodín je potrebné dávku analgetika upraviť podľa klinickej potreby. </w:t>
      </w:r>
    </w:p>
    <w:p w:rsidR="004169B3" w:rsidRPr="006E6C4E" w:rsidRDefault="004169B3" w:rsidP="00FC4CE3">
      <w:pPr>
        <w:pStyle w:val="NormalTemplatenormal"/>
        <w:spacing w:line="240" w:lineRule="auto"/>
        <w:rPr>
          <w:rFonts w:ascii="Times New Roman" w:hAnsi="Times New Roman"/>
          <w:szCs w:val="22"/>
          <w:lang w:val="sk-SK"/>
        </w:rPr>
      </w:pPr>
    </w:p>
    <w:p w:rsidR="004169B3" w:rsidRPr="006E6C4E" w:rsidRDefault="004169B3" w:rsidP="00FC4CE3">
      <w:pPr>
        <w:pStyle w:val="BodyText"/>
        <w:jc w:val="both"/>
        <w:rPr>
          <w:noProof/>
        </w:rPr>
      </w:pPr>
      <w:r w:rsidRPr="006E6C4E">
        <w:rPr>
          <w:noProof/>
        </w:rPr>
        <w:t>Maximálne hladiny fentanylu sa dosiahnu po 12-24 hodinách liečby a preto sa 48 hodín po začatí terapie Matrifenom alebo pri titrácii dávky (pozri tiež časť 4.4 Osobitné upozornenia a opatrenia pri používaní) odporúča pediatrických pacientov monitorovať kvôli nežiaducim účinkom, ktoré môžu zahŕňať hypoventiláciu.</w:t>
      </w:r>
    </w:p>
    <w:p w:rsidR="004169B3" w:rsidRPr="006E6C4E" w:rsidRDefault="004169B3" w:rsidP="00FC4CE3">
      <w:pPr>
        <w:pStyle w:val="NormalTemplatenormal"/>
        <w:spacing w:line="240" w:lineRule="auto"/>
        <w:rPr>
          <w:rFonts w:ascii="Times New Roman" w:hAnsi="Times New Roman"/>
          <w:lang w:val="sk-SK"/>
        </w:rPr>
      </w:pPr>
    </w:p>
    <w:p w:rsidR="004169B3" w:rsidRPr="006E6C4E" w:rsidRDefault="004169B3" w:rsidP="00FC4CE3">
      <w:pPr>
        <w:pStyle w:val="NormalTemplatenormal"/>
        <w:spacing w:line="240" w:lineRule="auto"/>
        <w:rPr>
          <w:rFonts w:ascii="Times New Roman" w:hAnsi="Times New Roman"/>
          <w:i/>
          <w:lang w:val="sk-SK"/>
        </w:rPr>
      </w:pPr>
      <w:r w:rsidRPr="006E6C4E">
        <w:rPr>
          <w:rFonts w:ascii="Times New Roman" w:hAnsi="Times New Roman"/>
          <w:i/>
          <w:lang w:val="sk-SK"/>
        </w:rPr>
        <w:t>Titrácia dávky a udržiavacia dávka</w:t>
      </w:r>
    </w:p>
    <w:p w:rsidR="004169B3" w:rsidRPr="006E6C4E" w:rsidRDefault="004169B3" w:rsidP="00FC4CE3">
      <w:pPr>
        <w:pStyle w:val="NormalTemplatenormal"/>
        <w:spacing w:line="240" w:lineRule="auto"/>
        <w:jc w:val="both"/>
        <w:rPr>
          <w:rFonts w:ascii="Times New Roman" w:hAnsi="Times New Roman"/>
          <w:lang w:val="sk-SK"/>
        </w:rPr>
      </w:pPr>
      <w:r w:rsidRPr="006E6C4E">
        <w:rPr>
          <w:rFonts w:ascii="Times New Roman" w:hAnsi="Times New Roman"/>
          <w:lang w:val="sk-SK"/>
        </w:rPr>
        <w:t>Ak je analgetický účinok Matrifenu nedostatočný, musí sa doplniť prídavnou dávkou morfínu alebo iného krátko účinkujúceho opioidu. V závislosti od potreby doplňovať analgetikum a stavu bolesti u dieťaťa, sa môže rozhodnúť o</w:t>
      </w:r>
      <w:r>
        <w:rPr>
          <w:rFonts w:ascii="Times New Roman" w:hAnsi="Times New Roman"/>
          <w:lang w:val="sk-SK"/>
        </w:rPr>
        <w:t>zvýšení dávky</w:t>
      </w:r>
      <w:r w:rsidRPr="006E6C4E">
        <w:rPr>
          <w:rFonts w:ascii="Times New Roman" w:hAnsi="Times New Roman"/>
          <w:lang w:val="sk-SK"/>
        </w:rPr>
        <w:t xml:space="preserve">. Nastavenie dávky sa musí urobiť postupne po 12 mikrogramov/h. </w:t>
      </w:r>
    </w:p>
    <w:p w:rsidR="004169B3" w:rsidRPr="006E6C4E" w:rsidRDefault="004169B3" w:rsidP="00FC4CE3">
      <w:pPr>
        <w:pStyle w:val="NormalTemplatenormal"/>
        <w:spacing w:line="240" w:lineRule="auto"/>
        <w:rPr>
          <w:rFonts w:ascii="Times New Roman" w:hAnsi="Times New Roman"/>
          <w:szCs w:val="22"/>
          <w:lang w:val="sk-SK"/>
        </w:rPr>
      </w:pPr>
    </w:p>
    <w:p w:rsidR="004169B3" w:rsidRPr="006E6C4E" w:rsidRDefault="004169B3" w:rsidP="00FC4CE3">
      <w:pPr>
        <w:numPr>
          <w:ilvl w:val="1"/>
          <w:numId w:val="3"/>
          <w:numberingChange w:id="2" w:author="Unknown" w:date="2012-06-15T12:26:00Z" w:original="%1:4:0:.%2:3:0:"/>
        </w:numPr>
        <w:spacing w:line="240" w:lineRule="auto"/>
        <w:rPr>
          <w:b/>
          <w:noProof/>
          <w:szCs w:val="22"/>
        </w:rPr>
      </w:pPr>
      <w:r w:rsidRPr="006E6C4E">
        <w:rPr>
          <w:b/>
          <w:noProof/>
          <w:szCs w:val="22"/>
        </w:rPr>
        <w:t xml:space="preserve">Kontraindikácie </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sidRPr="006E6C4E">
        <w:rPr>
          <w:szCs w:val="22"/>
        </w:rPr>
        <w:t>Matrifen je kontraindikovaný u pacientov so známou precitlivenosťou na fentanyl alebo na ktorúkoľvek z pomocných látok v náplasti.</w:t>
      </w:r>
    </w:p>
    <w:p w:rsidR="004169B3" w:rsidRPr="006E6C4E" w:rsidRDefault="004169B3" w:rsidP="00FC4CE3">
      <w:pPr>
        <w:jc w:val="both"/>
        <w:rPr>
          <w:szCs w:val="22"/>
        </w:rPr>
      </w:pPr>
      <w:r w:rsidRPr="006E6C4E">
        <w:rPr>
          <w:szCs w:val="22"/>
        </w:rPr>
        <w:t>Akútna alebo pooperačná bolesť, pretože počas krátkodobého použitia nie je možná titrácia dávky.</w:t>
      </w:r>
    </w:p>
    <w:p w:rsidR="004169B3" w:rsidRPr="006E6C4E" w:rsidRDefault="004169B3" w:rsidP="00FC4CE3">
      <w:pPr>
        <w:jc w:val="both"/>
        <w:rPr>
          <w:szCs w:val="22"/>
        </w:rPr>
      </w:pPr>
      <w:r w:rsidRPr="006E6C4E">
        <w:rPr>
          <w:szCs w:val="22"/>
        </w:rPr>
        <w:t>Vážna respiračná depresia.</w:t>
      </w:r>
    </w:p>
    <w:p w:rsidR="004169B3" w:rsidRPr="006E6C4E" w:rsidRDefault="004169B3" w:rsidP="00FC4CE3">
      <w:pPr>
        <w:jc w:val="both"/>
        <w:rPr>
          <w:szCs w:val="22"/>
        </w:rPr>
      </w:pPr>
      <w:r w:rsidRPr="006E6C4E">
        <w:rPr>
          <w:szCs w:val="22"/>
        </w:rPr>
        <w:t>Vážne poškodenie centrálneho nervového systému.</w:t>
      </w:r>
    </w:p>
    <w:p w:rsidR="004169B3" w:rsidRPr="006E6C4E" w:rsidRDefault="004169B3" w:rsidP="00FC4CE3">
      <w:pPr>
        <w:jc w:val="both"/>
        <w:rPr>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4.4</w:t>
      </w:r>
      <w:r w:rsidRPr="006E6C4E">
        <w:rPr>
          <w:b/>
          <w:noProof/>
          <w:szCs w:val="22"/>
        </w:rPr>
        <w:tab/>
        <w:t xml:space="preserve">Osobitné upozornenia a opatrenia pri používaní </w:t>
      </w:r>
    </w:p>
    <w:p w:rsidR="004169B3" w:rsidRPr="006E6C4E" w:rsidRDefault="004169B3" w:rsidP="00FC4CE3">
      <w:pPr>
        <w:tabs>
          <w:tab w:val="clear" w:pos="567"/>
        </w:tabs>
        <w:spacing w:line="240" w:lineRule="auto"/>
        <w:rPr>
          <w:noProof/>
          <w:szCs w:val="22"/>
        </w:rPr>
      </w:pPr>
    </w:p>
    <w:p w:rsidR="004169B3" w:rsidRPr="006E6C4E" w:rsidRDefault="004169B3" w:rsidP="00FC4CE3">
      <w:pPr>
        <w:suppressAutoHyphens/>
        <w:rPr>
          <w:spacing w:val="-3"/>
          <w:szCs w:val="22"/>
        </w:rPr>
      </w:pPr>
      <w:r w:rsidRPr="006E6C4E">
        <w:rPr>
          <w:spacing w:val="-3"/>
          <w:szCs w:val="22"/>
        </w:rPr>
        <w:t>Fentanylová náplasť sa nemá použiť na manažment liečby akútnej a pooperačnej bolesti, pretože pri krátkodobom použití nie je možná titrácia dávky a z dôvodu možnosti vzniku vážnej a život ohrozujúcej hypoventilácie.</w:t>
      </w:r>
    </w:p>
    <w:p w:rsidR="004169B3" w:rsidRPr="006E6C4E" w:rsidRDefault="004169B3" w:rsidP="00FC4CE3">
      <w:pPr>
        <w:suppressAutoHyphens/>
        <w:jc w:val="both"/>
        <w:rPr>
          <w:spacing w:val="-3"/>
          <w:szCs w:val="22"/>
        </w:rPr>
      </w:pPr>
      <w:r w:rsidRPr="006E6C4E">
        <w:rPr>
          <w:spacing w:val="-3"/>
          <w:szCs w:val="22"/>
        </w:rPr>
        <w:t xml:space="preserve">Pacienti, u ktorých sa vyskytli vážne nežiaduce účinky,  musia byť monitorovaní 24 hodín po odstránení transdermálnej náplasti, pretože  sérové koncentrácie fentanylu postupne klesajú a sú znížené na 50 % o 17 hodín (v rozmedzí 13-22) neskôr. </w:t>
      </w:r>
    </w:p>
    <w:p w:rsidR="004169B3" w:rsidRPr="006E6C4E" w:rsidRDefault="004169B3" w:rsidP="00FC4CE3">
      <w:pPr>
        <w:tabs>
          <w:tab w:val="left" w:pos="-1296"/>
          <w:tab w:val="left" w:pos="1"/>
          <w:tab w:val="left" w:pos="1296"/>
          <w:tab w:val="left" w:pos="2592"/>
          <w:tab w:val="left" w:pos="3888"/>
          <w:tab w:val="left" w:pos="5184"/>
          <w:tab w:val="left" w:pos="6480"/>
          <w:tab w:val="left" w:pos="7776"/>
          <w:tab w:val="left" w:pos="9072"/>
        </w:tabs>
        <w:rPr>
          <w:szCs w:val="22"/>
        </w:rPr>
      </w:pPr>
    </w:p>
    <w:p w:rsidR="004169B3" w:rsidRPr="006E6C4E" w:rsidRDefault="004169B3" w:rsidP="00FC4CE3">
      <w:pPr>
        <w:jc w:val="both"/>
        <w:rPr>
          <w:szCs w:val="22"/>
        </w:rPr>
      </w:pPr>
      <w:r w:rsidRPr="006E6C4E">
        <w:rPr>
          <w:szCs w:val="22"/>
        </w:rPr>
        <w:t xml:space="preserve">Transdermálne fentanylové náplasti sa musia uchovávať mimo dosahu detí pred a po použití.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Nestrihajte transdermálnu náplasť. Akákoľvek rozstrihnutá alebo inak poškodená náplasť sa nesmie použiť.</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Respiračná depresia </w:t>
      </w:r>
    </w:p>
    <w:p w:rsidR="004169B3" w:rsidRPr="006E6C4E" w:rsidRDefault="004169B3" w:rsidP="00FC4CE3">
      <w:pPr>
        <w:tabs>
          <w:tab w:val="left" w:pos="-1296"/>
          <w:tab w:val="left" w:pos="1"/>
          <w:tab w:val="left" w:pos="1296"/>
          <w:tab w:val="left" w:pos="2592"/>
          <w:tab w:val="left" w:pos="3888"/>
          <w:tab w:val="left" w:pos="5184"/>
          <w:tab w:val="left" w:pos="6480"/>
          <w:tab w:val="left" w:pos="7776"/>
          <w:tab w:val="left" w:pos="9072"/>
        </w:tabs>
        <w:jc w:val="both"/>
        <w:rPr>
          <w:szCs w:val="22"/>
        </w:rPr>
      </w:pPr>
      <w:r w:rsidRPr="006E6C4E">
        <w:rPr>
          <w:szCs w:val="22"/>
        </w:rPr>
        <w:t xml:space="preserve">Rovnako ako u všetkých účinných opioidov, môže pri používaní fentanylovej náplasti u niektorých pacientov vzniknúť významná respiračná depresia, preto sa musia u pacientov sledovať tieto účinky. Respiračná depresia môže perzistovať aj po odstránení náplasti. Incidencia respiračnej depresie sa zvyšuje so zvyšovaním dávok fentanylu (pozri časť 4.9 Predávkovanie - depresia dýchania). Liečivá pôsobiace na CNS môžu respiračnú depresiu zvýšiť (pozri časť 4.5 Liekové a iné interakcie). </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Chronické ochorenie pľúc</w:t>
      </w:r>
    </w:p>
    <w:p w:rsidR="004169B3" w:rsidRPr="006E6C4E" w:rsidRDefault="004169B3" w:rsidP="00FC4CE3">
      <w:pPr>
        <w:jc w:val="both"/>
        <w:rPr>
          <w:szCs w:val="22"/>
        </w:rPr>
      </w:pPr>
      <w:r w:rsidRPr="006E6C4E">
        <w:rPr>
          <w:szCs w:val="22"/>
        </w:rPr>
        <w:t xml:space="preserve">Fentanyl môže vyvolať u pacientov s chronickým obštrukčným alebo iným pľúcnym ochorením vážnejšie nežiaduce účinky. Opioidy môžu u takýchto pacientov znížiť respiračný </w:t>
      </w:r>
      <w:r w:rsidRPr="006E6C4E">
        <w:rPr>
          <w:sz w:val="24"/>
          <w:szCs w:val="24"/>
        </w:rPr>
        <w:t>výkon</w:t>
      </w:r>
      <w:r w:rsidRPr="006E6C4E">
        <w:rPr>
          <w:b/>
          <w:i/>
          <w:sz w:val="24"/>
          <w:szCs w:val="24"/>
        </w:rPr>
        <w:t xml:space="preserve"> </w:t>
      </w:r>
      <w:r w:rsidRPr="006E6C4E">
        <w:rPr>
          <w:szCs w:val="22"/>
        </w:rPr>
        <w:t>a zvýšiť rezistenciu dýchacích ciest.</w:t>
      </w:r>
    </w:p>
    <w:p w:rsidR="004169B3" w:rsidRPr="006E6C4E" w:rsidRDefault="004169B3" w:rsidP="00FC4CE3">
      <w:pPr>
        <w:jc w:val="both"/>
        <w:rPr>
          <w:szCs w:val="22"/>
        </w:rPr>
      </w:pPr>
    </w:p>
    <w:p w:rsidR="004169B3" w:rsidRPr="006E6C4E" w:rsidRDefault="004169B3" w:rsidP="00FC4CE3">
      <w:pPr>
        <w:jc w:val="both"/>
        <w:rPr>
          <w:szCs w:val="22"/>
        </w:rPr>
      </w:pPr>
      <w:r w:rsidRPr="006E6C4E">
        <w:rPr>
          <w:i/>
          <w:szCs w:val="22"/>
        </w:rPr>
        <w:t>Lieková závislosť a možnosť zneužívania</w:t>
      </w:r>
    </w:p>
    <w:p w:rsidR="004169B3" w:rsidRPr="006E6C4E" w:rsidRDefault="004169B3" w:rsidP="00FC4CE3">
      <w:pPr>
        <w:jc w:val="both"/>
        <w:rPr>
          <w:szCs w:val="22"/>
        </w:rPr>
      </w:pPr>
      <w:r w:rsidRPr="006E6C4E">
        <w:rPr>
          <w:szCs w:val="22"/>
        </w:rPr>
        <w:t xml:space="preserve">Po opakovaných podaniach opioidov sa môže vyvinúť tolerancia, fyzická a psychologická závislosť. Iatrogénna závislosť po podaní opioidov je zriedkavá. Pacienti s anamnézou liekovej závislosti/zneužívania alkoholu majú vyššie riziko vzniku závislosti a zneužívania liečby opiátmi. Pacienti so zvýšeným rizikom zneužívania opioidov môžu byť naďalej primerane liečení liekmi s modifikovaným uvoľňovaním opioidov. Títo pacienti vyžadujú pravidelné sledovanie zamerané na príznaky nesprávneho používania, závislosti a zneužívania. Fentanyl sa môže zneužívať rovnakým spôsobom ako iní opioidní agonisti. Zneužívanie alebo zámerné nesprávne použitie Matrifenu môže spôsobiť predávkovanie a/alebo smrť. </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Zvýšený intrakraniálny tlak </w:t>
      </w:r>
    </w:p>
    <w:p w:rsidR="004169B3" w:rsidRPr="006E6C4E" w:rsidRDefault="004169B3" w:rsidP="00FC4CE3">
      <w:pPr>
        <w:jc w:val="both"/>
        <w:rPr>
          <w:szCs w:val="22"/>
        </w:rPr>
      </w:pPr>
      <w:r w:rsidRPr="006E6C4E">
        <w:rPr>
          <w:szCs w:val="22"/>
        </w:rPr>
        <w:t>Matrifen sa musí opatrne používať u pacientov, ktorí môžu byť zvlášť citliví na intrakraniálny účinok retencie CO</w:t>
      </w:r>
      <w:r w:rsidRPr="006E6C4E">
        <w:rPr>
          <w:szCs w:val="22"/>
          <w:vertAlign w:val="subscript"/>
        </w:rPr>
        <w:t>2</w:t>
      </w:r>
      <w:r w:rsidRPr="006E6C4E">
        <w:rPr>
          <w:szCs w:val="22"/>
        </w:rPr>
        <w:t>, ako sú pacienti s dokázaným zvýšeným intrakraniálnyn tlakom, pacienti s porušeným vedomím alebo v kóme. Fentanyl sa musí obozretne používať u pacientov s  mozgovými nádormi.</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Ochorenia srdca </w:t>
      </w:r>
    </w:p>
    <w:p w:rsidR="004169B3" w:rsidRPr="006E6C4E" w:rsidRDefault="004169B3" w:rsidP="00FC4CE3">
      <w:pPr>
        <w:jc w:val="both"/>
        <w:rPr>
          <w:szCs w:val="22"/>
        </w:rPr>
      </w:pPr>
      <w:r w:rsidRPr="006E6C4E">
        <w:rPr>
          <w:szCs w:val="22"/>
        </w:rPr>
        <w:t xml:space="preserve">Fentanyl môže vyvolať bradykardiu, a preto sa musí aplikovať obozretne pacientom s bradyarytmiami.  </w:t>
      </w:r>
    </w:p>
    <w:p w:rsidR="004169B3" w:rsidRPr="006E6C4E" w:rsidRDefault="004169B3" w:rsidP="00FC4CE3">
      <w:pPr>
        <w:jc w:val="both"/>
        <w:rPr>
          <w:szCs w:val="22"/>
        </w:rPr>
      </w:pPr>
      <w:r w:rsidRPr="006E6C4E">
        <w:rPr>
          <w:szCs w:val="22"/>
        </w:rPr>
        <w:t>Opioidy môžu vyvolať hypotenziu, zvlášť u pacientov s akútnou hypovolémiou. Preto sa pred zahájením liečby s fentanylovou transdermálnou náplasťou má korigovať symptomatická hypotenzia a/alebo hypovolémia.</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Poškodenie pečene </w:t>
      </w:r>
    </w:p>
    <w:p w:rsidR="004169B3" w:rsidRPr="006E6C4E" w:rsidRDefault="004169B3" w:rsidP="00FC4CE3">
      <w:pPr>
        <w:jc w:val="both"/>
        <w:rPr>
          <w:szCs w:val="22"/>
        </w:rPr>
      </w:pPr>
      <w:r w:rsidRPr="006E6C4E">
        <w:rPr>
          <w:szCs w:val="22"/>
        </w:rPr>
        <w:t>Fentanyl sa metabolizuje na neaktívne metabolity v pečeni, preto poškodenie pečene môže spomaliť elimináciu. Ak pacienti s poškodením pečene dostávajú transdermálny fentanyl, treba ich starostlivo sledovať pre možné príznaky fentanylovej toxicity a ak je to potrebné, znížiť dávku (pozri časť 5.2 Farmakokinetické vlastnosti).</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Poškodenie obličiek </w:t>
      </w:r>
    </w:p>
    <w:p w:rsidR="004169B3" w:rsidRPr="006E6C4E" w:rsidRDefault="004169B3" w:rsidP="00FC4CE3">
      <w:pPr>
        <w:jc w:val="both"/>
        <w:rPr>
          <w:szCs w:val="22"/>
        </w:rPr>
      </w:pPr>
      <w:r w:rsidRPr="006E6C4E">
        <w:rPr>
          <w:szCs w:val="22"/>
        </w:rPr>
        <w:t>Menej ako 10 % fentanylu sa vylučuje v nezmenenej forme obličkami, na rozdiel od morfínu sa obličkami nevylučujú žiadne známe aktívne metabolity. Ak sa pacientovi s poškodenými obličkami aplikuje transdermálne fentanyl, musia sa dôsledne sledovať príznaky toxicity fentanylu a ak je to potrebné, znížiť dávku (pozri časť 5.2 Farmakokinetické vlastnosti).</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 xml:space="preserve">Horúčka/vonkajšie zdroje tepla  </w:t>
      </w:r>
    </w:p>
    <w:p w:rsidR="004169B3" w:rsidRPr="006E6C4E" w:rsidRDefault="004169B3" w:rsidP="00FC4CE3">
      <w:pPr>
        <w:widowControl w:val="0"/>
        <w:tabs>
          <w:tab w:val="left" w:pos="0"/>
        </w:tabs>
        <w:jc w:val="both"/>
        <w:rPr>
          <w:szCs w:val="22"/>
        </w:rPr>
      </w:pPr>
      <w:r w:rsidRPr="006E6C4E">
        <w:rPr>
          <w:spacing w:val="-3"/>
          <w:szCs w:val="22"/>
        </w:rPr>
        <w:t>Podľa farmakokinetického modelu sa sérová koncentrácia fentanylu môže zvýšiť až o jednu tretinu pri telesnej teplote 40 °C. Z tohto dôvodu, pre riziko vzniku nežiaducich účinkov opioidov, sa majú pacienti s horúčkou sledovať a ak je to potrebné, dávku fentanylu sa má upraviť. Existuje možnosť od teploty závislého zvýšeného uvoľňovania fentanylu z náplasti s možným vznikom predávkovania a smrti. Klinická farmakologická štúdia so zdravými jedincami preukázala, že aplikácia tepla na transdermálnu fentanylovú náplasť zvýšila priemerné hodnoty fentanylovej AUC o 120 % a priemerné hodnoty C</w:t>
      </w:r>
      <w:r w:rsidRPr="006E6C4E">
        <w:rPr>
          <w:spacing w:val="-3"/>
          <w:szCs w:val="22"/>
          <w:vertAlign w:val="subscript"/>
        </w:rPr>
        <w:t>max</w:t>
      </w:r>
      <w:r w:rsidRPr="006E6C4E">
        <w:rPr>
          <w:spacing w:val="-3"/>
          <w:szCs w:val="22"/>
        </w:rPr>
        <w:t xml:space="preserve"> o 61 %. Všetkých pacientov treba varovať, aby nevystavovali priamym vonkajším zdrojom tepla miesto aplikácie transdermálnej náplasti s fentanylom, ako sú: ohrievacie vankúše, elektricky vyhrievané deky, ohrievané vodné postele, zohrievacie alebo opaľovacie lampy, intenzívne slnenie, fľaše s horúcou vodou, dlhé kúpele v horúcej vode, sauna alebo horúce vírivé kúpele.</w:t>
      </w:r>
    </w:p>
    <w:p w:rsidR="004169B3" w:rsidRPr="006E6C4E" w:rsidRDefault="004169B3" w:rsidP="00FC4CE3">
      <w:pPr>
        <w:widowControl w:val="0"/>
        <w:tabs>
          <w:tab w:val="left" w:pos="0"/>
        </w:tabs>
        <w:jc w:val="both"/>
        <w:rPr>
          <w:szCs w:val="22"/>
        </w:rPr>
      </w:pPr>
    </w:p>
    <w:p w:rsidR="004169B3" w:rsidRPr="006E6C4E" w:rsidRDefault="004169B3" w:rsidP="00FC4CE3">
      <w:pPr>
        <w:tabs>
          <w:tab w:val="left" w:pos="0"/>
        </w:tabs>
        <w:suppressAutoHyphens/>
        <w:rPr>
          <w:i/>
          <w:szCs w:val="22"/>
        </w:rPr>
      </w:pPr>
      <w:r w:rsidRPr="006E6C4E">
        <w:rPr>
          <w:i/>
          <w:szCs w:val="22"/>
        </w:rPr>
        <w:t>Liekové interakcie</w:t>
      </w:r>
    </w:p>
    <w:p w:rsidR="004169B3" w:rsidRPr="006E6C4E" w:rsidRDefault="004169B3" w:rsidP="00FC4CE3">
      <w:pPr>
        <w:tabs>
          <w:tab w:val="left" w:pos="0"/>
        </w:tabs>
        <w:suppressAutoHyphens/>
        <w:rPr>
          <w:szCs w:val="22"/>
        </w:rPr>
      </w:pPr>
      <w:r w:rsidRPr="006E6C4E">
        <w:rPr>
          <w:szCs w:val="22"/>
        </w:rPr>
        <w:t>Interakcie s CYP3A4 inhibítormi:</w:t>
      </w:r>
    </w:p>
    <w:p w:rsidR="004169B3" w:rsidRPr="006E6C4E" w:rsidRDefault="004169B3" w:rsidP="00FC4CE3">
      <w:pPr>
        <w:tabs>
          <w:tab w:val="left" w:pos="0"/>
        </w:tabs>
        <w:suppressAutoHyphens/>
        <w:rPr>
          <w:szCs w:val="22"/>
        </w:rPr>
      </w:pPr>
      <w:r w:rsidRPr="006E6C4E">
        <w:rPr>
          <w:szCs w:val="22"/>
        </w:rPr>
        <w:t>Súbežné použitie transdermálneho fentanylu a inhibítormi cytochrómu P450 3A4 (CYP3A4), napr. ritonavír, ketokonazol, itrakonazol, troleandomycín, klaritromycín, nelfinavír, nefazodón, verapamil, diltiazem a amiodarón, môže zvýšiť koncentráciu fentanylu v plazme s následným zvýšením alebo predĺžením terapeutického účinku, nežiaducich účinkov a viesť k vážnej respiračnej depresii. V takýchto prípadoch je potrebné pacientov náležite sledovať a poskytnúť adekvátnu starostlivosť. Z vyššie uvedených dôvodov sa neodporúča súbežné používanie transdermálneho fentanylu s inhibítormi CYP3 A4 u pacientov, ktorí nie sú dôsledne sledovaní. Pacienti, hlavne tí, ktorí súbežne používajú transdermálny fentanyl a inhibítory CYP3 A4, sa majú sledovať pre príznaky respiračnej depresie a ak je to potrebné, upraviť dávku.</w:t>
      </w:r>
    </w:p>
    <w:p w:rsidR="004169B3" w:rsidRPr="006E6C4E" w:rsidRDefault="004169B3" w:rsidP="00FC4CE3">
      <w:pPr>
        <w:tabs>
          <w:tab w:val="left" w:pos="0"/>
        </w:tabs>
        <w:suppressAutoHyphens/>
        <w:rPr>
          <w:szCs w:val="22"/>
        </w:rPr>
      </w:pPr>
    </w:p>
    <w:p w:rsidR="004169B3" w:rsidRPr="006E6C4E" w:rsidRDefault="004169B3" w:rsidP="00FC4CE3">
      <w:pPr>
        <w:tabs>
          <w:tab w:val="left" w:pos="0"/>
        </w:tabs>
        <w:suppressAutoHyphens/>
        <w:rPr>
          <w:i/>
          <w:spacing w:val="-3"/>
          <w:szCs w:val="22"/>
        </w:rPr>
      </w:pPr>
      <w:r w:rsidRPr="006E6C4E">
        <w:rPr>
          <w:i/>
          <w:szCs w:val="22"/>
        </w:rPr>
        <w:t xml:space="preserve">Pacienti vo vyššom veku </w:t>
      </w:r>
    </w:p>
    <w:p w:rsidR="004169B3" w:rsidRPr="006E6C4E" w:rsidRDefault="004169B3" w:rsidP="00FC4CE3">
      <w:pPr>
        <w:tabs>
          <w:tab w:val="left" w:pos="0"/>
        </w:tabs>
        <w:suppressAutoHyphens/>
        <w:jc w:val="both"/>
        <w:rPr>
          <w:szCs w:val="22"/>
        </w:rPr>
      </w:pPr>
      <w:r w:rsidRPr="006E6C4E">
        <w:rPr>
          <w:szCs w:val="22"/>
        </w:rPr>
        <w:t>Údaje zo štúdií s intravenózne aplikovaným fentanylom naznačujú, že starší pacienti môžu mať znížený klírens, predĺžený polčas a môžu byť citlivejší na liečivo ako mladší pacienti. Ak starší,  pacienti dostávajú transdermálny fentanyl, majú byť starostlivo sledované príznaky toxicity fentanylu a ak je to potrebné, znížiť dávku (pozri časť 5.2 Farmakokinetické vlastnosti).</w:t>
      </w:r>
    </w:p>
    <w:p w:rsidR="004169B3" w:rsidRPr="006E6C4E" w:rsidRDefault="004169B3" w:rsidP="00FC4CE3">
      <w:pPr>
        <w:widowControl w:val="0"/>
        <w:tabs>
          <w:tab w:val="left" w:pos="0"/>
        </w:tabs>
        <w:rPr>
          <w:b/>
          <w:i/>
          <w:szCs w:val="22"/>
        </w:rPr>
      </w:pPr>
    </w:p>
    <w:p w:rsidR="004169B3" w:rsidRPr="006E6C4E" w:rsidRDefault="004169B3" w:rsidP="00FC4CE3">
      <w:pPr>
        <w:jc w:val="both"/>
        <w:rPr>
          <w:i/>
          <w:szCs w:val="22"/>
        </w:rPr>
      </w:pPr>
      <w:r w:rsidRPr="006E6C4E">
        <w:rPr>
          <w:i/>
          <w:szCs w:val="22"/>
        </w:rPr>
        <w:t>Deti a dospievajúci</w:t>
      </w:r>
    </w:p>
    <w:p w:rsidR="004169B3" w:rsidRPr="006E6C4E" w:rsidRDefault="004169B3" w:rsidP="00FC4CE3">
      <w:pPr>
        <w:jc w:val="both"/>
        <w:rPr>
          <w:szCs w:val="22"/>
        </w:rPr>
      </w:pPr>
      <w:r w:rsidRPr="006E6C4E">
        <w:rPr>
          <w:szCs w:val="22"/>
        </w:rPr>
        <w:t xml:space="preserve">Matrifen sa nesmie aplikovať </w:t>
      </w:r>
      <w:r w:rsidRPr="006E6C4E">
        <w:rPr>
          <w:b/>
          <w:szCs w:val="22"/>
        </w:rPr>
        <w:t>opioid naivným pediatrickým pacientom</w:t>
      </w:r>
      <w:r w:rsidRPr="006E6C4E">
        <w:rPr>
          <w:szCs w:val="22"/>
        </w:rPr>
        <w:t xml:space="preserve"> (pozri časť 4.2 Dávkovanie a spôsob podávania). Bez ohľadu na dávku podanú transdermálnym systémom Matrifenu existuje potenciál pre závažnú život ohrozujúcu hypoventiláciu .</w:t>
      </w:r>
    </w:p>
    <w:p w:rsidR="004169B3" w:rsidRPr="006E6C4E" w:rsidRDefault="004169B3" w:rsidP="00FC4CE3">
      <w:pPr>
        <w:jc w:val="both"/>
        <w:rPr>
          <w:szCs w:val="22"/>
        </w:rPr>
      </w:pPr>
      <w:r w:rsidRPr="006E6C4E">
        <w:rPr>
          <w:szCs w:val="22"/>
        </w:rPr>
        <w:t xml:space="preserve">U detí mladších ako 2 roky sa fentanyl transdermálna náplasť neštudovala. Matrifen sa má aplikovať len opioid tolerantným deťom vo veku 2 roky a starším (pozri časť 4.2 Dávkovanie a spôsob podávania). Matrifen sa nesmie podávať deťom mladším ako 2 roky.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Na ochranu detí pred náhodným prehltnutím je potrebné venovať pozornosť pri výbere miesta aplikácie Matrifenu (pozri časť 4.2 Dávkovanie a spôsob podávania) a dôsledne sledovať prilepenú náplasť.  </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Laktácia</w:t>
      </w:r>
    </w:p>
    <w:p w:rsidR="004169B3" w:rsidRPr="006E6C4E" w:rsidRDefault="004169B3" w:rsidP="00FC4CE3">
      <w:pPr>
        <w:jc w:val="both"/>
        <w:rPr>
          <w:szCs w:val="22"/>
        </w:rPr>
      </w:pPr>
      <w:r w:rsidRPr="006E6C4E">
        <w:rPr>
          <w:szCs w:val="22"/>
        </w:rPr>
        <w:t>Dojčenie má byť počas liečby transdermálnym fentanylom prerušené, nakoľko sa fentanyl vylučuje do materského mlieka (pozri tiež časť 4.2).</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Pacienti s myastheniou gravis</w:t>
      </w:r>
    </w:p>
    <w:p w:rsidR="004169B3" w:rsidRPr="006E6C4E" w:rsidRDefault="004169B3" w:rsidP="00FC4CE3">
      <w:pPr>
        <w:suppressAutoHyphens/>
        <w:rPr>
          <w:szCs w:val="22"/>
        </w:rPr>
      </w:pPr>
      <w:r w:rsidRPr="006E6C4E">
        <w:rPr>
          <w:szCs w:val="22"/>
        </w:rPr>
        <w:t>Vyskytnúť sa môžu (myo)klonické reakcie neepileptického pôvodu. Počas liečby pacientov s myasthenia gravis je nutná opatrnosť.</w:t>
      </w:r>
    </w:p>
    <w:p w:rsidR="004169B3" w:rsidRPr="006E6C4E" w:rsidRDefault="004169B3" w:rsidP="00FC4CE3">
      <w:pPr>
        <w:suppressAutoHyphens/>
        <w:rPr>
          <w:szCs w:val="22"/>
        </w:rPr>
      </w:pPr>
    </w:p>
    <w:p w:rsidR="004169B3" w:rsidRPr="006E6C4E" w:rsidRDefault="004169B3" w:rsidP="00FC4CE3">
      <w:pPr>
        <w:rPr>
          <w:i/>
          <w:szCs w:val="22"/>
        </w:rPr>
      </w:pPr>
      <w:r w:rsidRPr="006E6C4E">
        <w:rPr>
          <w:i/>
          <w:szCs w:val="22"/>
        </w:rPr>
        <w:t>Súbežné užitie zmiešaných agonistov/antagonistov</w:t>
      </w:r>
    </w:p>
    <w:p w:rsidR="004169B3" w:rsidRPr="006E6C4E" w:rsidRDefault="004169B3" w:rsidP="00FC4CE3">
      <w:pPr>
        <w:rPr>
          <w:szCs w:val="22"/>
        </w:rPr>
      </w:pPr>
      <w:r w:rsidRPr="006E6C4E">
        <w:rPr>
          <w:szCs w:val="22"/>
        </w:rPr>
        <w:t>Súbežné užitie buprenorfínu, nalbufínu a pentazocínu nie je odporúčané (pozri tiež časť 4.5).</w:t>
      </w:r>
    </w:p>
    <w:p w:rsidR="004169B3" w:rsidRPr="006E6C4E" w:rsidRDefault="004169B3" w:rsidP="00FC4CE3">
      <w:pPr>
        <w:jc w:val="both"/>
        <w:rPr>
          <w:szCs w:val="22"/>
        </w:rPr>
      </w:pPr>
    </w:p>
    <w:p w:rsidR="004169B3" w:rsidRPr="006E6C4E" w:rsidRDefault="004169B3" w:rsidP="00FC4CE3">
      <w:pPr>
        <w:jc w:val="both"/>
        <w:rPr>
          <w:i/>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4.5</w:t>
      </w:r>
      <w:r w:rsidRPr="006E6C4E">
        <w:rPr>
          <w:b/>
          <w:noProof/>
          <w:szCs w:val="22"/>
        </w:rPr>
        <w:tab/>
        <w:t>Liekové a iné interakcie</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sidRPr="006E6C4E">
        <w:rPr>
          <w:szCs w:val="22"/>
        </w:rPr>
        <w:t>Súbežným užívaním liekov tlmiacich centrálny nervový systém, vrátane opioidov, sedatív, hypnotík, celkových anestetík, fenotiazínov, trankvilizérov, myorelaxancií kostrových svalov, antihistaminík so sedatívnym účinkom a alkoholických nápojov, môže dochádzať k aditívnym depresívnym účinkom; vyskytnúť sa môže znížená ventilácia, nízky krvný tlak, hlboký útlm, kóma alebo smrť. Súbežné použitie ktoréhokoľvek lieku s transdermálnym fentanylom vyžaduje špeciálnu starostlivosť a pozorovanie pacienta.</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Fentanyl, liečivo s vysokým klírensom, sa rýchlo a rozsiahle metabolizuje hlavne cez CYP3A4.</w:t>
      </w:r>
    </w:p>
    <w:p w:rsidR="004169B3" w:rsidRPr="006E6C4E" w:rsidRDefault="004169B3" w:rsidP="00FC4CE3">
      <w:pPr>
        <w:tabs>
          <w:tab w:val="clear" w:pos="567"/>
        </w:tabs>
        <w:spacing w:line="240" w:lineRule="auto"/>
        <w:outlineLvl w:val="0"/>
        <w:rPr>
          <w:noProof/>
          <w:szCs w:val="22"/>
        </w:rPr>
      </w:pPr>
      <w:r w:rsidRPr="006E6C4E">
        <w:rPr>
          <w:szCs w:val="22"/>
        </w:rPr>
        <w:t xml:space="preserve">Súbežné použitie transdermálneho fentanylu s inhibítormi cytochrómu P450 A4 (CYP3A4), napr. ritonavír, ketokonazol, itrakonazol, flukonazol, vorikonazol, troleandomycín, klaritromycín, nelfinavír, nefazodón, verapamil, diltiazem a amiodarón, môže mať za následok zvýšenie plazmatických koncentrácií fentanylu. Môže to zvýšiť, alebo predĺžiť terapeutický účinok, ale aj nežiaduce účinky, čo môže spôsobiť vážnu respiračnú depresiu. V takých prípadoch je potrebná zvýšená starostlivosť a sledovanie pacienta. Súbežné  použitie inhibítorov CYP3A4 s transdermálne aplikovaným fentanylom sa neodporúča, ak pacient nie je dôsledne sledovaný (pozri tiež časť 4.4 </w:t>
      </w:r>
      <w:r w:rsidRPr="006E6C4E">
        <w:rPr>
          <w:noProof/>
          <w:szCs w:val="22"/>
        </w:rPr>
        <w:t>Osobitné upozornenia a opatrenia pri používaní).</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Inhibítory monoaminooxidázy (IMAO)</w:t>
      </w:r>
    </w:p>
    <w:p w:rsidR="004169B3" w:rsidRPr="006E6C4E" w:rsidRDefault="004169B3" w:rsidP="00FC4CE3">
      <w:pPr>
        <w:jc w:val="both"/>
        <w:rPr>
          <w:szCs w:val="22"/>
        </w:rPr>
      </w:pPr>
      <w:r w:rsidRPr="006E6C4E">
        <w:rPr>
          <w:szCs w:val="22"/>
        </w:rPr>
        <w:t>Neodporúča sa podávať transdermálny fentanyl pacientom, ktorí vyžadujú súbežné užívanie IMAO. Boli hlásené závažné a nepredvídateľné interakcie s IMAO, vrátane zosilneného opiátového a sérotonínergného účinku. Z tohto dôvodu sa fentanyl nemá použiť 14 dní od ukončenia liečby IMAO.</w:t>
      </w:r>
    </w:p>
    <w:p w:rsidR="004169B3" w:rsidRPr="006E6C4E" w:rsidRDefault="004169B3" w:rsidP="00FC4CE3">
      <w:pPr>
        <w:jc w:val="both"/>
        <w:rPr>
          <w:szCs w:val="22"/>
        </w:rPr>
      </w:pPr>
    </w:p>
    <w:p w:rsidR="004169B3" w:rsidRPr="006E6C4E" w:rsidRDefault="004169B3" w:rsidP="00FC4CE3">
      <w:pPr>
        <w:rPr>
          <w:i/>
          <w:szCs w:val="22"/>
        </w:rPr>
      </w:pPr>
      <w:r w:rsidRPr="006E6C4E">
        <w:rPr>
          <w:i/>
          <w:szCs w:val="22"/>
        </w:rPr>
        <w:t>Súbežné užitie zmiešaných agonistov/antagonistov</w:t>
      </w:r>
    </w:p>
    <w:p w:rsidR="004169B3" w:rsidRPr="006E6C4E" w:rsidRDefault="004169B3" w:rsidP="00FC4CE3">
      <w:pPr>
        <w:rPr>
          <w:szCs w:val="22"/>
        </w:rPr>
      </w:pPr>
      <w:r w:rsidRPr="006E6C4E">
        <w:rPr>
          <w:szCs w:val="22"/>
        </w:rPr>
        <w:t>Súbežné užitie buprenorfínu, nalbufínu a pentazocínu nie je odporúčané. Tieto lieky majú vysokú afinitu k opiátovým receptorom s relatívne nízkou vnútornou aktivitou, čiastočne antagonizujú  účinky fentanylu  a môžu indukovať abstinenčné príznaky u pacientov závislých od opioidov (pozri tiež časť 4.4).</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4.6</w:t>
      </w:r>
      <w:r w:rsidRPr="006E6C4E">
        <w:rPr>
          <w:b/>
          <w:noProof/>
          <w:szCs w:val="22"/>
        </w:rPr>
        <w:tab/>
        <w:t>Fertilita, gravidita a laktácia</w:t>
      </w:r>
    </w:p>
    <w:p w:rsidR="004169B3" w:rsidRPr="006E6C4E" w:rsidRDefault="004169B3" w:rsidP="00FC4CE3">
      <w:pPr>
        <w:tabs>
          <w:tab w:val="clear" w:pos="567"/>
        </w:tabs>
        <w:spacing w:line="240" w:lineRule="auto"/>
        <w:rPr>
          <w:i/>
          <w:noProof/>
          <w:color w:val="008000"/>
          <w:szCs w:val="22"/>
        </w:rPr>
      </w:pPr>
    </w:p>
    <w:p w:rsidR="004169B3" w:rsidRPr="006E6C4E" w:rsidRDefault="004169B3" w:rsidP="00FC4CE3">
      <w:pPr>
        <w:jc w:val="both"/>
        <w:rPr>
          <w:szCs w:val="22"/>
        </w:rPr>
      </w:pPr>
      <w:r w:rsidRPr="006E6C4E">
        <w:rPr>
          <w:szCs w:val="22"/>
        </w:rPr>
        <w:t>Nie sú k dispozícii údaje o použití transdermálneho fentanylu u gravidných žien. Štúdie na zvieratách preukázali reprodukčnú toxicitu (pozri časť 5.3 Predklinické údaje o bezpečnosti). Potenciálne riziko pre ľudí je neznáme, hoci sa zistilo, že fentanyl ako intravenózne anestetikum na začiatku gravidity prechádza placentou. Bol hlásený novorodenecký abstinenčný syndróm u novorodencov, ktorých matky dlhodobo počas gravidity používali transdermálny fentanyl. Transdermálny fentanyl sa nemá používať počas gravidity, pokiaľ to nie je jednoznačne potrebné.</w:t>
      </w:r>
    </w:p>
    <w:p w:rsidR="004169B3" w:rsidRPr="006E6C4E" w:rsidRDefault="004169B3" w:rsidP="00FC4CE3">
      <w:pPr>
        <w:jc w:val="both"/>
        <w:rPr>
          <w:szCs w:val="22"/>
        </w:rPr>
      </w:pPr>
      <w:r w:rsidRPr="006E6C4E">
        <w:rPr>
          <w:szCs w:val="22"/>
        </w:rPr>
        <w:t xml:space="preserve">Použitie transdermálneho fentanylu počas pôrodu sa neodporúča, pretože liek sa nesmie použiť na manažment akútnej a pooperačnej bolesti (pozri časť 4.4 </w:t>
      </w:r>
      <w:r w:rsidRPr="006E6C4E">
        <w:rPr>
          <w:noProof/>
          <w:szCs w:val="22"/>
        </w:rPr>
        <w:t>Osobitné upozornenia a opatrenia pri používaní</w:t>
      </w:r>
      <w:r w:rsidRPr="006E6C4E">
        <w:rPr>
          <w:szCs w:val="22"/>
        </w:rPr>
        <w:t>). Okrem toho, fentanyl prechádza placentou a použitie transdermálneho fentanylu počas pôrodu môže zapríčiniť respiračnú depresiu u novorodenca.</w:t>
      </w:r>
    </w:p>
    <w:p w:rsidR="004169B3" w:rsidRPr="006E6C4E" w:rsidRDefault="004169B3" w:rsidP="00FC4CE3">
      <w:pPr>
        <w:jc w:val="both"/>
        <w:rPr>
          <w:szCs w:val="22"/>
        </w:rPr>
      </w:pPr>
      <w:r w:rsidRPr="006E6C4E">
        <w:rPr>
          <w:szCs w:val="22"/>
        </w:rPr>
        <w:t>Fentanyl sa vylučuje do materského mlieka a môže zapríčiniť sedáciu a respiračnú depresiu u dojčeného dieťaťa. Dojčenie sa preto musí prerušiť počas liečby transdermálnym fentanylom a najmenej 72 hodín po odstránení náplasti.</w:t>
      </w:r>
    </w:p>
    <w:p w:rsidR="004169B3" w:rsidRPr="006E6C4E" w:rsidRDefault="004169B3" w:rsidP="00FC4CE3">
      <w:pPr>
        <w:tabs>
          <w:tab w:val="clear" w:pos="567"/>
        </w:tabs>
        <w:spacing w:line="240" w:lineRule="auto"/>
        <w:rPr>
          <w:noProof/>
          <w:szCs w:val="22"/>
        </w:rPr>
      </w:pPr>
    </w:p>
    <w:p w:rsidR="004169B3" w:rsidRPr="006E6C4E" w:rsidRDefault="004169B3" w:rsidP="00FC4CE3">
      <w:pPr>
        <w:rPr>
          <w:szCs w:val="22"/>
        </w:rPr>
      </w:pPr>
      <w:r w:rsidRPr="006E6C4E">
        <w:rPr>
          <w:b/>
          <w:noProof/>
          <w:szCs w:val="22"/>
        </w:rPr>
        <w:t>4.7</w:t>
      </w:r>
      <w:r w:rsidRPr="006E6C4E">
        <w:rPr>
          <w:b/>
          <w:noProof/>
          <w:szCs w:val="22"/>
        </w:rPr>
        <w:tab/>
      </w:r>
      <w:r w:rsidRPr="006E6C4E">
        <w:rPr>
          <w:b/>
          <w:szCs w:val="22"/>
        </w:rPr>
        <w:t>Ovplyvnenie schopnosti viesť vozidlá a obsluhovať stroje</w:t>
      </w:r>
    </w:p>
    <w:p w:rsidR="004169B3" w:rsidRPr="006E6C4E" w:rsidRDefault="004169B3" w:rsidP="00FC4CE3">
      <w:pPr>
        <w:jc w:val="both"/>
        <w:rPr>
          <w:strike/>
          <w:szCs w:val="22"/>
        </w:rPr>
      </w:pPr>
    </w:p>
    <w:p w:rsidR="004169B3" w:rsidRPr="006E6C4E" w:rsidRDefault="004169B3" w:rsidP="00FC4CE3">
      <w:pPr>
        <w:jc w:val="both"/>
        <w:rPr>
          <w:spacing w:val="-3"/>
          <w:szCs w:val="22"/>
        </w:rPr>
      </w:pPr>
      <w:r w:rsidRPr="006E6C4E">
        <w:rPr>
          <w:spacing w:val="-3"/>
          <w:szCs w:val="22"/>
        </w:rPr>
        <w:t>Transdermálny fentanyl môže narušiť psychické a/alebo fyzické schopnosti potrebné na výkon potenciálne rizikových činností ako je vedenie vozidla a obsluha strojov.</w:t>
      </w:r>
    </w:p>
    <w:p w:rsidR="004169B3" w:rsidRPr="006E6C4E" w:rsidRDefault="004169B3" w:rsidP="00FC4CE3">
      <w:pPr>
        <w:rPr>
          <w:spacing w:val="-3"/>
          <w:szCs w:val="22"/>
        </w:rPr>
      </w:pPr>
    </w:p>
    <w:p w:rsidR="004169B3" w:rsidRPr="006E6C4E" w:rsidRDefault="004169B3" w:rsidP="00FC4CE3">
      <w:pPr>
        <w:numPr>
          <w:ilvl w:val="1"/>
          <w:numId w:val="1"/>
          <w:numberingChange w:id="3" w:author="Unknown" w:date="2012-06-15T12:26:00Z" w:original="%1:4:0:.%2:8:0:"/>
        </w:numPr>
        <w:spacing w:line="240" w:lineRule="auto"/>
        <w:outlineLvl w:val="0"/>
        <w:rPr>
          <w:b/>
          <w:noProof/>
          <w:szCs w:val="22"/>
        </w:rPr>
      </w:pPr>
      <w:r w:rsidRPr="006E6C4E">
        <w:rPr>
          <w:b/>
          <w:noProof/>
          <w:szCs w:val="22"/>
        </w:rPr>
        <w:t>Nežiaduce účinky</w:t>
      </w:r>
    </w:p>
    <w:p w:rsidR="004169B3" w:rsidRPr="006E6C4E" w:rsidRDefault="004169B3" w:rsidP="00FC4CE3">
      <w:pPr>
        <w:tabs>
          <w:tab w:val="clear" w:pos="567"/>
        </w:tabs>
        <w:spacing w:line="240" w:lineRule="auto"/>
        <w:ind w:left="567" w:hanging="567"/>
        <w:rPr>
          <w:b/>
          <w:noProof/>
          <w:szCs w:val="22"/>
        </w:rPr>
      </w:pPr>
    </w:p>
    <w:p w:rsidR="004169B3" w:rsidRPr="006E6C4E" w:rsidRDefault="004169B3" w:rsidP="00FC4CE3">
      <w:pPr>
        <w:jc w:val="both"/>
        <w:rPr>
          <w:szCs w:val="22"/>
        </w:rPr>
      </w:pPr>
      <w:r w:rsidRPr="006E6C4E">
        <w:rPr>
          <w:szCs w:val="22"/>
        </w:rPr>
        <w:t>Bezpečnosť transdermálneho fentanylu sa hodnotila u 1854 jedincov v 11 klinických štúdiách (dvojito zaslepená štúdia transdermálny fentanyl [placebo alebo aktívna kontrola] a/alebo otvorená štúdia transdermálny fentanyl [žiadna alebo aktívna kontrola]) liečby chronickej nádorovej alebo nenádorovej bolesti. Jedinci, ktorí sa zúčastnili štúdií, dostali minimálne jednu dávku transdermálneho fentanylu a poskytli údaje o bezpečnosti. Na základe súhrnných údajov z týchto klinických štúdií</w:t>
      </w:r>
    </w:p>
    <w:p w:rsidR="004169B3" w:rsidRPr="006E6C4E" w:rsidRDefault="004169B3" w:rsidP="00FC4CE3">
      <w:pPr>
        <w:jc w:val="both"/>
        <w:rPr>
          <w:szCs w:val="22"/>
        </w:rPr>
      </w:pPr>
      <w:r w:rsidRPr="006E6C4E">
        <w:rPr>
          <w:szCs w:val="22"/>
        </w:rPr>
        <w:t>boli najčastejšie hlásené nežiaduce účinky (s príslušnou percentuálnou hodnotou): nauzea (35,7 %), zvracanie (23,2 %), zápcha (23,1 %), somnolencia (15,0 %), závraty (13,1 %) a bolesť hlavy (11,8 %).</w:t>
      </w:r>
    </w:p>
    <w:p w:rsidR="004169B3" w:rsidRPr="006E6C4E" w:rsidRDefault="004169B3" w:rsidP="00FC4CE3">
      <w:pPr>
        <w:jc w:val="both"/>
        <w:rPr>
          <w:szCs w:val="22"/>
        </w:rPr>
      </w:pPr>
    </w:p>
    <w:p w:rsidR="004169B3" w:rsidRPr="006E6C4E" w:rsidRDefault="004169B3" w:rsidP="00FC4CE3">
      <w:pPr>
        <w:jc w:val="both"/>
        <w:rPr>
          <w:rFonts w:eastAsia="SimSun"/>
          <w:szCs w:val="22"/>
        </w:rPr>
      </w:pPr>
      <w:r w:rsidRPr="006E6C4E">
        <w:rPr>
          <w:rFonts w:eastAsia="SimSun"/>
          <w:szCs w:val="22"/>
        </w:rPr>
        <w:t>Nežiaduce účinky hlásené po použití transdermálneho fentanylu z klinických štúdií, vrátane vyššie vymenovaných nežiaducich účinkov ako aj z post-marketingových skúseností, sú uvedené nižšie.</w:t>
      </w:r>
    </w:p>
    <w:p w:rsidR="004169B3" w:rsidRPr="006E6C4E" w:rsidRDefault="004169B3" w:rsidP="00FC4CE3">
      <w:pPr>
        <w:jc w:val="both"/>
        <w:rPr>
          <w:rFonts w:eastAsia="SimSun"/>
          <w:szCs w:val="22"/>
        </w:rPr>
      </w:pPr>
    </w:p>
    <w:p w:rsidR="004169B3" w:rsidRPr="006E6C4E" w:rsidRDefault="004169B3" w:rsidP="00FC4CE3">
      <w:pPr>
        <w:jc w:val="both"/>
        <w:rPr>
          <w:rFonts w:eastAsia="SimSun"/>
          <w:szCs w:val="22"/>
        </w:rPr>
      </w:pPr>
      <w:r w:rsidRPr="006E6C4E">
        <w:rPr>
          <w:rFonts w:eastAsia="SimSun"/>
          <w:szCs w:val="22"/>
        </w:rPr>
        <w:t>Na hodnotenie nežiaducich účinkov podľa frekvencie výskytu sa použili nasledujúce kategórie: veľmi časté (</w:t>
      </w:r>
      <w:r w:rsidRPr="006E6C4E">
        <w:rPr>
          <w:rFonts w:eastAsia="SimSun"/>
          <w:szCs w:val="22"/>
        </w:rPr>
        <w:sym w:font="Symbol" w:char="F0B3"/>
      </w:r>
      <w:r w:rsidRPr="006E6C4E">
        <w:rPr>
          <w:rFonts w:eastAsia="SimSun"/>
          <w:szCs w:val="22"/>
        </w:rPr>
        <w:t> 1/10); časté (</w:t>
      </w:r>
      <w:r w:rsidRPr="006E6C4E">
        <w:rPr>
          <w:rFonts w:eastAsia="SimSun"/>
          <w:szCs w:val="22"/>
        </w:rPr>
        <w:sym w:font="Symbol" w:char="F0B3"/>
      </w:r>
      <w:r w:rsidRPr="006E6C4E">
        <w:rPr>
          <w:rFonts w:eastAsia="SimSun"/>
          <w:szCs w:val="22"/>
        </w:rPr>
        <w:t xml:space="preserve"> 1/100 až </w:t>
      </w:r>
      <w:r w:rsidRPr="006E6C4E">
        <w:rPr>
          <w:rFonts w:eastAsia="SimSun"/>
          <w:szCs w:val="22"/>
        </w:rPr>
        <w:sym w:font="Symbol" w:char="F03C"/>
      </w:r>
      <w:r w:rsidRPr="006E6C4E">
        <w:rPr>
          <w:rFonts w:eastAsia="SimSun"/>
          <w:szCs w:val="22"/>
        </w:rPr>
        <w:t> 1/10); menej časté (</w:t>
      </w:r>
      <w:r w:rsidRPr="006E6C4E">
        <w:rPr>
          <w:rFonts w:eastAsia="SimSun"/>
          <w:szCs w:val="22"/>
        </w:rPr>
        <w:sym w:font="Symbol" w:char="F0B3"/>
      </w:r>
      <w:r w:rsidRPr="006E6C4E">
        <w:rPr>
          <w:rFonts w:eastAsia="SimSun"/>
          <w:szCs w:val="22"/>
        </w:rPr>
        <w:t xml:space="preserve"> 1/1 000 až </w:t>
      </w:r>
      <w:r w:rsidRPr="006E6C4E">
        <w:rPr>
          <w:rFonts w:eastAsia="SimSun"/>
          <w:szCs w:val="22"/>
        </w:rPr>
        <w:sym w:font="Symbol" w:char="F03C"/>
      </w:r>
      <w:r w:rsidRPr="006E6C4E">
        <w:rPr>
          <w:rFonts w:eastAsia="SimSun"/>
          <w:szCs w:val="22"/>
        </w:rPr>
        <w:t> 1/100); zriedkavé (</w:t>
      </w:r>
      <w:r w:rsidRPr="006E6C4E">
        <w:rPr>
          <w:rFonts w:eastAsia="SimSun"/>
          <w:szCs w:val="22"/>
        </w:rPr>
        <w:sym w:font="Symbol" w:char="F0B3"/>
      </w:r>
      <w:r w:rsidRPr="006E6C4E">
        <w:rPr>
          <w:rFonts w:eastAsia="SimSun"/>
          <w:szCs w:val="22"/>
        </w:rPr>
        <w:t xml:space="preserve"> 1/10 000 až </w:t>
      </w:r>
      <w:r w:rsidRPr="006E6C4E">
        <w:rPr>
          <w:rFonts w:eastAsia="SimSun"/>
          <w:szCs w:val="22"/>
        </w:rPr>
        <w:sym w:font="Symbol" w:char="F03C"/>
      </w:r>
      <w:r w:rsidRPr="006E6C4E">
        <w:rPr>
          <w:rFonts w:eastAsia="SimSun"/>
          <w:szCs w:val="22"/>
        </w:rPr>
        <w:t> 1/1 000); a veľmi zriedkavé(</w:t>
      </w:r>
      <w:r w:rsidRPr="006E6C4E">
        <w:rPr>
          <w:rFonts w:eastAsia="SimSun"/>
          <w:szCs w:val="22"/>
        </w:rPr>
        <w:sym w:font="Symbol" w:char="F03C"/>
      </w:r>
      <w:r w:rsidRPr="006E6C4E">
        <w:rPr>
          <w:rFonts w:eastAsia="SimSun"/>
          <w:szCs w:val="22"/>
        </w:rPr>
        <w:t> 1/10 000), neznáme (z dostupných údajov).</w:t>
      </w:r>
    </w:p>
    <w:p w:rsidR="004169B3" w:rsidRPr="006E6C4E" w:rsidRDefault="004169B3" w:rsidP="00FC4CE3">
      <w:pPr>
        <w:jc w:val="both"/>
        <w:rPr>
          <w:rFonts w:eastAsia="SimSun"/>
          <w:szCs w:val="22"/>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560"/>
        <w:gridCol w:w="1325"/>
        <w:gridCol w:w="1510"/>
        <w:gridCol w:w="1559"/>
        <w:gridCol w:w="1559"/>
        <w:gridCol w:w="1418"/>
      </w:tblGrid>
      <w:tr w:rsidR="004169B3" w:rsidRPr="006E6C4E" w:rsidTr="00230490">
        <w:trPr>
          <w:cantSplit/>
          <w:tblHeader/>
        </w:trPr>
        <w:tc>
          <w:tcPr>
            <w:tcW w:w="1560" w:type="dxa"/>
            <w:vMerge w:val="restart"/>
            <w:vAlign w:val="center"/>
          </w:tcPr>
          <w:p w:rsidR="004169B3" w:rsidRPr="006E6C4E" w:rsidRDefault="004169B3" w:rsidP="00230490"/>
        </w:tc>
        <w:tc>
          <w:tcPr>
            <w:tcW w:w="7371" w:type="dxa"/>
            <w:gridSpan w:val="5"/>
            <w:vAlign w:val="center"/>
          </w:tcPr>
          <w:p w:rsidR="004169B3" w:rsidRPr="006E6C4E" w:rsidRDefault="004169B3" w:rsidP="00230490">
            <w:pPr>
              <w:jc w:val="center"/>
            </w:pPr>
            <w:r w:rsidRPr="006E6C4E">
              <w:t>Kategórie podľa frekvencie</w:t>
            </w:r>
          </w:p>
        </w:tc>
      </w:tr>
      <w:tr w:rsidR="004169B3" w:rsidRPr="006E6C4E" w:rsidTr="00230490">
        <w:trPr>
          <w:cantSplit/>
          <w:tblHeader/>
        </w:trPr>
        <w:tc>
          <w:tcPr>
            <w:tcW w:w="1560" w:type="dxa"/>
            <w:vMerge/>
            <w:vAlign w:val="center"/>
          </w:tcPr>
          <w:p w:rsidR="004169B3" w:rsidRPr="006E6C4E" w:rsidRDefault="004169B3" w:rsidP="00230490"/>
        </w:tc>
        <w:tc>
          <w:tcPr>
            <w:tcW w:w="1325" w:type="dxa"/>
            <w:vAlign w:val="center"/>
          </w:tcPr>
          <w:p w:rsidR="004169B3" w:rsidRPr="006E6C4E" w:rsidRDefault="004169B3" w:rsidP="00230490">
            <w:r w:rsidRPr="006E6C4E">
              <w:t>Veľmi časté</w:t>
            </w:r>
            <w:r w:rsidRPr="006E6C4E">
              <w:br/>
            </w:r>
          </w:p>
        </w:tc>
        <w:tc>
          <w:tcPr>
            <w:tcW w:w="1510" w:type="dxa"/>
            <w:vAlign w:val="center"/>
          </w:tcPr>
          <w:p w:rsidR="004169B3" w:rsidRPr="006E6C4E" w:rsidRDefault="004169B3" w:rsidP="00230490">
            <w:r w:rsidRPr="006E6C4E">
              <w:t>Časté</w:t>
            </w:r>
            <w:r w:rsidRPr="006E6C4E">
              <w:br/>
            </w:r>
          </w:p>
        </w:tc>
        <w:tc>
          <w:tcPr>
            <w:tcW w:w="1559" w:type="dxa"/>
            <w:vAlign w:val="center"/>
          </w:tcPr>
          <w:p w:rsidR="004169B3" w:rsidRPr="006E6C4E" w:rsidRDefault="004169B3" w:rsidP="00230490">
            <w:r w:rsidRPr="006E6C4E">
              <w:t>Menej časté</w:t>
            </w:r>
            <w:r w:rsidRPr="006E6C4E">
              <w:br/>
            </w:r>
          </w:p>
        </w:tc>
        <w:tc>
          <w:tcPr>
            <w:tcW w:w="1559" w:type="dxa"/>
            <w:vAlign w:val="center"/>
          </w:tcPr>
          <w:p w:rsidR="004169B3" w:rsidRPr="006E6C4E" w:rsidRDefault="004169B3" w:rsidP="00230490">
            <w:r w:rsidRPr="006E6C4E">
              <w:t>Zriedkavé</w:t>
            </w:r>
            <w:r w:rsidRPr="006E6C4E">
              <w:br/>
            </w:r>
          </w:p>
        </w:tc>
        <w:tc>
          <w:tcPr>
            <w:tcW w:w="1418" w:type="dxa"/>
          </w:tcPr>
          <w:p w:rsidR="004169B3" w:rsidRPr="006E6C4E" w:rsidRDefault="004169B3" w:rsidP="00230490">
            <w:r w:rsidRPr="006E6C4E">
              <w:t>Neznáme</w:t>
            </w:r>
          </w:p>
        </w:tc>
      </w:tr>
      <w:tr w:rsidR="004169B3" w:rsidRPr="006E6C4E" w:rsidTr="00230490">
        <w:trPr>
          <w:cantSplit/>
          <w:trHeight w:val="576"/>
        </w:trPr>
        <w:tc>
          <w:tcPr>
            <w:tcW w:w="1560" w:type="dxa"/>
            <w:vAlign w:val="center"/>
          </w:tcPr>
          <w:p w:rsidR="004169B3" w:rsidRPr="006E6C4E" w:rsidRDefault="004169B3" w:rsidP="00230490">
            <w:r w:rsidRPr="006E6C4E">
              <w:t>Poruchy imunitného systému</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Hypersenzitivita</w:t>
            </w:r>
          </w:p>
        </w:tc>
        <w:tc>
          <w:tcPr>
            <w:tcW w:w="1559" w:type="dxa"/>
            <w:vAlign w:val="center"/>
          </w:tcPr>
          <w:p w:rsidR="004169B3" w:rsidRPr="006E6C4E" w:rsidRDefault="004169B3" w:rsidP="00230490"/>
        </w:tc>
        <w:tc>
          <w:tcPr>
            <w:tcW w:w="1559" w:type="dxa"/>
            <w:vAlign w:val="center"/>
          </w:tcPr>
          <w:p w:rsidR="004169B3" w:rsidRPr="006E6C4E" w:rsidRDefault="004169B3" w:rsidP="00230490"/>
        </w:tc>
        <w:tc>
          <w:tcPr>
            <w:tcW w:w="1418" w:type="dxa"/>
            <w:vAlign w:val="center"/>
          </w:tcPr>
          <w:p w:rsidR="004169B3" w:rsidRPr="006E6C4E" w:rsidRDefault="004169B3" w:rsidP="00230490">
            <w:r w:rsidRPr="006E6C4E">
              <w:t>Anafylaktický šok, Anafylaktická reakcia,</w:t>
            </w:r>
          </w:p>
          <w:p w:rsidR="004169B3" w:rsidRPr="006E6C4E" w:rsidRDefault="004169B3" w:rsidP="00230490">
            <w:r w:rsidRPr="006E6C4E">
              <w:t>Anafylaktoidná reakcia</w:t>
            </w:r>
          </w:p>
        </w:tc>
      </w:tr>
      <w:tr w:rsidR="004169B3" w:rsidRPr="006E6C4E" w:rsidTr="00230490">
        <w:trPr>
          <w:cantSplit/>
          <w:trHeight w:val="576"/>
        </w:trPr>
        <w:tc>
          <w:tcPr>
            <w:tcW w:w="1560" w:type="dxa"/>
            <w:vAlign w:val="center"/>
          </w:tcPr>
          <w:p w:rsidR="004169B3" w:rsidRPr="006E6C4E" w:rsidRDefault="004169B3" w:rsidP="00230490">
            <w:r w:rsidRPr="006E6C4E">
              <w:t>Poruchy metabolizmu a výživy</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Anorexia</w:t>
            </w:r>
          </w:p>
        </w:tc>
        <w:tc>
          <w:tcPr>
            <w:tcW w:w="1559" w:type="dxa"/>
            <w:vAlign w:val="center"/>
          </w:tcPr>
          <w:p w:rsidR="004169B3" w:rsidRPr="006E6C4E" w:rsidRDefault="004169B3" w:rsidP="00230490"/>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Psychické poruchy</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 xml:space="preserve">Insomnia, Depresia, Anxieta, Stavy zmätenosti, Halucinácie </w:t>
            </w:r>
          </w:p>
        </w:tc>
        <w:tc>
          <w:tcPr>
            <w:tcW w:w="1559" w:type="dxa"/>
            <w:vAlign w:val="center"/>
          </w:tcPr>
          <w:p w:rsidR="004169B3" w:rsidRPr="006E6C4E" w:rsidRDefault="004169B3" w:rsidP="00230490">
            <w:r w:rsidRPr="006E6C4E">
              <w:t>Agitácia, Dezorientácia, Euforická nálada</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nervového systému</w:t>
            </w:r>
          </w:p>
        </w:tc>
        <w:tc>
          <w:tcPr>
            <w:tcW w:w="1325" w:type="dxa"/>
            <w:vAlign w:val="center"/>
          </w:tcPr>
          <w:p w:rsidR="004169B3" w:rsidRPr="006E6C4E" w:rsidRDefault="004169B3" w:rsidP="00230490">
            <w:r w:rsidRPr="006E6C4E">
              <w:t>Somnolencia, Závraty, Bolesť hlavy</w:t>
            </w:r>
          </w:p>
        </w:tc>
        <w:tc>
          <w:tcPr>
            <w:tcW w:w="1510" w:type="dxa"/>
            <w:vAlign w:val="center"/>
          </w:tcPr>
          <w:p w:rsidR="004169B3" w:rsidRPr="006E6C4E" w:rsidRDefault="004169B3" w:rsidP="00230490">
            <w:r w:rsidRPr="006E6C4E">
              <w:t>Tremor, Parestézia</w:t>
            </w:r>
          </w:p>
        </w:tc>
        <w:tc>
          <w:tcPr>
            <w:tcW w:w="1559" w:type="dxa"/>
            <w:vAlign w:val="center"/>
          </w:tcPr>
          <w:p w:rsidR="004169B3" w:rsidRPr="006E6C4E" w:rsidRDefault="004169B3" w:rsidP="00230490">
            <w:r w:rsidRPr="006E6C4E">
              <w:t>Hypestézia, Kŕče (vrátane klonických kŕčov a kŕčov typu grand mal), Amnézia</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oka</w:t>
            </w:r>
          </w:p>
        </w:tc>
        <w:tc>
          <w:tcPr>
            <w:tcW w:w="1325" w:type="dxa"/>
            <w:vAlign w:val="center"/>
          </w:tcPr>
          <w:p w:rsidR="004169B3" w:rsidRPr="006E6C4E" w:rsidRDefault="004169B3" w:rsidP="00230490"/>
        </w:tc>
        <w:tc>
          <w:tcPr>
            <w:tcW w:w="1510" w:type="dxa"/>
            <w:vAlign w:val="center"/>
          </w:tcPr>
          <w:p w:rsidR="004169B3" w:rsidRPr="006E6C4E" w:rsidRDefault="004169B3" w:rsidP="00230490"/>
        </w:tc>
        <w:tc>
          <w:tcPr>
            <w:tcW w:w="1559" w:type="dxa"/>
            <w:vAlign w:val="center"/>
          </w:tcPr>
          <w:p w:rsidR="004169B3" w:rsidRPr="006E6C4E" w:rsidRDefault="004169B3" w:rsidP="00230490"/>
        </w:tc>
        <w:tc>
          <w:tcPr>
            <w:tcW w:w="1559" w:type="dxa"/>
            <w:vAlign w:val="center"/>
          </w:tcPr>
          <w:p w:rsidR="004169B3" w:rsidRPr="006E6C4E" w:rsidRDefault="004169B3" w:rsidP="00230490">
            <w:r w:rsidRPr="006E6C4E">
              <w:t>Mióza</w:t>
            </w:r>
          </w:p>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ucha a labyrintu</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Vertigo</w:t>
            </w:r>
          </w:p>
        </w:tc>
        <w:tc>
          <w:tcPr>
            <w:tcW w:w="1559" w:type="dxa"/>
            <w:vAlign w:val="center"/>
          </w:tcPr>
          <w:p w:rsidR="004169B3" w:rsidRPr="006E6C4E" w:rsidRDefault="004169B3" w:rsidP="00230490"/>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srdca a srdcovej činnosti</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 xml:space="preserve">Palpitácie, Tachykardia </w:t>
            </w:r>
          </w:p>
        </w:tc>
        <w:tc>
          <w:tcPr>
            <w:tcW w:w="1559" w:type="dxa"/>
            <w:vAlign w:val="center"/>
          </w:tcPr>
          <w:p w:rsidR="004169B3" w:rsidRPr="006E6C4E" w:rsidRDefault="004169B3" w:rsidP="00230490">
            <w:r w:rsidRPr="006E6C4E">
              <w:t>Bradykardia, Cyanóza</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ciev</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Hypertenzia</w:t>
            </w:r>
          </w:p>
        </w:tc>
        <w:tc>
          <w:tcPr>
            <w:tcW w:w="1559" w:type="dxa"/>
            <w:vAlign w:val="center"/>
          </w:tcPr>
          <w:p w:rsidR="004169B3" w:rsidRPr="006E6C4E" w:rsidRDefault="004169B3" w:rsidP="00230490">
            <w:r w:rsidRPr="006E6C4E">
              <w:t>Hypotenzia</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dýchacej sústavy, hrudníka a mediastína</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Dyspnoe</w:t>
            </w:r>
          </w:p>
        </w:tc>
        <w:tc>
          <w:tcPr>
            <w:tcW w:w="1559" w:type="dxa"/>
            <w:vAlign w:val="center"/>
          </w:tcPr>
          <w:p w:rsidR="004169B3" w:rsidRPr="006E6C4E" w:rsidRDefault="004169B3" w:rsidP="00230490">
            <w:r w:rsidRPr="006E6C4E">
              <w:t>Respiračná depresia, Respiračná tieseň</w:t>
            </w:r>
          </w:p>
        </w:tc>
        <w:tc>
          <w:tcPr>
            <w:tcW w:w="1559" w:type="dxa"/>
            <w:vAlign w:val="center"/>
          </w:tcPr>
          <w:p w:rsidR="004169B3" w:rsidRPr="006E6C4E" w:rsidRDefault="004169B3" w:rsidP="00230490">
            <w:r w:rsidRPr="006E6C4E">
              <w:t xml:space="preserve">Apnoe, </w:t>
            </w:r>
            <w:r w:rsidRPr="006E6C4E">
              <w:br/>
              <w:t>Hypoventilácia</w:t>
            </w:r>
          </w:p>
        </w:tc>
        <w:tc>
          <w:tcPr>
            <w:tcW w:w="1418" w:type="dxa"/>
            <w:vAlign w:val="center"/>
          </w:tcPr>
          <w:p w:rsidR="004169B3" w:rsidRPr="006E6C4E" w:rsidRDefault="004169B3" w:rsidP="00230490">
            <w:r w:rsidRPr="006E6C4E">
              <w:t xml:space="preserve">Bradypnoe, </w:t>
            </w:r>
          </w:p>
        </w:tc>
      </w:tr>
      <w:tr w:rsidR="004169B3" w:rsidRPr="006E6C4E" w:rsidTr="00230490">
        <w:trPr>
          <w:cantSplit/>
          <w:trHeight w:val="576"/>
        </w:trPr>
        <w:tc>
          <w:tcPr>
            <w:tcW w:w="1560" w:type="dxa"/>
            <w:vAlign w:val="center"/>
          </w:tcPr>
          <w:p w:rsidR="004169B3" w:rsidRPr="006E6C4E" w:rsidRDefault="004169B3" w:rsidP="00230490">
            <w:r w:rsidRPr="006E6C4E">
              <w:t>Poruchy gastrointestinál-neho traktu</w:t>
            </w:r>
          </w:p>
        </w:tc>
        <w:tc>
          <w:tcPr>
            <w:tcW w:w="1325" w:type="dxa"/>
            <w:vAlign w:val="center"/>
          </w:tcPr>
          <w:p w:rsidR="004169B3" w:rsidRPr="006E6C4E" w:rsidRDefault="004169B3" w:rsidP="00230490">
            <w:r w:rsidRPr="006E6C4E">
              <w:t>Nauzea, Vracanie, Zápcha</w:t>
            </w:r>
          </w:p>
        </w:tc>
        <w:tc>
          <w:tcPr>
            <w:tcW w:w="1510" w:type="dxa"/>
            <w:vAlign w:val="center"/>
          </w:tcPr>
          <w:p w:rsidR="004169B3" w:rsidRPr="006E6C4E" w:rsidRDefault="004169B3" w:rsidP="00230490">
            <w:r w:rsidRPr="006E6C4E">
              <w:t>Hnačka, Sucho v ústach, Abdominálna bolesť, Abdominálna bolesť v hornej časti, Dyspepsia</w:t>
            </w:r>
          </w:p>
        </w:tc>
        <w:tc>
          <w:tcPr>
            <w:tcW w:w="1559" w:type="dxa"/>
            <w:vAlign w:val="center"/>
          </w:tcPr>
          <w:p w:rsidR="004169B3" w:rsidRPr="006E6C4E" w:rsidRDefault="004169B3" w:rsidP="00230490">
            <w:r w:rsidRPr="006E6C4E">
              <w:t>Ileus</w:t>
            </w:r>
          </w:p>
        </w:tc>
        <w:tc>
          <w:tcPr>
            <w:tcW w:w="1559" w:type="dxa"/>
            <w:vAlign w:val="center"/>
          </w:tcPr>
          <w:p w:rsidR="004169B3" w:rsidRPr="006E6C4E" w:rsidRDefault="004169B3" w:rsidP="00230490">
            <w:r w:rsidRPr="006E6C4E">
              <w:t>Subileus</w:t>
            </w:r>
          </w:p>
        </w:tc>
        <w:tc>
          <w:tcPr>
            <w:tcW w:w="1418" w:type="dxa"/>
            <w:vAlign w:val="center"/>
          </w:tcPr>
          <w:p w:rsidR="004169B3" w:rsidRPr="006E6C4E" w:rsidRDefault="004169B3" w:rsidP="00230490"/>
          <w:p w:rsidR="004169B3" w:rsidRPr="006E6C4E" w:rsidRDefault="004169B3" w:rsidP="00230490"/>
          <w:p w:rsidR="004169B3" w:rsidRPr="006E6C4E" w:rsidRDefault="004169B3" w:rsidP="00230490"/>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kože a podkožného tkaniva</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 xml:space="preserve">Hyperhidróza, Pruritus, Rash (vyrážka), Erytém </w:t>
            </w:r>
          </w:p>
        </w:tc>
        <w:tc>
          <w:tcPr>
            <w:tcW w:w="1559" w:type="dxa"/>
            <w:vAlign w:val="center"/>
          </w:tcPr>
          <w:p w:rsidR="004169B3" w:rsidRPr="006E6C4E" w:rsidRDefault="004169B3" w:rsidP="00230490">
            <w:r w:rsidRPr="006E6C4E">
              <w:t>Ekzém, Alergická dermatitída, Poruchy kože, Dermatitída, Kontaktná dermatitída</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kostrovej a svalovej sústavy a spojivového tkaniva</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Svalové spazmy</w:t>
            </w:r>
          </w:p>
        </w:tc>
        <w:tc>
          <w:tcPr>
            <w:tcW w:w="1559" w:type="dxa"/>
            <w:vAlign w:val="center"/>
          </w:tcPr>
          <w:p w:rsidR="004169B3" w:rsidRPr="006E6C4E" w:rsidRDefault="004169B3" w:rsidP="00230490">
            <w:r w:rsidRPr="006E6C4E">
              <w:t>Svalové zášklby</w:t>
            </w:r>
          </w:p>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Poruchy obličiek a močových ciest</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Retencia moču</w:t>
            </w:r>
          </w:p>
        </w:tc>
        <w:tc>
          <w:tcPr>
            <w:tcW w:w="1559" w:type="dxa"/>
            <w:vAlign w:val="center"/>
          </w:tcPr>
          <w:p w:rsidR="004169B3" w:rsidRPr="006E6C4E" w:rsidRDefault="004169B3" w:rsidP="00230490"/>
        </w:tc>
        <w:tc>
          <w:tcPr>
            <w:tcW w:w="1559" w:type="dxa"/>
            <w:vAlign w:val="center"/>
          </w:tcPr>
          <w:p w:rsidR="004169B3" w:rsidRPr="006E6C4E" w:rsidRDefault="004169B3" w:rsidP="00230490"/>
        </w:tc>
        <w:tc>
          <w:tcPr>
            <w:tcW w:w="1418" w:type="dxa"/>
            <w:vAlign w:val="center"/>
          </w:tcPr>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 xml:space="preserve">Poruchy reprodukčného systému a prsníkov </w:t>
            </w:r>
          </w:p>
        </w:tc>
        <w:tc>
          <w:tcPr>
            <w:tcW w:w="1325" w:type="dxa"/>
            <w:vAlign w:val="center"/>
          </w:tcPr>
          <w:p w:rsidR="004169B3" w:rsidRPr="006E6C4E" w:rsidRDefault="004169B3" w:rsidP="00230490"/>
        </w:tc>
        <w:tc>
          <w:tcPr>
            <w:tcW w:w="1510" w:type="dxa"/>
            <w:vAlign w:val="center"/>
          </w:tcPr>
          <w:p w:rsidR="004169B3" w:rsidRPr="006E6C4E" w:rsidRDefault="004169B3" w:rsidP="00230490"/>
        </w:tc>
        <w:tc>
          <w:tcPr>
            <w:tcW w:w="1559" w:type="dxa"/>
            <w:vAlign w:val="center"/>
          </w:tcPr>
          <w:p w:rsidR="004169B3" w:rsidRPr="006E6C4E" w:rsidRDefault="004169B3" w:rsidP="00230490">
            <w:r w:rsidRPr="006E6C4E">
              <w:t>Erektilná dysfunkcia, Sexuálna dysfunkcia</w:t>
            </w:r>
          </w:p>
        </w:tc>
        <w:tc>
          <w:tcPr>
            <w:tcW w:w="1559" w:type="dxa"/>
            <w:vAlign w:val="center"/>
          </w:tcPr>
          <w:p w:rsidR="004169B3" w:rsidRPr="006E6C4E" w:rsidRDefault="004169B3" w:rsidP="00230490"/>
        </w:tc>
        <w:tc>
          <w:tcPr>
            <w:tcW w:w="1418" w:type="dxa"/>
            <w:vAlign w:val="center"/>
          </w:tcPr>
          <w:p w:rsidR="004169B3" w:rsidRPr="006E6C4E" w:rsidRDefault="004169B3" w:rsidP="00230490"/>
          <w:p w:rsidR="004169B3" w:rsidRPr="006E6C4E" w:rsidRDefault="004169B3" w:rsidP="00230490"/>
        </w:tc>
      </w:tr>
      <w:tr w:rsidR="004169B3" w:rsidRPr="006E6C4E" w:rsidTr="00230490">
        <w:trPr>
          <w:cantSplit/>
          <w:trHeight w:val="576"/>
        </w:trPr>
        <w:tc>
          <w:tcPr>
            <w:tcW w:w="1560" w:type="dxa"/>
            <w:vAlign w:val="center"/>
          </w:tcPr>
          <w:p w:rsidR="004169B3" w:rsidRPr="006E6C4E" w:rsidRDefault="004169B3" w:rsidP="00230490">
            <w:r w:rsidRPr="006E6C4E">
              <w:t>Celkové poruchy a reakcie v mieste podania</w:t>
            </w:r>
          </w:p>
        </w:tc>
        <w:tc>
          <w:tcPr>
            <w:tcW w:w="1325" w:type="dxa"/>
            <w:vAlign w:val="center"/>
          </w:tcPr>
          <w:p w:rsidR="004169B3" w:rsidRPr="006E6C4E" w:rsidRDefault="004169B3" w:rsidP="00230490"/>
        </w:tc>
        <w:tc>
          <w:tcPr>
            <w:tcW w:w="1510" w:type="dxa"/>
            <w:vAlign w:val="center"/>
          </w:tcPr>
          <w:p w:rsidR="004169B3" w:rsidRPr="006E6C4E" w:rsidRDefault="004169B3" w:rsidP="00230490">
            <w:r w:rsidRPr="006E6C4E">
              <w:t>Únava, Periférny edém, Asténia, Telesná slabosť, Pocit chladu</w:t>
            </w:r>
          </w:p>
        </w:tc>
        <w:tc>
          <w:tcPr>
            <w:tcW w:w="1559" w:type="dxa"/>
            <w:vAlign w:val="center"/>
          </w:tcPr>
          <w:p w:rsidR="004169B3" w:rsidRPr="006E6C4E" w:rsidRDefault="004169B3" w:rsidP="00230490">
            <w:r w:rsidRPr="006E6C4E">
              <w:t>Reakcie v mieste podania, Príznaky podobné chrípke, Pocit zmeny telesnej teploty, Hypersenzitivita v mieste podania, Abstinenčný syndróm</w:t>
            </w:r>
          </w:p>
        </w:tc>
        <w:tc>
          <w:tcPr>
            <w:tcW w:w="1559" w:type="dxa"/>
            <w:vAlign w:val="center"/>
          </w:tcPr>
          <w:p w:rsidR="004169B3" w:rsidRPr="006E6C4E" w:rsidRDefault="004169B3" w:rsidP="00230490">
            <w:r w:rsidRPr="006E6C4E">
              <w:t xml:space="preserve">Dermatitída a ekzém v mieste podania, </w:t>
            </w:r>
          </w:p>
        </w:tc>
        <w:tc>
          <w:tcPr>
            <w:tcW w:w="1418" w:type="dxa"/>
          </w:tcPr>
          <w:p w:rsidR="004169B3" w:rsidRPr="006E6C4E" w:rsidRDefault="004169B3" w:rsidP="00230490"/>
        </w:tc>
      </w:tr>
    </w:tbl>
    <w:p w:rsidR="004169B3" w:rsidRPr="006E6C4E" w:rsidRDefault="004169B3" w:rsidP="00FC4CE3">
      <w:pPr>
        <w:jc w:val="both"/>
        <w:rPr>
          <w:szCs w:val="22"/>
        </w:rPr>
      </w:pP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Najzávažnejší nežiaduci účinok fentanylu je respiračná depresia. </w:t>
      </w:r>
    </w:p>
    <w:p w:rsidR="004169B3" w:rsidRPr="006E6C4E" w:rsidRDefault="004169B3" w:rsidP="00FC4CE3">
      <w:pPr>
        <w:jc w:val="both"/>
        <w:rPr>
          <w:szCs w:val="22"/>
        </w:rPr>
      </w:pPr>
    </w:p>
    <w:p w:rsidR="004169B3" w:rsidRPr="006E6C4E" w:rsidRDefault="004169B3" w:rsidP="00FC4CE3">
      <w:pPr>
        <w:tabs>
          <w:tab w:val="clear" w:pos="567"/>
        </w:tabs>
        <w:spacing w:line="240" w:lineRule="auto"/>
        <w:outlineLvl w:val="0"/>
        <w:rPr>
          <w:noProof/>
          <w:szCs w:val="22"/>
        </w:rPr>
      </w:pPr>
      <w:r w:rsidRPr="006E6C4E">
        <w:rPr>
          <w:szCs w:val="22"/>
        </w:rPr>
        <w:t xml:space="preserve">Po opakovanom použití fentanylu, rovnako ako pri iných opioidných analgetikách, sa môže  vyvinúť tolerancia, fyzická a psychologická závislosť (pozri časť 4.4 </w:t>
      </w:r>
      <w:r w:rsidRPr="006E6C4E">
        <w:rPr>
          <w:noProof/>
          <w:szCs w:val="22"/>
        </w:rPr>
        <w:t>Osobitné upozornenia a opatrenia pri používaní).</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Abstinenčné príznaky opioidov (ako je nauzea, vracanie, hnačka, úzkosť a chvenie) sa môžu vyskytnúť u pacientov po zmene liečby z predchádzajúcich opioidových analgetík na fentanylovú transdermálnu náplasť alebo ak je liečba náhle ukončená (pozri časť 4.2 Dávkovanie a spôsob podávania). Veľmi zriedkavo boli hlásené prípady novorodeneckého abstinenčného syndrómu u novorodencov, ktorých matky dlhodobo používali transdermálny fentanyl počas gravidity (pozri časť 4.6 Fertilita, gravidita a laktácia).</w:t>
      </w:r>
    </w:p>
    <w:p w:rsidR="004169B3" w:rsidRPr="006E6C4E" w:rsidRDefault="004169B3" w:rsidP="00FC4CE3">
      <w:pPr>
        <w:jc w:val="both"/>
        <w:rPr>
          <w:szCs w:val="22"/>
        </w:rPr>
      </w:pPr>
    </w:p>
    <w:p w:rsidR="004169B3" w:rsidRPr="006E6C4E" w:rsidRDefault="004169B3" w:rsidP="00FC4CE3">
      <w:pPr>
        <w:jc w:val="both"/>
        <w:rPr>
          <w:i/>
          <w:szCs w:val="22"/>
        </w:rPr>
      </w:pPr>
      <w:r w:rsidRPr="006E6C4E">
        <w:rPr>
          <w:i/>
          <w:szCs w:val="22"/>
        </w:rPr>
        <w:t>Deti a dospievajúci</w:t>
      </w:r>
    </w:p>
    <w:p w:rsidR="004169B3" w:rsidRPr="006E6C4E" w:rsidRDefault="004169B3" w:rsidP="00FC4CE3">
      <w:pPr>
        <w:jc w:val="both"/>
        <w:rPr>
          <w:szCs w:val="22"/>
        </w:rPr>
      </w:pPr>
      <w:r w:rsidRPr="006E6C4E">
        <w:rPr>
          <w:szCs w:val="22"/>
        </w:rPr>
        <w:t xml:space="preserve">Profil nežiaducich účinkov u detí a dospievajúcich liečených transdermálnou náplasťou s obsahom fentanylu bol podobný tým, ktoré sa pozorovali u dospelých. U pediatrickej populácie sa nezistilo žiadne riziko okrem toho, ktoré sa očakáva pri používaní opioidov počas liečby bolesti spojenej so závažnými ochoreniami, nezistilo sa teda žiadne špecifické riziko pre deti vo veku 2 roky pri použití podľa odporučenia. Veľmi častými nežiaducimi účinkami zaznamenanými v pediatrických klinických štúdiách bola horúčka, vracanie a nauzea. </w:t>
      </w:r>
    </w:p>
    <w:p w:rsidR="004169B3" w:rsidRPr="006E6C4E" w:rsidRDefault="004169B3" w:rsidP="00FC4CE3">
      <w:pPr>
        <w:tabs>
          <w:tab w:val="clear" w:pos="567"/>
        </w:tabs>
        <w:spacing w:line="240" w:lineRule="auto"/>
        <w:rPr>
          <w:b/>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4.9</w:t>
      </w:r>
      <w:r w:rsidRPr="006E6C4E">
        <w:rPr>
          <w:b/>
          <w:noProof/>
          <w:szCs w:val="22"/>
        </w:rPr>
        <w:tab/>
        <w:t>Predávkovanie</w:t>
      </w:r>
    </w:p>
    <w:p w:rsidR="004169B3" w:rsidRPr="006E6C4E" w:rsidRDefault="004169B3" w:rsidP="00FC4CE3">
      <w:pPr>
        <w:tabs>
          <w:tab w:val="clear" w:pos="567"/>
        </w:tabs>
        <w:spacing w:line="240" w:lineRule="auto"/>
        <w:rPr>
          <w:noProof/>
          <w:szCs w:val="22"/>
        </w:rPr>
      </w:pPr>
    </w:p>
    <w:p w:rsidR="004169B3" w:rsidRPr="006E6C4E" w:rsidRDefault="004169B3" w:rsidP="00FC4CE3">
      <w:pPr>
        <w:rPr>
          <w:i/>
          <w:szCs w:val="22"/>
        </w:rPr>
      </w:pPr>
      <w:r w:rsidRPr="006E6C4E">
        <w:rPr>
          <w:i/>
          <w:szCs w:val="22"/>
        </w:rPr>
        <w:t xml:space="preserve">Príznaky </w:t>
      </w:r>
    </w:p>
    <w:p w:rsidR="004169B3" w:rsidRPr="006E6C4E" w:rsidRDefault="004169B3" w:rsidP="00FC4CE3">
      <w:pPr>
        <w:jc w:val="both"/>
        <w:rPr>
          <w:szCs w:val="22"/>
        </w:rPr>
      </w:pPr>
      <w:r w:rsidRPr="006E6C4E">
        <w:rPr>
          <w:szCs w:val="22"/>
        </w:rPr>
        <w:t>Prejavy predávkovania fentanylom sú prehĺbením jeho farmakologických účinkov, najvážnejší je  respiračná depresia.</w:t>
      </w:r>
    </w:p>
    <w:p w:rsidR="004169B3" w:rsidRPr="006E6C4E" w:rsidRDefault="004169B3" w:rsidP="00FC4CE3">
      <w:pPr>
        <w:rPr>
          <w:szCs w:val="22"/>
        </w:rPr>
      </w:pPr>
    </w:p>
    <w:p w:rsidR="004169B3" w:rsidRPr="006E6C4E" w:rsidRDefault="004169B3" w:rsidP="00FC4CE3">
      <w:pPr>
        <w:rPr>
          <w:i/>
          <w:szCs w:val="22"/>
        </w:rPr>
      </w:pPr>
      <w:r w:rsidRPr="006E6C4E">
        <w:rPr>
          <w:i/>
          <w:szCs w:val="22"/>
        </w:rPr>
        <w:t xml:space="preserve">Liečba </w:t>
      </w:r>
    </w:p>
    <w:p w:rsidR="004169B3" w:rsidRPr="006E6C4E" w:rsidRDefault="004169B3" w:rsidP="00FC4CE3">
      <w:pPr>
        <w:jc w:val="both"/>
        <w:rPr>
          <w:szCs w:val="22"/>
        </w:rPr>
      </w:pPr>
      <w:r w:rsidRPr="006E6C4E">
        <w:rPr>
          <w:szCs w:val="22"/>
        </w:rPr>
        <w:t>Pri liečbe respiračnej depresie treba zahájiť okamžité proti opatrenia, vrátane odstránenia náplasti a fyzickej alebo verbálnej stimulácie pacienta. Po týchto opatreniach môže nasledovať podanie špecifických antagonistov opioidov ako je naloxon.</w:t>
      </w:r>
    </w:p>
    <w:p w:rsidR="004169B3" w:rsidRPr="006E6C4E" w:rsidRDefault="004169B3" w:rsidP="00FC4CE3">
      <w:pPr>
        <w:rPr>
          <w:szCs w:val="22"/>
        </w:rPr>
      </w:pPr>
    </w:p>
    <w:p w:rsidR="004169B3" w:rsidRPr="006E6C4E" w:rsidRDefault="004169B3" w:rsidP="00FC4CE3">
      <w:pPr>
        <w:jc w:val="both"/>
        <w:rPr>
          <w:szCs w:val="22"/>
        </w:rPr>
      </w:pPr>
      <w:r w:rsidRPr="006E6C4E">
        <w:rPr>
          <w:szCs w:val="22"/>
        </w:rPr>
        <w:t xml:space="preserve">Respiračná depresia v dôsledku predávkovania môže pretrvávať dlhšie ako účinok opioidových antagonistov. Interval medzi podaním intravenóznych antagonistov má byť starostlivo zvážený z dôvodu možnosti vzniku re-narkotizácie po odstránení náplasti. Môže byť potrebné opakované podanie alebo kontinuálna infúzia naloxonu. Náhla zmena narkotického účinku môže spôsobiť vznik akútnej bolesti a uvoľňovanie katecholamínov. </w:t>
      </w:r>
    </w:p>
    <w:p w:rsidR="004169B3" w:rsidRPr="006E6C4E" w:rsidRDefault="004169B3" w:rsidP="00FC4CE3">
      <w:pPr>
        <w:jc w:val="both"/>
        <w:rPr>
          <w:szCs w:val="22"/>
        </w:rPr>
      </w:pPr>
      <w:r w:rsidRPr="006E6C4E">
        <w:rPr>
          <w:szCs w:val="22"/>
        </w:rPr>
        <w:t>Ak si to klinický stav vyžaduje, treba zabezpečiť priechodnosť dýchacích ciest s prípadným použitím orofaryngeálneho vzduchovodu alebo endotracheálnej kanyly, v prípade potreby podať kyslík, zabezpečiť asistovanú alebo umelú pľúcnu ventiláciu, primeranú telesnú teplotu a príjem tekutín.</w:t>
      </w:r>
    </w:p>
    <w:p w:rsidR="004169B3" w:rsidRPr="006E6C4E" w:rsidRDefault="004169B3" w:rsidP="00FC4CE3">
      <w:pPr>
        <w:jc w:val="both"/>
        <w:rPr>
          <w:szCs w:val="22"/>
        </w:rPr>
      </w:pPr>
      <w:r w:rsidRPr="006E6C4E">
        <w:rPr>
          <w:szCs w:val="22"/>
        </w:rPr>
        <w:t xml:space="preserve">Ak vznikne ťažká alebo perzistujúca hypotenzia, malo by sa uvažovať o hypovolémii a vytvoriť podmienky na vhodnú parenterálnu liečbu tekutinami.    </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noProof/>
          <w:szCs w:val="22"/>
        </w:rPr>
      </w:pPr>
      <w:r w:rsidRPr="006E6C4E">
        <w:rPr>
          <w:b/>
          <w:noProof/>
          <w:szCs w:val="22"/>
        </w:rPr>
        <w:t>5.</w:t>
      </w:r>
      <w:r w:rsidRPr="006E6C4E">
        <w:rPr>
          <w:b/>
          <w:noProof/>
          <w:szCs w:val="22"/>
        </w:rPr>
        <w:tab/>
        <w:t>FARMAKOLOGICKÉ VLASTNOSTI</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 xml:space="preserve">5.1 </w:t>
      </w:r>
      <w:r w:rsidRPr="006E6C4E">
        <w:rPr>
          <w:b/>
          <w:noProof/>
          <w:szCs w:val="22"/>
        </w:rPr>
        <w:tab/>
        <w:t>Farmakodynamické vlastnosti</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sidRPr="006E6C4E">
        <w:rPr>
          <w:szCs w:val="22"/>
        </w:rPr>
        <w:t>Farmakoterapeutická skupina: analgetikum, opioid</w:t>
      </w:r>
    </w:p>
    <w:p w:rsidR="004169B3" w:rsidRPr="006E6C4E" w:rsidRDefault="004169B3" w:rsidP="00FC4CE3">
      <w:pPr>
        <w:jc w:val="both"/>
        <w:rPr>
          <w:szCs w:val="22"/>
        </w:rPr>
      </w:pPr>
      <w:r w:rsidRPr="006E6C4E">
        <w:rPr>
          <w:szCs w:val="22"/>
        </w:rPr>
        <w:t>ATC kód: N02AB03</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Matrifen je transdermálna náplasť, ktorá kontinuálne uvoľňuje fentanyl do organizmu. Fentanyl je opioidové analgetikum s afinitou hlavne k μ-receptorom. Hlavným farmakologickým účinkom je úľava od bolesti a sedácia. U pacienta, ktorý ešte nebol liečený opioidmi sa dosiahne analgézia v koncentrácii medzi 0.3 and 1.5 ng/ml. U týchto pacientov sa frekvencia nežiaducich účinkov zvyšuje pri sérových koncentráciách nad 2 ng/ml. Obidve koncentrácie fentanylu, najnižšia účinná a koncentrácia vyvolávajúca nežiaduce účinky, sa zvyšujú vývinom zvyšujúcej sa tolerancie. Vznik tolerancie je medzi jednotlivými pacientmi značne premenlivý.      </w:t>
      </w:r>
    </w:p>
    <w:p w:rsidR="004169B3" w:rsidRPr="006E6C4E" w:rsidRDefault="004169B3" w:rsidP="00FC4CE3">
      <w:pPr>
        <w:numPr>
          <w:ilvl w:val="12"/>
          <w:numId w:val="0"/>
        </w:numPr>
        <w:ind w:right="-2"/>
        <w:rPr>
          <w:iCs/>
          <w:noProof/>
          <w:szCs w:val="22"/>
        </w:rPr>
      </w:pPr>
    </w:p>
    <w:p w:rsidR="004169B3" w:rsidRPr="006E6C4E" w:rsidRDefault="004169B3" w:rsidP="00FC4CE3">
      <w:pPr>
        <w:numPr>
          <w:ilvl w:val="12"/>
          <w:numId w:val="0"/>
        </w:numPr>
        <w:ind w:right="-2"/>
        <w:jc w:val="both"/>
        <w:rPr>
          <w:iCs/>
          <w:noProof/>
          <w:szCs w:val="22"/>
        </w:rPr>
      </w:pPr>
      <w:r w:rsidRPr="006E6C4E">
        <w:rPr>
          <w:iCs/>
          <w:noProof/>
          <w:szCs w:val="22"/>
        </w:rPr>
        <w:t xml:space="preserve">Bezpečnosť transdermálneho fentanylu sa hodnotila v troch otvorených klinických štúdiách u 293 pediatrických pacientov s chronickou bolesťou, ktorí boli vo veku od 2 do 18 rokov. 66 detí bolo vo veku od 2 do 6 rokov. V týchto štúdiách sa denná perorálna dávka morfínu 30 mg až 45 mg nahradila jednou transdermálnou fentanylovou náplasťou 12 mikrogramov/h. Vyššie dávky, počnúc 25 mikrogramov/h sa použili u 181 pacientov, ktorí dostávali dennú perorálnu dávku opioidu aspoň 45 mg morfínu. </w:t>
      </w:r>
    </w:p>
    <w:p w:rsidR="004169B3" w:rsidRPr="006E6C4E" w:rsidRDefault="004169B3" w:rsidP="00FC4CE3">
      <w:pPr>
        <w:numPr>
          <w:ilvl w:val="12"/>
          <w:numId w:val="0"/>
        </w:numPr>
        <w:ind w:right="-2"/>
        <w:rPr>
          <w:iCs/>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5.2</w:t>
      </w:r>
      <w:r w:rsidRPr="006E6C4E">
        <w:rPr>
          <w:b/>
          <w:noProof/>
          <w:szCs w:val="22"/>
        </w:rPr>
        <w:tab/>
        <w:t>Farmakokinetické vlastnosti</w:t>
      </w:r>
    </w:p>
    <w:p w:rsidR="004169B3" w:rsidRPr="006E6C4E" w:rsidRDefault="004169B3" w:rsidP="00FC4CE3">
      <w:pPr>
        <w:numPr>
          <w:ilvl w:val="12"/>
          <w:numId w:val="0"/>
        </w:numPr>
        <w:ind w:right="-2"/>
        <w:rPr>
          <w:iCs/>
          <w:noProof/>
          <w:szCs w:val="22"/>
        </w:rPr>
      </w:pPr>
    </w:p>
    <w:p w:rsidR="004169B3" w:rsidRPr="006E6C4E" w:rsidRDefault="004169B3" w:rsidP="00FC4CE3">
      <w:pPr>
        <w:jc w:val="both"/>
        <w:rPr>
          <w:szCs w:val="22"/>
        </w:rPr>
      </w:pPr>
      <w:r w:rsidRPr="006E6C4E">
        <w:rPr>
          <w:szCs w:val="22"/>
        </w:rPr>
        <w:t xml:space="preserve">Fentanylová transdermálna náplasť zabezpečuje systematický prísun dlhšie ako 72 hodín po aplikácii. </w:t>
      </w:r>
    </w:p>
    <w:p w:rsidR="004169B3" w:rsidRPr="006E6C4E" w:rsidRDefault="004169B3" w:rsidP="00FC4CE3">
      <w:pPr>
        <w:jc w:val="both"/>
        <w:rPr>
          <w:szCs w:val="22"/>
        </w:rPr>
      </w:pPr>
    </w:p>
    <w:p w:rsidR="004169B3" w:rsidRPr="006E6C4E" w:rsidRDefault="004169B3" w:rsidP="00FC4CE3">
      <w:pPr>
        <w:jc w:val="both"/>
        <w:rPr>
          <w:b/>
          <w:i/>
          <w:szCs w:val="22"/>
        </w:rPr>
      </w:pPr>
      <w:r w:rsidRPr="006E6C4E">
        <w:rPr>
          <w:i/>
          <w:szCs w:val="22"/>
        </w:rPr>
        <w:t>Absorpcia:</w:t>
      </w:r>
      <w:r w:rsidRPr="006E6C4E">
        <w:rPr>
          <w:szCs w:val="22"/>
        </w:rPr>
        <w:t xml:space="preserve"> Po prvej aplikácii náplasti sa sérová koncentrácia fentanylu postupne zvyšuje, obvykle sa hladina vyrovnáva medzi 12 a 24 hodinami a ostáva relatívne konštantná zostávajúcich 72 hodín aplikačnej periódy. Od druhej 72-hodinovej aplikácie sa dosiahne rovnovážna koncentrácia v sére a udržiava sa počas nasledujúcich aplikácií náplasti tej istej veľkosti. Absorpcia fentanylu sa na rôznych miestach aplikácie môže trochu líšiť. O niečo nižšia absorpcia (približne 25 %) fentanylu sa zaznamenala v štúdiách so zdravými dobrovoľníkmi po aplikácii náplasti na hruď v porovnaní s hornou časťou ramena a chrbta.</w:t>
      </w:r>
    </w:p>
    <w:p w:rsidR="004169B3" w:rsidRPr="006E6C4E" w:rsidRDefault="004169B3" w:rsidP="00FC4CE3">
      <w:pPr>
        <w:jc w:val="both"/>
        <w:rPr>
          <w:b/>
          <w:i/>
          <w:szCs w:val="22"/>
        </w:rPr>
      </w:pPr>
    </w:p>
    <w:p w:rsidR="004169B3" w:rsidRPr="006E6C4E" w:rsidRDefault="004169B3" w:rsidP="00FC4CE3">
      <w:pPr>
        <w:rPr>
          <w:b/>
          <w:i/>
          <w:szCs w:val="22"/>
        </w:rPr>
      </w:pPr>
      <w:r w:rsidRPr="006E6C4E">
        <w:rPr>
          <w:i/>
          <w:szCs w:val="22"/>
        </w:rPr>
        <w:t>Distribúcia:</w:t>
      </w:r>
      <w:r w:rsidRPr="006E6C4E">
        <w:rPr>
          <w:b/>
          <w:i/>
          <w:szCs w:val="22"/>
        </w:rPr>
        <w:t xml:space="preserve"> </w:t>
      </w:r>
      <w:r w:rsidRPr="006E6C4E">
        <w:rPr>
          <w:szCs w:val="22"/>
        </w:rPr>
        <w:t xml:space="preserve">84 % fentanylu sa viaže na plazmatické proteíny. </w:t>
      </w:r>
    </w:p>
    <w:p w:rsidR="004169B3" w:rsidRPr="006E6C4E" w:rsidRDefault="004169B3" w:rsidP="00FC4CE3">
      <w:pPr>
        <w:ind w:left="567"/>
        <w:rPr>
          <w:b/>
          <w:i/>
          <w:szCs w:val="22"/>
        </w:rPr>
      </w:pPr>
    </w:p>
    <w:p w:rsidR="004169B3" w:rsidRPr="006E6C4E" w:rsidRDefault="004169B3" w:rsidP="00FC4CE3">
      <w:pPr>
        <w:rPr>
          <w:b/>
          <w:i/>
          <w:spacing w:val="-3"/>
          <w:szCs w:val="22"/>
        </w:rPr>
      </w:pPr>
      <w:r w:rsidRPr="006E6C4E">
        <w:rPr>
          <w:i/>
          <w:szCs w:val="22"/>
        </w:rPr>
        <w:t>Biotransformácia:</w:t>
      </w:r>
      <w:r w:rsidRPr="006E6C4E">
        <w:rPr>
          <w:b/>
          <w:i/>
          <w:szCs w:val="22"/>
        </w:rPr>
        <w:t xml:space="preserve"> </w:t>
      </w:r>
      <w:r w:rsidRPr="006E6C4E">
        <w:rPr>
          <w:spacing w:val="-3"/>
          <w:szCs w:val="22"/>
        </w:rPr>
        <w:t xml:space="preserve">Fentanyl má lineárnu kinetiku a metabolizuje sa primárne v pečeni cez CYP3A4. Hlavným metabolitom je norfentanyl, je neaktívny. </w:t>
      </w:r>
    </w:p>
    <w:p w:rsidR="004169B3" w:rsidRPr="006E6C4E" w:rsidRDefault="004169B3" w:rsidP="00FC4CE3">
      <w:pPr>
        <w:jc w:val="both"/>
        <w:rPr>
          <w:szCs w:val="22"/>
        </w:rPr>
      </w:pPr>
    </w:p>
    <w:p w:rsidR="004169B3" w:rsidRPr="006E6C4E" w:rsidRDefault="004169B3" w:rsidP="00FC4CE3">
      <w:pPr>
        <w:jc w:val="both"/>
        <w:rPr>
          <w:szCs w:val="22"/>
        </w:rPr>
      </w:pPr>
      <w:r w:rsidRPr="006E6C4E">
        <w:rPr>
          <w:i/>
          <w:szCs w:val="22"/>
        </w:rPr>
        <w:t>Eliminácia:</w:t>
      </w:r>
      <w:r w:rsidRPr="006E6C4E">
        <w:rPr>
          <w:szCs w:val="22"/>
        </w:rPr>
        <w:t xml:space="preserve"> Po odstránení fentanylovej náplasti sérová koncentrácia fentanylu postupne klesá, približne o 50 % za 13-22 hodín u dospelých alebo 22-25 hodín u detí. Pokračujúca absorpcia fentanylu z kože prispieva k pomalšiemu úbytku liečiva zo séra, v porovnaní s intravenóznou infúziou. Približne 75 % fentanylu sa vylučuje do </w:t>
      </w:r>
      <w:r>
        <w:rPr>
          <w:szCs w:val="22"/>
        </w:rPr>
        <w:t>moču</w:t>
      </w:r>
      <w:r w:rsidRPr="006E6C4E">
        <w:rPr>
          <w:szCs w:val="22"/>
        </w:rPr>
        <w:t xml:space="preserve">, väčšinou ako metabolity, s menej ako 10 % nezmenenej látky. Okolo 9 % dávky sa nachádza v stolici, hlavne ako metabolity. </w:t>
      </w:r>
    </w:p>
    <w:p w:rsidR="004169B3" w:rsidRPr="006E6C4E" w:rsidRDefault="004169B3" w:rsidP="00FC4CE3">
      <w:pPr>
        <w:rPr>
          <w:szCs w:val="22"/>
          <w:u w:val="single"/>
        </w:rPr>
      </w:pPr>
    </w:p>
    <w:p w:rsidR="004169B3" w:rsidRPr="006E6C4E" w:rsidRDefault="004169B3" w:rsidP="00FC4CE3">
      <w:pPr>
        <w:pStyle w:val="Heading8"/>
        <w:ind w:left="0" w:firstLine="0"/>
        <w:rPr>
          <w:b w:val="0"/>
          <w:szCs w:val="22"/>
        </w:rPr>
      </w:pPr>
      <w:r w:rsidRPr="006E6C4E">
        <w:rPr>
          <w:b w:val="0"/>
          <w:szCs w:val="22"/>
        </w:rPr>
        <w:t xml:space="preserve">Farmakokinetika u špeciálnych skupín </w:t>
      </w:r>
    </w:p>
    <w:p w:rsidR="004169B3" w:rsidRPr="006E6C4E" w:rsidRDefault="004169B3" w:rsidP="00FC4CE3">
      <w:pPr>
        <w:numPr>
          <w:ilvl w:val="12"/>
          <w:numId w:val="0"/>
        </w:numPr>
        <w:ind w:right="-2"/>
        <w:jc w:val="both"/>
        <w:rPr>
          <w:szCs w:val="22"/>
        </w:rPr>
      </w:pPr>
      <w:r w:rsidRPr="006E6C4E">
        <w:rPr>
          <w:szCs w:val="22"/>
        </w:rPr>
        <w:t>Poškodenie funkcie pečene alebo obličiek môže zapríčiniť zvýšené sérové koncentrácie. Starší, kachektickí, alebo celkovo poškodení pacienti môžu mať nižší klírens fentanylu, čo môže spôsobiť dlhší terminálny polčas zlúčeniny (časť 4.2 a 4.4).</w:t>
      </w:r>
    </w:p>
    <w:p w:rsidR="004169B3" w:rsidRPr="006E6C4E" w:rsidRDefault="004169B3" w:rsidP="00FC4CE3">
      <w:pPr>
        <w:numPr>
          <w:ilvl w:val="12"/>
          <w:numId w:val="0"/>
        </w:numPr>
        <w:ind w:right="-2"/>
        <w:rPr>
          <w:szCs w:val="22"/>
        </w:rPr>
      </w:pPr>
    </w:p>
    <w:p w:rsidR="004169B3" w:rsidRPr="006E6C4E" w:rsidRDefault="004169B3" w:rsidP="00FC4CE3">
      <w:pPr>
        <w:numPr>
          <w:ilvl w:val="12"/>
          <w:numId w:val="0"/>
        </w:numPr>
        <w:ind w:right="-2"/>
        <w:rPr>
          <w:i/>
          <w:szCs w:val="22"/>
        </w:rPr>
      </w:pPr>
      <w:r w:rsidRPr="006E6C4E">
        <w:rPr>
          <w:i/>
          <w:szCs w:val="22"/>
        </w:rPr>
        <w:t>Deti</w:t>
      </w:r>
    </w:p>
    <w:p w:rsidR="004169B3" w:rsidRPr="006E6C4E" w:rsidRDefault="004169B3" w:rsidP="00FC4CE3">
      <w:pPr>
        <w:numPr>
          <w:ilvl w:val="12"/>
          <w:numId w:val="0"/>
        </w:numPr>
        <w:ind w:right="-2"/>
        <w:jc w:val="both"/>
        <w:rPr>
          <w:szCs w:val="22"/>
        </w:rPr>
      </w:pPr>
      <w:r w:rsidRPr="006E6C4E">
        <w:rPr>
          <w:szCs w:val="22"/>
        </w:rPr>
        <w:t xml:space="preserve">Po prepočítaní na telesnú hmotnosť je klírens (l/h/kg) u pediatrických pacientov vo veku 2 až 5 rokov vyšší o 82 % a u detí vo veku 6 až 10 rokov vyšší o 25 % pri porovnaní s deťmi vo veku 11 až 16 rokov, ktoré majú pravdepodobne rovnaký klírens ako dospelí. Tieto zistenia je potrebné vziať do úvahy pri stanovení odporučenej dávky pre pediatrických pacientov. </w:t>
      </w:r>
    </w:p>
    <w:p w:rsidR="004169B3" w:rsidRPr="006E6C4E" w:rsidRDefault="004169B3" w:rsidP="00FC4CE3">
      <w:pPr>
        <w:numPr>
          <w:ilvl w:val="12"/>
          <w:numId w:val="0"/>
        </w:numPr>
        <w:ind w:right="-2"/>
        <w:rPr>
          <w:iCs/>
          <w:noProof/>
          <w:szCs w:val="22"/>
        </w:rPr>
      </w:pPr>
    </w:p>
    <w:p w:rsidR="004169B3" w:rsidRPr="006E6C4E" w:rsidRDefault="004169B3" w:rsidP="00FC4CE3">
      <w:pPr>
        <w:numPr>
          <w:ilvl w:val="1"/>
          <w:numId w:val="4"/>
          <w:numberingChange w:id="4" w:author="Unknown" w:date="2012-06-15T12:26:00Z" w:original="%1:5:0:.%2:3:0:"/>
        </w:numPr>
        <w:spacing w:line="240" w:lineRule="auto"/>
        <w:outlineLvl w:val="0"/>
        <w:rPr>
          <w:b/>
          <w:szCs w:val="22"/>
        </w:rPr>
      </w:pPr>
      <w:r w:rsidRPr="006E6C4E">
        <w:rPr>
          <w:b/>
          <w:szCs w:val="22"/>
        </w:rPr>
        <w:t>Predklinické údaje o bezpečnosti</w:t>
      </w:r>
    </w:p>
    <w:p w:rsidR="004169B3" w:rsidRPr="006E6C4E" w:rsidRDefault="004169B3" w:rsidP="00FC4CE3">
      <w:pPr>
        <w:tabs>
          <w:tab w:val="clear" w:pos="567"/>
        </w:tabs>
        <w:spacing w:line="240" w:lineRule="auto"/>
        <w:outlineLvl w:val="0"/>
        <w:rPr>
          <w:noProof/>
          <w:szCs w:val="22"/>
        </w:rPr>
      </w:pPr>
    </w:p>
    <w:p w:rsidR="004169B3" w:rsidRPr="006E6C4E" w:rsidRDefault="004169B3" w:rsidP="00FC4CE3">
      <w:pPr>
        <w:jc w:val="both"/>
        <w:rPr>
          <w:szCs w:val="22"/>
        </w:rPr>
      </w:pPr>
      <w:r w:rsidRPr="006E6C4E">
        <w:rPr>
          <w:szCs w:val="22"/>
        </w:rPr>
        <w:t>Predklinické údaje na základe obvyklých štúdií farmakologickej bezpečnosti, toxicity po opakovanom podávaní, genotoxicity neodhalili žiadne osobitné riziko pre ľudí.</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Štúdie na zvieratách preukázali zníženú fertilitu a zvýšenú mortalitu plodov u potkanov. Teratogénne účinky sa však nedokázali. </w:t>
      </w:r>
    </w:p>
    <w:p w:rsidR="004169B3" w:rsidRPr="006E6C4E" w:rsidRDefault="004169B3" w:rsidP="00FC4CE3">
      <w:pPr>
        <w:rPr>
          <w:szCs w:val="22"/>
        </w:rPr>
      </w:pPr>
    </w:p>
    <w:p w:rsidR="004169B3" w:rsidRPr="006E6C4E" w:rsidRDefault="004169B3" w:rsidP="00FC4CE3">
      <w:pPr>
        <w:jc w:val="both"/>
        <w:rPr>
          <w:szCs w:val="22"/>
        </w:rPr>
      </w:pPr>
      <w:r w:rsidRPr="006E6C4E">
        <w:rPr>
          <w:szCs w:val="22"/>
        </w:rPr>
        <w:t xml:space="preserve">Testy mutagenity na baktériách a hlodavcoch boli negatívne. Rovnako ako iné opioidy, mal fentanyl mutagénne účinky </w:t>
      </w:r>
      <w:r w:rsidRPr="006E6C4E">
        <w:rPr>
          <w:i/>
          <w:szCs w:val="22"/>
        </w:rPr>
        <w:t>in vitro</w:t>
      </w:r>
      <w:r w:rsidRPr="006E6C4E">
        <w:rPr>
          <w:szCs w:val="22"/>
        </w:rPr>
        <w:t xml:space="preserve"> na cicavčích bunkách. Riziko mutagenity za terapeutických podmienok sa zdá byť nepravdepodobné, pretože účinok bol indukovaný len u veľmi vysokých koncentrácií.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 xml:space="preserve">Dlhodobé štúdie kancerogenity sa nevykonali. </w:t>
      </w:r>
    </w:p>
    <w:p w:rsidR="004169B3" w:rsidRPr="006E6C4E" w:rsidRDefault="004169B3" w:rsidP="00FC4CE3">
      <w:pPr>
        <w:tabs>
          <w:tab w:val="clear" w:pos="567"/>
        </w:tabs>
        <w:spacing w:line="240" w:lineRule="auto"/>
        <w:ind w:left="567" w:hanging="567"/>
        <w:outlineLvl w:val="0"/>
        <w:rPr>
          <w:b/>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noProof/>
          <w:szCs w:val="22"/>
        </w:rPr>
        <w:t xml:space="preserve">Nie sú dostupné údaje o bezpečnosti a farmakokinetike pre iné mieta aplikácie. </w:t>
      </w:r>
    </w:p>
    <w:p w:rsidR="004169B3" w:rsidRPr="006E6C4E" w:rsidRDefault="004169B3" w:rsidP="00FC4CE3">
      <w:pPr>
        <w:tabs>
          <w:tab w:val="clear" w:pos="567"/>
        </w:tabs>
        <w:spacing w:line="240" w:lineRule="auto"/>
        <w:ind w:left="567" w:hanging="567"/>
        <w:outlineLvl w:val="0"/>
        <w:rPr>
          <w:b/>
          <w:noProof/>
          <w:szCs w:val="22"/>
        </w:rPr>
      </w:pPr>
    </w:p>
    <w:p w:rsidR="004169B3" w:rsidRPr="006E6C4E" w:rsidRDefault="004169B3" w:rsidP="00FC4CE3">
      <w:pPr>
        <w:tabs>
          <w:tab w:val="clear" w:pos="567"/>
        </w:tabs>
        <w:rPr>
          <w:noProof/>
          <w:szCs w:val="22"/>
        </w:rPr>
      </w:pPr>
    </w:p>
    <w:p w:rsidR="004169B3" w:rsidRPr="006E6C4E" w:rsidRDefault="004169B3" w:rsidP="00FC4CE3">
      <w:pPr>
        <w:tabs>
          <w:tab w:val="clear" w:pos="567"/>
        </w:tabs>
        <w:spacing w:line="240" w:lineRule="auto"/>
        <w:ind w:left="567" w:hanging="567"/>
        <w:rPr>
          <w:b/>
          <w:noProof/>
          <w:szCs w:val="22"/>
        </w:rPr>
      </w:pPr>
      <w:r w:rsidRPr="006E6C4E">
        <w:rPr>
          <w:b/>
          <w:noProof/>
          <w:szCs w:val="22"/>
        </w:rPr>
        <w:t>6.</w:t>
      </w:r>
      <w:r w:rsidRPr="006E6C4E">
        <w:rPr>
          <w:b/>
          <w:noProof/>
          <w:szCs w:val="22"/>
        </w:rPr>
        <w:tab/>
        <w:t>FARMACEUTICKÉ INFORMÁCIE</w:t>
      </w:r>
    </w:p>
    <w:p w:rsidR="004169B3" w:rsidRPr="006E6C4E" w:rsidRDefault="004169B3" w:rsidP="00FC4CE3">
      <w:pPr>
        <w:tabs>
          <w:tab w:val="clear" w:pos="567"/>
        </w:tabs>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6.1</w:t>
      </w:r>
      <w:r w:rsidRPr="006E6C4E">
        <w:rPr>
          <w:b/>
          <w:noProof/>
          <w:szCs w:val="22"/>
        </w:rPr>
        <w:tab/>
        <w:t>Zoznam pomocných látok</w:t>
      </w:r>
    </w:p>
    <w:p w:rsidR="004169B3" w:rsidRPr="006E6C4E" w:rsidRDefault="004169B3" w:rsidP="00FC4CE3">
      <w:pPr>
        <w:tabs>
          <w:tab w:val="clear" w:pos="567"/>
        </w:tabs>
        <w:spacing w:line="240" w:lineRule="auto"/>
        <w:rPr>
          <w:iCs/>
          <w:noProof/>
          <w:szCs w:val="22"/>
        </w:rPr>
      </w:pPr>
    </w:p>
    <w:p w:rsidR="004169B3" w:rsidRPr="006E6C4E" w:rsidRDefault="004169B3" w:rsidP="00FC4CE3">
      <w:pPr>
        <w:jc w:val="both"/>
        <w:rPr>
          <w:szCs w:val="22"/>
        </w:rPr>
      </w:pPr>
      <w:r w:rsidRPr="006E6C4E">
        <w:rPr>
          <w:szCs w:val="22"/>
        </w:rPr>
        <w:t xml:space="preserve">dipropylénglykol, hyprolóza, dimetikón, upravený </w:t>
      </w:r>
      <w:r w:rsidRPr="006E6C4E">
        <w:t>adhezívny silikón</w:t>
      </w:r>
      <w:r w:rsidRPr="006E6C4E">
        <w:rPr>
          <w:szCs w:val="22"/>
        </w:rPr>
        <w:t xml:space="preserve"> (rezistentný voči amínom), uvoľňovacia membrána [kopolymér ethylénu s vinyl-acetátom (EVA)], ochranná fólia [vápenatá soľ petogerátu (PET)], ochranná fólia [fluórovaná priepustná membrána], atrament </w:t>
      </w:r>
    </w:p>
    <w:p w:rsidR="004169B3" w:rsidRPr="006E6C4E" w:rsidRDefault="004169B3" w:rsidP="00FC4CE3">
      <w:pPr>
        <w:tabs>
          <w:tab w:val="clear" w:pos="567"/>
        </w:tabs>
        <w:spacing w:line="240" w:lineRule="auto"/>
        <w:rPr>
          <w:iCs/>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6.2</w:t>
      </w:r>
      <w:r w:rsidRPr="006E6C4E">
        <w:rPr>
          <w:b/>
          <w:noProof/>
          <w:szCs w:val="22"/>
        </w:rPr>
        <w:tab/>
        <w:t>Inkompatibility</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sidRPr="006E6C4E">
        <w:rPr>
          <w:szCs w:val="22"/>
        </w:rPr>
        <w:t>Aby sa zabezpečili primerané adhezívne vlastnosti Matrifenu, na miesto aplikácie náplasti sa nemajú na kožu nanášať žiadne krémy, oleje, pleťová kozmetika a púdre.</w:t>
      </w:r>
    </w:p>
    <w:p w:rsidR="004169B3" w:rsidRPr="006E6C4E" w:rsidRDefault="004169B3" w:rsidP="00FC4CE3">
      <w:pPr>
        <w:jc w:val="both"/>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6.3</w:t>
      </w:r>
      <w:r w:rsidRPr="006E6C4E">
        <w:rPr>
          <w:b/>
          <w:noProof/>
          <w:szCs w:val="22"/>
        </w:rPr>
        <w:tab/>
        <w:t>Čas použiteľnosti</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Pr>
          <w:szCs w:val="22"/>
        </w:rPr>
        <w:t>3</w:t>
      </w:r>
      <w:r w:rsidRPr="006E6C4E">
        <w:rPr>
          <w:szCs w:val="22"/>
        </w:rPr>
        <w:t xml:space="preserve"> roky</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outlineLvl w:val="0"/>
        <w:rPr>
          <w:noProof/>
          <w:szCs w:val="22"/>
        </w:rPr>
      </w:pPr>
      <w:r w:rsidRPr="006E6C4E">
        <w:rPr>
          <w:b/>
          <w:noProof/>
          <w:szCs w:val="22"/>
        </w:rPr>
        <w:t>6.4</w:t>
      </w:r>
      <w:r w:rsidRPr="006E6C4E">
        <w:rPr>
          <w:b/>
          <w:noProof/>
          <w:szCs w:val="22"/>
        </w:rPr>
        <w:tab/>
        <w:t>Špeciálne upozornenia na uchovávanie</w:t>
      </w:r>
    </w:p>
    <w:p w:rsidR="004169B3" w:rsidRPr="006E6C4E" w:rsidRDefault="004169B3" w:rsidP="00FC4CE3">
      <w:pPr>
        <w:tabs>
          <w:tab w:val="clear" w:pos="567"/>
        </w:tabs>
        <w:spacing w:line="240" w:lineRule="auto"/>
        <w:rPr>
          <w:noProof/>
          <w:szCs w:val="22"/>
        </w:rPr>
      </w:pPr>
    </w:p>
    <w:p w:rsidR="004169B3" w:rsidRPr="006E6C4E" w:rsidRDefault="004169B3" w:rsidP="00FC4CE3">
      <w:pPr>
        <w:jc w:val="both"/>
        <w:rPr>
          <w:szCs w:val="22"/>
        </w:rPr>
      </w:pPr>
      <w:r w:rsidRPr="006E6C4E">
        <w:rPr>
          <w:szCs w:val="22"/>
        </w:rPr>
        <w:t>Tento liek nevyžaduje žiadne zvláštne podmienky na uchovávanie.</w:t>
      </w:r>
    </w:p>
    <w:p w:rsidR="004169B3" w:rsidRPr="006E6C4E" w:rsidRDefault="004169B3" w:rsidP="00FC4CE3">
      <w:pPr>
        <w:tabs>
          <w:tab w:val="clear" w:pos="567"/>
        </w:tabs>
        <w:spacing w:line="240" w:lineRule="auto"/>
        <w:rPr>
          <w:noProof/>
          <w:szCs w:val="22"/>
        </w:rPr>
      </w:pPr>
    </w:p>
    <w:p w:rsidR="004169B3" w:rsidRPr="006E6C4E" w:rsidRDefault="004169B3" w:rsidP="00FC4CE3">
      <w:pPr>
        <w:numPr>
          <w:ilvl w:val="1"/>
          <w:numId w:val="2"/>
          <w:numberingChange w:id="5" w:author="Unknown" w:date="2012-06-15T12:26:00Z" w:original="%1:6:0:.%2:5:0:"/>
        </w:numPr>
        <w:spacing w:line="240" w:lineRule="auto"/>
        <w:outlineLvl w:val="0"/>
        <w:rPr>
          <w:b/>
          <w:noProof/>
          <w:szCs w:val="22"/>
        </w:rPr>
      </w:pPr>
      <w:r w:rsidRPr="006E6C4E">
        <w:rPr>
          <w:b/>
          <w:noProof/>
          <w:szCs w:val="22"/>
        </w:rPr>
        <w:t>Druh obalu a obsah balenia</w:t>
      </w:r>
    </w:p>
    <w:p w:rsidR="004169B3" w:rsidRPr="006E6C4E" w:rsidRDefault="004169B3" w:rsidP="00FC4CE3">
      <w:pPr>
        <w:tabs>
          <w:tab w:val="clear" w:pos="567"/>
        </w:tabs>
        <w:spacing w:line="240" w:lineRule="auto"/>
        <w:rPr>
          <w:iCs/>
          <w:noProof/>
          <w:szCs w:val="22"/>
        </w:rPr>
      </w:pPr>
    </w:p>
    <w:p w:rsidR="004169B3" w:rsidRPr="006E6C4E" w:rsidRDefault="004169B3" w:rsidP="00FC4CE3">
      <w:pPr>
        <w:rPr>
          <w:szCs w:val="22"/>
        </w:rPr>
      </w:pPr>
      <w:r w:rsidRPr="006E6C4E">
        <w:rPr>
          <w:szCs w:val="22"/>
        </w:rPr>
        <w:t xml:space="preserve">Každá náplasť je zabalená v  teplom zlepenom vrecku vyrobenom z papiera, hliníka a polyakrylonitrilu (PAN).  </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Veľkosť balenia:</w:t>
      </w:r>
    </w:p>
    <w:p w:rsidR="004169B3" w:rsidRPr="006E6C4E" w:rsidRDefault="004169B3" w:rsidP="00FC4CE3">
      <w:pPr>
        <w:jc w:val="both"/>
        <w:rPr>
          <w:szCs w:val="22"/>
        </w:rPr>
      </w:pPr>
      <w:r w:rsidRPr="006E6C4E">
        <w:rPr>
          <w:szCs w:val="22"/>
        </w:rPr>
        <w:t>1 náplasť, 2, 3, 4 náplasti, 5 náplastí, 10, 16 a 20 náplastí</w:t>
      </w:r>
    </w:p>
    <w:p w:rsidR="004169B3" w:rsidRPr="006E6C4E" w:rsidRDefault="004169B3" w:rsidP="00FC4CE3">
      <w:pPr>
        <w:jc w:val="both"/>
        <w:rPr>
          <w:szCs w:val="22"/>
        </w:rPr>
      </w:pPr>
      <w:r w:rsidRPr="006E6C4E">
        <w:rPr>
          <w:szCs w:val="22"/>
        </w:rPr>
        <w:t xml:space="preserve">Nie všetky veľkosti balenia musia byť uvedené na trh. </w:t>
      </w:r>
    </w:p>
    <w:p w:rsidR="004169B3" w:rsidRPr="006E6C4E" w:rsidRDefault="004169B3" w:rsidP="00FC4CE3">
      <w:pPr>
        <w:jc w:val="both"/>
        <w:rPr>
          <w:noProof/>
          <w:szCs w:val="22"/>
        </w:rPr>
      </w:pPr>
    </w:p>
    <w:p w:rsidR="004169B3" w:rsidRPr="006E6C4E" w:rsidRDefault="004169B3" w:rsidP="00FC4CE3">
      <w:pPr>
        <w:jc w:val="both"/>
        <w:rPr>
          <w:b/>
          <w:noProof/>
          <w:szCs w:val="22"/>
        </w:rPr>
      </w:pPr>
      <w:r w:rsidRPr="006E6C4E">
        <w:rPr>
          <w:b/>
          <w:noProof/>
          <w:szCs w:val="22"/>
        </w:rPr>
        <w:t>6.6</w:t>
      </w:r>
      <w:r w:rsidRPr="006E6C4E">
        <w:rPr>
          <w:b/>
          <w:noProof/>
          <w:szCs w:val="22"/>
        </w:rPr>
        <w:tab/>
      </w:r>
      <w:r w:rsidRPr="006E6C4E">
        <w:rPr>
          <w:b/>
          <w:bCs/>
          <w:color w:val="000000"/>
        </w:rPr>
        <w:t>Špeciálne opatrenia na likvidáciu a iné zaobchádzanie s liekom</w:t>
      </w:r>
      <w:r w:rsidRPr="006E6C4E" w:rsidDel="00852C61">
        <w:rPr>
          <w:b/>
          <w:noProof/>
          <w:szCs w:val="22"/>
        </w:rPr>
        <w:t xml:space="preserve"> </w:t>
      </w:r>
    </w:p>
    <w:p w:rsidR="004169B3" w:rsidRPr="006E6C4E" w:rsidRDefault="004169B3" w:rsidP="00FC4CE3">
      <w:pPr>
        <w:jc w:val="both"/>
        <w:rPr>
          <w:noProof/>
          <w:szCs w:val="22"/>
        </w:rPr>
      </w:pPr>
    </w:p>
    <w:p w:rsidR="004169B3" w:rsidRPr="006E6C4E" w:rsidRDefault="004169B3" w:rsidP="00FC4CE3">
      <w:pPr>
        <w:jc w:val="both"/>
        <w:rPr>
          <w:szCs w:val="22"/>
        </w:rPr>
      </w:pPr>
      <w:r w:rsidRPr="006E6C4E">
        <w:rPr>
          <w:szCs w:val="22"/>
        </w:rPr>
        <w:t>Pozri časť 4.2 Dávkovanie a spôsob podávania. Nie sú k dispozícii žiadne údaje o bezpečnosti, ani farmakokinetické údaje o iných miestach aplikácie náplasti.</w:t>
      </w:r>
    </w:p>
    <w:p w:rsidR="004169B3" w:rsidRPr="006E6C4E" w:rsidRDefault="004169B3" w:rsidP="00FC4CE3">
      <w:pPr>
        <w:jc w:val="both"/>
        <w:rPr>
          <w:szCs w:val="22"/>
        </w:rPr>
      </w:pPr>
    </w:p>
    <w:p w:rsidR="004169B3" w:rsidRPr="006E6C4E" w:rsidRDefault="004169B3" w:rsidP="00FC4CE3">
      <w:pPr>
        <w:jc w:val="both"/>
        <w:rPr>
          <w:szCs w:val="22"/>
        </w:rPr>
      </w:pPr>
      <w:r w:rsidRPr="006E6C4E">
        <w:rPr>
          <w:szCs w:val="22"/>
        </w:rPr>
        <w:t>V transdermálnych náplastiach zostávajú veľké množstvá fentanylu aj po použití. Použité náplasti sa musia zložiť adhezívnym povrchom k sebe, tak, aby uvoľňovacia membrána nebola viditeľná, kvôli bezpečnosti a z ekologických dôvodov má byť zlikvidovaný podľa národných požiadaviek alebo sa vráti do lekárne. Nepoužitý liek má byť zlikvidovaný v súlade s národnými požiadavkami alebo vrátený do lekárne.</w:t>
      </w:r>
    </w:p>
    <w:p w:rsidR="004169B3" w:rsidRPr="006E6C4E" w:rsidRDefault="004169B3" w:rsidP="00FC4CE3">
      <w:pPr>
        <w:tabs>
          <w:tab w:val="clear" w:pos="567"/>
        </w:tabs>
        <w:spacing w:line="240" w:lineRule="auto"/>
        <w:rPr>
          <w:szCs w:val="22"/>
        </w:rPr>
      </w:pPr>
    </w:p>
    <w:p w:rsidR="004169B3" w:rsidRPr="006E6C4E" w:rsidRDefault="004169B3" w:rsidP="00FC4CE3">
      <w:pPr>
        <w:tabs>
          <w:tab w:val="clear" w:pos="567"/>
        </w:tabs>
        <w:spacing w:line="240" w:lineRule="auto"/>
        <w:rPr>
          <w:noProof/>
          <w:szCs w:val="22"/>
        </w:rPr>
      </w:pPr>
      <w:r w:rsidRPr="006E6C4E">
        <w:rPr>
          <w:noProof/>
          <w:szCs w:val="22"/>
        </w:rPr>
        <w:t xml:space="preserve">Po aplikácii a odstránení náplaste je potrebné ruky umyť vo vode. </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noProof/>
          <w:szCs w:val="22"/>
        </w:rPr>
      </w:pPr>
      <w:r w:rsidRPr="006E6C4E">
        <w:rPr>
          <w:b/>
          <w:noProof/>
          <w:szCs w:val="22"/>
        </w:rPr>
        <w:t>7.</w:t>
      </w:r>
      <w:r w:rsidRPr="006E6C4E">
        <w:rPr>
          <w:b/>
          <w:noProof/>
          <w:szCs w:val="22"/>
        </w:rPr>
        <w:tab/>
        <w:t>DRŽITEĽ ROZHODNUTIA O REGISTRÁCII</w:t>
      </w:r>
    </w:p>
    <w:p w:rsidR="004169B3" w:rsidRPr="006E6C4E" w:rsidRDefault="004169B3" w:rsidP="00FC4CE3">
      <w:pPr>
        <w:tabs>
          <w:tab w:val="clear" w:pos="567"/>
        </w:tabs>
        <w:spacing w:line="240" w:lineRule="auto"/>
        <w:rPr>
          <w:noProof/>
          <w:szCs w:val="22"/>
        </w:rPr>
      </w:pPr>
    </w:p>
    <w:p w:rsidR="004169B3" w:rsidRPr="006E6C4E" w:rsidRDefault="004169B3" w:rsidP="00FC4CE3">
      <w:pPr>
        <w:pStyle w:val="HTMLPreformatted"/>
        <w:rPr>
          <w:rFonts w:ascii="Times New Roman" w:hAnsi="Times New Roman" w:cs="Times New Roman"/>
          <w:sz w:val="22"/>
          <w:szCs w:val="22"/>
        </w:rPr>
      </w:pPr>
      <w:r w:rsidRPr="006E6C4E">
        <w:rPr>
          <w:rFonts w:ascii="Times New Roman" w:hAnsi="Times New Roman" w:cs="Times New Roman"/>
          <w:sz w:val="22"/>
          <w:szCs w:val="22"/>
        </w:rPr>
        <w:t>Nycomed Danmark ApS</w:t>
      </w:r>
    </w:p>
    <w:p w:rsidR="004169B3" w:rsidRPr="006E6C4E" w:rsidRDefault="004169B3" w:rsidP="00FC4CE3">
      <w:pPr>
        <w:pStyle w:val="HTMLPreformatted"/>
        <w:rPr>
          <w:rFonts w:ascii="Times New Roman" w:hAnsi="Times New Roman" w:cs="Times New Roman"/>
          <w:sz w:val="22"/>
          <w:szCs w:val="22"/>
        </w:rPr>
      </w:pPr>
      <w:r w:rsidRPr="006E6C4E">
        <w:rPr>
          <w:rFonts w:ascii="Times New Roman" w:hAnsi="Times New Roman" w:cs="Times New Roman"/>
          <w:sz w:val="22"/>
          <w:szCs w:val="22"/>
        </w:rPr>
        <w:t>Langebjerg 1</w:t>
      </w:r>
    </w:p>
    <w:p w:rsidR="004169B3" w:rsidRPr="006E6C4E" w:rsidRDefault="004169B3" w:rsidP="00FC4CE3">
      <w:pPr>
        <w:pStyle w:val="HTMLPreformatted"/>
        <w:rPr>
          <w:rFonts w:ascii="Times New Roman" w:hAnsi="Times New Roman" w:cs="Times New Roman"/>
          <w:sz w:val="22"/>
          <w:szCs w:val="22"/>
        </w:rPr>
      </w:pPr>
      <w:r w:rsidRPr="006E6C4E">
        <w:rPr>
          <w:rFonts w:ascii="Times New Roman" w:hAnsi="Times New Roman" w:cs="Times New Roman"/>
          <w:sz w:val="22"/>
          <w:szCs w:val="22"/>
        </w:rPr>
        <w:t>DK-4000 Roskilde</w:t>
      </w:r>
    </w:p>
    <w:p w:rsidR="004169B3" w:rsidRPr="006E6C4E" w:rsidRDefault="004169B3" w:rsidP="00FC4CE3">
      <w:pPr>
        <w:pStyle w:val="HTMLPreformatted"/>
        <w:rPr>
          <w:rFonts w:ascii="Times New Roman" w:hAnsi="Times New Roman" w:cs="Times New Roman"/>
          <w:sz w:val="22"/>
          <w:szCs w:val="22"/>
        </w:rPr>
      </w:pPr>
      <w:r w:rsidRPr="006E6C4E">
        <w:rPr>
          <w:rFonts w:ascii="Times New Roman" w:hAnsi="Times New Roman" w:cs="Times New Roman"/>
          <w:sz w:val="22"/>
          <w:szCs w:val="22"/>
        </w:rPr>
        <w:t>Denmark</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b/>
          <w:noProof/>
          <w:szCs w:val="22"/>
        </w:rPr>
      </w:pPr>
      <w:r w:rsidRPr="006E6C4E">
        <w:rPr>
          <w:b/>
          <w:noProof/>
          <w:szCs w:val="22"/>
        </w:rPr>
        <w:t>8.</w:t>
      </w:r>
      <w:r w:rsidRPr="006E6C4E">
        <w:rPr>
          <w:b/>
          <w:noProof/>
          <w:szCs w:val="22"/>
        </w:rPr>
        <w:tab/>
        <w:t>REGISTRAČNÉ ČÍSLA</w:t>
      </w:r>
    </w:p>
    <w:p w:rsidR="004169B3" w:rsidRPr="006E6C4E" w:rsidRDefault="004169B3" w:rsidP="00FC4CE3">
      <w:pPr>
        <w:tabs>
          <w:tab w:val="clear" w:pos="567"/>
        </w:tabs>
        <w:spacing w:line="240" w:lineRule="auto"/>
        <w:rPr>
          <w:noProof/>
          <w:szCs w:val="22"/>
        </w:rPr>
      </w:pPr>
    </w:p>
    <w:p w:rsidR="004169B3" w:rsidRPr="006E6C4E" w:rsidRDefault="004169B3" w:rsidP="00FC4CE3">
      <w:pPr>
        <w:ind w:left="567" w:hanging="567"/>
        <w:rPr>
          <w:szCs w:val="24"/>
        </w:rPr>
      </w:pPr>
      <w:r w:rsidRPr="006E6C4E">
        <w:rPr>
          <w:szCs w:val="24"/>
        </w:rPr>
        <w:t xml:space="preserve">Matrifen 12 </w:t>
      </w:r>
      <w:r w:rsidRPr="006E6C4E">
        <w:rPr>
          <w:szCs w:val="22"/>
        </w:rPr>
        <w:t>µg</w:t>
      </w:r>
      <w:r w:rsidRPr="006E6C4E">
        <w:rPr>
          <w:szCs w:val="24"/>
        </w:rPr>
        <w:t xml:space="preserve"> : 65/0377/06-S</w:t>
      </w:r>
    </w:p>
    <w:p w:rsidR="004169B3" w:rsidRPr="006E6C4E" w:rsidRDefault="004169B3" w:rsidP="00FC4CE3">
      <w:pPr>
        <w:ind w:left="567" w:hanging="567"/>
        <w:rPr>
          <w:szCs w:val="24"/>
        </w:rPr>
      </w:pPr>
      <w:r w:rsidRPr="006E6C4E">
        <w:rPr>
          <w:szCs w:val="24"/>
        </w:rPr>
        <w:t xml:space="preserve">Matrifen 25 </w:t>
      </w:r>
      <w:r w:rsidRPr="006E6C4E">
        <w:rPr>
          <w:szCs w:val="22"/>
        </w:rPr>
        <w:t xml:space="preserve">µg </w:t>
      </w:r>
      <w:r w:rsidRPr="006E6C4E">
        <w:rPr>
          <w:szCs w:val="24"/>
        </w:rPr>
        <w:t>: 65/0378/06-S</w:t>
      </w:r>
    </w:p>
    <w:p w:rsidR="004169B3" w:rsidRPr="006E6C4E" w:rsidRDefault="004169B3" w:rsidP="00FC4CE3">
      <w:pPr>
        <w:ind w:left="567" w:hanging="567"/>
        <w:rPr>
          <w:szCs w:val="24"/>
        </w:rPr>
      </w:pPr>
      <w:r w:rsidRPr="006E6C4E">
        <w:rPr>
          <w:szCs w:val="24"/>
        </w:rPr>
        <w:t xml:space="preserve">Matrifen 50 </w:t>
      </w:r>
      <w:r w:rsidRPr="006E6C4E">
        <w:rPr>
          <w:szCs w:val="22"/>
        </w:rPr>
        <w:t xml:space="preserve">µg </w:t>
      </w:r>
      <w:r w:rsidRPr="006E6C4E">
        <w:rPr>
          <w:szCs w:val="24"/>
        </w:rPr>
        <w:t>: 65/0379/06-S</w:t>
      </w:r>
    </w:p>
    <w:p w:rsidR="004169B3" w:rsidRPr="006E6C4E" w:rsidRDefault="004169B3" w:rsidP="00FC4CE3">
      <w:pPr>
        <w:ind w:left="567" w:hanging="567"/>
        <w:rPr>
          <w:szCs w:val="24"/>
        </w:rPr>
      </w:pPr>
      <w:r w:rsidRPr="006E6C4E">
        <w:rPr>
          <w:szCs w:val="24"/>
        </w:rPr>
        <w:t xml:space="preserve">Matrifen 75 </w:t>
      </w:r>
      <w:r w:rsidRPr="006E6C4E">
        <w:rPr>
          <w:szCs w:val="22"/>
        </w:rPr>
        <w:t xml:space="preserve">µg </w:t>
      </w:r>
      <w:r w:rsidRPr="006E6C4E">
        <w:rPr>
          <w:szCs w:val="24"/>
        </w:rPr>
        <w:t>: 65/0380/06-S</w:t>
      </w:r>
    </w:p>
    <w:p w:rsidR="004169B3" w:rsidRPr="006E6C4E" w:rsidRDefault="004169B3" w:rsidP="00FC4CE3">
      <w:pPr>
        <w:ind w:left="567" w:hanging="567"/>
        <w:rPr>
          <w:szCs w:val="24"/>
        </w:rPr>
      </w:pPr>
      <w:r w:rsidRPr="006E6C4E">
        <w:rPr>
          <w:szCs w:val="24"/>
        </w:rPr>
        <w:t xml:space="preserve">Matrifen 100 </w:t>
      </w:r>
      <w:r w:rsidRPr="006E6C4E">
        <w:rPr>
          <w:szCs w:val="22"/>
        </w:rPr>
        <w:t xml:space="preserve">µg </w:t>
      </w:r>
      <w:r w:rsidRPr="006E6C4E">
        <w:rPr>
          <w:szCs w:val="24"/>
        </w:rPr>
        <w:t>: 65/0381/06-S</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b/>
          <w:noProof/>
          <w:szCs w:val="22"/>
        </w:rPr>
      </w:pPr>
      <w:r w:rsidRPr="006E6C4E">
        <w:rPr>
          <w:b/>
          <w:noProof/>
          <w:szCs w:val="22"/>
        </w:rPr>
        <w:t>9.</w:t>
      </w:r>
      <w:r w:rsidRPr="006E6C4E">
        <w:rPr>
          <w:b/>
          <w:noProof/>
          <w:szCs w:val="22"/>
        </w:rPr>
        <w:tab/>
        <w:t>DÁTUM PRVEJ REGISTRÁCIE/PREDĹŽENIA REGISTRÁCIE</w:t>
      </w:r>
    </w:p>
    <w:p w:rsidR="004169B3" w:rsidRPr="006E6C4E" w:rsidRDefault="004169B3" w:rsidP="00FC4CE3">
      <w:pPr>
        <w:tabs>
          <w:tab w:val="clear" w:pos="567"/>
        </w:tabs>
        <w:spacing w:line="240" w:lineRule="auto"/>
        <w:ind w:left="567" w:hanging="567"/>
        <w:rPr>
          <w:strike/>
          <w:noProof/>
          <w:szCs w:val="22"/>
        </w:rPr>
      </w:pPr>
    </w:p>
    <w:p w:rsidR="004169B3" w:rsidRPr="006E6C4E" w:rsidRDefault="004169B3" w:rsidP="00FC4CE3">
      <w:pPr>
        <w:tabs>
          <w:tab w:val="clear" w:pos="567"/>
        </w:tabs>
        <w:spacing w:line="240" w:lineRule="auto"/>
        <w:rPr>
          <w:noProof/>
          <w:szCs w:val="22"/>
        </w:rPr>
      </w:pPr>
      <w:r>
        <w:rPr>
          <w:noProof/>
          <w:szCs w:val="22"/>
        </w:rPr>
        <w:t xml:space="preserve">25.8.2006/16.09. </w:t>
      </w:r>
      <w:r w:rsidRPr="006E6C4E">
        <w:rPr>
          <w:noProof/>
          <w:szCs w:val="22"/>
        </w:rPr>
        <w:t>2010</w:t>
      </w: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rPr>
          <w:noProof/>
          <w:szCs w:val="22"/>
        </w:rPr>
      </w:pPr>
    </w:p>
    <w:p w:rsidR="004169B3" w:rsidRPr="006E6C4E" w:rsidRDefault="004169B3" w:rsidP="00FC4CE3">
      <w:pPr>
        <w:tabs>
          <w:tab w:val="clear" w:pos="567"/>
        </w:tabs>
        <w:spacing w:line="240" w:lineRule="auto"/>
        <w:ind w:left="567" w:hanging="567"/>
        <w:rPr>
          <w:b/>
          <w:noProof/>
          <w:szCs w:val="22"/>
        </w:rPr>
      </w:pPr>
      <w:r w:rsidRPr="006E6C4E">
        <w:rPr>
          <w:b/>
          <w:noProof/>
          <w:szCs w:val="22"/>
        </w:rPr>
        <w:t>10.</w:t>
      </w:r>
      <w:r w:rsidRPr="006E6C4E">
        <w:rPr>
          <w:b/>
          <w:noProof/>
          <w:szCs w:val="22"/>
        </w:rPr>
        <w:tab/>
        <w:t>DÁTUM REVÍZIE TEXTU</w:t>
      </w:r>
      <w:r>
        <w:rPr>
          <w:b/>
          <w:noProof/>
          <w:szCs w:val="22"/>
        </w:rPr>
        <w:t xml:space="preserve"> 6/2012</w:t>
      </w:r>
    </w:p>
    <w:p w:rsidR="004169B3" w:rsidRPr="006E6C4E" w:rsidRDefault="004169B3" w:rsidP="00FC4CE3">
      <w:pPr>
        <w:tabs>
          <w:tab w:val="clear" w:pos="567"/>
        </w:tabs>
        <w:spacing w:line="240" w:lineRule="auto"/>
        <w:ind w:left="567" w:hanging="567"/>
        <w:rPr>
          <w:noProof/>
        </w:rPr>
      </w:pPr>
    </w:p>
    <w:p w:rsidR="004169B3" w:rsidRPr="006E6C4E" w:rsidRDefault="004169B3" w:rsidP="004A3BCB">
      <w:pPr>
        <w:tabs>
          <w:tab w:val="clear" w:pos="567"/>
        </w:tabs>
        <w:spacing w:line="240" w:lineRule="auto"/>
        <w:rPr>
          <w:noProof/>
        </w:rPr>
      </w:pPr>
    </w:p>
    <w:p w:rsidR="004169B3" w:rsidRPr="00E17EE7" w:rsidRDefault="004169B3" w:rsidP="00FC4CE3"/>
    <w:p w:rsidR="004169B3" w:rsidRDefault="004169B3"/>
    <w:sectPr w:rsidR="004169B3" w:rsidSect="001A688A">
      <w:footerReference w:type="even"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69B3" w:rsidRDefault="004169B3" w:rsidP="001A688A">
      <w:pPr>
        <w:spacing w:line="240" w:lineRule="auto"/>
      </w:pPr>
      <w:r>
        <w:separator/>
      </w:r>
    </w:p>
  </w:endnote>
  <w:endnote w:type="continuationSeparator" w:id="0">
    <w:p w:rsidR="004169B3" w:rsidRDefault="004169B3" w:rsidP="001A688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imSun">
    <w:altName w:val="??¨§?"/>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9B3" w:rsidRDefault="004169B3" w:rsidP="00EC16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169B3" w:rsidRDefault="004169B3" w:rsidP="00396D1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9B3" w:rsidRDefault="004169B3" w:rsidP="00EC169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169B3" w:rsidRDefault="004169B3" w:rsidP="00396D1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69B3" w:rsidRDefault="004169B3" w:rsidP="001A688A">
      <w:pPr>
        <w:spacing w:line="240" w:lineRule="auto"/>
      </w:pPr>
      <w:r>
        <w:separator/>
      </w:r>
    </w:p>
  </w:footnote>
  <w:footnote w:type="continuationSeparator" w:id="0">
    <w:p w:rsidR="004169B3" w:rsidRDefault="004169B3" w:rsidP="001A688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222E4"/>
    <w:multiLevelType w:val="multilevel"/>
    <w:tmpl w:val="69A8DD4E"/>
    <w:lvl w:ilvl="0">
      <w:start w:val="5"/>
      <w:numFmt w:val="decimal"/>
      <w:lvlText w:val="%1"/>
      <w:lvlJc w:val="left"/>
      <w:pPr>
        <w:tabs>
          <w:tab w:val="num" w:pos="570"/>
        </w:tabs>
        <w:ind w:left="570" w:hanging="570"/>
      </w:pPr>
      <w:rPr>
        <w:rFonts w:cs="Times New Roman" w:hint="default"/>
      </w:rPr>
    </w:lvl>
    <w:lvl w:ilvl="1">
      <w:start w:val="3"/>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trackRevision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C4CE3"/>
    <w:rsid w:val="0006608A"/>
    <w:rsid w:val="00173E72"/>
    <w:rsid w:val="001A4B28"/>
    <w:rsid w:val="001A688A"/>
    <w:rsid w:val="00230490"/>
    <w:rsid w:val="00396D11"/>
    <w:rsid w:val="003E303C"/>
    <w:rsid w:val="004169B3"/>
    <w:rsid w:val="00453AB2"/>
    <w:rsid w:val="0046756A"/>
    <w:rsid w:val="004A3BCB"/>
    <w:rsid w:val="006E6C4E"/>
    <w:rsid w:val="00730037"/>
    <w:rsid w:val="00852C61"/>
    <w:rsid w:val="00914B64"/>
    <w:rsid w:val="00B76FC3"/>
    <w:rsid w:val="00BD7DD3"/>
    <w:rsid w:val="00D836AD"/>
    <w:rsid w:val="00E17EE7"/>
    <w:rsid w:val="00E519FA"/>
    <w:rsid w:val="00EB38CB"/>
    <w:rsid w:val="00EC1697"/>
    <w:rsid w:val="00EE316E"/>
    <w:rsid w:val="00F35FB8"/>
    <w:rsid w:val="00F462C3"/>
    <w:rsid w:val="00FC4CE3"/>
  </w:rsids>
  <m:mathPr>
    <m:mathFont m:val="Cambria Math"/>
    <m:brkBin m:val="before"/>
    <m:brkBinSub m:val="--"/>
    <m:smallFrac m:val="off"/>
    <m:dispDef/>
    <m:lMargin m:val="0"/>
    <m:rMargin m:val="0"/>
    <m:defJc m:val="centerGroup"/>
    <m:wrapIndent m:val="1440"/>
    <m:intLim m:val="subSup"/>
    <m:naryLim m:val="undOvr"/>
  </m:mathPr>
  <w:uiCompat97To2003/>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k-SK" w:eastAsia="sk-SK"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CE3"/>
    <w:pPr>
      <w:tabs>
        <w:tab w:val="left" w:pos="567"/>
      </w:tabs>
      <w:spacing w:line="260" w:lineRule="exact"/>
    </w:pPr>
    <w:rPr>
      <w:rFonts w:ascii="Times New Roman" w:eastAsia="Times New Roman" w:hAnsi="Times New Roman"/>
      <w:szCs w:val="20"/>
      <w:lang w:eastAsia="en-US"/>
    </w:rPr>
  </w:style>
  <w:style w:type="paragraph" w:styleId="Heading8">
    <w:name w:val="heading 8"/>
    <w:basedOn w:val="Normal"/>
    <w:next w:val="Normal"/>
    <w:link w:val="Heading8Char"/>
    <w:uiPriority w:val="99"/>
    <w:qFormat/>
    <w:rsid w:val="00FC4CE3"/>
    <w:pPr>
      <w:keepNext/>
      <w:ind w:left="567" w:hanging="567"/>
      <w:jc w:val="both"/>
      <w:outlineLvl w:val="7"/>
    </w:pPr>
    <w:rPr>
      <w:b/>
      <w:i/>
    </w:rPr>
  </w:style>
  <w:style w:type="paragraph" w:styleId="Heading9">
    <w:name w:val="heading 9"/>
    <w:basedOn w:val="Normal"/>
    <w:next w:val="Normal"/>
    <w:link w:val="Heading9Char"/>
    <w:uiPriority w:val="99"/>
    <w:qFormat/>
    <w:rsid w:val="00FC4CE3"/>
    <w:pPr>
      <w:keepNext/>
      <w:jc w:val="both"/>
      <w:outlineLvl w:val="8"/>
    </w:pPr>
    <w:rPr>
      <w:b/>
      <w: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9"/>
    <w:locked/>
    <w:rsid w:val="00FC4CE3"/>
    <w:rPr>
      <w:rFonts w:ascii="Times New Roman" w:hAnsi="Times New Roman" w:cs="Times New Roman"/>
      <w:b/>
      <w:i/>
      <w:sz w:val="20"/>
      <w:szCs w:val="20"/>
      <w:lang w:val="sk-SK"/>
    </w:rPr>
  </w:style>
  <w:style w:type="character" w:customStyle="1" w:styleId="Heading9Char">
    <w:name w:val="Heading 9 Char"/>
    <w:basedOn w:val="DefaultParagraphFont"/>
    <w:link w:val="Heading9"/>
    <w:uiPriority w:val="99"/>
    <w:locked/>
    <w:rsid w:val="00FC4CE3"/>
    <w:rPr>
      <w:rFonts w:ascii="Times New Roman" w:hAnsi="Times New Roman" w:cs="Times New Roman"/>
      <w:b/>
      <w:i/>
      <w:sz w:val="20"/>
      <w:szCs w:val="20"/>
      <w:lang w:val="sk-SK"/>
    </w:rPr>
  </w:style>
  <w:style w:type="paragraph" w:customStyle="1" w:styleId="NormalTemplatenormal">
    <w:name w:val="Normal.Template normal"/>
    <w:uiPriority w:val="99"/>
    <w:rsid w:val="00FC4CE3"/>
    <w:pPr>
      <w:spacing w:line="360" w:lineRule="auto"/>
    </w:pPr>
    <w:rPr>
      <w:rFonts w:ascii="Arial" w:eastAsia="Times New Roman" w:hAnsi="Arial"/>
      <w:szCs w:val="20"/>
      <w:lang w:val="en-GB" w:eastAsia="sv-SE"/>
    </w:rPr>
  </w:style>
  <w:style w:type="paragraph" w:styleId="HTMLPreformatted">
    <w:name w:val="HTML Preformatted"/>
    <w:basedOn w:val="Normal"/>
    <w:link w:val="HTMLPreformattedChar"/>
    <w:uiPriority w:val="99"/>
    <w:rsid w:val="00FC4CE3"/>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eastAsia="sk-SK"/>
    </w:rPr>
  </w:style>
  <w:style w:type="character" w:customStyle="1" w:styleId="HTMLPreformattedChar">
    <w:name w:val="HTML Preformatted Char"/>
    <w:basedOn w:val="DefaultParagraphFont"/>
    <w:link w:val="HTMLPreformatted"/>
    <w:uiPriority w:val="99"/>
    <w:locked/>
    <w:rsid w:val="00FC4CE3"/>
    <w:rPr>
      <w:rFonts w:ascii="Courier New" w:hAnsi="Courier New" w:cs="Courier New"/>
      <w:sz w:val="20"/>
      <w:szCs w:val="20"/>
      <w:lang w:val="sk-SK" w:eastAsia="sk-SK"/>
    </w:rPr>
  </w:style>
  <w:style w:type="paragraph" w:styleId="BodyText">
    <w:name w:val="Body Text"/>
    <w:basedOn w:val="Normal"/>
    <w:link w:val="BodyTextChar"/>
    <w:uiPriority w:val="99"/>
    <w:rsid w:val="00FC4CE3"/>
    <w:pPr>
      <w:tabs>
        <w:tab w:val="clear" w:pos="567"/>
      </w:tabs>
      <w:spacing w:line="240" w:lineRule="auto"/>
    </w:pPr>
    <w:rPr>
      <w:szCs w:val="24"/>
      <w:lang w:eastAsia="sk-SK"/>
    </w:rPr>
  </w:style>
  <w:style w:type="character" w:customStyle="1" w:styleId="BodyTextChar">
    <w:name w:val="Body Text Char"/>
    <w:basedOn w:val="DefaultParagraphFont"/>
    <w:link w:val="BodyText"/>
    <w:uiPriority w:val="99"/>
    <w:locked/>
    <w:rsid w:val="00FC4CE3"/>
    <w:rPr>
      <w:rFonts w:ascii="Times New Roman" w:hAnsi="Times New Roman" w:cs="Times New Roman"/>
      <w:sz w:val="24"/>
      <w:szCs w:val="24"/>
      <w:lang w:val="sk-SK" w:eastAsia="sk-SK"/>
    </w:rPr>
  </w:style>
  <w:style w:type="paragraph" w:styleId="Footer">
    <w:name w:val="footer"/>
    <w:basedOn w:val="Normal"/>
    <w:link w:val="FooterChar"/>
    <w:uiPriority w:val="99"/>
    <w:rsid w:val="00FC4CE3"/>
    <w:pPr>
      <w:tabs>
        <w:tab w:val="clear" w:pos="567"/>
        <w:tab w:val="center" w:pos="4703"/>
        <w:tab w:val="right" w:pos="9406"/>
      </w:tabs>
    </w:pPr>
  </w:style>
  <w:style w:type="character" w:customStyle="1" w:styleId="FooterChar">
    <w:name w:val="Footer Char"/>
    <w:basedOn w:val="DefaultParagraphFont"/>
    <w:link w:val="Footer"/>
    <w:uiPriority w:val="99"/>
    <w:locked/>
    <w:rsid w:val="00FC4CE3"/>
    <w:rPr>
      <w:rFonts w:ascii="Times New Roman" w:hAnsi="Times New Roman" w:cs="Times New Roman"/>
      <w:sz w:val="20"/>
      <w:szCs w:val="20"/>
      <w:lang w:val="sk-SK"/>
    </w:rPr>
  </w:style>
  <w:style w:type="character" w:styleId="PageNumber">
    <w:name w:val="page number"/>
    <w:basedOn w:val="DefaultParagraphFont"/>
    <w:uiPriority w:val="99"/>
    <w:rsid w:val="00FC4CE3"/>
    <w:rPr>
      <w:rFonts w:cs="Times New Roman"/>
    </w:rPr>
  </w:style>
  <w:style w:type="paragraph" w:styleId="BalloonText">
    <w:name w:val="Balloon Text"/>
    <w:basedOn w:val="Normal"/>
    <w:link w:val="BalloonTextChar"/>
    <w:uiPriority w:val="99"/>
    <w:semiHidden/>
    <w:rsid w:val="004A3BCB"/>
    <w:rPr>
      <w:rFonts w:ascii="Tahoma" w:hAnsi="Tahoma" w:cs="Tahoma"/>
      <w:sz w:val="16"/>
      <w:szCs w:val="16"/>
    </w:rPr>
  </w:style>
  <w:style w:type="character" w:customStyle="1" w:styleId="BalloonTextChar">
    <w:name w:val="Balloon Text Char"/>
    <w:basedOn w:val="DefaultParagraphFont"/>
    <w:link w:val="BalloonText"/>
    <w:uiPriority w:val="99"/>
    <w:semiHidden/>
    <w:rsid w:val="00872F5A"/>
    <w:rPr>
      <w:rFonts w:ascii="Times New Roman" w:eastAsia="Times New Roman" w:hAnsi="Times New Roman"/>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20</Pages>
  <Words>5079</Words>
  <Characters>28953</Characters>
  <Application>Microsoft Office Outlook</Application>
  <DocSecurity>0</DocSecurity>
  <Lines>0</Lines>
  <Paragraphs>0</Paragraphs>
  <ScaleCrop>false</ScaleCrop>
  <Company>Nycomed GmbH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PRÍLOHA č</dc:title>
  <dc:subject/>
  <dc:creator>uq2480</dc:creator>
  <cp:keywords/>
  <dc:description/>
  <cp:lastModifiedBy>JK</cp:lastModifiedBy>
  <cp:revision>2</cp:revision>
  <cp:lastPrinted>2012-06-15T10:27:00Z</cp:lastPrinted>
  <dcterms:created xsi:type="dcterms:W3CDTF">2012-06-15T10:27:00Z</dcterms:created>
  <dcterms:modified xsi:type="dcterms:W3CDTF">2012-06-15T10:27:00Z</dcterms:modified>
</cp:coreProperties>
</file>