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258" w:rsidRPr="008F4100" w:rsidRDefault="00103258" w:rsidP="00C07D35">
      <w:pPr>
        <w:pStyle w:val="Title"/>
        <w:outlineLvl w:val="0"/>
        <w:rPr>
          <w:sz w:val="22"/>
          <w:szCs w:val="22"/>
        </w:rPr>
      </w:pPr>
      <w:r w:rsidRPr="008F4100">
        <w:rPr>
          <w:sz w:val="22"/>
          <w:szCs w:val="22"/>
        </w:rPr>
        <w:t>SÚHRN CHARAKTERISTICKÝCH VLASTNOSTÍ LIEKU</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p>
    <w:p w:rsidR="00103258" w:rsidRPr="008F4100" w:rsidRDefault="00103258">
      <w:pPr>
        <w:ind w:right="-1"/>
        <w:jc w:val="both"/>
        <w:rPr>
          <w:b/>
          <w:sz w:val="22"/>
          <w:szCs w:val="22"/>
          <w:lang w:val="sk-SK"/>
        </w:rPr>
      </w:pPr>
      <w:r w:rsidRPr="008F4100">
        <w:rPr>
          <w:b/>
          <w:sz w:val="22"/>
          <w:szCs w:val="22"/>
          <w:lang w:val="sk-SK"/>
        </w:rPr>
        <w:t>1. NÁZOV LIEKU</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Fucicort</w:t>
      </w:r>
      <w:r w:rsidRPr="008F4100">
        <w:rPr>
          <w:sz w:val="22"/>
          <w:szCs w:val="22"/>
          <w:vertAlign w:val="superscript"/>
          <w:lang w:val="sk-SK"/>
        </w:rPr>
        <w:t>®</w:t>
      </w:r>
    </w:p>
    <w:p w:rsidR="00103258" w:rsidRPr="008F4100" w:rsidRDefault="00103258">
      <w:pPr>
        <w:ind w:right="-1"/>
        <w:jc w:val="both"/>
        <w:rPr>
          <w:sz w:val="22"/>
          <w:szCs w:val="22"/>
          <w:lang w:val="sk-SK"/>
        </w:rPr>
      </w:pPr>
      <w:r w:rsidRPr="008F4100">
        <w:rPr>
          <w:sz w:val="22"/>
          <w:szCs w:val="22"/>
          <w:lang w:val="sk-SK"/>
        </w:rPr>
        <w:t>dermálny krém</w:t>
      </w:r>
    </w:p>
    <w:p w:rsidR="00103258" w:rsidRPr="008F4100" w:rsidRDefault="00103258">
      <w:pPr>
        <w:ind w:right="-1"/>
        <w:jc w:val="both"/>
        <w:rPr>
          <w:sz w:val="22"/>
          <w:szCs w:val="22"/>
          <w:lang w:val="sk-SK"/>
        </w:rPr>
      </w:pPr>
    </w:p>
    <w:p w:rsidR="00103258" w:rsidRPr="008F4100" w:rsidRDefault="00103258">
      <w:pPr>
        <w:ind w:right="-1"/>
        <w:jc w:val="both"/>
        <w:rPr>
          <w:b/>
          <w:sz w:val="22"/>
          <w:szCs w:val="22"/>
          <w:lang w:val="sk-SK"/>
        </w:rPr>
      </w:pPr>
      <w:r w:rsidRPr="008F4100">
        <w:rPr>
          <w:b/>
          <w:sz w:val="22"/>
          <w:szCs w:val="22"/>
          <w:lang w:val="sk-SK"/>
        </w:rPr>
        <w:t>2. KVALITATÍVNE A KVANTITATÍVNE ZLOŽENIE</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Acidum fusidicum 20,0 mg (vo forme acidum fusidicum hemihydricum),</w:t>
      </w:r>
    </w:p>
    <w:p w:rsidR="00103258" w:rsidRPr="008F4100" w:rsidRDefault="00103258">
      <w:pPr>
        <w:ind w:right="-1"/>
        <w:jc w:val="both"/>
        <w:rPr>
          <w:sz w:val="22"/>
          <w:szCs w:val="22"/>
          <w:lang w:val="sk-SK"/>
        </w:rPr>
      </w:pPr>
      <w:r w:rsidRPr="008F4100">
        <w:rPr>
          <w:sz w:val="22"/>
          <w:szCs w:val="22"/>
          <w:lang w:val="sk-SK"/>
        </w:rPr>
        <w:t>betamethasonum 1 mg (vo forme betamethasoni valeras) v</w:t>
      </w:r>
      <w:r>
        <w:rPr>
          <w:sz w:val="22"/>
          <w:szCs w:val="22"/>
          <w:lang w:val="sk-SK"/>
        </w:rPr>
        <w:t> </w:t>
      </w:r>
      <w:r w:rsidRPr="008F4100">
        <w:rPr>
          <w:sz w:val="22"/>
          <w:szCs w:val="22"/>
          <w:lang w:val="sk-SK"/>
        </w:rPr>
        <w:t>1 g krému.</w:t>
      </w:r>
    </w:p>
    <w:p w:rsidR="00103258" w:rsidRPr="008F4100" w:rsidRDefault="00103258">
      <w:pPr>
        <w:ind w:right="-1"/>
        <w:jc w:val="both"/>
        <w:rPr>
          <w:sz w:val="22"/>
          <w:szCs w:val="22"/>
          <w:lang w:val="sk-SK"/>
        </w:rPr>
      </w:pPr>
      <w:r w:rsidRPr="008F4100">
        <w:rPr>
          <w:sz w:val="22"/>
          <w:szCs w:val="22"/>
          <w:lang w:val="sk-SK"/>
        </w:rPr>
        <w:t>Pomocné látky so známym účinkom: cetylstearylalkohol a chlórkrezol.</w:t>
      </w:r>
    </w:p>
    <w:p w:rsidR="00103258"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 xml:space="preserve">Úplný zoznam pomocných látok, pozri časť 6.1. </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b/>
          <w:sz w:val="22"/>
          <w:szCs w:val="22"/>
          <w:lang w:val="sk-SK"/>
        </w:rPr>
        <w:t>3. LIEKOVÁ FORMA</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Dermálny krém.</w:t>
      </w:r>
    </w:p>
    <w:p w:rsidR="00103258" w:rsidRPr="008F4100" w:rsidRDefault="00103258">
      <w:pPr>
        <w:ind w:right="-1"/>
        <w:jc w:val="both"/>
        <w:rPr>
          <w:sz w:val="22"/>
          <w:szCs w:val="22"/>
          <w:lang w:val="sk-SK"/>
        </w:rPr>
      </w:pPr>
      <w:r w:rsidRPr="008F4100">
        <w:rPr>
          <w:sz w:val="22"/>
          <w:szCs w:val="22"/>
          <w:lang w:val="sk-SK"/>
        </w:rPr>
        <w:t>Biely až takmer biely krém.</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4. KLINICKÉ ÚDAJE</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4.1 Terapeutické indikácie</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Fucicort je indikovaný na liečbu</w:t>
      </w:r>
      <w:r w:rsidRPr="008F4100">
        <w:rPr>
          <w:b/>
          <w:color w:val="FF0000"/>
          <w:sz w:val="22"/>
          <w:szCs w:val="22"/>
          <w:lang w:val="sk-SK"/>
        </w:rPr>
        <w:t xml:space="preserve"> </w:t>
      </w:r>
      <w:r w:rsidRPr="008F4100">
        <w:rPr>
          <w:sz w:val="22"/>
          <w:szCs w:val="22"/>
          <w:lang w:val="sk-SK"/>
        </w:rPr>
        <w:t>dermatóz,</w:t>
      </w:r>
      <w:r w:rsidRPr="008F4100">
        <w:rPr>
          <w:b/>
          <w:color w:val="FF0000"/>
          <w:sz w:val="22"/>
          <w:szCs w:val="22"/>
          <w:lang w:val="sk-SK"/>
        </w:rPr>
        <w:t xml:space="preserve"> </w:t>
      </w:r>
      <w:r w:rsidRPr="008F4100">
        <w:rPr>
          <w:sz w:val="22"/>
          <w:szCs w:val="22"/>
          <w:lang w:val="sk-SK"/>
        </w:rPr>
        <w:t>ako</w:t>
      </w:r>
      <w:r w:rsidRPr="008F4100">
        <w:rPr>
          <w:b/>
          <w:color w:val="FF0000"/>
          <w:sz w:val="22"/>
          <w:szCs w:val="22"/>
          <w:lang w:val="sk-SK"/>
        </w:rPr>
        <w:t xml:space="preserve"> </w:t>
      </w:r>
      <w:r w:rsidRPr="008F4100">
        <w:rPr>
          <w:sz w:val="22"/>
          <w:szCs w:val="22"/>
          <w:lang w:val="sk-SK"/>
        </w:rPr>
        <w:t>je</w:t>
      </w:r>
      <w:r w:rsidRPr="008F4100">
        <w:rPr>
          <w:b/>
          <w:color w:val="FF0000"/>
          <w:sz w:val="22"/>
          <w:szCs w:val="22"/>
          <w:lang w:val="sk-SK"/>
        </w:rPr>
        <w:t xml:space="preserve"> </w:t>
      </w:r>
      <w:r w:rsidRPr="008F4100">
        <w:rPr>
          <w:sz w:val="22"/>
          <w:szCs w:val="22"/>
          <w:lang w:val="sk-SK"/>
        </w:rPr>
        <w:t>atopický ekzém a kontaktná dermatitída, kde je predpokladaná alebo potvrdená</w:t>
      </w:r>
      <w:r w:rsidRPr="008F4100">
        <w:rPr>
          <w:b/>
          <w:color w:val="FF0000"/>
          <w:sz w:val="22"/>
          <w:szCs w:val="22"/>
          <w:lang w:val="sk-SK"/>
        </w:rPr>
        <w:t xml:space="preserve"> </w:t>
      </w:r>
      <w:r w:rsidRPr="008F4100">
        <w:rPr>
          <w:sz w:val="22"/>
          <w:szCs w:val="22"/>
          <w:lang w:val="sk-SK"/>
        </w:rPr>
        <w:t>sekundárna</w:t>
      </w:r>
      <w:r w:rsidRPr="008F4100">
        <w:rPr>
          <w:b/>
          <w:color w:val="FF0000"/>
          <w:sz w:val="22"/>
          <w:szCs w:val="22"/>
          <w:lang w:val="sk-SK"/>
        </w:rPr>
        <w:t xml:space="preserve"> </w:t>
      </w:r>
      <w:r w:rsidRPr="008F4100">
        <w:rPr>
          <w:sz w:val="22"/>
          <w:szCs w:val="22"/>
          <w:lang w:val="sk-SK"/>
        </w:rPr>
        <w:t>bakteriálna infekcia.</w:t>
      </w:r>
    </w:p>
    <w:p w:rsidR="00103258" w:rsidRPr="008F4100" w:rsidRDefault="00103258">
      <w:pPr>
        <w:ind w:right="-1"/>
        <w:jc w:val="both"/>
        <w:rPr>
          <w:sz w:val="22"/>
          <w:szCs w:val="22"/>
          <w:lang w:val="sk-SK"/>
        </w:rPr>
      </w:pPr>
    </w:p>
    <w:p w:rsidR="00103258" w:rsidRPr="008F4100" w:rsidRDefault="00103258">
      <w:pPr>
        <w:ind w:right="-1"/>
        <w:jc w:val="both"/>
        <w:rPr>
          <w:b/>
          <w:sz w:val="22"/>
          <w:szCs w:val="22"/>
          <w:lang w:val="sk-SK"/>
        </w:rPr>
      </w:pPr>
      <w:r w:rsidRPr="008F4100">
        <w:rPr>
          <w:b/>
          <w:sz w:val="22"/>
          <w:szCs w:val="22"/>
          <w:lang w:val="sk-SK"/>
        </w:rPr>
        <w:t>4.2 Dávkovanie a spôsob podávania</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 xml:space="preserve">Krém Fucicort sa aplikuje na postihnuté miesta na koži 2 </w:t>
      </w:r>
      <w:r>
        <w:rPr>
          <w:sz w:val="22"/>
          <w:szCs w:val="22"/>
          <w:lang w:val="sk-SK"/>
        </w:rPr>
        <w:t>–</w:t>
      </w:r>
      <w:r w:rsidRPr="008F4100">
        <w:rPr>
          <w:sz w:val="22"/>
          <w:szCs w:val="22"/>
          <w:lang w:val="sk-SK"/>
        </w:rPr>
        <w:t xml:space="preserve"> 3-krát denne, pokiaľ nedôjde k zlepšeniu. Dĺžka liečebného cyklu nemá presiahnuť 2 týždne.</w:t>
      </w:r>
    </w:p>
    <w:p w:rsidR="00103258" w:rsidRPr="008F4100" w:rsidRDefault="00103258" w:rsidP="00C07D35">
      <w:pPr>
        <w:ind w:right="-1"/>
        <w:jc w:val="both"/>
        <w:outlineLvl w:val="0"/>
        <w:rPr>
          <w:sz w:val="22"/>
          <w:szCs w:val="22"/>
          <w:lang w:val="sk-SK"/>
        </w:rPr>
      </w:pPr>
      <w:r w:rsidRPr="008F4100">
        <w:rPr>
          <w:sz w:val="22"/>
          <w:szCs w:val="22"/>
          <w:lang w:val="sk-SK"/>
        </w:rPr>
        <w:t>Liek môžu používať dospelí, dospievajúci i deti.</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4.3 Kontraindikácie</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Precitlivenosť na kyselinu fusidovú/fusidát sodný, betametazónvalerát alebo na ktorúkoľvek z</w:t>
      </w:r>
      <w:r>
        <w:rPr>
          <w:sz w:val="22"/>
          <w:szCs w:val="22"/>
          <w:lang w:val="sk-SK"/>
        </w:rPr>
        <w:t> </w:t>
      </w:r>
      <w:r w:rsidRPr="008F4100">
        <w:rPr>
          <w:sz w:val="22"/>
          <w:szCs w:val="22"/>
          <w:lang w:val="sk-SK"/>
        </w:rPr>
        <w:t>pomocných látok uvedených v</w:t>
      </w:r>
      <w:r>
        <w:rPr>
          <w:sz w:val="22"/>
          <w:szCs w:val="22"/>
          <w:lang w:val="sk-SK"/>
        </w:rPr>
        <w:t> </w:t>
      </w:r>
      <w:r w:rsidRPr="008F4100">
        <w:rPr>
          <w:sz w:val="22"/>
          <w:szCs w:val="22"/>
          <w:lang w:val="sk-SK"/>
        </w:rPr>
        <w:t xml:space="preserve">časti 6.1. </w:t>
      </w:r>
    </w:p>
    <w:p w:rsidR="00103258" w:rsidRPr="008F4100" w:rsidRDefault="00103258">
      <w:pPr>
        <w:ind w:right="-1"/>
        <w:jc w:val="both"/>
        <w:rPr>
          <w:sz w:val="22"/>
          <w:szCs w:val="22"/>
          <w:lang w:val="sk-SK"/>
        </w:rPr>
      </w:pPr>
    </w:p>
    <w:p w:rsidR="00103258" w:rsidRPr="008F4100" w:rsidRDefault="00103258" w:rsidP="00514AF4">
      <w:pPr>
        <w:pStyle w:val="CommentText"/>
        <w:rPr>
          <w:sz w:val="22"/>
          <w:szCs w:val="22"/>
          <w:lang w:val="sk-SK"/>
        </w:rPr>
      </w:pPr>
      <w:r w:rsidRPr="008F4100">
        <w:rPr>
          <w:sz w:val="22"/>
          <w:szCs w:val="22"/>
          <w:lang w:val="sk-SK"/>
        </w:rPr>
        <w:t>Vzhľadom na obsah kortikosteroidov je Fucicort kontraindikovaný v nasledujúcich prípadoch:</w:t>
      </w:r>
    </w:p>
    <w:p w:rsidR="00103258" w:rsidRPr="008F4100" w:rsidRDefault="00103258" w:rsidP="00514AF4">
      <w:pPr>
        <w:ind w:right="-1"/>
        <w:jc w:val="both"/>
        <w:rPr>
          <w:sz w:val="22"/>
          <w:szCs w:val="22"/>
          <w:lang w:val="sk-SK"/>
        </w:rPr>
      </w:pPr>
    </w:p>
    <w:p w:rsidR="00103258" w:rsidRPr="008F4100" w:rsidRDefault="00103258" w:rsidP="00514AF4">
      <w:pPr>
        <w:ind w:right="-1"/>
        <w:jc w:val="both"/>
        <w:rPr>
          <w:sz w:val="22"/>
          <w:szCs w:val="22"/>
          <w:lang w:val="sk-SK"/>
        </w:rPr>
      </w:pPr>
      <w:r w:rsidRPr="008F4100">
        <w:rPr>
          <w:sz w:val="22"/>
          <w:szCs w:val="22"/>
          <w:lang w:val="sk-SK"/>
        </w:rPr>
        <w:t>Systémové mykotické infekcie.</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Kožné infekcie primárne spôsobené hubami, vírusmi alebo baktériami, ktoré nie sú liečené ani kontrolované primeranou liečbou (pozri časť 4.4).</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Kožné prejavy súvisiace s tuberkulózou, ktorá nie je liečená ani kontrolovaná primeranou liečbou.</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Periorálna dermatitída a rosacea.</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4.4 Osobitné upozornenia a opatrenia pri používaní</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Treba sa vyvarovať nepretržitej dlhodobej lokálnej liečbe Fucicortom.</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V závislosti od miesta aplikácie je potrebná opatrnosť pri používaní Fucicortu pre možnú systémovú absorpciu betametazónvalerátu.</w:t>
      </w:r>
    </w:p>
    <w:p w:rsidR="00103258" w:rsidRPr="008F4100" w:rsidRDefault="00103258">
      <w:pPr>
        <w:ind w:right="-1"/>
        <w:jc w:val="both"/>
        <w:rPr>
          <w:sz w:val="22"/>
          <w:szCs w:val="22"/>
          <w:lang w:val="sk-SK"/>
        </w:rPr>
      </w:pPr>
      <w:r w:rsidRPr="008F4100">
        <w:rPr>
          <w:sz w:val="22"/>
          <w:szCs w:val="22"/>
          <w:lang w:val="sk-SK"/>
        </w:rPr>
        <w:t xml:space="preserve">  </w:t>
      </w:r>
    </w:p>
    <w:p w:rsidR="00103258" w:rsidRPr="008F4100" w:rsidRDefault="00103258">
      <w:pPr>
        <w:ind w:right="-1"/>
        <w:jc w:val="both"/>
        <w:rPr>
          <w:sz w:val="22"/>
          <w:szCs w:val="22"/>
          <w:lang w:val="sk-SK"/>
        </w:rPr>
      </w:pPr>
      <w:r w:rsidRPr="008F4100">
        <w:rPr>
          <w:sz w:val="22"/>
          <w:szCs w:val="22"/>
          <w:lang w:val="sk-SK"/>
        </w:rPr>
        <w:t>Vzhľadom na obsah kortikosteroidov sa má Fucicort s opatrnosťou používať v blízkosti očí. Fucicort sa nesmie dostať do očí (pozri časť 4.8).</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V dôsledku systémovej absorpcie topických kortikosteroidov môže dôjsť k reverzibilnému potlačeniu funkcie hypotalamo-hypofýzo-adrenokortikálneho systému (HPA).</w:t>
      </w:r>
    </w:p>
    <w:p w:rsidR="00103258" w:rsidRPr="008F4100" w:rsidRDefault="00103258">
      <w:pPr>
        <w:ind w:right="-1"/>
        <w:jc w:val="both"/>
        <w:rPr>
          <w:sz w:val="22"/>
          <w:szCs w:val="22"/>
          <w:lang w:val="sk-SK"/>
        </w:rPr>
      </w:pPr>
    </w:p>
    <w:p w:rsidR="00103258" w:rsidRPr="008F4100" w:rsidRDefault="00103258" w:rsidP="00FC684F">
      <w:pPr>
        <w:pStyle w:val="CommentText"/>
        <w:rPr>
          <w:sz w:val="22"/>
          <w:szCs w:val="22"/>
          <w:lang w:val="sk-SK"/>
        </w:rPr>
      </w:pPr>
      <w:r w:rsidRPr="008F4100">
        <w:rPr>
          <w:sz w:val="22"/>
          <w:szCs w:val="22"/>
          <w:lang w:val="sk-SK"/>
        </w:rPr>
        <w:t xml:space="preserve">Fucicort sa má s opatrnosťou používať u detí, keďže pediatrickí pacienti môžu byť náchylnejší na topickými kortikosteroidmi vyvolaný útlm funkcie HPA systému a na Cushingov syndróm ako dospelí pacienti. U detí sa nesmú používať veľké množstvá Fucicortu ani okluzívne obväzy a liečba nesmie byť dlhodobá (pozri časť 4.8). </w:t>
      </w:r>
    </w:p>
    <w:p w:rsidR="00103258" w:rsidRPr="008F4100" w:rsidRDefault="00103258" w:rsidP="00FC684F">
      <w:pPr>
        <w:pStyle w:val="CommentText"/>
        <w:rPr>
          <w:sz w:val="22"/>
          <w:szCs w:val="22"/>
          <w:lang w:val="sk-SK"/>
        </w:rPr>
      </w:pPr>
    </w:p>
    <w:p w:rsidR="00103258" w:rsidRPr="008F4100" w:rsidRDefault="00103258" w:rsidP="00FC684F">
      <w:pPr>
        <w:pStyle w:val="CommentText"/>
        <w:rPr>
          <w:sz w:val="22"/>
          <w:szCs w:val="22"/>
          <w:lang w:val="sk-SK"/>
        </w:rPr>
      </w:pPr>
      <w:r w:rsidRPr="008F4100">
        <w:rPr>
          <w:sz w:val="22"/>
          <w:szCs w:val="22"/>
          <w:lang w:val="sk-SK"/>
        </w:rPr>
        <w:t xml:space="preserve">Vzhľadom na obsah betametazónvalerátu môže dlhodobé topické používanie Fucicortu spôsobiť atrofiu kože. </w:t>
      </w:r>
    </w:p>
    <w:p w:rsidR="00103258" w:rsidRPr="008F4100" w:rsidRDefault="00103258" w:rsidP="00FC684F">
      <w:pPr>
        <w:pStyle w:val="CommentText"/>
        <w:rPr>
          <w:sz w:val="22"/>
          <w:szCs w:val="22"/>
          <w:lang w:val="sk-SK"/>
        </w:rPr>
      </w:pPr>
    </w:p>
    <w:p w:rsidR="00103258" w:rsidRPr="008F4100" w:rsidRDefault="00103258" w:rsidP="00FC684F">
      <w:pPr>
        <w:pStyle w:val="CommentText"/>
        <w:rPr>
          <w:sz w:val="22"/>
          <w:szCs w:val="22"/>
          <w:lang w:val="sk-SK"/>
        </w:rPr>
      </w:pPr>
      <w:r w:rsidRPr="008F4100">
        <w:rPr>
          <w:sz w:val="22"/>
          <w:szCs w:val="22"/>
          <w:lang w:val="sk-SK"/>
        </w:rPr>
        <w:t>Pri topickom používaní kyseliny fusidovej bola hlásená bakteriálna rezistencia. Rovnako ako pri iných antibiotikách nadmerné alebo opakované používanie kyseliny fusidovej môže zvýšiť riziko vzniku rezistencie na antibiotiká. Pri topickej liečbe kyselinou fusidovou a betametazónvalerátom trvajúcej súvisle maximálne 14 dní sa znižuje riziko vzniku rezistencie.</w:t>
      </w:r>
    </w:p>
    <w:p w:rsidR="00103258" w:rsidRPr="008F4100" w:rsidRDefault="00103258" w:rsidP="00FC684F">
      <w:pPr>
        <w:pStyle w:val="CommentText"/>
        <w:rPr>
          <w:sz w:val="22"/>
          <w:szCs w:val="22"/>
          <w:lang w:val="sk-SK"/>
        </w:rPr>
      </w:pPr>
    </w:p>
    <w:p w:rsidR="00103258" w:rsidRPr="008F4100" w:rsidRDefault="00103258" w:rsidP="004552AD">
      <w:pPr>
        <w:pStyle w:val="CommentText"/>
        <w:rPr>
          <w:sz w:val="22"/>
          <w:szCs w:val="22"/>
          <w:lang w:val="sk-SK"/>
        </w:rPr>
      </w:pPr>
      <w:r w:rsidRPr="008F4100">
        <w:rPr>
          <w:sz w:val="22"/>
          <w:szCs w:val="22"/>
          <w:lang w:val="sk-SK"/>
        </w:rPr>
        <w:t>Takto časovo limitovanou liečbou sa predchádza riziku, že imunosupresívny účinok kortikosteroidov prekryje potenciálne príznaky infekcií spôsobené baktériami rezistentnými na antibiotiká.</w:t>
      </w:r>
    </w:p>
    <w:p w:rsidR="00103258" w:rsidRPr="008F4100" w:rsidRDefault="00103258">
      <w:pPr>
        <w:ind w:right="-1"/>
        <w:jc w:val="both"/>
        <w:rPr>
          <w:sz w:val="22"/>
          <w:szCs w:val="22"/>
          <w:lang w:val="sk-SK"/>
        </w:rPr>
      </w:pPr>
    </w:p>
    <w:p w:rsidR="00103258" w:rsidRPr="008F4100" w:rsidRDefault="00103258" w:rsidP="004552AD">
      <w:pPr>
        <w:pStyle w:val="CommentText"/>
        <w:rPr>
          <w:sz w:val="22"/>
          <w:szCs w:val="22"/>
          <w:lang w:val="sk-SK"/>
        </w:rPr>
      </w:pPr>
      <w:r w:rsidRPr="008F4100">
        <w:rPr>
          <w:sz w:val="22"/>
          <w:szCs w:val="22"/>
          <w:lang w:val="sk-SK"/>
        </w:rPr>
        <w:t>Pre imunosupresívny účinok kortikosteroidov sa Fucicort môže spájať so zvýšenou náchylnosťou na infekcie, zhoršením už existujúcich infekcií a aktiváciou latentných infekcií. Ak sa infekcia nedá kontrolovať topickou liečbou, odporúča sa prejsť na systémovú liečbu (pozri časť 4.3).</w:t>
      </w:r>
    </w:p>
    <w:p w:rsidR="00103258" w:rsidRPr="008F4100" w:rsidRDefault="00103258">
      <w:pPr>
        <w:ind w:right="-1"/>
        <w:jc w:val="both"/>
        <w:rPr>
          <w:sz w:val="22"/>
          <w:szCs w:val="22"/>
          <w:lang w:val="sk-SK"/>
        </w:rPr>
      </w:pPr>
    </w:p>
    <w:p w:rsidR="00103258" w:rsidRPr="008F4100" w:rsidRDefault="00103258" w:rsidP="004552AD">
      <w:pPr>
        <w:pStyle w:val="CommentText"/>
        <w:rPr>
          <w:sz w:val="22"/>
          <w:szCs w:val="22"/>
          <w:lang w:val="sk-SK"/>
        </w:rPr>
      </w:pPr>
      <w:r w:rsidRPr="008F4100">
        <w:rPr>
          <w:sz w:val="22"/>
          <w:szCs w:val="22"/>
          <w:lang w:val="sk-SK"/>
        </w:rPr>
        <w:t>Fucicort krém obsahuje pomocné látky cetylstearylalkohol a chlórkrezol. Cetylstearylalkohol môže vyvolať lokálnu kožnú reakciu (napr. kontaktnú dermatitídu) a chlórkrezol môže spôsobiť alergickú reakciu.</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4.5 Liekové a iné interakcie</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Neuskutočnili sa žiadne interakčné štúdie. Interakcie so systémovo podávanými liekmi sa považujú za minimálne.</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4.6 Fertilita, gravidita a laktácia</w:t>
      </w:r>
    </w:p>
    <w:p w:rsidR="00103258" w:rsidRPr="008F4100" w:rsidRDefault="00103258">
      <w:pPr>
        <w:ind w:right="-1"/>
        <w:jc w:val="both"/>
        <w:rPr>
          <w:sz w:val="22"/>
          <w:szCs w:val="22"/>
          <w:lang w:val="sk-SK"/>
        </w:rPr>
      </w:pPr>
    </w:p>
    <w:p w:rsidR="00103258" w:rsidRPr="008F4100" w:rsidRDefault="00103258">
      <w:pPr>
        <w:ind w:right="-1"/>
        <w:jc w:val="both"/>
        <w:rPr>
          <w:sz w:val="22"/>
          <w:szCs w:val="22"/>
          <w:u w:val="single"/>
          <w:lang w:val="sk-SK"/>
        </w:rPr>
      </w:pPr>
      <w:r w:rsidRPr="008F4100">
        <w:rPr>
          <w:sz w:val="22"/>
          <w:szCs w:val="22"/>
          <w:u w:val="single"/>
          <w:lang w:val="sk-SK"/>
        </w:rPr>
        <w:t>Gravidita:</w:t>
      </w:r>
    </w:p>
    <w:p w:rsidR="00103258" w:rsidRPr="008F4100" w:rsidRDefault="00103258">
      <w:pPr>
        <w:ind w:right="-1"/>
        <w:jc w:val="both"/>
        <w:rPr>
          <w:sz w:val="22"/>
          <w:szCs w:val="22"/>
          <w:lang w:val="sk-SK"/>
        </w:rPr>
      </w:pPr>
      <w:r w:rsidRPr="008F4100">
        <w:rPr>
          <w:sz w:val="22"/>
          <w:szCs w:val="22"/>
          <w:lang w:val="sk-SK"/>
        </w:rPr>
        <w:t>Kyselina fusidová:</w:t>
      </w:r>
    </w:p>
    <w:p w:rsidR="00103258" w:rsidRPr="008F4100" w:rsidRDefault="00103258">
      <w:pPr>
        <w:ind w:right="-1"/>
        <w:jc w:val="both"/>
        <w:rPr>
          <w:sz w:val="22"/>
          <w:szCs w:val="22"/>
          <w:lang w:val="sk-SK"/>
        </w:rPr>
      </w:pPr>
      <w:r w:rsidRPr="008F4100">
        <w:rPr>
          <w:sz w:val="22"/>
          <w:szCs w:val="22"/>
          <w:lang w:val="sk-SK"/>
        </w:rPr>
        <w:t>Počas gravidity sa neočakávajú žiadne nežiaduce účinky, keďže systémová expozícia kyseline fusidovej je zanedbateľná.</w:t>
      </w:r>
    </w:p>
    <w:p w:rsidR="00103258" w:rsidRPr="008F4100" w:rsidRDefault="00103258">
      <w:pPr>
        <w:ind w:right="-1"/>
        <w:jc w:val="both"/>
        <w:rPr>
          <w:sz w:val="22"/>
          <w:szCs w:val="22"/>
          <w:u w:val="single"/>
          <w:lang w:val="sk-SK"/>
        </w:rPr>
      </w:pPr>
    </w:p>
    <w:p w:rsidR="00103258" w:rsidRPr="008F4100" w:rsidRDefault="00103258">
      <w:pPr>
        <w:ind w:right="-1"/>
        <w:jc w:val="both"/>
        <w:rPr>
          <w:sz w:val="22"/>
          <w:szCs w:val="22"/>
          <w:lang w:val="sk-SK"/>
        </w:rPr>
      </w:pPr>
      <w:r w:rsidRPr="008F4100">
        <w:rPr>
          <w:sz w:val="22"/>
          <w:szCs w:val="22"/>
          <w:lang w:val="sk-SK"/>
        </w:rPr>
        <w:t>Betametazónvalerát:</w:t>
      </w:r>
    </w:p>
    <w:p w:rsidR="00103258" w:rsidRPr="008F4100" w:rsidRDefault="00103258">
      <w:pPr>
        <w:ind w:right="-1"/>
        <w:jc w:val="both"/>
        <w:rPr>
          <w:sz w:val="22"/>
          <w:szCs w:val="22"/>
          <w:lang w:val="sk-SK"/>
        </w:rPr>
      </w:pPr>
      <w:r w:rsidRPr="008F4100">
        <w:rPr>
          <w:sz w:val="22"/>
          <w:szCs w:val="22"/>
          <w:lang w:val="sk-SK"/>
        </w:rPr>
        <w:t>Nie sú k dispozícii alebo je iba obmedzené množstvo údajov o topickom použití betametazónvalerátu u gravidných žien. Štúdie na zvieratách preukázali reprodukčnú toxicitu (pozri časť 5.3).</w:t>
      </w:r>
    </w:p>
    <w:p w:rsidR="00103258" w:rsidRPr="008F4100" w:rsidRDefault="00103258">
      <w:pPr>
        <w:ind w:right="-1"/>
        <w:jc w:val="both"/>
        <w:rPr>
          <w:sz w:val="22"/>
          <w:szCs w:val="22"/>
          <w:lang w:val="sk-SK"/>
        </w:rPr>
      </w:pPr>
      <w:r w:rsidRPr="008F4100">
        <w:rPr>
          <w:sz w:val="22"/>
          <w:szCs w:val="22"/>
          <w:lang w:val="sk-SK"/>
        </w:rPr>
        <w:t>Fucicort sa nemá používať počas gravidity, pokiaľ klinický stav ženy nevyžaduje liečbu kyselinou fusidovou a betametazónvalerátom.</w:t>
      </w:r>
    </w:p>
    <w:p w:rsidR="00103258" w:rsidRPr="008F4100" w:rsidRDefault="00103258">
      <w:pPr>
        <w:ind w:right="-1"/>
        <w:jc w:val="both"/>
        <w:rPr>
          <w:sz w:val="22"/>
          <w:szCs w:val="22"/>
          <w:u w:val="single"/>
          <w:lang w:val="sk-SK"/>
        </w:rPr>
      </w:pPr>
    </w:p>
    <w:p w:rsidR="00103258" w:rsidRPr="008F4100" w:rsidRDefault="00103258">
      <w:pPr>
        <w:ind w:right="-1"/>
        <w:jc w:val="both"/>
        <w:rPr>
          <w:sz w:val="22"/>
          <w:szCs w:val="22"/>
          <w:u w:val="single"/>
          <w:lang w:val="sk-SK"/>
        </w:rPr>
      </w:pPr>
      <w:r w:rsidRPr="008F4100">
        <w:rPr>
          <w:sz w:val="22"/>
          <w:szCs w:val="22"/>
          <w:u w:val="single"/>
          <w:lang w:val="sk-SK"/>
        </w:rPr>
        <w:t>Laktácia:</w:t>
      </w:r>
    </w:p>
    <w:p w:rsidR="00103258" w:rsidRPr="008F4100" w:rsidRDefault="00103258">
      <w:pPr>
        <w:ind w:right="-1"/>
        <w:jc w:val="both"/>
        <w:rPr>
          <w:sz w:val="22"/>
          <w:szCs w:val="22"/>
          <w:lang w:val="sk-SK"/>
        </w:rPr>
      </w:pPr>
      <w:r w:rsidRPr="008F4100">
        <w:rPr>
          <w:sz w:val="22"/>
          <w:szCs w:val="22"/>
          <w:lang w:val="sk-SK"/>
        </w:rPr>
        <w:t>Neočakáva sa žiaden účinok u dojčených novorodencov/dojčiat, keďže systémová expozícia kyseline fusidovej a betametazónvalerátu po topickej aplikácii na malé plochy kože u dojčiacich žien je zanedbateľná.</w:t>
      </w:r>
    </w:p>
    <w:p w:rsidR="00103258" w:rsidRPr="008F4100" w:rsidRDefault="00103258">
      <w:pPr>
        <w:ind w:right="-1"/>
        <w:jc w:val="both"/>
        <w:rPr>
          <w:sz w:val="22"/>
          <w:szCs w:val="22"/>
          <w:lang w:val="sk-SK"/>
        </w:rPr>
      </w:pPr>
      <w:r w:rsidRPr="008F4100">
        <w:rPr>
          <w:sz w:val="22"/>
          <w:szCs w:val="22"/>
          <w:lang w:val="sk-SK"/>
        </w:rPr>
        <w:t xml:space="preserve">Fucicort sa môže používať počas laktácie, ale neodporúča sa používať ho aj na kožu prsníkov. </w:t>
      </w:r>
    </w:p>
    <w:p w:rsidR="00103258" w:rsidRPr="008F4100" w:rsidRDefault="00103258">
      <w:pPr>
        <w:ind w:right="-1"/>
        <w:jc w:val="both"/>
        <w:rPr>
          <w:sz w:val="22"/>
          <w:szCs w:val="22"/>
          <w:lang w:val="sk-SK"/>
        </w:rPr>
      </w:pPr>
    </w:p>
    <w:p w:rsidR="00103258" w:rsidRPr="008F4100" w:rsidRDefault="00103258">
      <w:pPr>
        <w:ind w:right="-1"/>
        <w:jc w:val="both"/>
        <w:rPr>
          <w:sz w:val="22"/>
          <w:szCs w:val="22"/>
          <w:u w:val="single"/>
          <w:lang w:val="sk-SK"/>
        </w:rPr>
      </w:pPr>
      <w:r w:rsidRPr="008F4100">
        <w:rPr>
          <w:sz w:val="22"/>
          <w:szCs w:val="22"/>
          <w:u w:val="single"/>
          <w:lang w:val="sk-SK"/>
        </w:rPr>
        <w:t>Fertilita:</w:t>
      </w:r>
    </w:p>
    <w:p w:rsidR="00103258" w:rsidRPr="008F4100" w:rsidRDefault="00103258">
      <w:pPr>
        <w:ind w:right="-1"/>
        <w:jc w:val="both"/>
        <w:rPr>
          <w:sz w:val="22"/>
          <w:szCs w:val="22"/>
          <w:lang w:val="sk-SK"/>
        </w:rPr>
      </w:pPr>
      <w:r w:rsidRPr="008F4100">
        <w:rPr>
          <w:sz w:val="22"/>
          <w:szCs w:val="22"/>
          <w:lang w:val="sk-SK"/>
        </w:rPr>
        <w:t>Neuskutočnili sa žiadne klinické štúdie s Fucicortom vo vzťahu k fertilite.</w:t>
      </w:r>
    </w:p>
    <w:p w:rsidR="00103258" w:rsidRPr="008F4100" w:rsidRDefault="00103258">
      <w:pPr>
        <w:ind w:right="-1"/>
        <w:jc w:val="both"/>
        <w:rPr>
          <w:sz w:val="22"/>
          <w:szCs w:val="22"/>
          <w:u w:val="single"/>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4.7 Ovplyvnenie schopnosti viesť vozidlá a obsluhovať stroje</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Fucicort nemá žiadny alebo má zanedbateľný vplyv na schopnosť viesť vozidlá a obsluhovať stroje.</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4.8 Nežiaduce účinky</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Odhadované frekvencie výskytu nežiaducich účinkov vychádzajú zo spoločnej analýzy údajov z</w:t>
      </w:r>
      <w:r>
        <w:rPr>
          <w:sz w:val="22"/>
          <w:szCs w:val="22"/>
          <w:lang w:val="sk-SK"/>
        </w:rPr>
        <w:t> </w:t>
      </w:r>
      <w:r w:rsidRPr="008F4100">
        <w:rPr>
          <w:sz w:val="22"/>
          <w:szCs w:val="22"/>
          <w:lang w:val="sk-SK"/>
        </w:rPr>
        <w:t>klinických štúdií a spontánnych hlásení.</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Najčastejšie hlásenou nežiaducou reakciou zaznamenanou počas liečby je svrbenie.</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Nežiaduce účinky sú uvedené podľa tried orgánových systémov databázy MedDRA, pričom jednotlivé nežiaduce účinky sú vymenované v poradí od najčastejšie hláseného účinku. Nežiaduce účinky sú v</w:t>
      </w:r>
      <w:r>
        <w:rPr>
          <w:sz w:val="22"/>
          <w:szCs w:val="22"/>
          <w:lang w:val="sk-SK"/>
        </w:rPr>
        <w:t> </w:t>
      </w:r>
      <w:r w:rsidRPr="008F4100">
        <w:rPr>
          <w:sz w:val="22"/>
          <w:szCs w:val="22"/>
          <w:lang w:val="sk-SK"/>
        </w:rPr>
        <w:t>jednotlivých frekvenciách vymenované v poradí s klesajúcou závažnosťou.</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 xml:space="preserve">Veľmi časté </w:t>
      </w:r>
      <w:r>
        <w:rPr>
          <w:sz w:val="22"/>
          <w:szCs w:val="22"/>
          <w:lang w:val="sk-SK"/>
        </w:rPr>
        <w:sym w:font="Symbol" w:char="F0B3"/>
      </w:r>
      <w:r w:rsidRPr="008F4100">
        <w:rPr>
          <w:sz w:val="22"/>
          <w:szCs w:val="22"/>
          <w:lang w:val="sk-SK"/>
        </w:rPr>
        <w:t>1/10</w:t>
      </w:r>
    </w:p>
    <w:p w:rsidR="00103258" w:rsidRPr="008F4100" w:rsidRDefault="00103258">
      <w:pPr>
        <w:ind w:right="-1"/>
        <w:jc w:val="both"/>
        <w:rPr>
          <w:sz w:val="22"/>
          <w:szCs w:val="22"/>
          <w:lang w:val="sk-SK"/>
        </w:rPr>
      </w:pPr>
      <w:r w:rsidRPr="008F4100">
        <w:rPr>
          <w:sz w:val="22"/>
          <w:szCs w:val="22"/>
          <w:lang w:val="sk-SK"/>
        </w:rPr>
        <w:t xml:space="preserve">Časté </w:t>
      </w:r>
      <w:r>
        <w:rPr>
          <w:sz w:val="22"/>
          <w:szCs w:val="22"/>
          <w:lang w:val="sk-SK"/>
        </w:rPr>
        <w:sym w:font="Symbol" w:char="F0B3"/>
      </w:r>
      <w:r w:rsidRPr="008F4100">
        <w:rPr>
          <w:sz w:val="22"/>
          <w:szCs w:val="22"/>
          <w:lang w:val="sk-SK"/>
        </w:rPr>
        <w:t>1/100 a &lt;1/10</w:t>
      </w:r>
    </w:p>
    <w:p w:rsidR="00103258" w:rsidRPr="008F4100" w:rsidRDefault="00103258">
      <w:pPr>
        <w:ind w:right="-1"/>
        <w:jc w:val="both"/>
        <w:rPr>
          <w:sz w:val="22"/>
          <w:szCs w:val="22"/>
          <w:lang w:val="sk-SK"/>
        </w:rPr>
      </w:pPr>
      <w:r w:rsidRPr="008F4100">
        <w:rPr>
          <w:sz w:val="22"/>
          <w:szCs w:val="22"/>
          <w:lang w:val="sk-SK"/>
        </w:rPr>
        <w:t xml:space="preserve">Menej časté </w:t>
      </w:r>
      <w:r>
        <w:rPr>
          <w:sz w:val="22"/>
          <w:szCs w:val="22"/>
          <w:lang w:val="sk-SK"/>
        </w:rPr>
        <w:sym w:font="Symbol" w:char="F0B3"/>
      </w:r>
      <w:r w:rsidRPr="008F4100">
        <w:rPr>
          <w:sz w:val="22"/>
          <w:szCs w:val="22"/>
          <w:lang w:val="sk-SK"/>
        </w:rPr>
        <w:t>1/1000 a &lt;1/100</w:t>
      </w:r>
    </w:p>
    <w:p w:rsidR="00103258" w:rsidRPr="008F4100" w:rsidRDefault="00103258">
      <w:pPr>
        <w:ind w:right="-1"/>
        <w:jc w:val="both"/>
        <w:rPr>
          <w:sz w:val="22"/>
          <w:szCs w:val="22"/>
          <w:lang w:val="sk-SK"/>
        </w:rPr>
      </w:pPr>
      <w:r w:rsidRPr="008F4100">
        <w:rPr>
          <w:sz w:val="22"/>
          <w:szCs w:val="22"/>
          <w:lang w:val="sk-SK"/>
        </w:rPr>
        <w:t xml:space="preserve">Zriedkavé </w:t>
      </w:r>
      <w:r>
        <w:rPr>
          <w:sz w:val="22"/>
          <w:szCs w:val="22"/>
          <w:lang w:val="sk-SK"/>
        </w:rPr>
        <w:sym w:font="Symbol" w:char="F0B3"/>
      </w:r>
      <w:r w:rsidRPr="008F4100">
        <w:rPr>
          <w:sz w:val="22"/>
          <w:szCs w:val="22"/>
          <w:lang w:val="sk-SK"/>
        </w:rPr>
        <w:t xml:space="preserve">1/10 </w:t>
      </w:r>
      <w:smartTag w:uri="urn:schemas-microsoft-com:office:smarttags" w:element="metricconverter">
        <w:smartTagPr>
          <w:attr w:name="ProductID" w:val="000 a"/>
        </w:smartTagPr>
        <w:r w:rsidRPr="008F4100">
          <w:rPr>
            <w:sz w:val="22"/>
            <w:szCs w:val="22"/>
            <w:lang w:val="sk-SK"/>
          </w:rPr>
          <w:t>000 a</w:t>
        </w:r>
      </w:smartTag>
      <w:r w:rsidRPr="008F4100">
        <w:rPr>
          <w:sz w:val="22"/>
          <w:szCs w:val="22"/>
          <w:lang w:val="sk-SK"/>
        </w:rPr>
        <w:t xml:space="preserve"> &lt;1/1000</w:t>
      </w:r>
    </w:p>
    <w:p w:rsidR="00103258" w:rsidRPr="008F4100" w:rsidRDefault="00103258">
      <w:pPr>
        <w:ind w:right="-1"/>
        <w:jc w:val="both"/>
        <w:rPr>
          <w:sz w:val="22"/>
          <w:szCs w:val="22"/>
          <w:lang w:val="sk-SK"/>
        </w:rPr>
      </w:pPr>
      <w:r w:rsidRPr="008F4100">
        <w:rPr>
          <w:sz w:val="22"/>
          <w:szCs w:val="22"/>
          <w:lang w:val="sk-SK"/>
        </w:rPr>
        <w:t>Veľmi zriedkavé &lt;1/10 000</w:t>
      </w:r>
    </w:p>
    <w:p w:rsidR="00103258" w:rsidRPr="008F4100" w:rsidRDefault="00103258">
      <w:pPr>
        <w:ind w:right="-1"/>
        <w:jc w:val="both"/>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5"/>
        <w:gridCol w:w="4606"/>
      </w:tblGrid>
      <w:tr w:rsidR="00103258" w:rsidRPr="00093DD9" w:rsidTr="00C829E6">
        <w:tc>
          <w:tcPr>
            <w:tcW w:w="9211" w:type="dxa"/>
            <w:gridSpan w:val="2"/>
          </w:tcPr>
          <w:p w:rsidR="00103258" w:rsidRPr="008F4100" w:rsidRDefault="00103258" w:rsidP="00C829E6">
            <w:pPr>
              <w:ind w:right="-1"/>
              <w:jc w:val="both"/>
              <w:rPr>
                <w:b/>
                <w:lang w:val="sk-SK"/>
              </w:rPr>
            </w:pPr>
            <w:r w:rsidRPr="008F4100">
              <w:rPr>
                <w:b/>
                <w:sz w:val="22"/>
                <w:szCs w:val="22"/>
                <w:lang w:val="sk-SK"/>
              </w:rPr>
              <w:t>Poruchy imunitného systému</w:t>
            </w:r>
          </w:p>
        </w:tc>
      </w:tr>
      <w:tr w:rsidR="00103258" w:rsidRPr="00093DD9" w:rsidTr="00C829E6">
        <w:tc>
          <w:tcPr>
            <w:tcW w:w="4605" w:type="dxa"/>
          </w:tcPr>
          <w:p w:rsidR="00103258" w:rsidRPr="008F4100" w:rsidRDefault="00103258" w:rsidP="00C829E6">
            <w:pPr>
              <w:ind w:right="-1"/>
              <w:jc w:val="both"/>
              <w:rPr>
                <w:lang w:val="sk-SK"/>
              </w:rPr>
            </w:pPr>
            <w:r w:rsidRPr="008F4100">
              <w:rPr>
                <w:sz w:val="22"/>
                <w:szCs w:val="22"/>
                <w:lang w:val="sk-SK"/>
              </w:rPr>
              <w:t>Menej časté:</w:t>
            </w:r>
          </w:p>
          <w:p w:rsidR="00103258" w:rsidRPr="008F4100" w:rsidRDefault="00103258" w:rsidP="00C829E6">
            <w:pPr>
              <w:ind w:right="-1"/>
              <w:jc w:val="both"/>
              <w:rPr>
                <w:lang w:val="sk-SK"/>
              </w:rPr>
            </w:pPr>
            <w:r w:rsidRPr="008F4100">
              <w:rPr>
                <w:sz w:val="22"/>
                <w:szCs w:val="22"/>
                <w:lang w:val="sk-SK"/>
              </w:rPr>
              <w:t>(</w:t>
            </w:r>
            <w:r>
              <w:rPr>
                <w:sz w:val="22"/>
                <w:szCs w:val="22"/>
                <w:lang w:val="sk-SK"/>
              </w:rPr>
              <w:sym w:font="Symbol" w:char="F0B3"/>
            </w:r>
            <w:r w:rsidRPr="008F4100">
              <w:rPr>
                <w:sz w:val="22"/>
                <w:szCs w:val="22"/>
                <w:lang w:val="sk-SK"/>
              </w:rPr>
              <w:t>1/1000 a &lt;1/100)</w:t>
            </w:r>
          </w:p>
        </w:tc>
        <w:tc>
          <w:tcPr>
            <w:tcW w:w="4606" w:type="dxa"/>
          </w:tcPr>
          <w:p w:rsidR="00103258" w:rsidRPr="008F4100" w:rsidRDefault="00103258" w:rsidP="00C829E6">
            <w:pPr>
              <w:ind w:right="-1"/>
              <w:jc w:val="both"/>
              <w:rPr>
                <w:lang w:val="sk-SK"/>
              </w:rPr>
            </w:pPr>
            <w:r w:rsidRPr="008F4100">
              <w:rPr>
                <w:sz w:val="22"/>
                <w:szCs w:val="22"/>
                <w:lang w:val="sk-SK"/>
              </w:rPr>
              <w:t>Precitlivenosť</w:t>
            </w:r>
          </w:p>
        </w:tc>
      </w:tr>
      <w:tr w:rsidR="00103258" w:rsidRPr="00093DD9" w:rsidTr="00C829E6">
        <w:tc>
          <w:tcPr>
            <w:tcW w:w="9211" w:type="dxa"/>
            <w:gridSpan w:val="2"/>
          </w:tcPr>
          <w:p w:rsidR="00103258" w:rsidRPr="008F4100" w:rsidRDefault="00103258" w:rsidP="00C829E6">
            <w:pPr>
              <w:ind w:right="-1"/>
              <w:jc w:val="both"/>
              <w:rPr>
                <w:b/>
                <w:lang w:val="sk-SK"/>
              </w:rPr>
            </w:pPr>
            <w:r w:rsidRPr="008F4100">
              <w:rPr>
                <w:b/>
                <w:sz w:val="22"/>
                <w:szCs w:val="22"/>
                <w:lang w:val="sk-SK"/>
              </w:rPr>
              <w:t>Poruchy kože a</w:t>
            </w:r>
            <w:r>
              <w:rPr>
                <w:b/>
                <w:sz w:val="22"/>
                <w:szCs w:val="22"/>
                <w:lang w:val="sk-SK"/>
              </w:rPr>
              <w:t> </w:t>
            </w:r>
            <w:r w:rsidRPr="008F4100">
              <w:rPr>
                <w:b/>
                <w:sz w:val="22"/>
                <w:szCs w:val="22"/>
                <w:lang w:val="sk-SK"/>
              </w:rPr>
              <w:t>podkožného tkaniva</w:t>
            </w:r>
          </w:p>
        </w:tc>
      </w:tr>
      <w:tr w:rsidR="00103258" w:rsidRPr="00093DD9" w:rsidTr="00C829E6">
        <w:tc>
          <w:tcPr>
            <w:tcW w:w="4605" w:type="dxa"/>
          </w:tcPr>
          <w:p w:rsidR="00103258" w:rsidRPr="008F4100" w:rsidRDefault="00103258" w:rsidP="00C829E6">
            <w:pPr>
              <w:ind w:right="-1"/>
              <w:jc w:val="both"/>
              <w:rPr>
                <w:lang w:val="sk-SK"/>
              </w:rPr>
            </w:pPr>
            <w:r w:rsidRPr="008F4100">
              <w:rPr>
                <w:sz w:val="22"/>
                <w:szCs w:val="22"/>
                <w:lang w:val="sk-SK"/>
              </w:rPr>
              <w:t>Menej časté:</w:t>
            </w:r>
          </w:p>
          <w:p w:rsidR="00103258" w:rsidRPr="008F4100" w:rsidRDefault="00103258" w:rsidP="00C829E6">
            <w:pPr>
              <w:ind w:right="-1"/>
              <w:jc w:val="both"/>
              <w:rPr>
                <w:lang w:val="sk-SK"/>
              </w:rPr>
            </w:pPr>
            <w:r w:rsidRPr="008F4100">
              <w:rPr>
                <w:sz w:val="22"/>
                <w:szCs w:val="22"/>
                <w:lang w:val="sk-SK"/>
              </w:rPr>
              <w:t>(</w:t>
            </w:r>
            <w:r>
              <w:rPr>
                <w:sz w:val="22"/>
                <w:szCs w:val="22"/>
                <w:lang w:val="sk-SK"/>
              </w:rPr>
              <w:sym w:font="Symbol" w:char="F0B3"/>
            </w:r>
            <w:r w:rsidRPr="008F4100">
              <w:rPr>
                <w:sz w:val="22"/>
                <w:szCs w:val="22"/>
                <w:lang w:val="sk-SK"/>
              </w:rPr>
              <w:t>1/1000 a &lt;1/100)</w:t>
            </w:r>
          </w:p>
        </w:tc>
        <w:tc>
          <w:tcPr>
            <w:tcW w:w="4606" w:type="dxa"/>
          </w:tcPr>
          <w:p w:rsidR="00103258" w:rsidRPr="008F4100" w:rsidRDefault="00103258" w:rsidP="00C829E6">
            <w:pPr>
              <w:ind w:right="-1"/>
              <w:jc w:val="both"/>
              <w:rPr>
                <w:lang w:val="sk-SK"/>
              </w:rPr>
            </w:pPr>
            <w:r w:rsidRPr="008F4100">
              <w:rPr>
                <w:sz w:val="22"/>
                <w:szCs w:val="22"/>
                <w:lang w:val="sk-SK"/>
              </w:rPr>
              <w:t>Kontaktná dermatitída</w:t>
            </w:r>
          </w:p>
          <w:p w:rsidR="00103258" w:rsidRPr="008F4100" w:rsidRDefault="00103258" w:rsidP="00C829E6">
            <w:pPr>
              <w:ind w:right="-1"/>
              <w:jc w:val="both"/>
              <w:rPr>
                <w:lang w:val="sk-SK"/>
              </w:rPr>
            </w:pPr>
            <w:r w:rsidRPr="008F4100">
              <w:rPr>
                <w:sz w:val="22"/>
                <w:szCs w:val="22"/>
                <w:lang w:val="sk-SK"/>
              </w:rPr>
              <w:t>Ekzém (zhoršenie stavu)</w:t>
            </w:r>
          </w:p>
          <w:p w:rsidR="00103258" w:rsidRPr="008F4100" w:rsidRDefault="00103258" w:rsidP="00C829E6">
            <w:pPr>
              <w:ind w:right="-1"/>
              <w:jc w:val="both"/>
              <w:rPr>
                <w:lang w:val="sk-SK"/>
              </w:rPr>
            </w:pPr>
            <w:r w:rsidRPr="008F4100">
              <w:rPr>
                <w:sz w:val="22"/>
                <w:szCs w:val="22"/>
                <w:lang w:val="sk-SK"/>
              </w:rPr>
              <w:t>Pocit pálenia kože</w:t>
            </w:r>
          </w:p>
          <w:p w:rsidR="00103258" w:rsidRPr="008F4100" w:rsidRDefault="00103258" w:rsidP="00C829E6">
            <w:pPr>
              <w:ind w:right="-1"/>
              <w:jc w:val="both"/>
              <w:rPr>
                <w:lang w:val="sk-SK"/>
              </w:rPr>
            </w:pPr>
            <w:r w:rsidRPr="008F4100">
              <w:rPr>
                <w:sz w:val="22"/>
                <w:szCs w:val="22"/>
                <w:lang w:val="sk-SK"/>
              </w:rPr>
              <w:t>Svrbenie</w:t>
            </w:r>
          </w:p>
          <w:p w:rsidR="00103258" w:rsidRPr="008F4100" w:rsidRDefault="00103258" w:rsidP="00C829E6">
            <w:pPr>
              <w:ind w:right="-1"/>
              <w:jc w:val="both"/>
              <w:rPr>
                <w:lang w:val="sk-SK"/>
              </w:rPr>
            </w:pPr>
            <w:r w:rsidRPr="008F4100">
              <w:rPr>
                <w:sz w:val="22"/>
                <w:szCs w:val="22"/>
                <w:lang w:val="sk-SK"/>
              </w:rPr>
              <w:t>Suchá koža</w:t>
            </w:r>
          </w:p>
        </w:tc>
      </w:tr>
      <w:tr w:rsidR="00103258" w:rsidRPr="00093DD9" w:rsidTr="00C829E6">
        <w:tc>
          <w:tcPr>
            <w:tcW w:w="4605" w:type="dxa"/>
          </w:tcPr>
          <w:p w:rsidR="00103258" w:rsidRPr="008F4100" w:rsidRDefault="00103258" w:rsidP="00C829E6">
            <w:pPr>
              <w:ind w:right="-1"/>
              <w:jc w:val="both"/>
              <w:rPr>
                <w:lang w:val="sk-SK"/>
              </w:rPr>
            </w:pPr>
            <w:r w:rsidRPr="008F4100">
              <w:rPr>
                <w:sz w:val="22"/>
                <w:szCs w:val="22"/>
                <w:lang w:val="sk-SK"/>
              </w:rPr>
              <w:t>Zriedkavé:</w:t>
            </w:r>
          </w:p>
          <w:p w:rsidR="00103258" w:rsidRPr="008F4100" w:rsidRDefault="00103258" w:rsidP="00C829E6">
            <w:pPr>
              <w:ind w:right="-1"/>
              <w:jc w:val="both"/>
              <w:rPr>
                <w:lang w:val="sk-SK"/>
              </w:rPr>
            </w:pPr>
            <w:r w:rsidRPr="008F4100">
              <w:rPr>
                <w:sz w:val="22"/>
                <w:szCs w:val="22"/>
                <w:lang w:val="sk-SK"/>
              </w:rPr>
              <w:t>(</w:t>
            </w:r>
            <w:r>
              <w:rPr>
                <w:sz w:val="22"/>
                <w:szCs w:val="22"/>
                <w:lang w:val="sk-SK"/>
              </w:rPr>
              <w:sym w:font="Symbol" w:char="F0B3"/>
            </w:r>
            <w:r w:rsidRPr="008F4100">
              <w:rPr>
                <w:sz w:val="22"/>
                <w:szCs w:val="22"/>
                <w:lang w:val="sk-SK"/>
              </w:rPr>
              <w:t xml:space="preserve">1/10 </w:t>
            </w:r>
            <w:smartTag w:uri="urn:schemas-microsoft-com:office:smarttags" w:element="metricconverter">
              <w:smartTagPr>
                <w:attr w:name="ProductID" w:val="000 a"/>
              </w:smartTagPr>
              <w:r w:rsidRPr="008F4100">
                <w:rPr>
                  <w:sz w:val="22"/>
                  <w:szCs w:val="22"/>
                  <w:lang w:val="sk-SK"/>
                </w:rPr>
                <w:t>000 a</w:t>
              </w:r>
            </w:smartTag>
            <w:r w:rsidRPr="008F4100">
              <w:rPr>
                <w:sz w:val="22"/>
                <w:szCs w:val="22"/>
                <w:lang w:val="sk-SK"/>
              </w:rPr>
              <w:t xml:space="preserve"> &lt;1/1000)</w:t>
            </w:r>
          </w:p>
        </w:tc>
        <w:tc>
          <w:tcPr>
            <w:tcW w:w="4606" w:type="dxa"/>
          </w:tcPr>
          <w:p w:rsidR="00103258" w:rsidRPr="008F4100" w:rsidRDefault="00103258" w:rsidP="00C829E6">
            <w:pPr>
              <w:ind w:right="-1"/>
              <w:jc w:val="both"/>
              <w:rPr>
                <w:lang w:val="sk-SK"/>
              </w:rPr>
            </w:pPr>
            <w:r w:rsidRPr="008F4100">
              <w:rPr>
                <w:sz w:val="22"/>
                <w:szCs w:val="22"/>
                <w:lang w:val="sk-SK"/>
              </w:rPr>
              <w:t>Erytém</w:t>
            </w:r>
          </w:p>
          <w:p w:rsidR="00103258" w:rsidRPr="008F4100" w:rsidRDefault="00103258" w:rsidP="00C829E6">
            <w:pPr>
              <w:ind w:right="-1"/>
              <w:jc w:val="both"/>
              <w:rPr>
                <w:lang w:val="sk-SK"/>
              </w:rPr>
            </w:pPr>
            <w:r w:rsidRPr="008F4100">
              <w:rPr>
                <w:sz w:val="22"/>
                <w:szCs w:val="22"/>
                <w:lang w:val="sk-SK"/>
              </w:rPr>
              <w:t>Urtikária</w:t>
            </w:r>
          </w:p>
          <w:p w:rsidR="00103258" w:rsidRPr="008F4100" w:rsidRDefault="00103258" w:rsidP="00C829E6">
            <w:pPr>
              <w:ind w:right="-1"/>
              <w:jc w:val="both"/>
              <w:rPr>
                <w:lang w:val="sk-SK"/>
              </w:rPr>
            </w:pPr>
            <w:r w:rsidRPr="008F4100">
              <w:rPr>
                <w:sz w:val="22"/>
                <w:szCs w:val="22"/>
                <w:lang w:val="sk-SK"/>
              </w:rPr>
              <w:t>Vyrážka (vrátane erytematóznej vyrážky a</w:t>
            </w:r>
            <w:r>
              <w:rPr>
                <w:sz w:val="22"/>
                <w:szCs w:val="22"/>
                <w:lang w:val="sk-SK"/>
              </w:rPr>
              <w:t> </w:t>
            </w:r>
            <w:r w:rsidRPr="008F4100">
              <w:rPr>
                <w:sz w:val="22"/>
                <w:szCs w:val="22"/>
                <w:lang w:val="sk-SK"/>
              </w:rPr>
              <w:t>generalizovanej kožnej vyrážky)</w:t>
            </w:r>
          </w:p>
        </w:tc>
      </w:tr>
      <w:tr w:rsidR="00103258" w:rsidRPr="00093DD9" w:rsidTr="00C829E6">
        <w:tc>
          <w:tcPr>
            <w:tcW w:w="4605" w:type="dxa"/>
          </w:tcPr>
          <w:p w:rsidR="00103258" w:rsidRPr="008F4100" w:rsidRDefault="00103258" w:rsidP="00C829E6">
            <w:pPr>
              <w:ind w:right="-1"/>
              <w:jc w:val="both"/>
              <w:rPr>
                <w:b/>
                <w:lang w:val="sk-SK"/>
              </w:rPr>
            </w:pPr>
            <w:r w:rsidRPr="008F4100">
              <w:rPr>
                <w:b/>
                <w:sz w:val="22"/>
                <w:szCs w:val="22"/>
                <w:lang w:val="sk-SK"/>
              </w:rPr>
              <w:t>Celkové poruchy a</w:t>
            </w:r>
            <w:r>
              <w:rPr>
                <w:b/>
                <w:sz w:val="22"/>
                <w:szCs w:val="22"/>
                <w:lang w:val="sk-SK"/>
              </w:rPr>
              <w:t> </w:t>
            </w:r>
            <w:r w:rsidRPr="008F4100">
              <w:rPr>
                <w:b/>
                <w:sz w:val="22"/>
                <w:szCs w:val="22"/>
                <w:lang w:val="sk-SK"/>
              </w:rPr>
              <w:t>reakcie v</w:t>
            </w:r>
            <w:r>
              <w:rPr>
                <w:b/>
                <w:sz w:val="22"/>
                <w:szCs w:val="22"/>
                <w:lang w:val="sk-SK"/>
              </w:rPr>
              <w:t> </w:t>
            </w:r>
            <w:r w:rsidRPr="008F4100">
              <w:rPr>
                <w:b/>
                <w:sz w:val="22"/>
                <w:szCs w:val="22"/>
                <w:lang w:val="sk-SK"/>
              </w:rPr>
              <w:t>mieste podania</w:t>
            </w:r>
          </w:p>
        </w:tc>
        <w:tc>
          <w:tcPr>
            <w:tcW w:w="4606" w:type="dxa"/>
          </w:tcPr>
          <w:p w:rsidR="00103258" w:rsidRPr="008F4100" w:rsidRDefault="00103258" w:rsidP="00C829E6">
            <w:pPr>
              <w:ind w:right="-1"/>
              <w:jc w:val="both"/>
              <w:rPr>
                <w:lang w:val="sk-SK"/>
              </w:rPr>
            </w:pPr>
          </w:p>
        </w:tc>
      </w:tr>
      <w:tr w:rsidR="00103258" w:rsidRPr="00093DD9" w:rsidTr="00C829E6">
        <w:tc>
          <w:tcPr>
            <w:tcW w:w="4605" w:type="dxa"/>
          </w:tcPr>
          <w:p w:rsidR="00103258" w:rsidRPr="008F4100" w:rsidRDefault="00103258" w:rsidP="00C829E6">
            <w:pPr>
              <w:ind w:right="-1"/>
              <w:jc w:val="both"/>
              <w:rPr>
                <w:lang w:val="sk-SK"/>
              </w:rPr>
            </w:pPr>
            <w:r w:rsidRPr="008F4100">
              <w:rPr>
                <w:sz w:val="22"/>
                <w:szCs w:val="22"/>
                <w:lang w:val="sk-SK"/>
              </w:rPr>
              <w:t>Menej časté:</w:t>
            </w:r>
          </w:p>
          <w:p w:rsidR="00103258" w:rsidRPr="008F4100" w:rsidRDefault="00103258" w:rsidP="00C829E6">
            <w:pPr>
              <w:ind w:right="-1"/>
              <w:jc w:val="both"/>
              <w:rPr>
                <w:lang w:val="sk-SK"/>
              </w:rPr>
            </w:pPr>
            <w:r w:rsidRPr="008F4100">
              <w:rPr>
                <w:sz w:val="22"/>
                <w:szCs w:val="22"/>
                <w:lang w:val="sk-SK"/>
              </w:rPr>
              <w:t>(</w:t>
            </w:r>
            <w:r>
              <w:rPr>
                <w:sz w:val="22"/>
                <w:szCs w:val="22"/>
                <w:lang w:val="sk-SK"/>
              </w:rPr>
              <w:sym w:font="Symbol" w:char="F0B3"/>
            </w:r>
            <w:r w:rsidRPr="008F4100">
              <w:rPr>
                <w:sz w:val="22"/>
                <w:szCs w:val="22"/>
                <w:lang w:val="sk-SK"/>
              </w:rPr>
              <w:t>1/1000 a &lt;1/100)</w:t>
            </w:r>
          </w:p>
        </w:tc>
        <w:tc>
          <w:tcPr>
            <w:tcW w:w="4606" w:type="dxa"/>
          </w:tcPr>
          <w:p w:rsidR="00103258" w:rsidRPr="008F4100" w:rsidRDefault="00103258" w:rsidP="00C829E6">
            <w:pPr>
              <w:ind w:right="-1"/>
              <w:jc w:val="both"/>
              <w:rPr>
                <w:lang w:val="sk-SK"/>
              </w:rPr>
            </w:pPr>
            <w:r w:rsidRPr="008F4100">
              <w:rPr>
                <w:sz w:val="22"/>
                <w:szCs w:val="22"/>
                <w:lang w:val="sk-SK"/>
              </w:rPr>
              <w:t>Bolesť v</w:t>
            </w:r>
            <w:r>
              <w:rPr>
                <w:sz w:val="22"/>
                <w:szCs w:val="22"/>
                <w:lang w:val="sk-SK"/>
              </w:rPr>
              <w:t> </w:t>
            </w:r>
            <w:r w:rsidRPr="008F4100">
              <w:rPr>
                <w:sz w:val="22"/>
                <w:szCs w:val="22"/>
                <w:lang w:val="sk-SK"/>
              </w:rPr>
              <w:t>mieste aplikácie</w:t>
            </w:r>
          </w:p>
          <w:p w:rsidR="00103258" w:rsidRPr="008F4100" w:rsidRDefault="00103258" w:rsidP="00C829E6">
            <w:pPr>
              <w:ind w:right="-1"/>
              <w:jc w:val="both"/>
              <w:rPr>
                <w:lang w:val="sk-SK"/>
              </w:rPr>
            </w:pPr>
            <w:r w:rsidRPr="008F4100">
              <w:rPr>
                <w:sz w:val="22"/>
                <w:szCs w:val="22"/>
                <w:lang w:val="sk-SK"/>
              </w:rPr>
              <w:t>Podráždenie v</w:t>
            </w:r>
            <w:r>
              <w:rPr>
                <w:sz w:val="22"/>
                <w:szCs w:val="22"/>
                <w:lang w:val="sk-SK"/>
              </w:rPr>
              <w:t> </w:t>
            </w:r>
            <w:r w:rsidRPr="008F4100">
              <w:rPr>
                <w:sz w:val="22"/>
                <w:szCs w:val="22"/>
                <w:lang w:val="sk-SK"/>
              </w:rPr>
              <w:t>mieste aplikácie</w:t>
            </w:r>
          </w:p>
        </w:tc>
      </w:tr>
      <w:tr w:rsidR="00103258" w:rsidRPr="00093DD9" w:rsidTr="00C829E6">
        <w:tc>
          <w:tcPr>
            <w:tcW w:w="4605" w:type="dxa"/>
          </w:tcPr>
          <w:p w:rsidR="00103258" w:rsidRPr="008F4100" w:rsidRDefault="00103258" w:rsidP="00C829E6">
            <w:pPr>
              <w:ind w:right="-1"/>
              <w:jc w:val="both"/>
              <w:rPr>
                <w:lang w:val="sk-SK"/>
              </w:rPr>
            </w:pPr>
            <w:r w:rsidRPr="008F4100">
              <w:rPr>
                <w:sz w:val="22"/>
                <w:szCs w:val="22"/>
                <w:lang w:val="sk-SK"/>
              </w:rPr>
              <w:t>Zriedkavé:</w:t>
            </w:r>
          </w:p>
          <w:p w:rsidR="00103258" w:rsidRPr="008F4100" w:rsidRDefault="00103258" w:rsidP="00C829E6">
            <w:pPr>
              <w:ind w:right="-1"/>
              <w:jc w:val="both"/>
              <w:rPr>
                <w:lang w:val="sk-SK"/>
              </w:rPr>
            </w:pPr>
            <w:r w:rsidRPr="008F4100">
              <w:rPr>
                <w:sz w:val="22"/>
                <w:szCs w:val="22"/>
                <w:lang w:val="sk-SK"/>
              </w:rPr>
              <w:t>(</w:t>
            </w:r>
            <w:r>
              <w:rPr>
                <w:sz w:val="22"/>
                <w:szCs w:val="22"/>
                <w:lang w:val="sk-SK"/>
              </w:rPr>
              <w:sym w:font="Symbol" w:char="F0B3"/>
            </w:r>
            <w:r w:rsidRPr="008F4100">
              <w:rPr>
                <w:sz w:val="22"/>
                <w:szCs w:val="22"/>
                <w:lang w:val="sk-SK"/>
              </w:rPr>
              <w:t xml:space="preserve">1/10 </w:t>
            </w:r>
            <w:smartTag w:uri="urn:schemas-microsoft-com:office:smarttags" w:element="metricconverter">
              <w:smartTagPr>
                <w:attr w:name="ProductID" w:val="000 a"/>
              </w:smartTagPr>
              <w:r w:rsidRPr="008F4100">
                <w:rPr>
                  <w:sz w:val="22"/>
                  <w:szCs w:val="22"/>
                  <w:lang w:val="sk-SK"/>
                </w:rPr>
                <w:t>000 a</w:t>
              </w:r>
            </w:smartTag>
            <w:r w:rsidRPr="008F4100">
              <w:rPr>
                <w:sz w:val="22"/>
                <w:szCs w:val="22"/>
                <w:lang w:val="sk-SK"/>
              </w:rPr>
              <w:t xml:space="preserve"> &lt;1/1000)</w:t>
            </w:r>
          </w:p>
        </w:tc>
        <w:tc>
          <w:tcPr>
            <w:tcW w:w="4606" w:type="dxa"/>
          </w:tcPr>
          <w:p w:rsidR="00103258" w:rsidRPr="008F4100" w:rsidRDefault="00103258" w:rsidP="00C829E6">
            <w:pPr>
              <w:ind w:right="-1"/>
              <w:jc w:val="both"/>
              <w:rPr>
                <w:lang w:val="sk-SK"/>
              </w:rPr>
            </w:pPr>
            <w:r w:rsidRPr="008F4100">
              <w:rPr>
                <w:sz w:val="22"/>
                <w:szCs w:val="22"/>
                <w:lang w:val="sk-SK"/>
              </w:rPr>
              <w:t>Opuch v</w:t>
            </w:r>
            <w:r>
              <w:rPr>
                <w:sz w:val="22"/>
                <w:szCs w:val="22"/>
                <w:lang w:val="sk-SK"/>
              </w:rPr>
              <w:t> </w:t>
            </w:r>
            <w:r w:rsidRPr="008F4100">
              <w:rPr>
                <w:sz w:val="22"/>
                <w:szCs w:val="22"/>
                <w:lang w:val="sk-SK"/>
              </w:rPr>
              <w:t>mieste aplikácie</w:t>
            </w:r>
          </w:p>
          <w:p w:rsidR="00103258" w:rsidRPr="008F4100" w:rsidRDefault="00103258" w:rsidP="00C829E6">
            <w:pPr>
              <w:ind w:right="-1"/>
              <w:jc w:val="both"/>
              <w:rPr>
                <w:lang w:val="sk-SK"/>
              </w:rPr>
            </w:pPr>
            <w:r w:rsidRPr="008F4100">
              <w:rPr>
                <w:sz w:val="22"/>
                <w:szCs w:val="22"/>
                <w:lang w:val="sk-SK"/>
              </w:rPr>
              <w:t>Pľuzgiere v</w:t>
            </w:r>
            <w:r>
              <w:rPr>
                <w:sz w:val="22"/>
                <w:szCs w:val="22"/>
                <w:lang w:val="sk-SK"/>
              </w:rPr>
              <w:t> </w:t>
            </w:r>
            <w:r w:rsidRPr="008F4100">
              <w:rPr>
                <w:sz w:val="22"/>
                <w:szCs w:val="22"/>
                <w:lang w:val="sk-SK"/>
              </w:rPr>
              <w:t>mieste aplikácie</w:t>
            </w:r>
          </w:p>
        </w:tc>
      </w:tr>
    </w:tbl>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 xml:space="preserve">Medzi systémové nežiaduce účinky kortikosteroidov, akým je betametazónvalerát, patrí útlak funkcie kôry nadobličiek, hlavne pri dlhotrvajúcom lokálnom podávaní (pozri časť 4.4).  </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Pri lokálnom použití kortikosteroidov v blízkosti očí, zvlášť pri dlhodobom používaní a u pacientov s</w:t>
      </w:r>
      <w:r>
        <w:rPr>
          <w:sz w:val="22"/>
          <w:szCs w:val="22"/>
          <w:lang w:val="sk-SK"/>
        </w:rPr>
        <w:t> </w:t>
      </w:r>
      <w:r w:rsidRPr="008F4100">
        <w:rPr>
          <w:sz w:val="22"/>
          <w:szCs w:val="22"/>
          <w:lang w:val="sk-SK"/>
        </w:rPr>
        <w:t xml:space="preserve">predispozíciou pre vznik glaukómu, môže sa tiež vyskytnúť zvýšený vnútroočný tlak a glaukóm (pozri časť 4.4). </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Dermatologické nežiaduce účinky silne pôsobiacich kortikosteroidov zahŕňajú: atrofiu, dermatitídu (vrátane kontaktnej dermatitídy a akneiformnej dermatitídy), periorálnu dermatitídu, kožné strie, teleangiektáziu, rosaceu, erytém, hypertrichózu, hyperhydrózu a depigmentáciu. Pri dlhodobom topickom používaní kortikosteroidov sa môže vyskytnúť tiež ekchymóza.</w:t>
      </w:r>
    </w:p>
    <w:p w:rsidR="00103258" w:rsidRPr="008F4100" w:rsidRDefault="00103258">
      <w:pPr>
        <w:ind w:right="-1"/>
        <w:jc w:val="both"/>
        <w:rPr>
          <w:sz w:val="22"/>
          <w:szCs w:val="22"/>
          <w:lang w:val="sk-SK"/>
        </w:rPr>
      </w:pPr>
      <w:r w:rsidRPr="008F4100">
        <w:rPr>
          <w:sz w:val="22"/>
          <w:szCs w:val="22"/>
          <w:lang w:val="sk-SK"/>
        </w:rPr>
        <w:t>Účinky triedy kortikosteroidov boli pre Fucicort hlásené menej často, ako sa uvádza v tabuľke frekvencií vyššie.</w:t>
      </w:r>
    </w:p>
    <w:p w:rsidR="00103258" w:rsidRPr="008F4100" w:rsidRDefault="00103258">
      <w:pPr>
        <w:ind w:right="-1"/>
        <w:jc w:val="both"/>
        <w:rPr>
          <w:sz w:val="22"/>
          <w:szCs w:val="22"/>
          <w:lang w:val="sk-SK"/>
        </w:rPr>
      </w:pPr>
    </w:p>
    <w:p w:rsidR="00103258" w:rsidRPr="008F4100" w:rsidRDefault="00103258">
      <w:pPr>
        <w:ind w:right="-1"/>
        <w:jc w:val="both"/>
        <w:rPr>
          <w:sz w:val="22"/>
          <w:szCs w:val="22"/>
          <w:u w:val="single"/>
          <w:lang w:val="sk-SK"/>
        </w:rPr>
      </w:pPr>
      <w:r w:rsidRPr="008F4100">
        <w:rPr>
          <w:sz w:val="22"/>
          <w:szCs w:val="22"/>
          <w:u w:val="single"/>
          <w:lang w:val="sk-SK"/>
        </w:rPr>
        <w:t>Pediatrická populácia</w:t>
      </w:r>
    </w:p>
    <w:p w:rsidR="00103258" w:rsidRPr="008F4100" w:rsidRDefault="00103258">
      <w:pPr>
        <w:ind w:right="-1"/>
        <w:jc w:val="both"/>
        <w:rPr>
          <w:sz w:val="22"/>
          <w:szCs w:val="22"/>
          <w:lang w:val="sk-SK"/>
        </w:rPr>
      </w:pPr>
      <w:r w:rsidRPr="008F4100">
        <w:rPr>
          <w:sz w:val="22"/>
          <w:szCs w:val="22"/>
          <w:lang w:val="sk-SK"/>
        </w:rPr>
        <w:t>U detí bol pozorovaný podobný bezpečnostný profil ako u dospelých (pozri časť 4.4).</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4.9 Predávkovanie</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Nie sú k dispozícii žiadne údaje o potenciálnych príznakoch alebo znakoch v dôsledku predávkovania pri topickom použití kyseliny fusidovej. Po topickom použití kortikosteroidov vo veľkých množstvách a dlhšie ako tri týždne sa môže vyvinúť Cushingov syndróm a</w:t>
      </w:r>
      <w:r>
        <w:rPr>
          <w:sz w:val="22"/>
          <w:szCs w:val="22"/>
          <w:lang w:val="sk-SK"/>
        </w:rPr>
        <w:t> </w:t>
      </w:r>
      <w:r w:rsidRPr="008F4100">
        <w:rPr>
          <w:sz w:val="22"/>
          <w:szCs w:val="22"/>
          <w:lang w:val="sk-SK"/>
        </w:rPr>
        <w:t>adrenokortikálna insuficiencia.</w:t>
      </w:r>
    </w:p>
    <w:p w:rsidR="00103258" w:rsidRPr="008F4100" w:rsidRDefault="00103258" w:rsidP="00C07D35">
      <w:pPr>
        <w:ind w:right="-1"/>
        <w:jc w:val="both"/>
        <w:outlineLvl w:val="0"/>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Systémové následky po predávkovaní účinnými látkami po náhodnom perorálnom požití sú nepravdepodobné. Množstvo kyseliny fusidovej v jednej tube Fucicortu nepresahuje dennú dávku pri perorálnej systémovej liečbe. Jedno perorálne predávkovanie kortikosteroidmi len zriedkavo predstavuje klinický problém.</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b/>
          <w:sz w:val="22"/>
          <w:szCs w:val="22"/>
          <w:lang w:val="sk-SK"/>
        </w:rPr>
        <w:t>5. FARMAKOLOGICKÉ VLASTNOSTI</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5.1 Farmakodynamické vlastnosti</w:t>
      </w:r>
    </w:p>
    <w:p w:rsidR="00103258" w:rsidRPr="008F4100" w:rsidRDefault="00103258" w:rsidP="00B74323">
      <w:pPr>
        <w:ind w:right="-1"/>
        <w:jc w:val="both"/>
        <w:outlineLvl w:val="0"/>
        <w:rPr>
          <w:sz w:val="22"/>
          <w:szCs w:val="22"/>
          <w:lang w:val="sk-SK"/>
        </w:rPr>
      </w:pPr>
    </w:p>
    <w:p w:rsidR="00103258" w:rsidRPr="008F4100" w:rsidRDefault="00103258" w:rsidP="00B74323">
      <w:pPr>
        <w:ind w:right="-1"/>
        <w:jc w:val="both"/>
        <w:outlineLvl w:val="0"/>
        <w:rPr>
          <w:sz w:val="22"/>
          <w:szCs w:val="22"/>
          <w:lang w:val="sk-SK"/>
        </w:rPr>
      </w:pPr>
      <w:r w:rsidRPr="008F4100">
        <w:rPr>
          <w:sz w:val="22"/>
          <w:szCs w:val="22"/>
          <w:lang w:val="sk-SK"/>
        </w:rPr>
        <w:t>Farmakoterapeutická skupina: Antibiotikum, dermatologikum</w:t>
      </w:r>
    </w:p>
    <w:p w:rsidR="00103258" w:rsidRPr="008F4100" w:rsidRDefault="00103258" w:rsidP="00B74323">
      <w:pPr>
        <w:ind w:right="-1"/>
        <w:jc w:val="both"/>
        <w:outlineLvl w:val="0"/>
        <w:rPr>
          <w:sz w:val="22"/>
          <w:szCs w:val="22"/>
          <w:lang w:val="sk-SK"/>
        </w:rPr>
      </w:pPr>
      <w:r w:rsidRPr="008F4100">
        <w:rPr>
          <w:sz w:val="22"/>
          <w:szCs w:val="22"/>
          <w:lang w:val="sk-SK"/>
        </w:rPr>
        <w:t>ATC kód: D07CC01</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Fucicort je kombináciou antibakteriálne účinnej kyseliny fusidovej s betametazónom s protizápalovým  a protisvrbivým účinkom.</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5.2 Farmakokinetické vlastnosti</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 xml:space="preserve">Štúdie </w:t>
      </w:r>
      <w:r w:rsidRPr="008F4100">
        <w:rPr>
          <w:i/>
          <w:sz w:val="22"/>
          <w:szCs w:val="22"/>
          <w:lang w:val="sk-SK"/>
        </w:rPr>
        <w:t>in vitro</w:t>
      </w:r>
      <w:r w:rsidRPr="008F4100">
        <w:rPr>
          <w:sz w:val="22"/>
          <w:szCs w:val="22"/>
          <w:lang w:val="sk-SK"/>
        </w:rPr>
        <w:t xml:space="preserve"> ukázali, že kyselina fusidová penetruje cez intaktnú kožu. Stupeň penetrácie je závislý čiastočne od expozície a čiastočne od stavu kože. Kyselina fusidová je vylučovaná hlavne žlčou, len malé množstvo je vylučované močom.</w:t>
      </w:r>
    </w:p>
    <w:p w:rsidR="00103258" w:rsidRPr="008F4100" w:rsidRDefault="00103258">
      <w:pPr>
        <w:ind w:right="-1"/>
        <w:jc w:val="both"/>
        <w:rPr>
          <w:sz w:val="22"/>
          <w:szCs w:val="22"/>
          <w:lang w:val="sk-SK"/>
        </w:rPr>
      </w:pPr>
      <w:r w:rsidRPr="008F4100">
        <w:rPr>
          <w:sz w:val="22"/>
          <w:szCs w:val="22"/>
          <w:lang w:val="sk-SK"/>
        </w:rPr>
        <w:t>Betametazónvalerát sa absorbuje po topickej aplikácii. Stupeň absorpcie závisí čiastočne od stavu kože a čiastočne od miesta aplikácie. Absorbovaný betametazón sa metabolizuje hlavne v</w:t>
      </w:r>
      <w:r>
        <w:rPr>
          <w:sz w:val="22"/>
          <w:szCs w:val="22"/>
          <w:lang w:val="sk-SK"/>
        </w:rPr>
        <w:t> </w:t>
      </w:r>
      <w:r w:rsidRPr="008F4100">
        <w:rPr>
          <w:sz w:val="22"/>
          <w:szCs w:val="22"/>
          <w:lang w:val="sk-SK"/>
        </w:rPr>
        <w:t>pečeni, v</w:t>
      </w:r>
      <w:r>
        <w:rPr>
          <w:sz w:val="22"/>
          <w:szCs w:val="22"/>
          <w:lang w:val="sk-SK"/>
        </w:rPr>
        <w:t> </w:t>
      </w:r>
      <w:r w:rsidRPr="008F4100">
        <w:rPr>
          <w:sz w:val="22"/>
          <w:szCs w:val="22"/>
          <w:lang w:val="sk-SK"/>
        </w:rPr>
        <w:t>malej miere v obličkách a</w:t>
      </w:r>
      <w:r>
        <w:rPr>
          <w:sz w:val="22"/>
          <w:szCs w:val="22"/>
          <w:lang w:val="sk-SK"/>
        </w:rPr>
        <w:t> </w:t>
      </w:r>
      <w:r w:rsidRPr="008F4100">
        <w:rPr>
          <w:sz w:val="22"/>
          <w:szCs w:val="22"/>
          <w:lang w:val="sk-SK"/>
        </w:rPr>
        <w:t>inaktívne metabolity sú vylučované močom.</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5.3 Predklinické údaje o bezpečnosti</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Štúdie s kortikosteroidmi na zvieratách preukázali reprodukčnú toxicitu (napr. rázštep podnebia, chyby a deformácie kostry, nízka pôrodná hmotnosť).</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6. FARMACEUTICKÉ INFORMÁCIE</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6.1 Zoznam pomocných látok</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Makrogolcetostearyléter</w:t>
      </w:r>
    </w:p>
    <w:p w:rsidR="00103258" w:rsidRPr="008F4100" w:rsidRDefault="00103258">
      <w:pPr>
        <w:ind w:right="-1"/>
        <w:jc w:val="both"/>
        <w:rPr>
          <w:sz w:val="22"/>
          <w:szCs w:val="22"/>
          <w:lang w:val="sk-SK"/>
        </w:rPr>
      </w:pPr>
      <w:r w:rsidRPr="008F4100">
        <w:rPr>
          <w:sz w:val="22"/>
          <w:szCs w:val="22"/>
          <w:lang w:val="sk-SK"/>
        </w:rPr>
        <w:t>Cetylstearylalkohol</w:t>
      </w:r>
    </w:p>
    <w:p w:rsidR="00103258" w:rsidRPr="008F4100" w:rsidRDefault="00103258">
      <w:pPr>
        <w:ind w:right="-1"/>
        <w:jc w:val="both"/>
        <w:rPr>
          <w:sz w:val="22"/>
          <w:szCs w:val="22"/>
          <w:lang w:val="sk-SK"/>
        </w:rPr>
      </w:pPr>
      <w:r w:rsidRPr="008F4100">
        <w:rPr>
          <w:sz w:val="22"/>
          <w:szCs w:val="22"/>
          <w:lang w:val="sk-SK"/>
        </w:rPr>
        <w:t>Chlórkrezol</w:t>
      </w:r>
    </w:p>
    <w:p w:rsidR="00103258" w:rsidRPr="008F4100" w:rsidRDefault="00103258">
      <w:pPr>
        <w:ind w:right="-1"/>
        <w:jc w:val="both"/>
        <w:rPr>
          <w:sz w:val="22"/>
          <w:szCs w:val="22"/>
          <w:lang w:val="sk-SK"/>
        </w:rPr>
      </w:pPr>
      <w:r w:rsidRPr="008F4100">
        <w:rPr>
          <w:sz w:val="22"/>
          <w:szCs w:val="22"/>
          <w:lang w:val="sk-SK"/>
        </w:rPr>
        <w:t>Dihydrát dihydrogenfosforečnanu sodného</w:t>
      </w:r>
    </w:p>
    <w:p w:rsidR="00103258" w:rsidRPr="008F4100" w:rsidRDefault="00103258">
      <w:pPr>
        <w:ind w:right="-1"/>
        <w:jc w:val="both"/>
        <w:rPr>
          <w:sz w:val="22"/>
          <w:szCs w:val="22"/>
          <w:lang w:val="sk-SK"/>
        </w:rPr>
      </w:pPr>
      <w:r w:rsidRPr="008F4100">
        <w:rPr>
          <w:sz w:val="22"/>
          <w:szCs w:val="22"/>
          <w:lang w:val="sk-SK"/>
        </w:rPr>
        <w:t>Tekutý parafín (obsahuje tokoferol-alfa)</w:t>
      </w:r>
    </w:p>
    <w:p w:rsidR="00103258" w:rsidRPr="008F4100" w:rsidRDefault="00103258">
      <w:pPr>
        <w:ind w:right="-1"/>
        <w:jc w:val="both"/>
        <w:rPr>
          <w:sz w:val="22"/>
          <w:szCs w:val="22"/>
          <w:lang w:val="sk-SK"/>
        </w:rPr>
      </w:pPr>
      <w:r w:rsidRPr="008F4100">
        <w:rPr>
          <w:sz w:val="22"/>
          <w:szCs w:val="22"/>
          <w:lang w:val="sk-SK"/>
        </w:rPr>
        <w:t>Biela vazelína (obsahuje tokoferol-alfa)</w:t>
      </w:r>
    </w:p>
    <w:p w:rsidR="00103258" w:rsidRPr="008F4100" w:rsidRDefault="00103258">
      <w:pPr>
        <w:ind w:right="-1"/>
        <w:jc w:val="both"/>
        <w:rPr>
          <w:sz w:val="22"/>
          <w:szCs w:val="22"/>
          <w:lang w:val="sk-SK"/>
        </w:rPr>
      </w:pPr>
      <w:r w:rsidRPr="008F4100">
        <w:rPr>
          <w:sz w:val="22"/>
          <w:szCs w:val="22"/>
          <w:lang w:val="sk-SK"/>
        </w:rPr>
        <w:t>Hydroxid sodný</w:t>
      </w:r>
    </w:p>
    <w:p w:rsidR="00103258" w:rsidRPr="008F4100" w:rsidRDefault="00103258">
      <w:pPr>
        <w:ind w:right="-1"/>
        <w:jc w:val="both"/>
        <w:rPr>
          <w:sz w:val="22"/>
          <w:szCs w:val="22"/>
          <w:lang w:val="sk-SK"/>
        </w:rPr>
      </w:pPr>
      <w:r w:rsidRPr="008F4100">
        <w:rPr>
          <w:sz w:val="22"/>
          <w:szCs w:val="22"/>
          <w:lang w:val="sk-SK"/>
        </w:rPr>
        <w:t>Čistená voda</w:t>
      </w:r>
    </w:p>
    <w:p w:rsidR="00103258" w:rsidRPr="008F4100" w:rsidRDefault="00103258">
      <w:pPr>
        <w:ind w:right="-1"/>
        <w:jc w:val="both"/>
        <w:rPr>
          <w:sz w:val="22"/>
          <w:szCs w:val="22"/>
          <w:lang w:val="sk-SK"/>
        </w:rPr>
      </w:pPr>
    </w:p>
    <w:p w:rsidR="00103258" w:rsidRPr="008F4100" w:rsidRDefault="00103258">
      <w:pPr>
        <w:ind w:right="-1"/>
        <w:jc w:val="both"/>
        <w:rPr>
          <w:b/>
          <w:sz w:val="22"/>
          <w:szCs w:val="22"/>
          <w:lang w:val="sk-SK"/>
        </w:rPr>
      </w:pPr>
      <w:r w:rsidRPr="008F4100">
        <w:rPr>
          <w:b/>
          <w:sz w:val="22"/>
          <w:szCs w:val="22"/>
          <w:lang w:val="sk-SK"/>
        </w:rPr>
        <w:t>6.2 Inkompatibility</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V súčasnosti nie sú známe žiadne inkompatibility.</w:t>
      </w:r>
    </w:p>
    <w:p w:rsidR="00103258" w:rsidRPr="008F4100" w:rsidRDefault="00103258">
      <w:pPr>
        <w:ind w:right="-1"/>
        <w:jc w:val="both"/>
        <w:rPr>
          <w:sz w:val="22"/>
          <w:szCs w:val="22"/>
          <w:lang w:val="sk-SK"/>
        </w:rPr>
      </w:pPr>
    </w:p>
    <w:p w:rsidR="00103258" w:rsidRPr="008F4100" w:rsidRDefault="00103258">
      <w:pPr>
        <w:ind w:right="-1"/>
        <w:jc w:val="both"/>
        <w:rPr>
          <w:b/>
          <w:sz w:val="22"/>
          <w:szCs w:val="22"/>
          <w:lang w:val="sk-SK"/>
        </w:rPr>
      </w:pPr>
      <w:r w:rsidRPr="008F4100">
        <w:rPr>
          <w:b/>
          <w:sz w:val="22"/>
          <w:szCs w:val="22"/>
          <w:lang w:val="sk-SK"/>
        </w:rPr>
        <w:t>6.3 Čas použiteľnosti</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3 roky</w:t>
      </w:r>
    </w:p>
    <w:p w:rsidR="00103258" w:rsidRPr="008F4100" w:rsidRDefault="00103258">
      <w:pPr>
        <w:ind w:right="-1"/>
        <w:jc w:val="both"/>
        <w:rPr>
          <w:sz w:val="22"/>
          <w:szCs w:val="22"/>
          <w:lang w:val="sk-SK"/>
        </w:rPr>
      </w:pPr>
      <w:r w:rsidRPr="008F4100">
        <w:rPr>
          <w:sz w:val="22"/>
          <w:szCs w:val="22"/>
          <w:lang w:val="sk-SK"/>
        </w:rPr>
        <w:t>Po prvom otvorení tuby spotrebujte do 3 mesiacov.</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6.4 Špeciálne upozornenia na uchovávanie</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Uchovávajte pri teplote do 30 °C.</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u w:val="single"/>
          <w:lang w:val="sk-SK"/>
        </w:rPr>
      </w:pPr>
      <w:r w:rsidRPr="008F4100">
        <w:rPr>
          <w:b/>
          <w:sz w:val="22"/>
          <w:szCs w:val="22"/>
          <w:u w:val="single"/>
          <w:lang w:val="sk-SK"/>
        </w:rPr>
        <w:t>6.5 Druh obalu a</w:t>
      </w:r>
      <w:r>
        <w:rPr>
          <w:b/>
          <w:sz w:val="22"/>
          <w:szCs w:val="22"/>
          <w:u w:val="single"/>
          <w:lang w:val="sk-SK"/>
        </w:rPr>
        <w:t> </w:t>
      </w:r>
      <w:r w:rsidRPr="008F4100">
        <w:rPr>
          <w:b/>
          <w:sz w:val="22"/>
          <w:szCs w:val="22"/>
          <w:u w:val="single"/>
          <w:lang w:val="sk-SK"/>
        </w:rPr>
        <w:t>obsah balenia</w:t>
      </w:r>
    </w:p>
    <w:p w:rsidR="00103258" w:rsidRPr="008F4100" w:rsidRDefault="00103258">
      <w:pPr>
        <w:ind w:right="-1"/>
        <w:jc w:val="both"/>
        <w:rPr>
          <w:sz w:val="22"/>
          <w:szCs w:val="22"/>
          <w:lang w:val="sk-SK"/>
        </w:rPr>
      </w:pPr>
    </w:p>
    <w:p w:rsidR="00103258" w:rsidRPr="008F4100" w:rsidRDefault="00103258">
      <w:pPr>
        <w:pStyle w:val="BodyText"/>
        <w:rPr>
          <w:b/>
          <w:color w:val="FF0000"/>
          <w:sz w:val="22"/>
          <w:szCs w:val="22"/>
          <w:lang w:val="sk-SK"/>
        </w:rPr>
      </w:pPr>
      <w:r w:rsidRPr="008F4100">
        <w:rPr>
          <w:sz w:val="22"/>
          <w:szCs w:val="22"/>
          <w:lang w:val="sk-SK"/>
        </w:rPr>
        <w:t>Lakovaná hliníková tuba s polyetylénovým uzáverom so závitom, papierová</w:t>
      </w:r>
      <w:r w:rsidRPr="008F4100">
        <w:rPr>
          <w:b/>
          <w:color w:val="FF0000"/>
          <w:sz w:val="22"/>
          <w:szCs w:val="22"/>
          <w:lang w:val="sk-SK"/>
        </w:rPr>
        <w:t xml:space="preserve"> </w:t>
      </w:r>
      <w:r w:rsidRPr="008F4100">
        <w:rPr>
          <w:sz w:val="22"/>
          <w:szCs w:val="22"/>
          <w:lang w:val="sk-SK"/>
        </w:rPr>
        <w:t>škatuľ</w:t>
      </w:r>
      <w:r>
        <w:rPr>
          <w:sz w:val="22"/>
          <w:szCs w:val="22"/>
          <w:lang w:val="sk-SK"/>
        </w:rPr>
        <w:t>k</w:t>
      </w:r>
      <w:r w:rsidRPr="008F4100">
        <w:rPr>
          <w:sz w:val="22"/>
          <w:szCs w:val="22"/>
          <w:lang w:val="sk-SK"/>
        </w:rPr>
        <w:t>a.</w:t>
      </w:r>
    </w:p>
    <w:p w:rsidR="00103258" w:rsidRPr="008F4100" w:rsidRDefault="00103258">
      <w:pPr>
        <w:pStyle w:val="BodyText"/>
        <w:rPr>
          <w:sz w:val="22"/>
          <w:szCs w:val="22"/>
          <w:lang w:val="sk-SK"/>
        </w:rPr>
      </w:pPr>
    </w:p>
    <w:p w:rsidR="00103258" w:rsidRPr="008F4100" w:rsidRDefault="00103258" w:rsidP="00C07D35">
      <w:pPr>
        <w:pStyle w:val="BodyText"/>
        <w:outlineLvl w:val="0"/>
        <w:rPr>
          <w:sz w:val="22"/>
          <w:szCs w:val="22"/>
          <w:lang w:val="sk-SK"/>
        </w:rPr>
      </w:pPr>
      <w:r w:rsidRPr="008F4100">
        <w:rPr>
          <w:sz w:val="22"/>
          <w:szCs w:val="22"/>
          <w:lang w:val="sk-SK"/>
        </w:rPr>
        <w:t>Veľkosť balenia: 5 g, 15 g alebo 30 g.</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6.6 Špeciálne opatrenia na likvidáciu a</w:t>
      </w:r>
      <w:r>
        <w:rPr>
          <w:b/>
          <w:sz w:val="22"/>
          <w:szCs w:val="22"/>
          <w:lang w:val="sk-SK"/>
        </w:rPr>
        <w:t> </w:t>
      </w:r>
      <w:r w:rsidRPr="008F4100">
        <w:rPr>
          <w:b/>
          <w:sz w:val="22"/>
          <w:szCs w:val="22"/>
          <w:lang w:val="sk-SK"/>
        </w:rPr>
        <w:t>iné zaobchádzanie s liekom</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Žiadne zvláštne požiadavky na likvidáciu.</w:t>
      </w:r>
    </w:p>
    <w:p w:rsidR="00103258" w:rsidRPr="008F4100" w:rsidRDefault="00103258" w:rsidP="00C07D35">
      <w:pPr>
        <w:ind w:right="-1"/>
        <w:jc w:val="both"/>
        <w:outlineLvl w:val="0"/>
        <w:rPr>
          <w:sz w:val="22"/>
          <w:szCs w:val="22"/>
          <w:lang w:val="sk-SK"/>
        </w:rPr>
      </w:pPr>
      <w:r w:rsidRPr="008F4100">
        <w:rPr>
          <w:sz w:val="22"/>
          <w:szCs w:val="22"/>
          <w:lang w:val="sk-SK"/>
        </w:rPr>
        <w:t>Nepoužitý liek alebo odpad vzniknutý z</w:t>
      </w:r>
      <w:r>
        <w:rPr>
          <w:sz w:val="22"/>
          <w:szCs w:val="22"/>
          <w:lang w:val="sk-SK"/>
        </w:rPr>
        <w:t> </w:t>
      </w:r>
      <w:r w:rsidRPr="008F4100">
        <w:rPr>
          <w:sz w:val="22"/>
          <w:szCs w:val="22"/>
          <w:lang w:val="sk-SK"/>
        </w:rPr>
        <w:t>lieku treba vrátiť do lekárne.</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b/>
          <w:sz w:val="22"/>
          <w:szCs w:val="22"/>
          <w:lang w:val="sk-SK"/>
        </w:rPr>
        <w:t>7. DRŽITEĽ ROZHODNUTIA O REGISTRÁCII</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sz w:val="22"/>
          <w:szCs w:val="22"/>
          <w:lang w:val="sk-SK"/>
        </w:rPr>
        <w:t>LEO Pharma A/S</w:t>
      </w:r>
    </w:p>
    <w:p w:rsidR="00103258" w:rsidRPr="008F4100" w:rsidRDefault="00103258">
      <w:pPr>
        <w:ind w:right="-1"/>
        <w:jc w:val="both"/>
        <w:rPr>
          <w:sz w:val="22"/>
          <w:szCs w:val="22"/>
          <w:lang w:val="sk-SK"/>
        </w:rPr>
      </w:pPr>
      <w:r w:rsidRPr="008F4100">
        <w:rPr>
          <w:sz w:val="22"/>
          <w:szCs w:val="22"/>
          <w:lang w:val="sk-SK"/>
        </w:rPr>
        <w:t>Industriparken 55</w:t>
      </w:r>
    </w:p>
    <w:p w:rsidR="00103258" w:rsidRPr="008F4100" w:rsidRDefault="00103258">
      <w:pPr>
        <w:ind w:right="-1"/>
        <w:jc w:val="both"/>
        <w:rPr>
          <w:sz w:val="22"/>
          <w:szCs w:val="22"/>
          <w:lang w:val="sk-SK"/>
        </w:rPr>
      </w:pPr>
      <w:r w:rsidRPr="008F4100">
        <w:rPr>
          <w:sz w:val="22"/>
          <w:szCs w:val="22"/>
          <w:lang w:val="sk-SK"/>
        </w:rPr>
        <w:t>DK-2750 Ballerup</w:t>
      </w:r>
    </w:p>
    <w:p w:rsidR="00103258" w:rsidRPr="008F4100" w:rsidRDefault="00103258">
      <w:pPr>
        <w:ind w:right="-1"/>
        <w:jc w:val="both"/>
        <w:rPr>
          <w:sz w:val="22"/>
          <w:szCs w:val="22"/>
          <w:lang w:val="sk-SK"/>
        </w:rPr>
      </w:pPr>
      <w:r w:rsidRPr="008F4100">
        <w:rPr>
          <w:sz w:val="22"/>
          <w:szCs w:val="22"/>
          <w:lang w:val="sk-SK"/>
        </w:rPr>
        <w:t>Dánsko</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sz w:val="22"/>
          <w:szCs w:val="22"/>
          <w:lang w:val="sk-SK"/>
        </w:rPr>
      </w:pPr>
      <w:r w:rsidRPr="008F4100">
        <w:rPr>
          <w:b/>
          <w:sz w:val="22"/>
          <w:szCs w:val="22"/>
          <w:lang w:val="sk-SK"/>
        </w:rPr>
        <w:t>8. REGISTRAČNÉ ČÍSLO</w:t>
      </w:r>
    </w:p>
    <w:p w:rsidR="00103258" w:rsidRPr="008F4100" w:rsidRDefault="00103258">
      <w:pPr>
        <w:ind w:right="-1"/>
        <w:jc w:val="both"/>
        <w:rPr>
          <w:sz w:val="22"/>
          <w:szCs w:val="22"/>
          <w:lang w:val="sk-SK"/>
        </w:rPr>
      </w:pPr>
    </w:p>
    <w:p w:rsidR="00103258" w:rsidRPr="008F4100" w:rsidRDefault="00103258">
      <w:pPr>
        <w:ind w:right="-1"/>
        <w:jc w:val="both"/>
        <w:rPr>
          <w:sz w:val="22"/>
          <w:szCs w:val="22"/>
          <w:lang w:val="sk-SK"/>
        </w:rPr>
      </w:pPr>
      <w:r w:rsidRPr="008F4100">
        <w:rPr>
          <w:sz w:val="22"/>
          <w:szCs w:val="22"/>
          <w:lang w:val="sk-SK"/>
        </w:rPr>
        <w:t>46/0009/04-S</w:t>
      </w:r>
    </w:p>
    <w:p w:rsidR="00103258" w:rsidRPr="008F4100" w:rsidRDefault="00103258">
      <w:pPr>
        <w:ind w:right="-1"/>
        <w:jc w:val="both"/>
        <w:rPr>
          <w:sz w:val="22"/>
          <w:szCs w:val="22"/>
          <w:lang w:val="sk-SK"/>
        </w:rPr>
      </w:pPr>
    </w:p>
    <w:p w:rsidR="00103258" w:rsidRPr="008F4100" w:rsidRDefault="00103258" w:rsidP="00C07D35">
      <w:pPr>
        <w:ind w:right="-1"/>
        <w:jc w:val="both"/>
        <w:outlineLvl w:val="0"/>
        <w:rPr>
          <w:b/>
          <w:sz w:val="22"/>
          <w:szCs w:val="22"/>
          <w:lang w:val="sk-SK"/>
        </w:rPr>
      </w:pPr>
      <w:r w:rsidRPr="008F4100">
        <w:rPr>
          <w:b/>
          <w:sz w:val="22"/>
          <w:szCs w:val="22"/>
          <w:lang w:val="sk-SK"/>
        </w:rPr>
        <w:t>9. DÁTUM PRVEJ REGISTRÁCIE/PREDĹŽENIA REGISTRÁCIE</w:t>
      </w:r>
    </w:p>
    <w:p w:rsidR="00103258" w:rsidRPr="008F4100" w:rsidRDefault="00103258">
      <w:pPr>
        <w:ind w:right="-1"/>
        <w:jc w:val="both"/>
        <w:rPr>
          <w:sz w:val="22"/>
          <w:szCs w:val="22"/>
          <w:lang w:val="sk-SK"/>
        </w:rPr>
      </w:pPr>
    </w:p>
    <w:p w:rsidR="00103258" w:rsidRPr="00D770F0" w:rsidRDefault="00103258" w:rsidP="00CA1910">
      <w:pPr>
        <w:rPr>
          <w:sz w:val="22"/>
          <w:szCs w:val="22"/>
          <w:lang w:val="sk-SK"/>
        </w:rPr>
      </w:pPr>
      <w:r w:rsidRPr="00D770F0">
        <w:rPr>
          <w:sz w:val="22"/>
          <w:szCs w:val="22"/>
          <w:lang w:val="sk-SK"/>
        </w:rPr>
        <w:t>Dátum prvej registrácie: 12. 02. 2004</w:t>
      </w:r>
    </w:p>
    <w:p w:rsidR="00103258" w:rsidRPr="00D770F0" w:rsidRDefault="00103258" w:rsidP="00CA1910">
      <w:pPr>
        <w:rPr>
          <w:sz w:val="22"/>
          <w:szCs w:val="22"/>
          <w:lang w:val="sk-SK"/>
        </w:rPr>
      </w:pPr>
      <w:r w:rsidRPr="00D770F0">
        <w:rPr>
          <w:sz w:val="22"/>
          <w:szCs w:val="22"/>
          <w:lang w:val="sk-SK"/>
        </w:rPr>
        <w:t>Dátum predĺženia registrácie: 09. 10. 2008</w:t>
      </w:r>
      <w:r>
        <w:rPr>
          <w:sz w:val="22"/>
          <w:szCs w:val="22"/>
          <w:lang w:val="sk-SK"/>
        </w:rPr>
        <w:t>/</w:t>
      </w:r>
      <w:r w:rsidRPr="00D770F0">
        <w:rPr>
          <w:sz w:val="22"/>
          <w:szCs w:val="22"/>
          <w:lang w:val="sk-SK"/>
        </w:rPr>
        <w:t>bez časového obmedzenia</w:t>
      </w:r>
    </w:p>
    <w:p w:rsidR="00103258" w:rsidRPr="00D770F0" w:rsidRDefault="00103258">
      <w:pPr>
        <w:ind w:right="-1"/>
        <w:jc w:val="both"/>
        <w:rPr>
          <w:sz w:val="22"/>
          <w:szCs w:val="22"/>
          <w:lang w:val="sk-SK"/>
        </w:rPr>
      </w:pPr>
    </w:p>
    <w:p w:rsidR="00103258" w:rsidRPr="00D770F0" w:rsidRDefault="00103258">
      <w:pPr>
        <w:ind w:right="-1"/>
        <w:jc w:val="both"/>
        <w:rPr>
          <w:sz w:val="22"/>
          <w:szCs w:val="22"/>
          <w:lang w:val="sk-SK"/>
        </w:rPr>
      </w:pPr>
      <w:bookmarkStart w:id="0" w:name="_GoBack"/>
      <w:r w:rsidRPr="00D770F0">
        <w:rPr>
          <w:b/>
          <w:sz w:val="22"/>
          <w:szCs w:val="22"/>
          <w:lang w:val="sk-SK"/>
        </w:rPr>
        <w:t>10. DÁTUM REVÍZIE TEXTU</w:t>
      </w:r>
    </w:p>
    <w:bookmarkEnd w:id="0"/>
    <w:p w:rsidR="00103258" w:rsidRPr="00D770F0" w:rsidRDefault="00103258">
      <w:pPr>
        <w:jc w:val="both"/>
        <w:rPr>
          <w:sz w:val="22"/>
          <w:szCs w:val="22"/>
          <w:lang w:val="sk-SK"/>
        </w:rPr>
      </w:pPr>
    </w:p>
    <w:p w:rsidR="00103258" w:rsidRPr="00D770F0" w:rsidRDefault="00103258">
      <w:pPr>
        <w:jc w:val="both"/>
        <w:rPr>
          <w:sz w:val="22"/>
          <w:szCs w:val="22"/>
          <w:lang w:val="sk-SK"/>
        </w:rPr>
      </w:pPr>
      <w:r>
        <w:rPr>
          <w:sz w:val="22"/>
          <w:szCs w:val="22"/>
          <w:lang w:val="sk-SK"/>
        </w:rPr>
        <w:t>Február</w:t>
      </w:r>
      <w:r w:rsidRPr="00D770F0">
        <w:rPr>
          <w:sz w:val="22"/>
          <w:szCs w:val="22"/>
          <w:lang w:val="sk-SK"/>
        </w:rPr>
        <w:t xml:space="preserve"> 2013</w:t>
      </w:r>
    </w:p>
    <w:p w:rsidR="00103258" w:rsidRPr="00D770F0" w:rsidRDefault="00103258">
      <w:pPr>
        <w:jc w:val="both"/>
        <w:rPr>
          <w:sz w:val="22"/>
          <w:szCs w:val="22"/>
          <w:lang w:val="sk-SK"/>
        </w:rPr>
      </w:pPr>
    </w:p>
    <w:sectPr w:rsidR="00103258" w:rsidRPr="00D770F0" w:rsidSect="008A7EA9">
      <w:headerReference w:type="default" r:id="rId6"/>
      <w:headerReference w:type="first" r:id="rId7"/>
      <w:pgSz w:w="11907" w:h="16840"/>
      <w:pgMar w:top="1418" w:right="1418" w:bottom="1418" w:left="1418" w:header="708" w:footer="70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3258" w:rsidRDefault="00103258">
      <w:r>
        <w:separator/>
      </w:r>
    </w:p>
  </w:endnote>
  <w:endnote w:type="continuationSeparator" w:id="0">
    <w:p w:rsidR="00103258" w:rsidRDefault="00103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3258" w:rsidRDefault="00103258">
      <w:r>
        <w:separator/>
      </w:r>
    </w:p>
  </w:footnote>
  <w:footnote w:type="continuationSeparator" w:id="0">
    <w:p w:rsidR="00103258" w:rsidRDefault="001032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58" w:rsidRDefault="00103258">
    <w:pPr>
      <w:pStyle w:val="Header"/>
      <w:rPr>
        <w:rFonts w:ascii="Arial" w:hAnsi="Arial"/>
        <w:sz w:val="16"/>
        <w:lang w:val="sk-SK"/>
      </w:rPr>
    </w:pPr>
  </w:p>
  <w:p w:rsidR="00103258" w:rsidRDefault="00103258">
    <w:pPr>
      <w:pStyle w:val="Header"/>
      <w:rPr>
        <w:rFonts w:ascii="Arial" w:hAnsi="Arial"/>
        <w:sz w:val="16"/>
        <w:lang w:val="sk-SK"/>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258" w:rsidRPr="00460304" w:rsidRDefault="00103258" w:rsidP="00221506">
    <w:pPr>
      <w:rPr>
        <w:caps/>
        <w:sz w:val="18"/>
        <w:szCs w:val="18"/>
        <w:lang w:val="sk-SK"/>
      </w:rPr>
    </w:pPr>
    <w:r w:rsidRPr="00460304">
      <w:rPr>
        <w:sz w:val="18"/>
        <w:szCs w:val="18"/>
      </w:rPr>
      <w:t>Schválený text k rozhodnutiu o  zmene, ev.č.: 2012/08029</w:t>
    </w:r>
  </w:p>
  <w:p w:rsidR="00103258" w:rsidRDefault="001032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018A"/>
    <w:rsid w:val="00002DED"/>
    <w:rsid w:val="0001256B"/>
    <w:rsid w:val="00026AC5"/>
    <w:rsid w:val="00042257"/>
    <w:rsid w:val="0004504B"/>
    <w:rsid w:val="00082DB2"/>
    <w:rsid w:val="000859BF"/>
    <w:rsid w:val="00093DD9"/>
    <w:rsid w:val="000A13B6"/>
    <w:rsid w:val="000B5D24"/>
    <w:rsid w:val="000C4930"/>
    <w:rsid w:val="000D365D"/>
    <w:rsid w:val="000E5240"/>
    <w:rsid w:val="00101155"/>
    <w:rsid w:val="00103258"/>
    <w:rsid w:val="00107F15"/>
    <w:rsid w:val="001165F1"/>
    <w:rsid w:val="00116877"/>
    <w:rsid w:val="001367BB"/>
    <w:rsid w:val="001529EC"/>
    <w:rsid w:val="001655C3"/>
    <w:rsid w:val="001752CE"/>
    <w:rsid w:val="00184BBB"/>
    <w:rsid w:val="001F10DD"/>
    <w:rsid w:val="001F78D8"/>
    <w:rsid w:val="00221506"/>
    <w:rsid w:val="0022420D"/>
    <w:rsid w:val="00230848"/>
    <w:rsid w:val="00250868"/>
    <w:rsid w:val="00276B56"/>
    <w:rsid w:val="00286AB0"/>
    <w:rsid w:val="00295CEA"/>
    <w:rsid w:val="002A4AC0"/>
    <w:rsid w:val="002B043B"/>
    <w:rsid w:val="002E4581"/>
    <w:rsid w:val="002E4C34"/>
    <w:rsid w:val="002F62CE"/>
    <w:rsid w:val="002F62D4"/>
    <w:rsid w:val="00301E78"/>
    <w:rsid w:val="00316DC6"/>
    <w:rsid w:val="00317969"/>
    <w:rsid w:val="0033018A"/>
    <w:rsid w:val="0033422A"/>
    <w:rsid w:val="00344E36"/>
    <w:rsid w:val="003543C9"/>
    <w:rsid w:val="00367F2B"/>
    <w:rsid w:val="003C75EB"/>
    <w:rsid w:val="003D4FCB"/>
    <w:rsid w:val="003D6D11"/>
    <w:rsid w:val="00404C8C"/>
    <w:rsid w:val="0042447E"/>
    <w:rsid w:val="004340FE"/>
    <w:rsid w:val="004402F1"/>
    <w:rsid w:val="0044392A"/>
    <w:rsid w:val="00453B90"/>
    <w:rsid w:val="004552AD"/>
    <w:rsid w:val="00460304"/>
    <w:rsid w:val="00466449"/>
    <w:rsid w:val="00476DAF"/>
    <w:rsid w:val="00494D27"/>
    <w:rsid w:val="004D602C"/>
    <w:rsid w:val="004E34B7"/>
    <w:rsid w:val="004F45CE"/>
    <w:rsid w:val="00501E95"/>
    <w:rsid w:val="0050648A"/>
    <w:rsid w:val="00507E1E"/>
    <w:rsid w:val="00514AF4"/>
    <w:rsid w:val="0052725A"/>
    <w:rsid w:val="00535288"/>
    <w:rsid w:val="00544226"/>
    <w:rsid w:val="005457D0"/>
    <w:rsid w:val="0055275F"/>
    <w:rsid w:val="00555E2A"/>
    <w:rsid w:val="00577834"/>
    <w:rsid w:val="0059021B"/>
    <w:rsid w:val="005A5884"/>
    <w:rsid w:val="005B121C"/>
    <w:rsid w:val="005B1557"/>
    <w:rsid w:val="005C7778"/>
    <w:rsid w:val="005D038A"/>
    <w:rsid w:val="005D4605"/>
    <w:rsid w:val="005D715B"/>
    <w:rsid w:val="00602975"/>
    <w:rsid w:val="006058B9"/>
    <w:rsid w:val="006063C2"/>
    <w:rsid w:val="00632FF6"/>
    <w:rsid w:val="0064542C"/>
    <w:rsid w:val="00664B52"/>
    <w:rsid w:val="006A7B78"/>
    <w:rsid w:val="006C005F"/>
    <w:rsid w:val="00722C4C"/>
    <w:rsid w:val="00745487"/>
    <w:rsid w:val="00766856"/>
    <w:rsid w:val="00782663"/>
    <w:rsid w:val="00790E72"/>
    <w:rsid w:val="007B7AA9"/>
    <w:rsid w:val="007D3E2D"/>
    <w:rsid w:val="007E1A74"/>
    <w:rsid w:val="007F2221"/>
    <w:rsid w:val="007F22A7"/>
    <w:rsid w:val="007F24A7"/>
    <w:rsid w:val="00824317"/>
    <w:rsid w:val="00864521"/>
    <w:rsid w:val="00871A3D"/>
    <w:rsid w:val="00874CFD"/>
    <w:rsid w:val="00877699"/>
    <w:rsid w:val="008808E4"/>
    <w:rsid w:val="00881FFE"/>
    <w:rsid w:val="00886F0A"/>
    <w:rsid w:val="008A6409"/>
    <w:rsid w:val="008A66D7"/>
    <w:rsid w:val="008A78BE"/>
    <w:rsid w:val="008A7EA9"/>
    <w:rsid w:val="008D1900"/>
    <w:rsid w:val="008F4100"/>
    <w:rsid w:val="00912FC4"/>
    <w:rsid w:val="00915798"/>
    <w:rsid w:val="00920DA4"/>
    <w:rsid w:val="00922977"/>
    <w:rsid w:val="00937F11"/>
    <w:rsid w:val="009521C4"/>
    <w:rsid w:val="009539B2"/>
    <w:rsid w:val="009579C5"/>
    <w:rsid w:val="009626DE"/>
    <w:rsid w:val="0097227A"/>
    <w:rsid w:val="0099174F"/>
    <w:rsid w:val="00996128"/>
    <w:rsid w:val="009E63D4"/>
    <w:rsid w:val="009F5111"/>
    <w:rsid w:val="009F7B16"/>
    <w:rsid w:val="00A11534"/>
    <w:rsid w:val="00A124FC"/>
    <w:rsid w:val="00A5060C"/>
    <w:rsid w:val="00A56423"/>
    <w:rsid w:val="00A616F9"/>
    <w:rsid w:val="00A63390"/>
    <w:rsid w:val="00A71580"/>
    <w:rsid w:val="00A908CC"/>
    <w:rsid w:val="00AA2D16"/>
    <w:rsid w:val="00AB2843"/>
    <w:rsid w:val="00AB3676"/>
    <w:rsid w:val="00AC69D1"/>
    <w:rsid w:val="00AD74A4"/>
    <w:rsid w:val="00AE2BAE"/>
    <w:rsid w:val="00B04F72"/>
    <w:rsid w:val="00B214CA"/>
    <w:rsid w:val="00B74323"/>
    <w:rsid w:val="00B94C1D"/>
    <w:rsid w:val="00BA7CD8"/>
    <w:rsid w:val="00BB06BB"/>
    <w:rsid w:val="00BD3CAA"/>
    <w:rsid w:val="00BE71FF"/>
    <w:rsid w:val="00BF7560"/>
    <w:rsid w:val="00C04107"/>
    <w:rsid w:val="00C07D35"/>
    <w:rsid w:val="00C16529"/>
    <w:rsid w:val="00C26BC5"/>
    <w:rsid w:val="00C330E0"/>
    <w:rsid w:val="00C33D4F"/>
    <w:rsid w:val="00C47950"/>
    <w:rsid w:val="00C57B7A"/>
    <w:rsid w:val="00C63705"/>
    <w:rsid w:val="00C71FFE"/>
    <w:rsid w:val="00C741F4"/>
    <w:rsid w:val="00C829E6"/>
    <w:rsid w:val="00C8689D"/>
    <w:rsid w:val="00C91A47"/>
    <w:rsid w:val="00CA1910"/>
    <w:rsid w:val="00CC0365"/>
    <w:rsid w:val="00CD0A46"/>
    <w:rsid w:val="00CE6E2E"/>
    <w:rsid w:val="00CE7D51"/>
    <w:rsid w:val="00CF70A0"/>
    <w:rsid w:val="00D32EF9"/>
    <w:rsid w:val="00D33420"/>
    <w:rsid w:val="00D66277"/>
    <w:rsid w:val="00D770F0"/>
    <w:rsid w:val="00DA3358"/>
    <w:rsid w:val="00DB5D20"/>
    <w:rsid w:val="00DC118F"/>
    <w:rsid w:val="00DC1EF8"/>
    <w:rsid w:val="00DD19C7"/>
    <w:rsid w:val="00DF001A"/>
    <w:rsid w:val="00DF6F40"/>
    <w:rsid w:val="00E000E9"/>
    <w:rsid w:val="00E06CFB"/>
    <w:rsid w:val="00E20806"/>
    <w:rsid w:val="00E31078"/>
    <w:rsid w:val="00E349EB"/>
    <w:rsid w:val="00E477B8"/>
    <w:rsid w:val="00E5489C"/>
    <w:rsid w:val="00E55F3F"/>
    <w:rsid w:val="00E57B06"/>
    <w:rsid w:val="00E63E49"/>
    <w:rsid w:val="00E90B63"/>
    <w:rsid w:val="00E93B4E"/>
    <w:rsid w:val="00EB207D"/>
    <w:rsid w:val="00EB2E75"/>
    <w:rsid w:val="00EB709C"/>
    <w:rsid w:val="00EC629A"/>
    <w:rsid w:val="00EE123A"/>
    <w:rsid w:val="00EF236B"/>
    <w:rsid w:val="00F13C43"/>
    <w:rsid w:val="00F351A9"/>
    <w:rsid w:val="00F37176"/>
    <w:rsid w:val="00F44485"/>
    <w:rsid w:val="00F61910"/>
    <w:rsid w:val="00F64E38"/>
    <w:rsid w:val="00FC684F"/>
    <w:rsid w:val="00FD1132"/>
    <w:rsid w:val="00FE49C5"/>
    <w:rsid w:val="00FF4CA0"/>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21"/>
    <w:rPr>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F2221"/>
    <w:pPr>
      <w:ind w:right="-1"/>
      <w:jc w:val="center"/>
    </w:pPr>
    <w:rPr>
      <w:b/>
      <w:szCs w:val="20"/>
      <w:lang w:val="sk-SK"/>
    </w:rPr>
  </w:style>
  <w:style w:type="character" w:customStyle="1" w:styleId="TitleChar">
    <w:name w:val="Title Char"/>
    <w:basedOn w:val="DefaultParagraphFont"/>
    <w:link w:val="Title"/>
    <w:uiPriority w:val="99"/>
    <w:locked/>
    <w:rsid w:val="00A124FC"/>
    <w:rPr>
      <w:rFonts w:ascii="Cambria" w:hAnsi="Cambria" w:cs="Times New Roman"/>
      <w:b/>
      <w:bCs/>
      <w:kern w:val="28"/>
      <w:sz w:val="32"/>
      <w:szCs w:val="32"/>
      <w:lang w:val="en-US"/>
    </w:rPr>
  </w:style>
  <w:style w:type="paragraph" w:styleId="BodyText">
    <w:name w:val="Body Text"/>
    <w:basedOn w:val="Normal"/>
    <w:link w:val="BodyTextChar"/>
    <w:uiPriority w:val="99"/>
    <w:rsid w:val="007F2221"/>
    <w:pPr>
      <w:ind w:right="-1"/>
      <w:jc w:val="both"/>
    </w:pPr>
  </w:style>
  <w:style w:type="character" w:customStyle="1" w:styleId="BodyTextChar">
    <w:name w:val="Body Text Char"/>
    <w:basedOn w:val="DefaultParagraphFont"/>
    <w:link w:val="BodyText"/>
    <w:uiPriority w:val="99"/>
    <w:semiHidden/>
    <w:locked/>
    <w:rsid w:val="00A124FC"/>
    <w:rPr>
      <w:rFonts w:cs="Times New Roman"/>
      <w:sz w:val="24"/>
      <w:szCs w:val="24"/>
      <w:lang w:val="en-US"/>
    </w:rPr>
  </w:style>
  <w:style w:type="paragraph" w:styleId="Footer">
    <w:name w:val="footer"/>
    <w:basedOn w:val="Normal"/>
    <w:link w:val="FooterChar"/>
    <w:uiPriority w:val="99"/>
    <w:rsid w:val="007F2221"/>
    <w:pPr>
      <w:tabs>
        <w:tab w:val="center" w:pos="4536"/>
        <w:tab w:val="right" w:pos="9072"/>
      </w:tabs>
    </w:pPr>
  </w:style>
  <w:style w:type="character" w:customStyle="1" w:styleId="FooterChar">
    <w:name w:val="Footer Char"/>
    <w:basedOn w:val="DefaultParagraphFont"/>
    <w:link w:val="Footer"/>
    <w:uiPriority w:val="99"/>
    <w:semiHidden/>
    <w:locked/>
    <w:rsid w:val="00A124FC"/>
    <w:rPr>
      <w:rFonts w:cs="Times New Roman"/>
      <w:sz w:val="24"/>
      <w:szCs w:val="24"/>
      <w:lang w:val="en-US"/>
    </w:rPr>
  </w:style>
  <w:style w:type="character" w:styleId="PageNumber">
    <w:name w:val="page number"/>
    <w:basedOn w:val="DefaultParagraphFont"/>
    <w:uiPriority w:val="99"/>
    <w:rsid w:val="007F2221"/>
    <w:rPr>
      <w:rFonts w:cs="Times New Roman"/>
    </w:rPr>
  </w:style>
  <w:style w:type="paragraph" w:styleId="Header">
    <w:name w:val="header"/>
    <w:basedOn w:val="Normal"/>
    <w:link w:val="HeaderChar"/>
    <w:uiPriority w:val="99"/>
    <w:rsid w:val="007F2221"/>
    <w:pPr>
      <w:tabs>
        <w:tab w:val="center" w:pos="4536"/>
        <w:tab w:val="right" w:pos="9072"/>
      </w:tabs>
    </w:pPr>
  </w:style>
  <w:style w:type="character" w:customStyle="1" w:styleId="HeaderChar">
    <w:name w:val="Header Char"/>
    <w:basedOn w:val="DefaultParagraphFont"/>
    <w:link w:val="Header"/>
    <w:uiPriority w:val="99"/>
    <w:locked/>
    <w:rsid w:val="00920DA4"/>
    <w:rPr>
      <w:rFonts w:cs="Times New Roman"/>
      <w:sz w:val="24"/>
      <w:lang w:val="en-US"/>
    </w:rPr>
  </w:style>
  <w:style w:type="paragraph" w:styleId="BalloonText">
    <w:name w:val="Balloon Text"/>
    <w:basedOn w:val="Normal"/>
    <w:link w:val="BalloonTextChar"/>
    <w:uiPriority w:val="99"/>
    <w:rsid w:val="0050648A"/>
    <w:rPr>
      <w:rFonts w:ascii="Tahoma" w:hAnsi="Tahoma"/>
      <w:sz w:val="16"/>
      <w:szCs w:val="16"/>
    </w:rPr>
  </w:style>
  <w:style w:type="character" w:customStyle="1" w:styleId="BalloonTextChar">
    <w:name w:val="Balloon Text Char"/>
    <w:basedOn w:val="DefaultParagraphFont"/>
    <w:link w:val="BalloonText"/>
    <w:uiPriority w:val="99"/>
    <w:locked/>
    <w:rsid w:val="0050648A"/>
    <w:rPr>
      <w:rFonts w:ascii="Tahoma" w:hAnsi="Tahoma" w:cs="Times New Roman"/>
      <w:sz w:val="16"/>
      <w:lang w:val="en-US"/>
    </w:rPr>
  </w:style>
  <w:style w:type="paragraph" w:styleId="DocumentMap">
    <w:name w:val="Document Map"/>
    <w:basedOn w:val="Normal"/>
    <w:link w:val="DocumentMapChar"/>
    <w:uiPriority w:val="99"/>
    <w:semiHidden/>
    <w:rsid w:val="00C07D3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124FC"/>
    <w:rPr>
      <w:rFonts w:cs="Times New Roman"/>
      <w:sz w:val="2"/>
      <w:lang w:val="en-US"/>
    </w:rPr>
  </w:style>
  <w:style w:type="character" w:styleId="CommentReference">
    <w:name w:val="annotation reference"/>
    <w:basedOn w:val="DefaultParagraphFont"/>
    <w:uiPriority w:val="99"/>
    <w:rsid w:val="00937F11"/>
    <w:rPr>
      <w:rFonts w:cs="Times New Roman"/>
      <w:sz w:val="16"/>
    </w:rPr>
  </w:style>
  <w:style w:type="paragraph" w:styleId="CommentText">
    <w:name w:val="annotation text"/>
    <w:basedOn w:val="Normal"/>
    <w:link w:val="CommentTextChar"/>
    <w:uiPriority w:val="99"/>
    <w:rsid w:val="00937F11"/>
    <w:rPr>
      <w:sz w:val="20"/>
      <w:szCs w:val="20"/>
    </w:rPr>
  </w:style>
  <w:style w:type="character" w:customStyle="1" w:styleId="CommentTextChar">
    <w:name w:val="Comment Text Char"/>
    <w:basedOn w:val="DefaultParagraphFont"/>
    <w:link w:val="CommentText"/>
    <w:uiPriority w:val="99"/>
    <w:locked/>
    <w:rsid w:val="00937F11"/>
    <w:rPr>
      <w:rFonts w:cs="Times New Roman"/>
      <w:lang w:val="en-US"/>
    </w:rPr>
  </w:style>
  <w:style w:type="paragraph" w:styleId="CommentSubject">
    <w:name w:val="annotation subject"/>
    <w:basedOn w:val="CommentText"/>
    <w:next w:val="CommentText"/>
    <w:link w:val="CommentSubjectChar"/>
    <w:uiPriority w:val="99"/>
    <w:rsid w:val="00937F11"/>
    <w:rPr>
      <w:b/>
      <w:bCs/>
    </w:rPr>
  </w:style>
  <w:style w:type="character" w:customStyle="1" w:styleId="CommentSubjectChar">
    <w:name w:val="Comment Subject Char"/>
    <w:basedOn w:val="CommentTextChar"/>
    <w:link w:val="CommentSubject"/>
    <w:uiPriority w:val="99"/>
    <w:locked/>
    <w:rsid w:val="00937F11"/>
    <w:rPr>
      <w:b/>
    </w:rPr>
  </w:style>
  <w:style w:type="paragraph" w:styleId="Revision">
    <w:name w:val="Revision"/>
    <w:hidden/>
    <w:uiPriority w:val="99"/>
    <w:semiHidden/>
    <w:rsid w:val="009626DE"/>
    <w:rPr>
      <w:sz w:val="24"/>
      <w:szCs w:val="24"/>
      <w:lang w:val="en-US"/>
    </w:rPr>
  </w:style>
  <w:style w:type="table" w:styleId="TableGrid">
    <w:name w:val="Table Grid"/>
    <w:basedOn w:val="TableNormal"/>
    <w:uiPriority w:val="99"/>
    <w:rsid w:val="00453B9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
    <w:name w:val="Char Char Char Char Char Char Char Char Char Char Char"/>
    <w:basedOn w:val="Normal"/>
    <w:uiPriority w:val="99"/>
    <w:rsid w:val="00CA1910"/>
    <w:pPr>
      <w:spacing w:after="160" w:line="240" w:lineRule="exact"/>
    </w:pPr>
    <w:rPr>
      <w:rFonts w:ascii="Verdana" w:hAnsi="Verdana" w:cs="Verdana"/>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1437</Words>
  <Characters>8195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EWOpharma</dc:creator>
  <cp:keywords/>
  <dc:description/>
  <cp:lastModifiedBy>SUKL</cp:lastModifiedBy>
  <cp:revision>2</cp:revision>
  <cp:lastPrinted>2012-04-03T06:13:00Z</cp:lastPrinted>
  <dcterms:created xsi:type="dcterms:W3CDTF">2013-01-31T11:46:00Z</dcterms:created>
  <dcterms:modified xsi:type="dcterms:W3CDTF">2013-01-31T11:46:00Z</dcterms:modified>
</cp:coreProperties>
</file>