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84" w:rsidRPr="008776EF" w:rsidRDefault="00263B84" w:rsidP="00F74ECC">
      <w:pPr>
        <w:pStyle w:val="Title"/>
        <w:jc w:val="left"/>
        <w:rPr>
          <w:rFonts w:ascii="Times New Roman" w:hAnsi="Times New Roman"/>
          <w:b w:val="0"/>
          <w:sz w:val="18"/>
          <w:szCs w:val="18"/>
          <w:lang w:val="sk-SK"/>
        </w:rPr>
      </w:pPr>
      <w:r w:rsidRPr="008776EF">
        <w:rPr>
          <w:rFonts w:ascii="Times New Roman" w:hAnsi="Times New Roman"/>
          <w:b w:val="0"/>
          <w:sz w:val="18"/>
          <w:szCs w:val="18"/>
          <w:lang w:val="sk-SK"/>
        </w:rPr>
        <w:t>Príloha č. 2 k</w:t>
      </w:r>
      <w:r>
        <w:rPr>
          <w:rFonts w:ascii="Times New Roman" w:hAnsi="Times New Roman"/>
          <w:b w:val="0"/>
          <w:sz w:val="18"/>
          <w:szCs w:val="18"/>
          <w:lang w:val="sk-SK"/>
        </w:rPr>
        <w:t> </w:t>
      </w:r>
      <w:r w:rsidRPr="008776EF">
        <w:rPr>
          <w:rFonts w:ascii="Times New Roman" w:hAnsi="Times New Roman"/>
          <w:b w:val="0"/>
          <w:sz w:val="18"/>
          <w:szCs w:val="18"/>
          <w:lang w:val="sk-SK"/>
        </w:rPr>
        <w:t>notifikácii o zmene, ev. č.: 2013/04341</w:t>
      </w:r>
    </w:p>
    <w:p w:rsidR="00263B84" w:rsidRPr="008776EF" w:rsidRDefault="00263B84" w:rsidP="00F74ECC">
      <w:pPr>
        <w:pStyle w:val="Title"/>
        <w:jc w:val="left"/>
        <w:rPr>
          <w:rFonts w:ascii="Times New Roman" w:hAnsi="Times New Roman"/>
          <w:b w:val="0"/>
          <w:sz w:val="18"/>
          <w:szCs w:val="18"/>
          <w:lang w:val="sk-SK"/>
        </w:rPr>
      </w:pPr>
      <w:r w:rsidRPr="008776EF">
        <w:rPr>
          <w:rFonts w:ascii="Times New Roman" w:hAnsi="Times New Roman"/>
          <w:b w:val="0"/>
          <w:sz w:val="18"/>
          <w:szCs w:val="18"/>
          <w:lang w:val="sk-SK"/>
        </w:rPr>
        <w:t>Príloha č. 1 k</w:t>
      </w:r>
      <w:r>
        <w:rPr>
          <w:rFonts w:ascii="Times New Roman" w:hAnsi="Times New Roman"/>
          <w:b w:val="0"/>
          <w:sz w:val="18"/>
          <w:szCs w:val="18"/>
          <w:lang w:val="sk-SK"/>
        </w:rPr>
        <w:t> </w:t>
      </w:r>
      <w:r w:rsidRPr="008776EF">
        <w:rPr>
          <w:rFonts w:ascii="Times New Roman" w:hAnsi="Times New Roman"/>
          <w:b w:val="0"/>
          <w:sz w:val="18"/>
          <w:szCs w:val="18"/>
          <w:lang w:val="sk-SK"/>
        </w:rPr>
        <w:t>notifikácii o</w:t>
      </w:r>
      <w:r>
        <w:rPr>
          <w:rFonts w:ascii="Times New Roman" w:hAnsi="Times New Roman"/>
          <w:b w:val="0"/>
          <w:sz w:val="18"/>
          <w:szCs w:val="18"/>
          <w:lang w:val="sk-SK"/>
        </w:rPr>
        <w:t> </w:t>
      </w:r>
      <w:r w:rsidRPr="008776EF">
        <w:rPr>
          <w:rFonts w:ascii="Times New Roman" w:hAnsi="Times New Roman"/>
          <w:b w:val="0"/>
          <w:sz w:val="18"/>
          <w:szCs w:val="18"/>
          <w:lang w:val="sk-SK"/>
        </w:rPr>
        <w:t>zmene, ev. č.: 2012/07374</w:t>
      </w:r>
    </w:p>
    <w:p w:rsidR="00263B84" w:rsidRPr="008776EF" w:rsidRDefault="00263B84" w:rsidP="00F74ECC">
      <w:pPr>
        <w:pStyle w:val="Title"/>
        <w:jc w:val="left"/>
        <w:rPr>
          <w:rFonts w:ascii="Times New Roman" w:hAnsi="Times New Roman"/>
          <w:b w:val="0"/>
          <w:sz w:val="18"/>
          <w:szCs w:val="18"/>
          <w:lang w:val="sk-SK"/>
        </w:rPr>
      </w:pPr>
      <w:r w:rsidRPr="008776EF">
        <w:rPr>
          <w:rFonts w:ascii="Times New Roman" w:hAnsi="Times New Roman"/>
          <w:b w:val="0"/>
          <w:sz w:val="18"/>
          <w:szCs w:val="18"/>
          <w:lang w:val="sk-SK"/>
        </w:rPr>
        <w:t>Príloha č. 2 k</w:t>
      </w:r>
      <w:r>
        <w:rPr>
          <w:rFonts w:ascii="Times New Roman" w:hAnsi="Times New Roman"/>
          <w:b w:val="0"/>
          <w:sz w:val="18"/>
          <w:szCs w:val="18"/>
          <w:lang w:val="sk-SK"/>
        </w:rPr>
        <w:t> </w:t>
      </w:r>
      <w:r w:rsidRPr="008776EF">
        <w:rPr>
          <w:rFonts w:ascii="Times New Roman" w:hAnsi="Times New Roman"/>
          <w:b w:val="0"/>
          <w:sz w:val="18"/>
          <w:szCs w:val="18"/>
          <w:lang w:val="sk-SK"/>
        </w:rPr>
        <w:t>notifikácii o</w:t>
      </w:r>
      <w:r>
        <w:rPr>
          <w:rFonts w:ascii="Times New Roman" w:hAnsi="Times New Roman"/>
          <w:b w:val="0"/>
          <w:sz w:val="18"/>
          <w:szCs w:val="18"/>
          <w:lang w:val="sk-SK"/>
        </w:rPr>
        <w:t> </w:t>
      </w:r>
      <w:r w:rsidRPr="008776EF">
        <w:rPr>
          <w:rFonts w:ascii="Times New Roman" w:hAnsi="Times New Roman"/>
          <w:b w:val="0"/>
          <w:sz w:val="18"/>
          <w:szCs w:val="18"/>
          <w:lang w:val="sk-SK"/>
        </w:rPr>
        <w:t>zmene, ev. č.: 2012/04171</w:t>
      </w:r>
    </w:p>
    <w:p w:rsidR="00263B84" w:rsidRPr="005558F4" w:rsidRDefault="00263B84">
      <w:pPr>
        <w:pStyle w:val="Title"/>
        <w:rPr>
          <w:sz w:val="22"/>
          <w:szCs w:val="22"/>
          <w:lang w:val="sk-SK"/>
        </w:rPr>
      </w:pPr>
    </w:p>
    <w:p w:rsidR="00263B84" w:rsidRPr="005558F4" w:rsidRDefault="00263B84">
      <w:pPr>
        <w:pStyle w:val="Title"/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SÚHRN CHARAKTERISTICKÝCH VLASTNOSTÍ LIEKU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0" w:author="Unknown" w:date="2013-10-09T13:33:00Z" w:original="%1:1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NÁZOV LIEKU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Default="00263B84" w:rsidP="00D010C1">
      <w:pPr>
        <w:rPr>
          <w:bCs/>
          <w:iCs/>
          <w:sz w:val="22"/>
          <w:szCs w:val="22"/>
          <w:lang w:val="sk-SK"/>
        </w:rPr>
      </w:pPr>
      <w:r w:rsidRPr="00AD33FB">
        <w:rPr>
          <w:bCs/>
          <w:iCs/>
          <w:sz w:val="22"/>
          <w:szCs w:val="22"/>
          <w:lang w:val="sk-SK"/>
        </w:rPr>
        <w:t>OlynMuco s príchuťou mentolu 20 mg/ml</w:t>
      </w:r>
    </w:p>
    <w:p w:rsidR="00263B84" w:rsidRPr="005558F4" w:rsidRDefault="00263B84" w:rsidP="00D010C1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Perorálny roztok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1" w:author="Unknown" w:date="2013-10-09T13:33:00Z" w:original="%1:2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KVALITATÍVNE A KVANTITATÍVNE ZLOŽENIE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Tento liek obsahuje 20 mg guajfenezínu v 1 ml (100 mg v 5 ml).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1 ml tiež obsahuje: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Etanol 39,7 mg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Ponceau 4R (E124) 0,05 mg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Sodík 1,8 mg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Glukózu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Fruktózu</w:t>
      </w:r>
    </w:p>
    <w:p w:rsidR="00263B84" w:rsidRPr="005558F4" w:rsidRDefault="00263B84" w:rsidP="00E33693">
      <w:pPr>
        <w:ind w:firstLine="720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Úplný zoznam pomocných látok, pozri časť 6.1.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2" w:author="Unknown" w:date="2013-10-09T13:33:00Z" w:original="%1:3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LIEKOVÁ FORMA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Perorálny roztok</w:t>
      </w:r>
    </w:p>
    <w:p w:rsidR="00263B84" w:rsidRPr="005558F4" w:rsidRDefault="00263B84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Číra až slabo opalizujúca, červená kvapalina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3" w:author="Unknown" w:date="2013-10-09T13:33:00Z" w:original="%1:4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KLINICKÉ ÚDAJE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 xml:space="preserve">4.1 </w:t>
      </w:r>
      <w:r w:rsidRPr="005558F4">
        <w:rPr>
          <w:b/>
          <w:sz w:val="22"/>
          <w:szCs w:val="22"/>
          <w:lang w:val="sk-SK"/>
        </w:rPr>
        <w:tab/>
        <w:t>Terapeutické indikácie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Tento liek je indikovaný na uľahčenie uvoľňovania hlienu a zriedenie bronchiálnej sekrécie pri produktívnom kašli u dospelých a dospievajúcich starších ako 12 rokov.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4.2</w:t>
      </w:r>
      <w:r w:rsidRPr="005558F4">
        <w:rPr>
          <w:b/>
          <w:sz w:val="22"/>
          <w:szCs w:val="22"/>
          <w:lang w:val="sk-SK"/>
        </w:rPr>
        <w:tab/>
        <w:t>Dávkovanie a spôsob podávania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Dospelí a dospievajúci starší ako 12 rokov</w:t>
      </w:r>
    </w:p>
    <w:p w:rsidR="00263B84" w:rsidRPr="005558F4" w:rsidRDefault="00263B84">
      <w:pPr>
        <w:ind w:left="720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Na perorálne podanie: 10 ml (200 mg guajfenezínu) 4-krát denne.</w:t>
      </w: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Maximálna denná dávka: 40 ml (800 mg guajfenezínu)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b/>
          <w:spacing w:val="-3"/>
          <w:sz w:val="22"/>
          <w:szCs w:val="22"/>
          <w:lang w:val="sk-SK"/>
        </w:rPr>
        <w:t>Deti mladšie ako 12 rokov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Neodporúča sa.</w:t>
      </w:r>
    </w:p>
    <w:p w:rsidR="00263B84" w:rsidRPr="005558F4" w:rsidRDefault="00263B84">
      <w:pPr>
        <w:ind w:left="720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Starší pacienti</w:t>
      </w: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Ako dospelí.</w:t>
      </w:r>
    </w:p>
    <w:p w:rsidR="00263B84" w:rsidRPr="005558F4" w:rsidRDefault="00263B84">
      <w:pPr>
        <w:ind w:left="720"/>
        <w:rPr>
          <w:spacing w:val="-3"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pacing w:val="-3"/>
          <w:sz w:val="22"/>
          <w:szCs w:val="22"/>
          <w:lang w:val="sk-SK"/>
        </w:rPr>
      </w:pPr>
      <w:r w:rsidRPr="005558F4">
        <w:rPr>
          <w:b/>
          <w:spacing w:val="-3"/>
          <w:sz w:val="22"/>
          <w:szCs w:val="22"/>
          <w:lang w:val="sk-SK"/>
        </w:rPr>
        <w:t>Poškodenie funkcie pečene/obličiek</w:t>
      </w: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Pri ťažkom poškodení funkcie obličiek a pečene je potrebná opatrnosť.</w:t>
      </w:r>
    </w:p>
    <w:p w:rsidR="00263B84" w:rsidRPr="005558F4" w:rsidRDefault="00263B84">
      <w:pPr>
        <w:ind w:left="720"/>
        <w:rPr>
          <w:spacing w:val="-3"/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Ak kašeľ pretrváva dlhšie ako 7 dní, má tendenciu sa opakovať alebo je sprevádzaný horúčkou, vyrážkou alebo pretrvávajúcou bolesťou hlavy, je potrebné poradiť sa s lekárom.</w:t>
      </w:r>
    </w:p>
    <w:p w:rsidR="00263B84" w:rsidRPr="005558F4" w:rsidRDefault="00263B84">
      <w:pPr>
        <w:ind w:left="720"/>
        <w:rPr>
          <w:b/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4.3</w:t>
      </w:r>
      <w:r w:rsidRPr="005558F4">
        <w:rPr>
          <w:b/>
          <w:sz w:val="22"/>
          <w:szCs w:val="22"/>
          <w:lang w:val="sk-SK"/>
        </w:rPr>
        <w:tab/>
        <w:t>Kontraindikácie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Tento liek je kontraindikovaný u osôb so známou precitlivenosťou na liečivo alebo na ktorúkoľvek z pomocných látok.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4.4</w:t>
      </w:r>
      <w:r w:rsidRPr="005558F4">
        <w:rPr>
          <w:b/>
          <w:sz w:val="22"/>
          <w:szCs w:val="22"/>
          <w:lang w:val="sk-SK"/>
        </w:rPr>
        <w:tab/>
        <w:t>Osobitné upozornenia a opatrenia pri používaní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Tento liek sa nemá používať pri pretrvávajúcom alebo chronickom kašli, aký sa vyskytuje pri astme, alebo ak je kašeľ sprevádzaný rozsiahlou sekréciou, pokiaľ tak neodporučí lekár.</w:t>
      </w:r>
    </w:p>
    <w:p w:rsidR="00263B84" w:rsidRPr="005558F4" w:rsidRDefault="00263B84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vertAlign w:val="superscript"/>
          <w:lang w:val="sk-SK"/>
        </w:rPr>
      </w:pPr>
      <w:r w:rsidRPr="005558F4">
        <w:rPr>
          <w:sz w:val="22"/>
          <w:szCs w:val="22"/>
          <w:lang w:val="sk-SK"/>
        </w:rPr>
        <w:t>Pretrvávajúci kašeľ môže byť príznakom závažného stavu. Ak kašeľ pretrváva dlhšie ako 7 dní, má tendenciu sa opakovať, alebo je sprevádzaný horúčkou, vyrážkou alebo pretrvávajúcou bolesťou hlavy, je potrebné sa poradiť s lekárom.</w:t>
      </w:r>
    </w:p>
    <w:p w:rsidR="00263B84" w:rsidRPr="005558F4" w:rsidRDefault="00263B84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Pri používaní tohto lieku pri ťažkom poškodení funkcie obličiek alebo pečene je potrebná opatrnosť.</w:t>
      </w:r>
    </w:p>
    <w:p w:rsidR="00263B84" w:rsidRPr="005558F4" w:rsidRDefault="00263B84" w:rsidP="00DD30A8">
      <w:pPr>
        <w:ind w:left="720"/>
        <w:rPr>
          <w:spacing w:val="-3"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Súčasné užívanie s antitusikami sa neodporúča.</w:t>
      </w:r>
    </w:p>
    <w:p w:rsidR="00263B84" w:rsidRPr="005558F4" w:rsidRDefault="00263B84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Pacienti so zriedkavými dedičnými problémami s intoleranciou fruktózy alebo glukózo-galaktózovou malabsorpciou nemajú tento liek užívať.</w:t>
      </w:r>
    </w:p>
    <w:p w:rsidR="00263B84" w:rsidRPr="005558F4" w:rsidRDefault="00263B84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Tento liek obsahuje 4,7 obj % etanolu (alkohol), t.j. až do 400 mg na dávku, čo zodpovedá približne 10 ml piva, 4 ml vína na dávku 10 ml. To môže byť škodlivé pre osoby trpiace alkoholizmom. Obsah etanolu sa má vziať do úvahy u tehotných a dojčiacich žien, detí a vysoko rizikových skupín, ako sú pacienti s poškodenou funkciou pečene alebo obličiek alebo u pacientov s epilepsiou.</w:t>
      </w:r>
    </w:p>
    <w:p w:rsidR="00263B84" w:rsidRPr="005558F4" w:rsidRDefault="00263B84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Tento liek obsahuje Ponceau 4R (E124), červené farbivo, ktoré môže vyvolať alergické reakcie.</w:t>
      </w:r>
    </w:p>
    <w:p w:rsidR="00263B84" w:rsidRPr="005558F4" w:rsidRDefault="00263B84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Tento liek obsahuje 17,6 mg sodíka v dávke 10 ml. Má sa vziať do úvahy u pacientov na diéte s kontrolovaným obsahom sodíka.</w:t>
      </w:r>
    </w:p>
    <w:p w:rsidR="00263B84" w:rsidRPr="005558F4" w:rsidRDefault="00263B84">
      <w:pPr>
        <w:ind w:left="1701"/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4.5</w:t>
      </w:r>
      <w:r w:rsidRPr="005558F4">
        <w:rPr>
          <w:b/>
          <w:sz w:val="22"/>
          <w:szCs w:val="22"/>
          <w:lang w:val="sk-SK"/>
        </w:rPr>
        <w:tab/>
        <w:t>Liekové a iné interakcie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Ak sa zbiera moč v priebehu 24 hodín po podaní dávky tohto lieku, môže metabolit guajfenezínu spôsobiť farebné rušenie laboratórneho stanovenia kyseliny 5-hydroxyindoloctovej (5-HIAA) a kyseliny vanilylmandľovej (VMA) v moči.</w:t>
      </w:r>
    </w:p>
    <w:p w:rsidR="00263B84" w:rsidRPr="005558F4" w:rsidRDefault="00263B84">
      <w:pPr>
        <w:ind w:left="709"/>
        <w:rPr>
          <w:spacing w:val="-3"/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Expektorancium ako guajfenezín sa nemá pri liečbe kašľa kombinovať s liekmi tlmiacimi kašeľ vzhľadom na to, že takáto kombinácia nie je logická a pacienti tak môžu byť zbytočne vystavení nežiaducim účinkom.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4.6</w:t>
      </w:r>
      <w:r w:rsidRPr="005558F4">
        <w:rPr>
          <w:b/>
          <w:sz w:val="22"/>
          <w:szCs w:val="22"/>
          <w:lang w:val="sk-SK"/>
        </w:rPr>
        <w:tab/>
        <w:t>Fertilita, gravidita a laktácia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Nie je k dispozícii dostatok údajov o účinkoch tohto lieku pri podávaní ženám počas gravidity. Tento liek sa nemá užívať počas gravidity, pokiaľ prípadný prínos liečby pre matku neprevýši možné riziko pre vyvíjajúci sa plod.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Nie je známe, či sa guajfenezín vylučuje do materského mlieka.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numPr>
          <w:ilvl w:val="1"/>
          <w:numId w:val="2"/>
          <w:numberingChange w:id="4" w:author="Unknown" w:date="2013-10-09T13:33:00Z" w:original="%1:4:0:.%2:7:0:"/>
        </w:num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Ovplyvnenie schopnosti viesť vozidlá a obsluhovať stroje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Na základe farmakodynamického profilu nemá guajfenezín žiadny vplyv na schopnosť viesť vozidlá alebo obsluhovať stroje.</w:t>
      </w:r>
    </w:p>
    <w:p w:rsidR="00263B84" w:rsidRPr="005558F4" w:rsidRDefault="00263B84" w:rsidP="002A7757">
      <w:pPr>
        <w:ind w:left="709"/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4.8</w:t>
      </w:r>
      <w:r w:rsidRPr="005558F4">
        <w:rPr>
          <w:b/>
          <w:sz w:val="22"/>
          <w:szCs w:val="22"/>
          <w:lang w:val="sk-SK"/>
        </w:rPr>
        <w:tab/>
        <w:t>Nežiaduce účinky</w:t>
      </w:r>
    </w:p>
    <w:p w:rsidR="00263B84" w:rsidRPr="005558F4" w:rsidRDefault="00263B84">
      <w:pPr>
        <w:ind w:left="709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S podávaním guajfenezínu sa môžu spájať nasledujúce nežiaduce účinky:</w:t>
      </w:r>
    </w:p>
    <w:p w:rsidR="00263B84" w:rsidRPr="005558F4" w:rsidRDefault="00263B84" w:rsidP="002A7757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Poruchy imunitného systému: reakcie z precitlivenosti (frekvencia – neznáma).</w:t>
      </w:r>
    </w:p>
    <w:p w:rsidR="00263B84" w:rsidRPr="005558F4" w:rsidRDefault="00263B84" w:rsidP="002A7757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Poruchy gastrointestinálneho traktu: gastrointestinálny dyskomfort, nauzea, vracanie (frekvencia – neznáma).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4.9</w:t>
      </w:r>
      <w:r w:rsidRPr="005558F4">
        <w:rPr>
          <w:b/>
          <w:sz w:val="22"/>
          <w:szCs w:val="22"/>
          <w:lang w:val="sk-SK"/>
        </w:rPr>
        <w:tab/>
        <w:t>Predávkovanie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Príznaky a znaky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Príznaky a znaky predávkovania môžu zahŕňať gastrointestinálny dyskomfort, nauzeu a ospanlivosť.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Liečba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Liečba má byť symptomatická a podporná.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5" w:author="Unknown" w:date="2013-10-09T13:33:00Z" w:original="%1:5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FARMAKOLOGICKÉ VLASTNOSTI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5.1</w:t>
      </w:r>
      <w:r w:rsidRPr="005558F4">
        <w:rPr>
          <w:b/>
          <w:sz w:val="22"/>
          <w:szCs w:val="22"/>
          <w:lang w:val="sk-SK"/>
        </w:rPr>
        <w:tab/>
        <w:t>Farmakodynamické vlastnosti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Farmakoterapeutická skupina: expektoranciá, ATC kód: R05CA03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Predpokladá sa, že guajfenezín účinkuje farmakologicky prostredníctvom stimulácie receptorov žalúdočnej sliznice. To zvyšuje výdaj sekretorických žliaz v gastrointestinálnom trakte a reflexne zvyšuje výtok kvapalín zo žliaz lemujúcich dýchacie cesty. Výsledkom je zvýšenie objemu a zníženie viskozity bronchiálnej sekrécie. Iné účinky môžu zahŕňať stimuláciu zakončenia vágového nervu v bronchiálnych sekretorických žľazách a stimuláciu istých centier v mozgu, čoho následkom je zvýšený tok kvapalín v dýchacej sústave. Expektoračný účinok guajfenezínu sa dosahuje v priebehu 24 hodín.</w:t>
      </w:r>
    </w:p>
    <w:p w:rsidR="00263B84" w:rsidRPr="005558F4" w:rsidRDefault="00263B84">
      <w:pPr>
        <w:ind w:left="720"/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5.2</w:t>
      </w:r>
      <w:r w:rsidRPr="005558F4">
        <w:rPr>
          <w:b/>
          <w:sz w:val="22"/>
          <w:szCs w:val="22"/>
          <w:lang w:val="sk-SK"/>
        </w:rPr>
        <w:tab/>
        <w:t>Farmakokinetické vlastnosti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Absorpcia</w:t>
      </w:r>
    </w:p>
    <w:p w:rsidR="00263B84" w:rsidRPr="005558F4" w:rsidRDefault="00263B84">
      <w:pPr>
        <w:ind w:left="720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Guajfenezín sa po perorálnom podaní dobre absorbuje z gastrointestinálneho traktu, hoci o jeho farmakokinetike sú dostupné iba obmedzené informácie. Po podaní 600 mg guajfenezínu zdravým dospelým dobrovoľníkom bola C</w:t>
      </w:r>
      <w:r w:rsidRPr="005558F4">
        <w:rPr>
          <w:spacing w:val="-3"/>
          <w:sz w:val="22"/>
          <w:szCs w:val="22"/>
          <w:vertAlign w:val="subscript"/>
          <w:lang w:val="sk-SK"/>
        </w:rPr>
        <w:t xml:space="preserve">max </w:t>
      </w:r>
      <w:r w:rsidRPr="005558F4">
        <w:rPr>
          <w:spacing w:val="-3"/>
          <w:sz w:val="22"/>
          <w:szCs w:val="22"/>
          <w:lang w:val="sk-SK"/>
        </w:rPr>
        <w:t>približne 1,4 µg/ml s t</w:t>
      </w:r>
      <w:r w:rsidRPr="005558F4">
        <w:rPr>
          <w:spacing w:val="-3"/>
          <w:sz w:val="22"/>
          <w:szCs w:val="22"/>
          <w:vertAlign w:val="subscript"/>
          <w:lang w:val="sk-SK"/>
        </w:rPr>
        <w:t>max</w:t>
      </w:r>
      <w:r w:rsidRPr="005558F4">
        <w:rPr>
          <w:spacing w:val="-3"/>
          <w:sz w:val="22"/>
          <w:szCs w:val="22"/>
          <w:lang w:val="sk-SK"/>
        </w:rPr>
        <w:t xml:space="preserve"> objavujúcim sa približne 15 minút po podaní lieku.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pacing w:val="-3"/>
          <w:sz w:val="22"/>
          <w:szCs w:val="22"/>
          <w:lang w:val="sk-SK"/>
        </w:rPr>
      </w:pPr>
      <w:r w:rsidRPr="005558F4">
        <w:rPr>
          <w:b/>
          <w:spacing w:val="-3"/>
          <w:sz w:val="22"/>
          <w:szCs w:val="22"/>
          <w:lang w:val="sk-SK"/>
        </w:rPr>
        <w:t>Distribúcia</w:t>
      </w:r>
    </w:p>
    <w:p w:rsidR="00263B84" w:rsidRPr="005558F4" w:rsidRDefault="00263B84">
      <w:pPr>
        <w:ind w:left="709"/>
        <w:rPr>
          <w:b/>
          <w:spacing w:val="-3"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O distribúcii guajfenezínu u ľudí nie sú dostupné informácie.</w:t>
      </w:r>
    </w:p>
    <w:p w:rsidR="00263B84" w:rsidRPr="005558F4" w:rsidRDefault="00263B84">
      <w:pPr>
        <w:ind w:left="709"/>
        <w:rPr>
          <w:b/>
          <w:spacing w:val="-3"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pacing w:val="-3"/>
          <w:sz w:val="22"/>
          <w:szCs w:val="22"/>
          <w:lang w:val="sk-SK"/>
        </w:rPr>
      </w:pPr>
      <w:r w:rsidRPr="005558F4">
        <w:rPr>
          <w:b/>
          <w:spacing w:val="-3"/>
          <w:sz w:val="22"/>
          <w:szCs w:val="22"/>
          <w:lang w:val="sk-SK"/>
        </w:rPr>
        <w:t>Metabolizmus a eliminácia</w:t>
      </w:r>
    </w:p>
    <w:p w:rsidR="00263B84" w:rsidRPr="005558F4" w:rsidRDefault="00263B84">
      <w:pPr>
        <w:rPr>
          <w:b/>
          <w:spacing w:val="-3"/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Zdá sa, že guajfenezín podlieha ako oxidácii tak aj demetylácii. Po podaní perorálnej dávky 600 mg guajfenezínu 3 zdravým dobrovoľníkom mužského pohlavia bol t</w:t>
      </w:r>
      <w:r w:rsidRPr="005558F4">
        <w:rPr>
          <w:spacing w:val="-3"/>
          <w:sz w:val="22"/>
          <w:szCs w:val="22"/>
          <w:vertAlign w:val="subscript"/>
          <w:lang w:val="sk-SK"/>
        </w:rPr>
        <w:t xml:space="preserve">½ </w:t>
      </w:r>
      <w:r w:rsidRPr="005558F4">
        <w:rPr>
          <w:spacing w:val="-3"/>
          <w:sz w:val="22"/>
          <w:szCs w:val="22"/>
          <w:lang w:val="sk-SK"/>
        </w:rPr>
        <w:t>približne 1 hodina a po približne 8 hodinách nebola látka v krvi zistená.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5.3</w:t>
      </w:r>
      <w:r w:rsidRPr="005558F4">
        <w:rPr>
          <w:b/>
          <w:sz w:val="22"/>
          <w:szCs w:val="22"/>
          <w:lang w:val="sk-SK"/>
        </w:rPr>
        <w:tab/>
        <w:t>Predklinické údaje o bezpečnosti</w:t>
      </w:r>
    </w:p>
    <w:p w:rsidR="00263B84" w:rsidRPr="005558F4" w:rsidRDefault="00263B84">
      <w:pPr>
        <w:ind w:left="709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Karcinog</w:t>
      </w:r>
      <w:r>
        <w:rPr>
          <w:b/>
          <w:sz w:val="22"/>
          <w:szCs w:val="22"/>
          <w:lang w:val="sk-SK"/>
        </w:rPr>
        <w:t>énnosť</w:t>
      </w:r>
    </w:p>
    <w:p w:rsidR="00263B84" w:rsidRPr="005558F4" w:rsidRDefault="00263B84">
      <w:pPr>
        <w:ind w:left="709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Nie je dostatok informácií, na základe ktorých by sa dal určiť karcinogénny potenciál guajfenezínu.</w:t>
      </w:r>
    </w:p>
    <w:p w:rsidR="00263B84" w:rsidRPr="005558F4" w:rsidRDefault="00263B84">
      <w:pPr>
        <w:ind w:left="709"/>
        <w:rPr>
          <w:b/>
          <w:spacing w:val="-3"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Mutag</w:t>
      </w:r>
      <w:r>
        <w:rPr>
          <w:b/>
          <w:sz w:val="22"/>
          <w:szCs w:val="22"/>
          <w:lang w:val="sk-SK"/>
        </w:rPr>
        <w:t>énnosť</w:t>
      </w:r>
    </w:p>
    <w:p w:rsidR="00263B84" w:rsidRPr="005558F4" w:rsidRDefault="00263B84">
      <w:pPr>
        <w:ind w:left="709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Nie je dostatok informácií, na základe ktorých by sa dal určiť mutagénny potenciál guajfenezínu.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Teratog</w:t>
      </w:r>
      <w:r>
        <w:rPr>
          <w:b/>
          <w:sz w:val="22"/>
          <w:szCs w:val="22"/>
          <w:lang w:val="sk-SK"/>
        </w:rPr>
        <w:t>énnosť</w:t>
      </w:r>
    </w:p>
    <w:p w:rsidR="00263B84" w:rsidRPr="005558F4" w:rsidRDefault="00263B84">
      <w:pPr>
        <w:ind w:left="709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Nie je dostatok informácií, na základe ktorých by sa dal určiť teratogénny potenciál guajfenezínu.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Fertilita</w:t>
      </w:r>
    </w:p>
    <w:p w:rsidR="00263B84" w:rsidRPr="005558F4" w:rsidRDefault="00263B84">
      <w:pPr>
        <w:ind w:left="709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b/>
          <w:spacing w:val="-3"/>
          <w:sz w:val="22"/>
          <w:szCs w:val="22"/>
          <w:lang w:val="sk-SK"/>
        </w:rPr>
      </w:pPr>
      <w:r w:rsidRPr="005558F4">
        <w:rPr>
          <w:spacing w:val="-3"/>
          <w:sz w:val="22"/>
          <w:szCs w:val="22"/>
          <w:lang w:val="sk-SK"/>
        </w:rPr>
        <w:t>Nie je dostatok informácií, na základe ktorých by sa dal určiť potenciál guajfenezínu poškodiť plodnosť.</w:t>
      </w:r>
    </w:p>
    <w:p w:rsidR="00263B84" w:rsidRPr="005558F4" w:rsidRDefault="00263B84">
      <w:pPr>
        <w:ind w:left="709"/>
        <w:rPr>
          <w:sz w:val="22"/>
          <w:szCs w:val="22"/>
          <w:lang w:val="sk-SK"/>
        </w:rPr>
      </w:pPr>
    </w:p>
    <w:p w:rsidR="00263B84" w:rsidRPr="005558F4" w:rsidRDefault="00263B84">
      <w:pPr>
        <w:ind w:left="709"/>
        <w:rPr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6" w:author="Unknown" w:date="2013-10-09T13:33:00Z" w:original="%1:6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FARMACEUTICKÉ INFORMÁCIE</w:t>
      </w:r>
    </w:p>
    <w:p w:rsidR="00263B84" w:rsidRPr="005558F4" w:rsidRDefault="00263B84">
      <w:pPr>
        <w:ind w:left="720"/>
        <w:rPr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6.1</w:t>
      </w:r>
      <w:r w:rsidRPr="005558F4">
        <w:rPr>
          <w:b/>
          <w:sz w:val="22"/>
          <w:szCs w:val="22"/>
          <w:lang w:val="sk-SK"/>
        </w:rPr>
        <w:tab/>
        <w:t>Zoznam pomocných látok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Xantánová živica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Chlorid sodný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Sodná soľ sacharínu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Amónna soľ glycyrrhizínu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Benzoan sodný (E211)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Bezvodá kyselina citrónová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Citran sodný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Makrogol glycerol hydroxystearát 40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Levomentol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Jahodová príchuť F2126 (obsahuje etanol, glukózu a fruktózu)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Karamel (E150) (obsahuje glukózu)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Ponceau 4R (E124)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Glycerol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Makrogol 1500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Propylénglykol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Etanol 96 %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Čistená voda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E644EE">
      <w:pPr>
        <w:numPr>
          <w:ilvl w:val="1"/>
          <w:numId w:val="1"/>
          <w:numberingChange w:id="7" w:author="Unknown" w:date="2013-10-09T13:33:00Z" w:original="%1:6:0:.%2:2:0:"/>
        </w:num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Inkompatibility</w:t>
      </w:r>
    </w:p>
    <w:p w:rsidR="00263B84" w:rsidRPr="005558F4" w:rsidRDefault="00263B84" w:rsidP="00E644EE">
      <w:pPr>
        <w:ind w:left="720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Neaplikovateľné.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E644EE">
      <w:pPr>
        <w:numPr>
          <w:ilvl w:val="1"/>
          <w:numId w:val="1"/>
          <w:numberingChange w:id="8" w:author="Unknown" w:date="2013-10-09T13:33:00Z" w:original="%1:6:0:.%2:3:0:"/>
        </w:num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Čas použiteľnosti</w:t>
      </w:r>
    </w:p>
    <w:p w:rsidR="00263B84" w:rsidRPr="005558F4" w:rsidRDefault="00263B84" w:rsidP="00E644EE">
      <w:pPr>
        <w:ind w:left="720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bCs/>
          <w:sz w:val="22"/>
          <w:szCs w:val="22"/>
          <w:lang w:val="sk-SK"/>
        </w:rPr>
      </w:pPr>
      <w:r w:rsidRPr="005558F4">
        <w:rPr>
          <w:bCs/>
          <w:sz w:val="22"/>
          <w:szCs w:val="22"/>
          <w:lang w:val="sk-SK"/>
        </w:rPr>
        <w:t>3 roky</w:t>
      </w:r>
    </w:p>
    <w:p w:rsidR="00263B84" w:rsidRPr="005558F4" w:rsidRDefault="00263B84" w:rsidP="00CB65D9">
      <w:pPr>
        <w:rPr>
          <w:bCs/>
          <w:sz w:val="22"/>
          <w:szCs w:val="22"/>
          <w:lang w:val="sk-SK"/>
        </w:rPr>
      </w:pPr>
      <w:r w:rsidRPr="005558F4">
        <w:rPr>
          <w:bCs/>
          <w:sz w:val="22"/>
          <w:szCs w:val="22"/>
          <w:lang w:val="sk-SK"/>
        </w:rPr>
        <w:t>Po prvom otvorení: 4 týždne</w:t>
      </w:r>
    </w:p>
    <w:p w:rsidR="00263B84" w:rsidRPr="005558F4" w:rsidRDefault="00263B84">
      <w:pPr>
        <w:ind w:left="720"/>
        <w:rPr>
          <w:bCs/>
          <w:sz w:val="22"/>
          <w:szCs w:val="22"/>
          <w:lang w:val="sk-SK"/>
        </w:rPr>
      </w:pPr>
    </w:p>
    <w:p w:rsidR="00263B84" w:rsidRPr="005558F4" w:rsidRDefault="00263B84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6.4</w:t>
      </w:r>
      <w:r w:rsidRPr="005558F4">
        <w:rPr>
          <w:b/>
          <w:sz w:val="22"/>
          <w:szCs w:val="22"/>
          <w:lang w:val="sk-SK"/>
        </w:rPr>
        <w:tab/>
        <w:t>Špeciálne upozornenia na uchovávanie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Uchovávajte pri teplote do 25 ºC.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Uchovávajte v pôvodnom obale na ochranu pred svetlom.</w:t>
      </w:r>
    </w:p>
    <w:p w:rsidR="00263B84" w:rsidRPr="005558F4" w:rsidRDefault="00263B84">
      <w:pPr>
        <w:ind w:left="720"/>
        <w:rPr>
          <w:sz w:val="22"/>
          <w:szCs w:val="22"/>
          <w:lang w:val="sk-SK"/>
        </w:rPr>
      </w:pPr>
    </w:p>
    <w:p w:rsidR="00263B84" w:rsidRPr="005558F4" w:rsidRDefault="00263B84" w:rsidP="003D5757">
      <w:pPr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6.5</w:t>
      </w:r>
      <w:r w:rsidRPr="005558F4">
        <w:rPr>
          <w:b/>
          <w:sz w:val="22"/>
          <w:szCs w:val="22"/>
          <w:lang w:val="sk-SK"/>
        </w:rPr>
        <w:tab/>
        <w:t>Druh obalu a obsah balenia</w:t>
      </w:r>
    </w:p>
    <w:p w:rsidR="00263B84" w:rsidRPr="005558F4" w:rsidRDefault="00263B84" w:rsidP="00E644EE">
      <w:pPr>
        <w:ind w:left="720"/>
        <w:rPr>
          <w:b/>
          <w:sz w:val="22"/>
          <w:szCs w:val="22"/>
          <w:lang w:val="sk-SK"/>
        </w:rPr>
      </w:pPr>
    </w:p>
    <w:p w:rsidR="00263B8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Fľaša z jantárového skla typu III s objemom 150 ml opatrená plastovým viečkom bezpečným pred deťmi s PET zátkou.</w:t>
      </w:r>
    </w:p>
    <w:p w:rsidR="00263B84" w:rsidRPr="005558F4" w:rsidRDefault="00263B84" w:rsidP="00CB65D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Balenie obsahuje plastovú odmerku s 10 ml stupnicou.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3D5757">
      <w:pPr>
        <w:numPr>
          <w:ilvl w:val="1"/>
          <w:numId w:val="9"/>
          <w:numberingChange w:id="9" w:author="Unknown" w:date="2013-10-09T13:33:00Z" w:original="%1:6:0:.%2:6:0:"/>
        </w:numPr>
        <w:rPr>
          <w:b/>
          <w:bCs/>
          <w:sz w:val="22"/>
          <w:szCs w:val="22"/>
          <w:lang w:val="sk-SK"/>
        </w:rPr>
      </w:pPr>
      <w:r w:rsidRPr="005558F4">
        <w:rPr>
          <w:b/>
          <w:bCs/>
          <w:sz w:val="22"/>
          <w:szCs w:val="22"/>
          <w:lang w:val="sk-SK"/>
        </w:rPr>
        <w:t>Špeciálne opatrenia na likvidáciu</w:t>
      </w:r>
    </w:p>
    <w:p w:rsidR="00263B84" w:rsidRPr="005558F4" w:rsidRDefault="00263B84">
      <w:pPr>
        <w:rPr>
          <w:b/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Žiadne zvláštne požiadavky.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Lieky sa nesmú likvidovať odpadovou vodou alebo domovým odpadom. Nepoužitý liek vráťte do lekárne. Tieto opatrenia pomôžu chrániť životné prostredie.</w:t>
      </w:r>
    </w:p>
    <w:p w:rsidR="00263B84" w:rsidRPr="005558F4" w:rsidRDefault="00263B84">
      <w:pPr>
        <w:ind w:left="720"/>
        <w:rPr>
          <w:sz w:val="22"/>
          <w:szCs w:val="22"/>
          <w:lang w:val="sk-SK"/>
        </w:rPr>
      </w:pPr>
    </w:p>
    <w:p w:rsidR="00263B84" w:rsidRPr="005558F4" w:rsidRDefault="00263B84">
      <w:pPr>
        <w:ind w:left="720"/>
        <w:rPr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10" w:author="Unknown" w:date="2013-10-09T13:33:00Z" w:original="%1:7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DRŽITEĽ ROZHODNUTIA O REGISTRÁCII</w:t>
      </w:r>
    </w:p>
    <w:p w:rsidR="00263B84" w:rsidRPr="005558F4" w:rsidRDefault="00263B84" w:rsidP="00E644EE">
      <w:pPr>
        <w:ind w:left="720"/>
        <w:rPr>
          <w:b/>
          <w:sz w:val="22"/>
          <w:szCs w:val="22"/>
          <w:lang w:val="sk-SK"/>
        </w:rPr>
      </w:pPr>
    </w:p>
    <w:p w:rsidR="00263B84" w:rsidRPr="005558F4" w:rsidRDefault="00263B84" w:rsidP="00CB65D9">
      <w:pPr>
        <w:pStyle w:val="BodyTextIndent2"/>
        <w:spacing w:after="0" w:line="240" w:lineRule="auto"/>
        <w:ind w:left="0" w:right="-6"/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 xml:space="preserve">McNeil Products Limited, </w:t>
      </w:r>
      <w:r w:rsidRPr="005558F4">
        <w:rPr>
          <w:sz w:val="22"/>
          <w:szCs w:val="22"/>
        </w:rPr>
        <w:t xml:space="preserve">c/o Johnson &amp; Johnson Limited, </w:t>
      </w:r>
      <w:r w:rsidRPr="005558F4">
        <w:rPr>
          <w:sz w:val="22"/>
          <w:szCs w:val="22"/>
          <w:lang w:val="sk-SK"/>
        </w:rPr>
        <w:t>Foundation Park, Roxborough Way, Maidenhead, Berkshire, SL6 3UG, Veľká Británia</w:t>
      </w:r>
    </w:p>
    <w:p w:rsidR="00263B84" w:rsidRPr="005558F4" w:rsidRDefault="00263B84">
      <w:pPr>
        <w:ind w:left="720"/>
        <w:rPr>
          <w:b/>
          <w:sz w:val="22"/>
          <w:szCs w:val="22"/>
          <w:lang w:val="sk-SK"/>
        </w:rPr>
      </w:pPr>
    </w:p>
    <w:p w:rsidR="00263B84" w:rsidRPr="005558F4" w:rsidRDefault="00263B84">
      <w:pPr>
        <w:ind w:left="720"/>
        <w:rPr>
          <w:b/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11" w:author="Unknown" w:date="2013-10-09T13:33:00Z" w:original="%1:8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REGISTRAČNÉ ČÍSLO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  <w:r w:rsidRPr="005558F4">
        <w:rPr>
          <w:sz w:val="22"/>
          <w:szCs w:val="22"/>
          <w:lang w:val="sk-SK"/>
        </w:rPr>
        <w:t>52/0613/11-S</w:t>
      </w: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>
      <w:pPr>
        <w:rPr>
          <w:sz w:val="22"/>
          <w:szCs w:val="22"/>
          <w:lang w:val="sk-SK"/>
        </w:rPr>
      </w:pPr>
    </w:p>
    <w:p w:rsidR="00263B84" w:rsidRPr="005558F4" w:rsidRDefault="00263B84" w:rsidP="004E6524">
      <w:pPr>
        <w:numPr>
          <w:ilvl w:val="0"/>
          <w:numId w:val="13"/>
          <w:numberingChange w:id="12" w:author="Unknown" w:date="2013-10-09T13:33:00Z" w:original="%1:9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DÁTUM PRVEJ REGISTRÁCIE/ PREDĹŽENIA REGISTRÁCIE</w:t>
      </w:r>
    </w:p>
    <w:p w:rsidR="00263B84" w:rsidRDefault="00263B84" w:rsidP="00CB65D9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  <w:r>
        <w:rPr>
          <w:bCs/>
          <w:sz w:val="22"/>
          <w:szCs w:val="22"/>
        </w:rPr>
        <w:t xml:space="preserve">Dátum prvej registrácie: </w:t>
      </w:r>
      <w:r>
        <w:rPr>
          <w:sz w:val="22"/>
          <w:szCs w:val="22"/>
          <w:lang w:val="sk-SK"/>
        </w:rPr>
        <w:t>13.10. 2011</w:t>
      </w:r>
    </w:p>
    <w:p w:rsidR="00263B84" w:rsidRDefault="00263B84" w:rsidP="00CB65D9">
      <w:pPr>
        <w:rPr>
          <w:sz w:val="22"/>
          <w:szCs w:val="22"/>
          <w:lang w:val="sk-SK"/>
        </w:rPr>
      </w:pPr>
    </w:p>
    <w:p w:rsidR="00263B84" w:rsidRPr="005558F4" w:rsidRDefault="00263B84" w:rsidP="00CB65D9">
      <w:pPr>
        <w:rPr>
          <w:sz w:val="22"/>
          <w:szCs w:val="22"/>
          <w:lang w:val="sk-SK"/>
        </w:rPr>
      </w:pPr>
    </w:p>
    <w:p w:rsidR="00263B84" w:rsidRDefault="00263B84" w:rsidP="004E6524">
      <w:pPr>
        <w:numPr>
          <w:ilvl w:val="0"/>
          <w:numId w:val="13"/>
          <w:numberingChange w:id="13" w:author="Unknown" w:date="2013-10-09T13:33:00Z" w:original="%1:10:0:."/>
        </w:numPr>
        <w:ind w:hanging="1440"/>
        <w:rPr>
          <w:b/>
          <w:sz w:val="22"/>
          <w:szCs w:val="22"/>
          <w:lang w:val="sk-SK"/>
        </w:rPr>
      </w:pPr>
      <w:r w:rsidRPr="005558F4">
        <w:rPr>
          <w:b/>
          <w:sz w:val="22"/>
          <w:szCs w:val="22"/>
          <w:lang w:val="sk-SK"/>
        </w:rPr>
        <w:t>DÁTUM REVÍZIE TEXTU</w:t>
      </w:r>
    </w:p>
    <w:p w:rsidR="00263B84" w:rsidRDefault="00263B84" w:rsidP="00793474">
      <w:pPr>
        <w:rPr>
          <w:b/>
          <w:sz w:val="22"/>
          <w:szCs w:val="22"/>
          <w:lang w:val="sk-SK"/>
        </w:rPr>
      </w:pPr>
    </w:p>
    <w:p w:rsidR="00263B84" w:rsidRPr="00793474" w:rsidRDefault="00263B84" w:rsidP="0079347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Október 2013</w:t>
      </w:r>
      <w:bookmarkStart w:id="14" w:name="_GoBack"/>
      <w:bookmarkEnd w:id="14"/>
    </w:p>
    <w:sectPr w:rsidR="00263B84" w:rsidRPr="00793474" w:rsidSect="00C83C80">
      <w:headerReference w:type="default" r:id="rId7"/>
      <w:footerReference w:type="default" r:id="rId8"/>
      <w:pgSz w:w="11907" w:h="16840"/>
      <w:pgMar w:top="1440" w:right="1797" w:bottom="1440" w:left="179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B84" w:rsidRDefault="00263B84">
      <w:r>
        <w:separator/>
      </w:r>
    </w:p>
  </w:endnote>
  <w:endnote w:type="continuationSeparator" w:id="0">
    <w:p w:rsidR="00263B84" w:rsidRDefault="0026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84" w:rsidRDefault="00263B84">
    <w:pPr>
      <w:tabs>
        <w:tab w:val="center" w:pos="4111"/>
      </w:tabs>
      <w:rPr>
        <w:color w:val="333333"/>
        <w:sz w:val="20"/>
      </w:rPr>
    </w:pPr>
    <w:r>
      <w:rPr>
        <w:color w:val="333333"/>
        <w:sz w:val="20"/>
      </w:rPr>
      <w:tab/>
    </w:r>
    <w:r>
      <w:rPr>
        <w:rStyle w:val="PageNumber"/>
        <w:color w:val="333333"/>
        <w:sz w:val="20"/>
      </w:rPr>
      <w:fldChar w:fldCharType="begin"/>
    </w:r>
    <w:r>
      <w:rPr>
        <w:rStyle w:val="PageNumber"/>
        <w:color w:val="333333"/>
        <w:sz w:val="20"/>
      </w:rPr>
      <w:instrText xml:space="preserve"> PAGE </w:instrText>
    </w:r>
    <w:r>
      <w:rPr>
        <w:rStyle w:val="PageNumber"/>
        <w:color w:val="333333"/>
        <w:sz w:val="20"/>
      </w:rPr>
      <w:fldChar w:fldCharType="separate"/>
    </w:r>
    <w:r>
      <w:rPr>
        <w:rStyle w:val="PageNumber"/>
        <w:noProof/>
        <w:color w:val="333333"/>
        <w:sz w:val="20"/>
      </w:rPr>
      <w:t>1</w:t>
    </w:r>
    <w:r>
      <w:rPr>
        <w:rStyle w:val="PageNumber"/>
        <w:color w:val="333333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B84" w:rsidRDefault="00263B84">
      <w:r>
        <w:separator/>
      </w:r>
    </w:p>
  </w:footnote>
  <w:footnote w:type="continuationSeparator" w:id="0">
    <w:p w:rsidR="00263B84" w:rsidRDefault="00263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84" w:rsidRDefault="00263B84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6EA"/>
    <w:multiLevelType w:val="hybridMultilevel"/>
    <w:tmpl w:val="23F600FE"/>
    <w:lvl w:ilvl="0" w:tplc="BAA4B8F6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12178"/>
    <w:multiLevelType w:val="hybridMultilevel"/>
    <w:tmpl w:val="5B3A54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CF6C95"/>
    <w:multiLevelType w:val="multilevel"/>
    <w:tmpl w:val="CD52703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">
    <w:nsid w:val="205A4967"/>
    <w:multiLevelType w:val="multilevel"/>
    <w:tmpl w:val="3710C7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E50619C"/>
    <w:multiLevelType w:val="hybridMultilevel"/>
    <w:tmpl w:val="F65242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7CA6CF7"/>
    <w:multiLevelType w:val="hybridMultilevel"/>
    <w:tmpl w:val="098EE5B2"/>
    <w:lvl w:ilvl="0" w:tplc="0409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F4A100B"/>
    <w:multiLevelType w:val="multilevel"/>
    <w:tmpl w:val="B730574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7">
    <w:nsid w:val="56E43F22"/>
    <w:multiLevelType w:val="hybridMultilevel"/>
    <w:tmpl w:val="9B1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5924A1"/>
    <w:multiLevelType w:val="hybridMultilevel"/>
    <w:tmpl w:val="EBBC0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327E46"/>
    <w:multiLevelType w:val="multilevel"/>
    <w:tmpl w:val="17186D9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4C1508E"/>
    <w:multiLevelType w:val="hybridMultilevel"/>
    <w:tmpl w:val="95F2D5B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6E06B0"/>
    <w:multiLevelType w:val="hybridMultilevel"/>
    <w:tmpl w:val="4FDAC916"/>
    <w:lvl w:ilvl="0" w:tplc="2A44D066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7918F0"/>
    <w:multiLevelType w:val="hybridMultilevel"/>
    <w:tmpl w:val="A8EAA5CA"/>
    <w:lvl w:ilvl="0" w:tplc="2A44D066">
      <w:start w:val="1"/>
      <w:numFmt w:val="decimal"/>
      <w:lvlText w:val="%1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F29"/>
    <w:rsid w:val="00015293"/>
    <w:rsid w:val="00032CEE"/>
    <w:rsid w:val="000650F4"/>
    <w:rsid w:val="000E3EBC"/>
    <w:rsid w:val="00175D2A"/>
    <w:rsid w:val="001770AC"/>
    <w:rsid w:val="001A5F9B"/>
    <w:rsid w:val="00213A59"/>
    <w:rsid w:val="00220CF2"/>
    <w:rsid w:val="00233B4C"/>
    <w:rsid w:val="00263B84"/>
    <w:rsid w:val="00297334"/>
    <w:rsid w:val="0029775A"/>
    <w:rsid w:val="002A751D"/>
    <w:rsid w:val="002A7757"/>
    <w:rsid w:val="002B10E4"/>
    <w:rsid w:val="002E4ECD"/>
    <w:rsid w:val="002E559A"/>
    <w:rsid w:val="002F497F"/>
    <w:rsid w:val="0030600B"/>
    <w:rsid w:val="003068F3"/>
    <w:rsid w:val="00326628"/>
    <w:rsid w:val="003321A1"/>
    <w:rsid w:val="003576A3"/>
    <w:rsid w:val="003765BF"/>
    <w:rsid w:val="00387914"/>
    <w:rsid w:val="003B2C98"/>
    <w:rsid w:val="003C497D"/>
    <w:rsid w:val="003D01A5"/>
    <w:rsid w:val="003D5757"/>
    <w:rsid w:val="003F6A8E"/>
    <w:rsid w:val="003F7B87"/>
    <w:rsid w:val="003F7C10"/>
    <w:rsid w:val="00402FD1"/>
    <w:rsid w:val="00410A92"/>
    <w:rsid w:val="00436B06"/>
    <w:rsid w:val="00447436"/>
    <w:rsid w:val="0045245A"/>
    <w:rsid w:val="004702F9"/>
    <w:rsid w:val="004C4544"/>
    <w:rsid w:val="004E6524"/>
    <w:rsid w:val="004E7A92"/>
    <w:rsid w:val="00513AAA"/>
    <w:rsid w:val="00533D18"/>
    <w:rsid w:val="00533E1C"/>
    <w:rsid w:val="00554E50"/>
    <w:rsid w:val="005558F4"/>
    <w:rsid w:val="00580D8A"/>
    <w:rsid w:val="005838C5"/>
    <w:rsid w:val="005A55C6"/>
    <w:rsid w:val="005D1FD1"/>
    <w:rsid w:val="00603B8E"/>
    <w:rsid w:val="006072C1"/>
    <w:rsid w:val="00612859"/>
    <w:rsid w:val="00655B9A"/>
    <w:rsid w:val="00660800"/>
    <w:rsid w:val="0066615C"/>
    <w:rsid w:val="006910DC"/>
    <w:rsid w:val="006A04C8"/>
    <w:rsid w:val="006B3199"/>
    <w:rsid w:val="006B480B"/>
    <w:rsid w:val="006B6E95"/>
    <w:rsid w:val="006C54F4"/>
    <w:rsid w:val="006D64A7"/>
    <w:rsid w:val="006F2DB9"/>
    <w:rsid w:val="007232F7"/>
    <w:rsid w:val="00736675"/>
    <w:rsid w:val="00737826"/>
    <w:rsid w:val="00737FEE"/>
    <w:rsid w:val="00742FC3"/>
    <w:rsid w:val="007613E9"/>
    <w:rsid w:val="007808E0"/>
    <w:rsid w:val="00793474"/>
    <w:rsid w:val="007A60D8"/>
    <w:rsid w:val="007C24BB"/>
    <w:rsid w:val="007D1D9A"/>
    <w:rsid w:val="007D2BF1"/>
    <w:rsid w:val="007F27BE"/>
    <w:rsid w:val="007F5317"/>
    <w:rsid w:val="0080155C"/>
    <w:rsid w:val="0083128F"/>
    <w:rsid w:val="0083255C"/>
    <w:rsid w:val="008361F3"/>
    <w:rsid w:val="00837B29"/>
    <w:rsid w:val="00840F56"/>
    <w:rsid w:val="008776EF"/>
    <w:rsid w:val="008B05BF"/>
    <w:rsid w:val="008C1398"/>
    <w:rsid w:val="008C5C52"/>
    <w:rsid w:val="008E049B"/>
    <w:rsid w:val="008E6F3D"/>
    <w:rsid w:val="0091186C"/>
    <w:rsid w:val="009401D7"/>
    <w:rsid w:val="00940ABC"/>
    <w:rsid w:val="0094744F"/>
    <w:rsid w:val="0094788D"/>
    <w:rsid w:val="00991185"/>
    <w:rsid w:val="009B3917"/>
    <w:rsid w:val="009B7ED2"/>
    <w:rsid w:val="009D3150"/>
    <w:rsid w:val="009E467A"/>
    <w:rsid w:val="00A1591F"/>
    <w:rsid w:val="00A25A74"/>
    <w:rsid w:val="00A26DFC"/>
    <w:rsid w:val="00A300FA"/>
    <w:rsid w:val="00A54BDD"/>
    <w:rsid w:val="00A61E37"/>
    <w:rsid w:val="00A72399"/>
    <w:rsid w:val="00AA3E96"/>
    <w:rsid w:val="00AB298F"/>
    <w:rsid w:val="00AB33E1"/>
    <w:rsid w:val="00AC6063"/>
    <w:rsid w:val="00AD2399"/>
    <w:rsid w:val="00AD33FB"/>
    <w:rsid w:val="00AD577B"/>
    <w:rsid w:val="00AE1CF8"/>
    <w:rsid w:val="00AE6F5F"/>
    <w:rsid w:val="00B0646A"/>
    <w:rsid w:val="00B15716"/>
    <w:rsid w:val="00B40D3C"/>
    <w:rsid w:val="00B73033"/>
    <w:rsid w:val="00B95A9A"/>
    <w:rsid w:val="00BA64E7"/>
    <w:rsid w:val="00BC2A5F"/>
    <w:rsid w:val="00BD2494"/>
    <w:rsid w:val="00BD3E0C"/>
    <w:rsid w:val="00C2245F"/>
    <w:rsid w:val="00C237AA"/>
    <w:rsid w:val="00C265A3"/>
    <w:rsid w:val="00C34A8E"/>
    <w:rsid w:val="00C44439"/>
    <w:rsid w:val="00C44D93"/>
    <w:rsid w:val="00C83C80"/>
    <w:rsid w:val="00C934F5"/>
    <w:rsid w:val="00CB4AD7"/>
    <w:rsid w:val="00CB65D9"/>
    <w:rsid w:val="00CD2ED2"/>
    <w:rsid w:val="00D010C1"/>
    <w:rsid w:val="00D14344"/>
    <w:rsid w:val="00D254EE"/>
    <w:rsid w:val="00D343EB"/>
    <w:rsid w:val="00D45762"/>
    <w:rsid w:val="00D702F9"/>
    <w:rsid w:val="00D81B7A"/>
    <w:rsid w:val="00DA2F29"/>
    <w:rsid w:val="00DD30A8"/>
    <w:rsid w:val="00DD647B"/>
    <w:rsid w:val="00DE5779"/>
    <w:rsid w:val="00DF139D"/>
    <w:rsid w:val="00E305A0"/>
    <w:rsid w:val="00E320E7"/>
    <w:rsid w:val="00E33693"/>
    <w:rsid w:val="00E40597"/>
    <w:rsid w:val="00E53F24"/>
    <w:rsid w:val="00E644EE"/>
    <w:rsid w:val="00E70BE7"/>
    <w:rsid w:val="00EA7909"/>
    <w:rsid w:val="00EB4598"/>
    <w:rsid w:val="00ED01B1"/>
    <w:rsid w:val="00EE3E77"/>
    <w:rsid w:val="00F311BC"/>
    <w:rsid w:val="00F647BE"/>
    <w:rsid w:val="00F74ECC"/>
    <w:rsid w:val="00FA44C2"/>
    <w:rsid w:val="00FA48ED"/>
    <w:rsid w:val="00FC3CDC"/>
    <w:rsid w:val="00FD14D3"/>
    <w:rsid w:val="00FD4B87"/>
    <w:rsid w:val="00FD5342"/>
    <w:rsid w:val="00FD7CA0"/>
    <w:rsid w:val="00FE016B"/>
    <w:rsid w:val="00FF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80"/>
    <w:rPr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C80"/>
    <w:pPr>
      <w:keepNext/>
      <w:ind w:left="1418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65BF"/>
    <w:rPr>
      <w:rFonts w:ascii="Cambria" w:hAnsi="Cambria" w:cs="Times New Roman"/>
      <w:b/>
      <w:i/>
      <w:sz w:val="28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C83C80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65BF"/>
    <w:rPr>
      <w:rFonts w:cs="Times New Roman"/>
      <w:sz w:val="20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C83C80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65BF"/>
    <w:rPr>
      <w:rFonts w:cs="Times New Roman"/>
      <w:sz w:val="20"/>
      <w:lang w:val="en-GB" w:eastAsia="en-GB"/>
    </w:rPr>
  </w:style>
  <w:style w:type="character" w:styleId="PageNumber">
    <w:name w:val="page number"/>
    <w:basedOn w:val="DefaultParagraphFont"/>
    <w:uiPriority w:val="99"/>
    <w:semiHidden/>
    <w:rsid w:val="00C83C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3C80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65BF"/>
    <w:rPr>
      <w:rFonts w:cs="Times New Roman"/>
      <w:sz w:val="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C83C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3C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765BF"/>
    <w:rPr>
      <w:rFonts w:cs="Times New Roman"/>
      <w:sz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3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65BF"/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rsid w:val="00C83C8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765BF"/>
    <w:rPr>
      <w:rFonts w:cs="Times New Roman"/>
      <w:sz w:val="16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C83C8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765BF"/>
    <w:rPr>
      <w:rFonts w:ascii="Cambria" w:hAnsi="Cambria" w:cs="Times New Roman"/>
      <w:b/>
      <w:kern w:val="28"/>
      <w:sz w:val="32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C224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245F"/>
    <w:rPr>
      <w:rFonts w:cs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5</Pages>
  <Words>1128</Words>
  <Characters>6435</Characters>
  <Application>Microsoft Office Outlook</Application>
  <DocSecurity>0</DocSecurity>
  <Lines>0</Lines>
  <Paragraphs>0</Paragraphs>
  <ScaleCrop>false</ScaleCrop>
  <Company>Pfizer 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Laura Devaney</dc:creator>
  <cp:keywords/>
  <dc:description/>
  <cp:lastModifiedBy>lenka.kuzelova</cp:lastModifiedBy>
  <cp:revision>12</cp:revision>
  <cp:lastPrinted>2010-05-05T13:58:00Z</cp:lastPrinted>
  <dcterms:created xsi:type="dcterms:W3CDTF">2013-06-19T07:28:00Z</dcterms:created>
  <dcterms:modified xsi:type="dcterms:W3CDTF">2013-10-09T11:34:00Z</dcterms:modified>
</cp:coreProperties>
</file>