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77777777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5 mg</w:t>
      </w:r>
    </w:p>
    <w:p w14:paraId="1D8868D5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10 mg</w:t>
      </w:r>
    </w:p>
    <w:p w14:paraId="152A661C" w14:textId="77777777" w:rsidR="00875350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20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5 mg: každá tableta obsahuje 5 mg tadalafilu.</w:t>
      </w:r>
    </w:p>
    <w:p w14:paraId="44A4118C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10 mg: každá tableta obsahuje 10 mg tadalafilu.</w:t>
      </w:r>
    </w:p>
    <w:p w14:paraId="6541F0EA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20 mg: každá tableta obsahuje 20 mg tadalafilu.</w:t>
      </w:r>
    </w:p>
    <w:p w14:paraId="2DC41EAB" w14:textId="427377CE" w:rsidR="00875350" w:rsidRPr="008976C4" w:rsidRDefault="00875350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Pomocné látky so známym účinkom: 63,875 mg</w:t>
      </w:r>
      <w:r w:rsidR="009B7942" w:rsidRPr="008976C4">
        <w:rPr>
          <w:sz w:val="22"/>
          <w:szCs w:val="22"/>
          <w:lang w:val="sk-SK"/>
        </w:rPr>
        <w:t xml:space="preserve">, </w:t>
      </w:r>
      <w:r w:rsidRPr="008976C4">
        <w:rPr>
          <w:sz w:val="22"/>
          <w:szCs w:val="22"/>
          <w:lang w:val="sk-SK"/>
        </w:rPr>
        <w:t xml:space="preserve">127,75 mg alebo 225,50 mg monohydrátu laktózy.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tableta.</w:t>
      </w:r>
    </w:p>
    <w:p w14:paraId="23F98697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5 mg: žlté okrúhle bikonvexné filmom obalené tablety s priemerom 6 mm.</w:t>
      </w:r>
    </w:p>
    <w:p w14:paraId="36AD04E1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10 mg: žlté okrúhle bikonvexné filmom obalené tablety s deliacou ryhou na jednej strane a hladké na druhej strane s priemerom 8 mm.</w:t>
      </w:r>
    </w:p>
    <w:p w14:paraId="26A10428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Tableta sa môže rozdeliť na rovnaké dávky.</w:t>
      </w:r>
    </w:p>
    <w:p w14:paraId="0A2932E6" w14:textId="1F6F2460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20 mg: žlté podlhovasté bikonvexné filmom obalené tablety s deliacou ryhou na oboch stranách</w:t>
      </w:r>
      <w:r w:rsidR="005E2495" w:rsidRPr="008976C4">
        <w:rPr>
          <w:sz w:val="22"/>
          <w:szCs w:val="22"/>
          <w:lang w:val="sk-SK"/>
        </w:rPr>
        <w:t xml:space="preserve"> s</w:t>
      </w:r>
      <w:r w:rsidRPr="008976C4">
        <w:rPr>
          <w:sz w:val="22"/>
          <w:szCs w:val="22"/>
          <w:lang w:val="sk-SK"/>
        </w:rPr>
        <w:t xml:space="preserve"> dĺžk</w:t>
      </w:r>
      <w:r w:rsidR="005E2495" w:rsidRPr="008976C4">
        <w:rPr>
          <w:sz w:val="22"/>
          <w:szCs w:val="22"/>
          <w:lang w:val="sk-SK"/>
        </w:rPr>
        <w:t>ou</w:t>
      </w:r>
      <w:r w:rsidRPr="008976C4">
        <w:rPr>
          <w:sz w:val="22"/>
          <w:szCs w:val="22"/>
          <w:lang w:val="sk-SK"/>
        </w:rPr>
        <w:t xml:space="preserve"> 15 mm</w:t>
      </w:r>
      <w:r w:rsidR="005E2495" w:rsidRPr="008976C4">
        <w:rPr>
          <w:sz w:val="22"/>
          <w:szCs w:val="22"/>
          <w:lang w:val="sk-SK"/>
        </w:rPr>
        <w:t xml:space="preserve"> a šírkou</w:t>
      </w:r>
      <w:r w:rsidRPr="008976C4">
        <w:rPr>
          <w:sz w:val="22"/>
          <w:szCs w:val="22"/>
          <w:lang w:val="sk-SK"/>
        </w:rPr>
        <w:t xml:space="preserve"> 6</w:t>
      </w:r>
      <w:r w:rsidR="005E2495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mm</w:t>
      </w:r>
      <w:r w:rsidR="009F64A1" w:rsidRPr="008976C4">
        <w:rPr>
          <w:sz w:val="22"/>
          <w:szCs w:val="22"/>
          <w:lang w:val="sk-SK"/>
        </w:rPr>
        <w:t>.</w:t>
      </w:r>
    </w:p>
    <w:p w14:paraId="69925627" w14:textId="77777777" w:rsidR="0031627A" w:rsidRPr="008976C4" w:rsidRDefault="00B0082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Tableta sa môže rozdeliť na rovnaké </w:t>
      </w:r>
      <w:r w:rsidR="003A1066" w:rsidRPr="008976C4">
        <w:rPr>
          <w:sz w:val="22"/>
          <w:szCs w:val="22"/>
          <w:lang w:val="sk-SK"/>
        </w:rPr>
        <w:t>dávky</w:t>
      </w:r>
      <w:r w:rsidRPr="008976C4">
        <w:rPr>
          <w:sz w:val="22"/>
          <w:szCs w:val="22"/>
          <w:lang w:val="sk-SK"/>
        </w:rPr>
        <w:t>.</w:t>
      </w:r>
    </w:p>
    <w:p w14:paraId="2E0003A4" w14:textId="77777777" w:rsidR="00B00820" w:rsidRPr="008976C4" w:rsidRDefault="00B0082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Liečba erektilnej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2E50DF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Aby bol</w:t>
      </w:r>
      <w:r w:rsidR="0031627A" w:rsidRPr="008976C4">
        <w:rPr>
          <w:sz w:val="22"/>
          <w:szCs w:val="22"/>
          <w:lang w:val="sk-SK"/>
        </w:rPr>
        <w:t xml:space="preserve"> </w:t>
      </w:r>
      <w:r w:rsidR="00B6606E" w:rsidRPr="008976C4">
        <w:rPr>
          <w:sz w:val="22"/>
          <w:szCs w:val="22"/>
          <w:lang w:val="sk-SK"/>
        </w:rPr>
        <w:t>tadalafil</w:t>
      </w:r>
      <w:r w:rsidR="0031627A" w:rsidRPr="008976C4">
        <w:rPr>
          <w:sz w:val="22"/>
          <w:szCs w:val="22"/>
          <w:lang w:val="sk-SK"/>
        </w:rPr>
        <w:t xml:space="preserve"> účinný</w:t>
      </w:r>
      <w:r w:rsidRPr="008976C4">
        <w:rPr>
          <w:sz w:val="22"/>
          <w:szCs w:val="22"/>
          <w:lang w:val="sk-SK"/>
        </w:rPr>
        <w:t>, je potrebná sexuálna stimulácia.</w:t>
      </w:r>
    </w:p>
    <w:p w14:paraId="6F93E4EA" w14:textId="77777777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nie je určený na použitie u žien. 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15491AC7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Dospelí muži</w:t>
      </w:r>
    </w:p>
    <w:p w14:paraId="3094FA18" w14:textId="0D344E3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Vo všeobecnosti, odporúčaná dávka je 10 mg 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 bez ohľadu na príjem potravy. U pacientov, u ktorých tadalafil v dávke 10 mg nevedie k očakávanému účinku, sa môže použiť dávka 20 mg. Liek sa m</w:t>
      </w:r>
      <w:r w:rsidR="009F64A1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užiť aspoň 30 minút pred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aktivitou.</w:t>
      </w:r>
    </w:p>
    <w:p w14:paraId="5E4B2E3A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Maximálne dávkovanie je jedenkrát denne.</w:t>
      </w:r>
    </w:p>
    <w:p w14:paraId="05395A2A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10 a 20 mg je určený na užívanie pred očakávanou sexuálnou aktivitou a neodporúča sa na trvalé každodenné užívanie.</w:t>
      </w:r>
    </w:p>
    <w:p w14:paraId="0444B0BD" w14:textId="390D9D5C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pacientov, u ktorých sa predpokladá časté užívanie tadalafilu (t.j. aspoň dvakrát týždenne)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Tadalafilu PMCS jedenkrát denne, na základe rozhodnutia pacienta a zváženia lekára.</w:t>
      </w:r>
    </w:p>
    <w:p w14:paraId="5A3CEDF8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týchto pacientov sa odporúča dávka 5 mg jedenkrát denne v približne rovnakom čase. Dávku je</w:t>
      </w:r>
    </w:p>
    <w:p w14:paraId="6E821C7B" w14:textId="4A1A35E3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možné znížiť na 2,5 mg jedenkrát denne podľa znášanlivosti pacienta (2,5 mg tablet</w:t>
      </w:r>
      <w:r w:rsidR="005E2495" w:rsidRPr="00A97DFF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 xml:space="preserve"> sú dostupné na </w:t>
      </w:r>
      <w:r w:rsidRPr="00A97DFF">
        <w:rPr>
          <w:sz w:val="22"/>
          <w:szCs w:val="22"/>
          <w:lang w:val="sk-SK"/>
        </w:rPr>
        <w:lastRenderedPageBreak/>
        <w:t>trhu).</w:t>
      </w:r>
    </w:p>
    <w:p w14:paraId="108B8F46" w14:textId="77777777" w:rsidR="009B20B9" w:rsidRPr="008976C4" w:rsidRDefault="009B20B9" w:rsidP="009B20B9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>Vhodnosť kontinuálneho používania jedenkrát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1E85A30E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žiadna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5F502C6B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pacientov s ľahkou až stredne závažnou poruchou funkcie obličiek nie je potrebná žiadna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dávky. Pre pacientov so závažnou poruchou funkcie obličiek je maximálna </w:t>
      </w:r>
      <w:r w:rsidR="008806D8" w:rsidRPr="00A97DFF">
        <w:rPr>
          <w:sz w:val="22"/>
          <w:szCs w:val="22"/>
          <w:lang w:val="sk-SK"/>
        </w:rPr>
        <w:t>odporúčaná</w:t>
      </w:r>
      <w:r w:rsidRPr="00A97DFF">
        <w:rPr>
          <w:sz w:val="22"/>
          <w:szCs w:val="22"/>
          <w:lang w:val="sk-SK"/>
        </w:rPr>
        <w:t xml:space="preserve"> dávka 10 mg.</w:t>
      </w:r>
    </w:p>
    <w:p w14:paraId="7027E2FB" w14:textId="4840DEBB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tadalafilu jedenkrát denne sa neodporúča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7399CCE7" w14:textId="5A5AAF2F" w:rsidR="009B20B9" w:rsidRPr="00A97DFF" w:rsidRDefault="008806D8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 xml:space="preserve">dporúčaná dávka </w:t>
      </w:r>
      <w:r w:rsidRPr="00A97DFF">
        <w:rPr>
          <w:sz w:val="22"/>
          <w:szCs w:val="22"/>
          <w:lang w:val="sk-SK"/>
        </w:rPr>
        <w:t>Tadalafilu PMCS</w:t>
      </w:r>
      <w:r w:rsidR="00D7517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 </w:t>
      </w:r>
      <w:r w:rsidR="00D7517A" w:rsidRPr="00A97DFF">
        <w:rPr>
          <w:sz w:val="22"/>
          <w:szCs w:val="22"/>
          <w:lang w:val="sk-SK"/>
        </w:rPr>
        <w:t>10 mg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="00D7517A" w:rsidRPr="00A97DFF">
        <w:rPr>
          <w:sz w:val="22"/>
          <w:szCs w:val="22"/>
          <w:lang w:val="sk-SK"/>
        </w:rPr>
        <w:t>nou aktivitou bez ohľadu na príjem potravy. O bezpečnosti použitia</w:t>
      </w:r>
      <w:r w:rsidRPr="00A97DFF">
        <w:rPr>
          <w:sz w:val="22"/>
          <w:szCs w:val="22"/>
          <w:lang w:val="sk-SK"/>
        </w:rPr>
        <w:t xml:space="preserve"> tadalafilu </w:t>
      </w:r>
      <w:r w:rsidR="00D7517A" w:rsidRPr="00A97DFF">
        <w:rPr>
          <w:sz w:val="22"/>
          <w:szCs w:val="22"/>
          <w:lang w:val="sk-SK"/>
        </w:rPr>
        <w:t>u pacientov so závažnou poruchou pečene (trieda C Child</w:t>
      </w:r>
      <w:r w:rsidRPr="00A97DFF">
        <w:rPr>
          <w:sz w:val="22"/>
          <w:szCs w:val="22"/>
          <w:lang w:val="sk-SK"/>
        </w:rPr>
        <w:t>ovej</w:t>
      </w:r>
      <w:r w:rsidR="00D7517A" w:rsidRPr="00A97DFF">
        <w:rPr>
          <w:sz w:val="22"/>
          <w:szCs w:val="22"/>
          <w:lang w:val="sk-SK"/>
        </w:rPr>
        <w:t>-Pughovej klasifikácie) sú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musí predpisujúci lekár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tadalafilu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Dávkovanie jedenkrát denne sa nehodnotilo u pacientov s poruchou funkcie pečene, preto v prípade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predpísania lieku, musí lekár individuálne a dôsledne zvážiť pomer pr</w:t>
      </w:r>
      <w:r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mužov s diabetom nie je potrebná žiadna úprava dávky.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Použitie Tadalafilu PMCS sa netýka pediatrickej populácie v indikácii liečby erektilnej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7A28D198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 je dostupný vo forme 5 mg, 10 mg a 20 mg filmom obalených tabliet na perorálne</w:t>
      </w:r>
    </w:p>
    <w:p w14:paraId="0AFDB4E0" w14:textId="77777777" w:rsidR="00D7517A" w:rsidRPr="008976C4" w:rsidRDefault="00E45E07" w:rsidP="00E45E07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8302AA0" w14:textId="59EA6637" w:rsidR="003B5A05" w:rsidRPr="00A97DFF" w:rsidRDefault="003B5A05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zosilňuje hypotenzn</w:t>
      </w:r>
      <w:r w:rsidR="00E14192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 nitrátov. To</w:t>
      </w:r>
    </w:p>
    <w:p w14:paraId="4AE01BF5" w14:textId="77777777" w:rsidR="003B5A05" w:rsidRPr="00A97DFF" w:rsidRDefault="003B5A05" w:rsidP="003B5A0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pravdepodobne vyplýva z kombinovaných účinkov nitrátov a tadalafilu na metabolickú dráhu</w:t>
      </w:r>
    </w:p>
    <w:p w14:paraId="3C473E10" w14:textId="106028D2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oxid dusnatý/cGMP. Z toho dôvodu je kontraindikované podávanie </w:t>
      </w:r>
      <w:r w:rsidR="008806D8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48646884" w:rsidR="0015352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153528" w:rsidRPr="00A97DFF">
        <w:rPr>
          <w:sz w:val="22"/>
          <w:szCs w:val="22"/>
          <w:lang w:val="sk-SK"/>
        </w:rPr>
        <w:t xml:space="preserve"> sa nesmie používať u mužov so srdcovým ochorením, pre ktorých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Potenciálne kardiálne riziko 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zváži ošetrujúci lekár.</w:t>
      </w: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preto je u nich použitie tadalafilu kontraindikované:</w:t>
      </w:r>
    </w:p>
    <w:p w14:paraId="69209C50" w14:textId="77777777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- pacienti s infarktom myokardu počas posledných 90 dní,</w:t>
      </w:r>
    </w:p>
    <w:p w14:paraId="231992A3" w14:textId="7AC0C337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- pacienti s nestabilnou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 alebo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ktorá sa prejavuje počas</w:t>
      </w:r>
    </w:p>
    <w:p w14:paraId="271B4E6F" w14:textId="77777777" w:rsidR="00153528" w:rsidRPr="00A97DFF" w:rsidRDefault="00153528" w:rsidP="00723351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77777777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- pacienti so zlyhaním srdca NYHA 2 alebo väčším počas posledných 6 mesiacov,</w:t>
      </w:r>
    </w:p>
    <w:p w14:paraId="60F00CB1" w14:textId="540AB5C9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- pacienti s neliečenými arytmiami, hypotenziou (&lt; 90/50 mm Hg) alebo neliečenou</w:t>
      </w:r>
    </w:p>
    <w:p w14:paraId="7423C9C6" w14:textId="77777777" w:rsidR="00153528" w:rsidRPr="00A97DFF" w:rsidRDefault="00153528" w:rsidP="00723351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hypertenziou,</w:t>
      </w:r>
    </w:p>
    <w:p w14:paraId="1C00AB37" w14:textId="77777777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- pacienti s mozgovou príhodou počas posledných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B5213D" w14:textId="01A7393D" w:rsidR="0015352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153528" w:rsidRPr="00A97DFF">
        <w:rPr>
          <w:sz w:val="22"/>
          <w:szCs w:val="22"/>
          <w:lang w:val="sk-SK"/>
        </w:rPr>
        <w:t xml:space="preserve"> je kontraindikovaný u pacientov, ktorí majú stratu videnia v jednom oku v dôsledku</w:t>
      </w:r>
    </w:p>
    <w:p w14:paraId="1FC90D36" w14:textId="77777777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nearteritickej prednej ischemickej neuropatie zrakového nervu (non-arteritic anterior ischaemic optic</w:t>
      </w:r>
    </w:p>
    <w:p w14:paraId="7F0C813E" w14:textId="77777777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neuropathy, NAION) bez ohľadu na to, či táto príhoda súvisela alebo nesúvisela s predchádzajúcou</w:t>
      </w:r>
    </w:p>
    <w:p w14:paraId="1DC7234F" w14:textId="77777777" w:rsidR="003B5A05" w:rsidRPr="008976C4" w:rsidRDefault="0015352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expozíciou inhibítoru PDE5 (pozri časť 4.4).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21145B4C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r w:rsidR="00D46B29" w:rsidRPr="00A97DFF">
        <w:rPr>
          <w:sz w:val="22"/>
          <w:szCs w:val="22"/>
          <w:u w:val="single"/>
          <w:lang w:val="sk-SK"/>
        </w:rPr>
        <w:t>Tadalafilom PMCS</w:t>
      </w:r>
    </w:p>
    <w:p w14:paraId="6F0D2AA2" w14:textId="31612CF8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diagnostike erektilnej dysfunkcie 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farmakologickej liečby zohľadniť anamnézu a výsledky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67297C2A" w14:textId="4D9C90D0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akejkoľvek liečby erektilnej dysfunkcie lekár m</w:t>
      </w:r>
      <w:r w:rsidR="00FF136B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pacienta, pretože v súvislosti so sexuálnou aktivitou existuje určitý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vazodilatačné vlastnosti, ktoré spôsobujú mierne a prechodné zníženie krvného tlaku</w:t>
      </w:r>
    </w:p>
    <w:p w14:paraId="229A5FE4" w14:textId="78DBA4AC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5.1), a ako taký potencuje hypotenzn</w:t>
      </w:r>
      <w:r w:rsidR="00FF136B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rámci vyšetrenia erektilnej dysfunkcie je potrebné diagnostikovať jej možné príčiny, pričom</w:t>
      </w:r>
    </w:p>
    <w:p w14:paraId="25F4C52B" w14:textId="00A271A5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r w:rsidR="00D46B29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účinný</w:t>
      </w:r>
    </w:p>
    <w:p w14:paraId="4E1BB085" w14:textId="1D495FEF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prostatektómii</w:t>
      </w:r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7944AB1B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postmarketingovom sledovaní a/alebo v 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udalosti, vrátane infarktu myokardu, náhlej smrti, nestabilnej angíny 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ventrikulárnej arytmie,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mozgovej príhody, tranzitórnych ischemických atakov, bolesti na hrudníku, palpitácií a tachykardií.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Väčšina pacientov, u ktorých boli tieto udalosti hlásené, vykazovali už predtým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kardiovaskulárnych rizikových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týmito rizikovými faktormi, s </w:t>
      </w:r>
      <w:r w:rsidR="008806D8" w:rsidRPr="00A97DFF">
        <w:rPr>
          <w:sz w:val="22"/>
          <w:szCs w:val="22"/>
          <w:lang w:val="sk-SK"/>
        </w:rPr>
        <w:t>tadalafilom</w:t>
      </w:r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 kombináciou týchto či ďalších faktorov.</w:t>
      </w:r>
    </w:p>
    <w:p w14:paraId="712C5D0E" w14:textId="3CF4854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pacientov užívajúcich súčasne antihypertenzn</w:t>
      </w:r>
      <w:r w:rsidR="000210C5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 môže tadalafil vyvolať zníženie krvného</w:t>
      </w:r>
    </w:p>
    <w:p w14:paraId="4DFAE163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tlaku. Na začiatku liečby tadalafilom jedenkrát denne je potrebné klinické zváženie prípadnej úpravy</w:t>
      </w:r>
    </w:p>
    <w:p w14:paraId="2CA5842F" w14:textId="0BA9D920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dávky antihypertenznej </w:t>
      </w:r>
      <w:r w:rsidR="00723351" w:rsidRPr="00A97DFF">
        <w:rPr>
          <w:sz w:val="22"/>
          <w:szCs w:val="22"/>
          <w:lang w:val="sk-SK"/>
        </w:rPr>
        <w:t>liečby</w:t>
      </w:r>
      <w:r w:rsidRPr="00A97DFF">
        <w:rPr>
          <w:sz w:val="22"/>
          <w:szCs w:val="22"/>
          <w:lang w:val="sk-SK"/>
        </w:rPr>
        <w:t>.</w:t>
      </w:r>
    </w:p>
    <w:p w14:paraId="64CCC428" w14:textId="551691F1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 xml:space="preserve">blokátory môže súčasné podanie </w:t>
      </w:r>
      <w:r w:rsidR="008806D8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viesť u niektorých pacientov</w:t>
      </w:r>
    </w:p>
    <w:p w14:paraId="68FF60B3" w14:textId="1E8E1E81" w:rsidR="003B5A05" w:rsidRPr="008976C4" w:rsidRDefault="00D73FA3" w:rsidP="00D73F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symptomatickej hypotenzii (pozri časť 4.5). Kombinácia tadalafilu s doxazosínom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1F2EEA16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iných inhibítorov PDE5 boli hlásené poruchy zraku a prípady</w:t>
      </w:r>
    </w:p>
    <w:p w14:paraId="0DE2FE7E" w14:textId="093BF97D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Pacient má byť poučený, aby v prípade náhlej poruchy videnia prestal užívať </w:t>
      </w:r>
      <w:r w:rsidR="00D46B29" w:rsidRPr="00A97DFF">
        <w:rPr>
          <w:sz w:val="22"/>
          <w:szCs w:val="22"/>
          <w:lang w:val="sk-SK"/>
        </w:rPr>
        <w:t xml:space="preserve">Tadalafil PMCS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Pr="00A97DFF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Poruchy funkcie obličiek a pečene</w:t>
      </w:r>
    </w:p>
    <w:p w14:paraId="5D6B364C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 dôvodu zvýšenej expozície tadalafilu (AUC), obmedzenej klinickej skúsenosti a nedostatočnej</w:t>
      </w:r>
    </w:p>
    <w:p w14:paraId="57A94991" w14:textId="3FD914B0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schopnosti ovplyvňovať klírens dialýzou, dávkovanie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jedenkrát denne sa neodporúča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 so závažnou poruchou funkcie obličiek.</w:t>
      </w: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jedenkrát denne u pacientov so závažnou hepatálnou insuficienciou</w:t>
      </w:r>
    </w:p>
    <w:p w14:paraId="60381A73" w14:textId="18588404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(trieda C Child</w:t>
      </w:r>
      <w:r w:rsidR="00D46B29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>-Pughovej klasifikácie) sú dostupné iba obmedzené klinické údaje. Dávkovanie</w:t>
      </w:r>
    </w:p>
    <w:p w14:paraId="6456FF10" w14:textId="0DFB5C6C" w:rsidR="00AB3B35" w:rsidRPr="00A97DFF" w:rsidRDefault="008F4B3A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jedenkrát denne sa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nehodnotilo u pacientov s hepatálnou insuficienciou.</w:t>
      </w:r>
      <w:r w:rsidR="008976C4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prípade predpísania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musí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Priapizmus a anatomická deformácia penisu</w:t>
      </w:r>
    </w:p>
    <w:p w14:paraId="686C6AF5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 ktorých trvá erekcia 4 hodiny a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vyhľadania lekára. Ak nedôjde k okamžitej liečbe priapizmu, môže dôjsť k poškodeniu tkaniva penisu</w:t>
      </w:r>
    </w:p>
    <w:p w14:paraId="75A1F21F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04F9C678" w14:textId="52A8FC21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2C5807" w:rsidRPr="00A97DFF">
        <w:rPr>
          <w:sz w:val="22"/>
          <w:szCs w:val="22"/>
          <w:lang w:val="sk-SK"/>
        </w:rPr>
        <w:t xml:space="preserve"> je potrebné užívať s opatrnosťou u pacientov s anatomickými deformáciami penisu (ako je</w:t>
      </w:r>
      <w:r w:rsidRPr="00A97DFF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angulácia, fibróza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>h telies alebo Peyronieho choroba) alebo u pacientov trpiacich</w:t>
      </w:r>
    </w:p>
    <w:p w14:paraId="7D3FA1C9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ochoreniami, ktoré môžu predisponovať ku vzniku priapizmu (ako je kosáčiková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mnohopočetný myelóm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7F154CC2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pacientom užívajúcim silné inhibítory </w:t>
      </w:r>
      <w:r w:rsidRPr="00A97DFF">
        <w:rPr>
          <w:sz w:val="22"/>
          <w:szCs w:val="22"/>
          <w:lang w:val="sk-SK"/>
        </w:rPr>
        <w:lastRenderedPageBreak/>
        <w:t>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(ritonavir, 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ketokonazol, itrakonazol a erytromycín), keďže bola v kombinácii s týmito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pozorovaná zvýšená systémová expozícia tadalafilu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149FF5FA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Tadalafil PMCS</w:t>
      </w:r>
      <w:r w:rsidR="00E122C6" w:rsidRPr="00A97DFF">
        <w:rPr>
          <w:sz w:val="22"/>
          <w:szCs w:val="22"/>
          <w:u w:val="single"/>
          <w:lang w:val="sk-SK"/>
        </w:rPr>
        <w:t xml:space="preserve"> a iné lieky na liečbu erektilnej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 inými PDE5 inhibítormi alebo inými</w:t>
      </w:r>
    </w:p>
    <w:p w14:paraId="2AFB4A68" w14:textId="6D4EF69D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liekmi na liečbu erektilnej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476461" w:rsidRPr="00A97DFF">
        <w:rPr>
          <w:sz w:val="22"/>
          <w:szCs w:val="22"/>
          <w:lang w:val="sk-SK"/>
        </w:rPr>
        <w:t>i majú byť poučení</w:t>
      </w:r>
      <w:r w:rsidRPr="00A97DFF">
        <w:rPr>
          <w:sz w:val="22"/>
          <w:szCs w:val="22"/>
          <w:lang w:val="sk-SK"/>
        </w:rPr>
        <w:t xml:space="preserve">, aby neužívali </w:t>
      </w:r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 xml:space="preserve">adalafil PMCS </w:t>
      </w:r>
      <w:r w:rsidRPr="00A97DFF">
        <w:rPr>
          <w:sz w:val="22"/>
          <w:szCs w:val="22"/>
          <w:lang w:val="sk-SK"/>
        </w:rPr>
        <w:t>v takýchto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6250E0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18C1F999" w14:textId="08D1CBA4" w:rsidR="002C5807" w:rsidRPr="008976C4" w:rsidRDefault="00D46B29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E122C6" w:rsidRPr="00A97DFF">
        <w:rPr>
          <w:sz w:val="22"/>
          <w:szCs w:val="22"/>
          <w:lang w:val="sk-SK"/>
        </w:rPr>
        <w:t xml:space="preserve"> obsahuje laktózu. Pacienti so zriedkavou dedičnou intoleranciou galaktózy</w:t>
      </w:r>
      <w:r w:rsidR="00476461" w:rsidRPr="00A97DFF">
        <w:rPr>
          <w:sz w:val="22"/>
          <w:szCs w:val="22"/>
          <w:lang w:val="sk-SK"/>
        </w:rPr>
        <w:t xml:space="preserve"> a </w:t>
      </w:r>
      <w:r w:rsidR="00E122C6" w:rsidRPr="00A97DFF">
        <w:rPr>
          <w:sz w:val="22"/>
          <w:szCs w:val="22"/>
          <w:lang w:val="sk-SK"/>
        </w:rPr>
        <w:t>laktázy alebo glukózo-galaktózovou malabsorpciou nemajú užívať tento liek.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221850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Ako je popísané nižšie, interakčné štúdie boli vykonané s dávkami 10 mg a/alebo 20 mg tadalafilu. Na</w:t>
      </w:r>
    </w:p>
    <w:p w14:paraId="2AF9B51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základe tých interakčných štúdií, kde bola použitá iba dávka 10 mg, sa nedajú úplne vylúčiť klinicky</w:t>
      </w:r>
    </w:p>
    <w:p w14:paraId="48A5E34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relevantné interakcie pri vyššom dávkovaní.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iných liečiv na tadalafil</w:t>
      </w:r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ketokonazol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zvýšil expozíciu (AUC) tadalafilu (10 mg) 2-násobne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hodnotami AUC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pre samotný tadalafil. Ketokonazol (400 mg denne) zvýšil</w:t>
      </w:r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expozíciu (AUC) tadalafilu (20 mg) 4-násobne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%. Inhibítor proteázy ritonavir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krát denne), ktorý je inhibítorom CYP3A4, CYP2C9, CYP2C19 a CYP2D6, zvýšil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tadalafilu (20 mg)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inhibítory proteázy, ako 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a iné inhibítory CYP3A4, ako erytromycín, klaritromycín,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itrakonazol a grapefruitová šťava sa spolu s tadalafilom majú používať opatrne, pretože je možné predpokladať, že by mohli zvyšovať plazmatické koncentrácie tadalafilu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toho sa môže zvýšiť výskyt nežiaducich reakcií 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405A3F2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Úloha transportných proteínov (napr. p-glykoproteínu) pri distribúcii tadalafilu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však existuje potenciál liekových interakcií sprostredkovaných inhibíciou transportných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Rifampicín, ktorý je induktorom CYP3A4, znížil hodnotu AUC tadalafilu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hodnotami AUC po podaní samotného tadalafilu (10 mg). Predpokladá sa, že táto znížená expozícia</w:t>
      </w:r>
    </w:p>
    <w:p w14:paraId="7C2B1A0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účinok tadalafilu,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fenobarbital, fenytoín a 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tadalafilu.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tadalafilu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454F63F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(5, 10 a 20 mg) zosilňuje hypotenzn</w:t>
      </w:r>
      <w:r w:rsidR="00A430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 nitrátov.</w:t>
      </w:r>
    </w:p>
    <w:p w14:paraId="3C41A478" w14:textId="6109597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pacientom, ktorí užívajú organický nitrát</w:t>
      </w:r>
    </w:p>
    <w:p w14:paraId="3D4F567A" w14:textId="11BB784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akejkoľvek forme (pozri časť 4.3). Podľa výsledkov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</w:p>
    <w:p w14:paraId="27B559B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užívalo po dobu 7 dní v rôznych časoch dennú dávku 20 mg tadalafilu a 0,4 mg sublingválneho</w:t>
      </w:r>
    </w:p>
    <w:p w14:paraId="733FA1B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nitroglycerínu bolo zistené, že interakcia pretrvávala po dobu dlhšiu ako 24 hodín, ale nebola už</w:t>
      </w:r>
    </w:p>
    <w:p w14:paraId="6B2ABF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zaznamenaná po uplynutí 48 hodín od poslednej dávky tadalafilu. U pacienta užívajúceho akúkoľvek</w:t>
      </w:r>
    </w:p>
    <w:p w14:paraId="62003309" w14:textId="4240E1F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dávku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mg), kde sa v život ohrozujúcej situácii javí podanie nitrátov</w:t>
      </w:r>
    </w:p>
    <w:p w14:paraId="3CB2D562" w14:textId="60027C2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</w:p>
    <w:p w14:paraId="33B0E6C5" w14:textId="00596D1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dávky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aspoň 48 hodín. Za týchto okolností je možné nitráty aplikovať, avšak iba pod</w:t>
      </w:r>
    </w:p>
    <w:p w14:paraId="2491E91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priamym lekárskym dohľadom a za náležitého monitorovania hemodynamických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7551BDD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Súčasné podanie doxazosínu (4 a 8 mg denne) a tadalafilu (5 mg denná dávka a 20 mg ako</w:t>
      </w:r>
    </w:p>
    <w:p w14:paraId="5BEDF2DF" w14:textId="5793FD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hypotenzn</w:t>
      </w:r>
      <w:r w:rsidR="00A43030" w:rsidRPr="00A97DFF">
        <w:rPr>
          <w:sz w:val="22"/>
          <w:szCs w:val="22"/>
          <w:lang w:val="sk-SK"/>
        </w:rPr>
        <w:t>ý</w:t>
      </w:r>
      <w:r w:rsidR="00E8690B" w:rsidRPr="00A97DFF">
        <w:rPr>
          <w:sz w:val="22"/>
          <w:szCs w:val="22"/>
          <w:lang w:val="sk-SK"/>
        </w:rPr>
        <w:t xml:space="preserve"> účinok tohto alfa</w:t>
      </w:r>
      <w:r w:rsidRPr="00A97DFF">
        <w:rPr>
          <w:sz w:val="22"/>
          <w:szCs w:val="22"/>
          <w:lang w:val="sk-SK"/>
        </w:rPr>
        <w:t>blokátora.</w:t>
      </w:r>
    </w:p>
    <w:p w14:paraId="528B2D5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Tento účinok trvá aspoň dvanásť hodín a môže byť symptomatický vrátane synkopy. Preto sa táto</w:t>
      </w:r>
    </w:p>
    <w:p w14:paraId="4057B57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kombinácia neodporúča (pozri časť 4.4).</w:t>
      </w:r>
    </w:p>
    <w:p w14:paraId="7FD9023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interakčných štúdiách vykonaných s limitovaným počtom zdravých dobrovoľníkov neboli tieto</w:t>
      </w:r>
    </w:p>
    <w:p w14:paraId="433731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účinky hlásené pri alfuzosíne alebo tamsulozíne. Avšak pozornosť treba venovať pri používaní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 u pacientov liečených alfa</w:t>
      </w:r>
      <w:r w:rsidRPr="00A97DFF">
        <w:rPr>
          <w:sz w:val="22"/>
          <w:szCs w:val="22"/>
          <w:lang w:val="sk-SK"/>
        </w:rPr>
        <w:t>blokátormi a najmä u starších osôb. Liečbu treba začať</w:t>
      </w:r>
    </w:p>
    <w:p w14:paraId="1AB32C1D" w14:textId="08CD32B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minimálnou dávkou a postupne 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797B06B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sa skúmala schopnosť tadalafilu zosilniť hypotenzn</w:t>
      </w:r>
      <w:r w:rsidR="00A430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</w:t>
      </w:r>
    </w:p>
    <w:p w14:paraId="72C1D12A" w14:textId="41E8BE6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antihypertenzn</w:t>
      </w:r>
      <w:r w:rsidR="00A43030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ch liekov. Skúmal sa pritom vplyv na hlavné skupiny antihypertenzn</w:t>
      </w:r>
      <w:r w:rsidR="00A022FD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ch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vrátane blokátorov kalciového kanála (amlodipín), inhibítorov enzýmu konvertujúceho angiotenzín</w:t>
      </w:r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(enalapril), beta</w:t>
      </w:r>
      <w:r w:rsidR="00802BA3" w:rsidRPr="00A97DFF">
        <w:rPr>
          <w:sz w:val="22"/>
          <w:szCs w:val="22"/>
          <w:lang w:val="sk-SK"/>
        </w:rPr>
        <w:t>blokátorov (metoprolol), tiazidových diuretík (bendrofluazid) a blokátorov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angiotenzínu II (rozličné typy a dávky, podávané samostatne alebo v kombinácii s tiazidmi,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 kalciového kanála, betablokátormi a/alebo alfa</w:t>
      </w:r>
      <w:r w:rsidRPr="00A97DFF">
        <w:rPr>
          <w:sz w:val="22"/>
          <w:szCs w:val="22"/>
          <w:lang w:val="sk-SK"/>
        </w:rPr>
        <w:t>blokátormi). Tadalafil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okrem štúdií s blokátormi receptorov angiotenzínu II a amlodipínom, v ktorých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20 mg) nemal klinicky významn</w:t>
      </w:r>
      <w:r w:rsidR="000524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interakcie so žiadnym liekom z týchto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 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maný tadalafil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ambulantných</w:t>
      </w:r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</w:p>
    <w:p w14:paraId="635764EC" w14:textId="541AC0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>ou, vykazovali iba minimálny pokles krvného tlaku, podobný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zdravých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>, ktorých krvný tlak nebol 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vaný,</w:t>
      </w:r>
    </w:p>
    <w:p w14:paraId="47B1F0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bolo pozorované väčšie zníženie krvného tlaku, ktoré však u väčšiny jednotlivcov nebolo spojené</w:t>
      </w:r>
    </w:p>
    <w:p w14:paraId="10643CD7" w14:textId="6FE0063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príznakmi hypotenzie. U pacientov, ktorí súbežne používajú antihypertenzn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lieky, môže tadalafil</w:t>
      </w:r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>aku, ktoré je (s výnimkou alfa</w:t>
      </w:r>
      <w:r w:rsidRPr="00A97DFF">
        <w:rPr>
          <w:sz w:val="22"/>
          <w:szCs w:val="22"/>
          <w:lang w:val="sk-SK"/>
        </w:rPr>
        <w:t>blokátorov,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všeobecne mierne a nie je pravdepodobné, že bude klinicky významn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>. Pri analýze údajov 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</w:p>
    <w:p w14:paraId="31354C66" w14:textId="70F17F9F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nežiaducich účinkov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užívajúcimi tadalafil v kombinácii s antihypertenzn</w:t>
      </w:r>
      <w:r w:rsidR="009253F8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7D850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5-alfa reduktázy</w:t>
      </w:r>
    </w:p>
    <w:p w14:paraId="2B641C9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klinickom skúšaní, kde sa porovnával účinok tadalafilu 5 mg v súbežnom podávaní s finasteridom</w:t>
      </w:r>
    </w:p>
    <w:p w14:paraId="5D57F11D" w14:textId="1B0E636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5 mg oproti placebu podávanému spolu s finasteridom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BPH</w:t>
      </w:r>
      <w:r w:rsidR="009253F8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sa nevyskytli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žiadne nové nežiaduce reakcie. Avšak nebola vykonaná oficiálna 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tadalafilu a inhibítorov 5-alfa reduktázy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potrebné podávať tadalafil súbežne s 5-ARI so zvýšenou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CYPIA2 (napr. teofylín)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podaní tadalafilu v dávke 10 mg spolu s teofylínom (neselektívny inhibítor fosfodiesterázy)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klinicko-farmakologickej štúdii nezistila žiadna farmakokinetická interakcia. Jediným</w:t>
      </w:r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farmakodynamickým účinkom bolo malé (3,5 úderov/min) zrýchlenie tepu. Hoci bol tento účinok</w:t>
      </w:r>
    </w:p>
    <w:p w14:paraId="11D2256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malý, a v štúdii nevykazoval klinickú významnosť, pri spoločnom podaní týchto liekov by sa mal</w:t>
      </w:r>
    </w:p>
    <w:p w14:paraId="45F1C2B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Etinylestradiol a terbutalín</w:t>
      </w:r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Zistilo sa, že tadalafil spôsobuje zvýšenie biologickej dostupnosti etinylestradiolu po perorálnom</w:t>
      </w:r>
    </w:p>
    <w:p w14:paraId="1E7ED5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podaní, a pri perorálnom podaní terbutalínu sa dá očakávať podobné zvýšenie, hoci jeho klinický</w:t>
      </w:r>
    </w:p>
    <w:p w14:paraId="58590472" w14:textId="02DCFD48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dôsledok je neistý.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0A22CC76" w14:textId="6903505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Koncentrácia alkoholu (priemerná maximálna koncentrácia alkoholu v krvi 0,08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 nebola ovplyvnená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súčasným podaním tadalafilu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 koncentrácii tadalafilu po 3 hodinách po súbežnom užití s alkoholom. Alkohol bol 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podmienok maximalizujúcich rýchlosť jeho vstrebávania (ráno nalačno a bez jedla ešte 2 hodiny po</w:t>
      </w:r>
    </w:p>
    <w:p w14:paraId="740A70B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požití alkoholu). Tadalafil (20 mg) nezosilňoval priemerné zníženie krvného tlaku spôsobené</w:t>
      </w:r>
    </w:p>
    <w:p w14:paraId="4F929F2D" w14:textId="3F2F202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alkoholom (0,7 g/kg, t.j.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alkoholu [vodky] u 80-kg muža), u niektorých osôb</w:t>
      </w:r>
    </w:p>
    <w:p w14:paraId="46F16FD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však boli pozorované posturálne závraty a ortostatická hypotenzia. Pokiaľ bol tadalafil podaný</w:t>
      </w:r>
    </w:p>
    <w:p w14:paraId="375D6E6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 nižšou dávkou alkoholu (0,6 g/kg), hypotenzia nebola pozorovaná a výskyt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frekvenciu ako po alkohole samotnom. Tadalafil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Nepredpokladá sa, že by tadalafil spôsoboval klinicky významn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 inhibíciu alebo indukciu klírensu</w:t>
      </w:r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liekov, ktoré sú metabolizované izoformami CYP450. Štúdie potvrdili, že tadalafil neinhibuje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neindukuje izoformy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R-warfarín)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nemá žiadny klinicky významný účinok na expozíciu (AUC) S-warfarínu</w:t>
      </w:r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alebo R-warfarínu (substrát pre CYP2C9), ani nespôsobil zmeny protrombínového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warfarínom.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Aspirín</w:t>
      </w:r>
    </w:p>
    <w:p w14:paraId="609B58D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(10 mg a 20 mg) nepotencuje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acetylsalicylovou.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Antidiabetické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 antidiabetikami.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146B879E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nie je indikovaný na použitie u žien.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dispozícii je iba obmedzené množstvo údajov o použití tadalafilu u gravidných žien. Štúdie na</w:t>
      </w:r>
    </w:p>
    <w:p w14:paraId="24E16079" w14:textId="51057D8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účinky na priebeh tehotenstva, embryonálny/fetálny vývoj, pôrod alebo postnatálny vývoj (pozri časť 5.3). Užívanie </w:t>
      </w:r>
      <w:r w:rsidR="0005243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 tehotenstve sa</w:t>
      </w:r>
    </w:p>
    <w:p w14:paraId="753ECB6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Laktácia</w:t>
      </w:r>
    </w:p>
    <w:p w14:paraId="6F6C261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Dostupné farmakodynamické/toxikologické dáta u zvierat preukázali exkréciu tadalafilu do</w:t>
      </w:r>
    </w:p>
    <w:p w14:paraId="22FD2A0D" w14:textId="1207967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mlieka. Nemôže byť vylúčené riziko pre dojčené dieťa. </w:t>
      </w:r>
      <w:r w:rsidR="00052430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sa nemá užívať</w:t>
      </w:r>
    </w:p>
    <w:p w14:paraId="65430079" w14:textId="0E5860E9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počas</w:t>
      </w:r>
      <w:r w:rsidR="00802BA3" w:rsidRPr="00A97DFF">
        <w:rPr>
          <w:sz w:val="22"/>
          <w:szCs w:val="22"/>
          <w:lang w:val="sk-SK"/>
        </w:rPr>
        <w:t xml:space="preserve"> dojčenia</w:t>
      </w:r>
      <w:r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psov sa objavili účinky, ktoré môžu indikovať poruchu fertility. Dve po sebe nasledujúce klinické</w:t>
      </w:r>
    </w:p>
    <w:p w14:paraId="08821E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skúšania naznačujú, že nie je pravdepodobné, aby sa tento účinok objavil u ľudí, ale u niektorých</w:t>
      </w:r>
    </w:p>
    <w:p w14:paraId="3312A16C" w14:textId="02D0F8E5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mužov bola zaznamenaná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0CA235E" w14:textId="72814F7C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má zanedbateľný vplyv na schopnosť viesť vozidlá alebo obsluhovať stroje. Hoci výskyt</w:t>
      </w:r>
    </w:p>
    <w:p w14:paraId="75BBA3EA" w14:textId="35B86E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závratov v 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 podobný v skupinách </w:t>
      </w:r>
      <w:r w:rsidR="009A785B" w:rsidRPr="00A97DFF">
        <w:rPr>
          <w:sz w:val="22"/>
          <w:szCs w:val="22"/>
          <w:lang w:val="sk-SK"/>
        </w:rPr>
        <w:t xml:space="preserve">s </w:t>
      </w:r>
      <w:r w:rsidRPr="00A97DFF">
        <w:rPr>
          <w:sz w:val="22"/>
          <w:szCs w:val="22"/>
          <w:lang w:val="sk-SK"/>
        </w:rPr>
        <w:t>placeb</w:t>
      </w:r>
      <w:r w:rsidR="009A785B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a tadalafil</w:t>
      </w:r>
      <w:r w:rsidR="009A785B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>, pred vedením</w:t>
      </w:r>
    </w:p>
    <w:p w14:paraId="15595D1D" w14:textId="4FD92F4C" w:rsidR="00971C72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motorových vozidiel alebo používaním strojov by pacienti mali poznať svoju reakciu na </w:t>
      </w:r>
      <w:r w:rsidR="00052430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4A4C0F5" w14:textId="7E0383E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účinky u pacientov užívajúcich </w:t>
      </w:r>
      <w:r w:rsidR="00982496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na liečbu erektilnej dysfunkcie</w:t>
      </w:r>
    </w:p>
    <w:p w14:paraId="4F8B6A5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alebo benígnej hyperplázie prostaty boli bolesť hlavy, dyspepsia, bolesť chrbta a myalgia, u ktorých</w:t>
      </w:r>
    </w:p>
    <w:p w14:paraId="5E7114C2" w14:textId="273039F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incidencia narastala so zvyšujúcou sa dávkou </w:t>
      </w:r>
      <w:r w:rsidR="00A32907" w:rsidRPr="00A97DFF">
        <w:rPr>
          <w:sz w:val="22"/>
          <w:szCs w:val="22"/>
          <w:lang w:val="sk-SK"/>
        </w:rPr>
        <w:t>tadalafilu.</w:t>
      </w:r>
      <w:r w:rsidRPr="00A97DFF">
        <w:rPr>
          <w:sz w:val="22"/>
          <w:szCs w:val="22"/>
          <w:lang w:val="sk-SK"/>
        </w:rPr>
        <w:t xml:space="preserve">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pri užívaní </w:t>
      </w:r>
      <w:r w:rsidR="00A32907" w:rsidRPr="00A97DFF">
        <w:rPr>
          <w:sz w:val="22"/>
          <w:szCs w:val="22"/>
          <w:lang w:val="sk-SK"/>
        </w:rPr>
        <w:t>tadalafilu</w:t>
      </w:r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10-tym a 30-tym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Tabuľkové zhrnutie nežiaducich účinkov</w:t>
      </w:r>
    </w:p>
    <w:p w14:paraId="4355492A" w14:textId="002D55F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V nižšie uvedenej tabuľke sú vymenované nežiaduce účinky zo spontánnych hlásení </w:t>
      </w:r>
      <w:r w:rsidR="00223691" w:rsidRPr="00A97DFF">
        <w:rPr>
          <w:sz w:val="22"/>
          <w:szCs w:val="22"/>
          <w:lang w:val="sk-SK"/>
        </w:rPr>
        <w:t xml:space="preserve">a </w:t>
      </w:r>
      <w:r w:rsidRPr="00A97DFF">
        <w:rPr>
          <w:sz w:val="22"/>
          <w:szCs w:val="22"/>
          <w:lang w:val="sk-SK"/>
        </w:rPr>
        <w:t>placebom</w:t>
      </w:r>
    </w:p>
    <w:p w14:paraId="39E4A1DB" w14:textId="66486B6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</w:t>
      </w:r>
      <w:r w:rsidR="00223691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 xml:space="preserve"> (zahŕňajúcich celkovo 7116 pacientov liečených </w:t>
      </w:r>
      <w:r w:rsidR="00A32907" w:rsidRPr="00A97DFF">
        <w:rPr>
          <w:sz w:val="22"/>
          <w:szCs w:val="22"/>
          <w:lang w:val="sk-SK"/>
        </w:rPr>
        <w:t>tadalafilom</w:t>
      </w:r>
    </w:p>
    <w:p w14:paraId="132220F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3718 pacientov na placebe) v liečbe erektilnej dysfunkcie na vyžiadanie alebo jedenkrát denne alebo</w:t>
      </w:r>
    </w:p>
    <w:p w14:paraId="1F580F88" w14:textId="034E2E5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liečbe benígnej hyperplázie prostaty jedenkrát denne.</w:t>
      </w:r>
    </w:p>
    <w:p w14:paraId="10589FC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Frekvencia výskytu:</w:t>
      </w:r>
      <w:r w:rsidRPr="00A97DFF">
        <w:rPr>
          <w:sz w:val="22"/>
          <w:szCs w:val="22"/>
          <w:lang w:val="sk-SK"/>
        </w:rPr>
        <w:t xml:space="preserve"> veľmi časté (≥1/10), časté (≥1/100 až &lt;1/10), menej časté (≥1/1 000 až &lt;1/100),</w:t>
      </w:r>
    </w:p>
    <w:p w14:paraId="131D33FC" w14:textId="32F6B18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zriedkavé (≥1/10 000 až &lt;1/1 000), veľmi zriedkavé (&lt;1/10 000) a neznáme (z dostupných údajov).</w:t>
      </w:r>
    </w:p>
    <w:p w14:paraId="626003A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8789428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1B4326" w:rsidRPr="008976C4" w14:paraId="60616992" w14:textId="77777777" w:rsidTr="001B4326">
        <w:tc>
          <w:tcPr>
            <w:tcW w:w="3095" w:type="dxa"/>
          </w:tcPr>
          <w:p w14:paraId="0648B55F" w14:textId="554FD483" w:rsidR="001B4326" w:rsidRPr="00A97DFF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096" w:type="dxa"/>
          </w:tcPr>
          <w:p w14:paraId="2E62BC9A" w14:textId="02D0EAA2" w:rsidR="001B4326" w:rsidRPr="00A97DFF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</w:tcPr>
          <w:p w14:paraId="1CEA378A" w14:textId="7C9EFD7F" w:rsidR="001B4326" w:rsidRPr="00A97DFF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1B4326" w:rsidRPr="008976C4" w14:paraId="784538E4" w14:textId="77777777" w:rsidTr="008E2BFC">
        <w:tc>
          <w:tcPr>
            <w:tcW w:w="9287" w:type="dxa"/>
            <w:gridSpan w:val="3"/>
          </w:tcPr>
          <w:p w14:paraId="27941DBA" w14:textId="295C18F0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1B4326" w:rsidRPr="008976C4" w14:paraId="2CB35773" w14:textId="77777777" w:rsidTr="001B4326">
        <w:tc>
          <w:tcPr>
            <w:tcW w:w="3095" w:type="dxa"/>
          </w:tcPr>
          <w:p w14:paraId="12A4783E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4AA5AE47" w14:textId="29199D23" w:rsidR="001B4326" w:rsidRPr="008976C4" w:rsidRDefault="006806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Hypersenzitívne reakcie</w:t>
            </w:r>
          </w:p>
        </w:tc>
        <w:tc>
          <w:tcPr>
            <w:tcW w:w="3096" w:type="dxa"/>
          </w:tcPr>
          <w:p w14:paraId="511BA5C5" w14:textId="2CCB73F7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Angioedém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3424C029" w14:textId="77777777" w:rsidTr="008E2BFC">
        <w:tc>
          <w:tcPr>
            <w:tcW w:w="9287" w:type="dxa"/>
            <w:gridSpan w:val="3"/>
          </w:tcPr>
          <w:p w14:paraId="283C80C5" w14:textId="1963A864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1B4326" w:rsidRPr="008976C4" w14:paraId="1D52C53D" w14:textId="77777777" w:rsidTr="001B4326">
        <w:tc>
          <w:tcPr>
            <w:tcW w:w="3095" w:type="dxa"/>
          </w:tcPr>
          <w:p w14:paraId="00ECC063" w14:textId="75FC4948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3096" w:type="dxa"/>
          </w:tcPr>
          <w:p w14:paraId="159D4120" w14:textId="576A6618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Závrat</w:t>
            </w:r>
          </w:p>
        </w:tc>
        <w:tc>
          <w:tcPr>
            <w:tcW w:w="3096" w:type="dxa"/>
          </w:tcPr>
          <w:p w14:paraId="260A24DA" w14:textId="212ED296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Mozgová príhoda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(vrátane krvácavých príhod),</w:t>
            </w:r>
          </w:p>
          <w:p w14:paraId="1ADE4508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tranzitórne ischemické</w:t>
            </w:r>
          </w:p>
          <w:p w14:paraId="2DC6A4FF" w14:textId="213CF6F8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1B4326" w:rsidRPr="008976C4" w14:paraId="215BAE2D" w14:textId="77777777" w:rsidTr="008E2BFC">
        <w:tc>
          <w:tcPr>
            <w:tcW w:w="9287" w:type="dxa"/>
            <w:gridSpan w:val="3"/>
          </w:tcPr>
          <w:p w14:paraId="1C7DCE2F" w14:textId="0AF3D8D2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1B4326" w:rsidRPr="008976C4" w14:paraId="1FDD0903" w14:textId="77777777" w:rsidTr="001B4326">
        <w:tc>
          <w:tcPr>
            <w:tcW w:w="3095" w:type="dxa"/>
          </w:tcPr>
          <w:p w14:paraId="5535CAAA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5411BBAE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Rozmazané videnie,</w:t>
            </w:r>
          </w:p>
          <w:p w14:paraId="4759EA96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3096" w:type="dxa"/>
          </w:tcPr>
          <w:p w14:paraId="5A4451AB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Defekt zorného poľa,</w:t>
            </w:r>
          </w:p>
          <w:p w14:paraId="09FDFDF7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opuch očných viečok,</w:t>
            </w:r>
          </w:p>
          <w:p w14:paraId="7004B555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konjunktiválna</w:t>
            </w:r>
          </w:p>
          <w:p w14:paraId="7FAD7E74" w14:textId="6D3AD773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hyperémia</w:t>
            </w:r>
            <w:r w:rsidR="00772D92" w:rsidRPr="00A97DFF">
              <w:rPr>
                <w:sz w:val="22"/>
                <w:szCs w:val="22"/>
                <w:lang w:val="sk-SK"/>
              </w:rPr>
              <w:t>,</w:t>
            </w:r>
            <w:r w:rsidRPr="00A97DFF">
              <w:rPr>
                <w:sz w:val="22"/>
                <w:szCs w:val="22"/>
                <w:lang w:val="sk-SK"/>
              </w:rPr>
              <w:t xml:space="preserve"> nearteritická</w:t>
            </w:r>
          </w:p>
          <w:p w14:paraId="3DD91CA8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6806DF" w:rsidRPr="00A97DFF" w:rsidRDefault="006806DF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neuropatia zrakového</w:t>
            </w:r>
          </w:p>
          <w:p w14:paraId="56E08AE5" w14:textId="2EEE039C" w:rsidR="006806DF" w:rsidRPr="00A97DFF" w:rsidRDefault="006806DF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1B4326" w:rsidRPr="008976C4" w:rsidRDefault="006806DF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 w:rsidR="00A97DFF">
              <w:rPr>
                <w:sz w:val="22"/>
                <w:szCs w:val="22"/>
                <w:lang w:val="sk-SK"/>
              </w:rPr>
              <w:t xml:space="preserve"> </w:t>
            </w:r>
            <w:r w:rsidRPr="00A97DFF">
              <w:rPr>
                <w:sz w:val="22"/>
                <w:szCs w:val="22"/>
                <w:lang w:val="sk-SK"/>
              </w:rPr>
              <w:t>oklúzia</w:t>
            </w:r>
            <w:r w:rsidR="003306AC" w:rsidRPr="00A97DFF">
              <w:rPr>
                <w:sz w:val="22"/>
                <w:szCs w:val="22"/>
                <w:lang w:val="sk-SK"/>
              </w:rPr>
              <w:t xml:space="preserve">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75667828" w14:textId="77777777" w:rsidTr="008E2BFC">
        <w:tc>
          <w:tcPr>
            <w:tcW w:w="9287" w:type="dxa"/>
            <w:gridSpan w:val="3"/>
          </w:tcPr>
          <w:p w14:paraId="6A024D90" w14:textId="7DDD412A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1B4326" w:rsidRPr="008976C4" w14:paraId="1BB77910" w14:textId="77777777" w:rsidTr="001B4326">
        <w:tc>
          <w:tcPr>
            <w:tcW w:w="3095" w:type="dxa"/>
          </w:tcPr>
          <w:p w14:paraId="771C977B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1EEC3AC1" w14:textId="635E2F0F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Tin</w:t>
            </w:r>
            <w:r w:rsidR="003306AC" w:rsidRPr="00A97DFF">
              <w:rPr>
                <w:sz w:val="22"/>
                <w:szCs w:val="22"/>
                <w:lang w:val="sk-SK"/>
              </w:rPr>
              <w:t>n</w:t>
            </w:r>
            <w:r w:rsidRPr="00A97DFF">
              <w:rPr>
                <w:sz w:val="22"/>
                <w:szCs w:val="22"/>
                <w:lang w:val="sk-SK"/>
              </w:rPr>
              <w:t>itus</w:t>
            </w:r>
          </w:p>
        </w:tc>
        <w:tc>
          <w:tcPr>
            <w:tcW w:w="3096" w:type="dxa"/>
          </w:tcPr>
          <w:p w14:paraId="6796B555" w14:textId="53B3EA2D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hluchota</w:t>
            </w:r>
          </w:p>
        </w:tc>
      </w:tr>
      <w:tr w:rsidR="001B4326" w:rsidRPr="008976C4" w14:paraId="1DE4531F" w14:textId="77777777" w:rsidTr="008E2BFC">
        <w:tc>
          <w:tcPr>
            <w:tcW w:w="9287" w:type="dxa"/>
            <w:gridSpan w:val="3"/>
          </w:tcPr>
          <w:p w14:paraId="45991C6D" w14:textId="2ED33C46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</w:t>
            </w:r>
            <w:r w:rsidR="008E2BFC" w:rsidRPr="00A97DFF">
              <w:rPr>
                <w:i/>
                <w:sz w:val="22"/>
                <w:szCs w:val="22"/>
                <w:lang w:val="sk-SK"/>
              </w:rPr>
              <w:t>y</w:t>
            </w:r>
            <w:r w:rsidRPr="00A97DFF">
              <w:rPr>
                <w:i/>
                <w:sz w:val="22"/>
                <w:szCs w:val="22"/>
                <w:lang w:val="sk-SK"/>
              </w:rPr>
              <w:t xml:space="preserve"> srdca a srdcovej činnost</w:t>
            </w:r>
            <w:r w:rsidR="008E2BFC" w:rsidRPr="00A97DFF">
              <w:rPr>
                <w:i/>
                <w:sz w:val="22"/>
                <w:szCs w:val="22"/>
                <w:lang w:val="sk-SK"/>
              </w:rPr>
              <w:t>i</w:t>
            </w:r>
            <w:r w:rsidR="008E2BFC"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1B4326" w:rsidRPr="008976C4" w14:paraId="2ECFA341" w14:textId="77777777" w:rsidTr="001B4326">
        <w:tc>
          <w:tcPr>
            <w:tcW w:w="3095" w:type="dxa"/>
          </w:tcPr>
          <w:p w14:paraId="5B5597B7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1240B090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Tachykardia,</w:t>
            </w:r>
          </w:p>
          <w:p w14:paraId="7DAA1DF2" w14:textId="56C22D99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3096" w:type="dxa"/>
          </w:tcPr>
          <w:p w14:paraId="7D60D1A0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Infarkt myokardu,</w:t>
            </w:r>
          </w:p>
          <w:p w14:paraId="0656D62C" w14:textId="74DCEBFA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ventrikulárna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768EB5EB" w14:textId="77777777" w:rsidTr="008E2BFC">
        <w:tc>
          <w:tcPr>
            <w:tcW w:w="9287" w:type="dxa"/>
            <w:gridSpan w:val="3"/>
          </w:tcPr>
          <w:p w14:paraId="68D60BC7" w14:textId="0AB86C84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1B4326" w:rsidRPr="008976C4" w14:paraId="0DEEAC60" w14:textId="77777777" w:rsidTr="001B4326">
        <w:tc>
          <w:tcPr>
            <w:tcW w:w="3095" w:type="dxa"/>
          </w:tcPr>
          <w:p w14:paraId="5BE5F666" w14:textId="211AEA79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Návaly tepla</w:t>
            </w:r>
          </w:p>
        </w:tc>
        <w:tc>
          <w:tcPr>
            <w:tcW w:w="3096" w:type="dxa"/>
          </w:tcPr>
          <w:p w14:paraId="7EA8430C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Hypotenzia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3096" w:type="dxa"/>
          </w:tcPr>
          <w:p w14:paraId="1CA20035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2565D828" w14:textId="77777777" w:rsidTr="008E2BFC">
        <w:tc>
          <w:tcPr>
            <w:tcW w:w="9287" w:type="dxa"/>
            <w:gridSpan w:val="3"/>
          </w:tcPr>
          <w:p w14:paraId="67117FEF" w14:textId="2E88715F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dýchacej sústavy, hrudníka a mediastína</w:t>
            </w:r>
          </w:p>
        </w:tc>
      </w:tr>
      <w:tr w:rsidR="001B4326" w:rsidRPr="008976C4" w14:paraId="38666426" w14:textId="77777777" w:rsidTr="001B4326">
        <w:tc>
          <w:tcPr>
            <w:tcW w:w="3095" w:type="dxa"/>
          </w:tcPr>
          <w:p w14:paraId="18B03551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Kongescia nosovej</w:t>
            </w:r>
          </w:p>
          <w:p w14:paraId="4F223253" w14:textId="3AFA1A13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sliznice</w:t>
            </w:r>
          </w:p>
        </w:tc>
        <w:tc>
          <w:tcPr>
            <w:tcW w:w="3096" w:type="dxa"/>
          </w:tcPr>
          <w:p w14:paraId="46C640FE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Dyspnoe,</w:t>
            </w:r>
          </w:p>
          <w:p w14:paraId="6DF1720A" w14:textId="3EB828FD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Krvácanie z nosa</w:t>
            </w:r>
          </w:p>
        </w:tc>
        <w:tc>
          <w:tcPr>
            <w:tcW w:w="3096" w:type="dxa"/>
          </w:tcPr>
          <w:p w14:paraId="62B0EC4E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41803809" w14:textId="77777777" w:rsidTr="008E2BFC">
        <w:tc>
          <w:tcPr>
            <w:tcW w:w="9287" w:type="dxa"/>
            <w:gridSpan w:val="3"/>
          </w:tcPr>
          <w:p w14:paraId="71541395" w14:textId="5423BF7B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1B4326" w:rsidRPr="008976C4" w14:paraId="1EB0FDCE" w14:textId="77777777" w:rsidTr="001B4326">
        <w:tc>
          <w:tcPr>
            <w:tcW w:w="3095" w:type="dxa"/>
          </w:tcPr>
          <w:p w14:paraId="1453BCD7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Dyspepsia,</w:t>
            </w:r>
          </w:p>
          <w:p w14:paraId="6B805241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refluxná choroba</w:t>
            </w:r>
          </w:p>
          <w:p w14:paraId="6EF28350" w14:textId="34E072C3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3096" w:type="dxa"/>
          </w:tcPr>
          <w:p w14:paraId="68A4904B" w14:textId="7D0F016F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3096" w:type="dxa"/>
          </w:tcPr>
          <w:p w14:paraId="0C406D62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69318096" w14:textId="77777777" w:rsidTr="008E2BFC">
        <w:tc>
          <w:tcPr>
            <w:tcW w:w="9287" w:type="dxa"/>
            <w:gridSpan w:val="3"/>
          </w:tcPr>
          <w:p w14:paraId="34E8FCA8" w14:textId="3D0E46E9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1B4326" w:rsidRPr="008976C4" w14:paraId="55F7A9B8" w14:textId="77777777" w:rsidTr="001B4326">
        <w:tc>
          <w:tcPr>
            <w:tcW w:w="3095" w:type="dxa"/>
          </w:tcPr>
          <w:p w14:paraId="2B1EE63E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2B0A4B65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Vyrážka, hyperhidróza</w:t>
            </w:r>
          </w:p>
          <w:p w14:paraId="5B7393A4" w14:textId="44FB1FF5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  <w:tc>
          <w:tcPr>
            <w:tcW w:w="3096" w:type="dxa"/>
          </w:tcPr>
          <w:p w14:paraId="7430E8CE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Žihľavka, Stevensov-</w:t>
            </w:r>
          </w:p>
          <w:p w14:paraId="13602E3C" w14:textId="55A38BE3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Johnsonov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BF3E07A" w14:textId="246179BD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exfoliatívna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456C9447" w14:textId="77777777" w:rsidTr="008E2BFC">
        <w:tc>
          <w:tcPr>
            <w:tcW w:w="9287" w:type="dxa"/>
            <w:gridSpan w:val="3"/>
          </w:tcPr>
          <w:p w14:paraId="5129A35A" w14:textId="38C5D8D2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1B4326" w:rsidRPr="008976C4" w14:paraId="1D1491A1" w14:textId="77777777" w:rsidTr="001B4326">
        <w:trPr>
          <w:trHeight w:val="25"/>
        </w:trPr>
        <w:tc>
          <w:tcPr>
            <w:tcW w:w="3095" w:type="dxa"/>
          </w:tcPr>
          <w:p w14:paraId="718146CD" w14:textId="7713B576" w:rsidR="001B4326" w:rsidRPr="008976C4" w:rsidRDefault="006806DF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chrbta, myalgia, bolesť končatín</w:t>
            </w:r>
          </w:p>
        </w:tc>
        <w:tc>
          <w:tcPr>
            <w:tcW w:w="3096" w:type="dxa"/>
          </w:tcPr>
          <w:p w14:paraId="07860C9B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3C9E399A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47900B46" w14:textId="77777777" w:rsidTr="008E2BFC">
        <w:trPr>
          <w:trHeight w:val="21"/>
        </w:trPr>
        <w:tc>
          <w:tcPr>
            <w:tcW w:w="9287" w:type="dxa"/>
            <w:gridSpan w:val="3"/>
          </w:tcPr>
          <w:p w14:paraId="1D9711BC" w14:textId="6D604FA5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obličiek a močových ciest</w:t>
            </w:r>
          </w:p>
        </w:tc>
      </w:tr>
      <w:tr w:rsidR="001B4326" w:rsidRPr="008976C4" w14:paraId="094472D7" w14:textId="77777777" w:rsidTr="001B4326">
        <w:trPr>
          <w:trHeight w:val="21"/>
        </w:trPr>
        <w:tc>
          <w:tcPr>
            <w:tcW w:w="3095" w:type="dxa"/>
          </w:tcPr>
          <w:p w14:paraId="7C0D5C2F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27967C86" w14:textId="6E6CB881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Hematúria</w:t>
            </w:r>
          </w:p>
        </w:tc>
        <w:tc>
          <w:tcPr>
            <w:tcW w:w="3096" w:type="dxa"/>
          </w:tcPr>
          <w:p w14:paraId="5333E77C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46642BE6" w14:textId="77777777" w:rsidTr="008E2BFC">
        <w:trPr>
          <w:trHeight w:val="21"/>
        </w:trPr>
        <w:tc>
          <w:tcPr>
            <w:tcW w:w="9287" w:type="dxa"/>
            <w:gridSpan w:val="3"/>
          </w:tcPr>
          <w:p w14:paraId="6F19A88D" w14:textId="50B004DB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Poruchy reprodukčného systému a prsníkov</w:t>
            </w:r>
          </w:p>
        </w:tc>
      </w:tr>
      <w:tr w:rsidR="001B4326" w:rsidRPr="008976C4" w14:paraId="5BA0BEDD" w14:textId="77777777" w:rsidTr="001B4326">
        <w:trPr>
          <w:trHeight w:val="21"/>
        </w:trPr>
        <w:tc>
          <w:tcPr>
            <w:tcW w:w="3095" w:type="dxa"/>
          </w:tcPr>
          <w:p w14:paraId="0BF4E801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0BAF7808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Krvácanie z penisu,</w:t>
            </w:r>
          </w:p>
          <w:p w14:paraId="4D7532D9" w14:textId="659C8786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hematospermia</w:t>
            </w:r>
          </w:p>
        </w:tc>
        <w:tc>
          <w:tcPr>
            <w:tcW w:w="3096" w:type="dxa"/>
          </w:tcPr>
          <w:p w14:paraId="297221C1" w14:textId="77777777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Predĺžené erekcie,</w:t>
            </w:r>
          </w:p>
          <w:p w14:paraId="242C896C" w14:textId="07AB7BFA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Priapizmus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73DB694D" w14:textId="77777777" w:rsidTr="008E2BFC">
        <w:trPr>
          <w:trHeight w:val="65"/>
        </w:trPr>
        <w:tc>
          <w:tcPr>
            <w:tcW w:w="9287" w:type="dxa"/>
            <w:gridSpan w:val="3"/>
          </w:tcPr>
          <w:p w14:paraId="617580CF" w14:textId="04B0C895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1B4326" w:rsidRPr="008976C4" w14:paraId="05B9B2A5" w14:textId="77777777" w:rsidTr="001B4326">
        <w:trPr>
          <w:trHeight w:val="65"/>
        </w:trPr>
        <w:tc>
          <w:tcPr>
            <w:tcW w:w="3095" w:type="dxa"/>
          </w:tcPr>
          <w:p w14:paraId="3C890FE0" w14:textId="77777777" w:rsidR="001B4326" w:rsidRPr="008976C4" w:rsidRDefault="001B4326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7132CE1A" w14:textId="223FF3D5" w:rsidR="001B4326" w:rsidRPr="008976C4" w:rsidRDefault="006806DF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na hrudníku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3096" w:type="dxa"/>
          </w:tcPr>
          <w:p w14:paraId="38C5DEF5" w14:textId="705899BB" w:rsidR="006806DF" w:rsidRPr="00A97DFF" w:rsidRDefault="006806DF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Tvárový edém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1B4326" w:rsidRPr="008976C4" w:rsidRDefault="006806DF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35B2E555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9CA4A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(1) Väčšina pacientov vykazovala už predtým prítomnosť kardiovaskulárnych rizikových faktorov</w:t>
      </w:r>
    </w:p>
    <w:p w14:paraId="709BF04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295D857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(2) Nežiaduce účinky hlásené v rámci postmarketingového sledovania nepozorované v placebom</w:t>
      </w:r>
    </w:p>
    <w:p w14:paraId="03D636EC" w14:textId="71023E9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3CA4536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(3) Častejšie hlásené, keď sa 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 podáva pacientom, ktorí už užívajú antihypertenzn</w:t>
      </w:r>
      <w:r w:rsidR="003306AC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3144B88C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Popis vybraných nežiaducich účinkov</w:t>
      </w:r>
    </w:p>
    <w:p w14:paraId="6E74A06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pacientov liečených tadalafilom jedenkrát denne bol hlásený mierne zvýšený výskyt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EKG, najmä sínusovej bradykardie v porovnaní s placebom. Väčšina týchto abnormalít EKG</w:t>
      </w:r>
    </w:p>
    <w:p w14:paraId="74F712F5" w14:textId="352A8D42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nesúvisela s nežiaducimi účinkami.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FA125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</w:p>
    <w:p w14:paraId="389DB4BF" w14:textId="2D5D303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>, ktorí užívali tadalafil počas klinického skúšania,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liečbu erektilnej dysfunkcie alebo na liečbu benígnej hyperplázie prostaty sú obmedzené.</w:t>
      </w:r>
    </w:p>
    <w:p w14:paraId="4F17C8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klinických skúšaniach s 5 mg tadalafilu užívanými jedenkrát denne na liečbu benígnej hyperplázie</w:t>
      </w:r>
    </w:p>
    <w:p w14:paraId="48DF63F5" w14:textId="52E7DAC3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prostaty boli hlásené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7A323E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77777777" w:rsidR="00C91E0F" w:rsidRPr="008976C4" w:rsidRDefault="007A323E" w:rsidP="007A323E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8976C4">
        <w:rPr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A97DFF">
          <w:rPr>
            <w:rStyle w:val="Hyperlink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48F88651" w:rsidR="0096476F" w:rsidRPr="008976C4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Zdravým osobám boli podané jednorazové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Pr="00A97DFF">
        <w:rPr>
          <w:sz w:val="22"/>
          <w:szCs w:val="22"/>
          <w:lang w:val="sk-SK"/>
        </w:rPr>
        <w:t>do 500 mg a pacientom sa podali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Pr="00A97DFF">
        <w:rPr>
          <w:sz w:val="22"/>
          <w:szCs w:val="22"/>
          <w:lang w:val="sk-SK"/>
        </w:rPr>
        <w:t>do 100 mg. Nežiaduce účinky boli podobné ako pri nižších dávkach. V prípade predávkovania je potrebné začať štandardnú podpornú liečbu. Hemodialýza prispieva k eliminácii tadalafilu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42F5AC79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i/>
          <w:sz w:val="22"/>
          <w:szCs w:val="22"/>
          <w:lang w:val="sk-SK"/>
        </w:rPr>
        <w:t>Farmakoterapeutická skupina:</w:t>
      </w:r>
      <w:r w:rsidRPr="008976C4">
        <w:rPr>
          <w:sz w:val="22"/>
          <w:szCs w:val="22"/>
          <w:lang w:val="sk-SK"/>
        </w:rPr>
        <w:t xml:space="preserve"> </w:t>
      </w:r>
      <w:r w:rsidR="00802BA3" w:rsidRPr="008976C4">
        <w:rPr>
          <w:sz w:val="22"/>
          <w:szCs w:val="22"/>
          <w:lang w:val="sk-SK"/>
        </w:rPr>
        <w:t>urologiká,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Mechanizmus účinku</w:t>
      </w:r>
    </w:p>
    <w:p w14:paraId="52FC3FE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je selektívny a reverzibilný inhibítor špecifickej fosfodiesterázy typu 5 (PDE5) vedúcej</w:t>
      </w:r>
    </w:p>
    <w:p w14:paraId="322D031F" w14:textId="271A40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 tvorbe cyklického guanozín monofosfátu (cGMP).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</w:p>
    <w:p w14:paraId="03DD938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uvoľnenie oxidu dusnatého, inhibícia PDE5 tadalafilom zvyšuje hladiny cGMP v corpus cavernosum.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517DE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liečbe erektilnej dysfunkcie nemá tadalafil žiadny účinok bez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nej stimulácie.</w:t>
      </w:r>
    </w:p>
    <w:p w14:paraId="6BBF95CC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FB8C7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Farmakodynamické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tadalafil je selektívnym inhibítorom PDE5. PDE5 je enzým</w:t>
      </w:r>
    </w:p>
    <w:p w14:paraId="637A1F7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nachádzajúci sa v hladkej svalovine corpus cavernosum, ciev a vnútorných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kostrovom svalstve, krvných doštičkách, obličkách, pľúcach a mozočku. Účinok tadalafilu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je silnejší ako na iné fosfodiesterázy. Tadalafil má viac ako 10 000-krát silnejší účinok na PDE5 ako</w:t>
      </w:r>
    </w:p>
    <w:p w14:paraId="069845E6" w14:textId="0E45303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PDE4,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 xml:space="preserve">ktoré sa nachádzajú v srdci, mozgu, cievach, pečeni a iných </w:t>
      </w:r>
      <w:r w:rsidRPr="00A97DFF">
        <w:rPr>
          <w:sz w:val="22"/>
          <w:szCs w:val="22"/>
          <w:lang w:val="sk-SK"/>
        </w:rPr>
        <w:lastRenderedPageBreak/>
        <w:t>orgánoch.</w:t>
      </w:r>
    </w:p>
    <w:p w14:paraId="1722476F" w14:textId="3CDE9DF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r w:rsidRPr="00A97DFF">
        <w:rPr>
          <w:sz w:val="22"/>
          <w:szCs w:val="22"/>
          <w:lang w:val="sk-SK"/>
        </w:rPr>
        <w:t>ktorý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cievach. Táto selektivita k PDE5 oproti PDE3 je dôležitá, pretože PDE3 má význam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myokardu. Okrem toho, tadalafil má približne 700-krát silnejší účinok na PDE5 ako na PDE6, enzým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 sietnici a ktorý je zodpovedný za fototransdukciu. Tadalafil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Klinická účinnosť a bezpečnosť</w:t>
      </w:r>
    </w:p>
    <w:p w14:paraId="389B60B2" w14:textId="77777777" w:rsidR="008A4955" w:rsidRPr="00A97DFF" w:rsidRDefault="008A495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1908E7" w14:textId="40711982" w:rsidR="00ED5149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troch klinických </w:t>
      </w:r>
      <w:r w:rsidR="0033179C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vykonaných </w:t>
      </w:r>
      <w:r w:rsidR="00DE4295" w:rsidRPr="00A97DFF">
        <w:rPr>
          <w:sz w:val="22"/>
          <w:szCs w:val="22"/>
          <w:lang w:val="sk-SK"/>
        </w:rPr>
        <w:t>u</w:t>
      </w:r>
      <w:r w:rsidRPr="00A97DFF">
        <w:rPr>
          <w:sz w:val="22"/>
          <w:szCs w:val="22"/>
          <w:lang w:val="sk-SK"/>
        </w:rPr>
        <w:t xml:space="preserve"> 1 054 paciento</w:t>
      </w:r>
      <w:r w:rsidR="00DE4295" w:rsidRPr="00A97DFF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 v domácom prostredí sa sledovalo</w:t>
      </w:r>
    </w:p>
    <w:p w14:paraId="39777AE2" w14:textId="38B32F65" w:rsidR="00ED5149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obdobie reakcie pacienta na tadalafil podávaný podľa potreby. Tadalafil v porovnaní s placebom</w:t>
      </w:r>
    </w:p>
    <w:p w14:paraId="65254B35" w14:textId="511BD9EE" w:rsidR="00ED5149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viedol k štatisticky významnému zlepšeniu erektilnej funkcie a schopnosti vykonať úspešný pohlavný styk v období až do 36 hodín po jeho užití, rovnako ako schopnosti dosiahnuť a udržať erekciu dostatočnú na úspešný pohlavný styk už 16 minút po jeho užití.</w:t>
      </w:r>
    </w:p>
    <w:p w14:paraId="1F8305EC" w14:textId="77777777" w:rsidR="008A4955" w:rsidRPr="00A97DFF" w:rsidRDefault="008A495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1F4623" w14:textId="382D3E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porovnaní s placebom, tadalafil pod</w:t>
      </w:r>
      <w:r w:rsidR="00A45F1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zdravým osobám neviedol k žiadnym významným</w:t>
      </w:r>
    </w:p>
    <w:p w14:paraId="67D2797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zmenám systolického a diastolického tlaku v ľahu (priemerné maximálne zníženie o 1,6/0,8 mm Hg),</w:t>
      </w:r>
    </w:p>
    <w:p w14:paraId="1089BDE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systolického a diastolického tlaku v stoji (priemerné maximálne zníženie o 0,2/4,6 mm Hg) a srdcovej</w:t>
      </w:r>
    </w:p>
    <w:p w14:paraId="0F46A58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frekvencie.</w:t>
      </w: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štúdii hodnotiacej vplyv tadalafilu na zrak sa pri 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afinitou tadalafilu k PDE6 v porovnaní s PDE5. Vo všetkých klinických štúdiách sa pozoroval</w:t>
      </w:r>
    </w:p>
    <w:p w14:paraId="2FE2A6F3" w14:textId="494C3128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zriedkavý výskyt porúch farebného videnia (&lt; 0,1%).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Boli vykonané tri štúdie u mužov zamerané na zhodnotenie potenciálneho účinku </w:t>
      </w:r>
      <w:r w:rsidR="008A4955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62FCA81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spermatogenézu. V dvoch z týchto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tadalafilom pozorované poklesy v</w:t>
      </w:r>
    </w:p>
    <w:p w14:paraId="1B1C8701" w14:textId="2C8A76F7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počte a koncentrácii spermií pravdepodobne bez klinickej významnosti.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zmenami v ďalších parametroch ako je motilita, morfológia a FSH.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AE101B1" w14:textId="0D089718" w:rsidR="00ED5149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podávaný v dávkach 2 - 100 mg bol hodnotený v 16 klinických štúdiách zahŕňajúcich</w:t>
      </w:r>
    </w:p>
    <w:p w14:paraId="550AD8DD" w14:textId="77777777" w:rsidR="00ED5149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3250 pacientov, vrátane pacientov s rozličným stupňom erektilnej dysfunkcie (mierna, stredne ťažká</w:t>
      </w:r>
    </w:p>
    <w:p w14:paraId="47CD045F" w14:textId="4DEC5D2D" w:rsidR="001B4326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 ťažká), rôznymi etiologickými príčinami, rozličným vekom (21 - 86 rokov) a etnickou príslušnosťou. Väčšina pacientov udávala erektilnú dysfunkciu trvajúcu najmenej 1 rok. V štúdiách skúmajúcich primárnu účinnosť </w:t>
      </w:r>
      <w:r w:rsidR="00651996" w:rsidRPr="00A97DFF">
        <w:rPr>
          <w:sz w:val="22"/>
          <w:szCs w:val="22"/>
          <w:lang w:val="sk-SK"/>
        </w:rPr>
        <w:t>u</w:t>
      </w:r>
      <w:r w:rsidRPr="00A97DFF">
        <w:rPr>
          <w:sz w:val="22"/>
          <w:szCs w:val="22"/>
          <w:lang w:val="sk-SK"/>
        </w:rPr>
        <w:t xml:space="preserve"> všeobecnej populácie udávalo zlepšenie erekcie po užití tadalafilu až 81 % pacientov</w:t>
      </w:r>
      <w:r w:rsidR="004D5E23" w:rsidRPr="00A97DFF">
        <w:rPr>
          <w:sz w:val="22"/>
          <w:szCs w:val="22"/>
          <w:lang w:val="sk-SK"/>
        </w:rPr>
        <w:t xml:space="preserve"> v</w:t>
      </w:r>
      <w:r w:rsidRPr="00A97DFF">
        <w:rPr>
          <w:sz w:val="22"/>
          <w:szCs w:val="22"/>
          <w:lang w:val="sk-SK"/>
        </w:rPr>
        <w:t xml:space="preserve"> porovnaní s 35 % na placebe. Aj pacienti s rôznym stupňom erektilnej dysfunkcie udávali zlepšenie erekcie počas užívania tadalafilu (86 % pri ľahkej forme, 83 % pri stredne ťažkej forme a 72 % pri ťažkej forme erektilnej dysfunkcie, v porovnaní so 45 %, 42 % a 19 % na placebe). V štúdiách skúmajúcich primárnu účinnosť sa u pacientov liečených tadalafilom zaznamenala 75 % úspešnosť pohlavných stykov, v porovnaní s 32 % na placebe.</w:t>
      </w:r>
    </w:p>
    <w:p w14:paraId="6B79B28B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427BBE" w14:textId="4CE14B92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zhodnotenie tadalafilu jedenkrát denne podávaného v dávkach 2,5, 5 a 10 mg boli pôvodne</w:t>
      </w:r>
    </w:p>
    <w:p w14:paraId="719218F0" w14:textId="4C7B3411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vykonané 3 klinické štúdie zahŕňajúce 853 pacientov rôzneho veku (v rozmedzí 21</w:t>
      </w:r>
      <w:r w:rsidR="00575551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575551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82 rokov)</w:t>
      </w:r>
    </w:p>
    <w:p w14:paraId="0CD3B098" w14:textId="77777777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etnickej príslušnosti s erektilnou dysfunkciou rôznej závažnosti (mierna, stredne ťažká, ťažká)</w:t>
      </w:r>
    </w:p>
    <w:p w14:paraId="302A5F02" w14:textId="7FBF7617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pôvodu. V dvoch štúdiách skúmajúcich primárnu účinnosť na vzorke celkovej populácie bol</w:t>
      </w:r>
    </w:p>
    <w:p w14:paraId="59CD35B0" w14:textId="3C80AA37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priemerný podiel úspešnosti pohlavných stykov 57 a 67 % pri tadalafile 5 mg, 50 % pri tadalafile 2,5 mg v porovnaní s 31 a 37 % pri placebe. V štúdii s pacientami so sekundárnou erektilnou</w:t>
      </w:r>
    </w:p>
    <w:p w14:paraId="30918172" w14:textId="4B95EA0E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dysfunkciou pri diabete bol priemerný podiel úspešn</w:t>
      </w:r>
      <w:r w:rsidR="00651996" w:rsidRPr="00A97DFF">
        <w:rPr>
          <w:sz w:val="22"/>
          <w:szCs w:val="22"/>
          <w:lang w:val="sk-SK"/>
        </w:rPr>
        <w:t>ých pokusov o</w:t>
      </w:r>
      <w:r w:rsidRPr="00A97DFF">
        <w:rPr>
          <w:sz w:val="22"/>
          <w:szCs w:val="22"/>
          <w:lang w:val="sk-SK"/>
        </w:rPr>
        <w:t xml:space="preserve"> pohlavný styk</w:t>
      </w:r>
      <w:r w:rsidR="00651996" w:rsidRPr="00A97DFF">
        <w:rPr>
          <w:sz w:val="22"/>
          <w:szCs w:val="22"/>
          <w:lang w:val="sk-SK"/>
        </w:rPr>
        <w:t xml:space="preserve"> na jeden subjekt</w:t>
      </w:r>
      <w:r w:rsidRPr="00A97DFF">
        <w:rPr>
          <w:sz w:val="22"/>
          <w:szCs w:val="22"/>
          <w:lang w:val="sk-SK"/>
        </w:rPr>
        <w:t xml:space="preserve"> 41 a 46</w:t>
      </w:r>
      <w:r w:rsidR="00ED5149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pri tadalafile</w:t>
      </w:r>
    </w:p>
    <w:p w14:paraId="591FCA74" w14:textId="5140F899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5 mg</w:t>
      </w:r>
      <w:r w:rsidR="003E00A0" w:rsidRPr="00A97DFF">
        <w:rPr>
          <w:sz w:val="22"/>
          <w:szCs w:val="22"/>
          <w:lang w:val="sk-SK"/>
        </w:rPr>
        <w:t xml:space="preserve"> a</w:t>
      </w:r>
      <w:r w:rsidRPr="00A97DFF">
        <w:rPr>
          <w:sz w:val="22"/>
          <w:szCs w:val="22"/>
          <w:lang w:val="sk-SK"/>
        </w:rPr>
        <w:t xml:space="preserve"> pri tadalafile 2,5 mg v porovnaní s 28 % pri placebe. Väčšina pacientov vo všetkých troch</w:t>
      </w:r>
    </w:p>
    <w:p w14:paraId="33A6AE64" w14:textId="77777777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štúdiách reagovala na predchádzajúcu liečbu PDE5 inhibítormi užívanými podľa potreby. V následnej</w:t>
      </w:r>
    </w:p>
    <w:p w14:paraId="1C7CFB89" w14:textId="448DD36F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štúdii bolo 217 pacientov, ktorí ešte neboli liečení PDE5 inhibítormi, randomizovaných na tadalafil</w:t>
      </w:r>
    </w:p>
    <w:p w14:paraId="01CA7C02" w14:textId="29D0D845" w:rsidR="00A45F10" w:rsidRPr="00A97DFF" w:rsidRDefault="00A45F10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5 mg jedenkrát denne oproti placebu. Priemerný podiel úspešn</w:t>
      </w:r>
      <w:r w:rsidR="00651996" w:rsidRPr="00A97DFF">
        <w:rPr>
          <w:sz w:val="22"/>
          <w:szCs w:val="22"/>
          <w:lang w:val="sk-SK"/>
        </w:rPr>
        <w:t>ých pokusov o</w:t>
      </w:r>
      <w:r w:rsidRPr="00A97DFF">
        <w:rPr>
          <w:sz w:val="22"/>
          <w:szCs w:val="22"/>
          <w:lang w:val="sk-SK"/>
        </w:rPr>
        <w:t xml:space="preserve"> pohlavný styk</w:t>
      </w:r>
      <w:r w:rsidR="00651996" w:rsidRPr="00A97DFF">
        <w:rPr>
          <w:sz w:val="22"/>
          <w:szCs w:val="22"/>
          <w:lang w:val="sk-SK"/>
        </w:rPr>
        <w:t xml:space="preserve"> na jeden subjekt</w:t>
      </w:r>
      <w:r w:rsidRPr="00A97DFF">
        <w:rPr>
          <w:sz w:val="22"/>
          <w:szCs w:val="22"/>
          <w:lang w:val="sk-SK"/>
        </w:rPr>
        <w:t xml:space="preserve"> bol 68 %</w:t>
      </w:r>
    </w:p>
    <w:p w14:paraId="36C367C5" w14:textId="41205B8A" w:rsidR="00A45F10" w:rsidRPr="00A97DFF" w:rsidRDefault="00A45F10" w:rsidP="00A45F1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prospech </w:t>
      </w:r>
      <w:r w:rsidR="00ED514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oproti 52 % pacientov užívajúcich placebo.</w:t>
      </w:r>
    </w:p>
    <w:p w14:paraId="0170D25A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289A36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12-týždennej štúdii vykonanej so 186 pacientmi (142 užívajúcich tadalafil, 44 placebo) so</w:t>
      </w:r>
    </w:p>
    <w:p w14:paraId="154F318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sekundárnou erektilnou dysfunkciou spôsobenou poranením miechy tadalafil signifikantne zlepšoval</w:t>
      </w:r>
    </w:p>
    <w:p w14:paraId="5E9C8CA2" w14:textId="08292DA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erektilnú dysfunkciu vedúcu ku 48 % </w:t>
      </w:r>
      <w:r w:rsidR="009B7942" w:rsidRPr="00A97DFF">
        <w:rPr>
          <w:sz w:val="22"/>
          <w:szCs w:val="22"/>
          <w:lang w:val="sk-SK"/>
        </w:rPr>
        <w:t xml:space="preserve">priemernému </w:t>
      </w:r>
      <w:r w:rsidRPr="00A97DFF">
        <w:rPr>
          <w:sz w:val="22"/>
          <w:szCs w:val="22"/>
          <w:lang w:val="sk-SK"/>
        </w:rPr>
        <w:t xml:space="preserve">podielu </w:t>
      </w:r>
      <w:r w:rsidR="00A45F1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spešných pokusov o pohlavný styk na </w:t>
      </w:r>
      <w:r w:rsidR="00645AAC" w:rsidRPr="00A97DFF">
        <w:rPr>
          <w:sz w:val="22"/>
          <w:szCs w:val="22"/>
          <w:lang w:val="sk-SK"/>
        </w:rPr>
        <w:t>účastníka</w:t>
      </w:r>
      <w:r w:rsidR="009B794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 užívajúcich tadalafil 10 alebo 20 mg (flexibilná dávka, podľa potreby) v porovnaní so</w:t>
      </w:r>
      <w:r w:rsidR="009B794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17 % pacientov užívajúcimi placebo.</w:t>
      </w:r>
    </w:p>
    <w:p w14:paraId="0A9DBDAE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412138" w14:textId="6ADCFAE1" w:rsidR="00802BA3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Európska agentúra pre lieky udelila výnimku z povinnosti predložiť výsledky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vo</w:t>
      </w:r>
    </w:p>
    <w:p w14:paraId="08731E3A" w14:textId="01EFD1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všetkých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645AAC" w:rsidRPr="00A97DFF">
        <w:rPr>
          <w:sz w:val="22"/>
          <w:szCs w:val="22"/>
          <w:lang w:val="sk-SK"/>
        </w:rPr>
        <w:t>. I</w:t>
      </w:r>
      <w:r w:rsidRPr="00A97DFF">
        <w:rPr>
          <w:sz w:val="22"/>
          <w:szCs w:val="22"/>
          <w:lang w:val="sk-SK"/>
        </w:rPr>
        <w:t>nformácie</w:t>
      </w:r>
    </w:p>
    <w:p w14:paraId="608262A6" w14:textId="45AF442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Absorpcia</w:t>
      </w:r>
    </w:p>
    <w:p w14:paraId="462A7036" w14:textId="7FEAB3F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sa rýchlo vstrebáva po perorálnom podaní, pričom priemerná maximálna </w:t>
      </w:r>
      <w:r w:rsidR="008A093E" w:rsidRPr="00A97DFF">
        <w:rPr>
          <w:sz w:val="22"/>
          <w:szCs w:val="22"/>
          <w:lang w:val="sk-SK"/>
        </w:rPr>
        <w:t xml:space="preserve">pozorovaná </w:t>
      </w:r>
      <w:r w:rsidRPr="00A97DFF">
        <w:rPr>
          <w:sz w:val="22"/>
          <w:szCs w:val="22"/>
          <w:lang w:val="sk-SK"/>
        </w:rPr>
        <w:t>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priemerne za </w:t>
      </w:r>
      <w:r w:rsidRPr="00A97DFF">
        <w:rPr>
          <w:sz w:val="22"/>
          <w:szCs w:val="22"/>
          <w:lang w:val="sk-SK"/>
        </w:rPr>
        <w:t>2 hodiny 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dostupnosť tadalafilu po perorálnom podaní nebola stanovená.</w:t>
      </w: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rýchlosť a stupeň absorbcie tadalafilu, a preto sa </w:t>
      </w:r>
      <w:r w:rsidR="00A32907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bez ohľadu na príjem potravy. Čas podania (ráno alebo večer) nemá žiadny klinicky významný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rýchlosť a stupeň absorpcie tadalafilu.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Distribúcia</w:t>
      </w:r>
    </w:p>
    <w:p w14:paraId="378919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Priemerná hodnota distribučného objemu je približne 63 l, čo odráža prienik tadalafilu do tkanív. Pri</w:t>
      </w:r>
    </w:p>
    <w:p w14:paraId="219C493C" w14:textId="5AF2540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terapeutických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tadalafilu viaže na plazmatické bielkoviny. Porucha renálnej</w:t>
      </w:r>
    </w:p>
    <w:p w14:paraId="03B2475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 nemá žiadny vplyv na väzbu látky na plazmatické bielkoviny.</w:t>
      </w:r>
    </w:p>
    <w:p w14:paraId="69684F9D" w14:textId="1D8FBC7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ejakuláte zdravých osôb bolo prítomné menej ako 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Biotransformácia</w:t>
      </w:r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najmä prostredníctvom izoformy 3A4 cytochrómu P450 (CYP). Hlavným</w:t>
      </w:r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metabolitom cirkulujúcim v krvi je metylkatechol glukuronid. Tento metabolit má najmenej 13 000-</w:t>
      </w:r>
    </w:p>
    <w:p w14:paraId="4DDB327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krát nižší účinok na PDE5 ako tadalafil. Z toho dôvodu sa pri pozorovaných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metabolitu nepredpokladá jeho klinicky významný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zdravých osôb je priemerná hodnota perorálneho klírensu tadalafilu 2,5 l/h a priemerný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17,5 h. Tadalafil sa vylučuje prevažne vo forme inaktívnych metabolitov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Linearita/nelinearita</w:t>
      </w:r>
    </w:p>
    <w:p w14:paraId="1399F6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 zdravých osôb je lineárna z hľadiska času a dávky. V dávkovom</w:t>
      </w:r>
    </w:p>
    <w:p w14:paraId="147F3AD7" w14:textId="0E7A779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veľkosťou dávky. Pri dávkovaní raz</w:t>
      </w:r>
    </w:p>
    <w:p w14:paraId="7000FF9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715AAB4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 osôb s erektilnou dysfunkciou je podobná ako u zdravých ľudí.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A97DFF">
        <w:rPr>
          <w:b/>
          <w:sz w:val="22"/>
          <w:szCs w:val="22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4C38AEE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klírensu tadalafilu,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 zvýšeniu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 so zdravými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45 rokov. Tento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veku nie je klinicky významný a nevyžaduje si žiadnu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6B6EE497" w14:textId="7C197DA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klinicko-farmakologických štúdiách s jednotlivými dávkami tadalafilu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1CBA2A3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systémová expozícia tadalafilu (AUC) približne dvojnásobná u osôb s ľahk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obličiek a tiež u dialyzovaných osôb v konečnom štádiu zlyhania obličiek. U hemodialyzovaných</w:t>
      </w:r>
    </w:p>
    <w:p w14:paraId="4B8C0CDE" w14:textId="78F5E1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vyššia v porovnaní so zdravými jednotlivcami. Hemodialýza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eliminácii tadalafilu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7EDA0956" w14:textId="740514B6" w:rsidR="00F93C32" w:rsidRPr="00A97DFF" w:rsidRDefault="00802BA3" w:rsidP="00D426E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 (skupina A a B podľa Child</w:t>
      </w:r>
      <w:r w:rsidR="00A45F10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>-Pughovej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klasifikácie) je expozícia tadalafilu (AUC) pri podaní dávky 10 mg porovnateľná so zdravými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r w:rsidR="0084715A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u pacientov so závažnou hepatálnou insuficienciou (trieda C Child</w:t>
      </w:r>
      <w:r w:rsidR="00A45F10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 xml:space="preserve">-Pughovej klasifikácie) sú dostupné iba obmedzené klinické údaje. </w:t>
      </w:r>
      <w:r w:rsidR="00D426EF" w:rsidRPr="00A97DFF">
        <w:rPr>
          <w:sz w:val="22"/>
          <w:szCs w:val="22"/>
          <w:lang w:val="sk-SK"/>
        </w:rPr>
        <w:t>V prípade predpísania tada</w:t>
      </w:r>
      <w:r w:rsidR="00EB770B" w:rsidRPr="00A97DFF">
        <w:rPr>
          <w:sz w:val="22"/>
          <w:szCs w:val="22"/>
          <w:lang w:val="sk-SK"/>
        </w:rPr>
        <w:t>la</w:t>
      </w:r>
      <w:r w:rsidR="00D426EF" w:rsidRPr="00A97DFF">
        <w:rPr>
          <w:sz w:val="22"/>
          <w:szCs w:val="22"/>
          <w:lang w:val="sk-SK"/>
        </w:rPr>
        <w:t>filu musí lekár individuálne dôsledne zvážiť pomer prínosu a rizika. Údaje o podaní tadalafilu v dávke vyššej ako 10 mg pacientom s po</w:t>
      </w:r>
      <w:r w:rsidR="00EB770B" w:rsidRPr="00A97DFF">
        <w:rPr>
          <w:sz w:val="22"/>
          <w:szCs w:val="22"/>
          <w:lang w:val="sk-SK"/>
        </w:rPr>
        <w:t>ruchou</w:t>
      </w:r>
      <w:r w:rsidR="00D426EF" w:rsidRPr="00A97DFF">
        <w:rPr>
          <w:sz w:val="22"/>
          <w:szCs w:val="22"/>
          <w:lang w:val="sk-SK"/>
        </w:rPr>
        <w:t xml:space="preserve"> funkcie pečene nie sú dostupné.</w:t>
      </w:r>
    </w:p>
    <w:p w14:paraId="0D8A4912" w14:textId="0DA517BD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 užívaní tadalafilu jedenkrát denne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 pacientov s poruchou funkcie pečene nie sú dostatočné údaje. Ak je </w:t>
      </w:r>
      <w:r w:rsidR="0084715A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predpísaný jedenkrát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denne, musí lekár individuálne a dôs</w:t>
      </w:r>
      <w:r w:rsidR="0084715A" w:rsidRPr="00A97DFF">
        <w:rPr>
          <w:sz w:val="22"/>
          <w:szCs w:val="22"/>
          <w:lang w:val="sk-SK"/>
        </w:rPr>
        <w:t>ledne zvážiť pomer prínosu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Diabetici</w:t>
      </w:r>
    </w:p>
    <w:p w14:paraId="64E63634" w14:textId="46D63128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(AUC) tadalafilu u diabetikov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nižšia ako hodnota AUC u zdravých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si nevyžaduje žiadnu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Predklinické údaje na základe obvyklých farmakologických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opakovanom podaní, genotoxicity, karcinogénneho potenciálu, reprodukčnej toxicity a vývinu</w:t>
      </w:r>
    </w:p>
    <w:p w14:paraId="4701FEB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neodhalili žiadne osobitné riziko pre ľudí.</w:t>
      </w:r>
    </w:p>
    <w:p w14:paraId="32969C76" w14:textId="4FA342B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potkanov a myší, ktorým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Pr="00A97DFF">
        <w:rPr>
          <w:sz w:val="22"/>
          <w:szCs w:val="22"/>
          <w:lang w:val="sk-SK"/>
        </w:rPr>
        <w:t>1 000 mg/kg/deň tadalafilu, sa nezistili žiadne</w:t>
      </w:r>
    </w:p>
    <w:p w14:paraId="051067D7" w14:textId="5E88D6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známky teratogenity, embryotoxicity a</w:t>
      </w:r>
      <w:r w:rsidR="00BF4F52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fetotoxicity. V štúdii, ktorá hodnotila prenatálny a postnatálny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vývoj u potkanov, bola dávka, pri ktorej sa nezistil žiadny účinok 30 mg/kg/deň. U gravidných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zistené u ľudí po podaní dávky 20 mg.</w:t>
      </w: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samíc a samcov potkanov sa nezistila žiadna porucha plodnosti. U psov, ktorým sa podával tadalafil</w:t>
      </w:r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denných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epitelu semenných kanálikov, ktorá u niektorých psov viedla k zníženiu spermatogenézy.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laktózy,</w:t>
      </w:r>
    </w:p>
    <w:p w14:paraId="55AE3839" w14:textId="4E8A59E1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mikrokryštalická celulóza,</w:t>
      </w:r>
    </w:p>
    <w:p w14:paraId="2CA6FAE2" w14:textId="13584372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povidón 25,</w:t>
      </w:r>
    </w:p>
    <w:p w14:paraId="5A363434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sodná soľ kroskarmelózy,</w:t>
      </w:r>
    </w:p>
    <w:p w14:paraId="001A9EA1" w14:textId="34A37D4E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magnéziumstearát,</w:t>
      </w:r>
    </w:p>
    <w:p w14:paraId="1076B251" w14:textId="454428D2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natriumlaurylsulfát</w:t>
      </w:r>
      <w:r w:rsidR="00EB770B" w:rsidRPr="00A97DFF">
        <w:rPr>
          <w:sz w:val="22"/>
          <w:szCs w:val="22"/>
          <w:lang w:val="sk-SK"/>
        </w:rPr>
        <w:t>.</w:t>
      </w:r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Obal tablety:</w:t>
      </w:r>
    </w:p>
    <w:p w14:paraId="360CEFAB" w14:textId="62DEEA29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Opadry žltá 0Y-32823</w:t>
      </w:r>
      <w:r w:rsidR="00EB770B" w:rsidRPr="00A97DFF">
        <w:rPr>
          <w:sz w:val="22"/>
          <w:szCs w:val="22"/>
          <w:lang w:val="sk-SK"/>
        </w:rPr>
        <w:t>,</w:t>
      </w:r>
    </w:p>
    <w:p w14:paraId="1E6F2EC4" w14:textId="5BF8A9AB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hypromelóza 6 cp,</w:t>
      </w:r>
    </w:p>
    <w:p w14:paraId="2A61E35B" w14:textId="77777777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oxid titaničitý (E171),</w:t>
      </w:r>
    </w:p>
    <w:p w14:paraId="6D91E10E" w14:textId="0F3C1602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makrogol 400,</w:t>
      </w:r>
    </w:p>
    <w:p w14:paraId="085BDED9" w14:textId="77777777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žltý oxid železitý (E172),</w:t>
      </w:r>
    </w:p>
    <w:p w14:paraId="34679F2F" w14:textId="1CCA19FD" w:rsidR="00BF4F52" w:rsidRPr="00A97DFF" w:rsidRDefault="00BF4F52" w:rsidP="00BF4F52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  <w:r w:rsidR="00EB770B" w:rsidRPr="00A97DFF">
        <w:rPr>
          <w:sz w:val="22"/>
          <w:szCs w:val="22"/>
          <w:lang w:val="sk-SK"/>
        </w:rPr>
        <w:t>.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77777777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6B5FF1C5" w:rsidR="00D56AE0" w:rsidRPr="008976C4" w:rsidRDefault="000E58F2" w:rsidP="00C94B9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PVC/P</w:t>
      </w:r>
      <w:r w:rsidR="00BF4F52" w:rsidRPr="008976C4">
        <w:rPr>
          <w:sz w:val="22"/>
          <w:szCs w:val="22"/>
          <w:lang w:val="sk-SK"/>
        </w:rPr>
        <w:t>V</w:t>
      </w:r>
      <w:r w:rsidRPr="008976C4">
        <w:rPr>
          <w:sz w:val="22"/>
          <w:szCs w:val="22"/>
          <w:lang w:val="sk-SK"/>
        </w:rPr>
        <w:t>dC</w:t>
      </w:r>
      <w:r w:rsidR="00BF4F52" w:rsidRPr="008976C4">
        <w:rPr>
          <w:sz w:val="22"/>
          <w:szCs w:val="22"/>
          <w:lang w:val="sk-SK"/>
        </w:rPr>
        <w:t>/Al</w:t>
      </w:r>
      <w:r w:rsidRPr="008976C4">
        <w:rPr>
          <w:sz w:val="22"/>
          <w:szCs w:val="22"/>
          <w:lang w:val="sk-SK"/>
        </w:rPr>
        <w:t xml:space="preserve"> </w:t>
      </w:r>
      <w:r w:rsidR="00BF4F52" w:rsidRPr="008976C4">
        <w:rPr>
          <w:sz w:val="22"/>
          <w:szCs w:val="22"/>
          <w:lang w:val="sk-SK"/>
        </w:rPr>
        <w:t>blister alebo OPA/Al/PVC/Al blister</w:t>
      </w:r>
      <w:r w:rsidR="00D56AE0" w:rsidRPr="008976C4">
        <w:rPr>
          <w:sz w:val="22"/>
          <w:szCs w:val="22"/>
          <w:lang w:val="sk-SK"/>
        </w:rPr>
        <w:t>, pap</w:t>
      </w:r>
      <w:r w:rsidRPr="008976C4">
        <w:rPr>
          <w:sz w:val="22"/>
          <w:szCs w:val="22"/>
          <w:lang w:val="sk-SK"/>
        </w:rPr>
        <w:t>ierová</w:t>
      </w:r>
      <w:r w:rsidR="00D56AE0" w:rsidRPr="008976C4">
        <w:rPr>
          <w:sz w:val="22"/>
          <w:szCs w:val="22"/>
          <w:lang w:val="sk-SK"/>
        </w:rPr>
        <w:t xml:space="preserve"> </w:t>
      </w:r>
      <w:r w:rsidR="002D47BC" w:rsidRPr="008976C4">
        <w:rPr>
          <w:sz w:val="22"/>
          <w:szCs w:val="22"/>
          <w:lang w:val="sk-SK"/>
        </w:rPr>
        <w:t>škatuľka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12586FFE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 xml:space="preserve">: </w:t>
      </w:r>
      <w:r w:rsidR="00D56AE0" w:rsidRPr="008976C4">
        <w:rPr>
          <w:sz w:val="22"/>
          <w:szCs w:val="22"/>
          <w:lang w:val="sk-SK"/>
        </w:rPr>
        <w:tab/>
      </w:r>
      <w:r w:rsidR="00BF4F52" w:rsidRPr="008976C4">
        <w:rPr>
          <w:sz w:val="22"/>
          <w:szCs w:val="22"/>
          <w:lang w:val="sk-SK"/>
        </w:rPr>
        <w:t xml:space="preserve">2, </w:t>
      </w:r>
      <w:r w:rsidRPr="008976C4">
        <w:rPr>
          <w:sz w:val="22"/>
          <w:szCs w:val="22"/>
          <w:lang w:val="sk-SK"/>
        </w:rPr>
        <w:t xml:space="preserve">4, </w:t>
      </w:r>
      <w:r w:rsidR="00DF0247" w:rsidRPr="008976C4">
        <w:rPr>
          <w:sz w:val="22"/>
          <w:szCs w:val="22"/>
          <w:lang w:val="sk-SK"/>
        </w:rPr>
        <w:t xml:space="preserve">8, </w:t>
      </w:r>
      <w:r w:rsidRPr="008976C4">
        <w:rPr>
          <w:sz w:val="22"/>
          <w:szCs w:val="22"/>
          <w:lang w:val="sk-SK"/>
        </w:rPr>
        <w:t>10, 12</w:t>
      </w:r>
      <w:r w:rsidR="00BF4F52" w:rsidRPr="008976C4">
        <w:rPr>
          <w:sz w:val="22"/>
          <w:szCs w:val="22"/>
          <w:lang w:val="sk-SK"/>
        </w:rPr>
        <w:t>, 20, 30, 50</w:t>
      </w:r>
      <w:r w:rsidRPr="008976C4">
        <w:rPr>
          <w:sz w:val="22"/>
          <w:szCs w:val="22"/>
          <w:lang w:val="sk-SK"/>
        </w:rPr>
        <w:t xml:space="preserve"> a </w:t>
      </w:r>
      <w:r w:rsidR="00BF4F52" w:rsidRPr="008976C4">
        <w:rPr>
          <w:sz w:val="22"/>
          <w:szCs w:val="22"/>
          <w:lang w:val="sk-SK"/>
        </w:rPr>
        <w:t>10</w:t>
      </w:r>
      <w:r w:rsidRPr="008976C4">
        <w:rPr>
          <w:sz w:val="22"/>
          <w:szCs w:val="22"/>
          <w:lang w:val="sk-SK"/>
        </w:rPr>
        <w:t xml:space="preserve">0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17687B8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Žiadne zvláštne požiadavky.</w:t>
      </w:r>
    </w:p>
    <w:p w14:paraId="0B415E83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33C197" w14:textId="77777777" w:rsidR="00713859" w:rsidRPr="008976C4" w:rsidRDefault="00167D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PRO.MED.CS Praha a.s., Telčská 1, 140 00 Praha 4, Česká republika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1D3A40" w:rsidRPr="008976C4">
        <w:rPr>
          <w:b/>
          <w:bCs/>
          <w:sz w:val="22"/>
          <w:szCs w:val="22"/>
          <w:lang w:val="sk-SK"/>
        </w:rPr>
        <w:t>A</w:t>
      </w:r>
    </w:p>
    <w:p w14:paraId="121C156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A6E4D63" w14:textId="07FBAB8E" w:rsidR="00A75647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5 mg: </w:t>
      </w:r>
      <w:r w:rsidR="00630C37" w:rsidRPr="008976C4">
        <w:rPr>
          <w:sz w:val="22"/>
          <w:szCs w:val="22"/>
          <w:lang w:val="sk-SK"/>
        </w:rPr>
        <w:t>83/0261/14-S</w:t>
      </w:r>
    </w:p>
    <w:p w14:paraId="1684EB5A" w14:textId="5CF12A8B" w:rsidR="00BF4F52" w:rsidRPr="008976C4" w:rsidRDefault="00BF4F52" w:rsidP="00BF4F52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10 mg: </w:t>
      </w:r>
      <w:r w:rsidR="00630C37" w:rsidRPr="008976C4">
        <w:rPr>
          <w:sz w:val="22"/>
          <w:szCs w:val="22"/>
          <w:lang w:val="sk-SK"/>
        </w:rPr>
        <w:t>83/0262/14-S</w:t>
      </w:r>
    </w:p>
    <w:p w14:paraId="04459FA9" w14:textId="2AFA0D09" w:rsidR="00BF4F52" w:rsidRPr="008976C4" w:rsidRDefault="00BF4F52" w:rsidP="00BF4F52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20 mg: </w:t>
      </w:r>
      <w:r w:rsidR="00630C37" w:rsidRPr="008976C4">
        <w:rPr>
          <w:sz w:val="22"/>
          <w:szCs w:val="22"/>
          <w:lang w:val="sk-SK"/>
        </w:rPr>
        <w:t>83/0263/14-S</w:t>
      </w:r>
      <w:bookmarkStart w:id="0" w:name="_GoBack"/>
      <w:bookmarkEnd w:id="0"/>
    </w:p>
    <w:p w14:paraId="7337720A" w14:textId="77777777" w:rsidR="00535E41" w:rsidRPr="008976C4" w:rsidRDefault="00535E4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DB1FEEE" w14:textId="583942AB" w:rsidR="002E79E8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prvej registr</w:t>
      </w:r>
      <w:r w:rsidR="00BF4F52" w:rsidRPr="008976C4">
        <w:rPr>
          <w:sz w:val="22"/>
          <w:szCs w:val="22"/>
          <w:lang w:val="sk-SK"/>
        </w:rPr>
        <w:t>ácie: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Pr="008976C4" w:rsidRDefault="00C94B90">
      <w:pPr>
        <w:rPr>
          <w:sz w:val="22"/>
          <w:szCs w:val="22"/>
          <w:lang w:val="sk-SK"/>
        </w:rPr>
      </w:pPr>
    </w:p>
    <w:p w14:paraId="043A2DB2" w14:textId="27BF84E5" w:rsidR="002379F8" w:rsidRPr="008976C4" w:rsidRDefault="002379F8">
      <w:pPr>
        <w:rPr>
          <w:sz w:val="22"/>
          <w:szCs w:val="22"/>
          <w:lang w:val="sk-SK"/>
        </w:rPr>
      </w:pPr>
    </w:p>
    <w:sectPr w:rsidR="002379F8" w:rsidRPr="008976C4" w:rsidSect="00554744">
      <w:footerReference w:type="default" r:id="rId9"/>
      <w:headerReference w:type="first" r:id="rId10"/>
      <w:pgSz w:w="11907" w:h="16839" w:code="9"/>
      <w:pgMar w:top="1134" w:right="1418" w:bottom="1134" w:left="1418" w:header="708" w:footer="54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E24FA" w14:textId="77777777" w:rsidR="004F1AE8" w:rsidRDefault="004F1AE8">
      <w:r>
        <w:separator/>
      </w:r>
    </w:p>
    <w:p w14:paraId="75BD724B" w14:textId="77777777" w:rsidR="004F1AE8" w:rsidRDefault="004F1AE8"/>
    <w:p w14:paraId="7FD6A187" w14:textId="77777777" w:rsidR="004F1AE8" w:rsidRDefault="004F1AE8"/>
    <w:p w14:paraId="67FFA2AA" w14:textId="77777777" w:rsidR="004F1AE8" w:rsidRDefault="004F1AE8"/>
    <w:p w14:paraId="55103FE1" w14:textId="77777777" w:rsidR="004F1AE8" w:rsidRDefault="004F1AE8"/>
    <w:p w14:paraId="6B6F78B2" w14:textId="77777777" w:rsidR="004F1AE8" w:rsidRDefault="004F1AE8"/>
    <w:p w14:paraId="2E763C53" w14:textId="77777777" w:rsidR="004F1AE8" w:rsidRDefault="004F1AE8"/>
    <w:p w14:paraId="08F51924" w14:textId="77777777" w:rsidR="004F1AE8" w:rsidRDefault="004F1AE8"/>
    <w:p w14:paraId="3DD23D84" w14:textId="77777777" w:rsidR="004F1AE8" w:rsidRDefault="004F1AE8"/>
    <w:p w14:paraId="458EB6B6" w14:textId="77777777" w:rsidR="004F1AE8" w:rsidRDefault="004F1AE8"/>
    <w:p w14:paraId="0F044215" w14:textId="77777777" w:rsidR="004F1AE8" w:rsidRDefault="004F1AE8"/>
  </w:endnote>
  <w:endnote w:type="continuationSeparator" w:id="0">
    <w:p w14:paraId="75D2D338" w14:textId="77777777" w:rsidR="004F1AE8" w:rsidRDefault="004F1AE8">
      <w:r>
        <w:continuationSeparator/>
      </w:r>
    </w:p>
    <w:p w14:paraId="33FE148A" w14:textId="77777777" w:rsidR="004F1AE8" w:rsidRDefault="004F1AE8"/>
    <w:p w14:paraId="3566BC17" w14:textId="77777777" w:rsidR="004F1AE8" w:rsidRDefault="004F1AE8"/>
    <w:p w14:paraId="414A7C8C" w14:textId="77777777" w:rsidR="004F1AE8" w:rsidRDefault="004F1AE8"/>
    <w:p w14:paraId="6198D78E" w14:textId="77777777" w:rsidR="004F1AE8" w:rsidRDefault="004F1AE8"/>
    <w:p w14:paraId="3F92547A" w14:textId="77777777" w:rsidR="004F1AE8" w:rsidRDefault="004F1AE8"/>
    <w:p w14:paraId="6BBFA9C1" w14:textId="77777777" w:rsidR="004F1AE8" w:rsidRDefault="004F1AE8"/>
    <w:p w14:paraId="32E03E5C" w14:textId="77777777" w:rsidR="004F1AE8" w:rsidRDefault="004F1AE8"/>
    <w:p w14:paraId="5FC522F7" w14:textId="77777777" w:rsidR="004F1AE8" w:rsidRDefault="004F1AE8"/>
    <w:p w14:paraId="28DB4BE0" w14:textId="77777777" w:rsidR="004F1AE8" w:rsidRDefault="004F1AE8"/>
    <w:p w14:paraId="7FFAAAA9" w14:textId="77777777" w:rsidR="004F1AE8" w:rsidRDefault="004F1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76F37" w14:textId="77777777" w:rsidR="00A022FD" w:rsidRDefault="00A022FD" w:rsidP="00EF3957">
    <w:pPr>
      <w:pStyle w:val="Footer"/>
      <w:framePr w:wrap="auto" w:vAnchor="text" w:hAnchor="page" w:x="10336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DFF">
      <w:rPr>
        <w:rStyle w:val="PageNumber"/>
        <w:noProof/>
      </w:rPr>
      <w:t>12</w:t>
    </w:r>
    <w:r>
      <w:rPr>
        <w:rStyle w:val="PageNumber"/>
      </w:rPr>
      <w:fldChar w:fldCharType="end"/>
    </w:r>
  </w:p>
  <w:p w14:paraId="5D4272FC" w14:textId="77777777" w:rsidR="00A022FD" w:rsidRDefault="00A022F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BE62F" w14:textId="77777777" w:rsidR="004F1AE8" w:rsidRDefault="004F1AE8">
      <w:r>
        <w:separator/>
      </w:r>
    </w:p>
    <w:p w14:paraId="3A7A7F80" w14:textId="77777777" w:rsidR="004F1AE8" w:rsidRDefault="004F1AE8"/>
    <w:p w14:paraId="087A36F5" w14:textId="77777777" w:rsidR="004F1AE8" w:rsidRDefault="004F1AE8"/>
    <w:p w14:paraId="539B063B" w14:textId="77777777" w:rsidR="004F1AE8" w:rsidRDefault="004F1AE8"/>
    <w:p w14:paraId="7D4AEC3B" w14:textId="77777777" w:rsidR="004F1AE8" w:rsidRDefault="004F1AE8"/>
    <w:p w14:paraId="3E559BBB" w14:textId="77777777" w:rsidR="004F1AE8" w:rsidRDefault="004F1AE8"/>
    <w:p w14:paraId="754417FE" w14:textId="77777777" w:rsidR="004F1AE8" w:rsidRDefault="004F1AE8"/>
    <w:p w14:paraId="50595AEA" w14:textId="77777777" w:rsidR="004F1AE8" w:rsidRDefault="004F1AE8"/>
    <w:p w14:paraId="0F01B5BA" w14:textId="77777777" w:rsidR="004F1AE8" w:rsidRDefault="004F1AE8"/>
    <w:p w14:paraId="4FA55791" w14:textId="77777777" w:rsidR="004F1AE8" w:rsidRDefault="004F1AE8"/>
    <w:p w14:paraId="151D3BF5" w14:textId="77777777" w:rsidR="004F1AE8" w:rsidRDefault="004F1AE8"/>
  </w:footnote>
  <w:footnote w:type="continuationSeparator" w:id="0">
    <w:p w14:paraId="7EF7F95C" w14:textId="77777777" w:rsidR="004F1AE8" w:rsidRDefault="004F1AE8">
      <w:r>
        <w:continuationSeparator/>
      </w:r>
    </w:p>
    <w:p w14:paraId="0A264AD7" w14:textId="77777777" w:rsidR="004F1AE8" w:rsidRDefault="004F1AE8"/>
    <w:p w14:paraId="7A11DCDD" w14:textId="77777777" w:rsidR="004F1AE8" w:rsidRDefault="004F1AE8"/>
    <w:p w14:paraId="1A53046C" w14:textId="77777777" w:rsidR="004F1AE8" w:rsidRDefault="004F1AE8"/>
    <w:p w14:paraId="7DDD59B4" w14:textId="77777777" w:rsidR="004F1AE8" w:rsidRDefault="004F1AE8"/>
    <w:p w14:paraId="2FC7509E" w14:textId="77777777" w:rsidR="004F1AE8" w:rsidRDefault="004F1AE8"/>
    <w:p w14:paraId="0C6C8B8D" w14:textId="77777777" w:rsidR="004F1AE8" w:rsidRDefault="004F1AE8"/>
    <w:p w14:paraId="3B326502" w14:textId="77777777" w:rsidR="004F1AE8" w:rsidRDefault="004F1AE8"/>
    <w:p w14:paraId="1759CDD4" w14:textId="77777777" w:rsidR="004F1AE8" w:rsidRDefault="004F1AE8"/>
    <w:p w14:paraId="6B39F828" w14:textId="77777777" w:rsidR="004F1AE8" w:rsidRDefault="004F1AE8"/>
    <w:p w14:paraId="29F214F0" w14:textId="77777777" w:rsidR="004F1AE8" w:rsidRDefault="004F1AE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08BD6" w14:textId="6FD4F6CF" w:rsidR="00A022FD" w:rsidRPr="00722563" w:rsidRDefault="00A022FD" w:rsidP="00722563">
    <w:pPr>
      <w:pStyle w:val="Header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 č.: 2012/08641, 2012/08642, 2012/08643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hideSpellingErrors/>
  <w:proofState w:spelling="clean" w:grammar="clean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74"/>
    <w:rsid w:val="00005100"/>
    <w:rsid w:val="0001600A"/>
    <w:rsid w:val="000210C5"/>
    <w:rsid w:val="00052430"/>
    <w:rsid w:val="0006257F"/>
    <w:rsid w:val="00092491"/>
    <w:rsid w:val="000B654D"/>
    <w:rsid w:val="000B73B8"/>
    <w:rsid w:val="000D477A"/>
    <w:rsid w:val="000D5A72"/>
    <w:rsid w:val="000D70DB"/>
    <w:rsid w:val="000E58F2"/>
    <w:rsid w:val="000E6ED0"/>
    <w:rsid w:val="000E7E1A"/>
    <w:rsid w:val="00100BF7"/>
    <w:rsid w:val="0010684E"/>
    <w:rsid w:val="00110898"/>
    <w:rsid w:val="00112E53"/>
    <w:rsid w:val="0011571A"/>
    <w:rsid w:val="001476E5"/>
    <w:rsid w:val="00152148"/>
    <w:rsid w:val="00153528"/>
    <w:rsid w:val="00164F8E"/>
    <w:rsid w:val="00167D50"/>
    <w:rsid w:val="0017070E"/>
    <w:rsid w:val="00175219"/>
    <w:rsid w:val="001770A0"/>
    <w:rsid w:val="00187124"/>
    <w:rsid w:val="001A2771"/>
    <w:rsid w:val="001A5831"/>
    <w:rsid w:val="001A6D0F"/>
    <w:rsid w:val="001B4326"/>
    <w:rsid w:val="001D2B2D"/>
    <w:rsid w:val="001D3A40"/>
    <w:rsid w:val="001E4E6A"/>
    <w:rsid w:val="00214C15"/>
    <w:rsid w:val="002206BC"/>
    <w:rsid w:val="00223691"/>
    <w:rsid w:val="00233205"/>
    <w:rsid w:val="0023457D"/>
    <w:rsid w:val="002379F8"/>
    <w:rsid w:val="00255D18"/>
    <w:rsid w:val="00265F74"/>
    <w:rsid w:val="002755D8"/>
    <w:rsid w:val="00280220"/>
    <w:rsid w:val="002824C9"/>
    <w:rsid w:val="00291E91"/>
    <w:rsid w:val="00297491"/>
    <w:rsid w:val="002A2B3F"/>
    <w:rsid w:val="002B5555"/>
    <w:rsid w:val="002C5807"/>
    <w:rsid w:val="002D47BC"/>
    <w:rsid w:val="002D5D14"/>
    <w:rsid w:val="002E5309"/>
    <w:rsid w:val="002E653E"/>
    <w:rsid w:val="002E6AB7"/>
    <w:rsid w:val="002E79E8"/>
    <w:rsid w:val="002F1D88"/>
    <w:rsid w:val="00301875"/>
    <w:rsid w:val="003045BC"/>
    <w:rsid w:val="0031627A"/>
    <w:rsid w:val="00316E75"/>
    <w:rsid w:val="00327505"/>
    <w:rsid w:val="003306AC"/>
    <w:rsid w:val="0033179C"/>
    <w:rsid w:val="00353FB2"/>
    <w:rsid w:val="0035537A"/>
    <w:rsid w:val="003959BA"/>
    <w:rsid w:val="003A1066"/>
    <w:rsid w:val="003B5A05"/>
    <w:rsid w:val="003B7C9A"/>
    <w:rsid w:val="003E00A0"/>
    <w:rsid w:val="003F3B4B"/>
    <w:rsid w:val="00405F84"/>
    <w:rsid w:val="004100A5"/>
    <w:rsid w:val="00416450"/>
    <w:rsid w:val="00452703"/>
    <w:rsid w:val="00462C50"/>
    <w:rsid w:val="00476461"/>
    <w:rsid w:val="004979DE"/>
    <w:rsid w:val="004A528E"/>
    <w:rsid w:val="004A793B"/>
    <w:rsid w:val="004C0468"/>
    <w:rsid w:val="004C1B26"/>
    <w:rsid w:val="004C2555"/>
    <w:rsid w:val="004C36C2"/>
    <w:rsid w:val="004D3013"/>
    <w:rsid w:val="004D5E23"/>
    <w:rsid w:val="004E236F"/>
    <w:rsid w:val="004E4D16"/>
    <w:rsid w:val="004F1AE8"/>
    <w:rsid w:val="004F749D"/>
    <w:rsid w:val="00505F30"/>
    <w:rsid w:val="0051379B"/>
    <w:rsid w:val="00522F3E"/>
    <w:rsid w:val="005263E3"/>
    <w:rsid w:val="00527CD6"/>
    <w:rsid w:val="00535E41"/>
    <w:rsid w:val="00554744"/>
    <w:rsid w:val="00554B83"/>
    <w:rsid w:val="00561470"/>
    <w:rsid w:val="00571D2A"/>
    <w:rsid w:val="00572414"/>
    <w:rsid w:val="00573F6D"/>
    <w:rsid w:val="00575551"/>
    <w:rsid w:val="0058701F"/>
    <w:rsid w:val="005947AD"/>
    <w:rsid w:val="005A5F7E"/>
    <w:rsid w:val="005B69EB"/>
    <w:rsid w:val="005D7483"/>
    <w:rsid w:val="005E1EB6"/>
    <w:rsid w:val="005E2495"/>
    <w:rsid w:val="005F55AC"/>
    <w:rsid w:val="005F7B7B"/>
    <w:rsid w:val="0060209E"/>
    <w:rsid w:val="006049A6"/>
    <w:rsid w:val="006220F5"/>
    <w:rsid w:val="00630C37"/>
    <w:rsid w:val="00645AAC"/>
    <w:rsid w:val="00651996"/>
    <w:rsid w:val="00655C93"/>
    <w:rsid w:val="00663AE2"/>
    <w:rsid w:val="00665220"/>
    <w:rsid w:val="006806DF"/>
    <w:rsid w:val="006B77CF"/>
    <w:rsid w:val="006E3B66"/>
    <w:rsid w:val="006F0102"/>
    <w:rsid w:val="0070134D"/>
    <w:rsid w:val="00702FE1"/>
    <w:rsid w:val="00712631"/>
    <w:rsid w:val="00713859"/>
    <w:rsid w:val="00722563"/>
    <w:rsid w:val="00723351"/>
    <w:rsid w:val="007309B4"/>
    <w:rsid w:val="00772D92"/>
    <w:rsid w:val="007736B8"/>
    <w:rsid w:val="00774639"/>
    <w:rsid w:val="00787964"/>
    <w:rsid w:val="0079771F"/>
    <w:rsid w:val="007A3046"/>
    <w:rsid w:val="007A323E"/>
    <w:rsid w:val="007B7808"/>
    <w:rsid w:val="007F4C6B"/>
    <w:rsid w:val="008002C9"/>
    <w:rsid w:val="00802BA3"/>
    <w:rsid w:val="0082454C"/>
    <w:rsid w:val="00835A10"/>
    <w:rsid w:val="008378DF"/>
    <w:rsid w:val="0084715A"/>
    <w:rsid w:val="00850211"/>
    <w:rsid w:val="00852C0C"/>
    <w:rsid w:val="00854BB1"/>
    <w:rsid w:val="00857627"/>
    <w:rsid w:val="00875350"/>
    <w:rsid w:val="008806D8"/>
    <w:rsid w:val="008976C4"/>
    <w:rsid w:val="008A093E"/>
    <w:rsid w:val="008A4955"/>
    <w:rsid w:val="008C0ECB"/>
    <w:rsid w:val="008C1025"/>
    <w:rsid w:val="008D7E63"/>
    <w:rsid w:val="008E0452"/>
    <w:rsid w:val="008E11ED"/>
    <w:rsid w:val="008E2BFC"/>
    <w:rsid w:val="008F0169"/>
    <w:rsid w:val="008F4B3A"/>
    <w:rsid w:val="008F5FF8"/>
    <w:rsid w:val="00900F22"/>
    <w:rsid w:val="009143F0"/>
    <w:rsid w:val="00923DC9"/>
    <w:rsid w:val="009253F8"/>
    <w:rsid w:val="00925639"/>
    <w:rsid w:val="00954185"/>
    <w:rsid w:val="00956879"/>
    <w:rsid w:val="0096476F"/>
    <w:rsid w:val="00970C66"/>
    <w:rsid w:val="00971C72"/>
    <w:rsid w:val="009728C2"/>
    <w:rsid w:val="00976076"/>
    <w:rsid w:val="00982496"/>
    <w:rsid w:val="00983CE1"/>
    <w:rsid w:val="0099198E"/>
    <w:rsid w:val="009A2108"/>
    <w:rsid w:val="009A785B"/>
    <w:rsid w:val="009B20B9"/>
    <w:rsid w:val="009B3BED"/>
    <w:rsid w:val="009B4AEB"/>
    <w:rsid w:val="009B7942"/>
    <w:rsid w:val="009B7DA0"/>
    <w:rsid w:val="009C5628"/>
    <w:rsid w:val="009D13F0"/>
    <w:rsid w:val="009E1354"/>
    <w:rsid w:val="009E6EC8"/>
    <w:rsid w:val="009F64A1"/>
    <w:rsid w:val="009F763A"/>
    <w:rsid w:val="00A022FD"/>
    <w:rsid w:val="00A167FC"/>
    <w:rsid w:val="00A26C57"/>
    <w:rsid w:val="00A32907"/>
    <w:rsid w:val="00A42364"/>
    <w:rsid w:val="00A43030"/>
    <w:rsid w:val="00A45F10"/>
    <w:rsid w:val="00A5220F"/>
    <w:rsid w:val="00A56CF5"/>
    <w:rsid w:val="00A65E68"/>
    <w:rsid w:val="00A7023B"/>
    <w:rsid w:val="00A75647"/>
    <w:rsid w:val="00A855D7"/>
    <w:rsid w:val="00A911A8"/>
    <w:rsid w:val="00A96BD6"/>
    <w:rsid w:val="00A97DFF"/>
    <w:rsid w:val="00AA07B8"/>
    <w:rsid w:val="00AA5619"/>
    <w:rsid w:val="00AA64A9"/>
    <w:rsid w:val="00AB00F1"/>
    <w:rsid w:val="00AB3B35"/>
    <w:rsid w:val="00AB5340"/>
    <w:rsid w:val="00AD2CD8"/>
    <w:rsid w:val="00AD70F9"/>
    <w:rsid w:val="00AF01A7"/>
    <w:rsid w:val="00B00820"/>
    <w:rsid w:val="00B11DA7"/>
    <w:rsid w:val="00B2377E"/>
    <w:rsid w:val="00B25ECF"/>
    <w:rsid w:val="00B52965"/>
    <w:rsid w:val="00B529C1"/>
    <w:rsid w:val="00B5518E"/>
    <w:rsid w:val="00B61485"/>
    <w:rsid w:val="00B6606E"/>
    <w:rsid w:val="00B77B01"/>
    <w:rsid w:val="00BA1333"/>
    <w:rsid w:val="00BA3ACC"/>
    <w:rsid w:val="00BA7633"/>
    <w:rsid w:val="00BB250B"/>
    <w:rsid w:val="00BD7691"/>
    <w:rsid w:val="00BE1974"/>
    <w:rsid w:val="00BF0A76"/>
    <w:rsid w:val="00BF4F52"/>
    <w:rsid w:val="00C1472A"/>
    <w:rsid w:val="00C22414"/>
    <w:rsid w:val="00C454C5"/>
    <w:rsid w:val="00C5054A"/>
    <w:rsid w:val="00C52FA8"/>
    <w:rsid w:val="00C57255"/>
    <w:rsid w:val="00C63E57"/>
    <w:rsid w:val="00C66F56"/>
    <w:rsid w:val="00C70A80"/>
    <w:rsid w:val="00C70B60"/>
    <w:rsid w:val="00C734A7"/>
    <w:rsid w:val="00C80631"/>
    <w:rsid w:val="00C84988"/>
    <w:rsid w:val="00C870A9"/>
    <w:rsid w:val="00C91E0F"/>
    <w:rsid w:val="00C94B90"/>
    <w:rsid w:val="00C97AD0"/>
    <w:rsid w:val="00CA379B"/>
    <w:rsid w:val="00CB010F"/>
    <w:rsid w:val="00CB2E57"/>
    <w:rsid w:val="00CC4F88"/>
    <w:rsid w:val="00D06C95"/>
    <w:rsid w:val="00D26AE7"/>
    <w:rsid w:val="00D426EF"/>
    <w:rsid w:val="00D46B29"/>
    <w:rsid w:val="00D56AE0"/>
    <w:rsid w:val="00D63276"/>
    <w:rsid w:val="00D639C4"/>
    <w:rsid w:val="00D73FA3"/>
    <w:rsid w:val="00D7517A"/>
    <w:rsid w:val="00D766E2"/>
    <w:rsid w:val="00D826E8"/>
    <w:rsid w:val="00D97F25"/>
    <w:rsid w:val="00DA4D29"/>
    <w:rsid w:val="00DD2A5B"/>
    <w:rsid w:val="00DE4295"/>
    <w:rsid w:val="00DF0247"/>
    <w:rsid w:val="00DF1C84"/>
    <w:rsid w:val="00E03E7D"/>
    <w:rsid w:val="00E122C6"/>
    <w:rsid w:val="00E14192"/>
    <w:rsid w:val="00E20083"/>
    <w:rsid w:val="00E45E07"/>
    <w:rsid w:val="00E638BE"/>
    <w:rsid w:val="00E67674"/>
    <w:rsid w:val="00E7506D"/>
    <w:rsid w:val="00E7565C"/>
    <w:rsid w:val="00E8690B"/>
    <w:rsid w:val="00E97CEB"/>
    <w:rsid w:val="00EB770B"/>
    <w:rsid w:val="00EC29B4"/>
    <w:rsid w:val="00ED5149"/>
    <w:rsid w:val="00ED6AFD"/>
    <w:rsid w:val="00EE0F81"/>
    <w:rsid w:val="00EF3957"/>
    <w:rsid w:val="00F03EE4"/>
    <w:rsid w:val="00F0772C"/>
    <w:rsid w:val="00F078BC"/>
    <w:rsid w:val="00F14663"/>
    <w:rsid w:val="00F16427"/>
    <w:rsid w:val="00F27016"/>
    <w:rsid w:val="00F36A07"/>
    <w:rsid w:val="00F413D2"/>
    <w:rsid w:val="00F67F0D"/>
    <w:rsid w:val="00F70D50"/>
    <w:rsid w:val="00F84528"/>
    <w:rsid w:val="00F93C32"/>
    <w:rsid w:val="00FB1897"/>
    <w:rsid w:val="00FE5F95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09E7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1C72"/>
    <w:rPr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270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70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eader">
    <w:name w:val="header"/>
    <w:basedOn w:val="Normal"/>
    <w:rsid w:val="00E67674"/>
    <w:pPr>
      <w:tabs>
        <w:tab w:val="center" w:pos="4153"/>
        <w:tab w:val="right" w:pos="8306"/>
      </w:tabs>
    </w:pPr>
  </w:style>
  <w:style w:type="character" w:styleId="Hyperlink">
    <w:name w:val="Hyperlink"/>
    <w:rsid w:val="007A32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1C72"/>
    <w:rPr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270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70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eader">
    <w:name w:val="header"/>
    <w:basedOn w:val="Normal"/>
    <w:rsid w:val="00E67674"/>
    <w:pPr>
      <w:tabs>
        <w:tab w:val="center" w:pos="4153"/>
        <w:tab w:val="right" w:pos="8306"/>
      </w:tabs>
    </w:pPr>
  </w:style>
  <w:style w:type="character" w:styleId="Hyperlink">
    <w:name w:val="Hyperlink"/>
    <w:rsid w:val="007A3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ma.europa.eu/docs/en_GB/document_library/Template_or_form/2013/03/WC500139752.doc" TargetMode="Externa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12</Pages>
  <Words>5315</Words>
  <Characters>30298</Characters>
  <Application>Microsoft Macintosh Word</Application>
  <DocSecurity>0</DocSecurity>
  <Lines>252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35542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subject/>
  <dc:creator>hameln rds</dc:creator>
  <cp:keywords/>
  <dc:description/>
  <cp:lastModifiedBy>Rastislav Edelstein</cp:lastModifiedBy>
  <cp:revision>35</cp:revision>
  <cp:lastPrinted>2011-01-18T14:43:00Z</cp:lastPrinted>
  <dcterms:created xsi:type="dcterms:W3CDTF">2014-04-11T08:26:00Z</dcterms:created>
  <dcterms:modified xsi:type="dcterms:W3CDTF">2014-08-06T05:55:00Z</dcterms:modified>
</cp:coreProperties>
</file>