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44" w:rsidRPr="009636E1" w:rsidRDefault="005B3C44" w:rsidP="00D43CD6">
      <w:pPr>
        <w:jc w:val="left"/>
        <w:rPr>
          <w:sz w:val="18"/>
          <w:szCs w:val="18"/>
          <w:lang w:val="sk-SK" w:eastAsia="en-US"/>
        </w:rPr>
      </w:pPr>
      <w:r>
        <w:rPr>
          <w:sz w:val="18"/>
          <w:szCs w:val="18"/>
          <w:lang w:val="sk-SK" w:eastAsia="en-US"/>
        </w:rPr>
        <w:t>Schv</w:t>
      </w:r>
      <w:r w:rsidR="00D12217">
        <w:rPr>
          <w:sz w:val="18"/>
          <w:szCs w:val="18"/>
          <w:lang w:val="sk-SK" w:eastAsia="en-US"/>
        </w:rPr>
        <w:t>á</w:t>
      </w:r>
      <w:bookmarkStart w:id="0" w:name="_GoBack"/>
      <w:bookmarkEnd w:id="0"/>
      <w:r>
        <w:rPr>
          <w:sz w:val="18"/>
          <w:szCs w:val="18"/>
          <w:lang w:val="sk-SK" w:eastAsia="en-US"/>
        </w:rPr>
        <w:t>lený text k rozhodnutiu</w:t>
      </w:r>
      <w:r w:rsidRPr="009636E1">
        <w:rPr>
          <w:sz w:val="18"/>
          <w:szCs w:val="18"/>
          <w:lang w:val="sk-SK" w:eastAsia="en-US"/>
        </w:rPr>
        <w:t xml:space="preserve"> o zmene, ev. č.: </w:t>
      </w:r>
      <w:r>
        <w:rPr>
          <w:sz w:val="18"/>
          <w:szCs w:val="18"/>
          <w:lang w:val="sk-SK" w:eastAsia="en-US"/>
        </w:rPr>
        <w:t>2014/05942 - ZME</w:t>
      </w:r>
    </w:p>
    <w:p w:rsidR="005B3C44" w:rsidRPr="009636E1" w:rsidRDefault="005B3C44" w:rsidP="00D43CD6">
      <w:pPr>
        <w:jc w:val="left"/>
        <w:outlineLvl w:val="0"/>
        <w:rPr>
          <w:b/>
          <w:caps/>
          <w:sz w:val="22"/>
          <w:szCs w:val="22"/>
          <w:lang w:val="sk-SK" w:eastAsia="en-US"/>
        </w:rPr>
      </w:pPr>
    </w:p>
    <w:p w:rsidR="005B3C44" w:rsidRPr="009636E1" w:rsidRDefault="005B3C44" w:rsidP="00603714">
      <w:pPr>
        <w:jc w:val="center"/>
        <w:outlineLvl w:val="0"/>
        <w:rPr>
          <w:b/>
          <w:caps/>
          <w:sz w:val="22"/>
          <w:szCs w:val="22"/>
          <w:lang w:val="sk-SK" w:eastAsia="en-US"/>
        </w:rPr>
      </w:pPr>
      <w:r w:rsidRPr="009636E1">
        <w:rPr>
          <w:b/>
          <w:caps/>
          <w:sz w:val="22"/>
          <w:szCs w:val="22"/>
          <w:lang w:val="sk-SK" w:eastAsia="en-US"/>
        </w:rPr>
        <w:t>Súhrn charakteristických vlastností lieku</w:t>
      </w:r>
    </w:p>
    <w:p w:rsidR="005B3C44" w:rsidRDefault="005B3C44" w:rsidP="00D43CD6">
      <w:pPr>
        <w:jc w:val="left"/>
        <w:rPr>
          <w:b/>
          <w:sz w:val="22"/>
          <w:szCs w:val="22"/>
          <w:lang w:val="sk-SK" w:eastAsia="en-US"/>
        </w:rPr>
      </w:pPr>
    </w:p>
    <w:p w:rsidR="005B3C44" w:rsidRPr="009636E1" w:rsidRDefault="005B3C44" w:rsidP="00D43CD6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9636E1">
        <w:rPr>
          <w:b/>
          <w:sz w:val="22"/>
          <w:szCs w:val="22"/>
          <w:lang w:val="sk-SK" w:eastAsia="en-US"/>
        </w:rPr>
        <w:t>1.</w:t>
      </w:r>
      <w:r w:rsidRPr="009636E1">
        <w:rPr>
          <w:b/>
          <w:sz w:val="22"/>
          <w:szCs w:val="22"/>
          <w:lang w:val="sk-SK" w:eastAsia="en-US"/>
        </w:rPr>
        <w:tab/>
      </w:r>
      <w:r w:rsidRPr="008B0FCD">
        <w:rPr>
          <w:b/>
          <w:sz w:val="22"/>
          <w:szCs w:val="22"/>
          <w:lang w:val="sk-SK" w:eastAsia="en-US"/>
        </w:rPr>
        <w:t>NÁZOV LIEKU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CAMILIA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perorálny  roztok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2.</w:t>
      </w:r>
      <w:r w:rsidRPr="008B0FCD">
        <w:rPr>
          <w:b/>
          <w:sz w:val="22"/>
          <w:szCs w:val="22"/>
          <w:lang w:val="sk-SK" w:eastAsia="en-US"/>
        </w:rPr>
        <w:tab/>
        <w:t>KVALITATÍVNE A KVANTITATÍVNE ZLOŽENIE</w:t>
      </w:r>
    </w:p>
    <w:p w:rsidR="005B3C44" w:rsidRPr="008B0FCD" w:rsidRDefault="005B3C44" w:rsidP="008B0FCD">
      <w:pPr>
        <w:jc w:val="left"/>
        <w:rPr>
          <w:i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1 dávka (1 ml ) perorálneho roztoku obsahuje: </w:t>
      </w:r>
    </w:p>
    <w:p w:rsidR="005B3C44" w:rsidRPr="008B0FCD" w:rsidRDefault="005B3C44" w:rsidP="00D12217">
      <w:pPr>
        <w:autoSpaceDE w:val="0"/>
        <w:autoSpaceDN w:val="0"/>
        <w:adjustRightInd w:val="0"/>
        <w:jc w:val="left"/>
        <w:rPr>
          <w:snapToGrid w:val="0"/>
          <w:sz w:val="22"/>
          <w:szCs w:val="22"/>
          <w:lang w:val="sk-SK" w:eastAsia="zh-CN"/>
        </w:rPr>
      </w:pPr>
      <w:r w:rsidRPr="008B0FCD">
        <w:rPr>
          <w:snapToGrid w:val="0"/>
          <w:sz w:val="22"/>
          <w:szCs w:val="22"/>
          <w:lang w:val="sk-SK" w:eastAsia="zh-CN"/>
        </w:rPr>
        <w:t>Chamomilla vulgaris 9 CH……………………………………….............333,3 mg</w:t>
      </w:r>
    </w:p>
    <w:p w:rsidR="005B3C44" w:rsidRPr="008B0FCD" w:rsidRDefault="005B3C44" w:rsidP="00D12217">
      <w:pPr>
        <w:autoSpaceDE w:val="0"/>
        <w:autoSpaceDN w:val="0"/>
        <w:adjustRightInd w:val="0"/>
        <w:jc w:val="left"/>
        <w:rPr>
          <w:snapToGrid w:val="0"/>
          <w:sz w:val="22"/>
          <w:szCs w:val="22"/>
          <w:lang w:val="sk-SK" w:eastAsia="zh-CN"/>
        </w:rPr>
      </w:pPr>
      <w:r w:rsidRPr="008B0FCD">
        <w:rPr>
          <w:snapToGrid w:val="0"/>
          <w:sz w:val="22"/>
          <w:szCs w:val="22"/>
          <w:lang w:val="sk-SK" w:eastAsia="zh-CN"/>
        </w:rPr>
        <w:t>Phytolacca decandra 5 CH………………………………………..............333,3 mg</w:t>
      </w:r>
    </w:p>
    <w:p w:rsidR="005B3C44" w:rsidRPr="008B0FCD" w:rsidRDefault="005B3C44" w:rsidP="00D12217">
      <w:pPr>
        <w:autoSpaceDE w:val="0"/>
        <w:autoSpaceDN w:val="0"/>
        <w:adjustRightInd w:val="0"/>
        <w:jc w:val="left"/>
        <w:rPr>
          <w:snapToGrid w:val="0"/>
          <w:sz w:val="22"/>
          <w:szCs w:val="22"/>
          <w:lang w:val="sk-SK" w:eastAsia="zh-CN"/>
        </w:rPr>
      </w:pPr>
      <w:r w:rsidRPr="008B0FCD">
        <w:rPr>
          <w:snapToGrid w:val="0"/>
          <w:sz w:val="22"/>
          <w:szCs w:val="22"/>
          <w:lang w:val="sk-SK" w:eastAsia="zh-CN"/>
        </w:rPr>
        <w:t>Rheum 5 CH………………………………………………………………333,3 mg</w:t>
      </w:r>
    </w:p>
    <w:p w:rsidR="005B3C44" w:rsidRPr="008B0FCD" w:rsidRDefault="005B3C44" w:rsidP="00D12217">
      <w:pPr>
        <w:autoSpaceDE w:val="0"/>
        <w:autoSpaceDN w:val="0"/>
        <w:adjustRightInd w:val="0"/>
        <w:jc w:val="left"/>
        <w:rPr>
          <w:b/>
          <w:snapToGrid w:val="0"/>
          <w:sz w:val="22"/>
          <w:szCs w:val="22"/>
          <w:lang w:val="sk-SK" w:eastAsia="zh-CN"/>
        </w:rPr>
      </w:pPr>
    </w:p>
    <w:p w:rsidR="005B3C44" w:rsidRPr="008B0FCD" w:rsidRDefault="005B3C44" w:rsidP="008B0FCD">
      <w:pPr>
        <w:jc w:val="left"/>
        <w:outlineLvl w:val="0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Úplný zoznam pomocných látok, pozri časť 6.1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caps/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3.</w:t>
      </w:r>
      <w:r w:rsidRPr="008B0FCD">
        <w:rPr>
          <w:b/>
          <w:sz w:val="22"/>
          <w:szCs w:val="22"/>
          <w:lang w:val="sk-SK" w:eastAsia="en-US"/>
        </w:rPr>
        <w:tab/>
        <w:t>LIEKOVÁ FORMA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napToGrid w:val="0"/>
          <w:sz w:val="22"/>
          <w:szCs w:val="22"/>
          <w:lang w:val="sk-SK" w:eastAsia="zh-CN"/>
        </w:rPr>
      </w:pPr>
      <w:r w:rsidRPr="008B0FCD">
        <w:rPr>
          <w:snapToGrid w:val="0"/>
          <w:sz w:val="22"/>
          <w:szCs w:val="22"/>
          <w:lang w:val="sk-SK" w:eastAsia="zh-CN"/>
        </w:rPr>
        <w:t>Perorálny roztok.</w:t>
      </w:r>
    </w:p>
    <w:p w:rsidR="005B3C44" w:rsidRPr="008B0FCD" w:rsidRDefault="005B3C44" w:rsidP="008B0FCD">
      <w:pPr>
        <w:jc w:val="left"/>
        <w:rPr>
          <w:snapToGrid w:val="0"/>
          <w:sz w:val="22"/>
          <w:szCs w:val="22"/>
          <w:lang w:val="sk-SK" w:eastAsia="zh-CN"/>
        </w:rPr>
      </w:pPr>
      <w:r w:rsidRPr="008B0FCD">
        <w:rPr>
          <w:snapToGrid w:val="0"/>
          <w:sz w:val="22"/>
          <w:szCs w:val="22"/>
          <w:lang w:val="sk-SK" w:eastAsia="zh-CN"/>
        </w:rPr>
        <w:t>Roztok bez farby a chuti v jednodávkovom obale s obsahom 1 ml.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caps/>
          <w:sz w:val="22"/>
          <w:szCs w:val="22"/>
          <w:lang w:val="sk-SK" w:eastAsia="en-US"/>
        </w:rPr>
      </w:pPr>
      <w:r w:rsidRPr="008B0FCD">
        <w:rPr>
          <w:b/>
          <w:caps/>
          <w:sz w:val="22"/>
          <w:szCs w:val="22"/>
          <w:lang w:val="sk-SK" w:eastAsia="en-US"/>
        </w:rPr>
        <w:t>4.</w:t>
      </w:r>
      <w:r w:rsidRPr="008B0FCD">
        <w:rPr>
          <w:b/>
          <w:caps/>
          <w:sz w:val="22"/>
          <w:szCs w:val="22"/>
          <w:lang w:val="sk-SK" w:eastAsia="en-US"/>
        </w:rPr>
        <w:tab/>
        <w:t>KLINICKÉ ÚDAJE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4.1</w:t>
      </w:r>
      <w:r w:rsidRPr="008B0FCD">
        <w:rPr>
          <w:b/>
          <w:sz w:val="22"/>
          <w:szCs w:val="22"/>
          <w:lang w:val="sk-SK" w:eastAsia="en-US"/>
        </w:rPr>
        <w:tab/>
        <w:t>Terapeutické indikácie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Uvedená kombinácia zložiek v homeopatickom lieku Camilia, perorálny roztok sa používa pri ťažkostiach spojených s prerezávaním zubov u detí (bolesti pri prerezávaní zubov, podráždenosť, červené líca, hnačka).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4.2</w:t>
      </w:r>
      <w:r w:rsidRPr="008B0FCD">
        <w:rPr>
          <w:b/>
          <w:sz w:val="22"/>
          <w:szCs w:val="22"/>
          <w:lang w:val="sk-SK" w:eastAsia="en-US"/>
        </w:rPr>
        <w:tab/>
        <w:t>Dávkovanie a spôsob podávania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u w:val="single"/>
          <w:lang w:val="sk-SK" w:eastAsia="en-US"/>
        </w:rPr>
      </w:pPr>
      <w:r w:rsidRPr="008B0FCD">
        <w:rPr>
          <w:noProof/>
          <w:sz w:val="22"/>
          <w:szCs w:val="22"/>
          <w:u w:val="single"/>
          <w:lang w:val="sk-SK" w:eastAsia="en-US"/>
        </w:rPr>
        <w:t>Dávkovanie</w:t>
      </w:r>
    </w:p>
    <w:p w:rsidR="005B3C44" w:rsidRPr="00D12217" w:rsidRDefault="005B3C44" w:rsidP="00D12217">
      <w:pPr>
        <w:autoSpaceDE w:val="0"/>
        <w:autoSpaceDN w:val="0"/>
        <w:adjustRightInd w:val="0"/>
        <w:jc w:val="left"/>
        <w:rPr>
          <w:noProof/>
          <w:sz w:val="22"/>
          <w:szCs w:val="22"/>
          <w:lang w:val="sk-SK"/>
        </w:rPr>
      </w:pPr>
      <w:r w:rsidRPr="008B0FCD">
        <w:rPr>
          <w:noProof/>
          <w:sz w:val="22"/>
          <w:szCs w:val="22"/>
          <w:lang w:val="sk-SK" w:eastAsia="en-US"/>
        </w:rPr>
        <w:t xml:space="preserve">3 až 6 jednodávkových obalov </w:t>
      </w:r>
      <w:r>
        <w:rPr>
          <w:noProof/>
          <w:sz w:val="22"/>
          <w:szCs w:val="22"/>
          <w:lang w:val="sk-SK" w:eastAsia="en-US"/>
        </w:rPr>
        <w:t>v priebehu 24 hodín</w:t>
      </w:r>
      <w:r w:rsidRPr="008B0FCD">
        <w:rPr>
          <w:noProof/>
          <w:sz w:val="22"/>
          <w:szCs w:val="22"/>
          <w:lang w:val="sk-SK" w:eastAsia="en-US"/>
        </w:rPr>
        <w:t xml:space="preserve">, počas 3 až 8 dní. </w:t>
      </w:r>
      <w:r w:rsidRPr="00D12217">
        <w:rPr>
          <w:noProof/>
          <w:sz w:val="22"/>
          <w:szCs w:val="22"/>
          <w:lang w:val="sk-SK"/>
        </w:rPr>
        <w:t>Ak sa príznaky zhoršia alebo pretrvávajú dlhšie ako 3 dni, je potrebné poradiť sa s lekárom alebo lekárnikom.</w:t>
      </w:r>
    </w:p>
    <w:p w:rsidR="005B3C44" w:rsidRPr="008B0FCD" w:rsidRDefault="005B3C44" w:rsidP="008B0FCD">
      <w:pPr>
        <w:numPr>
          <w:ilvl w:val="12"/>
          <w:numId w:val="0"/>
        </w:numPr>
        <w:ind w:right="-2"/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u w:val="single"/>
          <w:lang w:val="sk-SK" w:eastAsia="en-US"/>
        </w:rPr>
      </w:pPr>
      <w:r w:rsidRPr="008B0FCD">
        <w:rPr>
          <w:noProof/>
          <w:sz w:val="22"/>
          <w:szCs w:val="22"/>
          <w:u w:val="single"/>
          <w:lang w:val="sk-SK" w:eastAsia="en-US"/>
        </w:rPr>
        <w:t>Spôsob podania</w:t>
      </w:r>
      <w:r w:rsidRPr="008B0FCD">
        <w:rPr>
          <w:sz w:val="22"/>
          <w:szCs w:val="22"/>
          <w:u w:val="single"/>
          <w:lang w:val="sk-SK" w:eastAsia="en-US"/>
        </w:rPr>
        <w:t xml:space="preserve">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Perorálne použitie.</w:t>
      </w:r>
      <w:r w:rsidRPr="008B0FCD" w:rsidDel="008930AE">
        <w:rPr>
          <w:noProof/>
          <w:sz w:val="22"/>
          <w:szCs w:val="22"/>
          <w:lang w:val="sk-SK" w:eastAsia="en-US"/>
        </w:rPr>
        <w:t xml:space="preserve">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Otvorte vrecko.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Zo stripu odtrhnite jeden jednodávkový obal.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Vrecko s ostatnými dávkami starostlivo uzavrite tak, že preložíte okraje na otvorenej strane vrecka.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Jednodávkový obal otvorte otočením jeho zúženého konca. Obsah obalu aplikujte do ústnej dutiny dieťaťa, pričom dieťa musí byť v sediacej polohe.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b/>
          <w:noProof/>
          <w:sz w:val="22"/>
          <w:szCs w:val="22"/>
          <w:lang w:val="sk-SK" w:eastAsia="en-US"/>
        </w:rPr>
        <w:t>4.3</w:t>
      </w:r>
      <w:r w:rsidRPr="008B0FCD">
        <w:rPr>
          <w:b/>
          <w:noProof/>
          <w:sz w:val="22"/>
          <w:szCs w:val="22"/>
          <w:lang w:val="sk-SK" w:eastAsia="en-US"/>
        </w:rPr>
        <w:tab/>
        <w:t xml:space="preserve">Kontraindikácie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napToGrid w:val="0"/>
          <w:sz w:val="22"/>
          <w:szCs w:val="22"/>
          <w:lang w:val="sk-SK" w:eastAsia="zh-CN"/>
        </w:rPr>
      </w:pPr>
      <w:r w:rsidRPr="008B0FCD">
        <w:rPr>
          <w:noProof/>
          <w:snapToGrid w:val="0"/>
          <w:sz w:val="22"/>
          <w:szCs w:val="22"/>
          <w:lang w:val="sk-SK" w:eastAsia="zh-CN"/>
        </w:rPr>
        <w:t xml:space="preserve">Precitlivenosť na liečivá alebo na ktorúkoľvek z pomocných látok uvedených v časti 6.1. </w:t>
      </w:r>
    </w:p>
    <w:p w:rsidR="005B3C44" w:rsidRPr="008B0FCD" w:rsidRDefault="005B3C44" w:rsidP="008B0FCD">
      <w:pPr>
        <w:jc w:val="left"/>
        <w:rPr>
          <w:noProof/>
          <w:snapToGrid w:val="0"/>
          <w:sz w:val="22"/>
          <w:szCs w:val="22"/>
          <w:lang w:val="sk-SK" w:eastAsia="zh-CN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b/>
          <w:noProof/>
          <w:sz w:val="22"/>
          <w:szCs w:val="22"/>
          <w:lang w:val="sk-SK" w:eastAsia="en-US"/>
        </w:rPr>
        <w:t>4.4</w:t>
      </w:r>
      <w:r w:rsidRPr="008B0FCD">
        <w:rPr>
          <w:b/>
          <w:noProof/>
          <w:sz w:val="22"/>
          <w:szCs w:val="22"/>
          <w:lang w:val="sk-SK" w:eastAsia="en-US"/>
        </w:rPr>
        <w:tab/>
        <w:t>Osobitné upozornenia a opatrenia pri používaní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Neprekračujte uvedené dávkovanie</w:t>
      </w:r>
      <w:r w:rsidRPr="008B0FCD">
        <w:rPr>
          <w:noProof/>
          <w:sz w:val="22"/>
          <w:szCs w:val="22"/>
          <w:lang w:val="sk-SK" w:eastAsia="en-US"/>
        </w:rPr>
        <w:t>.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b/>
          <w:noProof/>
          <w:sz w:val="22"/>
          <w:szCs w:val="22"/>
          <w:lang w:val="sk-SK" w:eastAsia="en-US"/>
        </w:rPr>
        <w:t>4.5</w:t>
      </w:r>
      <w:r w:rsidRPr="008B0FCD">
        <w:rPr>
          <w:b/>
          <w:noProof/>
          <w:sz w:val="22"/>
          <w:szCs w:val="22"/>
          <w:lang w:val="sk-SK" w:eastAsia="en-US"/>
        </w:rPr>
        <w:tab/>
        <w:t>Liekové a iné interakcie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Nie sú známe.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4.6</w:t>
      </w:r>
      <w:r w:rsidRPr="008B0FCD">
        <w:rPr>
          <w:b/>
          <w:sz w:val="22"/>
          <w:szCs w:val="22"/>
          <w:lang w:val="sk-SK" w:eastAsia="en-US"/>
        </w:rPr>
        <w:tab/>
        <w:t>Fertilita, gravidita a laktácia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Netýka sa.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4.7</w:t>
      </w:r>
      <w:r w:rsidRPr="008B0FCD">
        <w:rPr>
          <w:b/>
          <w:sz w:val="22"/>
          <w:szCs w:val="22"/>
          <w:lang w:val="sk-SK" w:eastAsia="en-US"/>
        </w:rPr>
        <w:tab/>
        <w:t>Ovplyvnenie schopnosti viesť vozidlá a obsluhovať stroje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Netýka sa.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4.8</w:t>
      </w:r>
      <w:r w:rsidRPr="008B0FCD">
        <w:rPr>
          <w:b/>
          <w:sz w:val="22"/>
          <w:szCs w:val="22"/>
          <w:lang w:val="sk-SK" w:eastAsia="en-US"/>
        </w:rPr>
        <w:tab/>
        <w:t>Nežiaduce účinky</w:t>
      </w: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Nie sú známe.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autoSpaceDE w:val="0"/>
        <w:autoSpaceDN w:val="0"/>
        <w:adjustRightInd w:val="0"/>
        <w:jc w:val="left"/>
        <w:rPr>
          <w:sz w:val="22"/>
          <w:szCs w:val="22"/>
          <w:u w:val="single"/>
          <w:lang w:val="sk-SK" w:eastAsia="en-US"/>
        </w:rPr>
      </w:pPr>
      <w:r w:rsidRPr="008B0FCD">
        <w:rPr>
          <w:noProof/>
          <w:sz w:val="22"/>
          <w:szCs w:val="22"/>
          <w:u w:val="single"/>
          <w:lang w:val="sk-SK" w:eastAsia="en-US"/>
        </w:rPr>
        <w:t>Hlásenie podozrení na nežiaduce reakcie</w:t>
      </w:r>
    </w:p>
    <w:p w:rsidR="005B3C44" w:rsidRPr="008B0FCD" w:rsidRDefault="005B3C44" w:rsidP="008B0FCD">
      <w:pPr>
        <w:autoSpaceDE w:val="0"/>
        <w:autoSpaceDN w:val="0"/>
        <w:adjustRightInd w:val="0"/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Hlásenie podozrení na nežiaduce reakcie po registrácii lieku je dôležité.</w:t>
      </w:r>
      <w:r w:rsidRPr="008B0FCD">
        <w:rPr>
          <w:sz w:val="22"/>
          <w:szCs w:val="22"/>
          <w:lang w:val="sk-SK" w:eastAsia="en-US"/>
        </w:rPr>
        <w:t xml:space="preserve"> </w:t>
      </w:r>
      <w:r w:rsidRPr="008B0FCD">
        <w:rPr>
          <w:noProof/>
          <w:sz w:val="22"/>
          <w:szCs w:val="22"/>
          <w:lang w:val="sk-SK" w:eastAsia="en-US"/>
        </w:rPr>
        <w:t>Umožňuje priebežné monitorovanie pomeru prínosu</w:t>
      </w:r>
      <w:r w:rsidRPr="008B0FCD">
        <w:rPr>
          <w:sz w:val="22"/>
          <w:szCs w:val="22"/>
          <w:lang w:val="sk-SK" w:eastAsia="en-US"/>
        </w:rPr>
        <w:t xml:space="preserve"> a</w:t>
      </w:r>
      <w:r w:rsidRPr="008B0FCD">
        <w:rPr>
          <w:noProof/>
          <w:sz w:val="22"/>
          <w:szCs w:val="22"/>
          <w:lang w:val="sk-SK" w:eastAsia="en-US"/>
        </w:rPr>
        <w:t> rizika lieku.</w:t>
      </w:r>
      <w:r w:rsidRPr="008B0FCD">
        <w:rPr>
          <w:sz w:val="22"/>
          <w:szCs w:val="22"/>
          <w:lang w:val="sk-SK" w:eastAsia="en-US"/>
        </w:rPr>
        <w:t xml:space="preserve"> Od </w:t>
      </w:r>
      <w:r w:rsidRPr="008B0FCD">
        <w:rPr>
          <w:noProof/>
          <w:sz w:val="22"/>
          <w:szCs w:val="22"/>
          <w:lang w:val="sk-SK" w:eastAsia="en-US"/>
        </w:rPr>
        <w:t xml:space="preserve">zdravotníckych pracovníkov sa vyžaduje, aby hlásili akékoľvek podozrenia na nežiaduce reakcie prostredníctvom </w:t>
      </w:r>
      <w:r w:rsidRPr="00863735">
        <w:rPr>
          <w:noProof/>
          <w:sz w:val="22"/>
          <w:szCs w:val="22"/>
          <w:highlight w:val="lightGray"/>
          <w:lang w:val="sk-SK" w:eastAsia="en-US"/>
        </w:rPr>
        <w:t>národného systému hlásenia uvedeného v P</w:t>
      </w:r>
      <w:r w:rsidRPr="00863735">
        <w:rPr>
          <w:sz w:val="22"/>
          <w:szCs w:val="22"/>
          <w:highlight w:val="lightGray"/>
          <w:lang w:val="sk-SK" w:eastAsia="en-US"/>
        </w:rPr>
        <w:t xml:space="preserve">rílohe </w:t>
      </w:r>
      <w:r w:rsidRPr="00863735">
        <w:rPr>
          <w:noProof/>
          <w:sz w:val="22"/>
          <w:szCs w:val="22"/>
          <w:highlight w:val="lightGray"/>
          <w:lang w:val="sk-SK" w:eastAsia="en-US"/>
        </w:rPr>
        <w:t>V</w:t>
      </w:r>
      <w:r w:rsidRPr="008B0FCD">
        <w:rPr>
          <w:noProof/>
          <w:sz w:val="22"/>
          <w:szCs w:val="22"/>
          <w:lang w:val="sk-SK" w:eastAsia="en-US"/>
        </w:rPr>
        <w:t>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4.9</w:t>
      </w:r>
      <w:r w:rsidRPr="008B0FCD">
        <w:rPr>
          <w:b/>
          <w:sz w:val="22"/>
          <w:szCs w:val="22"/>
          <w:lang w:val="sk-SK" w:eastAsia="en-US"/>
        </w:rPr>
        <w:tab/>
        <w:t>Predávkovanie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Nebol hlásený žiadny prípad predávkovania.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5.</w:t>
      </w:r>
      <w:r w:rsidRPr="008B0FCD">
        <w:rPr>
          <w:b/>
          <w:sz w:val="22"/>
          <w:szCs w:val="22"/>
          <w:lang w:val="sk-SK" w:eastAsia="en-US"/>
        </w:rPr>
        <w:tab/>
        <w:t>FARMAKOLOGICKÉ VLASTNOSTI</w:t>
      </w: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5.1</w:t>
      </w:r>
      <w:r w:rsidRPr="008B0FCD">
        <w:rPr>
          <w:b/>
          <w:sz w:val="22"/>
          <w:szCs w:val="22"/>
          <w:lang w:val="sk-SK" w:eastAsia="en-US"/>
        </w:rPr>
        <w:tab/>
        <w:t>Farmakodynamické vlastnosti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outlineLvl w:val="0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Farmakoterapeutická skupina: homeopatikum, ATC kód: V03AX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Homeopatický liek je špecifický regulátor chorého organizmu. Homeopatické zložky sa používajú  v takom stupni riedenia, ktorý zaručuje netoxickosť lieku. Je podávaný na základe zákona podobnosti a v súlade s poznatkami uvedenými  v Materia Medica Homeopatica. Zákon podobnosti využíva vzťah medzi patogenetickým a terapeutickým účinkom aktívnej látky.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5.2</w:t>
      </w:r>
      <w:r w:rsidRPr="008B0FCD">
        <w:rPr>
          <w:b/>
          <w:sz w:val="22"/>
          <w:szCs w:val="22"/>
          <w:lang w:val="sk-SK" w:eastAsia="en-US"/>
        </w:rPr>
        <w:tab/>
        <w:t>Farmakokinetické vlastnosti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Netýka sa.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5.3</w:t>
      </w:r>
      <w:r w:rsidRPr="008B0FCD">
        <w:rPr>
          <w:b/>
          <w:sz w:val="22"/>
          <w:szCs w:val="22"/>
          <w:lang w:val="sk-SK" w:eastAsia="en-US"/>
        </w:rPr>
        <w:tab/>
        <w:t>Predklinické údaje o bezpečnosti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Netýka sa.</w:t>
      </w: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6.</w:t>
      </w:r>
      <w:r w:rsidRPr="008B0FCD">
        <w:rPr>
          <w:b/>
          <w:sz w:val="22"/>
          <w:szCs w:val="22"/>
          <w:lang w:val="sk-SK" w:eastAsia="en-US"/>
        </w:rPr>
        <w:tab/>
        <w:t>FARMACEUTICKÉ INFORMÁCIE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6.1</w:t>
      </w:r>
      <w:r w:rsidRPr="008B0FCD">
        <w:rPr>
          <w:b/>
          <w:sz w:val="22"/>
          <w:szCs w:val="22"/>
          <w:lang w:val="sk-SK" w:eastAsia="en-US"/>
        </w:rPr>
        <w:tab/>
        <w:t>Zoznam pomocných látok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suppressLineNumbers/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Čistená voda.</w:t>
      </w: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lastRenderedPageBreak/>
        <w:t>6.2</w:t>
      </w:r>
      <w:r w:rsidRPr="008B0FCD">
        <w:rPr>
          <w:b/>
          <w:sz w:val="22"/>
          <w:szCs w:val="22"/>
          <w:lang w:val="sk-SK" w:eastAsia="en-US"/>
        </w:rPr>
        <w:tab/>
        <w:t>Inkompatibility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Neaplikovateľné.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6.3</w:t>
      </w:r>
      <w:r w:rsidRPr="008B0FCD">
        <w:rPr>
          <w:b/>
          <w:sz w:val="22"/>
          <w:szCs w:val="22"/>
          <w:lang w:val="sk-SK" w:eastAsia="en-US"/>
        </w:rPr>
        <w:tab/>
        <w:t>Čas použiteľnosti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ind w:left="540" w:hanging="540"/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u w:val="single"/>
          <w:lang w:val="sk-SK" w:eastAsia="en-US"/>
        </w:rPr>
        <w:t>Neotvorený jednodávkový obal</w:t>
      </w:r>
      <w:r w:rsidRPr="008B0FCD">
        <w:rPr>
          <w:sz w:val="22"/>
          <w:szCs w:val="22"/>
          <w:lang w:val="sk-SK" w:eastAsia="en-US"/>
        </w:rPr>
        <w:t>: 3 roky</w:t>
      </w:r>
    </w:p>
    <w:p w:rsidR="005B3C44" w:rsidRPr="008B0FCD" w:rsidRDefault="005B3C44" w:rsidP="008B0FCD">
      <w:pPr>
        <w:ind w:left="540" w:hanging="540"/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u w:val="single"/>
          <w:lang w:val="sk-SK" w:eastAsia="en-US"/>
        </w:rPr>
        <w:t>Po otvorení  jednodávkového obalu</w:t>
      </w:r>
      <w:r w:rsidRPr="008B0FCD">
        <w:rPr>
          <w:sz w:val="22"/>
          <w:szCs w:val="22"/>
          <w:lang w:val="sk-SK" w:eastAsia="en-US"/>
        </w:rPr>
        <w:t xml:space="preserve">: </w:t>
      </w:r>
    </w:p>
    <w:p w:rsidR="005B3C44" w:rsidRPr="008B0FCD" w:rsidRDefault="005B3C44" w:rsidP="008B0FCD">
      <w:pPr>
        <w:numPr>
          <w:ilvl w:val="0"/>
          <w:numId w:val="1"/>
          <w:numberingChange w:id="1" w:author="lenka.kuzelova" w:date="2014-11-04T12:32:00Z" w:original="-"/>
        </w:num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Obsah musí byť použitý okamžite  </w:t>
      </w:r>
    </w:p>
    <w:p w:rsidR="005B3C44" w:rsidRPr="008B0FCD" w:rsidRDefault="005B3C44" w:rsidP="008B0FCD">
      <w:pPr>
        <w:numPr>
          <w:ilvl w:val="0"/>
          <w:numId w:val="1"/>
          <w:numberingChange w:id="2" w:author="lenka.kuzelova" w:date="2014-11-04T12:32:00Z" w:original="-"/>
        </w:num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Použitý jednodávkový obal zahoďte</w:t>
      </w:r>
    </w:p>
    <w:p w:rsidR="005B3C44" w:rsidRPr="008B0FCD" w:rsidRDefault="005B3C44" w:rsidP="008B0FCD">
      <w:pPr>
        <w:numPr>
          <w:ilvl w:val="0"/>
          <w:numId w:val="1"/>
          <w:numberingChange w:id="3" w:author="lenka.kuzelova" w:date="2014-11-04T12:32:00Z" w:original="-"/>
        </w:num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 xml:space="preserve">Otvorenú dávku neodkladajte na neskoršie použitie </w:t>
      </w:r>
    </w:p>
    <w:p w:rsidR="005B3C44" w:rsidRPr="008B0FCD" w:rsidRDefault="005B3C44" w:rsidP="008B0FCD">
      <w:pPr>
        <w:ind w:left="540" w:hanging="540"/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6.4</w:t>
      </w:r>
      <w:r w:rsidRPr="008B0FCD">
        <w:rPr>
          <w:b/>
          <w:sz w:val="22"/>
          <w:szCs w:val="22"/>
          <w:lang w:val="sk-SK" w:eastAsia="en-US"/>
        </w:rPr>
        <w:tab/>
        <w:t>Špeciálne upozornenia na uchovávanie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u w:val="single"/>
          <w:lang w:val="sk-SK" w:eastAsia="en-US"/>
        </w:rPr>
        <w:t>Pred otvorením vrecka:</w:t>
      </w:r>
      <w:r w:rsidRPr="008B0FCD">
        <w:rPr>
          <w:sz w:val="22"/>
          <w:szCs w:val="22"/>
          <w:lang w:val="sk-SK" w:eastAsia="en-US"/>
        </w:rPr>
        <w:t xml:space="preserve"> Tento liek nevyžaduje žiadne zvláštne podmienky na uchovávanie.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u w:val="single"/>
          <w:lang w:val="sk-SK" w:eastAsia="en-US"/>
        </w:rPr>
        <w:t>Po otvorení vrecka:</w:t>
      </w:r>
      <w:r w:rsidRPr="008B0FCD">
        <w:rPr>
          <w:sz w:val="22"/>
          <w:szCs w:val="22"/>
          <w:lang w:val="sk-SK" w:eastAsia="en-US"/>
        </w:rPr>
        <w:t xml:space="preserve"> Nepoužité dávky uchovávajte vo vrecku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6.5</w:t>
      </w:r>
      <w:r w:rsidRPr="008B0FCD">
        <w:rPr>
          <w:b/>
          <w:sz w:val="22"/>
          <w:szCs w:val="22"/>
          <w:lang w:val="sk-SK" w:eastAsia="en-US"/>
        </w:rPr>
        <w:tab/>
        <w:t>Druh obalu a obsah balenia</w:t>
      </w:r>
      <w:r w:rsidRPr="008B0FCD">
        <w:rPr>
          <w:b/>
          <w:color w:val="0000FF"/>
          <w:sz w:val="22"/>
          <w:szCs w:val="22"/>
          <w:lang w:val="sk-SK" w:eastAsia="en-US"/>
        </w:rPr>
        <w:t xml:space="preserve">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Jednodávkový obal s obsahom 1 ml (LDPE), vrecko ALU/PE/PET, papierová škatuľa, písomná informácia pre používateľa.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 xml:space="preserve">Jedno balenie obsahuje 10, 20 alebo 30 dávok v jednodávkovom obale. 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Na trh nemusia byť uvedené všetky veľkosti balenia.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  <w:r w:rsidRPr="008B0FCD">
        <w:rPr>
          <w:b/>
          <w:noProof/>
          <w:sz w:val="22"/>
          <w:szCs w:val="22"/>
          <w:lang w:val="sk-SK" w:eastAsia="en-US"/>
        </w:rPr>
        <w:t>6.6</w:t>
      </w:r>
      <w:r w:rsidRPr="008B0FCD">
        <w:rPr>
          <w:b/>
          <w:noProof/>
          <w:sz w:val="22"/>
          <w:szCs w:val="22"/>
          <w:lang w:val="sk-SK" w:eastAsia="en-US"/>
        </w:rPr>
        <w:tab/>
      </w:r>
      <w:r w:rsidRPr="008B0FCD">
        <w:rPr>
          <w:b/>
          <w:sz w:val="22"/>
          <w:szCs w:val="22"/>
          <w:lang w:val="sk-SK" w:eastAsia="en-US"/>
        </w:rPr>
        <w:t>Špeciálne opatrenia na likvidáciu a iné zaobchádzanie s liekom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Žiadne zvláštne požiadavky.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b/>
          <w:noProof/>
          <w:sz w:val="22"/>
          <w:szCs w:val="22"/>
          <w:lang w:val="sk-SK" w:eastAsia="en-US"/>
        </w:rPr>
        <w:t>7.</w:t>
      </w:r>
      <w:r w:rsidRPr="008B0FCD">
        <w:rPr>
          <w:b/>
          <w:noProof/>
          <w:sz w:val="22"/>
          <w:szCs w:val="22"/>
          <w:lang w:val="sk-SK" w:eastAsia="en-US"/>
        </w:rPr>
        <w:tab/>
        <w:t>DRŽITEĽ ROZHODNUTIA O REGISTRÁCII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fr-FR" w:eastAsia="en-US"/>
        </w:rPr>
      </w:pPr>
      <w:r w:rsidRPr="008B0FCD">
        <w:rPr>
          <w:sz w:val="22"/>
          <w:szCs w:val="22"/>
          <w:lang w:val="fr-FR" w:eastAsia="en-US"/>
        </w:rPr>
        <w:t>BOIRON</w:t>
      </w:r>
    </w:p>
    <w:p w:rsidR="005B3C44" w:rsidRPr="008B0FCD" w:rsidRDefault="005B3C44" w:rsidP="008B0FCD">
      <w:pPr>
        <w:jc w:val="left"/>
        <w:rPr>
          <w:sz w:val="22"/>
          <w:szCs w:val="22"/>
          <w:lang w:val="fr-FR" w:eastAsia="en-US"/>
        </w:rPr>
      </w:pPr>
      <w:r w:rsidRPr="008B0FCD">
        <w:rPr>
          <w:sz w:val="22"/>
          <w:szCs w:val="22"/>
          <w:lang w:val="fr-FR" w:eastAsia="en-US"/>
        </w:rPr>
        <w:t>2 avenue de l’Ouest Lyonnais</w:t>
      </w:r>
    </w:p>
    <w:p w:rsidR="005B3C44" w:rsidRPr="008B0FCD" w:rsidRDefault="005B3C44" w:rsidP="008B0FCD">
      <w:pPr>
        <w:jc w:val="left"/>
        <w:rPr>
          <w:sz w:val="22"/>
          <w:szCs w:val="22"/>
          <w:lang w:val="fr-FR" w:eastAsia="en-US"/>
        </w:rPr>
      </w:pPr>
      <w:r w:rsidRPr="008B0FCD">
        <w:rPr>
          <w:sz w:val="22"/>
          <w:szCs w:val="22"/>
          <w:lang w:val="fr-FR" w:eastAsia="en-US"/>
        </w:rPr>
        <w:t>69510 Messimy</w:t>
      </w:r>
    </w:p>
    <w:p w:rsidR="005B3C44" w:rsidRPr="008B0FCD" w:rsidRDefault="005B3C44" w:rsidP="008B0FCD">
      <w:pPr>
        <w:jc w:val="left"/>
        <w:rPr>
          <w:sz w:val="22"/>
          <w:szCs w:val="22"/>
          <w:lang w:val="pt-PT" w:eastAsia="en-US"/>
        </w:rPr>
      </w:pPr>
      <w:r w:rsidRPr="008B0FCD">
        <w:rPr>
          <w:sz w:val="22"/>
          <w:szCs w:val="22"/>
          <w:lang w:val="pt-PT" w:eastAsia="en-US"/>
        </w:rPr>
        <w:t>FRANCÚZSKO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8.</w:t>
      </w:r>
      <w:r w:rsidRPr="008B0FCD">
        <w:rPr>
          <w:b/>
          <w:sz w:val="22"/>
          <w:szCs w:val="22"/>
          <w:lang w:val="sk-SK" w:eastAsia="en-US"/>
        </w:rPr>
        <w:tab/>
        <w:t xml:space="preserve">REGISTRAČNÉ ČÍSLO 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sz w:val="22"/>
          <w:szCs w:val="22"/>
          <w:lang w:val="sk-SK" w:eastAsia="en-US"/>
        </w:rPr>
        <w:t>93/0084/13-S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9.</w:t>
      </w:r>
      <w:r w:rsidRPr="008B0FCD">
        <w:rPr>
          <w:b/>
          <w:sz w:val="22"/>
          <w:szCs w:val="22"/>
          <w:lang w:val="sk-SK" w:eastAsia="en-US"/>
        </w:rPr>
        <w:tab/>
        <w:t>DÁTUM PRVEJ REGISTRÁCIE/ PREDĹŽENIA REGISTRÁCIE</w:t>
      </w: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noProof/>
          <w:sz w:val="22"/>
          <w:szCs w:val="22"/>
          <w:lang w:val="sk-SK" w:eastAsia="en-US"/>
        </w:rPr>
      </w:pPr>
      <w:r w:rsidRPr="008B0FCD">
        <w:rPr>
          <w:noProof/>
          <w:sz w:val="22"/>
          <w:szCs w:val="22"/>
          <w:lang w:val="sk-SK" w:eastAsia="en-US"/>
        </w:rPr>
        <w:t>Dátum prvej registrácie: 20.marec 2013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8B0FCD" w:rsidRDefault="005B3C44" w:rsidP="008B0FCD">
      <w:pPr>
        <w:jc w:val="left"/>
        <w:rPr>
          <w:b/>
          <w:sz w:val="22"/>
          <w:szCs w:val="22"/>
          <w:lang w:val="sk-SK" w:eastAsia="en-US"/>
        </w:rPr>
      </w:pPr>
      <w:r w:rsidRPr="008B0FCD">
        <w:rPr>
          <w:b/>
          <w:sz w:val="22"/>
          <w:szCs w:val="22"/>
          <w:lang w:val="sk-SK" w:eastAsia="en-US"/>
        </w:rPr>
        <w:t>10.</w:t>
      </w:r>
      <w:r w:rsidRPr="008B0FCD">
        <w:rPr>
          <w:b/>
          <w:sz w:val="22"/>
          <w:szCs w:val="22"/>
          <w:lang w:val="sk-SK" w:eastAsia="en-US"/>
        </w:rPr>
        <w:tab/>
        <w:t>DÁTUM REVÍZIE TEXTU</w:t>
      </w:r>
    </w:p>
    <w:p w:rsidR="005B3C44" w:rsidRPr="008B0FCD" w:rsidRDefault="005B3C44" w:rsidP="008B0FCD">
      <w:pPr>
        <w:jc w:val="left"/>
        <w:rPr>
          <w:sz w:val="22"/>
          <w:szCs w:val="22"/>
          <w:lang w:val="sk-SK" w:eastAsia="en-US"/>
        </w:rPr>
      </w:pPr>
    </w:p>
    <w:p w:rsidR="005B3C44" w:rsidRPr="00D12217" w:rsidRDefault="005B3C44" w:rsidP="00D12217">
      <w:pPr>
        <w:jc w:val="left"/>
        <w:rPr>
          <w:sz w:val="22"/>
          <w:szCs w:val="22"/>
        </w:rPr>
      </w:pPr>
      <w:r w:rsidRPr="008B0FCD">
        <w:rPr>
          <w:noProof/>
          <w:sz w:val="22"/>
          <w:szCs w:val="22"/>
          <w:lang w:val="sk-SK" w:eastAsia="en-US"/>
        </w:rPr>
        <w:t>Marec 2015</w:t>
      </w:r>
    </w:p>
    <w:sectPr w:rsidR="005B3C44" w:rsidRPr="00D12217" w:rsidSect="007A43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35" w:rsidRDefault="00863735" w:rsidP="00D43CD6">
      <w:r>
        <w:separator/>
      </w:r>
    </w:p>
  </w:endnote>
  <w:endnote w:type="continuationSeparator" w:id="0">
    <w:p w:rsidR="00863735" w:rsidRDefault="00863735" w:rsidP="00D4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44" w:rsidRDefault="005B3C44" w:rsidP="00182AF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5B3C44" w:rsidRDefault="005B3C44" w:rsidP="00182AF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44" w:rsidRPr="00603714" w:rsidRDefault="005B3C44">
    <w:pPr>
      <w:pStyle w:val="Pta"/>
      <w:jc w:val="center"/>
      <w:rPr>
        <w:sz w:val="18"/>
        <w:szCs w:val="18"/>
      </w:rPr>
    </w:pPr>
    <w:r w:rsidRPr="00603714">
      <w:rPr>
        <w:sz w:val="18"/>
        <w:szCs w:val="18"/>
      </w:rPr>
      <w:fldChar w:fldCharType="begin"/>
    </w:r>
    <w:r w:rsidRPr="00603714">
      <w:rPr>
        <w:sz w:val="18"/>
        <w:szCs w:val="18"/>
      </w:rPr>
      <w:instrText>PAGE   \* MERGEFORMAT</w:instrText>
    </w:r>
    <w:r w:rsidRPr="00603714">
      <w:rPr>
        <w:sz w:val="18"/>
        <w:szCs w:val="18"/>
      </w:rPr>
      <w:fldChar w:fldCharType="separate"/>
    </w:r>
    <w:r w:rsidR="00D12217" w:rsidRPr="00D12217">
      <w:rPr>
        <w:noProof/>
        <w:sz w:val="18"/>
        <w:szCs w:val="18"/>
        <w:lang w:val="sk-SK"/>
      </w:rPr>
      <w:t>1</w:t>
    </w:r>
    <w:r w:rsidRPr="00603714">
      <w:rPr>
        <w:sz w:val="18"/>
        <w:szCs w:val="18"/>
      </w:rPr>
      <w:fldChar w:fldCharType="end"/>
    </w:r>
  </w:p>
  <w:p w:rsidR="005B3C44" w:rsidRDefault="005B3C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35" w:rsidRDefault="00863735" w:rsidP="00D43CD6">
      <w:r>
        <w:separator/>
      </w:r>
    </w:p>
  </w:footnote>
  <w:footnote w:type="continuationSeparator" w:id="0">
    <w:p w:rsidR="00863735" w:rsidRDefault="00863735" w:rsidP="00D4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A45"/>
    <w:multiLevelType w:val="hybridMultilevel"/>
    <w:tmpl w:val="89761E2E"/>
    <w:lvl w:ilvl="0" w:tplc="80B04C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CD6"/>
    <w:rsid w:val="00065E35"/>
    <w:rsid w:val="000E037A"/>
    <w:rsid w:val="00106C6B"/>
    <w:rsid w:val="00182AF5"/>
    <w:rsid w:val="00264891"/>
    <w:rsid w:val="002F69AB"/>
    <w:rsid w:val="003C5767"/>
    <w:rsid w:val="003E5239"/>
    <w:rsid w:val="00425419"/>
    <w:rsid w:val="00484F44"/>
    <w:rsid w:val="004F69DE"/>
    <w:rsid w:val="005B3C44"/>
    <w:rsid w:val="00603714"/>
    <w:rsid w:val="006F434C"/>
    <w:rsid w:val="00723C6D"/>
    <w:rsid w:val="00726EA2"/>
    <w:rsid w:val="00762471"/>
    <w:rsid w:val="007A43DC"/>
    <w:rsid w:val="00863735"/>
    <w:rsid w:val="008930AE"/>
    <w:rsid w:val="008B0FCD"/>
    <w:rsid w:val="009636E1"/>
    <w:rsid w:val="0099764E"/>
    <w:rsid w:val="009F6AB7"/>
    <w:rsid w:val="00A05D3A"/>
    <w:rsid w:val="00A50E1B"/>
    <w:rsid w:val="00A753A0"/>
    <w:rsid w:val="00D12217"/>
    <w:rsid w:val="00D1320D"/>
    <w:rsid w:val="00D43CD6"/>
    <w:rsid w:val="00ED00B9"/>
    <w:rsid w:val="00F92189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3CD6"/>
    <w:pPr>
      <w:jc w:val="both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43C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43CD6"/>
    <w:rPr>
      <w:rFonts w:ascii="Times New Roman" w:hAnsi="Times New Roman" w:cs="Times New Roman"/>
      <w:sz w:val="24"/>
      <w:szCs w:val="24"/>
      <w:lang w:val="en-GB" w:eastAsia="fr-FR"/>
    </w:rPr>
  </w:style>
  <w:style w:type="character" w:styleId="slostrany">
    <w:name w:val="page number"/>
    <w:uiPriority w:val="99"/>
    <w:rsid w:val="00D43CD6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D43C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43CD6"/>
    <w:rPr>
      <w:rFonts w:ascii="Times New Roman" w:hAnsi="Times New Roman" w:cs="Times New Roman"/>
      <w:sz w:val="24"/>
      <w:szCs w:val="24"/>
      <w:lang w:val="en-GB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2F6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E7BA0"/>
    <w:rPr>
      <w:rFonts w:ascii="Times New Roman" w:hAnsi="Times New Roman" w:cs="Times New Roman"/>
      <w:sz w:val="2"/>
      <w:lang w:val="en-GB" w:eastAsia="fr-FR"/>
    </w:rPr>
  </w:style>
  <w:style w:type="character" w:styleId="Odkaznakomentr">
    <w:name w:val="annotation reference"/>
    <w:uiPriority w:val="99"/>
    <w:semiHidden/>
    <w:rsid w:val="003E523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E523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E7BA0"/>
    <w:rPr>
      <w:rFonts w:ascii="Times New Roman" w:hAnsi="Times New Roman" w:cs="Times New Roman"/>
      <w:sz w:val="20"/>
      <w:szCs w:val="20"/>
      <w:lang w:val="en-GB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E523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E7BA0"/>
    <w:rPr>
      <w:rFonts w:ascii="Times New Roman" w:hAnsi="Times New Roman" w:cs="Times New Roman"/>
      <w:b/>
      <w:bCs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Bazovska</dc:creator>
  <cp:keywords/>
  <dc:description/>
  <cp:lastModifiedBy>Silvia Bazovska</cp:lastModifiedBy>
  <cp:revision>6</cp:revision>
  <dcterms:created xsi:type="dcterms:W3CDTF">2014-11-04T09:16:00Z</dcterms:created>
  <dcterms:modified xsi:type="dcterms:W3CDTF">2015-03-06T07:02:00Z</dcterms:modified>
</cp:coreProperties>
</file>