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5D" w:rsidRPr="008B483C" w:rsidRDefault="0007125D" w:rsidP="0007125D">
      <w:pPr>
        <w:pStyle w:val="SPCnadpis"/>
        <w:rPr>
          <w:lang w:val="sk-SK"/>
        </w:rPr>
      </w:pPr>
      <w:r w:rsidRPr="008B483C">
        <w:rPr>
          <w:lang w:val="sk-SK"/>
        </w:rPr>
        <w:t>SÚHRN CHARAKTERISTICKÝCH VLASTNOSTÍ LIEKU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NÁZOV LIEKU</w:t>
      </w:r>
    </w:p>
    <w:p w:rsidR="0007125D" w:rsidRPr="008B483C" w:rsidRDefault="0007125D" w:rsidP="0007125D">
      <w:pPr>
        <w:pStyle w:val="Normlndobloku"/>
      </w:pPr>
      <w:r w:rsidRPr="008B483C">
        <w:t>AKTIPROL 200 mg tablety</w:t>
      </w:r>
    </w:p>
    <w:p w:rsidR="0007125D" w:rsidRPr="008B483C" w:rsidRDefault="0007125D" w:rsidP="0007125D">
      <w:pPr>
        <w:pStyle w:val="Normlndobloku"/>
      </w:pPr>
      <w:r w:rsidRPr="004D2712">
        <w:rPr>
          <w:highlight w:val="lightGray"/>
        </w:rPr>
        <w:t>AKTIPROL 400 mg</w:t>
      </w:r>
      <w:r w:rsidRPr="008B483C">
        <w:rPr>
          <w:highlight w:val="lightGray"/>
        </w:rPr>
        <w:t xml:space="preserve"> </w:t>
      </w:r>
      <w:r w:rsidRPr="004D2712">
        <w:rPr>
          <w:highlight w:val="lightGray"/>
        </w:rPr>
        <w:t>tablety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KVALITATÍVNE A KVANTITATÍVNE ZLOŽENIE</w:t>
      </w:r>
    </w:p>
    <w:p w:rsidR="0007125D" w:rsidRPr="008B483C" w:rsidRDefault="0007125D" w:rsidP="0007125D">
      <w:pPr>
        <w:pStyle w:val="Normlndobloku"/>
      </w:pPr>
      <w:r w:rsidRPr="008B483C">
        <w:t>AKTIPROL 200 mg tablety: Jedna tableta obsahuje 200 mg amisulpridu.</w:t>
      </w:r>
    </w:p>
    <w:p w:rsidR="0007125D" w:rsidRPr="008B483C" w:rsidRDefault="0007125D" w:rsidP="0007125D">
      <w:pPr>
        <w:pStyle w:val="Normlndobloku"/>
      </w:pPr>
      <w:r w:rsidRPr="00ED3968">
        <w:rPr>
          <w:highlight w:val="lightGray"/>
        </w:rPr>
        <w:t xml:space="preserve">AKTIPROL 400 mg </w:t>
      </w:r>
      <w:r w:rsidRPr="008B483C">
        <w:rPr>
          <w:highlight w:val="lightGray"/>
        </w:rPr>
        <w:t>tablety: Jedna</w:t>
      </w:r>
      <w:r w:rsidRPr="00ED3968">
        <w:rPr>
          <w:highlight w:val="lightGray"/>
        </w:rPr>
        <w:t xml:space="preserve"> tableta obsahuje 400 mg amisulpridu</w:t>
      </w:r>
      <w:r w:rsidRPr="008B483C">
        <w:rPr>
          <w:highlight w:val="lightGray"/>
        </w:rPr>
        <w:t>.</w:t>
      </w:r>
    </w:p>
    <w:p w:rsidR="0007125D" w:rsidRPr="005A671A" w:rsidRDefault="0007125D" w:rsidP="0007125D">
      <w:pPr>
        <w:pStyle w:val="Styl3"/>
      </w:pPr>
      <w:r w:rsidRPr="005A671A">
        <w:t>Pomocná látka so známym účinkom</w:t>
      </w:r>
      <w:r w:rsidRPr="008B483C">
        <w:t>:</w:t>
      </w:r>
    </w:p>
    <w:p w:rsidR="0007125D" w:rsidRPr="008B483C" w:rsidRDefault="0007125D" w:rsidP="0007125D">
      <w:pPr>
        <w:pStyle w:val="Normlndobloku"/>
      </w:pPr>
      <w:r w:rsidRPr="008B483C">
        <w:t>AKTIPROL 200 mg tablety: Jedna tableta obsahuje 100 mg monohydrátu laktózy.</w:t>
      </w:r>
    </w:p>
    <w:p w:rsidR="0007125D" w:rsidRPr="008B483C" w:rsidRDefault="0007125D" w:rsidP="0007125D">
      <w:pPr>
        <w:pStyle w:val="Normlndobloku"/>
      </w:pPr>
      <w:r w:rsidRPr="00ED3968">
        <w:rPr>
          <w:highlight w:val="lightGray"/>
        </w:rPr>
        <w:t>AKTIPROL 400 mg</w:t>
      </w:r>
      <w:r w:rsidRPr="008B483C">
        <w:rPr>
          <w:highlight w:val="lightGray"/>
        </w:rPr>
        <w:t xml:space="preserve"> tablety: Jedna tableta</w:t>
      </w:r>
      <w:r w:rsidRPr="00ED3968">
        <w:rPr>
          <w:highlight w:val="lightGray"/>
        </w:rPr>
        <w:t xml:space="preserve"> obsahuje 200 mg monohydrátu laktózy.</w:t>
      </w:r>
    </w:p>
    <w:p w:rsidR="0007125D" w:rsidRPr="008B483C" w:rsidRDefault="0007125D" w:rsidP="0007125D">
      <w:pPr>
        <w:pStyle w:val="Normlndobloku"/>
      </w:pPr>
      <w:r w:rsidRPr="008B483C">
        <w:t>Úplný zoznam pomocných látok, pozri časť 6.1.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LIEKOVÁ FORMA</w:t>
      </w:r>
    </w:p>
    <w:p w:rsidR="0007125D" w:rsidRPr="008B483C" w:rsidRDefault="0007125D" w:rsidP="0007125D">
      <w:pPr>
        <w:pStyle w:val="Normlndobloku"/>
      </w:pPr>
      <w:r w:rsidRPr="008B483C">
        <w:t>Tableta</w:t>
      </w:r>
    </w:p>
    <w:p w:rsidR="0007125D" w:rsidRPr="008B483C" w:rsidRDefault="0007125D" w:rsidP="0007125D">
      <w:pPr>
        <w:pStyle w:val="Normlndobloku"/>
      </w:pPr>
      <w:r w:rsidRPr="008B483C">
        <w:t>AKTIPROL 200 mg tablety: biele, okrúhle, ploché tablety s deliacou ryhou na jednej strane tablety, s priemerom 11,5 mm. Deliaca ryha iba pomáha rozlomiť tabletu, aby sa dala ľahšie prehltnúť a neslúži na rozdelenie na rovnaké dávky.</w:t>
      </w:r>
    </w:p>
    <w:p w:rsidR="0007125D" w:rsidRPr="008B483C" w:rsidRDefault="0007125D" w:rsidP="0007125D">
      <w:pPr>
        <w:pStyle w:val="Normlndobloku"/>
      </w:pPr>
      <w:r w:rsidRPr="00ED3968">
        <w:rPr>
          <w:highlight w:val="lightGray"/>
        </w:rPr>
        <w:t xml:space="preserve">AKTIPROL </w:t>
      </w:r>
      <w:r w:rsidRPr="008B483C">
        <w:rPr>
          <w:highlight w:val="lightGray"/>
        </w:rPr>
        <w:t>4</w:t>
      </w:r>
      <w:r w:rsidRPr="00ED3968">
        <w:rPr>
          <w:highlight w:val="lightGray"/>
        </w:rPr>
        <w:t xml:space="preserve">00 mg tablety: biele, bikonvexné tablety v tvare kapsule, s deliacou ryhou na oboch stranách, s rozmermi 19x10 mm. Deliaca ryha </w:t>
      </w:r>
      <w:r w:rsidRPr="008B483C">
        <w:rPr>
          <w:highlight w:val="lightGray"/>
        </w:rPr>
        <w:t>iba pomáha rozlomiť tabletu, aby sa dala</w:t>
      </w:r>
      <w:r w:rsidRPr="00ED3968">
        <w:rPr>
          <w:highlight w:val="lightGray"/>
        </w:rPr>
        <w:t xml:space="preserve"> ľahšie preh</w:t>
      </w:r>
      <w:r w:rsidRPr="008B483C">
        <w:rPr>
          <w:highlight w:val="lightGray"/>
        </w:rPr>
        <w:t>l</w:t>
      </w:r>
      <w:r w:rsidRPr="00ED3968">
        <w:rPr>
          <w:highlight w:val="lightGray"/>
        </w:rPr>
        <w:t>tn</w:t>
      </w:r>
      <w:r w:rsidRPr="008B483C">
        <w:rPr>
          <w:highlight w:val="lightGray"/>
        </w:rPr>
        <w:t>úť</w:t>
      </w:r>
      <w:r w:rsidRPr="00ED3968">
        <w:rPr>
          <w:highlight w:val="lightGray"/>
        </w:rPr>
        <w:t xml:space="preserve"> a neslúži na rozdelenie na rovnaké dávky.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KLINICKÉ ÚDAJE</w:t>
      </w:r>
    </w:p>
    <w:p w:rsidR="0007125D" w:rsidRPr="005A671A" w:rsidRDefault="0007125D" w:rsidP="00ED3968">
      <w:pPr>
        <w:pStyle w:val="Styl2"/>
      </w:pPr>
      <w:r w:rsidRPr="005A671A">
        <w:t>Terapeutické indikácie</w:t>
      </w:r>
    </w:p>
    <w:p w:rsidR="0007125D" w:rsidRPr="005A671A" w:rsidRDefault="0007125D" w:rsidP="00ED3968">
      <w:pPr>
        <w:pStyle w:val="Normlndobloku"/>
      </w:pPr>
      <w:r w:rsidRPr="005A671A">
        <w:t>AKTIPROL je indikovaný na liečbu akútnej a chronickej schizofrénie: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pozitívne symptómy (</w:t>
      </w:r>
      <w:r w:rsidRPr="00ED3968">
        <w:rPr>
          <w:lang w:val="sk-SK"/>
        </w:rPr>
        <w:t>ako sú</w:t>
      </w:r>
      <w:r w:rsidRPr="005A671A">
        <w:rPr>
          <w:lang w:val="sk-SK"/>
        </w:rPr>
        <w:t xml:space="preserve"> </w:t>
      </w:r>
      <w:r w:rsidRPr="00ED3968">
        <w:rPr>
          <w:lang w:val="sk-SK"/>
        </w:rPr>
        <w:t>bludy</w:t>
      </w:r>
      <w:r w:rsidRPr="005A671A">
        <w:rPr>
          <w:lang w:val="sk-SK"/>
        </w:rPr>
        <w:t xml:space="preserve">, </w:t>
      </w:r>
      <w:r w:rsidRPr="00ED3968">
        <w:rPr>
          <w:lang w:val="sk-SK"/>
        </w:rPr>
        <w:t>halucinácie</w:t>
      </w:r>
      <w:r w:rsidRPr="005A671A">
        <w:rPr>
          <w:lang w:val="sk-SK"/>
        </w:rPr>
        <w:t xml:space="preserve">, poruchy </w:t>
      </w:r>
      <w:r w:rsidRPr="00ED3968">
        <w:rPr>
          <w:lang w:val="sk-SK"/>
        </w:rPr>
        <w:t>myslenia</w:t>
      </w:r>
      <w:r w:rsidRPr="005A671A">
        <w:rPr>
          <w:lang w:val="sk-SK"/>
        </w:rPr>
        <w:t xml:space="preserve">, </w:t>
      </w:r>
      <w:r w:rsidRPr="00ED3968">
        <w:rPr>
          <w:lang w:val="sk-SK"/>
        </w:rPr>
        <w:t>hostilita</w:t>
      </w:r>
      <w:r w:rsidRPr="005A671A">
        <w:rPr>
          <w:lang w:val="sk-SK"/>
        </w:rPr>
        <w:t xml:space="preserve"> </w:t>
      </w:r>
      <w:r w:rsidRPr="00ED3968">
        <w:rPr>
          <w:lang w:val="sk-SK"/>
        </w:rPr>
        <w:t>a</w:t>
      </w:r>
      <w:r w:rsidRPr="005A671A">
        <w:rPr>
          <w:lang w:val="sk-SK"/>
        </w:rPr>
        <w:t> </w:t>
      </w:r>
      <w:r w:rsidRPr="00ED3968">
        <w:rPr>
          <w:lang w:val="sk-SK"/>
        </w:rPr>
        <w:t>paranoidné</w:t>
      </w:r>
      <w:r w:rsidRPr="005A671A">
        <w:rPr>
          <w:lang w:val="sk-SK"/>
        </w:rPr>
        <w:t xml:space="preserve"> </w:t>
      </w:r>
      <w:r w:rsidRPr="00ED3968">
        <w:rPr>
          <w:lang w:val="sk-SK"/>
        </w:rPr>
        <w:t>bludy</w:t>
      </w:r>
      <w:r w:rsidRPr="008B483C">
        <w:rPr>
          <w:noProof w:val="0"/>
          <w:lang w:val="sk-SK"/>
        </w:rPr>
        <w:t>)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negatívne symptómy (ako sú plochá afektivita, emociálne a sociálne zlyhávanie</w:t>
      </w:r>
      <w:r w:rsidRPr="008B483C">
        <w:rPr>
          <w:noProof w:val="0"/>
          <w:lang w:val="sk-SK"/>
        </w:rPr>
        <w:t>)</w:t>
      </w:r>
    </w:p>
    <w:p w:rsidR="0007125D" w:rsidRPr="005A671A" w:rsidRDefault="0007125D" w:rsidP="00ED3968">
      <w:pPr>
        <w:pStyle w:val="Styl2"/>
      </w:pPr>
      <w:r w:rsidRPr="005A671A">
        <w:t>Dávkovanie a spôsob podávania</w:t>
      </w:r>
    </w:p>
    <w:p w:rsidR="0007125D" w:rsidRPr="00ED3968" w:rsidRDefault="0007125D" w:rsidP="00E67873">
      <w:pPr>
        <w:pStyle w:val="Styl2-2"/>
      </w:pPr>
      <w:r w:rsidRPr="005A671A">
        <w:t>Dávkovanie</w:t>
      </w:r>
    </w:p>
    <w:p w:rsidR="0007125D" w:rsidRPr="008B483C" w:rsidRDefault="0007125D" w:rsidP="0007125D">
      <w:pPr>
        <w:pStyle w:val="Normlndobloku"/>
      </w:pPr>
      <w:r w:rsidRPr="008B483C">
        <w:t xml:space="preserve">U akútnych psychotických epizód sa </w:t>
      </w:r>
      <w:r w:rsidRPr="008B483C">
        <w:rPr>
          <w:szCs w:val="22"/>
        </w:rPr>
        <w:t>odporúča perorálna dávka v rozmedzí 400 </w:t>
      </w:r>
      <w:r w:rsidRPr="008B483C">
        <w:t>– </w:t>
      </w:r>
      <w:r w:rsidRPr="008B483C">
        <w:rPr>
          <w:szCs w:val="22"/>
        </w:rPr>
        <w:t>800 mg/deň. V individuálnych prípadoch je možné dávku zvýšiť na 1200 mg/deň. Dávky nad 1200 mg/deň neboli z hľadiska bezpečnosti dostatočne hodnotené, preto sa nemajú podávať. Na začiatku liečby liekom AKTIPROL sa nevyžaduje špecifická titrácia dávky. Dávky majú byť upravené podľa individuálnej odpovede pacienta.</w:t>
      </w:r>
    </w:p>
    <w:p w:rsidR="0007125D" w:rsidRPr="008B483C" w:rsidRDefault="0007125D" w:rsidP="0007125D">
      <w:pPr>
        <w:pStyle w:val="Normlndobloku"/>
      </w:pPr>
      <w:r w:rsidRPr="008B483C">
        <w:lastRenderedPageBreak/>
        <w:t>U pacientov so zmiešanými pozitívnymi</w:t>
      </w:r>
      <w:r w:rsidRPr="00ED3968">
        <w:t xml:space="preserve"> a</w:t>
      </w:r>
      <w:r w:rsidRPr="008B483C">
        <w:t xml:space="preserve"> </w:t>
      </w:r>
      <w:r w:rsidRPr="00ED3968">
        <w:t>negatívn</w:t>
      </w:r>
      <w:r w:rsidRPr="008B483C">
        <w:t>ymi</w:t>
      </w:r>
      <w:r w:rsidRPr="00ED3968">
        <w:t xml:space="preserve"> symptómy</w:t>
      </w:r>
      <w:r w:rsidRPr="008B483C">
        <w:t xml:space="preserve"> má byť dávka upravená na dosiahnutie optimálnej kontroly pozitívnych symptómov.</w:t>
      </w:r>
    </w:p>
    <w:p w:rsidR="0007125D" w:rsidRPr="008B483C" w:rsidRDefault="0007125D" w:rsidP="0007125D">
      <w:pPr>
        <w:pStyle w:val="Normlndobloku"/>
      </w:pPr>
      <w:r w:rsidRPr="008B483C">
        <w:t>Udržiavacia liečba má byť stanovená individuálne s najnižšou účinnou dávkou.</w:t>
      </w:r>
    </w:p>
    <w:p w:rsidR="0007125D" w:rsidRPr="005A671A" w:rsidRDefault="00105B85" w:rsidP="00ED3968">
      <w:pPr>
        <w:pStyle w:val="Normlndobloku"/>
      </w:pPr>
      <w:r>
        <w:t>Pacienti</w:t>
      </w:r>
      <w:r w:rsidR="008B50E4">
        <w:t>,</w:t>
      </w:r>
      <w:r>
        <w:t xml:space="preserve"> u ktorých prevládajú</w:t>
      </w:r>
      <w:r w:rsidRPr="00ED3968">
        <w:t xml:space="preserve"> </w:t>
      </w:r>
      <w:r w:rsidR="0007125D" w:rsidRPr="00ED3968">
        <w:t xml:space="preserve">negatívne symptómy: </w:t>
      </w:r>
      <w:r w:rsidR="0007125D" w:rsidRPr="005A671A">
        <w:t>odporúčajú sa dávky v rozmedzí 50</w:t>
      </w:r>
      <w:r w:rsidR="0007125D" w:rsidRPr="008B483C">
        <w:t> – </w:t>
      </w:r>
      <w:r w:rsidR="0007125D" w:rsidRPr="005A671A">
        <w:t>300 mg/deň. Dávky sa majú prispôsobiť individuálne.</w:t>
      </w:r>
    </w:p>
    <w:p w:rsidR="0007125D" w:rsidRPr="005A671A" w:rsidRDefault="0007125D" w:rsidP="00ED3968">
      <w:pPr>
        <w:pStyle w:val="Normlndobloku"/>
      </w:pPr>
      <w:r w:rsidRPr="005A671A">
        <w:t>AKTIPROL sa môže podávať raz denne perorálnou cestou do dávky 400 mg, vyššie dávky sa majú rozdeliť do 2 dávok. Má byť použitá minimálna účinná dávka.</w:t>
      </w:r>
    </w:p>
    <w:p w:rsidR="0007125D" w:rsidRPr="008B483C" w:rsidRDefault="0007125D" w:rsidP="0007125D">
      <w:pPr>
        <w:pStyle w:val="Styl3"/>
      </w:pPr>
      <w:r w:rsidRPr="00ED3968">
        <w:t>Starší pacienti</w:t>
      </w:r>
    </w:p>
    <w:p w:rsidR="0007125D" w:rsidRPr="005A671A" w:rsidRDefault="0007125D" w:rsidP="00ED3968">
      <w:pPr>
        <w:pStyle w:val="Normlndobloku"/>
      </w:pPr>
      <w:r w:rsidRPr="008B483C">
        <w:t>B</w:t>
      </w:r>
      <w:r w:rsidRPr="005A671A">
        <w:t>ezpečnosť amisulpridu sa hodnotila u obmedzeného počtu starších pacientov. Amisulprid sa musí používať so zvýšenou opatrnosťou z dôvodu možného rizika hypotenzie a sedácie. Zníženie dávky môže byť tiež potrebné vzhľadom na renálnu insuficienciu.</w:t>
      </w:r>
    </w:p>
    <w:p w:rsidR="0007125D" w:rsidRPr="005A671A" w:rsidRDefault="0007125D" w:rsidP="0007125D">
      <w:pPr>
        <w:pStyle w:val="Styl3"/>
      </w:pPr>
      <w:r w:rsidRPr="005A671A">
        <w:t>Pediatrická populácia</w:t>
      </w:r>
    </w:p>
    <w:p w:rsidR="0007125D" w:rsidRPr="008B483C" w:rsidRDefault="0007125D" w:rsidP="0007125D">
      <w:pPr>
        <w:pStyle w:val="Normlndobloku"/>
      </w:pPr>
      <w:r w:rsidRPr="008B483C">
        <w:t>Účinnosť a bezpečnosť amisulpridu nebola potvrdená u dospievajúcich vo veku od 12 do 18 rokov. K dispozícii sú len obmedzené údaje o použití amisulpridu u dospievajúcich so schizofréniou. Preto sa použitie amisulpridu u dospievajúcich vo veku od 12 do 18 rokov neodporúča, u detí je amisulprid až do veku 12 rokov kontraindikovaný, pretože jeho bezpečnosť zatiaľ nebola potvrdená (pozri časť 4.3).</w:t>
      </w:r>
    </w:p>
    <w:p w:rsidR="0007125D" w:rsidRPr="008B483C" w:rsidRDefault="0007125D" w:rsidP="00ED3968">
      <w:pPr>
        <w:pStyle w:val="Styl3"/>
      </w:pPr>
      <w:r w:rsidRPr="005A671A">
        <w:t>Renálna insuficiencia</w:t>
      </w:r>
    </w:p>
    <w:p w:rsidR="0007125D" w:rsidRPr="008B483C" w:rsidRDefault="0007125D" w:rsidP="0007125D">
      <w:pPr>
        <w:pStyle w:val="Normlndobloku"/>
      </w:pPr>
      <w:r w:rsidRPr="008B483C">
        <w:t>AKTIPROL sa vylučuje obličkami. V prípade renálnej insuficiencie</w:t>
      </w:r>
      <w:bookmarkStart w:id="0" w:name="_GoBack"/>
      <w:bookmarkEnd w:id="0"/>
      <w:r w:rsidRPr="008B483C">
        <w:t xml:space="preserve"> sa má dávka redukovať na 1/2 u pacientov s klírensom kreatinínu medzi 30 – 60 ml/min a na 1/3 u pacientov s klírensom kreatinínu medzi 10 – 30 ml/min. Keďže neexistujú skúsenosti u pacientov s ťažkým renálnym poškodením (klírens</w:t>
      </w:r>
      <w:r w:rsidR="00E67873">
        <w:t xml:space="preserve"> </w:t>
      </w:r>
      <w:r w:rsidR="00E67873" w:rsidRPr="008B483C">
        <w:t>kreatinínu</w:t>
      </w:r>
      <w:r w:rsidRPr="008B483C">
        <w:t xml:space="preserve"> </w:t>
      </w:r>
      <w:r w:rsidRPr="008B483C">
        <w:sym w:font="Symbol" w:char="F03C"/>
      </w:r>
      <w:r w:rsidRPr="008B483C">
        <w:t xml:space="preserve"> 10 ml/min) odporúča sa zvýšená opatrnosť u týchto pacientov (pozri časť 4.4).</w:t>
      </w:r>
    </w:p>
    <w:p w:rsidR="0007125D" w:rsidRPr="008B483C" w:rsidRDefault="0007125D" w:rsidP="00ED3968">
      <w:pPr>
        <w:pStyle w:val="Styl3"/>
      </w:pPr>
      <w:r w:rsidRPr="005A671A">
        <w:t>Hepatálna insuficiencia</w:t>
      </w:r>
    </w:p>
    <w:p w:rsidR="0007125D" w:rsidRPr="008B483C" w:rsidRDefault="0007125D" w:rsidP="0007125D">
      <w:pPr>
        <w:pStyle w:val="Normlndobloku"/>
      </w:pPr>
      <w:r w:rsidRPr="008B483C">
        <w:t>Vzhľadom na pomalú metabolizáciu v pečeni sa nemusí dávka redukovať.</w:t>
      </w:r>
    </w:p>
    <w:p w:rsidR="0007125D" w:rsidRPr="00E67873" w:rsidRDefault="0007125D" w:rsidP="00E67873">
      <w:pPr>
        <w:pStyle w:val="Styl2-2"/>
      </w:pPr>
      <w:r w:rsidRPr="00E67873">
        <w:t>Spôsob podávania</w:t>
      </w:r>
    </w:p>
    <w:p w:rsidR="0007125D" w:rsidRPr="008B483C" w:rsidRDefault="0007125D" w:rsidP="0007125D">
      <w:pPr>
        <w:pStyle w:val="Normlndobloku"/>
      </w:pPr>
      <w:r w:rsidRPr="008B483C">
        <w:t>Perorálne podanie.</w:t>
      </w:r>
    </w:p>
    <w:p w:rsidR="0007125D" w:rsidRPr="005A671A" w:rsidRDefault="0007125D" w:rsidP="00ED3968">
      <w:pPr>
        <w:pStyle w:val="Styl2"/>
      </w:pPr>
      <w:r w:rsidRPr="005A671A">
        <w:t>Kontraindikácie</w:t>
      </w:r>
    </w:p>
    <w:p w:rsidR="0007125D" w:rsidRPr="005A671A" w:rsidRDefault="0007125D" w:rsidP="00ED3968">
      <w:pPr>
        <w:pStyle w:val="Normlndobloku"/>
      </w:pPr>
      <w:r w:rsidRPr="005A671A">
        <w:t>Precitlivenosť na liečivo alebo na ktorúkoľvek z pomocných látok uvedených v časti 6.1.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Súčasné prolaktín-dependentné nádorové ochorenie (napr. prolaktinóm hypofýzy alebo rakovina prsníka).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Feochromocytóm.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Deti do veku 12 rokov, obdobie začínajúcej puberty (pozri časť 4.2).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Laktácia (pozri časť 4.6).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Kombinácia s levodopou (pozri časť 4.5).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Súčasná liečba s liekmi, ktoré môžu predĺžiť QT interval.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Súčasná liečba nasledujúcimi liekmi, ktoré môžu vyvolať Torsades de Pointes:</w:t>
      </w:r>
    </w:p>
    <w:p w:rsidR="0007125D" w:rsidRPr="00ED3968" w:rsidRDefault="0007125D" w:rsidP="00ED3968">
      <w:pPr>
        <w:pStyle w:val="Normlndoblokusodrkami"/>
        <w:numPr>
          <w:ilvl w:val="0"/>
          <w:numId w:val="4"/>
        </w:numPr>
        <w:ind w:left="1985" w:hanging="425"/>
        <w:rPr>
          <w:lang w:val="sk-SK"/>
        </w:rPr>
      </w:pPr>
      <w:r w:rsidRPr="00ED3968">
        <w:rPr>
          <w:lang w:val="sk-SK"/>
        </w:rPr>
        <w:t>antiarytmiká triedy I.A. ako je chinín a </w:t>
      </w:r>
      <w:r w:rsidR="006C0701" w:rsidRPr="00ED3968">
        <w:rPr>
          <w:lang w:val="sk-SK"/>
        </w:rPr>
        <w:t>di</w:t>
      </w:r>
      <w:r w:rsidR="006C0701">
        <w:rPr>
          <w:lang w:val="sk-SK"/>
        </w:rPr>
        <w:t>z</w:t>
      </w:r>
      <w:r w:rsidR="006C0701" w:rsidRPr="00ED3968">
        <w:rPr>
          <w:lang w:val="sk-SK"/>
        </w:rPr>
        <w:t>opyram</w:t>
      </w:r>
      <w:r w:rsidR="006C0701">
        <w:rPr>
          <w:lang w:val="sk-SK"/>
        </w:rPr>
        <w:t>i</w:t>
      </w:r>
      <w:r w:rsidR="006C0701" w:rsidRPr="00ED3968">
        <w:rPr>
          <w:lang w:val="sk-SK"/>
        </w:rPr>
        <w:t>d</w:t>
      </w:r>
    </w:p>
    <w:p w:rsidR="0007125D" w:rsidRPr="00ED3968" w:rsidRDefault="0007125D" w:rsidP="00ED3968">
      <w:pPr>
        <w:pStyle w:val="Normlndoblokusodrkami"/>
        <w:numPr>
          <w:ilvl w:val="0"/>
          <w:numId w:val="4"/>
        </w:numPr>
        <w:ind w:left="1985" w:hanging="425"/>
        <w:rPr>
          <w:lang w:val="sk-SK"/>
        </w:rPr>
      </w:pPr>
      <w:r w:rsidRPr="00ED3968">
        <w:rPr>
          <w:lang w:val="sk-SK"/>
        </w:rPr>
        <w:t>antiarytmiká III. triedy ako je amiodarón a sotalol</w:t>
      </w:r>
    </w:p>
    <w:p w:rsidR="0007125D" w:rsidRPr="005A671A" w:rsidRDefault="0007125D" w:rsidP="00ED3968">
      <w:pPr>
        <w:pStyle w:val="Normlndoblokusodrkami"/>
        <w:numPr>
          <w:ilvl w:val="0"/>
          <w:numId w:val="5"/>
        </w:numPr>
        <w:ind w:left="1985" w:hanging="425"/>
        <w:rPr>
          <w:lang w:val="sk-SK"/>
        </w:rPr>
      </w:pPr>
      <w:r w:rsidRPr="00ED3968">
        <w:rPr>
          <w:lang w:val="sk-SK"/>
        </w:rPr>
        <w:t xml:space="preserve">ďalšie lieky ako je bepridil, cisaprid, sultoprid, tioridazín, metadón, erytromycín IV, vincamín </w:t>
      </w:r>
      <w:r w:rsidRPr="008B483C">
        <w:rPr>
          <w:noProof w:val="0"/>
          <w:lang w:val="sk-SK"/>
        </w:rPr>
        <w:t>IV,</w:t>
      </w:r>
      <w:r w:rsidRPr="005A671A">
        <w:rPr>
          <w:lang w:val="sk-SK"/>
        </w:rPr>
        <w:t xml:space="preserve"> halofantrín, pentamidín, sparfloxacín (pozri časť 4.5</w:t>
      </w:r>
      <w:r w:rsidRPr="008B483C">
        <w:rPr>
          <w:noProof w:val="0"/>
          <w:lang w:val="sk-SK"/>
        </w:rPr>
        <w:t>)</w:t>
      </w:r>
    </w:p>
    <w:p w:rsidR="0007125D" w:rsidRPr="005A671A" w:rsidRDefault="0007125D" w:rsidP="00ED3968">
      <w:pPr>
        <w:pStyle w:val="Styl2"/>
      </w:pPr>
      <w:r w:rsidRPr="005A671A">
        <w:lastRenderedPageBreak/>
        <w:t>Osobitné upozornenia a opatrenia pri používaní</w:t>
      </w:r>
    </w:p>
    <w:p w:rsidR="0007125D" w:rsidRPr="00ED3968" w:rsidRDefault="0007125D" w:rsidP="0007125D">
      <w:pPr>
        <w:pStyle w:val="Styl3"/>
        <w:rPr>
          <w:rStyle w:val="NormlndoblokuChar"/>
        </w:rPr>
      </w:pPr>
      <w:r w:rsidRPr="005A671A">
        <w:t>Neuroleptický malígny syndróm</w:t>
      </w:r>
    </w:p>
    <w:p w:rsidR="0007125D" w:rsidRPr="00ED3968" w:rsidRDefault="0007125D" w:rsidP="0007125D">
      <w:pPr>
        <w:pStyle w:val="Normlndobloku"/>
      </w:pPr>
      <w:r w:rsidRPr="00ED3968">
        <w:t>Rovnako ako u ostatných neuroleptík, sa môže objaviť neuroleptický malígny syndróm, komplikácia s možnými smrteľnými následkami, ktorý je charakterizovaný hypertermiou, svalovou rigiditou, vegetatívnou</w:t>
      </w:r>
      <w:r w:rsidRPr="008B483C">
        <w:t xml:space="preserve"> </w:t>
      </w:r>
      <w:r w:rsidRPr="00ED3968">
        <w:t>nestabilitou, poruchami vedomia a zvýšenou hladinou kreatínfosfokinázy (CPK). V prípade hypertermie, najmä pri vysokých denných dávkach, sa má podávanie všetkých antipsychotík, vrátane lieku AKTIPROL, prerušiť.</w:t>
      </w:r>
    </w:p>
    <w:p w:rsidR="0007125D" w:rsidRPr="005A671A" w:rsidRDefault="0007125D" w:rsidP="0007125D">
      <w:pPr>
        <w:pStyle w:val="Styl3"/>
      </w:pPr>
      <w:r w:rsidRPr="005A671A">
        <w:t>Hyperglykémia</w:t>
      </w:r>
    </w:p>
    <w:p w:rsidR="0007125D" w:rsidRPr="008B483C" w:rsidRDefault="0007125D" w:rsidP="0007125D">
      <w:pPr>
        <w:pStyle w:val="Normlndobloku"/>
      </w:pPr>
      <w:r w:rsidRPr="008B483C">
        <w:t>U pacientov liečených niektorými atypickými antipsychotikami, vrátane amisulpridu, bola hlásená hyperglykémia, preto sa má u pacientov s preukázanou diagnózou diabetes mellitus alebo s rizikovými faktormi pre diabetes, ktorí sa už začali liečiť amisulpridom, vhodne monitorovať glykémia.</w:t>
      </w:r>
    </w:p>
    <w:p w:rsidR="0007125D" w:rsidRPr="005A671A" w:rsidRDefault="0007125D" w:rsidP="0007125D">
      <w:pPr>
        <w:pStyle w:val="Styl3"/>
      </w:pPr>
      <w:r w:rsidRPr="005A671A">
        <w:t>Renálna insuficiencia</w:t>
      </w:r>
    </w:p>
    <w:p w:rsidR="0007125D" w:rsidRPr="008B483C" w:rsidRDefault="0007125D" w:rsidP="0007125D">
      <w:pPr>
        <w:pStyle w:val="Normlndobloku"/>
      </w:pPr>
      <w:r w:rsidRPr="008B483C">
        <w:t>AKTIPROL sa vylučuje obličkami.</w:t>
      </w:r>
      <w:r w:rsidRPr="00ED3968">
        <w:t xml:space="preserve"> V prípade renálnej insuficiencie, sa má znížiť dávka alebo zvážiť </w:t>
      </w:r>
      <w:r w:rsidR="00577D5D">
        <w:t>intermitentnú</w:t>
      </w:r>
      <w:r w:rsidR="00577D5D" w:rsidRPr="00ED3968">
        <w:t xml:space="preserve"> liečb</w:t>
      </w:r>
      <w:r w:rsidR="00577D5D">
        <w:t>u</w:t>
      </w:r>
      <w:r w:rsidR="00577D5D" w:rsidRPr="00ED3968">
        <w:t xml:space="preserve"> </w:t>
      </w:r>
      <w:r w:rsidRPr="00ED3968">
        <w:t>(pozri časť 4.2).</w:t>
      </w:r>
    </w:p>
    <w:p w:rsidR="0007125D" w:rsidRPr="005A671A" w:rsidRDefault="0007125D" w:rsidP="0007125D">
      <w:pPr>
        <w:pStyle w:val="Styl3"/>
      </w:pPr>
      <w:r w:rsidRPr="005A671A">
        <w:t>Epilepsia</w:t>
      </w:r>
    </w:p>
    <w:p w:rsidR="0007125D" w:rsidRPr="008B483C" w:rsidRDefault="0007125D" w:rsidP="0007125D">
      <w:pPr>
        <w:pStyle w:val="Normlndobloku"/>
      </w:pPr>
      <w:r w:rsidRPr="008B483C">
        <w:t>AKTIPROL môže znižovať prah epileptických záchvatov. Preto je potrebné u pacientov s epilepsiou v anamnéze dôsledné sledovanie počas liečby liekom AKTIPROL.</w:t>
      </w:r>
    </w:p>
    <w:p w:rsidR="0007125D" w:rsidRPr="005A671A" w:rsidRDefault="0007125D" w:rsidP="0007125D">
      <w:pPr>
        <w:pStyle w:val="Styl3"/>
      </w:pPr>
      <w:r w:rsidRPr="005A671A">
        <w:t>Starší pacienti</w:t>
      </w:r>
    </w:p>
    <w:p w:rsidR="0007125D" w:rsidRPr="008B483C" w:rsidRDefault="0007125D" w:rsidP="0007125D">
      <w:pPr>
        <w:pStyle w:val="Normlndobloku"/>
      </w:pPr>
      <w:r w:rsidRPr="008B483C">
        <w:t>U starších pacientov sa AKTIPROL, rovnako aj ako ostatné neuroleptiká, podáva so zvýšenou opatrnosťou kvôli možnému riziku vzniku hypotenzie a útlmu. Zníženie dávky môže byť tiež potrebné vzhľadom na renálnu insuficienciu.</w:t>
      </w:r>
    </w:p>
    <w:p w:rsidR="0007125D" w:rsidRPr="005A671A" w:rsidRDefault="0007125D" w:rsidP="00ED3968">
      <w:pPr>
        <w:pStyle w:val="Styl3"/>
      </w:pPr>
      <w:r w:rsidRPr="005A671A">
        <w:t>Parkinsonova choroba</w:t>
      </w:r>
    </w:p>
    <w:p w:rsidR="0007125D" w:rsidRPr="008B483C" w:rsidRDefault="0007125D" w:rsidP="0007125D">
      <w:pPr>
        <w:pStyle w:val="Normlndobloku"/>
      </w:pPr>
      <w:r w:rsidRPr="008B483C">
        <w:t>Rovnako ako pri iných antidopaminergných látkach, je potrebná vyššia opatrnosť pri predpisovaní lieku AKTIPROL u pacientov s Parkinsonovou chorobou, pretože môže dôjsť k zhoršeniu ochorenia. AKTIPROL sa má podávať, len ak je neuroleptická liečba nevyhnutná.</w:t>
      </w:r>
    </w:p>
    <w:p w:rsidR="0007125D" w:rsidRPr="005A671A" w:rsidRDefault="0007125D" w:rsidP="0007125D">
      <w:pPr>
        <w:pStyle w:val="Styl3"/>
      </w:pPr>
      <w:r w:rsidRPr="005A671A">
        <w:t>Náhle ukončenie liečby</w:t>
      </w:r>
    </w:p>
    <w:p w:rsidR="0007125D" w:rsidRPr="008B483C" w:rsidRDefault="0007125D" w:rsidP="0007125D">
      <w:pPr>
        <w:pStyle w:val="Normlndobloku"/>
      </w:pPr>
      <w:r w:rsidRPr="008B483C">
        <w:t>Po náhlom ukončení podávania vysokých dávok antipsychotík sa zaznamenali akútne abstinenčné príznaky, vrátane nevoľnosti, vracania a nespavosti. Môže dôjsť k opätovnému výskytu psychotických symptómov a boli tiež hlásené mimovoľné pohyb</w:t>
      </w:r>
      <w:r w:rsidR="00577D5D">
        <w:t>y</w:t>
      </w:r>
      <w:r w:rsidRPr="008B483C">
        <w:t>(ako napríklad akatízia, dystónia a dyskinéza). Preto sa odporúča postupné ukončenie liečby.</w:t>
      </w:r>
    </w:p>
    <w:p w:rsidR="0007125D" w:rsidRPr="005A671A" w:rsidRDefault="0007125D" w:rsidP="0007125D">
      <w:pPr>
        <w:pStyle w:val="Styl3"/>
      </w:pPr>
      <w:r w:rsidRPr="005A671A">
        <w:t>Predĺžený QT interval</w:t>
      </w:r>
    </w:p>
    <w:p w:rsidR="0007125D" w:rsidRPr="008B483C" w:rsidRDefault="0007125D" w:rsidP="0007125D">
      <w:pPr>
        <w:pStyle w:val="Normlndobloku"/>
      </w:pPr>
      <w:r w:rsidRPr="008B483C">
        <w:t xml:space="preserve">Pri predpisovaní amisulpridu pacientom so známym srdcovocievnym ochorením alebo pacientom s rodinnou anamnézou predĺženia QT intervalu, je nutná opatrnosť a je potrebné vyhnúť sa súčasnému užívaniu amisulpridu s neuroleptikami. </w:t>
      </w:r>
      <w:r w:rsidRPr="00ED3968">
        <w:t>V závislosti na dávke amisulprid spôsobuje predĺženie QT intervalu (pozri časť 4.8).</w:t>
      </w:r>
      <w:r w:rsidRPr="008B483C">
        <w:t xml:space="preserve"> </w:t>
      </w:r>
      <w:r w:rsidRPr="00ED3968">
        <w:t xml:space="preserve">Tento účinok sa prejavuje zvýšeným rizikom </w:t>
      </w:r>
      <w:r w:rsidRPr="008B483C">
        <w:t>závažných komorových arytmií ako je Torsades de pointes. Pred liečbou, v prípade, že to zdravotný stav pacienta dovolí, je vhodné sledovať všetky faktory, ktoré môžu zvyšovať riziko vzniku závažných arytmií, ako napríklad: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bradykardia s frekvenciou menej ako 55 úderov za minútu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elektrolytová nerovnováha, najmä hypokalémia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vrodené predĺženie QT intervalu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lastRenderedPageBreak/>
        <w:t>prebiehajúca liečba liekmi, ktoré môžu spôsobiť ťažkú bradykardiu (&lt;55 úderov/min</w:t>
      </w:r>
      <w:r w:rsidRPr="008B483C">
        <w:rPr>
          <w:noProof w:val="0"/>
          <w:lang w:val="sk-SK"/>
        </w:rPr>
        <w:t>),</w:t>
      </w:r>
      <w:r w:rsidRPr="005A671A">
        <w:rPr>
          <w:lang w:val="sk-SK"/>
        </w:rPr>
        <w:t xml:space="preserve"> hypokalémia, spomalené</w:t>
      </w:r>
      <w:r w:rsidRPr="00ED3968">
        <w:rPr>
          <w:lang w:val="sk-SK"/>
        </w:rPr>
        <w:t xml:space="preserve"> intrakardiálne vedenie alebo predĺženie QT intervalu (pozri časť 4.5</w:t>
      </w:r>
      <w:r w:rsidRPr="008B483C">
        <w:rPr>
          <w:noProof w:val="0"/>
          <w:lang w:val="sk-SK"/>
        </w:rPr>
        <w:t>)</w:t>
      </w:r>
    </w:p>
    <w:p w:rsidR="0007125D" w:rsidRPr="005A671A" w:rsidRDefault="0007125D" w:rsidP="0007125D">
      <w:pPr>
        <w:pStyle w:val="Styl3"/>
      </w:pPr>
      <w:r w:rsidRPr="005A671A">
        <w:t>Náhla cievna mozgová príhoda</w:t>
      </w:r>
    </w:p>
    <w:p w:rsidR="0007125D" w:rsidRPr="008B483C" w:rsidRDefault="0007125D" w:rsidP="0007125D">
      <w:pPr>
        <w:pStyle w:val="Normlndobloku"/>
      </w:pPr>
      <w:r w:rsidRPr="008B483C">
        <w:t>V randomizovaných klinických štúdiách v porovnaní s placebom, vykonaných na populácii starších pacientov s demenciou a liečených niektorými atypickými antipsychotikami sa pozorovalo 3-násobné zvýšenie rizika cerebrovaskulárnych udalostí. Mechanizmus zvýšenia tohto rizika nie je známy. Nemožno vylúčiť zvýšenie rizika pri iných antipsychotikách alebo inej populácii pacientov. AKTIPROL sa má užívať s opatrnosťou u pacientov s rizikovými faktormi náhlej cievnej mozgovej príhody.</w:t>
      </w:r>
    </w:p>
    <w:p w:rsidR="0007125D" w:rsidRPr="005A671A" w:rsidRDefault="0007125D" w:rsidP="0007125D">
      <w:pPr>
        <w:pStyle w:val="Styl3"/>
      </w:pPr>
      <w:r w:rsidRPr="005A671A">
        <w:t>Starší pacienti s demenciou</w:t>
      </w:r>
    </w:p>
    <w:p w:rsidR="0007125D" w:rsidRPr="008B483C" w:rsidRDefault="0007125D" w:rsidP="0007125D">
      <w:pPr>
        <w:pStyle w:val="Normlndobloku"/>
      </w:pPr>
      <w:r w:rsidRPr="008B483C">
        <w:t>U starších pacientov so psychózou súvisiacou s demenciou, ktorí sú liečení antipsychotikami, je zvýšené riziko smrti. Analýzy sedemnástich placebom-kontrolovaných štúdií (modus trvania 10 týždňov), prevažne u pacientov užívajúcich atypické antipsychotiká, odhalili 1,6 až 1,7-násobne väčšie riziko smrti u pacientov liečených liekmi ako u pacientov užívajúcich placebo. Počas priebehu typickej 10-týždňovej kontrolovanej štúdie nastala smrť u približne 4,5 % liekmi liečených pacientov, kým v skupine s placebom nastala u 2,6 % pacientov. Aj keď sa príčiny smrti, ku ktorým došlo počas klinických skúšaní s atypickými antipsychotikami líšili, najčastejšie boli buď kardiovaskulárneho (napr. zlyhanie srdca, náhla smrť) alebo infekčného charakteru (napr. pneumónia). Observačné štúdie naznačujú, že podobne ako atypické antipsychotiká, aj liečba s konvenčnými antipsychotikami môže zvyšovať úmrtnosť.</w:t>
      </w:r>
    </w:p>
    <w:p w:rsidR="0007125D" w:rsidRPr="008B483C" w:rsidRDefault="0007125D" w:rsidP="0007125D">
      <w:pPr>
        <w:pStyle w:val="Normlndobloku"/>
      </w:pPr>
      <w:r w:rsidRPr="008B483C">
        <w:t xml:space="preserve">Rozsah, v ktorom môžu byť zistenia zvýšenej mortality v observačných štúdiách pripísané antipsychotikám, a nie niektorým </w:t>
      </w:r>
      <w:r w:rsidR="0087552F">
        <w:t>charakteristikám</w:t>
      </w:r>
      <w:r w:rsidR="0087552F" w:rsidRPr="008B483C">
        <w:t xml:space="preserve"> </w:t>
      </w:r>
      <w:r w:rsidRPr="008B483C">
        <w:t>pacientov, nie je jasný.</w:t>
      </w:r>
    </w:p>
    <w:p w:rsidR="0007125D" w:rsidRPr="008B483C" w:rsidRDefault="0007125D" w:rsidP="0007125D">
      <w:pPr>
        <w:pStyle w:val="Normlndobloku"/>
      </w:pPr>
      <w:r w:rsidRPr="00ED3968">
        <w:t xml:space="preserve">AKTIPROL nie je registrovaný </w:t>
      </w:r>
      <w:r w:rsidRPr="008B483C">
        <w:t>na liečbu pacientov s poruchami chovania súvisiacimi s demenciou.</w:t>
      </w:r>
    </w:p>
    <w:p w:rsidR="0007125D" w:rsidRPr="005A671A" w:rsidRDefault="0007125D" w:rsidP="0007125D">
      <w:pPr>
        <w:pStyle w:val="Styl3"/>
      </w:pPr>
      <w:r w:rsidRPr="005A671A">
        <w:t>Venózna tromboembólia</w:t>
      </w:r>
    </w:p>
    <w:p w:rsidR="0007125D" w:rsidRPr="008B483C" w:rsidRDefault="0007125D" w:rsidP="0007125D">
      <w:pPr>
        <w:pStyle w:val="Normlndobloku"/>
      </w:pPr>
      <w:r w:rsidRPr="008B483C">
        <w:t>V súvislosti s užívaním antipsychotík boli zaznamenané prípady venóznej trombembólie (VTE). Vzhľadom na to, že u pacientov liečených antipsychotikami sú často prítomné získané rizikové faktory VTE, je nutné identifikovať všetky možné rizikové faktory pred a počas liečby liekom AKTIPROL a majú sa vykonať všetky preventívne opatrenia.</w:t>
      </w:r>
    </w:p>
    <w:p w:rsidR="0007125D" w:rsidRPr="005A671A" w:rsidRDefault="0007125D" w:rsidP="0007125D">
      <w:pPr>
        <w:pStyle w:val="Styl3"/>
      </w:pPr>
      <w:r w:rsidRPr="005A671A">
        <w:t>Leukopénia, neutropénia a agranulocytóza</w:t>
      </w:r>
    </w:p>
    <w:p w:rsidR="0007125D" w:rsidRPr="008B483C" w:rsidRDefault="0007125D" w:rsidP="0007125D">
      <w:pPr>
        <w:pStyle w:val="Normlndobloku"/>
      </w:pPr>
      <w:r w:rsidRPr="008B483C">
        <w:t>V súvislosti s antipsychotikami, vrátane lieku AKTIPROL, sa zaznamenala leukopénia, neutropénia a agranulocytóza. Neobjasnené infekcie alebo horúčka môžu byť prejavom krvných dyskrázií (pozri časť 4.8) a vyžadujú okamžité hematologické vyšetrenie.</w:t>
      </w:r>
    </w:p>
    <w:p w:rsidR="0007125D" w:rsidRPr="005A671A" w:rsidRDefault="0007125D" w:rsidP="0007125D">
      <w:pPr>
        <w:pStyle w:val="Styl3"/>
      </w:pPr>
      <w:r w:rsidRPr="005A671A">
        <w:t>Karcinóm prsníka</w:t>
      </w:r>
    </w:p>
    <w:p w:rsidR="0007125D" w:rsidRPr="008B483C" w:rsidRDefault="0007125D" w:rsidP="0007125D">
      <w:pPr>
        <w:pStyle w:val="Normlndobloku"/>
      </w:pPr>
      <w:r w:rsidRPr="00ED3968">
        <w:t>Amisulprid môže zvýšiť hladinu prolaktínu, a preto je potrebná zvýšená opatrnosť. Pacienti s anamnézou rakoviny prsníka alebo výskytu rakoviny prsníka v rodinnej anamnéze, majú byť počas liečby amisulpridom starostlivo monitorovaní.</w:t>
      </w:r>
    </w:p>
    <w:p w:rsidR="0007125D" w:rsidRPr="005A671A" w:rsidRDefault="0007125D" w:rsidP="0007125D">
      <w:pPr>
        <w:pStyle w:val="Styl3"/>
      </w:pPr>
      <w:r w:rsidRPr="005A671A">
        <w:t>Laktóza</w:t>
      </w:r>
    </w:p>
    <w:p w:rsidR="0007125D" w:rsidRPr="00ED3968" w:rsidRDefault="0007125D" w:rsidP="0007125D">
      <w:pPr>
        <w:pStyle w:val="Normlndobloku"/>
      </w:pPr>
      <w:r w:rsidRPr="00ED3968">
        <w:t xml:space="preserve">Liek obsahuje </w:t>
      </w:r>
      <w:r w:rsidRPr="008B483C">
        <w:t>monohydrát laktózy. Pacienti</w:t>
      </w:r>
      <w:r w:rsidRPr="00ED3968">
        <w:t xml:space="preserve"> so zriedkavými dedičnými </w:t>
      </w:r>
      <w:r w:rsidRPr="008B483C">
        <w:t>problémami galaktózovej intolerancie, laponského deficitu</w:t>
      </w:r>
      <w:r w:rsidRPr="00ED3968">
        <w:t xml:space="preserve"> laktázy alebo </w:t>
      </w:r>
      <w:r w:rsidRPr="008B483C">
        <w:t>glukózo-galaktózovej malabsorpcie nesmú užívať tento liek</w:t>
      </w:r>
      <w:r w:rsidRPr="00ED3968">
        <w:t>.</w:t>
      </w:r>
    </w:p>
    <w:p w:rsidR="0007125D" w:rsidRPr="005A671A" w:rsidRDefault="0007125D" w:rsidP="00ED3968">
      <w:pPr>
        <w:pStyle w:val="Styl2"/>
      </w:pPr>
      <w:r w:rsidRPr="005A671A">
        <w:t>Liekové a iné interakcie</w:t>
      </w:r>
    </w:p>
    <w:p w:rsidR="0007125D" w:rsidRPr="005A671A" w:rsidRDefault="0007125D" w:rsidP="0007125D">
      <w:pPr>
        <w:pStyle w:val="Styl3"/>
      </w:pPr>
      <w:r w:rsidRPr="005A671A">
        <w:t>Kontraindikované kombinácie</w:t>
      </w:r>
    </w:p>
    <w:p w:rsidR="0007125D" w:rsidRPr="008B483C" w:rsidRDefault="0007125D" w:rsidP="0007125D">
      <w:pPr>
        <w:pStyle w:val="Normlndobloku"/>
      </w:pPr>
      <w:r w:rsidRPr="008B483C">
        <w:t>Levodopa: vzájomný antagonizmus účinkov medzi levodopou a neuroleptikami.</w:t>
      </w:r>
    </w:p>
    <w:p w:rsidR="0007125D" w:rsidRPr="008B483C" w:rsidRDefault="0007125D" w:rsidP="0007125D">
      <w:pPr>
        <w:pStyle w:val="Normlndobloku"/>
      </w:pPr>
      <w:r w:rsidRPr="008B483C">
        <w:lastRenderedPageBreak/>
        <w:t>Amisulprid môže brániť účinok agonistov dopamínu, napr. bromokriptínu, ropirinolu.</w:t>
      </w:r>
    </w:p>
    <w:p w:rsidR="0007125D" w:rsidRPr="008B483C" w:rsidRDefault="0007125D" w:rsidP="0007125D">
      <w:pPr>
        <w:pStyle w:val="Normlndobloku"/>
      </w:pPr>
      <w:r w:rsidRPr="008B483C">
        <w:t>Lieky, ktoré môžu indukovať Torsades de Pointes alebo predĺženie QT intervalu (pozri časť 4.4 a 4.3):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antiarytmiká triedy I.A. ako je chinín a </w:t>
      </w:r>
      <w:r w:rsidR="006C0701" w:rsidRPr="005A671A">
        <w:rPr>
          <w:lang w:val="sk-SK"/>
        </w:rPr>
        <w:t>di</w:t>
      </w:r>
      <w:r w:rsidR="006C0701">
        <w:rPr>
          <w:lang w:val="sk-SK"/>
        </w:rPr>
        <w:t>z</w:t>
      </w:r>
      <w:r w:rsidR="006C0701" w:rsidRPr="005A671A">
        <w:rPr>
          <w:lang w:val="sk-SK"/>
        </w:rPr>
        <w:t>opyram</w:t>
      </w:r>
      <w:r w:rsidR="006C0701">
        <w:rPr>
          <w:lang w:val="sk-SK"/>
        </w:rPr>
        <w:t>i</w:t>
      </w:r>
      <w:r w:rsidR="006C0701" w:rsidRPr="005A671A">
        <w:rPr>
          <w:lang w:val="sk-SK"/>
        </w:rPr>
        <w:t>d</w:t>
      </w:r>
      <w:r w:rsidRPr="00ED3968">
        <w:rPr>
          <w:lang w:val="sk-SK"/>
        </w:rPr>
        <w:t>,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antiarytmiká III. triedy ako je amiodarón a sotalol,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ďalšie lieky ako je bepridil, cisaprid, sultoprid, tioridazín, meta</w:t>
      </w:r>
      <w:r w:rsidR="00ED3968">
        <w:rPr>
          <w:lang w:val="sk-SK"/>
        </w:rPr>
        <w:t>dón, erytromycín IV, vincamín IV</w:t>
      </w:r>
      <w:r w:rsidRPr="00ED3968">
        <w:rPr>
          <w:lang w:val="sk-SK"/>
        </w:rPr>
        <w:t>., halofantrín, pentamidín, sparfloxacín (pozri časť 4.3).</w:t>
      </w:r>
    </w:p>
    <w:p w:rsidR="0007125D" w:rsidRPr="005A671A" w:rsidRDefault="0007125D" w:rsidP="0007125D">
      <w:pPr>
        <w:pStyle w:val="Styl3"/>
      </w:pPr>
      <w:r w:rsidRPr="005A671A">
        <w:t>Neodporúčané kombinácie</w:t>
      </w:r>
    </w:p>
    <w:p w:rsidR="0007125D" w:rsidRPr="008B483C" w:rsidRDefault="0007125D" w:rsidP="0007125D">
      <w:pPr>
        <w:pStyle w:val="Normlndobloku"/>
      </w:pPr>
      <w:r w:rsidRPr="008B483C">
        <w:t>AKTIPROL môže zvyšovať centrálne účinky alkoholu.</w:t>
      </w:r>
    </w:p>
    <w:p w:rsidR="0007125D" w:rsidRPr="008B483C" w:rsidRDefault="0007125D" w:rsidP="0007125D">
      <w:pPr>
        <w:pStyle w:val="Normlndobloku"/>
      </w:pPr>
      <w:r w:rsidRPr="008B483C">
        <w:t>Lieky, ktoré zvyšujú riziko vzniku Torsades de Pointes alebo môžu predĺžiť QT interval: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lieky, ktoré môžu spôsobiť bradykardiu, vrátane beta-blokátorov, bradykardiu</w:t>
      </w:r>
      <w:r w:rsidRPr="00ED3968">
        <w:rPr>
          <w:lang w:val="sk-SK"/>
        </w:rPr>
        <w:t xml:space="preserve"> – vrátane antagonistov vápnika ako diltiazem, verapamil, klonidín, guafacin a digoxín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lieky, ktoré vyvolávajú nerovnováhu elektrolytov: kálium šetriace diuretiká, stimulačné laxatíva, IV amfotericín B, glukokortikoidy a tetrakosaktidy. Hypokaliémie by mala byť upravená.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antipsychotiká ako je pimozid a haloperidol, imipramínové antidepresíva, lítium</w:t>
      </w:r>
    </w:p>
    <w:p w:rsidR="0007125D" w:rsidRPr="005A671A" w:rsidRDefault="0007125D" w:rsidP="0007125D">
      <w:pPr>
        <w:pStyle w:val="Styl3"/>
      </w:pPr>
      <w:r w:rsidRPr="005A671A">
        <w:t>Kombinácie, ktoré treba zvážiť</w:t>
      </w:r>
    </w:p>
    <w:p w:rsidR="0007125D" w:rsidRPr="008B483C" w:rsidRDefault="0007125D" w:rsidP="0007125D">
      <w:pPr>
        <w:pStyle w:val="Normlndobloku"/>
      </w:pPr>
      <w:r w:rsidRPr="008B483C">
        <w:t>Lieky tlmiace CNS vrátane narkotík, analgetík, sedatívnych H1 antihistaminík, barbiturátov, benzodiazepínov a ďalších anxiolytík, klonidínu a jeho derivátov.</w:t>
      </w:r>
    </w:p>
    <w:p w:rsidR="0007125D" w:rsidRPr="008B483C" w:rsidRDefault="0007125D" w:rsidP="0007125D">
      <w:pPr>
        <w:pStyle w:val="Normlndobloku"/>
      </w:pPr>
      <w:r w:rsidRPr="008B483C">
        <w:t>Antihypertenzíva a ostatné lieky znižujúce krvný tlak.</w:t>
      </w:r>
    </w:p>
    <w:p w:rsidR="0007125D" w:rsidRPr="008B483C" w:rsidRDefault="0007125D" w:rsidP="0007125D">
      <w:pPr>
        <w:pStyle w:val="Normlndobloku"/>
      </w:pPr>
      <w:r w:rsidRPr="008B483C">
        <w:t>Opatrnosť sa odporúča pri predpisovaní amisulpridu spolu s </w:t>
      </w:r>
      <w:bookmarkStart w:id="1" w:name="OLE_LINK3"/>
      <w:r w:rsidRPr="008B483C">
        <w:t>liekmi, o ktorých je známe, že predlžujú QT interval</w:t>
      </w:r>
      <w:bookmarkEnd w:id="1"/>
      <w:r w:rsidRPr="008B483C">
        <w:t xml:space="preserve"> napr. antiarytmiká triedy IA (napr. chinidín, disopyramid) a antiarytmiká triedy III (napr. amiodarón, sotalol), niektoré antihistaminiká, niektoré iné antipsychotiká a niektoré antimalariká (napr. meflochín) (pozri časť 4.4).</w:t>
      </w:r>
    </w:p>
    <w:p w:rsidR="0007125D" w:rsidRPr="005A671A" w:rsidRDefault="0007125D" w:rsidP="00ED3968">
      <w:pPr>
        <w:pStyle w:val="Styl2"/>
      </w:pPr>
      <w:r w:rsidRPr="005A671A">
        <w:t>Fertilita, gravidita a laktácia</w:t>
      </w:r>
    </w:p>
    <w:p w:rsidR="0007125D" w:rsidRPr="005A671A" w:rsidRDefault="0007125D" w:rsidP="0007125D">
      <w:pPr>
        <w:pStyle w:val="Styl3"/>
      </w:pPr>
      <w:r w:rsidRPr="005A671A">
        <w:t>Gravidita</w:t>
      </w:r>
    </w:p>
    <w:p w:rsidR="0007125D" w:rsidRPr="005A671A" w:rsidRDefault="0007125D" w:rsidP="00ED3968">
      <w:pPr>
        <w:pStyle w:val="Normlndobloku"/>
      </w:pPr>
      <w:r w:rsidRPr="005A671A">
        <w:t>AKTIPROL nepreukázal reprodukčnú toxicitu na zvieratách. Bola pozorovaná znížená fertilita spojená s farmakologickým účinkom lieku (prostredníctvom prolaktínu). Neboli zistené žiadne teratogénne účinky lieku AKTIPROL.</w:t>
      </w:r>
    </w:p>
    <w:p w:rsidR="0007125D" w:rsidRPr="005A671A" w:rsidRDefault="0007125D" w:rsidP="00ED3968">
      <w:pPr>
        <w:pStyle w:val="Normlndobloku"/>
      </w:pPr>
      <w:r w:rsidRPr="005A671A">
        <w:t>K dispozícii sú limitované klinické údaje o</w:t>
      </w:r>
      <w:r w:rsidR="00577D5D">
        <w:t xml:space="preserve"> podávaní lieku počas </w:t>
      </w:r>
      <w:r w:rsidRPr="005A671A">
        <w:t>gravid</w:t>
      </w:r>
      <w:r w:rsidR="00577D5D">
        <w:t>ity</w:t>
      </w:r>
      <w:r w:rsidRPr="005A671A">
        <w:t>. Preto bezpečnosť amisulpridu počas tehotenstva u človeka nebola potvrdená.</w:t>
      </w:r>
    </w:p>
    <w:p w:rsidR="0007125D" w:rsidRPr="005A671A" w:rsidRDefault="0007125D" w:rsidP="00ED3968">
      <w:pPr>
        <w:pStyle w:val="Normlndobloku"/>
      </w:pPr>
      <w:r w:rsidRPr="005A671A">
        <w:t>Užívanie lieku počas gravidity sa neodporúča, iba ak prínos preváži možné riziko.</w:t>
      </w:r>
    </w:p>
    <w:p w:rsidR="0007125D" w:rsidRPr="005A671A" w:rsidRDefault="0007125D" w:rsidP="00ED3968">
      <w:pPr>
        <w:pStyle w:val="Normlndobloku"/>
      </w:pPr>
      <w:r w:rsidRPr="005A671A">
        <w:t xml:space="preserve">Novorodenci, vystavení pôsobeniu antipsychotík, vrátane lieku AKTIPROL, počas tretieho trimestra gravidity matky, sú vystavení riziku nežiaducich účinkov vrátane </w:t>
      </w:r>
      <w:r w:rsidR="00C062B3" w:rsidRPr="005A671A">
        <w:t>extrapyram</w:t>
      </w:r>
      <w:r w:rsidR="00C062B3">
        <w:t>ídových</w:t>
      </w:r>
      <w:r w:rsidR="00C062B3" w:rsidRPr="005A671A">
        <w:t xml:space="preserve"> </w:t>
      </w:r>
      <w:r w:rsidRPr="005A671A">
        <w:t>príznakov a /alebo príznakov z vysadenia, ktoré môžu byť premenlivé čo sa týka závažnosti a dĺžky trvania (pozri časť 4.8). Boli hlásené prípady agitovanosti, hypertónie, hypotónie, trasu, ospalosti, dýchacích ťažkostí alebo porúch kŕmenia. V dôsledku toho majú byť novorodenci starostlivo sledovaní.</w:t>
      </w:r>
    </w:p>
    <w:p w:rsidR="0007125D" w:rsidRPr="005A671A" w:rsidRDefault="0007125D" w:rsidP="0007125D">
      <w:pPr>
        <w:pStyle w:val="Styl3"/>
      </w:pPr>
      <w:r w:rsidRPr="005A671A">
        <w:t>Dojčenie</w:t>
      </w:r>
    </w:p>
    <w:p w:rsidR="0007125D" w:rsidRPr="00ED3968" w:rsidRDefault="0007125D" w:rsidP="00ED3968">
      <w:pPr>
        <w:pStyle w:val="Normlndobloku"/>
      </w:pPr>
      <w:r w:rsidRPr="00ED3968">
        <w:t>Nie je známe, či sa AKTIPROL vylučuje do materského mlieka, preto je dojčenie kontraindikované.</w:t>
      </w:r>
    </w:p>
    <w:p w:rsidR="0007125D" w:rsidRPr="005A671A" w:rsidRDefault="0007125D" w:rsidP="00ED3968">
      <w:pPr>
        <w:pStyle w:val="Styl2"/>
      </w:pPr>
      <w:r w:rsidRPr="005A671A">
        <w:lastRenderedPageBreak/>
        <w:t>Ovplyvnenie schopnosti viesť vozidlá a obsluhovať stroje</w:t>
      </w:r>
    </w:p>
    <w:p w:rsidR="0007125D" w:rsidRPr="008B483C" w:rsidRDefault="0007125D" w:rsidP="0007125D">
      <w:pPr>
        <w:pStyle w:val="Normlndobloku"/>
      </w:pPr>
      <w:r w:rsidRPr="008B483C">
        <w:t>Aj v odporúčaných dávkach môže AKTIPROL spôsobovať ospalosť a narušiť tak schopnosť viesť vozidlá alebo obsluhovať stroje (pozri časť 4.8).</w:t>
      </w:r>
    </w:p>
    <w:p w:rsidR="0007125D" w:rsidRPr="005A671A" w:rsidRDefault="0007125D" w:rsidP="00ED3968">
      <w:pPr>
        <w:pStyle w:val="Styl2"/>
      </w:pPr>
      <w:r w:rsidRPr="005A671A">
        <w:t>Nežiaduce účinky</w:t>
      </w:r>
    </w:p>
    <w:p w:rsidR="0007125D" w:rsidRPr="008B483C" w:rsidRDefault="0007125D" w:rsidP="0007125D">
      <w:pPr>
        <w:pStyle w:val="Normlndobloku"/>
      </w:pPr>
      <w:r w:rsidRPr="008B483C">
        <w:t>Nežiaduce účinky sú triedené podľa frekvencie výskytu nasledovne:</w:t>
      </w:r>
    </w:p>
    <w:p w:rsidR="0007125D" w:rsidRPr="005A671A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5A671A">
        <w:rPr>
          <w:lang w:val="sk-SK"/>
        </w:rPr>
        <w:t>veľmi časté (≥ 1/10),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časté (≥ 1/100 až &lt; 1/10),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menej časté (≥ 1/1 000 až &lt; 1/100),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zriedkavé (≥ 1/10 000 až &lt; 1/1 000),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veľmi zriedkavé (&lt; 1/10 000),</w:t>
      </w:r>
    </w:p>
    <w:p w:rsidR="0007125D" w:rsidRPr="00ED3968" w:rsidRDefault="0007125D" w:rsidP="00ED3968">
      <w:pPr>
        <w:pStyle w:val="Normlndoblokusodrkami"/>
        <w:tabs>
          <w:tab w:val="clear" w:pos="360"/>
        </w:tabs>
        <w:ind w:left="1211" w:hanging="360"/>
        <w:rPr>
          <w:lang w:val="sk-SK"/>
        </w:rPr>
      </w:pPr>
      <w:r w:rsidRPr="00ED3968">
        <w:rPr>
          <w:lang w:val="sk-SK"/>
        </w:rPr>
        <w:t>neznáme (nemožno odhadnúť z dostupných údajov).</w:t>
      </w:r>
    </w:p>
    <w:p w:rsidR="0007125D" w:rsidRPr="005A671A" w:rsidRDefault="0007125D" w:rsidP="00E67873">
      <w:pPr>
        <w:pStyle w:val="Styl2-2"/>
      </w:pPr>
      <w:r w:rsidRPr="005A671A">
        <w:t>Údaje z klinických štúdií</w:t>
      </w:r>
    </w:p>
    <w:p w:rsidR="0007125D" w:rsidRPr="005A671A" w:rsidRDefault="0007125D" w:rsidP="00ED3968">
      <w:pPr>
        <w:pStyle w:val="Normlndobloku"/>
      </w:pPr>
      <w:r w:rsidRPr="005A671A">
        <w:t>Nasledujúce nežiaduce účinky boli hlásené v kontrolovaných klinických štúdiách. Je potrebné poznamenať, že v niektorých prípadoch môže byť ťažké odlíšiť nežiaduce účinky od symptómov existujúceho ochorenia.</w:t>
      </w:r>
    </w:p>
    <w:p w:rsidR="0007125D" w:rsidRPr="005A671A" w:rsidRDefault="0007125D" w:rsidP="0007125D">
      <w:pPr>
        <w:pStyle w:val="Styl3"/>
      </w:pPr>
      <w:r w:rsidRPr="005A671A">
        <w:t>Poruchy nervového systému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>Veľmi časté:</w:t>
      </w:r>
      <w:r w:rsidRPr="005A671A">
        <w:t xml:space="preserve"> Extrapyramídové symptómy (tremor, rigidita, hypokinéza, hypersalivácia, akatízia, dyskinéza). Tieto symptómy sú pri optimálnom dávkovaní zvyčajne miernej intenzity a čiastočne reverzibilné pri podaní antiparkinsoník bez prerušenia podávania amisulpridu. Incidencia extrapyramídových symptómov je závislá od dávky a zostáva veľmi nízka pri liečbe pacientov s prevažne negatívnymi symptómami pri dávke 50 - 300 mg/deň.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Časté: </w:t>
      </w:r>
      <w:r w:rsidR="00196700" w:rsidRPr="00F52294">
        <w:t>Akútna</w:t>
      </w:r>
      <w:r w:rsidR="00577D5D">
        <w:rPr>
          <w:i/>
        </w:rPr>
        <w:t xml:space="preserve"> </w:t>
      </w:r>
      <w:r w:rsidR="00577D5D">
        <w:t>d</w:t>
      </w:r>
      <w:r w:rsidR="00577D5D" w:rsidRPr="005A671A">
        <w:t xml:space="preserve">ystónia </w:t>
      </w:r>
      <w:r w:rsidRPr="005A671A">
        <w:t>(torticollis spastica, okulogyrická kríza, trizmus). Pri podaní antiparkinsoník, bez prerušenia podávania amisulpridu, je reverzibilná. Ospanlivosť.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Menej časté: </w:t>
      </w:r>
      <w:r w:rsidRPr="005A671A">
        <w:t>Bol zistený výskyt tardívnej dyskinézy charakterizovanej rytmickými, mimovoľnými pohybmi najmä jazyka a /alebo tváre, obyčajne pri dlhodobom podávaní alebo náhlom vysadení. Podávanie antiparkinsoník je neúčinné alebo môže vyvolať zhoršenie symptómov. Záchvaty (epileptické).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Neznáme: </w:t>
      </w:r>
      <w:r w:rsidRPr="005A671A">
        <w:t>Malígny neuroleptický syndróm (pozri časť 4.4).</w:t>
      </w:r>
    </w:p>
    <w:p w:rsidR="0007125D" w:rsidRPr="005A671A" w:rsidRDefault="0007125D" w:rsidP="0007125D">
      <w:pPr>
        <w:pStyle w:val="Styl3"/>
      </w:pPr>
      <w:r w:rsidRPr="005A671A">
        <w:t>Psychické poruchy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Časté: </w:t>
      </w:r>
      <w:r w:rsidRPr="005A671A">
        <w:t>Nespavosť, úzkosť, agitovanosť, porucha orgazmu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Neznáme: </w:t>
      </w:r>
      <w:r w:rsidRPr="005A671A">
        <w:t>Zmätenosť</w:t>
      </w:r>
    </w:p>
    <w:p w:rsidR="0007125D" w:rsidRPr="005A671A" w:rsidRDefault="0007125D" w:rsidP="0007125D">
      <w:pPr>
        <w:pStyle w:val="Styl3"/>
      </w:pPr>
      <w:r w:rsidRPr="005A671A">
        <w:t>Poruchy gastrointestinálneho traktu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Časté: </w:t>
      </w:r>
      <w:r w:rsidRPr="005A671A">
        <w:t>Zápcha, nauzea, zvracanie, sucho v ústach</w:t>
      </w:r>
    </w:p>
    <w:p w:rsidR="0007125D" w:rsidRPr="005A671A" w:rsidRDefault="0007125D" w:rsidP="0007125D">
      <w:pPr>
        <w:pStyle w:val="Styl3"/>
      </w:pPr>
      <w:r w:rsidRPr="005A671A">
        <w:t>Poruchy endokrinného systému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Časté: </w:t>
      </w:r>
      <w:r w:rsidRPr="005A671A">
        <w:t>Hyperprolaktinémia</w:t>
      </w:r>
    </w:p>
    <w:p w:rsidR="0007125D" w:rsidRPr="005A671A" w:rsidRDefault="0007125D" w:rsidP="0007125D">
      <w:pPr>
        <w:pStyle w:val="Styl3"/>
      </w:pPr>
      <w:r w:rsidRPr="005A671A">
        <w:t>Poruchy metabolizmu a výživy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Menej časté: </w:t>
      </w:r>
      <w:r w:rsidRPr="005A671A">
        <w:t>Hyperglykémia (pozri časť 4.4</w:t>
      </w:r>
      <w:r w:rsidRPr="008B483C">
        <w:t>)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Neznáme: </w:t>
      </w:r>
      <w:r w:rsidRPr="005A671A">
        <w:t>Hypertriglyceridémia a hypercholesterolémia</w:t>
      </w:r>
    </w:p>
    <w:p w:rsidR="0007125D" w:rsidRPr="005A671A" w:rsidRDefault="0007125D" w:rsidP="0007125D">
      <w:pPr>
        <w:pStyle w:val="Styl3"/>
      </w:pPr>
      <w:r w:rsidRPr="005A671A">
        <w:t>Poruchy srdca a srdcovej činnosti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lastRenderedPageBreak/>
        <w:t xml:space="preserve">Časté: </w:t>
      </w:r>
      <w:r w:rsidRPr="005A671A">
        <w:t>Hypotenzia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Neznáme: </w:t>
      </w:r>
      <w:r w:rsidRPr="005A671A">
        <w:t>Žilová tromboembólia (pozri tiež časť 4.4</w:t>
      </w:r>
      <w:r w:rsidRPr="008B483C">
        <w:t>)</w:t>
      </w:r>
    </w:p>
    <w:p w:rsidR="0007125D" w:rsidRPr="005A671A" w:rsidRDefault="0007125D" w:rsidP="0007125D">
      <w:pPr>
        <w:pStyle w:val="Styl3"/>
      </w:pPr>
      <w:r w:rsidRPr="005A671A">
        <w:t>Laboratórne a funkčné vyšetrenia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Časté: </w:t>
      </w:r>
      <w:r w:rsidRPr="005A671A">
        <w:t>Zvýšenie telesnej hmotnosti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Menej časté: </w:t>
      </w:r>
      <w:r w:rsidRPr="005A671A">
        <w:t>Zvýšenie hepatálnych enzýmov, najmä transamináz</w:t>
      </w:r>
    </w:p>
    <w:p w:rsidR="0007125D" w:rsidRPr="005A671A" w:rsidRDefault="0007125D" w:rsidP="0007125D">
      <w:pPr>
        <w:pStyle w:val="Styl3"/>
      </w:pPr>
      <w:r w:rsidRPr="005A671A">
        <w:t>Poruchy reprodukčného systému a prsníkov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Časté: </w:t>
      </w:r>
      <w:r w:rsidRPr="005A671A">
        <w:t>Galaktorea, amenorea, gynekomastia, bolesti prsníkov a erektilná dysfunkcia</w:t>
      </w:r>
    </w:p>
    <w:p w:rsidR="0007125D" w:rsidRPr="005A671A" w:rsidRDefault="0007125D" w:rsidP="0007125D">
      <w:pPr>
        <w:pStyle w:val="Styl3"/>
      </w:pPr>
      <w:r w:rsidRPr="005A671A">
        <w:t>Poruchy imunitného systému</w:t>
      </w:r>
    </w:p>
    <w:p w:rsidR="0007125D" w:rsidRPr="005A671A" w:rsidRDefault="0007125D" w:rsidP="00ED3968">
      <w:pPr>
        <w:pStyle w:val="Normlndobloku"/>
      </w:pPr>
      <w:r w:rsidRPr="005A671A">
        <w:rPr>
          <w:i/>
        </w:rPr>
        <w:t xml:space="preserve">Menej časté: </w:t>
      </w:r>
      <w:r w:rsidRPr="005A671A">
        <w:t>Alergická reakcia</w:t>
      </w:r>
    </w:p>
    <w:p w:rsidR="0007125D" w:rsidRPr="00D863F6" w:rsidRDefault="0007125D" w:rsidP="00E67873">
      <w:pPr>
        <w:pStyle w:val="Styl2-2"/>
        <w:rPr>
          <w:b/>
        </w:rPr>
      </w:pPr>
      <w:r w:rsidRPr="00ED3968">
        <w:t>Postmarketingové údaje</w:t>
      </w:r>
    </w:p>
    <w:p w:rsidR="0007125D" w:rsidRPr="008B483C" w:rsidRDefault="0007125D" w:rsidP="0007125D">
      <w:pPr>
        <w:pStyle w:val="Normlndobloku"/>
      </w:pPr>
      <w:r w:rsidRPr="008B483C">
        <w:t>Navyše boli prostredníctvom spontánnych hlásení hlásené nasledujúce nežiaduce účinky:</w:t>
      </w:r>
    </w:p>
    <w:p w:rsidR="0007125D" w:rsidRPr="005A671A" w:rsidRDefault="0007125D" w:rsidP="00D863F6">
      <w:pPr>
        <w:pStyle w:val="Styl3"/>
      </w:pPr>
      <w:r w:rsidRPr="005A671A">
        <w:t>Poruchy krvi a lymfatického systému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Menej časté: </w:t>
      </w:r>
      <w:r w:rsidRPr="005A671A">
        <w:t>Leukopénia, neutropénia (pozri časť 4.4</w:t>
      </w:r>
      <w:r w:rsidRPr="008B483C">
        <w:t>)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Zriedkavé: </w:t>
      </w:r>
      <w:r w:rsidRPr="005A671A">
        <w:t>Agranulocytóza (pozri časť 4.4</w:t>
      </w:r>
      <w:r w:rsidRPr="008B483C">
        <w:t>)</w:t>
      </w:r>
    </w:p>
    <w:p w:rsidR="0007125D" w:rsidRPr="005A671A" w:rsidRDefault="0007125D" w:rsidP="00D863F6">
      <w:pPr>
        <w:pStyle w:val="Styl3"/>
      </w:pPr>
      <w:r w:rsidRPr="005A671A">
        <w:t>Poruchy nervového systému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Zriedkavé: </w:t>
      </w:r>
      <w:r w:rsidRPr="005A671A">
        <w:t>Neuroleptický malígny syndróm (pozri časť 4.4), ktorý môže byť komplikáciou so smrteľnými následkami</w:t>
      </w:r>
    </w:p>
    <w:p w:rsidR="0007125D" w:rsidRPr="005A671A" w:rsidRDefault="0007125D" w:rsidP="0007125D">
      <w:pPr>
        <w:pStyle w:val="Styl3"/>
      </w:pPr>
      <w:r w:rsidRPr="005A671A">
        <w:t>Poruchy srdca a srdcovej činnosti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Časté: </w:t>
      </w:r>
      <w:r w:rsidRPr="005A671A">
        <w:t>Predĺženie QT intervalu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Menej časté: </w:t>
      </w:r>
      <w:r w:rsidRPr="005A671A">
        <w:t>Bradykardia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Zriedkavé: </w:t>
      </w:r>
      <w:r w:rsidRPr="008B483C">
        <w:t>V</w:t>
      </w:r>
      <w:r w:rsidRPr="005A671A">
        <w:t>entrikulárna arytmia, ako napríklad torsades de pointes, ventrikulárna tachykardia, ktorá môže vyústiť do ventrikulárnej fibrilácie alebo zastavenia srdca a náhlej smrti (pozri časť 4.4</w:t>
      </w:r>
      <w:r w:rsidRPr="008B483C">
        <w:t>)</w:t>
      </w:r>
    </w:p>
    <w:p w:rsidR="0007125D" w:rsidRPr="005A671A" w:rsidRDefault="0007125D" w:rsidP="0007125D">
      <w:pPr>
        <w:pStyle w:val="Styl3"/>
      </w:pPr>
      <w:r w:rsidRPr="005A671A">
        <w:t>Poruchy ciev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Zriedkavé: </w:t>
      </w:r>
      <w:r w:rsidRPr="005A671A">
        <w:t xml:space="preserve">Prípady venóznej trombembólie, vrátane prípadov pľúcnej embólie, niekedy fatálnej a prípady </w:t>
      </w:r>
      <w:r w:rsidR="00EC7409" w:rsidRPr="005A671A">
        <w:t>h</w:t>
      </w:r>
      <w:r w:rsidR="00EC7409">
        <w:t>ĺ</w:t>
      </w:r>
      <w:r w:rsidR="00EC7409" w:rsidRPr="005A671A">
        <w:t>b</w:t>
      </w:r>
      <w:r w:rsidR="00EC7409">
        <w:t>k</w:t>
      </w:r>
      <w:r w:rsidR="00EC7409" w:rsidRPr="005A671A">
        <w:t>o</w:t>
      </w:r>
      <w:r w:rsidR="00EC7409">
        <w:t>v</w:t>
      </w:r>
      <w:r w:rsidR="00EC7409" w:rsidRPr="005A671A">
        <w:t xml:space="preserve">ej </w:t>
      </w:r>
      <w:r w:rsidRPr="005A671A">
        <w:t>žilovej trombózy, boli hlásené v súvislosti s antipsychotikami (pozri časť 4.4</w:t>
      </w:r>
      <w:r w:rsidRPr="008B483C">
        <w:t>)</w:t>
      </w:r>
    </w:p>
    <w:p w:rsidR="0007125D" w:rsidRPr="005A671A" w:rsidRDefault="0007125D" w:rsidP="00D863F6">
      <w:pPr>
        <w:pStyle w:val="Styl3"/>
      </w:pPr>
      <w:r w:rsidRPr="005A671A">
        <w:t>Poruchy kože a podkožného tkaniva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Zriedkavé: </w:t>
      </w:r>
      <w:r w:rsidRPr="005A671A">
        <w:t>Angioedém, urtikária</w:t>
      </w:r>
    </w:p>
    <w:p w:rsidR="0007125D" w:rsidRPr="008B483C" w:rsidRDefault="0007125D" w:rsidP="00D863F6">
      <w:pPr>
        <w:pStyle w:val="Styl3"/>
      </w:pPr>
      <w:r w:rsidRPr="005A671A">
        <w:t>Stavy v </w:t>
      </w:r>
      <w:r w:rsidRPr="008B483C">
        <w:t>gravidite, v šestonedelí a perinatálnom období</w:t>
      </w:r>
    </w:p>
    <w:p w:rsidR="0007125D" w:rsidRPr="005A671A" w:rsidRDefault="0007125D" w:rsidP="00D863F6">
      <w:pPr>
        <w:pStyle w:val="Normlndobloku"/>
      </w:pPr>
      <w:r w:rsidRPr="005A671A">
        <w:rPr>
          <w:i/>
        </w:rPr>
        <w:t xml:space="preserve">Neznáme: </w:t>
      </w:r>
      <w:r w:rsidRPr="005A671A">
        <w:t>Novorodenecký syndróm z vysadenia (pozri časť 4.6</w:t>
      </w:r>
      <w:r w:rsidRPr="008B483C">
        <w:t>)</w:t>
      </w:r>
    </w:p>
    <w:p w:rsidR="0007125D" w:rsidRPr="008B483C" w:rsidRDefault="0007125D" w:rsidP="0007125D">
      <w:pPr>
        <w:pStyle w:val="Styl3"/>
        <w:rPr>
          <w:szCs w:val="22"/>
        </w:rPr>
      </w:pPr>
      <w:r w:rsidRPr="008B483C">
        <w:rPr>
          <w:szCs w:val="22"/>
        </w:rPr>
        <w:t>Hlásenie</w:t>
      </w:r>
      <w:r w:rsidRPr="005A671A">
        <w:t xml:space="preserve"> podozrení</w:t>
      </w:r>
      <w:r w:rsidRPr="008B483C">
        <w:rPr>
          <w:szCs w:val="22"/>
        </w:rPr>
        <w:t xml:space="preserve"> na</w:t>
      </w:r>
      <w:r w:rsidRPr="005A671A">
        <w:t xml:space="preserve"> nežiaduce reakcie</w:t>
      </w:r>
    </w:p>
    <w:p w:rsidR="0007125D" w:rsidRPr="00D863F6" w:rsidRDefault="0007125D" w:rsidP="0007125D">
      <w:pPr>
        <w:pStyle w:val="Normlndobloku"/>
        <w:rPr>
          <w:highlight w:val="lightGray"/>
        </w:rPr>
      </w:pPr>
      <w:r w:rsidRPr="008B483C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5A671A">
        <w:rPr>
          <w:highlight w:val="lightGray"/>
        </w:rPr>
        <w:t xml:space="preserve">národného systému hlásenia uvedeného </w:t>
      </w:r>
      <w:r w:rsidRPr="00D863F6">
        <w:rPr>
          <w:highlight w:val="lightGray"/>
        </w:rPr>
        <w:t>v </w:t>
      </w:r>
      <w:hyperlink r:id="rId8" w:history="1">
        <w:r w:rsidRPr="005A671A">
          <w:rPr>
            <w:rStyle w:val="Hypertextovprepojenie"/>
            <w:rFonts w:eastAsia="Calibri"/>
            <w:highlight w:val="lightGray"/>
          </w:rPr>
          <w:t>Prílohe V</w:t>
        </w:r>
      </w:hyperlink>
      <w:r w:rsidRPr="00D863F6">
        <w:rPr>
          <w:highlight w:val="lightGray"/>
        </w:rPr>
        <w:t>.</w:t>
      </w:r>
    </w:p>
    <w:p w:rsidR="0007125D" w:rsidRPr="005A671A" w:rsidRDefault="0007125D" w:rsidP="00D863F6">
      <w:pPr>
        <w:pStyle w:val="Styl2"/>
      </w:pPr>
      <w:r w:rsidRPr="005A671A">
        <w:t>Predávkovanie</w:t>
      </w:r>
    </w:p>
    <w:p w:rsidR="0007125D" w:rsidRPr="005A671A" w:rsidRDefault="0007125D" w:rsidP="0007125D">
      <w:pPr>
        <w:pStyle w:val="Styl3"/>
      </w:pPr>
      <w:r w:rsidRPr="005A671A">
        <w:t xml:space="preserve">Príznaky </w:t>
      </w:r>
    </w:p>
    <w:p w:rsidR="0007125D" w:rsidRPr="00ED3968" w:rsidRDefault="0007125D" w:rsidP="00D863F6">
      <w:pPr>
        <w:pStyle w:val="Normlndobloku"/>
      </w:pPr>
      <w:r w:rsidRPr="00ED3968">
        <w:lastRenderedPageBreak/>
        <w:t>Skúsenosti s predávkovaním liekom AKTIPROL sú obmedzené. Bolo zistené zvýšenie farmakologických účinkov lieku. Tieto zahŕňajú ospalosť, útlm, hypotenziu, extrapyramídové symptómy a kómu. Fatálne následky boli zaznamenané najmä v kombinácii s inými psychotropnými látkami.</w:t>
      </w:r>
    </w:p>
    <w:p w:rsidR="0007125D" w:rsidRPr="005A671A" w:rsidRDefault="0007125D" w:rsidP="0007125D">
      <w:pPr>
        <w:pStyle w:val="Styl3"/>
      </w:pPr>
      <w:r w:rsidRPr="005A671A">
        <w:t>Liečba predávkovania</w:t>
      </w:r>
    </w:p>
    <w:p w:rsidR="0007125D" w:rsidRPr="008B483C" w:rsidRDefault="0007125D" w:rsidP="0007125D">
      <w:pPr>
        <w:pStyle w:val="Normlndobloku"/>
      </w:pPr>
      <w:r w:rsidRPr="008B483C">
        <w:t>V prípade akútneho predávkovania je potrebné uvažovať o súčasnom užití viacerých liekov.</w:t>
      </w:r>
    </w:p>
    <w:p w:rsidR="0007125D" w:rsidRPr="008B483C" w:rsidRDefault="0007125D" w:rsidP="0007125D">
      <w:pPr>
        <w:pStyle w:val="Normlndobloku"/>
        <w:rPr>
          <w:szCs w:val="22"/>
        </w:rPr>
      </w:pPr>
      <w:r w:rsidRPr="008B483C">
        <w:t xml:space="preserve">Vzhľadom na to, že AKTIPROL je veľmi slabo dialyzovateľný, hemodialýza </w:t>
      </w:r>
      <w:r w:rsidR="00577D5D">
        <w:t>je na</w:t>
      </w:r>
      <w:r w:rsidR="00577D5D" w:rsidRPr="008B483C">
        <w:t> </w:t>
      </w:r>
      <w:r w:rsidRPr="008B483C">
        <w:t xml:space="preserve">elimináciu látky </w:t>
      </w:r>
      <w:r w:rsidR="00577D5D">
        <w:t>neúčinná</w:t>
      </w:r>
      <w:r w:rsidRPr="008B483C">
        <w:t>. Neexistuje žiadne špecifické antidotum ku lieku AKTIPROL. Preto sa odporúča u pacienta sledovať</w:t>
      </w:r>
      <w:r w:rsidRPr="008B483C">
        <w:rPr>
          <w:szCs w:val="22"/>
        </w:rPr>
        <w:t xml:space="preserve"> životné funkcie, nepretržite monitorovať činnosť srdca (riziko predĺženého QT intervalu) a to až do úpravy stavu pacienta.</w:t>
      </w:r>
    </w:p>
    <w:p w:rsidR="0007125D" w:rsidRPr="008B483C" w:rsidRDefault="0007125D" w:rsidP="0007125D">
      <w:pPr>
        <w:pStyle w:val="Normlndobloku"/>
      </w:pPr>
      <w:r w:rsidRPr="008B483C">
        <w:t>Ak sa vyskytnú závažné extrapyramídové symptómy, majú sa podať anticholínergné látky.</w:t>
      </w:r>
    </w:p>
    <w:p w:rsidR="0007125D" w:rsidRPr="008B483C" w:rsidRDefault="0007125D" w:rsidP="0007125D">
      <w:pPr>
        <w:pStyle w:val="Normlndobloku"/>
      </w:pPr>
      <w:r w:rsidRPr="008B483C">
        <w:t>U pacientov, u ktorých je podozrenie na predávkovanie, je potrebné monitorovať EKG.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FARMAKOLOGICKÉ VLASTNOSTI</w:t>
      </w:r>
    </w:p>
    <w:p w:rsidR="0007125D" w:rsidRPr="005A671A" w:rsidRDefault="0007125D" w:rsidP="00D863F6">
      <w:pPr>
        <w:pStyle w:val="Styl2"/>
      </w:pPr>
      <w:r w:rsidRPr="005A671A">
        <w:t>Farmakodynamické vlastnosti</w:t>
      </w:r>
    </w:p>
    <w:p w:rsidR="0007125D" w:rsidRPr="005A671A" w:rsidRDefault="0007125D" w:rsidP="00D863F6">
      <w:pPr>
        <w:pStyle w:val="Normlndobloku"/>
      </w:pPr>
      <w:r w:rsidRPr="005A671A">
        <w:t>Farmakoterapeutická skupina: Psycholeptiká, antipsychotiká, benzamidy</w:t>
      </w:r>
    </w:p>
    <w:p w:rsidR="0007125D" w:rsidRPr="005A671A" w:rsidRDefault="0007125D" w:rsidP="00D863F6">
      <w:pPr>
        <w:pStyle w:val="Normlndobloku"/>
      </w:pPr>
      <w:r w:rsidRPr="005A671A">
        <w:t>ATC kód N05AL05</w:t>
      </w:r>
    </w:p>
    <w:p w:rsidR="0007125D" w:rsidRPr="005A671A" w:rsidRDefault="0007125D" w:rsidP="00D863F6">
      <w:pPr>
        <w:pStyle w:val="Normlndobloku"/>
      </w:pPr>
      <w:r w:rsidRPr="005A671A">
        <w:t>Amisulprid sa selektívne viaže s vysokou afinitou na ľudské dopaminergné receptorové subtypy D</w:t>
      </w:r>
      <w:r w:rsidRPr="00D863F6">
        <w:rPr>
          <w:vertAlign w:val="subscript"/>
        </w:rPr>
        <w:t>2</w:t>
      </w:r>
      <w:r w:rsidRPr="005A671A">
        <w:t>/D</w:t>
      </w:r>
      <w:r w:rsidRPr="00D863F6">
        <w:rPr>
          <w:vertAlign w:val="subscript"/>
        </w:rPr>
        <w:t>3</w:t>
      </w:r>
      <w:r w:rsidRPr="005A671A">
        <w:t>, nemá afinitu k receptorovým subtypom D</w:t>
      </w:r>
      <w:r w:rsidRPr="00D863F6">
        <w:rPr>
          <w:vertAlign w:val="subscript"/>
        </w:rPr>
        <w:t>1</w:t>
      </w:r>
      <w:r w:rsidRPr="005A671A">
        <w:t>, D</w:t>
      </w:r>
      <w:r w:rsidRPr="00D863F6">
        <w:rPr>
          <w:vertAlign w:val="subscript"/>
        </w:rPr>
        <w:t>4</w:t>
      </w:r>
      <w:r w:rsidRPr="005A671A">
        <w:t xml:space="preserve"> a D</w:t>
      </w:r>
      <w:r w:rsidRPr="00D863F6">
        <w:rPr>
          <w:vertAlign w:val="subscript"/>
        </w:rPr>
        <w:t>5</w:t>
      </w:r>
      <w:r w:rsidRPr="005A671A">
        <w:t>.</w:t>
      </w:r>
    </w:p>
    <w:p w:rsidR="0007125D" w:rsidRPr="005A671A" w:rsidRDefault="0007125D" w:rsidP="00D863F6">
      <w:pPr>
        <w:pStyle w:val="Normlndobloku"/>
      </w:pPr>
      <w:r w:rsidRPr="005A671A">
        <w:t xml:space="preserve">Na rozdiel od klasických a atypických neuroleptík, amisulprid nemá žiadnu afinitu k serotonínovým, </w:t>
      </w:r>
      <w:r w:rsidRPr="005A671A">
        <w:sym w:font="Symbol" w:char="F061"/>
      </w:r>
      <w:r w:rsidRPr="005A671A">
        <w:t xml:space="preserve">-adrenergným, H1 histamínovým a cholinergným receptorom. Okrem toho sa amisulprid neviaže na </w:t>
      </w:r>
      <w:r w:rsidRPr="005A671A">
        <w:sym w:font="Symbol" w:char="F073"/>
      </w:r>
      <w:r w:rsidRPr="005A671A">
        <w:t>-receptory.</w:t>
      </w:r>
    </w:p>
    <w:p w:rsidR="0007125D" w:rsidRPr="005A671A" w:rsidRDefault="0007125D" w:rsidP="00D863F6">
      <w:pPr>
        <w:pStyle w:val="Normlndobloku"/>
      </w:pPr>
      <w:r w:rsidRPr="005A671A">
        <w:t>U zvierat, vo vysokých dávkach blokuje postsynaptické D</w:t>
      </w:r>
      <w:r w:rsidRPr="00D863F6">
        <w:rPr>
          <w:vertAlign w:val="subscript"/>
        </w:rPr>
        <w:t>2</w:t>
      </w:r>
      <w:r w:rsidRPr="005A671A">
        <w:t xml:space="preserve"> receptory lokalizované v limbickom systéme hlavne striatálne. Na rozdiel od klasických neuroleptík nespôsobuje katalepsiu a nedochádza k vývoju hypersensitivity D</w:t>
      </w:r>
      <w:r w:rsidRPr="00D863F6">
        <w:rPr>
          <w:vertAlign w:val="subscript"/>
        </w:rPr>
        <w:t>2</w:t>
      </w:r>
      <w:r w:rsidRPr="005A671A">
        <w:t xml:space="preserve"> </w:t>
      </w:r>
      <w:r w:rsidR="00BB63D3" w:rsidRPr="005A671A">
        <w:t>dopamínový</w:t>
      </w:r>
      <w:r w:rsidR="00BB63D3">
        <w:t>ch</w:t>
      </w:r>
      <w:r w:rsidR="00BB63D3" w:rsidRPr="005A671A">
        <w:t xml:space="preserve"> receptoro</w:t>
      </w:r>
      <w:r w:rsidR="00BB63D3">
        <w:t>v</w:t>
      </w:r>
      <w:r w:rsidR="00BB63D3" w:rsidRPr="005A671A">
        <w:t xml:space="preserve"> </w:t>
      </w:r>
      <w:r w:rsidRPr="005A671A">
        <w:t>pri opakovanom užívaní.</w:t>
      </w:r>
    </w:p>
    <w:p w:rsidR="0007125D" w:rsidRPr="005A671A" w:rsidRDefault="0007125D" w:rsidP="00D863F6">
      <w:pPr>
        <w:pStyle w:val="Normlndobloku"/>
      </w:pPr>
      <w:r w:rsidRPr="005A671A">
        <w:t>V nízkych dávkach blokuje prednostne presynaptické D</w:t>
      </w:r>
      <w:r w:rsidRPr="00D863F6">
        <w:rPr>
          <w:vertAlign w:val="subscript"/>
        </w:rPr>
        <w:t>2</w:t>
      </w:r>
      <w:r w:rsidRPr="005A671A">
        <w:t>/D</w:t>
      </w:r>
      <w:r w:rsidRPr="00D863F6">
        <w:rPr>
          <w:vertAlign w:val="subscript"/>
        </w:rPr>
        <w:t>3</w:t>
      </w:r>
      <w:r w:rsidRPr="005A671A">
        <w:t xml:space="preserve"> receptory, čo vyvolá uvoľnenie dopamínu - dezinhibičný efekt.</w:t>
      </w:r>
    </w:p>
    <w:p w:rsidR="00F71907" w:rsidRPr="00F71907" w:rsidRDefault="0007125D" w:rsidP="00F71907">
      <w:pPr>
        <w:pStyle w:val="Normlndobloku"/>
      </w:pPr>
      <w:r w:rsidRPr="005A671A">
        <w:t>Predpokladá sa, že tento atypický farmakologický profil vysvetľuje klinický účinok amisulpridu pri vyšších dávkach prostredníctvom blokády postsynaptických dopamínových receptorov a jeho účinok na negatívne symptómy pri nižších dávkach, prostredníctvom blokády presynaptických dopamínových receptorov</w:t>
      </w:r>
      <w:r w:rsidR="00F71907">
        <w:t>.</w:t>
      </w:r>
      <w:r w:rsidRPr="005A671A">
        <w:t xml:space="preserve"> </w:t>
      </w:r>
      <w:r w:rsidR="00F71907" w:rsidRPr="00F71907">
        <w:t>Znížený výskyt nežiaducich extrapyramídových príznakov môže byť spôsobený jeho prednostnou aktivitou v limbickom systéme.</w:t>
      </w:r>
    </w:p>
    <w:p w:rsidR="00EC7409" w:rsidRPr="005A671A" w:rsidRDefault="00EC7409" w:rsidP="00D863F6">
      <w:pPr>
        <w:pStyle w:val="Normlndobloku"/>
      </w:pPr>
    </w:p>
    <w:p w:rsidR="0007125D" w:rsidRPr="005A671A" w:rsidRDefault="0007125D" w:rsidP="00D863F6">
      <w:pPr>
        <w:pStyle w:val="Styl2"/>
      </w:pPr>
      <w:r w:rsidRPr="005A671A">
        <w:t>Farmakokinetické vlastnosti</w:t>
      </w:r>
    </w:p>
    <w:p w:rsidR="0007125D" w:rsidRPr="008B483C" w:rsidRDefault="0007125D" w:rsidP="0007125D">
      <w:pPr>
        <w:pStyle w:val="Styl3"/>
      </w:pPr>
      <w:r w:rsidRPr="008B483C">
        <w:t>Absorpcia</w:t>
      </w:r>
    </w:p>
    <w:p w:rsidR="0007125D" w:rsidRPr="005A671A" w:rsidRDefault="0007125D" w:rsidP="00D863F6">
      <w:pPr>
        <w:pStyle w:val="Normlndobloku"/>
      </w:pPr>
      <w:r w:rsidRPr="005A671A">
        <w:t xml:space="preserve">U človeka sú dva absorpčné vrcholy amisulpridu: prvý </w:t>
      </w:r>
      <w:r w:rsidR="00BC5CF9">
        <w:t xml:space="preserve">sa dosiahne rýchlo, </w:t>
      </w:r>
      <w:r w:rsidRPr="005A671A">
        <w:t xml:space="preserve">1 hodinu po dávke a druhý medzi 3. </w:t>
      </w:r>
      <w:r w:rsidRPr="008B483C">
        <w:t>a</w:t>
      </w:r>
      <w:r w:rsidRPr="005A671A">
        <w:t> 4. hodinou po podaní. Zodpovedajúce plazmatické koncentrácie sú 39 ± 3 a 54 ± 4 ng/ml po dávke 50 mg.</w:t>
      </w:r>
    </w:p>
    <w:p w:rsidR="0007125D" w:rsidRPr="008B483C" w:rsidRDefault="0007125D" w:rsidP="0007125D">
      <w:pPr>
        <w:pStyle w:val="Styl3"/>
      </w:pPr>
      <w:r w:rsidRPr="008B483C">
        <w:t>Distribúcia</w:t>
      </w:r>
    </w:p>
    <w:p w:rsidR="0007125D" w:rsidRPr="005A671A" w:rsidRDefault="0007125D" w:rsidP="00D863F6">
      <w:pPr>
        <w:pStyle w:val="Normlndobloku"/>
      </w:pPr>
      <w:r w:rsidRPr="005A671A">
        <w:t xml:space="preserve">Distribučný objem je 5,8 l/kg. Väzba na plazmatické bielkoviny je nízka (16 %), liekové interakcie </w:t>
      </w:r>
      <w:r w:rsidR="00BC5CF9" w:rsidRPr="005A671A">
        <w:t>s</w:t>
      </w:r>
      <w:r w:rsidR="00BC5CF9">
        <w:t>a</w:t>
      </w:r>
      <w:r w:rsidR="00BC5CF9" w:rsidRPr="005A671A">
        <w:t xml:space="preserve"> nepr</w:t>
      </w:r>
      <w:r w:rsidR="00BC5CF9">
        <w:t>edpokladajú</w:t>
      </w:r>
      <w:r w:rsidRPr="005A671A">
        <w:t>.</w:t>
      </w:r>
    </w:p>
    <w:p w:rsidR="0007125D" w:rsidRPr="005A671A" w:rsidRDefault="0007125D" w:rsidP="00D863F6">
      <w:pPr>
        <w:pStyle w:val="Normlndobloku"/>
      </w:pPr>
      <w:r w:rsidRPr="005A671A">
        <w:lastRenderedPageBreak/>
        <w:t>Absolútna biologická dostupnosť je 48 %.</w:t>
      </w:r>
    </w:p>
    <w:p w:rsidR="0007125D" w:rsidRPr="008B483C" w:rsidRDefault="0007125D" w:rsidP="0007125D">
      <w:pPr>
        <w:pStyle w:val="Styl3"/>
      </w:pPr>
      <w:r w:rsidRPr="008B483C">
        <w:t>Biotransformácia</w:t>
      </w:r>
    </w:p>
    <w:p w:rsidR="0007125D" w:rsidRPr="005A671A" w:rsidRDefault="0007125D" w:rsidP="00D863F6">
      <w:pPr>
        <w:pStyle w:val="Normlndobloku"/>
      </w:pPr>
      <w:r w:rsidRPr="005A671A">
        <w:t>Amisulprid je málo metabolizovaný: detegované boli dva inaktívne metabolity predstavujúce približne 4 % dávky. U amisulpridu nedochádza k akumulácii a jeho farmakokinetika je po opakovanom podaní nezmenená. Polčas eliminácie amisulpridu je približne 12 hodín po perorálnom podaní.</w:t>
      </w:r>
    </w:p>
    <w:p w:rsidR="0007125D" w:rsidRPr="008B483C" w:rsidRDefault="0007125D" w:rsidP="0007125D">
      <w:pPr>
        <w:pStyle w:val="Styl3"/>
      </w:pPr>
      <w:r w:rsidRPr="008B483C">
        <w:t>Eliminácia</w:t>
      </w:r>
    </w:p>
    <w:p w:rsidR="0007125D" w:rsidRPr="005A671A" w:rsidRDefault="0007125D" w:rsidP="00D863F6">
      <w:pPr>
        <w:pStyle w:val="Normlndobloku"/>
      </w:pPr>
      <w:r w:rsidRPr="005A671A">
        <w:t>Amisulprid sa vylučuje močom v nezmenenej forme. Po intravenóznom podaní sa 50 % látky vylúči močom, z toho 90 % počas 24 hodín. Renálny klírens je 20 l/hod alebo 330 ml/min.</w:t>
      </w:r>
    </w:p>
    <w:p w:rsidR="0007125D" w:rsidRPr="005A671A" w:rsidRDefault="0007125D" w:rsidP="00D863F6">
      <w:pPr>
        <w:pStyle w:val="Normlndobloku"/>
      </w:pPr>
      <w:r w:rsidRPr="005A671A">
        <w:t>Potrava bohatá na uhľohydráty (obsahujúca 68 % tekutín) výrazne znižuje AUCs, T</w:t>
      </w:r>
      <w:r w:rsidRPr="00D863F6">
        <w:rPr>
          <w:vertAlign w:val="subscript"/>
        </w:rPr>
        <w:t>max</w:t>
      </w:r>
      <w:r w:rsidRPr="005A671A">
        <w:t xml:space="preserve"> a C</w:t>
      </w:r>
      <w:r w:rsidRPr="00D863F6">
        <w:rPr>
          <w:vertAlign w:val="subscript"/>
        </w:rPr>
        <w:t>max</w:t>
      </w:r>
      <w:r w:rsidRPr="005A671A">
        <w:t xml:space="preserve"> amisulpridu, ale kinetický profil neovplyvňuje potrava bohatá na tuky. Avšak význam tejto skutočnosti v klinickej praxi nie je známy.</w:t>
      </w:r>
    </w:p>
    <w:p w:rsidR="0007125D" w:rsidRPr="008B483C" w:rsidRDefault="0007125D" w:rsidP="0007125D">
      <w:pPr>
        <w:pStyle w:val="Styl3"/>
      </w:pPr>
      <w:r w:rsidRPr="008B483C">
        <w:t>Hepatálna insuficiencia</w:t>
      </w:r>
    </w:p>
    <w:p w:rsidR="0007125D" w:rsidRPr="005A671A" w:rsidRDefault="0007125D" w:rsidP="00D863F6">
      <w:pPr>
        <w:pStyle w:val="Normlndobloku"/>
      </w:pPr>
      <w:r w:rsidRPr="005A671A">
        <w:t>Pečeňová nedostatočnosť: vzhľadom k nízkej metabolizácii lieku v pečeni nie je potrebné redukovať dávku u pacientov s pečeňovou insuficienciou.</w:t>
      </w:r>
    </w:p>
    <w:p w:rsidR="0007125D" w:rsidRPr="008B483C" w:rsidRDefault="0007125D" w:rsidP="0007125D">
      <w:pPr>
        <w:pStyle w:val="Styl3"/>
      </w:pPr>
      <w:r w:rsidRPr="008B483C">
        <w:t>Renálna insuficiencia</w:t>
      </w:r>
    </w:p>
    <w:p w:rsidR="0007125D" w:rsidRPr="005A671A" w:rsidRDefault="0007125D" w:rsidP="00D863F6">
      <w:pPr>
        <w:pStyle w:val="Normlndobloku"/>
      </w:pPr>
      <w:r w:rsidRPr="005A671A">
        <w:t xml:space="preserve">Obličková nedostatočnosť: Polčas eliminácie zostáva u pacientov s obličkovou nedostatočnosťou nezmenený, ale systémový klírens je znížený faktorom 2,5 až 3. AUC amisulpridu pri </w:t>
      </w:r>
      <w:r w:rsidR="000B71B1">
        <w:t xml:space="preserve">miernom </w:t>
      </w:r>
      <w:r w:rsidRPr="005A671A">
        <w:t xml:space="preserve">poškodení obličiek stúpa dvojnásobne, pri </w:t>
      </w:r>
      <w:r w:rsidR="000B71B1" w:rsidRPr="005A671A">
        <w:t>stredn</w:t>
      </w:r>
      <w:r w:rsidR="000B71B1">
        <w:t>e závažnom</w:t>
      </w:r>
      <w:r w:rsidRPr="005A671A">
        <w:t xml:space="preserve"> poškodení desaťnásobne (pozri časť 4.2). Skúsenosti sú len obmedzené, nie sú k dispozícii údaje pri dávkach vyšších ako 50 mg.</w:t>
      </w:r>
    </w:p>
    <w:p w:rsidR="0007125D" w:rsidRPr="005A671A" w:rsidRDefault="0007125D" w:rsidP="00D863F6">
      <w:pPr>
        <w:pStyle w:val="Normlndobloku"/>
      </w:pPr>
      <w:r w:rsidRPr="005A671A">
        <w:t>Amisulprid je dialyzovateľný veľmi málo.</w:t>
      </w:r>
    </w:p>
    <w:p w:rsidR="0007125D" w:rsidRPr="008B483C" w:rsidRDefault="0007125D" w:rsidP="0007125D">
      <w:pPr>
        <w:pStyle w:val="Styl3"/>
      </w:pPr>
      <w:r w:rsidRPr="008B483C">
        <w:t>Star</w:t>
      </w:r>
      <w:r w:rsidR="000B71B1">
        <w:t>ší</w:t>
      </w:r>
      <w:r w:rsidRPr="008B483C">
        <w:t xml:space="preserve"> pacienti</w:t>
      </w:r>
    </w:p>
    <w:p w:rsidR="0007125D" w:rsidRPr="005A671A" w:rsidRDefault="0007125D" w:rsidP="00D863F6">
      <w:pPr>
        <w:pStyle w:val="Normlndobloku"/>
      </w:pPr>
      <w:r w:rsidRPr="005A671A">
        <w:t>Obmedzené údaje u starších pacientov (&gt; 65 rokov) ukázali 10</w:t>
      </w:r>
      <w:r w:rsidRPr="008B483C">
        <w:t> – </w:t>
      </w:r>
      <w:r w:rsidRPr="005A671A">
        <w:t>30 % nárast C</w:t>
      </w:r>
      <w:r w:rsidRPr="00D863F6">
        <w:rPr>
          <w:vertAlign w:val="subscript"/>
        </w:rPr>
        <w:t>max</w:t>
      </w:r>
      <w:r w:rsidRPr="005A671A">
        <w:t>, T</w:t>
      </w:r>
      <w:r w:rsidRPr="00D863F6">
        <w:rPr>
          <w:vertAlign w:val="subscript"/>
        </w:rPr>
        <w:t>1/2</w:t>
      </w:r>
      <w:r w:rsidRPr="005A671A">
        <w:t xml:space="preserve"> a AUC po podaní perorálnej dávky 50 mg. Nie sú k dispozícii údaje po opakovanom podaní.</w:t>
      </w:r>
    </w:p>
    <w:p w:rsidR="0007125D" w:rsidRPr="005A671A" w:rsidRDefault="0007125D" w:rsidP="00D863F6">
      <w:pPr>
        <w:pStyle w:val="Styl2"/>
      </w:pPr>
      <w:r w:rsidRPr="005A671A">
        <w:t>Predklinické údaje o bezpečnosti</w:t>
      </w:r>
    </w:p>
    <w:p w:rsidR="0007125D" w:rsidRPr="005A671A" w:rsidRDefault="0007125D" w:rsidP="00D863F6">
      <w:pPr>
        <w:pStyle w:val="Normlndobloku"/>
      </w:pPr>
      <w:r w:rsidRPr="005A671A">
        <w:t xml:space="preserve">Po celkovom zhodnotení ukončených štúdií bezpečnosti sa ukazuje, že AKTIPROL nemá všeobecné orgánovo špecifické, teratogénne, mutagénne či karcinogénne riziká. Zmeny pozorované u laboratórnych potkanov a psov pri dávkach </w:t>
      </w:r>
      <w:r w:rsidR="000B71B1">
        <w:t>nižších</w:t>
      </w:r>
      <w:r w:rsidRPr="005A671A">
        <w:t xml:space="preserve"> nemajú zreteľnú toxikologickú významnosť buď v dôsledku farmakologického účinku, alebo za uvedených podmienok. V porovnaní s maximálnou odporúčanou dávkou u ľudí, maximálne tolerované dávky sú 2- až 7-krát vyššie u potkanov (200 mg/kg/deň) a u psov (120 mg/kg/deň) pokiaľ ide o AUC. Žiadny karcinogénny účinok, možný u ľudí, sa nevyskytol u myší (do dávky 120 mg/kg/deň) a u potkanov (do dávky 120 mg/kg/deň), čo zodpovedá u potkanov 1,5 násobku a 4,5 násobku očakávaného AUC u ľudí.</w:t>
      </w:r>
    </w:p>
    <w:p w:rsidR="0007125D" w:rsidRPr="005A671A" w:rsidRDefault="0007125D" w:rsidP="00D863F6">
      <w:pPr>
        <w:pStyle w:val="Normlndobloku"/>
      </w:pPr>
      <w:r w:rsidRPr="005A671A">
        <w:t>Reproduktívne štúdie uskutočnené na potkanoch, králikoch a myšiach nedokázali žiadny teratogénny potenciál.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FARMACEUTICKÉ INFORMÁCIE</w:t>
      </w:r>
    </w:p>
    <w:p w:rsidR="0007125D" w:rsidRPr="005A671A" w:rsidRDefault="0007125D" w:rsidP="00D863F6">
      <w:pPr>
        <w:pStyle w:val="Styl2"/>
      </w:pPr>
      <w:r w:rsidRPr="005A671A">
        <w:t>Zoznam pomocných látok</w:t>
      </w:r>
    </w:p>
    <w:p w:rsidR="0007125D" w:rsidRPr="008B483C" w:rsidRDefault="0007125D" w:rsidP="0007125D">
      <w:pPr>
        <w:pStyle w:val="Normlndobloku"/>
      </w:pPr>
      <w:r w:rsidRPr="008B483C">
        <w:t>monohydrát laktózy</w:t>
      </w:r>
    </w:p>
    <w:p w:rsidR="0007125D" w:rsidRPr="008B483C" w:rsidRDefault="0007125D" w:rsidP="0007125D">
      <w:pPr>
        <w:pStyle w:val="Normlndobloku"/>
      </w:pPr>
      <w:r w:rsidRPr="008B483C">
        <w:t>sodná soľ karboxymetylškrobu typ A</w:t>
      </w:r>
    </w:p>
    <w:p w:rsidR="0007125D" w:rsidRPr="008B483C" w:rsidRDefault="0007125D" w:rsidP="0007125D">
      <w:pPr>
        <w:pStyle w:val="Normlndobloku"/>
      </w:pPr>
      <w:r w:rsidRPr="008B483C">
        <w:t>hypromelóza 2910/5</w:t>
      </w:r>
    </w:p>
    <w:p w:rsidR="0007125D" w:rsidRPr="008B483C" w:rsidRDefault="0007125D" w:rsidP="0007125D">
      <w:pPr>
        <w:pStyle w:val="Normlndobloku"/>
      </w:pPr>
      <w:r w:rsidRPr="008B483C">
        <w:t>mikrokryštalická celulóza PH-101</w:t>
      </w:r>
    </w:p>
    <w:p w:rsidR="0007125D" w:rsidRPr="008B483C" w:rsidRDefault="0007125D" w:rsidP="0007125D">
      <w:pPr>
        <w:pStyle w:val="Normlndobloku"/>
      </w:pPr>
      <w:r w:rsidRPr="008B483C">
        <w:lastRenderedPageBreak/>
        <w:t>magnéziumstearát</w:t>
      </w:r>
    </w:p>
    <w:p w:rsidR="0007125D" w:rsidRPr="005A671A" w:rsidRDefault="0007125D" w:rsidP="00D863F6">
      <w:pPr>
        <w:pStyle w:val="Styl2"/>
      </w:pPr>
      <w:r w:rsidRPr="005A671A">
        <w:t>Inkompatibility</w:t>
      </w:r>
    </w:p>
    <w:p w:rsidR="0007125D" w:rsidRPr="008B483C" w:rsidRDefault="0007125D" w:rsidP="0007125D">
      <w:pPr>
        <w:pStyle w:val="Normlndobloku"/>
      </w:pPr>
      <w:r w:rsidRPr="008B483C">
        <w:t>Neaplikovateľné.</w:t>
      </w:r>
    </w:p>
    <w:p w:rsidR="0007125D" w:rsidRPr="005A671A" w:rsidRDefault="0007125D" w:rsidP="00D863F6">
      <w:pPr>
        <w:pStyle w:val="Styl2"/>
      </w:pPr>
      <w:r w:rsidRPr="005A671A">
        <w:t>Čas použiteľnosti</w:t>
      </w:r>
    </w:p>
    <w:p w:rsidR="0007125D" w:rsidRPr="008B483C" w:rsidRDefault="0007125D" w:rsidP="0007125D">
      <w:pPr>
        <w:pStyle w:val="Normlndobloku"/>
      </w:pPr>
      <w:r w:rsidRPr="008B483C">
        <w:t>2 roky</w:t>
      </w:r>
    </w:p>
    <w:p w:rsidR="0007125D" w:rsidRPr="005A671A" w:rsidRDefault="0007125D" w:rsidP="00D863F6">
      <w:pPr>
        <w:pStyle w:val="Styl2"/>
      </w:pPr>
      <w:r w:rsidRPr="005A671A">
        <w:t>Špeciálne upozornenia na uchovávanie</w:t>
      </w:r>
    </w:p>
    <w:p w:rsidR="0007125D" w:rsidRPr="008B483C" w:rsidRDefault="0007125D" w:rsidP="0007125D">
      <w:pPr>
        <w:pStyle w:val="Normlndobloku"/>
      </w:pPr>
      <w:r w:rsidRPr="008B483C">
        <w:t>Tento liek nevyžaduje žiadne zvláštne podmienky na uchovávanie.</w:t>
      </w:r>
    </w:p>
    <w:p w:rsidR="0007125D" w:rsidRPr="005A671A" w:rsidRDefault="0007125D" w:rsidP="00D863F6">
      <w:pPr>
        <w:pStyle w:val="Styl2"/>
      </w:pPr>
      <w:r w:rsidRPr="005A671A">
        <w:t>Druh obalu a obsah balenia</w:t>
      </w:r>
    </w:p>
    <w:p w:rsidR="0007125D" w:rsidRPr="008B483C" w:rsidRDefault="0007125D" w:rsidP="0007125D">
      <w:pPr>
        <w:pStyle w:val="Normlndobloku"/>
      </w:pPr>
      <w:r w:rsidRPr="008B483C">
        <w:t>PVC/PE/PVDC-Alu blister alebo PVC/PVDC-Alu blister, papierová škatuľka</w:t>
      </w:r>
    </w:p>
    <w:p w:rsidR="0007125D" w:rsidRPr="008B483C" w:rsidRDefault="0007125D" w:rsidP="0007125D">
      <w:pPr>
        <w:pStyle w:val="Normlndobloku"/>
      </w:pPr>
      <w:r w:rsidRPr="008B483C">
        <w:t>Veľkosť balenia: 30, 60 a 90 tabliet</w:t>
      </w:r>
    </w:p>
    <w:p w:rsidR="0007125D" w:rsidRPr="008B483C" w:rsidRDefault="0007125D" w:rsidP="0007125D">
      <w:pPr>
        <w:pStyle w:val="Normlndobloku"/>
      </w:pPr>
      <w:r w:rsidRPr="008B483C">
        <w:t>Na trh nemusia byť uvedené všetky veľkosti balenia.</w:t>
      </w:r>
    </w:p>
    <w:p w:rsidR="0007125D" w:rsidRPr="005A671A" w:rsidRDefault="0007125D" w:rsidP="00D863F6">
      <w:pPr>
        <w:pStyle w:val="Styl2"/>
      </w:pPr>
      <w:r w:rsidRPr="005A671A">
        <w:t>Špeciálne opatrenia na likvidáciu</w:t>
      </w:r>
    </w:p>
    <w:p w:rsidR="0007125D" w:rsidRPr="00ED3968" w:rsidRDefault="00D863F6" w:rsidP="00D863F6">
      <w:pPr>
        <w:pStyle w:val="Normlndobloku"/>
      </w:pPr>
      <w:r>
        <w:t>Žiadne zv</w:t>
      </w:r>
      <w:r w:rsidR="0007125D" w:rsidRPr="00ED3968">
        <w:t>láštne požiadavky.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DRŽITEĽ ROZHODNUTIA O REGISTRÁCII</w:t>
      </w:r>
    </w:p>
    <w:p w:rsidR="0007125D" w:rsidRPr="008B483C" w:rsidRDefault="0007125D" w:rsidP="0007125D">
      <w:pPr>
        <w:pStyle w:val="Normlndobloku"/>
      </w:pPr>
      <w:r w:rsidRPr="008B483C">
        <w:t>MEDOCHEMIE Ltd., 1-10 Constantinoupoleos street, 3011 Limassol, Cyprus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REGISTRAČNÉ ČÍSLA</w:t>
      </w:r>
    </w:p>
    <w:p w:rsidR="0007125D" w:rsidRPr="008B483C" w:rsidRDefault="0007125D" w:rsidP="0007125D">
      <w:pPr>
        <w:pStyle w:val="Normlndobloku"/>
      </w:pPr>
      <w:r w:rsidRPr="008B483C">
        <w:t>AKTIPROL 200 mg tablety:</w:t>
      </w:r>
      <w:r w:rsidR="00577E83" w:rsidRPr="00577E83">
        <w:t xml:space="preserve"> 68/0273/15-S</w:t>
      </w:r>
    </w:p>
    <w:p w:rsidR="0007125D" w:rsidRPr="008B483C" w:rsidRDefault="0007125D" w:rsidP="0007125D">
      <w:pPr>
        <w:pStyle w:val="Normlndobloku"/>
      </w:pPr>
      <w:r w:rsidRPr="00D863F6">
        <w:rPr>
          <w:highlight w:val="lightGray"/>
        </w:rPr>
        <w:t>AKTIPROL 400 mg tablety:</w:t>
      </w:r>
      <w:r w:rsidR="00577E83" w:rsidRPr="00577E83">
        <w:t xml:space="preserve"> 68/027</w:t>
      </w:r>
      <w:r w:rsidR="00577E83">
        <w:t>4</w:t>
      </w:r>
      <w:r w:rsidR="00577E83" w:rsidRPr="00577E83">
        <w:t>/15-S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DÁTUM PRVEJ REGISTRÁCIE/ PREDĹŽENIA REGISTRÁCIE</w:t>
      </w:r>
    </w:p>
    <w:p w:rsidR="0007125D" w:rsidRPr="008B483C" w:rsidRDefault="0007125D" w:rsidP="0007125D">
      <w:pPr>
        <w:pStyle w:val="Normlndobloku"/>
      </w:pPr>
      <w:r w:rsidRPr="008B483C">
        <w:t>Dátum prvej registrácie:</w:t>
      </w:r>
    </w:p>
    <w:p w:rsidR="0007125D" w:rsidRPr="008B483C" w:rsidRDefault="0007125D" w:rsidP="0007125D">
      <w:pPr>
        <w:pStyle w:val="Styl1"/>
        <w:rPr>
          <w:lang w:val="sk-SK"/>
        </w:rPr>
      </w:pPr>
      <w:r w:rsidRPr="008B483C">
        <w:rPr>
          <w:lang w:val="sk-SK"/>
        </w:rPr>
        <w:t>DÁTUM REVÍZIE TEXTU</w:t>
      </w:r>
    </w:p>
    <w:p w:rsidR="0007125D" w:rsidRPr="008B483C" w:rsidRDefault="00136939" w:rsidP="0007125D">
      <w:pPr>
        <w:pStyle w:val="Normlndobloku"/>
      </w:pPr>
      <w:r>
        <w:t>Júl 2015</w:t>
      </w:r>
    </w:p>
    <w:p w:rsidR="005D7EAD" w:rsidRDefault="005D7EAD"/>
    <w:sectPr w:rsidR="005D7EAD" w:rsidSect="00ED396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EAD" w:rsidRDefault="005D7EAD" w:rsidP="008B483C">
      <w:r>
        <w:separator/>
      </w:r>
    </w:p>
  </w:endnote>
  <w:endnote w:type="continuationSeparator" w:id="0">
    <w:p w:rsidR="005D7EAD" w:rsidRDefault="005D7EAD" w:rsidP="008B483C">
      <w:r>
        <w:continuationSeparator/>
      </w:r>
    </w:p>
  </w:endnote>
  <w:endnote w:type="continuationNotice" w:id="1">
    <w:p w:rsidR="005D7EAD" w:rsidRDefault="005D7EA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6F" w:rsidRDefault="00DA76AC" w:rsidP="00836DF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8B483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02B6F" w:rsidRDefault="00502B6F" w:rsidP="00C32E16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6F" w:rsidRPr="00BA12C4" w:rsidRDefault="00DA76AC" w:rsidP="00BF6AC8">
    <w:pPr>
      <w:pStyle w:val="Pta"/>
      <w:jc w:val="center"/>
      <w:rPr>
        <w:sz w:val="22"/>
        <w:szCs w:val="22"/>
      </w:rPr>
    </w:pPr>
    <w:r w:rsidRPr="00BA12C4">
      <w:rPr>
        <w:sz w:val="22"/>
        <w:szCs w:val="22"/>
      </w:rPr>
      <w:fldChar w:fldCharType="begin"/>
    </w:r>
    <w:r w:rsidR="008B483C" w:rsidRPr="00BA12C4">
      <w:rPr>
        <w:sz w:val="22"/>
        <w:szCs w:val="22"/>
      </w:rPr>
      <w:instrText>PAGE</w:instrText>
    </w:r>
    <w:r w:rsidRPr="00BA12C4">
      <w:rPr>
        <w:sz w:val="22"/>
        <w:szCs w:val="22"/>
      </w:rPr>
      <w:fldChar w:fldCharType="separate"/>
    </w:r>
    <w:r w:rsidR="008C3139">
      <w:rPr>
        <w:noProof/>
        <w:sz w:val="22"/>
        <w:szCs w:val="22"/>
      </w:rPr>
      <w:t>10</w:t>
    </w:r>
    <w:r w:rsidRPr="00BA12C4">
      <w:rPr>
        <w:sz w:val="22"/>
        <w:szCs w:val="22"/>
      </w:rPr>
      <w:fldChar w:fldCharType="end"/>
    </w:r>
    <w:r w:rsidR="008B483C" w:rsidRPr="00BA12C4">
      <w:rPr>
        <w:sz w:val="22"/>
        <w:szCs w:val="22"/>
      </w:rPr>
      <w:t>/</w:t>
    </w:r>
    <w:r w:rsidRPr="00BA12C4">
      <w:rPr>
        <w:sz w:val="22"/>
        <w:szCs w:val="22"/>
      </w:rPr>
      <w:fldChar w:fldCharType="begin"/>
    </w:r>
    <w:r w:rsidR="008B483C" w:rsidRPr="00BA12C4">
      <w:rPr>
        <w:sz w:val="22"/>
        <w:szCs w:val="22"/>
      </w:rPr>
      <w:instrText>NUMPAGES</w:instrText>
    </w:r>
    <w:r w:rsidRPr="00BA12C4">
      <w:rPr>
        <w:sz w:val="22"/>
        <w:szCs w:val="22"/>
      </w:rPr>
      <w:fldChar w:fldCharType="separate"/>
    </w:r>
    <w:r w:rsidR="008C3139">
      <w:rPr>
        <w:noProof/>
        <w:sz w:val="22"/>
        <w:szCs w:val="22"/>
      </w:rPr>
      <w:t>10</w:t>
    </w:r>
    <w:r w:rsidRPr="00BA12C4">
      <w:rPr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6F" w:rsidRPr="00BA12C4" w:rsidRDefault="00DA76AC" w:rsidP="00BF6AC8">
    <w:pPr>
      <w:pStyle w:val="Pta"/>
      <w:jc w:val="center"/>
      <w:rPr>
        <w:sz w:val="22"/>
        <w:szCs w:val="22"/>
      </w:rPr>
    </w:pPr>
    <w:r w:rsidRPr="00BA12C4">
      <w:rPr>
        <w:sz w:val="22"/>
        <w:szCs w:val="22"/>
      </w:rPr>
      <w:fldChar w:fldCharType="begin"/>
    </w:r>
    <w:r w:rsidR="008B483C" w:rsidRPr="00BA12C4">
      <w:rPr>
        <w:sz w:val="22"/>
        <w:szCs w:val="22"/>
      </w:rPr>
      <w:instrText>PAGE</w:instrText>
    </w:r>
    <w:r w:rsidRPr="00BA12C4">
      <w:rPr>
        <w:sz w:val="22"/>
        <w:szCs w:val="22"/>
      </w:rPr>
      <w:fldChar w:fldCharType="separate"/>
    </w:r>
    <w:r w:rsidR="008C3139">
      <w:rPr>
        <w:noProof/>
        <w:sz w:val="22"/>
        <w:szCs w:val="22"/>
      </w:rPr>
      <w:t>1</w:t>
    </w:r>
    <w:r w:rsidRPr="00BA12C4">
      <w:rPr>
        <w:sz w:val="22"/>
        <w:szCs w:val="22"/>
      </w:rPr>
      <w:fldChar w:fldCharType="end"/>
    </w:r>
    <w:r w:rsidR="008B483C" w:rsidRPr="00BA12C4">
      <w:rPr>
        <w:sz w:val="22"/>
        <w:szCs w:val="22"/>
      </w:rPr>
      <w:t>/</w:t>
    </w:r>
    <w:r w:rsidRPr="00BA12C4">
      <w:rPr>
        <w:sz w:val="22"/>
        <w:szCs w:val="22"/>
      </w:rPr>
      <w:fldChar w:fldCharType="begin"/>
    </w:r>
    <w:r w:rsidR="008B483C" w:rsidRPr="00BA12C4">
      <w:rPr>
        <w:sz w:val="22"/>
        <w:szCs w:val="22"/>
      </w:rPr>
      <w:instrText>NUMPAGES</w:instrText>
    </w:r>
    <w:r w:rsidRPr="00BA12C4">
      <w:rPr>
        <w:sz w:val="22"/>
        <w:szCs w:val="22"/>
      </w:rPr>
      <w:fldChar w:fldCharType="separate"/>
    </w:r>
    <w:r w:rsidR="008C3139">
      <w:rPr>
        <w:noProof/>
        <w:sz w:val="22"/>
        <w:szCs w:val="22"/>
      </w:rPr>
      <w:t>10</w:t>
    </w:r>
    <w:r w:rsidRPr="00BA12C4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EAD" w:rsidRDefault="005D7EAD" w:rsidP="008B483C">
      <w:r>
        <w:separator/>
      </w:r>
    </w:p>
  </w:footnote>
  <w:footnote w:type="continuationSeparator" w:id="0">
    <w:p w:rsidR="005D7EAD" w:rsidRDefault="005D7EAD" w:rsidP="008B483C">
      <w:r>
        <w:continuationSeparator/>
      </w:r>
    </w:p>
  </w:footnote>
  <w:footnote w:type="continuationNotice" w:id="1">
    <w:p w:rsidR="005D7EAD" w:rsidRDefault="005D7E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71A" w:rsidRDefault="005A671A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6F" w:rsidRPr="00816BFE" w:rsidRDefault="008B483C" w:rsidP="001758C6">
    <w:pPr>
      <w:outlineLvl w:val="0"/>
      <w:rPr>
        <w:noProof/>
        <w:sz w:val="18"/>
        <w:szCs w:val="18"/>
        <w:lang w:val="sk-SK" w:eastAsia="en-GB"/>
      </w:rPr>
    </w:pPr>
    <w:r w:rsidRPr="0068009A">
      <w:rPr>
        <w:noProof/>
        <w:sz w:val="18"/>
        <w:szCs w:val="18"/>
        <w:lang w:eastAsia="en-GB"/>
      </w:rPr>
      <w:t>Schválený text</w:t>
    </w:r>
    <w:r w:rsidRPr="0068009A">
      <w:rPr>
        <w:sz w:val="18"/>
        <w:szCs w:val="18"/>
      </w:rPr>
      <w:t xml:space="preserve"> k</w:t>
    </w:r>
    <w:r w:rsidRPr="0068009A">
      <w:rPr>
        <w:noProof/>
        <w:sz w:val="18"/>
        <w:szCs w:val="18"/>
        <w:lang w:eastAsia="en-GB"/>
      </w:rPr>
      <w:t xml:space="preserve"> r</w:t>
    </w:r>
    <w:r w:rsidRPr="0068009A">
      <w:rPr>
        <w:sz w:val="18"/>
        <w:szCs w:val="18"/>
      </w:rPr>
      <w:t>ozhodnutiu o </w:t>
    </w:r>
    <w:r>
      <w:rPr>
        <w:noProof/>
        <w:sz w:val="18"/>
        <w:szCs w:val="18"/>
        <w:lang w:val="sk-SK" w:eastAsia="en-GB"/>
      </w:rPr>
      <w:t>registrácii</w:t>
    </w:r>
    <w:r w:rsidRPr="0068009A">
      <w:rPr>
        <w:sz w:val="18"/>
        <w:szCs w:val="18"/>
      </w:rPr>
      <w:t>, evid.č.:</w:t>
    </w:r>
    <w:r>
      <w:rPr>
        <w:sz w:val="18"/>
        <w:szCs w:val="18"/>
        <w:lang w:val="sk-SK"/>
      </w:rPr>
      <w:t xml:space="preserve"> </w:t>
    </w:r>
    <w:r>
      <w:rPr>
        <w:noProof/>
        <w:sz w:val="18"/>
        <w:szCs w:val="18"/>
        <w:lang w:eastAsia="en-GB"/>
      </w:rPr>
      <w:t>201</w:t>
    </w:r>
    <w:r>
      <w:rPr>
        <w:noProof/>
        <w:sz w:val="18"/>
        <w:szCs w:val="18"/>
        <w:lang w:val="sk-SK" w:eastAsia="en-GB"/>
      </w:rPr>
      <w:t>4/01851, 2014/01852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0F16A7"/>
    <w:multiLevelType w:val="hybridMultilevel"/>
    <w:tmpl w:val="845A77C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BBFA6CA"/>
    <w:multiLevelType w:val="hybridMultilevel"/>
    <w:tmpl w:val="4CBCF7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09617C0"/>
    <w:multiLevelType w:val="hybridMultilevel"/>
    <w:tmpl w:val="7720B9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D1F3D26"/>
    <w:multiLevelType w:val="hybridMultilevel"/>
    <w:tmpl w:val="DABB310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FFFFF7C"/>
    <w:multiLevelType w:val="singleLevel"/>
    <w:tmpl w:val="0FA0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>
    <w:nsid w:val="FFFFFF7D"/>
    <w:multiLevelType w:val="singleLevel"/>
    <w:tmpl w:val="FDA0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>
    <w:nsid w:val="FFFFFF7E"/>
    <w:multiLevelType w:val="singleLevel"/>
    <w:tmpl w:val="6D34F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>
    <w:nsid w:val="FFFFFF7F"/>
    <w:multiLevelType w:val="singleLevel"/>
    <w:tmpl w:val="C3808B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>
    <w:nsid w:val="FFFFFF80"/>
    <w:multiLevelType w:val="singleLevel"/>
    <w:tmpl w:val="CC427F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>
    <w:nsid w:val="FFFFFF81"/>
    <w:multiLevelType w:val="singleLevel"/>
    <w:tmpl w:val="835E2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>
    <w:nsid w:val="FFFFFF82"/>
    <w:multiLevelType w:val="singleLevel"/>
    <w:tmpl w:val="11AC7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>
    <w:nsid w:val="FFFFFF83"/>
    <w:multiLevelType w:val="singleLevel"/>
    <w:tmpl w:val="C99868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>
    <w:nsid w:val="FFFFFF88"/>
    <w:multiLevelType w:val="singleLevel"/>
    <w:tmpl w:val="994A1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FFFFFF89"/>
    <w:multiLevelType w:val="singleLevel"/>
    <w:tmpl w:val="7DA6D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5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2500D2"/>
    <w:multiLevelType w:val="hybridMultilevel"/>
    <w:tmpl w:val="58B28F8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195EA90"/>
    <w:multiLevelType w:val="hybridMultilevel"/>
    <w:tmpl w:val="BA293E5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AC4E211"/>
    <w:multiLevelType w:val="hybridMultilevel"/>
    <w:tmpl w:val="4CCBB6F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26CFB64"/>
    <w:multiLevelType w:val="hybridMultilevel"/>
    <w:tmpl w:val="F2ABC5C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36844337"/>
    <w:multiLevelType w:val="hybridMultilevel"/>
    <w:tmpl w:val="491811A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B991A16"/>
    <w:multiLevelType w:val="hybridMultilevel"/>
    <w:tmpl w:val="E5EC14DA"/>
    <w:lvl w:ilvl="0" w:tplc="85BCE08E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BEF0F49"/>
    <w:multiLevelType w:val="multilevel"/>
    <w:tmpl w:val="9670B2CC"/>
    <w:styleLink w:val="Odrky2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877145"/>
    <w:multiLevelType w:val="singleLevel"/>
    <w:tmpl w:val="BFCC93E6"/>
    <w:lvl w:ilvl="0">
      <w:start w:val="1"/>
      <w:numFmt w:val="bullet"/>
      <w:pStyle w:val="Normlndoblokusodrkami"/>
      <w:lvlText w:val=""/>
      <w:lvlJc w:val="left"/>
      <w:pPr>
        <w:ind w:left="1211" w:hanging="360"/>
      </w:pPr>
      <w:rPr>
        <w:rFonts w:ascii="Symbol" w:hAnsi="Symbol" w:hint="default"/>
        <w:sz w:val="22"/>
      </w:rPr>
    </w:lvl>
  </w:abstractNum>
  <w:abstractNum w:abstractNumId="26">
    <w:nsid w:val="48A22F2E"/>
    <w:multiLevelType w:val="hybridMultilevel"/>
    <w:tmpl w:val="4B36D6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293E2"/>
    <w:multiLevelType w:val="hybridMultilevel"/>
    <w:tmpl w:val="13BAD17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DE7C69E"/>
    <w:multiLevelType w:val="hybridMultilevel"/>
    <w:tmpl w:val="C9526FD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4EF43F7F"/>
    <w:multiLevelType w:val="multilevel"/>
    <w:tmpl w:val="9670B2CC"/>
    <w:numStyleLink w:val="Odrky2"/>
  </w:abstractNum>
  <w:abstractNum w:abstractNumId="30">
    <w:nsid w:val="52C62BFD"/>
    <w:multiLevelType w:val="hybridMultilevel"/>
    <w:tmpl w:val="290AB4B4"/>
    <w:lvl w:ilvl="0" w:tplc="85BCE08E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9251BFA"/>
    <w:multiLevelType w:val="hybridMultilevel"/>
    <w:tmpl w:val="DEA895EC"/>
    <w:lvl w:ilvl="0" w:tplc="041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>
    <w:nsid w:val="5F9CDDFE"/>
    <w:multiLevelType w:val="hybridMultilevel"/>
    <w:tmpl w:val="FEDC6B9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4">
    <w:nsid w:val="63F572B3"/>
    <w:multiLevelType w:val="hybridMultilevel"/>
    <w:tmpl w:val="0C7073C8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47348B"/>
    <w:multiLevelType w:val="hybridMultilevel"/>
    <w:tmpl w:val="A86BD37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7474D5A"/>
    <w:multiLevelType w:val="hybridMultilevel"/>
    <w:tmpl w:val="8B1665F8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AD4AA7"/>
    <w:multiLevelType w:val="multilevel"/>
    <w:tmpl w:val="0E7C23B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9291"/>
        </w:tabs>
        <w:ind w:left="929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6D9B27FF"/>
    <w:multiLevelType w:val="hybridMultilevel"/>
    <w:tmpl w:val="F49C15D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6EE148A7"/>
    <w:multiLevelType w:val="hybridMultilevel"/>
    <w:tmpl w:val="F3FC62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6F85D6BD"/>
    <w:multiLevelType w:val="hybridMultilevel"/>
    <w:tmpl w:val="D6F7F57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3D46701"/>
    <w:multiLevelType w:val="hybridMultilevel"/>
    <w:tmpl w:val="63D091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776132"/>
    <w:multiLevelType w:val="hybridMultilevel"/>
    <w:tmpl w:val="A86476B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903A4CA"/>
    <w:multiLevelType w:val="hybridMultilevel"/>
    <w:tmpl w:val="47599D6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F065C2E"/>
    <w:multiLevelType w:val="multilevel"/>
    <w:tmpl w:val="9670B2CC"/>
    <w:numStyleLink w:val="Odrky2"/>
  </w:abstractNum>
  <w:num w:numId="1">
    <w:abstractNumId w:val="37"/>
  </w:num>
  <w:num w:numId="2">
    <w:abstractNumId w:val="24"/>
  </w:num>
  <w:num w:numId="3">
    <w:abstractNumId w:val="25"/>
  </w:num>
  <w:num w:numId="4">
    <w:abstractNumId w:val="44"/>
  </w:num>
  <w:num w:numId="5">
    <w:abstractNumId w:val="29"/>
  </w:num>
  <w:num w:numId="6">
    <w:abstractNumId w:val="34"/>
  </w:num>
  <w:num w:numId="7">
    <w:abstractNumId w:val="21"/>
  </w:num>
  <w:num w:numId="8">
    <w:abstractNumId w:val="15"/>
  </w:num>
  <w:num w:numId="9">
    <w:abstractNumId w:val="33"/>
  </w:num>
  <w:num w:numId="10">
    <w:abstractNumId w:val="16"/>
  </w:num>
  <w:num w:numId="11">
    <w:abstractNumId w:val="2"/>
  </w:num>
  <w:num w:numId="12">
    <w:abstractNumId w:val="18"/>
  </w:num>
  <w:num w:numId="13">
    <w:abstractNumId w:val="27"/>
  </w:num>
  <w:num w:numId="14">
    <w:abstractNumId w:val="39"/>
  </w:num>
  <w:num w:numId="15">
    <w:abstractNumId w:val="28"/>
  </w:num>
  <w:num w:numId="16">
    <w:abstractNumId w:val="35"/>
  </w:num>
  <w:num w:numId="17">
    <w:abstractNumId w:val="0"/>
  </w:num>
  <w:num w:numId="18">
    <w:abstractNumId w:val="38"/>
  </w:num>
  <w:num w:numId="19">
    <w:abstractNumId w:val="3"/>
  </w:num>
  <w:num w:numId="20">
    <w:abstractNumId w:val="20"/>
  </w:num>
  <w:num w:numId="21">
    <w:abstractNumId w:val="19"/>
  </w:num>
  <w:num w:numId="22">
    <w:abstractNumId w:val="43"/>
  </w:num>
  <w:num w:numId="23">
    <w:abstractNumId w:val="42"/>
  </w:num>
  <w:num w:numId="24">
    <w:abstractNumId w:val="40"/>
  </w:num>
  <w:num w:numId="25">
    <w:abstractNumId w:val="22"/>
  </w:num>
  <w:num w:numId="26">
    <w:abstractNumId w:val="32"/>
  </w:num>
  <w:num w:numId="27">
    <w:abstractNumId w:val="17"/>
  </w:num>
  <w:num w:numId="28">
    <w:abstractNumId w:val="1"/>
  </w:num>
  <w:num w:numId="29">
    <w:abstractNumId w:val="12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3"/>
  </w:num>
  <w:num w:numId="35">
    <w:abstractNumId w:val="11"/>
  </w:num>
  <w:num w:numId="36">
    <w:abstractNumId w:val="10"/>
  </w:num>
  <w:num w:numId="37">
    <w:abstractNumId w:val="9"/>
  </w:num>
  <w:num w:numId="38">
    <w:abstractNumId w:val="8"/>
  </w:num>
  <w:num w:numId="39">
    <w:abstractNumId w:val="1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31"/>
  </w:num>
  <w:num w:numId="41">
    <w:abstractNumId w:val="26"/>
  </w:num>
  <w:num w:numId="42">
    <w:abstractNumId w:val="30"/>
  </w:num>
  <w:num w:numId="43">
    <w:abstractNumId w:val="23"/>
  </w:num>
  <w:num w:numId="44">
    <w:abstractNumId w:val="36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stylePaneFormatFilter w:val="1028"/>
  <w:trackRevisions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B72C6"/>
    <w:rsid w:val="00000B02"/>
    <w:rsid w:val="000040B5"/>
    <w:rsid w:val="000149CC"/>
    <w:rsid w:val="00017076"/>
    <w:rsid w:val="00020751"/>
    <w:rsid w:val="00025A1B"/>
    <w:rsid w:val="00033A22"/>
    <w:rsid w:val="00035C69"/>
    <w:rsid w:val="00044169"/>
    <w:rsid w:val="000478C7"/>
    <w:rsid w:val="00050161"/>
    <w:rsid w:val="0005254E"/>
    <w:rsid w:val="000553E2"/>
    <w:rsid w:val="00055D94"/>
    <w:rsid w:val="00065FB5"/>
    <w:rsid w:val="0007125D"/>
    <w:rsid w:val="00071A3F"/>
    <w:rsid w:val="0007390F"/>
    <w:rsid w:val="00074DF5"/>
    <w:rsid w:val="0008128B"/>
    <w:rsid w:val="000843EF"/>
    <w:rsid w:val="0008620F"/>
    <w:rsid w:val="000929E6"/>
    <w:rsid w:val="000A4A4B"/>
    <w:rsid w:val="000A4BC2"/>
    <w:rsid w:val="000B71B1"/>
    <w:rsid w:val="000C37CC"/>
    <w:rsid w:val="000C755F"/>
    <w:rsid w:val="000D2539"/>
    <w:rsid w:val="000D3373"/>
    <w:rsid w:val="000D6ABD"/>
    <w:rsid w:val="00103970"/>
    <w:rsid w:val="00105B85"/>
    <w:rsid w:val="00120690"/>
    <w:rsid w:val="00123A53"/>
    <w:rsid w:val="00124225"/>
    <w:rsid w:val="00136939"/>
    <w:rsid w:val="00150146"/>
    <w:rsid w:val="001541D0"/>
    <w:rsid w:val="00160AAC"/>
    <w:rsid w:val="001611DA"/>
    <w:rsid w:val="00161442"/>
    <w:rsid w:val="00164020"/>
    <w:rsid w:val="001758C6"/>
    <w:rsid w:val="00176DE9"/>
    <w:rsid w:val="00177D57"/>
    <w:rsid w:val="001829FC"/>
    <w:rsid w:val="00182C2F"/>
    <w:rsid w:val="00183E0E"/>
    <w:rsid w:val="001867E6"/>
    <w:rsid w:val="0019289F"/>
    <w:rsid w:val="00196700"/>
    <w:rsid w:val="001A13CD"/>
    <w:rsid w:val="001A1CBE"/>
    <w:rsid w:val="001A3668"/>
    <w:rsid w:val="001A3FDC"/>
    <w:rsid w:val="001A69F9"/>
    <w:rsid w:val="001C21E8"/>
    <w:rsid w:val="001C57DF"/>
    <w:rsid w:val="001D25ED"/>
    <w:rsid w:val="001D3B5C"/>
    <w:rsid w:val="001D7710"/>
    <w:rsid w:val="001E0B63"/>
    <w:rsid w:val="001E1FDE"/>
    <w:rsid w:val="001E2BE2"/>
    <w:rsid w:val="001E5CAD"/>
    <w:rsid w:val="001E65EA"/>
    <w:rsid w:val="001F42D5"/>
    <w:rsid w:val="00203EDC"/>
    <w:rsid w:val="00205BCA"/>
    <w:rsid w:val="00206082"/>
    <w:rsid w:val="00213B15"/>
    <w:rsid w:val="00227D28"/>
    <w:rsid w:val="0024759D"/>
    <w:rsid w:val="00250840"/>
    <w:rsid w:val="00253774"/>
    <w:rsid w:val="00262276"/>
    <w:rsid w:val="00267958"/>
    <w:rsid w:val="0027150F"/>
    <w:rsid w:val="00275851"/>
    <w:rsid w:val="00280BBF"/>
    <w:rsid w:val="00287E25"/>
    <w:rsid w:val="00295BC4"/>
    <w:rsid w:val="00296A02"/>
    <w:rsid w:val="00296D11"/>
    <w:rsid w:val="002A0CD9"/>
    <w:rsid w:val="002A778C"/>
    <w:rsid w:val="002B4828"/>
    <w:rsid w:val="002C13A4"/>
    <w:rsid w:val="002D3DC5"/>
    <w:rsid w:val="002D78BE"/>
    <w:rsid w:val="002E096C"/>
    <w:rsid w:val="002E4932"/>
    <w:rsid w:val="002F0A24"/>
    <w:rsid w:val="002F0EAF"/>
    <w:rsid w:val="002F260D"/>
    <w:rsid w:val="002F2C85"/>
    <w:rsid w:val="002F61EC"/>
    <w:rsid w:val="003121F9"/>
    <w:rsid w:val="003134B5"/>
    <w:rsid w:val="00320C15"/>
    <w:rsid w:val="00325AA7"/>
    <w:rsid w:val="003354DC"/>
    <w:rsid w:val="003466FE"/>
    <w:rsid w:val="00350C8C"/>
    <w:rsid w:val="0035247A"/>
    <w:rsid w:val="00353647"/>
    <w:rsid w:val="00367804"/>
    <w:rsid w:val="0037424B"/>
    <w:rsid w:val="003839E2"/>
    <w:rsid w:val="00384651"/>
    <w:rsid w:val="00397C1A"/>
    <w:rsid w:val="003A1534"/>
    <w:rsid w:val="003A548F"/>
    <w:rsid w:val="003A5B74"/>
    <w:rsid w:val="003A5C4D"/>
    <w:rsid w:val="003B4788"/>
    <w:rsid w:val="003B77D5"/>
    <w:rsid w:val="003B7BC5"/>
    <w:rsid w:val="003C0191"/>
    <w:rsid w:val="003C7FD6"/>
    <w:rsid w:val="003D54D3"/>
    <w:rsid w:val="003F069B"/>
    <w:rsid w:val="003F0DE7"/>
    <w:rsid w:val="003F2874"/>
    <w:rsid w:val="003F5C88"/>
    <w:rsid w:val="00411A9F"/>
    <w:rsid w:val="00412B7E"/>
    <w:rsid w:val="004146C9"/>
    <w:rsid w:val="00416681"/>
    <w:rsid w:val="00421468"/>
    <w:rsid w:val="004215B1"/>
    <w:rsid w:val="0042263B"/>
    <w:rsid w:val="00422F5C"/>
    <w:rsid w:val="00430FCA"/>
    <w:rsid w:val="00436432"/>
    <w:rsid w:val="0045623D"/>
    <w:rsid w:val="00456A06"/>
    <w:rsid w:val="004602FC"/>
    <w:rsid w:val="00495178"/>
    <w:rsid w:val="00495769"/>
    <w:rsid w:val="004A591F"/>
    <w:rsid w:val="004A5BA9"/>
    <w:rsid w:val="004B3822"/>
    <w:rsid w:val="004C1C35"/>
    <w:rsid w:val="004D2712"/>
    <w:rsid w:val="004F1EF8"/>
    <w:rsid w:val="004F3B95"/>
    <w:rsid w:val="00502B6F"/>
    <w:rsid w:val="00502EFF"/>
    <w:rsid w:val="0050603C"/>
    <w:rsid w:val="0051098E"/>
    <w:rsid w:val="00510EE3"/>
    <w:rsid w:val="00511115"/>
    <w:rsid w:val="00511F2D"/>
    <w:rsid w:val="00513C0F"/>
    <w:rsid w:val="00515C93"/>
    <w:rsid w:val="00522D0D"/>
    <w:rsid w:val="005243B1"/>
    <w:rsid w:val="00525F7C"/>
    <w:rsid w:val="0054506B"/>
    <w:rsid w:val="00554F49"/>
    <w:rsid w:val="00560FEB"/>
    <w:rsid w:val="0056409F"/>
    <w:rsid w:val="0057001E"/>
    <w:rsid w:val="005729C1"/>
    <w:rsid w:val="00572A35"/>
    <w:rsid w:val="005755C6"/>
    <w:rsid w:val="00577D5D"/>
    <w:rsid w:val="00577E83"/>
    <w:rsid w:val="00584ECF"/>
    <w:rsid w:val="005A671A"/>
    <w:rsid w:val="005A7525"/>
    <w:rsid w:val="005B3C83"/>
    <w:rsid w:val="005B68E9"/>
    <w:rsid w:val="005D7EAD"/>
    <w:rsid w:val="005E075B"/>
    <w:rsid w:val="005E6224"/>
    <w:rsid w:val="005E73B6"/>
    <w:rsid w:val="005F3A4E"/>
    <w:rsid w:val="005F6191"/>
    <w:rsid w:val="005F7042"/>
    <w:rsid w:val="00602625"/>
    <w:rsid w:val="006058E5"/>
    <w:rsid w:val="00615EF0"/>
    <w:rsid w:val="00630BE7"/>
    <w:rsid w:val="00634E6C"/>
    <w:rsid w:val="0063734B"/>
    <w:rsid w:val="006403B9"/>
    <w:rsid w:val="00640FE3"/>
    <w:rsid w:val="00643E4C"/>
    <w:rsid w:val="00650048"/>
    <w:rsid w:val="00652FA8"/>
    <w:rsid w:val="00663E74"/>
    <w:rsid w:val="0066532E"/>
    <w:rsid w:val="00665353"/>
    <w:rsid w:val="0066595C"/>
    <w:rsid w:val="00667AAB"/>
    <w:rsid w:val="0068009A"/>
    <w:rsid w:val="006A0611"/>
    <w:rsid w:val="006A637F"/>
    <w:rsid w:val="006B46E8"/>
    <w:rsid w:val="006C0701"/>
    <w:rsid w:val="006C5736"/>
    <w:rsid w:val="006E0532"/>
    <w:rsid w:val="006E1CA7"/>
    <w:rsid w:val="006F5F3A"/>
    <w:rsid w:val="00701DB1"/>
    <w:rsid w:val="00703DE8"/>
    <w:rsid w:val="007175BB"/>
    <w:rsid w:val="007201E7"/>
    <w:rsid w:val="00732260"/>
    <w:rsid w:val="0073332D"/>
    <w:rsid w:val="0073349F"/>
    <w:rsid w:val="00734F6B"/>
    <w:rsid w:val="00735135"/>
    <w:rsid w:val="00737715"/>
    <w:rsid w:val="00737A6B"/>
    <w:rsid w:val="0074134E"/>
    <w:rsid w:val="007662A9"/>
    <w:rsid w:val="00767BD0"/>
    <w:rsid w:val="00770E67"/>
    <w:rsid w:val="007714D5"/>
    <w:rsid w:val="00775F92"/>
    <w:rsid w:val="007760A4"/>
    <w:rsid w:val="0079221A"/>
    <w:rsid w:val="00792C85"/>
    <w:rsid w:val="00794079"/>
    <w:rsid w:val="00797059"/>
    <w:rsid w:val="007A2303"/>
    <w:rsid w:val="007A7C0A"/>
    <w:rsid w:val="007B6EF2"/>
    <w:rsid w:val="007C1EB2"/>
    <w:rsid w:val="007C572C"/>
    <w:rsid w:val="007D33DE"/>
    <w:rsid w:val="007E1BDD"/>
    <w:rsid w:val="007E5B88"/>
    <w:rsid w:val="008035EE"/>
    <w:rsid w:val="00813CEA"/>
    <w:rsid w:val="00816BFE"/>
    <w:rsid w:val="00827C3B"/>
    <w:rsid w:val="00835352"/>
    <w:rsid w:val="00836DF2"/>
    <w:rsid w:val="00837CCE"/>
    <w:rsid w:val="00840DF5"/>
    <w:rsid w:val="008474B0"/>
    <w:rsid w:val="00850267"/>
    <w:rsid w:val="00853682"/>
    <w:rsid w:val="008551B8"/>
    <w:rsid w:val="0086146C"/>
    <w:rsid w:val="00864404"/>
    <w:rsid w:val="008655DB"/>
    <w:rsid w:val="0086576B"/>
    <w:rsid w:val="0086683D"/>
    <w:rsid w:val="0087313F"/>
    <w:rsid w:val="0087552F"/>
    <w:rsid w:val="00881E3A"/>
    <w:rsid w:val="008920B0"/>
    <w:rsid w:val="008A4BC2"/>
    <w:rsid w:val="008B483C"/>
    <w:rsid w:val="008B50E4"/>
    <w:rsid w:val="008B72C6"/>
    <w:rsid w:val="008C159B"/>
    <w:rsid w:val="008C1EE2"/>
    <w:rsid w:val="008C3139"/>
    <w:rsid w:val="008C551A"/>
    <w:rsid w:val="008D2C0F"/>
    <w:rsid w:val="008F481E"/>
    <w:rsid w:val="009030C6"/>
    <w:rsid w:val="0090373B"/>
    <w:rsid w:val="00911598"/>
    <w:rsid w:val="00914D13"/>
    <w:rsid w:val="00927AF9"/>
    <w:rsid w:val="00932AB3"/>
    <w:rsid w:val="009333FE"/>
    <w:rsid w:val="009403D4"/>
    <w:rsid w:val="0095026E"/>
    <w:rsid w:val="009605A7"/>
    <w:rsid w:val="00966889"/>
    <w:rsid w:val="00967BD8"/>
    <w:rsid w:val="00972039"/>
    <w:rsid w:val="00974F95"/>
    <w:rsid w:val="00976C11"/>
    <w:rsid w:val="00983393"/>
    <w:rsid w:val="00984785"/>
    <w:rsid w:val="009A149C"/>
    <w:rsid w:val="009A1EDF"/>
    <w:rsid w:val="009B7306"/>
    <w:rsid w:val="009C33D9"/>
    <w:rsid w:val="009C5377"/>
    <w:rsid w:val="009D3A11"/>
    <w:rsid w:val="009E2087"/>
    <w:rsid w:val="009E2291"/>
    <w:rsid w:val="009E7ACE"/>
    <w:rsid w:val="009F3967"/>
    <w:rsid w:val="00A136B8"/>
    <w:rsid w:val="00A2584D"/>
    <w:rsid w:val="00A259F9"/>
    <w:rsid w:val="00A3768A"/>
    <w:rsid w:val="00A43442"/>
    <w:rsid w:val="00A4347E"/>
    <w:rsid w:val="00A51714"/>
    <w:rsid w:val="00A5590C"/>
    <w:rsid w:val="00A57EC3"/>
    <w:rsid w:val="00A629F3"/>
    <w:rsid w:val="00A62FD6"/>
    <w:rsid w:val="00A772BC"/>
    <w:rsid w:val="00A8051C"/>
    <w:rsid w:val="00A94729"/>
    <w:rsid w:val="00AA6E0E"/>
    <w:rsid w:val="00AA796B"/>
    <w:rsid w:val="00AB3450"/>
    <w:rsid w:val="00AB4B0D"/>
    <w:rsid w:val="00AC19C8"/>
    <w:rsid w:val="00AD3392"/>
    <w:rsid w:val="00AD3D74"/>
    <w:rsid w:val="00AD73B8"/>
    <w:rsid w:val="00AD779A"/>
    <w:rsid w:val="00AE048C"/>
    <w:rsid w:val="00AE048E"/>
    <w:rsid w:val="00AE6990"/>
    <w:rsid w:val="00AE7B08"/>
    <w:rsid w:val="00AF638F"/>
    <w:rsid w:val="00B03982"/>
    <w:rsid w:val="00B05A52"/>
    <w:rsid w:val="00B142FE"/>
    <w:rsid w:val="00B155D7"/>
    <w:rsid w:val="00B41AAE"/>
    <w:rsid w:val="00B459F0"/>
    <w:rsid w:val="00B5169E"/>
    <w:rsid w:val="00B54033"/>
    <w:rsid w:val="00B55464"/>
    <w:rsid w:val="00B554D1"/>
    <w:rsid w:val="00B55542"/>
    <w:rsid w:val="00B556D1"/>
    <w:rsid w:val="00B55C11"/>
    <w:rsid w:val="00B62161"/>
    <w:rsid w:val="00B6380A"/>
    <w:rsid w:val="00B65560"/>
    <w:rsid w:val="00B715C5"/>
    <w:rsid w:val="00B8388E"/>
    <w:rsid w:val="00B8426A"/>
    <w:rsid w:val="00B9794E"/>
    <w:rsid w:val="00B97C99"/>
    <w:rsid w:val="00BA12C4"/>
    <w:rsid w:val="00BB0DF2"/>
    <w:rsid w:val="00BB208D"/>
    <w:rsid w:val="00BB4272"/>
    <w:rsid w:val="00BB63D3"/>
    <w:rsid w:val="00BC513D"/>
    <w:rsid w:val="00BC5CF9"/>
    <w:rsid w:val="00BC792F"/>
    <w:rsid w:val="00BD0382"/>
    <w:rsid w:val="00BD6937"/>
    <w:rsid w:val="00BF682E"/>
    <w:rsid w:val="00BF6AC8"/>
    <w:rsid w:val="00C062B3"/>
    <w:rsid w:val="00C07D6A"/>
    <w:rsid w:val="00C16C09"/>
    <w:rsid w:val="00C1788E"/>
    <w:rsid w:val="00C25C2D"/>
    <w:rsid w:val="00C27762"/>
    <w:rsid w:val="00C32E16"/>
    <w:rsid w:val="00C3403A"/>
    <w:rsid w:val="00C360D4"/>
    <w:rsid w:val="00C46D68"/>
    <w:rsid w:val="00C50063"/>
    <w:rsid w:val="00C61940"/>
    <w:rsid w:val="00C63B7B"/>
    <w:rsid w:val="00C67ABE"/>
    <w:rsid w:val="00C748E4"/>
    <w:rsid w:val="00C92F62"/>
    <w:rsid w:val="00C940F1"/>
    <w:rsid w:val="00CA38E9"/>
    <w:rsid w:val="00CA69B7"/>
    <w:rsid w:val="00CC060F"/>
    <w:rsid w:val="00CC0708"/>
    <w:rsid w:val="00CC213F"/>
    <w:rsid w:val="00CD1542"/>
    <w:rsid w:val="00CD329D"/>
    <w:rsid w:val="00CE471F"/>
    <w:rsid w:val="00D16399"/>
    <w:rsid w:val="00D32F3E"/>
    <w:rsid w:val="00D35013"/>
    <w:rsid w:val="00D37F05"/>
    <w:rsid w:val="00D430CD"/>
    <w:rsid w:val="00D46318"/>
    <w:rsid w:val="00D46A3E"/>
    <w:rsid w:val="00D501EE"/>
    <w:rsid w:val="00D52D22"/>
    <w:rsid w:val="00D5788A"/>
    <w:rsid w:val="00D60486"/>
    <w:rsid w:val="00D6362D"/>
    <w:rsid w:val="00D6644F"/>
    <w:rsid w:val="00D76BCE"/>
    <w:rsid w:val="00D80CA8"/>
    <w:rsid w:val="00D827E0"/>
    <w:rsid w:val="00D863F6"/>
    <w:rsid w:val="00D95284"/>
    <w:rsid w:val="00DA76AC"/>
    <w:rsid w:val="00DB7278"/>
    <w:rsid w:val="00DC6F5D"/>
    <w:rsid w:val="00DD05AA"/>
    <w:rsid w:val="00DD13CC"/>
    <w:rsid w:val="00DD64FA"/>
    <w:rsid w:val="00DE32BB"/>
    <w:rsid w:val="00DE34A3"/>
    <w:rsid w:val="00DE7D20"/>
    <w:rsid w:val="00DF6947"/>
    <w:rsid w:val="00E02AB5"/>
    <w:rsid w:val="00E02F78"/>
    <w:rsid w:val="00E0306E"/>
    <w:rsid w:val="00E04E90"/>
    <w:rsid w:val="00E12E42"/>
    <w:rsid w:val="00E14CBE"/>
    <w:rsid w:val="00E153F8"/>
    <w:rsid w:val="00E200BF"/>
    <w:rsid w:val="00E207A4"/>
    <w:rsid w:val="00E2366A"/>
    <w:rsid w:val="00E24144"/>
    <w:rsid w:val="00E24527"/>
    <w:rsid w:val="00E270E3"/>
    <w:rsid w:val="00E303FC"/>
    <w:rsid w:val="00E33EC0"/>
    <w:rsid w:val="00E41682"/>
    <w:rsid w:val="00E5207A"/>
    <w:rsid w:val="00E541E6"/>
    <w:rsid w:val="00E67873"/>
    <w:rsid w:val="00E72BD3"/>
    <w:rsid w:val="00E72E4B"/>
    <w:rsid w:val="00E81DBF"/>
    <w:rsid w:val="00E95141"/>
    <w:rsid w:val="00EA19F6"/>
    <w:rsid w:val="00EC1D15"/>
    <w:rsid w:val="00EC62E6"/>
    <w:rsid w:val="00EC7409"/>
    <w:rsid w:val="00ED3968"/>
    <w:rsid w:val="00ED4100"/>
    <w:rsid w:val="00ED47F3"/>
    <w:rsid w:val="00EF7B1F"/>
    <w:rsid w:val="00F0751D"/>
    <w:rsid w:val="00F15E92"/>
    <w:rsid w:val="00F30DBA"/>
    <w:rsid w:val="00F51D10"/>
    <w:rsid w:val="00F52294"/>
    <w:rsid w:val="00F65AB9"/>
    <w:rsid w:val="00F65EDB"/>
    <w:rsid w:val="00F67A92"/>
    <w:rsid w:val="00F71907"/>
    <w:rsid w:val="00F73D2C"/>
    <w:rsid w:val="00F93F8C"/>
    <w:rsid w:val="00FB5BF4"/>
    <w:rsid w:val="00FC42C8"/>
    <w:rsid w:val="00FD6454"/>
    <w:rsid w:val="00FE14F5"/>
    <w:rsid w:val="00FE1E97"/>
    <w:rsid w:val="00FE3445"/>
    <w:rsid w:val="00FE3696"/>
    <w:rsid w:val="00FF26D2"/>
    <w:rsid w:val="00FF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4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5A67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Cnadpis">
    <w:name w:val="SPC nadpis"/>
    <w:basedOn w:val="Nadpis1"/>
    <w:rsid w:val="0007125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rsid w:val="0007125D"/>
    <w:pPr>
      <w:tabs>
        <w:tab w:val="left" w:pos="6946"/>
      </w:tabs>
      <w:spacing w:after="120"/>
      <w:jc w:val="both"/>
    </w:pPr>
    <w:rPr>
      <w:sz w:val="22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5A671A"/>
    <w:pPr>
      <w:numPr>
        <w:numId w:val="3"/>
      </w:numPr>
      <w:tabs>
        <w:tab w:val="clear" w:pos="6946"/>
        <w:tab w:val="num" w:pos="360"/>
      </w:tabs>
      <w:suppressAutoHyphens/>
      <w:ind w:left="0" w:firstLine="0"/>
    </w:pPr>
    <w:rPr>
      <w:rFonts w:ascii="TimesNewRoman" w:hAnsi="TimesNewRoman" w:cs="TimesNewRoman"/>
      <w:bCs/>
      <w:noProof/>
      <w:lang w:val="cs-CZ"/>
    </w:rPr>
  </w:style>
  <w:style w:type="paragraph" w:customStyle="1" w:styleId="Styl1">
    <w:name w:val="Styl1"/>
    <w:basedOn w:val="Normlny"/>
    <w:link w:val="Styl1Char"/>
    <w:autoRedefine/>
    <w:rsid w:val="0007125D"/>
    <w:pPr>
      <w:keepNext/>
      <w:numPr>
        <w:numId w:val="1"/>
      </w:numPr>
      <w:spacing w:before="480" w:after="120"/>
      <w:ind w:left="357" w:hanging="357"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rsid w:val="005A671A"/>
    <w:pPr>
      <w:keepNext/>
      <w:numPr>
        <w:ilvl w:val="1"/>
        <w:numId w:val="1"/>
      </w:numPr>
      <w:tabs>
        <w:tab w:val="clear" w:pos="9291"/>
        <w:tab w:val="num" w:pos="720"/>
      </w:tabs>
      <w:spacing w:before="120" w:after="120"/>
      <w:ind w:left="357" w:hanging="357"/>
    </w:pPr>
    <w:rPr>
      <w:b/>
      <w:bCs/>
      <w:snapToGrid w:val="0"/>
      <w:sz w:val="22"/>
      <w:szCs w:val="22"/>
      <w:lang w:val="sk-SK" w:eastAsia="en-US"/>
    </w:rPr>
  </w:style>
  <w:style w:type="character" w:styleId="slostrany">
    <w:name w:val="page number"/>
    <w:basedOn w:val="Predvolenpsmoodseku"/>
    <w:rsid w:val="0007125D"/>
  </w:style>
  <w:style w:type="character" w:customStyle="1" w:styleId="NormlndoblokuChar">
    <w:name w:val="Normální do bloku Char"/>
    <w:link w:val="Normlndobloku"/>
    <w:rsid w:val="0007125D"/>
    <w:rPr>
      <w:rFonts w:ascii="Times New Roman" w:eastAsia="Times New Roman" w:hAnsi="Times New Roman" w:cs="Times New Roman"/>
      <w:szCs w:val="24"/>
      <w:lang w:val="sk-SK" w:eastAsia="cs-CZ"/>
    </w:rPr>
  </w:style>
  <w:style w:type="character" w:customStyle="1" w:styleId="Styl1Char">
    <w:name w:val="Styl1 Char"/>
    <w:link w:val="Styl1"/>
    <w:rsid w:val="0007125D"/>
    <w:rPr>
      <w:rFonts w:ascii="Times New Roman" w:eastAsia="Times New Roman" w:hAnsi="Times New Roman" w:cs="Times New Roman"/>
      <w:b/>
      <w:bCs/>
      <w:caps/>
      <w:szCs w:val="24"/>
    </w:rPr>
  </w:style>
  <w:style w:type="paragraph" w:styleId="Pta">
    <w:name w:val="footer"/>
    <w:basedOn w:val="Normlny"/>
    <w:link w:val="PtaChar"/>
    <w:rsid w:val="000712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7125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Styl3">
    <w:name w:val="Styl3"/>
    <w:basedOn w:val="Normlndobloku"/>
    <w:link w:val="Styl3Char"/>
    <w:autoRedefine/>
    <w:rsid w:val="005A671A"/>
    <w:rPr>
      <w:u w:val="single"/>
    </w:rPr>
  </w:style>
  <w:style w:type="paragraph" w:styleId="Hlavika">
    <w:name w:val="header"/>
    <w:basedOn w:val="Normlny"/>
    <w:link w:val="HlavikaChar"/>
    <w:rsid w:val="000712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7125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Styl3Char">
    <w:name w:val="Styl3 Char"/>
    <w:link w:val="Styl3"/>
    <w:rsid w:val="0007125D"/>
    <w:rPr>
      <w:rFonts w:ascii="Times New Roman" w:eastAsia="Times New Roman" w:hAnsi="Times New Roman" w:cs="Times New Roman"/>
      <w:szCs w:val="24"/>
      <w:u w:val="single"/>
      <w:lang w:val="sk-SK" w:eastAsia="cs-CZ"/>
    </w:rPr>
  </w:style>
  <w:style w:type="paragraph" w:customStyle="1" w:styleId="Styl2-2">
    <w:name w:val="Styl2-2"/>
    <w:basedOn w:val="Styl2"/>
    <w:next w:val="Normlndobloku"/>
    <w:autoRedefine/>
    <w:qFormat/>
    <w:rsid w:val="00E67873"/>
    <w:pPr>
      <w:numPr>
        <w:numId w:val="0"/>
      </w:numPr>
    </w:pPr>
    <w:rPr>
      <w:b w:val="0"/>
      <w:i/>
    </w:rPr>
  </w:style>
  <w:style w:type="numbering" w:customStyle="1" w:styleId="Odrky2">
    <w:name w:val="Odrážky 2"/>
    <w:basedOn w:val="Bezzoznamu"/>
    <w:rsid w:val="0007125D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rsid w:val="00071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el-GR"/>
    </w:rPr>
  </w:style>
  <w:style w:type="character" w:styleId="Hypertextovprepojenie">
    <w:name w:val="Hyperlink"/>
    <w:unhideWhenUsed/>
    <w:rsid w:val="00F30DBA"/>
    <w:rPr>
      <w:color w:val="0000FF"/>
      <w:u w:val="single"/>
    </w:rPr>
  </w:style>
  <w:style w:type="paragraph" w:customStyle="1" w:styleId="Dobloku">
    <w:name w:val="Do bloku"/>
    <w:basedOn w:val="Nadpis1"/>
    <w:rsid w:val="005A671A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0"/>
    </w:rPr>
  </w:style>
  <w:style w:type="paragraph" w:customStyle="1" w:styleId="styl20">
    <w:name w:val="styl2"/>
    <w:basedOn w:val="Styl1"/>
    <w:link w:val="styl2Char"/>
    <w:rsid w:val="005A671A"/>
    <w:pPr>
      <w:keepNext w:val="0"/>
      <w:numPr>
        <w:numId w:val="0"/>
      </w:numPr>
      <w:spacing w:before="0"/>
    </w:pPr>
    <w:rPr>
      <w:bCs w:val="0"/>
      <w:caps w:val="0"/>
      <w:lang w:val="sk-SK" w:eastAsia="sk-SK"/>
    </w:rPr>
  </w:style>
  <w:style w:type="paragraph" w:customStyle="1" w:styleId="Default">
    <w:name w:val="Default"/>
    <w:rsid w:val="005A67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customStyle="1" w:styleId="TitleA">
    <w:name w:val="Title A"/>
    <w:basedOn w:val="Default"/>
    <w:next w:val="Default"/>
    <w:rsid w:val="005A671A"/>
    <w:rPr>
      <w:color w:val="auto"/>
    </w:rPr>
  </w:style>
  <w:style w:type="paragraph" w:customStyle="1" w:styleId="Textvysvetlivky1">
    <w:name w:val="Text vysvetlivky1"/>
    <w:basedOn w:val="Default"/>
    <w:next w:val="Default"/>
    <w:rsid w:val="005A671A"/>
    <w:rPr>
      <w:color w:val="auto"/>
    </w:rPr>
  </w:style>
  <w:style w:type="paragraph" w:styleId="Zarkazkladnhotextu">
    <w:name w:val="Body Text Indent"/>
    <w:basedOn w:val="Default"/>
    <w:next w:val="Default"/>
    <w:link w:val="ZarkazkladnhotextuChar"/>
    <w:rsid w:val="005A671A"/>
    <w:rPr>
      <w:color w:val="auto"/>
    </w:rPr>
  </w:style>
  <w:style w:type="character" w:customStyle="1" w:styleId="ZarkazkladnhotextuChar">
    <w:name w:val="Zarážka základného textu Char"/>
    <w:basedOn w:val="Predvolenpsmoodseku"/>
    <w:link w:val="Zarkazkladnhotextu"/>
    <w:rsid w:val="005A671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kladntext">
    <w:name w:val="Body Text"/>
    <w:basedOn w:val="Default"/>
    <w:next w:val="Default"/>
    <w:link w:val="ZkladntextChar"/>
    <w:rsid w:val="005A671A"/>
    <w:rPr>
      <w:color w:val="auto"/>
    </w:rPr>
  </w:style>
  <w:style w:type="character" w:customStyle="1" w:styleId="ZkladntextChar">
    <w:name w:val="Základný text Char"/>
    <w:basedOn w:val="Predvolenpsmoodseku"/>
    <w:link w:val="Zkladntext"/>
    <w:rsid w:val="005A671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Bullet">
    <w:name w:val="Bullet"/>
    <w:basedOn w:val="Default"/>
    <w:next w:val="Default"/>
    <w:rsid w:val="005A671A"/>
    <w:rPr>
      <w:color w:val="auto"/>
    </w:rPr>
  </w:style>
  <w:style w:type="paragraph" w:styleId="Zkladntext3">
    <w:name w:val="Body Text 3"/>
    <w:basedOn w:val="Default"/>
    <w:next w:val="Default"/>
    <w:link w:val="Zkladntext3Char"/>
    <w:rsid w:val="005A671A"/>
    <w:rPr>
      <w:color w:val="auto"/>
    </w:rPr>
  </w:style>
  <w:style w:type="character" w:customStyle="1" w:styleId="Zkladntext3Char">
    <w:name w:val="Základný text 3 Char"/>
    <w:basedOn w:val="Predvolenpsmoodseku"/>
    <w:link w:val="Zkladntext3"/>
    <w:rsid w:val="005A671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ext">
    <w:name w:val="Text"/>
    <w:basedOn w:val="Default"/>
    <w:next w:val="Default"/>
    <w:rsid w:val="005A671A"/>
    <w:rPr>
      <w:color w:val="auto"/>
    </w:rPr>
  </w:style>
  <w:style w:type="paragraph" w:customStyle="1" w:styleId="TitleB">
    <w:name w:val="Title B"/>
    <w:basedOn w:val="Default"/>
    <w:next w:val="Default"/>
    <w:rsid w:val="005A671A"/>
    <w:rPr>
      <w:color w:val="auto"/>
    </w:rPr>
  </w:style>
  <w:style w:type="paragraph" w:customStyle="1" w:styleId="styl30">
    <w:name w:val="styl3"/>
    <w:basedOn w:val="styl20"/>
    <w:next w:val="Normlny"/>
    <w:link w:val="styl3Char0"/>
    <w:rsid w:val="005A671A"/>
    <w:rPr>
      <w:b w:val="0"/>
      <w:u w:val="single"/>
    </w:rPr>
  </w:style>
  <w:style w:type="character" w:customStyle="1" w:styleId="styl2Char">
    <w:name w:val="styl2 Char"/>
    <w:link w:val="styl20"/>
    <w:rsid w:val="005A671A"/>
    <w:rPr>
      <w:rFonts w:ascii="Times New Roman" w:eastAsia="Times New Roman" w:hAnsi="Times New Roman" w:cs="Times New Roman"/>
      <w:b/>
      <w:szCs w:val="24"/>
      <w:lang w:val="sk-SK" w:eastAsia="sk-SK"/>
    </w:rPr>
  </w:style>
  <w:style w:type="character" w:customStyle="1" w:styleId="styl3Char0">
    <w:name w:val="styl3 Char"/>
    <w:link w:val="styl30"/>
    <w:rsid w:val="005A671A"/>
    <w:rPr>
      <w:rFonts w:ascii="Times New Roman" w:eastAsia="Times New Roman" w:hAnsi="Times New Roman" w:cs="Times New Roman"/>
      <w:szCs w:val="24"/>
      <w:u w:val="single"/>
      <w:lang w:val="sk-SK" w:eastAsia="sk-SK"/>
    </w:rPr>
  </w:style>
  <w:style w:type="table" w:styleId="Mriekatabuky">
    <w:name w:val="Table Grid"/>
    <w:basedOn w:val="Normlnatabuka"/>
    <w:rsid w:val="005A6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semiHidden/>
    <w:rsid w:val="005A671A"/>
    <w:rPr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5A67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5A671A"/>
    <w:rPr>
      <w:rFonts w:ascii="Tahoma" w:eastAsia="Times New Roman" w:hAnsi="Tahoma" w:cs="Tahoma"/>
      <w:sz w:val="16"/>
      <w:szCs w:val="16"/>
      <w:lang w:val="el-GR" w:eastAsia="el-GR"/>
    </w:rPr>
  </w:style>
  <w:style w:type="paragraph" w:customStyle="1" w:styleId="NormlndoblokuTunDoleva">
    <w:name w:val="Normální do bloku + Tučné Doleva"/>
    <w:basedOn w:val="Normlndobloku"/>
    <w:rsid w:val="005A671A"/>
    <w:pPr>
      <w:tabs>
        <w:tab w:val="clear" w:pos="6946"/>
      </w:tabs>
      <w:jc w:val="left"/>
    </w:pPr>
    <w:rPr>
      <w:b/>
      <w:bCs/>
      <w:szCs w:val="20"/>
      <w:lang w:eastAsia="sk-SK"/>
    </w:rPr>
  </w:style>
  <w:style w:type="character" w:customStyle="1" w:styleId="Bacil">
    <w:name w:val="Bacil"/>
    <w:qFormat/>
    <w:rsid w:val="005A671A"/>
    <w:rPr>
      <w:i/>
    </w:rPr>
  </w:style>
  <w:style w:type="paragraph" w:customStyle="1" w:styleId="SPCaPILhlavika">
    <w:name w:val="SPC a PIL hlavička"/>
    <w:basedOn w:val="Normlny"/>
    <w:autoRedefine/>
    <w:rsid w:val="005A671A"/>
    <w:pPr>
      <w:spacing w:before="240" w:after="120"/>
      <w:jc w:val="center"/>
    </w:pPr>
    <w:rPr>
      <w:b/>
      <w:sz w:val="22"/>
      <w:szCs w:val="20"/>
      <w:lang w:val="cs-CZ" w:eastAsia="en-US"/>
    </w:rPr>
  </w:style>
  <w:style w:type="paragraph" w:customStyle="1" w:styleId="tlNormlndobloku12bHornindex">
    <w:name w:val="Štýl Normální do bloku + 12 b Horný index"/>
    <w:basedOn w:val="Normlndobloku"/>
    <w:rsid w:val="005A671A"/>
    <w:rPr>
      <w:vertAlign w:val="superscript"/>
    </w:rPr>
  </w:style>
  <w:style w:type="paragraph" w:styleId="Textkomentra">
    <w:name w:val="annotation text"/>
    <w:basedOn w:val="Normlny"/>
    <w:link w:val="TextkomentraChar"/>
    <w:semiHidden/>
    <w:rsid w:val="005A67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5A671A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5A67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5A671A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character" w:customStyle="1" w:styleId="hps">
    <w:name w:val="hps"/>
    <w:rsid w:val="005A671A"/>
  </w:style>
  <w:style w:type="character" w:customStyle="1" w:styleId="atn">
    <w:name w:val="atn"/>
    <w:rsid w:val="005A671A"/>
  </w:style>
  <w:style w:type="paragraph" w:customStyle="1" w:styleId="BodyText21">
    <w:name w:val="Body Text 21"/>
    <w:basedOn w:val="Normlny"/>
    <w:rsid w:val="005A671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4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5A67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Cnadpis">
    <w:name w:val="SPC nadpis"/>
    <w:basedOn w:val="Nadpis1"/>
    <w:rsid w:val="0007125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rsid w:val="0007125D"/>
    <w:pPr>
      <w:tabs>
        <w:tab w:val="left" w:pos="6946"/>
      </w:tabs>
      <w:spacing w:after="120"/>
      <w:jc w:val="both"/>
    </w:pPr>
    <w:rPr>
      <w:sz w:val="22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5A671A"/>
    <w:pPr>
      <w:numPr>
        <w:numId w:val="3"/>
      </w:numPr>
      <w:tabs>
        <w:tab w:val="clear" w:pos="6946"/>
        <w:tab w:val="num" w:pos="360"/>
      </w:tabs>
      <w:suppressAutoHyphens/>
      <w:ind w:left="0" w:firstLine="0"/>
      <w:pPrChange w:id="2" w:author="Autor">
        <w:pPr>
          <w:numPr>
            <w:numId w:val="10"/>
          </w:numPr>
          <w:suppressAutoHyphens/>
          <w:spacing w:after="120"/>
          <w:ind w:left="720" w:hanging="360"/>
          <w:jc w:val="both"/>
        </w:pPr>
      </w:pPrChange>
    </w:pPr>
    <w:rPr>
      <w:rFonts w:ascii="TimesNewRoman" w:hAnsi="TimesNewRoman" w:cs="TimesNewRoman"/>
      <w:bCs/>
      <w:noProof/>
      <w:lang w:val="cs-CZ"/>
      <w:rPrChange w:id="2" w:author="Autor">
        <w:rPr>
          <w:rFonts w:ascii="TimesNewRoman" w:eastAsia="Calibri" w:hAnsi="TimesNewRoman" w:cs="TimesNewRoman"/>
          <w:noProof/>
          <w:sz w:val="22"/>
          <w:szCs w:val="24"/>
          <w:lang w:val="sk-SK" w:eastAsia="en-US" w:bidi="ar-SA"/>
        </w:rPr>
      </w:rPrChange>
    </w:rPr>
  </w:style>
  <w:style w:type="paragraph" w:customStyle="1" w:styleId="Styl1">
    <w:name w:val="Styl1"/>
    <w:basedOn w:val="Normlny"/>
    <w:link w:val="Styl1Char"/>
    <w:autoRedefine/>
    <w:rsid w:val="0007125D"/>
    <w:pPr>
      <w:keepNext/>
      <w:numPr>
        <w:numId w:val="1"/>
      </w:numPr>
      <w:spacing w:before="480" w:after="120"/>
      <w:ind w:left="357" w:hanging="357"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rsid w:val="005A671A"/>
    <w:pPr>
      <w:keepNext/>
      <w:numPr>
        <w:ilvl w:val="1"/>
        <w:numId w:val="1"/>
      </w:numPr>
      <w:tabs>
        <w:tab w:val="clear" w:pos="9291"/>
        <w:tab w:val="num" w:pos="720"/>
      </w:tabs>
      <w:spacing w:before="120" w:after="120"/>
      <w:ind w:left="357" w:hanging="357"/>
    </w:pPr>
    <w:rPr>
      <w:b/>
      <w:bCs/>
      <w:snapToGrid w:val="0"/>
      <w:sz w:val="22"/>
      <w:szCs w:val="22"/>
      <w:lang w:val="sk-SK" w:eastAsia="en-US"/>
    </w:rPr>
  </w:style>
  <w:style w:type="character" w:styleId="slostrany">
    <w:name w:val="page number"/>
    <w:basedOn w:val="Predvolenpsmoodseku"/>
    <w:rsid w:val="0007125D"/>
  </w:style>
  <w:style w:type="character" w:customStyle="1" w:styleId="NormlndoblokuChar">
    <w:name w:val="Normální do bloku Char"/>
    <w:link w:val="Normlndobloku"/>
    <w:rsid w:val="0007125D"/>
    <w:rPr>
      <w:rFonts w:ascii="Times New Roman" w:eastAsia="Times New Roman" w:hAnsi="Times New Roman" w:cs="Times New Roman"/>
      <w:szCs w:val="24"/>
      <w:lang w:val="sk-SK" w:eastAsia="cs-CZ"/>
    </w:rPr>
  </w:style>
  <w:style w:type="character" w:customStyle="1" w:styleId="Styl1Char">
    <w:name w:val="Styl1 Char"/>
    <w:link w:val="Styl1"/>
    <w:rsid w:val="0007125D"/>
    <w:rPr>
      <w:rFonts w:ascii="Times New Roman" w:eastAsia="Times New Roman" w:hAnsi="Times New Roman" w:cs="Times New Roman"/>
      <w:b/>
      <w:bCs/>
      <w:caps/>
      <w:szCs w:val="24"/>
    </w:rPr>
  </w:style>
  <w:style w:type="paragraph" w:styleId="Pta">
    <w:name w:val="footer"/>
    <w:basedOn w:val="Normlny"/>
    <w:link w:val="PtaChar"/>
    <w:rsid w:val="000712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7125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Styl3">
    <w:name w:val="Styl3"/>
    <w:basedOn w:val="Normlndobloku"/>
    <w:link w:val="Styl3Char"/>
    <w:autoRedefine/>
    <w:rsid w:val="005A671A"/>
    <w:rPr>
      <w:u w:val="single"/>
    </w:rPr>
  </w:style>
  <w:style w:type="paragraph" w:styleId="Hlavika">
    <w:name w:val="header"/>
    <w:basedOn w:val="Normlny"/>
    <w:link w:val="HlavikaChar"/>
    <w:rsid w:val="000712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7125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Styl3Char">
    <w:name w:val="Styl3 Char"/>
    <w:link w:val="Styl3"/>
    <w:rsid w:val="0007125D"/>
    <w:rPr>
      <w:rFonts w:ascii="Times New Roman" w:eastAsia="Times New Roman" w:hAnsi="Times New Roman" w:cs="Times New Roman"/>
      <w:szCs w:val="24"/>
      <w:u w:val="single"/>
      <w:lang w:val="sk-SK" w:eastAsia="cs-CZ"/>
    </w:rPr>
  </w:style>
  <w:style w:type="paragraph" w:customStyle="1" w:styleId="Styl2-2">
    <w:name w:val="Styl2-2"/>
    <w:basedOn w:val="Styl2"/>
    <w:next w:val="Normlndobloku"/>
    <w:autoRedefine/>
    <w:qFormat/>
    <w:rsid w:val="008B483C"/>
    <w:pPr>
      <w:numPr>
        <w:numId w:val="0"/>
      </w:numPr>
    </w:pPr>
  </w:style>
  <w:style w:type="numbering" w:customStyle="1" w:styleId="Odrky2">
    <w:name w:val="Odrážky 2"/>
    <w:basedOn w:val="Bezzoznamu"/>
    <w:rsid w:val="0007125D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rsid w:val="00071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el-GR"/>
    </w:rPr>
  </w:style>
  <w:style w:type="character" w:styleId="Hypertextovprepojenie">
    <w:name w:val="Hyperlink"/>
    <w:unhideWhenUsed/>
    <w:rsid w:val="00F30DBA"/>
    <w:rPr>
      <w:color w:val="0000FF"/>
      <w:u w:val="single"/>
    </w:rPr>
  </w:style>
  <w:style w:type="paragraph" w:customStyle="1" w:styleId="Dobloku">
    <w:name w:val="Do bloku"/>
    <w:basedOn w:val="Nadpis1"/>
    <w:rsid w:val="005A671A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0"/>
    </w:rPr>
  </w:style>
  <w:style w:type="paragraph" w:customStyle="1" w:styleId="styl20">
    <w:name w:val="styl2"/>
    <w:basedOn w:val="Styl1"/>
    <w:link w:val="styl2Char"/>
    <w:rsid w:val="005A671A"/>
    <w:pPr>
      <w:keepNext w:val="0"/>
      <w:numPr>
        <w:numId w:val="0"/>
      </w:numPr>
      <w:spacing w:before="0"/>
    </w:pPr>
    <w:rPr>
      <w:bCs w:val="0"/>
      <w:caps w:val="0"/>
      <w:lang w:val="sk-SK" w:eastAsia="sk-SK"/>
    </w:rPr>
  </w:style>
  <w:style w:type="paragraph" w:customStyle="1" w:styleId="Default">
    <w:name w:val="Default"/>
    <w:rsid w:val="005A67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customStyle="1" w:styleId="TitleA">
    <w:name w:val="Title A"/>
    <w:basedOn w:val="Default"/>
    <w:next w:val="Default"/>
    <w:rsid w:val="005A671A"/>
    <w:rPr>
      <w:color w:val="auto"/>
    </w:rPr>
  </w:style>
  <w:style w:type="paragraph" w:customStyle="1" w:styleId="Textvysvetlivky1">
    <w:name w:val="Text vysvetlivky1"/>
    <w:basedOn w:val="Default"/>
    <w:next w:val="Default"/>
    <w:rsid w:val="005A671A"/>
    <w:rPr>
      <w:color w:val="auto"/>
    </w:rPr>
  </w:style>
  <w:style w:type="paragraph" w:styleId="Zarkazkladnhotextu">
    <w:name w:val="Body Text Indent"/>
    <w:basedOn w:val="Default"/>
    <w:next w:val="Default"/>
    <w:link w:val="ZarkazkladnhotextuChar"/>
    <w:rsid w:val="005A671A"/>
    <w:rPr>
      <w:color w:val="auto"/>
    </w:rPr>
  </w:style>
  <w:style w:type="character" w:customStyle="1" w:styleId="ZarkazkladnhotextuChar">
    <w:name w:val="Zarážka základného textu Char"/>
    <w:basedOn w:val="Predvolenpsmoodseku"/>
    <w:link w:val="Zarkazkladnhotextu"/>
    <w:rsid w:val="005A671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kladntext">
    <w:name w:val="Body Text"/>
    <w:basedOn w:val="Default"/>
    <w:next w:val="Default"/>
    <w:link w:val="ZkladntextChar"/>
    <w:rsid w:val="005A671A"/>
    <w:rPr>
      <w:color w:val="auto"/>
    </w:rPr>
  </w:style>
  <w:style w:type="character" w:customStyle="1" w:styleId="ZkladntextChar">
    <w:name w:val="Základný text Char"/>
    <w:basedOn w:val="Predvolenpsmoodseku"/>
    <w:link w:val="Zkladntext"/>
    <w:rsid w:val="005A671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Bullet">
    <w:name w:val="Bullet"/>
    <w:basedOn w:val="Default"/>
    <w:next w:val="Default"/>
    <w:rsid w:val="005A671A"/>
    <w:rPr>
      <w:color w:val="auto"/>
    </w:rPr>
  </w:style>
  <w:style w:type="paragraph" w:styleId="Zkladntext3">
    <w:name w:val="Body Text 3"/>
    <w:basedOn w:val="Default"/>
    <w:next w:val="Default"/>
    <w:link w:val="Zkladntext3Char"/>
    <w:rsid w:val="005A671A"/>
    <w:rPr>
      <w:color w:val="auto"/>
    </w:rPr>
  </w:style>
  <w:style w:type="character" w:customStyle="1" w:styleId="Zkladntext3Char">
    <w:name w:val="Základný text 3 Char"/>
    <w:basedOn w:val="Predvolenpsmoodseku"/>
    <w:link w:val="Zkladntext3"/>
    <w:rsid w:val="005A671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ext">
    <w:name w:val="Text"/>
    <w:basedOn w:val="Default"/>
    <w:next w:val="Default"/>
    <w:rsid w:val="005A671A"/>
    <w:rPr>
      <w:color w:val="auto"/>
    </w:rPr>
  </w:style>
  <w:style w:type="paragraph" w:customStyle="1" w:styleId="TitleB">
    <w:name w:val="Title B"/>
    <w:basedOn w:val="Default"/>
    <w:next w:val="Default"/>
    <w:rsid w:val="005A671A"/>
    <w:rPr>
      <w:color w:val="auto"/>
    </w:rPr>
  </w:style>
  <w:style w:type="paragraph" w:customStyle="1" w:styleId="styl30">
    <w:name w:val="styl3"/>
    <w:basedOn w:val="styl20"/>
    <w:next w:val="Normlny"/>
    <w:link w:val="styl3Char0"/>
    <w:rsid w:val="005A671A"/>
    <w:rPr>
      <w:b w:val="0"/>
      <w:u w:val="single"/>
    </w:rPr>
  </w:style>
  <w:style w:type="character" w:customStyle="1" w:styleId="styl2Char">
    <w:name w:val="styl2 Char"/>
    <w:link w:val="styl20"/>
    <w:rsid w:val="005A671A"/>
    <w:rPr>
      <w:rFonts w:ascii="Times New Roman" w:eastAsia="Times New Roman" w:hAnsi="Times New Roman" w:cs="Times New Roman"/>
      <w:b/>
      <w:szCs w:val="24"/>
      <w:lang w:val="sk-SK" w:eastAsia="sk-SK"/>
    </w:rPr>
  </w:style>
  <w:style w:type="character" w:customStyle="1" w:styleId="styl3Char0">
    <w:name w:val="styl3 Char"/>
    <w:link w:val="styl30"/>
    <w:rsid w:val="005A671A"/>
    <w:rPr>
      <w:rFonts w:ascii="Times New Roman" w:eastAsia="Times New Roman" w:hAnsi="Times New Roman" w:cs="Times New Roman"/>
      <w:szCs w:val="24"/>
      <w:u w:val="single"/>
      <w:lang w:val="sk-SK" w:eastAsia="sk-SK"/>
    </w:rPr>
  </w:style>
  <w:style w:type="table" w:styleId="Mriekatabuky">
    <w:name w:val="Table Grid"/>
    <w:basedOn w:val="Normlnatabuka"/>
    <w:rsid w:val="005A6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5A671A"/>
    <w:rPr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5A67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5A671A"/>
    <w:rPr>
      <w:rFonts w:ascii="Tahoma" w:eastAsia="Times New Roman" w:hAnsi="Tahoma" w:cs="Tahoma"/>
      <w:sz w:val="16"/>
      <w:szCs w:val="16"/>
      <w:lang w:val="el-GR" w:eastAsia="el-GR"/>
    </w:rPr>
  </w:style>
  <w:style w:type="paragraph" w:customStyle="1" w:styleId="NormlndoblokuTunDoleva">
    <w:name w:val="Normální do bloku + Tučné Doleva"/>
    <w:basedOn w:val="Normlndobloku"/>
    <w:rsid w:val="005A671A"/>
    <w:pPr>
      <w:tabs>
        <w:tab w:val="clear" w:pos="6946"/>
      </w:tabs>
      <w:jc w:val="left"/>
    </w:pPr>
    <w:rPr>
      <w:b/>
      <w:bCs/>
      <w:szCs w:val="20"/>
      <w:lang w:eastAsia="sk-SK"/>
    </w:rPr>
  </w:style>
  <w:style w:type="character" w:customStyle="1" w:styleId="Bacil">
    <w:name w:val="Bacil"/>
    <w:qFormat/>
    <w:rsid w:val="005A671A"/>
    <w:rPr>
      <w:i/>
    </w:rPr>
  </w:style>
  <w:style w:type="paragraph" w:customStyle="1" w:styleId="SPCaPILhlavika">
    <w:name w:val="SPC a PIL hlavička"/>
    <w:basedOn w:val="Normlny"/>
    <w:autoRedefine/>
    <w:rsid w:val="005A671A"/>
    <w:pPr>
      <w:spacing w:before="240" w:after="120"/>
      <w:jc w:val="center"/>
    </w:pPr>
    <w:rPr>
      <w:b/>
      <w:sz w:val="22"/>
      <w:szCs w:val="20"/>
      <w:lang w:val="cs-CZ" w:eastAsia="en-US"/>
    </w:rPr>
  </w:style>
  <w:style w:type="paragraph" w:customStyle="1" w:styleId="tlNormlndobloku12bHornindex">
    <w:name w:val="Štýl Normální do bloku + 12 b Horný index"/>
    <w:basedOn w:val="Normlndobloku"/>
    <w:rsid w:val="005A671A"/>
    <w:rPr>
      <w:vertAlign w:val="superscript"/>
    </w:rPr>
  </w:style>
  <w:style w:type="paragraph" w:styleId="Textkomentra">
    <w:name w:val="annotation text"/>
    <w:basedOn w:val="Normlny"/>
    <w:link w:val="TextkomentraChar"/>
    <w:semiHidden/>
    <w:rsid w:val="005A67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5A671A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5A67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5A671A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character" w:customStyle="1" w:styleId="hps">
    <w:name w:val="hps"/>
    <w:rsid w:val="005A671A"/>
  </w:style>
  <w:style w:type="character" w:customStyle="1" w:styleId="atn">
    <w:name w:val="atn"/>
    <w:rsid w:val="005A671A"/>
  </w:style>
  <w:style w:type="paragraph" w:customStyle="1" w:styleId="BodyText21">
    <w:name w:val="Body Text 21"/>
    <w:basedOn w:val="Normlny"/>
    <w:rsid w:val="005A671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sz w:val="20"/>
      <w:szCs w:val="20"/>
      <w:lang w:val="en-GB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347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8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2310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3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52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442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79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433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67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D5DAF-0059-46E6-9274-6E0F616A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3365</Words>
  <Characters>19185</Characters>
  <Application>Microsoft Office Word</Application>
  <DocSecurity>0</DocSecurity>
  <Lines>159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2015-06-30T12:08:00Z</dcterms:created>
  <dcterms:modified xsi:type="dcterms:W3CDTF">2015-07-24T08:23:00Z</dcterms:modified>
</cp:coreProperties>
</file>