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760" w:rsidRDefault="00431760" w:rsidP="00AD7A9A">
      <w:pPr>
        <w:ind w:left="0" w:firstLine="0"/>
        <w:rPr>
          <w:b/>
          <w:szCs w:val="22"/>
        </w:rPr>
      </w:pPr>
    </w:p>
    <w:p w:rsidR="00EA0C25" w:rsidRPr="00404EB4" w:rsidRDefault="00EA0C25" w:rsidP="00AD7A9A">
      <w:pPr>
        <w:tabs>
          <w:tab w:val="left" w:pos="1125"/>
        </w:tabs>
        <w:jc w:val="center"/>
        <w:rPr>
          <w:b/>
          <w:szCs w:val="22"/>
        </w:rPr>
      </w:pPr>
      <w:r w:rsidRPr="00083092">
        <w:rPr>
          <w:b/>
          <w:szCs w:val="22"/>
        </w:rPr>
        <w:t>S</w:t>
      </w:r>
      <w:r w:rsidRPr="00404EB4">
        <w:rPr>
          <w:b/>
          <w:szCs w:val="22"/>
        </w:rPr>
        <w:t>ÚHRN CHARAKTERISTICKÝCH VLASTNOSTÍ LIEKU</w:t>
      </w:r>
    </w:p>
    <w:p w:rsidR="00EA0C25" w:rsidRDefault="00EA0C25" w:rsidP="00EA0C25">
      <w:pPr>
        <w:widowControl w:val="0"/>
        <w:ind w:left="0" w:firstLine="0"/>
        <w:rPr>
          <w:szCs w:val="22"/>
        </w:rPr>
      </w:pPr>
    </w:p>
    <w:p w:rsidR="00DA6EAF" w:rsidRDefault="00DA6EAF" w:rsidP="00EA0C25">
      <w:pPr>
        <w:widowControl w:val="0"/>
        <w:ind w:left="0" w:firstLine="0"/>
        <w:rPr>
          <w:szCs w:val="22"/>
        </w:rPr>
      </w:pPr>
    </w:p>
    <w:p w:rsidR="00DA6EAF" w:rsidRPr="00404EB4" w:rsidRDefault="00DA6EAF" w:rsidP="00EA0C25">
      <w:pPr>
        <w:widowControl w:val="0"/>
        <w:ind w:left="0" w:firstLine="0"/>
        <w:rPr>
          <w:szCs w:val="22"/>
        </w:rPr>
      </w:pPr>
    </w:p>
    <w:p w:rsidR="00EA0C25" w:rsidRPr="00B01222" w:rsidRDefault="00EA0C25" w:rsidP="00DA6EAF">
      <w:pPr>
        <w:rPr>
          <w:szCs w:val="22"/>
        </w:rPr>
      </w:pPr>
      <w:r w:rsidRPr="00B01222">
        <w:rPr>
          <w:b/>
          <w:szCs w:val="22"/>
        </w:rPr>
        <w:t>1.</w:t>
      </w:r>
      <w:r w:rsidRPr="00B01222">
        <w:rPr>
          <w:b/>
          <w:szCs w:val="22"/>
        </w:rPr>
        <w:tab/>
        <w:t>NÁZOV LIEKU</w:t>
      </w:r>
    </w:p>
    <w:p w:rsidR="00EA0C25" w:rsidRPr="00EA0C25" w:rsidRDefault="00EA0C25" w:rsidP="00DA6EAF">
      <w:pPr>
        <w:rPr>
          <w:szCs w:val="22"/>
        </w:rPr>
      </w:pPr>
    </w:p>
    <w:p w:rsidR="00EA0C25" w:rsidRDefault="00EA0C25" w:rsidP="00DA6EAF">
      <w:pPr>
        <w:rPr>
          <w:szCs w:val="22"/>
          <w:lang w:eastAsia="en-US"/>
        </w:rPr>
      </w:pPr>
      <w:r w:rsidRPr="00EA0C25">
        <w:rPr>
          <w:szCs w:val="22"/>
          <w:lang w:eastAsia="en-US"/>
        </w:rPr>
        <w:t>MACMIROR</w:t>
      </w:r>
    </w:p>
    <w:p w:rsidR="00FE6DFE" w:rsidRDefault="00FE6DFE" w:rsidP="00DA6EAF">
      <w:pPr>
        <w:rPr>
          <w:szCs w:val="22"/>
          <w:lang w:eastAsia="en-US"/>
        </w:rPr>
      </w:pPr>
      <w:r>
        <w:rPr>
          <w:szCs w:val="22"/>
          <w:lang w:eastAsia="en-US"/>
        </w:rPr>
        <w:t>200 mg obalené tablety</w:t>
      </w:r>
    </w:p>
    <w:p w:rsidR="00FE6DFE" w:rsidRPr="00EA0C25" w:rsidRDefault="00FE6DFE" w:rsidP="00DA6EAF">
      <w:pPr>
        <w:rPr>
          <w:szCs w:val="22"/>
          <w:lang w:eastAsia="en-US"/>
        </w:rPr>
      </w:pPr>
    </w:p>
    <w:p w:rsidR="00EA0C25" w:rsidRPr="00EA0C25" w:rsidRDefault="00EA0C25" w:rsidP="00DA6EAF">
      <w:pPr>
        <w:rPr>
          <w:iCs/>
          <w:szCs w:val="22"/>
        </w:rPr>
      </w:pPr>
    </w:p>
    <w:p w:rsidR="00EA0C25" w:rsidRPr="00EA0C25" w:rsidRDefault="00EA0C25" w:rsidP="00DA6EAF">
      <w:pPr>
        <w:rPr>
          <w:b/>
          <w:szCs w:val="22"/>
        </w:rPr>
      </w:pPr>
      <w:r w:rsidRPr="00EA0C25">
        <w:rPr>
          <w:b/>
          <w:szCs w:val="22"/>
        </w:rPr>
        <w:t>2.</w:t>
      </w:r>
      <w:r w:rsidRPr="00EA0C25">
        <w:rPr>
          <w:b/>
          <w:szCs w:val="22"/>
        </w:rPr>
        <w:tab/>
        <w:t>KVALITATÍVNE A KVANTITATÍVNE ZLOŽENIE</w:t>
      </w:r>
    </w:p>
    <w:p w:rsidR="00EA0C25" w:rsidRPr="00EA0C25" w:rsidRDefault="00EA0C25" w:rsidP="00DA6EAF">
      <w:pPr>
        <w:rPr>
          <w:szCs w:val="22"/>
        </w:rPr>
      </w:pPr>
    </w:p>
    <w:p w:rsidR="00EA0C25" w:rsidRPr="00EA0C25" w:rsidRDefault="00EA0C25" w:rsidP="00DA6EAF">
      <w:pPr>
        <w:ind w:left="0" w:firstLine="0"/>
        <w:rPr>
          <w:szCs w:val="22"/>
          <w:lang w:eastAsia="en-US"/>
        </w:rPr>
      </w:pPr>
      <w:r w:rsidRPr="00EA0C25">
        <w:rPr>
          <w:szCs w:val="22"/>
          <w:lang w:eastAsia="en-US"/>
        </w:rPr>
        <w:t xml:space="preserve">1 obalená tableta obsahuje 200 mg </w:t>
      </w:r>
      <w:r w:rsidR="008143AD">
        <w:rPr>
          <w:szCs w:val="22"/>
          <w:lang w:eastAsia="en-US"/>
        </w:rPr>
        <w:t>nifuratelu</w:t>
      </w:r>
      <w:r w:rsidRPr="00EA0C25">
        <w:rPr>
          <w:szCs w:val="22"/>
          <w:lang w:eastAsia="en-US"/>
        </w:rPr>
        <w:t>.</w:t>
      </w:r>
    </w:p>
    <w:p w:rsidR="00EA0C25" w:rsidRDefault="00EA0C25" w:rsidP="00DA6EAF">
      <w:pPr>
        <w:ind w:left="0" w:firstLine="0"/>
        <w:rPr>
          <w:szCs w:val="22"/>
        </w:rPr>
      </w:pPr>
    </w:p>
    <w:p w:rsidR="0085015E" w:rsidRPr="00AC5019" w:rsidRDefault="0085015E" w:rsidP="00DA6EAF">
      <w:pPr>
        <w:ind w:left="0" w:firstLine="0"/>
        <w:rPr>
          <w:szCs w:val="22"/>
        </w:rPr>
      </w:pPr>
      <w:r>
        <w:rPr>
          <w:szCs w:val="22"/>
          <w:u w:val="single"/>
        </w:rPr>
        <w:t>Pomocná látka so známym účinkom:</w:t>
      </w:r>
      <w:r>
        <w:rPr>
          <w:szCs w:val="22"/>
        </w:rPr>
        <w:t xml:space="preserve"> sacharóza.</w:t>
      </w:r>
    </w:p>
    <w:p w:rsidR="00EA0C25" w:rsidRPr="00EA0C25" w:rsidRDefault="00EA0C25" w:rsidP="00DA6EAF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EA0C25">
        <w:rPr>
          <w:szCs w:val="22"/>
          <w:lang w:eastAsia="en-US"/>
        </w:rPr>
        <w:t>Úplný zoznam pomocných látok, pozri časť 6.1.</w:t>
      </w:r>
    </w:p>
    <w:p w:rsidR="00EA0C25" w:rsidRPr="00EA0C25" w:rsidRDefault="00EA0C25" w:rsidP="00DA6EAF">
      <w:pPr>
        <w:ind w:left="0" w:firstLine="0"/>
        <w:rPr>
          <w:b/>
          <w:szCs w:val="22"/>
          <w:lang w:eastAsia="en-US"/>
        </w:rPr>
      </w:pPr>
    </w:p>
    <w:p w:rsidR="00EA0C25" w:rsidRPr="00EA0C25" w:rsidRDefault="00EA0C25" w:rsidP="00DA6EAF">
      <w:pPr>
        <w:rPr>
          <w:szCs w:val="22"/>
        </w:rPr>
      </w:pPr>
    </w:p>
    <w:p w:rsidR="00EA0C25" w:rsidRPr="00EA0C25" w:rsidRDefault="00EA0C25" w:rsidP="00DA6EAF">
      <w:pPr>
        <w:rPr>
          <w:caps/>
          <w:szCs w:val="22"/>
        </w:rPr>
      </w:pPr>
      <w:r w:rsidRPr="00EA0C25">
        <w:rPr>
          <w:b/>
          <w:szCs w:val="22"/>
        </w:rPr>
        <w:t>3.</w:t>
      </w:r>
      <w:r w:rsidRPr="00EA0C25">
        <w:rPr>
          <w:b/>
          <w:szCs w:val="22"/>
        </w:rPr>
        <w:tab/>
        <w:t>LIEKOVÁ FORMA</w:t>
      </w:r>
    </w:p>
    <w:p w:rsidR="00EA0C25" w:rsidRPr="00EA0C25" w:rsidRDefault="00EA0C25" w:rsidP="00DA6EAF">
      <w:pPr>
        <w:rPr>
          <w:szCs w:val="22"/>
        </w:rPr>
      </w:pPr>
    </w:p>
    <w:p w:rsidR="00EA0C25" w:rsidRDefault="00E35531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Obalená tableta</w:t>
      </w:r>
      <w:r w:rsidR="00EA0C25" w:rsidRPr="00EA0C25">
        <w:rPr>
          <w:szCs w:val="22"/>
          <w:lang w:eastAsia="en-US"/>
        </w:rPr>
        <w:t>.</w:t>
      </w:r>
    </w:p>
    <w:p w:rsidR="00191CE6" w:rsidRDefault="00191CE6" w:rsidP="00DA6EAF">
      <w:pPr>
        <w:ind w:left="0" w:firstLine="0"/>
        <w:rPr>
          <w:szCs w:val="22"/>
          <w:lang w:eastAsia="en-US"/>
        </w:rPr>
      </w:pPr>
    </w:p>
    <w:p w:rsidR="00AC5019" w:rsidRPr="00EA0C25" w:rsidRDefault="000A599B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Biel</w:t>
      </w:r>
      <w:r w:rsidR="00886D0E">
        <w:rPr>
          <w:szCs w:val="22"/>
          <w:lang w:eastAsia="en-US"/>
        </w:rPr>
        <w:t>e</w:t>
      </w:r>
      <w:r>
        <w:rPr>
          <w:szCs w:val="22"/>
          <w:lang w:eastAsia="en-US"/>
        </w:rPr>
        <w:t xml:space="preserve"> obalen</w:t>
      </w:r>
      <w:r w:rsidR="00886D0E">
        <w:rPr>
          <w:szCs w:val="22"/>
          <w:lang w:eastAsia="en-US"/>
        </w:rPr>
        <w:t>é</w:t>
      </w:r>
      <w:r>
        <w:rPr>
          <w:szCs w:val="22"/>
          <w:lang w:eastAsia="en-US"/>
        </w:rPr>
        <w:t xml:space="preserve"> tablet</w:t>
      </w:r>
      <w:r w:rsidR="00886D0E">
        <w:rPr>
          <w:szCs w:val="22"/>
          <w:lang w:eastAsia="en-US"/>
        </w:rPr>
        <w:t>y</w:t>
      </w:r>
      <w:r>
        <w:rPr>
          <w:szCs w:val="22"/>
          <w:lang w:eastAsia="en-US"/>
        </w:rPr>
        <w:t>.</w:t>
      </w:r>
    </w:p>
    <w:p w:rsidR="00EA0C25" w:rsidRDefault="00EA0C25" w:rsidP="00DA6EAF">
      <w:pPr>
        <w:rPr>
          <w:szCs w:val="22"/>
        </w:rPr>
      </w:pPr>
    </w:p>
    <w:p w:rsidR="00191CE6" w:rsidRPr="00EA0C25" w:rsidRDefault="00191CE6" w:rsidP="00DA6EAF">
      <w:pPr>
        <w:rPr>
          <w:szCs w:val="22"/>
        </w:rPr>
      </w:pPr>
    </w:p>
    <w:p w:rsidR="00EA0C25" w:rsidRPr="00EA0C25" w:rsidRDefault="00EA0C25" w:rsidP="00DA6EAF">
      <w:pPr>
        <w:rPr>
          <w:caps/>
          <w:szCs w:val="22"/>
        </w:rPr>
      </w:pPr>
      <w:r w:rsidRPr="00EA0C25">
        <w:rPr>
          <w:b/>
          <w:caps/>
          <w:szCs w:val="22"/>
        </w:rPr>
        <w:t>4.</w:t>
      </w:r>
      <w:r w:rsidRPr="00EA0C25">
        <w:rPr>
          <w:b/>
          <w:caps/>
          <w:szCs w:val="22"/>
        </w:rPr>
        <w:tab/>
        <w:t>KLINICKÉ ÚDAJE</w:t>
      </w:r>
    </w:p>
    <w:p w:rsidR="00EA0C25" w:rsidRPr="00EA0C25" w:rsidRDefault="00EA0C25" w:rsidP="00DA6EAF">
      <w:pPr>
        <w:rPr>
          <w:szCs w:val="22"/>
        </w:rPr>
      </w:pPr>
    </w:p>
    <w:p w:rsidR="00EA0C25" w:rsidRPr="00EA0C25" w:rsidRDefault="00EA0C25" w:rsidP="00DA6EAF">
      <w:pPr>
        <w:rPr>
          <w:szCs w:val="22"/>
        </w:rPr>
      </w:pPr>
      <w:r w:rsidRPr="00EA0C25">
        <w:rPr>
          <w:b/>
          <w:szCs w:val="22"/>
        </w:rPr>
        <w:t>4.1</w:t>
      </w:r>
      <w:r w:rsidRPr="00EA0C25">
        <w:rPr>
          <w:b/>
          <w:szCs w:val="22"/>
        </w:rPr>
        <w:tab/>
        <w:t>Terapeutické indikácie</w:t>
      </w:r>
    </w:p>
    <w:p w:rsidR="00EA0C25" w:rsidRPr="00EA0C25" w:rsidRDefault="00EA0C25" w:rsidP="00DA6EAF">
      <w:pPr>
        <w:rPr>
          <w:szCs w:val="22"/>
        </w:rPr>
      </w:pPr>
    </w:p>
    <w:p w:rsidR="007A0633" w:rsidRPr="00ED38D1" w:rsidRDefault="00EA0C25" w:rsidP="00AD7A9A">
      <w:pPr>
        <w:pStyle w:val="Odstavecseseznamem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ED38D1">
        <w:rPr>
          <w:szCs w:val="22"/>
          <w:lang w:eastAsia="en-US"/>
        </w:rPr>
        <w:t xml:space="preserve">Vulvovaginálne infekcie a výtok spôsobený patogénnymi mikroorganizmami: baktériami, trichomonádami, hubami, kandidou. </w:t>
      </w:r>
    </w:p>
    <w:p w:rsidR="007A0633" w:rsidRDefault="00EA0C25" w:rsidP="00AD7A9A">
      <w:pPr>
        <w:pStyle w:val="Odstavecseseznamem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7A0633">
        <w:rPr>
          <w:szCs w:val="22"/>
          <w:lang w:eastAsia="en-US"/>
        </w:rPr>
        <w:t xml:space="preserve">Infekcie močových ciest. </w:t>
      </w:r>
    </w:p>
    <w:p w:rsidR="00EA0C25" w:rsidRPr="007A0633" w:rsidRDefault="00EA0C25" w:rsidP="00AD7A9A">
      <w:pPr>
        <w:pStyle w:val="Odstavecseseznamem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7A0633">
        <w:rPr>
          <w:szCs w:val="22"/>
          <w:lang w:eastAsia="en-US"/>
        </w:rPr>
        <w:t>Črevná amebiáza a giardiáza.</w:t>
      </w:r>
    </w:p>
    <w:p w:rsidR="00EA0C25" w:rsidRDefault="00EA0C25" w:rsidP="00DA6EAF">
      <w:pPr>
        <w:rPr>
          <w:szCs w:val="22"/>
        </w:rPr>
      </w:pPr>
    </w:p>
    <w:p w:rsidR="006B6377" w:rsidRDefault="003A06AB" w:rsidP="00DA6EAF">
      <w:pPr>
        <w:rPr>
          <w:szCs w:val="22"/>
        </w:rPr>
      </w:pPr>
      <w:r w:rsidRPr="008C11E2">
        <w:rPr>
          <w:szCs w:val="22"/>
        </w:rPr>
        <w:t>Liek je indikovaný dospelým, dospievajúcim a deťom od 5 rokov.</w:t>
      </w:r>
    </w:p>
    <w:p w:rsidR="006B6377" w:rsidRPr="00EA0C25" w:rsidRDefault="006B6377" w:rsidP="00DA6EAF">
      <w:pPr>
        <w:rPr>
          <w:szCs w:val="22"/>
        </w:rPr>
      </w:pPr>
    </w:p>
    <w:p w:rsidR="00EA0C25" w:rsidRPr="00EA0C25" w:rsidRDefault="00EA0C25" w:rsidP="00DA6EAF">
      <w:pPr>
        <w:rPr>
          <w:b/>
          <w:szCs w:val="22"/>
        </w:rPr>
      </w:pPr>
      <w:r w:rsidRPr="00EA0C25">
        <w:rPr>
          <w:b/>
          <w:szCs w:val="22"/>
        </w:rPr>
        <w:t>4.2</w:t>
      </w:r>
      <w:r w:rsidRPr="00EA0C25">
        <w:rPr>
          <w:b/>
          <w:szCs w:val="22"/>
        </w:rPr>
        <w:tab/>
        <w:t>Dávkovanie a spôsob podávania</w:t>
      </w:r>
    </w:p>
    <w:p w:rsidR="00142B90" w:rsidRDefault="00142B90" w:rsidP="00AD7A9A">
      <w:pPr>
        <w:keepNext/>
        <w:ind w:left="0" w:firstLine="0"/>
        <w:outlineLvl w:val="2"/>
        <w:rPr>
          <w:b/>
          <w:szCs w:val="22"/>
        </w:rPr>
      </w:pPr>
    </w:p>
    <w:p w:rsidR="00EA0C25" w:rsidRPr="00AD7A9A" w:rsidRDefault="00EA0C25" w:rsidP="00DA6EAF">
      <w:pPr>
        <w:rPr>
          <w:szCs w:val="22"/>
          <w:u w:val="single"/>
        </w:rPr>
      </w:pPr>
      <w:r w:rsidRPr="00AD7A9A">
        <w:rPr>
          <w:szCs w:val="22"/>
          <w:u w:val="single"/>
        </w:rPr>
        <w:t>Dávkovanie</w:t>
      </w:r>
    </w:p>
    <w:p w:rsidR="0090604C" w:rsidRPr="00DA6EAF" w:rsidRDefault="0090604C" w:rsidP="00DA6EAF">
      <w:pPr>
        <w:rPr>
          <w:szCs w:val="22"/>
        </w:rPr>
      </w:pPr>
    </w:p>
    <w:p w:rsidR="00AA1F70" w:rsidRDefault="00EA0C25" w:rsidP="00AD7A9A">
      <w:pPr>
        <w:keepNext/>
        <w:spacing w:line="276" w:lineRule="auto"/>
        <w:ind w:left="0" w:firstLine="0"/>
        <w:outlineLvl w:val="2"/>
        <w:rPr>
          <w:i/>
          <w:szCs w:val="22"/>
          <w:lang w:eastAsia="en-US"/>
        </w:rPr>
      </w:pPr>
      <w:r w:rsidRPr="00DA6EAF">
        <w:rPr>
          <w:b/>
          <w:i/>
          <w:szCs w:val="22"/>
          <w:lang w:eastAsia="en-US"/>
        </w:rPr>
        <w:t>V</w:t>
      </w:r>
      <w:r w:rsidR="00662DD1">
        <w:rPr>
          <w:b/>
          <w:i/>
          <w:szCs w:val="22"/>
          <w:lang w:eastAsia="en-US"/>
        </w:rPr>
        <w:t>ulvov</w:t>
      </w:r>
      <w:r w:rsidRPr="00DA6EAF">
        <w:rPr>
          <w:b/>
          <w:i/>
          <w:szCs w:val="22"/>
          <w:lang w:eastAsia="en-US"/>
        </w:rPr>
        <w:t>aginálne infekcie</w:t>
      </w:r>
    </w:p>
    <w:p w:rsidR="00A231C2" w:rsidRDefault="00EA0C25" w:rsidP="00DA6EAF">
      <w:pPr>
        <w:ind w:left="0" w:firstLine="0"/>
        <w:rPr>
          <w:szCs w:val="22"/>
          <w:lang w:eastAsia="en-US"/>
        </w:rPr>
      </w:pPr>
      <w:r w:rsidRPr="00AD7A9A">
        <w:rPr>
          <w:i/>
          <w:szCs w:val="22"/>
          <w:lang w:eastAsia="en-US"/>
        </w:rPr>
        <w:t>Dospelí</w:t>
      </w:r>
    </w:p>
    <w:p w:rsidR="00EA0C25" w:rsidRPr="00DA6EAF" w:rsidRDefault="00EA0C25" w:rsidP="00DA6EAF">
      <w:pPr>
        <w:ind w:left="0" w:firstLine="0"/>
        <w:rPr>
          <w:szCs w:val="22"/>
          <w:lang w:eastAsia="en-US"/>
        </w:rPr>
      </w:pPr>
      <w:r w:rsidRPr="00DA6EAF">
        <w:rPr>
          <w:szCs w:val="22"/>
          <w:lang w:eastAsia="en-US"/>
        </w:rPr>
        <w:t xml:space="preserve">1 obalená tableta 3-krát denne </w:t>
      </w:r>
      <w:r w:rsidR="009D04A0">
        <w:rPr>
          <w:szCs w:val="22"/>
          <w:lang w:eastAsia="en-US"/>
        </w:rPr>
        <w:t>počas</w:t>
      </w:r>
      <w:r w:rsidRPr="00DA6EAF">
        <w:rPr>
          <w:szCs w:val="22"/>
          <w:lang w:eastAsia="en-US"/>
        </w:rPr>
        <w:t xml:space="preserve"> 1 týždňa, rovnako žena ako aj jej </w:t>
      </w:r>
      <w:r w:rsidR="000F1192">
        <w:rPr>
          <w:szCs w:val="22"/>
          <w:lang w:eastAsia="en-US"/>
        </w:rPr>
        <w:t xml:space="preserve">sexuálny </w:t>
      </w:r>
      <w:r w:rsidRPr="00DA6EAF">
        <w:rPr>
          <w:szCs w:val="22"/>
          <w:lang w:eastAsia="en-US"/>
        </w:rPr>
        <w:t>partner. Na lokálnu liečbu je nutné použiť MACMIROR COMPLEX</w:t>
      </w:r>
      <w:r w:rsidR="00B26F16">
        <w:rPr>
          <w:szCs w:val="22"/>
          <w:lang w:eastAsia="en-US"/>
        </w:rPr>
        <w:t xml:space="preserve"> – </w:t>
      </w:r>
      <w:r w:rsidRPr="00DA6EAF">
        <w:rPr>
          <w:szCs w:val="22"/>
          <w:lang w:eastAsia="en-US"/>
        </w:rPr>
        <w:t>vaginálne guľôčky alebo masť.</w:t>
      </w:r>
    </w:p>
    <w:p w:rsidR="0008608B" w:rsidRDefault="00AA1F70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Ak sa pacient lieči</w:t>
      </w:r>
      <w:r w:rsidR="006D5B45">
        <w:rPr>
          <w:szCs w:val="22"/>
          <w:lang w:eastAsia="en-US"/>
        </w:rPr>
        <w:t xml:space="preserve"> len perorálne</w:t>
      </w:r>
      <w:r w:rsidR="000762ED">
        <w:rPr>
          <w:szCs w:val="22"/>
          <w:lang w:eastAsia="en-US"/>
        </w:rPr>
        <w:t>,</w:t>
      </w:r>
      <w:r w:rsidR="00EA0C25" w:rsidRPr="00FE6DFE">
        <w:rPr>
          <w:szCs w:val="22"/>
          <w:lang w:eastAsia="en-US"/>
        </w:rPr>
        <w:t xml:space="preserve"> treba zvýšiť dennú dávku na 4 alebo viac tabliet. </w:t>
      </w:r>
    </w:p>
    <w:p w:rsidR="009D04A0" w:rsidRDefault="00EA0C25" w:rsidP="00DA6EAF">
      <w:pPr>
        <w:ind w:left="0" w:firstLine="0"/>
        <w:rPr>
          <w:i/>
          <w:szCs w:val="22"/>
          <w:lang w:eastAsia="en-US"/>
        </w:rPr>
      </w:pPr>
      <w:r w:rsidRPr="00FE6DFE">
        <w:rPr>
          <w:szCs w:val="22"/>
          <w:lang w:eastAsia="en-US"/>
        </w:rPr>
        <w:t>Počas liečby sa odporúča vyhýbať sa pohlavnému styku, inak je nutné bezprostredne pred každým stykom použiť masť MACMIROR COMPLEX.</w:t>
      </w:r>
    </w:p>
    <w:p w:rsidR="00EA0C25" w:rsidRPr="00AD7A9A" w:rsidRDefault="00EA0C25" w:rsidP="00DA6EAF">
      <w:pPr>
        <w:ind w:left="0" w:firstLine="0"/>
        <w:rPr>
          <w:i/>
          <w:szCs w:val="22"/>
          <w:lang w:eastAsia="en-US"/>
        </w:rPr>
      </w:pPr>
      <w:r w:rsidRPr="00AD7A9A">
        <w:rPr>
          <w:i/>
          <w:szCs w:val="22"/>
          <w:lang w:eastAsia="en-US"/>
        </w:rPr>
        <w:t>Pediatrická populácia</w:t>
      </w:r>
      <w:r w:rsidR="001E5DA9">
        <w:rPr>
          <w:i/>
          <w:szCs w:val="22"/>
          <w:lang w:eastAsia="en-US"/>
        </w:rPr>
        <w:t xml:space="preserve"> (deti od 10 rokov</w:t>
      </w:r>
      <w:r w:rsidR="009013A1">
        <w:rPr>
          <w:i/>
          <w:szCs w:val="22"/>
          <w:lang w:eastAsia="en-US"/>
        </w:rPr>
        <w:t xml:space="preserve"> </w:t>
      </w:r>
      <w:r w:rsidR="009013A1" w:rsidRPr="00BE0DA4">
        <w:rPr>
          <w:i/>
          <w:szCs w:val="22"/>
          <w:lang w:eastAsia="en-US"/>
        </w:rPr>
        <w:t>a dospievajúci</w:t>
      </w:r>
      <w:r w:rsidR="001E5DA9">
        <w:rPr>
          <w:i/>
          <w:szCs w:val="22"/>
          <w:lang w:eastAsia="en-US"/>
        </w:rPr>
        <w:t>)</w:t>
      </w:r>
    </w:p>
    <w:p w:rsidR="00EA0C25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 xml:space="preserve">10 mg nifuratelu  na 1 kg telesnej hmotnosti denne </w:t>
      </w:r>
      <w:r w:rsidR="006B6377">
        <w:rPr>
          <w:szCs w:val="22"/>
          <w:lang w:eastAsia="en-US"/>
        </w:rPr>
        <w:t>počas</w:t>
      </w:r>
      <w:r w:rsidRPr="00AC5019">
        <w:rPr>
          <w:szCs w:val="22"/>
          <w:lang w:eastAsia="en-US"/>
        </w:rPr>
        <w:t xml:space="preserve"> 10 dní. Denná dávka sa rozdelí na 2 dávky.</w:t>
      </w:r>
    </w:p>
    <w:p w:rsidR="00EB153C" w:rsidRPr="00AC5019" w:rsidRDefault="00EB153C" w:rsidP="00DA6EAF">
      <w:pPr>
        <w:ind w:left="0" w:firstLine="0"/>
        <w:rPr>
          <w:szCs w:val="22"/>
          <w:lang w:eastAsia="en-US"/>
        </w:rPr>
      </w:pPr>
    </w:p>
    <w:p w:rsidR="00EB153C" w:rsidRPr="00AC5019" w:rsidRDefault="00EA0C25" w:rsidP="00AD7A9A">
      <w:pPr>
        <w:keepNext/>
        <w:spacing w:line="276" w:lineRule="auto"/>
        <w:ind w:left="0" w:firstLine="0"/>
        <w:outlineLvl w:val="2"/>
        <w:rPr>
          <w:b/>
          <w:i/>
          <w:szCs w:val="22"/>
          <w:lang w:eastAsia="en-US"/>
        </w:rPr>
      </w:pPr>
      <w:r w:rsidRPr="00AC5019">
        <w:rPr>
          <w:b/>
          <w:i/>
          <w:szCs w:val="22"/>
          <w:lang w:eastAsia="en-US"/>
        </w:rPr>
        <w:t xml:space="preserve">Infekcie močových </w:t>
      </w:r>
      <w:r w:rsidR="006E1C31">
        <w:rPr>
          <w:b/>
          <w:i/>
          <w:szCs w:val="22"/>
          <w:lang w:eastAsia="en-US"/>
        </w:rPr>
        <w:t>ciest</w:t>
      </w:r>
    </w:p>
    <w:p w:rsidR="00EB153C" w:rsidRDefault="00EA0C25" w:rsidP="00DA6EAF">
      <w:pPr>
        <w:ind w:left="0" w:firstLine="0"/>
        <w:rPr>
          <w:i/>
          <w:szCs w:val="22"/>
          <w:lang w:eastAsia="en-US"/>
        </w:rPr>
      </w:pPr>
      <w:r w:rsidRPr="00AD7A9A">
        <w:rPr>
          <w:i/>
          <w:szCs w:val="22"/>
          <w:lang w:eastAsia="en-US"/>
        </w:rPr>
        <w:t>Dospelí</w:t>
      </w:r>
    </w:p>
    <w:p w:rsidR="00B71EB2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3</w:t>
      </w:r>
      <w:r w:rsidR="00EB153C">
        <w:rPr>
          <w:szCs w:val="22"/>
          <w:lang w:eastAsia="en-US"/>
        </w:rPr>
        <w:t> − </w:t>
      </w:r>
      <w:r w:rsidRPr="00AC5019">
        <w:rPr>
          <w:szCs w:val="22"/>
          <w:lang w:eastAsia="en-US"/>
        </w:rPr>
        <w:t>6 obalených tabliet denne, priemerne počas 1</w:t>
      </w:r>
      <w:r w:rsidR="00607C4A">
        <w:rPr>
          <w:szCs w:val="22"/>
          <w:lang w:eastAsia="en-US"/>
        </w:rPr>
        <w:t> − </w:t>
      </w:r>
      <w:r w:rsidRPr="00AC5019">
        <w:rPr>
          <w:szCs w:val="22"/>
          <w:lang w:eastAsia="en-US"/>
        </w:rPr>
        <w:t>2 týždňov podľa stupňa a druhu infekcie.</w:t>
      </w:r>
    </w:p>
    <w:p w:rsidR="00EA0C25" w:rsidRPr="00AD7A9A" w:rsidRDefault="00EA0C25" w:rsidP="00DA6EAF">
      <w:pPr>
        <w:ind w:left="0" w:firstLine="0"/>
        <w:rPr>
          <w:i/>
          <w:szCs w:val="22"/>
          <w:lang w:eastAsia="en-US"/>
        </w:rPr>
      </w:pPr>
      <w:r w:rsidRPr="00AD7A9A">
        <w:rPr>
          <w:i/>
          <w:szCs w:val="22"/>
          <w:lang w:eastAsia="en-US"/>
        </w:rPr>
        <w:lastRenderedPageBreak/>
        <w:t>Pediatrická populácia</w:t>
      </w:r>
      <w:r w:rsidR="00A55AF8">
        <w:rPr>
          <w:i/>
          <w:szCs w:val="22"/>
          <w:lang w:eastAsia="en-US"/>
        </w:rPr>
        <w:t xml:space="preserve"> (deti od 6 rokov</w:t>
      </w:r>
      <w:r w:rsidR="009013A1">
        <w:rPr>
          <w:i/>
          <w:szCs w:val="22"/>
          <w:lang w:eastAsia="en-US"/>
        </w:rPr>
        <w:t xml:space="preserve"> </w:t>
      </w:r>
      <w:r w:rsidR="009013A1" w:rsidRPr="008C11E2">
        <w:rPr>
          <w:i/>
          <w:szCs w:val="22"/>
          <w:lang w:eastAsia="en-US"/>
        </w:rPr>
        <w:t>a dospievajúci</w:t>
      </w:r>
      <w:r w:rsidR="00A55AF8" w:rsidRPr="00BE0DA4">
        <w:rPr>
          <w:i/>
          <w:szCs w:val="22"/>
          <w:lang w:eastAsia="en-US"/>
        </w:rPr>
        <w:t>)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10</w:t>
      </w:r>
      <w:r w:rsidR="007861A1">
        <w:rPr>
          <w:szCs w:val="22"/>
          <w:lang w:eastAsia="en-US"/>
        </w:rPr>
        <w:t> − </w:t>
      </w:r>
      <w:r w:rsidRPr="00AC5019">
        <w:rPr>
          <w:szCs w:val="22"/>
          <w:lang w:eastAsia="en-US"/>
        </w:rPr>
        <w:t xml:space="preserve">20 mg nifuratelu na </w:t>
      </w:r>
      <w:smartTag w:uri="urn:schemas-microsoft-com:office:smarttags" w:element="metricconverter">
        <w:smartTagPr>
          <w:attr w:name="ProductID" w:val="1 kg"/>
        </w:smartTagPr>
        <w:r w:rsidRPr="00AC5019">
          <w:rPr>
            <w:szCs w:val="22"/>
            <w:lang w:eastAsia="en-US"/>
          </w:rPr>
          <w:t>1 kg</w:t>
        </w:r>
      </w:smartTag>
      <w:r w:rsidRPr="00AC5019">
        <w:rPr>
          <w:szCs w:val="22"/>
          <w:lang w:eastAsia="en-US"/>
        </w:rPr>
        <w:t xml:space="preserve"> telesnej hmotnosti denne. Denná dávka sa rozdelí na 2 dávky.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V prípade potreby je možné liečbu bezpečne predĺžiť alebo opakovať.</w:t>
      </w:r>
    </w:p>
    <w:p w:rsidR="00CC7F3C" w:rsidRDefault="00CC7F3C" w:rsidP="00AD7A9A">
      <w:pPr>
        <w:keepNext/>
        <w:ind w:left="0" w:firstLine="0"/>
        <w:outlineLvl w:val="2"/>
        <w:rPr>
          <w:b/>
          <w:i/>
          <w:szCs w:val="22"/>
          <w:lang w:eastAsia="en-US"/>
        </w:rPr>
      </w:pPr>
    </w:p>
    <w:p w:rsidR="00CC7F3C" w:rsidRPr="00AA1F70" w:rsidRDefault="00EA0C25" w:rsidP="00AD7A9A">
      <w:pPr>
        <w:keepNext/>
        <w:spacing w:line="276" w:lineRule="auto"/>
        <w:ind w:left="0" w:firstLine="0"/>
        <w:outlineLvl w:val="2"/>
        <w:rPr>
          <w:b/>
          <w:i/>
          <w:szCs w:val="22"/>
          <w:lang w:eastAsia="en-US"/>
        </w:rPr>
      </w:pPr>
      <w:r w:rsidRPr="00AC5019">
        <w:rPr>
          <w:b/>
          <w:i/>
          <w:szCs w:val="22"/>
          <w:lang w:eastAsia="en-US"/>
        </w:rPr>
        <w:t>Črevná amebiáza</w:t>
      </w:r>
    </w:p>
    <w:p w:rsidR="00CC7F3C" w:rsidRDefault="00EA0C25" w:rsidP="00DA6EAF">
      <w:pPr>
        <w:ind w:left="0" w:firstLine="0"/>
        <w:rPr>
          <w:szCs w:val="22"/>
          <w:lang w:eastAsia="en-US"/>
        </w:rPr>
      </w:pPr>
      <w:r w:rsidRPr="00AD7A9A">
        <w:rPr>
          <w:i/>
          <w:szCs w:val="22"/>
          <w:lang w:eastAsia="en-US"/>
        </w:rPr>
        <w:t>Dospelí</w:t>
      </w:r>
    </w:p>
    <w:p w:rsidR="001B7147" w:rsidRDefault="00EA0C25" w:rsidP="00DA6EAF">
      <w:pPr>
        <w:ind w:left="0" w:firstLine="0"/>
        <w:rPr>
          <w:i/>
          <w:szCs w:val="22"/>
          <w:lang w:eastAsia="en-US"/>
        </w:rPr>
      </w:pPr>
      <w:r w:rsidRPr="00AC5019">
        <w:rPr>
          <w:szCs w:val="22"/>
          <w:lang w:eastAsia="en-US"/>
        </w:rPr>
        <w:t xml:space="preserve">2 obalené tablety 3-krát denne </w:t>
      </w:r>
      <w:r w:rsidR="00CC7F3C">
        <w:rPr>
          <w:szCs w:val="22"/>
          <w:lang w:eastAsia="en-US"/>
        </w:rPr>
        <w:t>počas</w:t>
      </w:r>
      <w:r w:rsidRPr="00AC5019">
        <w:rPr>
          <w:szCs w:val="22"/>
          <w:lang w:eastAsia="en-US"/>
        </w:rPr>
        <w:t xml:space="preserve"> 10 dní.</w:t>
      </w:r>
    </w:p>
    <w:p w:rsidR="00EA0C25" w:rsidRPr="00AD7A9A" w:rsidRDefault="00EA0C25" w:rsidP="00DA6EAF">
      <w:pPr>
        <w:ind w:left="0" w:firstLine="0"/>
        <w:rPr>
          <w:i/>
          <w:szCs w:val="22"/>
          <w:lang w:eastAsia="en-US"/>
        </w:rPr>
      </w:pPr>
      <w:r w:rsidRPr="00AD7A9A">
        <w:rPr>
          <w:i/>
          <w:szCs w:val="22"/>
          <w:lang w:eastAsia="en-US"/>
        </w:rPr>
        <w:t>Pediatrická populácia</w:t>
      </w:r>
      <w:r w:rsidR="006B7E3B">
        <w:rPr>
          <w:i/>
          <w:szCs w:val="22"/>
          <w:lang w:eastAsia="en-US"/>
        </w:rPr>
        <w:t xml:space="preserve"> (deti od 6 rokov</w:t>
      </w:r>
      <w:r w:rsidR="009013A1">
        <w:rPr>
          <w:i/>
          <w:szCs w:val="22"/>
          <w:lang w:eastAsia="en-US"/>
        </w:rPr>
        <w:t xml:space="preserve"> </w:t>
      </w:r>
      <w:r w:rsidR="009013A1" w:rsidRPr="008C11E2">
        <w:rPr>
          <w:i/>
          <w:szCs w:val="22"/>
          <w:lang w:eastAsia="en-US"/>
        </w:rPr>
        <w:t>a dospievajúci</w:t>
      </w:r>
      <w:r w:rsidR="006B7E3B" w:rsidRPr="00BE0DA4">
        <w:rPr>
          <w:i/>
          <w:szCs w:val="22"/>
          <w:lang w:eastAsia="en-US"/>
        </w:rPr>
        <w:t>)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10 mg nifuratelu na 1 kg telesnej hmotnosti 3</w:t>
      </w:r>
      <w:r w:rsidR="00541361">
        <w:rPr>
          <w:szCs w:val="22"/>
          <w:lang w:eastAsia="en-US"/>
        </w:rPr>
        <w:t xml:space="preserve">-krát </w:t>
      </w:r>
      <w:r w:rsidRPr="00AC5019">
        <w:rPr>
          <w:szCs w:val="22"/>
          <w:lang w:eastAsia="en-US"/>
        </w:rPr>
        <w:t xml:space="preserve">denne </w:t>
      </w:r>
      <w:r w:rsidR="004B3C67">
        <w:rPr>
          <w:szCs w:val="22"/>
          <w:lang w:eastAsia="en-US"/>
        </w:rPr>
        <w:t>počas</w:t>
      </w:r>
      <w:r w:rsidRPr="00AC5019">
        <w:rPr>
          <w:szCs w:val="22"/>
          <w:lang w:eastAsia="en-US"/>
        </w:rPr>
        <w:t xml:space="preserve"> 10 dní.</w:t>
      </w:r>
    </w:p>
    <w:p w:rsidR="00803C2C" w:rsidRDefault="00803C2C" w:rsidP="00AD7A9A">
      <w:pPr>
        <w:keepNext/>
        <w:ind w:left="0" w:firstLine="0"/>
        <w:outlineLvl w:val="2"/>
        <w:rPr>
          <w:b/>
          <w:i/>
          <w:szCs w:val="22"/>
          <w:lang w:eastAsia="en-US"/>
        </w:rPr>
      </w:pPr>
    </w:p>
    <w:p w:rsidR="00803C2C" w:rsidRPr="00AA1F70" w:rsidRDefault="00EA0C25" w:rsidP="00AD7A9A">
      <w:pPr>
        <w:keepNext/>
        <w:spacing w:line="276" w:lineRule="auto"/>
        <w:ind w:left="0" w:firstLine="0"/>
        <w:outlineLvl w:val="2"/>
        <w:rPr>
          <w:b/>
          <w:i/>
          <w:szCs w:val="22"/>
          <w:lang w:eastAsia="en-US"/>
        </w:rPr>
      </w:pPr>
      <w:r w:rsidRPr="00AC5019">
        <w:rPr>
          <w:b/>
          <w:i/>
          <w:szCs w:val="22"/>
          <w:lang w:eastAsia="en-US"/>
        </w:rPr>
        <w:t>Črevná giardiáza</w:t>
      </w:r>
    </w:p>
    <w:p w:rsidR="00A13A75" w:rsidRDefault="00EA0C25" w:rsidP="00DA6EAF">
      <w:pPr>
        <w:ind w:left="0" w:firstLine="0"/>
        <w:rPr>
          <w:szCs w:val="22"/>
          <w:lang w:eastAsia="en-US"/>
        </w:rPr>
      </w:pPr>
      <w:r w:rsidRPr="00AD7A9A">
        <w:rPr>
          <w:i/>
          <w:szCs w:val="22"/>
          <w:lang w:eastAsia="en-US"/>
        </w:rPr>
        <w:t>Dospelí</w:t>
      </w:r>
    </w:p>
    <w:p w:rsidR="00FB21E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2 obalené tablety 2</w:t>
      </w:r>
      <w:r w:rsidR="00A13A75">
        <w:rPr>
          <w:szCs w:val="22"/>
          <w:lang w:eastAsia="en-US"/>
        </w:rPr>
        <w:t> − </w:t>
      </w:r>
      <w:r w:rsidRPr="00AC5019">
        <w:rPr>
          <w:szCs w:val="22"/>
          <w:lang w:eastAsia="en-US"/>
        </w:rPr>
        <w:t xml:space="preserve">3-krát denne </w:t>
      </w:r>
      <w:r w:rsidR="008C3AB9">
        <w:rPr>
          <w:szCs w:val="22"/>
          <w:lang w:eastAsia="en-US"/>
        </w:rPr>
        <w:t>počas</w:t>
      </w:r>
      <w:r w:rsidRPr="00AC5019">
        <w:rPr>
          <w:szCs w:val="22"/>
          <w:lang w:eastAsia="en-US"/>
        </w:rPr>
        <w:t xml:space="preserve"> 7 dní.</w:t>
      </w:r>
    </w:p>
    <w:p w:rsidR="00EA0C25" w:rsidRPr="00AD7A9A" w:rsidRDefault="00EA0C25" w:rsidP="00DA6EAF">
      <w:pPr>
        <w:ind w:left="0" w:firstLine="0"/>
        <w:rPr>
          <w:i/>
          <w:szCs w:val="22"/>
          <w:lang w:eastAsia="en-US"/>
        </w:rPr>
      </w:pPr>
      <w:r w:rsidRPr="00AD7A9A">
        <w:rPr>
          <w:i/>
          <w:szCs w:val="22"/>
          <w:lang w:eastAsia="en-US"/>
        </w:rPr>
        <w:t>Pediatrická populácia</w:t>
      </w:r>
      <w:r w:rsidR="006B7E3B">
        <w:rPr>
          <w:i/>
          <w:szCs w:val="22"/>
          <w:lang w:eastAsia="en-US"/>
        </w:rPr>
        <w:t xml:space="preserve"> (deti od 5 rokov</w:t>
      </w:r>
      <w:r w:rsidR="009013A1">
        <w:rPr>
          <w:i/>
          <w:szCs w:val="22"/>
          <w:lang w:eastAsia="en-US"/>
        </w:rPr>
        <w:t xml:space="preserve"> </w:t>
      </w:r>
      <w:r w:rsidR="009013A1" w:rsidRPr="008C11E2">
        <w:rPr>
          <w:i/>
          <w:szCs w:val="22"/>
          <w:lang w:eastAsia="en-US"/>
        </w:rPr>
        <w:t>a dospievajúci</w:t>
      </w:r>
      <w:r w:rsidR="006B7E3B">
        <w:rPr>
          <w:i/>
          <w:szCs w:val="22"/>
          <w:lang w:eastAsia="en-US"/>
        </w:rPr>
        <w:t>)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 xml:space="preserve">15 mg nifuratelu na </w:t>
      </w:r>
      <w:smartTag w:uri="urn:schemas-microsoft-com:office:smarttags" w:element="metricconverter">
        <w:smartTagPr>
          <w:attr w:name="ProductID" w:val="1 kg"/>
        </w:smartTagPr>
        <w:r w:rsidRPr="00AC5019">
          <w:rPr>
            <w:szCs w:val="22"/>
            <w:lang w:eastAsia="en-US"/>
          </w:rPr>
          <w:t>1 kg</w:t>
        </w:r>
      </w:smartTag>
      <w:r w:rsidRPr="00AC5019">
        <w:rPr>
          <w:szCs w:val="22"/>
          <w:lang w:eastAsia="en-US"/>
        </w:rPr>
        <w:t xml:space="preserve"> telesnej hmotnosti 2-krát denne </w:t>
      </w:r>
      <w:r w:rsidR="00FB21E9">
        <w:rPr>
          <w:szCs w:val="22"/>
          <w:lang w:eastAsia="en-US"/>
        </w:rPr>
        <w:t>počas</w:t>
      </w:r>
      <w:r w:rsidRPr="00AC5019">
        <w:rPr>
          <w:szCs w:val="22"/>
          <w:lang w:eastAsia="en-US"/>
        </w:rPr>
        <w:t xml:space="preserve"> 7 dní.</w:t>
      </w:r>
    </w:p>
    <w:p w:rsidR="005952AF" w:rsidRDefault="005952AF" w:rsidP="00DA6EAF">
      <w:pPr>
        <w:ind w:left="0" w:firstLine="0"/>
        <w:rPr>
          <w:szCs w:val="22"/>
          <w:u w:val="single"/>
          <w:lang w:eastAsia="en-US"/>
        </w:rPr>
      </w:pPr>
    </w:p>
    <w:p w:rsidR="00D21226" w:rsidRDefault="00D21226" w:rsidP="00DA6EAF">
      <w:pPr>
        <w:ind w:left="0" w:firstLine="0"/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Spôsob podávania</w:t>
      </w:r>
    </w:p>
    <w:p w:rsidR="00D21226" w:rsidRDefault="00D21226" w:rsidP="00DA6EAF">
      <w:pPr>
        <w:ind w:left="0" w:firstLine="0"/>
        <w:rPr>
          <w:szCs w:val="22"/>
          <w:u w:val="single"/>
          <w:lang w:eastAsia="en-US"/>
        </w:rPr>
      </w:pPr>
    </w:p>
    <w:p w:rsidR="00FF066D" w:rsidRDefault="00D21226" w:rsidP="00FF066D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Tento liek sa má užívať po jedle.</w:t>
      </w:r>
      <w:r w:rsidR="00273F54">
        <w:rPr>
          <w:szCs w:val="22"/>
          <w:lang w:eastAsia="en-US"/>
        </w:rPr>
        <w:t xml:space="preserve"> </w:t>
      </w:r>
      <w:r w:rsidR="00FF066D" w:rsidRPr="008C11E2">
        <w:rPr>
          <w:szCs w:val="22"/>
          <w:lang w:eastAsia="en-US"/>
        </w:rPr>
        <w:t xml:space="preserve">Počas liečby sa nemajú konzumovať alkoholické nápoje (pozri časť </w:t>
      </w:r>
      <w:r w:rsidR="002D2F7B" w:rsidRPr="008C11E2">
        <w:rPr>
          <w:szCs w:val="22"/>
          <w:lang w:eastAsia="en-US"/>
        </w:rPr>
        <w:t xml:space="preserve">4.4 a </w:t>
      </w:r>
      <w:r w:rsidR="00FF066D" w:rsidRPr="008C11E2">
        <w:rPr>
          <w:szCs w:val="22"/>
          <w:lang w:eastAsia="en-US"/>
        </w:rPr>
        <w:t>4.5).</w:t>
      </w:r>
    </w:p>
    <w:p w:rsidR="00D21226" w:rsidRPr="00AC5019" w:rsidRDefault="00D21226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4.3</w:t>
      </w:r>
      <w:r w:rsidRPr="00AC5019">
        <w:rPr>
          <w:b/>
          <w:szCs w:val="22"/>
        </w:rPr>
        <w:tab/>
        <w:t>Kontraindikácie</w:t>
      </w:r>
    </w:p>
    <w:p w:rsidR="00EA0C25" w:rsidRPr="00AC5019" w:rsidRDefault="001A5130" w:rsidP="00AD7A9A">
      <w:pPr>
        <w:ind w:left="0" w:firstLine="0"/>
        <w:rPr>
          <w:szCs w:val="22"/>
        </w:rPr>
      </w:pPr>
      <w:r>
        <w:rPr>
          <w:szCs w:val="22"/>
        </w:rPr>
        <w:t xml:space="preserve"> </w:t>
      </w:r>
    </w:p>
    <w:p w:rsidR="00DA35FB" w:rsidRDefault="00EA0C25" w:rsidP="00AD7A9A">
      <w:pPr>
        <w:pStyle w:val="Zkladntext"/>
        <w:numPr>
          <w:ilvl w:val="0"/>
          <w:numId w:val="2"/>
        </w:numPr>
        <w:ind w:left="567" w:hanging="567"/>
        <w:rPr>
          <w:noProof/>
          <w:szCs w:val="22"/>
        </w:rPr>
      </w:pPr>
      <w:r w:rsidRPr="00AC5019">
        <w:rPr>
          <w:szCs w:val="22"/>
        </w:rPr>
        <w:t>Precitlivenosť na liečivo</w:t>
      </w:r>
      <w:r w:rsidR="00DA35FB">
        <w:rPr>
          <w:szCs w:val="22"/>
        </w:rPr>
        <w:t xml:space="preserve"> </w:t>
      </w:r>
      <w:r w:rsidRPr="00AC5019">
        <w:rPr>
          <w:szCs w:val="22"/>
        </w:rPr>
        <w:t xml:space="preserve">alebo na </w:t>
      </w:r>
      <w:r w:rsidRPr="00AC5019">
        <w:rPr>
          <w:noProof/>
          <w:szCs w:val="22"/>
        </w:rPr>
        <w:t>ktorúkoľvek</w:t>
      </w:r>
      <w:r w:rsidRPr="00AC5019">
        <w:rPr>
          <w:szCs w:val="22"/>
        </w:rPr>
        <w:t xml:space="preserve"> z pomocných látok </w:t>
      </w:r>
      <w:r w:rsidRPr="00AC5019">
        <w:rPr>
          <w:noProof/>
          <w:szCs w:val="22"/>
        </w:rPr>
        <w:t xml:space="preserve">uvedených v časti 6.1. </w:t>
      </w:r>
    </w:p>
    <w:p w:rsidR="00EA0C25" w:rsidRPr="00AC5019" w:rsidRDefault="00DA35FB" w:rsidP="00AD7A9A">
      <w:pPr>
        <w:pStyle w:val="Zkladntext"/>
        <w:numPr>
          <w:ilvl w:val="0"/>
          <w:numId w:val="2"/>
        </w:numPr>
        <w:ind w:left="567" w:hanging="567"/>
        <w:rPr>
          <w:noProof/>
          <w:szCs w:val="22"/>
        </w:rPr>
      </w:pPr>
      <w:r>
        <w:rPr>
          <w:szCs w:val="22"/>
          <w:lang w:eastAsia="en-US"/>
        </w:rPr>
        <w:t xml:space="preserve">Deti </w:t>
      </w:r>
      <w:r w:rsidRPr="00AC5019">
        <w:rPr>
          <w:szCs w:val="22"/>
          <w:lang w:eastAsia="en-US"/>
        </w:rPr>
        <w:t>do 5 rokov.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4.4</w:t>
      </w:r>
      <w:r w:rsidRPr="00AC5019">
        <w:rPr>
          <w:b/>
          <w:szCs w:val="22"/>
        </w:rPr>
        <w:tab/>
        <w:t>Osobitné upozornenia a opatrenia pri používaní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Pr="00AC5019" w:rsidRDefault="00CD1F56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Pri</w:t>
      </w:r>
      <w:r w:rsidRPr="00AC5019">
        <w:rPr>
          <w:szCs w:val="22"/>
          <w:lang w:eastAsia="en-US"/>
        </w:rPr>
        <w:t xml:space="preserve"> </w:t>
      </w:r>
      <w:r w:rsidR="00EA0C25" w:rsidRPr="00AC5019">
        <w:rPr>
          <w:szCs w:val="22"/>
          <w:lang w:eastAsia="en-US"/>
        </w:rPr>
        <w:t xml:space="preserve">dlhodobom </w:t>
      </w:r>
      <w:r w:rsidR="00F01695" w:rsidRPr="00AE24D8">
        <w:rPr>
          <w:szCs w:val="22"/>
          <w:lang w:eastAsia="en-US"/>
        </w:rPr>
        <w:t>užívaní</w:t>
      </w:r>
      <w:r w:rsidR="006865D9" w:rsidRPr="00AC5019">
        <w:rPr>
          <w:szCs w:val="22"/>
          <w:lang w:eastAsia="en-US"/>
        </w:rPr>
        <w:t xml:space="preserve"> </w:t>
      </w:r>
      <w:r w:rsidR="00EA0C25" w:rsidRPr="00AC5019">
        <w:rPr>
          <w:szCs w:val="22"/>
          <w:lang w:eastAsia="en-US"/>
        </w:rPr>
        <w:t>sa môže objaviť senzibilizácia</w:t>
      </w:r>
      <w:r w:rsidR="00B8417C">
        <w:rPr>
          <w:szCs w:val="22"/>
          <w:lang w:eastAsia="en-US"/>
        </w:rPr>
        <w:t xml:space="preserve"> – vtedy</w:t>
      </w:r>
      <w:r w:rsidR="00EA0C25" w:rsidRPr="00AC5019">
        <w:rPr>
          <w:szCs w:val="22"/>
          <w:lang w:eastAsia="en-US"/>
        </w:rPr>
        <w:t xml:space="preserve"> sa musí liečba ukončiť.</w:t>
      </w:r>
    </w:p>
    <w:p w:rsidR="0038415E" w:rsidRDefault="0038415E" w:rsidP="00DA6EAF">
      <w:pPr>
        <w:ind w:left="0" w:firstLine="0"/>
        <w:rPr>
          <w:szCs w:val="22"/>
          <w:lang w:eastAsia="en-US"/>
        </w:rPr>
      </w:pPr>
    </w:p>
    <w:p w:rsidR="00EA0C25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Počas liečby sa treba vyhnúť sexuálnemu styku.</w:t>
      </w:r>
    </w:p>
    <w:p w:rsidR="00AB2D25" w:rsidRDefault="00AB2D25" w:rsidP="00DA6EAF">
      <w:pPr>
        <w:ind w:left="0" w:firstLine="0"/>
        <w:rPr>
          <w:szCs w:val="22"/>
          <w:lang w:eastAsia="en-US"/>
        </w:rPr>
      </w:pPr>
    </w:p>
    <w:p w:rsidR="00AB2D25" w:rsidRDefault="00AB2D25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Počas liečby sa nemajú konzumovať alkoholické nápoje (pozri časť 4.5).</w:t>
      </w:r>
    </w:p>
    <w:p w:rsidR="00D36ECD" w:rsidRDefault="00D36ECD" w:rsidP="00DA6EAF">
      <w:pPr>
        <w:ind w:left="0" w:firstLine="0"/>
        <w:rPr>
          <w:szCs w:val="22"/>
          <w:lang w:eastAsia="en-US"/>
        </w:rPr>
      </w:pPr>
    </w:p>
    <w:p w:rsidR="007F06CB" w:rsidRDefault="00D36ECD" w:rsidP="00D36ECD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Tento liek obsahuje sacharózu.</w:t>
      </w:r>
    </w:p>
    <w:p w:rsidR="00D36ECD" w:rsidRPr="00AC5019" w:rsidRDefault="00D36ECD" w:rsidP="00D36ECD">
      <w:pPr>
        <w:ind w:left="0" w:firstLine="0"/>
        <w:rPr>
          <w:szCs w:val="22"/>
          <w:lang w:eastAsia="en-US"/>
        </w:rPr>
      </w:pPr>
      <w:r w:rsidRPr="00D36ECD">
        <w:rPr>
          <w:szCs w:val="22"/>
          <w:lang w:eastAsia="en-US"/>
        </w:rPr>
        <w:t>Pacient</w:t>
      </w:r>
      <w:r w:rsidR="007A0633">
        <w:rPr>
          <w:szCs w:val="22"/>
          <w:lang w:eastAsia="en-US"/>
        </w:rPr>
        <w:t>i</w:t>
      </w:r>
      <w:r w:rsidRPr="00D36ECD">
        <w:rPr>
          <w:szCs w:val="22"/>
          <w:lang w:eastAsia="en-US"/>
        </w:rPr>
        <w:t xml:space="preserve"> so zriedkavými dedičnými problémami intolerancie fruktózy, glukózo-galaktózovej malabsorpcie alebo deficitu sacharázy a izomaltázy nesmú užívať tento liek.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4.5</w:t>
      </w:r>
      <w:r w:rsidRPr="00AC5019">
        <w:rPr>
          <w:b/>
          <w:szCs w:val="22"/>
        </w:rPr>
        <w:tab/>
        <w:t>Liekové a iné interakcie</w:t>
      </w:r>
    </w:p>
    <w:p w:rsidR="00EA0C25" w:rsidRPr="00AC5019" w:rsidRDefault="00EA0C25" w:rsidP="00DA6EAF">
      <w:pPr>
        <w:rPr>
          <w:szCs w:val="22"/>
        </w:rPr>
      </w:pPr>
    </w:p>
    <w:p w:rsidR="00A0036B" w:rsidRPr="00AD7A9A" w:rsidRDefault="00D4537D" w:rsidP="00DA6EAF">
      <w:pPr>
        <w:rPr>
          <w:noProof/>
          <w:szCs w:val="22"/>
        </w:rPr>
      </w:pPr>
      <w:r w:rsidRPr="008C11E2">
        <w:rPr>
          <w:noProof/>
          <w:szCs w:val="22"/>
        </w:rPr>
        <w:t>Liekové</w:t>
      </w:r>
      <w:r w:rsidRPr="00AD7A9A">
        <w:rPr>
          <w:noProof/>
          <w:szCs w:val="22"/>
        </w:rPr>
        <w:t xml:space="preserve"> interakcie zatiaľ neboli popísané.</w:t>
      </w:r>
    </w:p>
    <w:p w:rsidR="00D4537D" w:rsidRDefault="00D4537D" w:rsidP="00DA6EAF">
      <w:pPr>
        <w:rPr>
          <w:noProof/>
          <w:szCs w:val="22"/>
          <w:highlight w:val="green"/>
        </w:rPr>
      </w:pPr>
    </w:p>
    <w:p w:rsidR="00D4537D" w:rsidRDefault="00D4537D" w:rsidP="00D4537D">
      <w:pPr>
        <w:ind w:left="0" w:firstLine="0"/>
        <w:rPr>
          <w:szCs w:val="22"/>
          <w:lang w:eastAsia="en-US"/>
        </w:rPr>
      </w:pPr>
      <w:r w:rsidRPr="008C11E2">
        <w:rPr>
          <w:szCs w:val="22"/>
          <w:lang w:eastAsia="en-US"/>
        </w:rPr>
        <w:t xml:space="preserve">Počas liečby sa nemajú konzumovať alkoholické nápoje, pretože v kombinácii s týmto liekom môžu vyvolať malátnosť a nevoľnosť. Tieto prejavy </w:t>
      </w:r>
      <w:r w:rsidR="00ED33A6" w:rsidRPr="008C11E2">
        <w:rPr>
          <w:szCs w:val="22"/>
          <w:lang w:eastAsia="en-US"/>
        </w:rPr>
        <w:t xml:space="preserve">však spontánne </w:t>
      </w:r>
      <w:r w:rsidRPr="008C11E2">
        <w:rPr>
          <w:szCs w:val="22"/>
          <w:lang w:eastAsia="en-US"/>
        </w:rPr>
        <w:t>vymiznú.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4.6</w:t>
      </w:r>
      <w:r w:rsidRPr="00AC5019">
        <w:rPr>
          <w:b/>
          <w:szCs w:val="22"/>
        </w:rPr>
        <w:tab/>
      </w:r>
      <w:r w:rsidRPr="00AC5019">
        <w:rPr>
          <w:b/>
          <w:noProof/>
          <w:szCs w:val="22"/>
        </w:rPr>
        <w:t>Fertilita, g</w:t>
      </w:r>
      <w:r w:rsidRPr="00AC5019">
        <w:rPr>
          <w:b/>
          <w:szCs w:val="22"/>
        </w:rPr>
        <w:t>ravidita a laktácia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66DC3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Tento liek</w:t>
      </w:r>
      <w:r w:rsidRPr="00AC5019">
        <w:rPr>
          <w:szCs w:val="22"/>
          <w:lang w:eastAsia="en-US"/>
        </w:rPr>
        <w:t xml:space="preserve"> </w:t>
      </w:r>
      <w:r w:rsidR="00EA0C25" w:rsidRPr="00AC5019">
        <w:rPr>
          <w:szCs w:val="22"/>
          <w:lang w:eastAsia="en-US"/>
        </w:rPr>
        <w:t xml:space="preserve">sa nemá </w:t>
      </w:r>
      <w:r>
        <w:rPr>
          <w:szCs w:val="22"/>
          <w:lang w:eastAsia="en-US"/>
        </w:rPr>
        <w:t>užívať</w:t>
      </w:r>
      <w:r w:rsidR="00EA0C25" w:rsidRPr="00AC5019">
        <w:rPr>
          <w:szCs w:val="22"/>
          <w:lang w:eastAsia="en-US"/>
        </w:rPr>
        <w:t xml:space="preserve"> počas gravidity a </w:t>
      </w:r>
      <w:r w:rsidR="00167641">
        <w:rPr>
          <w:szCs w:val="22"/>
          <w:lang w:eastAsia="en-US"/>
        </w:rPr>
        <w:t>dojčenia</w:t>
      </w:r>
      <w:r w:rsidR="00EA0C25" w:rsidRPr="00AC5019">
        <w:rPr>
          <w:szCs w:val="22"/>
          <w:lang w:eastAsia="en-US"/>
        </w:rPr>
        <w:t xml:space="preserve">, </w:t>
      </w:r>
      <w:r w:rsidR="00653A62">
        <w:rPr>
          <w:szCs w:val="22"/>
          <w:lang w:eastAsia="en-US"/>
        </w:rPr>
        <w:t>pokiaľ</w:t>
      </w:r>
      <w:r w:rsidR="00653A62" w:rsidRPr="00AC5019">
        <w:rPr>
          <w:szCs w:val="22"/>
          <w:lang w:eastAsia="en-US"/>
        </w:rPr>
        <w:t xml:space="preserve"> </w:t>
      </w:r>
      <w:r w:rsidR="00EA0C25" w:rsidRPr="00AC5019">
        <w:rPr>
          <w:szCs w:val="22"/>
          <w:lang w:eastAsia="en-US"/>
        </w:rPr>
        <w:t>to nie je nevyhnutné.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4.7</w:t>
      </w:r>
      <w:r w:rsidRPr="00AC5019">
        <w:rPr>
          <w:b/>
          <w:szCs w:val="22"/>
        </w:rPr>
        <w:tab/>
        <w:t>Ovplyvnenie schopnosti viesť vozidlá a obsluhovať stroje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FC2660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Nezaznamenali sa</w:t>
      </w:r>
      <w:r w:rsidR="00EA0C25" w:rsidRPr="00AC5019">
        <w:rPr>
          <w:szCs w:val="22"/>
          <w:lang w:eastAsia="en-US"/>
        </w:rPr>
        <w:t xml:space="preserve"> žiadne negatívne vplyvy na </w:t>
      </w:r>
      <w:r w:rsidR="00072740">
        <w:rPr>
          <w:szCs w:val="22"/>
          <w:lang w:eastAsia="en-US"/>
        </w:rPr>
        <w:t>schopnosť viesť vozidlá a obsluhovať stroje</w:t>
      </w:r>
      <w:r w:rsidR="00EA0C25" w:rsidRPr="00AC5019">
        <w:rPr>
          <w:szCs w:val="22"/>
          <w:lang w:eastAsia="en-US"/>
        </w:rPr>
        <w:t>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4.8</w:t>
      </w:r>
      <w:r w:rsidRPr="00AC5019">
        <w:rPr>
          <w:b/>
          <w:szCs w:val="22"/>
        </w:rPr>
        <w:tab/>
        <w:t>Nežiaduce účinky</w:t>
      </w:r>
    </w:p>
    <w:p w:rsidR="00530C23" w:rsidRPr="00AC5019" w:rsidRDefault="00530C23" w:rsidP="00DA6EAF">
      <w:pPr>
        <w:rPr>
          <w:b/>
          <w:szCs w:val="22"/>
        </w:rPr>
      </w:pPr>
    </w:p>
    <w:p w:rsidR="00F903E1" w:rsidRPr="00511324" w:rsidRDefault="00EA0C25" w:rsidP="00DA6EAF">
      <w:pPr>
        <w:ind w:left="0" w:firstLine="0"/>
        <w:rPr>
          <w:szCs w:val="22"/>
          <w:lang w:eastAsia="en-US"/>
        </w:rPr>
      </w:pPr>
      <w:r w:rsidRPr="00511324">
        <w:rPr>
          <w:szCs w:val="22"/>
          <w:lang w:eastAsia="en-US"/>
        </w:rPr>
        <w:t xml:space="preserve">Ojedinele sa môžu vyskytnúť tráviace ťažkosti (nevoľnosť, nadúvanie, vracanie). 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511324">
        <w:rPr>
          <w:szCs w:val="22"/>
          <w:lang w:eastAsia="en-US"/>
        </w:rPr>
        <w:t xml:space="preserve">Pri </w:t>
      </w:r>
      <w:r w:rsidR="009C28FA" w:rsidRPr="00511324">
        <w:rPr>
          <w:szCs w:val="22"/>
          <w:lang w:eastAsia="en-US"/>
        </w:rPr>
        <w:t xml:space="preserve">dlhodobom </w:t>
      </w:r>
      <w:r w:rsidRPr="00511324">
        <w:rPr>
          <w:szCs w:val="22"/>
          <w:lang w:eastAsia="en-US"/>
        </w:rPr>
        <w:t>užívaní sa môžu objaviť príznaky precitlivenosti.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AC5019">
        <w:rPr>
          <w:noProof/>
          <w:szCs w:val="22"/>
          <w:u w:val="single"/>
        </w:rPr>
        <w:t>Hlásenie podozrení na nežiaduce reakcie</w:t>
      </w:r>
    </w:p>
    <w:p w:rsidR="00EA0C25" w:rsidRPr="00404EB4" w:rsidRDefault="00EA0C25" w:rsidP="00DA6EAF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AC5019">
        <w:rPr>
          <w:noProof/>
          <w:szCs w:val="22"/>
        </w:rPr>
        <w:t>Hlásenie podozrení na nežiaduce reakcie po registrácii lieku je dôležité.</w:t>
      </w:r>
      <w:r w:rsidRPr="00AC5019">
        <w:rPr>
          <w:szCs w:val="22"/>
        </w:rPr>
        <w:t xml:space="preserve"> </w:t>
      </w:r>
      <w:r w:rsidRPr="00AC5019">
        <w:rPr>
          <w:noProof/>
          <w:szCs w:val="22"/>
        </w:rPr>
        <w:t>Umožňuje priebežné monitorovanie pomeru prínosu a rizika lieku.</w:t>
      </w:r>
      <w:r w:rsidRPr="00AC5019">
        <w:rPr>
          <w:szCs w:val="22"/>
        </w:rPr>
        <w:t xml:space="preserve"> Od </w:t>
      </w:r>
      <w:r w:rsidRPr="00AC5019">
        <w:rPr>
          <w:noProof/>
          <w:szCs w:val="22"/>
        </w:rPr>
        <w:t xml:space="preserve">zdravotníckych pracovníkov sa vyžaduje, aby hlásili akékoľvek podozrenia na nežiaduce reakcie prostredníctvom </w:t>
      </w:r>
      <w:r w:rsidRPr="00AC5019">
        <w:rPr>
          <w:noProof/>
          <w:szCs w:val="22"/>
          <w:highlight w:val="lightGray"/>
        </w:rPr>
        <w:t>národného systému hlásenia uvedeného v </w:t>
      </w:r>
      <w:hyperlink r:id="rId9" w:history="1">
        <w:r w:rsidRPr="00083092">
          <w:rPr>
            <w:rStyle w:val="Hypertextovodkaz"/>
            <w:noProof/>
            <w:szCs w:val="22"/>
            <w:highlight w:val="lightGray"/>
          </w:rPr>
          <w:t>Prílohe V</w:t>
        </w:r>
      </w:hyperlink>
      <w:r w:rsidRPr="00083092">
        <w:rPr>
          <w:noProof/>
          <w:szCs w:val="22"/>
        </w:rPr>
        <w:t>.</w:t>
      </w:r>
    </w:p>
    <w:p w:rsidR="00EA0C25" w:rsidRPr="00404EB4" w:rsidRDefault="00EA0C25" w:rsidP="00DA6EAF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</w:p>
    <w:p w:rsidR="00EA0C25" w:rsidRPr="00B01222" w:rsidRDefault="00EA0C25" w:rsidP="00DA6EAF">
      <w:pPr>
        <w:rPr>
          <w:szCs w:val="22"/>
        </w:rPr>
      </w:pPr>
      <w:r w:rsidRPr="00511324">
        <w:rPr>
          <w:b/>
          <w:szCs w:val="22"/>
        </w:rPr>
        <w:t>4.9</w:t>
      </w:r>
      <w:r w:rsidRPr="00511324">
        <w:rPr>
          <w:b/>
          <w:szCs w:val="22"/>
        </w:rPr>
        <w:tab/>
        <w:t>Predávkovanie</w:t>
      </w:r>
    </w:p>
    <w:p w:rsidR="00EA0C25" w:rsidRPr="00EA0C25" w:rsidRDefault="00EA0C25" w:rsidP="00DA6EAF">
      <w:pPr>
        <w:rPr>
          <w:szCs w:val="22"/>
        </w:rPr>
      </w:pPr>
    </w:p>
    <w:p w:rsidR="00EA0C25" w:rsidRPr="00DA6EAF" w:rsidRDefault="00EA0C25" w:rsidP="00DA6EAF">
      <w:pPr>
        <w:ind w:left="0" w:firstLine="0"/>
        <w:rPr>
          <w:szCs w:val="22"/>
          <w:lang w:eastAsia="en-US"/>
        </w:rPr>
      </w:pPr>
      <w:r w:rsidRPr="00DA6EAF">
        <w:rPr>
          <w:szCs w:val="22"/>
          <w:lang w:eastAsia="en-US"/>
        </w:rPr>
        <w:t>Nie je známe.</w:t>
      </w:r>
    </w:p>
    <w:p w:rsidR="00EA0C25" w:rsidRDefault="00EA0C25" w:rsidP="00DA6EAF">
      <w:pPr>
        <w:rPr>
          <w:szCs w:val="22"/>
        </w:rPr>
      </w:pPr>
    </w:p>
    <w:p w:rsidR="00DF1E2E" w:rsidRPr="00DA6EAF" w:rsidRDefault="00DF1E2E" w:rsidP="00DA6EAF">
      <w:pPr>
        <w:rPr>
          <w:szCs w:val="22"/>
        </w:rPr>
      </w:pPr>
      <w:r>
        <w:rPr>
          <w:szCs w:val="22"/>
        </w:rPr>
        <w:t xml:space="preserve"> </w:t>
      </w:r>
    </w:p>
    <w:p w:rsidR="00EA0C25" w:rsidRPr="00DA6EAF" w:rsidRDefault="00EA0C25" w:rsidP="00DA6EAF">
      <w:pPr>
        <w:rPr>
          <w:szCs w:val="22"/>
        </w:rPr>
      </w:pPr>
      <w:r w:rsidRPr="00DA6EAF">
        <w:rPr>
          <w:b/>
          <w:szCs w:val="22"/>
        </w:rPr>
        <w:t>5.</w:t>
      </w:r>
      <w:r w:rsidRPr="00DA6EAF">
        <w:rPr>
          <w:b/>
          <w:szCs w:val="22"/>
        </w:rPr>
        <w:tab/>
        <w:t>FARMAKOLOGICKÉ VLASTNOSTI</w:t>
      </w:r>
    </w:p>
    <w:p w:rsidR="00EA0C25" w:rsidRPr="00DA6EAF" w:rsidRDefault="00EA0C25" w:rsidP="00DA6EAF">
      <w:pPr>
        <w:rPr>
          <w:bCs/>
          <w:szCs w:val="22"/>
        </w:rPr>
      </w:pPr>
    </w:p>
    <w:p w:rsidR="00EA0C25" w:rsidRPr="00FE6DFE" w:rsidRDefault="00EA0C25" w:rsidP="00DA6EAF">
      <w:pPr>
        <w:rPr>
          <w:szCs w:val="22"/>
        </w:rPr>
      </w:pPr>
      <w:r w:rsidRPr="00DA6EAF">
        <w:rPr>
          <w:b/>
          <w:szCs w:val="22"/>
        </w:rPr>
        <w:t>5.1</w:t>
      </w:r>
      <w:r w:rsidRPr="00DA6EAF">
        <w:rPr>
          <w:b/>
          <w:szCs w:val="22"/>
        </w:rPr>
        <w:tab/>
        <w:t>Farmakodynamické vlastnosti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AD7A9A">
      <w:pPr>
        <w:ind w:left="0" w:firstLine="0"/>
        <w:outlineLvl w:val="0"/>
        <w:rPr>
          <w:szCs w:val="22"/>
          <w:lang w:eastAsia="en-US"/>
        </w:rPr>
      </w:pPr>
      <w:r w:rsidRPr="00AC5019">
        <w:rPr>
          <w:szCs w:val="22"/>
        </w:rPr>
        <w:t xml:space="preserve">Farmakoterapeutická skupina: </w:t>
      </w:r>
      <w:r w:rsidR="002D416E">
        <w:rPr>
          <w:szCs w:val="22"/>
        </w:rPr>
        <w:t xml:space="preserve">gynekologické antiinfektíva a antiseptiká, iné antiinfektíva a antiseptiká, </w:t>
      </w:r>
      <w:r w:rsidRPr="00AC5019">
        <w:rPr>
          <w:szCs w:val="22"/>
        </w:rPr>
        <w:t xml:space="preserve">ATC kód: </w:t>
      </w:r>
      <w:r w:rsidRPr="00AC5019">
        <w:rPr>
          <w:szCs w:val="22"/>
          <w:lang w:eastAsia="en-US"/>
        </w:rPr>
        <w:t>G01AX05</w:t>
      </w:r>
      <w:r w:rsidR="002D416E">
        <w:rPr>
          <w:szCs w:val="22"/>
          <w:lang w:eastAsia="en-US"/>
        </w:rPr>
        <w:t>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ind w:left="0" w:firstLine="0"/>
        <w:rPr>
          <w:i/>
          <w:szCs w:val="22"/>
          <w:lang w:eastAsia="en-US"/>
        </w:rPr>
      </w:pPr>
      <w:r w:rsidRPr="00AC5019">
        <w:rPr>
          <w:szCs w:val="22"/>
          <w:lang w:eastAsia="en-US"/>
        </w:rPr>
        <w:t xml:space="preserve">Nifuratel má výrazné antitrichomonádne, antimykotické a antibakteriálne  účinky </w:t>
      </w:r>
      <w:r w:rsidRPr="00AC5019">
        <w:rPr>
          <w:i/>
          <w:szCs w:val="22"/>
          <w:lang w:eastAsia="en-US"/>
        </w:rPr>
        <w:t>in vitr</w:t>
      </w:r>
      <w:r w:rsidRPr="00AC5019">
        <w:rPr>
          <w:szCs w:val="22"/>
          <w:lang w:eastAsia="en-US"/>
        </w:rPr>
        <w:t xml:space="preserve">o aj </w:t>
      </w:r>
      <w:r w:rsidRPr="00AC5019">
        <w:rPr>
          <w:i/>
          <w:szCs w:val="22"/>
          <w:lang w:eastAsia="en-US"/>
        </w:rPr>
        <w:t>in vivo</w:t>
      </w:r>
      <w:r w:rsidRPr="00AC5019">
        <w:rPr>
          <w:szCs w:val="22"/>
          <w:lang w:eastAsia="en-US"/>
        </w:rPr>
        <w:t>.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5.2</w:t>
      </w:r>
      <w:r w:rsidRPr="00AC5019">
        <w:rPr>
          <w:b/>
          <w:szCs w:val="22"/>
        </w:rPr>
        <w:tab/>
        <w:t>Farmakokinetické vlastnosti</w:t>
      </w:r>
    </w:p>
    <w:p w:rsidR="00EA0C25" w:rsidRPr="00AC5019" w:rsidRDefault="00EA0C25" w:rsidP="00DA6EAF">
      <w:pPr>
        <w:rPr>
          <w:szCs w:val="22"/>
        </w:rPr>
      </w:pPr>
    </w:p>
    <w:p w:rsidR="008129A6" w:rsidRDefault="008129A6" w:rsidP="00DA6EAF">
      <w:pPr>
        <w:ind w:left="0" w:firstLine="0"/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Absorpcia</w:t>
      </w:r>
    </w:p>
    <w:p w:rsidR="008129A6" w:rsidRPr="00AD7A9A" w:rsidRDefault="008129A6" w:rsidP="00DA6EAF">
      <w:pPr>
        <w:ind w:left="0" w:firstLine="0"/>
        <w:rPr>
          <w:szCs w:val="22"/>
          <w:u w:val="single"/>
          <w:lang w:eastAsia="en-US"/>
        </w:rPr>
      </w:pPr>
    </w:p>
    <w:p w:rsidR="00BF23F6" w:rsidRDefault="00EA0C25" w:rsidP="00DA6EAF">
      <w:pPr>
        <w:ind w:left="0" w:firstLine="0"/>
        <w:rPr>
          <w:szCs w:val="22"/>
          <w:lang w:eastAsia="en-US"/>
        </w:rPr>
      </w:pPr>
      <w:r w:rsidRPr="008129A6">
        <w:rPr>
          <w:szCs w:val="22"/>
          <w:lang w:eastAsia="en-US"/>
        </w:rPr>
        <w:t>Po perorálnom podaní sa nifuratel rýchlo absorbuje.</w:t>
      </w:r>
    </w:p>
    <w:p w:rsidR="00BF23F6" w:rsidRDefault="00BF23F6" w:rsidP="00DA6EAF">
      <w:pPr>
        <w:ind w:left="0" w:firstLine="0"/>
        <w:rPr>
          <w:szCs w:val="22"/>
          <w:lang w:eastAsia="en-US"/>
        </w:rPr>
      </w:pPr>
    </w:p>
    <w:p w:rsidR="00BF23F6" w:rsidRDefault="00BF23F6" w:rsidP="00DA6EAF">
      <w:pPr>
        <w:ind w:left="0" w:firstLine="0"/>
        <w:rPr>
          <w:szCs w:val="22"/>
          <w:u w:val="single"/>
          <w:lang w:eastAsia="en-US"/>
        </w:rPr>
      </w:pPr>
      <w:r>
        <w:rPr>
          <w:szCs w:val="22"/>
          <w:u w:val="single"/>
          <w:lang w:eastAsia="en-US"/>
        </w:rPr>
        <w:t>Eliminácia</w:t>
      </w:r>
    </w:p>
    <w:p w:rsidR="00BF23F6" w:rsidRPr="00AD7A9A" w:rsidRDefault="00BF23F6" w:rsidP="00DA6EAF">
      <w:pPr>
        <w:ind w:left="0" w:firstLine="0"/>
        <w:rPr>
          <w:szCs w:val="22"/>
          <w:u w:val="single"/>
          <w:lang w:eastAsia="en-US"/>
        </w:rPr>
      </w:pPr>
    </w:p>
    <w:p w:rsidR="00EA0C25" w:rsidRPr="00AC5019" w:rsidRDefault="00B54B1D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Nifuratel sa vylučuje</w:t>
      </w:r>
      <w:r w:rsidR="00EA0C25" w:rsidRPr="008129A6">
        <w:rPr>
          <w:szCs w:val="22"/>
          <w:lang w:eastAsia="en-US"/>
        </w:rPr>
        <w:t xml:space="preserve"> prevažne močom.</w:t>
      </w:r>
    </w:p>
    <w:p w:rsidR="00EA0C25" w:rsidRPr="00AC5019" w:rsidRDefault="00EA0C25" w:rsidP="00DA6EAF">
      <w:pPr>
        <w:suppressLineNumbers/>
        <w:spacing w:after="120"/>
        <w:rPr>
          <w:noProof/>
          <w:szCs w:val="22"/>
          <w:u w:val="single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5.3</w:t>
      </w:r>
      <w:r w:rsidRPr="00AC5019">
        <w:rPr>
          <w:b/>
          <w:szCs w:val="22"/>
        </w:rPr>
        <w:tab/>
        <w:t>Predklinické údaje o bezpečnosti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8C3E91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Pero</w:t>
      </w:r>
      <w:r w:rsidR="00EA0C25" w:rsidRPr="00AC5019">
        <w:rPr>
          <w:szCs w:val="22"/>
          <w:lang w:eastAsia="en-US"/>
        </w:rPr>
        <w:t>rálna LD</w:t>
      </w:r>
      <w:r w:rsidR="00EA0C25" w:rsidRPr="00AC5019">
        <w:rPr>
          <w:szCs w:val="22"/>
          <w:vertAlign w:val="subscript"/>
          <w:lang w:eastAsia="en-US"/>
        </w:rPr>
        <w:t>50</w:t>
      </w:r>
      <w:r w:rsidR="000C0CBC" w:rsidRPr="00AD7A9A">
        <w:rPr>
          <w:szCs w:val="22"/>
          <w:lang w:eastAsia="en-US"/>
        </w:rPr>
        <w:t xml:space="preserve"> </w:t>
      </w:r>
      <w:r w:rsidR="00EA0C25" w:rsidRPr="00AC5019">
        <w:rPr>
          <w:szCs w:val="22"/>
          <w:lang w:eastAsia="en-US"/>
        </w:rPr>
        <w:t>u potkanov je</w:t>
      </w:r>
      <w:r w:rsidR="000C0CBC">
        <w:rPr>
          <w:szCs w:val="22"/>
          <w:lang w:eastAsia="en-US"/>
        </w:rPr>
        <w:t> </w:t>
      </w:r>
      <w:r w:rsidR="00EA0C25" w:rsidRPr="00AC5019">
        <w:rPr>
          <w:szCs w:val="22"/>
          <w:lang w:eastAsia="en-US"/>
        </w:rPr>
        <w:t>&gt;</w:t>
      </w:r>
      <w:r w:rsidR="000C0CBC">
        <w:rPr>
          <w:szCs w:val="22"/>
          <w:lang w:eastAsia="en-US"/>
        </w:rPr>
        <w:t> </w:t>
      </w:r>
      <w:r w:rsidR="00EA0C25" w:rsidRPr="00AC5019">
        <w:rPr>
          <w:szCs w:val="22"/>
          <w:lang w:eastAsia="en-US"/>
        </w:rPr>
        <w:t>4</w:t>
      </w:r>
      <w:r w:rsidR="000C0CBC">
        <w:rPr>
          <w:szCs w:val="22"/>
          <w:lang w:eastAsia="en-US"/>
        </w:rPr>
        <w:t> </w:t>
      </w:r>
      <w:r w:rsidR="00EA0C25" w:rsidRPr="00AC5019">
        <w:rPr>
          <w:szCs w:val="22"/>
          <w:lang w:eastAsia="en-US"/>
        </w:rPr>
        <w:t>500 mg/kg. Pri opakovanom perorálnom podávaní nifuratel nevykazoval u potkanov toxické účinky až do dávky 150 mg/kg/deň.</w:t>
      </w:r>
    </w:p>
    <w:p w:rsidR="00EA0C25" w:rsidRDefault="00EA0C25" w:rsidP="00DA6EAF">
      <w:pPr>
        <w:rPr>
          <w:szCs w:val="22"/>
        </w:rPr>
      </w:pPr>
    </w:p>
    <w:p w:rsidR="00347479" w:rsidRPr="00AC5019" w:rsidRDefault="00347479" w:rsidP="00DA6EAF">
      <w:pPr>
        <w:rPr>
          <w:szCs w:val="22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6.</w:t>
      </w:r>
      <w:r w:rsidRPr="00AC5019">
        <w:rPr>
          <w:b/>
          <w:szCs w:val="22"/>
        </w:rPr>
        <w:tab/>
        <w:t>FARMACEUTICKÉ INFORMÁCIE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6.1</w:t>
      </w:r>
      <w:r w:rsidRPr="00AC5019">
        <w:rPr>
          <w:b/>
          <w:szCs w:val="22"/>
        </w:rPr>
        <w:tab/>
        <w:t>Zoznam pomocných látok</w:t>
      </w:r>
    </w:p>
    <w:p w:rsidR="00EA0C25" w:rsidRPr="00AC5019" w:rsidRDefault="00EA0C25" w:rsidP="00DA6EAF">
      <w:pPr>
        <w:rPr>
          <w:szCs w:val="22"/>
        </w:rPr>
      </w:pP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zemiakový škrob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makrogol 6</w:t>
      </w:r>
      <w:r w:rsidR="00282ACA">
        <w:rPr>
          <w:szCs w:val="22"/>
          <w:lang w:eastAsia="en-US"/>
        </w:rPr>
        <w:t> </w:t>
      </w:r>
      <w:r w:rsidRPr="00AC5019">
        <w:rPr>
          <w:szCs w:val="22"/>
          <w:lang w:eastAsia="en-US"/>
        </w:rPr>
        <w:t>000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mastenec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magnéziumstearát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želat</w:t>
      </w:r>
      <w:r w:rsidR="009230FC">
        <w:rPr>
          <w:szCs w:val="22"/>
          <w:lang w:eastAsia="en-US"/>
        </w:rPr>
        <w:t>í</w:t>
      </w:r>
      <w:r w:rsidRPr="00AC5019">
        <w:rPr>
          <w:szCs w:val="22"/>
          <w:lang w:eastAsia="en-US"/>
        </w:rPr>
        <w:t>na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arabská guma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sacharóza</w:t>
      </w:r>
    </w:p>
    <w:p w:rsidR="008540DC" w:rsidRDefault="00526402" w:rsidP="00DA6EAF">
      <w:pPr>
        <w:ind w:left="0" w:firstLine="0"/>
        <w:rPr>
          <w:szCs w:val="22"/>
          <w:lang w:eastAsia="en-US"/>
        </w:rPr>
      </w:pPr>
      <w:r w:rsidRPr="008900E6">
        <w:rPr>
          <w:szCs w:val="22"/>
          <w:lang w:eastAsia="en-US"/>
        </w:rPr>
        <w:t>uhličitan horečnatý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ryžový škrob</w:t>
      </w:r>
    </w:p>
    <w:p w:rsidR="008540DC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oxid titaničitý (E</w:t>
      </w:r>
      <w:r w:rsidR="00526402">
        <w:rPr>
          <w:szCs w:val="22"/>
          <w:lang w:eastAsia="en-US"/>
        </w:rPr>
        <w:t> </w:t>
      </w:r>
      <w:r w:rsidRPr="00AC5019">
        <w:rPr>
          <w:szCs w:val="22"/>
          <w:lang w:eastAsia="en-US"/>
        </w:rPr>
        <w:t>171)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777CB0">
        <w:rPr>
          <w:szCs w:val="22"/>
          <w:lang w:eastAsia="en-US"/>
        </w:rPr>
        <w:lastRenderedPageBreak/>
        <w:t>E</w:t>
      </w:r>
      <w:r w:rsidRPr="008900E6">
        <w:rPr>
          <w:szCs w:val="22"/>
          <w:lang w:eastAsia="en-US"/>
        </w:rPr>
        <w:t xml:space="preserve"> </w:t>
      </w:r>
      <w:r w:rsidR="002D4562" w:rsidRPr="008900E6">
        <w:rPr>
          <w:szCs w:val="22"/>
          <w:lang w:eastAsia="en-US"/>
        </w:rPr>
        <w:t>vosk</w:t>
      </w:r>
    </w:p>
    <w:p w:rsidR="00EA0C25" w:rsidRPr="00AC5019" w:rsidRDefault="00EA0C25" w:rsidP="00DA6EAF">
      <w:pPr>
        <w:rPr>
          <w:szCs w:val="22"/>
        </w:rPr>
      </w:pPr>
    </w:p>
    <w:p w:rsidR="00EA0C25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6.2</w:t>
      </w:r>
      <w:r w:rsidRPr="00AC5019">
        <w:rPr>
          <w:b/>
          <w:szCs w:val="22"/>
        </w:rPr>
        <w:tab/>
        <w:t>Inkompatibility</w:t>
      </w:r>
    </w:p>
    <w:p w:rsidR="00F17CA7" w:rsidRPr="00AC5019" w:rsidRDefault="00F17CA7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szCs w:val="22"/>
        </w:rPr>
        <w:t>Neaplikovateľné.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6.3</w:t>
      </w:r>
      <w:r w:rsidRPr="00AC5019">
        <w:rPr>
          <w:b/>
          <w:szCs w:val="22"/>
        </w:rPr>
        <w:tab/>
        <w:t>Čas použiteľnosti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  <w:lang w:eastAsia="en-US"/>
        </w:rPr>
      </w:pPr>
      <w:r w:rsidRPr="00AC5019">
        <w:rPr>
          <w:szCs w:val="22"/>
          <w:lang w:eastAsia="en-US"/>
        </w:rPr>
        <w:t>5 rokov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6.4</w:t>
      </w:r>
      <w:r w:rsidRPr="00AC5019">
        <w:rPr>
          <w:b/>
          <w:szCs w:val="22"/>
        </w:rPr>
        <w:tab/>
        <w:t>Špeciálne upozornenia na uchovávanie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Uchováva</w:t>
      </w:r>
      <w:r w:rsidR="00C23E53">
        <w:rPr>
          <w:szCs w:val="22"/>
          <w:lang w:eastAsia="en-US"/>
        </w:rPr>
        <w:t>jte</w:t>
      </w:r>
      <w:r w:rsidRPr="00AC5019">
        <w:rPr>
          <w:szCs w:val="22"/>
          <w:lang w:eastAsia="en-US"/>
        </w:rPr>
        <w:t xml:space="preserve"> pri teplote 15</w:t>
      </w:r>
      <w:r w:rsidR="00C23E53">
        <w:rPr>
          <w:szCs w:val="22"/>
          <w:lang w:eastAsia="en-US"/>
        </w:rPr>
        <w:t> – </w:t>
      </w:r>
      <w:r w:rsidRPr="00AC5019">
        <w:rPr>
          <w:szCs w:val="22"/>
          <w:lang w:eastAsia="en-US"/>
        </w:rPr>
        <w:t>25</w:t>
      </w:r>
      <w:r w:rsidR="00C23E53">
        <w:rPr>
          <w:szCs w:val="22"/>
          <w:lang w:eastAsia="en-US"/>
        </w:rPr>
        <w:t> </w:t>
      </w:r>
      <w:r w:rsidRPr="00AC5019">
        <w:rPr>
          <w:szCs w:val="22"/>
          <w:lang w:eastAsia="en-US"/>
        </w:rPr>
        <w:t>°C.</w:t>
      </w:r>
    </w:p>
    <w:p w:rsidR="00EA0C25" w:rsidRPr="00AC5019" w:rsidRDefault="00EA0C25" w:rsidP="00DA6EAF">
      <w:pPr>
        <w:rPr>
          <w:iCs/>
          <w:szCs w:val="22"/>
        </w:rPr>
      </w:pPr>
    </w:p>
    <w:p w:rsidR="00EA0C25" w:rsidRPr="00AC5019" w:rsidRDefault="00EA0C25" w:rsidP="00DA6EAF">
      <w:pPr>
        <w:rPr>
          <w:szCs w:val="22"/>
        </w:rPr>
      </w:pPr>
      <w:r w:rsidRPr="00884D24">
        <w:rPr>
          <w:b/>
          <w:szCs w:val="22"/>
        </w:rPr>
        <w:t>6.5</w:t>
      </w:r>
      <w:r w:rsidRPr="00884D24">
        <w:rPr>
          <w:b/>
          <w:szCs w:val="22"/>
        </w:rPr>
        <w:tab/>
        <w:t>Druh obalu a obsah balenia</w:t>
      </w:r>
      <w:r w:rsidRPr="00AC5019">
        <w:rPr>
          <w:b/>
          <w:color w:val="0000FF"/>
          <w:szCs w:val="22"/>
        </w:rPr>
        <w:t xml:space="preserve"> </w:t>
      </w:r>
    </w:p>
    <w:p w:rsidR="00EA0C25" w:rsidRPr="00AC5019" w:rsidDel="00884D24" w:rsidRDefault="00EA0C25" w:rsidP="00DA6EAF">
      <w:pPr>
        <w:rPr>
          <w:szCs w:val="22"/>
        </w:rPr>
      </w:pPr>
      <w:r w:rsidRPr="00AC5019" w:rsidDel="00884D24">
        <w:rPr>
          <w:szCs w:val="22"/>
        </w:rPr>
        <w:t xml:space="preserve"> </w:t>
      </w:r>
    </w:p>
    <w:p w:rsidR="00EA0C25" w:rsidRDefault="00884D24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ALU</w:t>
      </w:r>
      <w:r w:rsidR="00EA0C25" w:rsidRPr="00AC5019">
        <w:rPr>
          <w:szCs w:val="22"/>
          <w:lang w:eastAsia="en-US"/>
        </w:rPr>
        <w:t>/PVC blister</w:t>
      </w:r>
      <w:r w:rsidR="00166AFB">
        <w:rPr>
          <w:szCs w:val="22"/>
          <w:lang w:eastAsia="en-US"/>
        </w:rPr>
        <w:t>.</w:t>
      </w:r>
    </w:p>
    <w:p w:rsidR="00166AFB" w:rsidRPr="00AC5019" w:rsidRDefault="00166AFB" w:rsidP="00DA6EAF">
      <w:pPr>
        <w:ind w:left="0" w:firstLine="0"/>
        <w:rPr>
          <w:szCs w:val="22"/>
          <w:lang w:eastAsia="en-US"/>
        </w:rPr>
      </w:pPr>
    </w:p>
    <w:p w:rsidR="00EA0C25" w:rsidRDefault="00BF7087" w:rsidP="00DA6EAF">
      <w:pPr>
        <w:ind w:left="0" w:firstLine="0"/>
        <w:rPr>
          <w:szCs w:val="22"/>
          <w:lang w:eastAsia="en-US"/>
        </w:rPr>
      </w:pPr>
      <w:r>
        <w:rPr>
          <w:szCs w:val="22"/>
          <w:lang w:eastAsia="en-US"/>
        </w:rPr>
        <w:t>Obsah</w:t>
      </w:r>
      <w:r w:rsidRPr="00AD7A9A">
        <w:rPr>
          <w:szCs w:val="22"/>
          <w:lang w:eastAsia="en-US"/>
        </w:rPr>
        <w:t xml:space="preserve"> </w:t>
      </w:r>
      <w:r w:rsidR="00EA0C25" w:rsidRPr="00AD7A9A">
        <w:rPr>
          <w:szCs w:val="22"/>
          <w:lang w:eastAsia="en-US"/>
        </w:rPr>
        <w:t>balenia:</w:t>
      </w:r>
      <w:r w:rsidR="00EA0C25" w:rsidRPr="00B41F53">
        <w:rPr>
          <w:szCs w:val="22"/>
          <w:lang w:eastAsia="en-US"/>
        </w:rPr>
        <w:t xml:space="preserve"> </w:t>
      </w:r>
      <w:r w:rsidR="00EA0C25" w:rsidRPr="00AC5019">
        <w:rPr>
          <w:szCs w:val="22"/>
          <w:lang w:eastAsia="en-US"/>
        </w:rPr>
        <w:t xml:space="preserve">20 </w:t>
      </w:r>
      <w:r w:rsidR="00F5192F">
        <w:rPr>
          <w:szCs w:val="22"/>
          <w:lang w:eastAsia="en-US"/>
        </w:rPr>
        <w:t xml:space="preserve">obalených </w:t>
      </w:r>
      <w:r w:rsidR="00EA0C25" w:rsidRPr="00AC5019">
        <w:rPr>
          <w:szCs w:val="22"/>
          <w:lang w:eastAsia="en-US"/>
        </w:rPr>
        <w:t>tabliet.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b/>
          <w:bCs/>
          <w:noProof/>
          <w:szCs w:val="22"/>
        </w:rPr>
      </w:pPr>
      <w:r w:rsidRPr="00AC5019">
        <w:rPr>
          <w:b/>
          <w:szCs w:val="22"/>
        </w:rPr>
        <w:t>6.6</w:t>
      </w:r>
      <w:r w:rsidRPr="00AC5019">
        <w:rPr>
          <w:b/>
          <w:szCs w:val="22"/>
        </w:rPr>
        <w:tab/>
      </w:r>
      <w:r w:rsidRPr="00AC5019">
        <w:rPr>
          <w:b/>
          <w:bCs/>
          <w:noProof/>
          <w:szCs w:val="22"/>
        </w:rPr>
        <w:t>Špeciálne opatrenia na likvidáciu</w:t>
      </w:r>
      <w:r w:rsidRPr="00AC5019">
        <w:rPr>
          <w:b/>
          <w:szCs w:val="22"/>
        </w:rPr>
        <w:t xml:space="preserve"> </w:t>
      </w:r>
      <w:r w:rsidRPr="00AC5019">
        <w:rPr>
          <w:b/>
          <w:bCs/>
          <w:noProof/>
          <w:szCs w:val="22"/>
        </w:rPr>
        <w:t>a iné zaobchádzanie s liekom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szCs w:val="22"/>
        </w:rPr>
        <w:t xml:space="preserve">Žiadne zvláštne požiadavky </w:t>
      </w:r>
      <w:r w:rsidRPr="00AC5019">
        <w:rPr>
          <w:noProof/>
          <w:szCs w:val="22"/>
        </w:rPr>
        <w:t>na likvidáciu</w:t>
      </w:r>
      <w:r w:rsidRPr="00AC5019">
        <w:rPr>
          <w:szCs w:val="22"/>
        </w:rPr>
        <w:t>.</w:t>
      </w:r>
    </w:p>
    <w:p w:rsidR="00EA0C25" w:rsidRPr="00AC5019" w:rsidRDefault="00C860FE" w:rsidP="00DA6EAF">
      <w:pPr>
        <w:ind w:left="0" w:firstLine="0"/>
        <w:rPr>
          <w:szCs w:val="22"/>
        </w:rPr>
      </w:pPr>
      <w:r>
        <w:rPr>
          <w:szCs w:val="22"/>
        </w:rPr>
        <w:t>V</w:t>
      </w:r>
      <w:r w:rsidR="00EA0C25" w:rsidRPr="00AC5019">
        <w:rPr>
          <w:szCs w:val="22"/>
        </w:rPr>
        <w:t>šetok nepoužitý liek alebo odpad vzniknutý z lieku sa má zlikvidovať v súlade s národnými požiadavkami.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7.</w:t>
      </w:r>
      <w:r w:rsidRPr="00AC5019">
        <w:rPr>
          <w:b/>
          <w:szCs w:val="22"/>
        </w:rPr>
        <w:tab/>
        <w:t>DRŽITEĽ ROZHODNUTIA O REGISTRÁCII</w:t>
      </w:r>
    </w:p>
    <w:p w:rsidR="00EA0C25" w:rsidRPr="00AC5019" w:rsidRDefault="00EA0C25" w:rsidP="00DA6EAF">
      <w:pPr>
        <w:rPr>
          <w:szCs w:val="22"/>
        </w:rPr>
      </w:pPr>
    </w:p>
    <w:p w:rsidR="00EA0C25" w:rsidRPr="008900E6" w:rsidRDefault="00EA0C25" w:rsidP="00DA6EAF">
      <w:pPr>
        <w:ind w:left="0" w:firstLine="0"/>
        <w:rPr>
          <w:szCs w:val="22"/>
          <w:lang w:eastAsia="en-US"/>
        </w:rPr>
      </w:pPr>
      <w:r w:rsidRPr="008900E6">
        <w:rPr>
          <w:szCs w:val="22"/>
          <w:lang w:eastAsia="en-US"/>
        </w:rPr>
        <w:t xml:space="preserve">POLICHEM S.A. </w:t>
      </w:r>
    </w:p>
    <w:p w:rsidR="006824CD" w:rsidRPr="008900E6" w:rsidRDefault="00EA0C25" w:rsidP="00DA6EAF">
      <w:pPr>
        <w:ind w:left="0" w:firstLine="0"/>
        <w:rPr>
          <w:szCs w:val="22"/>
          <w:lang w:eastAsia="en-US"/>
        </w:rPr>
      </w:pPr>
      <w:r w:rsidRPr="008900E6">
        <w:rPr>
          <w:szCs w:val="22"/>
          <w:lang w:eastAsia="en-US"/>
        </w:rPr>
        <w:t>50 Val Fleuri</w:t>
      </w:r>
    </w:p>
    <w:p w:rsidR="00405269" w:rsidRPr="008900E6" w:rsidRDefault="00EA0C25" w:rsidP="00DA6EAF">
      <w:pPr>
        <w:ind w:left="0" w:firstLine="0"/>
        <w:rPr>
          <w:szCs w:val="22"/>
          <w:lang w:eastAsia="en-US"/>
        </w:rPr>
      </w:pPr>
      <w:r w:rsidRPr="008900E6">
        <w:rPr>
          <w:szCs w:val="22"/>
          <w:lang w:eastAsia="en-US"/>
        </w:rPr>
        <w:t>L-1526</w:t>
      </w:r>
      <w:r w:rsidR="006824CD" w:rsidRPr="008900E6">
        <w:rPr>
          <w:szCs w:val="22"/>
          <w:lang w:eastAsia="en-US"/>
        </w:rPr>
        <w:t xml:space="preserve"> </w:t>
      </w:r>
      <w:r w:rsidRPr="008900E6">
        <w:rPr>
          <w:szCs w:val="22"/>
          <w:lang w:eastAsia="en-US"/>
        </w:rPr>
        <w:t>Luxemburg</w:t>
      </w: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8900E6">
        <w:rPr>
          <w:szCs w:val="22"/>
          <w:lang w:eastAsia="en-US"/>
        </w:rPr>
        <w:t>Luxembursko</w:t>
      </w: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</w:p>
    <w:p w:rsidR="00EA0C25" w:rsidRPr="00AC5019" w:rsidRDefault="00EA0C25" w:rsidP="00DA6EAF">
      <w:pPr>
        <w:rPr>
          <w:szCs w:val="22"/>
        </w:rPr>
      </w:pPr>
      <w:r w:rsidRPr="00AC5019">
        <w:rPr>
          <w:b/>
          <w:szCs w:val="22"/>
        </w:rPr>
        <w:t>8.</w:t>
      </w:r>
      <w:r w:rsidRPr="00AC5019">
        <w:rPr>
          <w:b/>
          <w:szCs w:val="22"/>
        </w:rPr>
        <w:tab/>
        <w:t>REGISTRAČNÉČÍSLO</w:t>
      </w:r>
    </w:p>
    <w:p w:rsidR="00756CCA" w:rsidRDefault="00756CCA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ind w:left="0" w:firstLine="0"/>
        <w:rPr>
          <w:szCs w:val="22"/>
          <w:lang w:eastAsia="en-US"/>
        </w:rPr>
      </w:pPr>
      <w:r w:rsidRPr="00AC5019">
        <w:rPr>
          <w:szCs w:val="22"/>
          <w:lang w:eastAsia="en-US"/>
        </w:rPr>
        <w:t>54/0236/93-S</w:t>
      </w:r>
    </w:p>
    <w:p w:rsidR="00EA0C25" w:rsidRDefault="00EA0C25" w:rsidP="00DA6EAF">
      <w:pPr>
        <w:ind w:left="0" w:firstLine="0"/>
        <w:rPr>
          <w:szCs w:val="22"/>
          <w:lang w:eastAsia="en-US"/>
        </w:rPr>
      </w:pPr>
    </w:p>
    <w:p w:rsidR="00B548C4" w:rsidRPr="00AC5019" w:rsidRDefault="00B548C4" w:rsidP="00DA6EAF">
      <w:pPr>
        <w:ind w:left="0" w:firstLine="0"/>
        <w:rPr>
          <w:szCs w:val="22"/>
          <w:lang w:eastAsia="en-US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9.</w:t>
      </w:r>
      <w:r w:rsidRPr="00AC5019">
        <w:rPr>
          <w:b/>
          <w:szCs w:val="22"/>
        </w:rPr>
        <w:tab/>
        <w:t>DÁTUM PRVEJ REGISTRÁCIE/PREDĹŽENIA REGISTRÁCIE</w:t>
      </w:r>
    </w:p>
    <w:p w:rsidR="00EA0C25" w:rsidRPr="00AC5019" w:rsidRDefault="00EA0C25" w:rsidP="00DA6EAF">
      <w:pPr>
        <w:rPr>
          <w:szCs w:val="22"/>
        </w:rPr>
      </w:pPr>
    </w:p>
    <w:p w:rsidR="00EA0C25" w:rsidRPr="008900E6" w:rsidRDefault="00EA0C25" w:rsidP="00DA6EAF">
      <w:pPr>
        <w:rPr>
          <w:noProof/>
          <w:szCs w:val="22"/>
        </w:rPr>
      </w:pPr>
      <w:r w:rsidRPr="008900E6">
        <w:rPr>
          <w:noProof/>
          <w:szCs w:val="22"/>
        </w:rPr>
        <w:t>Dátum prvej registrácie: 12.</w:t>
      </w:r>
      <w:r w:rsidR="00AF3C7A" w:rsidRPr="008900E6">
        <w:rPr>
          <w:noProof/>
          <w:szCs w:val="22"/>
        </w:rPr>
        <w:t xml:space="preserve"> novembra </w:t>
      </w:r>
      <w:bookmarkStart w:id="0" w:name="_GoBack"/>
      <w:bookmarkEnd w:id="0"/>
      <w:r w:rsidRPr="008900E6">
        <w:rPr>
          <w:noProof/>
          <w:szCs w:val="22"/>
        </w:rPr>
        <w:t>1993</w:t>
      </w:r>
    </w:p>
    <w:p w:rsidR="00EA0C25" w:rsidRPr="00AC5019" w:rsidRDefault="00EA0C25" w:rsidP="00DA6EAF">
      <w:pPr>
        <w:rPr>
          <w:szCs w:val="22"/>
        </w:rPr>
      </w:pPr>
      <w:r w:rsidRPr="008900E6">
        <w:rPr>
          <w:noProof/>
          <w:szCs w:val="22"/>
        </w:rPr>
        <w:t xml:space="preserve">Dátum posledného predĺženia registrácie: </w:t>
      </w:r>
      <w:r w:rsidR="00371A0E">
        <w:rPr>
          <w:noProof/>
          <w:szCs w:val="22"/>
        </w:rPr>
        <w:t>08. júla 2008</w:t>
      </w:r>
    </w:p>
    <w:p w:rsidR="00756CCA" w:rsidRDefault="00756CCA" w:rsidP="00DA6EAF">
      <w:pPr>
        <w:rPr>
          <w:b/>
          <w:szCs w:val="22"/>
        </w:rPr>
      </w:pPr>
    </w:p>
    <w:p w:rsidR="00756CCA" w:rsidRDefault="00756CCA" w:rsidP="00DA6EAF">
      <w:pPr>
        <w:rPr>
          <w:b/>
          <w:szCs w:val="22"/>
        </w:rPr>
      </w:pPr>
    </w:p>
    <w:p w:rsidR="00EA0C25" w:rsidRPr="00AC5019" w:rsidRDefault="00EA0C25" w:rsidP="00DA6EAF">
      <w:pPr>
        <w:rPr>
          <w:b/>
          <w:szCs w:val="22"/>
        </w:rPr>
      </w:pPr>
      <w:r w:rsidRPr="00AC5019">
        <w:rPr>
          <w:b/>
          <w:szCs w:val="22"/>
        </w:rPr>
        <w:t>10.</w:t>
      </w:r>
      <w:r w:rsidRPr="00AC5019">
        <w:rPr>
          <w:b/>
          <w:szCs w:val="22"/>
        </w:rPr>
        <w:tab/>
        <w:t>DÁTUM REVÍZIE TEXTU</w:t>
      </w:r>
    </w:p>
    <w:p w:rsidR="00EA0C25" w:rsidRPr="00AC5019" w:rsidRDefault="00EA0C25" w:rsidP="00DA6EAF">
      <w:pPr>
        <w:rPr>
          <w:szCs w:val="22"/>
        </w:rPr>
      </w:pPr>
    </w:p>
    <w:p w:rsidR="00592E29" w:rsidRPr="00FF0903" w:rsidRDefault="00FF0903">
      <w:r>
        <w:t>09</w:t>
      </w:r>
      <w:r>
        <w:rPr>
          <w:lang w:val="en-US"/>
        </w:rPr>
        <w:t>/</w:t>
      </w:r>
      <w:r>
        <w:t>2015</w:t>
      </w:r>
    </w:p>
    <w:sectPr w:rsidR="00592E29" w:rsidRPr="00FF0903" w:rsidSect="00AD7A9A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99F" w:rsidRDefault="00DA199F" w:rsidP="00431760">
      <w:r>
        <w:separator/>
      </w:r>
    </w:p>
  </w:endnote>
  <w:endnote w:type="continuationSeparator" w:id="0">
    <w:p w:rsidR="00DA199F" w:rsidRDefault="00DA199F" w:rsidP="0043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-2076658493"/>
      <w:docPartObj>
        <w:docPartGallery w:val="Page Numbers (Bottom of Page)"/>
        <w:docPartUnique/>
      </w:docPartObj>
    </w:sdtPr>
    <w:sdtEndPr/>
    <w:sdtContent>
      <w:p w:rsidR="00DA6EAF" w:rsidRPr="00AD7A9A" w:rsidRDefault="00DA6EAF" w:rsidP="00AD7A9A">
        <w:pPr>
          <w:pStyle w:val="Zpat"/>
          <w:jc w:val="center"/>
          <w:rPr>
            <w:sz w:val="18"/>
            <w:szCs w:val="18"/>
          </w:rPr>
        </w:pPr>
        <w:r w:rsidRPr="00AD7A9A">
          <w:rPr>
            <w:sz w:val="18"/>
            <w:szCs w:val="18"/>
          </w:rPr>
          <w:fldChar w:fldCharType="begin"/>
        </w:r>
        <w:r w:rsidRPr="00AD7A9A">
          <w:rPr>
            <w:sz w:val="18"/>
            <w:szCs w:val="18"/>
          </w:rPr>
          <w:instrText>PAGE   \* MERGEFORMAT</w:instrText>
        </w:r>
        <w:r w:rsidRPr="00AD7A9A">
          <w:rPr>
            <w:sz w:val="18"/>
            <w:szCs w:val="18"/>
          </w:rPr>
          <w:fldChar w:fldCharType="separate"/>
        </w:r>
        <w:r w:rsidR="00AB58B0" w:rsidRPr="00AB58B0">
          <w:rPr>
            <w:noProof/>
            <w:sz w:val="18"/>
            <w:szCs w:val="18"/>
            <w:lang w:val="cs-CZ"/>
          </w:rPr>
          <w:t>4</w:t>
        </w:r>
        <w:r w:rsidRPr="00AD7A9A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23648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A6EAF" w:rsidRPr="00AD7A9A" w:rsidRDefault="00DA6EAF" w:rsidP="00AD7A9A">
        <w:pPr>
          <w:pStyle w:val="Zpat"/>
          <w:jc w:val="center"/>
          <w:rPr>
            <w:sz w:val="18"/>
            <w:szCs w:val="18"/>
          </w:rPr>
        </w:pPr>
        <w:r w:rsidRPr="00AD7A9A">
          <w:rPr>
            <w:sz w:val="18"/>
            <w:szCs w:val="18"/>
          </w:rPr>
          <w:fldChar w:fldCharType="begin"/>
        </w:r>
        <w:r w:rsidRPr="00AD7A9A">
          <w:rPr>
            <w:sz w:val="18"/>
            <w:szCs w:val="18"/>
          </w:rPr>
          <w:instrText>PAGE   \* MERGEFORMAT</w:instrText>
        </w:r>
        <w:r w:rsidRPr="00AD7A9A">
          <w:rPr>
            <w:sz w:val="18"/>
            <w:szCs w:val="18"/>
          </w:rPr>
          <w:fldChar w:fldCharType="separate"/>
        </w:r>
        <w:r w:rsidR="00AB58B0" w:rsidRPr="00AB58B0">
          <w:rPr>
            <w:noProof/>
            <w:sz w:val="18"/>
            <w:szCs w:val="18"/>
            <w:lang w:val="cs-CZ"/>
          </w:rPr>
          <w:t>1</w:t>
        </w:r>
        <w:r w:rsidRPr="00AD7A9A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99F" w:rsidRDefault="00DA199F" w:rsidP="00431760">
      <w:r>
        <w:separator/>
      </w:r>
    </w:p>
  </w:footnote>
  <w:footnote w:type="continuationSeparator" w:id="0">
    <w:p w:rsidR="00DA199F" w:rsidRDefault="00DA199F" w:rsidP="00431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EAF" w:rsidRDefault="00DA6EAF">
    <w:pPr>
      <w:pStyle w:val="Zhlav"/>
    </w:pPr>
    <w:r w:rsidRPr="00D773B6">
      <w:rPr>
        <w:sz w:val="18"/>
        <w:szCs w:val="18"/>
      </w:rPr>
      <w:t>Príloha č. 1 k notifikácii o zmene, ev.</w:t>
    </w:r>
    <w:r w:rsidR="00AA3E9B">
      <w:rPr>
        <w:sz w:val="18"/>
        <w:szCs w:val="18"/>
      </w:rPr>
      <w:t xml:space="preserve"> </w:t>
    </w:r>
    <w:r w:rsidRPr="00D773B6">
      <w:rPr>
        <w:sz w:val="18"/>
        <w:szCs w:val="18"/>
      </w:rPr>
      <w:t>č.:</w:t>
    </w:r>
    <w:r w:rsidR="00AA3E9B">
      <w:rPr>
        <w:sz w:val="18"/>
        <w:szCs w:val="18"/>
      </w:rPr>
      <w:t xml:space="preserve"> </w:t>
    </w:r>
    <w:r w:rsidRPr="00D773B6">
      <w:rPr>
        <w:sz w:val="18"/>
        <w:szCs w:val="18"/>
      </w:rPr>
      <w:t>2015/01092-Z1B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279"/>
    <w:multiLevelType w:val="hybridMultilevel"/>
    <w:tmpl w:val="EEF6EF02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E7128"/>
    <w:multiLevelType w:val="hybridMultilevel"/>
    <w:tmpl w:val="B7444DD4"/>
    <w:lvl w:ilvl="0" w:tplc="D50CA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25"/>
    <w:rsid w:val="00021970"/>
    <w:rsid w:val="00036D38"/>
    <w:rsid w:val="00056B3D"/>
    <w:rsid w:val="00065FDD"/>
    <w:rsid w:val="0006744A"/>
    <w:rsid w:val="00070578"/>
    <w:rsid w:val="00072740"/>
    <w:rsid w:val="000762ED"/>
    <w:rsid w:val="0008608B"/>
    <w:rsid w:val="000913EC"/>
    <w:rsid w:val="000A599B"/>
    <w:rsid w:val="000A76B6"/>
    <w:rsid w:val="000B17EA"/>
    <w:rsid w:val="000B327D"/>
    <w:rsid w:val="000C0CBC"/>
    <w:rsid w:val="000C6B0C"/>
    <w:rsid w:val="000D2074"/>
    <w:rsid w:val="000F1192"/>
    <w:rsid w:val="0010784D"/>
    <w:rsid w:val="001273C6"/>
    <w:rsid w:val="00142B90"/>
    <w:rsid w:val="00166AFB"/>
    <w:rsid w:val="00167641"/>
    <w:rsid w:val="00177EEB"/>
    <w:rsid w:val="00181D00"/>
    <w:rsid w:val="00185A4F"/>
    <w:rsid w:val="00191CE6"/>
    <w:rsid w:val="001A5130"/>
    <w:rsid w:val="001A6CF3"/>
    <w:rsid w:val="001B0CB5"/>
    <w:rsid w:val="001B7147"/>
    <w:rsid w:val="001C499C"/>
    <w:rsid w:val="001D3BC5"/>
    <w:rsid w:val="001E4763"/>
    <w:rsid w:val="001E5DA9"/>
    <w:rsid w:val="002025AF"/>
    <w:rsid w:val="00210EE6"/>
    <w:rsid w:val="00235E93"/>
    <w:rsid w:val="00240270"/>
    <w:rsid w:val="00273F54"/>
    <w:rsid w:val="00282ACA"/>
    <w:rsid w:val="002926C6"/>
    <w:rsid w:val="002965EC"/>
    <w:rsid w:val="002A3CA1"/>
    <w:rsid w:val="002A74E6"/>
    <w:rsid w:val="002B613D"/>
    <w:rsid w:val="002D17C0"/>
    <w:rsid w:val="002D2F7B"/>
    <w:rsid w:val="002D416E"/>
    <w:rsid w:val="002D4562"/>
    <w:rsid w:val="0030657A"/>
    <w:rsid w:val="003117EC"/>
    <w:rsid w:val="003334BF"/>
    <w:rsid w:val="00345CB5"/>
    <w:rsid w:val="00347479"/>
    <w:rsid w:val="0035482C"/>
    <w:rsid w:val="003633AF"/>
    <w:rsid w:val="00371A0E"/>
    <w:rsid w:val="0038415E"/>
    <w:rsid w:val="003939AC"/>
    <w:rsid w:val="003976FD"/>
    <w:rsid w:val="003A06AB"/>
    <w:rsid w:val="003B5A33"/>
    <w:rsid w:val="003B78BD"/>
    <w:rsid w:val="003E7EFD"/>
    <w:rsid w:val="00405269"/>
    <w:rsid w:val="00431760"/>
    <w:rsid w:val="00482C7B"/>
    <w:rsid w:val="004965B1"/>
    <w:rsid w:val="004B3C67"/>
    <w:rsid w:val="004D744C"/>
    <w:rsid w:val="00511324"/>
    <w:rsid w:val="00515D41"/>
    <w:rsid w:val="00526402"/>
    <w:rsid w:val="00530C23"/>
    <w:rsid w:val="00541361"/>
    <w:rsid w:val="0059017F"/>
    <w:rsid w:val="00592E29"/>
    <w:rsid w:val="005952AF"/>
    <w:rsid w:val="005E0ADF"/>
    <w:rsid w:val="005E6650"/>
    <w:rsid w:val="00607C4A"/>
    <w:rsid w:val="00653A62"/>
    <w:rsid w:val="00662DD1"/>
    <w:rsid w:val="006824CD"/>
    <w:rsid w:val="006840BA"/>
    <w:rsid w:val="006865D9"/>
    <w:rsid w:val="0068796B"/>
    <w:rsid w:val="006B6377"/>
    <w:rsid w:val="006B7E3B"/>
    <w:rsid w:val="006C7BA7"/>
    <w:rsid w:val="006D5B45"/>
    <w:rsid w:val="006E1C31"/>
    <w:rsid w:val="006E36F0"/>
    <w:rsid w:val="00715D8B"/>
    <w:rsid w:val="00741ADF"/>
    <w:rsid w:val="00756CCA"/>
    <w:rsid w:val="00771388"/>
    <w:rsid w:val="00777CB0"/>
    <w:rsid w:val="007861A1"/>
    <w:rsid w:val="007A0633"/>
    <w:rsid w:val="007B07B5"/>
    <w:rsid w:val="007F06CB"/>
    <w:rsid w:val="007F1290"/>
    <w:rsid w:val="00803C2C"/>
    <w:rsid w:val="008129A6"/>
    <w:rsid w:val="008143AD"/>
    <w:rsid w:val="008378A9"/>
    <w:rsid w:val="0085015E"/>
    <w:rsid w:val="008540DC"/>
    <w:rsid w:val="00884D24"/>
    <w:rsid w:val="00886D0E"/>
    <w:rsid w:val="0088725D"/>
    <w:rsid w:val="008900E6"/>
    <w:rsid w:val="008C11E2"/>
    <w:rsid w:val="008C3AB9"/>
    <w:rsid w:val="008C3E91"/>
    <w:rsid w:val="008F4592"/>
    <w:rsid w:val="009013A1"/>
    <w:rsid w:val="0090604C"/>
    <w:rsid w:val="009230FC"/>
    <w:rsid w:val="0095398B"/>
    <w:rsid w:val="009558B5"/>
    <w:rsid w:val="00955C0E"/>
    <w:rsid w:val="00984425"/>
    <w:rsid w:val="0099180C"/>
    <w:rsid w:val="00997FA8"/>
    <w:rsid w:val="009B4C04"/>
    <w:rsid w:val="009C00C8"/>
    <w:rsid w:val="009C1730"/>
    <w:rsid w:val="009C28FA"/>
    <w:rsid w:val="009D04A0"/>
    <w:rsid w:val="00A0036B"/>
    <w:rsid w:val="00A0140E"/>
    <w:rsid w:val="00A13A75"/>
    <w:rsid w:val="00A231C2"/>
    <w:rsid w:val="00A3068D"/>
    <w:rsid w:val="00A55AF8"/>
    <w:rsid w:val="00A6074A"/>
    <w:rsid w:val="00AA1F70"/>
    <w:rsid w:val="00AA3E9B"/>
    <w:rsid w:val="00AA44F6"/>
    <w:rsid w:val="00AB2D25"/>
    <w:rsid w:val="00AB58B0"/>
    <w:rsid w:val="00AC5019"/>
    <w:rsid w:val="00AD7A9A"/>
    <w:rsid w:val="00AE24D8"/>
    <w:rsid w:val="00AF3C7A"/>
    <w:rsid w:val="00B26447"/>
    <w:rsid w:val="00B2688C"/>
    <w:rsid w:val="00B26F16"/>
    <w:rsid w:val="00B41F53"/>
    <w:rsid w:val="00B548C4"/>
    <w:rsid w:val="00B54B1D"/>
    <w:rsid w:val="00B54BF4"/>
    <w:rsid w:val="00B71EB2"/>
    <w:rsid w:val="00B776F7"/>
    <w:rsid w:val="00B8417C"/>
    <w:rsid w:val="00B913B1"/>
    <w:rsid w:val="00BC19E1"/>
    <w:rsid w:val="00BC37B8"/>
    <w:rsid w:val="00BE07A3"/>
    <w:rsid w:val="00BE0DA4"/>
    <w:rsid w:val="00BE6223"/>
    <w:rsid w:val="00BF23F6"/>
    <w:rsid w:val="00BF7087"/>
    <w:rsid w:val="00C0065B"/>
    <w:rsid w:val="00C23E53"/>
    <w:rsid w:val="00C34CDD"/>
    <w:rsid w:val="00C74D8C"/>
    <w:rsid w:val="00C860FE"/>
    <w:rsid w:val="00CB3602"/>
    <w:rsid w:val="00CB6CA5"/>
    <w:rsid w:val="00CC7F3C"/>
    <w:rsid w:val="00CD1F56"/>
    <w:rsid w:val="00D0725A"/>
    <w:rsid w:val="00D21226"/>
    <w:rsid w:val="00D36ECD"/>
    <w:rsid w:val="00D4537D"/>
    <w:rsid w:val="00D54EF1"/>
    <w:rsid w:val="00D67976"/>
    <w:rsid w:val="00DA199F"/>
    <w:rsid w:val="00DA35FB"/>
    <w:rsid w:val="00DA6EAF"/>
    <w:rsid w:val="00DA7752"/>
    <w:rsid w:val="00DB198C"/>
    <w:rsid w:val="00DD0216"/>
    <w:rsid w:val="00DD6158"/>
    <w:rsid w:val="00DE44C9"/>
    <w:rsid w:val="00DF1E2E"/>
    <w:rsid w:val="00E35531"/>
    <w:rsid w:val="00E43C32"/>
    <w:rsid w:val="00E51877"/>
    <w:rsid w:val="00E53900"/>
    <w:rsid w:val="00E66DC3"/>
    <w:rsid w:val="00E82C27"/>
    <w:rsid w:val="00E90925"/>
    <w:rsid w:val="00EA0C25"/>
    <w:rsid w:val="00EA5D2E"/>
    <w:rsid w:val="00EB153C"/>
    <w:rsid w:val="00ED33A6"/>
    <w:rsid w:val="00ED38D1"/>
    <w:rsid w:val="00EF0B28"/>
    <w:rsid w:val="00EF1540"/>
    <w:rsid w:val="00EF3EF8"/>
    <w:rsid w:val="00EF4ACA"/>
    <w:rsid w:val="00F01695"/>
    <w:rsid w:val="00F0348B"/>
    <w:rsid w:val="00F1556A"/>
    <w:rsid w:val="00F17CA7"/>
    <w:rsid w:val="00F458F5"/>
    <w:rsid w:val="00F46A4B"/>
    <w:rsid w:val="00F5192F"/>
    <w:rsid w:val="00F607CD"/>
    <w:rsid w:val="00F63F06"/>
    <w:rsid w:val="00F903E1"/>
    <w:rsid w:val="00FB21E9"/>
    <w:rsid w:val="00FC2660"/>
    <w:rsid w:val="00FE6DFE"/>
    <w:rsid w:val="00FF066D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C25"/>
    <w:pPr>
      <w:ind w:left="567" w:hanging="567"/>
    </w:pPr>
    <w:rPr>
      <w:rFonts w:eastAsia="Times New Roman"/>
      <w:sz w:val="22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10784D"/>
    <w:pPr>
      <w:keepNext/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10784D"/>
    <w:pPr>
      <w:keepNext/>
      <w:ind w:left="0" w:firstLine="0"/>
      <w:outlineLvl w:val="5"/>
    </w:pPr>
    <w:rPr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84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rsid w:val="0010784D"/>
    <w:rPr>
      <w:rFonts w:eastAsia="Times New Roman"/>
      <w:b/>
      <w:sz w:val="24"/>
    </w:rPr>
  </w:style>
  <w:style w:type="paragraph" w:styleId="Nzev">
    <w:name w:val="Title"/>
    <w:basedOn w:val="Normln"/>
    <w:link w:val="NzevChar"/>
    <w:qFormat/>
    <w:rsid w:val="0010784D"/>
    <w:pPr>
      <w:tabs>
        <w:tab w:val="left" w:pos="8505"/>
      </w:tabs>
      <w:ind w:left="0" w:right="566" w:firstLine="0"/>
      <w:jc w:val="center"/>
    </w:pPr>
    <w:rPr>
      <w:b/>
      <w:bCs/>
      <w:sz w:val="24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10784D"/>
    <w:rPr>
      <w:rFonts w:eastAsia="Times New Roman"/>
      <w:b/>
      <w:bCs/>
      <w:sz w:val="24"/>
    </w:rPr>
  </w:style>
  <w:style w:type="character" w:styleId="Hypertextovodkaz">
    <w:name w:val="Hyperlink"/>
    <w:rsid w:val="00EA0C25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0C25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EA0C25"/>
    <w:rPr>
      <w:rFonts w:eastAsia="Times New Roman"/>
      <w:sz w:val="22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C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C25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431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760"/>
    <w:rPr>
      <w:rFonts w:eastAsia="Times New Roman"/>
      <w:sz w:val="22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431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760"/>
    <w:rPr>
      <w:rFonts w:eastAsia="Times New Roman"/>
      <w:sz w:val="22"/>
      <w:szCs w:val="24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AC50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0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019"/>
    <w:rPr>
      <w:rFonts w:eastAsia="Times New Roman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0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019"/>
    <w:rPr>
      <w:rFonts w:eastAsia="Times New Roman"/>
      <w:b/>
      <w:bCs/>
      <w:lang w:eastAsia="sk-SK"/>
    </w:rPr>
  </w:style>
  <w:style w:type="paragraph" w:styleId="Revize">
    <w:name w:val="Revision"/>
    <w:hidden/>
    <w:uiPriority w:val="99"/>
    <w:semiHidden/>
    <w:rsid w:val="00AC5019"/>
    <w:rPr>
      <w:rFonts w:eastAsia="Times New Roman"/>
      <w:sz w:val="22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7A0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C25"/>
    <w:pPr>
      <w:ind w:left="567" w:hanging="567"/>
    </w:pPr>
    <w:rPr>
      <w:rFonts w:eastAsia="Times New Roman"/>
      <w:sz w:val="22"/>
      <w:szCs w:val="24"/>
      <w:lang w:eastAsia="sk-SK"/>
    </w:rPr>
  </w:style>
  <w:style w:type="paragraph" w:styleId="Nadpis1">
    <w:name w:val="heading 1"/>
    <w:basedOn w:val="Normln"/>
    <w:next w:val="Normln"/>
    <w:link w:val="Nadpis1Char"/>
    <w:qFormat/>
    <w:rsid w:val="0010784D"/>
    <w:pPr>
      <w:keepNext/>
      <w:spacing w:before="240" w:after="60"/>
      <w:ind w:left="0" w:firstLine="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Nadpis6">
    <w:name w:val="heading 6"/>
    <w:basedOn w:val="Normln"/>
    <w:next w:val="Normln"/>
    <w:link w:val="Nadpis6Char"/>
    <w:qFormat/>
    <w:rsid w:val="0010784D"/>
    <w:pPr>
      <w:keepNext/>
      <w:ind w:left="0" w:firstLine="0"/>
      <w:outlineLvl w:val="5"/>
    </w:pPr>
    <w:rPr>
      <w:b/>
      <w:sz w:val="24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0784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6Char">
    <w:name w:val="Nadpis 6 Char"/>
    <w:basedOn w:val="Standardnpsmoodstavce"/>
    <w:link w:val="Nadpis6"/>
    <w:rsid w:val="0010784D"/>
    <w:rPr>
      <w:rFonts w:eastAsia="Times New Roman"/>
      <w:b/>
      <w:sz w:val="24"/>
    </w:rPr>
  </w:style>
  <w:style w:type="paragraph" w:styleId="Nzev">
    <w:name w:val="Title"/>
    <w:basedOn w:val="Normln"/>
    <w:link w:val="NzevChar"/>
    <w:qFormat/>
    <w:rsid w:val="0010784D"/>
    <w:pPr>
      <w:tabs>
        <w:tab w:val="left" w:pos="8505"/>
      </w:tabs>
      <w:ind w:left="0" w:right="566" w:firstLine="0"/>
      <w:jc w:val="center"/>
    </w:pPr>
    <w:rPr>
      <w:b/>
      <w:bCs/>
      <w:sz w:val="24"/>
      <w:szCs w:val="20"/>
      <w:lang w:eastAsia="en-US"/>
    </w:rPr>
  </w:style>
  <w:style w:type="character" w:customStyle="1" w:styleId="NzevChar">
    <w:name w:val="Název Char"/>
    <w:basedOn w:val="Standardnpsmoodstavce"/>
    <w:link w:val="Nzev"/>
    <w:rsid w:val="0010784D"/>
    <w:rPr>
      <w:rFonts w:eastAsia="Times New Roman"/>
      <w:b/>
      <w:bCs/>
      <w:sz w:val="24"/>
    </w:rPr>
  </w:style>
  <w:style w:type="character" w:styleId="Hypertextovodkaz">
    <w:name w:val="Hyperlink"/>
    <w:rsid w:val="00EA0C25"/>
    <w:rPr>
      <w:color w:val="0000FF"/>
      <w:u w:val="single"/>
    </w:rPr>
  </w:style>
  <w:style w:type="paragraph" w:styleId="Zkladntext">
    <w:name w:val="Body Text"/>
    <w:basedOn w:val="Normln"/>
    <w:link w:val="ZkladntextChar"/>
    <w:rsid w:val="00EA0C25"/>
    <w:pPr>
      <w:ind w:left="0" w:firstLine="0"/>
    </w:pPr>
  </w:style>
  <w:style w:type="character" w:customStyle="1" w:styleId="ZkladntextChar">
    <w:name w:val="Základní text Char"/>
    <w:basedOn w:val="Standardnpsmoodstavce"/>
    <w:link w:val="Zkladntext"/>
    <w:rsid w:val="00EA0C25"/>
    <w:rPr>
      <w:rFonts w:eastAsia="Times New Roman"/>
      <w:sz w:val="22"/>
      <w:szCs w:val="24"/>
      <w:lang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C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C25"/>
    <w:rPr>
      <w:rFonts w:ascii="Tahoma" w:eastAsia="Times New Roman" w:hAnsi="Tahoma" w:cs="Tahoma"/>
      <w:sz w:val="16"/>
      <w:szCs w:val="16"/>
      <w:lang w:eastAsia="sk-SK"/>
    </w:rPr>
  </w:style>
  <w:style w:type="paragraph" w:styleId="Zhlav">
    <w:name w:val="header"/>
    <w:basedOn w:val="Normln"/>
    <w:link w:val="ZhlavChar"/>
    <w:uiPriority w:val="99"/>
    <w:unhideWhenUsed/>
    <w:rsid w:val="004317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31760"/>
    <w:rPr>
      <w:rFonts w:eastAsia="Times New Roman"/>
      <w:sz w:val="22"/>
      <w:szCs w:val="24"/>
      <w:lang w:eastAsia="sk-SK"/>
    </w:rPr>
  </w:style>
  <w:style w:type="paragraph" w:styleId="Zpat">
    <w:name w:val="footer"/>
    <w:basedOn w:val="Normln"/>
    <w:link w:val="ZpatChar"/>
    <w:uiPriority w:val="99"/>
    <w:unhideWhenUsed/>
    <w:rsid w:val="0043176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31760"/>
    <w:rPr>
      <w:rFonts w:eastAsia="Times New Roman"/>
      <w:sz w:val="22"/>
      <w:szCs w:val="24"/>
      <w:lang w:eastAsia="sk-SK"/>
    </w:rPr>
  </w:style>
  <w:style w:type="character" w:styleId="Odkaznakoment">
    <w:name w:val="annotation reference"/>
    <w:basedOn w:val="Standardnpsmoodstavce"/>
    <w:uiPriority w:val="99"/>
    <w:semiHidden/>
    <w:unhideWhenUsed/>
    <w:rsid w:val="00AC50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0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019"/>
    <w:rPr>
      <w:rFonts w:eastAsia="Times New Roman"/>
      <w:lang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0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C5019"/>
    <w:rPr>
      <w:rFonts w:eastAsia="Times New Roman"/>
      <w:b/>
      <w:bCs/>
      <w:lang w:eastAsia="sk-SK"/>
    </w:rPr>
  </w:style>
  <w:style w:type="paragraph" w:styleId="Revize">
    <w:name w:val="Revision"/>
    <w:hidden/>
    <w:uiPriority w:val="99"/>
    <w:semiHidden/>
    <w:rsid w:val="00AC5019"/>
    <w:rPr>
      <w:rFonts w:eastAsia="Times New Roman"/>
      <w:sz w:val="22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7A0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BDA9-ADFE-4EDF-AEEE-88CA4030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818</Words>
  <Characters>4664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Sevcekova</dc:creator>
  <cp:lastModifiedBy>Lucia Sevcekova</cp:lastModifiedBy>
  <cp:revision>5</cp:revision>
  <cp:lastPrinted>2015-09-23T07:09:00Z</cp:lastPrinted>
  <dcterms:created xsi:type="dcterms:W3CDTF">2015-09-24T08:23:00Z</dcterms:created>
  <dcterms:modified xsi:type="dcterms:W3CDTF">2015-09-24T08:26:00Z</dcterms:modified>
</cp:coreProperties>
</file>