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2EB" w:rsidRPr="004B6827" w:rsidRDefault="000322EB" w:rsidP="000322EB">
      <w:pPr>
        <w:tabs>
          <w:tab w:val="clear" w:pos="567"/>
        </w:tabs>
        <w:spacing w:line="240" w:lineRule="auto"/>
        <w:jc w:val="center"/>
        <w:rPr>
          <w:b/>
          <w:szCs w:val="22"/>
          <w:lang w:val="sk-SK"/>
        </w:rPr>
      </w:pPr>
      <w:bookmarkStart w:id="0" w:name="_GoBack"/>
      <w:bookmarkEnd w:id="0"/>
      <w:r w:rsidRPr="004B6827">
        <w:rPr>
          <w:b/>
          <w:caps/>
          <w:noProof/>
          <w:szCs w:val="22"/>
          <w:lang w:val="sk-SK"/>
        </w:rPr>
        <w:t>Súhrn charakteristických vlastností lieku</w:t>
      </w:r>
    </w:p>
    <w:p w:rsidR="000322EB" w:rsidRPr="004B6827" w:rsidRDefault="000322EB" w:rsidP="000322EB">
      <w:pPr>
        <w:jc w:val="both"/>
        <w:rPr>
          <w:b/>
          <w:szCs w:val="22"/>
          <w:lang w:val="sk-SK"/>
        </w:rPr>
      </w:pPr>
    </w:p>
    <w:p w:rsidR="000322EB" w:rsidRPr="004B6827" w:rsidRDefault="000322EB" w:rsidP="000322EB">
      <w:pPr>
        <w:jc w:val="both"/>
        <w:rPr>
          <w:b/>
          <w:szCs w:val="22"/>
          <w:lang w:val="sk-SK"/>
        </w:rPr>
      </w:pPr>
    </w:p>
    <w:p w:rsidR="000322EB" w:rsidRPr="004B6827" w:rsidRDefault="000322EB" w:rsidP="000322EB">
      <w:pPr>
        <w:jc w:val="both"/>
        <w:rPr>
          <w:szCs w:val="22"/>
          <w:lang w:val="sk-SK"/>
        </w:rPr>
      </w:pPr>
      <w:r w:rsidRPr="004B6827">
        <w:rPr>
          <w:b/>
          <w:szCs w:val="22"/>
          <w:lang w:val="sk-SK"/>
        </w:rPr>
        <w:t>1.</w:t>
      </w:r>
      <w:r w:rsidRPr="004B6827">
        <w:rPr>
          <w:b/>
          <w:szCs w:val="22"/>
          <w:lang w:val="sk-SK"/>
        </w:rPr>
        <w:tab/>
        <w:t>NÁZOV LIEKU</w:t>
      </w:r>
    </w:p>
    <w:p w:rsidR="000322EB" w:rsidRPr="004B6827" w:rsidRDefault="000322EB" w:rsidP="000322EB">
      <w:pPr>
        <w:tabs>
          <w:tab w:val="clear" w:pos="567"/>
        </w:tabs>
        <w:spacing w:line="240" w:lineRule="auto"/>
        <w:ind w:left="567" w:hanging="567"/>
        <w:rPr>
          <w:szCs w:val="22"/>
          <w:lang w:val="sk-SK"/>
        </w:rPr>
      </w:pPr>
    </w:p>
    <w:p w:rsidR="000322EB" w:rsidRPr="004B6827" w:rsidRDefault="00212A25" w:rsidP="000322EB">
      <w:pPr>
        <w:rPr>
          <w:szCs w:val="22"/>
          <w:lang w:val="sk-SK"/>
        </w:rPr>
      </w:pPr>
      <w:r w:rsidRPr="004B6827">
        <w:rPr>
          <w:szCs w:val="22"/>
          <w:lang w:val="sk-SK"/>
        </w:rPr>
        <w:t>Lipertance</w:t>
      </w:r>
      <w:r w:rsidR="000322EB" w:rsidRPr="004B6827">
        <w:rPr>
          <w:szCs w:val="22"/>
          <w:lang w:val="sk-SK"/>
        </w:rPr>
        <w:t xml:space="preserve"> </w:t>
      </w:r>
      <w:r w:rsidR="000E2570" w:rsidRPr="004B6827">
        <w:rPr>
          <w:szCs w:val="22"/>
          <w:lang w:val="sk-SK"/>
        </w:rPr>
        <w:t>10</w:t>
      </w:r>
      <w:r w:rsidR="000322EB" w:rsidRPr="004B6827">
        <w:rPr>
          <w:szCs w:val="22"/>
          <w:lang w:val="sk-SK"/>
        </w:rPr>
        <w:t xml:space="preserve"> </w:t>
      </w:r>
      <w:r w:rsidR="000E2570" w:rsidRPr="004B6827">
        <w:rPr>
          <w:szCs w:val="22"/>
          <w:lang w:val="sk-SK"/>
        </w:rPr>
        <w:t xml:space="preserve">mg/5 </w:t>
      </w:r>
      <w:r w:rsidR="000322EB" w:rsidRPr="004B6827">
        <w:rPr>
          <w:szCs w:val="22"/>
          <w:lang w:val="sk-SK"/>
        </w:rPr>
        <w:t>mg</w:t>
      </w:r>
      <w:r w:rsidR="000E2570" w:rsidRPr="004B6827">
        <w:rPr>
          <w:szCs w:val="22"/>
          <w:lang w:val="sk-SK"/>
        </w:rPr>
        <w:t>/5 mg</w:t>
      </w:r>
    </w:p>
    <w:p w:rsidR="000E2570" w:rsidRPr="004B6827" w:rsidRDefault="00212A25" w:rsidP="000E2570">
      <w:pPr>
        <w:rPr>
          <w:szCs w:val="22"/>
          <w:lang w:val="sk-SK"/>
        </w:rPr>
      </w:pPr>
      <w:r w:rsidRPr="004B6827">
        <w:rPr>
          <w:szCs w:val="22"/>
          <w:lang w:val="sk-SK"/>
        </w:rPr>
        <w:t>Lipertance</w:t>
      </w:r>
      <w:r w:rsidR="000E2570" w:rsidRPr="004B6827">
        <w:rPr>
          <w:szCs w:val="22"/>
          <w:lang w:val="sk-SK"/>
        </w:rPr>
        <w:t xml:space="preserve"> 20 mg/5 mg/5 mg</w:t>
      </w:r>
    </w:p>
    <w:p w:rsidR="000E2570" w:rsidRPr="004B6827" w:rsidRDefault="00212A25" w:rsidP="000E2570">
      <w:pPr>
        <w:rPr>
          <w:szCs w:val="22"/>
          <w:lang w:val="sk-SK"/>
        </w:rPr>
      </w:pPr>
      <w:r w:rsidRPr="004B6827">
        <w:rPr>
          <w:szCs w:val="22"/>
          <w:lang w:val="sk-SK"/>
        </w:rPr>
        <w:t>Lipertance</w:t>
      </w:r>
      <w:r w:rsidR="000E2570" w:rsidRPr="004B6827">
        <w:rPr>
          <w:szCs w:val="22"/>
          <w:lang w:val="sk-SK"/>
        </w:rPr>
        <w:t xml:space="preserve"> 20 mg/10 mg/5 mg</w:t>
      </w:r>
    </w:p>
    <w:p w:rsidR="000E2570" w:rsidRPr="004B6827" w:rsidRDefault="00212A25" w:rsidP="000E2570">
      <w:pPr>
        <w:rPr>
          <w:szCs w:val="22"/>
          <w:lang w:val="sk-SK"/>
        </w:rPr>
      </w:pPr>
      <w:r w:rsidRPr="004B6827">
        <w:rPr>
          <w:szCs w:val="22"/>
          <w:lang w:val="sk-SK"/>
        </w:rPr>
        <w:t>Lipertance</w:t>
      </w:r>
      <w:r w:rsidR="000E2570" w:rsidRPr="004B6827">
        <w:rPr>
          <w:szCs w:val="22"/>
          <w:lang w:val="sk-SK"/>
        </w:rPr>
        <w:t xml:space="preserve"> 20 mg/10 mg/10 mg</w:t>
      </w:r>
    </w:p>
    <w:p w:rsidR="000E2570" w:rsidRPr="004B6827" w:rsidRDefault="00212A25" w:rsidP="000E2570">
      <w:pPr>
        <w:rPr>
          <w:szCs w:val="22"/>
          <w:lang w:val="sk-SK"/>
        </w:rPr>
      </w:pPr>
      <w:r w:rsidRPr="004B6827">
        <w:rPr>
          <w:szCs w:val="22"/>
          <w:lang w:val="sk-SK"/>
        </w:rPr>
        <w:t>Lipertance</w:t>
      </w:r>
      <w:r w:rsidR="000E2570" w:rsidRPr="004B6827">
        <w:rPr>
          <w:szCs w:val="22"/>
          <w:lang w:val="sk-SK"/>
        </w:rPr>
        <w:t xml:space="preserve"> 40 mg/10 mg/10 mg</w:t>
      </w:r>
    </w:p>
    <w:p w:rsidR="000322EB" w:rsidRPr="004B6827" w:rsidRDefault="000322EB" w:rsidP="000322EB">
      <w:pPr>
        <w:rPr>
          <w:szCs w:val="22"/>
          <w:lang w:val="sk-SK"/>
        </w:rPr>
      </w:pPr>
      <w:r w:rsidRPr="004B6827">
        <w:rPr>
          <w:szCs w:val="22"/>
          <w:lang w:val="sk-SK"/>
        </w:rPr>
        <w:t>filmom obalené tablety</w:t>
      </w:r>
    </w:p>
    <w:p w:rsidR="000322EB" w:rsidRPr="004B6827" w:rsidRDefault="000322EB" w:rsidP="000322EB">
      <w:pPr>
        <w:rPr>
          <w:szCs w:val="22"/>
          <w:lang w:val="sk-SK"/>
        </w:rPr>
      </w:pPr>
    </w:p>
    <w:p w:rsidR="000322EB" w:rsidRPr="004B6827" w:rsidRDefault="000322EB" w:rsidP="000322EB">
      <w:pPr>
        <w:rPr>
          <w:szCs w:val="22"/>
          <w:lang w:val="sk-SK"/>
        </w:rPr>
      </w:pPr>
    </w:p>
    <w:p w:rsidR="000322EB" w:rsidRPr="004B6827" w:rsidRDefault="000322EB" w:rsidP="000322EB">
      <w:pPr>
        <w:rPr>
          <w:szCs w:val="22"/>
          <w:lang w:val="sk-SK"/>
        </w:rPr>
      </w:pPr>
      <w:r w:rsidRPr="004B6827">
        <w:rPr>
          <w:b/>
          <w:szCs w:val="22"/>
          <w:lang w:val="sk-SK"/>
        </w:rPr>
        <w:t>2.</w:t>
      </w:r>
      <w:r w:rsidRPr="004B6827">
        <w:rPr>
          <w:b/>
          <w:szCs w:val="22"/>
          <w:lang w:val="sk-SK"/>
        </w:rPr>
        <w:tab/>
        <w:t>KVALITATÍVNE A KVANTITATÍVNE ZLOŽENIE</w:t>
      </w:r>
    </w:p>
    <w:p w:rsidR="000322EB" w:rsidRPr="004B6827" w:rsidRDefault="000322EB" w:rsidP="000322EB">
      <w:pPr>
        <w:tabs>
          <w:tab w:val="clear" w:pos="567"/>
        </w:tabs>
        <w:spacing w:line="240" w:lineRule="auto"/>
        <w:rPr>
          <w:i/>
          <w:szCs w:val="22"/>
          <w:lang w:val="sk-SK"/>
        </w:rPr>
      </w:pPr>
    </w:p>
    <w:p w:rsidR="000E2570" w:rsidRPr="004B6827" w:rsidRDefault="00212A25" w:rsidP="000E2570">
      <w:pPr>
        <w:rPr>
          <w:szCs w:val="22"/>
          <w:lang w:val="sk-SK"/>
        </w:rPr>
      </w:pPr>
      <w:r w:rsidRPr="004B6827">
        <w:rPr>
          <w:szCs w:val="22"/>
          <w:lang w:val="sk-SK"/>
        </w:rPr>
        <w:t>Lipertance</w:t>
      </w:r>
      <w:r w:rsidR="000E2570" w:rsidRPr="004B6827">
        <w:rPr>
          <w:szCs w:val="22"/>
          <w:lang w:val="sk-SK"/>
        </w:rPr>
        <w:t xml:space="preserve"> 10 mg/5 mg/5 mg</w:t>
      </w:r>
    </w:p>
    <w:p w:rsidR="000322EB" w:rsidRPr="004B6827" w:rsidRDefault="000E2570" w:rsidP="000322EB">
      <w:pPr>
        <w:rPr>
          <w:szCs w:val="22"/>
          <w:lang w:val="sk-SK"/>
        </w:rPr>
      </w:pPr>
      <w:r w:rsidRPr="004B6827">
        <w:rPr>
          <w:szCs w:val="22"/>
          <w:lang w:val="sk-SK"/>
        </w:rPr>
        <w:t>Jedna</w:t>
      </w:r>
      <w:r w:rsidR="000322EB" w:rsidRPr="004B6827">
        <w:rPr>
          <w:szCs w:val="22"/>
          <w:lang w:val="sk-SK"/>
        </w:rPr>
        <w:t xml:space="preserve"> filmom obalená tabl</w:t>
      </w:r>
      <w:r w:rsidRPr="004B6827">
        <w:rPr>
          <w:szCs w:val="22"/>
          <w:lang w:val="sk-SK"/>
        </w:rPr>
        <w:t>eta obsahuje 10,82</w:t>
      </w:r>
      <w:r w:rsidR="000322EB" w:rsidRPr="004B6827">
        <w:rPr>
          <w:szCs w:val="22"/>
          <w:lang w:val="sk-SK"/>
        </w:rPr>
        <w:t xml:space="preserve"> mg </w:t>
      </w:r>
      <w:r w:rsidR="001D3756" w:rsidRPr="004B6827">
        <w:rPr>
          <w:szCs w:val="22"/>
          <w:lang w:val="sk-SK"/>
        </w:rPr>
        <w:t xml:space="preserve">trihydrátu vápenatej soli </w:t>
      </w:r>
      <w:r w:rsidRPr="004B6827">
        <w:rPr>
          <w:szCs w:val="22"/>
          <w:lang w:val="sk-SK"/>
        </w:rPr>
        <w:t>atorvastatínu</w:t>
      </w:r>
      <w:r w:rsidR="005C503C" w:rsidRPr="004B6827">
        <w:rPr>
          <w:szCs w:val="22"/>
          <w:lang w:val="sk-SK"/>
        </w:rPr>
        <w:t>, množstvo zodpovedajúce 10 mg atorvastatínu, 5 mg perindoprilu arginínu, množstvo zodpovedajúce 3,40 mg perindoprilu a 6,9</w:t>
      </w:r>
      <w:r w:rsidR="003A0A8C" w:rsidRPr="004B6827">
        <w:rPr>
          <w:szCs w:val="22"/>
          <w:lang w:val="sk-SK"/>
        </w:rPr>
        <w:t>4</w:t>
      </w:r>
      <w:r w:rsidR="005C503C" w:rsidRPr="004B6827">
        <w:rPr>
          <w:szCs w:val="22"/>
          <w:lang w:val="sk-SK"/>
        </w:rPr>
        <w:t xml:space="preserve"> mg </w:t>
      </w:r>
      <w:r w:rsidR="005C503C" w:rsidRPr="004B6827">
        <w:rPr>
          <w:noProof/>
          <w:szCs w:val="22"/>
          <w:lang w:val="sk-SK" w:eastAsia="sk-SK"/>
        </w:rPr>
        <w:t>amlodipíniumbesilátu, množstvo zodpovedajúce 5 mg amlodipínu</w:t>
      </w:r>
      <w:r w:rsidR="000322EB" w:rsidRPr="004B6827">
        <w:rPr>
          <w:szCs w:val="22"/>
          <w:lang w:val="sk-SK"/>
        </w:rPr>
        <w:t>.</w:t>
      </w:r>
    </w:p>
    <w:p w:rsidR="000E2570" w:rsidRPr="004B6827" w:rsidRDefault="00212A25" w:rsidP="000E2570">
      <w:pPr>
        <w:rPr>
          <w:szCs w:val="22"/>
          <w:lang w:val="sk-SK"/>
        </w:rPr>
      </w:pPr>
      <w:r w:rsidRPr="004B6827">
        <w:rPr>
          <w:szCs w:val="22"/>
          <w:lang w:val="sk-SK"/>
        </w:rPr>
        <w:t>Lipertance</w:t>
      </w:r>
      <w:r w:rsidR="000E2570" w:rsidRPr="004B6827">
        <w:rPr>
          <w:szCs w:val="22"/>
          <w:lang w:val="sk-SK"/>
        </w:rPr>
        <w:t xml:space="preserve"> 20 mg/5 mg/5 mg</w:t>
      </w:r>
    </w:p>
    <w:p w:rsidR="005C503C" w:rsidRPr="004B6827" w:rsidRDefault="005C503C" w:rsidP="005C503C">
      <w:pPr>
        <w:rPr>
          <w:szCs w:val="22"/>
          <w:lang w:val="sk-SK"/>
        </w:rPr>
      </w:pPr>
      <w:r w:rsidRPr="004B6827">
        <w:rPr>
          <w:szCs w:val="22"/>
          <w:lang w:val="sk-SK"/>
        </w:rPr>
        <w:t xml:space="preserve">Jedna filmom obalená tableta obsahuje </w:t>
      </w:r>
      <w:r w:rsidR="006B586D" w:rsidRPr="004B6827">
        <w:rPr>
          <w:szCs w:val="22"/>
          <w:lang w:val="sk-SK"/>
        </w:rPr>
        <w:t>21,64</w:t>
      </w:r>
      <w:r w:rsidRPr="004B6827">
        <w:rPr>
          <w:szCs w:val="22"/>
          <w:lang w:val="sk-SK"/>
        </w:rPr>
        <w:t> mg trihydrátu vápenatej soli atorvastatínu, množstvo zo</w:t>
      </w:r>
      <w:r w:rsidR="006B586D" w:rsidRPr="004B6827">
        <w:rPr>
          <w:szCs w:val="22"/>
          <w:lang w:val="sk-SK"/>
        </w:rPr>
        <w:t>dpovedajúce 2</w:t>
      </w:r>
      <w:r w:rsidRPr="004B6827">
        <w:rPr>
          <w:szCs w:val="22"/>
          <w:lang w:val="sk-SK"/>
        </w:rPr>
        <w:t xml:space="preserve">0 mg atorvastatínu, </w:t>
      </w:r>
      <w:r w:rsidR="006B586D" w:rsidRPr="004B6827">
        <w:rPr>
          <w:szCs w:val="22"/>
          <w:lang w:val="sk-SK"/>
        </w:rPr>
        <w:t>5</w:t>
      </w:r>
      <w:r w:rsidRPr="004B6827">
        <w:rPr>
          <w:szCs w:val="22"/>
          <w:lang w:val="sk-SK"/>
        </w:rPr>
        <w:t xml:space="preserve"> mg perindoprilu arginínu, množstvo zodpovedajúce </w:t>
      </w:r>
      <w:r w:rsidR="006B586D" w:rsidRPr="004B6827">
        <w:rPr>
          <w:szCs w:val="22"/>
          <w:lang w:val="sk-SK"/>
        </w:rPr>
        <w:t>3,40</w:t>
      </w:r>
      <w:r w:rsidR="003A0A8C" w:rsidRPr="004B6827">
        <w:rPr>
          <w:szCs w:val="22"/>
          <w:lang w:val="sk-SK"/>
        </w:rPr>
        <w:t xml:space="preserve"> mg perindoprilu a 6,94</w:t>
      </w:r>
      <w:r w:rsidRPr="004B6827">
        <w:rPr>
          <w:szCs w:val="22"/>
          <w:lang w:val="sk-SK"/>
        </w:rPr>
        <w:t xml:space="preserve"> mg </w:t>
      </w:r>
      <w:r w:rsidRPr="004B6827">
        <w:rPr>
          <w:noProof/>
          <w:szCs w:val="22"/>
          <w:lang w:val="sk-SK" w:eastAsia="sk-SK"/>
        </w:rPr>
        <w:t>amlodipíniumbesilátu, množstvo zodpovedajúce 5 mg amlodipínu</w:t>
      </w:r>
      <w:r w:rsidRPr="004B6827">
        <w:rPr>
          <w:szCs w:val="22"/>
          <w:lang w:val="sk-SK"/>
        </w:rPr>
        <w:t>.</w:t>
      </w:r>
    </w:p>
    <w:p w:rsidR="000E2570" w:rsidRPr="004B6827" w:rsidRDefault="00212A25" w:rsidP="000E2570">
      <w:pPr>
        <w:rPr>
          <w:szCs w:val="22"/>
          <w:lang w:val="sk-SK"/>
        </w:rPr>
      </w:pPr>
      <w:r w:rsidRPr="004B6827">
        <w:rPr>
          <w:szCs w:val="22"/>
          <w:lang w:val="sk-SK"/>
        </w:rPr>
        <w:t>Lipertance</w:t>
      </w:r>
      <w:r w:rsidR="000E2570" w:rsidRPr="004B6827">
        <w:rPr>
          <w:szCs w:val="22"/>
          <w:lang w:val="sk-SK"/>
        </w:rPr>
        <w:t xml:space="preserve"> 20 mg/10 mg/5 mg</w:t>
      </w:r>
    </w:p>
    <w:p w:rsidR="005C503C" w:rsidRPr="004B6827" w:rsidRDefault="005C503C" w:rsidP="005C503C">
      <w:pPr>
        <w:rPr>
          <w:szCs w:val="22"/>
          <w:lang w:val="sk-SK"/>
        </w:rPr>
      </w:pPr>
      <w:r w:rsidRPr="004B6827">
        <w:rPr>
          <w:szCs w:val="22"/>
          <w:lang w:val="sk-SK"/>
        </w:rPr>
        <w:t xml:space="preserve">Jedna filmom obalená tableta obsahuje </w:t>
      </w:r>
      <w:r w:rsidR="006B586D" w:rsidRPr="004B6827">
        <w:rPr>
          <w:szCs w:val="22"/>
          <w:lang w:val="sk-SK"/>
        </w:rPr>
        <w:t>21,64</w:t>
      </w:r>
      <w:r w:rsidRPr="004B6827">
        <w:rPr>
          <w:szCs w:val="22"/>
          <w:lang w:val="sk-SK"/>
        </w:rPr>
        <w:t xml:space="preserve"> mg trihydrátu vápenatej soli atorvastatínu, množstvo zodpovedajúce </w:t>
      </w:r>
      <w:r w:rsidR="006B586D" w:rsidRPr="004B6827">
        <w:rPr>
          <w:szCs w:val="22"/>
          <w:lang w:val="sk-SK"/>
        </w:rPr>
        <w:t>2</w:t>
      </w:r>
      <w:r w:rsidRPr="004B6827">
        <w:rPr>
          <w:szCs w:val="22"/>
          <w:lang w:val="sk-SK"/>
        </w:rPr>
        <w:t xml:space="preserve">0 mg atorvastatínu, </w:t>
      </w:r>
      <w:r w:rsidR="006B586D" w:rsidRPr="004B6827">
        <w:rPr>
          <w:szCs w:val="22"/>
          <w:lang w:val="sk-SK"/>
        </w:rPr>
        <w:t>10</w:t>
      </w:r>
      <w:r w:rsidRPr="004B6827">
        <w:rPr>
          <w:szCs w:val="22"/>
          <w:lang w:val="sk-SK"/>
        </w:rPr>
        <w:t xml:space="preserve"> mg perindoprilu argin</w:t>
      </w:r>
      <w:r w:rsidR="006B586D" w:rsidRPr="004B6827">
        <w:rPr>
          <w:szCs w:val="22"/>
          <w:lang w:val="sk-SK"/>
        </w:rPr>
        <w:t>ínu, množstvo zodpovedajúce 6,79</w:t>
      </w:r>
      <w:r w:rsidR="003A0A8C" w:rsidRPr="004B6827">
        <w:rPr>
          <w:szCs w:val="22"/>
          <w:lang w:val="sk-SK"/>
        </w:rPr>
        <w:t xml:space="preserve"> mg perindoprilu a 6,94</w:t>
      </w:r>
      <w:r w:rsidRPr="004B6827">
        <w:rPr>
          <w:szCs w:val="22"/>
          <w:lang w:val="sk-SK"/>
        </w:rPr>
        <w:t xml:space="preserve"> mg </w:t>
      </w:r>
      <w:r w:rsidRPr="004B6827">
        <w:rPr>
          <w:noProof/>
          <w:szCs w:val="22"/>
          <w:lang w:val="sk-SK" w:eastAsia="sk-SK"/>
        </w:rPr>
        <w:t>amlodipíniumbesilátu, množstvo zodpovedajúce 5 mg amlodipínu</w:t>
      </w:r>
      <w:r w:rsidRPr="004B6827">
        <w:rPr>
          <w:szCs w:val="22"/>
          <w:lang w:val="sk-SK"/>
        </w:rPr>
        <w:t>.</w:t>
      </w:r>
    </w:p>
    <w:p w:rsidR="000E2570" w:rsidRPr="004B6827" w:rsidRDefault="00212A25" w:rsidP="000E2570">
      <w:pPr>
        <w:rPr>
          <w:szCs w:val="22"/>
          <w:lang w:val="sk-SK"/>
        </w:rPr>
      </w:pPr>
      <w:r w:rsidRPr="004B6827">
        <w:rPr>
          <w:szCs w:val="22"/>
          <w:lang w:val="sk-SK"/>
        </w:rPr>
        <w:t>Lipertance</w:t>
      </w:r>
      <w:r w:rsidR="000E2570" w:rsidRPr="004B6827">
        <w:rPr>
          <w:szCs w:val="22"/>
          <w:lang w:val="sk-SK"/>
        </w:rPr>
        <w:t xml:space="preserve"> 20 mg/10 mg/10 mg</w:t>
      </w:r>
    </w:p>
    <w:p w:rsidR="005C503C" w:rsidRPr="004B6827" w:rsidRDefault="005C503C" w:rsidP="005C503C">
      <w:pPr>
        <w:rPr>
          <w:szCs w:val="22"/>
          <w:lang w:val="sk-SK"/>
        </w:rPr>
      </w:pPr>
      <w:r w:rsidRPr="004B6827">
        <w:rPr>
          <w:szCs w:val="22"/>
          <w:lang w:val="sk-SK"/>
        </w:rPr>
        <w:t xml:space="preserve">Jedna filmom obalená tableta obsahuje </w:t>
      </w:r>
      <w:r w:rsidR="006B586D" w:rsidRPr="004B6827">
        <w:rPr>
          <w:szCs w:val="22"/>
          <w:lang w:val="sk-SK"/>
        </w:rPr>
        <w:t>21,64</w:t>
      </w:r>
      <w:r w:rsidRPr="004B6827">
        <w:rPr>
          <w:szCs w:val="22"/>
          <w:lang w:val="sk-SK"/>
        </w:rPr>
        <w:t xml:space="preserve"> mg trihydrátu vápenatej soli atorvastatínu, množstvo zodpovedajúce </w:t>
      </w:r>
      <w:r w:rsidR="006B586D" w:rsidRPr="004B6827">
        <w:rPr>
          <w:szCs w:val="22"/>
          <w:lang w:val="sk-SK"/>
        </w:rPr>
        <w:t>2</w:t>
      </w:r>
      <w:r w:rsidRPr="004B6827">
        <w:rPr>
          <w:szCs w:val="22"/>
          <w:lang w:val="sk-SK"/>
        </w:rPr>
        <w:t xml:space="preserve">0 mg atorvastatínu, </w:t>
      </w:r>
      <w:r w:rsidR="006B586D" w:rsidRPr="004B6827">
        <w:rPr>
          <w:szCs w:val="22"/>
          <w:lang w:val="sk-SK"/>
        </w:rPr>
        <w:t>10</w:t>
      </w:r>
      <w:r w:rsidRPr="004B6827">
        <w:rPr>
          <w:szCs w:val="22"/>
          <w:lang w:val="sk-SK"/>
        </w:rPr>
        <w:t xml:space="preserve"> mg perindoprilu argin</w:t>
      </w:r>
      <w:r w:rsidR="006B586D" w:rsidRPr="004B6827">
        <w:rPr>
          <w:szCs w:val="22"/>
          <w:lang w:val="sk-SK"/>
        </w:rPr>
        <w:t>ínu, množstvo zodpovedajúce 6,79</w:t>
      </w:r>
      <w:r w:rsidRPr="004B6827">
        <w:rPr>
          <w:szCs w:val="22"/>
          <w:lang w:val="sk-SK"/>
        </w:rPr>
        <w:t xml:space="preserve"> mg perindoprilu a</w:t>
      </w:r>
      <w:r w:rsidR="006B586D" w:rsidRPr="004B6827">
        <w:rPr>
          <w:szCs w:val="22"/>
          <w:lang w:val="sk-SK"/>
        </w:rPr>
        <w:t> 13,87</w:t>
      </w:r>
      <w:r w:rsidRPr="004B6827">
        <w:rPr>
          <w:szCs w:val="22"/>
          <w:lang w:val="sk-SK"/>
        </w:rPr>
        <w:t xml:space="preserve"> mg </w:t>
      </w:r>
      <w:r w:rsidRPr="004B6827">
        <w:rPr>
          <w:noProof/>
          <w:szCs w:val="22"/>
          <w:lang w:val="sk-SK" w:eastAsia="sk-SK"/>
        </w:rPr>
        <w:t>amlodipíniumbe</w:t>
      </w:r>
      <w:r w:rsidR="006B586D" w:rsidRPr="004B6827">
        <w:rPr>
          <w:noProof/>
          <w:szCs w:val="22"/>
          <w:lang w:val="sk-SK" w:eastAsia="sk-SK"/>
        </w:rPr>
        <w:t>silátu, množstvo zodpovedajúce 10</w:t>
      </w:r>
      <w:r w:rsidRPr="004B6827">
        <w:rPr>
          <w:noProof/>
          <w:szCs w:val="22"/>
          <w:lang w:val="sk-SK" w:eastAsia="sk-SK"/>
        </w:rPr>
        <w:t> mg amlodipínu</w:t>
      </w:r>
      <w:r w:rsidRPr="004B6827">
        <w:rPr>
          <w:szCs w:val="22"/>
          <w:lang w:val="sk-SK"/>
        </w:rPr>
        <w:t>.</w:t>
      </w:r>
    </w:p>
    <w:p w:rsidR="000E2570" w:rsidRPr="004B6827" w:rsidRDefault="00212A25" w:rsidP="000E2570">
      <w:pPr>
        <w:rPr>
          <w:szCs w:val="22"/>
          <w:lang w:val="sk-SK"/>
        </w:rPr>
      </w:pPr>
      <w:r w:rsidRPr="004B6827">
        <w:rPr>
          <w:szCs w:val="22"/>
          <w:lang w:val="sk-SK"/>
        </w:rPr>
        <w:t>Lipertance</w:t>
      </w:r>
      <w:r w:rsidR="000E2570" w:rsidRPr="004B6827">
        <w:rPr>
          <w:szCs w:val="22"/>
          <w:lang w:val="sk-SK"/>
        </w:rPr>
        <w:t xml:space="preserve"> 40 mg/10 mg/10 mg</w:t>
      </w:r>
    </w:p>
    <w:p w:rsidR="005C503C" w:rsidRPr="004B6827" w:rsidRDefault="005C503C" w:rsidP="005C503C">
      <w:pPr>
        <w:rPr>
          <w:szCs w:val="22"/>
          <w:lang w:val="sk-SK"/>
        </w:rPr>
      </w:pPr>
      <w:r w:rsidRPr="004B6827">
        <w:rPr>
          <w:szCs w:val="22"/>
          <w:lang w:val="sk-SK"/>
        </w:rPr>
        <w:t xml:space="preserve">Jedna filmom obalená tableta obsahuje </w:t>
      </w:r>
      <w:r w:rsidR="006B586D" w:rsidRPr="004B6827">
        <w:rPr>
          <w:szCs w:val="22"/>
          <w:lang w:val="sk-SK"/>
        </w:rPr>
        <w:t>43,28</w:t>
      </w:r>
      <w:r w:rsidRPr="004B6827">
        <w:rPr>
          <w:szCs w:val="22"/>
          <w:lang w:val="sk-SK"/>
        </w:rPr>
        <w:t xml:space="preserve"> mg trihydrátu vápenatej soli atorvastatínu, množstvo zodpovedajúce </w:t>
      </w:r>
      <w:r w:rsidR="006B586D" w:rsidRPr="004B6827">
        <w:rPr>
          <w:szCs w:val="22"/>
          <w:lang w:val="sk-SK"/>
        </w:rPr>
        <w:t>4</w:t>
      </w:r>
      <w:r w:rsidRPr="004B6827">
        <w:rPr>
          <w:szCs w:val="22"/>
          <w:lang w:val="sk-SK"/>
        </w:rPr>
        <w:t>0 mg atorvastatínu</w:t>
      </w:r>
      <w:r w:rsidR="006B586D" w:rsidRPr="004B6827">
        <w:rPr>
          <w:szCs w:val="22"/>
          <w:lang w:val="sk-SK"/>
        </w:rPr>
        <w:t>, 10</w:t>
      </w:r>
      <w:r w:rsidRPr="004B6827">
        <w:rPr>
          <w:szCs w:val="22"/>
          <w:lang w:val="sk-SK"/>
        </w:rPr>
        <w:t xml:space="preserve"> mg perindoprilu argin</w:t>
      </w:r>
      <w:r w:rsidR="006B586D" w:rsidRPr="004B6827">
        <w:rPr>
          <w:szCs w:val="22"/>
          <w:lang w:val="sk-SK"/>
        </w:rPr>
        <w:t>ínu, množstvo zodpovedajúce 6,79</w:t>
      </w:r>
      <w:r w:rsidRPr="004B6827">
        <w:rPr>
          <w:szCs w:val="22"/>
          <w:lang w:val="sk-SK"/>
        </w:rPr>
        <w:t xml:space="preserve"> mg perindoprilu a</w:t>
      </w:r>
      <w:r w:rsidR="006B586D" w:rsidRPr="004B6827">
        <w:rPr>
          <w:szCs w:val="22"/>
          <w:lang w:val="sk-SK"/>
        </w:rPr>
        <w:t> 13,87</w:t>
      </w:r>
      <w:r w:rsidRPr="004B6827">
        <w:rPr>
          <w:szCs w:val="22"/>
          <w:lang w:val="sk-SK"/>
        </w:rPr>
        <w:t xml:space="preserve"> mg </w:t>
      </w:r>
      <w:r w:rsidRPr="004B6827">
        <w:rPr>
          <w:noProof/>
          <w:szCs w:val="22"/>
          <w:lang w:val="sk-SK" w:eastAsia="sk-SK"/>
        </w:rPr>
        <w:t>amlodipíniumbe</w:t>
      </w:r>
      <w:r w:rsidR="006B586D" w:rsidRPr="004B6827">
        <w:rPr>
          <w:noProof/>
          <w:szCs w:val="22"/>
          <w:lang w:val="sk-SK" w:eastAsia="sk-SK"/>
        </w:rPr>
        <w:t>silátu, množstvo zodpovedajúce 10</w:t>
      </w:r>
      <w:r w:rsidRPr="004B6827">
        <w:rPr>
          <w:noProof/>
          <w:szCs w:val="22"/>
          <w:lang w:val="sk-SK" w:eastAsia="sk-SK"/>
        </w:rPr>
        <w:t> mg amlodipínu</w:t>
      </w:r>
      <w:r w:rsidRPr="004B6827">
        <w:rPr>
          <w:szCs w:val="22"/>
          <w:lang w:val="sk-SK"/>
        </w:rPr>
        <w:t>.</w:t>
      </w:r>
    </w:p>
    <w:p w:rsidR="000322EB" w:rsidRPr="004B6827" w:rsidRDefault="000322EB" w:rsidP="000322EB">
      <w:pPr>
        <w:rPr>
          <w:szCs w:val="22"/>
          <w:lang w:val="sk-SK"/>
        </w:rPr>
      </w:pPr>
    </w:p>
    <w:p w:rsidR="00F51449" w:rsidRPr="004B6827" w:rsidRDefault="00F51449" w:rsidP="000322EB">
      <w:pPr>
        <w:rPr>
          <w:szCs w:val="22"/>
          <w:lang w:val="sk-SK"/>
        </w:rPr>
      </w:pPr>
      <w:r w:rsidRPr="004B6827">
        <w:rPr>
          <w:szCs w:val="22"/>
          <w:u w:val="single"/>
          <w:lang w:val="sk-SK"/>
        </w:rPr>
        <w:t xml:space="preserve">Pomocná látka so známym účinkom: </w:t>
      </w:r>
      <w:r w:rsidRPr="004B6827">
        <w:rPr>
          <w:szCs w:val="22"/>
          <w:lang w:val="sk-SK"/>
        </w:rPr>
        <w:t xml:space="preserve">monohydrát laktózy (27,46 mg pre </w:t>
      </w:r>
      <w:r w:rsidR="00212A25" w:rsidRPr="004B6827">
        <w:rPr>
          <w:szCs w:val="22"/>
          <w:lang w:val="sk-SK"/>
        </w:rPr>
        <w:t>Lipertance</w:t>
      </w:r>
      <w:r w:rsidRPr="004B6827">
        <w:rPr>
          <w:szCs w:val="22"/>
          <w:lang w:val="sk-SK"/>
        </w:rPr>
        <w:t xml:space="preserve"> 10 mg/5 mg/5 mg, 54,92 mg pre </w:t>
      </w:r>
      <w:r w:rsidR="00212A25" w:rsidRPr="004B6827">
        <w:rPr>
          <w:szCs w:val="22"/>
          <w:lang w:val="sk-SK"/>
        </w:rPr>
        <w:t>Lipertance</w:t>
      </w:r>
      <w:r w:rsidRPr="004B6827">
        <w:rPr>
          <w:szCs w:val="22"/>
          <w:lang w:val="sk-SK"/>
        </w:rPr>
        <w:t xml:space="preserve"> 20 mg/5 mg/5 mg, 20 mg/10 mg/5 mg a 20 mg/10 mg/10 mg a 109,84 mg pre </w:t>
      </w:r>
      <w:r w:rsidR="00212A25" w:rsidRPr="004B6827">
        <w:rPr>
          <w:szCs w:val="22"/>
          <w:lang w:val="sk-SK"/>
        </w:rPr>
        <w:t>Lipertance</w:t>
      </w:r>
      <w:r w:rsidRPr="004B6827">
        <w:rPr>
          <w:szCs w:val="22"/>
          <w:lang w:val="sk-SK"/>
        </w:rPr>
        <w:t xml:space="preserve"> 40 mg/10 mg/10 mg)</w:t>
      </w:r>
      <w:r w:rsidR="00123BD0" w:rsidRPr="004B6827">
        <w:rPr>
          <w:szCs w:val="22"/>
          <w:lang w:val="sk-SK"/>
        </w:rPr>
        <w:t>.</w:t>
      </w:r>
    </w:p>
    <w:p w:rsidR="00F51449" w:rsidRPr="00275323" w:rsidRDefault="00F51449" w:rsidP="000322EB">
      <w:pPr>
        <w:rPr>
          <w:szCs w:val="22"/>
          <w:lang w:val="sk-SK"/>
        </w:rPr>
      </w:pPr>
    </w:p>
    <w:p w:rsidR="000322EB" w:rsidRPr="004B6827" w:rsidRDefault="000322EB" w:rsidP="000322EB">
      <w:pPr>
        <w:rPr>
          <w:szCs w:val="22"/>
          <w:lang w:val="sk-SK"/>
        </w:rPr>
      </w:pPr>
      <w:r w:rsidRPr="004B6827">
        <w:rPr>
          <w:szCs w:val="22"/>
          <w:lang w:val="sk-SK"/>
        </w:rPr>
        <w:t>Úplný zoznam pomocných látok, pozri časť 6.1.</w:t>
      </w:r>
    </w:p>
    <w:p w:rsidR="000322EB" w:rsidRPr="004B6827" w:rsidRDefault="000322EB" w:rsidP="000322EB">
      <w:pPr>
        <w:rPr>
          <w:szCs w:val="22"/>
          <w:lang w:val="sk-SK"/>
        </w:rPr>
      </w:pPr>
    </w:p>
    <w:p w:rsidR="000322EB" w:rsidRPr="004B6827" w:rsidRDefault="000322EB" w:rsidP="000322EB">
      <w:pPr>
        <w:tabs>
          <w:tab w:val="clear" w:pos="567"/>
        </w:tabs>
        <w:spacing w:line="240" w:lineRule="auto"/>
        <w:rPr>
          <w:szCs w:val="22"/>
          <w:lang w:val="sk-SK"/>
        </w:rPr>
      </w:pPr>
    </w:p>
    <w:p w:rsidR="000322EB" w:rsidRPr="004B6827" w:rsidRDefault="000322EB" w:rsidP="000322EB">
      <w:pPr>
        <w:rPr>
          <w:caps/>
          <w:szCs w:val="22"/>
          <w:lang w:val="sk-SK"/>
        </w:rPr>
      </w:pPr>
      <w:r w:rsidRPr="004B6827">
        <w:rPr>
          <w:b/>
          <w:szCs w:val="22"/>
          <w:lang w:val="sk-SK"/>
        </w:rPr>
        <w:t>3.</w:t>
      </w:r>
      <w:r w:rsidRPr="004B6827">
        <w:rPr>
          <w:b/>
          <w:szCs w:val="22"/>
          <w:lang w:val="sk-SK"/>
        </w:rPr>
        <w:tab/>
        <w:t>LIEKOVÁ FORMA</w:t>
      </w:r>
    </w:p>
    <w:p w:rsidR="000322EB" w:rsidRPr="004B6827" w:rsidRDefault="000322EB" w:rsidP="000322EB">
      <w:pPr>
        <w:tabs>
          <w:tab w:val="clear" w:pos="567"/>
        </w:tabs>
        <w:spacing w:line="240" w:lineRule="auto"/>
        <w:rPr>
          <w:szCs w:val="22"/>
          <w:lang w:val="sk-SK"/>
        </w:rPr>
      </w:pPr>
    </w:p>
    <w:p w:rsidR="000322EB" w:rsidRPr="004B6827" w:rsidRDefault="000322EB" w:rsidP="000322EB">
      <w:pPr>
        <w:rPr>
          <w:szCs w:val="22"/>
          <w:lang w:val="sk-SK"/>
        </w:rPr>
      </w:pPr>
      <w:r w:rsidRPr="004B6827">
        <w:rPr>
          <w:szCs w:val="22"/>
          <w:lang w:val="sk-SK"/>
        </w:rPr>
        <w:t>Filmom obalená tableta.</w:t>
      </w:r>
    </w:p>
    <w:p w:rsidR="000322EB" w:rsidRPr="004B6827" w:rsidRDefault="000322EB" w:rsidP="000322EB">
      <w:pPr>
        <w:rPr>
          <w:szCs w:val="22"/>
          <w:lang w:val="sk-SK"/>
        </w:rPr>
      </w:pPr>
    </w:p>
    <w:p w:rsidR="000322EB" w:rsidRPr="004B6827" w:rsidRDefault="00212A25" w:rsidP="000322EB">
      <w:pPr>
        <w:rPr>
          <w:szCs w:val="22"/>
          <w:lang w:val="sk-SK"/>
        </w:rPr>
      </w:pPr>
      <w:r w:rsidRPr="004B6827">
        <w:rPr>
          <w:szCs w:val="22"/>
          <w:lang w:val="sk-SK"/>
        </w:rPr>
        <w:t>Lipertance</w:t>
      </w:r>
      <w:r w:rsidR="00F5150B" w:rsidRPr="004B6827">
        <w:rPr>
          <w:szCs w:val="22"/>
          <w:lang w:val="sk-SK"/>
        </w:rPr>
        <w:t xml:space="preserve"> 10 mg/5 mg/5 mg: </w:t>
      </w:r>
      <w:r w:rsidR="00A42FEB" w:rsidRPr="004B6827">
        <w:rPr>
          <w:szCs w:val="22"/>
          <w:lang w:val="sk-SK"/>
        </w:rPr>
        <w:t>ž</w:t>
      </w:r>
      <w:r w:rsidR="00F5150B" w:rsidRPr="004B6827">
        <w:rPr>
          <w:szCs w:val="22"/>
          <w:lang w:val="sk-SK"/>
        </w:rPr>
        <w:t>ltá</w:t>
      </w:r>
      <w:r w:rsidR="000322EB" w:rsidRPr="004B6827">
        <w:rPr>
          <w:szCs w:val="22"/>
          <w:lang w:val="sk-SK"/>
        </w:rPr>
        <w:t xml:space="preserve"> okrúhla filmom obalená tableta </w:t>
      </w:r>
      <w:r w:rsidR="00F5150B" w:rsidRPr="004B6827">
        <w:rPr>
          <w:szCs w:val="22"/>
          <w:lang w:val="sk-SK"/>
        </w:rPr>
        <w:t>s priemerom 7</w:t>
      </w:r>
      <w:r w:rsidR="000322EB" w:rsidRPr="004B6827">
        <w:rPr>
          <w:szCs w:val="22"/>
          <w:lang w:val="sk-SK"/>
        </w:rPr>
        <w:t xml:space="preserve"> mm</w:t>
      </w:r>
      <w:r w:rsidRPr="004B6827">
        <w:rPr>
          <w:szCs w:val="22"/>
          <w:lang w:val="sk-SK"/>
        </w:rPr>
        <w:t>,</w:t>
      </w:r>
      <w:r w:rsidR="00F5150B" w:rsidRPr="004B6827">
        <w:rPr>
          <w:szCs w:val="22"/>
          <w:lang w:val="sk-SK"/>
        </w:rPr>
        <w:t xml:space="preserve"> </w:t>
      </w:r>
      <w:r w:rsidR="00676D6B" w:rsidRPr="004B6827">
        <w:rPr>
          <w:szCs w:val="22"/>
          <w:lang w:val="sk-SK"/>
        </w:rPr>
        <w:t>s polomerom zakrivenia</w:t>
      </w:r>
      <w:r w:rsidR="000322EB" w:rsidRPr="004B6827">
        <w:rPr>
          <w:szCs w:val="22"/>
          <w:lang w:val="sk-SK"/>
        </w:rPr>
        <w:t xml:space="preserve"> </w:t>
      </w:r>
      <w:r w:rsidR="00F5150B" w:rsidRPr="004B6827">
        <w:rPr>
          <w:szCs w:val="22"/>
          <w:lang w:val="sk-SK"/>
        </w:rPr>
        <w:t>25 mm</w:t>
      </w:r>
      <w:r w:rsidR="00123BD0" w:rsidRPr="004B6827">
        <w:rPr>
          <w:szCs w:val="22"/>
          <w:lang w:val="sk-SK"/>
        </w:rPr>
        <w:t xml:space="preserve">, </w:t>
      </w:r>
      <w:r w:rsidR="000322EB" w:rsidRPr="004B6827">
        <w:rPr>
          <w:szCs w:val="22"/>
          <w:lang w:val="sk-SK"/>
        </w:rPr>
        <w:t>s vyrazeným „</w:t>
      </w:r>
      <w:r w:rsidR="000322EB" w:rsidRPr="004B6827">
        <w:rPr>
          <w:noProof/>
          <w:szCs w:val="22"/>
          <w:lang w:val="sk-SK" w:eastAsia="sk-SK"/>
        </w:rPr>
        <w:drawing>
          <wp:inline distT="0" distB="0" distL="0" distR="0" wp14:anchorId="6BCD12B7" wp14:editId="3553E1A1">
            <wp:extent cx="47625" cy="114300"/>
            <wp:effectExtent l="0" t="0" r="9525"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 cy="114300"/>
                    </a:xfrm>
                    <a:prstGeom prst="rect">
                      <a:avLst/>
                    </a:prstGeom>
                    <a:noFill/>
                    <a:ln>
                      <a:noFill/>
                    </a:ln>
                  </pic:spPr>
                </pic:pic>
              </a:graphicData>
            </a:graphic>
          </wp:inline>
        </w:drawing>
      </w:r>
      <w:r w:rsidR="000322EB" w:rsidRPr="004B6827">
        <w:rPr>
          <w:szCs w:val="22"/>
          <w:lang w:val="sk-SK"/>
        </w:rPr>
        <w:t>” na jednej strane a </w:t>
      </w:r>
      <w:r w:rsidR="000322EB" w:rsidRPr="004B6827">
        <w:rPr>
          <w:noProof/>
          <w:position w:val="-12"/>
          <w:szCs w:val="22"/>
          <w:lang w:val="sk-SK" w:eastAsia="sk-SK"/>
        </w:rPr>
        <w:drawing>
          <wp:inline distT="0" distB="0" distL="0" distR="0" wp14:anchorId="6E03ADBC" wp14:editId="1E2CF3BE">
            <wp:extent cx="276225" cy="209550"/>
            <wp:effectExtent l="0" t="0" r="9525"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000322EB" w:rsidRPr="004B6827">
        <w:rPr>
          <w:szCs w:val="22"/>
          <w:lang w:val="sk-SK"/>
        </w:rPr>
        <w:t xml:space="preserve"> na druhej strane.</w:t>
      </w:r>
    </w:p>
    <w:p w:rsidR="00F5150B" w:rsidRPr="004B6827" w:rsidRDefault="00212A25" w:rsidP="00F5150B">
      <w:pPr>
        <w:rPr>
          <w:szCs w:val="22"/>
          <w:lang w:val="sk-SK"/>
        </w:rPr>
      </w:pPr>
      <w:r w:rsidRPr="004B6827">
        <w:rPr>
          <w:szCs w:val="22"/>
          <w:lang w:val="sk-SK"/>
        </w:rPr>
        <w:t>Lipertance</w:t>
      </w:r>
      <w:r w:rsidR="00F5150B" w:rsidRPr="00275323">
        <w:rPr>
          <w:szCs w:val="22"/>
          <w:lang w:val="sk-SK"/>
        </w:rPr>
        <w:t xml:space="preserve"> 20 mg/5 mg/5 mg: </w:t>
      </w:r>
      <w:r w:rsidR="00A42FEB" w:rsidRPr="00275323">
        <w:rPr>
          <w:szCs w:val="22"/>
          <w:lang w:val="sk-SK"/>
        </w:rPr>
        <w:t>ž</w:t>
      </w:r>
      <w:r w:rsidR="00F5150B" w:rsidRPr="00275323">
        <w:rPr>
          <w:szCs w:val="22"/>
          <w:lang w:val="sk-SK"/>
        </w:rPr>
        <w:t>l</w:t>
      </w:r>
      <w:r w:rsidR="00F5150B" w:rsidRPr="00591EEB">
        <w:rPr>
          <w:szCs w:val="22"/>
          <w:lang w:val="sk-SK"/>
        </w:rPr>
        <w:t xml:space="preserve">tá okrúhla filmom obalená tableta </w:t>
      </w:r>
      <w:r w:rsidR="00676D6B" w:rsidRPr="00591EEB">
        <w:rPr>
          <w:szCs w:val="22"/>
          <w:lang w:val="sk-SK"/>
        </w:rPr>
        <w:t xml:space="preserve">s priemerom </w:t>
      </w:r>
      <w:r w:rsidR="00F5150B" w:rsidRPr="004B6827">
        <w:rPr>
          <w:szCs w:val="22"/>
          <w:lang w:val="sk-SK"/>
        </w:rPr>
        <w:t>8,8 mm</w:t>
      </w:r>
      <w:r w:rsidRPr="004B6827">
        <w:rPr>
          <w:szCs w:val="22"/>
          <w:lang w:val="sk-SK"/>
        </w:rPr>
        <w:t>,</w:t>
      </w:r>
      <w:r w:rsidR="00F5150B" w:rsidRPr="004B6827">
        <w:rPr>
          <w:szCs w:val="22"/>
          <w:lang w:val="sk-SK"/>
        </w:rPr>
        <w:t xml:space="preserve"> </w:t>
      </w:r>
      <w:r w:rsidR="00676D6B" w:rsidRPr="004B6827">
        <w:rPr>
          <w:szCs w:val="22"/>
          <w:lang w:val="sk-SK"/>
        </w:rPr>
        <w:t>s polomerom zakrivenia</w:t>
      </w:r>
      <w:r w:rsidR="00F5150B" w:rsidRPr="004B6827">
        <w:rPr>
          <w:szCs w:val="22"/>
          <w:lang w:val="sk-SK"/>
        </w:rPr>
        <w:t xml:space="preserve"> 32 mm</w:t>
      </w:r>
      <w:r w:rsidR="00123BD0" w:rsidRPr="004B6827">
        <w:rPr>
          <w:szCs w:val="22"/>
          <w:lang w:val="sk-SK"/>
        </w:rPr>
        <w:t xml:space="preserve">, </w:t>
      </w:r>
      <w:r w:rsidR="00F5150B" w:rsidRPr="004B6827">
        <w:rPr>
          <w:szCs w:val="22"/>
          <w:lang w:val="sk-SK"/>
        </w:rPr>
        <w:t>s vyrazeným „</w:t>
      </w:r>
      <w:r w:rsidR="00F5150B" w:rsidRPr="004B6827">
        <w:rPr>
          <w:noProof/>
          <w:szCs w:val="22"/>
          <w:lang w:val="sk-SK" w:eastAsia="sk-SK"/>
        </w:rPr>
        <w:drawing>
          <wp:inline distT="0" distB="0" distL="0" distR="0" wp14:anchorId="3D8F8FF9" wp14:editId="47931607">
            <wp:extent cx="95250" cy="12382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00F5150B" w:rsidRPr="004B6827">
        <w:rPr>
          <w:szCs w:val="22"/>
          <w:lang w:val="sk-SK"/>
        </w:rPr>
        <w:t>” na jednej strane a </w:t>
      </w:r>
      <w:r w:rsidR="00F5150B" w:rsidRPr="004B6827">
        <w:rPr>
          <w:noProof/>
          <w:position w:val="-12"/>
          <w:szCs w:val="22"/>
          <w:lang w:val="sk-SK" w:eastAsia="sk-SK"/>
        </w:rPr>
        <w:drawing>
          <wp:inline distT="0" distB="0" distL="0" distR="0" wp14:anchorId="70C0EAD3" wp14:editId="33FD8A27">
            <wp:extent cx="276225" cy="209550"/>
            <wp:effectExtent l="0" t="0" r="952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00F5150B" w:rsidRPr="004B6827">
        <w:rPr>
          <w:szCs w:val="22"/>
          <w:lang w:val="sk-SK"/>
        </w:rPr>
        <w:t xml:space="preserve"> na druhej strane.</w:t>
      </w:r>
    </w:p>
    <w:p w:rsidR="00676D6B" w:rsidRPr="004B6827" w:rsidRDefault="00212A25" w:rsidP="00676D6B">
      <w:pPr>
        <w:rPr>
          <w:szCs w:val="22"/>
          <w:lang w:val="sk-SK"/>
        </w:rPr>
      </w:pPr>
      <w:r w:rsidRPr="004B6827">
        <w:rPr>
          <w:szCs w:val="22"/>
          <w:lang w:val="sk-SK"/>
        </w:rPr>
        <w:t>Lipertance</w:t>
      </w:r>
      <w:r w:rsidR="00F5150B" w:rsidRPr="00275323">
        <w:rPr>
          <w:szCs w:val="22"/>
          <w:lang w:val="sk-SK"/>
        </w:rPr>
        <w:t xml:space="preserve"> 20 mg/10 mg/5 mg</w:t>
      </w:r>
      <w:r w:rsidR="00676D6B" w:rsidRPr="00275323">
        <w:rPr>
          <w:szCs w:val="22"/>
          <w:lang w:val="sk-SK"/>
        </w:rPr>
        <w:t xml:space="preserve">: </w:t>
      </w:r>
      <w:r w:rsidR="00A42FEB" w:rsidRPr="00275323">
        <w:rPr>
          <w:szCs w:val="22"/>
          <w:lang w:val="sk-SK"/>
        </w:rPr>
        <w:t>ž</w:t>
      </w:r>
      <w:r w:rsidR="00676D6B" w:rsidRPr="00591EEB">
        <w:rPr>
          <w:szCs w:val="22"/>
          <w:lang w:val="sk-SK"/>
        </w:rPr>
        <w:t>ltá filmom obalená tableta v tvare štvorca s</w:t>
      </w:r>
      <w:r w:rsidR="00107F5E" w:rsidRPr="00591EEB">
        <w:rPr>
          <w:szCs w:val="22"/>
          <w:lang w:val="sk-SK"/>
        </w:rPr>
        <w:t> dĺžkou strany 9</w:t>
      </w:r>
      <w:r w:rsidR="00676D6B" w:rsidRPr="004B6827">
        <w:rPr>
          <w:szCs w:val="22"/>
          <w:lang w:val="sk-SK"/>
        </w:rPr>
        <w:t xml:space="preserve"> mm</w:t>
      </w:r>
      <w:r w:rsidR="00A42FEB" w:rsidRPr="004B6827">
        <w:rPr>
          <w:szCs w:val="22"/>
          <w:lang w:val="sk-SK"/>
        </w:rPr>
        <w:t>,</w:t>
      </w:r>
      <w:r w:rsidR="00676D6B" w:rsidRPr="004B6827">
        <w:rPr>
          <w:szCs w:val="22"/>
          <w:lang w:val="sk-SK"/>
        </w:rPr>
        <w:t xml:space="preserve"> s polomerom zakrivenia </w:t>
      </w:r>
      <w:r w:rsidR="00107F5E" w:rsidRPr="004B6827">
        <w:rPr>
          <w:szCs w:val="22"/>
          <w:lang w:val="sk-SK"/>
        </w:rPr>
        <w:t>16</w:t>
      </w:r>
      <w:r w:rsidR="00676D6B" w:rsidRPr="004B6827">
        <w:rPr>
          <w:szCs w:val="22"/>
          <w:lang w:val="sk-SK"/>
        </w:rPr>
        <w:t xml:space="preserve"> mm</w:t>
      </w:r>
      <w:r w:rsidRPr="004B6827">
        <w:rPr>
          <w:szCs w:val="22"/>
          <w:lang w:val="sk-SK"/>
        </w:rPr>
        <w:t>,</w:t>
      </w:r>
      <w:r w:rsidR="00676D6B" w:rsidRPr="004B6827">
        <w:rPr>
          <w:szCs w:val="22"/>
          <w:lang w:val="sk-SK"/>
        </w:rPr>
        <w:t xml:space="preserve"> s vyrazeným „</w:t>
      </w:r>
      <w:r w:rsidR="00676D6B" w:rsidRPr="004B6827">
        <w:rPr>
          <w:noProof/>
          <w:szCs w:val="22"/>
          <w:lang w:val="sk-SK" w:eastAsia="sk-SK"/>
        </w:rPr>
        <w:drawing>
          <wp:inline distT="0" distB="0" distL="0" distR="0" wp14:anchorId="20A9CA6B" wp14:editId="2CC732F4">
            <wp:extent cx="76200" cy="123825"/>
            <wp:effectExtent l="0" t="0" r="0" b="952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sidR="00676D6B" w:rsidRPr="004B6827">
        <w:rPr>
          <w:szCs w:val="22"/>
          <w:lang w:val="sk-SK"/>
        </w:rPr>
        <w:t>” na jednej strane a </w:t>
      </w:r>
      <w:r w:rsidR="00676D6B" w:rsidRPr="004B6827">
        <w:rPr>
          <w:noProof/>
          <w:position w:val="-12"/>
          <w:szCs w:val="22"/>
          <w:lang w:val="sk-SK" w:eastAsia="sk-SK"/>
        </w:rPr>
        <w:drawing>
          <wp:inline distT="0" distB="0" distL="0" distR="0" wp14:anchorId="70FA8A70" wp14:editId="569DD5AF">
            <wp:extent cx="276225" cy="209550"/>
            <wp:effectExtent l="0" t="0" r="9525"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00676D6B" w:rsidRPr="004B6827">
        <w:rPr>
          <w:szCs w:val="22"/>
          <w:lang w:val="sk-SK"/>
        </w:rPr>
        <w:t xml:space="preserve"> na druhej strane.</w:t>
      </w:r>
    </w:p>
    <w:p w:rsidR="00676D6B" w:rsidRPr="004B6827" w:rsidRDefault="00212A25" w:rsidP="00676D6B">
      <w:pPr>
        <w:rPr>
          <w:szCs w:val="22"/>
          <w:lang w:val="sk-SK"/>
        </w:rPr>
      </w:pPr>
      <w:r w:rsidRPr="004B6827">
        <w:rPr>
          <w:szCs w:val="22"/>
          <w:lang w:val="sk-SK"/>
        </w:rPr>
        <w:lastRenderedPageBreak/>
        <w:t>Lipertance</w:t>
      </w:r>
      <w:r w:rsidR="00676D6B" w:rsidRPr="00275323">
        <w:rPr>
          <w:szCs w:val="22"/>
          <w:lang w:val="sk-SK"/>
        </w:rPr>
        <w:t xml:space="preserve"> 20 mg/10 mg/10 mg: </w:t>
      </w:r>
      <w:r w:rsidR="006B787F" w:rsidRPr="00275323">
        <w:rPr>
          <w:szCs w:val="22"/>
          <w:lang w:val="sk-SK"/>
        </w:rPr>
        <w:t>ž</w:t>
      </w:r>
      <w:r w:rsidR="00676D6B" w:rsidRPr="00275323">
        <w:rPr>
          <w:szCs w:val="22"/>
          <w:lang w:val="sk-SK"/>
        </w:rPr>
        <w:t>ltá podlhovastá filmom obalená tableta s</w:t>
      </w:r>
      <w:r w:rsidR="00107F5E" w:rsidRPr="00275323">
        <w:rPr>
          <w:szCs w:val="22"/>
          <w:lang w:val="sk-SK"/>
        </w:rPr>
        <w:t> dĺžkou 12,7</w:t>
      </w:r>
      <w:r w:rsidR="00676D6B" w:rsidRPr="00275323">
        <w:rPr>
          <w:szCs w:val="22"/>
          <w:lang w:val="sk-SK"/>
        </w:rPr>
        <w:t xml:space="preserve"> mm </w:t>
      </w:r>
      <w:r w:rsidR="00107F5E" w:rsidRPr="00275323">
        <w:rPr>
          <w:szCs w:val="22"/>
          <w:lang w:val="sk-SK"/>
        </w:rPr>
        <w:t>a šírkou 6,35 mm</w:t>
      </w:r>
      <w:r w:rsidR="00123BD0" w:rsidRPr="00275323">
        <w:rPr>
          <w:szCs w:val="22"/>
          <w:lang w:val="sk-SK"/>
        </w:rPr>
        <w:t>,</w:t>
      </w:r>
      <w:r w:rsidR="00107F5E" w:rsidRPr="00275323">
        <w:rPr>
          <w:szCs w:val="22"/>
          <w:lang w:val="sk-SK"/>
        </w:rPr>
        <w:t xml:space="preserve"> </w:t>
      </w:r>
      <w:r w:rsidR="00676D6B" w:rsidRPr="00275323">
        <w:rPr>
          <w:szCs w:val="22"/>
          <w:lang w:val="sk-SK"/>
        </w:rPr>
        <w:t>s vyrazeným „</w:t>
      </w:r>
      <w:r w:rsidR="00107F5E" w:rsidRPr="004B6827">
        <w:rPr>
          <w:noProof/>
          <w:szCs w:val="22"/>
          <w:lang w:val="sk-SK" w:eastAsia="sk-SK"/>
        </w:rPr>
        <w:drawing>
          <wp:inline distT="0" distB="0" distL="0" distR="0" wp14:anchorId="001B831A" wp14:editId="3A813ED5">
            <wp:extent cx="104775" cy="123825"/>
            <wp:effectExtent l="0" t="0" r="9525" b="952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00676D6B" w:rsidRPr="004B6827">
        <w:rPr>
          <w:szCs w:val="22"/>
          <w:lang w:val="sk-SK"/>
        </w:rPr>
        <w:t>” na jednej strane a </w:t>
      </w:r>
      <w:r w:rsidR="00676D6B" w:rsidRPr="004B6827">
        <w:rPr>
          <w:noProof/>
          <w:position w:val="-12"/>
          <w:szCs w:val="22"/>
          <w:lang w:val="sk-SK" w:eastAsia="sk-SK"/>
        </w:rPr>
        <w:drawing>
          <wp:inline distT="0" distB="0" distL="0" distR="0" wp14:anchorId="0B5448AD" wp14:editId="3B74C7CD">
            <wp:extent cx="276225" cy="209550"/>
            <wp:effectExtent l="0" t="0" r="9525" b="0"/>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00676D6B" w:rsidRPr="004B6827">
        <w:rPr>
          <w:szCs w:val="22"/>
          <w:lang w:val="sk-SK"/>
        </w:rPr>
        <w:t xml:space="preserve"> na druhej strane.</w:t>
      </w:r>
    </w:p>
    <w:p w:rsidR="00107F5E" w:rsidRPr="004B6827" w:rsidRDefault="00212A25" w:rsidP="00107F5E">
      <w:pPr>
        <w:rPr>
          <w:szCs w:val="22"/>
          <w:lang w:val="sk-SK"/>
        </w:rPr>
      </w:pPr>
      <w:r w:rsidRPr="004B6827">
        <w:rPr>
          <w:szCs w:val="22"/>
          <w:lang w:val="sk-SK"/>
        </w:rPr>
        <w:t>Lipertance</w:t>
      </w:r>
      <w:r w:rsidR="00676D6B" w:rsidRPr="00275323">
        <w:rPr>
          <w:szCs w:val="22"/>
          <w:lang w:val="sk-SK"/>
        </w:rPr>
        <w:t xml:space="preserve"> 40 mg/10 mg/10 mg</w:t>
      </w:r>
      <w:r w:rsidR="00107F5E" w:rsidRPr="00275323">
        <w:rPr>
          <w:szCs w:val="22"/>
          <w:lang w:val="sk-SK"/>
        </w:rPr>
        <w:t xml:space="preserve">: </w:t>
      </w:r>
      <w:r w:rsidR="006B787F" w:rsidRPr="00275323">
        <w:rPr>
          <w:szCs w:val="22"/>
          <w:lang w:val="sk-SK"/>
        </w:rPr>
        <w:t>ž</w:t>
      </w:r>
      <w:r w:rsidR="00107F5E" w:rsidRPr="00275323">
        <w:rPr>
          <w:szCs w:val="22"/>
          <w:lang w:val="sk-SK"/>
        </w:rPr>
        <w:t xml:space="preserve">ltá podlhovastá filmom obalená tableta s dĺžkou </w:t>
      </w:r>
      <w:r w:rsidR="004A1A61" w:rsidRPr="00275323">
        <w:rPr>
          <w:szCs w:val="22"/>
          <w:lang w:val="sk-SK"/>
        </w:rPr>
        <w:t>16</w:t>
      </w:r>
      <w:r w:rsidR="00107F5E" w:rsidRPr="00275323">
        <w:rPr>
          <w:szCs w:val="22"/>
          <w:lang w:val="sk-SK"/>
        </w:rPr>
        <w:t xml:space="preserve"> mm a šírkou </w:t>
      </w:r>
      <w:r w:rsidR="004A1A61" w:rsidRPr="00275323">
        <w:rPr>
          <w:szCs w:val="22"/>
          <w:lang w:val="sk-SK"/>
        </w:rPr>
        <w:t>8</w:t>
      </w:r>
      <w:r w:rsidR="00107F5E" w:rsidRPr="00275323">
        <w:rPr>
          <w:szCs w:val="22"/>
          <w:lang w:val="sk-SK"/>
        </w:rPr>
        <w:t xml:space="preserve"> mm</w:t>
      </w:r>
      <w:r w:rsidR="00123BD0" w:rsidRPr="00591EEB">
        <w:rPr>
          <w:szCs w:val="22"/>
          <w:lang w:val="sk-SK"/>
        </w:rPr>
        <w:t>,</w:t>
      </w:r>
      <w:r w:rsidR="00107F5E" w:rsidRPr="00591EEB">
        <w:rPr>
          <w:szCs w:val="22"/>
          <w:lang w:val="sk-SK"/>
        </w:rPr>
        <w:t xml:space="preserve"> s vyrazeným „</w:t>
      </w:r>
      <w:r w:rsidR="00E90375" w:rsidRPr="004B6827">
        <w:rPr>
          <w:noProof/>
          <w:highlight w:val="lightGray"/>
          <w:lang w:val="sk-SK" w:eastAsia="sk-SK"/>
        </w:rPr>
        <w:drawing>
          <wp:inline distT="0" distB="0" distL="0" distR="0" wp14:anchorId="0A21CABC" wp14:editId="4D6B37CF">
            <wp:extent cx="95250" cy="127000"/>
            <wp:effectExtent l="0" t="0" r="0" b="6350"/>
            <wp:docPr id="4" name="Image 12" descr="Description : gravureC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Description : gravureCP5"/>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95250" cy="127000"/>
                    </a:xfrm>
                    <a:prstGeom prst="rect">
                      <a:avLst/>
                    </a:prstGeom>
                    <a:noFill/>
                    <a:ln>
                      <a:noFill/>
                    </a:ln>
                  </pic:spPr>
                </pic:pic>
              </a:graphicData>
            </a:graphic>
          </wp:inline>
        </w:drawing>
      </w:r>
      <w:r w:rsidR="00107F5E" w:rsidRPr="004B6827">
        <w:rPr>
          <w:szCs w:val="22"/>
          <w:lang w:val="sk-SK"/>
        </w:rPr>
        <w:t>” na jednej strane a </w:t>
      </w:r>
      <w:r w:rsidR="00107F5E" w:rsidRPr="004B6827">
        <w:rPr>
          <w:noProof/>
          <w:position w:val="-12"/>
          <w:szCs w:val="22"/>
          <w:lang w:val="sk-SK" w:eastAsia="sk-SK"/>
        </w:rPr>
        <w:drawing>
          <wp:inline distT="0" distB="0" distL="0" distR="0" wp14:anchorId="2548CBCE" wp14:editId="74BF5BE0">
            <wp:extent cx="276225" cy="209550"/>
            <wp:effectExtent l="0" t="0" r="9525" b="0"/>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00107F5E" w:rsidRPr="004B6827">
        <w:rPr>
          <w:szCs w:val="22"/>
          <w:lang w:val="sk-SK"/>
        </w:rPr>
        <w:t xml:space="preserve"> na druhej strane.</w:t>
      </w:r>
    </w:p>
    <w:p w:rsidR="000322EB" w:rsidRPr="004B6827" w:rsidRDefault="000322EB" w:rsidP="000322EB">
      <w:pPr>
        <w:rPr>
          <w:szCs w:val="22"/>
          <w:lang w:val="sk-SK"/>
        </w:rPr>
      </w:pPr>
    </w:p>
    <w:p w:rsidR="000322EB" w:rsidRPr="00275323" w:rsidRDefault="000322EB" w:rsidP="000322EB">
      <w:pPr>
        <w:tabs>
          <w:tab w:val="clear" w:pos="567"/>
        </w:tabs>
        <w:spacing w:line="240" w:lineRule="auto"/>
        <w:rPr>
          <w:szCs w:val="22"/>
          <w:lang w:val="sk-SK"/>
        </w:rPr>
      </w:pPr>
    </w:p>
    <w:p w:rsidR="000322EB" w:rsidRPr="004B6827" w:rsidRDefault="000322EB" w:rsidP="000322EB">
      <w:pPr>
        <w:rPr>
          <w:caps/>
          <w:szCs w:val="22"/>
          <w:lang w:val="sk-SK"/>
        </w:rPr>
      </w:pPr>
      <w:r w:rsidRPr="004B6827">
        <w:rPr>
          <w:b/>
          <w:caps/>
          <w:szCs w:val="22"/>
          <w:lang w:val="sk-SK"/>
        </w:rPr>
        <w:t>4.</w:t>
      </w:r>
      <w:r w:rsidRPr="004B6827">
        <w:rPr>
          <w:b/>
          <w:caps/>
          <w:szCs w:val="22"/>
          <w:lang w:val="sk-SK"/>
        </w:rPr>
        <w:tab/>
        <w:t>KLINICKÉ ÚDAJE</w:t>
      </w:r>
    </w:p>
    <w:p w:rsidR="000322EB" w:rsidRPr="004B6827" w:rsidRDefault="000322EB" w:rsidP="000322EB">
      <w:pPr>
        <w:tabs>
          <w:tab w:val="clear" w:pos="567"/>
        </w:tabs>
        <w:spacing w:line="240" w:lineRule="auto"/>
        <w:rPr>
          <w:szCs w:val="22"/>
          <w:lang w:val="sk-SK"/>
        </w:rPr>
      </w:pPr>
    </w:p>
    <w:p w:rsidR="000322EB" w:rsidRPr="004B6827" w:rsidRDefault="000322EB" w:rsidP="000322EB">
      <w:pPr>
        <w:rPr>
          <w:szCs w:val="22"/>
          <w:lang w:val="sk-SK"/>
        </w:rPr>
      </w:pPr>
      <w:r w:rsidRPr="004B6827">
        <w:rPr>
          <w:b/>
          <w:szCs w:val="22"/>
          <w:lang w:val="sk-SK"/>
        </w:rPr>
        <w:t>4.1</w:t>
      </w:r>
      <w:r w:rsidRPr="004B6827">
        <w:rPr>
          <w:b/>
          <w:szCs w:val="22"/>
          <w:lang w:val="sk-SK"/>
        </w:rPr>
        <w:tab/>
        <w:t>Terapeutické indikácie</w:t>
      </w:r>
    </w:p>
    <w:p w:rsidR="00F46833" w:rsidRPr="004B6827" w:rsidRDefault="00F46833" w:rsidP="000322EB">
      <w:pPr>
        <w:rPr>
          <w:szCs w:val="22"/>
          <w:lang w:val="sk-SK"/>
        </w:rPr>
      </w:pPr>
    </w:p>
    <w:p w:rsidR="00734D54" w:rsidRPr="004B6827" w:rsidRDefault="00212A25" w:rsidP="000322EB">
      <w:pPr>
        <w:rPr>
          <w:szCs w:val="22"/>
          <w:lang w:val="sk-SK"/>
        </w:rPr>
      </w:pPr>
      <w:r w:rsidRPr="004B6827">
        <w:rPr>
          <w:szCs w:val="22"/>
          <w:lang w:val="sk-SK"/>
        </w:rPr>
        <w:t>Lipertance</w:t>
      </w:r>
      <w:r w:rsidR="000322EB" w:rsidRPr="004B6827">
        <w:rPr>
          <w:szCs w:val="22"/>
          <w:lang w:val="sk-SK"/>
        </w:rPr>
        <w:t xml:space="preserve"> je indikovan</w:t>
      </w:r>
      <w:r w:rsidR="00E23041" w:rsidRPr="004B6827">
        <w:rPr>
          <w:szCs w:val="22"/>
          <w:lang w:val="sk-SK"/>
        </w:rPr>
        <w:t>ý</w:t>
      </w:r>
      <w:r w:rsidR="000322EB" w:rsidRPr="004B6827">
        <w:rPr>
          <w:szCs w:val="22"/>
          <w:lang w:val="sk-SK"/>
        </w:rPr>
        <w:t xml:space="preserve"> na </w:t>
      </w:r>
      <w:r w:rsidR="00734D54" w:rsidRPr="004B6827">
        <w:rPr>
          <w:szCs w:val="22"/>
          <w:lang w:val="sk-SK"/>
        </w:rPr>
        <w:t xml:space="preserve">liečbu esenciálnej hypertenzie a/alebo stabilnej </w:t>
      </w:r>
      <w:r w:rsidR="00D9528C" w:rsidRPr="004B6827">
        <w:rPr>
          <w:szCs w:val="22"/>
          <w:lang w:val="sk-SK"/>
        </w:rPr>
        <w:t xml:space="preserve">ischemickej </w:t>
      </w:r>
      <w:r w:rsidR="00734D54" w:rsidRPr="004B6827">
        <w:rPr>
          <w:szCs w:val="22"/>
          <w:lang w:val="sk-SK"/>
        </w:rPr>
        <w:t xml:space="preserve">choroby </w:t>
      </w:r>
      <w:r w:rsidR="00D9528C" w:rsidRPr="004B6827">
        <w:rPr>
          <w:szCs w:val="22"/>
          <w:lang w:val="sk-SK"/>
        </w:rPr>
        <w:t>srdca</w:t>
      </w:r>
      <w:r w:rsidR="00734D54" w:rsidRPr="004B6827">
        <w:rPr>
          <w:szCs w:val="22"/>
          <w:lang w:val="sk-SK"/>
        </w:rPr>
        <w:t xml:space="preserve"> v spojení s primárnou hypercholesterolémiou alebo kombinovanou hyperlipidémiou</w:t>
      </w:r>
      <w:r w:rsidR="008F27C9" w:rsidRPr="004B6827">
        <w:rPr>
          <w:szCs w:val="22"/>
          <w:lang w:val="sk-SK"/>
        </w:rPr>
        <w:t xml:space="preserve"> ako substitučná liečba u dospelých pacientov primerane kontrolovaných s atorvastatínom, perindoprilom a amlodipínom podávaných sú</w:t>
      </w:r>
      <w:r w:rsidR="00D9528C" w:rsidRPr="004B6827">
        <w:rPr>
          <w:szCs w:val="22"/>
          <w:lang w:val="sk-SK"/>
        </w:rPr>
        <w:t>bež</w:t>
      </w:r>
      <w:r w:rsidR="008F27C9" w:rsidRPr="004B6827">
        <w:rPr>
          <w:szCs w:val="22"/>
          <w:lang w:val="sk-SK"/>
        </w:rPr>
        <w:t xml:space="preserve">ne v rovnakých dávkach </w:t>
      </w:r>
      <w:r w:rsidR="00275323">
        <w:rPr>
          <w:szCs w:val="22"/>
          <w:lang w:val="sk-SK"/>
        </w:rPr>
        <w:t xml:space="preserve">ako </w:t>
      </w:r>
      <w:r w:rsidR="008F27C9" w:rsidRPr="00275323">
        <w:rPr>
          <w:szCs w:val="22"/>
          <w:lang w:val="sk-SK"/>
        </w:rPr>
        <w:t>v</w:t>
      </w:r>
      <w:r w:rsidR="00591EEB">
        <w:rPr>
          <w:szCs w:val="22"/>
          <w:lang w:val="sk-SK"/>
        </w:rPr>
        <w:t>o fixnej</w:t>
      </w:r>
      <w:r w:rsidR="008F27C9" w:rsidRPr="00275323">
        <w:rPr>
          <w:szCs w:val="22"/>
          <w:lang w:val="sk-SK"/>
        </w:rPr>
        <w:t> kombinácii.</w:t>
      </w:r>
    </w:p>
    <w:p w:rsidR="000322EB" w:rsidRPr="004B6827" w:rsidRDefault="000322EB" w:rsidP="000322EB">
      <w:pPr>
        <w:tabs>
          <w:tab w:val="clear" w:pos="567"/>
        </w:tabs>
        <w:spacing w:line="240" w:lineRule="auto"/>
        <w:rPr>
          <w:szCs w:val="22"/>
          <w:lang w:val="sk-SK"/>
        </w:rPr>
      </w:pPr>
    </w:p>
    <w:p w:rsidR="000322EB" w:rsidRPr="00275323" w:rsidRDefault="000322EB" w:rsidP="000322EB">
      <w:pPr>
        <w:rPr>
          <w:szCs w:val="22"/>
          <w:lang w:val="sk-SK"/>
        </w:rPr>
      </w:pPr>
      <w:r w:rsidRPr="00275323">
        <w:rPr>
          <w:b/>
          <w:szCs w:val="22"/>
          <w:lang w:val="sk-SK"/>
        </w:rPr>
        <w:t>4.2</w:t>
      </w:r>
      <w:r w:rsidRPr="00275323">
        <w:rPr>
          <w:b/>
          <w:szCs w:val="22"/>
          <w:lang w:val="sk-SK"/>
        </w:rPr>
        <w:tab/>
        <w:t>Dávkovanie a spôsob podávania</w:t>
      </w:r>
    </w:p>
    <w:p w:rsidR="000322EB" w:rsidRPr="004B6827" w:rsidRDefault="000322EB" w:rsidP="000322EB">
      <w:pPr>
        <w:rPr>
          <w:szCs w:val="22"/>
          <w:lang w:val="sk-SK"/>
        </w:rPr>
      </w:pPr>
    </w:p>
    <w:p w:rsidR="000322EB" w:rsidRPr="004B6827" w:rsidRDefault="00CD0DB0" w:rsidP="000322EB">
      <w:pPr>
        <w:rPr>
          <w:bCs/>
          <w:szCs w:val="22"/>
          <w:u w:val="single"/>
          <w:lang w:val="sk-SK"/>
        </w:rPr>
      </w:pPr>
      <w:r w:rsidRPr="004B6827">
        <w:rPr>
          <w:bCs/>
          <w:szCs w:val="22"/>
          <w:u w:val="single"/>
          <w:lang w:val="sk-SK"/>
        </w:rPr>
        <w:t>Dávkovanie</w:t>
      </w:r>
    </w:p>
    <w:p w:rsidR="000322EB" w:rsidRPr="004B6827" w:rsidRDefault="000322EB" w:rsidP="000322EB">
      <w:pPr>
        <w:rPr>
          <w:bCs/>
          <w:szCs w:val="22"/>
          <w:lang w:val="sk-SK"/>
        </w:rPr>
      </w:pPr>
    </w:p>
    <w:p w:rsidR="000322EB" w:rsidRPr="004B6827" w:rsidRDefault="00D9528C" w:rsidP="000322EB">
      <w:pPr>
        <w:rPr>
          <w:bCs/>
          <w:szCs w:val="22"/>
          <w:lang w:val="sk-SK"/>
        </w:rPr>
      </w:pPr>
      <w:r w:rsidRPr="004B6827">
        <w:rPr>
          <w:bCs/>
          <w:szCs w:val="22"/>
          <w:lang w:val="sk-SK"/>
        </w:rPr>
        <w:t>Obvyklé</w:t>
      </w:r>
      <w:r w:rsidR="004F0BCE" w:rsidRPr="004B6827">
        <w:rPr>
          <w:bCs/>
          <w:szCs w:val="22"/>
          <w:lang w:val="sk-SK"/>
        </w:rPr>
        <w:t xml:space="preserve"> dávk</w:t>
      </w:r>
      <w:r w:rsidRPr="004B6827">
        <w:rPr>
          <w:bCs/>
          <w:szCs w:val="22"/>
          <w:lang w:val="sk-SK"/>
        </w:rPr>
        <w:t>ovanie je jedna tableta jedenkrát denne</w:t>
      </w:r>
      <w:r w:rsidR="000322EB" w:rsidRPr="004B6827">
        <w:rPr>
          <w:bCs/>
          <w:szCs w:val="22"/>
          <w:lang w:val="sk-SK"/>
        </w:rPr>
        <w:t>.</w:t>
      </w:r>
    </w:p>
    <w:p w:rsidR="000322EB" w:rsidRPr="004B6827" w:rsidRDefault="000322EB" w:rsidP="000322EB">
      <w:pPr>
        <w:rPr>
          <w:szCs w:val="22"/>
          <w:lang w:val="sk-SK"/>
        </w:rPr>
      </w:pPr>
    </w:p>
    <w:p w:rsidR="00D9528C" w:rsidRPr="00591EEB" w:rsidRDefault="00591EEB" w:rsidP="000322EB">
      <w:pPr>
        <w:rPr>
          <w:szCs w:val="22"/>
          <w:lang w:val="sk-SK"/>
        </w:rPr>
      </w:pPr>
      <w:r>
        <w:rPr>
          <w:szCs w:val="22"/>
          <w:lang w:val="sk-SK"/>
        </w:rPr>
        <w:t>F</w:t>
      </w:r>
      <w:r w:rsidR="00D9528C" w:rsidRPr="00591EEB">
        <w:rPr>
          <w:szCs w:val="22"/>
          <w:lang w:val="sk-SK"/>
        </w:rPr>
        <w:t>ixn</w:t>
      </w:r>
      <w:r>
        <w:rPr>
          <w:szCs w:val="22"/>
          <w:lang w:val="sk-SK"/>
        </w:rPr>
        <w:t>á</w:t>
      </w:r>
      <w:r w:rsidR="00D9528C" w:rsidRPr="00591EEB">
        <w:rPr>
          <w:szCs w:val="22"/>
          <w:lang w:val="sk-SK"/>
        </w:rPr>
        <w:t xml:space="preserve"> dávk</w:t>
      </w:r>
      <w:r>
        <w:rPr>
          <w:szCs w:val="22"/>
          <w:lang w:val="sk-SK"/>
        </w:rPr>
        <w:t>a</w:t>
      </w:r>
      <w:r w:rsidR="00D9528C" w:rsidRPr="00591EEB">
        <w:rPr>
          <w:szCs w:val="22"/>
          <w:lang w:val="sk-SK"/>
        </w:rPr>
        <w:t xml:space="preserve"> </w:t>
      </w:r>
      <w:r>
        <w:rPr>
          <w:szCs w:val="22"/>
          <w:lang w:val="sk-SK"/>
        </w:rPr>
        <w:t>v kombinácii</w:t>
      </w:r>
      <w:r w:rsidRPr="00591EEB">
        <w:rPr>
          <w:szCs w:val="22"/>
          <w:lang w:val="sk-SK"/>
        </w:rPr>
        <w:t xml:space="preserve"> </w:t>
      </w:r>
      <w:r w:rsidR="00D9528C" w:rsidRPr="00591EEB">
        <w:rPr>
          <w:szCs w:val="22"/>
          <w:lang w:val="sk-SK"/>
        </w:rPr>
        <w:t>nie je vhodná na začiatočnú liečbu.</w:t>
      </w:r>
    </w:p>
    <w:p w:rsidR="00D9528C" w:rsidRPr="004B6827" w:rsidRDefault="00D9528C" w:rsidP="000322EB">
      <w:pPr>
        <w:rPr>
          <w:szCs w:val="22"/>
          <w:lang w:val="sk-SK"/>
        </w:rPr>
      </w:pPr>
      <w:r w:rsidRPr="004B6827">
        <w:rPr>
          <w:szCs w:val="22"/>
          <w:lang w:val="sk-SK"/>
        </w:rPr>
        <w:t>Ak sa vyžaduje zmena dávkovania</w:t>
      </w:r>
      <w:r w:rsidR="00E6744F" w:rsidRPr="004B6827">
        <w:rPr>
          <w:szCs w:val="22"/>
          <w:lang w:val="sk-SK"/>
        </w:rPr>
        <w:t>, titrácia sa má vykonať s jednotlivými zložkami.</w:t>
      </w:r>
    </w:p>
    <w:p w:rsidR="000322EB" w:rsidRPr="004B6827" w:rsidRDefault="000322EB" w:rsidP="000322EB">
      <w:pPr>
        <w:rPr>
          <w:szCs w:val="22"/>
          <w:lang w:val="sk-SK"/>
        </w:rPr>
      </w:pPr>
    </w:p>
    <w:p w:rsidR="000322EB" w:rsidRPr="004B6827" w:rsidRDefault="000322EB" w:rsidP="000322EB">
      <w:pPr>
        <w:rPr>
          <w:i/>
          <w:iCs/>
          <w:szCs w:val="22"/>
          <w:lang w:val="sk-SK"/>
        </w:rPr>
      </w:pPr>
      <w:r w:rsidRPr="004B6827">
        <w:rPr>
          <w:i/>
          <w:iCs/>
          <w:szCs w:val="22"/>
          <w:lang w:val="sk-SK"/>
        </w:rPr>
        <w:t>Pacienti s poruchou funkcie obličiek</w:t>
      </w:r>
      <w:r w:rsidR="00CD0DB0" w:rsidRPr="004B6827">
        <w:rPr>
          <w:i/>
          <w:iCs/>
          <w:szCs w:val="22"/>
          <w:lang w:val="sk-SK"/>
        </w:rPr>
        <w:t xml:space="preserve"> (pozri časť 4.4)</w:t>
      </w:r>
    </w:p>
    <w:p w:rsidR="00CD0DB0" w:rsidRPr="004B6827" w:rsidRDefault="00212A25" w:rsidP="000322EB">
      <w:pPr>
        <w:rPr>
          <w:iCs/>
          <w:szCs w:val="22"/>
          <w:lang w:val="sk-SK"/>
        </w:rPr>
      </w:pPr>
      <w:r w:rsidRPr="004B6827">
        <w:rPr>
          <w:iCs/>
          <w:szCs w:val="22"/>
          <w:lang w:val="sk-SK"/>
        </w:rPr>
        <w:t>Lipertance</w:t>
      </w:r>
      <w:r w:rsidR="00CD0DB0" w:rsidRPr="004B6827">
        <w:rPr>
          <w:iCs/>
          <w:szCs w:val="22"/>
          <w:lang w:val="sk-SK"/>
        </w:rPr>
        <w:t xml:space="preserve"> sa môže podávať u pacientov s klírensom kreatinínu ≥ 60 ml/min a nie je vhodný pre pacientov s klírensom kreatinínu </w:t>
      </w:r>
      <w:r w:rsidR="006B787F" w:rsidRPr="004B6827">
        <w:rPr>
          <w:bCs/>
          <w:iCs/>
          <w:szCs w:val="22"/>
          <w:lang w:val="sk-SK"/>
        </w:rPr>
        <w:t>&lt;</w:t>
      </w:r>
      <w:r w:rsidR="00CD0DB0" w:rsidRPr="004B6827">
        <w:rPr>
          <w:iCs/>
          <w:szCs w:val="22"/>
          <w:lang w:val="sk-SK"/>
        </w:rPr>
        <w:t xml:space="preserve"> 60 ml/min. U týchto pacientov sa odporúča titrácia dávky s jednotlivými zložkami.</w:t>
      </w:r>
    </w:p>
    <w:p w:rsidR="00CD0DB0" w:rsidRPr="004B6827" w:rsidRDefault="00CD0DB0" w:rsidP="000322EB">
      <w:pPr>
        <w:rPr>
          <w:szCs w:val="22"/>
          <w:lang w:val="sk-SK"/>
        </w:rPr>
      </w:pPr>
    </w:p>
    <w:p w:rsidR="00CD0DB0" w:rsidRPr="004B6827" w:rsidRDefault="00CD0DB0" w:rsidP="00CD0DB0">
      <w:pPr>
        <w:rPr>
          <w:i/>
          <w:szCs w:val="22"/>
          <w:lang w:val="sk-SK"/>
        </w:rPr>
      </w:pPr>
      <w:r w:rsidRPr="004B6827">
        <w:rPr>
          <w:i/>
          <w:szCs w:val="22"/>
          <w:lang w:val="sk-SK"/>
        </w:rPr>
        <w:t>Starší ľudia (pozri časti 4.4 a 5.2)</w:t>
      </w:r>
    </w:p>
    <w:p w:rsidR="000322EB" w:rsidRPr="004B6827" w:rsidRDefault="00CD0DB0" w:rsidP="000322EB">
      <w:pPr>
        <w:rPr>
          <w:szCs w:val="22"/>
          <w:lang w:val="sk-SK"/>
        </w:rPr>
      </w:pPr>
      <w:r w:rsidRPr="004B6827">
        <w:rPr>
          <w:szCs w:val="22"/>
          <w:lang w:val="sk-SK"/>
        </w:rPr>
        <w:t xml:space="preserve">Starší ľudia sa môžu liečiť </w:t>
      </w:r>
      <w:r w:rsidR="00212A25" w:rsidRPr="004B6827">
        <w:rPr>
          <w:szCs w:val="22"/>
          <w:lang w:val="sk-SK"/>
        </w:rPr>
        <w:t>Lipertance</w:t>
      </w:r>
      <w:r w:rsidRPr="004B6827">
        <w:rPr>
          <w:szCs w:val="22"/>
          <w:lang w:val="sk-SK"/>
        </w:rPr>
        <w:t xml:space="preserve"> podľa funkcie obličiek.</w:t>
      </w:r>
    </w:p>
    <w:p w:rsidR="000322EB" w:rsidRPr="004B6827" w:rsidRDefault="000322EB" w:rsidP="000322EB">
      <w:pPr>
        <w:rPr>
          <w:szCs w:val="22"/>
          <w:lang w:val="sk-SK"/>
        </w:rPr>
      </w:pPr>
    </w:p>
    <w:p w:rsidR="000322EB" w:rsidRPr="004B6827" w:rsidRDefault="000322EB" w:rsidP="000322EB">
      <w:pPr>
        <w:rPr>
          <w:i/>
          <w:szCs w:val="22"/>
          <w:lang w:val="sk-SK"/>
        </w:rPr>
      </w:pPr>
      <w:r w:rsidRPr="004B6827">
        <w:rPr>
          <w:i/>
          <w:iCs/>
          <w:szCs w:val="22"/>
          <w:lang w:val="sk-SK"/>
        </w:rPr>
        <w:t>Pacienti s</w:t>
      </w:r>
      <w:r w:rsidR="009909B3" w:rsidRPr="004B6827">
        <w:rPr>
          <w:i/>
          <w:iCs/>
          <w:szCs w:val="22"/>
          <w:lang w:val="sk-SK"/>
        </w:rPr>
        <w:t> poruchou funkcie pečene</w:t>
      </w:r>
      <w:r w:rsidR="00CD0DB0" w:rsidRPr="004B6827">
        <w:rPr>
          <w:i/>
          <w:iCs/>
          <w:szCs w:val="22"/>
          <w:lang w:val="sk-SK"/>
        </w:rPr>
        <w:t xml:space="preserve"> (pozri časti 4.3, 4.4 a 5.2)</w:t>
      </w:r>
    </w:p>
    <w:p w:rsidR="00CD0DB0" w:rsidRPr="004B6827" w:rsidRDefault="00212A25" w:rsidP="000322EB">
      <w:pPr>
        <w:rPr>
          <w:szCs w:val="22"/>
          <w:lang w:val="sk-SK"/>
        </w:rPr>
      </w:pPr>
      <w:r w:rsidRPr="004B6827">
        <w:rPr>
          <w:szCs w:val="22"/>
          <w:lang w:val="sk-SK"/>
        </w:rPr>
        <w:t>Lipertance</w:t>
      </w:r>
      <w:r w:rsidR="00CD0DB0" w:rsidRPr="004B6827">
        <w:rPr>
          <w:szCs w:val="22"/>
          <w:lang w:val="sk-SK"/>
        </w:rPr>
        <w:t xml:space="preserve"> sa môže používať s</w:t>
      </w:r>
      <w:r w:rsidR="00AD60AA" w:rsidRPr="004B6827">
        <w:rPr>
          <w:szCs w:val="22"/>
          <w:lang w:val="sk-SK"/>
        </w:rPr>
        <w:t> </w:t>
      </w:r>
      <w:r w:rsidR="00CD0DB0" w:rsidRPr="004B6827">
        <w:rPr>
          <w:szCs w:val="22"/>
          <w:lang w:val="sk-SK"/>
        </w:rPr>
        <w:t>opatrnosťou</w:t>
      </w:r>
      <w:r w:rsidR="00AD60AA" w:rsidRPr="004B6827">
        <w:rPr>
          <w:szCs w:val="22"/>
          <w:lang w:val="sk-SK"/>
        </w:rPr>
        <w:t xml:space="preserve"> u pacientov s poruchou funkcie pečene. </w:t>
      </w:r>
      <w:r w:rsidRPr="004B6827">
        <w:rPr>
          <w:szCs w:val="22"/>
          <w:lang w:val="sk-SK"/>
        </w:rPr>
        <w:t>Lipertance</w:t>
      </w:r>
      <w:r w:rsidR="00AD60AA" w:rsidRPr="004B6827">
        <w:rPr>
          <w:szCs w:val="22"/>
          <w:lang w:val="sk-SK"/>
        </w:rPr>
        <w:t xml:space="preserve"> je kontrai</w:t>
      </w:r>
      <w:r w:rsidR="006626D3" w:rsidRPr="004B6827">
        <w:rPr>
          <w:szCs w:val="22"/>
          <w:lang w:val="sk-SK"/>
        </w:rPr>
        <w:t>ndikovan</w:t>
      </w:r>
      <w:r w:rsidR="00E23041" w:rsidRPr="004B6827">
        <w:rPr>
          <w:szCs w:val="22"/>
          <w:lang w:val="sk-SK"/>
        </w:rPr>
        <w:t>ý</w:t>
      </w:r>
      <w:r w:rsidR="006626D3" w:rsidRPr="004B6827">
        <w:rPr>
          <w:szCs w:val="22"/>
          <w:lang w:val="sk-SK"/>
        </w:rPr>
        <w:t xml:space="preserve"> u pacientov s aktívnym</w:t>
      </w:r>
      <w:r w:rsidR="00AD60AA" w:rsidRPr="004B6827">
        <w:rPr>
          <w:szCs w:val="22"/>
          <w:lang w:val="sk-SK"/>
        </w:rPr>
        <w:t xml:space="preserve"> </w:t>
      </w:r>
      <w:r w:rsidR="006626D3" w:rsidRPr="004B6827">
        <w:rPr>
          <w:szCs w:val="22"/>
          <w:lang w:val="sk-SK"/>
        </w:rPr>
        <w:t>ochorením</w:t>
      </w:r>
      <w:r w:rsidR="00AD60AA" w:rsidRPr="004B6827">
        <w:rPr>
          <w:szCs w:val="22"/>
          <w:lang w:val="sk-SK"/>
        </w:rPr>
        <w:t xml:space="preserve"> pečene.</w:t>
      </w:r>
    </w:p>
    <w:p w:rsidR="000322EB" w:rsidRPr="004B6827" w:rsidRDefault="000322EB" w:rsidP="000322EB">
      <w:pPr>
        <w:rPr>
          <w:szCs w:val="22"/>
          <w:lang w:val="sk-SK"/>
        </w:rPr>
      </w:pPr>
    </w:p>
    <w:p w:rsidR="000322EB" w:rsidRPr="004B6827" w:rsidRDefault="000322EB" w:rsidP="000322EB">
      <w:pPr>
        <w:rPr>
          <w:i/>
          <w:szCs w:val="22"/>
          <w:lang w:val="sk-SK"/>
        </w:rPr>
      </w:pPr>
      <w:r w:rsidRPr="004B6827">
        <w:rPr>
          <w:i/>
          <w:szCs w:val="22"/>
          <w:lang w:val="sk-SK"/>
        </w:rPr>
        <w:t>Pediatrická populácia</w:t>
      </w:r>
    </w:p>
    <w:p w:rsidR="000322EB" w:rsidRPr="004B6827" w:rsidRDefault="000322EB" w:rsidP="000322EB">
      <w:pPr>
        <w:rPr>
          <w:szCs w:val="22"/>
          <w:lang w:val="sk-SK"/>
        </w:rPr>
      </w:pPr>
      <w:r w:rsidRPr="004B6827">
        <w:rPr>
          <w:szCs w:val="22"/>
          <w:lang w:val="sk-SK"/>
        </w:rPr>
        <w:t>Bezpečnosť a</w:t>
      </w:r>
      <w:r w:rsidR="00E23041" w:rsidRPr="004B6827">
        <w:rPr>
          <w:szCs w:val="22"/>
          <w:lang w:val="sk-SK"/>
        </w:rPr>
        <w:t> </w:t>
      </w:r>
      <w:r w:rsidRPr="004B6827">
        <w:rPr>
          <w:szCs w:val="22"/>
          <w:lang w:val="sk-SK"/>
        </w:rPr>
        <w:t>úči</w:t>
      </w:r>
      <w:r w:rsidR="004F0BCE" w:rsidRPr="004B6827">
        <w:rPr>
          <w:szCs w:val="22"/>
          <w:lang w:val="sk-SK"/>
        </w:rPr>
        <w:t xml:space="preserve">nnosť </w:t>
      </w:r>
      <w:r w:rsidR="00212A25" w:rsidRPr="004B6827">
        <w:rPr>
          <w:szCs w:val="22"/>
          <w:lang w:val="sk-SK"/>
        </w:rPr>
        <w:t>Lipertance</w:t>
      </w:r>
      <w:r w:rsidRPr="004B6827">
        <w:rPr>
          <w:szCs w:val="22"/>
          <w:lang w:val="sk-SK"/>
        </w:rPr>
        <w:t xml:space="preserve"> u detí a dospievajúcich neboli stanovené. K dispozícii nie sú žiadne údaje.</w:t>
      </w:r>
      <w:r w:rsidR="00C257E1" w:rsidRPr="004B6827">
        <w:rPr>
          <w:szCs w:val="22"/>
          <w:lang w:val="sk-SK"/>
        </w:rPr>
        <w:t xml:space="preserve"> P</w:t>
      </w:r>
      <w:r w:rsidR="00AD60AA" w:rsidRPr="004B6827">
        <w:rPr>
          <w:szCs w:val="22"/>
          <w:lang w:val="sk-SK"/>
        </w:rPr>
        <w:t xml:space="preserve">oužitie u detí a dospievajúcich </w:t>
      </w:r>
      <w:r w:rsidR="00C257E1" w:rsidRPr="004B6827">
        <w:rPr>
          <w:szCs w:val="22"/>
          <w:lang w:val="sk-SK"/>
        </w:rPr>
        <w:t xml:space="preserve">sa preto </w:t>
      </w:r>
      <w:r w:rsidR="00AD60AA" w:rsidRPr="004B6827">
        <w:rPr>
          <w:szCs w:val="22"/>
          <w:lang w:val="sk-SK"/>
        </w:rPr>
        <w:t>neodporúča.</w:t>
      </w:r>
    </w:p>
    <w:p w:rsidR="000322EB" w:rsidRPr="004B6827" w:rsidRDefault="000322EB" w:rsidP="000322EB">
      <w:pPr>
        <w:rPr>
          <w:szCs w:val="22"/>
          <w:lang w:val="sk-SK"/>
        </w:rPr>
      </w:pPr>
    </w:p>
    <w:p w:rsidR="000322EB" w:rsidRPr="004B6827" w:rsidRDefault="000322EB" w:rsidP="000322EB">
      <w:pPr>
        <w:rPr>
          <w:szCs w:val="22"/>
          <w:u w:val="single"/>
          <w:lang w:val="sk-SK"/>
        </w:rPr>
      </w:pPr>
      <w:r w:rsidRPr="004B6827">
        <w:rPr>
          <w:szCs w:val="22"/>
          <w:u w:val="single"/>
          <w:lang w:val="sk-SK"/>
        </w:rPr>
        <w:t>Spôsob podávania</w:t>
      </w:r>
    </w:p>
    <w:p w:rsidR="000322EB" w:rsidRPr="004B6827" w:rsidRDefault="00AD60AA" w:rsidP="000322EB">
      <w:pPr>
        <w:rPr>
          <w:szCs w:val="22"/>
          <w:lang w:val="sk-SK"/>
        </w:rPr>
      </w:pPr>
      <w:r w:rsidRPr="004B6827">
        <w:rPr>
          <w:szCs w:val="22"/>
          <w:lang w:val="sk-SK"/>
        </w:rPr>
        <w:t>Perorálne použitie.</w:t>
      </w:r>
    </w:p>
    <w:p w:rsidR="00AD60AA" w:rsidRPr="004B6827" w:rsidRDefault="00212A25" w:rsidP="000322EB">
      <w:pPr>
        <w:rPr>
          <w:szCs w:val="22"/>
          <w:lang w:val="sk-SK"/>
        </w:rPr>
      </w:pPr>
      <w:r w:rsidRPr="004B6827">
        <w:rPr>
          <w:szCs w:val="22"/>
          <w:lang w:val="sk-SK"/>
        </w:rPr>
        <w:t>Lipertance</w:t>
      </w:r>
      <w:r w:rsidR="00226D79" w:rsidRPr="004B6827">
        <w:rPr>
          <w:szCs w:val="22"/>
          <w:lang w:val="sk-SK"/>
        </w:rPr>
        <w:t xml:space="preserve"> sa má užívať ako jednotlivá dávka jedenkrát denne ráno pred jedlom.</w:t>
      </w:r>
    </w:p>
    <w:p w:rsidR="00AD60AA" w:rsidRPr="004B6827" w:rsidRDefault="00AD60AA" w:rsidP="000322EB">
      <w:pPr>
        <w:rPr>
          <w:szCs w:val="22"/>
          <w:lang w:val="sk-SK"/>
        </w:rPr>
      </w:pPr>
    </w:p>
    <w:p w:rsidR="000322EB" w:rsidRPr="004B6827" w:rsidRDefault="000322EB" w:rsidP="000322EB">
      <w:pPr>
        <w:rPr>
          <w:szCs w:val="22"/>
          <w:lang w:val="sk-SK"/>
        </w:rPr>
      </w:pPr>
    </w:p>
    <w:p w:rsidR="000322EB" w:rsidRPr="004B6827" w:rsidRDefault="000322EB" w:rsidP="000322EB">
      <w:pPr>
        <w:rPr>
          <w:szCs w:val="22"/>
          <w:lang w:val="sk-SK"/>
        </w:rPr>
      </w:pPr>
      <w:r w:rsidRPr="004B6827">
        <w:rPr>
          <w:b/>
          <w:szCs w:val="22"/>
          <w:lang w:val="sk-SK"/>
        </w:rPr>
        <w:t>4.3</w:t>
      </w:r>
      <w:r w:rsidRPr="004B6827">
        <w:rPr>
          <w:b/>
          <w:szCs w:val="22"/>
          <w:lang w:val="sk-SK"/>
        </w:rPr>
        <w:tab/>
        <w:t xml:space="preserve">Kontraindikácie </w:t>
      </w:r>
    </w:p>
    <w:p w:rsidR="000322EB" w:rsidRPr="004B6827" w:rsidRDefault="000322EB" w:rsidP="000322EB">
      <w:pPr>
        <w:tabs>
          <w:tab w:val="clear" w:pos="567"/>
        </w:tabs>
        <w:spacing w:line="240" w:lineRule="auto"/>
        <w:ind w:left="567" w:hanging="567"/>
        <w:rPr>
          <w:szCs w:val="22"/>
          <w:lang w:val="sk-SK"/>
        </w:rPr>
      </w:pPr>
    </w:p>
    <w:p w:rsidR="00226D79" w:rsidRPr="004B6827" w:rsidRDefault="000322EB" w:rsidP="000322EB">
      <w:pPr>
        <w:numPr>
          <w:ilvl w:val="0"/>
          <w:numId w:val="3"/>
        </w:numPr>
        <w:tabs>
          <w:tab w:val="clear" w:pos="567"/>
        </w:tabs>
        <w:rPr>
          <w:szCs w:val="22"/>
          <w:lang w:val="sk-SK"/>
        </w:rPr>
      </w:pPr>
      <w:r w:rsidRPr="004B6827">
        <w:rPr>
          <w:szCs w:val="22"/>
          <w:lang w:val="sk-SK"/>
        </w:rPr>
        <w:t xml:space="preserve">Precitlivenosť na liečivo alebo na </w:t>
      </w:r>
      <w:r w:rsidR="00226D79" w:rsidRPr="004B6827">
        <w:rPr>
          <w:szCs w:val="22"/>
          <w:lang w:val="sk-SK"/>
        </w:rPr>
        <w:t>ktorýkoľvek iný inhibítor ACE</w:t>
      </w:r>
      <w:r w:rsidR="00311B02" w:rsidRPr="004B6827">
        <w:rPr>
          <w:szCs w:val="22"/>
          <w:lang w:val="sk-SK"/>
        </w:rPr>
        <w:t>,</w:t>
      </w:r>
      <w:r w:rsidR="00226D79" w:rsidRPr="004B6827">
        <w:rPr>
          <w:szCs w:val="22"/>
          <w:lang w:val="sk-SK"/>
        </w:rPr>
        <w:t xml:space="preserve"> alebo deriváty dihydropyridínu</w:t>
      </w:r>
      <w:r w:rsidR="00311B02" w:rsidRPr="004B6827">
        <w:rPr>
          <w:szCs w:val="22"/>
          <w:lang w:val="sk-SK"/>
        </w:rPr>
        <w:t>,</w:t>
      </w:r>
      <w:r w:rsidR="00226D79" w:rsidRPr="004B6827">
        <w:rPr>
          <w:szCs w:val="22"/>
          <w:lang w:val="sk-SK"/>
        </w:rPr>
        <w:t xml:space="preserve"> alebo statín</w:t>
      </w:r>
      <w:r w:rsidR="00311B02" w:rsidRPr="004B6827">
        <w:rPr>
          <w:szCs w:val="22"/>
          <w:lang w:val="sk-SK"/>
        </w:rPr>
        <w:t>,</w:t>
      </w:r>
      <w:r w:rsidR="00226D79" w:rsidRPr="004B6827">
        <w:rPr>
          <w:szCs w:val="22"/>
          <w:lang w:val="sk-SK"/>
        </w:rPr>
        <w:t xml:space="preserve"> alebo na </w:t>
      </w:r>
      <w:r w:rsidRPr="004B6827">
        <w:rPr>
          <w:szCs w:val="22"/>
          <w:lang w:val="sk-SK"/>
        </w:rPr>
        <w:t>ktorúkoľvek z pomocných látok uve</w:t>
      </w:r>
      <w:r w:rsidR="00226D79" w:rsidRPr="004B6827">
        <w:rPr>
          <w:szCs w:val="22"/>
          <w:lang w:val="sk-SK"/>
        </w:rPr>
        <w:t>dených v časti 6.1;</w:t>
      </w:r>
    </w:p>
    <w:p w:rsidR="00226D79" w:rsidRPr="004B6827" w:rsidRDefault="00226D79" w:rsidP="000322EB">
      <w:pPr>
        <w:numPr>
          <w:ilvl w:val="0"/>
          <w:numId w:val="3"/>
        </w:numPr>
        <w:tabs>
          <w:tab w:val="clear" w:pos="567"/>
        </w:tabs>
        <w:rPr>
          <w:szCs w:val="22"/>
          <w:lang w:val="sk-SK"/>
        </w:rPr>
      </w:pPr>
      <w:r w:rsidRPr="004B6827">
        <w:rPr>
          <w:szCs w:val="22"/>
          <w:lang w:val="sk-SK"/>
        </w:rPr>
        <w:t>Aktívne ochorenie pečene alebo ne</w:t>
      </w:r>
      <w:r w:rsidR="00FA3795" w:rsidRPr="004B6827">
        <w:rPr>
          <w:szCs w:val="22"/>
          <w:lang w:val="sk-SK"/>
        </w:rPr>
        <w:t>objasnené</w:t>
      </w:r>
      <w:r w:rsidRPr="004B6827">
        <w:rPr>
          <w:szCs w:val="22"/>
          <w:lang w:val="sk-SK"/>
        </w:rPr>
        <w:t xml:space="preserve"> pretrvávajúce zvýšenia </w:t>
      </w:r>
      <w:r w:rsidR="00FA3795" w:rsidRPr="004B6827">
        <w:rPr>
          <w:szCs w:val="22"/>
          <w:lang w:val="sk-SK"/>
        </w:rPr>
        <w:t>sérových transamináz prekračujúce trojnásobok hornej hranice normálu;</w:t>
      </w:r>
    </w:p>
    <w:p w:rsidR="00FA3795" w:rsidRPr="004B6827" w:rsidRDefault="00FA3795" w:rsidP="000322EB">
      <w:pPr>
        <w:numPr>
          <w:ilvl w:val="0"/>
          <w:numId w:val="3"/>
        </w:numPr>
        <w:tabs>
          <w:tab w:val="clear" w:pos="567"/>
        </w:tabs>
        <w:rPr>
          <w:szCs w:val="22"/>
          <w:lang w:val="sk-SK"/>
        </w:rPr>
      </w:pPr>
      <w:r w:rsidRPr="004B6827">
        <w:rPr>
          <w:szCs w:val="22"/>
          <w:lang w:val="sk-SK"/>
        </w:rPr>
        <w:t>Počas gravidity, počas dojčenia a u žien v reprodukčnom veku, ktoré nepoužívajú účinnú antikoncepciu (pozri časť 4.6);</w:t>
      </w:r>
    </w:p>
    <w:p w:rsidR="00FA3795" w:rsidRPr="004B6827" w:rsidRDefault="00FA3795" w:rsidP="00FA3795">
      <w:pPr>
        <w:numPr>
          <w:ilvl w:val="0"/>
          <w:numId w:val="3"/>
        </w:numPr>
        <w:tabs>
          <w:tab w:val="clear" w:pos="567"/>
        </w:tabs>
        <w:rPr>
          <w:szCs w:val="22"/>
          <w:lang w:val="sk-SK"/>
        </w:rPr>
      </w:pPr>
      <w:r w:rsidRPr="004B6827">
        <w:rPr>
          <w:szCs w:val="22"/>
          <w:lang w:val="sk-SK"/>
        </w:rPr>
        <w:lastRenderedPageBreak/>
        <w:t>Ťažká hypotenzia;</w:t>
      </w:r>
    </w:p>
    <w:p w:rsidR="00FA3795" w:rsidRPr="004B6827" w:rsidRDefault="00FA3795" w:rsidP="00FA3795">
      <w:pPr>
        <w:numPr>
          <w:ilvl w:val="0"/>
          <w:numId w:val="3"/>
        </w:numPr>
        <w:tabs>
          <w:tab w:val="clear" w:pos="567"/>
        </w:tabs>
        <w:rPr>
          <w:szCs w:val="22"/>
          <w:lang w:val="sk-SK"/>
        </w:rPr>
      </w:pPr>
      <w:r w:rsidRPr="004B6827">
        <w:rPr>
          <w:szCs w:val="22"/>
          <w:lang w:val="sk-SK"/>
        </w:rPr>
        <w:t>Šok (vrátane kardiogénneho šoku);</w:t>
      </w:r>
    </w:p>
    <w:p w:rsidR="00FA3795" w:rsidRPr="004B6827" w:rsidRDefault="005730D7" w:rsidP="00FA3795">
      <w:pPr>
        <w:numPr>
          <w:ilvl w:val="0"/>
          <w:numId w:val="3"/>
        </w:numPr>
        <w:tabs>
          <w:tab w:val="clear" w:pos="567"/>
        </w:tabs>
        <w:rPr>
          <w:szCs w:val="22"/>
          <w:lang w:val="sk-SK"/>
        </w:rPr>
      </w:pPr>
      <w:r w:rsidRPr="004B6827">
        <w:rPr>
          <w:szCs w:val="22"/>
          <w:lang w:val="sk-SK"/>
        </w:rPr>
        <w:t>Obštrukcia prietoku ľavej komory (napr. hypertrofická obštrukčná kardiomyopatia a vysoký stupeň aortálnej stenózy);</w:t>
      </w:r>
    </w:p>
    <w:p w:rsidR="005730D7" w:rsidRPr="004B6827" w:rsidRDefault="005730D7" w:rsidP="00FA3795">
      <w:pPr>
        <w:numPr>
          <w:ilvl w:val="0"/>
          <w:numId w:val="3"/>
        </w:numPr>
        <w:tabs>
          <w:tab w:val="clear" w:pos="567"/>
        </w:tabs>
        <w:rPr>
          <w:szCs w:val="22"/>
          <w:lang w:val="sk-SK"/>
        </w:rPr>
      </w:pPr>
      <w:r w:rsidRPr="004B6827">
        <w:rPr>
          <w:bCs/>
          <w:iCs/>
          <w:szCs w:val="22"/>
          <w:lang w:val="sk-SK"/>
        </w:rPr>
        <w:t>Hemodynamicky nestabilné srdcové zlyh</w:t>
      </w:r>
      <w:r w:rsidR="008E43E9" w:rsidRPr="004B6827">
        <w:rPr>
          <w:bCs/>
          <w:iCs/>
          <w:szCs w:val="22"/>
          <w:lang w:val="sk-SK"/>
        </w:rPr>
        <w:t>áva</w:t>
      </w:r>
      <w:r w:rsidRPr="004B6827">
        <w:rPr>
          <w:bCs/>
          <w:iCs/>
          <w:szCs w:val="22"/>
          <w:lang w:val="sk-SK"/>
        </w:rPr>
        <w:t>nie po akútnom infarkte myokardu;</w:t>
      </w:r>
    </w:p>
    <w:p w:rsidR="005730D7" w:rsidRPr="004B6827" w:rsidRDefault="005730D7" w:rsidP="005730D7">
      <w:pPr>
        <w:pStyle w:val="EMEAEnBodyText"/>
        <w:numPr>
          <w:ilvl w:val="0"/>
          <w:numId w:val="3"/>
        </w:numPr>
        <w:spacing w:before="0" w:after="0"/>
        <w:rPr>
          <w:szCs w:val="22"/>
          <w:lang w:val="sk-SK"/>
        </w:rPr>
      </w:pPr>
      <w:r w:rsidRPr="004B6827">
        <w:rPr>
          <w:szCs w:val="22"/>
          <w:lang w:val="sk-SK"/>
        </w:rPr>
        <w:t>Anamnéza angioedému (Quinckeho edém) súvisiaceho s predchádzajúcou liečbou inhibítorom ACE;</w:t>
      </w:r>
    </w:p>
    <w:p w:rsidR="005730D7" w:rsidRPr="004B6827" w:rsidRDefault="005730D7" w:rsidP="00FA3795">
      <w:pPr>
        <w:numPr>
          <w:ilvl w:val="0"/>
          <w:numId w:val="3"/>
        </w:numPr>
        <w:tabs>
          <w:tab w:val="clear" w:pos="567"/>
        </w:tabs>
        <w:rPr>
          <w:szCs w:val="22"/>
          <w:lang w:val="sk-SK"/>
        </w:rPr>
      </w:pPr>
      <w:r w:rsidRPr="004B6827">
        <w:rPr>
          <w:szCs w:val="22"/>
          <w:lang w:val="sk-SK"/>
        </w:rPr>
        <w:t>Hereditárny alebo idiopatický angioedém;</w:t>
      </w:r>
    </w:p>
    <w:p w:rsidR="005730D7" w:rsidRPr="004B6827" w:rsidRDefault="005730D7" w:rsidP="00FA3795">
      <w:pPr>
        <w:numPr>
          <w:ilvl w:val="0"/>
          <w:numId w:val="3"/>
        </w:numPr>
        <w:tabs>
          <w:tab w:val="clear" w:pos="567"/>
        </w:tabs>
        <w:rPr>
          <w:szCs w:val="22"/>
          <w:lang w:val="sk-SK"/>
        </w:rPr>
      </w:pPr>
      <w:r w:rsidRPr="004B6827">
        <w:rPr>
          <w:szCs w:val="22"/>
          <w:lang w:val="sk-SK"/>
        </w:rPr>
        <w:t>Súbežné použitie s liekmi obsahujúcimi aliskir</w:t>
      </w:r>
      <w:r w:rsidR="00F10989" w:rsidRPr="004B6827">
        <w:rPr>
          <w:szCs w:val="22"/>
          <w:lang w:val="sk-SK"/>
        </w:rPr>
        <w:t>é</w:t>
      </w:r>
      <w:r w:rsidRPr="004B6827">
        <w:rPr>
          <w:szCs w:val="22"/>
          <w:lang w:val="sk-SK"/>
        </w:rPr>
        <w:t>n u pacientov s diabetom mellitus alebo poruchou funkcie obličiek (GFR &lt; 60 ml/min/1,73 m</w:t>
      </w:r>
      <w:r w:rsidRPr="004B6827">
        <w:rPr>
          <w:szCs w:val="22"/>
          <w:vertAlign w:val="superscript"/>
          <w:lang w:val="sk-SK"/>
        </w:rPr>
        <w:t>2</w:t>
      </w:r>
      <w:r w:rsidRPr="004B6827">
        <w:rPr>
          <w:szCs w:val="22"/>
          <w:lang w:val="sk-SK"/>
        </w:rPr>
        <w:t>) (pozri časti 4.5 a 5.1)</w:t>
      </w:r>
      <w:r w:rsidR="006E30CA" w:rsidRPr="004B6827">
        <w:rPr>
          <w:szCs w:val="22"/>
          <w:lang w:val="sk-SK"/>
        </w:rPr>
        <w:t>.</w:t>
      </w:r>
    </w:p>
    <w:p w:rsidR="006E30CA" w:rsidRPr="004B6827" w:rsidRDefault="006E30CA" w:rsidP="000322EB">
      <w:pPr>
        <w:rPr>
          <w:szCs w:val="22"/>
          <w:lang w:val="sk-SK"/>
        </w:rPr>
      </w:pPr>
    </w:p>
    <w:p w:rsidR="000322EB" w:rsidRPr="004B6827" w:rsidRDefault="000322EB" w:rsidP="000322EB">
      <w:pPr>
        <w:rPr>
          <w:szCs w:val="22"/>
          <w:lang w:val="sk-SK"/>
        </w:rPr>
      </w:pPr>
      <w:r w:rsidRPr="004B6827">
        <w:rPr>
          <w:b/>
          <w:szCs w:val="22"/>
          <w:lang w:val="sk-SK"/>
        </w:rPr>
        <w:t>4.4</w:t>
      </w:r>
      <w:r w:rsidRPr="004B6827">
        <w:rPr>
          <w:b/>
          <w:szCs w:val="22"/>
          <w:lang w:val="sk-SK"/>
        </w:rPr>
        <w:tab/>
        <w:t>Osobitné upozornenia a opatrenia pri používaní</w:t>
      </w:r>
    </w:p>
    <w:p w:rsidR="000322EB" w:rsidRPr="004B6827" w:rsidRDefault="000322EB" w:rsidP="000322EB">
      <w:pPr>
        <w:rPr>
          <w:szCs w:val="22"/>
          <w:lang w:val="sk-SK"/>
        </w:rPr>
      </w:pPr>
    </w:p>
    <w:p w:rsidR="000322EB" w:rsidRPr="004B6827" w:rsidRDefault="006E30CA" w:rsidP="000322EB">
      <w:pPr>
        <w:rPr>
          <w:b/>
          <w:szCs w:val="22"/>
          <w:lang w:val="sk-SK"/>
        </w:rPr>
      </w:pPr>
      <w:r w:rsidRPr="004B6827">
        <w:rPr>
          <w:b/>
          <w:szCs w:val="22"/>
          <w:lang w:val="sk-SK"/>
        </w:rPr>
        <w:t xml:space="preserve">Osobitné upozornenia a opatrenia </w:t>
      </w:r>
      <w:r w:rsidR="000A4EE0" w:rsidRPr="004B6827">
        <w:rPr>
          <w:b/>
          <w:szCs w:val="22"/>
          <w:lang w:val="sk-SK"/>
        </w:rPr>
        <w:t>spojené s atorvastatínom</w:t>
      </w:r>
      <w:r w:rsidRPr="004B6827">
        <w:rPr>
          <w:b/>
          <w:szCs w:val="22"/>
          <w:lang w:val="sk-SK"/>
        </w:rPr>
        <w:t>, perindopril</w:t>
      </w:r>
      <w:r w:rsidR="000A4EE0" w:rsidRPr="004B6827">
        <w:rPr>
          <w:b/>
          <w:szCs w:val="22"/>
          <w:lang w:val="sk-SK"/>
        </w:rPr>
        <w:t>om</w:t>
      </w:r>
      <w:r w:rsidRPr="004B6827">
        <w:rPr>
          <w:b/>
          <w:szCs w:val="22"/>
          <w:lang w:val="sk-SK"/>
        </w:rPr>
        <w:t xml:space="preserve"> a amlodipín</w:t>
      </w:r>
      <w:r w:rsidR="000A4EE0" w:rsidRPr="004B6827">
        <w:rPr>
          <w:b/>
          <w:szCs w:val="22"/>
          <w:lang w:val="sk-SK"/>
        </w:rPr>
        <w:t>om</w:t>
      </w:r>
      <w:r w:rsidRPr="004B6827">
        <w:rPr>
          <w:b/>
          <w:szCs w:val="22"/>
          <w:lang w:val="sk-SK"/>
        </w:rPr>
        <w:t xml:space="preserve"> sú aplikovateľné na </w:t>
      </w:r>
      <w:r w:rsidR="00212A25" w:rsidRPr="004B6827">
        <w:rPr>
          <w:b/>
          <w:szCs w:val="22"/>
          <w:lang w:val="sk-SK"/>
        </w:rPr>
        <w:t>Lipertance</w:t>
      </w:r>
    </w:p>
    <w:p w:rsidR="006E30CA" w:rsidRPr="004B6827" w:rsidRDefault="006E30CA" w:rsidP="000322EB">
      <w:pPr>
        <w:rPr>
          <w:szCs w:val="22"/>
          <w:lang w:val="sk-SK"/>
        </w:rPr>
      </w:pPr>
    </w:p>
    <w:p w:rsidR="006E30CA" w:rsidRPr="004B6827" w:rsidRDefault="006E30CA" w:rsidP="000322EB">
      <w:pPr>
        <w:rPr>
          <w:i/>
          <w:szCs w:val="22"/>
          <w:lang w:val="sk-SK"/>
        </w:rPr>
      </w:pPr>
      <w:r w:rsidRPr="004B6827">
        <w:rPr>
          <w:i/>
          <w:szCs w:val="22"/>
          <w:lang w:val="sk-SK"/>
        </w:rPr>
        <w:t>Vplyv na pečeň</w:t>
      </w:r>
    </w:p>
    <w:p w:rsidR="006E30CA" w:rsidRPr="004B6827" w:rsidRDefault="006E30CA" w:rsidP="000322EB">
      <w:pPr>
        <w:rPr>
          <w:szCs w:val="22"/>
          <w:lang w:val="sk-SK"/>
        </w:rPr>
      </w:pPr>
      <w:r w:rsidRPr="004B6827">
        <w:rPr>
          <w:szCs w:val="22"/>
          <w:lang w:val="sk-SK"/>
        </w:rPr>
        <w:t xml:space="preserve">Vzhľadom na zložku </w:t>
      </w:r>
      <w:r w:rsidR="00212A25" w:rsidRPr="004B6827">
        <w:rPr>
          <w:szCs w:val="22"/>
          <w:lang w:val="sk-SK"/>
        </w:rPr>
        <w:t>Lipertance</w:t>
      </w:r>
      <w:r w:rsidR="00352BE3" w:rsidRPr="004B6827">
        <w:rPr>
          <w:szCs w:val="22"/>
          <w:lang w:val="sk-SK"/>
        </w:rPr>
        <w:t>,</w:t>
      </w:r>
      <w:r w:rsidRPr="004B6827">
        <w:rPr>
          <w:szCs w:val="22"/>
          <w:lang w:val="sk-SK"/>
        </w:rPr>
        <w:t xml:space="preserve"> atorvastatín</w:t>
      </w:r>
      <w:r w:rsidR="00352BE3" w:rsidRPr="004B6827">
        <w:rPr>
          <w:szCs w:val="22"/>
          <w:lang w:val="sk-SK"/>
        </w:rPr>
        <w:t>,</w:t>
      </w:r>
      <w:r w:rsidRPr="004B6827">
        <w:rPr>
          <w:szCs w:val="22"/>
          <w:lang w:val="sk-SK"/>
        </w:rPr>
        <w:t xml:space="preserve"> sa majú pravidelne vykonávať testy funkcie pečene. </w:t>
      </w:r>
      <w:r w:rsidR="000A4EE0" w:rsidRPr="004B6827">
        <w:rPr>
          <w:szCs w:val="22"/>
          <w:lang w:val="sk-SK"/>
        </w:rPr>
        <w:t>U pacientov, u ktorých sa pre</w:t>
      </w:r>
      <w:r w:rsidRPr="004B6827">
        <w:rPr>
          <w:szCs w:val="22"/>
          <w:lang w:val="sk-SK"/>
        </w:rPr>
        <w:t>javia akékoľvek pr</w:t>
      </w:r>
      <w:r w:rsidR="005023C8">
        <w:rPr>
          <w:szCs w:val="22"/>
          <w:lang w:val="sk-SK"/>
        </w:rPr>
        <w:t>ejav</w:t>
      </w:r>
      <w:r w:rsidRPr="004B6827">
        <w:rPr>
          <w:szCs w:val="22"/>
          <w:lang w:val="sk-SK"/>
        </w:rPr>
        <w:t xml:space="preserve">y alebo </w:t>
      </w:r>
      <w:r w:rsidR="00F10989" w:rsidRPr="004B6827">
        <w:rPr>
          <w:szCs w:val="22"/>
          <w:lang w:val="sk-SK"/>
        </w:rPr>
        <w:t>pr</w:t>
      </w:r>
      <w:r w:rsidR="007F5B56">
        <w:rPr>
          <w:szCs w:val="22"/>
          <w:lang w:val="sk-SK"/>
        </w:rPr>
        <w:t>íznak</w:t>
      </w:r>
      <w:r w:rsidR="00F10989" w:rsidRPr="004B6827">
        <w:rPr>
          <w:szCs w:val="22"/>
          <w:lang w:val="sk-SK"/>
        </w:rPr>
        <w:t xml:space="preserve">y </w:t>
      </w:r>
      <w:r w:rsidR="000A4EE0" w:rsidRPr="004B6827">
        <w:rPr>
          <w:szCs w:val="22"/>
          <w:lang w:val="sk-SK"/>
        </w:rPr>
        <w:t>naznačujúce dysfunkciu pečene</w:t>
      </w:r>
      <w:r w:rsidR="006D596B" w:rsidRPr="004B6827">
        <w:rPr>
          <w:szCs w:val="22"/>
          <w:lang w:val="sk-SK"/>
        </w:rPr>
        <w:t>,</w:t>
      </w:r>
      <w:r w:rsidR="000A4EE0" w:rsidRPr="004B6827">
        <w:rPr>
          <w:szCs w:val="22"/>
          <w:lang w:val="sk-SK"/>
        </w:rPr>
        <w:t xml:space="preserve"> sa majú vykonať testy funkcie pečene. Pacienti, u ktorých sa prejavia zvýšené hladiny transamináz</w:t>
      </w:r>
      <w:r w:rsidR="00DF377F" w:rsidRPr="004B6827">
        <w:rPr>
          <w:szCs w:val="22"/>
          <w:lang w:val="sk-SK"/>
        </w:rPr>
        <w:t>,</w:t>
      </w:r>
      <w:r w:rsidR="000A4EE0" w:rsidRPr="004B6827">
        <w:rPr>
          <w:szCs w:val="22"/>
          <w:lang w:val="sk-SK"/>
        </w:rPr>
        <w:t xml:space="preserve"> sa majú monitorovať</w:t>
      </w:r>
      <w:r w:rsidR="00352BE3" w:rsidRPr="004B6827">
        <w:rPr>
          <w:szCs w:val="22"/>
          <w:lang w:val="sk-SK"/>
        </w:rPr>
        <w:t>,</w:t>
      </w:r>
      <w:r w:rsidR="000A4EE0" w:rsidRPr="004B6827">
        <w:rPr>
          <w:szCs w:val="22"/>
          <w:lang w:val="sk-SK"/>
        </w:rPr>
        <w:t xml:space="preserve"> až dokedy sa abnormalita (abnormality) neodstráni</w:t>
      </w:r>
      <w:r w:rsidR="00F10989" w:rsidRPr="004B6827">
        <w:rPr>
          <w:szCs w:val="22"/>
          <w:lang w:val="sk-SK"/>
        </w:rPr>
        <w:t>(</w:t>
      </w:r>
      <w:r w:rsidR="000A4EE0" w:rsidRPr="004B6827">
        <w:rPr>
          <w:szCs w:val="22"/>
          <w:lang w:val="sk-SK"/>
        </w:rPr>
        <w:t>a</w:t>
      </w:r>
      <w:r w:rsidR="00F10989" w:rsidRPr="004B6827">
        <w:rPr>
          <w:szCs w:val="22"/>
          <w:lang w:val="sk-SK"/>
        </w:rPr>
        <w:t>)</w:t>
      </w:r>
      <w:r w:rsidR="000A4EE0" w:rsidRPr="004B6827">
        <w:rPr>
          <w:szCs w:val="22"/>
          <w:lang w:val="sk-SK"/>
        </w:rPr>
        <w:t xml:space="preserve">. </w:t>
      </w:r>
      <w:r w:rsidR="00323A2E" w:rsidRPr="004B6827">
        <w:rPr>
          <w:szCs w:val="22"/>
          <w:lang w:val="sk-SK"/>
        </w:rPr>
        <w:t xml:space="preserve">Ak pretrváva zvýšenie transamináz vyššie ako trojnásobok hornej hranice normálu (ULN, upper limit of normal), odporúča sa znížiť dávku atorvastatínu za použitia individuálnych zložiek alebo </w:t>
      </w:r>
      <w:r w:rsidR="00CE49F1" w:rsidRPr="004B6827">
        <w:rPr>
          <w:szCs w:val="22"/>
          <w:lang w:val="sk-SK"/>
        </w:rPr>
        <w:t>vysadiť</w:t>
      </w:r>
      <w:r w:rsidR="00323A2E" w:rsidRPr="004B6827">
        <w:rPr>
          <w:szCs w:val="22"/>
          <w:lang w:val="sk-SK"/>
        </w:rPr>
        <w:t xml:space="preserve"> atorvastatín (pozri časť 4.8). </w:t>
      </w:r>
      <w:r w:rsidR="00212A25" w:rsidRPr="004B6827">
        <w:rPr>
          <w:szCs w:val="22"/>
          <w:lang w:val="sk-SK"/>
        </w:rPr>
        <w:t>Lipertance</w:t>
      </w:r>
      <w:r w:rsidR="00323A2E" w:rsidRPr="004B6827">
        <w:rPr>
          <w:szCs w:val="22"/>
          <w:lang w:val="sk-SK"/>
        </w:rPr>
        <w:t xml:space="preserve"> sa má používať s opat</w:t>
      </w:r>
      <w:r w:rsidR="00E15E19" w:rsidRPr="004B6827">
        <w:rPr>
          <w:szCs w:val="22"/>
          <w:lang w:val="sk-SK"/>
        </w:rPr>
        <w:t>rnosťou u pacientov, ktorí konzumu</w:t>
      </w:r>
      <w:r w:rsidR="00323A2E" w:rsidRPr="004B6827">
        <w:rPr>
          <w:szCs w:val="22"/>
          <w:lang w:val="sk-SK"/>
        </w:rPr>
        <w:t xml:space="preserve">jú </w:t>
      </w:r>
      <w:r w:rsidR="006D596B" w:rsidRPr="004B6827">
        <w:rPr>
          <w:szCs w:val="22"/>
          <w:lang w:val="sk-SK"/>
        </w:rPr>
        <w:t>značné</w:t>
      </w:r>
      <w:r w:rsidR="00323A2E" w:rsidRPr="004B6827">
        <w:rPr>
          <w:szCs w:val="22"/>
          <w:lang w:val="sk-SK"/>
        </w:rPr>
        <w:t xml:space="preserve"> množstvo alkoholu</w:t>
      </w:r>
      <w:r w:rsidR="006D596B" w:rsidRPr="004B6827">
        <w:rPr>
          <w:szCs w:val="22"/>
          <w:lang w:val="sk-SK"/>
        </w:rPr>
        <w:t xml:space="preserve"> a/alebo majú v anamnéze ocho</w:t>
      </w:r>
      <w:r w:rsidR="00BE053A" w:rsidRPr="004B6827">
        <w:rPr>
          <w:szCs w:val="22"/>
          <w:lang w:val="sk-SK"/>
        </w:rPr>
        <w:t>r</w:t>
      </w:r>
      <w:r w:rsidR="006D596B" w:rsidRPr="004B6827">
        <w:rPr>
          <w:szCs w:val="22"/>
          <w:lang w:val="sk-SK"/>
        </w:rPr>
        <w:t>enie pečene.</w:t>
      </w:r>
    </w:p>
    <w:p w:rsidR="006D596B" w:rsidRPr="004B6827" w:rsidRDefault="006D596B" w:rsidP="000322EB">
      <w:pPr>
        <w:rPr>
          <w:szCs w:val="22"/>
          <w:lang w:val="sk-SK"/>
        </w:rPr>
      </w:pPr>
    </w:p>
    <w:p w:rsidR="006D596B" w:rsidRPr="004B6827" w:rsidRDefault="006D596B" w:rsidP="000322EB">
      <w:pPr>
        <w:rPr>
          <w:szCs w:val="22"/>
          <w:lang w:val="sk-SK"/>
        </w:rPr>
      </w:pPr>
      <w:r w:rsidRPr="004B6827">
        <w:rPr>
          <w:szCs w:val="22"/>
          <w:lang w:val="sk-SK"/>
        </w:rPr>
        <w:t>Inhibítory ACE bol</w:t>
      </w:r>
      <w:r w:rsidR="00DF377F" w:rsidRPr="004B6827">
        <w:rPr>
          <w:szCs w:val="22"/>
          <w:lang w:val="sk-SK"/>
        </w:rPr>
        <w:t>i</w:t>
      </w:r>
      <w:r w:rsidRPr="004B6827">
        <w:rPr>
          <w:szCs w:val="22"/>
          <w:lang w:val="sk-SK"/>
        </w:rPr>
        <w:t xml:space="preserve"> zriedkavo spojené so vznikom syndrómu, ktorý začína cholestatickou žltačkou a progreduje do fulminantnej hepatálnej nekrózy a (niekedy) úmrtia. Mechanizmus tohto syndrómu nie je známy. Pacienti užívajúci </w:t>
      </w:r>
      <w:r w:rsidR="00212A25" w:rsidRPr="004B6827">
        <w:rPr>
          <w:szCs w:val="22"/>
          <w:lang w:val="sk-SK"/>
        </w:rPr>
        <w:t>Lipertance</w:t>
      </w:r>
      <w:r w:rsidRPr="004B6827">
        <w:rPr>
          <w:szCs w:val="22"/>
          <w:lang w:val="sk-SK"/>
        </w:rPr>
        <w:t>, u ktorých sa rozvinie žltačka alebo výrazné zvýšeni</w:t>
      </w:r>
      <w:r w:rsidR="0026541A" w:rsidRPr="004B6827">
        <w:rPr>
          <w:szCs w:val="22"/>
          <w:lang w:val="sk-SK"/>
        </w:rPr>
        <w:t>e</w:t>
      </w:r>
      <w:r w:rsidRPr="004B6827">
        <w:rPr>
          <w:szCs w:val="22"/>
          <w:lang w:val="sk-SK"/>
        </w:rPr>
        <w:t xml:space="preserve"> hepatálnych enzýmov, majú ukončiť užívanie </w:t>
      </w:r>
      <w:r w:rsidR="00212A25" w:rsidRPr="004B6827">
        <w:rPr>
          <w:szCs w:val="22"/>
          <w:lang w:val="sk-SK"/>
        </w:rPr>
        <w:t>Lipertance</w:t>
      </w:r>
      <w:r w:rsidRPr="004B6827">
        <w:rPr>
          <w:szCs w:val="22"/>
          <w:lang w:val="sk-SK"/>
        </w:rPr>
        <w:t xml:space="preserve"> a majú zostať pod náležitým lekárskym dohľadom (pozri časť 4.8</w:t>
      </w:r>
      <w:r w:rsidR="008174D7" w:rsidRPr="004B6827">
        <w:rPr>
          <w:szCs w:val="22"/>
          <w:lang w:val="sk-SK"/>
        </w:rPr>
        <w:t>).</w:t>
      </w:r>
    </w:p>
    <w:p w:rsidR="008174D7" w:rsidRPr="004B6827" w:rsidRDefault="008174D7" w:rsidP="000322EB">
      <w:pPr>
        <w:rPr>
          <w:szCs w:val="22"/>
          <w:lang w:val="sk-SK"/>
        </w:rPr>
      </w:pPr>
    </w:p>
    <w:p w:rsidR="008174D7" w:rsidRPr="004B6827" w:rsidRDefault="008174D7" w:rsidP="000322EB">
      <w:pPr>
        <w:rPr>
          <w:szCs w:val="22"/>
          <w:lang w:val="sk-SK" w:eastAsia="sk-SK"/>
        </w:rPr>
      </w:pPr>
      <w:r w:rsidRPr="004B6827">
        <w:rPr>
          <w:szCs w:val="22"/>
          <w:lang w:val="sk-SK" w:eastAsia="sk-SK"/>
        </w:rPr>
        <w:t>U pacientov s poru</w:t>
      </w:r>
      <w:r w:rsidR="00D8435A" w:rsidRPr="004B6827">
        <w:rPr>
          <w:szCs w:val="22"/>
          <w:lang w:val="sk-SK" w:eastAsia="sk-SK"/>
        </w:rPr>
        <w:t>ch</w:t>
      </w:r>
      <w:r w:rsidRPr="004B6827">
        <w:rPr>
          <w:szCs w:val="22"/>
          <w:lang w:val="sk-SK" w:eastAsia="sk-SK"/>
        </w:rPr>
        <w:t>ou funkci</w:t>
      </w:r>
      <w:r w:rsidR="00D8435A" w:rsidRPr="004B6827">
        <w:rPr>
          <w:szCs w:val="22"/>
          <w:lang w:val="sk-SK" w:eastAsia="sk-SK"/>
        </w:rPr>
        <w:t>e</w:t>
      </w:r>
      <w:r w:rsidRPr="004B6827">
        <w:rPr>
          <w:szCs w:val="22"/>
          <w:lang w:val="sk-SK" w:eastAsia="sk-SK"/>
        </w:rPr>
        <w:t xml:space="preserve"> pečene je polčas amlodipínu predĺžený a hodnoty AUC sú vyššie; odporúčania na dávkovanie neboli stanovené. U pacientov liečených </w:t>
      </w:r>
      <w:r w:rsidR="00212A25" w:rsidRPr="004B6827">
        <w:rPr>
          <w:szCs w:val="22"/>
          <w:lang w:val="sk-SK" w:eastAsia="sk-SK"/>
        </w:rPr>
        <w:t>Lipertance</w:t>
      </w:r>
      <w:r w:rsidRPr="004B6827">
        <w:rPr>
          <w:szCs w:val="22"/>
          <w:lang w:val="sk-SK" w:eastAsia="sk-SK"/>
        </w:rPr>
        <w:t xml:space="preserve"> a trpiacich ťažkou poruchou funkcie pečene sa môže vyžadovať starostlivé monitorovanie.</w:t>
      </w:r>
    </w:p>
    <w:p w:rsidR="008174D7" w:rsidRPr="004B6827" w:rsidRDefault="008174D7" w:rsidP="000322EB">
      <w:pPr>
        <w:rPr>
          <w:szCs w:val="22"/>
          <w:lang w:val="sk-SK" w:eastAsia="sk-SK"/>
        </w:rPr>
      </w:pPr>
    </w:p>
    <w:p w:rsidR="008174D7" w:rsidRPr="004B6827" w:rsidRDefault="00BE053A" w:rsidP="000322EB">
      <w:pPr>
        <w:rPr>
          <w:szCs w:val="22"/>
          <w:lang w:val="sk-SK"/>
        </w:rPr>
      </w:pPr>
      <w:r w:rsidRPr="004B6827">
        <w:rPr>
          <w:szCs w:val="22"/>
          <w:lang w:val="sk-SK" w:eastAsia="sk-SK"/>
        </w:rPr>
        <w:t>Berúc do úvahy</w:t>
      </w:r>
      <w:r w:rsidR="008174D7" w:rsidRPr="004B6827">
        <w:rPr>
          <w:szCs w:val="22"/>
          <w:lang w:val="sk-SK" w:eastAsia="sk-SK"/>
        </w:rPr>
        <w:t xml:space="preserve"> účinok atorvastatínu, perindoprilu a amlodipínu je </w:t>
      </w:r>
      <w:r w:rsidR="00212A25" w:rsidRPr="004B6827">
        <w:rPr>
          <w:szCs w:val="22"/>
          <w:lang w:val="sk-SK" w:eastAsia="sk-SK"/>
        </w:rPr>
        <w:t>Lipertance</w:t>
      </w:r>
      <w:r w:rsidR="008174D7" w:rsidRPr="004B6827">
        <w:rPr>
          <w:szCs w:val="22"/>
          <w:lang w:val="sk-SK" w:eastAsia="sk-SK"/>
        </w:rPr>
        <w:t xml:space="preserve"> kontraindikovan</w:t>
      </w:r>
      <w:r w:rsidR="004E3F1A" w:rsidRPr="004B6827">
        <w:rPr>
          <w:szCs w:val="22"/>
          <w:lang w:val="sk-SK" w:eastAsia="sk-SK"/>
        </w:rPr>
        <w:t>ý</w:t>
      </w:r>
      <w:r w:rsidR="008174D7" w:rsidRPr="004B6827">
        <w:rPr>
          <w:szCs w:val="22"/>
          <w:lang w:val="sk-SK" w:eastAsia="sk-SK"/>
        </w:rPr>
        <w:t xml:space="preserve"> u pacientov s aktívnym ochorením pečene </w:t>
      </w:r>
      <w:r w:rsidRPr="004B6827">
        <w:rPr>
          <w:szCs w:val="22"/>
          <w:lang w:val="sk-SK" w:eastAsia="sk-SK"/>
        </w:rPr>
        <w:t xml:space="preserve">alebo </w:t>
      </w:r>
      <w:r w:rsidRPr="004B6827">
        <w:rPr>
          <w:szCs w:val="22"/>
          <w:lang w:val="sk-SK"/>
        </w:rPr>
        <w:t xml:space="preserve">neobjasnenými pretrvávajúcimi zvýšeniami sérových transamináz prekračujúcimi trojnásobok hornej hranice normálu. U pacientov s poruchou funkcie pečene a u pacientov, ktorí </w:t>
      </w:r>
      <w:r w:rsidR="001F3B9B" w:rsidRPr="004B6827">
        <w:rPr>
          <w:szCs w:val="22"/>
          <w:lang w:val="sk-SK"/>
        </w:rPr>
        <w:t>konzumujú</w:t>
      </w:r>
      <w:r w:rsidRPr="004B6827">
        <w:rPr>
          <w:szCs w:val="22"/>
          <w:lang w:val="sk-SK"/>
        </w:rPr>
        <w:t xml:space="preserve"> značné množstvo alkoholu </w:t>
      </w:r>
      <w:r w:rsidR="008B1510" w:rsidRPr="004B6827">
        <w:rPr>
          <w:szCs w:val="22"/>
          <w:lang w:val="sk-SK"/>
        </w:rPr>
        <w:t>a/alebo majú v anamnéze ochorenie pečene</w:t>
      </w:r>
      <w:r w:rsidR="0026541A" w:rsidRPr="004B6827">
        <w:rPr>
          <w:szCs w:val="22"/>
          <w:lang w:val="sk-SK"/>
        </w:rPr>
        <w:t>,</w:t>
      </w:r>
      <w:r w:rsidR="008B1510" w:rsidRPr="004B6827">
        <w:rPr>
          <w:szCs w:val="22"/>
          <w:lang w:val="sk-SK"/>
        </w:rPr>
        <w:t xml:space="preserve"> sa má </w:t>
      </w:r>
      <w:r w:rsidR="00212A25" w:rsidRPr="004B6827">
        <w:rPr>
          <w:szCs w:val="22"/>
          <w:lang w:val="sk-SK"/>
        </w:rPr>
        <w:t>Lipertance</w:t>
      </w:r>
      <w:r w:rsidR="008B1510" w:rsidRPr="004B6827">
        <w:rPr>
          <w:szCs w:val="22"/>
          <w:lang w:val="sk-SK"/>
        </w:rPr>
        <w:t xml:space="preserve"> používať s opatrnosťou. Ak sa vyžaduje zmena dávkovania</w:t>
      </w:r>
      <w:r w:rsidR="00425AB6" w:rsidRPr="004B6827">
        <w:rPr>
          <w:szCs w:val="22"/>
          <w:lang w:val="sk-SK"/>
        </w:rPr>
        <w:t>, tak sa má vykonať titrácia s individuálnymi zložkami.</w:t>
      </w:r>
    </w:p>
    <w:p w:rsidR="00425AB6" w:rsidRPr="004B6827" w:rsidRDefault="00425AB6" w:rsidP="000322EB">
      <w:pPr>
        <w:rPr>
          <w:szCs w:val="22"/>
          <w:lang w:val="sk-SK"/>
        </w:rPr>
      </w:pPr>
    </w:p>
    <w:p w:rsidR="00425AB6" w:rsidRPr="004B6827" w:rsidRDefault="00425AB6" w:rsidP="000322EB">
      <w:pPr>
        <w:rPr>
          <w:szCs w:val="22"/>
          <w:u w:val="single"/>
          <w:lang w:val="sk-SK"/>
        </w:rPr>
      </w:pPr>
      <w:r w:rsidRPr="004B6827">
        <w:rPr>
          <w:szCs w:val="22"/>
          <w:u w:val="single"/>
          <w:lang w:val="sk-SK"/>
        </w:rPr>
        <w:t>Vplyv na kostrový sval:</w:t>
      </w:r>
    </w:p>
    <w:p w:rsidR="00DE1DF8" w:rsidRPr="004B6827" w:rsidRDefault="00425AB6" w:rsidP="00DE1DF8">
      <w:pPr>
        <w:rPr>
          <w:szCs w:val="22"/>
          <w:lang w:val="sk-SK"/>
        </w:rPr>
      </w:pPr>
      <w:r w:rsidRPr="004B6827">
        <w:rPr>
          <w:szCs w:val="22"/>
          <w:lang w:val="sk-SK"/>
        </w:rPr>
        <w:t xml:space="preserve">Atorvastatín, rovnako ako ostatné inhibítory HMG-CoA reduktázy, môže v zriedkavých prípadoch pôsobiť na kostrový sval </w:t>
      </w:r>
      <w:r w:rsidR="00E15E19" w:rsidRPr="004B6827">
        <w:rPr>
          <w:szCs w:val="22"/>
          <w:lang w:val="sk-SK"/>
        </w:rPr>
        <w:t xml:space="preserve">a spôsobiť myalgiu, myozitídu a myopatiu, ktoré môžu progredovať do rabdomyolýzy, </w:t>
      </w:r>
      <w:r w:rsidR="00DE1DF8" w:rsidRPr="004B6827">
        <w:rPr>
          <w:szCs w:val="22"/>
          <w:lang w:val="sk-SK"/>
        </w:rPr>
        <w:t>potenciálne život ohrozujúceho stavu charakterizovaného výrazným zvýšením hodnôt kreatínkinázy (CK) (&gt; 10</w:t>
      </w:r>
      <w:r w:rsidR="00DD641F" w:rsidRPr="004B6827">
        <w:rPr>
          <w:szCs w:val="22"/>
          <w:lang w:val="sk-SK"/>
        </w:rPr>
        <w:t xml:space="preserve"> x</w:t>
      </w:r>
      <w:r w:rsidR="00DE1DF8" w:rsidRPr="004B6827">
        <w:rPr>
          <w:szCs w:val="22"/>
          <w:lang w:val="sk-SK"/>
        </w:rPr>
        <w:t xml:space="preserve"> ULN), myoglobinémiou a myoglobinúriou, ktoré môžu viesť ku zlyhaniu obličiek.</w:t>
      </w:r>
    </w:p>
    <w:p w:rsidR="00DE1DF8" w:rsidRPr="004B6827" w:rsidRDefault="00DE1DF8" w:rsidP="00DE1DF8">
      <w:pPr>
        <w:rPr>
          <w:szCs w:val="22"/>
          <w:lang w:val="sk-SK"/>
        </w:rPr>
      </w:pPr>
    </w:p>
    <w:p w:rsidR="00DE1DF8" w:rsidRPr="004B6827" w:rsidRDefault="00DE1DF8" w:rsidP="00DE1DF8">
      <w:pPr>
        <w:rPr>
          <w:i/>
          <w:szCs w:val="22"/>
          <w:lang w:val="sk-SK"/>
        </w:rPr>
      </w:pPr>
      <w:r w:rsidRPr="004B6827">
        <w:rPr>
          <w:i/>
          <w:szCs w:val="22"/>
          <w:lang w:val="sk-SK"/>
        </w:rPr>
        <w:tab/>
        <w:t>Vyšetrenie hladiny kreatínkinázy:</w:t>
      </w:r>
    </w:p>
    <w:p w:rsidR="00DE1DF8" w:rsidRPr="004B6827" w:rsidRDefault="00DE1DF8" w:rsidP="00DE1DF8">
      <w:pPr>
        <w:rPr>
          <w:szCs w:val="22"/>
          <w:lang w:val="sk-SK"/>
        </w:rPr>
      </w:pPr>
    </w:p>
    <w:p w:rsidR="00DE1DF8" w:rsidRPr="004B6827" w:rsidRDefault="00DE1DF8" w:rsidP="00DE1DF8">
      <w:pPr>
        <w:ind w:left="567"/>
        <w:rPr>
          <w:szCs w:val="22"/>
          <w:lang w:val="sk-SK"/>
        </w:rPr>
      </w:pPr>
      <w:r w:rsidRPr="004B6827">
        <w:rPr>
          <w:szCs w:val="22"/>
          <w:lang w:val="sk-SK"/>
        </w:rPr>
        <w:lastRenderedPageBreak/>
        <w:t>Kreatínkináza (CK) sa nemá vyšetrovať po namáhavom cvičení alebo v prítomnosti akejkoľvek inej možnej alternatívnej príčiny zvýšenia CK, keďže to sťažuje interpretáciu hodnôt. Ak sú h</w:t>
      </w:r>
      <w:r w:rsidR="0080446A" w:rsidRPr="004B6827">
        <w:rPr>
          <w:szCs w:val="22"/>
          <w:lang w:val="sk-SK"/>
        </w:rPr>
        <w:t>ladiny</w:t>
      </w:r>
      <w:r w:rsidRPr="004B6827">
        <w:rPr>
          <w:szCs w:val="22"/>
          <w:lang w:val="sk-SK"/>
        </w:rPr>
        <w:t xml:space="preserve"> CK na začiatku </w:t>
      </w:r>
      <w:r w:rsidR="00E13782" w:rsidRPr="004B6827">
        <w:rPr>
          <w:szCs w:val="22"/>
          <w:lang w:val="sk-SK"/>
        </w:rPr>
        <w:t>významne</w:t>
      </w:r>
      <w:r w:rsidRPr="004B6827">
        <w:rPr>
          <w:szCs w:val="22"/>
          <w:lang w:val="sk-SK"/>
        </w:rPr>
        <w:t xml:space="preserve"> zvýšené (&gt; 5</w:t>
      </w:r>
      <w:r w:rsidR="00DD641F" w:rsidRPr="004B6827">
        <w:rPr>
          <w:szCs w:val="22"/>
          <w:lang w:val="sk-SK"/>
        </w:rPr>
        <w:t xml:space="preserve"> x</w:t>
      </w:r>
      <w:r w:rsidRPr="004B6827">
        <w:rPr>
          <w:szCs w:val="22"/>
          <w:lang w:val="sk-SK"/>
        </w:rPr>
        <w:t xml:space="preserve"> ULN), majú sa h</w:t>
      </w:r>
      <w:r w:rsidR="0080446A" w:rsidRPr="004B6827">
        <w:rPr>
          <w:szCs w:val="22"/>
          <w:lang w:val="sk-SK"/>
        </w:rPr>
        <w:t>ladin</w:t>
      </w:r>
      <w:r w:rsidRPr="004B6827">
        <w:rPr>
          <w:szCs w:val="22"/>
          <w:lang w:val="sk-SK"/>
        </w:rPr>
        <w:t>y opäť vyšetriť o 5 až 7 dní neskôr, aby sa potvrdili výsledky.</w:t>
      </w:r>
    </w:p>
    <w:p w:rsidR="00B36FA4" w:rsidRPr="004B6827" w:rsidRDefault="00B36FA4" w:rsidP="00DE1DF8">
      <w:pPr>
        <w:ind w:left="567"/>
        <w:rPr>
          <w:szCs w:val="22"/>
          <w:lang w:val="sk-SK"/>
        </w:rPr>
      </w:pPr>
    </w:p>
    <w:p w:rsidR="00B36FA4" w:rsidRPr="004B6827" w:rsidRDefault="00B36FA4" w:rsidP="00B36FA4">
      <w:pPr>
        <w:ind w:left="567"/>
        <w:rPr>
          <w:szCs w:val="22"/>
          <w:lang w:val="sk-SK"/>
        </w:rPr>
      </w:pPr>
      <w:r w:rsidRPr="004B6827">
        <w:rPr>
          <w:szCs w:val="22"/>
          <w:lang w:val="sk-SK"/>
        </w:rPr>
        <w:t>Pred liečbou</w:t>
      </w:r>
    </w:p>
    <w:p w:rsidR="00B36FA4" w:rsidRPr="004B6827" w:rsidRDefault="00B36FA4" w:rsidP="00B36FA4">
      <w:pPr>
        <w:ind w:left="567"/>
        <w:rPr>
          <w:szCs w:val="22"/>
          <w:lang w:val="sk-SK"/>
        </w:rPr>
      </w:pPr>
      <w:r w:rsidRPr="004B6827">
        <w:rPr>
          <w:szCs w:val="22"/>
          <w:lang w:val="sk-SK"/>
        </w:rPr>
        <w:t>Atorvastatín sa má predpisovať s opatrnosťou u pacientov s predispozíciou na rabdomyolýzu. Hladina CK sa má vyšetriť pred začiatkom liečby statínmi v nasledujúcich prípadoch:</w:t>
      </w:r>
    </w:p>
    <w:p w:rsidR="00B36FA4" w:rsidRPr="007F5B56" w:rsidRDefault="00B36FA4" w:rsidP="006D6727">
      <w:pPr>
        <w:numPr>
          <w:ilvl w:val="0"/>
          <w:numId w:val="36"/>
        </w:numPr>
        <w:shd w:val="clear" w:color="auto" w:fill="FFFFFF"/>
        <w:tabs>
          <w:tab w:val="clear" w:pos="567"/>
          <w:tab w:val="clear" w:pos="720"/>
        </w:tabs>
        <w:ind w:left="927"/>
        <w:jc w:val="both"/>
        <w:rPr>
          <w:szCs w:val="22"/>
          <w:lang w:val="sk-SK" w:eastAsia="en-GB"/>
        </w:rPr>
      </w:pPr>
      <w:r w:rsidRPr="007F5B56">
        <w:rPr>
          <w:szCs w:val="22"/>
          <w:lang w:val="sk-SK" w:eastAsia="en-GB"/>
        </w:rPr>
        <w:t>Porucha funkcie obličiek</w:t>
      </w:r>
    </w:p>
    <w:p w:rsidR="00B36FA4" w:rsidRPr="007F5B56" w:rsidRDefault="00B36FA4" w:rsidP="006D6727">
      <w:pPr>
        <w:numPr>
          <w:ilvl w:val="0"/>
          <w:numId w:val="36"/>
        </w:numPr>
        <w:shd w:val="clear" w:color="auto" w:fill="FFFFFF"/>
        <w:tabs>
          <w:tab w:val="clear" w:pos="567"/>
          <w:tab w:val="clear" w:pos="720"/>
        </w:tabs>
        <w:ind w:left="927"/>
        <w:jc w:val="both"/>
        <w:rPr>
          <w:szCs w:val="22"/>
          <w:lang w:val="sk-SK" w:eastAsia="en-GB"/>
        </w:rPr>
      </w:pPr>
      <w:r w:rsidRPr="007F5B56">
        <w:rPr>
          <w:szCs w:val="22"/>
          <w:lang w:val="sk-SK" w:eastAsia="en-GB"/>
        </w:rPr>
        <w:t>Hypotyreóza</w:t>
      </w:r>
    </w:p>
    <w:p w:rsidR="00B36FA4" w:rsidRPr="007F5B56" w:rsidRDefault="00B36FA4" w:rsidP="006D6727">
      <w:pPr>
        <w:numPr>
          <w:ilvl w:val="0"/>
          <w:numId w:val="36"/>
        </w:numPr>
        <w:shd w:val="clear" w:color="auto" w:fill="FFFFFF"/>
        <w:tabs>
          <w:tab w:val="clear" w:pos="567"/>
          <w:tab w:val="clear" w:pos="720"/>
        </w:tabs>
        <w:ind w:left="927"/>
        <w:jc w:val="both"/>
        <w:rPr>
          <w:szCs w:val="22"/>
          <w:lang w:val="sk-SK" w:eastAsia="en-GB"/>
        </w:rPr>
      </w:pPr>
      <w:r w:rsidRPr="007F5B56">
        <w:rPr>
          <w:szCs w:val="22"/>
          <w:lang w:val="sk-SK" w:eastAsia="en-GB"/>
        </w:rPr>
        <w:t xml:space="preserve">Osobná alebo rodinná anamnéza hereditárnej svalovej poruchy </w:t>
      </w:r>
    </w:p>
    <w:p w:rsidR="00B36FA4" w:rsidRPr="007F5B56" w:rsidRDefault="00B36FA4" w:rsidP="006D6727">
      <w:pPr>
        <w:numPr>
          <w:ilvl w:val="0"/>
          <w:numId w:val="36"/>
        </w:numPr>
        <w:shd w:val="clear" w:color="auto" w:fill="FFFFFF"/>
        <w:tabs>
          <w:tab w:val="clear" w:pos="567"/>
          <w:tab w:val="clear" w:pos="720"/>
        </w:tabs>
        <w:ind w:left="927"/>
        <w:jc w:val="both"/>
        <w:rPr>
          <w:szCs w:val="22"/>
          <w:lang w:val="sk-SK" w:eastAsia="en-GB"/>
        </w:rPr>
      </w:pPr>
      <w:r w:rsidRPr="007F5B56">
        <w:rPr>
          <w:szCs w:val="22"/>
          <w:lang w:val="sk-SK" w:eastAsia="en-GB"/>
        </w:rPr>
        <w:t>Anamnéza výskytu svalovej toxicity v súvislosti s liečbou statínmi alebo fibrátmi</w:t>
      </w:r>
    </w:p>
    <w:p w:rsidR="00B36FA4" w:rsidRPr="007F5B56" w:rsidRDefault="00B36FA4" w:rsidP="006D6727">
      <w:pPr>
        <w:numPr>
          <w:ilvl w:val="0"/>
          <w:numId w:val="36"/>
        </w:numPr>
        <w:shd w:val="clear" w:color="auto" w:fill="FFFFFF"/>
        <w:tabs>
          <w:tab w:val="clear" w:pos="567"/>
          <w:tab w:val="clear" w:pos="720"/>
        </w:tabs>
        <w:ind w:left="927"/>
        <w:jc w:val="both"/>
        <w:rPr>
          <w:szCs w:val="22"/>
          <w:lang w:val="sk-SK" w:eastAsia="en-GB"/>
        </w:rPr>
      </w:pPr>
      <w:r w:rsidRPr="007F5B56">
        <w:rPr>
          <w:szCs w:val="22"/>
          <w:lang w:val="sk-SK" w:eastAsia="en-GB"/>
        </w:rPr>
        <w:t xml:space="preserve">Anamnéza výskytu ochorenia pečene a/alebo konzumovania väčšieho množstva alkoholu </w:t>
      </w:r>
    </w:p>
    <w:p w:rsidR="00B36FA4" w:rsidRPr="007F5B56" w:rsidRDefault="00B36FA4" w:rsidP="006D6727">
      <w:pPr>
        <w:numPr>
          <w:ilvl w:val="0"/>
          <w:numId w:val="36"/>
        </w:numPr>
        <w:shd w:val="clear" w:color="auto" w:fill="FFFFFF"/>
        <w:tabs>
          <w:tab w:val="clear" w:pos="567"/>
          <w:tab w:val="clear" w:pos="720"/>
        </w:tabs>
        <w:ind w:left="927"/>
        <w:jc w:val="both"/>
        <w:rPr>
          <w:szCs w:val="22"/>
          <w:lang w:val="sk-SK" w:eastAsia="en-GB"/>
        </w:rPr>
      </w:pPr>
      <w:r w:rsidRPr="007F5B56">
        <w:rPr>
          <w:szCs w:val="22"/>
          <w:lang w:val="sk-SK" w:eastAsia="en-GB"/>
        </w:rPr>
        <w:t>U starších pacientov (vek &gt; 70 rokov) má sa zvážiť nutnosť takéhoto vyšetrenia, a to v závislosti od prítomnosti ostatných predispozičných faktorov pre vznik rabdomyolýzy</w:t>
      </w:r>
    </w:p>
    <w:p w:rsidR="00B36FA4" w:rsidRPr="007F5B56" w:rsidRDefault="00B36FA4" w:rsidP="006D6727">
      <w:pPr>
        <w:numPr>
          <w:ilvl w:val="0"/>
          <w:numId w:val="36"/>
        </w:numPr>
        <w:shd w:val="clear" w:color="auto" w:fill="FFFFFF"/>
        <w:tabs>
          <w:tab w:val="clear" w:pos="567"/>
          <w:tab w:val="clear" w:pos="720"/>
        </w:tabs>
        <w:ind w:left="927"/>
        <w:jc w:val="both"/>
        <w:rPr>
          <w:szCs w:val="22"/>
          <w:lang w:val="sk-SK" w:eastAsia="en-GB"/>
        </w:rPr>
      </w:pPr>
      <w:r w:rsidRPr="007F5B56">
        <w:rPr>
          <w:szCs w:val="22"/>
          <w:lang w:val="sk-SK" w:eastAsia="en-GB"/>
        </w:rPr>
        <w:t>Situácie, keď môže dôjsť k zvýšeniu plazmatických hladín, ako sú interakcie (pozri časť 4.5) a osobitné skupiny pacientov vrátane genetických podskupín (pozri časť 5.2).</w:t>
      </w:r>
    </w:p>
    <w:p w:rsidR="00B36FA4" w:rsidRPr="004B6827" w:rsidRDefault="00B36FA4" w:rsidP="003A67B0">
      <w:pPr>
        <w:shd w:val="clear" w:color="auto" w:fill="FFFFFF"/>
        <w:tabs>
          <w:tab w:val="clear" w:pos="567"/>
        </w:tabs>
        <w:ind w:left="927" w:hanging="360"/>
        <w:jc w:val="both"/>
        <w:rPr>
          <w:szCs w:val="22"/>
          <w:lang w:val="sk-SK"/>
        </w:rPr>
      </w:pPr>
    </w:p>
    <w:p w:rsidR="00B36FA4" w:rsidRPr="00591EEB" w:rsidRDefault="00B36FA4" w:rsidP="00B36FA4">
      <w:pPr>
        <w:ind w:left="567"/>
        <w:rPr>
          <w:szCs w:val="22"/>
          <w:lang w:val="sk-SK"/>
        </w:rPr>
      </w:pPr>
      <w:r w:rsidRPr="004B6827">
        <w:rPr>
          <w:szCs w:val="22"/>
          <w:lang w:val="sk-SK"/>
        </w:rPr>
        <w:t>V takýchto prípadoch sa m</w:t>
      </w:r>
      <w:r w:rsidR="00F50D12" w:rsidRPr="00275323">
        <w:rPr>
          <w:szCs w:val="22"/>
          <w:lang w:val="sk-SK"/>
        </w:rPr>
        <w:t xml:space="preserve">á </w:t>
      </w:r>
      <w:r w:rsidRPr="00275323">
        <w:rPr>
          <w:szCs w:val="22"/>
          <w:lang w:val="sk-SK"/>
        </w:rPr>
        <w:t>zvážiť riziko liečby vo vzťahu k mo</w:t>
      </w:r>
      <w:r w:rsidRPr="00591EEB">
        <w:rPr>
          <w:szCs w:val="22"/>
          <w:lang w:val="sk-SK"/>
        </w:rPr>
        <w:t>žnému prínosu a odporúča sa klinický monitoring.</w:t>
      </w:r>
    </w:p>
    <w:p w:rsidR="00B36FA4" w:rsidRPr="004B6827" w:rsidRDefault="00B36FA4" w:rsidP="00B36FA4">
      <w:pPr>
        <w:ind w:left="567"/>
        <w:rPr>
          <w:szCs w:val="22"/>
          <w:lang w:val="sk-SK"/>
        </w:rPr>
      </w:pPr>
      <w:r w:rsidRPr="004B6827">
        <w:rPr>
          <w:szCs w:val="22"/>
          <w:lang w:val="sk-SK"/>
        </w:rPr>
        <w:t xml:space="preserve">Ak sú </w:t>
      </w:r>
      <w:r w:rsidR="00F50D12" w:rsidRPr="004B6827">
        <w:rPr>
          <w:szCs w:val="22"/>
          <w:lang w:val="sk-SK"/>
        </w:rPr>
        <w:t xml:space="preserve">hladiny </w:t>
      </w:r>
      <w:r w:rsidRPr="004B6827">
        <w:rPr>
          <w:szCs w:val="22"/>
          <w:lang w:val="sk-SK"/>
        </w:rPr>
        <w:t xml:space="preserve">CK na začiatku liečby </w:t>
      </w:r>
      <w:r w:rsidR="00E13782" w:rsidRPr="004B6827">
        <w:rPr>
          <w:szCs w:val="22"/>
          <w:lang w:val="sk-SK"/>
        </w:rPr>
        <w:t>význam</w:t>
      </w:r>
      <w:r w:rsidRPr="004B6827">
        <w:rPr>
          <w:szCs w:val="22"/>
          <w:lang w:val="sk-SK"/>
        </w:rPr>
        <w:t>ne zvýšené (&gt; 5</w:t>
      </w:r>
      <w:r w:rsidR="00DD641F" w:rsidRPr="004B6827">
        <w:rPr>
          <w:szCs w:val="22"/>
          <w:lang w:val="sk-SK"/>
        </w:rPr>
        <w:t>x</w:t>
      </w:r>
      <w:r w:rsidRPr="004B6827">
        <w:rPr>
          <w:szCs w:val="22"/>
          <w:lang w:val="sk-SK"/>
        </w:rPr>
        <w:t xml:space="preserve"> ULN),</w:t>
      </w:r>
      <w:r w:rsidR="00F50D12" w:rsidRPr="004B6827">
        <w:rPr>
          <w:szCs w:val="22"/>
          <w:lang w:val="sk-SK"/>
        </w:rPr>
        <w:t xml:space="preserve"> liečba atorvastatínom sa nemá</w:t>
      </w:r>
      <w:r w:rsidRPr="004B6827">
        <w:rPr>
          <w:szCs w:val="22"/>
          <w:lang w:val="sk-SK"/>
        </w:rPr>
        <w:t xml:space="preserve"> začať.</w:t>
      </w:r>
    </w:p>
    <w:p w:rsidR="00B36FA4" w:rsidRPr="004B6827" w:rsidRDefault="00B36FA4" w:rsidP="00DE1DF8">
      <w:pPr>
        <w:ind w:left="567"/>
        <w:rPr>
          <w:szCs w:val="22"/>
          <w:lang w:val="sk-SK"/>
        </w:rPr>
      </w:pPr>
    </w:p>
    <w:p w:rsidR="00DE1DF8" w:rsidRPr="004B6827" w:rsidRDefault="00DE1DF8" w:rsidP="00DE1DF8">
      <w:pPr>
        <w:ind w:left="567" w:hanging="567"/>
        <w:rPr>
          <w:szCs w:val="22"/>
          <w:lang w:val="sk-SK"/>
        </w:rPr>
      </w:pPr>
    </w:p>
    <w:p w:rsidR="00DE1DF8" w:rsidRPr="004B6827" w:rsidRDefault="009E5798" w:rsidP="009E5798">
      <w:pPr>
        <w:ind w:left="567" w:hanging="567"/>
        <w:rPr>
          <w:szCs w:val="22"/>
          <w:lang w:val="sk-SK"/>
        </w:rPr>
      </w:pPr>
      <w:r w:rsidRPr="004B6827">
        <w:rPr>
          <w:szCs w:val="22"/>
          <w:lang w:val="sk-SK"/>
        </w:rPr>
        <w:tab/>
      </w:r>
      <w:r w:rsidR="00DE1DF8" w:rsidRPr="004B6827">
        <w:rPr>
          <w:szCs w:val="22"/>
          <w:lang w:val="sk-SK"/>
        </w:rPr>
        <w:t>Počas liečby</w:t>
      </w:r>
      <w:r w:rsidRPr="004B6827">
        <w:rPr>
          <w:szCs w:val="22"/>
          <w:lang w:val="sk-SK"/>
        </w:rPr>
        <w:t>:</w:t>
      </w:r>
    </w:p>
    <w:p w:rsidR="009E5798" w:rsidRPr="004B6827" w:rsidRDefault="00641884" w:rsidP="009E5798">
      <w:pPr>
        <w:pStyle w:val="Odsekzoznamu"/>
        <w:numPr>
          <w:ilvl w:val="0"/>
          <w:numId w:val="34"/>
        </w:numPr>
        <w:rPr>
          <w:szCs w:val="22"/>
          <w:lang w:val="sk-SK"/>
        </w:rPr>
      </w:pPr>
      <w:r w:rsidRPr="004B6827">
        <w:rPr>
          <w:szCs w:val="22"/>
          <w:lang w:val="sk-SK"/>
        </w:rPr>
        <w:t>Je potrebné p</w:t>
      </w:r>
      <w:r w:rsidR="009E5798" w:rsidRPr="004B6827">
        <w:rPr>
          <w:szCs w:val="22"/>
          <w:lang w:val="sk-SK"/>
        </w:rPr>
        <w:t>acient</w:t>
      </w:r>
      <w:r w:rsidRPr="004B6827">
        <w:rPr>
          <w:szCs w:val="22"/>
          <w:lang w:val="sk-SK"/>
        </w:rPr>
        <w:t>ov</w:t>
      </w:r>
      <w:r w:rsidR="009E5798" w:rsidRPr="004B6827">
        <w:rPr>
          <w:szCs w:val="22"/>
          <w:lang w:val="sk-SK"/>
        </w:rPr>
        <w:t xml:space="preserve"> požiadať, aby okamžite hlásili bolesti svalov, svalové kŕče alebo slabosť, zvlášť ak sú sprevádzané celkovou nevoľnosťou alebo horúčkou.</w:t>
      </w:r>
    </w:p>
    <w:p w:rsidR="009E5798" w:rsidRPr="004B6827" w:rsidRDefault="009E5798" w:rsidP="009E5798">
      <w:pPr>
        <w:pStyle w:val="Odsekzoznamu"/>
        <w:numPr>
          <w:ilvl w:val="0"/>
          <w:numId w:val="34"/>
        </w:numPr>
        <w:rPr>
          <w:szCs w:val="22"/>
          <w:lang w:val="sk-SK"/>
        </w:rPr>
      </w:pPr>
      <w:r w:rsidRPr="004B6827">
        <w:rPr>
          <w:szCs w:val="22"/>
          <w:lang w:val="sk-SK"/>
        </w:rPr>
        <w:t xml:space="preserve">Ak sa takéto príznaky vyskytnú počas liečby </w:t>
      </w:r>
      <w:r w:rsidR="00212A25" w:rsidRPr="004B6827">
        <w:rPr>
          <w:szCs w:val="22"/>
          <w:lang w:val="sk-SK"/>
        </w:rPr>
        <w:t>Lipertance</w:t>
      </w:r>
      <w:r w:rsidR="00A24EF5" w:rsidRPr="004B6827">
        <w:rPr>
          <w:szCs w:val="22"/>
          <w:lang w:val="sk-SK"/>
        </w:rPr>
        <w:t>, majú</w:t>
      </w:r>
      <w:r w:rsidRPr="004B6827">
        <w:rPr>
          <w:szCs w:val="22"/>
          <w:lang w:val="sk-SK"/>
        </w:rPr>
        <w:t xml:space="preserve"> sa vyšetriť</w:t>
      </w:r>
      <w:r w:rsidR="00A24EF5" w:rsidRPr="004B6827">
        <w:rPr>
          <w:szCs w:val="22"/>
          <w:lang w:val="sk-SK"/>
        </w:rPr>
        <w:t xml:space="preserve"> </w:t>
      </w:r>
      <w:r w:rsidRPr="004B6827">
        <w:rPr>
          <w:szCs w:val="22"/>
          <w:lang w:val="sk-SK"/>
        </w:rPr>
        <w:t>h</w:t>
      </w:r>
      <w:r w:rsidR="0080446A" w:rsidRPr="004B6827">
        <w:rPr>
          <w:szCs w:val="22"/>
          <w:lang w:val="sk-SK"/>
        </w:rPr>
        <w:t>ladin</w:t>
      </w:r>
      <w:r w:rsidRPr="004B6827">
        <w:rPr>
          <w:szCs w:val="22"/>
          <w:lang w:val="sk-SK"/>
        </w:rPr>
        <w:t>y CK. Ak sa zistí, že tieto h</w:t>
      </w:r>
      <w:r w:rsidR="0080446A" w:rsidRPr="004B6827">
        <w:rPr>
          <w:szCs w:val="22"/>
          <w:lang w:val="sk-SK"/>
        </w:rPr>
        <w:t>ladin</w:t>
      </w:r>
      <w:r w:rsidRPr="004B6827">
        <w:rPr>
          <w:szCs w:val="22"/>
          <w:lang w:val="sk-SK"/>
        </w:rPr>
        <w:t xml:space="preserve">y sú </w:t>
      </w:r>
      <w:r w:rsidR="00E13782" w:rsidRPr="004B6827">
        <w:rPr>
          <w:szCs w:val="22"/>
          <w:lang w:val="sk-SK"/>
        </w:rPr>
        <w:t>význam</w:t>
      </w:r>
      <w:r w:rsidRPr="004B6827">
        <w:rPr>
          <w:szCs w:val="22"/>
          <w:lang w:val="sk-SK"/>
        </w:rPr>
        <w:t>ne zvýšen</w:t>
      </w:r>
      <w:r w:rsidR="00A24EF5" w:rsidRPr="004B6827">
        <w:rPr>
          <w:szCs w:val="22"/>
          <w:lang w:val="sk-SK"/>
        </w:rPr>
        <w:t>é (&gt; 5</w:t>
      </w:r>
      <w:r w:rsidR="00DD641F" w:rsidRPr="004B6827">
        <w:rPr>
          <w:szCs w:val="22"/>
          <w:lang w:val="sk-SK"/>
        </w:rPr>
        <w:t>x</w:t>
      </w:r>
      <w:r w:rsidR="00A24EF5" w:rsidRPr="004B6827">
        <w:rPr>
          <w:szCs w:val="22"/>
          <w:lang w:val="sk-SK"/>
        </w:rPr>
        <w:t xml:space="preserve"> ULN), liečba sa má</w:t>
      </w:r>
      <w:r w:rsidRPr="004B6827">
        <w:rPr>
          <w:szCs w:val="22"/>
          <w:lang w:val="sk-SK"/>
        </w:rPr>
        <w:t xml:space="preserve"> ukončiť</w:t>
      </w:r>
      <w:r w:rsidR="00A24EF5" w:rsidRPr="004B6827">
        <w:rPr>
          <w:szCs w:val="22"/>
          <w:lang w:val="sk-SK"/>
        </w:rPr>
        <w:t>.</w:t>
      </w:r>
    </w:p>
    <w:p w:rsidR="00A24EF5" w:rsidRPr="004B6827" w:rsidRDefault="00A24EF5" w:rsidP="009E5798">
      <w:pPr>
        <w:pStyle w:val="Odsekzoznamu"/>
        <w:numPr>
          <w:ilvl w:val="0"/>
          <w:numId w:val="34"/>
        </w:numPr>
        <w:rPr>
          <w:szCs w:val="22"/>
          <w:lang w:val="sk-SK"/>
        </w:rPr>
      </w:pPr>
      <w:r w:rsidRPr="004B6827">
        <w:rPr>
          <w:szCs w:val="22"/>
          <w:lang w:val="sk-SK"/>
        </w:rPr>
        <w:t>Ak sú svalové symptómy závažné a zapríčiňujú denný d</w:t>
      </w:r>
      <w:r w:rsidR="0018025C" w:rsidRPr="004B6827">
        <w:rPr>
          <w:szCs w:val="22"/>
          <w:lang w:val="sk-SK"/>
        </w:rPr>
        <w:t>i</w:t>
      </w:r>
      <w:r w:rsidRPr="004B6827">
        <w:rPr>
          <w:szCs w:val="22"/>
          <w:lang w:val="sk-SK"/>
        </w:rPr>
        <w:t>skomfort,</w:t>
      </w:r>
      <w:r w:rsidR="00810F43" w:rsidRPr="004B6827">
        <w:rPr>
          <w:szCs w:val="22"/>
          <w:lang w:val="sk-SK"/>
        </w:rPr>
        <w:t xml:space="preserve"> </w:t>
      </w:r>
      <w:r w:rsidR="00C6340A" w:rsidRPr="004B6827">
        <w:rPr>
          <w:szCs w:val="22"/>
          <w:lang w:val="sk-SK"/>
        </w:rPr>
        <w:t>i</w:t>
      </w:r>
      <w:r w:rsidR="00641884" w:rsidRPr="004B6827">
        <w:rPr>
          <w:szCs w:val="22"/>
          <w:lang w:val="sk-SK"/>
        </w:rPr>
        <w:t xml:space="preserve"> keď</w:t>
      </w:r>
      <w:r w:rsidRPr="004B6827">
        <w:rPr>
          <w:szCs w:val="22"/>
          <w:lang w:val="sk-SK"/>
        </w:rPr>
        <w:t xml:space="preserve"> sú h</w:t>
      </w:r>
      <w:r w:rsidR="0080446A" w:rsidRPr="004B6827">
        <w:rPr>
          <w:szCs w:val="22"/>
          <w:lang w:val="sk-SK"/>
        </w:rPr>
        <w:t>ladin</w:t>
      </w:r>
      <w:r w:rsidRPr="004B6827">
        <w:rPr>
          <w:szCs w:val="22"/>
          <w:lang w:val="sk-SK"/>
        </w:rPr>
        <w:t xml:space="preserve">y CK zvýšené na </w:t>
      </w:r>
      <w:r w:rsidRPr="004B6827">
        <w:rPr>
          <w:szCs w:val="22"/>
          <w:lang w:val="sk-SK"/>
        </w:rPr>
        <w:sym w:font="Symbol" w:char="F0A3"/>
      </w:r>
      <w:r w:rsidR="00DD641F" w:rsidRPr="004B6827">
        <w:rPr>
          <w:szCs w:val="22"/>
          <w:lang w:val="sk-SK"/>
        </w:rPr>
        <w:t xml:space="preserve"> 5x </w:t>
      </w:r>
      <w:r w:rsidRPr="004B6827">
        <w:rPr>
          <w:szCs w:val="22"/>
          <w:lang w:val="sk-SK"/>
        </w:rPr>
        <w:t>ULN, má sa zvážiť prerušenie liečby.</w:t>
      </w:r>
    </w:p>
    <w:p w:rsidR="00A24EF5" w:rsidRPr="004B6827" w:rsidRDefault="00A24EF5" w:rsidP="009E5798">
      <w:pPr>
        <w:pStyle w:val="Odsekzoznamu"/>
        <w:numPr>
          <w:ilvl w:val="0"/>
          <w:numId w:val="34"/>
        </w:numPr>
        <w:rPr>
          <w:szCs w:val="22"/>
          <w:lang w:val="sk-SK"/>
        </w:rPr>
      </w:pPr>
      <w:r w:rsidRPr="004B6827">
        <w:rPr>
          <w:szCs w:val="22"/>
          <w:lang w:val="sk-SK"/>
        </w:rPr>
        <w:t xml:space="preserve">Ak príznaky </w:t>
      </w:r>
      <w:r w:rsidR="00585DE6" w:rsidRPr="004B6827">
        <w:rPr>
          <w:szCs w:val="22"/>
          <w:lang w:val="sk-SK"/>
        </w:rPr>
        <w:t>ustúpia a h</w:t>
      </w:r>
      <w:r w:rsidR="0080446A" w:rsidRPr="004B6827">
        <w:rPr>
          <w:szCs w:val="22"/>
          <w:lang w:val="sk-SK"/>
        </w:rPr>
        <w:t>ladin</w:t>
      </w:r>
      <w:r w:rsidR="00585DE6" w:rsidRPr="004B6827">
        <w:rPr>
          <w:szCs w:val="22"/>
          <w:lang w:val="sk-SK"/>
        </w:rPr>
        <w:t>y CK sa vrátia do</w:t>
      </w:r>
      <w:r w:rsidRPr="004B6827">
        <w:rPr>
          <w:szCs w:val="22"/>
          <w:lang w:val="sk-SK"/>
        </w:rPr>
        <w:t xml:space="preserve"> normálu, potom </w:t>
      </w:r>
      <w:r w:rsidR="0080446A" w:rsidRPr="004B6827">
        <w:rPr>
          <w:szCs w:val="22"/>
          <w:lang w:val="sk-SK"/>
        </w:rPr>
        <w:t>sa môže</w:t>
      </w:r>
      <w:r w:rsidRPr="004B6827">
        <w:rPr>
          <w:szCs w:val="22"/>
          <w:lang w:val="sk-SK"/>
        </w:rPr>
        <w:t xml:space="preserve"> zvážiť opätovné </w:t>
      </w:r>
      <w:r w:rsidR="00810F43" w:rsidRPr="004B6827">
        <w:rPr>
          <w:szCs w:val="22"/>
          <w:lang w:val="sk-SK"/>
        </w:rPr>
        <w:t>podávanie</w:t>
      </w:r>
      <w:r w:rsidRPr="004B6827">
        <w:rPr>
          <w:szCs w:val="22"/>
          <w:lang w:val="sk-SK"/>
        </w:rPr>
        <w:t xml:space="preserve"> atorvastatínu alebo začatie liečby alternatívnym statínom na najnižšej dávk</w:t>
      </w:r>
      <w:r w:rsidR="00167BAF" w:rsidRPr="004B6827">
        <w:rPr>
          <w:szCs w:val="22"/>
          <w:lang w:val="sk-SK"/>
        </w:rPr>
        <w:t>e</w:t>
      </w:r>
      <w:r w:rsidRPr="004B6827">
        <w:rPr>
          <w:szCs w:val="22"/>
          <w:lang w:val="sk-SK"/>
        </w:rPr>
        <w:t xml:space="preserve"> s </w:t>
      </w:r>
      <w:r w:rsidR="00167BAF" w:rsidRPr="004B6827">
        <w:rPr>
          <w:szCs w:val="22"/>
          <w:lang w:val="sk-SK"/>
        </w:rPr>
        <w:t>dôkladným</w:t>
      </w:r>
      <w:r w:rsidRPr="004B6827">
        <w:rPr>
          <w:szCs w:val="22"/>
          <w:lang w:val="sk-SK"/>
        </w:rPr>
        <w:t xml:space="preserve"> monito</w:t>
      </w:r>
      <w:r w:rsidR="00167BAF" w:rsidRPr="004B6827">
        <w:rPr>
          <w:szCs w:val="22"/>
          <w:lang w:val="sk-SK"/>
        </w:rPr>
        <w:t>rovaním.</w:t>
      </w:r>
    </w:p>
    <w:p w:rsidR="0080446A" w:rsidRPr="004B6827" w:rsidRDefault="0080446A" w:rsidP="009E5798">
      <w:pPr>
        <w:pStyle w:val="Odsekzoznamu"/>
        <w:numPr>
          <w:ilvl w:val="0"/>
          <w:numId w:val="34"/>
        </w:numPr>
        <w:rPr>
          <w:szCs w:val="22"/>
          <w:lang w:val="sk-SK"/>
        </w:rPr>
      </w:pPr>
      <w:r w:rsidRPr="004B6827">
        <w:rPr>
          <w:szCs w:val="22"/>
          <w:lang w:val="sk-SK"/>
        </w:rPr>
        <w:t xml:space="preserve">Liečba </w:t>
      </w:r>
      <w:r w:rsidR="00212A25" w:rsidRPr="004B6827">
        <w:rPr>
          <w:szCs w:val="22"/>
          <w:lang w:val="sk-SK"/>
        </w:rPr>
        <w:t>Lipertance</w:t>
      </w:r>
      <w:r w:rsidRPr="004B6827">
        <w:rPr>
          <w:szCs w:val="22"/>
          <w:lang w:val="sk-SK"/>
        </w:rPr>
        <w:t xml:space="preserve"> sa musí okamžite pr</w:t>
      </w:r>
      <w:r w:rsidR="00E13782" w:rsidRPr="004B6827">
        <w:rPr>
          <w:szCs w:val="22"/>
          <w:lang w:val="sk-SK"/>
        </w:rPr>
        <w:t>erušiť</w:t>
      </w:r>
      <w:r w:rsidR="00DD641F" w:rsidRPr="004B6827">
        <w:rPr>
          <w:szCs w:val="22"/>
          <w:lang w:val="sk-SK"/>
        </w:rPr>
        <w:t>,</w:t>
      </w:r>
      <w:r w:rsidR="00E13782" w:rsidRPr="004B6827">
        <w:rPr>
          <w:szCs w:val="22"/>
          <w:lang w:val="sk-SK"/>
        </w:rPr>
        <w:t xml:space="preserve"> ak sa vyskytne klinicky význam</w:t>
      </w:r>
      <w:r w:rsidRPr="004B6827">
        <w:rPr>
          <w:szCs w:val="22"/>
          <w:lang w:val="sk-SK"/>
        </w:rPr>
        <w:t>né zvýšenie hladiny CK (&gt; 10x ULN), alebo ak je diagnostikovaná rabdomyolýza</w:t>
      </w:r>
      <w:r w:rsidR="00D64222" w:rsidRPr="004B6827">
        <w:rPr>
          <w:szCs w:val="22"/>
          <w:lang w:val="sk-SK"/>
        </w:rPr>
        <w:t>,</w:t>
      </w:r>
      <w:r w:rsidRPr="004B6827">
        <w:rPr>
          <w:szCs w:val="22"/>
          <w:lang w:val="sk-SK"/>
        </w:rPr>
        <w:t xml:space="preserve"> alebo je na ňu podozrenie.</w:t>
      </w:r>
    </w:p>
    <w:p w:rsidR="00DE1DF8" w:rsidRPr="004B6827" w:rsidRDefault="00DE1DF8" w:rsidP="00F96CA2">
      <w:pPr>
        <w:rPr>
          <w:szCs w:val="22"/>
          <w:lang w:val="sk-SK"/>
        </w:rPr>
      </w:pPr>
    </w:p>
    <w:p w:rsidR="00DE1DF8" w:rsidRPr="004B6827" w:rsidRDefault="00944AF6" w:rsidP="00DE1DF8">
      <w:pPr>
        <w:ind w:left="567" w:hanging="567"/>
        <w:rPr>
          <w:i/>
          <w:szCs w:val="22"/>
          <w:lang w:val="sk-SK"/>
        </w:rPr>
      </w:pPr>
      <w:r w:rsidRPr="004B6827">
        <w:rPr>
          <w:i/>
          <w:szCs w:val="22"/>
          <w:lang w:val="sk-SK"/>
        </w:rPr>
        <w:tab/>
      </w:r>
      <w:r w:rsidR="00DE1DF8" w:rsidRPr="004B6827">
        <w:rPr>
          <w:i/>
          <w:szCs w:val="22"/>
          <w:lang w:val="sk-SK"/>
        </w:rPr>
        <w:t>Súbežná liečba s inými liekmi</w:t>
      </w:r>
    </w:p>
    <w:p w:rsidR="00DE1DF8" w:rsidRPr="004B6827" w:rsidRDefault="00F96CA2" w:rsidP="00944AF6">
      <w:pPr>
        <w:ind w:left="567"/>
        <w:rPr>
          <w:szCs w:val="22"/>
          <w:lang w:val="sk-SK"/>
        </w:rPr>
      </w:pPr>
      <w:r w:rsidRPr="004B6827">
        <w:rPr>
          <w:szCs w:val="22"/>
          <w:lang w:val="sk-SK"/>
        </w:rPr>
        <w:t>Kvôli zložke atorvastatín</w:t>
      </w:r>
      <w:r w:rsidR="00FD2478" w:rsidRPr="004B6827">
        <w:rPr>
          <w:szCs w:val="22"/>
          <w:lang w:val="sk-SK"/>
        </w:rPr>
        <w:t>u</w:t>
      </w:r>
      <w:r w:rsidRPr="004B6827">
        <w:rPr>
          <w:szCs w:val="22"/>
          <w:lang w:val="sk-SK"/>
        </w:rPr>
        <w:t xml:space="preserve"> je r</w:t>
      </w:r>
      <w:r w:rsidR="00DE1DF8" w:rsidRPr="004B6827">
        <w:rPr>
          <w:szCs w:val="22"/>
          <w:lang w:val="sk-SK"/>
        </w:rPr>
        <w:t xml:space="preserve">iziko rabdomyolýzy </w:t>
      </w:r>
      <w:r w:rsidRPr="004B6827">
        <w:rPr>
          <w:szCs w:val="22"/>
          <w:lang w:val="sk-SK"/>
        </w:rPr>
        <w:t xml:space="preserve">zvýšené, keď je </w:t>
      </w:r>
      <w:r w:rsidR="00212A25" w:rsidRPr="004B6827">
        <w:rPr>
          <w:szCs w:val="22"/>
          <w:lang w:val="sk-SK"/>
        </w:rPr>
        <w:t>Lipertance</w:t>
      </w:r>
      <w:r w:rsidR="00DE1DF8" w:rsidRPr="004B6827">
        <w:rPr>
          <w:szCs w:val="22"/>
          <w:lang w:val="sk-SK"/>
        </w:rPr>
        <w:t xml:space="preserve"> </w:t>
      </w:r>
      <w:r w:rsidRPr="004B6827">
        <w:rPr>
          <w:szCs w:val="22"/>
          <w:lang w:val="sk-SK"/>
        </w:rPr>
        <w:t>podávan</w:t>
      </w:r>
      <w:r w:rsidR="004E3F1A" w:rsidRPr="004B6827">
        <w:rPr>
          <w:szCs w:val="22"/>
          <w:lang w:val="sk-SK"/>
        </w:rPr>
        <w:t>ý</w:t>
      </w:r>
      <w:r w:rsidRPr="004B6827">
        <w:rPr>
          <w:szCs w:val="22"/>
          <w:lang w:val="sk-SK"/>
        </w:rPr>
        <w:t xml:space="preserve"> súbežne</w:t>
      </w:r>
      <w:r w:rsidR="00DE1DF8" w:rsidRPr="004B6827">
        <w:rPr>
          <w:szCs w:val="22"/>
          <w:lang w:val="sk-SK"/>
        </w:rPr>
        <w:t xml:space="preserve"> s určitými liekmi, ktoré môžu zvýšiť plazmatické koncentrácie atorvastatínu, ako sú silné inhibítory CYP3A4 alebo transportn</w:t>
      </w:r>
      <w:r w:rsidR="00FD2478" w:rsidRPr="004B6827">
        <w:rPr>
          <w:szCs w:val="22"/>
          <w:lang w:val="sk-SK"/>
        </w:rPr>
        <w:t>é</w:t>
      </w:r>
      <w:r w:rsidR="00DE1DF8" w:rsidRPr="004B6827">
        <w:rPr>
          <w:szCs w:val="22"/>
          <w:lang w:val="sk-SK"/>
        </w:rPr>
        <w:t xml:space="preserve"> proteín</w:t>
      </w:r>
      <w:r w:rsidR="00FD2478" w:rsidRPr="004B6827">
        <w:rPr>
          <w:szCs w:val="22"/>
          <w:lang w:val="sk-SK"/>
        </w:rPr>
        <w:t>y</w:t>
      </w:r>
      <w:r w:rsidR="00DE1DF8" w:rsidRPr="004B6827">
        <w:rPr>
          <w:szCs w:val="22"/>
          <w:lang w:val="sk-SK"/>
        </w:rPr>
        <w:t xml:space="preserve"> (napr. cyklosporín, telitromycín, klaritromycín, delavirdín, stiripentol, ketokonazol, vorikonazol, itrakonazol, po</w:t>
      </w:r>
      <w:r w:rsidR="004B6827">
        <w:rPr>
          <w:szCs w:val="22"/>
          <w:lang w:val="sk-SK"/>
        </w:rPr>
        <w:t>z</w:t>
      </w:r>
      <w:r w:rsidR="00DE1DF8" w:rsidRPr="004B6827">
        <w:rPr>
          <w:szCs w:val="22"/>
          <w:lang w:val="sk-SK"/>
        </w:rPr>
        <w:t>akonazol a inhibítory HIV proteáz vrátane ritonaviru, lopinaviru, atazanaviru, indinaviru, darunav</w:t>
      </w:r>
      <w:r w:rsidRPr="004B6827">
        <w:rPr>
          <w:szCs w:val="22"/>
          <w:lang w:val="sk-SK"/>
        </w:rPr>
        <w:t>iru</w:t>
      </w:r>
      <w:r w:rsidR="00DE1DF8" w:rsidRPr="00275323">
        <w:rPr>
          <w:szCs w:val="22"/>
          <w:lang w:val="sk-SK"/>
        </w:rPr>
        <w:t xml:space="preserve"> atď.). Riziko myopatie sa môže tiež zvýšiť pri súbežnom užívaní</w:t>
      </w:r>
      <w:r w:rsidRPr="004B6827">
        <w:rPr>
          <w:szCs w:val="22"/>
          <w:lang w:val="sk-SK"/>
        </w:rPr>
        <w:t xml:space="preserve"> gemfibrozilu a iných fibrátov, erytromycínu, niacínu a </w:t>
      </w:r>
      <w:r w:rsidR="00DE1DF8" w:rsidRPr="004B6827">
        <w:rPr>
          <w:szCs w:val="22"/>
          <w:lang w:val="sk-SK"/>
        </w:rPr>
        <w:t>ezetimibu, telapreviru alebo kombinácie tipranaviru/ritonaviru. Ak je to možné, majú sa namiesto týchto liekov zvážiť alternatívne (</w:t>
      </w:r>
      <w:r w:rsidRPr="004B6827">
        <w:rPr>
          <w:szCs w:val="22"/>
          <w:lang w:val="sk-SK"/>
        </w:rPr>
        <w:t>neinteragujúce</w:t>
      </w:r>
      <w:r w:rsidR="002B0EF2" w:rsidRPr="004B6827">
        <w:rPr>
          <w:szCs w:val="22"/>
          <w:lang w:val="sk-SK"/>
        </w:rPr>
        <w:t>) formy liečby.</w:t>
      </w:r>
    </w:p>
    <w:p w:rsidR="00DE1DF8" w:rsidRPr="004B6827" w:rsidRDefault="00DE1DF8" w:rsidP="00944AF6">
      <w:pPr>
        <w:ind w:left="567" w:right="-19"/>
        <w:rPr>
          <w:szCs w:val="22"/>
          <w:lang w:val="sk-SK"/>
        </w:rPr>
      </w:pPr>
      <w:r w:rsidRPr="004B6827">
        <w:rPr>
          <w:szCs w:val="22"/>
          <w:lang w:val="sk-SK"/>
        </w:rPr>
        <w:t xml:space="preserve">Veľmi zriedkavo </w:t>
      </w:r>
      <w:r w:rsidR="002B0EF2" w:rsidRPr="004B6827">
        <w:rPr>
          <w:szCs w:val="22"/>
          <w:lang w:val="sk-SK"/>
        </w:rPr>
        <w:t>bola hlásená</w:t>
      </w:r>
      <w:r w:rsidRPr="004B6827">
        <w:rPr>
          <w:szCs w:val="22"/>
          <w:lang w:val="sk-SK"/>
        </w:rPr>
        <w:t xml:space="preserve"> imunitne sprostredkovaná nekrotizujúca myopatia (IMNM) počas alebo po liečbe so statínmi vrátane atorvastatínu. IMNM je klinicky charakterizovaná </w:t>
      </w:r>
      <w:r w:rsidR="002B0EF2" w:rsidRPr="004B6827">
        <w:rPr>
          <w:szCs w:val="22"/>
          <w:lang w:val="sk-SK"/>
        </w:rPr>
        <w:t xml:space="preserve">pretrvávajúcou </w:t>
      </w:r>
      <w:r w:rsidRPr="004B6827">
        <w:rPr>
          <w:szCs w:val="22"/>
          <w:lang w:val="sk-SK"/>
        </w:rPr>
        <w:t>proximálnou svalovou slabosťou a zvýšenou hladinou kreatínkinázy v sére, ktoré pretrvávajú napriek prerušeniu liečby statínmi.</w:t>
      </w:r>
      <w:r w:rsidR="002B0EF2" w:rsidRPr="004B6827">
        <w:rPr>
          <w:szCs w:val="22"/>
          <w:lang w:val="sk-SK"/>
        </w:rPr>
        <w:t xml:space="preserve"> V prípadoch, keď</w:t>
      </w:r>
      <w:r w:rsidRPr="004B6827">
        <w:rPr>
          <w:szCs w:val="22"/>
          <w:lang w:val="sk-SK"/>
        </w:rPr>
        <w:t xml:space="preserve"> je súbežné podávanie týchto liekov s </w:t>
      </w:r>
      <w:r w:rsidR="00212A25" w:rsidRPr="004B6827">
        <w:rPr>
          <w:szCs w:val="22"/>
          <w:lang w:val="sk-SK"/>
        </w:rPr>
        <w:t>Lipertance</w:t>
      </w:r>
      <w:r w:rsidRPr="004B6827">
        <w:rPr>
          <w:szCs w:val="22"/>
          <w:lang w:val="sk-SK"/>
        </w:rPr>
        <w:t xml:space="preserve"> nevyhnutné, sa </w:t>
      </w:r>
      <w:r w:rsidR="00A45BF6" w:rsidRPr="004B6827">
        <w:rPr>
          <w:szCs w:val="22"/>
          <w:lang w:val="sk-SK"/>
        </w:rPr>
        <w:t xml:space="preserve">má </w:t>
      </w:r>
      <w:r w:rsidRPr="004B6827">
        <w:rPr>
          <w:szCs w:val="22"/>
          <w:lang w:val="sk-SK"/>
        </w:rPr>
        <w:t xml:space="preserve">starostlivo zvážiť prínos a riziko súbežnej liečby. Keď pacienti dostávajú lieky, ktoré zvyšujú plazmatické koncentrácie atorvastatínu, odporúča sa </w:t>
      </w:r>
      <w:r w:rsidRPr="004B6827">
        <w:rPr>
          <w:szCs w:val="22"/>
          <w:lang w:val="sk-SK"/>
        </w:rPr>
        <w:lastRenderedPageBreak/>
        <w:t>nižšia maximálna dávka atorvastatínu</w:t>
      </w:r>
      <w:r w:rsidR="00944AF6" w:rsidRPr="004B6827">
        <w:rPr>
          <w:szCs w:val="22"/>
          <w:lang w:val="sk-SK"/>
        </w:rPr>
        <w:t>, preto sa má zvážiť ti</w:t>
      </w:r>
      <w:r w:rsidR="002F6BAC" w:rsidRPr="004B6827">
        <w:rPr>
          <w:szCs w:val="22"/>
          <w:lang w:val="sk-SK"/>
        </w:rPr>
        <w:t>t</w:t>
      </w:r>
      <w:r w:rsidR="00944AF6" w:rsidRPr="004B6827">
        <w:rPr>
          <w:szCs w:val="22"/>
          <w:lang w:val="sk-SK"/>
        </w:rPr>
        <w:t>rácia nadol s jednotlivými zložkami</w:t>
      </w:r>
      <w:r w:rsidRPr="004B6827">
        <w:rPr>
          <w:szCs w:val="22"/>
          <w:lang w:val="sk-SK"/>
        </w:rPr>
        <w:t xml:space="preserve">. </w:t>
      </w:r>
      <w:r w:rsidR="00FD2478" w:rsidRPr="004B6827">
        <w:rPr>
          <w:szCs w:val="22"/>
          <w:lang w:val="sk-SK"/>
        </w:rPr>
        <w:t>Taktiež</w:t>
      </w:r>
      <w:r w:rsidRPr="004B6827">
        <w:rPr>
          <w:szCs w:val="22"/>
          <w:lang w:val="sk-SK"/>
        </w:rPr>
        <w:t xml:space="preserve"> v prípade silných inhibítorov CYP3A4 sa má zvážiť nižšia začiatočná dávka atorvastatínu a odporúča sa primerané klinické monitorovanie týchto pacientov (pozri časť 4.5).</w:t>
      </w:r>
    </w:p>
    <w:p w:rsidR="00DE1DF8" w:rsidRPr="004B6827" w:rsidRDefault="00DE1DF8" w:rsidP="00944AF6">
      <w:pPr>
        <w:ind w:left="567"/>
        <w:rPr>
          <w:szCs w:val="22"/>
          <w:lang w:val="sk-SK"/>
        </w:rPr>
      </w:pPr>
      <w:r w:rsidRPr="004B6827">
        <w:rPr>
          <w:szCs w:val="22"/>
          <w:lang w:val="sk-SK"/>
        </w:rPr>
        <w:t>Súbežné použitie atorvastatínu a kyseliny fusidovej sa neodporúča, preto sa môže počas liečby kyselinou fusidovou zvážiť dočasné prerušenie liečby atorvastatínom (pozri časť 4.5).</w:t>
      </w:r>
    </w:p>
    <w:p w:rsidR="00DE1DF8" w:rsidRPr="004B6827" w:rsidRDefault="00DE1DF8" w:rsidP="00DE1DF8">
      <w:pPr>
        <w:rPr>
          <w:color w:val="000000"/>
          <w:szCs w:val="22"/>
          <w:lang w:val="sk-SK"/>
        </w:rPr>
      </w:pPr>
    </w:p>
    <w:p w:rsidR="003F2088" w:rsidRPr="004B6827" w:rsidRDefault="003F2088" w:rsidP="003F2088">
      <w:pPr>
        <w:rPr>
          <w:szCs w:val="22"/>
          <w:u w:val="single"/>
          <w:lang w:val="sk-SK"/>
        </w:rPr>
      </w:pPr>
      <w:r w:rsidRPr="004B6827">
        <w:rPr>
          <w:szCs w:val="22"/>
          <w:u w:val="single"/>
          <w:lang w:val="sk-SK"/>
        </w:rPr>
        <w:t>Intersticiálne ochorenie pľúc</w:t>
      </w:r>
    </w:p>
    <w:p w:rsidR="003F2088" w:rsidRPr="004B6827" w:rsidRDefault="003F2088" w:rsidP="003F2088">
      <w:pPr>
        <w:rPr>
          <w:szCs w:val="22"/>
          <w:lang w:val="sk-SK"/>
        </w:rPr>
      </w:pPr>
      <w:r w:rsidRPr="004B6827">
        <w:rPr>
          <w:szCs w:val="22"/>
          <w:lang w:val="sk-SK"/>
        </w:rPr>
        <w:t>U statínov, hlavne pri dlhodobej liečbe, boli hlásené výnimočné prípady intersticiálneho ochorenia pľúc (pozri časť 4.8). Pr</w:t>
      </w:r>
      <w:r w:rsidR="00FD2478" w:rsidRPr="004B6827">
        <w:rPr>
          <w:szCs w:val="22"/>
          <w:lang w:val="sk-SK"/>
        </w:rPr>
        <w:t>ítomné</w:t>
      </w:r>
      <w:r w:rsidRPr="004B6827">
        <w:rPr>
          <w:szCs w:val="22"/>
          <w:lang w:val="sk-SK"/>
        </w:rPr>
        <w:t xml:space="preserve"> prejavy môžu zahŕňať dyspnoe, neproduktívny kašeľ a celkové zhorš</w:t>
      </w:r>
      <w:r w:rsidR="00292630" w:rsidRPr="004B6827">
        <w:rPr>
          <w:szCs w:val="22"/>
          <w:lang w:val="sk-SK"/>
        </w:rPr>
        <w:t xml:space="preserve">enie zdravotného stavu (únava, </w:t>
      </w:r>
      <w:r w:rsidR="007E22DB" w:rsidRPr="004B6827">
        <w:rPr>
          <w:szCs w:val="22"/>
          <w:lang w:val="sk-SK"/>
        </w:rPr>
        <w:t>pokles</w:t>
      </w:r>
      <w:r w:rsidR="00292630" w:rsidRPr="004B6827">
        <w:rPr>
          <w:szCs w:val="22"/>
          <w:lang w:val="sk-SK"/>
        </w:rPr>
        <w:t xml:space="preserve"> telesnej hmotnosti</w:t>
      </w:r>
      <w:r w:rsidRPr="004B6827">
        <w:rPr>
          <w:szCs w:val="22"/>
          <w:lang w:val="sk-SK"/>
        </w:rPr>
        <w:t xml:space="preserve"> a horúčka). Ak je podozrenie, že sa u pacienta </w:t>
      </w:r>
      <w:r w:rsidR="007E22DB" w:rsidRPr="004B6827">
        <w:rPr>
          <w:szCs w:val="22"/>
          <w:lang w:val="sk-SK"/>
        </w:rPr>
        <w:t>vyvinul</w:t>
      </w:r>
      <w:r w:rsidRPr="004B6827">
        <w:rPr>
          <w:szCs w:val="22"/>
          <w:lang w:val="sk-SK"/>
        </w:rPr>
        <w:t xml:space="preserve">o intersticiálne ochorenie pľúc, </w:t>
      </w:r>
      <w:r w:rsidR="007E22DB" w:rsidRPr="004B6827">
        <w:rPr>
          <w:szCs w:val="22"/>
          <w:lang w:val="sk-SK"/>
        </w:rPr>
        <w:t>má sa prerušiť liečba</w:t>
      </w:r>
      <w:r w:rsidRPr="004B6827">
        <w:rPr>
          <w:szCs w:val="22"/>
          <w:lang w:val="sk-SK"/>
        </w:rPr>
        <w:t xml:space="preserve"> </w:t>
      </w:r>
      <w:r w:rsidR="00212A25" w:rsidRPr="004B6827">
        <w:rPr>
          <w:szCs w:val="22"/>
          <w:lang w:val="sk-SK"/>
        </w:rPr>
        <w:t>Lipertance</w:t>
      </w:r>
      <w:r w:rsidRPr="004B6827">
        <w:rPr>
          <w:szCs w:val="22"/>
          <w:lang w:val="sk-SK"/>
        </w:rPr>
        <w:t>.</w:t>
      </w:r>
    </w:p>
    <w:p w:rsidR="003F2088" w:rsidRPr="004B6827" w:rsidRDefault="003F2088" w:rsidP="003F2088">
      <w:pPr>
        <w:rPr>
          <w:szCs w:val="22"/>
          <w:lang w:val="sk-SK"/>
        </w:rPr>
      </w:pPr>
    </w:p>
    <w:p w:rsidR="003F2088" w:rsidRPr="004B6827" w:rsidRDefault="003F2088" w:rsidP="003F2088">
      <w:pPr>
        <w:rPr>
          <w:bCs/>
          <w:szCs w:val="22"/>
          <w:u w:val="single"/>
          <w:lang w:val="sk-SK"/>
        </w:rPr>
      </w:pPr>
      <w:r w:rsidRPr="004B6827">
        <w:rPr>
          <w:bCs/>
          <w:szCs w:val="22"/>
          <w:u w:val="single"/>
          <w:lang w:val="sk-SK"/>
        </w:rPr>
        <w:t>Diabetes mellitus</w:t>
      </w:r>
    </w:p>
    <w:p w:rsidR="003F2088" w:rsidRPr="004B6827" w:rsidRDefault="003F2088" w:rsidP="003F2088">
      <w:pPr>
        <w:rPr>
          <w:bCs/>
          <w:szCs w:val="22"/>
          <w:lang w:val="sk-SK"/>
        </w:rPr>
      </w:pPr>
    </w:p>
    <w:p w:rsidR="00B34262" w:rsidRPr="004B6827" w:rsidRDefault="003F2088" w:rsidP="00B34262">
      <w:pPr>
        <w:spacing w:after="240"/>
        <w:rPr>
          <w:bCs/>
          <w:szCs w:val="22"/>
          <w:lang w:val="sk-SK"/>
        </w:rPr>
      </w:pPr>
      <w:r w:rsidRPr="004B6827">
        <w:rPr>
          <w:bCs/>
          <w:szCs w:val="22"/>
          <w:lang w:val="sk-SK"/>
        </w:rPr>
        <w:t xml:space="preserve">Niektoré dôkazy naznačujú, že statíny ako skupina zvyšujú hladinu glukózy v krvi a u niektorých pacientov s vysokým rizikom vzniku diabetu môžu vyvolať </w:t>
      </w:r>
      <w:r w:rsidR="00292630" w:rsidRPr="004B6827">
        <w:rPr>
          <w:bCs/>
          <w:szCs w:val="22"/>
          <w:lang w:val="sk-SK"/>
        </w:rPr>
        <w:t>hladinu hyperglykémie</w:t>
      </w:r>
      <w:r w:rsidRPr="004B6827">
        <w:rPr>
          <w:bCs/>
          <w:szCs w:val="22"/>
          <w:lang w:val="sk-SK"/>
        </w:rPr>
        <w:t>, pri ktorej je potrebná štandardná liečba diabetu. Nad týmto rizikom však prevažuje zníženie vaskulárneho rizika statínmi</w:t>
      </w:r>
      <w:r w:rsidR="007E22DB" w:rsidRPr="004B6827">
        <w:rPr>
          <w:bCs/>
          <w:szCs w:val="22"/>
          <w:lang w:val="sk-SK"/>
        </w:rPr>
        <w:t>,</w:t>
      </w:r>
      <w:r w:rsidRPr="004B6827">
        <w:rPr>
          <w:bCs/>
          <w:szCs w:val="22"/>
          <w:lang w:val="sk-SK"/>
        </w:rPr>
        <w:t xml:space="preserve"> a preto nemá byť dôvodom pre ukončenie liečby</w:t>
      </w:r>
      <w:r w:rsidR="007E22DB" w:rsidRPr="004B6827">
        <w:rPr>
          <w:bCs/>
          <w:szCs w:val="22"/>
          <w:lang w:val="sk-SK"/>
        </w:rPr>
        <w:t xml:space="preserve"> </w:t>
      </w:r>
      <w:r w:rsidR="00212A25" w:rsidRPr="004B6827">
        <w:rPr>
          <w:bCs/>
          <w:szCs w:val="22"/>
          <w:lang w:val="sk-SK"/>
        </w:rPr>
        <w:t>Lipertance</w:t>
      </w:r>
      <w:r w:rsidRPr="004B6827">
        <w:rPr>
          <w:bCs/>
          <w:szCs w:val="22"/>
          <w:lang w:val="sk-SK"/>
        </w:rPr>
        <w:t xml:space="preserve">. U rizikových pacientov (s </w:t>
      </w:r>
      <w:r w:rsidR="00DE4B30" w:rsidRPr="004B6827">
        <w:rPr>
          <w:bCs/>
          <w:szCs w:val="22"/>
          <w:lang w:val="sk-SK"/>
        </w:rPr>
        <w:t>glykémiou</w:t>
      </w:r>
      <w:r w:rsidR="007E22DB" w:rsidRPr="004B6827">
        <w:rPr>
          <w:bCs/>
          <w:szCs w:val="22"/>
          <w:lang w:val="sk-SK"/>
        </w:rPr>
        <w:t xml:space="preserve"> nalačno 5,6 až </w:t>
      </w:r>
      <w:r w:rsidRPr="004B6827">
        <w:rPr>
          <w:bCs/>
          <w:szCs w:val="22"/>
          <w:lang w:val="sk-SK"/>
        </w:rPr>
        <w:t>6,9 mmol/l, BMI</w:t>
      </w:r>
      <w:r w:rsidR="00B34262" w:rsidRPr="004B6827">
        <w:rPr>
          <w:bCs/>
          <w:szCs w:val="22"/>
          <w:lang w:val="sk-SK"/>
        </w:rPr>
        <w:t xml:space="preserve"> </w:t>
      </w:r>
      <w:r w:rsidRPr="004B6827">
        <w:rPr>
          <w:bCs/>
          <w:szCs w:val="22"/>
          <w:lang w:val="sk-SK"/>
        </w:rPr>
        <w:t>&gt;</w:t>
      </w:r>
      <w:r w:rsidR="00B34262" w:rsidRPr="004B6827">
        <w:rPr>
          <w:bCs/>
          <w:szCs w:val="22"/>
          <w:lang w:val="sk-SK"/>
        </w:rPr>
        <w:t xml:space="preserve"> </w:t>
      </w:r>
      <w:r w:rsidRPr="004B6827">
        <w:rPr>
          <w:bCs/>
          <w:szCs w:val="22"/>
          <w:lang w:val="sk-SK"/>
        </w:rPr>
        <w:t>30</w:t>
      </w:r>
      <w:r w:rsidR="00FD2478" w:rsidRPr="004B6827">
        <w:rPr>
          <w:bCs/>
          <w:szCs w:val="22"/>
          <w:lang w:val="sk-SK"/>
        </w:rPr>
        <w:t xml:space="preserve"> </w:t>
      </w:r>
      <w:r w:rsidRPr="004B6827">
        <w:rPr>
          <w:bCs/>
          <w:szCs w:val="22"/>
          <w:lang w:val="sk-SK"/>
        </w:rPr>
        <w:t>kg/m</w:t>
      </w:r>
      <w:r w:rsidRPr="004B6827">
        <w:rPr>
          <w:bCs/>
          <w:szCs w:val="22"/>
          <w:vertAlign w:val="superscript"/>
          <w:lang w:val="sk-SK"/>
        </w:rPr>
        <w:t>2</w:t>
      </w:r>
      <w:r w:rsidRPr="004B6827">
        <w:rPr>
          <w:bCs/>
          <w:szCs w:val="22"/>
          <w:lang w:val="sk-SK"/>
        </w:rPr>
        <w:t>, zvýšenými tri</w:t>
      </w:r>
      <w:r w:rsidR="00D57DA2" w:rsidRPr="004B6827">
        <w:rPr>
          <w:bCs/>
          <w:szCs w:val="22"/>
          <w:lang w:val="sk-SK"/>
        </w:rPr>
        <w:t>acylglycerolmi</w:t>
      </w:r>
      <w:r w:rsidRPr="004B6827">
        <w:rPr>
          <w:bCs/>
          <w:szCs w:val="22"/>
          <w:lang w:val="sk-SK"/>
        </w:rPr>
        <w:t xml:space="preserve">, hypertenziou) </w:t>
      </w:r>
      <w:r w:rsidR="008E43E9" w:rsidRPr="004B6827">
        <w:rPr>
          <w:bCs/>
          <w:szCs w:val="22"/>
          <w:lang w:val="sk-SK"/>
        </w:rPr>
        <w:t>sa má</w:t>
      </w:r>
      <w:r w:rsidRPr="004B6827">
        <w:rPr>
          <w:bCs/>
          <w:szCs w:val="22"/>
          <w:lang w:val="sk-SK"/>
        </w:rPr>
        <w:t xml:space="preserve"> </w:t>
      </w:r>
      <w:r w:rsidR="00B34262" w:rsidRPr="004B6827">
        <w:rPr>
          <w:bCs/>
          <w:szCs w:val="22"/>
          <w:lang w:val="sk-SK"/>
        </w:rPr>
        <w:t xml:space="preserve">pri liečbe </w:t>
      </w:r>
      <w:r w:rsidR="00212A25" w:rsidRPr="004B6827">
        <w:rPr>
          <w:bCs/>
          <w:szCs w:val="22"/>
          <w:lang w:val="sk-SK"/>
        </w:rPr>
        <w:t>Lipertance</w:t>
      </w:r>
      <w:r w:rsidR="00B34262" w:rsidRPr="004B6827">
        <w:rPr>
          <w:bCs/>
          <w:szCs w:val="22"/>
          <w:lang w:val="sk-SK"/>
        </w:rPr>
        <w:t xml:space="preserve"> monitorova</w:t>
      </w:r>
      <w:r w:rsidRPr="004B6827">
        <w:rPr>
          <w:bCs/>
          <w:szCs w:val="22"/>
          <w:lang w:val="sk-SK"/>
        </w:rPr>
        <w:t xml:space="preserve">ť klinický stav aj biochemické parametre v súlade s </w:t>
      </w:r>
      <w:r w:rsidR="00FD2478" w:rsidRPr="004B6827">
        <w:rPr>
          <w:bCs/>
          <w:szCs w:val="22"/>
          <w:lang w:val="sk-SK"/>
        </w:rPr>
        <w:t xml:space="preserve">národnými </w:t>
      </w:r>
      <w:r w:rsidRPr="004B6827">
        <w:rPr>
          <w:bCs/>
          <w:szCs w:val="22"/>
          <w:lang w:val="sk-SK"/>
        </w:rPr>
        <w:t>odporúčaniami.</w:t>
      </w:r>
    </w:p>
    <w:p w:rsidR="00B34262" w:rsidRPr="004B6827" w:rsidRDefault="00B34262" w:rsidP="009700EE">
      <w:pPr>
        <w:rPr>
          <w:bCs/>
          <w:szCs w:val="22"/>
          <w:lang w:val="sk-SK"/>
        </w:rPr>
      </w:pPr>
      <w:r w:rsidRPr="004B6827">
        <w:rPr>
          <w:bCs/>
          <w:szCs w:val="22"/>
          <w:lang w:val="sk-SK"/>
        </w:rPr>
        <w:t xml:space="preserve">U diabetických pacientov liečených perorálnymi antidiabetikami alebo inzulínom sa má starostlivo monitorovať kontrola glykémie počas prvého mesiaca liečby liekmi obsahujúcimi inhibítor ACE, ako je </w:t>
      </w:r>
      <w:r w:rsidR="00212A25" w:rsidRPr="004B6827">
        <w:rPr>
          <w:bCs/>
          <w:szCs w:val="22"/>
          <w:lang w:val="sk-SK"/>
        </w:rPr>
        <w:t>Lipertance</w:t>
      </w:r>
      <w:r w:rsidRPr="004B6827">
        <w:rPr>
          <w:bCs/>
          <w:szCs w:val="22"/>
          <w:lang w:val="sk-SK"/>
        </w:rPr>
        <w:t xml:space="preserve"> (pozri </w:t>
      </w:r>
      <w:r w:rsidR="00713119" w:rsidRPr="004B6827">
        <w:rPr>
          <w:bCs/>
          <w:szCs w:val="22"/>
          <w:lang w:val="sk-SK"/>
        </w:rPr>
        <w:t xml:space="preserve">časť </w:t>
      </w:r>
      <w:r w:rsidRPr="004B6827">
        <w:rPr>
          <w:bCs/>
          <w:szCs w:val="22"/>
          <w:lang w:val="sk-SK"/>
        </w:rPr>
        <w:t>4.5).</w:t>
      </w:r>
    </w:p>
    <w:p w:rsidR="009700EE" w:rsidRPr="004B6827" w:rsidRDefault="009700EE" w:rsidP="009700EE">
      <w:pPr>
        <w:rPr>
          <w:bCs/>
          <w:szCs w:val="22"/>
          <w:lang w:val="sk-SK"/>
        </w:rPr>
      </w:pPr>
    </w:p>
    <w:p w:rsidR="009700EE" w:rsidRPr="004B6827" w:rsidRDefault="009700EE" w:rsidP="009700EE">
      <w:pPr>
        <w:rPr>
          <w:bCs/>
          <w:szCs w:val="22"/>
          <w:u w:val="single"/>
          <w:lang w:val="sk-SK"/>
        </w:rPr>
      </w:pPr>
      <w:r w:rsidRPr="004B6827">
        <w:rPr>
          <w:bCs/>
          <w:szCs w:val="22"/>
          <w:u w:val="single"/>
          <w:lang w:val="sk-SK"/>
        </w:rPr>
        <w:t>Pacienti so srdcovým zlyh</w:t>
      </w:r>
      <w:r w:rsidR="008E43E9" w:rsidRPr="004B6827">
        <w:rPr>
          <w:bCs/>
          <w:szCs w:val="22"/>
          <w:u w:val="single"/>
          <w:lang w:val="sk-SK"/>
        </w:rPr>
        <w:t>áv</w:t>
      </w:r>
      <w:r w:rsidRPr="004B6827">
        <w:rPr>
          <w:bCs/>
          <w:szCs w:val="22"/>
          <w:u w:val="single"/>
          <w:lang w:val="sk-SK"/>
        </w:rPr>
        <w:t>aním</w:t>
      </w:r>
    </w:p>
    <w:p w:rsidR="009700EE" w:rsidRPr="004B6827" w:rsidRDefault="00212A25" w:rsidP="009700EE">
      <w:pPr>
        <w:rPr>
          <w:bCs/>
          <w:szCs w:val="22"/>
          <w:lang w:val="sk-SK"/>
        </w:rPr>
      </w:pPr>
      <w:r w:rsidRPr="004B6827">
        <w:rPr>
          <w:bCs/>
          <w:szCs w:val="22"/>
          <w:lang w:val="sk-SK"/>
        </w:rPr>
        <w:t>Lipertance</w:t>
      </w:r>
      <w:r w:rsidR="005E5C52" w:rsidRPr="004B6827">
        <w:rPr>
          <w:bCs/>
          <w:szCs w:val="22"/>
          <w:lang w:val="sk-SK"/>
        </w:rPr>
        <w:t xml:space="preserve"> sa má u pacientov</w:t>
      </w:r>
      <w:r w:rsidR="008E43E9" w:rsidRPr="004B6827">
        <w:rPr>
          <w:bCs/>
          <w:szCs w:val="22"/>
          <w:lang w:val="sk-SK"/>
        </w:rPr>
        <w:t xml:space="preserve"> so srdcovým zlyháva</w:t>
      </w:r>
      <w:r w:rsidR="009700EE" w:rsidRPr="004B6827">
        <w:rPr>
          <w:bCs/>
          <w:szCs w:val="22"/>
          <w:lang w:val="sk-SK"/>
        </w:rPr>
        <w:t xml:space="preserve">ním </w:t>
      </w:r>
      <w:r w:rsidR="005E5C52" w:rsidRPr="004B6827">
        <w:rPr>
          <w:bCs/>
          <w:szCs w:val="22"/>
          <w:lang w:val="sk-SK"/>
        </w:rPr>
        <w:t>používať</w:t>
      </w:r>
      <w:r w:rsidR="009700EE" w:rsidRPr="004B6827">
        <w:rPr>
          <w:bCs/>
          <w:szCs w:val="22"/>
          <w:lang w:val="sk-SK"/>
        </w:rPr>
        <w:t xml:space="preserve"> s opatrnosťou. V dlhodobej placebom kontrolovanej štúdii u pacientov s ťažkým srdcový</w:t>
      </w:r>
      <w:r w:rsidR="008E43E9" w:rsidRPr="004B6827">
        <w:rPr>
          <w:bCs/>
          <w:szCs w:val="22"/>
          <w:lang w:val="sk-SK"/>
        </w:rPr>
        <w:t>m zlyháva</w:t>
      </w:r>
      <w:r w:rsidR="009700EE" w:rsidRPr="004B6827">
        <w:rPr>
          <w:bCs/>
          <w:szCs w:val="22"/>
          <w:lang w:val="sk-SK"/>
        </w:rPr>
        <w:t>ním (III. a IV</w:t>
      </w:r>
      <w:r w:rsidR="007A3648" w:rsidRPr="004B6827">
        <w:rPr>
          <w:bCs/>
          <w:szCs w:val="22"/>
          <w:lang w:val="sk-SK"/>
        </w:rPr>
        <w:t xml:space="preserve">. </w:t>
      </w:r>
      <w:r w:rsidR="005E5C52" w:rsidRPr="004B6827">
        <w:rPr>
          <w:bCs/>
          <w:szCs w:val="22"/>
          <w:lang w:val="sk-SK"/>
        </w:rPr>
        <w:t>triedy klasifikácie</w:t>
      </w:r>
      <w:r w:rsidR="009700EE" w:rsidRPr="004B6827">
        <w:rPr>
          <w:bCs/>
          <w:szCs w:val="22"/>
          <w:lang w:val="sk-SK"/>
        </w:rPr>
        <w:t xml:space="preserve"> NYHA) bol hlásený vyšší výskyt pľúcneho edému v skupine liečenej amlodipínom ako v skupine s placebom (pozri časť 5.1). </w:t>
      </w:r>
      <w:r w:rsidR="007A3648" w:rsidRPr="004B6827">
        <w:rPr>
          <w:bCs/>
          <w:szCs w:val="22"/>
          <w:lang w:val="sk-SK"/>
        </w:rPr>
        <w:t>Lieky obsahujúce b</w:t>
      </w:r>
      <w:r w:rsidR="009700EE" w:rsidRPr="004B6827">
        <w:rPr>
          <w:bCs/>
          <w:szCs w:val="22"/>
          <w:lang w:val="sk-SK"/>
        </w:rPr>
        <w:t>lokátory kalciového kanála vrátane amlodipínu sa majú používať s opatrnosťou u pacient</w:t>
      </w:r>
      <w:r w:rsidR="008E43E9" w:rsidRPr="004B6827">
        <w:rPr>
          <w:bCs/>
          <w:szCs w:val="22"/>
          <w:lang w:val="sk-SK"/>
        </w:rPr>
        <w:t>ov s kongestívnym srdcovým zlyhávan</w:t>
      </w:r>
      <w:r w:rsidR="009700EE" w:rsidRPr="004B6827">
        <w:rPr>
          <w:bCs/>
          <w:szCs w:val="22"/>
          <w:lang w:val="sk-SK"/>
        </w:rPr>
        <w:t>ím, keďže môžu zvyšovať riziko kardiovaskulárnych príhod a mortality v budúcnosti.</w:t>
      </w:r>
    </w:p>
    <w:p w:rsidR="009700EE" w:rsidRPr="004B6827" w:rsidRDefault="009700EE" w:rsidP="009700EE">
      <w:pPr>
        <w:rPr>
          <w:bCs/>
          <w:szCs w:val="22"/>
          <w:lang w:val="sk-SK"/>
        </w:rPr>
      </w:pPr>
    </w:p>
    <w:p w:rsidR="001458FB" w:rsidRPr="004B6827" w:rsidRDefault="001458FB" w:rsidP="001458FB">
      <w:pPr>
        <w:spacing w:line="240" w:lineRule="auto"/>
        <w:rPr>
          <w:szCs w:val="22"/>
          <w:u w:val="single"/>
          <w:lang w:val="sk-SK"/>
        </w:rPr>
      </w:pPr>
      <w:r w:rsidRPr="004B6827">
        <w:rPr>
          <w:szCs w:val="22"/>
          <w:u w:val="single"/>
          <w:lang w:val="sk-SK"/>
        </w:rPr>
        <w:t>Hypotenzia:</w:t>
      </w:r>
    </w:p>
    <w:p w:rsidR="001458FB" w:rsidRPr="004B6827" w:rsidRDefault="001458FB" w:rsidP="001458FB">
      <w:pPr>
        <w:tabs>
          <w:tab w:val="left" w:pos="3261"/>
        </w:tabs>
        <w:spacing w:line="240" w:lineRule="auto"/>
        <w:rPr>
          <w:szCs w:val="22"/>
          <w:lang w:val="sk-SK"/>
        </w:rPr>
      </w:pPr>
      <w:r w:rsidRPr="004B6827">
        <w:rPr>
          <w:szCs w:val="22"/>
          <w:lang w:val="sk-SK"/>
        </w:rPr>
        <w:t>Inhibítory ACE, ako je perindopril, môžu spôsobiť pokles krvného tlaku. Symptomatická hypotenzia je zriedkavá u pacientov s hypertenziou bez komplikácií a je väčšia pravdepodobnosť výskytu u pacientov s hypovolémiou, napr. spôsobenou liečbou diuretikami, obmedzením príjmu soli v potrave, dialýzou, hnačkou alebo vracaním, alebo u tých, ktorí majú závažnú renín-dependentnú hypertenziu (pozri časti 4.5 a 4.8). U pacientov so symptomatickým srdcovým zlyh</w:t>
      </w:r>
      <w:r w:rsidR="008E43E9" w:rsidRPr="004B6827">
        <w:rPr>
          <w:szCs w:val="22"/>
          <w:lang w:val="sk-SK"/>
        </w:rPr>
        <w:t>áva</w:t>
      </w:r>
      <w:r w:rsidRPr="004B6827">
        <w:rPr>
          <w:szCs w:val="22"/>
          <w:lang w:val="sk-SK"/>
        </w:rPr>
        <w:t>ním, so sprievodnou renálnou insuficienciou alebo bez nej bola pozorovaná symptomatická hypotenzia.</w:t>
      </w:r>
      <w:r w:rsidR="00095752" w:rsidRPr="004B6827">
        <w:rPr>
          <w:szCs w:val="22"/>
          <w:lang w:val="sk-SK"/>
        </w:rPr>
        <w:t xml:space="preserve"> Najväčšia pravdepodobnosť výskytu</w:t>
      </w:r>
      <w:r w:rsidRPr="004B6827">
        <w:rPr>
          <w:szCs w:val="22"/>
          <w:lang w:val="sk-SK"/>
        </w:rPr>
        <w:t xml:space="preserve"> je u pacientov s </w:t>
      </w:r>
      <w:r w:rsidR="00095752" w:rsidRPr="004B6827">
        <w:rPr>
          <w:szCs w:val="22"/>
          <w:lang w:val="sk-SK"/>
        </w:rPr>
        <w:t>ťažšími</w:t>
      </w:r>
      <w:r w:rsidRPr="004B6827">
        <w:rPr>
          <w:szCs w:val="22"/>
          <w:lang w:val="sk-SK"/>
        </w:rPr>
        <w:t xml:space="preserve"> stupňami srdcového zlyh</w:t>
      </w:r>
      <w:r w:rsidR="008E43E9" w:rsidRPr="004B6827">
        <w:rPr>
          <w:szCs w:val="22"/>
          <w:lang w:val="sk-SK"/>
        </w:rPr>
        <w:t>ávan</w:t>
      </w:r>
      <w:r w:rsidRPr="004B6827">
        <w:rPr>
          <w:szCs w:val="22"/>
          <w:lang w:val="sk-SK"/>
        </w:rPr>
        <w:t>ia, teda pacient</w:t>
      </w:r>
      <w:r w:rsidR="00095752" w:rsidRPr="004B6827">
        <w:rPr>
          <w:szCs w:val="22"/>
          <w:lang w:val="sk-SK"/>
        </w:rPr>
        <w:t>ov liečených vysokými dávkami kľ</w:t>
      </w:r>
      <w:r w:rsidRPr="004B6827">
        <w:rPr>
          <w:szCs w:val="22"/>
          <w:lang w:val="sk-SK"/>
        </w:rPr>
        <w:t>učkových diuretík, u pacientov s hyponatriémiou alebo s</w:t>
      </w:r>
      <w:r w:rsidR="008756FA" w:rsidRPr="004B6827">
        <w:rPr>
          <w:szCs w:val="22"/>
          <w:lang w:val="sk-SK"/>
        </w:rPr>
        <w:t> </w:t>
      </w:r>
      <w:r w:rsidRPr="004B6827">
        <w:rPr>
          <w:szCs w:val="22"/>
          <w:lang w:val="sk-SK"/>
        </w:rPr>
        <w:t>po</w:t>
      </w:r>
      <w:r w:rsidR="008756FA" w:rsidRPr="004B6827">
        <w:rPr>
          <w:szCs w:val="22"/>
          <w:lang w:val="sk-SK"/>
        </w:rPr>
        <w:t>ruchou funkcie obličiek</w:t>
      </w:r>
      <w:r w:rsidRPr="004B6827">
        <w:rPr>
          <w:szCs w:val="22"/>
          <w:lang w:val="sk-SK"/>
        </w:rPr>
        <w:t>. U pacientov so zvýšeným rizikom</w:t>
      </w:r>
      <w:r w:rsidR="008756FA" w:rsidRPr="004B6827">
        <w:rPr>
          <w:szCs w:val="22"/>
          <w:lang w:val="sk-SK"/>
        </w:rPr>
        <w:t xml:space="preserve"> symptomatickej hypotenzie sa m</w:t>
      </w:r>
      <w:r w:rsidR="00E27D36" w:rsidRPr="004B6827">
        <w:rPr>
          <w:szCs w:val="22"/>
          <w:lang w:val="sk-SK"/>
        </w:rPr>
        <w:t>á</w:t>
      </w:r>
      <w:r w:rsidRPr="004B6827">
        <w:rPr>
          <w:szCs w:val="22"/>
          <w:lang w:val="sk-SK"/>
        </w:rPr>
        <w:t xml:space="preserve"> začiatok liečby a úprava dávky starostlivo monitorovať (pozri časti 4.2 a 4.8). Podobné opatrenia platia pre pacientov</w:t>
      </w:r>
      <w:r w:rsidR="00FD0D31" w:rsidRPr="004B6827">
        <w:rPr>
          <w:szCs w:val="22"/>
          <w:lang w:val="sk-SK"/>
        </w:rPr>
        <w:t xml:space="preserve">, ktorí trpia </w:t>
      </w:r>
      <w:r w:rsidRPr="004B6827">
        <w:rPr>
          <w:szCs w:val="22"/>
          <w:lang w:val="sk-SK"/>
        </w:rPr>
        <w:t xml:space="preserve">ischemickou chorobou srdca alebo cerebrovaskulárnym ochorením, u ktorých by výrazný pokles </w:t>
      </w:r>
      <w:r w:rsidR="00FD0D31" w:rsidRPr="004B6827">
        <w:rPr>
          <w:szCs w:val="22"/>
          <w:lang w:val="sk-SK"/>
        </w:rPr>
        <w:t xml:space="preserve">krvného tlaku </w:t>
      </w:r>
      <w:r w:rsidRPr="004B6827">
        <w:rPr>
          <w:szCs w:val="22"/>
          <w:lang w:val="sk-SK"/>
        </w:rPr>
        <w:t>mohol viesť k infarktu myokardu alebo cievnej mozgovej príhode.</w:t>
      </w:r>
    </w:p>
    <w:p w:rsidR="001458FB" w:rsidRPr="004B6827" w:rsidRDefault="001458FB" w:rsidP="001458FB">
      <w:pPr>
        <w:spacing w:line="240" w:lineRule="auto"/>
        <w:rPr>
          <w:szCs w:val="22"/>
          <w:lang w:val="sk-SK"/>
        </w:rPr>
      </w:pPr>
      <w:r w:rsidRPr="004B6827">
        <w:rPr>
          <w:szCs w:val="22"/>
          <w:lang w:val="sk-SK"/>
        </w:rPr>
        <w:t xml:space="preserve">Ak </w:t>
      </w:r>
      <w:r w:rsidR="00FD0D31" w:rsidRPr="004B6827">
        <w:rPr>
          <w:szCs w:val="22"/>
          <w:lang w:val="sk-SK"/>
        </w:rPr>
        <w:t>nastane hypotenzia</w:t>
      </w:r>
      <w:r w:rsidRPr="004B6827">
        <w:rPr>
          <w:szCs w:val="22"/>
          <w:lang w:val="sk-SK"/>
        </w:rPr>
        <w:t xml:space="preserve">, pacient sa má uložiť do polohy ležmo, a ak je to nutné, má </w:t>
      </w:r>
      <w:r w:rsidR="00FD0D31" w:rsidRPr="004B6827">
        <w:rPr>
          <w:szCs w:val="22"/>
          <w:lang w:val="sk-SK"/>
        </w:rPr>
        <w:t>dostať</w:t>
      </w:r>
      <w:r w:rsidRPr="004B6827">
        <w:rPr>
          <w:szCs w:val="22"/>
          <w:lang w:val="sk-SK"/>
        </w:rPr>
        <w:t xml:space="preserve"> </w:t>
      </w:r>
      <w:r w:rsidR="00FD0D31" w:rsidRPr="004B6827">
        <w:rPr>
          <w:szCs w:val="22"/>
          <w:lang w:val="sk-SK"/>
        </w:rPr>
        <w:t>intravenóznu infúziu</w:t>
      </w:r>
      <w:r w:rsidRPr="004B6827">
        <w:rPr>
          <w:szCs w:val="22"/>
          <w:lang w:val="sk-SK"/>
        </w:rPr>
        <w:t xml:space="preserve"> roztoku chloridu sodného 9 mg/ml (0,9%). Prechodná hypotenzná odpoveď nie je kontraindikáciou na podávanie ďalších dávok, ktoré je m</w:t>
      </w:r>
      <w:r w:rsidR="00FD0D31" w:rsidRPr="004B6827">
        <w:rPr>
          <w:szCs w:val="22"/>
          <w:lang w:val="sk-SK"/>
        </w:rPr>
        <w:t>ožné podať zvyčajne bez ťažkost</w:t>
      </w:r>
      <w:r w:rsidR="00E27D36" w:rsidRPr="004B6827">
        <w:rPr>
          <w:szCs w:val="22"/>
          <w:lang w:val="sk-SK"/>
        </w:rPr>
        <w:t>í</w:t>
      </w:r>
      <w:r w:rsidRPr="004B6827">
        <w:rPr>
          <w:szCs w:val="22"/>
          <w:lang w:val="sk-SK"/>
        </w:rPr>
        <w:t xml:space="preserve">, keď sa </w:t>
      </w:r>
      <w:r w:rsidR="00FD0D31" w:rsidRPr="004B6827">
        <w:rPr>
          <w:szCs w:val="22"/>
          <w:lang w:val="sk-SK"/>
        </w:rPr>
        <w:t xml:space="preserve">krvný </w:t>
      </w:r>
      <w:r w:rsidRPr="004B6827">
        <w:rPr>
          <w:szCs w:val="22"/>
          <w:lang w:val="sk-SK"/>
        </w:rPr>
        <w:t>tlak</w:t>
      </w:r>
      <w:r w:rsidR="00FD0D31" w:rsidRPr="004B6827">
        <w:rPr>
          <w:szCs w:val="22"/>
          <w:lang w:val="sk-SK"/>
        </w:rPr>
        <w:t xml:space="preserve"> </w:t>
      </w:r>
      <w:r w:rsidRPr="004B6827">
        <w:rPr>
          <w:szCs w:val="22"/>
          <w:lang w:val="sk-SK"/>
        </w:rPr>
        <w:t>zvýši po zväčšení objemu</w:t>
      </w:r>
      <w:r w:rsidRPr="004B6827">
        <w:rPr>
          <w:bCs/>
          <w:iCs/>
          <w:szCs w:val="22"/>
          <w:lang w:val="sk-SK"/>
        </w:rPr>
        <w:t>.</w:t>
      </w:r>
    </w:p>
    <w:p w:rsidR="001458FB" w:rsidRPr="004B6827" w:rsidRDefault="001458FB" w:rsidP="001458FB">
      <w:pPr>
        <w:spacing w:line="240" w:lineRule="auto"/>
        <w:rPr>
          <w:szCs w:val="22"/>
          <w:lang w:val="sk-SK"/>
        </w:rPr>
      </w:pPr>
      <w:r w:rsidRPr="004B6827">
        <w:rPr>
          <w:szCs w:val="22"/>
          <w:lang w:val="sk-SK"/>
        </w:rPr>
        <w:t>U niektorých pacientov s kongestívnym srdcovým zlyh</w:t>
      </w:r>
      <w:r w:rsidR="008E43E9" w:rsidRPr="004B6827">
        <w:rPr>
          <w:szCs w:val="22"/>
          <w:lang w:val="sk-SK"/>
        </w:rPr>
        <w:t>ávan</w:t>
      </w:r>
      <w:r w:rsidRPr="004B6827">
        <w:rPr>
          <w:szCs w:val="22"/>
          <w:lang w:val="sk-SK"/>
        </w:rPr>
        <w:t xml:space="preserve">ím, ktorí majú normálny alebo nízky </w:t>
      </w:r>
      <w:r w:rsidR="00FD0D31" w:rsidRPr="004B6827">
        <w:rPr>
          <w:szCs w:val="22"/>
          <w:lang w:val="sk-SK"/>
        </w:rPr>
        <w:t xml:space="preserve">krvný </w:t>
      </w:r>
      <w:r w:rsidRPr="004B6827">
        <w:rPr>
          <w:szCs w:val="22"/>
          <w:lang w:val="sk-SK"/>
        </w:rPr>
        <w:t xml:space="preserve">tlak, môže dôjsť pri liečbe </w:t>
      </w:r>
      <w:r w:rsidR="00FD0D31" w:rsidRPr="004B6827">
        <w:rPr>
          <w:szCs w:val="22"/>
          <w:lang w:val="sk-SK"/>
        </w:rPr>
        <w:t>perindoprilom</w:t>
      </w:r>
      <w:r w:rsidRPr="004B6827">
        <w:rPr>
          <w:szCs w:val="22"/>
          <w:vertAlign w:val="superscript"/>
          <w:lang w:val="sk-SK"/>
        </w:rPr>
        <w:t xml:space="preserve"> </w:t>
      </w:r>
      <w:r w:rsidRPr="004B6827">
        <w:rPr>
          <w:szCs w:val="22"/>
          <w:lang w:val="sk-SK"/>
        </w:rPr>
        <w:t xml:space="preserve">k ďalšiemu zníženiu celkového </w:t>
      </w:r>
      <w:r w:rsidR="00FD0D31" w:rsidRPr="004B6827">
        <w:rPr>
          <w:szCs w:val="22"/>
          <w:lang w:val="sk-SK"/>
        </w:rPr>
        <w:t xml:space="preserve">krvného </w:t>
      </w:r>
      <w:r w:rsidRPr="004B6827">
        <w:rPr>
          <w:szCs w:val="22"/>
          <w:lang w:val="sk-SK"/>
        </w:rPr>
        <w:t xml:space="preserve">tlaku. Takýto </w:t>
      </w:r>
      <w:r w:rsidRPr="004B6827">
        <w:rPr>
          <w:szCs w:val="22"/>
          <w:lang w:val="sk-SK"/>
        </w:rPr>
        <w:lastRenderedPageBreak/>
        <w:t xml:space="preserve">účinok sa dá očakávať a zvyčajne nie je dôvodom na ukončenie liečby. Ak sa hypotenzia stane symptomatickou, môže byť potrebné </w:t>
      </w:r>
      <w:r w:rsidR="00FD0D31" w:rsidRPr="004B6827">
        <w:rPr>
          <w:szCs w:val="22"/>
          <w:lang w:val="sk-SK"/>
        </w:rPr>
        <w:t xml:space="preserve">zníženie </w:t>
      </w:r>
      <w:r w:rsidRPr="004B6827">
        <w:rPr>
          <w:szCs w:val="22"/>
          <w:lang w:val="sk-SK"/>
        </w:rPr>
        <w:t>dávk</w:t>
      </w:r>
      <w:r w:rsidR="00FD0D31" w:rsidRPr="004B6827">
        <w:rPr>
          <w:szCs w:val="22"/>
          <w:lang w:val="sk-SK"/>
        </w:rPr>
        <w:t>y</w:t>
      </w:r>
      <w:r w:rsidRPr="004B6827">
        <w:rPr>
          <w:szCs w:val="22"/>
          <w:lang w:val="sk-SK"/>
        </w:rPr>
        <w:t xml:space="preserve"> alebo</w:t>
      </w:r>
      <w:r w:rsidR="00FD0D31" w:rsidRPr="004B6827">
        <w:rPr>
          <w:szCs w:val="22"/>
          <w:lang w:val="sk-SK"/>
        </w:rPr>
        <w:t xml:space="preserve"> </w:t>
      </w:r>
      <w:r w:rsidR="00FD2478" w:rsidRPr="004B6827">
        <w:rPr>
          <w:szCs w:val="22"/>
          <w:lang w:val="sk-SK"/>
        </w:rPr>
        <w:t>ukončenie</w:t>
      </w:r>
      <w:r w:rsidR="00FD0D31" w:rsidRPr="004B6827">
        <w:rPr>
          <w:szCs w:val="22"/>
          <w:lang w:val="sk-SK"/>
        </w:rPr>
        <w:t xml:space="preserve"> liečby </w:t>
      </w:r>
      <w:r w:rsidR="00212A25" w:rsidRPr="004B6827">
        <w:rPr>
          <w:szCs w:val="22"/>
          <w:lang w:val="sk-SK"/>
        </w:rPr>
        <w:t>Lipertance</w:t>
      </w:r>
      <w:r w:rsidRPr="004B6827">
        <w:rPr>
          <w:szCs w:val="22"/>
          <w:lang w:val="sk-SK"/>
        </w:rPr>
        <w:t>.</w:t>
      </w:r>
    </w:p>
    <w:p w:rsidR="00FD0D31" w:rsidRPr="004B6827" w:rsidRDefault="00FD0D31" w:rsidP="001458FB">
      <w:pPr>
        <w:spacing w:line="240" w:lineRule="auto"/>
        <w:rPr>
          <w:szCs w:val="22"/>
          <w:lang w:val="sk-SK"/>
        </w:rPr>
      </w:pPr>
    </w:p>
    <w:p w:rsidR="001843A3" w:rsidRPr="004B6827" w:rsidRDefault="001843A3" w:rsidP="001843A3">
      <w:pPr>
        <w:spacing w:line="240" w:lineRule="auto"/>
        <w:rPr>
          <w:bCs/>
          <w:iCs/>
          <w:szCs w:val="22"/>
          <w:u w:val="single"/>
          <w:lang w:val="sk-SK"/>
        </w:rPr>
      </w:pPr>
      <w:r w:rsidRPr="004B6827">
        <w:rPr>
          <w:bCs/>
          <w:iCs/>
          <w:szCs w:val="22"/>
          <w:u w:val="single"/>
          <w:lang w:val="sk-SK"/>
        </w:rPr>
        <w:t>Stenóza aortálnej a mitrálnej chlopne:</w:t>
      </w:r>
    </w:p>
    <w:p w:rsidR="001843A3" w:rsidRPr="004B6827" w:rsidRDefault="001843A3" w:rsidP="001843A3">
      <w:pPr>
        <w:spacing w:line="240" w:lineRule="auto"/>
        <w:rPr>
          <w:szCs w:val="22"/>
          <w:lang w:val="sk-SK"/>
        </w:rPr>
      </w:pPr>
      <w:r w:rsidRPr="004B6827">
        <w:rPr>
          <w:szCs w:val="22"/>
          <w:lang w:val="sk-SK"/>
        </w:rPr>
        <w:t xml:space="preserve">Rovnako ako iné lieky obsahujúce inhibítory ACE, ako je perindopril, </w:t>
      </w:r>
      <w:r w:rsidR="004E3F1A" w:rsidRPr="004B6827">
        <w:rPr>
          <w:szCs w:val="22"/>
          <w:lang w:val="sk-SK"/>
        </w:rPr>
        <w:t xml:space="preserve">sa má </w:t>
      </w:r>
      <w:r w:rsidR="00212A25" w:rsidRPr="004B6827">
        <w:rPr>
          <w:szCs w:val="22"/>
          <w:lang w:val="sk-SK"/>
        </w:rPr>
        <w:t>Lipertance</w:t>
      </w:r>
      <w:r w:rsidRPr="004B6827">
        <w:rPr>
          <w:szCs w:val="22"/>
          <w:lang w:val="sk-SK"/>
        </w:rPr>
        <w:t xml:space="preserve"> podávať s opatrnosťou pacientom so stenózou mitrálnej chlopne alebo aortálnou stenózou, ktorá nie je vysokého stupňa.</w:t>
      </w:r>
      <w:r w:rsidR="00A11B64" w:rsidRPr="004B6827">
        <w:rPr>
          <w:szCs w:val="22"/>
          <w:lang w:val="sk-SK"/>
        </w:rPr>
        <w:t xml:space="preserve"> Použit</w:t>
      </w:r>
      <w:r w:rsidR="0059635B" w:rsidRPr="004B6827">
        <w:rPr>
          <w:szCs w:val="22"/>
          <w:lang w:val="sk-SK"/>
        </w:rPr>
        <w:t>i</w:t>
      </w:r>
      <w:r w:rsidR="00A11B64" w:rsidRPr="004B6827">
        <w:rPr>
          <w:szCs w:val="22"/>
          <w:lang w:val="sk-SK"/>
        </w:rPr>
        <w:t xml:space="preserve">e </w:t>
      </w:r>
      <w:r w:rsidR="00212A25" w:rsidRPr="004B6827">
        <w:rPr>
          <w:szCs w:val="22"/>
          <w:lang w:val="sk-SK"/>
        </w:rPr>
        <w:t>Lipertance</w:t>
      </w:r>
      <w:r w:rsidR="00A11B64" w:rsidRPr="004B6827">
        <w:rPr>
          <w:szCs w:val="22"/>
          <w:lang w:val="sk-SK"/>
        </w:rPr>
        <w:t xml:space="preserve"> je kontraindikované u pacientov s ťažkou obštrukciou p</w:t>
      </w:r>
      <w:r w:rsidRPr="004B6827">
        <w:rPr>
          <w:szCs w:val="22"/>
          <w:lang w:val="sk-SK"/>
        </w:rPr>
        <w:t>rietoku ľavej komory</w:t>
      </w:r>
      <w:r w:rsidR="00A11B64" w:rsidRPr="004B6827">
        <w:rPr>
          <w:szCs w:val="22"/>
          <w:lang w:val="sk-SK"/>
        </w:rPr>
        <w:t xml:space="preserve"> (pozri časť 4.3).</w:t>
      </w:r>
    </w:p>
    <w:p w:rsidR="001843A3" w:rsidRPr="004B6827" w:rsidRDefault="001843A3" w:rsidP="001843A3">
      <w:pPr>
        <w:spacing w:line="240" w:lineRule="auto"/>
        <w:rPr>
          <w:szCs w:val="22"/>
          <w:lang w:val="sk-SK"/>
        </w:rPr>
      </w:pPr>
    </w:p>
    <w:p w:rsidR="00A11B64" w:rsidRPr="004B6827" w:rsidRDefault="00A11B64" w:rsidP="00A11B64">
      <w:pPr>
        <w:spacing w:line="240" w:lineRule="auto"/>
        <w:rPr>
          <w:bCs/>
          <w:szCs w:val="22"/>
          <w:u w:val="single"/>
          <w:lang w:val="sk-SK"/>
        </w:rPr>
      </w:pPr>
      <w:r w:rsidRPr="004B6827">
        <w:rPr>
          <w:bCs/>
          <w:szCs w:val="22"/>
          <w:u w:val="single"/>
          <w:lang w:val="sk-SK"/>
        </w:rPr>
        <w:t>Transplantácia obličky:</w:t>
      </w:r>
    </w:p>
    <w:p w:rsidR="00A11B64" w:rsidRPr="004B6827" w:rsidRDefault="00C246F7" w:rsidP="00A11B64">
      <w:pPr>
        <w:spacing w:line="240" w:lineRule="auto"/>
        <w:rPr>
          <w:bCs/>
          <w:iCs/>
          <w:szCs w:val="22"/>
          <w:lang w:val="sk-SK"/>
        </w:rPr>
      </w:pPr>
      <w:r w:rsidRPr="004B6827">
        <w:rPr>
          <w:szCs w:val="22"/>
          <w:lang w:val="sk-SK"/>
        </w:rPr>
        <w:t>Nie sú skúsenosti s </w:t>
      </w:r>
      <w:r w:rsidR="00A11B64" w:rsidRPr="004B6827">
        <w:rPr>
          <w:szCs w:val="22"/>
          <w:lang w:val="sk-SK"/>
        </w:rPr>
        <w:t>podávaním perindoprilu arginínu pacientom po nedávnej transplantácii obličky</w:t>
      </w:r>
      <w:r w:rsidR="00A11B64" w:rsidRPr="004B6827">
        <w:rPr>
          <w:bCs/>
          <w:iCs/>
          <w:szCs w:val="22"/>
          <w:lang w:val="sk-SK"/>
        </w:rPr>
        <w:t>.</w:t>
      </w:r>
    </w:p>
    <w:p w:rsidR="00A11B64" w:rsidRPr="004B6827" w:rsidRDefault="00A11B64" w:rsidP="001843A3">
      <w:pPr>
        <w:spacing w:line="240" w:lineRule="auto"/>
        <w:rPr>
          <w:bCs/>
          <w:szCs w:val="22"/>
          <w:u w:val="single"/>
          <w:lang w:val="sk-SK"/>
        </w:rPr>
      </w:pPr>
    </w:p>
    <w:p w:rsidR="001843A3" w:rsidRPr="004B6827" w:rsidRDefault="001843A3" w:rsidP="001843A3">
      <w:pPr>
        <w:spacing w:line="240" w:lineRule="auto"/>
        <w:rPr>
          <w:bCs/>
          <w:iCs/>
          <w:szCs w:val="22"/>
          <w:u w:val="single"/>
          <w:lang w:val="sk-SK"/>
        </w:rPr>
      </w:pPr>
      <w:r w:rsidRPr="004B6827">
        <w:rPr>
          <w:bCs/>
          <w:szCs w:val="22"/>
          <w:u w:val="single"/>
          <w:lang w:val="sk-SK"/>
        </w:rPr>
        <w:t>Po</w:t>
      </w:r>
      <w:r w:rsidR="00A11B64" w:rsidRPr="004B6827">
        <w:rPr>
          <w:bCs/>
          <w:szCs w:val="22"/>
          <w:u w:val="single"/>
          <w:lang w:val="sk-SK"/>
        </w:rPr>
        <w:t>rucha funkcie obličiek</w:t>
      </w:r>
      <w:r w:rsidRPr="004B6827">
        <w:rPr>
          <w:bCs/>
          <w:iCs/>
          <w:szCs w:val="22"/>
          <w:u w:val="single"/>
          <w:lang w:val="sk-SK"/>
        </w:rPr>
        <w:t>:</w:t>
      </w:r>
    </w:p>
    <w:p w:rsidR="001843A3" w:rsidRPr="004B6827" w:rsidRDefault="00212A25" w:rsidP="001843A3">
      <w:pPr>
        <w:spacing w:line="240" w:lineRule="auto"/>
        <w:rPr>
          <w:szCs w:val="22"/>
          <w:lang w:val="sk-SK"/>
        </w:rPr>
      </w:pPr>
      <w:r w:rsidRPr="004B6827">
        <w:rPr>
          <w:szCs w:val="22"/>
          <w:lang w:val="sk-SK"/>
        </w:rPr>
        <w:t>Lipertance</w:t>
      </w:r>
      <w:r w:rsidR="00A640D5" w:rsidRPr="004B6827">
        <w:rPr>
          <w:szCs w:val="22"/>
          <w:lang w:val="sk-SK"/>
        </w:rPr>
        <w:t xml:space="preserve"> sa môže podávať pacientom s </w:t>
      </w:r>
      <w:r w:rsidR="001843A3" w:rsidRPr="004B6827">
        <w:rPr>
          <w:szCs w:val="22"/>
          <w:lang w:val="sk-SK"/>
        </w:rPr>
        <w:t>klírens</w:t>
      </w:r>
      <w:r w:rsidR="00A640D5" w:rsidRPr="004B6827">
        <w:rPr>
          <w:szCs w:val="22"/>
          <w:lang w:val="sk-SK"/>
        </w:rPr>
        <w:t xml:space="preserve">om kreatinínu ≥ 60 </w:t>
      </w:r>
      <w:r w:rsidR="001843A3" w:rsidRPr="004B6827">
        <w:rPr>
          <w:szCs w:val="22"/>
          <w:lang w:val="sk-SK"/>
        </w:rPr>
        <w:t>ml/min</w:t>
      </w:r>
      <w:r w:rsidR="00A640D5" w:rsidRPr="004B6827">
        <w:rPr>
          <w:szCs w:val="22"/>
          <w:lang w:val="sk-SK"/>
        </w:rPr>
        <w:t xml:space="preserve"> a nie je </w:t>
      </w:r>
      <w:r w:rsidR="00717075" w:rsidRPr="004B6827">
        <w:rPr>
          <w:szCs w:val="22"/>
          <w:lang w:val="sk-SK"/>
        </w:rPr>
        <w:t xml:space="preserve">vhodný </w:t>
      </w:r>
      <w:r w:rsidR="00A640D5" w:rsidRPr="004B6827">
        <w:rPr>
          <w:szCs w:val="22"/>
          <w:lang w:val="sk-SK"/>
        </w:rPr>
        <w:t xml:space="preserve">pre pacientov s klírensom kreatinínu </w:t>
      </w:r>
      <w:r w:rsidR="00C246F7" w:rsidRPr="004B6827">
        <w:rPr>
          <w:bCs/>
          <w:iCs/>
          <w:szCs w:val="22"/>
          <w:lang w:val="sk-SK"/>
        </w:rPr>
        <w:t>&lt;</w:t>
      </w:r>
      <w:r w:rsidR="00A640D5" w:rsidRPr="004B6827">
        <w:rPr>
          <w:szCs w:val="22"/>
          <w:lang w:val="sk-SK"/>
        </w:rPr>
        <w:t xml:space="preserve"> 60 ml/min</w:t>
      </w:r>
      <w:r w:rsidR="001843A3" w:rsidRPr="004B6827">
        <w:rPr>
          <w:szCs w:val="22"/>
          <w:lang w:val="sk-SK"/>
        </w:rPr>
        <w:t xml:space="preserve"> </w:t>
      </w:r>
      <w:r w:rsidR="00A640D5" w:rsidRPr="004B6827">
        <w:rPr>
          <w:szCs w:val="22"/>
          <w:lang w:val="sk-SK"/>
        </w:rPr>
        <w:t>(stredne ťažká až ťažká porucha funkcie obličiek).</w:t>
      </w:r>
      <w:r w:rsidR="00D351D6" w:rsidRPr="004B6827">
        <w:rPr>
          <w:szCs w:val="22"/>
          <w:lang w:val="sk-SK"/>
        </w:rPr>
        <w:t xml:space="preserve"> U týchto pacientov sa odporúča individuálna titrácia dávky s jednotlivými zložkami. U pacientov s poruchou funkcie obličiek je rutinné monitorovanie draslíka a kreatinínu súčasťou bežnej lekárskej praxe (pozri časť 4.8).</w:t>
      </w:r>
    </w:p>
    <w:p w:rsidR="001843A3" w:rsidRPr="004B6827" w:rsidRDefault="001843A3" w:rsidP="001843A3">
      <w:pPr>
        <w:spacing w:line="240" w:lineRule="auto"/>
        <w:rPr>
          <w:szCs w:val="22"/>
          <w:lang w:val="sk-SK"/>
        </w:rPr>
      </w:pPr>
      <w:r w:rsidRPr="004B6827">
        <w:rPr>
          <w:szCs w:val="22"/>
          <w:lang w:val="sk-SK"/>
        </w:rPr>
        <w:t>U pacientov so symptomatickým srdcovým zlyh</w:t>
      </w:r>
      <w:r w:rsidR="008E43E9" w:rsidRPr="004B6827">
        <w:rPr>
          <w:szCs w:val="22"/>
          <w:lang w:val="sk-SK"/>
        </w:rPr>
        <w:t>ávan</w:t>
      </w:r>
      <w:r w:rsidRPr="004B6827">
        <w:rPr>
          <w:szCs w:val="22"/>
          <w:lang w:val="sk-SK"/>
        </w:rPr>
        <w:t xml:space="preserve">ím môže viesť hypotenzia navodená po začatí liečby inhibítormi </w:t>
      </w:r>
      <w:r w:rsidR="004F12EE" w:rsidRPr="004B6827">
        <w:rPr>
          <w:szCs w:val="22"/>
          <w:lang w:val="sk-SK"/>
        </w:rPr>
        <w:t>ACE, ako je perindopril</w:t>
      </w:r>
      <w:r w:rsidR="008C0666" w:rsidRPr="004B6827">
        <w:rPr>
          <w:szCs w:val="22"/>
          <w:lang w:val="sk-SK"/>
        </w:rPr>
        <w:t>,</w:t>
      </w:r>
      <w:r w:rsidR="004F12EE" w:rsidRPr="004B6827">
        <w:rPr>
          <w:szCs w:val="22"/>
          <w:lang w:val="sk-SK"/>
        </w:rPr>
        <w:t xml:space="preserve"> </w:t>
      </w:r>
      <w:r w:rsidRPr="004B6827">
        <w:rPr>
          <w:szCs w:val="22"/>
          <w:lang w:val="sk-SK"/>
        </w:rPr>
        <w:t>k</w:t>
      </w:r>
      <w:r w:rsidR="004F12EE" w:rsidRPr="004B6827">
        <w:rPr>
          <w:szCs w:val="22"/>
          <w:lang w:val="sk-SK"/>
        </w:rPr>
        <w:t> </w:t>
      </w:r>
      <w:r w:rsidRPr="004B6827">
        <w:rPr>
          <w:szCs w:val="22"/>
          <w:lang w:val="sk-SK"/>
        </w:rPr>
        <w:t>ďalš</w:t>
      </w:r>
      <w:r w:rsidR="004F12EE" w:rsidRPr="004B6827">
        <w:rPr>
          <w:szCs w:val="22"/>
          <w:lang w:val="sk-SK"/>
        </w:rPr>
        <w:t>ej poruche funkcie obličiek.</w:t>
      </w:r>
      <w:r w:rsidRPr="004B6827">
        <w:rPr>
          <w:szCs w:val="22"/>
          <w:lang w:val="sk-SK"/>
        </w:rPr>
        <w:t xml:space="preserve"> V takejto situácii bolo </w:t>
      </w:r>
      <w:r w:rsidR="004F12EE" w:rsidRPr="004B6827">
        <w:rPr>
          <w:szCs w:val="22"/>
          <w:lang w:val="sk-SK"/>
        </w:rPr>
        <w:t>hlásen</w:t>
      </w:r>
      <w:r w:rsidRPr="004B6827">
        <w:rPr>
          <w:szCs w:val="22"/>
          <w:lang w:val="sk-SK"/>
        </w:rPr>
        <w:t>é akútne, zvyčajne reverzibilné renálne zlyhanie.</w:t>
      </w:r>
    </w:p>
    <w:p w:rsidR="00B40459" w:rsidRPr="004B6827" w:rsidRDefault="001843A3" w:rsidP="001843A3">
      <w:pPr>
        <w:spacing w:line="240" w:lineRule="auto"/>
        <w:rPr>
          <w:szCs w:val="22"/>
          <w:lang w:val="sk-SK"/>
        </w:rPr>
      </w:pPr>
      <w:r w:rsidRPr="004B6827">
        <w:rPr>
          <w:szCs w:val="22"/>
          <w:lang w:val="sk-SK"/>
        </w:rPr>
        <w:t>U niektorých pacientov s bilaterálnou stenózou renálnej artérie alebo stenózou artérie solitérnej obličky, ktorí boli liečen</w:t>
      </w:r>
      <w:r w:rsidR="00B40459" w:rsidRPr="004B6827">
        <w:rPr>
          <w:szCs w:val="22"/>
          <w:lang w:val="sk-SK"/>
        </w:rPr>
        <w:t>í inhibítormi ACE, boli pozorov</w:t>
      </w:r>
      <w:r w:rsidRPr="004B6827">
        <w:rPr>
          <w:szCs w:val="22"/>
          <w:lang w:val="sk-SK"/>
        </w:rPr>
        <w:t>ané zvýšen</w:t>
      </w:r>
      <w:r w:rsidR="00B40459" w:rsidRPr="004B6827">
        <w:rPr>
          <w:szCs w:val="22"/>
          <w:lang w:val="sk-SK"/>
        </w:rPr>
        <w:t>ia</w:t>
      </w:r>
      <w:r w:rsidRPr="004B6827">
        <w:rPr>
          <w:szCs w:val="22"/>
          <w:lang w:val="sk-SK"/>
        </w:rPr>
        <w:t xml:space="preserve"> urey v krvi a sérového kreatinínu, ktoré boli zvyčajne reverzibilné po ukončení liečby. </w:t>
      </w:r>
      <w:r w:rsidR="00B40459" w:rsidRPr="004B6827">
        <w:rPr>
          <w:szCs w:val="22"/>
          <w:lang w:val="sk-SK"/>
        </w:rPr>
        <w:t>Je to pravdepodobné</w:t>
      </w:r>
      <w:r w:rsidRPr="004B6827">
        <w:rPr>
          <w:szCs w:val="22"/>
          <w:lang w:val="sk-SK"/>
        </w:rPr>
        <w:t xml:space="preserve"> najmä u pacientov s renálnou insuficienciou. </w:t>
      </w:r>
      <w:r w:rsidR="00B40459" w:rsidRPr="004B6827">
        <w:rPr>
          <w:szCs w:val="22"/>
          <w:lang w:val="sk-SK"/>
        </w:rPr>
        <w:t>Ak je prítomná aj renovaskulárna hypertenzia, je zvýšené</w:t>
      </w:r>
      <w:r w:rsidRPr="004B6827">
        <w:rPr>
          <w:szCs w:val="22"/>
          <w:lang w:val="sk-SK"/>
        </w:rPr>
        <w:t xml:space="preserve"> riziko vzniku </w:t>
      </w:r>
      <w:r w:rsidR="00B40459" w:rsidRPr="004B6827">
        <w:rPr>
          <w:szCs w:val="22"/>
          <w:lang w:val="sk-SK"/>
        </w:rPr>
        <w:t>ťažkej</w:t>
      </w:r>
      <w:r w:rsidRPr="004B6827">
        <w:rPr>
          <w:szCs w:val="22"/>
          <w:lang w:val="sk-SK"/>
        </w:rPr>
        <w:t xml:space="preserve"> hypotenzie a</w:t>
      </w:r>
      <w:r w:rsidR="00B40459" w:rsidRPr="004B6827">
        <w:rPr>
          <w:szCs w:val="22"/>
          <w:lang w:val="sk-SK"/>
        </w:rPr>
        <w:t> </w:t>
      </w:r>
      <w:r w:rsidRPr="004B6827">
        <w:rPr>
          <w:szCs w:val="22"/>
          <w:lang w:val="sk-SK"/>
        </w:rPr>
        <w:t>renálne</w:t>
      </w:r>
      <w:r w:rsidR="00B40459" w:rsidRPr="004B6827">
        <w:rPr>
          <w:szCs w:val="22"/>
          <w:lang w:val="sk-SK"/>
        </w:rPr>
        <w:t>j insuficiencie.</w:t>
      </w:r>
    </w:p>
    <w:p w:rsidR="001843A3" w:rsidRPr="004B6827" w:rsidRDefault="001843A3" w:rsidP="001843A3">
      <w:pPr>
        <w:spacing w:line="240" w:lineRule="auto"/>
        <w:rPr>
          <w:bCs/>
          <w:iCs/>
          <w:szCs w:val="22"/>
          <w:lang w:val="sk-SK"/>
        </w:rPr>
      </w:pPr>
      <w:r w:rsidRPr="004B6827">
        <w:rPr>
          <w:szCs w:val="22"/>
          <w:lang w:val="sk-SK"/>
        </w:rPr>
        <w:t>U niektorých hypertonikov bez zjavného preexistujúceho renovaskulárneho ochorenia došlo k zvýšeniu hladín urey v krvi a sérového kreatinínu, ktoré bolo zvyčajne mierne a prechodné, a to najmä ak bol</w:t>
      </w:r>
      <w:r w:rsidR="003558CB" w:rsidRPr="004B6827">
        <w:rPr>
          <w:szCs w:val="22"/>
          <w:lang w:val="sk-SK"/>
        </w:rPr>
        <w:t xml:space="preserve"> perindopril</w:t>
      </w:r>
      <w:r w:rsidRPr="004B6827">
        <w:rPr>
          <w:szCs w:val="22"/>
          <w:lang w:val="sk-SK"/>
        </w:rPr>
        <w:t xml:space="preserve"> podávan</w:t>
      </w:r>
      <w:r w:rsidR="003558CB" w:rsidRPr="004B6827">
        <w:rPr>
          <w:szCs w:val="22"/>
          <w:lang w:val="sk-SK"/>
        </w:rPr>
        <w:t>ý</w:t>
      </w:r>
      <w:r w:rsidRPr="004B6827">
        <w:rPr>
          <w:szCs w:val="22"/>
          <w:lang w:val="sk-SK"/>
        </w:rPr>
        <w:t xml:space="preserve"> súbežne s diuretikom. K tomu môže dôjsť s väčšou pravdepodobnos</w:t>
      </w:r>
      <w:r w:rsidR="003558CB" w:rsidRPr="004B6827">
        <w:rPr>
          <w:szCs w:val="22"/>
          <w:lang w:val="sk-SK"/>
        </w:rPr>
        <w:t>ťou u pacientov s preexistujúcou</w:t>
      </w:r>
      <w:r w:rsidRPr="004B6827">
        <w:rPr>
          <w:szCs w:val="22"/>
          <w:lang w:val="sk-SK"/>
        </w:rPr>
        <w:t xml:space="preserve"> po</w:t>
      </w:r>
      <w:r w:rsidR="003558CB" w:rsidRPr="004B6827">
        <w:rPr>
          <w:szCs w:val="22"/>
          <w:lang w:val="sk-SK"/>
        </w:rPr>
        <w:t>ruchou</w:t>
      </w:r>
      <w:r w:rsidRPr="004B6827">
        <w:rPr>
          <w:szCs w:val="22"/>
          <w:lang w:val="sk-SK"/>
        </w:rPr>
        <w:t xml:space="preserve"> funkcie obličiek. Môže byť potrebné znížiť dávku a/alebo </w:t>
      </w:r>
      <w:r w:rsidR="00745644" w:rsidRPr="004B6827">
        <w:rPr>
          <w:szCs w:val="22"/>
          <w:lang w:val="sk-SK"/>
        </w:rPr>
        <w:t>ukončiť podávanie</w:t>
      </w:r>
      <w:r w:rsidRPr="004B6827">
        <w:rPr>
          <w:szCs w:val="22"/>
          <w:lang w:val="sk-SK"/>
        </w:rPr>
        <w:t xml:space="preserve"> diuretik</w:t>
      </w:r>
      <w:r w:rsidR="00745644" w:rsidRPr="004B6827">
        <w:rPr>
          <w:szCs w:val="22"/>
          <w:lang w:val="sk-SK"/>
        </w:rPr>
        <w:t>a</w:t>
      </w:r>
      <w:r w:rsidRPr="004B6827">
        <w:rPr>
          <w:szCs w:val="22"/>
          <w:lang w:val="sk-SK"/>
        </w:rPr>
        <w:t xml:space="preserve"> a/alebo </w:t>
      </w:r>
      <w:r w:rsidR="00212A25" w:rsidRPr="004B6827">
        <w:rPr>
          <w:szCs w:val="22"/>
          <w:lang w:val="sk-SK"/>
        </w:rPr>
        <w:t>Lipertance</w:t>
      </w:r>
      <w:r w:rsidR="003558CB" w:rsidRPr="004B6827">
        <w:rPr>
          <w:bCs/>
          <w:iCs/>
          <w:szCs w:val="22"/>
          <w:lang w:val="sk-SK"/>
        </w:rPr>
        <w:t>.</w:t>
      </w:r>
    </w:p>
    <w:p w:rsidR="003558CB" w:rsidRPr="004B6827" w:rsidRDefault="003558CB" w:rsidP="001843A3">
      <w:pPr>
        <w:spacing w:line="240" w:lineRule="auto"/>
        <w:rPr>
          <w:bCs/>
          <w:iCs/>
          <w:szCs w:val="22"/>
          <w:lang w:val="sk-SK"/>
        </w:rPr>
      </w:pPr>
    </w:p>
    <w:p w:rsidR="003558CB" w:rsidRPr="004B6827" w:rsidRDefault="003558CB" w:rsidP="001843A3">
      <w:pPr>
        <w:spacing w:line="240" w:lineRule="auto"/>
        <w:rPr>
          <w:bCs/>
          <w:iCs/>
          <w:szCs w:val="22"/>
          <w:lang w:val="sk-SK"/>
        </w:rPr>
      </w:pPr>
      <w:r w:rsidRPr="004B6827">
        <w:rPr>
          <w:bCs/>
          <w:iCs/>
          <w:szCs w:val="22"/>
          <w:lang w:val="sk-SK"/>
        </w:rPr>
        <w:t>Amlodipín sa môže používať v </w:t>
      </w:r>
      <w:r w:rsidR="007A5842" w:rsidRPr="004B6827">
        <w:rPr>
          <w:bCs/>
          <w:iCs/>
          <w:szCs w:val="22"/>
          <w:lang w:val="sk-SK"/>
        </w:rPr>
        <w:t>bežných</w:t>
      </w:r>
      <w:r w:rsidRPr="004B6827">
        <w:rPr>
          <w:bCs/>
          <w:iCs/>
          <w:szCs w:val="22"/>
          <w:lang w:val="sk-SK"/>
        </w:rPr>
        <w:t xml:space="preserve"> dávkach u</w:t>
      </w:r>
      <w:r w:rsidR="007A5842" w:rsidRPr="004B6827">
        <w:rPr>
          <w:bCs/>
          <w:iCs/>
          <w:szCs w:val="22"/>
          <w:lang w:val="sk-SK"/>
        </w:rPr>
        <w:t> </w:t>
      </w:r>
      <w:r w:rsidRPr="004B6827">
        <w:rPr>
          <w:bCs/>
          <w:iCs/>
          <w:szCs w:val="22"/>
          <w:lang w:val="sk-SK"/>
        </w:rPr>
        <w:t>dospelých</w:t>
      </w:r>
      <w:r w:rsidR="007A5842" w:rsidRPr="004B6827">
        <w:rPr>
          <w:bCs/>
          <w:iCs/>
          <w:szCs w:val="22"/>
          <w:lang w:val="sk-SK"/>
        </w:rPr>
        <w:t xml:space="preserve"> s renálnym zlyhaním. Zmeny v plazmatických koncentráci</w:t>
      </w:r>
      <w:r w:rsidR="001519A2" w:rsidRPr="004B6827">
        <w:rPr>
          <w:bCs/>
          <w:iCs/>
          <w:szCs w:val="22"/>
          <w:lang w:val="sk-SK"/>
        </w:rPr>
        <w:t>á</w:t>
      </w:r>
      <w:r w:rsidR="007A5842" w:rsidRPr="004B6827">
        <w:rPr>
          <w:bCs/>
          <w:iCs/>
          <w:szCs w:val="22"/>
          <w:lang w:val="sk-SK"/>
        </w:rPr>
        <w:t>ch amlodipínu nekorelujú so stupňom poruchy funkcie obličiek.</w:t>
      </w:r>
    </w:p>
    <w:p w:rsidR="007A5842" w:rsidRPr="004B6827" w:rsidRDefault="007A5842" w:rsidP="001843A3">
      <w:pPr>
        <w:spacing w:line="240" w:lineRule="auto"/>
        <w:rPr>
          <w:bCs/>
          <w:iCs/>
          <w:szCs w:val="22"/>
          <w:lang w:val="sk-SK"/>
        </w:rPr>
      </w:pPr>
    </w:p>
    <w:p w:rsidR="007A5842" w:rsidRPr="004B6827" w:rsidRDefault="007A5842" w:rsidP="001843A3">
      <w:pPr>
        <w:spacing w:line="240" w:lineRule="auto"/>
        <w:rPr>
          <w:szCs w:val="22"/>
          <w:lang w:val="sk-SK"/>
        </w:rPr>
      </w:pPr>
      <w:r w:rsidRPr="004B6827">
        <w:rPr>
          <w:bCs/>
          <w:iCs/>
          <w:szCs w:val="22"/>
          <w:lang w:val="sk-SK"/>
        </w:rPr>
        <w:t xml:space="preserve">U pacientov s poruchou funkcie obličiek sa účinok kombinácie </w:t>
      </w:r>
      <w:r w:rsidR="004B6827" w:rsidRPr="004B6827">
        <w:rPr>
          <w:bCs/>
          <w:iCs/>
          <w:szCs w:val="22"/>
          <w:lang w:val="sk-SK"/>
        </w:rPr>
        <w:t>liečiv</w:t>
      </w:r>
      <w:r w:rsidR="00745644" w:rsidRPr="004B6827">
        <w:rPr>
          <w:bCs/>
          <w:iCs/>
          <w:szCs w:val="22"/>
          <w:lang w:val="sk-SK"/>
        </w:rPr>
        <w:t xml:space="preserve"> v </w:t>
      </w:r>
      <w:r w:rsidR="00212A25" w:rsidRPr="004B6827">
        <w:rPr>
          <w:bCs/>
          <w:iCs/>
          <w:szCs w:val="22"/>
          <w:lang w:val="sk-SK"/>
        </w:rPr>
        <w:t>Lipertance</w:t>
      </w:r>
      <w:r w:rsidRPr="004B6827">
        <w:rPr>
          <w:bCs/>
          <w:iCs/>
          <w:szCs w:val="22"/>
          <w:lang w:val="sk-SK"/>
        </w:rPr>
        <w:t xml:space="preserve"> netestoval. Dávky </w:t>
      </w:r>
      <w:r w:rsidR="00212A25" w:rsidRPr="004B6827">
        <w:rPr>
          <w:bCs/>
          <w:iCs/>
          <w:szCs w:val="22"/>
          <w:lang w:val="sk-SK"/>
        </w:rPr>
        <w:t>Lipertance</w:t>
      </w:r>
      <w:r w:rsidRPr="004B6827">
        <w:rPr>
          <w:bCs/>
          <w:iCs/>
          <w:szCs w:val="22"/>
          <w:lang w:val="sk-SK"/>
        </w:rPr>
        <w:t xml:space="preserve"> </w:t>
      </w:r>
      <w:r w:rsidR="00745644" w:rsidRPr="004B6827">
        <w:rPr>
          <w:bCs/>
          <w:iCs/>
          <w:szCs w:val="22"/>
          <w:lang w:val="sk-SK"/>
        </w:rPr>
        <w:t>majú</w:t>
      </w:r>
      <w:r w:rsidRPr="004B6827">
        <w:rPr>
          <w:bCs/>
          <w:iCs/>
          <w:szCs w:val="22"/>
          <w:lang w:val="sk-SK"/>
        </w:rPr>
        <w:t xml:space="preserve"> rešpektovať dávkovacie odporúčania jednotlivých zložiek užívaných </w:t>
      </w:r>
      <w:r w:rsidR="00621016" w:rsidRPr="004B6827">
        <w:rPr>
          <w:bCs/>
          <w:iCs/>
          <w:szCs w:val="22"/>
          <w:lang w:val="sk-SK"/>
        </w:rPr>
        <w:t>oddelene.</w:t>
      </w:r>
    </w:p>
    <w:p w:rsidR="001843A3" w:rsidRPr="004B6827" w:rsidRDefault="001843A3" w:rsidP="001843A3">
      <w:pPr>
        <w:spacing w:line="240" w:lineRule="auto"/>
        <w:rPr>
          <w:szCs w:val="22"/>
          <w:lang w:val="sk-SK"/>
        </w:rPr>
      </w:pPr>
    </w:p>
    <w:p w:rsidR="001843A3" w:rsidRPr="004B6827" w:rsidRDefault="001843A3" w:rsidP="001843A3">
      <w:pPr>
        <w:spacing w:line="240" w:lineRule="auto"/>
        <w:rPr>
          <w:bCs/>
          <w:iCs/>
          <w:szCs w:val="22"/>
          <w:u w:val="single"/>
          <w:lang w:val="sk-SK"/>
        </w:rPr>
      </w:pPr>
      <w:r w:rsidRPr="004B6827">
        <w:rPr>
          <w:bCs/>
          <w:szCs w:val="22"/>
          <w:u w:val="single"/>
          <w:lang w:val="sk-SK"/>
        </w:rPr>
        <w:t>Hemodialyzovaní pacienti</w:t>
      </w:r>
      <w:r w:rsidRPr="004B6827">
        <w:rPr>
          <w:bCs/>
          <w:iCs/>
          <w:szCs w:val="22"/>
          <w:u w:val="single"/>
          <w:lang w:val="sk-SK"/>
        </w:rPr>
        <w:t>:</w:t>
      </w:r>
    </w:p>
    <w:p w:rsidR="001843A3" w:rsidRPr="004B6827" w:rsidRDefault="001843A3" w:rsidP="001843A3">
      <w:pPr>
        <w:spacing w:line="240" w:lineRule="auto"/>
        <w:rPr>
          <w:szCs w:val="22"/>
          <w:lang w:val="sk-SK"/>
        </w:rPr>
      </w:pPr>
      <w:r w:rsidRPr="004B6827">
        <w:rPr>
          <w:szCs w:val="22"/>
          <w:lang w:val="sk-SK"/>
        </w:rPr>
        <w:t xml:space="preserve">U pacientov dialyzovaných pomocou vysokopriepustných membrán a súbežne liečených inhibítorom ACE boli </w:t>
      </w:r>
      <w:r w:rsidR="00621016" w:rsidRPr="004B6827">
        <w:rPr>
          <w:szCs w:val="22"/>
          <w:lang w:val="sk-SK"/>
        </w:rPr>
        <w:t>hlásené</w:t>
      </w:r>
      <w:r w:rsidRPr="004B6827">
        <w:rPr>
          <w:szCs w:val="22"/>
          <w:lang w:val="sk-SK"/>
        </w:rPr>
        <w:t xml:space="preserve"> anafylaktoidné reakcie. U týchto pacientov </w:t>
      </w:r>
      <w:r w:rsidR="0078375E" w:rsidRPr="004B6827">
        <w:rPr>
          <w:szCs w:val="22"/>
          <w:lang w:val="sk-SK"/>
        </w:rPr>
        <w:t>sa má</w:t>
      </w:r>
      <w:r w:rsidRPr="004B6827">
        <w:rPr>
          <w:szCs w:val="22"/>
          <w:lang w:val="sk-SK"/>
        </w:rPr>
        <w:t xml:space="preserve"> zvážiť použitie iného typu dialyzačnej membrány alebo inej skupiny antihypertenzív.</w:t>
      </w:r>
    </w:p>
    <w:p w:rsidR="001843A3" w:rsidRPr="004B6827" w:rsidRDefault="001843A3" w:rsidP="001843A3">
      <w:pPr>
        <w:spacing w:line="240" w:lineRule="auto"/>
        <w:rPr>
          <w:bCs/>
          <w:iCs/>
          <w:szCs w:val="22"/>
          <w:lang w:val="sk-SK"/>
        </w:rPr>
      </w:pPr>
    </w:p>
    <w:p w:rsidR="001843A3" w:rsidRPr="004B6827" w:rsidRDefault="001843A3" w:rsidP="001843A3">
      <w:pPr>
        <w:spacing w:line="240" w:lineRule="auto"/>
        <w:rPr>
          <w:bCs/>
          <w:iCs/>
          <w:szCs w:val="22"/>
          <w:u w:val="single"/>
          <w:lang w:val="sk-SK"/>
        </w:rPr>
      </w:pPr>
      <w:r w:rsidRPr="004B6827">
        <w:rPr>
          <w:bCs/>
          <w:iCs/>
          <w:szCs w:val="22"/>
          <w:u w:val="single"/>
          <w:lang w:val="sk-SK"/>
        </w:rPr>
        <w:t>Precitlivenosť/</w:t>
      </w:r>
      <w:r w:rsidR="0078375E" w:rsidRPr="004B6827">
        <w:rPr>
          <w:bCs/>
          <w:iCs/>
          <w:szCs w:val="22"/>
          <w:u w:val="single"/>
          <w:lang w:val="sk-SK"/>
        </w:rPr>
        <w:t>A</w:t>
      </w:r>
      <w:r w:rsidRPr="004B6827">
        <w:rPr>
          <w:bCs/>
          <w:iCs/>
          <w:szCs w:val="22"/>
          <w:u w:val="single"/>
          <w:lang w:val="sk-SK"/>
        </w:rPr>
        <w:t>ngioedém:</w:t>
      </w:r>
    </w:p>
    <w:p w:rsidR="001843A3" w:rsidRPr="004B6827" w:rsidRDefault="001843A3" w:rsidP="001843A3">
      <w:pPr>
        <w:spacing w:line="240" w:lineRule="auto"/>
        <w:rPr>
          <w:szCs w:val="22"/>
          <w:lang w:val="sk-SK"/>
        </w:rPr>
      </w:pPr>
      <w:r w:rsidRPr="004B6827">
        <w:rPr>
          <w:szCs w:val="22"/>
          <w:lang w:val="sk-SK"/>
        </w:rPr>
        <w:t xml:space="preserve">U pacientov liečených inhibítormi ACE vrátane </w:t>
      </w:r>
      <w:r w:rsidR="0078375E" w:rsidRPr="004B6827">
        <w:rPr>
          <w:szCs w:val="22"/>
          <w:lang w:val="sk-SK"/>
        </w:rPr>
        <w:t>perindoprilu</w:t>
      </w:r>
      <w:r w:rsidRPr="004B6827">
        <w:rPr>
          <w:szCs w:val="22"/>
          <w:lang w:val="sk-SK"/>
        </w:rPr>
        <w:t xml:space="preserve"> boli zriedkavo </w:t>
      </w:r>
      <w:r w:rsidR="0078375E" w:rsidRPr="004B6827">
        <w:rPr>
          <w:szCs w:val="22"/>
          <w:lang w:val="sk-SK"/>
        </w:rPr>
        <w:t>hlásené</w:t>
      </w:r>
      <w:r w:rsidRPr="004B6827">
        <w:rPr>
          <w:szCs w:val="22"/>
          <w:lang w:val="sk-SK"/>
        </w:rPr>
        <w:t xml:space="preserve"> prípady angioedému tváre, končatín, pier, slizníc, jazyka, hlasiviek a/alebo hrtana (pozri časť 4.8). T</w:t>
      </w:r>
      <w:r w:rsidR="0078375E" w:rsidRPr="004B6827">
        <w:rPr>
          <w:szCs w:val="22"/>
          <w:lang w:val="sk-SK"/>
        </w:rPr>
        <w:t>o sa</w:t>
      </w:r>
      <w:r w:rsidRPr="004B6827">
        <w:rPr>
          <w:szCs w:val="22"/>
          <w:lang w:val="sk-SK"/>
        </w:rPr>
        <w:t xml:space="preserve"> môž</w:t>
      </w:r>
      <w:r w:rsidR="0078375E" w:rsidRPr="004B6827">
        <w:rPr>
          <w:szCs w:val="22"/>
          <w:lang w:val="sk-SK"/>
        </w:rPr>
        <w:t>e</w:t>
      </w:r>
      <w:r w:rsidRPr="004B6827">
        <w:rPr>
          <w:szCs w:val="22"/>
          <w:lang w:val="sk-SK"/>
        </w:rPr>
        <w:t xml:space="preserve"> vyskytnúť kedykoľvek počas liečby</w:t>
      </w:r>
      <w:r w:rsidRPr="004B6827">
        <w:rPr>
          <w:bCs/>
          <w:iCs/>
          <w:szCs w:val="22"/>
          <w:lang w:val="sk-SK"/>
        </w:rPr>
        <w:t xml:space="preserve">. </w:t>
      </w:r>
      <w:r w:rsidRPr="004B6827">
        <w:rPr>
          <w:szCs w:val="22"/>
          <w:lang w:val="sk-SK"/>
        </w:rPr>
        <w:t xml:space="preserve">V takýchto prípadoch má byť </w:t>
      </w:r>
      <w:r w:rsidR="00CE49F1" w:rsidRPr="004B6827">
        <w:rPr>
          <w:szCs w:val="22"/>
          <w:lang w:val="sk-SK"/>
        </w:rPr>
        <w:t xml:space="preserve"> podávanie </w:t>
      </w:r>
      <w:r w:rsidR="00212A25" w:rsidRPr="004B6827">
        <w:rPr>
          <w:szCs w:val="22"/>
          <w:lang w:val="sk-SK"/>
        </w:rPr>
        <w:t>Lipertance</w:t>
      </w:r>
      <w:r w:rsidRPr="004B6827">
        <w:rPr>
          <w:szCs w:val="22"/>
          <w:lang w:val="sk-SK"/>
        </w:rPr>
        <w:t xml:space="preserve"> okamžite </w:t>
      </w:r>
      <w:r w:rsidR="00CE49F1" w:rsidRPr="004B6827">
        <w:rPr>
          <w:szCs w:val="22"/>
          <w:lang w:val="sk-SK"/>
        </w:rPr>
        <w:t>ukončené</w:t>
      </w:r>
      <w:r w:rsidRPr="004B6827">
        <w:rPr>
          <w:szCs w:val="22"/>
          <w:lang w:val="sk-SK"/>
        </w:rPr>
        <w:t xml:space="preserve"> a až do úplného vymiznutia symptómov má prebiehať primerané monitorovanie. V prípadoch, kde sa opuch obmedzil na oblasť tváre a pier, sa stav zvyčajne upravil bez liečby, hoci antihistaminiká boli pri zmierňovaní symptómov užitočné.</w:t>
      </w:r>
    </w:p>
    <w:p w:rsidR="001843A3" w:rsidRPr="004B6827" w:rsidRDefault="001843A3" w:rsidP="001843A3">
      <w:pPr>
        <w:spacing w:line="240" w:lineRule="auto"/>
        <w:rPr>
          <w:szCs w:val="22"/>
          <w:lang w:val="sk-SK"/>
        </w:rPr>
      </w:pPr>
      <w:r w:rsidRPr="004B6827">
        <w:rPr>
          <w:szCs w:val="22"/>
          <w:lang w:val="sk-SK"/>
        </w:rPr>
        <w:t xml:space="preserve">Angioedém spojený s edémom hrtana môže byť fatálny. V prípadoch, kedy je postihnutý jazyk, hlasivky alebo hrtan, čo môže spôsobiť obštrukciu dýchacích ciest, sa má okamžite poskytnúť pohotovostná liečba. Tá môže </w:t>
      </w:r>
      <w:r w:rsidR="0027555B" w:rsidRPr="004B6827">
        <w:rPr>
          <w:szCs w:val="22"/>
          <w:lang w:val="sk-SK"/>
        </w:rPr>
        <w:t>zahŕňať</w:t>
      </w:r>
      <w:r w:rsidRPr="004B6827">
        <w:rPr>
          <w:szCs w:val="22"/>
          <w:lang w:val="sk-SK"/>
        </w:rPr>
        <w:t xml:space="preserve"> </w:t>
      </w:r>
      <w:r w:rsidR="0027555B" w:rsidRPr="004B6827">
        <w:rPr>
          <w:szCs w:val="22"/>
          <w:lang w:val="sk-SK"/>
        </w:rPr>
        <w:t>podanie</w:t>
      </w:r>
      <w:r w:rsidRPr="004B6827">
        <w:rPr>
          <w:szCs w:val="22"/>
          <w:lang w:val="sk-SK"/>
        </w:rPr>
        <w:t xml:space="preserve"> adrenalínu a/alebo </w:t>
      </w:r>
      <w:r w:rsidR="0027555B" w:rsidRPr="004B6827">
        <w:rPr>
          <w:szCs w:val="22"/>
          <w:lang w:val="sk-SK"/>
        </w:rPr>
        <w:t>zabezpečenie</w:t>
      </w:r>
      <w:r w:rsidRPr="004B6827">
        <w:rPr>
          <w:szCs w:val="22"/>
          <w:lang w:val="sk-SK"/>
        </w:rPr>
        <w:t xml:space="preserve"> priechodnosti dýchacích ciest. Pacient má byť pod starostlivým lekárskym dohľadom do úplného a trvalého vymiznutia symptómov.</w:t>
      </w:r>
    </w:p>
    <w:p w:rsidR="001843A3" w:rsidRPr="004B6827" w:rsidRDefault="001843A3" w:rsidP="001843A3">
      <w:pPr>
        <w:spacing w:line="240" w:lineRule="auto"/>
        <w:rPr>
          <w:szCs w:val="22"/>
          <w:lang w:val="sk-SK"/>
        </w:rPr>
      </w:pPr>
      <w:r w:rsidRPr="004B6827">
        <w:rPr>
          <w:szCs w:val="22"/>
          <w:lang w:val="sk-SK"/>
        </w:rPr>
        <w:lastRenderedPageBreak/>
        <w:t xml:space="preserve">U pacientov s anamnézou angioedému nesúvisiaceho s liečbou inhibítormi ACE môže byť riziko angioedému počas užívania </w:t>
      </w:r>
      <w:r w:rsidR="00212A25" w:rsidRPr="004B6827">
        <w:rPr>
          <w:szCs w:val="22"/>
          <w:lang w:val="sk-SK"/>
        </w:rPr>
        <w:t>Lipertance</w:t>
      </w:r>
      <w:r w:rsidRPr="004B6827">
        <w:rPr>
          <w:szCs w:val="22"/>
          <w:lang w:val="sk-SK"/>
        </w:rPr>
        <w:t xml:space="preserve"> zvýšené (pozri časť 4.3).</w:t>
      </w:r>
    </w:p>
    <w:p w:rsidR="001843A3" w:rsidRPr="004B6827" w:rsidRDefault="001843A3" w:rsidP="001843A3">
      <w:pPr>
        <w:spacing w:line="240" w:lineRule="auto"/>
        <w:rPr>
          <w:szCs w:val="22"/>
          <w:lang w:val="sk-SK"/>
        </w:rPr>
      </w:pPr>
      <w:r w:rsidRPr="004B6827">
        <w:rPr>
          <w:bCs/>
          <w:szCs w:val="22"/>
          <w:lang w:val="sk-SK"/>
        </w:rPr>
        <w:t xml:space="preserve">U pacientov liečených inhibítormi ACE bol zriedkavo </w:t>
      </w:r>
      <w:r w:rsidR="0027555B" w:rsidRPr="004B6827">
        <w:rPr>
          <w:bCs/>
          <w:szCs w:val="22"/>
          <w:lang w:val="sk-SK"/>
        </w:rPr>
        <w:t>hlásen</w:t>
      </w:r>
      <w:r w:rsidRPr="004B6827">
        <w:rPr>
          <w:bCs/>
          <w:szCs w:val="22"/>
          <w:lang w:val="sk-SK"/>
        </w:rPr>
        <w:t>ý črevný angio</w:t>
      </w:r>
      <w:r w:rsidR="0027555B" w:rsidRPr="004B6827">
        <w:rPr>
          <w:bCs/>
          <w:szCs w:val="22"/>
          <w:lang w:val="sk-SK"/>
        </w:rPr>
        <w:t>edém. Títo pacienti mali bolesť</w:t>
      </w:r>
      <w:r w:rsidRPr="004B6827">
        <w:rPr>
          <w:bCs/>
          <w:szCs w:val="22"/>
          <w:lang w:val="sk-SK"/>
        </w:rPr>
        <w:t xml:space="preserve"> brucha (s alebo bez nauzey alebo vracania); v niektorých prípadoch bez predchádzajúceho angioedému tváre, pričom hladiny C-1 esterázy boli v norme. Angioedém bol diagnostikovaný prostredníctvom vyšetrení zahŕňajúcich CT brucha alebo ultrazvuk, alebo pri chirurgickom zákroku a symptómy ustúpili po zastavení podávania inhibítorov ACE. Črevný angioedém má byť zahrnutý do diferenciálnej diagnózy pacientov užívajúcich inhibítory </w:t>
      </w:r>
      <w:r w:rsidR="007538F2" w:rsidRPr="004B6827">
        <w:rPr>
          <w:bCs/>
          <w:szCs w:val="22"/>
          <w:lang w:val="sk-SK"/>
        </w:rPr>
        <w:t xml:space="preserve">ACE </w:t>
      </w:r>
      <w:r w:rsidRPr="004B6827">
        <w:rPr>
          <w:bCs/>
          <w:szCs w:val="22"/>
          <w:lang w:val="sk-SK"/>
        </w:rPr>
        <w:t>s bolesťou brucha.</w:t>
      </w:r>
    </w:p>
    <w:p w:rsidR="001843A3" w:rsidRPr="004B6827" w:rsidRDefault="001843A3" w:rsidP="001843A3">
      <w:pPr>
        <w:spacing w:line="240" w:lineRule="auto"/>
        <w:rPr>
          <w:bCs/>
          <w:iCs/>
          <w:szCs w:val="22"/>
          <w:u w:val="single"/>
          <w:lang w:val="sk-SK"/>
        </w:rPr>
      </w:pPr>
    </w:p>
    <w:p w:rsidR="001843A3" w:rsidRPr="004B6827" w:rsidRDefault="001843A3" w:rsidP="001843A3">
      <w:pPr>
        <w:spacing w:line="240" w:lineRule="auto"/>
        <w:rPr>
          <w:bCs/>
          <w:iCs/>
          <w:szCs w:val="22"/>
          <w:u w:val="single"/>
          <w:lang w:val="sk-SK"/>
        </w:rPr>
      </w:pPr>
      <w:r w:rsidRPr="004B6827">
        <w:rPr>
          <w:bCs/>
          <w:iCs/>
          <w:szCs w:val="22"/>
          <w:u w:val="single"/>
          <w:lang w:val="sk-SK"/>
        </w:rPr>
        <w:t>Anafylaktoidné reakcie počas aferézy lipoproteínov s nízkou hustotou (LDL):</w:t>
      </w:r>
    </w:p>
    <w:p w:rsidR="001843A3" w:rsidRPr="004B6827" w:rsidRDefault="001843A3" w:rsidP="001843A3">
      <w:pPr>
        <w:spacing w:line="240" w:lineRule="auto"/>
        <w:rPr>
          <w:szCs w:val="22"/>
          <w:lang w:val="sk-SK"/>
        </w:rPr>
      </w:pPr>
      <w:r w:rsidRPr="004B6827">
        <w:rPr>
          <w:szCs w:val="22"/>
          <w:lang w:val="sk-SK"/>
        </w:rPr>
        <w:t xml:space="preserve">Zriedkavo sa u pacientov užívajúcich inhibítory ACE počas aferézy lipoproteínov s nízkou hustotou (LDL) síranom dextránu vyskytli život ohrozujúce anafylaktoidné reakcie. Týmto reakciám sa predišlo dočasným </w:t>
      </w:r>
      <w:r w:rsidR="00CE49F1" w:rsidRPr="004B6827">
        <w:rPr>
          <w:szCs w:val="22"/>
          <w:lang w:val="sk-SK"/>
        </w:rPr>
        <w:t>ukončením</w:t>
      </w:r>
      <w:r w:rsidRPr="004B6827">
        <w:rPr>
          <w:szCs w:val="22"/>
          <w:lang w:val="sk-SK"/>
        </w:rPr>
        <w:t xml:space="preserve"> liečby inhibítormi ACE pred každou aferézou.</w:t>
      </w:r>
    </w:p>
    <w:p w:rsidR="001843A3" w:rsidRPr="004B6827" w:rsidRDefault="001843A3" w:rsidP="001843A3">
      <w:pPr>
        <w:spacing w:line="240" w:lineRule="auto"/>
        <w:rPr>
          <w:bCs/>
          <w:iCs/>
          <w:szCs w:val="22"/>
          <w:u w:val="single"/>
          <w:lang w:val="sk-SK"/>
        </w:rPr>
      </w:pPr>
    </w:p>
    <w:p w:rsidR="001843A3" w:rsidRPr="004B6827" w:rsidRDefault="001843A3" w:rsidP="001843A3">
      <w:pPr>
        <w:spacing w:line="240" w:lineRule="auto"/>
        <w:rPr>
          <w:bCs/>
          <w:iCs/>
          <w:szCs w:val="22"/>
          <w:u w:val="single"/>
          <w:lang w:val="sk-SK"/>
        </w:rPr>
      </w:pPr>
      <w:r w:rsidRPr="004B6827">
        <w:rPr>
          <w:bCs/>
          <w:iCs/>
          <w:szCs w:val="22"/>
          <w:u w:val="single"/>
          <w:lang w:val="sk-SK"/>
        </w:rPr>
        <w:t>Anafylakt</w:t>
      </w:r>
      <w:r w:rsidR="00F50D12" w:rsidRPr="004B6827">
        <w:rPr>
          <w:bCs/>
          <w:iCs/>
          <w:szCs w:val="22"/>
          <w:u w:val="single"/>
          <w:lang w:val="sk-SK"/>
        </w:rPr>
        <w:t>oidn</w:t>
      </w:r>
      <w:r w:rsidRPr="004B6827">
        <w:rPr>
          <w:bCs/>
          <w:iCs/>
          <w:szCs w:val="22"/>
          <w:u w:val="single"/>
          <w:lang w:val="sk-SK"/>
        </w:rPr>
        <w:t>é reakcie počas desenzibilizácie:</w:t>
      </w:r>
    </w:p>
    <w:p w:rsidR="001843A3" w:rsidRPr="004B6827" w:rsidRDefault="001843A3" w:rsidP="001843A3">
      <w:pPr>
        <w:spacing w:line="240" w:lineRule="auto"/>
        <w:rPr>
          <w:szCs w:val="22"/>
          <w:lang w:val="sk-SK"/>
        </w:rPr>
      </w:pPr>
      <w:r w:rsidRPr="004B6827">
        <w:rPr>
          <w:szCs w:val="22"/>
          <w:lang w:val="sk-SK"/>
        </w:rPr>
        <w:t xml:space="preserve">U pacientov užívajúcich </w:t>
      </w:r>
      <w:r w:rsidR="00C41797" w:rsidRPr="004B6827">
        <w:rPr>
          <w:szCs w:val="22"/>
          <w:lang w:val="sk-SK"/>
        </w:rPr>
        <w:t xml:space="preserve">lieky obsahujúce </w:t>
      </w:r>
      <w:r w:rsidRPr="004B6827">
        <w:rPr>
          <w:szCs w:val="22"/>
          <w:lang w:val="sk-SK"/>
        </w:rPr>
        <w:t>inhibítory ACE</w:t>
      </w:r>
      <w:r w:rsidR="00C41797" w:rsidRPr="004B6827">
        <w:rPr>
          <w:szCs w:val="22"/>
          <w:lang w:val="sk-SK"/>
        </w:rPr>
        <w:t xml:space="preserve">, ako je </w:t>
      </w:r>
      <w:r w:rsidR="00212A25" w:rsidRPr="004B6827">
        <w:rPr>
          <w:szCs w:val="22"/>
          <w:lang w:val="sk-SK"/>
        </w:rPr>
        <w:t>Lipertance</w:t>
      </w:r>
      <w:r w:rsidR="00C41797" w:rsidRPr="004B6827">
        <w:rPr>
          <w:szCs w:val="22"/>
          <w:lang w:val="sk-SK"/>
        </w:rPr>
        <w:t>,</w:t>
      </w:r>
      <w:r w:rsidRPr="004B6827">
        <w:rPr>
          <w:szCs w:val="22"/>
          <w:lang w:val="sk-SK"/>
        </w:rPr>
        <w:t xml:space="preserve"> počas desenzibilizácie (napr. hymenoptera venom) boli zaznamenané anafylakt</w:t>
      </w:r>
      <w:r w:rsidR="006D6727" w:rsidRPr="004B6827">
        <w:rPr>
          <w:szCs w:val="22"/>
          <w:lang w:val="sk-SK"/>
        </w:rPr>
        <w:t>oidn</w:t>
      </w:r>
      <w:r w:rsidRPr="004B6827">
        <w:rPr>
          <w:szCs w:val="22"/>
          <w:lang w:val="sk-SK"/>
        </w:rPr>
        <w:t>é reakcie.</w:t>
      </w:r>
      <w:r w:rsidRPr="004B6827">
        <w:rPr>
          <w:b/>
          <w:i/>
          <w:szCs w:val="22"/>
          <w:lang w:val="sk-SK"/>
        </w:rPr>
        <w:t xml:space="preserve"> </w:t>
      </w:r>
      <w:r w:rsidRPr="004B6827">
        <w:rPr>
          <w:szCs w:val="22"/>
          <w:lang w:val="sk-SK"/>
        </w:rPr>
        <w:t xml:space="preserve">U týchto pacientov sa </w:t>
      </w:r>
      <w:r w:rsidR="00D53961" w:rsidRPr="004B6827">
        <w:rPr>
          <w:szCs w:val="22"/>
          <w:lang w:val="sk-SK"/>
        </w:rPr>
        <w:t>t</w:t>
      </w:r>
      <w:r w:rsidR="008A1BEC" w:rsidRPr="004B6827">
        <w:rPr>
          <w:szCs w:val="22"/>
          <w:lang w:val="sk-SK"/>
        </w:rPr>
        <w:t>ak</w:t>
      </w:r>
      <w:r w:rsidR="00D53961" w:rsidRPr="004B6827">
        <w:rPr>
          <w:szCs w:val="22"/>
          <w:lang w:val="sk-SK"/>
        </w:rPr>
        <w:t xml:space="preserve">ýmto </w:t>
      </w:r>
      <w:r w:rsidRPr="004B6827">
        <w:rPr>
          <w:szCs w:val="22"/>
          <w:lang w:val="sk-SK"/>
        </w:rPr>
        <w:t xml:space="preserve">reakciám predišlo dočasným </w:t>
      </w:r>
      <w:r w:rsidR="009A06F1" w:rsidRPr="004B6827">
        <w:rPr>
          <w:szCs w:val="22"/>
          <w:lang w:val="sk-SK"/>
        </w:rPr>
        <w:t>ukončením podávania</w:t>
      </w:r>
      <w:r w:rsidRPr="004B6827">
        <w:rPr>
          <w:szCs w:val="22"/>
          <w:lang w:val="sk-SK"/>
        </w:rPr>
        <w:t xml:space="preserve"> inhibítorov ACE, ale pri náhodnej opätovnej expozícii sa tieto reakcie objavili znova.</w:t>
      </w:r>
    </w:p>
    <w:p w:rsidR="001843A3" w:rsidRPr="004B6827" w:rsidRDefault="001843A3" w:rsidP="001843A3">
      <w:pPr>
        <w:spacing w:line="240" w:lineRule="auto"/>
        <w:rPr>
          <w:bCs/>
          <w:iCs/>
          <w:szCs w:val="22"/>
          <w:u w:val="single"/>
          <w:lang w:val="sk-SK"/>
        </w:rPr>
      </w:pPr>
    </w:p>
    <w:p w:rsidR="001843A3" w:rsidRPr="004B6827" w:rsidRDefault="001843A3" w:rsidP="001843A3">
      <w:pPr>
        <w:spacing w:line="240" w:lineRule="auto"/>
        <w:rPr>
          <w:bCs/>
          <w:iCs/>
          <w:szCs w:val="22"/>
          <w:u w:val="single"/>
          <w:lang w:val="sk-SK"/>
        </w:rPr>
      </w:pPr>
      <w:r w:rsidRPr="004B6827">
        <w:rPr>
          <w:bCs/>
          <w:iCs/>
          <w:szCs w:val="22"/>
          <w:u w:val="single"/>
          <w:lang w:val="sk-SK"/>
        </w:rPr>
        <w:t>Neutropénia/Agranulocytóza/Trombocytopénia/Anémia:</w:t>
      </w:r>
    </w:p>
    <w:p w:rsidR="001843A3" w:rsidRPr="004B6827" w:rsidRDefault="001843A3" w:rsidP="001843A3">
      <w:pPr>
        <w:spacing w:line="240" w:lineRule="auto"/>
        <w:rPr>
          <w:szCs w:val="22"/>
          <w:lang w:val="sk-SK"/>
        </w:rPr>
      </w:pPr>
      <w:r w:rsidRPr="004B6827">
        <w:rPr>
          <w:szCs w:val="22"/>
          <w:lang w:val="sk-SK"/>
        </w:rPr>
        <w:t>U pacientov</w:t>
      </w:r>
      <w:r w:rsidR="00EF6A4E" w:rsidRPr="004B6827">
        <w:rPr>
          <w:szCs w:val="22"/>
          <w:lang w:val="sk-SK"/>
        </w:rPr>
        <w:t xml:space="preserve"> užívajúcich inhibítory ACE boli</w:t>
      </w:r>
      <w:r w:rsidRPr="004B6827">
        <w:rPr>
          <w:szCs w:val="22"/>
          <w:lang w:val="sk-SK"/>
        </w:rPr>
        <w:t xml:space="preserve"> </w:t>
      </w:r>
      <w:r w:rsidR="00EF6A4E" w:rsidRPr="004B6827">
        <w:rPr>
          <w:szCs w:val="22"/>
          <w:lang w:val="sk-SK"/>
        </w:rPr>
        <w:t>hlásené</w:t>
      </w:r>
      <w:r w:rsidRPr="004B6827">
        <w:rPr>
          <w:szCs w:val="22"/>
          <w:lang w:val="sk-SK"/>
        </w:rPr>
        <w:t xml:space="preserve"> neutropénia/agranulocytóza, trombocytopénia a anémia. U pacientov s normálnou funkciou obličiek a bez ďalších komplikujúcich faktorov sa neutropénia vyskytuje zriedkavo. </w:t>
      </w:r>
      <w:r w:rsidR="00212A25" w:rsidRPr="004B6827">
        <w:rPr>
          <w:szCs w:val="22"/>
          <w:lang w:val="sk-SK"/>
        </w:rPr>
        <w:t>Lipertance</w:t>
      </w:r>
      <w:r w:rsidRPr="004B6827">
        <w:rPr>
          <w:szCs w:val="22"/>
          <w:lang w:val="sk-SK"/>
        </w:rPr>
        <w:t xml:space="preserve"> sa má používať s najvyššou opatrnosťou u pacientov s kolagénovým vaskulárnym ochorením, imunosupresívn</w:t>
      </w:r>
      <w:r w:rsidR="00EF6A4E" w:rsidRPr="004B6827">
        <w:rPr>
          <w:szCs w:val="22"/>
          <w:lang w:val="sk-SK"/>
        </w:rPr>
        <w:t>o</w:t>
      </w:r>
      <w:r w:rsidRPr="004B6827">
        <w:rPr>
          <w:szCs w:val="22"/>
          <w:lang w:val="sk-SK"/>
        </w:rPr>
        <w:t>u liečb</w:t>
      </w:r>
      <w:r w:rsidR="00EF6A4E" w:rsidRPr="004B6827">
        <w:rPr>
          <w:szCs w:val="22"/>
          <w:lang w:val="sk-SK"/>
        </w:rPr>
        <w:t>o</w:t>
      </w:r>
      <w:r w:rsidRPr="004B6827">
        <w:rPr>
          <w:szCs w:val="22"/>
          <w:lang w:val="sk-SK"/>
        </w:rPr>
        <w:t xml:space="preserve">u, </w:t>
      </w:r>
      <w:r w:rsidR="00EF6A4E" w:rsidRPr="004B6827">
        <w:rPr>
          <w:szCs w:val="22"/>
          <w:lang w:val="sk-SK"/>
        </w:rPr>
        <w:t xml:space="preserve">liečbou s </w:t>
      </w:r>
      <w:r w:rsidRPr="004B6827">
        <w:rPr>
          <w:szCs w:val="22"/>
          <w:lang w:val="sk-SK"/>
        </w:rPr>
        <w:t>alopurinol</w:t>
      </w:r>
      <w:r w:rsidR="00EF6A4E" w:rsidRPr="004B6827">
        <w:rPr>
          <w:szCs w:val="22"/>
          <w:lang w:val="sk-SK"/>
        </w:rPr>
        <w:t>om</w:t>
      </w:r>
      <w:r w:rsidRPr="004B6827">
        <w:rPr>
          <w:szCs w:val="22"/>
          <w:lang w:val="sk-SK"/>
        </w:rPr>
        <w:t xml:space="preserve"> alebo prokaínamid</w:t>
      </w:r>
      <w:r w:rsidR="00EF6A4E" w:rsidRPr="004B6827">
        <w:rPr>
          <w:szCs w:val="22"/>
          <w:lang w:val="sk-SK"/>
        </w:rPr>
        <w:t>om</w:t>
      </w:r>
      <w:r w:rsidRPr="004B6827">
        <w:rPr>
          <w:szCs w:val="22"/>
          <w:lang w:val="sk-SK"/>
        </w:rPr>
        <w:t>, alebo pri kombinácii týchto komplikujúcich faktorov, najmä ak má pacient preexistujúc</w:t>
      </w:r>
      <w:r w:rsidR="00EF6A4E" w:rsidRPr="004B6827">
        <w:rPr>
          <w:szCs w:val="22"/>
          <w:lang w:val="sk-SK"/>
        </w:rPr>
        <w:t>u</w:t>
      </w:r>
      <w:r w:rsidRPr="004B6827">
        <w:rPr>
          <w:szCs w:val="22"/>
          <w:lang w:val="sk-SK"/>
        </w:rPr>
        <w:t xml:space="preserve"> po</w:t>
      </w:r>
      <w:r w:rsidR="00EF6A4E" w:rsidRPr="004B6827">
        <w:rPr>
          <w:szCs w:val="22"/>
          <w:lang w:val="sk-SK"/>
        </w:rPr>
        <w:t xml:space="preserve">ruchu </w:t>
      </w:r>
      <w:r w:rsidRPr="004B6827">
        <w:rPr>
          <w:szCs w:val="22"/>
          <w:lang w:val="sk-SK"/>
        </w:rPr>
        <w:t>funkci</w:t>
      </w:r>
      <w:r w:rsidR="00EF6A4E" w:rsidRPr="004B6827">
        <w:rPr>
          <w:szCs w:val="22"/>
          <w:lang w:val="sk-SK"/>
        </w:rPr>
        <w:t>e obličiek</w:t>
      </w:r>
      <w:r w:rsidRPr="004B6827">
        <w:rPr>
          <w:szCs w:val="22"/>
          <w:lang w:val="sk-SK"/>
        </w:rPr>
        <w:t xml:space="preserve">. U niektorých </w:t>
      </w:r>
      <w:r w:rsidR="00EF6A4E" w:rsidRPr="004B6827">
        <w:rPr>
          <w:szCs w:val="22"/>
          <w:lang w:val="sk-SK"/>
        </w:rPr>
        <w:t xml:space="preserve">týchto </w:t>
      </w:r>
      <w:r w:rsidRPr="004B6827">
        <w:rPr>
          <w:szCs w:val="22"/>
          <w:lang w:val="sk-SK"/>
        </w:rPr>
        <w:t xml:space="preserve">pacientov sa vyvinuli závažné infekcie, ktoré v niekoľkých prípadoch neodpovedali na intenzívnu antibiotickú liečbu. Ak sa </w:t>
      </w:r>
      <w:r w:rsidR="00212A25" w:rsidRPr="004B6827">
        <w:rPr>
          <w:szCs w:val="22"/>
          <w:lang w:val="sk-SK"/>
        </w:rPr>
        <w:t>Lipertance</w:t>
      </w:r>
      <w:r w:rsidRPr="004B6827">
        <w:rPr>
          <w:szCs w:val="22"/>
          <w:lang w:val="sk-SK"/>
        </w:rPr>
        <w:t xml:space="preserve"> používa u takýchto pacientov, odporúča sa pravidelne monitoro</w:t>
      </w:r>
      <w:r w:rsidR="00992D47" w:rsidRPr="004B6827">
        <w:rPr>
          <w:szCs w:val="22"/>
          <w:lang w:val="sk-SK"/>
        </w:rPr>
        <w:t>vať počet leukocytov a pacienti sa majú</w:t>
      </w:r>
      <w:r w:rsidRPr="004B6827">
        <w:rPr>
          <w:szCs w:val="22"/>
          <w:lang w:val="sk-SK"/>
        </w:rPr>
        <w:t xml:space="preserve"> poučiť, aby oznámili akýkoľvek </w:t>
      </w:r>
      <w:r w:rsidR="0074670F" w:rsidRPr="004B6827">
        <w:rPr>
          <w:szCs w:val="22"/>
          <w:lang w:val="sk-SK"/>
        </w:rPr>
        <w:t>prejav</w:t>
      </w:r>
      <w:r w:rsidRPr="004B6827">
        <w:rPr>
          <w:szCs w:val="22"/>
          <w:lang w:val="sk-SK"/>
        </w:rPr>
        <w:t xml:space="preserve"> infekcie (napr. bolesť v krku, horúčka).</w:t>
      </w:r>
    </w:p>
    <w:p w:rsidR="001843A3" w:rsidRPr="004B6827" w:rsidRDefault="001843A3" w:rsidP="001843A3">
      <w:pPr>
        <w:spacing w:line="240" w:lineRule="auto"/>
        <w:rPr>
          <w:bCs/>
          <w:iCs/>
          <w:szCs w:val="22"/>
          <w:u w:val="single"/>
          <w:lang w:val="sk-SK"/>
        </w:rPr>
      </w:pPr>
    </w:p>
    <w:p w:rsidR="001843A3" w:rsidRPr="004B6827" w:rsidRDefault="001843A3" w:rsidP="001843A3">
      <w:pPr>
        <w:spacing w:line="240" w:lineRule="auto"/>
        <w:rPr>
          <w:bCs/>
          <w:iCs/>
          <w:szCs w:val="22"/>
          <w:u w:val="single"/>
          <w:lang w:val="sk-SK"/>
        </w:rPr>
      </w:pPr>
      <w:r w:rsidRPr="004B6827">
        <w:rPr>
          <w:bCs/>
          <w:iCs/>
          <w:szCs w:val="22"/>
          <w:u w:val="single"/>
          <w:lang w:val="sk-SK"/>
        </w:rPr>
        <w:t>Rasa:</w:t>
      </w:r>
    </w:p>
    <w:p w:rsidR="001843A3" w:rsidRPr="004B6827" w:rsidRDefault="001843A3" w:rsidP="001843A3">
      <w:pPr>
        <w:spacing w:line="240" w:lineRule="auto"/>
        <w:rPr>
          <w:bCs/>
          <w:iCs/>
          <w:szCs w:val="22"/>
          <w:lang w:val="sk-SK"/>
        </w:rPr>
      </w:pPr>
      <w:r w:rsidRPr="004B6827">
        <w:rPr>
          <w:szCs w:val="22"/>
          <w:lang w:val="sk-SK"/>
        </w:rPr>
        <w:t xml:space="preserve">Inhibítory </w:t>
      </w:r>
      <w:r w:rsidR="004C70D8" w:rsidRPr="004B6827">
        <w:rPr>
          <w:szCs w:val="22"/>
          <w:lang w:val="sk-SK"/>
        </w:rPr>
        <w:t xml:space="preserve">ACE </w:t>
      </w:r>
      <w:r w:rsidRPr="004B6827">
        <w:rPr>
          <w:szCs w:val="22"/>
          <w:lang w:val="sk-SK"/>
        </w:rPr>
        <w:t>spôsobujú vyššie percento angioedému u pacientov čiernej rasy než u pacientov iných rás.</w:t>
      </w:r>
      <w:r w:rsidRPr="004B6827">
        <w:rPr>
          <w:bCs/>
          <w:iCs/>
          <w:szCs w:val="22"/>
          <w:lang w:val="sk-SK"/>
        </w:rPr>
        <w:t xml:space="preserve"> </w:t>
      </w:r>
    </w:p>
    <w:p w:rsidR="001843A3" w:rsidRPr="004B6827" w:rsidRDefault="001843A3" w:rsidP="001843A3">
      <w:pPr>
        <w:spacing w:line="240" w:lineRule="auto"/>
        <w:rPr>
          <w:szCs w:val="22"/>
          <w:lang w:val="sk-SK"/>
        </w:rPr>
      </w:pPr>
      <w:r w:rsidRPr="004B6827">
        <w:rPr>
          <w:szCs w:val="22"/>
          <w:lang w:val="sk-SK"/>
        </w:rPr>
        <w:t>Podobne ako iné inhibítory ACE,</w:t>
      </w:r>
      <w:r w:rsidR="004E3F1A" w:rsidRPr="004B6827">
        <w:rPr>
          <w:szCs w:val="22"/>
          <w:lang w:val="sk-SK"/>
        </w:rPr>
        <w:t xml:space="preserve"> môže byť</w:t>
      </w:r>
      <w:r w:rsidRPr="004B6827">
        <w:rPr>
          <w:szCs w:val="22"/>
          <w:lang w:val="sk-SK"/>
        </w:rPr>
        <w:t xml:space="preserve"> </w:t>
      </w:r>
      <w:r w:rsidR="00212A25" w:rsidRPr="004B6827">
        <w:rPr>
          <w:szCs w:val="22"/>
          <w:lang w:val="sk-SK"/>
        </w:rPr>
        <w:t>Lipertance</w:t>
      </w:r>
      <w:r w:rsidR="002E6422" w:rsidRPr="004B6827">
        <w:rPr>
          <w:szCs w:val="22"/>
          <w:lang w:val="sk-SK"/>
        </w:rPr>
        <w:t xml:space="preserve"> menej účinn</w:t>
      </w:r>
      <w:r w:rsidR="00717075" w:rsidRPr="004B6827">
        <w:rPr>
          <w:szCs w:val="22"/>
          <w:lang w:val="sk-SK"/>
        </w:rPr>
        <w:t>ý</w:t>
      </w:r>
      <w:r w:rsidRPr="004B6827">
        <w:rPr>
          <w:szCs w:val="22"/>
          <w:lang w:val="sk-SK"/>
        </w:rPr>
        <w:t xml:space="preserve"> v znižovaní </w:t>
      </w:r>
      <w:r w:rsidR="002E6422" w:rsidRPr="004B6827">
        <w:rPr>
          <w:szCs w:val="22"/>
          <w:lang w:val="sk-SK"/>
        </w:rPr>
        <w:t xml:space="preserve">krvného </w:t>
      </w:r>
      <w:r w:rsidRPr="004B6827">
        <w:rPr>
          <w:szCs w:val="22"/>
          <w:lang w:val="sk-SK"/>
        </w:rPr>
        <w:t>tlaku u pacientov čiernej rasy v porovnaní s inými rasami, možno z dôvodu vyššej prevalencie stavov s nízkou hladinou renínu v hypertenznej černošskej populácii.</w:t>
      </w:r>
    </w:p>
    <w:p w:rsidR="001843A3" w:rsidRPr="004B6827" w:rsidRDefault="001843A3" w:rsidP="001843A3">
      <w:pPr>
        <w:spacing w:line="240" w:lineRule="auto"/>
        <w:rPr>
          <w:szCs w:val="22"/>
          <w:u w:val="single"/>
          <w:lang w:val="sk-SK"/>
        </w:rPr>
      </w:pPr>
    </w:p>
    <w:p w:rsidR="001843A3" w:rsidRPr="004B6827" w:rsidRDefault="001843A3" w:rsidP="001843A3">
      <w:pPr>
        <w:spacing w:line="240" w:lineRule="auto"/>
        <w:rPr>
          <w:szCs w:val="22"/>
          <w:u w:val="single"/>
          <w:lang w:val="sk-SK"/>
        </w:rPr>
      </w:pPr>
      <w:r w:rsidRPr="004B6827">
        <w:rPr>
          <w:szCs w:val="22"/>
          <w:u w:val="single"/>
          <w:lang w:val="sk-SK"/>
        </w:rPr>
        <w:t>Kašeľ:</w:t>
      </w:r>
    </w:p>
    <w:p w:rsidR="001843A3" w:rsidRPr="004B6827" w:rsidRDefault="001843A3" w:rsidP="001843A3">
      <w:pPr>
        <w:spacing w:line="240" w:lineRule="auto"/>
        <w:rPr>
          <w:szCs w:val="22"/>
          <w:lang w:val="sk-SK"/>
        </w:rPr>
      </w:pPr>
      <w:r w:rsidRPr="004B6827">
        <w:rPr>
          <w:szCs w:val="22"/>
          <w:lang w:val="sk-SK"/>
        </w:rPr>
        <w:t xml:space="preserve">Pri používaní inhibítorov ACE bol </w:t>
      </w:r>
      <w:r w:rsidR="002E6422" w:rsidRPr="004B6827">
        <w:rPr>
          <w:szCs w:val="22"/>
          <w:lang w:val="sk-SK"/>
        </w:rPr>
        <w:t>hlásený</w:t>
      </w:r>
      <w:r w:rsidRPr="004B6827">
        <w:rPr>
          <w:szCs w:val="22"/>
          <w:lang w:val="sk-SK"/>
        </w:rPr>
        <w:t xml:space="preserve"> kašeľ. Tento kašeľ je zvyčajne neproduktívny, </w:t>
      </w:r>
      <w:r w:rsidR="002E6422" w:rsidRPr="004B6827">
        <w:rPr>
          <w:szCs w:val="22"/>
          <w:lang w:val="sk-SK"/>
        </w:rPr>
        <w:t xml:space="preserve">pretrvávajúci </w:t>
      </w:r>
      <w:r w:rsidRPr="004B6827">
        <w:rPr>
          <w:szCs w:val="22"/>
          <w:lang w:val="sk-SK"/>
        </w:rPr>
        <w:t>a ustupuje po ukončení liečby. Kašeľ vyvolaný inhibítorom ACE sa má brať do úvahy ako súčasť diferenciálnej diagnostiky kašľa</w:t>
      </w:r>
      <w:r w:rsidR="002E6422" w:rsidRPr="004B6827">
        <w:rPr>
          <w:szCs w:val="22"/>
          <w:lang w:val="sk-SK"/>
        </w:rPr>
        <w:t xml:space="preserve"> u pacientov liečených </w:t>
      </w:r>
      <w:r w:rsidR="00212A25" w:rsidRPr="004B6827">
        <w:rPr>
          <w:szCs w:val="22"/>
          <w:lang w:val="sk-SK"/>
        </w:rPr>
        <w:t>Lipertance</w:t>
      </w:r>
      <w:r w:rsidRPr="004B6827">
        <w:rPr>
          <w:szCs w:val="22"/>
          <w:lang w:val="sk-SK"/>
        </w:rPr>
        <w:t>.</w:t>
      </w:r>
    </w:p>
    <w:p w:rsidR="001843A3" w:rsidRPr="004B6827" w:rsidRDefault="001843A3" w:rsidP="001843A3">
      <w:pPr>
        <w:spacing w:line="240" w:lineRule="auto"/>
        <w:rPr>
          <w:szCs w:val="22"/>
          <w:u w:val="single"/>
          <w:lang w:val="sk-SK"/>
        </w:rPr>
      </w:pPr>
    </w:p>
    <w:p w:rsidR="001843A3" w:rsidRPr="004B6827" w:rsidRDefault="001843A3" w:rsidP="001843A3">
      <w:pPr>
        <w:spacing w:line="240" w:lineRule="auto"/>
        <w:rPr>
          <w:szCs w:val="22"/>
          <w:u w:val="single"/>
          <w:lang w:val="sk-SK"/>
        </w:rPr>
      </w:pPr>
      <w:r w:rsidRPr="004B6827">
        <w:rPr>
          <w:szCs w:val="22"/>
          <w:u w:val="single"/>
          <w:lang w:val="sk-SK"/>
        </w:rPr>
        <w:t>Operácia/anestézia:</w:t>
      </w:r>
    </w:p>
    <w:p w:rsidR="001843A3" w:rsidRPr="004B6827" w:rsidRDefault="001843A3" w:rsidP="001843A3">
      <w:pPr>
        <w:spacing w:line="240" w:lineRule="auto"/>
        <w:rPr>
          <w:szCs w:val="22"/>
          <w:lang w:val="sk-SK"/>
        </w:rPr>
      </w:pPr>
      <w:r w:rsidRPr="004B6827">
        <w:rPr>
          <w:szCs w:val="22"/>
          <w:lang w:val="sk-SK"/>
        </w:rPr>
        <w:t xml:space="preserve">U pacientov, ktorí sa podrobujú </w:t>
      </w:r>
      <w:r w:rsidR="00EE4AEA" w:rsidRPr="004B6827">
        <w:rPr>
          <w:szCs w:val="22"/>
          <w:lang w:val="sk-SK"/>
        </w:rPr>
        <w:t>väčšiem</w:t>
      </w:r>
      <w:r w:rsidRPr="004B6827">
        <w:rPr>
          <w:szCs w:val="22"/>
          <w:lang w:val="sk-SK"/>
        </w:rPr>
        <w:t xml:space="preserve">u chirurgickému </w:t>
      </w:r>
      <w:r w:rsidR="00EE4AEA" w:rsidRPr="004B6827">
        <w:rPr>
          <w:szCs w:val="22"/>
          <w:lang w:val="sk-SK"/>
        </w:rPr>
        <w:t>zákrok</w:t>
      </w:r>
      <w:r w:rsidRPr="004B6827">
        <w:rPr>
          <w:szCs w:val="22"/>
          <w:lang w:val="sk-SK"/>
        </w:rPr>
        <w:t xml:space="preserve">u alebo počas anestézie látkami vyvolávajúcimi hypotenziu, môže </w:t>
      </w:r>
      <w:r w:rsidR="00212A25" w:rsidRPr="004B6827">
        <w:rPr>
          <w:szCs w:val="22"/>
          <w:lang w:val="sk-SK"/>
        </w:rPr>
        <w:t>Lipertance</w:t>
      </w:r>
      <w:r w:rsidRPr="004B6827">
        <w:rPr>
          <w:szCs w:val="22"/>
          <w:lang w:val="sk-SK"/>
        </w:rPr>
        <w:t xml:space="preserve"> blokovať sekundárnu tvorbu angiotenzínu II po kompenzačnom uvoľnení renínu. Liečba sa má vysadiť jeden deň pred chirurgickým </w:t>
      </w:r>
      <w:r w:rsidR="00EE4AEA" w:rsidRPr="004B6827">
        <w:rPr>
          <w:szCs w:val="22"/>
          <w:lang w:val="sk-SK"/>
        </w:rPr>
        <w:t>zákrokom</w:t>
      </w:r>
      <w:r w:rsidRPr="004B6827">
        <w:rPr>
          <w:szCs w:val="22"/>
          <w:lang w:val="sk-SK"/>
        </w:rPr>
        <w:t>. Ak sa vyskytne hypotenzia, ktorá je považovaná za dôsledok tohto mechanizmu, je možné ju korigovať zvýšením cirkulujúceho objemu.</w:t>
      </w:r>
    </w:p>
    <w:p w:rsidR="001843A3" w:rsidRPr="004B6827" w:rsidRDefault="001843A3" w:rsidP="001843A3">
      <w:pPr>
        <w:spacing w:line="240" w:lineRule="auto"/>
        <w:rPr>
          <w:szCs w:val="22"/>
          <w:u w:val="single"/>
          <w:lang w:val="sk-SK"/>
        </w:rPr>
      </w:pPr>
      <w:bookmarkStart w:id="1" w:name="_Toc29797814"/>
      <w:bookmarkStart w:id="2" w:name="_Toc34031375"/>
    </w:p>
    <w:p w:rsidR="001843A3" w:rsidRPr="004B6827" w:rsidRDefault="001843A3" w:rsidP="001843A3">
      <w:pPr>
        <w:spacing w:line="240" w:lineRule="auto"/>
        <w:rPr>
          <w:szCs w:val="22"/>
          <w:u w:val="single"/>
          <w:lang w:val="sk-SK"/>
        </w:rPr>
      </w:pPr>
      <w:r w:rsidRPr="004B6827">
        <w:rPr>
          <w:szCs w:val="22"/>
          <w:u w:val="single"/>
          <w:lang w:val="sk-SK"/>
        </w:rPr>
        <w:t>Hyperkaliémia</w:t>
      </w:r>
      <w:bookmarkEnd w:id="1"/>
      <w:bookmarkEnd w:id="2"/>
      <w:r w:rsidRPr="004B6827">
        <w:rPr>
          <w:szCs w:val="22"/>
          <w:u w:val="single"/>
          <w:lang w:val="sk-SK"/>
        </w:rPr>
        <w:t>:</w:t>
      </w:r>
    </w:p>
    <w:p w:rsidR="001843A3" w:rsidRPr="004B6827" w:rsidRDefault="001843A3" w:rsidP="001843A3">
      <w:pPr>
        <w:spacing w:line="240" w:lineRule="auto"/>
        <w:rPr>
          <w:szCs w:val="22"/>
          <w:lang w:val="sk-SK"/>
        </w:rPr>
      </w:pPr>
      <w:r w:rsidRPr="004B6827">
        <w:rPr>
          <w:szCs w:val="22"/>
          <w:lang w:val="sk-SK"/>
        </w:rPr>
        <w:t>Zvýšenie hladín draslíka v sére bolo pozorované u niektorých pacientov liečených inhibítormi ACE vrátane perindoprilu. Medzi rizikové faktory vý</w:t>
      </w:r>
      <w:r w:rsidR="000F0171" w:rsidRPr="004B6827">
        <w:rPr>
          <w:szCs w:val="22"/>
          <w:lang w:val="sk-SK"/>
        </w:rPr>
        <w:t>vinu</w:t>
      </w:r>
      <w:r w:rsidRPr="004B6827">
        <w:rPr>
          <w:szCs w:val="22"/>
          <w:lang w:val="sk-SK"/>
        </w:rPr>
        <w:t xml:space="preserve"> hy</w:t>
      </w:r>
      <w:r w:rsidRPr="004B6827">
        <w:rPr>
          <w:bCs/>
          <w:iCs/>
          <w:szCs w:val="22"/>
          <w:lang w:val="sk-SK"/>
        </w:rPr>
        <w:t xml:space="preserve">perkaliémie patria renálna insuficiencia, zhoršenie renálnej funkcie, vek (&gt; 70 rokov), diabetes mellitus, pridružené udalosti, obzvlášť dehydratácia, akútna srdcová dekompenzácia, metabolická acidóza a súbežné užívanie </w:t>
      </w:r>
      <w:r w:rsidRPr="004B6827">
        <w:rPr>
          <w:szCs w:val="22"/>
          <w:lang w:val="sk-SK"/>
        </w:rPr>
        <w:t xml:space="preserve">draslík </w:t>
      </w:r>
      <w:r w:rsidRPr="004B6827">
        <w:rPr>
          <w:szCs w:val="22"/>
          <w:lang w:val="sk-SK"/>
        </w:rPr>
        <w:lastRenderedPageBreak/>
        <w:t>šetriacich diuretík (napr. spironolaktón, eplerenón, triamterén alebo amilorid), doplnkov draslíka alebo soľných náhrad s obsahom draslíka; alebo pacienti užívajúci iné lieky sp</w:t>
      </w:r>
      <w:r w:rsidR="000F0171" w:rsidRPr="004B6827">
        <w:rPr>
          <w:szCs w:val="22"/>
          <w:lang w:val="sk-SK"/>
        </w:rPr>
        <w:t>ojené so zvýšením</w:t>
      </w:r>
      <w:r w:rsidRPr="004B6827">
        <w:rPr>
          <w:szCs w:val="22"/>
          <w:lang w:val="sk-SK"/>
        </w:rPr>
        <w:t xml:space="preserve"> hladín draslíka v sére (napr. heparín). Použitie doplnkov draslíka, draslík šetriacich diuretík alebo soľných náhrad s obsahom draslíka môže hlavne u pacientov s</w:t>
      </w:r>
      <w:r w:rsidR="000F0171" w:rsidRPr="004B6827">
        <w:rPr>
          <w:szCs w:val="22"/>
          <w:lang w:val="sk-SK"/>
        </w:rPr>
        <w:t> </w:t>
      </w:r>
      <w:r w:rsidRPr="004B6827">
        <w:rPr>
          <w:szCs w:val="22"/>
          <w:lang w:val="sk-SK"/>
        </w:rPr>
        <w:t>po</w:t>
      </w:r>
      <w:r w:rsidR="000F0171" w:rsidRPr="004B6827">
        <w:rPr>
          <w:szCs w:val="22"/>
          <w:lang w:val="sk-SK"/>
        </w:rPr>
        <w:t>ruchou funkcie obličiek</w:t>
      </w:r>
      <w:r w:rsidRPr="004B6827">
        <w:rPr>
          <w:szCs w:val="22"/>
          <w:lang w:val="sk-SK"/>
        </w:rPr>
        <w:t xml:space="preserve"> viesť k </w:t>
      </w:r>
      <w:r w:rsidR="00E13782" w:rsidRPr="004B6827">
        <w:rPr>
          <w:szCs w:val="22"/>
          <w:lang w:val="sk-SK"/>
        </w:rPr>
        <w:t>význam</w:t>
      </w:r>
      <w:r w:rsidR="000F0171" w:rsidRPr="004B6827">
        <w:rPr>
          <w:szCs w:val="22"/>
          <w:lang w:val="sk-SK"/>
        </w:rPr>
        <w:t>nému</w:t>
      </w:r>
      <w:r w:rsidRPr="004B6827">
        <w:rPr>
          <w:szCs w:val="22"/>
          <w:lang w:val="sk-SK"/>
        </w:rPr>
        <w:t xml:space="preserve"> nárastu draslíka v sére</w:t>
      </w:r>
      <w:r w:rsidRPr="004B6827">
        <w:rPr>
          <w:bCs/>
          <w:iCs/>
          <w:szCs w:val="22"/>
          <w:lang w:val="sk-SK"/>
        </w:rPr>
        <w:t xml:space="preserve">. Hyperkaliémia môže spôsobiť vážne, niekedy fatálne arytmie. </w:t>
      </w:r>
      <w:r w:rsidRPr="004B6827">
        <w:rPr>
          <w:szCs w:val="22"/>
          <w:lang w:val="sk-SK"/>
        </w:rPr>
        <w:t xml:space="preserve">Ak sa súbežné použitie vyššie uvedených látok </w:t>
      </w:r>
      <w:r w:rsidR="00DE0EEC" w:rsidRPr="004B6827">
        <w:rPr>
          <w:szCs w:val="22"/>
          <w:lang w:val="sk-SK"/>
        </w:rPr>
        <w:t>s </w:t>
      </w:r>
      <w:r w:rsidR="00212A25" w:rsidRPr="004B6827">
        <w:rPr>
          <w:szCs w:val="22"/>
          <w:lang w:val="sk-SK"/>
        </w:rPr>
        <w:t>Lipertance</w:t>
      </w:r>
      <w:r w:rsidR="000F0171" w:rsidRPr="004B6827">
        <w:rPr>
          <w:szCs w:val="22"/>
          <w:lang w:val="sk-SK"/>
        </w:rPr>
        <w:t xml:space="preserve"> </w:t>
      </w:r>
      <w:r w:rsidRPr="004B6827">
        <w:rPr>
          <w:szCs w:val="22"/>
          <w:lang w:val="sk-SK"/>
        </w:rPr>
        <w:t>považuje za potrebné, majú sa užívať s opatrnosťou a s častým sledovaním hladiny draslíka v sére (pozri časť 4.5).</w:t>
      </w:r>
    </w:p>
    <w:p w:rsidR="001843A3" w:rsidRPr="004B6827" w:rsidRDefault="001843A3" w:rsidP="001843A3">
      <w:pPr>
        <w:spacing w:line="240" w:lineRule="auto"/>
        <w:rPr>
          <w:bCs/>
          <w:iCs/>
          <w:szCs w:val="22"/>
          <w:u w:val="single"/>
          <w:lang w:val="sk-SK"/>
        </w:rPr>
      </w:pPr>
    </w:p>
    <w:p w:rsidR="001843A3" w:rsidRPr="004B6827" w:rsidRDefault="000F0171" w:rsidP="001843A3">
      <w:pPr>
        <w:spacing w:line="240" w:lineRule="auto"/>
        <w:rPr>
          <w:bCs/>
          <w:iCs/>
          <w:szCs w:val="22"/>
          <w:u w:val="single"/>
          <w:lang w:val="sk-SK"/>
        </w:rPr>
      </w:pPr>
      <w:r w:rsidRPr="004B6827">
        <w:rPr>
          <w:bCs/>
          <w:iCs/>
          <w:szCs w:val="22"/>
          <w:u w:val="single"/>
          <w:lang w:val="sk-SK"/>
        </w:rPr>
        <w:t>Kombinácia s lítio</w:t>
      </w:r>
      <w:r w:rsidR="001843A3" w:rsidRPr="004B6827">
        <w:rPr>
          <w:bCs/>
          <w:iCs/>
          <w:szCs w:val="22"/>
          <w:u w:val="single"/>
          <w:lang w:val="sk-SK"/>
        </w:rPr>
        <w:t>m:</w:t>
      </w:r>
    </w:p>
    <w:p w:rsidR="001843A3" w:rsidRPr="004B6827" w:rsidRDefault="000F0171" w:rsidP="001843A3">
      <w:pPr>
        <w:spacing w:line="240" w:lineRule="auto"/>
        <w:rPr>
          <w:szCs w:val="22"/>
          <w:lang w:val="sk-SK"/>
        </w:rPr>
      </w:pPr>
      <w:r w:rsidRPr="004B6827">
        <w:rPr>
          <w:szCs w:val="22"/>
          <w:lang w:val="sk-SK"/>
        </w:rPr>
        <w:t>K</w:t>
      </w:r>
      <w:r w:rsidR="001843A3" w:rsidRPr="004B6827">
        <w:rPr>
          <w:szCs w:val="22"/>
          <w:lang w:val="sk-SK"/>
        </w:rPr>
        <w:t>ombinácia lítia a</w:t>
      </w:r>
      <w:r w:rsidRPr="004B6827">
        <w:rPr>
          <w:szCs w:val="22"/>
          <w:lang w:val="sk-SK"/>
        </w:rPr>
        <w:t> liekov obsahujúcich perindopril</w:t>
      </w:r>
      <w:r w:rsidR="00E673EC" w:rsidRPr="004B6827">
        <w:rPr>
          <w:szCs w:val="22"/>
          <w:lang w:val="sk-SK"/>
        </w:rPr>
        <w:t xml:space="preserve">, ako je </w:t>
      </w:r>
      <w:r w:rsidR="00212A25" w:rsidRPr="004B6827">
        <w:rPr>
          <w:szCs w:val="22"/>
          <w:lang w:val="sk-SK"/>
        </w:rPr>
        <w:t>Lipertance</w:t>
      </w:r>
      <w:r w:rsidR="00E673EC" w:rsidRPr="004B6827">
        <w:rPr>
          <w:szCs w:val="22"/>
          <w:lang w:val="sk-SK"/>
        </w:rPr>
        <w:t>, sa</w:t>
      </w:r>
      <w:r w:rsidR="001843A3" w:rsidRPr="004B6827">
        <w:rPr>
          <w:szCs w:val="22"/>
          <w:lang w:val="sk-SK"/>
        </w:rPr>
        <w:t xml:space="preserve"> neodporúča (pozri časť 4.5).</w:t>
      </w:r>
    </w:p>
    <w:p w:rsidR="001843A3" w:rsidRPr="004B6827" w:rsidRDefault="001843A3" w:rsidP="001843A3">
      <w:pPr>
        <w:spacing w:line="240" w:lineRule="auto"/>
        <w:rPr>
          <w:szCs w:val="22"/>
          <w:lang w:val="sk-SK"/>
        </w:rPr>
      </w:pPr>
    </w:p>
    <w:p w:rsidR="001843A3" w:rsidRPr="004B6827" w:rsidRDefault="001843A3" w:rsidP="00E673EC">
      <w:pPr>
        <w:spacing w:after="240" w:line="240" w:lineRule="auto"/>
        <w:rPr>
          <w:szCs w:val="22"/>
          <w:u w:val="single"/>
          <w:lang w:val="sk-SK"/>
        </w:rPr>
      </w:pPr>
      <w:r w:rsidRPr="004B6827">
        <w:rPr>
          <w:szCs w:val="22"/>
          <w:u w:val="single"/>
          <w:lang w:val="sk-SK"/>
        </w:rPr>
        <w:t>Duálna inhibícia systému renín-angiotenzín-aldosterón (RAAS)</w:t>
      </w:r>
    </w:p>
    <w:p w:rsidR="001843A3" w:rsidRPr="004B6827" w:rsidRDefault="001843A3" w:rsidP="00E673EC">
      <w:pPr>
        <w:spacing w:after="240" w:line="240" w:lineRule="auto"/>
        <w:rPr>
          <w:szCs w:val="22"/>
          <w:lang w:val="sk-SK"/>
        </w:rPr>
      </w:pPr>
      <w:r w:rsidRPr="004B6827">
        <w:rPr>
          <w:szCs w:val="22"/>
          <w:lang w:val="sk-SK"/>
        </w:rPr>
        <w:t>Preukázalo sa, že súbežné použitie inhibítorov ACE, blokátorov receptorov angiotenzínu II alebo aliskir</w:t>
      </w:r>
      <w:r w:rsidR="002B6DBD" w:rsidRPr="004B6827">
        <w:rPr>
          <w:szCs w:val="22"/>
          <w:lang w:val="sk-SK"/>
        </w:rPr>
        <w:t>é</w:t>
      </w:r>
      <w:r w:rsidRPr="004B6827">
        <w:rPr>
          <w:szCs w:val="22"/>
          <w:lang w:val="sk-SK"/>
        </w:rPr>
        <w:t>nu zvyšuje riziko hypotenzie, hyperkaliémie a znížen</w:t>
      </w:r>
      <w:r w:rsidR="002B6DBD" w:rsidRPr="004B6827">
        <w:rPr>
          <w:szCs w:val="22"/>
          <w:lang w:val="sk-SK"/>
        </w:rPr>
        <w:t>ej</w:t>
      </w:r>
      <w:r w:rsidRPr="004B6827">
        <w:rPr>
          <w:szCs w:val="22"/>
          <w:lang w:val="sk-SK"/>
        </w:rPr>
        <w:t xml:space="preserve"> funkcie obličiek (vrátane akútneho zlyhania obličiek). Duálna inhibícia RAAS kombinovaným použitím inhibítorov ACE, blokátorov receptorov angiotenzínu II alebo aliskir</w:t>
      </w:r>
      <w:r w:rsidR="002B6DBD" w:rsidRPr="004B6827">
        <w:rPr>
          <w:szCs w:val="22"/>
          <w:lang w:val="sk-SK"/>
        </w:rPr>
        <w:t>é</w:t>
      </w:r>
      <w:r w:rsidRPr="004B6827">
        <w:rPr>
          <w:szCs w:val="22"/>
          <w:lang w:val="sk-SK"/>
        </w:rPr>
        <w:t>nu sa preto neodporúča (pozri časti 4.5 a 5.1).</w:t>
      </w:r>
    </w:p>
    <w:p w:rsidR="001843A3" w:rsidRPr="004B6827" w:rsidRDefault="001843A3" w:rsidP="001843A3">
      <w:pPr>
        <w:spacing w:line="240" w:lineRule="auto"/>
        <w:rPr>
          <w:szCs w:val="22"/>
          <w:lang w:val="sk-SK"/>
        </w:rPr>
      </w:pPr>
      <w:r w:rsidRPr="004B6827">
        <w:rPr>
          <w:szCs w:val="22"/>
          <w:lang w:val="sk-SK"/>
        </w:rPr>
        <w:t>Ak sa liečba duálnou inhibíciou považuje za absolútne nevyhnutnú, má sa podať iba pod dohľadom odborníka a u pacienta sa m</w:t>
      </w:r>
      <w:r w:rsidR="00CB2592" w:rsidRPr="004B6827">
        <w:rPr>
          <w:szCs w:val="22"/>
          <w:lang w:val="sk-SK"/>
        </w:rPr>
        <w:t>á</w:t>
      </w:r>
      <w:r w:rsidRPr="004B6827">
        <w:rPr>
          <w:szCs w:val="22"/>
          <w:lang w:val="sk-SK"/>
        </w:rPr>
        <w:t xml:space="preserve"> často a dôsledne kontrolovať funkcia obličiek, elektrolyty a krvný tlak.</w:t>
      </w:r>
    </w:p>
    <w:p w:rsidR="001843A3" w:rsidRPr="004B6827" w:rsidRDefault="001843A3" w:rsidP="001843A3">
      <w:pPr>
        <w:spacing w:line="240" w:lineRule="auto"/>
        <w:rPr>
          <w:szCs w:val="22"/>
          <w:lang w:val="sk-SK"/>
        </w:rPr>
      </w:pPr>
      <w:r w:rsidRPr="004B6827">
        <w:rPr>
          <w:szCs w:val="22"/>
          <w:lang w:val="sk-SK"/>
        </w:rPr>
        <w:t>Inhibítory ACE a blokátory receptorov angiotenzínu II sa nemajú súbežne používať u pacientov s diabetickou nefropatiou.</w:t>
      </w:r>
    </w:p>
    <w:p w:rsidR="001843A3" w:rsidRPr="004B6827" w:rsidRDefault="001843A3" w:rsidP="001843A3">
      <w:pPr>
        <w:spacing w:line="240" w:lineRule="auto"/>
        <w:rPr>
          <w:szCs w:val="22"/>
          <w:lang w:val="sk-SK"/>
        </w:rPr>
      </w:pPr>
    </w:p>
    <w:p w:rsidR="000322EB" w:rsidRPr="004B6827" w:rsidRDefault="00E673EC" w:rsidP="000322EB">
      <w:pPr>
        <w:rPr>
          <w:szCs w:val="22"/>
          <w:u w:val="single"/>
          <w:lang w:val="sk-SK"/>
        </w:rPr>
      </w:pPr>
      <w:r w:rsidRPr="004B6827">
        <w:rPr>
          <w:szCs w:val="22"/>
          <w:u w:val="single"/>
          <w:lang w:val="sk-SK"/>
        </w:rPr>
        <w:t>Pomocné látky:</w:t>
      </w:r>
    </w:p>
    <w:p w:rsidR="00E673EC" w:rsidRPr="004B6827" w:rsidRDefault="00E673EC" w:rsidP="000322EB">
      <w:pPr>
        <w:rPr>
          <w:szCs w:val="22"/>
          <w:lang w:val="sk-SK"/>
        </w:rPr>
      </w:pPr>
      <w:r w:rsidRPr="004B6827">
        <w:rPr>
          <w:szCs w:val="22"/>
          <w:lang w:val="sk-SK"/>
        </w:rPr>
        <w:t>Vzhľadom na prítomnosť laktózy pacienti so zriedkavými dedičnými problémami galaktózovej intolerancie, glukózo-galaktózovej malabsorpcie al</w:t>
      </w:r>
      <w:r w:rsidR="005C6CE8" w:rsidRPr="004B6827">
        <w:rPr>
          <w:szCs w:val="22"/>
          <w:lang w:val="sk-SK"/>
        </w:rPr>
        <w:t>ebo lapónskej deficiencie laktáz</w:t>
      </w:r>
      <w:r w:rsidRPr="004B6827">
        <w:rPr>
          <w:szCs w:val="22"/>
          <w:lang w:val="sk-SK"/>
        </w:rPr>
        <w:t>y nema</w:t>
      </w:r>
      <w:r w:rsidR="002B6DBD" w:rsidRPr="004B6827">
        <w:rPr>
          <w:szCs w:val="22"/>
          <w:lang w:val="sk-SK"/>
        </w:rPr>
        <w:t>jú</w:t>
      </w:r>
      <w:r w:rsidRPr="004B6827">
        <w:rPr>
          <w:szCs w:val="22"/>
          <w:lang w:val="sk-SK"/>
        </w:rPr>
        <w:t xml:space="preserve"> užívať </w:t>
      </w:r>
      <w:r w:rsidR="00212A25" w:rsidRPr="004B6827">
        <w:rPr>
          <w:szCs w:val="22"/>
          <w:lang w:val="sk-SK"/>
        </w:rPr>
        <w:t>Lipertance</w:t>
      </w:r>
      <w:r w:rsidRPr="004B6827">
        <w:rPr>
          <w:szCs w:val="22"/>
          <w:lang w:val="sk-SK"/>
        </w:rPr>
        <w:t>.</w:t>
      </w:r>
    </w:p>
    <w:p w:rsidR="00E673EC" w:rsidRPr="004B6827" w:rsidRDefault="00E673EC" w:rsidP="000322EB">
      <w:pPr>
        <w:rPr>
          <w:szCs w:val="22"/>
          <w:u w:val="single"/>
          <w:lang w:val="sk-SK"/>
        </w:rPr>
      </w:pPr>
    </w:p>
    <w:p w:rsidR="000322EB" w:rsidRPr="004B6827" w:rsidRDefault="000322EB" w:rsidP="000322EB">
      <w:pPr>
        <w:rPr>
          <w:szCs w:val="22"/>
          <w:lang w:val="sk-SK"/>
        </w:rPr>
      </w:pPr>
      <w:r w:rsidRPr="004B6827">
        <w:rPr>
          <w:b/>
          <w:szCs w:val="22"/>
          <w:lang w:val="sk-SK"/>
        </w:rPr>
        <w:t>4.5</w:t>
      </w:r>
      <w:r w:rsidRPr="004B6827">
        <w:rPr>
          <w:b/>
          <w:szCs w:val="22"/>
          <w:lang w:val="sk-SK"/>
        </w:rPr>
        <w:tab/>
        <w:t>Liekové a iné interakcie</w:t>
      </w:r>
    </w:p>
    <w:p w:rsidR="000322EB" w:rsidRPr="004B6827" w:rsidRDefault="000322EB" w:rsidP="000322EB">
      <w:pPr>
        <w:rPr>
          <w:szCs w:val="22"/>
          <w:lang w:val="sk-SK"/>
        </w:rPr>
      </w:pPr>
    </w:p>
    <w:p w:rsidR="005C6CE8" w:rsidRPr="004B6827" w:rsidRDefault="005C6CE8" w:rsidP="000322EB">
      <w:pPr>
        <w:rPr>
          <w:szCs w:val="22"/>
          <w:lang w:val="sk-SK"/>
        </w:rPr>
      </w:pPr>
      <w:r w:rsidRPr="004B6827">
        <w:rPr>
          <w:szCs w:val="22"/>
          <w:lang w:val="sk-SK"/>
        </w:rPr>
        <w:t xml:space="preserve">Údaje z klinických skúšaní </w:t>
      </w:r>
      <w:r w:rsidR="00CB2592" w:rsidRPr="004B6827">
        <w:rPr>
          <w:szCs w:val="22"/>
          <w:lang w:val="sk-SK"/>
        </w:rPr>
        <w:t>pre</w:t>
      </w:r>
      <w:r w:rsidRPr="004B6827">
        <w:rPr>
          <w:szCs w:val="22"/>
          <w:lang w:val="sk-SK"/>
        </w:rPr>
        <w:t>ukázali, že duálna inhibícia systému renín-angiotenzín-aldosterón (RAAS) kombinovaným použitím inhibítorov ACE, blokátorov receptorov angiotenzínu II alebo aliskir</w:t>
      </w:r>
      <w:r w:rsidR="00320777" w:rsidRPr="004B6827">
        <w:rPr>
          <w:szCs w:val="22"/>
          <w:lang w:val="sk-SK"/>
        </w:rPr>
        <w:t>é</w:t>
      </w:r>
      <w:r w:rsidRPr="004B6827">
        <w:rPr>
          <w:szCs w:val="22"/>
          <w:lang w:val="sk-SK"/>
        </w:rPr>
        <w:t>nu sa spája s vyššou frekvenciou nežiaducich udalostí, ako sú hypotenzia, hyperkaliémia a znížená funkcia obličiek (vrátane akútneho zlyhania obličiek), v porovnaní s použitím látky ovplyvňujúcej RAAS v monoterapii (pozri časti 4.3, 4.4 a 5.1).</w:t>
      </w:r>
    </w:p>
    <w:p w:rsidR="005C6CE8" w:rsidRPr="004B6827" w:rsidRDefault="005C6CE8" w:rsidP="000322EB">
      <w:pPr>
        <w:rPr>
          <w:szCs w:val="22"/>
          <w:lang w:val="sk-SK"/>
        </w:rPr>
      </w:pPr>
    </w:p>
    <w:p w:rsidR="005C6CE8" w:rsidRPr="004B6827" w:rsidRDefault="005C6CE8" w:rsidP="000322EB">
      <w:pPr>
        <w:rPr>
          <w:szCs w:val="22"/>
          <w:lang w:val="sk-SK"/>
        </w:rPr>
      </w:pPr>
      <w:r w:rsidRPr="004B6827">
        <w:rPr>
          <w:szCs w:val="22"/>
          <w:lang w:val="sk-SK"/>
        </w:rPr>
        <w:t>Nevykonali sa žiadne interakčné štúdie s</w:t>
      </w:r>
      <w:r w:rsidR="00DE0EEC" w:rsidRPr="004B6827">
        <w:rPr>
          <w:szCs w:val="22"/>
          <w:lang w:val="sk-SK"/>
        </w:rPr>
        <w:t> </w:t>
      </w:r>
      <w:r w:rsidR="00212A25" w:rsidRPr="004B6827">
        <w:rPr>
          <w:szCs w:val="22"/>
          <w:lang w:val="sk-SK"/>
        </w:rPr>
        <w:t>Lipertance</w:t>
      </w:r>
      <w:r w:rsidRPr="004B6827">
        <w:rPr>
          <w:szCs w:val="22"/>
          <w:lang w:val="sk-SK"/>
        </w:rPr>
        <w:t xml:space="preserve"> a inými liekmi, i</w:t>
      </w:r>
      <w:r w:rsidR="00320777" w:rsidRPr="004B6827">
        <w:rPr>
          <w:szCs w:val="22"/>
          <w:lang w:val="sk-SK"/>
        </w:rPr>
        <w:t xml:space="preserve"> keď</w:t>
      </w:r>
      <w:r w:rsidRPr="004B6827">
        <w:rPr>
          <w:szCs w:val="22"/>
          <w:lang w:val="sk-SK"/>
        </w:rPr>
        <w:t xml:space="preserve"> sa vykonali štúdie s atorvastatínom, perindoprilom a amlodipínom jednotlivo. Výsledky týchto štúdií sú uvedené nižšie.</w:t>
      </w:r>
    </w:p>
    <w:p w:rsidR="005C6CE8" w:rsidRPr="004B6827" w:rsidRDefault="005C6CE8" w:rsidP="000322EB">
      <w:pPr>
        <w:rPr>
          <w:szCs w:val="22"/>
          <w:lang w:val="sk-SK"/>
        </w:rPr>
      </w:pPr>
    </w:p>
    <w:p w:rsidR="005C6CE8" w:rsidRPr="004B6827" w:rsidRDefault="005C6CE8" w:rsidP="005C6CE8">
      <w:pPr>
        <w:spacing w:line="240" w:lineRule="auto"/>
        <w:rPr>
          <w:szCs w:val="22"/>
          <w:lang w:val="sk-SK"/>
        </w:rPr>
      </w:pPr>
      <w:r w:rsidRPr="004B6827">
        <w:rPr>
          <w:i/>
          <w:szCs w:val="22"/>
          <w:lang w:val="sk-SK"/>
        </w:rPr>
        <w:t>Lieky indukujúce hyperkaliémiu</w:t>
      </w:r>
    </w:p>
    <w:p w:rsidR="005C6CE8" w:rsidRPr="004B6827" w:rsidRDefault="005C6CE8" w:rsidP="005C6CE8">
      <w:pPr>
        <w:spacing w:line="240" w:lineRule="auto"/>
        <w:rPr>
          <w:szCs w:val="22"/>
          <w:lang w:val="sk-SK"/>
        </w:rPr>
      </w:pPr>
      <w:r w:rsidRPr="004B6827">
        <w:rPr>
          <w:szCs w:val="22"/>
          <w:lang w:val="sk-SK"/>
        </w:rPr>
        <w:t>Niektoré lieky alebo terapeutické skupiny môžu zvýšiť výskyt hyperkaliémie: aliskir</w:t>
      </w:r>
      <w:r w:rsidR="00707E2B" w:rsidRPr="004B6827">
        <w:rPr>
          <w:szCs w:val="22"/>
          <w:lang w:val="sk-SK"/>
        </w:rPr>
        <w:t>é</w:t>
      </w:r>
      <w:r w:rsidRPr="004B6827">
        <w:rPr>
          <w:szCs w:val="22"/>
          <w:lang w:val="sk-SK"/>
        </w:rPr>
        <w:t>n, soli draslíka, draslík šetriace diuretiká, inhibítory ACE, antagonisty receptorov angiotenzínu II, NSA, heparíny, imunosupresíva</w:t>
      </w:r>
      <w:r w:rsidR="00CB2592" w:rsidRPr="004B6827">
        <w:rPr>
          <w:szCs w:val="22"/>
          <w:lang w:val="sk-SK"/>
        </w:rPr>
        <w:t>,</w:t>
      </w:r>
      <w:r w:rsidRPr="004B6827">
        <w:rPr>
          <w:szCs w:val="22"/>
          <w:lang w:val="sk-SK"/>
        </w:rPr>
        <w:t xml:space="preserve"> ako cyklosporín alebo takrolimus, trimetoprim. Kombinácia týchto liekov zvyšuje riziko hyperkaliémie.</w:t>
      </w:r>
    </w:p>
    <w:p w:rsidR="005C6CE8" w:rsidRPr="004B6827" w:rsidRDefault="005C6CE8" w:rsidP="005C6CE8">
      <w:pPr>
        <w:spacing w:line="240" w:lineRule="auto"/>
        <w:rPr>
          <w:szCs w:val="22"/>
          <w:lang w:val="sk-SK"/>
        </w:rPr>
      </w:pPr>
    </w:p>
    <w:p w:rsidR="00E97D37" w:rsidRPr="004B6827" w:rsidRDefault="00E97D37" w:rsidP="00E97D37">
      <w:pPr>
        <w:keepNext/>
        <w:shd w:val="clear" w:color="auto" w:fill="FFFFFF"/>
        <w:rPr>
          <w:i/>
          <w:iCs/>
          <w:szCs w:val="22"/>
          <w:lang w:val="sk-SK" w:eastAsia="sk-SK"/>
        </w:rPr>
      </w:pPr>
      <w:r w:rsidRPr="004B6827">
        <w:rPr>
          <w:i/>
          <w:iCs/>
          <w:szCs w:val="22"/>
          <w:lang w:val="sk-SK" w:eastAsia="sk-SK"/>
        </w:rPr>
        <w:t>Kontraindikované súbežné použitie (pozri časť 4.3):</w:t>
      </w:r>
    </w:p>
    <w:p w:rsidR="00E97D37" w:rsidRPr="004B6827" w:rsidRDefault="00E97D37" w:rsidP="00E97D37">
      <w:pPr>
        <w:keepNext/>
        <w:shd w:val="clear" w:color="auto" w:fill="FFFFFF"/>
        <w:rPr>
          <w:i/>
          <w:szCs w:val="22"/>
          <w:lang w:val="sk-SK" w:eastAsia="en-GB"/>
        </w:rPr>
      </w:pPr>
    </w:p>
    <w:tbl>
      <w:tblPr>
        <w:tblStyle w:val="Mriekatabuky"/>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07"/>
        <w:gridCol w:w="2951"/>
        <w:gridCol w:w="4830"/>
      </w:tblGrid>
      <w:tr w:rsidR="00E97D37" w:rsidRPr="004B6827" w:rsidTr="00DF377F">
        <w:trPr>
          <w:cantSplit/>
          <w:tblHeader/>
        </w:trPr>
        <w:tc>
          <w:tcPr>
            <w:tcW w:w="1507"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rFonts w:eastAsia="Calibri"/>
                <w:b/>
                <w:i/>
                <w:szCs w:val="22"/>
                <w:lang w:val="sk-SK"/>
              </w:rPr>
            </w:pPr>
            <w:r w:rsidRPr="004B6827">
              <w:rPr>
                <w:rFonts w:eastAsia="Calibri"/>
                <w:b/>
                <w:i/>
                <w:szCs w:val="22"/>
                <w:lang w:val="sk-SK"/>
              </w:rPr>
              <w:t>Zložka</w:t>
            </w:r>
          </w:p>
        </w:tc>
        <w:tc>
          <w:tcPr>
            <w:tcW w:w="2951"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rFonts w:eastAsia="Calibri"/>
                <w:b/>
                <w:i/>
                <w:szCs w:val="22"/>
                <w:lang w:val="sk-SK"/>
              </w:rPr>
            </w:pPr>
            <w:r w:rsidRPr="004B6827">
              <w:rPr>
                <w:rFonts w:eastAsia="Calibri"/>
                <w:b/>
                <w:i/>
                <w:szCs w:val="22"/>
                <w:lang w:val="sk-SK"/>
              </w:rPr>
              <w:t>Známa interakcia s liekom</w:t>
            </w:r>
          </w:p>
        </w:tc>
        <w:tc>
          <w:tcPr>
            <w:tcW w:w="4830"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rFonts w:eastAsia="Calibri"/>
                <w:b/>
                <w:i/>
                <w:szCs w:val="22"/>
                <w:lang w:val="sk-SK"/>
              </w:rPr>
            </w:pPr>
            <w:r w:rsidRPr="004B6827">
              <w:rPr>
                <w:rFonts w:eastAsia="Calibri"/>
                <w:b/>
                <w:i/>
                <w:szCs w:val="22"/>
                <w:lang w:val="sk-SK"/>
              </w:rPr>
              <w:t>Interakcia s iným liekom</w:t>
            </w:r>
          </w:p>
        </w:tc>
      </w:tr>
      <w:tr w:rsidR="00E97D37" w:rsidRPr="005023C8" w:rsidTr="00DF377F">
        <w:trPr>
          <w:cantSplit/>
          <w:tblHeader/>
        </w:trPr>
        <w:tc>
          <w:tcPr>
            <w:tcW w:w="1507"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rFonts w:eastAsia="Calibri"/>
                <w:szCs w:val="22"/>
                <w:lang w:val="sk-SK"/>
              </w:rPr>
            </w:pPr>
            <w:r w:rsidRPr="004B6827">
              <w:rPr>
                <w:rFonts w:eastAsia="Calibri"/>
                <w:szCs w:val="22"/>
                <w:lang w:val="sk-SK"/>
              </w:rPr>
              <w:t>Perindopril</w:t>
            </w:r>
          </w:p>
        </w:tc>
        <w:tc>
          <w:tcPr>
            <w:tcW w:w="2951" w:type="dxa"/>
            <w:tcBorders>
              <w:top w:val="single" w:sz="4" w:space="0" w:color="auto"/>
              <w:left w:val="nil"/>
              <w:bottom w:val="single" w:sz="4" w:space="0" w:color="auto"/>
              <w:right w:val="nil"/>
            </w:tcBorders>
          </w:tcPr>
          <w:p w:rsidR="00E97D37" w:rsidRPr="004B6827" w:rsidRDefault="00E97D37" w:rsidP="00DF377F">
            <w:pPr>
              <w:spacing w:line="240" w:lineRule="auto"/>
              <w:jc w:val="both"/>
              <w:rPr>
                <w:rFonts w:eastAsia="Calibri"/>
                <w:szCs w:val="22"/>
                <w:lang w:val="sk-SK"/>
              </w:rPr>
            </w:pPr>
            <w:r w:rsidRPr="004B6827">
              <w:rPr>
                <w:rFonts w:eastAsia="Calibri"/>
                <w:szCs w:val="22"/>
                <w:lang w:val="sk-SK"/>
              </w:rPr>
              <w:t>Aliskir</w:t>
            </w:r>
            <w:r w:rsidR="00707E2B" w:rsidRPr="00275323">
              <w:rPr>
                <w:rFonts w:eastAsia="Calibri"/>
                <w:szCs w:val="22"/>
                <w:lang w:val="sk-SK"/>
              </w:rPr>
              <w:t>é</w:t>
            </w:r>
            <w:r w:rsidRPr="004B6827">
              <w:rPr>
                <w:rFonts w:eastAsia="Calibri"/>
                <w:szCs w:val="22"/>
                <w:lang w:val="sk-SK"/>
              </w:rPr>
              <w:t>n</w:t>
            </w:r>
          </w:p>
        </w:tc>
        <w:tc>
          <w:tcPr>
            <w:tcW w:w="4830" w:type="dxa"/>
            <w:tcBorders>
              <w:top w:val="single" w:sz="4" w:space="0" w:color="auto"/>
              <w:left w:val="nil"/>
              <w:bottom w:val="single" w:sz="4" w:space="0" w:color="auto"/>
              <w:right w:val="nil"/>
            </w:tcBorders>
            <w:hideMark/>
          </w:tcPr>
          <w:p w:rsidR="00E97D37" w:rsidRPr="004B6827" w:rsidRDefault="00E97D37" w:rsidP="00CB2592">
            <w:pPr>
              <w:spacing w:line="240" w:lineRule="auto"/>
              <w:jc w:val="both"/>
              <w:rPr>
                <w:rFonts w:eastAsia="Calibri"/>
                <w:szCs w:val="22"/>
                <w:lang w:val="sk-SK"/>
              </w:rPr>
            </w:pPr>
            <w:r w:rsidRPr="004B6827">
              <w:rPr>
                <w:rFonts w:eastAsia="Calibri"/>
                <w:szCs w:val="22"/>
                <w:lang w:val="sk-SK"/>
              </w:rPr>
              <w:t>Súbežné použitie liečby s</w:t>
            </w:r>
            <w:r w:rsidR="00DE0EEC" w:rsidRPr="004B6827">
              <w:rPr>
                <w:rFonts w:eastAsia="Calibri"/>
                <w:szCs w:val="22"/>
                <w:lang w:val="sk-SK"/>
              </w:rPr>
              <w:t> </w:t>
            </w:r>
            <w:r w:rsidRPr="004B6827">
              <w:rPr>
                <w:rFonts w:eastAsia="Calibri"/>
                <w:szCs w:val="22"/>
                <w:lang w:val="sk-SK"/>
              </w:rPr>
              <w:t xml:space="preserve">Lipertance </w:t>
            </w:r>
            <w:r w:rsidR="000F0F2A" w:rsidRPr="004B6827">
              <w:rPr>
                <w:rFonts w:eastAsia="Calibri"/>
                <w:szCs w:val="22"/>
                <w:lang w:val="sk-SK"/>
              </w:rPr>
              <w:t xml:space="preserve">a </w:t>
            </w:r>
            <w:r w:rsidRPr="004B6827">
              <w:rPr>
                <w:rFonts w:eastAsia="Calibri"/>
                <w:szCs w:val="22"/>
                <w:lang w:val="sk-SK"/>
              </w:rPr>
              <w:t>aliskir</w:t>
            </w:r>
            <w:r w:rsidR="00707E2B" w:rsidRPr="004B6827">
              <w:rPr>
                <w:rFonts w:eastAsia="Calibri"/>
                <w:szCs w:val="22"/>
                <w:lang w:val="sk-SK"/>
              </w:rPr>
              <w:t>é</w:t>
            </w:r>
            <w:r w:rsidRPr="004B6827">
              <w:rPr>
                <w:rFonts w:eastAsia="Calibri"/>
                <w:szCs w:val="22"/>
                <w:lang w:val="sk-SK"/>
              </w:rPr>
              <w:t>nom je kontraindikované u pacientov s diabetom mellitus alebo poruchou funkcie obličiek (GFR &lt; 60 ml/min/1,73 m</w:t>
            </w:r>
            <w:r w:rsidRPr="004B6827">
              <w:rPr>
                <w:rFonts w:eastAsia="Calibri"/>
                <w:szCs w:val="22"/>
                <w:vertAlign w:val="superscript"/>
                <w:lang w:val="sk-SK"/>
              </w:rPr>
              <w:t>2</w:t>
            </w:r>
            <w:r w:rsidRPr="004B6827">
              <w:rPr>
                <w:rFonts w:eastAsia="Calibri"/>
                <w:szCs w:val="22"/>
                <w:lang w:val="sk-SK"/>
              </w:rPr>
              <w:t>) vzhľadom na riziko hyperkaliémie, zhoršenie funkcie obličiek a zvýšenie kardiovaskulárnej morbidity a mortality.</w:t>
            </w:r>
          </w:p>
        </w:tc>
      </w:tr>
    </w:tbl>
    <w:p w:rsidR="00E97D37" w:rsidRPr="004B6827" w:rsidRDefault="00E97D37" w:rsidP="00E97D37">
      <w:pPr>
        <w:shd w:val="clear" w:color="auto" w:fill="FFFFFF"/>
        <w:rPr>
          <w:i/>
          <w:szCs w:val="22"/>
          <w:lang w:val="sk-SK" w:eastAsia="en-GB"/>
        </w:rPr>
      </w:pPr>
    </w:p>
    <w:p w:rsidR="00E97D37" w:rsidRPr="00275323" w:rsidRDefault="00E97D37" w:rsidP="00E97D37">
      <w:pPr>
        <w:spacing w:line="240" w:lineRule="auto"/>
        <w:jc w:val="both"/>
        <w:rPr>
          <w:i/>
          <w:iCs/>
          <w:szCs w:val="22"/>
          <w:lang w:val="sk-SK"/>
        </w:rPr>
      </w:pPr>
      <w:r w:rsidRPr="004B6827">
        <w:rPr>
          <w:i/>
          <w:iCs/>
          <w:szCs w:val="22"/>
          <w:lang w:val="sk-SK"/>
        </w:rPr>
        <w:t>Súbežné použitie, ktoré sa neodporúča (pozri časť 4.4):</w:t>
      </w:r>
    </w:p>
    <w:p w:rsidR="00E97D37" w:rsidRPr="004B6827" w:rsidRDefault="00E97D37" w:rsidP="00E97D37">
      <w:pPr>
        <w:keepNext/>
        <w:shd w:val="clear" w:color="auto" w:fill="FFFFFF"/>
        <w:rPr>
          <w:lang w:val="sk-SK"/>
        </w:rPr>
      </w:pPr>
    </w:p>
    <w:tbl>
      <w:tblPr>
        <w:tblStyle w:val="Mriekatabuky"/>
        <w:tblW w:w="9855" w:type="dxa"/>
        <w:tblLayout w:type="fixed"/>
        <w:tblLook w:val="04A0" w:firstRow="1" w:lastRow="0" w:firstColumn="1" w:lastColumn="0" w:noHBand="0" w:noVBand="1"/>
      </w:tblPr>
      <w:tblGrid>
        <w:gridCol w:w="1522"/>
        <w:gridCol w:w="3136"/>
        <w:gridCol w:w="5197"/>
      </w:tblGrid>
      <w:tr w:rsidR="00E97D37" w:rsidRPr="004B6827" w:rsidTr="00DF377F">
        <w:trPr>
          <w:tblHeader/>
        </w:trPr>
        <w:tc>
          <w:tcPr>
            <w:tcW w:w="1522"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rFonts w:eastAsia="Calibri"/>
                <w:b/>
                <w:i/>
                <w:szCs w:val="22"/>
                <w:lang w:val="sk-SK"/>
              </w:rPr>
            </w:pPr>
            <w:r w:rsidRPr="004B6827">
              <w:rPr>
                <w:rFonts w:eastAsia="Calibri"/>
                <w:b/>
                <w:i/>
                <w:szCs w:val="22"/>
                <w:lang w:val="sk-SK"/>
              </w:rPr>
              <w:t>Zložka</w:t>
            </w:r>
          </w:p>
        </w:tc>
        <w:tc>
          <w:tcPr>
            <w:tcW w:w="3136"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rFonts w:eastAsia="Calibri"/>
                <w:b/>
                <w:i/>
                <w:szCs w:val="22"/>
                <w:lang w:val="sk-SK"/>
              </w:rPr>
            </w:pPr>
            <w:r w:rsidRPr="004B6827">
              <w:rPr>
                <w:rFonts w:eastAsia="Calibri"/>
                <w:b/>
                <w:i/>
                <w:szCs w:val="22"/>
                <w:lang w:val="sk-SK"/>
              </w:rPr>
              <w:t>Známa interakcia s liekom</w:t>
            </w:r>
          </w:p>
        </w:tc>
        <w:tc>
          <w:tcPr>
            <w:tcW w:w="5197"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rFonts w:eastAsia="Calibri"/>
                <w:b/>
                <w:i/>
                <w:szCs w:val="22"/>
                <w:lang w:val="sk-SK"/>
              </w:rPr>
            </w:pPr>
            <w:r w:rsidRPr="004B6827">
              <w:rPr>
                <w:rFonts w:eastAsia="Calibri"/>
                <w:b/>
                <w:i/>
                <w:szCs w:val="22"/>
                <w:lang w:val="sk-SK"/>
              </w:rPr>
              <w:t>Interakcia s iným liekom</w:t>
            </w:r>
          </w:p>
        </w:tc>
      </w:tr>
      <w:tr w:rsidR="00E97D37" w:rsidRPr="005023C8" w:rsidTr="00DF377F">
        <w:tc>
          <w:tcPr>
            <w:tcW w:w="1522" w:type="dxa"/>
            <w:tcBorders>
              <w:top w:val="single" w:sz="4" w:space="0" w:color="auto"/>
              <w:left w:val="nil"/>
              <w:bottom w:val="single" w:sz="4" w:space="0" w:color="auto"/>
              <w:right w:val="nil"/>
            </w:tcBorders>
          </w:tcPr>
          <w:p w:rsidR="00E97D37" w:rsidRPr="004B6827" w:rsidRDefault="00E97D37" w:rsidP="00DF377F">
            <w:pPr>
              <w:spacing w:line="240" w:lineRule="auto"/>
              <w:jc w:val="both"/>
              <w:rPr>
                <w:rFonts w:eastAsia="Calibri"/>
                <w:szCs w:val="22"/>
                <w:lang w:val="sk-SK"/>
              </w:rPr>
            </w:pPr>
            <w:r w:rsidRPr="004B6827">
              <w:rPr>
                <w:rFonts w:eastAsia="Calibri"/>
                <w:szCs w:val="22"/>
                <w:lang w:val="sk-SK"/>
              </w:rPr>
              <w:t>Atorvastatín</w:t>
            </w:r>
          </w:p>
        </w:tc>
        <w:tc>
          <w:tcPr>
            <w:tcW w:w="3136" w:type="dxa"/>
            <w:tcBorders>
              <w:top w:val="single" w:sz="4" w:space="0" w:color="auto"/>
              <w:left w:val="nil"/>
              <w:bottom w:val="single" w:sz="4" w:space="0" w:color="auto"/>
              <w:right w:val="nil"/>
            </w:tcBorders>
            <w:hideMark/>
          </w:tcPr>
          <w:p w:rsidR="00E97D37" w:rsidRPr="00275323" w:rsidRDefault="00E97D37" w:rsidP="00DF377F">
            <w:pPr>
              <w:spacing w:line="240" w:lineRule="auto"/>
              <w:jc w:val="both"/>
              <w:rPr>
                <w:rFonts w:eastAsia="Calibri"/>
                <w:bCs/>
                <w:szCs w:val="22"/>
                <w:lang w:val="sk-SK"/>
              </w:rPr>
            </w:pPr>
            <w:r w:rsidRPr="004B6827">
              <w:rPr>
                <w:rFonts w:eastAsia="Calibri"/>
                <w:bCs/>
                <w:szCs w:val="22"/>
                <w:lang w:val="sk-SK"/>
              </w:rPr>
              <w:t xml:space="preserve">Silné </w:t>
            </w:r>
            <w:r w:rsidRPr="00275323">
              <w:rPr>
                <w:szCs w:val="22"/>
                <w:lang w:val="sk-SK"/>
              </w:rPr>
              <w:t>inhibítory CYP3A4</w:t>
            </w:r>
          </w:p>
        </w:tc>
        <w:tc>
          <w:tcPr>
            <w:tcW w:w="5197" w:type="dxa"/>
            <w:tcBorders>
              <w:top w:val="single" w:sz="4" w:space="0" w:color="auto"/>
              <w:left w:val="nil"/>
              <w:bottom w:val="single" w:sz="4" w:space="0" w:color="auto"/>
              <w:right w:val="nil"/>
            </w:tcBorders>
          </w:tcPr>
          <w:p w:rsidR="00E97D37" w:rsidRPr="004B6827" w:rsidRDefault="00E97D37" w:rsidP="00DF377F">
            <w:pPr>
              <w:spacing w:line="240" w:lineRule="auto"/>
              <w:jc w:val="both"/>
              <w:rPr>
                <w:szCs w:val="22"/>
                <w:lang w:val="sk-SK"/>
              </w:rPr>
            </w:pPr>
            <w:r w:rsidRPr="004B6827">
              <w:rPr>
                <w:szCs w:val="22"/>
                <w:lang w:val="sk-SK"/>
              </w:rPr>
              <w:t>Atorvastatín je metabolizovaný cytochrómom P450 3A4 (CYP3A4) a je substrátom pre transportné bielkoviny, napr. hepatálny transportér vychytávania OATP1B1. Súbežné podávanie liekov, ktoré sú inhibítormi CYP3A4 alebo transportných proteínov</w:t>
            </w:r>
            <w:r w:rsidR="00707E2B" w:rsidRPr="004B6827">
              <w:rPr>
                <w:szCs w:val="22"/>
                <w:lang w:val="sk-SK"/>
              </w:rPr>
              <w:t>,</w:t>
            </w:r>
            <w:r w:rsidRPr="004B6827">
              <w:rPr>
                <w:szCs w:val="22"/>
                <w:lang w:val="sk-SK"/>
              </w:rPr>
              <w:t xml:space="preserve"> môže viesť ku zvýšeným plazmatickým koncentráciám atorvastatínu a zvýšenému riziku myopatie. Riziko sa tiež môže zvýšiť pri súbežnom podávaní atorvastatínu s inými liekmi, ktoré majú potenciál vyvolať myopatiu, ako sú fibráty a ezetimib (pozri časť 4.4).</w:t>
            </w:r>
          </w:p>
          <w:p w:rsidR="00E97D37" w:rsidRPr="004B6827" w:rsidRDefault="00E97D37" w:rsidP="00DF377F">
            <w:pPr>
              <w:spacing w:line="240" w:lineRule="auto"/>
              <w:jc w:val="both"/>
              <w:rPr>
                <w:szCs w:val="22"/>
                <w:lang w:val="sk-SK"/>
              </w:rPr>
            </w:pPr>
          </w:p>
          <w:p w:rsidR="00E97D37" w:rsidRPr="004B6827" w:rsidRDefault="00E97D37" w:rsidP="00DF377F">
            <w:pPr>
              <w:spacing w:line="240" w:lineRule="auto"/>
              <w:jc w:val="both"/>
              <w:rPr>
                <w:rFonts w:eastAsia="Calibri"/>
                <w:szCs w:val="22"/>
                <w:lang w:val="sk-SK"/>
              </w:rPr>
            </w:pPr>
            <w:r w:rsidRPr="004B6827">
              <w:rPr>
                <w:rFonts w:eastAsia="Calibri"/>
                <w:szCs w:val="22"/>
                <w:lang w:val="sk-SK"/>
              </w:rPr>
              <w:t>Ukázalo sa, že silné inhibítory CYP3A4 vedú k výrazne zvýšeným koncentráciám atorvastatínu. Súbežnému podávaniu silných inhibítorov CYP3A4 (napr. cyklosporínu, telitromycínu, klaritromycínu, delavirdínu, stiripentolu, ketokonazolu, vorikonazolu, itrakonazolu, po</w:t>
            </w:r>
            <w:r w:rsidR="004B6827">
              <w:rPr>
                <w:rFonts w:eastAsia="Calibri"/>
                <w:szCs w:val="22"/>
                <w:lang w:val="sk-SK"/>
              </w:rPr>
              <w:t>z</w:t>
            </w:r>
            <w:r w:rsidRPr="004B6827">
              <w:rPr>
                <w:rFonts w:eastAsia="Calibri"/>
                <w:szCs w:val="22"/>
                <w:lang w:val="sk-SK"/>
              </w:rPr>
              <w:t>akonazolu a inhibítorov HIV proteáz vrátane ritonaviru, lopinaviru, atazanaviru, indinaviru, darunaviru atď.) s Lipertance sa má, pokiaľ je to možné, vyhnúť. V prípadoch, keď sa súbežnému podávaniu t</w:t>
            </w:r>
            <w:r w:rsidR="00707E2B" w:rsidRPr="004B6827">
              <w:rPr>
                <w:rFonts w:eastAsia="Calibri"/>
                <w:szCs w:val="22"/>
                <w:lang w:val="sk-SK"/>
              </w:rPr>
              <w:t>ý</w:t>
            </w:r>
            <w:r w:rsidRPr="00275323">
              <w:rPr>
                <w:rFonts w:eastAsia="Calibri"/>
                <w:szCs w:val="22"/>
                <w:lang w:val="sk-SK"/>
              </w:rPr>
              <w:t>chto liekov s Lipertance nedá vyhnúť, sa má zvážiť nižšia dávka atorvastatínu v Lipertance a odporúča sa primerané klinické monitorovanie pacienta (pozri tabuľku 1)</w:t>
            </w:r>
            <w:r w:rsidR="000F0F2A" w:rsidRPr="004B6827">
              <w:rPr>
                <w:rFonts w:eastAsia="Calibri"/>
                <w:szCs w:val="22"/>
                <w:lang w:val="sk-SK"/>
              </w:rPr>
              <w:t>.</w:t>
            </w:r>
          </w:p>
        </w:tc>
      </w:tr>
      <w:tr w:rsidR="00E97D37" w:rsidRPr="005023C8" w:rsidTr="00DF377F">
        <w:tc>
          <w:tcPr>
            <w:tcW w:w="1522" w:type="dxa"/>
            <w:vMerge w:val="restart"/>
            <w:tcBorders>
              <w:top w:val="single" w:sz="4" w:space="0" w:color="auto"/>
              <w:left w:val="nil"/>
              <w:bottom w:val="single" w:sz="4" w:space="0" w:color="auto"/>
              <w:right w:val="nil"/>
            </w:tcBorders>
            <w:hideMark/>
          </w:tcPr>
          <w:p w:rsidR="00E97D37" w:rsidRPr="004B6827" w:rsidRDefault="00E97D37" w:rsidP="00DF377F">
            <w:pPr>
              <w:spacing w:line="240" w:lineRule="auto"/>
              <w:jc w:val="both"/>
              <w:rPr>
                <w:rFonts w:eastAsia="Calibri"/>
                <w:szCs w:val="22"/>
                <w:lang w:val="sk-SK"/>
              </w:rPr>
            </w:pPr>
            <w:r w:rsidRPr="004B6827">
              <w:rPr>
                <w:rFonts w:eastAsia="Calibri"/>
                <w:szCs w:val="22"/>
                <w:lang w:val="sk-SK"/>
              </w:rPr>
              <w:t>Perindopril</w:t>
            </w:r>
          </w:p>
        </w:tc>
        <w:tc>
          <w:tcPr>
            <w:tcW w:w="3136" w:type="dxa"/>
            <w:tcBorders>
              <w:top w:val="single" w:sz="4" w:space="0" w:color="auto"/>
              <w:left w:val="nil"/>
              <w:bottom w:val="single" w:sz="4" w:space="0" w:color="auto"/>
              <w:right w:val="nil"/>
            </w:tcBorders>
            <w:hideMark/>
          </w:tcPr>
          <w:p w:rsidR="00E97D37" w:rsidRPr="00275323" w:rsidRDefault="00E97D37" w:rsidP="00DF377F">
            <w:pPr>
              <w:spacing w:line="240" w:lineRule="auto"/>
              <w:jc w:val="both"/>
              <w:rPr>
                <w:rFonts w:eastAsia="Calibri"/>
                <w:szCs w:val="22"/>
                <w:lang w:val="sk-SK"/>
              </w:rPr>
            </w:pPr>
            <w:r w:rsidRPr="004B6827">
              <w:rPr>
                <w:rFonts w:eastAsia="Calibri"/>
                <w:szCs w:val="22"/>
                <w:lang w:val="sk-SK"/>
              </w:rPr>
              <w:t>Aliskir</w:t>
            </w:r>
            <w:r w:rsidR="00707E2B" w:rsidRPr="004B6827">
              <w:rPr>
                <w:rFonts w:eastAsia="Calibri"/>
                <w:szCs w:val="22"/>
                <w:lang w:val="sk-SK"/>
              </w:rPr>
              <w:t>é</w:t>
            </w:r>
            <w:r w:rsidRPr="004B6827">
              <w:rPr>
                <w:rFonts w:eastAsia="Calibri"/>
                <w:szCs w:val="22"/>
                <w:lang w:val="sk-SK"/>
              </w:rPr>
              <w:t>n</w:t>
            </w:r>
          </w:p>
        </w:tc>
        <w:tc>
          <w:tcPr>
            <w:tcW w:w="5197" w:type="dxa"/>
            <w:tcBorders>
              <w:top w:val="single" w:sz="4" w:space="0" w:color="auto"/>
              <w:left w:val="nil"/>
              <w:bottom w:val="single" w:sz="4" w:space="0" w:color="auto"/>
              <w:right w:val="nil"/>
            </w:tcBorders>
            <w:hideMark/>
          </w:tcPr>
          <w:p w:rsidR="00E97D37" w:rsidRPr="004B6827" w:rsidRDefault="00E97D37" w:rsidP="00717075">
            <w:pPr>
              <w:spacing w:line="240" w:lineRule="auto"/>
              <w:jc w:val="both"/>
              <w:rPr>
                <w:rFonts w:eastAsia="Calibri"/>
                <w:szCs w:val="22"/>
                <w:lang w:val="sk-SK"/>
              </w:rPr>
            </w:pPr>
            <w:r w:rsidRPr="004B6827">
              <w:rPr>
                <w:rFonts w:eastAsia="Calibri"/>
                <w:szCs w:val="22"/>
                <w:lang w:val="sk-SK"/>
              </w:rPr>
              <w:t>U iných pacientov, ako sú diabetickí pacienti alebo pacienti s poruchou funkcie obličiek</w:t>
            </w:r>
            <w:r w:rsidR="00BF7FC3" w:rsidRPr="004B6827">
              <w:rPr>
                <w:rFonts w:eastAsia="Calibri"/>
                <w:szCs w:val="22"/>
                <w:lang w:val="sk-SK"/>
              </w:rPr>
              <w:t>,</w:t>
            </w:r>
            <w:r w:rsidRPr="004B6827">
              <w:rPr>
                <w:rFonts w:eastAsia="Calibri"/>
                <w:szCs w:val="22"/>
                <w:lang w:val="sk-SK"/>
              </w:rPr>
              <w:t xml:space="preserve"> sa súbežná liečba s Lipertance a aliskir</w:t>
            </w:r>
            <w:r w:rsidR="00707E2B" w:rsidRPr="004B6827">
              <w:rPr>
                <w:rFonts w:eastAsia="Calibri"/>
                <w:szCs w:val="22"/>
                <w:lang w:val="sk-SK"/>
              </w:rPr>
              <w:t>é</w:t>
            </w:r>
            <w:r w:rsidRPr="004B6827">
              <w:rPr>
                <w:rFonts w:eastAsia="Calibri"/>
                <w:szCs w:val="22"/>
                <w:lang w:val="sk-SK"/>
              </w:rPr>
              <w:t>nom neodporúča.</w:t>
            </w:r>
          </w:p>
        </w:tc>
      </w:tr>
      <w:tr w:rsidR="00E97D37" w:rsidRPr="005023C8" w:rsidTr="00DF377F">
        <w:trPr>
          <w:cantSplit/>
        </w:trPr>
        <w:tc>
          <w:tcPr>
            <w:tcW w:w="1522" w:type="dxa"/>
            <w:vMerge/>
            <w:tcBorders>
              <w:top w:val="single" w:sz="4" w:space="0" w:color="auto"/>
              <w:left w:val="nil"/>
              <w:bottom w:val="single" w:sz="4" w:space="0" w:color="auto"/>
              <w:right w:val="nil"/>
            </w:tcBorders>
            <w:vAlign w:val="center"/>
            <w:hideMark/>
          </w:tcPr>
          <w:p w:rsidR="00E97D37" w:rsidRPr="004B6827" w:rsidRDefault="00E97D37" w:rsidP="00DF377F">
            <w:pPr>
              <w:tabs>
                <w:tab w:val="clear" w:pos="567"/>
              </w:tabs>
              <w:spacing w:line="240" w:lineRule="auto"/>
              <w:rPr>
                <w:lang w:val="sk-SK" w:eastAsia="en-US"/>
              </w:rPr>
            </w:pPr>
          </w:p>
        </w:tc>
        <w:tc>
          <w:tcPr>
            <w:tcW w:w="3136"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rFonts w:eastAsia="Calibri"/>
                <w:szCs w:val="22"/>
                <w:lang w:val="sk-SK"/>
              </w:rPr>
            </w:pPr>
            <w:r w:rsidRPr="004B6827">
              <w:rPr>
                <w:rFonts w:eastAsia="Calibri"/>
                <w:szCs w:val="22"/>
                <w:lang w:val="sk-SK"/>
              </w:rPr>
              <w:t>Súbežná liečba inhibítorom ACE a blokátorom receptora angiotenzínu</w:t>
            </w:r>
          </w:p>
        </w:tc>
        <w:tc>
          <w:tcPr>
            <w:tcW w:w="5197"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rFonts w:eastAsia="Calibri"/>
                <w:szCs w:val="22"/>
                <w:lang w:val="sk-SK"/>
              </w:rPr>
            </w:pPr>
            <w:r w:rsidRPr="004B6827">
              <w:rPr>
                <w:rFonts w:eastAsia="Calibri"/>
                <w:szCs w:val="22"/>
                <w:lang w:val="sk-SK"/>
              </w:rPr>
              <w:t>V literatúre sa zaznamenalo, že u pacientov s preukázaným aterosklerotickým ochorením, srdcovým zlyh</w:t>
            </w:r>
            <w:r w:rsidR="008E43E9" w:rsidRPr="004B6827">
              <w:rPr>
                <w:rFonts w:eastAsia="Calibri"/>
                <w:szCs w:val="22"/>
                <w:lang w:val="sk-SK"/>
              </w:rPr>
              <w:t>áv</w:t>
            </w:r>
            <w:r w:rsidRPr="004B6827">
              <w:rPr>
                <w:rFonts w:eastAsia="Calibri"/>
                <w:szCs w:val="22"/>
                <w:lang w:val="sk-SK"/>
              </w:rPr>
              <w:t>aním alebo diabetom s poškodením cieľového orgánu sa súbežná liečba inhibítorom ACE, ako je perindopril v Lipertance</w:t>
            </w:r>
            <w:r w:rsidR="00A60B28" w:rsidRPr="004B6827">
              <w:rPr>
                <w:rFonts w:eastAsia="Calibri"/>
                <w:szCs w:val="22"/>
                <w:lang w:val="sk-SK"/>
              </w:rPr>
              <w:t>,</w:t>
            </w:r>
            <w:r w:rsidRPr="004B6827">
              <w:rPr>
                <w:rFonts w:eastAsia="Calibri"/>
                <w:szCs w:val="22"/>
                <w:lang w:val="sk-SK"/>
              </w:rPr>
              <w:t xml:space="preserve"> a blokátorom receptora angiotenzínu spája s vyššou frekvenciou hypotenzie, synkopy, hyperkaliémie a zhoršením funkcie obličiek (vrátane akútneho zlyhania obličiek) v porovnaní s použitím samotnej látky pôsobiacej na systém renín-angiotenzín-aldosterón. Duálna blokáda (napr. kombináciou </w:t>
            </w:r>
            <w:r w:rsidR="000F0F2A" w:rsidRPr="004B6827">
              <w:rPr>
                <w:rFonts w:eastAsia="Calibri"/>
                <w:szCs w:val="22"/>
                <w:lang w:val="sk-SK"/>
              </w:rPr>
              <w:t>i</w:t>
            </w:r>
            <w:r w:rsidRPr="004B6827">
              <w:rPr>
                <w:rFonts w:eastAsia="Calibri"/>
                <w:szCs w:val="22"/>
                <w:lang w:val="sk-SK"/>
              </w:rPr>
              <w:t>nhibítora ACE s antagonistom receptora angiotenzínu II) sa má obmedziť na individuálne definované prípady s dôkladným monitorovaním funkcie obličiek, hladín draslíka a krvného tlaku.</w:t>
            </w:r>
          </w:p>
        </w:tc>
      </w:tr>
      <w:tr w:rsidR="00E97D37" w:rsidRPr="005023C8" w:rsidTr="00DF377F">
        <w:tc>
          <w:tcPr>
            <w:tcW w:w="1522" w:type="dxa"/>
            <w:vMerge/>
            <w:tcBorders>
              <w:top w:val="single" w:sz="4" w:space="0" w:color="auto"/>
              <w:left w:val="nil"/>
              <w:bottom w:val="single" w:sz="4" w:space="0" w:color="auto"/>
              <w:right w:val="nil"/>
            </w:tcBorders>
            <w:vAlign w:val="center"/>
            <w:hideMark/>
          </w:tcPr>
          <w:p w:rsidR="00E97D37" w:rsidRPr="004B6827" w:rsidRDefault="00E97D37" w:rsidP="00DF377F">
            <w:pPr>
              <w:tabs>
                <w:tab w:val="clear" w:pos="567"/>
              </w:tabs>
              <w:spacing w:line="240" w:lineRule="auto"/>
              <w:rPr>
                <w:lang w:val="sk-SK" w:eastAsia="en-US"/>
              </w:rPr>
            </w:pPr>
          </w:p>
        </w:tc>
        <w:tc>
          <w:tcPr>
            <w:tcW w:w="3136" w:type="dxa"/>
            <w:tcBorders>
              <w:top w:val="single" w:sz="4" w:space="0" w:color="auto"/>
              <w:left w:val="nil"/>
              <w:bottom w:val="single" w:sz="4" w:space="0" w:color="auto"/>
              <w:right w:val="nil"/>
            </w:tcBorders>
          </w:tcPr>
          <w:p w:rsidR="00E97D37" w:rsidRPr="004B6827" w:rsidRDefault="00E97D37" w:rsidP="00DF377F">
            <w:pPr>
              <w:spacing w:line="240" w:lineRule="auto"/>
              <w:jc w:val="both"/>
              <w:rPr>
                <w:rFonts w:eastAsia="Calibri"/>
                <w:szCs w:val="22"/>
                <w:lang w:val="sk-SK"/>
              </w:rPr>
            </w:pPr>
            <w:r w:rsidRPr="004B6827">
              <w:rPr>
                <w:rFonts w:eastAsia="Calibri"/>
                <w:szCs w:val="22"/>
                <w:lang w:val="sk-SK"/>
              </w:rPr>
              <w:t>Estramustín</w:t>
            </w:r>
          </w:p>
        </w:tc>
        <w:tc>
          <w:tcPr>
            <w:tcW w:w="5197"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rFonts w:eastAsia="Calibri"/>
                <w:szCs w:val="22"/>
                <w:lang w:val="sk-SK"/>
              </w:rPr>
            </w:pPr>
            <w:r w:rsidRPr="004B6827">
              <w:rPr>
                <w:rFonts w:eastAsia="Calibri"/>
                <w:bCs/>
                <w:szCs w:val="22"/>
                <w:lang w:val="sk-SK"/>
              </w:rPr>
              <w:t>Riziko zvýšenia nežiaducich účinkov</w:t>
            </w:r>
            <w:r w:rsidR="00A60B28" w:rsidRPr="004B6827">
              <w:rPr>
                <w:rFonts w:eastAsia="Calibri"/>
                <w:bCs/>
                <w:szCs w:val="22"/>
                <w:lang w:val="sk-SK"/>
              </w:rPr>
              <w:t>,</w:t>
            </w:r>
            <w:r w:rsidRPr="004B6827">
              <w:rPr>
                <w:rFonts w:eastAsia="Calibri"/>
                <w:bCs/>
                <w:szCs w:val="22"/>
                <w:lang w:val="sk-SK"/>
              </w:rPr>
              <w:t xml:space="preserve"> ako angioneurotický edém (angioedém).</w:t>
            </w:r>
          </w:p>
        </w:tc>
      </w:tr>
      <w:tr w:rsidR="00E97D37" w:rsidRPr="005023C8" w:rsidTr="00DF377F">
        <w:tc>
          <w:tcPr>
            <w:tcW w:w="1522" w:type="dxa"/>
            <w:vMerge/>
            <w:tcBorders>
              <w:top w:val="single" w:sz="4" w:space="0" w:color="auto"/>
              <w:left w:val="nil"/>
              <w:bottom w:val="single" w:sz="4" w:space="0" w:color="auto"/>
              <w:right w:val="nil"/>
            </w:tcBorders>
            <w:vAlign w:val="center"/>
            <w:hideMark/>
          </w:tcPr>
          <w:p w:rsidR="00E97D37" w:rsidRPr="004B6827" w:rsidRDefault="00E97D37" w:rsidP="00DF377F">
            <w:pPr>
              <w:tabs>
                <w:tab w:val="clear" w:pos="567"/>
              </w:tabs>
              <w:spacing w:line="240" w:lineRule="auto"/>
              <w:rPr>
                <w:lang w:val="sk-SK" w:eastAsia="en-US"/>
              </w:rPr>
            </w:pPr>
          </w:p>
        </w:tc>
        <w:tc>
          <w:tcPr>
            <w:tcW w:w="3136"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rFonts w:eastAsia="Calibri"/>
                <w:szCs w:val="22"/>
                <w:lang w:val="sk-SK"/>
              </w:rPr>
            </w:pPr>
            <w:r w:rsidRPr="004B6827">
              <w:rPr>
                <w:rFonts w:eastAsia="Calibri"/>
                <w:bCs/>
                <w:szCs w:val="22"/>
                <w:lang w:val="sk-SK"/>
              </w:rPr>
              <w:t>Lítium</w:t>
            </w:r>
          </w:p>
        </w:tc>
        <w:tc>
          <w:tcPr>
            <w:tcW w:w="5197" w:type="dxa"/>
            <w:tcBorders>
              <w:top w:val="single" w:sz="4" w:space="0" w:color="auto"/>
              <w:left w:val="nil"/>
              <w:bottom w:val="single" w:sz="4" w:space="0" w:color="auto"/>
              <w:right w:val="nil"/>
            </w:tcBorders>
            <w:hideMark/>
          </w:tcPr>
          <w:p w:rsidR="00E97D37" w:rsidRPr="004B6827" w:rsidRDefault="00E97D37" w:rsidP="00A60B28">
            <w:pPr>
              <w:spacing w:line="240" w:lineRule="auto"/>
              <w:jc w:val="both"/>
              <w:rPr>
                <w:rFonts w:eastAsia="Calibri"/>
                <w:szCs w:val="22"/>
                <w:lang w:val="sk-SK"/>
              </w:rPr>
            </w:pPr>
            <w:r w:rsidRPr="004B6827">
              <w:rPr>
                <w:rFonts w:eastAsia="Calibri"/>
                <w:szCs w:val="22"/>
                <w:lang w:val="sk-SK"/>
              </w:rPr>
              <w:t>Počas súbežného podávania lítia s inhibítormi ACE bol</w:t>
            </w:r>
            <w:r w:rsidR="00A60B28" w:rsidRPr="004B6827">
              <w:rPr>
                <w:rFonts w:eastAsia="Calibri"/>
                <w:szCs w:val="22"/>
                <w:lang w:val="sk-SK"/>
              </w:rPr>
              <w:t>o</w:t>
            </w:r>
            <w:r w:rsidRPr="004B6827">
              <w:rPr>
                <w:rFonts w:eastAsia="Calibri"/>
                <w:szCs w:val="22"/>
                <w:lang w:val="sk-SK"/>
              </w:rPr>
              <w:t xml:space="preserve"> hlásené reverzibilné zvýšeni</w:t>
            </w:r>
            <w:r w:rsidR="00A60B28" w:rsidRPr="004B6827">
              <w:rPr>
                <w:rFonts w:eastAsia="Calibri"/>
                <w:szCs w:val="22"/>
                <w:lang w:val="sk-SK"/>
              </w:rPr>
              <w:t>e</w:t>
            </w:r>
            <w:r w:rsidRPr="004B6827">
              <w:rPr>
                <w:rFonts w:eastAsia="Calibri"/>
                <w:szCs w:val="22"/>
                <w:lang w:val="sk-SK"/>
              </w:rPr>
              <w:t xml:space="preserve"> sérových koncentrácií lítia a jeho toxicity. Použitie Lipertance s lítiom sa neodporúča, ale ak sa potvrdí, že táto kombinácia je nutná, m</w:t>
            </w:r>
            <w:r w:rsidR="00A60B28" w:rsidRPr="004B6827">
              <w:rPr>
                <w:rFonts w:eastAsia="Calibri"/>
                <w:szCs w:val="22"/>
                <w:lang w:val="sk-SK"/>
              </w:rPr>
              <w:t>á</w:t>
            </w:r>
            <w:r w:rsidRPr="004B6827">
              <w:rPr>
                <w:rFonts w:eastAsia="Calibri"/>
                <w:szCs w:val="22"/>
                <w:lang w:val="sk-SK"/>
              </w:rPr>
              <w:t xml:space="preserve"> sa starostlivo monitorovať hladin</w:t>
            </w:r>
            <w:r w:rsidR="00A60B28" w:rsidRPr="004B6827">
              <w:rPr>
                <w:rFonts w:eastAsia="Calibri"/>
                <w:szCs w:val="22"/>
                <w:lang w:val="sk-SK"/>
              </w:rPr>
              <w:t>a</w:t>
            </w:r>
            <w:r w:rsidRPr="004B6827">
              <w:rPr>
                <w:rFonts w:eastAsia="Calibri"/>
                <w:szCs w:val="22"/>
                <w:lang w:val="sk-SK"/>
              </w:rPr>
              <w:t xml:space="preserve"> lítia v sére (pozri časť 4.4).</w:t>
            </w:r>
          </w:p>
        </w:tc>
      </w:tr>
      <w:tr w:rsidR="00E97D37" w:rsidRPr="005023C8" w:rsidTr="00DF377F">
        <w:tc>
          <w:tcPr>
            <w:tcW w:w="1522" w:type="dxa"/>
            <w:vMerge/>
            <w:tcBorders>
              <w:top w:val="single" w:sz="4" w:space="0" w:color="auto"/>
              <w:left w:val="nil"/>
              <w:bottom w:val="single" w:sz="4" w:space="0" w:color="auto"/>
              <w:right w:val="nil"/>
            </w:tcBorders>
            <w:vAlign w:val="center"/>
            <w:hideMark/>
          </w:tcPr>
          <w:p w:rsidR="00E97D37" w:rsidRPr="004B6827" w:rsidRDefault="00E97D37" w:rsidP="00DF377F">
            <w:pPr>
              <w:tabs>
                <w:tab w:val="clear" w:pos="567"/>
              </w:tabs>
              <w:spacing w:line="240" w:lineRule="auto"/>
              <w:rPr>
                <w:lang w:val="sk-SK" w:eastAsia="en-US"/>
              </w:rPr>
            </w:pPr>
          </w:p>
        </w:tc>
        <w:tc>
          <w:tcPr>
            <w:tcW w:w="3136" w:type="dxa"/>
            <w:tcBorders>
              <w:top w:val="single" w:sz="4" w:space="0" w:color="auto"/>
              <w:left w:val="nil"/>
              <w:bottom w:val="single" w:sz="4" w:space="0" w:color="auto"/>
              <w:right w:val="nil"/>
            </w:tcBorders>
          </w:tcPr>
          <w:p w:rsidR="00E97D37" w:rsidRPr="004B6827" w:rsidRDefault="00E97D37" w:rsidP="00DF377F">
            <w:pPr>
              <w:spacing w:line="240" w:lineRule="auto"/>
              <w:jc w:val="both"/>
              <w:rPr>
                <w:rFonts w:eastAsia="Calibri"/>
                <w:szCs w:val="22"/>
                <w:lang w:val="sk-SK"/>
              </w:rPr>
            </w:pPr>
            <w:r w:rsidRPr="004B6827">
              <w:rPr>
                <w:rFonts w:eastAsia="Calibri"/>
                <w:szCs w:val="22"/>
                <w:lang w:val="sk-SK"/>
              </w:rPr>
              <w:t xml:space="preserve">Draslík šetriace diuretiká (napr. </w:t>
            </w:r>
            <w:r w:rsidRPr="004B6827">
              <w:rPr>
                <w:rFonts w:eastAsia="Calibri"/>
                <w:szCs w:val="22"/>
                <w:lang w:val="sk-SK"/>
              </w:rPr>
              <w:lastRenderedPageBreak/>
              <w:t>triamterén, amilorid, eplerenón, spironolaktón), soli draslíka</w:t>
            </w:r>
          </w:p>
        </w:tc>
        <w:tc>
          <w:tcPr>
            <w:tcW w:w="5197" w:type="dxa"/>
            <w:tcBorders>
              <w:top w:val="single" w:sz="4" w:space="0" w:color="auto"/>
              <w:left w:val="nil"/>
              <w:bottom w:val="single" w:sz="4" w:space="0" w:color="auto"/>
              <w:right w:val="nil"/>
            </w:tcBorders>
            <w:hideMark/>
          </w:tcPr>
          <w:p w:rsidR="00E97D37" w:rsidRPr="004B6827" w:rsidRDefault="00E97D37" w:rsidP="001B7CDA">
            <w:pPr>
              <w:spacing w:line="240" w:lineRule="auto"/>
              <w:jc w:val="both"/>
              <w:rPr>
                <w:rFonts w:eastAsia="Calibri"/>
                <w:szCs w:val="22"/>
                <w:lang w:val="sk-SK"/>
              </w:rPr>
            </w:pPr>
            <w:r w:rsidRPr="004B6827">
              <w:rPr>
                <w:rFonts w:eastAsia="Calibri"/>
                <w:szCs w:val="22"/>
                <w:lang w:val="sk-SK"/>
              </w:rPr>
              <w:lastRenderedPageBreak/>
              <w:t xml:space="preserve">Hyperkaliémia (potenciálne smrteľná), najmä v spojení </w:t>
            </w:r>
            <w:r w:rsidRPr="004B6827">
              <w:rPr>
                <w:rFonts w:eastAsia="Calibri"/>
                <w:szCs w:val="22"/>
                <w:lang w:val="sk-SK"/>
              </w:rPr>
              <w:lastRenderedPageBreak/>
              <w:t>s poruchou funkcie obličiek (aditívne hyperkal</w:t>
            </w:r>
            <w:r w:rsidR="00707E2B" w:rsidRPr="004B6827">
              <w:rPr>
                <w:rFonts w:eastAsia="Calibri"/>
                <w:szCs w:val="22"/>
                <w:lang w:val="sk-SK"/>
              </w:rPr>
              <w:t>i</w:t>
            </w:r>
            <w:r w:rsidRPr="004B6827">
              <w:rPr>
                <w:rFonts w:eastAsia="Calibri"/>
                <w:szCs w:val="22"/>
                <w:lang w:val="sk-SK"/>
              </w:rPr>
              <w:t>emické účinky). Kombinácia Lipertance s týmito liekmi sa neodporúča (pozri časť 4.4).</w:t>
            </w:r>
            <w:r w:rsidR="00DD29C1">
              <w:rPr>
                <w:rFonts w:eastAsia="Calibri"/>
                <w:szCs w:val="22"/>
                <w:lang w:val="sk-SK"/>
              </w:rPr>
              <w:t xml:space="preserve"> </w:t>
            </w:r>
            <w:r w:rsidR="00DD29C1" w:rsidRPr="00527ED2">
              <w:rPr>
                <w:szCs w:val="22"/>
                <w:lang w:val="sk-SK"/>
              </w:rPr>
              <w:t xml:space="preserve">Ak je ich súbežné použitie </w:t>
            </w:r>
            <w:r w:rsidR="00852A69">
              <w:rPr>
                <w:szCs w:val="22"/>
                <w:lang w:val="sk-SK"/>
              </w:rPr>
              <w:t>predsa len</w:t>
            </w:r>
            <w:r w:rsidR="00DD29C1" w:rsidRPr="00527ED2">
              <w:rPr>
                <w:szCs w:val="22"/>
                <w:lang w:val="sk-SK"/>
              </w:rPr>
              <w:t xml:space="preserve"> indikované, majú </w:t>
            </w:r>
            <w:r w:rsidR="00DD29C1">
              <w:rPr>
                <w:szCs w:val="22"/>
                <w:lang w:val="sk-SK"/>
              </w:rPr>
              <w:t>sa</w:t>
            </w:r>
            <w:r w:rsidR="00DD29C1" w:rsidRPr="00527ED2">
              <w:rPr>
                <w:szCs w:val="22"/>
                <w:lang w:val="sk-SK"/>
              </w:rPr>
              <w:t xml:space="preserve"> používa</w:t>
            </w:r>
            <w:r w:rsidR="00DD29C1">
              <w:rPr>
                <w:szCs w:val="22"/>
                <w:lang w:val="sk-SK"/>
              </w:rPr>
              <w:t>ť</w:t>
            </w:r>
            <w:r w:rsidR="00DD29C1" w:rsidRPr="00527ED2">
              <w:rPr>
                <w:szCs w:val="22"/>
                <w:lang w:val="sk-SK"/>
              </w:rPr>
              <w:t xml:space="preserve"> s opatrnosťou a pri častom monitorovaní hladín draslíka v sére.</w:t>
            </w:r>
          </w:p>
        </w:tc>
      </w:tr>
      <w:tr w:rsidR="00E97D37" w:rsidRPr="005023C8" w:rsidTr="00DF377F">
        <w:tc>
          <w:tcPr>
            <w:tcW w:w="1522"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rFonts w:eastAsia="Calibri"/>
                <w:szCs w:val="22"/>
                <w:lang w:val="sk-SK"/>
              </w:rPr>
            </w:pPr>
            <w:r w:rsidRPr="004B6827">
              <w:rPr>
                <w:rFonts w:eastAsia="Calibri"/>
                <w:szCs w:val="22"/>
                <w:lang w:val="sk-SK"/>
              </w:rPr>
              <w:lastRenderedPageBreak/>
              <w:t>Amlodipín</w:t>
            </w:r>
          </w:p>
        </w:tc>
        <w:tc>
          <w:tcPr>
            <w:tcW w:w="3136" w:type="dxa"/>
            <w:tcBorders>
              <w:top w:val="single" w:sz="4" w:space="0" w:color="auto"/>
              <w:left w:val="nil"/>
              <w:bottom w:val="single" w:sz="4" w:space="0" w:color="auto"/>
              <w:right w:val="nil"/>
            </w:tcBorders>
          </w:tcPr>
          <w:p w:rsidR="00E97D37" w:rsidRPr="00275323" w:rsidRDefault="00E97D37" w:rsidP="00DF377F">
            <w:pPr>
              <w:spacing w:line="240" w:lineRule="auto"/>
              <w:jc w:val="both"/>
              <w:rPr>
                <w:rFonts w:eastAsia="Calibri"/>
                <w:szCs w:val="22"/>
                <w:lang w:val="sk-SK"/>
              </w:rPr>
            </w:pPr>
            <w:r w:rsidRPr="004B6827">
              <w:rPr>
                <w:rFonts w:eastAsia="Calibri"/>
                <w:szCs w:val="22"/>
                <w:lang w:val="sk-SK"/>
              </w:rPr>
              <w:t>Dantrolén (infúzia)</w:t>
            </w:r>
          </w:p>
        </w:tc>
        <w:tc>
          <w:tcPr>
            <w:tcW w:w="5197"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rFonts w:eastAsia="Calibri"/>
                <w:szCs w:val="22"/>
                <w:lang w:val="sk-SK"/>
              </w:rPr>
            </w:pPr>
            <w:r w:rsidRPr="004B6827">
              <w:rPr>
                <w:rFonts w:eastAsia="Calibri"/>
                <w:szCs w:val="22"/>
                <w:lang w:val="sk-SK"/>
              </w:rPr>
              <w:t>U zvierat sú po podaní verapamilu a intravenózneho dantrolénu pozorované smrteľné komorové fibrilácie a kardiovaskulárny kolaps v spojení s hyperkaliémiou. Vzhľadom na riziko hyperkaliémie sa odporúča, aby sa pacienti náchylní na malígnu hypertermiu a pri liečbe malígnej hypertermie vyhýbali súbežnému podávaniu blokátorov kalciových kanálov</w:t>
            </w:r>
            <w:r w:rsidR="00512167" w:rsidRPr="004B6827">
              <w:rPr>
                <w:rFonts w:eastAsia="Calibri"/>
                <w:szCs w:val="22"/>
                <w:lang w:val="sk-SK"/>
              </w:rPr>
              <w:t>,</w:t>
            </w:r>
            <w:r w:rsidRPr="004B6827">
              <w:rPr>
                <w:rFonts w:eastAsia="Calibri"/>
                <w:szCs w:val="22"/>
                <w:lang w:val="sk-SK"/>
              </w:rPr>
              <w:t xml:space="preserve"> ako je amlodipín.</w:t>
            </w:r>
          </w:p>
        </w:tc>
      </w:tr>
      <w:tr w:rsidR="00E97D37" w:rsidRPr="005023C8" w:rsidTr="00DF377F">
        <w:tc>
          <w:tcPr>
            <w:tcW w:w="1522" w:type="dxa"/>
            <w:tcBorders>
              <w:top w:val="single" w:sz="4" w:space="0" w:color="auto"/>
              <w:left w:val="nil"/>
              <w:bottom w:val="single" w:sz="4" w:space="0" w:color="auto"/>
              <w:right w:val="nil"/>
            </w:tcBorders>
          </w:tcPr>
          <w:p w:rsidR="00E97D37" w:rsidRPr="004B6827" w:rsidRDefault="00E97D37" w:rsidP="00DF377F">
            <w:pPr>
              <w:spacing w:line="240" w:lineRule="auto"/>
              <w:jc w:val="both"/>
              <w:rPr>
                <w:rFonts w:eastAsia="Calibri"/>
                <w:szCs w:val="22"/>
                <w:lang w:val="sk-SK"/>
              </w:rPr>
            </w:pPr>
            <w:r w:rsidRPr="004B6827">
              <w:rPr>
                <w:rFonts w:eastAsia="Calibri"/>
                <w:szCs w:val="22"/>
                <w:lang w:val="sk-SK"/>
              </w:rPr>
              <w:t>Atorvastatín/ Amlodipín</w:t>
            </w:r>
          </w:p>
        </w:tc>
        <w:tc>
          <w:tcPr>
            <w:tcW w:w="3136" w:type="dxa"/>
            <w:tcBorders>
              <w:top w:val="single" w:sz="4" w:space="0" w:color="auto"/>
              <w:left w:val="nil"/>
              <w:bottom w:val="single" w:sz="4" w:space="0" w:color="auto"/>
              <w:right w:val="nil"/>
            </w:tcBorders>
            <w:hideMark/>
          </w:tcPr>
          <w:p w:rsidR="00E97D37" w:rsidRPr="00275323" w:rsidRDefault="00E97D37" w:rsidP="00DF377F">
            <w:pPr>
              <w:spacing w:line="240" w:lineRule="auto"/>
              <w:rPr>
                <w:rFonts w:eastAsia="Calibri"/>
                <w:szCs w:val="22"/>
                <w:lang w:val="sk-SK"/>
              </w:rPr>
            </w:pPr>
            <w:r w:rsidRPr="00275323">
              <w:rPr>
                <w:rFonts w:eastAsia="Calibri"/>
                <w:szCs w:val="22"/>
                <w:lang w:val="sk-SK"/>
              </w:rPr>
              <w:t>Grapefruit alebo grapefruitový džús</w:t>
            </w:r>
          </w:p>
        </w:tc>
        <w:tc>
          <w:tcPr>
            <w:tcW w:w="5197" w:type="dxa"/>
            <w:tcBorders>
              <w:top w:val="single" w:sz="4" w:space="0" w:color="auto"/>
              <w:left w:val="nil"/>
              <w:bottom w:val="single" w:sz="4" w:space="0" w:color="auto"/>
              <w:right w:val="nil"/>
            </w:tcBorders>
          </w:tcPr>
          <w:p w:rsidR="00E97D37" w:rsidRPr="004B6827" w:rsidRDefault="00E97D37" w:rsidP="00DF377F">
            <w:pPr>
              <w:spacing w:line="240" w:lineRule="auto"/>
              <w:jc w:val="both"/>
              <w:rPr>
                <w:rFonts w:eastAsia="Calibri"/>
                <w:szCs w:val="22"/>
                <w:lang w:val="sk-SK"/>
              </w:rPr>
            </w:pPr>
            <w:r w:rsidRPr="004B6827">
              <w:rPr>
                <w:rFonts w:eastAsia="Calibri"/>
                <w:szCs w:val="22"/>
                <w:lang w:val="sk-SK"/>
              </w:rPr>
              <w:t xml:space="preserve">Súbežné podávanie </w:t>
            </w:r>
            <w:r w:rsidR="00512167" w:rsidRPr="004B6827">
              <w:rPr>
                <w:rFonts w:eastAsia="Calibri"/>
                <w:szCs w:val="22"/>
                <w:lang w:val="sk-SK"/>
              </w:rPr>
              <w:t xml:space="preserve">veľkého </w:t>
            </w:r>
            <w:r w:rsidRPr="004B6827">
              <w:rPr>
                <w:rFonts w:eastAsia="Calibri"/>
                <w:szCs w:val="22"/>
                <w:lang w:val="sk-SK"/>
              </w:rPr>
              <w:t>množst</w:t>
            </w:r>
            <w:r w:rsidR="00512167" w:rsidRPr="004B6827">
              <w:rPr>
                <w:rFonts w:eastAsia="Calibri"/>
                <w:szCs w:val="22"/>
                <w:lang w:val="sk-SK"/>
              </w:rPr>
              <w:t>va</w:t>
            </w:r>
            <w:r w:rsidRPr="004B6827">
              <w:rPr>
                <w:rFonts w:eastAsia="Calibri"/>
                <w:szCs w:val="22"/>
                <w:lang w:val="sk-SK"/>
              </w:rPr>
              <w:t xml:space="preserve"> grapefruitového džúsu a atorvastatínu sa neodporúča (pozri tabuľku 1).</w:t>
            </w:r>
          </w:p>
          <w:p w:rsidR="00E97D37" w:rsidRPr="004B6827" w:rsidRDefault="00E97D37" w:rsidP="00DF377F">
            <w:pPr>
              <w:spacing w:line="240" w:lineRule="auto"/>
              <w:jc w:val="both"/>
              <w:rPr>
                <w:rFonts w:eastAsia="Calibri"/>
                <w:szCs w:val="22"/>
                <w:lang w:val="sk-SK"/>
              </w:rPr>
            </w:pPr>
          </w:p>
          <w:p w:rsidR="00E97D37" w:rsidRPr="004B6827" w:rsidRDefault="00E97D37">
            <w:pPr>
              <w:spacing w:line="240" w:lineRule="auto"/>
              <w:jc w:val="both"/>
              <w:rPr>
                <w:rFonts w:eastAsia="Calibri"/>
                <w:szCs w:val="22"/>
                <w:lang w:val="sk-SK" w:eastAsia="en-US"/>
              </w:rPr>
            </w:pPr>
            <w:r w:rsidRPr="004B6827">
              <w:rPr>
                <w:rFonts w:eastAsia="Calibri"/>
                <w:szCs w:val="22"/>
                <w:lang w:val="sk-SK"/>
              </w:rPr>
              <w:t>Podanie Lipertance obsahujúce</w:t>
            </w:r>
            <w:r w:rsidR="00E72CF7" w:rsidRPr="004B6827">
              <w:rPr>
                <w:rFonts w:eastAsia="Calibri"/>
                <w:szCs w:val="22"/>
                <w:lang w:val="sk-SK"/>
              </w:rPr>
              <w:t>ho</w:t>
            </w:r>
            <w:r w:rsidRPr="004B6827">
              <w:rPr>
                <w:rFonts w:eastAsia="Calibri"/>
                <w:szCs w:val="22"/>
                <w:lang w:val="sk-SK"/>
              </w:rPr>
              <w:t xml:space="preserve"> amlodipín s grapefruitom alebo grapefruitovým džúsom sa neodporúča, pretože sa môže u niektorých pacientov zvýšiť biologická dostupnosť s následným zosilnením jeho účinkov na zníženie krvného tlaku.</w:t>
            </w:r>
          </w:p>
        </w:tc>
      </w:tr>
    </w:tbl>
    <w:p w:rsidR="00E97D37" w:rsidRPr="004B6827" w:rsidRDefault="00E97D37" w:rsidP="00E97D37">
      <w:pPr>
        <w:shd w:val="clear" w:color="auto" w:fill="FFFFFF"/>
        <w:rPr>
          <w:i/>
          <w:iCs/>
          <w:szCs w:val="22"/>
          <w:lang w:val="sk-SK"/>
        </w:rPr>
        <w:sectPr w:rsidR="00E97D37" w:rsidRPr="004B6827" w:rsidSect="00A61609">
          <w:footerReference w:type="default" r:id="rId16"/>
          <w:headerReference w:type="first" r:id="rId17"/>
          <w:footerReference w:type="first" r:id="rId18"/>
          <w:pgSz w:w="11906" w:h="16838"/>
          <w:pgMar w:top="1417" w:right="1417" w:bottom="1417" w:left="1417" w:header="708" w:footer="708" w:gutter="0"/>
          <w:cols w:space="708"/>
          <w:titlePg/>
          <w:docGrid w:linePitch="360"/>
        </w:sectPr>
      </w:pPr>
    </w:p>
    <w:p w:rsidR="00E97D37" w:rsidRPr="004B6827" w:rsidRDefault="00E97D37" w:rsidP="00E97D37">
      <w:pPr>
        <w:spacing w:line="240" w:lineRule="auto"/>
        <w:jc w:val="both"/>
        <w:rPr>
          <w:szCs w:val="22"/>
          <w:lang w:val="sk-SK"/>
        </w:rPr>
      </w:pPr>
      <w:r w:rsidRPr="004B6827">
        <w:rPr>
          <w:i/>
          <w:iCs/>
          <w:szCs w:val="22"/>
          <w:lang w:val="sk-SK"/>
        </w:rPr>
        <w:lastRenderedPageBreak/>
        <w:t>Súbežné použitie, ktoré vyžaduje osobitnú starostlivosť:</w:t>
      </w:r>
    </w:p>
    <w:p w:rsidR="00E97D37" w:rsidRPr="004B6827" w:rsidRDefault="00E97D37" w:rsidP="00E97D37">
      <w:pPr>
        <w:keepNext/>
        <w:shd w:val="clear" w:color="auto" w:fill="FFFFFF"/>
        <w:rPr>
          <w:i/>
          <w:szCs w:val="22"/>
          <w:lang w:val="sk-SK" w:eastAsia="en-GB"/>
        </w:rPr>
      </w:pPr>
    </w:p>
    <w:tbl>
      <w:tblPr>
        <w:tblStyle w:val="Mriekatabuky"/>
        <w:tblW w:w="0" w:type="auto"/>
        <w:tblLook w:val="04A0" w:firstRow="1" w:lastRow="0" w:firstColumn="1" w:lastColumn="0" w:noHBand="0" w:noVBand="1"/>
      </w:tblPr>
      <w:tblGrid>
        <w:gridCol w:w="2104"/>
        <w:gridCol w:w="2803"/>
        <w:gridCol w:w="4381"/>
      </w:tblGrid>
      <w:tr w:rsidR="00E97D37" w:rsidRPr="004B6827" w:rsidTr="00DF377F">
        <w:trPr>
          <w:cantSplit/>
          <w:tblHeader/>
        </w:trPr>
        <w:tc>
          <w:tcPr>
            <w:tcW w:w="2104"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rFonts w:eastAsia="Calibri"/>
                <w:b/>
                <w:i/>
                <w:szCs w:val="22"/>
                <w:lang w:val="sk-SK"/>
              </w:rPr>
            </w:pPr>
            <w:r w:rsidRPr="004B6827">
              <w:rPr>
                <w:rFonts w:eastAsia="Calibri"/>
                <w:b/>
                <w:i/>
                <w:szCs w:val="22"/>
                <w:lang w:val="sk-SK"/>
              </w:rPr>
              <w:t>Zložka</w:t>
            </w:r>
          </w:p>
        </w:tc>
        <w:tc>
          <w:tcPr>
            <w:tcW w:w="2803"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rFonts w:eastAsia="Calibri"/>
                <w:b/>
                <w:i/>
                <w:szCs w:val="22"/>
                <w:lang w:val="sk-SK"/>
              </w:rPr>
            </w:pPr>
            <w:r w:rsidRPr="004B6827">
              <w:rPr>
                <w:rFonts w:eastAsia="Calibri"/>
                <w:b/>
                <w:i/>
                <w:szCs w:val="22"/>
                <w:lang w:val="sk-SK"/>
              </w:rPr>
              <w:t>Známa interakcia s liekom</w:t>
            </w:r>
          </w:p>
        </w:tc>
        <w:tc>
          <w:tcPr>
            <w:tcW w:w="4381"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rFonts w:eastAsia="Calibri"/>
                <w:b/>
                <w:i/>
                <w:szCs w:val="22"/>
                <w:lang w:val="sk-SK"/>
              </w:rPr>
            </w:pPr>
            <w:r w:rsidRPr="004B6827">
              <w:rPr>
                <w:rFonts w:eastAsia="Calibri"/>
                <w:b/>
                <w:i/>
                <w:szCs w:val="22"/>
                <w:lang w:val="sk-SK"/>
              </w:rPr>
              <w:t>Interakcia s iným liekom</w:t>
            </w:r>
          </w:p>
        </w:tc>
      </w:tr>
      <w:tr w:rsidR="00E97D37" w:rsidRPr="005023C8" w:rsidTr="00DF377F">
        <w:trPr>
          <w:cantSplit/>
        </w:trPr>
        <w:tc>
          <w:tcPr>
            <w:tcW w:w="2104" w:type="dxa"/>
            <w:vMerge w:val="restart"/>
            <w:tcBorders>
              <w:top w:val="single" w:sz="4" w:space="0" w:color="auto"/>
              <w:left w:val="nil"/>
              <w:bottom w:val="single" w:sz="4" w:space="0" w:color="auto"/>
              <w:right w:val="nil"/>
            </w:tcBorders>
            <w:hideMark/>
          </w:tcPr>
          <w:p w:rsidR="00E97D37" w:rsidRPr="004B6827" w:rsidRDefault="00E97D37" w:rsidP="00DF377F">
            <w:pPr>
              <w:spacing w:line="240" w:lineRule="auto"/>
              <w:jc w:val="both"/>
              <w:rPr>
                <w:szCs w:val="22"/>
                <w:lang w:val="sk-SK"/>
              </w:rPr>
            </w:pPr>
            <w:r w:rsidRPr="004B6827">
              <w:rPr>
                <w:szCs w:val="22"/>
                <w:lang w:val="sk-SK"/>
              </w:rPr>
              <w:t>Atorvastatín</w:t>
            </w:r>
          </w:p>
        </w:tc>
        <w:tc>
          <w:tcPr>
            <w:tcW w:w="2803" w:type="dxa"/>
            <w:tcBorders>
              <w:top w:val="single" w:sz="4" w:space="0" w:color="auto"/>
              <w:left w:val="nil"/>
              <w:bottom w:val="single" w:sz="4" w:space="0" w:color="auto"/>
              <w:right w:val="nil"/>
            </w:tcBorders>
            <w:hideMark/>
          </w:tcPr>
          <w:p w:rsidR="00E97D37" w:rsidRPr="00275323" w:rsidRDefault="00E97D37" w:rsidP="00DF377F">
            <w:pPr>
              <w:spacing w:line="240" w:lineRule="auto"/>
              <w:jc w:val="both"/>
              <w:rPr>
                <w:szCs w:val="22"/>
                <w:lang w:val="sk-SK"/>
              </w:rPr>
            </w:pPr>
            <w:r w:rsidRPr="004B6827">
              <w:rPr>
                <w:szCs w:val="22"/>
                <w:lang w:val="sk-SK"/>
              </w:rPr>
              <w:t>Stredne silné inhibítory CYP3A4</w:t>
            </w:r>
          </w:p>
        </w:tc>
        <w:tc>
          <w:tcPr>
            <w:tcW w:w="4381" w:type="dxa"/>
            <w:tcBorders>
              <w:top w:val="single" w:sz="4" w:space="0" w:color="auto"/>
              <w:left w:val="nil"/>
              <w:bottom w:val="single" w:sz="4" w:space="0" w:color="auto"/>
              <w:right w:val="nil"/>
            </w:tcBorders>
            <w:hideMark/>
          </w:tcPr>
          <w:p w:rsidR="00E97D37" w:rsidRPr="004B6827" w:rsidRDefault="00E97D37" w:rsidP="00DF377F">
            <w:pPr>
              <w:rPr>
                <w:szCs w:val="22"/>
                <w:lang w:val="sk-SK"/>
              </w:rPr>
            </w:pPr>
            <w:r w:rsidRPr="004B6827">
              <w:rPr>
                <w:szCs w:val="22"/>
                <w:lang w:val="sk-SK"/>
              </w:rPr>
              <w:t>Stredne silné inhibítory CYP3A4</w:t>
            </w:r>
            <w:r w:rsidRPr="004B6827">
              <w:rPr>
                <w:bCs/>
                <w:szCs w:val="22"/>
                <w:lang w:val="sk-SK"/>
              </w:rPr>
              <w:t xml:space="preserve"> (napr. erytromycín, diltiazem, verapamil a flukonazol) </w:t>
            </w:r>
            <w:r w:rsidRPr="004B6827">
              <w:rPr>
                <w:szCs w:val="22"/>
                <w:lang w:val="sk-SK"/>
              </w:rPr>
              <w:t>môžu zvýšiť plazmatické koncentrácie atorvastatínu (pozri tabuľku 1). Zvýšené riziko myopatie sa pozorovalo pri užívaní erytromycínu v kombinácii so statínmi. Interakčné štúdie hodnotiace účinky amiodar</w:t>
            </w:r>
            <w:r w:rsidR="00015280" w:rsidRPr="004B6827">
              <w:rPr>
                <w:szCs w:val="22"/>
                <w:lang w:val="sk-SK"/>
              </w:rPr>
              <w:t>ó</w:t>
            </w:r>
            <w:r w:rsidRPr="004B6827">
              <w:rPr>
                <w:szCs w:val="22"/>
                <w:lang w:val="sk-SK"/>
              </w:rPr>
              <w:t>nu alebo verapamilu na atorvastatín sa neuskutočnili. Je známe, že amiodar</w:t>
            </w:r>
            <w:r w:rsidR="00015280" w:rsidRPr="004B6827">
              <w:rPr>
                <w:szCs w:val="22"/>
                <w:lang w:val="sk-SK"/>
              </w:rPr>
              <w:t>ó</w:t>
            </w:r>
            <w:r w:rsidRPr="004B6827">
              <w:rPr>
                <w:szCs w:val="22"/>
                <w:lang w:val="sk-SK"/>
              </w:rPr>
              <w:t>n</w:t>
            </w:r>
            <w:r w:rsidR="004D2BC8" w:rsidRPr="004B6827">
              <w:rPr>
                <w:szCs w:val="22"/>
                <w:lang w:val="sk-SK"/>
              </w:rPr>
              <w:t>,</w:t>
            </w:r>
            <w:r w:rsidRPr="004B6827">
              <w:rPr>
                <w:szCs w:val="22"/>
                <w:lang w:val="sk-SK"/>
              </w:rPr>
              <w:t xml:space="preserve"> ako aj verapamil</w:t>
            </w:r>
            <w:r w:rsidR="00015280" w:rsidRPr="004B6827">
              <w:rPr>
                <w:szCs w:val="22"/>
                <w:lang w:val="sk-SK"/>
              </w:rPr>
              <w:t>,</w:t>
            </w:r>
            <w:r w:rsidRPr="004B6827">
              <w:rPr>
                <w:szCs w:val="22"/>
                <w:lang w:val="sk-SK"/>
              </w:rPr>
              <w:t xml:space="preserve"> inhibujú aktivitu CYP3A4 a ich súbežné podávanie s atorvastatínom môže mať za následok zvýšenú expozíciu atorvastatín</w:t>
            </w:r>
            <w:r w:rsidR="00015280" w:rsidRPr="004B6827">
              <w:rPr>
                <w:szCs w:val="22"/>
                <w:lang w:val="sk-SK"/>
              </w:rPr>
              <w:t>u</w:t>
            </w:r>
            <w:r w:rsidRPr="004B6827">
              <w:rPr>
                <w:szCs w:val="22"/>
                <w:lang w:val="sk-SK"/>
              </w:rPr>
              <w:t>. Preto sa pri súbežnom užívaní so stredne silnými inhibítormi CYP3A4 má zvážiť nižšia</w:t>
            </w:r>
            <w:r w:rsidRPr="004B6827">
              <w:rPr>
                <w:bCs/>
                <w:szCs w:val="22"/>
                <w:lang w:val="sk-SK"/>
              </w:rPr>
              <w:t xml:space="preserve"> maximálna dávka atorvastatínu</w:t>
            </w:r>
            <w:r w:rsidRPr="004B6827">
              <w:rPr>
                <w:szCs w:val="22"/>
                <w:lang w:val="sk-SK"/>
              </w:rPr>
              <w:t xml:space="preserve"> v Lipertance a odporúča sa primerané klinické monitorovanie pacienta. Primerané klinické monitorovanie sa odporúča po začatí liečby i</w:t>
            </w:r>
            <w:r w:rsidR="00BF7FC3" w:rsidRPr="004B6827">
              <w:rPr>
                <w:szCs w:val="22"/>
                <w:lang w:val="sk-SK"/>
              </w:rPr>
              <w:t>nhibítorom alebo po úprave dávky</w:t>
            </w:r>
            <w:r w:rsidRPr="004B6827">
              <w:rPr>
                <w:szCs w:val="22"/>
                <w:lang w:val="sk-SK"/>
              </w:rPr>
              <w:t xml:space="preserve"> inhibítora.</w:t>
            </w:r>
          </w:p>
        </w:tc>
      </w:tr>
      <w:tr w:rsidR="00E97D37" w:rsidRPr="005023C8" w:rsidTr="00DF377F">
        <w:trPr>
          <w:cantSplit/>
        </w:trPr>
        <w:tc>
          <w:tcPr>
            <w:tcW w:w="0" w:type="auto"/>
            <w:vMerge/>
            <w:tcBorders>
              <w:top w:val="single" w:sz="4" w:space="0" w:color="auto"/>
              <w:left w:val="nil"/>
              <w:bottom w:val="single" w:sz="4" w:space="0" w:color="auto"/>
              <w:right w:val="nil"/>
            </w:tcBorders>
            <w:vAlign w:val="center"/>
            <w:hideMark/>
          </w:tcPr>
          <w:p w:rsidR="00E97D37" w:rsidRPr="004B6827" w:rsidRDefault="00E97D37" w:rsidP="00DF377F">
            <w:pPr>
              <w:tabs>
                <w:tab w:val="clear" w:pos="567"/>
              </w:tabs>
              <w:spacing w:line="240" w:lineRule="auto"/>
              <w:rPr>
                <w:lang w:val="sk-SK" w:eastAsia="en-US"/>
              </w:rPr>
            </w:pPr>
          </w:p>
        </w:tc>
        <w:tc>
          <w:tcPr>
            <w:tcW w:w="2803"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szCs w:val="22"/>
                <w:lang w:val="sk-SK"/>
              </w:rPr>
            </w:pPr>
            <w:r w:rsidRPr="004B6827">
              <w:rPr>
                <w:szCs w:val="22"/>
                <w:lang w:val="sk-SK"/>
              </w:rPr>
              <w:t>Induktory CYP3A4</w:t>
            </w:r>
          </w:p>
        </w:tc>
        <w:tc>
          <w:tcPr>
            <w:tcW w:w="4381"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szCs w:val="22"/>
                <w:lang w:val="sk-SK"/>
              </w:rPr>
            </w:pPr>
            <w:r w:rsidRPr="004B6827">
              <w:rPr>
                <w:szCs w:val="22"/>
                <w:lang w:val="sk-SK"/>
              </w:rPr>
              <w:t>Súbežné podávanie atorvastatínu s induktormi cytochrómu P450 3A4 (napr. efavirenzom, rifampicínom, ľubovníkom bodkovaným) môže viesť k variabilnému poklesu plazmatických koncentrácií atorvastatínu (pozri tabuľku 1). Súbežné podávanie Lipertance s rifampicínom sa odporúča v</w:t>
            </w:r>
            <w:r w:rsidR="00E06735" w:rsidRPr="004B6827">
              <w:rPr>
                <w:szCs w:val="22"/>
                <w:lang w:val="sk-SK"/>
              </w:rPr>
              <w:t>zhľadom</w:t>
            </w:r>
            <w:r w:rsidRPr="004B6827">
              <w:rPr>
                <w:szCs w:val="22"/>
                <w:lang w:val="sk-SK"/>
              </w:rPr>
              <w:t xml:space="preserve"> </w:t>
            </w:r>
            <w:r w:rsidR="00E06735" w:rsidRPr="004B6827">
              <w:rPr>
                <w:szCs w:val="22"/>
                <w:lang w:val="sk-SK"/>
              </w:rPr>
              <w:t xml:space="preserve">na </w:t>
            </w:r>
            <w:r w:rsidRPr="004B6827">
              <w:rPr>
                <w:szCs w:val="22"/>
                <w:lang w:val="sk-SK"/>
              </w:rPr>
              <w:t>duáln</w:t>
            </w:r>
            <w:r w:rsidR="00E06735" w:rsidRPr="004B6827">
              <w:rPr>
                <w:szCs w:val="22"/>
                <w:lang w:val="sk-SK"/>
              </w:rPr>
              <w:t>y</w:t>
            </w:r>
            <w:r w:rsidRPr="004B6827">
              <w:rPr>
                <w:szCs w:val="22"/>
                <w:lang w:val="sk-SK"/>
              </w:rPr>
              <w:t xml:space="preserve"> mechanizmu</w:t>
            </w:r>
            <w:r w:rsidR="00E06735" w:rsidRPr="004B6827">
              <w:rPr>
                <w:szCs w:val="22"/>
                <w:lang w:val="sk-SK"/>
              </w:rPr>
              <w:t>s</w:t>
            </w:r>
            <w:r w:rsidRPr="004B6827">
              <w:rPr>
                <w:szCs w:val="22"/>
                <w:lang w:val="sk-SK"/>
              </w:rPr>
              <w:t xml:space="preserve"> interakcií rifampicínu (indukcia cytochrómu P450 3A a inhibícia vychytávania transportéra OATP1B1 hepatocytmi)</w:t>
            </w:r>
            <w:r w:rsidRPr="004B6827">
              <w:rPr>
                <w:bCs/>
                <w:szCs w:val="22"/>
                <w:lang w:val="sk-SK"/>
              </w:rPr>
              <w:t xml:space="preserve">, keďže podanie </w:t>
            </w:r>
            <w:r w:rsidRPr="004B6827">
              <w:rPr>
                <w:szCs w:val="22"/>
                <w:lang w:val="sk-SK"/>
              </w:rPr>
              <w:t>atorvastatínu až po určitom čase po podaní</w:t>
            </w:r>
            <w:r w:rsidRPr="004B6827">
              <w:rPr>
                <w:bCs/>
                <w:szCs w:val="22"/>
                <w:lang w:val="sk-SK"/>
              </w:rPr>
              <w:t xml:space="preserve"> rifampicínu bolo spojené s významným poklesom plazmatických koncentrácií atorvastatínu.</w:t>
            </w:r>
            <w:r w:rsidRPr="004B6827">
              <w:rPr>
                <w:szCs w:val="22"/>
                <w:lang w:val="sk-SK"/>
              </w:rPr>
              <w:t xml:space="preserve"> Účinok</w:t>
            </w:r>
            <w:r w:rsidRPr="004B6827">
              <w:rPr>
                <w:bCs/>
                <w:szCs w:val="22"/>
                <w:lang w:val="sk-SK"/>
              </w:rPr>
              <w:t xml:space="preserve"> rifamp</w:t>
            </w:r>
            <w:r w:rsidR="003057CF" w:rsidRPr="004B6827">
              <w:rPr>
                <w:bCs/>
                <w:szCs w:val="22"/>
                <w:lang w:val="sk-SK"/>
              </w:rPr>
              <w:t>ic</w:t>
            </w:r>
            <w:r w:rsidRPr="004B6827">
              <w:rPr>
                <w:bCs/>
                <w:szCs w:val="22"/>
                <w:lang w:val="sk-SK"/>
              </w:rPr>
              <w:t>ínu na koncentrácie atorvastatínu v hepatocytoch však nie je známy</w:t>
            </w:r>
            <w:r w:rsidR="00B5198E" w:rsidRPr="004B6827">
              <w:rPr>
                <w:bCs/>
                <w:szCs w:val="22"/>
                <w:lang w:val="sk-SK"/>
              </w:rPr>
              <w:t>,</w:t>
            </w:r>
            <w:r w:rsidRPr="004B6827">
              <w:rPr>
                <w:bCs/>
                <w:szCs w:val="22"/>
                <w:lang w:val="sk-SK"/>
              </w:rPr>
              <w:t xml:space="preserve"> a ak sa súčasnému podávaniu nedá vyhnúť, pacienti musia byť starostlivo monitorovaní z hľadiska účinnosti</w:t>
            </w:r>
            <w:r w:rsidR="003057CF" w:rsidRPr="004B6827">
              <w:rPr>
                <w:bCs/>
                <w:szCs w:val="22"/>
                <w:lang w:val="sk-SK"/>
              </w:rPr>
              <w:t>.</w:t>
            </w:r>
          </w:p>
        </w:tc>
      </w:tr>
      <w:tr w:rsidR="00E97D37" w:rsidRPr="004B6827" w:rsidTr="00DF377F">
        <w:trPr>
          <w:cantSplit/>
        </w:trPr>
        <w:tc>
          <w:tcPr>
            <w:tcW w:w="0" w:type="auto"/>
            <w:vMerge/>
            <w:tcBorders>
              <w:top w:val="single" w:sz="4" w:space="0" w:color="auto"/>
              <w:left w:val="nil"/>
              <w:bottom w:val="single" w:sz="4" w:space="0" w:color="auto"/>
              <w:right w:val="nil"/>
            </w:tcBorders>
            <w:vAlign w:val="center"/>
            <w:hideMark/>
          </w:tcPr>
          <w:p w:rsidR="00E97D37" w:rsidRPr="004B6827" w:rsidRDefault="00E97D37" w:rsidP="00DF377F">
            <w:pPr>
              <w:tabs>
                <w:tab w:val="clear" w:pos="567"/>
              </w:tabs>
              <w:spacing w:line="240" w:lineRule="auto"/>
              <w:rPr>
                <w:lang w:val="sk-SK" w:eastAsia="en-US"/>
              </w:rPr>
            </w:pPr>
          </w:p>
        </w:tc>
        <w:tc>
          <w:tcPr>
            <w:tcW w:w="2803"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szCs w:val="22"/>
                <w:lang w:val="sk-SK"/>
              </w:rPr>
            </w:pPr>
            <w:r w:rsidRPr="004B6827">
              <w:rPr>
                <w:szCs w:val="22"/>
                <w:lang w:val="sk-SK"/>
              </w:rPr>
              <w:t>Digoxín</w:t>
            </w:r>
          </w:p>
        </w:tc>
        <w:tc>
          <w:tcPr>
            <w:tcW w:w="4381"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szCs w:val="22"/>
                <w:lang w:val="sk-SK"/>
              </w:rPr>
            </w:pPr>
            <w:r w:rsidRPr="004B6827">
              <w:rPr>
                <w:szCs w:val="22"/>
                <w:lang w:val="sk-SK"/>
              </w:rPr>
              <w:t>Pri súbežnom opakovanom podávaní digoxínu a 10 mg atorvastatínu sa mierne zvýšili rovnovážne ko</w:t>
            </w:r>
            <w:r w:rsidR="00BF7FC3" w:rsidRPr="004B6827">
              <w:rPr>
                <w:szCs w:val="22"/>
                <w:lang w:val="sk-SK"/>
              </w:rPr>
              <w:t>ncentrácie digoxínu (pozri tabuľ</w:t>
            </w:r>
            <w:r w:rsidRPr="004B6827">
              <w:rPr>
                <w:szCs w:val="22"/>
                <w:lang w:val="sk-SK"/>
              </w:rPr>
              <w:t>ku 2). Pacienti užívajúci digoxín majú byť náležite monitorovaní.</w:t>
            </w:r>
          </w:p>
        </w:tc>
      </w:tr>
      <w:tr w:rsidR="00E97D37" w:rsidRPr="001B7CDA" w:rsidTr="00DF377F">
        <w:trPr>
          <w:cantSplit/>
        </w:trPr>
        <w:tc>
          <w:tcPr>
            <w:tcW w:w="0" w:type="auto"/>
            <w:vMerge/>
            <w:tcBorders>
              <w:top w:val="single" w:sz="4" w:space="0" w:color="auto"/>
              <w:left w:val="nil"/>
              <w:bottom w:val="single" w:sz="4" w:space="0" w:color="auto"/>
              <w:right w:val="nil"/>
            </w:tcBorders>
            <w:vAlign w:val="center"/>
            <w:hideMark/>
          </w:tcPr>
          <w:p w:rsidR="00E97D37" w:rsidRPr="004B6827" w:rsidRDefault="00E97D37" w:rsidP="00DF377F">
            <w:pPr>
              <w:tabs>
                <w:tab w:val="clear" w:pos="567"/>
              </w:tabs>
              <w:spacing w:line="240" w:lineRule="auto"/>
              <w:rPr>
                <w:lang w:val="sk-SK" w:eastAsia="en-US"/>
              </w:rPr>
            </w:pPr>
          </w:p>
        </w:tc>
        <w:tc>
          <w:tcPr>
            <w:tcW w:w="2803" w:type="dxa"/>
            <w:tcBorders>
              <w:top w:val="single" w:sz="4" w:space="0" w:color="auto"/>
              <w:left w:val="nil"/>
              <w:bottom w:val="single" w:sz="4" w:space="0" w:color="auto"/>
              <w:right w:val="nil"/>
            </w:tcBorders>
          </w:tcPr>
          <w:p w:rsidR="00E97D37" w:rsidRPr="004B6827" w:rsidRDefault="00E97D37" w:rsidP="00DF377F">
            <w:pPr>
              <w:spacing w:line="240" w:lineRule="auto"/>
              <w:jc w:val="both"/>
              <w:rPr>
                <w:szCs w:val="22"/>
                <w:lang w:val="sk-SK"/>
              </w:rPr>
            </w:pPr>
            <w:r w:rsidRPr="004B6827">
              <w:rPr>
                <w:szCs w:val="22"/>
                <w:lang w:val="sk-SK"/>
              </w:rPr>
              <w:t>Ezetimib</w:t>
            </w:r>
          </w:p>
        </w:tc>
        <w:tc>
          <w:tcPr>
            <w:tcW w:w="4381" w:type="dxa"/>
            <w:tcBorders>
              <w:top w:val="single" w:sz="4" w:space="0" w:color="auto"/>
              <w:left w:val="nil"/>
              <w:bottom w:val="single" w:sz="4" w:space="0" w:color="auto"/>
              <w:right w:val="nil"/>
            </w:tcBorders>
            <w:hideMark/>
          </w:tcPr>
          <w:p w:rsidR="00E97D37" w:rsidRPr="004B6827" w:rsidRDefault="00E97D37" w:rsidP="00B5198E">
            <w:pPr>
              <w:spacing w:line="240" w:lineRule="auto"/>
              <w:jc w:val="both"/>
              <w:rPr>
                <w:szCs w:val="22"/>
                <w:lang w:val="sk-SK"/>
              </w:rPr>
            </w:pPr>
            <w:r w:rsidRPr="004B6827">
              <w:rPr>
                <w:szCs w:val="22"/>
                <w:lang w:val="sk-SK"/>
              </w:rPr>
              <w:t>Použitie ezetimibu samotného je spojené s účinkami na svaly vrátane rabdomyolýzy. Riziko týchto účinkov môže byť preto pri súbežnom použití eze</w:t>
            </w:r>
            <w:r w:rsidR="004B6827">
              <w:rPr>
                <w:szCs w:val="22"/>
                <w:lang w:val="sk-SK"/>
              </w:rPr>
              <w:t>t</w:t>
            </w:r>
            <w:r w:rsidRPr="004B6827">
              <w:rPr>
                <w:szCs w:val="22"/>
                <w:lang w:val="sk-SK"/>
              </w:rPr>
              <w:t>i</w:t>
            </w:r>
            <w:r w:rsidR="004B6827">
              <w:rPr>
                <w:szCs w:val="22"/>
                <w:lang w:val="sk-SK"/>
              </w:rPr>
              <w:t>m</w:t>
            </w:r>
            <w:r w:rsidRPr="004B6827">
              <w:rPr>
                <w:szCs w:val="22"/>
                <w:lang w:val="sk-SK"/>
              </w:rPr>
              <w:t>ibu a Lipertance zvýšené. Odporúča sa primerané klinické monitorovanie týchto pacientov.</w:t>
            </w:r>
          </w:p>
        </w:tc>
      </w:tr>
      <w:tr w:rsidR="00E97D37" w:rsidRPr="005023C8" w:rsidTr="00DF377F">
        <w:trPr>
          <w:cantSplit/>
        </w:trPr>
        <w:tc>
          <w:tcPr>
            <w:tcW w:w="0" w:type="auto"/>
            <w:vMerge/>
            <w:tcBorders>
              <w:top w:val="single" w:sz="4" w:space="0" w:color="auto"/>
              <w:left w:val="nil"/>
              <w:bottom w:val="single" w:sz="4" w:space="0" w:color="auto"/>
              <w:right w:val="nil"/>
            </w:tcBorders>
            <w:vAlign w:val="center"/>
            <w:hideMark/>
          </w:tcPr>
          <w:p w:rsidR="00E97D37" w:rsidRPr="004B6827" w:rsidRDefault="00E97D37" w:rsidP="00DF377F">
            <w:pPr>
              <w:tabs>
                <w:tab w:val="clear" w:pos="567"/>
              </w:tabs>
              <w:spacing w:line="240" w:lineRule="auto"/>
              <w:rPr>
                <w:lang w:val="sk-SK" w:eastAsia="en-US"/>
              </w:rPr>
            </w:pPr>
          </w:p>
        </w:tc>
        <w:tc>
          <w:tcPr>
            <w:tcW w:w="2803" w:type="dxa"/>
            <w:tcBorders>
              <w:top w:val="single" w:sz="4" w:space="0" w:color="auto"/>
              <w:left w:val="nil"/>
              <w:bottom w:val="single" w:sz="4" w:space="0" w:color="auto"/>
              <w:right w:val="nil"/>
            </w:tcBorders>
          </w:tcPr>
          <w:p w:rsidR="00E97D37" w:rsidRPr="004B6827" w:rsidRDefault="00E97D37" w:rsidP="00DF377F">
            <w:pPr>
              <w:spacing w:line="240" w:lineRule="auto"/>
              <w:jc w:val="both"/>
              <w:rPr>
                <w:szCs w:val="22"/>
                <w:lang w:val="sk-SK"/>
              </w:rPr>
            </w:pPr>
            <w:r w:rsidRPr="004B6827">
              <w:rPr>
                <w:szCs w:val="22"/>
                <w:lang w:val="sk-SK"/>
              </w:rPr>
              <w:t>Kyselina fusidová</w:t>
            </w:r>
          </w:p>
        </w:tc>
        <w:tc>
          <w:tcPr>
            <w:tcW w:w="4381" w:type="dxa"/>
            <w:tcBorders>
              <w:top w:val="single" w:sz="4" w:space="0" w:color="auto"/>
              <w:left w:val="nil"/>
              <w:bottom w:val="single" w:sz="4" w:space="0" w:color="auto"/>
              <w:right w:val="nil"/>
            </w:tcBorders>
            <w:hideMark/>
          </w:tcPr>
          <w:p w:rsidR="00E97D37" w:rsidRPr="004B6827" w:rsidRDefault="00E97D37" w:rsidP="00E06735">
            <w:pPr>
              <w:spacing w:line="240" w:lineRule="auto"/>
              <w:jc w:val="both"/>
              <w:rPr>
                <w:szCs w:val="22"/>
                <w:lang w:val="sk-SK"/>
              </w:rPr>
            </w:pPr>
            <w:r w:rsidRPr="004B6827">
              <w:rPr>
                <w:szCs w:val="22"/>
                <w:lang w:val="sk-SK"/>
              </w:rPr>
              <w:t xml:space="preserve">Interakčné štúdie s atorvastatínom a kyselinou fusidovou sa neuskutočnili. Ako v prípade iných statínov, </w:t>
            </w:r>
            <w:r w:rsidR="00E06735" w:rsidRPr="004B6827">
              <w:rPr>
                <w:szCs w:val="22"/>
                <w:lang w:val="sk-SK"/>
              </w:rPr>
              <w:t xml:space="preserve">pri súbežnom podávaní atorvastatínu a kyseliny fusidovej </w:t>
            </w:r>
            <w:r w:rsidRPr="004B6827">
              <w:rPr>
                <w:szCs w:val="22"/>
                <w:lang w:val="sk-SK"/>
              </w:rPr>
              <w:t>boli po uvedení na trh hlásené účinky na svaly vrátane rabdomyolýzy. Mechanizmus tejto interakcie nie je známy. Pacienti sa majú starostlivo monitorovať a môže byť vhodné aj dočasné prerušenie liečby Lipertance.</w:t>
            </w:r>
          </w:p>
        </w:tc>
      </w:tr>
      <w:tr w:rsidR="00E97D37" w:rsidRPr="005023C8" w:rsidTr="00DF377F">
        <w:trPr>
          <w:cantSplit/>
        </w:trPr>
        <w:tc>
          <w:tcPr>
            <w:tcW w:w="0" w:type="auto"/>
            <w:vMerge/>
            <w:tcBorders>
              <w:top w:val="single" w:sz="4" w:space="0" w:color="auto"/>
              <w:left w:val="nil"/>
              <w:bottom w:val="single" w:sz="4" w:space="0" w:color="auto"/>
              <w:right w:val="nil"/>
            </w:tcBorders>
            <w:vAlign w:val="center"/>
            <w:hideMark/>
          </w:tcPr>
          <w:p w:rsidR="00E97D37" w:rsidRPr="004B6827" w:rsidRDefault="00E97D37" w:rsidP="00DF377F">
            <w:pPr>
              <w:tabs>
                <w:tab w:val="clear" w:pos="567"/>
              </w:tabs>
              <w:spacing w:line="240" w:lineRule="auto"/>
              <w:rPr>
                <w:lang w:val="sk-SK" w:eastAsia="en-US"/>
              </w:rPr>
            </w:pPr>
          </w:p>
        </w:tc>
        <w:tc>
          <w:tcPr>
            <w:tcW w:w="2803" w:type="dxa"/>
            <w:tcBorders>
              <w:top w:val="single" w:sz="4" w:space="0" w:color="auto"/>
              <w:left w:val="nil"/>
              <w:bottom w:val="single" w:sz="4" w:space="0" w:color="auto"/>
              <w:right w:val="nil"/>
            </w:tcBorders>
          </w:tcPr>
          <w:p w:rsidR="00E97D37" w:rsidRPr="004B6827" w:rsidRDefault="00E97D37" w:rsidP="00DF377F">
            <w:pPr>
              <w:spacing w:line="240" w:lineRule="auto"/>
              <w:jc w:val="both"/>
              <w:rPr>
                <w:szCs w:val="22"/>
                <w:lang w:val="sk-SK"/>
              </w:rPr>
            </w:pPr>
            <w:r w:rsidRPr="004B6827">
              <w:rPr>
                <w:szCs w:val="22"/>
                <w:lang w:val="sk-SK"/>
              </w:rPr>
              <w:t>Gemfi</w:t>
            </w:r>
            <w:r w:rsidR="003057CF" w:rsidRPr="004B6827">
              <w:rPr>
                <w:szCs w:val="22"/>
                <w:lang w:val="sk-SK"/>
              </w:rPr>
              <w:t>b</w:t>
            </w:r>
            <w:r w:rsidRPr="004B6827">
              <w:rPr>
                <w:szCs w:val="22"/>
                <w:lang w:val="sk-SK"/>
              </w:rPr>
              <w:t>rozil/</w:t>
            </w:r>
          </w:p>
          <w:p w:rsidR="00E97D37" w:rsidRPr="004B6827" w:rsidRDefault="00E97D37" w:rsidP="00DF377F">
            <w:pPr>
              <w:spacing w:line="240" w:lineRule="auto"/>
              <w:jc w:val="both"/>
              <w:rPr>
                <w:szCs w:val="22"/>
                <w:lang w:val="sk-SK"/>
              </w:rPr>
            </w:pPr>
            <w:r w:rsidRPr="004B6827">
              <w:rPr>
                <w:szCs w:val="22"/>
                <w:lang w:val="sk-SK"/>
              </w:rPr>
              <w:t>fibráty</w:t>
            </w:r>
          </w:p>
        </w:tc>
        <w:tc>
          <w:tcPr>
            <w:tcW w:w="4381" w:type="dxa"/>
            <w:tcBorders>
              <w:top w:val="single" w:sz="4" w:space="0" w:color="auto"/>
              <w:left w:val="nil"/>
              <w:bottom w:val="single" w:sz="4" w:space="0" w:color="auto"/>
              <w:right w:val="nil"/>
            </w:tcBorders>
            <w:hideMark/>
          </w:tcPr>
          <w:p w:rsidR="00E97D37" w:rsidRPr="004B6827" w:rsidRDefault="00E97D37" w:rsidP="00ED0061">
            <w:pPr>
              <w:spacing w:line="240" w:lineRule="auto"/>
              <w:jc w:val="both"/>
              <w:rPr>
                <w:szCs w:val="22"/>
                <w:lang w:val="sk-SK"/>
              </w:rPr>
            </w:pPr>
            <w:r w:rsidRPr="004B6827">
              <w:rPr>
                <w:szCs w:val="22"/>
                <w:lang w:val="sk-SK"/>
              </w:rPr>
              <w:t>Použitie samotných fibrátov sa príležitostne spája s účinkami na svaly vrátane rabdomyolýzy (pozri tabuľku 1). Riziko týchto účinkov sa môže zvýšiť pri súbežnom použití fibrátov a atorvastatínu. Ak sa súbežnému podávaniu nedá vyhnúť, musí sa použiť najnižšia dávka atorvastatínu v Lipertance na dosiahnutie terapeutického cieľa a pacienti majú byť primerane monitorovaní (pozri časť 4.4).</w:t>
            </w:r>
          </w:p>
        </w:tc>
      </w:tr>
      <w:tr w:rsidR="00E97D37" w:rsidRPr="005023C8" w:rsidTr="00DF377F">
        <w:trPr>
          <w:cantSplit/>
        </w:trPr>
        <w:tc>
          <w:tcPr>
            <w:tcW w:w="0" w:type="auto"/>
            <w:vMerge/>
            <w:tcBorders>
              <w:top w:val="single" w:sz="4" w:space="0" w:color="auto"/>
              <w:left w:val="nil"/>
              <w:bottom w:val="single" w:sz="4" w:space="0" w:color="auto"/>
              <w:right w:val="nil"/>
            </w:tcBorders>
            <w:vAlign w:val="center"/>
            <w:hideMark/>
          </w:tcPr>
          <w:p w:rsidR="00E97D37" w:rsidRPr="004B6827" w:rsidRDefault="00E97D37" w:rsidP="00DF377F">
            <w:pPr>
              <w:tabs>
                <w:tab w:val="clear" w:pos="567"/>
              </w:tabs>
              <w:spacing w:line="240" w:lineRule="auto"/>
              <w:rPr>
                <w:lang w:val="sk-SK" w:eastAsia="en-US"/>
              </w:rPr>
            </w:pPr>
          </w:p>
        </w:tc>
        <w:tc>
          <w:tcPr>
            <w:tcW w:w="2803"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szCs w:val="22"/>
                <w:lang w:val="sk-SK"/>
              </w:rPr>
            </w:pPr>
            <w:r w:rsidRPr="004B6827">
              <w:rPr>
                <w:szCs w:val="22"/>
                <w:lang w:val="sk-SK"/>
              </w:rPr>
              <w:t>Inhibítory transportných proteínov</w:t>
            </w:r>
          </w:p>
        </w:tc>
        <w:tc>
          <w:tcPr>
            <w:tcW w:w="4381"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szCs w:val="22"/>
                <w:lang w:val="sk-SK"/>
              </w:rPr>
            </w:pPr>
            <w:r w:rsidRPr="004B6827">
              <w:rPr>
                <w:szCs w:val="22"/>
                <w:lang w:val="sk-SK"/>
              </w:rPr>
              <w:t>Inhibítory transportných proteínov (napr. cyklosporín) môžu zvýšiť systémovú expozíciu atorvastatín</w:t>
            </w:r>
            <w:r w:rsidR="00E06735" w:rsidRPr="004B6827">
              <w:rPr>
                <w:szCs w:val="22"/>
                <w:lang w:val="sk-SK"/>
              </w:rPr>
              <w:t>u</w:t>
            </w:r>
            <w:r w:rsidRPr="004B6827">
              <w:rPr>
                <w:szCs w:val="22"/>
                <w:lang w:val="sk-SK"/>
              </w:rPr>
              <w:t xml:space="preserve"> (pozri tabuľku 1). Vplyv inhibície vychytávania transportérov hepatocytmi na koncentrácie </w:t>
            </w:r>
            <w:r w:rsidRPr="004B6827">
              <w:rPr>
                <w:bCs/>
                <w:szCs w:val="22"/>
                <w:lang w:val="sk-SK"/>
              </w:rPr>
              <w:t>atorvastatínu v hepatocytoch nie je známy</w:t>
            </w:r>
            <w:r w:rsidRPr="004B6827">
              <w:rPr>
                <w:szCs w:val="22"/>
                <w:lang w:val="sk-SK"/>
              </w:rPr>
              <w:t>. Ak sa súbežnému podávaniu nedá vyhnúť, odporúča sa zníženie dávky a klinické monitorovanie účinnosti.</w:t>
            </w:r>
          </w:p>
        </w:tc>
      </w:tr>
      <w:tr w:rsidR="00E97D37" w:rsidRPr="005023C8" w:rsidTr="00DF377F">
        <w:trPr>
          <w:cantSplit/>
        </w:trPr>
        <w:tc>
          <w:tcPr>
            <w:tcW w:w="0" w:type="auto"/>
            <w:vMerge/>
            <w:tcBorders>
              <w:top w:val="single" w:sz="4" w:space="0" w:color="auto"/>
              <w:left w:val="nil"/>
              <w:bottom w:val="single" w:sz="4" w:space="0" w:color="auto"/>
              <w:right w:val="nil"/>
            </w:tcBorders>
            <w:vAlign w:val="center"/>
            <w:hideMark/>
          </w:tcPr>
          <w:p w:rsidR="00E97D37" w:rsidRPr="004B6827" w:rsidRDefault="00E97D37" w:rsidP="00DF377F">
            <w:pPr>
              <w:tabs>
                <w:tab w:val="clear" w:pos="567"/>
              </w:tabs>
              <w:spacing w:line="240" w:lineRule="auto"/>
              <w:rPr>
                <w:lang w:val="sk-SK" w:eastAsia="en-US"/>
              </w:rPr>
            </w:pPr>
          </w:p>
        </w:tc>
        <w:tc>
          <w:tcPr>
            <w:tcW w:w="2803" w:type="dxa"/>
            <w:tcBorders>
              <w:top w:val="single" w:sz="4" w:space="0" w:color="auto"/>
              <w:left w:val="nil"/>
              <w:bottom w:val="single" w:sz="4" w:space="0" w:color="auto"/>
              <w:right w:val="nil"/>
            </w:tcBorders>
          </w:tcPr>
          <w:p w:rsidR="00E97D37" w:rsidRPr="004B6827" w:rsidRDefault="00E97D37" w:rsidP="00DF377F">
            <w:pPr>
              <w:spacing w:line="240" w:lineRule="auto"/>
              <w:jc w:val="both"/>
              <w:rPr>
                <w:szCs w:val="22"/>
                <w:lang w:val="sk-SK"/>
              </w:rPr>
            </w:pPr>
            <w:r w:rsidRPr="004B6827">
              <w:rPr>
                <w:szCs w:val="22"/>
                <w:lang w:val="sk-SK"/>
              </w:rPr>
              <w:t>Warfarín</w:t>
            </w:r>
          </w:p>
        </w:tc>
        <w:tc>
          <w:tcPr>
            <w:tcW w:w="4381"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szCs w:val="22"/>
                <w:lang w:val="sk-SK"/>
              </w:rPr>
            </w:pPr>
            <w:r w:rsidRPr="004B6827">
              <w:rPr>
                <w:szCs w:val="22"/>
                <w:lang w:val="sk-SK"/>
              </w:rPr>
              <w:t xml:space="preserve">V klinickej štúdii u pacientov, ktorí dostávali chronickú liečbu warfarínom, súbežné podávanie atorvastatínu 80 mg denne s warfarínom zapríčinilo počas prvých 4 dní podávania malé skrátenie protrombínového času asi o 1,7 sekundy, ktorý sa do 15 dní liečby atorvastatínom opäť normalizoval. Hoci boli hlásené iba veľmi zriedkavé prípady klinicky významných antikoagulačných interakcií, u pacientov užívajúcich kumarínové antikoagulanciá sa protrombínový čas má stanoviť pred začatím liečby Lipertance a dostatočne často stanovovať počas prvého obdobia liečby, aby sa zabezpečilo, že nedôjde k žiadnej významnej zmene protrombínového času. </w:t>
            </w:r>
            <w:r w:rsidR="00E06735" w:rsidRPr="004B6827">
              <w:rPr>
                <w:szCs w:val="22"/>
                <w:lang w:val="sk-SK"/>
              </w:rPr>
              <w:t>Hneď a</w:t>
            </w:r>
            <w:r w:rsidRPr="004B6827">
              <w:rPr>
                <w:szCs w:val="22"/>
                <w:lang w:val="sk-SK"/>
              </w:rPr>
              <w:t>ko je zdokumentovaný stabilný protrombínový čas, protrombínový čas sa môže monitorovať v intervaloch, ktoré sa zvyčajne odporúčajú pre pacientov užívajúcich kumarínové antikoagulanciá. Ak sa dávka atorvastatínu v Lipertance zmení alebo sa liečba preruší, musí sa opakovať rovnaký postup. Liečba atorvastatínom nebola spojená s krvácaním alebo so zmenami protrombínového času u pacientov, ktorí neužívajú antikoagulanciá</w:t>
            </w:r>
            <w:r w:rsidR="00451E10" w:rsidRPr="004B6827">
              <w:rPr>
                <w:szCs w:val="22"/>
                <w:lang w:val="sk-SK"/>
              </w:rPr>
              <w:t>.</w:t>
            </w:r>
          </w:p>
        </w:tc>
      </w:tr>
      <w:tr w:rsidR="00E97D37" w:rsidRPr="005023C8" w:rsidTr="00DF377F">
        <w:trPr>
          <w:cantSplit/>
        </w:trPr>
        <w:tc>
          <w:tcPr>
            <w:tcW w:w="2104" w:type="dxa"/>
            <w:vMerge w:val="restart"/>
            <w:tcBorders>
              <w:top w:val="single" w:sz="4" w:space="0" w:color="auto"/>
              <w:left w:val="nil"/>
              <w:bottom w:val="single" w:sz="4" w:space="0" w:color="auto"/>
              <w:right w:val="nil"/>
            </w:tcBorders>
          </w:tcPr>
          <w:p w:rsidR="00E97D37" w:rsidRPr="004B6827" w:rsidRDefault="00E97D37" w:rsidP="00DF377F">
            <w:pPr>
              <w:spacing w:line="240" w:lineRule="auto"/>
              <w:jc w:val="both"/>
              <w:rPr>
                <w:szCs w:val="22"/>
                <w:lang w:val="sk-SK"/>
              </w:rPr>
            </w:pPr>
            <w:r w:rsidRPr="004B6827">
              <w:rPr>
                <w:szCs w:val="22"/>
                <w:lang w:val="sk-SK"/>
              </w:rPr>
              <w:lastRenderedPageBreak/>
              <w:t>Perindopril</w:t>
            </w:r>
          </w:p>
        </w:tc>
        <w:tc>
          <w:tcPr>
            <w:tcW w:w="2803" w:type="dxa"/>
            <w:tcBorders>
              <w:top w:val="single" w:sz="4" w:space="0" w:color="auto"/>
              <w:left w:val="nil"/>
              <w:bottom w:val="single" w:sz="4" w:space="0" w:color="auto"/>
              <w:right w:val="nil"/>
            </w:tcBorders>
          </w:tcPr>
          <w:p w:rsidR="00E97D37" w:rsidRPr="00275323" w:rsidRDefault="00E97D37" w:rsidP="00DF377F">
            <w:pPr>
              <w:spacing w:line="240" w:lineRule="auto"/>
              <w:jc w:val="both"/>
              <w:rPr>
                <w:szCs w:val="22"/>
                <w:lang w:val="sk-SK"/>
              </w:rPr>
            </w:pPr>
            <w:r w:rsidRPr="004B6827">
              <w:rPr>
                <w:bCs/>
                <w:szCs w:val="22"/>
                <w:lang w:val="sk-SK"/>
              </w:rPr>
              <w:t>Antidiabetiká (inzulín, perorálne hypoglykemizujúce látky)</w:t>
            </w:r>
          </w:p>
        </w:tc>
        <w:tc>
          <w:tcPr>
            <w:tcW w:w="4381" w:type="dxa"/>
            <w:tcBorders>
              <w:top w:val="single" w:sz="4" w:space="0" w:color="auto"/>
              <w:left w:val="nil"/>
              <w:bottom w:val="single" w:sz="4" w:space="0" w:color="auto"/>
              <w:right w:val="nil"/>
            </w:tcBorders>
            <w:hideMark/>
          </w:tcPr>
          <w:p w:rsidR="00E97D37" w:rsidRPr="004B6827" w:rsidRDefault="00E97D37" w:rsidP="00BF7FC3">
            <w:pPr>
              <w:spacing w:line="240" w:lineRule="auto"/>
              <w:jc w:val="both"/>
              <w:rPr>
                <w:szCs w:val="22"/>
                <w:lang w:val="sk-SK"/>
              </w:rPr>
            </w:pPr>
            <w:r w:rsidRPr="004B6827">
              <w:rPr>
                <w:szCs w:val="22"/>
                <w:lang w:val="sk-SK"/>
              </w:rPr>
              <w:t>Epidemiologické štúdie naznačili, že súbežné podávanie inhibítorov ACE a antidiabetík (inzulíny, perorálne hypoglykemizujúce látky) môže spôsobiť zvýšenie účinku na zníženie hladiny glukózy v krvi s rizikom hypoglykémie. Zdá sa, že tento jav sa pravdepodobnejšie vyskytuje počas prvých týždňov kombinovanej liečby a u pacientov s poruchou funkcie obličiek. Počas prvého mesiaca liečby sa má starostlivo monitorovať glykemická kontrola.</w:t>
            </w:r>
          </w:p>
        </w:tc>
      </w:tr>
      <w:tr w:rsidR="00E97D37" w:rsidRPr="005023C8" w:rsidTr="00DF377F">
        <w:trPr>
          <w:cantSplit/>
        </w:trPr>
        <w:tc>
          <w:tcPr>
            <w:tcW w:w="0" w:type="auto"/>
            <w:vMerge/>
            <w:tcBorders>
              <w:top w:val="single" w:sz="4" w:space="0" w:color="auto"/>
              <w:left w:val="nil"/>
              <w:bottom w:val="single" w:sz="4" w:space="0" w:color="auto"/>
              <w:right w:val="nil"/>
            </w:tcBorders>
            <w:vAlign w:val="center"/>
            <w:hideMark/>
          </w:tcPr>
          <w:p w:rsidR="00E97D37" w:rsidRPr="004B6827" w:rsidRDefault="00E97D37" w:rsidP="00DF377F">
            <w:pPr>
              <w:tabs>
                <w:tab w:val="clear" w:pos="567"/>
              </w:tabs>
              <w:spacing w:line="240" w:lineRule="auto"/>
              <w:rPr>
                <w:lang w:val="sk-SK" w:eastAsia="en-US"/>
              </w:rPr>
            </w:pPr>
          </w:p>
        </w:tc>
        <w:tc>
          <w:tcPr>
            <w:tcW w:w="2803"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szCs w:val="22"/>
                <w:lang w:val="sk-SK"/>
              </w:rPr>
            </w:pPr>
            <w:r w:rsidRPr="004B6827">
              <w:rPr>
                <w:szCs w:val="22"/>
                <w:lang w:val="sk-SK"/>
              </w:rPr>
              <w:t>Baklofén</w:t>
            </w:r>
          </w:p>
        </w:tc>
        <w:tc>
          <w:tcPr>
            <w:tcW w:w="4381"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szCs w:val="22"/>
                <w:lang w:val="sk-SK"/>
              </w:rPr>
            </w:pPr>
            <w:r w:rsidRPr="004B6827">
              <w:rPr>
                <w:szCs w:val="22"/>
                <w:lang w:val="sk-SK"/>
              </w:rPr>
              <w:t>Zvýšený antihypertenzívn</w:t>
            </w:r>
            <w:r w:rsidR="00451E10" w:rsidRPr="004B6827">
              <w:rPr>
                <w:szCs w:val="22"/>
                <w:lang w:val="sk-SK"/>
              </w:rPr>
              <w:t>y</w:t>
            </w:r>
            <w:r w:rsidRPr="004B6827">
              <w:rPr>
                <w:szCs w:val="22"/>
                <w:lang w:val="sk-SK"/>
              </w:rPr>
              <w:t xml:space="preserve"> účinok. Monitorovanie krvného tlaku a v prípade potreby úprava dávky antihypertenzíva.</w:t>
            </w:r>
          </w:p>
        </w:tc>
      </w:tr>
      <w:tr w:rsidR="00E97D37" w:rsidRPr="005023C8" w:rsidTr="00DF377F">
        <w:trPr>
          <w:cantSplit/>
        </w:trPr>
        <w:tc>
          <w:tcPr>
            <w:tcW w:w="0" w:type="auto"/>
            <w:vMerge/>
            <w:tcBorders>
              <w:top w:val="single" w:sz="4" w:space="0" w:color="auto"/>
              <w:left w:val="nil"/>
              <w:bottom w:val="single" w:sz="4" w:space="0" w:color="auto"/>
              <w:right w:val="nil"/>
            </w:tcBorders>
            <w:vAlign w:val="center"/>
            <w:hideMark/>
          </w:tcPr>
          <w:p w:rsidR="00E97D37" w:rsidRPr="004B6827" w:rsidRDefault="00E97D37" w:rsidP="00DF377F">
            <w:pPr>
              <w:tabs>
                <w:tab w:val="clear" w:pos="567"/>
              </w:tabs>
              <w:spacing w:line="240" w:lineRule="auto"/>
              <w:rPr>
                <w:lang w:val="sk-SK" w:eastAsia="en-US"/>
              </w:rPr>
            </w:pPr>
          </w:p>
        </w:tc>
        <w:tc>
          <w:tcPr>
            <w:tcW w:w="2803" w:type="dxa"/>
            <w:tcBorders>
              <w:top w:val="single" w:sz="4" w:space="0" w:color="auto"/>
              <w:left w:val="nil"/>
              <w:bottom w:val="single" w:sz="4" w:space="0" w:color="auto"/>
              <w:right w:val="nil"/>
            </w:tcBorders>
          </w:tcPr>
          <w:p w:rsidR="00E97D37" w:rsidRPr="004B6827" w:rsidRDefault="00E97D37" w:rsidP="00DF377F">
            <w:pPr>
              <w:spacing w:line="240" w:lineRule="auto"/>
              <w:jc w:val="both"/>
              <w:rPr>
                <w:szCs w:val="22"/>
                <w:lang w:val="sk-SK"/>
              </w:rPr>
            </w:pPr>
            <w:r w:rsidRPr="004B6827">
              <w:rPr>
                <w:szCs w:val="22"/>
                <w:lang w:val="sk-SK"/>
              </w:rPr>
              <w:t>Nesteroidné protizápalové lieky (NSA) (vrátane kyseliny acetylsalicylovej ≥ 3 g/deň)</w:t>
            </w:r>
          </w:p>
        </w:tc>
        <w:tc>
          <w:tcPr>
            <w:tcW w:w="4381"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szCs w:val="22"/>
                <w:lang w:val="sk-SK"/>
              </w:rPr>
            </w:pPr>
            <w:r w:rsidRPr="004B6827">
              <w:rPr>
                <w:szCs w:val="22"/>
                <w:lang w:val="sk-SK"/>
              </w:rPr>
              <w:t>Ak sa inhibítory ACE podávajú súbežne s nesteroidnými protizápalovými liekmi (t.</w:t>
            </w:r>
            <w:r w:rsidR="009209D1" w:rsidRPr="004B6827">
              <w:rPr>
                <w:szCs w:val="22"/>
                <w:lang w:val="sk-SK"/>
              </w:rPr>
              <w:t xml:space="preserve"> </w:t>
            </w:r>
            <w:r w:rsidRPr="004B6827">
              <w:rPr>
                <w:szCs w:val="22"/>
                <w:lang w:val="sk-SK"/>
              </w:rPr>
              <w:t>j. kyselina acetylsalicylová v protizápalových dávkovacích režimoch, COX-2 inhibítory a neselektívne NSA), môže dôjsť k oslabeniu antihypertenzívneho účinku.</w:t>
            </w:r>
          </w:p>
          <w:p w:rsidR="00E97D37" w:rsidRPr="004B6827" w:rsidRDefault="00E97D37" w:rsidP="00DF377F">
            <w:pPr>
              <w:spacing w:line="240" w:lineRule="auto"/>
              <w:jc w:val="both"/>
              <w:rPr>
                <w:szCs w:val="22"/>
                <w:lang w:val="sk-SK"/>
              </w:rPr>
            </w:pPr>
            <w:r w:rsidRPr="004B6827">
              <w:rPr>
                <w:szCs w:val="22"/>
                <w:lang w:val="sk-SK"/>
              </w:rPr>
              <w:t>Súbežné užívanie inhibítorov ACE a NSA môže viesť k zvýšenému riziku zhoršenia funkcií obličiek vrátane možného akútneho zlyhania obličiek a k zvýšeniu draslíka v sére, predovšetkým u pacientov s preexistujúcou slabou funkciou obličiek. Kombinácia Lipertance s NSA sa má podávať s opatrnosťou, predovšetkým u starších ľudí. Pacienti majú byť primerane hydratovaní a má sa zvážiť monitorovanie funkcií obličiek po začatí súbežnej liečby a potom v pravidelných intervaloch.</w:t>
            </w:r>
          </w:p>
        </w:tc>
      </w:tr>
      <w:tr w:rsidR="00E97D37" w:rsidRPr="004B6827" w:rsidTr="00DF377F">
        <w:trPr>
          <w:cantSplit/>
        </w:trPr>
        <w:tc>
          <w:tcPr>
            <w:tcW w:w="2104" w:type="dxa"/>
            <w:vMerge w:val="restart"/>
            <w:tcBorders>
              <w:top w:val="single" w:sz="4" w:space="0" w:color="auto"/>
              <w:left w:val="nil"/>
              <w:bottom w:val="single" w:sz="4" w:space="0" w:color="auto"/>
              <w:right w:val="nil"/>
            </w:tcBorders>
            <w:hideMark/>
          </w:tcPr>
          <w:p w:rsidR="00E97D37" w:rsidRPr="004B6827" w:rsidRDefault="00E97D37" w:rsidP="00DF377F">
            <w:pPr>
              <w:spacing w:line="240" w:lineRule="auto"/>
              <w:jc w:val="both"/>
              <w:rPr>
                <w:szCs w:val="22"/>
                <w:lang w:val="sk-SK"/>
              </w:rPr>
            </w:pPr>
            <w:r w:rsidRPr="004B6827">
              <w:rPr>
                <w:szCs w:val="22"/>
                <w:lang w:val="sk-SK"/>
              </w:rPr>
              <w:t>Amlodipín</w:t>
            </w:r>
          </w:p>
        </w:tc>
        <w:tc>
          <w:tcPr>
            <w:tcW w:w="2803" w:type="dxa"/>
            <w:tcBorders>
              <w:top w:val="single" w:sz="4" w:space="0" w:color="auto"/>
              <w:left w:val="nil"/>
              <w:bottom w:val="single" w:sz="4" w:space="0" w:color="auto"/>
              <w:right w:val="nil"/>
            </w:tcBorders>
            <w:hideMark/>
          </w:tcPr>
          <w:p w:rsidR="00E97D37" w:rsidRPr="00275323" w:rsidRDefault="00E97D37" w:rsidP="00DF377F">
            <w:pPr>
              <w:spacing w:line="240" w:lineRule="auto"/>
              <w:jc w:val="both"/>
              <w:rPr>
                <w:szCs w:val="22"/>
                <w:lang w:val="sk-SK"/>
              </w:rPr>
            </w:pPr>
            <w:r w:rsidRPr="004B6827">
              <w:rPr>
                <w:szCs w:val="22"/>
                <w:lang w:val="sk-SK"/>
              </w:rPr>
              <w:t>Inhibítory CYP3A4</w:t>
            </w:r>
          </w:p>
        </w:tc>
        <w:tc>
          <w:tcPr>
            <w:tcW w:w="4381" w:type="dxa"/>
            <w:tcBorders>
              <w:top w:val="single" w:sz="4" w:space="0" w:color="auto"/>
              <w:left w:val="nil"/>
              <w:bottom w:val="single" w:sz="4" w:space="0" w:color="auto"/>
              <w:right w:val="nil"/>
            </w:tcBorders>
            <w:hideMark/>
          </w:tcPr>
          <w:p w:rsidR="00E97D37" w:rsidRPr="004B6827" w:rsidRDefault="00E97D37" w:rsidP="00BF7FC3">
            <w:pPr>
              <w:spacing w:line="240" w:lineRule="auto"/>
              <w:jc w:val="both"/>
              <w:rPr>
                <w:szCs w:val="22"/>
                <w:lang w:val="sk-SK"/>
              </w:rPr>
            </w:pPr>
            <w:r w:rsidRPr="004B6827">
              <w:rPr>
                <w:szCs w:val="22"/>
                <w:lang w:val="sk-SK"/>
              </w:rPr>
              <w:t>Súbežné užívanie amlodipínu so silnými alebo stredne silnými inhibítormi CYP3A4 (inhibítory proteáz, azolové antimykotiká, makrolidy</w:t>
            </w:r>
            <w:r w:rsidR="00FC0512" w:rsidRPr="004B6827">
              <w:rPr>
                <w:szCs w:val="22"/>
                <w:lang w:val="sk-SK"/>
              </w:rPr>
              <w:t>,</w:t>
            </w:r>
            <w:r w:rsidRPr="004B6827">
              <w:rPr>
                <w:szCs w:val="22"/>
                <w:lang w:val="sk-SK"/>
              </w:rPr>
              <w:t xml:space="preserve"> ako erytromycín alebo klaritromycín, verapamil alebo diltiazem) môže viesť k výraznému zvýšeniu expozície amlodipínu. Klinický význam týchto zmien vo farmakok</w:t>
            </w:r>
            <w:r w:rsidR="00BF7FC3" w:rsidRPr="004B6827">
              <w:rPr>
                <w:szCs w:val="22"/>
                <w:lang w:val="sk-SK"/>
              </w:rPr>
              <w:t>inetike (FK) môže byť výraznejší</w:t>
            </w:r>
            <w:r w:rsidRPr="004B6827">
              <w:rPr>
                <w:szCs w:val="22"/>
                <w:lang w:val="sk-SK"/>
              </w:rPr>
              <w:t xml:space="preserve"> u starších ľudí. Preto sa môže vyžadovať klinické monitorovanie a úprava dávky.</w:t>
            </w:r>
          </w:p>
        </w:tc>
      </w:tr>
      <w:tr w:rsidR="00E97D37" w:rsidRPr="005023C8" w:rsidTr="00DF377F">
        <w:trPr>
          <w:cantSplit/>
        </w:trPr>
        <w:tc>
          <w:tcPr>
            <w:tcW w:w="0" w:type="auto"/>
            <w:vMerge/>
            <w:tcBorders>
              <w:top w:val="single" w:sz="4" w:space="0" w:color="auto"/>
              <w:left w:val="nil"/>
              <w:bottom w:val="single" w:sz="4" w:space="0" w:color="auto"/>
              <w:right w:val="nil"/>
            </w:tcBorders>
            <w:vAlign w:val="center"/>
            <w:hideMark/>
          </w:tcPr>
          <w:p w:rsidR="00E97D37" w:rsidRPr="004B6827" w:rsidRDefault="00E97D37" w:rsidP="00DF377F">
            <w:pPr>
              <w:tabs>
                <w:tab w:val="clear" w:pos="567"/>
              </w:tabs>
              <w:spacing w:line="240" w:lineRule="auto"/>
              <w:rPr>
                <w:lang w:val="sk-SK" w:eastAsia="en-US"/>
              </w:rPr>
            </w:pPr>
          </w:p>
        </w:tc>
        <w:tc>
          <w:tcPr>
            <w:tcW w:w="2803"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szCs w:val="22"/>
                <w:lang w:val="sk-SK"/>
              </w:rPr>
            </w:pPr>
            <w:r w:rsidRPr="004B6827">
              <w:rPr>
                <w:szCs w:val="22"/>
                <w:lang w:val="sk-SK"/>
              </w:rPr>
              <w:t>Induktory CYP3A4</w:t>
            </w:r>
          </w:p>
        </w:tc>
        <w:tc>
          <w:tcPr>
            <w:tcW w:w="4381"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szCs w:val="22"/>
                <w:lang w:val="sk-SK"/>
              </w:rPr>
            </w:pPr>
            <w:r w:rsidRPr="004B6827">
              <w:rPr>
                <w:szCs w:val="22"/>
                <w:lang w:val="sk-SK"/>
              </w:rPr>
              <w:t>K dispozícii ni</w:t>
            </w:r>
            <w:r w:rsidR="006B658D" w:rsidRPr="004B6827">
              <w:rPr>
                <w:szCs w:val="22"/>
                <w:lang w:val="sk-SK"/>
              </w:rPr>
              <w:t>e</w:t>
            </w:r>
            <w:r w:rsidRPr="004B6827">
              <w:rPr>
                <w:szCs w:val="22"/>
                <w:lang w:val="sk-SK"/>
              </w:rPr>
              <w:t xml:space="preserve"> sú žiadne údaje týkajúce sa účinku CYP3A4 induktorov na amlodipín. Súbežné užívanie induktorov CYP3A4 (napríklad rifampicín, ľubovník bodkovaný) môže znížiť plazmatickú koncentráciu amlodipínu. Lipertance sa má v kombinácii s CYP3A4 induktormi používať opatrne.</w:t>
            </w:r>
          </w:p>
        </w:tc>
      </w:tr>
    </w:tbl>
    <w:p w:rsidR="00E97D37" w:rsidRPr="004B6827" w:rsidRDefault="00E97D37" w:rsidP="00E97D37">
      <w:pPr>
        <w:shd w:val="clear" w:color="auto" w:fill="FFFFFF"/>
        <w:rPr>
          <w:i/>
          <w:iCs/>
          <w:szCs w:val="22"/>
          <w:lang w:val="sk-SK"/>
        </w:rPr>
      </w:pPr>
    </w:p>
    <w:p w:rsidR="00E97D37" w:rsidRPr="004B6827" w:rsidRDefault="00E97D37" w:rsidP="00E97D37">
      <w:pPr>
        <w:shd w:val="clear" w:color="auto" w:fill="FFFFFF"/>
        <w:rPr>
          <w:i/>
          <w:iCs/>
          <w:szCs w:val="22"/>
          <w:lang w:val="sk-SK"/>
        </w:rPr>
      </w:pPr>
    </w:p>
    <w:p w:rsidR="00E97D37" w:rsidRPr="004B6827" w:rsidRDefault="00E97D37" w:rsidP="00E97D37">
      <w:pPr>
        <w:keepNext/>
        <w:keepLines/>
        <w:shd w:val="clear" w:color="auto" w:fill="FFFFFF"/>
        <w:rPr>
          <w:i/>
          <w:iCs/>
          <w:szCs w:val="22"/>
          <w:lang w:val="sk-SK"/>
        </w:rPr>
      </w:pPr>
      <w:r w:rsidRPr="004B6827">
        <w:rPr>
          <w:i/>
          <w:iCs/>
          <w:szCs w:val="22"/>
          <w:lang w:val="sk-SK"/>
        </w:rPr>
        <w:lastRenderedPageBreak/>
        <w:t>Súbežné použitie, ktoré treba vziať do úvahy:</w:t>
      </w:r>
    </w:p>
    <w:p w:rsidR="00E97D37" w:rsidRPr="00275323" w:rsidRDefault="00E97D37" w:rsidP="00E97D37">
      <w:pPr>
        <w:keepNext/>
        <w:keepLines/>
        <w:shd w:val="clear" w:color="auto" w:fill="FFFFFF"/>
        <w:rPr>
          <w:i/>
          <w:iCs/>
          <w:szCs w:val="22"/>
          <w:lang w:val="sk-SK"/>
        </w:rPr>
      </w:pPr>
    </w:p>
    <w:tbl>
      <w:tblPr>
        <w:tblStyle w:val="Mriekatabuky"/>
        <w:tblW w:w="0" w:type="auto"/>
        <w:tblLook w:val="04A0" w:firstRow="1" w:lastRow="0" w:firstColumn="1" w:lastColumn="0" w:noHBand="0" w:noVBand="1"/>
      </w:tblPr>
      <w:tblGrid>
        <w:gridCol w:w="2221"/>
        <w:gridCol w:w="3228"/>
        <w:gridCol w:w="3839"/>
      </w:tblGrid>
      <w:tr w:rsidR="00E97D37" w:rsidRPr="004B6827" w:rsidTr="00DF377F">
        <w:trPr>
          <w:cantSplit/>
          <w:tblHeader/>
        </w:trPr>
        <w:tc>
          <w:tcPr>
            <w:tcW w:w="2221"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rFonts w:eastAsia="Calibri"/>
                <w:b/>
                <w:i/>
                <w:szCs w:val="22"/>
                <w:lang w:val="sk-SK"/>
              </w:rPr>
            </w:pPr>
            <w:r w:rsidRPr="004B6827">
              <w:rPr>
                <w:rFonts w:eastAsia="Calibri"/>
                <w:b/>
                <w:i/>
                <w:szCs w:val="22"/>
                <w:lang w:val="sk-SK"/>
              </w:rPr>
              <w:t>Zložka</w:t>
            </w:r>
          </w:p>
        </w:tc>
        <w:tc>
          <w:tcPr>
            <w:tcW w:w="3228"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rFonts w:eastAsia="Calibri"/>
                <w:b/>
                <w:i/>
                <w:szCs w:val="22"/>
                <w:lang w:val="sk-SK"/>
              </w:rPr>
            </w:pPr>
            <w:r w:rsidRPr="004B6827">
              <w:rPr>
                <w:rFonts w:eastAsia="Calibri"/>
                <w:b/>
                <w:i/>
                <w:szCs w:val="22"/>
                <w:lang w:val="sk-SK"/>
              </w:rPr>
              <w:t>Známa interakcia s liekom</w:t>
            </w:r>
          </w:p>
        </w:tc>
        <w:tc>
          <w:tcPr>
            <w:tcW w:w="3839"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rFonts w:eastAsia="Calibri"/>
                <w:b/>
                <w:i/>
                <w:szCs w:val="22"/>
                <w:lang w:val="sk-SK"/>
              </w:rPr>
            </w:pPr>
            <w:r w:rsidRPr="004B6827">
              <w:rPr>
                <w:rFonts w:eastAsia="Calibri"/>
                <w:b/>
                <w:i/>
                <w:szCs w:val="22"/>
                <w:lang w:val="sk-SK"/>
              </w:rPr>
              <w:t>Interakcia s iným liekom</w:t>
            </w:r>
          </w:p>
        </w:tc>
      </w:tr>
      <w:tr w:rsidR="00E97D37" w:rsidRPr="005023C8" w:rsidTr="00DF377F">
        <w:trPr>
          <w:cantSplit/>
        </w:trPr>
        <w:tc>
          <w:tcPr>
            <w:tcW w:w="2221" w:type="dxa"/>
            <w:vMerge w:val="restart"/>
            <w:tcBorders>
              <w:top w:val="single" w:sz="4" w:space="0" w:color="auto"/>
              <w:left w:val="nil"/>
              <w:bottom w:val="single" w:sz="4" w:space="0" w:color="auto"/>
              <w:right w:val="nil"/>
            </w:tcBorders>
          </w:tcPr>
          <w:p w:rsidR="00E97D37" w:rsidRPr="004B6827" w:rsidRDefault="00E97D37" w:rsidP="00DF377F">
            <w:pPr>
              <w:spacing w:line="240" w:lineRule="auto"/>
              <w:jc w:val="both"/>
              <w:rPr>
                <w:szCs w:val="22"/>
                <w:lang w:val="sk-SK"/>
              </w:rPr>
            </w:pPr>
            <w:r w:rsidRPr="004B6827">
              <w:rPr>
                <w:szCs w:val="22"/>
                <w:lang w:val="sk-SK"/>
              </w:rPr>
              <w:t>Atorvastatín</w:t>
            </w:r>
          </w:p>
          <w:p w:rsidR="00E97D37" w:rsidRPr="004B6827" w:rsidRDefault="00E97D37" w:rsidP="00DF377F">
            <w:pPr>
              <w:spacing w:line="240" w:lineRule="auto"/>
              <w:jc w:val="both"/>
              <w:rPr>
                <w:szCs w:val="22"/>
                <w:lang w:val="sk-SK"/>
              </w:rPr>
            </w:pPr>
          </w:p>
        </w:tc>
        <w:tc>
          <w:tcPr>
            <w:tcW w:w="3228" w:type="dxa"/>
            <w:tcBorders>
              <w:top w:val="single" w:sz="4" w:space="0" w:color="auto"/>
              <w:left w:val="nil"/>
              <w:bottom w:val="single" w:sz="4" w:space="0" w:color="auto"/>
              <w:right w:val="nil"/>
            </w:tcBorders>
            <w:hideMark/>
          </w:tcPr>
          <w:p w:rsidR="00E97D37" w:rsidRPr="00275323" w:rsidRDefault="00E97D37" w:rsidP="00DF377F">
            <w:pPr>
              <w:spacing w:line="240" w:lineRule="auto"/>
              <w:jc w:val="both"/>
              <w:rPr>
                <w:szCs w:val="22"/>
                <w:lang w:val="sk-SK"/>
              </w:rPr>
            </w:pPr>
            <w:r w:rsidRPr="00275323">
              <w:rPr>
                <w:szCs w:val="22"/>
                <w:lang w:val="sk-SK"/>
              </w:rPr>
              <w:t>Kolchicín</w:t>
            </w:r>
          </w:p>
        </w:tc>
        <w:tc>
          <w:tcPr>
            <w:tcW w:w="3839" w:type="dxa"/>
            <w:tcBorders>
              <w:top w:val="single" w:sz="4" w:space="0" w:color="auto"/>
              <w:left w:val="nil"/>
              <w:bottom w:val="single" w:sz="4" w:space="0" w:color="auto"/>
              <w:right w:val="nil"/>
            </w:tcBorders>
            <w:hideMark/>
          </w:tcPr>
          <w:p w:rsidR="00E97D37" w:rsidRPr="004B6827" w:rsidRDefault="00E97D37" w:rsidP="00E06735">
            <w:pPr>
              <w:spacing w:line="240" w:lineRule="auto"/>
              <w:jc w:val="both"/>
              <w:rPr>
                <w:szCs w:val="22"/>
                <w:lang w:val="sk-SK"/>
              </w:rPr>
            </w:pPr>
            <w:r w:rsidRPr="004B6827">
              <w:rPr>
                <w:rStyle w:val="hps"/>
                <w:szCs w:val="22"/>
                <w:lang w:val="sk-SK"/>
              </w:rPr>
              <w:t xml:space="preserve">Pri súbežnom podávaní atorvastatínu s kolchicínom boli </w:t>
            </w:r>
            <w:r w:rsidR="004B6827" w:rsidRPr="004B6827">
              <w:rPr>
                <w:rStyle w:val="hps"/>
                <w:szCs w:val="22"/>
                <w:lang w:val="sk-SK"/>
              </w:rPr>
              <w:t>hlásené</w:t>
            </w:r>
            <w:r w:rsidRPr="004B6827">
              <w:rPr>
                <w:rStyle w:val="hps"/>
                <w:szCs w:val="22"/>
                <w:lang w:val="sk-SK"/>
              </w:rPr>
              <w:t xml:space="preserve"> prípady myopatie, hoci interakčné štúdie</w:t>
            </w:r>
            <w:r w:rsidRPr="004B6827">
              <w:rPr>
                <w:szCs w:val="22"/>
                <w:lang w:val="sk-SK"/>
              </w:rPr>
              <w:t xml:space="preserve"> </w:t>
            </w:r>
            <w:r w:rsidRPr="004B6827">
              <w:rPr>
                <w:rStyle w:val="hps"/>
                <w:szCs w:val="22"/>
                <w:lang w:val="sk-SK"/>
              </w:rPr>
              <w:t>s</w:t>
            </w:r>
            <w:r w:rsidRPr="004B6827">
              <w:rPr>
                <w:szCs w:val="22"/>
                <w:lang w:val="sk-SK"/>
              </w:rPr>
              <w:t xml:space="preserve"> </w:t>
            </w:r>
            <w:r w:rsidRPr="004B6827">
              <w:rPr>
                <w:rStyle w:val="hps"/>
                <w:szCs w:val="22"/>
                <w:lang w:val="sk-SK"/>
              </w:rPr>
              <w:t>atorvastatínom</w:t>
            </w:r>
            <w:r w:rsidRPr="004B6827">
              <w:rPr>
                <w:szCs w:val="22"/>
                <w:lang w:val="sk-SK"/>
              </w:rPr>
              <w:t xml:space="preserve"> </w:t>
            </w:r>
            <w:r w:rsidRPr="004B6827">
              <w:rPr>
                <w:rStyle w:val="hps"/>
                <w:szCs w:val="22"/>
                <w:lang w:val="sk-SK"/>
              </w:rPr>
              <w:t>a</w:t>
            </w:r>
            <w:r w:rsidRPr="004B6827">
              <w:rPr>
                <w:szCs w:val="22"/>
                <w:lang w:val="sk-SK"/>
              </w:rPr>
              <w:t xml:space="preserve"> </w:t>
            </w:r>
            <w:r w:rsidRPr="004B6827">
              <w:rPr>
                <w:rStyle w:val="hps"/>
                <w:szCs w:val="22"/>
                <w:lang w:val="sk-SK"/>
              </w:rPr>
              <w:t>kolchicínom</w:t>
            </w:r>
            <w:r w:rsidRPr="004B6827">
              <w:rPr>
                <w:szCs w:val="22"/>
                <w:lang w:val="sk-SK"/>
              </w:rPr>
              <w:t xml:space="preserve"> </w:t>
            </w:r>
            <w:r w:rsidRPr="004B6827">
              <w:rPr>
                <w:rStyle w:val="hps"/>
                <w:szCs w:val="22"/>
                <w:lang w:val="sk-SK"/>
              </w:rPr>
              <w:t>neboli uskutočnené</w:t>
            </w:r>
            <w:r w:rsidRPr="004B6827">
              <w:rPr>
                <w:rStyle w:val="hps"/>
                <w:rFonts w:eastAsia="Arial Unicode MS"/>
                <w:szCs w:val="22"/>
                <w:lang w:val="sk-SK"/>
              </w:rPr>
              <w:t xml:space="preserve">, </w:t>
            </w:r>
            <w:r w:rsidRPr="004B6827">
              <w:rPr>
                <w:rStyle w:val="hps"/>
                <w:szCs w:val="22"/>
                <w:lang w:val="sk-SK"/>
              </w:rPr>
              <w:t xml:space="preserve">preto </w:t>
            </w:r>
            <w:r w:rsidR="00E06735" w:rsidRPr="004B6827">
              <w:rPr>
                <w:rStyle w:val="hps"/>
                <w:szCs w:val="22"/>
                <w:lang w:val="sk-SK"/>
              </w:rPr>
              <w:t>je potrebná opatrnosť</w:t>
            </w:r>
            <w:r w:rsidRPr="004B6827">
              <w:rPr>
                <w:rStyle w:val="hps"/>
                <w:szCs w:val="22"/>
                <w:lang w:val="sk-SK"/>
              </w:rPr>
              <w:t xml:space="preserve"> pri predpisovaní atorvastatínu s kolchicínom.</w:t>
            </w:r>
          </w:p>
        </w:tc>
      </w:tr>
      <w:tr w:rsidR="00E97D37" w:rsidRPr="005023C8" w:rsidTr="00DF377F">
        <w:trPr>
          <w:cantSplit/>
        </w:trPr>
        <w:tc>
          <w:tcPr>
            <w:tcW w:w="0" w:type="auto"/>
            <w:vMerge/>
            <w:tcBorders>
              <w:top w:val="single" w:sz="4" w:space="0" w:color="auto"/>
              <w:left w:val="nil"/>
              <w:bottom w:val="single" w:sz="4" w:space="0" w:color="auto"/>
              <w:right w:val="nil"/>
            </w:tcBorders>
            <w:hideMark/>
          </w:tcPr>
          <w:p w:rsidR="00E97D37" w:rsidRPr="004B6827" w:rsidRDefault="00E97D37" w:rsidP="00DF377F">
            <w:pPr>
              <w:tabs>
                <w:tab w:val="clear" w:pos="567"/>
              </w:tabs>
              <w:spacing w:line="240" w:lineRule="auto"/>
              <w:rPr>
                <w:lang w:val="sk-SK" w:eastAsia="en-US"/>
              </w:rPr>
            </w:pPr>
          </w:p>
        </w:tc>
        <w:tc>
          <w:tcPr>
            <w:tcW w:w="3228" w:type="dxa"/>
            <w:tcBorders>
              <w:top w:val="single" w:sz="4" w:space="0" w:color="auto"/>
              <w:left w:val="nil"/>
              <w:bottom w:val="single" w:sz="4" w:space="0" w:color="auto"/>
              <w:right w:val="nil"/>
            </w:tcBorders>
            <w:hideMark/>
          </w:tcPr>
          <w:p w:rsidR="00E97D37" w:rsidRPr="004B6827" w:rsidRDefault="00E97D37" w:rsidP="00DF377F">
            <w:pPr>
              <w:shd w:val="clear" w:color="auto" w:fill="FFFFFF"/>
              <w:jc w:val="both"/>
              <w:rPr>
                <w:szCs w:val="22"/>
                <w:lang w:val="sk-SK"/>
              </w:rPr>
            </w:pPr>
            <w:r w:rsidRPr="004B6827">
              <w:rPr>
                <w:szCs w:val="22"/>
                <w:lang w:val="sk-SK"/>
              </w:rPr>
              <w:t>Kolestipol</w:t>
            </w:r>
          </w:p>
        </w:tc>
        <w:tc>
          <w:tcPr>
            <w:tcW w:w="3839" w:type="dxa"/>
            <w:tcBorders>
              <w:top w:val="single" w:sz="4" w:space="0" w:color="auto"/>
              <w:left w:val="nil"/>
              <w:bottom w:val="single" w:sz="4" w:space="0" w:color="auto"/>
              <w:right w:val="nil"/>
            </w:tcBorders>
            <w:hideMark/>
          </w:tcPr>
          <w:p w:rsidR="00E97D37" w:rsidRPr="004B6827" w:rsidRDefault="00E97D37" w:rsidP="00DF377F">
            <w:pPr>
              <w:shd w:val="clear" w:color="auto" w:fill="FFFFFF"/>
              <w:jc w:val="both"/>
              <w:rPr>
                <w:szCs w:val="22"/>
                <w:lang w:val="sk-SK"/>
              </w:rPr>
            </w:pPr>
            <w:r w:rsidRPr="004B6827">
              <w:rPr>
                <w:szCs w:val="22"/>
                <w:lang w:val="sk-SK"/>
              </w:rPr>
              <w:t>Plazmatické koncentrácie atorvastatínu a jeho aktívnych metabolitov boli nižšie (asi o 25 %) pri súbežnom podávaní kolestipolu s a</w:t>
            </w:r>
            <w:r w:rsidR="006B658D" w:rsidRPr="004B6827">
              <w:rPr>
                <w:szCs w:val="22"/>
                <w:lang w:val="sk-SK"/>
              </w:rPr>
              <w:t>t</w:t>
            </w:r>
            <w:r w:rsidRPr="004B6827">
              <w:rPr>
                <w:szCs w:val="22"/>
                <w:lang w:val="sk-SK"/>
              </w:rPr>
              <w:t>orvastatínom. Hypolipidemický účinok bol však väčší pri súbežnom podávaní atorvastatínu a kolestipolu než pri podávaní každého lieku samostatne.</w:t>
            </w:r>
          </w:p>
        </w:tc>
      </w:tr>
      <w:tr w:rsidR="00E97D37" w:rsidRPr="005023C8" w:rsidTr="00DF377F">
        <w:trPr>
          <w:cantSplit/>
        </w:trPr>
        <w:tc>
          <w:tcPr>
            <w:tcW w:w="0" w:type="auto"/>
            <w:vMerge/>
            <w:tcBorders>
              <w:top w:val="single" w:sz="4" w:space="0" w:color="auto"/>
              <w:left w:val="nil"/>
              <w:bottom w:val="single" w:sz="4" w:space="0" w:color="auto"/>
              <w:right w:val="nil"/>
            </w:tcBorders>
            <w:hideMark/>
          </w:tcPr>
          <w:p w:rsidR="00E97D37" w:rsidRPr="004B6827" w:rsidRDefault="00E97D37" w:rsidP="00DF377F">
            <w:pPr>
              <w:tabs>
                <w:tab w:val="clear" w:pos="567"/>
              </w:tabs>
              <w:spacing w:line="240" w:lineRule="auto"/>
              <w:rPr>
                <w:lang w:val="sk-SK" w:eastAsia="en-US"/>
              </w:rPr>
            </w:pPr>
          </w:p>
        </w:tc>
        <w:tc>
          <w:tcPr>
            <w:tcW w:w="3228" w:type="dxa"/>
            <w:tcBorders>
              <w:top w:val="single" w:sz="4" w:space="0" w:color="auto"/>
              <w:left w:val="nil"/>
              <w:bottom w:val="single" w:sz="4" w:space="0" w:color="auto"/>
              <w:right w:val="nil"/>
            </w:tcBorders>
          </w:tcPr>
          <w:p w:rsidR="00E97D37" w:rsidRPr="004B6827" w:rsidRDefault="00E97D37" w:rsidP="00DF377F">
            <w:pPr>
              <w:rPr>
                <w:lang w:val="sk-SK" w:eastAsia="en-US"/>
              </w:rPr>
            </w:pPr>
            <w:r w:rsidRPr="004B6827">
              <w:rPr>
                <w:szCs w:val="22"/>
                <w:lang w:val="sk-SK"/>
              </w:rPr>
              <w:t>Perorálne kontraceptíva</w:t>
            </w:r>
          </w:p>
        </w:tc>
        <w:tc>
          <w:tcPr>
            <w:tcW w:w="3839" w:type="dxa"/>
            <w:tcBorders>
              <w:top w:val="single" w:sz="4" w:space="0" w:color="auto"/>
              <w:left w:val="nil"/>
              <w:bottom w:val="single" w:sz="4" w:space="0" w:color="auto"/>
              <w:right w:val="nil"/>
            </w:tcBorders>
            <w:hideMark/>
          </w:tcPr>
          <w:p w:rsidR="00E97D37" w:rsidRPr="004B6827" w:rsidRDefault="00E97D37" w:rsidP="00DF377F">
            <w:pPr>
              <w:shd w:val="clear" w:color="auto" w:fill="FFFFFF"/>
              <w:rPr>
                <w:szCs w:val="22"/>
                <w:lang w:val="sk-SK"/>
              </w:rPr>
            </w:pPr>
            <w:r w:rsidRPr="004B6827">
              <w:rPr>
                <w:szCs w:val="22"/>
                <w:lang w:val="sk-SK"/>
              </w:rPr>
              <w:t>Súbežné pod</w:t>
            </w:r>
            <w:r w:rsidR="00BF7FC3" w:rsidRPr="004B6827">
              <w:rPr>
                <w:szCs w:val="22"/>
                <w:lang w:val="sk-SK"/>
              </w:rPr>
              <w:t>ávanie atorvastatínu s perorálny</w:t>
            </w:r>
            <w:r w:rsidRPr="004B6827">
              <w:rPr>
                <w:szCs w:val="22"/>
                <w:lang w:val="sk-SK"/>
              </w:rPr>
              <w:t>mi kontraceptívami viedlo ku zvýšeniu plazmatických koncentrácií noretisterónu a etinylestradiolu (pozri tabu</w:t>
            </w:r>
            <w:r w:rsidR="000B07D2" w:rsidRPr="004B6827">
              <w:rPr>
                <w:szCs w:val="22"/>
                <w:lang w:val="sk-SK"/>
              </w:rPr>
              <w:t>ľ</w:t>
            </w:r>
            <w:r w:rsidRPr="004B6827">
              <w:rPr>
                <w:szCs w:val="22"/>
                <w:lang w:val="sk-SK"/>
              </w:rPr>
              <w:t>ku 2).</w:t>
            </w:r>
          </w:p>
        </w:tc>
      </w:tr>
      <w:tr w:rsidR="00E97D37" w:rsidRPr="005023C8" w:rsidTr="00DF377F">
        <w:trPr>
          <w:cantSplit/>
        </w:trPr>
        <w:tc>
          <w:tcPr>
            <w:tcW w:w="2221" w:type="dxa"/>
            <w:vMerge w:val="restart"/>
            <w:tcBorders>
              <w:top w:val="single" w:sz="4" w:space="0" w:color="auto"/>
              <w:left w:val="nil"/>
              <w:bottom w:val="single" w:sz="4" w:space="0" w:color="auto"/>
              <w:right w:val="nil"/>
            </w:tcBorders>
            <w:hideMark/>
          </w:tcPr>
          <w:p w:rsidR="00E97D37" w:rsidRPr="004B6827" w:rsidRDefault="00E97D37" w:rsidP="00DF377F">
            <w:pPr>
              <w:spacing w:line="240" w:lineRule="auto"/>
              <w:jc w:val="both"/>
              <w:rPr>
                <w:szCs w:val="22"/>
                <w:lang w:val="sk-SK"/>
              </w:rPr>
            </w:pPr>
            <w:r w:rsidRPr="004B6827">
              <w:rPr>
                <w:szCs w:val="22"/>
                <w:lang w:val="sk-SK"/>
              </w:rPr>
              <w:t>Perindopril</w:t>
            </w:r>
          </w:p>
          <w:p w:rsidR="00E97D37" w:rsidRPr="004B6827" w:rsidRDefault="00E97D37" w:rsidP="00DF377F">
            <w:pPr>
              <w:spacing w:line="240" w:lineRule="auto"/>
              <w:jc w:val="both"/>
              <w:rPr>
                <w:szCs w:val="22"/>
                <w:lang w:val="sk-SK"/>
              </w:rPr>
            </w:pPr>
          </w:p>
        </w:tc>
        <w:tc>
          <w:tcPr>
            <w:tcW w:w="3228" w:type="dxa"/>
            <w:tcBorders>
              <w:top w:val="single" w:sz="4" w:space="0" w:color="auto"/>
              <w:left w:val="nil"/>
              <w:bottom w:val="single" w:sz="4" w:space="0" w:color="auto"/>
              <w:right w:val="nil"/>
            </w:tcBorders>
            <w:hideMark/>
          </w:tcPr>
          <w:p w:rsidR="00E97D37" w:rsidRPr="00275323" w:rsidRDefault="00E97D37" w:rsidP="00DF377F">
            <w:pPr>
              <w:spacing w:line="240" w:lineRule="auto"/>
              <w:jc w:val="both"/>
              <w:rPr>
                <w:szCs w:val="22"/>
                <w:lang w:val="sk-SK"/>
              </w:rPr>
            </w:pPr>
            <w:r w:rsidRPr="00275323">
              <w:rPr>
                <w:szCs w:val="22"/>
                <w:lang w:val="sk-SK"/>
              </w:rPr>
              <w:t>Gliptíny (linagliptín, saxagliptín, sitagliptín, vildagliptín)</w:t>
            </w:r>
          </w:p>
        </w:tc>
        <w:tc>
          <w:tcPr>
            <w:tcW w:w="3839" w:type="dxa"/>
            <w:tcBorders>
              <w:top w:val="single" w:sz="4" w:space="0" w:color="auto"/>
              <w:left w:val="nil"/>
              <w:bottom w:val="single" w:sz="4" w:space="0" w:color="auto"/>
              <w:right w:val="nil"/>
            </w:tcBorders>
            <w:hideMark/>
          </w:tcPr>
          <w:p w:rsidR="00E97D37" w:rsidRPr="004B6827" w:rsidRDefault="000B07D2" w:rsidP="000B07D2">
            <w:pPr>
              <w:spacing w:line="240" w:lineRule="auto"/>
              <w:jc w:val="both"/>
              <w:rPr>
                <w:szCs w:val="22"/>
                <w:lang w:val="sk-SK"/>
              </w:rPr>
            </w:pPr>
            <w:r w:rsidRPr="004B6827">
              <w:rPr>
                <w:szCs w:val="22"/>
                <w:lang w:val="sk-SK"/>
              </w:rPr>
              <w:t>Vzhľadom na gliptínmi zníženú aktivitu dipeptidylpeptidázy IV (DPP-IV) je u pacientov súbežne liečených inhibítorom ACE z</w:t>
            </w:r>
            <w:r w:rsidR="00E97D37" w:rsidRPr="004B6827">
              <w:rPr>
                <w:szCs w:val="22"/>
                <w:lang w:val="sk-SK"/>
              </w:rPr>
              <w:t>výšené riziko angioedému</w:t>
            </w:r>
            <w:r w:rsidRPr="004B6827">
              <w:rPr>
                <w:szCs w:val="22"/>
                <w:lang w:val="sk-SK"/>
              </w:rPr>
              <w:t>.</w:t>
            </w:r>
          </w:p>
        </w:tc>
      </w:tr>
      <w:tr w:rsidR="00E97D37" w:rsidRPr="005023C8" w:rsidTr="00DF377F">
        <w:trPr>
          <w:cantSplit/>
        </w:trPr>
        <w:tc>
          <w:tcPr>
            <w:tcW w:w="0" w:type="auto"/>
            <w:vMerge/>
            <w:tcBorders>
              <w:top w:val="single" w:sz="4" w:space="0" w:color="auto"/>
              <w:left w:val="nil"/>
              <w:bottom w:val="single" w:sz="4" w:space="0" w:color="auto"/>
              <w:right w:val="nil"/>
            </w:tcBorders>
            <w:hideMark/>
          </w:tcPr>
          <w:p w:rsidR="00E97D37" w:rsidRPr="004B6827" w:rsidRDefault="00E97D37" w:rsidP="00DF377F">
            <w:pPr>
              <w:tabs>
                <w:tab w:val="clear" w:pos="567"/>
              </w:tabs>
              <w:spacing w:line="240" w:lineRule="auto"/>
              <w:rPr>
                <w:lang w:val="sk-SK" w:eastAsia="en-US"/>
              </w:rPr>
            </w:pPr>
          </w:p>
        </w:tc>
        <w:tc>
          <w:tcPr>
            <w:tcW w:w="3228" w:type="dxa"/>
            <w:tcBorders>
              <w:top w:val="single" w:sz="4" w:space="0" w:color="auto"/>
              <w:left w:val="nil"/>
              <w:bottom w:val="single" w:sz="4" w:space="0" w:color="auto"/>
              <w:right w:val="nil"/>
            </w:tcBorders>
          </w:tcPr>
          <w:p w:rsidR="00E97D37" w:rsidRPr="004B6827" w:rsidRDefault="00E97D37" w:rsidP="00DF377F">
            <w:pPr>
              <w:tabs>
                <w:tab w:val="clear" w:pos="567"/>
                <w:tab w:val="left" w:pos="708"/>
              </w:tabs>
              <w:autoSpaceDE w:val="0"/>
              <w:autoSpaceDN w:val="0"/>
              <w:adjustRightInd w:val="0"/>
              <w:spacing w:line="240" w:lineRule="auto"/>
              <w:rPr>
                <w:lang w:val="sk-SK" w:eastAsia="en-US"/>
              </w:rPr>
            </w:pPr>
            <w:r w:rsidRPr="004B6827">
              <w:rPr>
                <w:szCs w:val="22"/>
                <w:lang w:val="sk-SK"/>
              </w:rPr>
              <w:t>Sympatomimetiká</w:t>
            </w:r>
          </w:p>
        </w:tc>
        <w:tc>
          <w:tcPr>
            <w:tcW w:w="3839" w:type="dxa"/>
            <w:tcBorders>
              <w:top w:val="single" w:sz="4" w:space="0" w:color="auto"/>
              <w:left w:val="nil"/>
              <w:bottom w:val="single" w:sz="4" w:space="0" w:color="auto"/>
              <w:right w:val="nil"/>
            </w:tcBorders>
            <w:hideMark/>
          </w:tcPr>
          <w:p w:rsidR="00E97D37" w:rsidRPr="004B6827" w:rsidRDefault="00E97D37" w:rsidP="000B07D2">
            <w:pPr>
              <w:tabs>
                <w:tab w:val="left" w:pos="0"/>
              </w:tabs>
              <w:jc w:val="both"/>
              <w:rPr>
                <w:bCs/>
                <w:iCs/>
                <w:color w:val="000000"/>
                <w:lang w:val="sk-SK" w:eastAsia="en-US"/>
              </w:rPr>
            </w:pPr>
            <w:r w:rsidRPr="004B6827">
              <w:rPr>
                <w:szCs w:val="22"/>
                <w:lang w:val="sk-SK"/>
              </w:rPr>
              <w:t>Sympatomimetiká môžu znížiť antihypertenzný účinok inhibítorov</w:t>
            </w:r>
            <w:r w:rsidR="000B07D2" w:rsidRPr="004B6827">
              <w:rPr>
                <w:szCs w:val="22"/>
                <w:lang w:val="sk-SK"/>
              </w:rPr>
              <w:t xml:space="preserve"> ACE</w:t>
            </w:r>
            <w:r w:rsidRPr="004B6827">
              <w:rPr>
                <w:bCs/>
                <w:iCs/>
                <w:szCs w:val="22"/>
                <w:lang w:val="sk-SK"/>
              </w:rPr>
              <w:t>.</w:t>
            </w:r>
          </w:p>
        </w:tc>
      </w:tr>
      <w:tr w:rsidR="00E97D37" w:rsidRPr="005023C8" w:rsidTr="00DF377F">
        <w:trPr>
          <w:cantSplit/>
        </w:trPr>
        <w:tc>
          <w:tcPr>
            <w:tcW w:w="0" w:type="auto"/>
            <w:vMerge/>
            <w:tcBorders>
              <w:top w:val="single" w:sz="4" w:space="0" w:color="auto"/>
              <w:left w:val="nil"/>
              <w:bottom w:val="single" w:sz="4" w:space="0" w:color="auto"/>
              <w:right w:val="nil"/>
            </w:tcBorders>
            <w:hideMark/>
          </w:tcPr>
          <w:p w:rsidR="00E97D37" w:rsidRPr="004B6827" w:rsidRDefault="00E97D37" w:rsidP="00DF377F">
            <w:pPr>
              <w:tabs>
                <w:tab w:val="clear" w:pos="567"/>
              </w:tabs>
              <w:spacing w:line="240" w:lineRule="auto"/>
              <w:rPr>
                <w:lang w:val="sk-SK" w:eastAsia="en-US"/>
              </w:rPr>
            </w:pPr>
          </w:p>
        </w:tc>
        <w:tc>
          <w:tcPr>
            <w:tcW w:w="3228" w:type="dxa"/>
            <w:tcBorders>
              <w:top w:val="single" w:sz="4" w:space="0" w:color="auto"/>
              <w:left w:val="nil"/>
              <w:bottom w:val="single" w:sz="4" w:space="0" w:color="auto"/>
              <w:right w:val="nil"/>
            </w:tcBorders>
          </w:tcPr>
          <w:p w:rsidR="00E97D37" w:rsidRPr="004B6827" w:rsidRDefault="00E97D37" w:rsidP="00DF377F">
            <w:pPr>
              <w:spacing w:line="240" w:lineRule="auto"/>
              <w:jc w:val="both"/>
              <w:rPr>
                <w:szCs w:val="22"/>
                <w:lang w:val="sk-SK"/>
              </w:rPr>
            </w:pPr>
            <w:r w:rsidRPr="004B6827">
              <w:rPr>
                <w:szCs w:val="22"/>
                <w:lang w:val="sk-SK"/>
              </w:rPr>
              <w:t>Tricyklické antidepresíva/</w:t>
            </w:r>
          </w:p>
          <w:p w:rsidR="00E97D37" w:rsidRPr="004B6827" w:rsidRDefault="00E97D37" w:rsidP="00DF377F">
            <w:pPr>
              <w:shd w:val="clear" w:color="auto" w:fill="FFFFFF"/>
              <w:rPr>
                <w:lang w:val="sk-SK" w:eastAsia="en-US"/>
              </w:rPr>
            </w:pPr>
            <w:r w:rsidRPr="004B6827">
              <w:rPr>
                <w:szCs w:val="22"/>
                <w:lang w:val="sk-SK"/>
              </w:rPr>
              <w:t>Antipsychotiká/Anestetiká</w:t>
            </w:r>
          </w:p>
        </w:tc>
        <w:tc>
          <w:tcPr>
            <w:tcW w:w="3839" w:type="dxa"/>
            <w:tcBorders>
              <w:top w:val="single" w:sz="4" w:space="0" w:color="auto"/>
              <w:left w:val="nil"/>
              <w:bottom w:val="single" w:sz="4" w:space="0" w:color="auto"/>
              <w:right w:val="nil"/>
            </w:tcBorders>
            <w:hideMark/>
          </w:tcPr>
          <w:p w:rsidR="00E97D37" w:rsidRPr="004B6827" w:rsidRDefault="00E97D37" w:rsidP="00DF377F">
            <w:pPr>
              <w:tabs>
                <w:tab w:val="left" w:pos="540"/>
              </w:tabs>
              <w:jc w:val="both"/>
              <w:rPr>
                <w:color w:val="000000"/>
                <w:lang w:val="sk-SK" w:eastAsia="en-US"/>
              </w:rPr>
            </w:pPr>
            <w:r w:rsidRPr="004B6827">
              <w:rPr>
                <w:szCs w:val="22"/>
                <w:lang w:val="sk-SK"/>
              </w:rPr>
              <w:t>Súbežné užívanie určitých anestetík, tricyklických antidepresív a antipsychotík s inhibítormi ACE môže viesť k ďalšiemu zníženiu krvného tlaku (pozri časť 4.4).</w:t>
            </w:r>
          </w:p>
        </w:tc>
      </w:tr>
      <w:tr w:rsidR="00E97D37" w:rsidRPr="005023C8" w:rsidTr="00DF377F">
        <w:trPr>
          <w:cantSplit/>
        </w:trPr>
        <w:tc>
          <w:tcPr>
            <w:tcW w:w="0" w:type="auto"/>
            <w:vMerge/>
            <w:tcBorders>
              <w:top w:val="single" w:sz="4" w:space="0" w:color="auto"/>
              <w:left w:val="nil"/>
              <w:bottom w:val="single" w:sz="4" w:space="0" w:color="auto"/>
              <w:right w:val="nil"/>
            </w:tcBorders>
            <w:hideMark/>
          </w:tcPr>
          <w:p w:rsidR="00E97D37" w:rsidRPr="004B6827" w:rsidRDefault="00E97D37" w:rsidP="00DF377F">
            <w:pPr>
              <w:tabs>
                <w:tab w:val="clear" w:pos="567"/>
              </w:tabs>
              <w:spacing w:line="240" w:lineRule="auto"/>
              <w:rPr>
                <w:lang w:val="sk-SK" w:eastAsia="en-US"/>
              </w:rPr>
            </w:pPr>
          </w:p>
        </w:tc>
        <w:tc>
          <w:tcPr>
            <w:tcW w:w="3228" w:type="dxa"/>
            <w:tcBorders>
              <w:top w:val="single" w:sz="4" w:space="0" w:color="auto"/>
              <w:left w:val="nil"/>
              <w:bottom w:val="single" w:sz="4" w:space="0" w:color="auto"/>
              <w:right w:val="nil"/>
            </w:tcBorders>
            <w:hideMark/>
          </w:tcPr>
          <w:p w:rsidR="00E97D37" w:rsidRPr="004B6827" w:rsidRDefault="00E97D37" w:rsidP="00DF377F">
            <w:pPr>
              <w:tabs>
                <w:tab w:val="clear" w:pos="567"/>
                <w:tab w:val="left" w:pos="708"/>
              </w:tabs>
              <w:autoSpaceDE w:val="0"/>
              <w:autoSpaceDN w:val="0"/>
              <w:adjustRightInd w:val="0"/>
              <w:spacing w:line="240" w:lineRule="auto"/>
              <w:rPr>
                <w:lang w:val="sk-SK" w:eastAsia="en-US"/>
              </w:rPr>
            </w:pPr>
            <w:r w:rsidRPr="004B6827">
              <w:rPr>
                <w:rFonts w:eastAsia="Calibri"/>
                <w:szCs w:val="22"/>
                <w:lang w:val="sk-SK"/>
              </w:rPr>
              <w:t>Zlato</w:t>
            </w:r>
          </w:p>
        </w:tc>
        <w:tc>
          <w:tcPr>
            <w:tcW w:w="3839" w:type="dxa"/>
            <w:tcBorders>
              <w:top w:val="single" w:sz="4" w:space="0" w:color="auto"/>
              <w:left w:val="nil"/>
              <w:bottom w:val="single" w:sz="4" w:space="0" w:color="auto"/>
              <w:right w:val="nil"/>
            </w:tcBorders>
            <w:hideMark/>
          </w:tcPr>
          <w:p w:rsidR="00E97D37" w:rsidRPr="004B6827" w:rsidRDefault="00E97D37" w:rsidP="00DF377F">
            <w:pPr>
              <w:tabs>
                <w:tab w:val="clear" w:pos="567"/>
                <w:tab w:val="left" w:pos="708"/>
              </w:tabs>
              <w:spacing w:line="240" w:lineRule="auto"/>
              <w:jc w:val="both"/>
              <w:rPr>
                <w:bCs/>
                <w:iCs/>
                <w:color w:val="000000"/>
                <w:lang w:val="sk-SK" w:eastAsia="en-US"/>
              </w:rPr>
            </w:pPr>
            <w:r w:rsidRPr="004B6827">
              <w:rPr>
                <w:rFonts w:eastAsia="Calibri"/>
                <w:szCs w:val="22"/>
                <w:lang w:val="sk-SK"/>
              </w:rPr>
              <w:t>Nitritoidné reakcie (symptómy zahŕňajú sčervenanie tváre, nauzeu, vracanie a hypotenziu) boli hlásené zriedkavo u pacientov liečených injekčným zlatom (nátriumaurotiomalát) a súbežne inhibítorom ACE vrátane perindoprilu.</w:t>
            </w:r>
          </w:p>
        </w:tc>
      </w:tr>
      <w:tr w:rsidR="00E97D37" w:rsidRPr="005023C8" w:rsidTr="00DF377F">
        <w:trPr>
          <w:cantSplit/>
        </w:trPr>
        <w:tc>
          <w:tcPr>
            <w:tcW w:w="2221"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szCs w:val="22"/>
                <w:lang w:val="sk-SK"/>
              </w:rPr>
            </w:pPr>
            <w:r w:rsidRPr="004B6827">
              <w:rPr>
                <w:szCs w:val="22"/>
                <w:lang w:val="sk-SK"/>
              </w:rPr>
              <w:t>Amlodipín</w:t>
            </w:r>
          </w:p>
        </w:tc>
        <w:tc>
          <w:tcPr>
            <w:tcW w:w="3228" w:type="dxa"/>
            <w:tcBorders>
              <w:top w:val="single" w:sz="4" w:space="0" w:color="auto"/>
              <w:left w:val="nil"/>
              <w:bottom w:val="single" w:sz="4" w:space="0" w:color="auto"/>
              <w:right w:val="nil"/>
            </w:tcBorders>
            <w:hideMark/>
          </w:tcPr>
          <w:p w:rsidR="00E97D37" w:rsidRPr="00275323" w:rsidRDefault="00E97D37" w:rsidP="00DF377F">
            <w:pPr>
              <w:spacing w:line="240" w:lineRule="auto"/>
              <w:jc w:val="both"/>
              <w:rPr>
                <w:rFonts w:eastAsia="Calibri"/>
                <w:bCs/>
                <w:szCs w:val="22"/>
                <w:lang w:val="sk-SK"/>
              </w:rPr>
            </w:pPr>
            <w:r w:rsidRPr="004B6827">
              <w:rPr>
                <w:rFonts w:eastAsia="Calibri"/>
                <w:szCs w:val="22"/>
                <w:lang w:val="sk-SK"/>
              </w:rPr>
              <w:t>Digoxín, atorvastatín, warfarín alebo cyklosporín</w:t>
            </w:r>
          </w:p>
        </w:tc>
        <w:tc>
          <w:tcPr>
            <w:tcW w:w="3839"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rFonts w:eastAsia="Calibri"/>
                <w:szCs w:val="22"/>
                <w:lang w:val="sk-SK"/>
              </w:rPr>
            </w:pPr>
            <w:r w:rsidRPr="004B6827">
              <w:rPr>
                <w:rFonts w:eastAsia="Calibri"/>
                <w:szCs w:val="22"/>
                <w:lang w:val="sk-SK"/>
              </w:rPr>
              <w:t>V klinických interakčných štúdiách nemal amlodipín vplyv na farmakokinetiku atorvastatínu, digoxínu, warfarínu alebo cyklosporínu.</w:t>
            </w:r>
          </w:p>
        </w:tc>
      </w:tr>
      <w:tr w:rsidR="00E97D37" w:rsidRPr="005023C8" w:rsidTr="00DF377F">
        <w:trPr>
          <w:cantSplit/>
        </w:trPr>
        <w:tc>
          <w:tcPr>
            <w:tcW w:w="2221"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szCs w:val="22"/>
                <w:lang w:val="sk-SK"/>
              </w:rPr>
            </w:pPr>
            <w:r w:rsidRPr="004B6827">
              <w:rPr>
                <w:szCs w:val="22"/>
                <w:lang w:val="sk-SK"/>
              </w:rPr>
              <w:t>Perindopril/Amlodipín</w:t>
            </w:r>
          </w:p>
        </w:tc>
        <w:tc>
          <w:tcPr>
            <w:tcW w:w="3228" w:type="dxa"/>
            <w:tcBorders>
              <w:top w:val="single" w:sz="4" w:space="0" w:color="auto"/>
              <w:left w:val="nil"/>
              <w:bottom w:val="single" w:sz="4" w:space="0" w:color="auto"/>
              <w:right w:val="nil"/>
            </w:tcBorders>
          </w:tcPr>
          <w:p w:rsidR="00E97D37" w:rsidRPr="00275323" w:rsidRDefault="00E97D37" w:rsidP="00DF377F">
            <w:pPr>
              <w:spacing w:line="240" w:lineRule="auto"/>
              <w:jc w:val="both"/>
              <w:rPr>
                <w:rFonts w:eastAsia="Calibri"/>
                <w:bCs/>
                <w:szCs w:val="22"/>
                <w:lang w:val="sk-SK"/>
              </w:rPr>
            </w:pPr>
            <w:r w:rsidRPr="004B6827">
              <w:rPr>
                <w:rFonts w:eastAsia="Calibri"/>
                <w:bCs/>
                <w:szCs w:val="22"/>
                <w:lang w:val="sk-SK"/>
              </w:rPr>
              <w:t>Antihypertenzíva a vazodilatanciá</w:t>
            </w:r>
          </w:p>
        </w:tc>
        <w:tc>
          <w:tcPr>
            <w:tcW w:w="3839" w:type="dxa"/>
            <w:tcBorders>
              <w:top w:val="single" w:sz="4" w:space="0" w:color="auto"/>
              <w:left w:val="nil"/>
              <w:bottom w:val="single" w:sz="4" w:space="0" w:color="auto"/>
              <w:right w:val="nil"/>
            </w:tcBorders>
            <w:hideMark/>
          </w:tcPr>
          <w:p w:rsidR="00E97D37" w:rsidRPr="004B6827" w:rsidRDefault="00E97D37" w:rsidP="00DF377F">
            <w:pPr>
              <w:spacing w:line="240" w:lineRule="auto"/>
              <w:jc w:val="both"/>
              <w:rPr>
                <w:rFonts w:eastAsia="Calibri"/>
                <w:szCs w:val="22"/>
                <w:lang w:val="sk-SK"/>
              </w:rPr>
            </w:pPr>
            <w:r w:rsidRPr="004B6827">
              <w:rPr>
                <w:rFonts w:eastAsia="Calibri"/>
                <w:szCs w:val="22"/>
                <w:lang w:val="sk-SK"/>
              </w:rPr>
              <w:t>Súbežné použitie týchto látok môže zvýšiť hypotenzné účinky Lipertance. Súbežné užívanie</w:t>
            </w:r>
            <w:r w:rsidR="00421A58" w:rsidRPr="004B6827">
              <w:rPr>
                <w:rFonts w:eastAsia="Calibri"/>
                <w:szCs w:val="22"/>
                <w:lang w:val="sk-SK"/>
              </w:rPr>
              <w:t xml:space="preserve"> </w:t>
            </w:r>
            <w:r w:rsidRPr="004B6827">
              <w:rPr>
                <w:rFonts w:eastAsia="Calibri"/>
                <w:szCs w:val="22"/>
                <w:lang w:val="sk-SK"/>
              </w:rPr>
              <w:t>s nitroglycerínom a inými nitrátmi alebo inými vazodilatanciami môže spôsobiť ďalšie zníženie krvného tlaku.</w:t>
            </w:r>
          </w:p>
        </w:tc>
      </w:tr>
    </w:tbl>
    <w:p w:rsidR="00C31730" w:rsidRPr="004B6827" w:rsidRDefault="00C31730" w:rsidP="00C31730">
      <w:pPr>
        <w:tabs>
          <w:tab w:val="clear" w:pos="567"/>
          <w:tab w:val="left" w:pos="1350"/>
        </w:tabs>
        <w:rPr>
          <w:szCs w:val="22"/>
          <w:lang w:val="sk-SK"/>
        </w:rPr>
      </w:pPr>
    </w:p>
    <w:p w:rsidR="00586480" w:rsidRPr="00275323" w:rsidRDefault="00586480" w:rsidP="00586480">
      <w:pPr>
        <w:autoSpaceDE w:val="0"/>
        <w:autoSpaceDN w:val="0"/>
        <w:adjustRightInd w:val="0"/>
        <w:rPr>
          <w:rFonts w:eastAsia="MS Mincho"/>
          <w:szCs w:val="22"/>
          <w:u w:val="single"/>
          <w:lang w:val="sk-SK" w:eastAsia="ja-JP" w:bidi="te-IN"/>
        </w:rPr>
      </w:pPr>
      <w:r w:rsidRPr="004B6827">
        <w:rPr>
          <w:rFonts w:eastAsia="MS Mincho"/>
          <w:szCs w:val="22"/>
          <w:u w:val="single"/>
          <w:lang w:val="sk-SK" w:eastAsia="ja-JP" w:bidi="te-IN"/>
        </w:rPr>
        <w:t>Tabuľka 1: Vplyv súbežne podávaných liekov na farmakokinetiku atorvastatínu</w:t>
      </w:r>
    </w:p>
    <w:p w:rsidR="00586480" w:rsidRPr="00275323" w:rsidRDefault="00586480" w:rsidP="00586480">
      <w:pPr>
        <w:autoSpaceDE w:val="0"/>
        <w:autoSpaceDN w:val="0"/>
        <w:adjustRightInd w:val="0"/>
        <w:rPr>
          <w:rFonts w:eastAsia="MS Mincho"/>
          <w:szCs w:val="22"/>
          <w:lang w:val="sk-SK" w:eastAsia="ja-JP" w:bidi="te-IN"/>
        </w:rPr>
      </w:pPr>
    </w:p>
    <w:tbl>
      <w:tblPr>
        <w:tblpPr w:leftFromText="180" w:rightFromText="180" w:vertAnchor="text" w:tblpXSpec="center" w:tblpY="1"/>
        <w:tblOverlap w:val="neve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779"/>
        <w:gridCol w:w="1641"/>
        <w:gridCol w:w="2952"/>
      </w:tblGrid>
      <w:tr w:rsidR="00586480" w:rsidRPr="004B6827" w:rsidTr="001E2F5B">
        <w:trPr>
          <w:jc w:val="center"/>
        </w:trPr>
        <w:tc>
          <w:tcPr>
            <w:tcW w:w="2808" w:type="dxa"/>
            <w:vMerge w:val="restart"/>
            <w:shd w:val="clear" w:color="auto" w:fill="auto"/>
          </w:tcPr>
          <w:p w:rsidR="00586480" w:rsidRPr="004B6827" w:rsidRDefault="00586480" w:rsidP="001E2F5B">
            <w:pPr>
              <w:rPr>
                <w:b/>
                <w:color w:val="000000"/>
                <w:szCs w:val="22"/>
                <w:lang w:val="sk-SK"/>
              </w:rPr>
            </w:pPr>
            <w:r w:rsidRPr="004B6827">
              <w:rPr>
                <w:b/>
                <w:color w:val="000000"/>
                <w:szCs w:val="22"/>
                <w:lang w:val="sk-SK"/>
              </w:rPr>
              <w:t>Súbežne podávaný liek a dávkovacia schéma</w:t>
            </w:r>
          </w:p>
        </w:tc>
        <w:tc>
          <w:tcPr>
            <w:tcW w:w="6372" w:type="dxa"/>
            <w:gridSpan w:val="3"/>
            <w:shd w:val="clear" w:color="auto" w:fill="auto"/>
          </w:tcPr>
          <w:p w:rsidR="00586480" w:rsidRPr="004B6827" w:rsidRDefault="00586480" w:rsidP="00586480">
            <w:pPr>
              <w:jc w:val="center"/>
              <w:rPr>
                <w:rFonts w:eastAsia="MS Mincho"/>
                <w:b/>
                <w:color w:val="000000"/>
                <w:szCs w:val="22"/>
                <w:lang w:val="sk-SK" w:eastAsia="ja-JP" w:bidi="te-IN"/>
              </w:rPr>
            </w:pPr>
            <w:r w:rsidRPr="004B6827">
              <w:rPr>
                <w:rFonts w:eastAsia="MS Mincho"/>
                <w:b/>
                <w:color w:val="000000"/>
                <w:szCs w:val="22"/>
                <w:lang w:val="sk-SK" w:eastAsia="ja-JP" w:bidi="te-IN"/>
              </w:rPr>
              <w:t>Atorvastatín</w:t>
            </w:r>
          </w:p>
        </w:tc>
      </w:tr>
      <w:tr w:rsidR="00586480" w:rsidRPr="004B6827" w:rsidTr="001E2F5B">
        <w:trPr>
          <w:jc w:val="center"/>
        </w:trPr>
        <w:tc>
          <w:tcPr>
            <w:tcW w:w="2808" w:type="dxa"/>
            <w:vMerge/>
            <w:shd w:val="clear" w:color="auto" w:fill="auto"/>
          </w:tcPr>
          <w:p w:rsidR="00586480" w:rsidRPr="004B6827" w:rsidRDefault="00586480" w:rsidP="001E2F5B">
            <w:pPr>
              <w:rPr>
                <w:b/>
                <w:color w:val="000000"/>
                <w:szCs w:val="22"/>
                <w:lang w:val="sk-SK"/>
              </w:rPr>
            </w:pPr>
          </w:p>
        </w:tc>
        <w:tc>
          <w:tcPr>
            <w:tcW w:w="1779" w:type="dxa"/>
            <w:shd w:val="clear" w:color="auto" w:fill="auto"/>
          </w:tcPr>
          <w:p w:rsidR="00586480" w:rsidRPr="004B6827" w:rsidRDefault="00586480" w:rsidP="00586480">
            <w:pPr>
              <w:rPr>
                <w:b/>
                <w:color w:val="000000"/>
                <w:szCs w:val="22"/>
                <w:lang w:val="sk-SK"/>
              </w:rPr>
            </w:pPr>
            <w:r w:rsidRPr="004B6827">
              <w:rPr>
                <w:b/>
                <w:color w:val="000000"/>
                <w:szCs w:val="22"/>
                <w:lang w:val="sk-SK"/>
              </w:rPr>
              <w:t>Dávka</w:t>
            </w:r>
          </w:p>
        </w:tc>
        <w:tc>
          <w:tcPr>
            <w:tcW w:w="1641" w:type="dxa"/>
            <w:shd w:val="clear" w:color="auto" w:fill="auto"/>
          </w:tcPr>
          <w:p w:rsidR="00586480" w:rsidRPr="004B6827" w:rsidRDefault="00586480" w:rsidP="001E2F5B">
            <w:pPr>
              <w:rPr>
                <w:b/>
                <w:color w:val="000000"/>
                <w:szCs w:val="22"/>
                <w:lang w:val="sk-SK" w:bidi="te-IN"/>
              </w:rPr>
            </w:pPr>
            <w:r w:rsidRPr="004B6827">
              <w:rPr>
                <w:b/>
                <w:color w:val="000000"/>
                <w:szCs w:val="22"/>
                <w:lang w:val="sk-SK"/>
              </w:rPr>
              <w:t>Zmena AUC</w:t>
            </w:r>
            <w:r w:rsidRPr="004B6827">
              <w:rPr>
                <w:b/>
                <w:color w:val="000000"/>
                <w:szCs w:val="22"/>
                <w:vertAlign w:val="superscript"/>
                <w:lang w:val="sk-SK"/>
              </w:rPr>
              <w:t>&amp;</w:t>
            </w:r>
          </w:p>
        </w:tc>
        <w:tc>
          <w:tcPr>
            <w:tcW w:w="2952" w:type="dxa"/>
            <w:shd w:val="clear" w:color="auto" w:fill="auto"/>
          </w:tcPr>
          <w:p w:rsidR="00586480" w:rsidRPr="004B6827" w:rsidRDefault="00586480" w:rsidP="001E2F5B">
            <w:pPr>
              <w:rPr>
                <w:b/>
                <w:color w:val="000000"/>
                <w:szCs w:val="22"/>
                <w:lang w:val="sk-SK"/>
              </w:rPr>
            </w:pPr>
            <w:r w:rsidRPr="004B6827">
              <w:rPr>
                <w:b/>
                <w:color w:val="000000"/>
                <w:szCs w:val="22"/>
                <w:lang w:val="sk-SK"/>
              </w:rPr>
              <w:t>Klinické odporúčanie</w:t>
            </w:r>
            <w:r w:rsidRPr="004B6827">
              <w:rPr>
                <w:b/>
                <w:color w:val="000000"/>
                <w:szCs w:val="22"/>
                <w:vertAlign w:val="superscript"/>
                <w:lang w:val="sk-SK"/>
              </w:rPr>
              <w:t>#</w:t>
            </w:r>
          </w:p>
        </w:tc>
      </w:tr>
      <w:tr w:rsidR="00586480" w:rsidRPr="004B6827" w:rsidTr="001E2F5B">
        <w:trPr>
          <w:trHeight w:val="468"/>
          <w:jc w:val="center"/>
        </w:trPr>
        <w:tc>
          <w:tcPr>
            <w:tcW w:w="2808" w:type="dxa"/>
            <w:shd w:val="clear" w:color="auto" w:fill="auto"/>
          </w:tcPr>
          <w:p w:rsidR="00586480" w:rsidRPr="00275323" w:rsidRDefault="00263A6D" w:rsidP="00586480">
            <w:pPr>
              <w:rPr>
                <w:color w:val="000000"/>
                <w:szCs w:val="22"/>
                <w:lang w:val="sk-SK"/>
              </w:rPr>
            </w:pPr>
            <w:r w:rsidRPr="004B6827">
              <w:rPr>
                <w:color w:val="000000"/>
                <w:szCs w:val="22"/>
                <w:lang w:val="sk-SK"/>
              </w:rPr>
              <w:t xml:space="preserve">Tipranavir 500 mg BID/ </w:t>
            </w:r>
            <w:r w:rsidR="00586480" w:rsidRPr="004B6827">
              <w:rPr>
                <w:color w:val="000000"/>
                <w:szCs w:val="22"/>
                <w:lang w:val="sk-SK"/>
              </w:rPr>
              <w:t>Ritonavir 200 mg BID, 8 dní (14. až 21</w:t>
            </w:r>
            <w:r w:rsidR="00421A58" w:rsidRPr="00275323">
              <w:rPr>
                <w:color w:val="000000"/>
                <w:szCs w:val="22"/>
                <w:lang w:val="sk-SK"/>
              </w:rPr>
              <w:t xml:space="preserve">. </w:t>
            </w:r>
            <w:r w:rsidR="00586480" w:rsidRPr="00275323">
              <w:rPr>
                <w:color w:val="000000"/>
                <w:szCs w:val="22"/>
                <w:lang w:val="sk-SK"/>
              </w:rPr>
              <w:t>deň)</w:t>
            </w:r>
          </w:p>
        </w:tc>
        <w:tc>
          <w:tcPr>
            <w:tcW w:w="1779" w:type="dxa"/>
            <w:shd w:val="clear" w:color="auto" w:fill="auto"/>
          </w:tcPr>
          <w:p w:rsidR="00586480" w:rsidRPr="004B6827" w:rsidRDefault="00586480" w:rsidP="001E2F5B">
            <w:pPr>
              <w:rPr>
                <w:color w:val="000000"/>
                <w:szCs w:val="22"/>
                <w:lang w:val="sk-SK"/>
              </w:rPr>
            </w:pPr>
            <w:r w:rsidRPr="004B6827">
              <w:rPr>
                <w:color w:val="000000"/>
                <w:szCs w:val="22"/>
                <w:lang w:val="sk-SK"/>
              </w:rPr>
              <w:t>40 mg na 1. deň, 10 mg na 20. deň</w:t>
            </w:r>
          </w:p>
        </w:tc>
        <w:tc>
          <w:tcPr>
            <w:tcW w:w="1641" w:type="dxa"/>
            <w:shd w:val="clear" w:color="auto" w:fill="auto"/>
          </w:tcPr>
          <w:p w:rsidR="00586480" w:rsidRPr="004B6827" w:rsidRDefault="00586480" w:rsidP="001E2F5B">
            <w:pPr>
              <w:rPr>
                <w:color w:val="000000"/>
                <w:szCs w:val="22"/>
                <w:lang w:val="sk-SK" w:bidi="te-IN"/>
              </w:rPr>
            </w:pPr>
            <w:r w:rsidRPr="004B6827">
              <w:rPr>
                <w:color w:val="000000"/>
                <w:szCs w:val="22"/>
                <w:lang w:val="sk-SK" w:bidi="te-IN"/>
              </w:rPr>
              <w:t>↑ 9,4</w:t>
            </w:r>
            <w:r w:rsidR="007C39CF" w:rsidRPr="004B6827">
              <w:rPr>
                <w:color w:val="000000"/>
                <w:szCs w:val="22"/>
                <w:lang w:val="sk-SK" w:bidi="te-IN"/>
              </w:rPr>
              <w:t>-</w:t>
            </w:r>
            <w:r w:rsidRPr="004B6827">
              <w:rPr>
                <w:color w:val="000000"/>
                <w:szCs w:val="22"/>
                <w:lang w:val="sk-SK" w:bidi="te-IN"/>
              </w:rPr>
              <w:t>násobok</w:t>
            </w:r>
          </w:p>
        </w:tc>
        <w:tc>
          <w:tcPr>
            <w:tcW w:w="2952" w:type="dxa"/>
            <w:vMerge w:val="restart"/>
            <w:shd w:val="clear" w:color="auto" w:fill="auto"/>
          </w:tcPr>
          <w:p w:rsidR="00586480" w:rsidRPr="004B6827" w:rsidRDefault="00586480" w:rsidP="00C9122D">
            <w:pPr>
              <w:rPr>
                <w:color w:val="000000"/>
                <w:szCs w:val="22"/>
                <w:lang w:val="sk-SK"/>
              </w:rPr>
            </w:pPr>
            <w:r w:rsidRPr="004B6827">
              <w:rPr>
                <w:color w:val="000000"/>
                <w:szCs w:val="22"/>
                <w:lang w:val="sk-SK"/>
              </w:rPr>
              <w:t xml:space="preserve">V prípadoch, kde </w:t>
            </w:r>
            <w:r w:rsidR="00C9122D" w:rsidRPr="004B6827">
              <w:rPr>
                <w:color w:val="000000"/>
                <w:szCs w:val="22"/>
                <w:lang w:val="sk-SK"/>
              </w:rPr>
              <w:t xml:space="preserve">je </w:t>
            </w:r>
            <w:r w:rsidRPr="004B6827">
              <w:rPr>
                <w:color w:val="000000"/>
                <w:szCs w:val="22"/>
                <w:lang w:val="sk-SK"/>
              </w:rPr>
              <w:t>súbežné podávanie s atorvastatínom nevyhnutné, neprekročte 10 mg atorvastatínu denne. Odporúča sa klinické monitorovanie týchto pacientov.</w:t>
            </w:r>
          </w:p>
        </w:tc>
      </w:tr>
      <w:tr w:rsidR="00586480" w:rsidRPr="004B6827" w:rsidTr="001E2F5B">
        <w:trPr>
          <w:trHeight w:val="468"/>
          <w:jc w:val="center"/>
        </w:trPr>
        <w:tc>
          <w:tcPr>
            <w:tcW w:w="2808" w:type="dxa"/>
            <w:shd w:val="clear" w:color="auto" w:fill="auto"/>
          </w:tcPr>
          <w:p w:rsidR="00586480" w:rsidRPr="004B6827" w:rsidRDefault="00586480" w:rsidP="001E2F5B">
            <w:pPr>
              <w:rPr>
                <w:color w:val="000000"/>
                <w:szCs w:val="22"/>
                <w:lang w:val="sk-SK"/>
              </w:rPr>
            </w:pPr>
            <w:r w:rsidRPr="004B6827">
              <w:rPr>
                <w:color w:val="000000"/>
                <w:szCs w:val="22"/>
                <w:lang w:val="sk-SK"/>
              </w:rPr>
              <w:t>Telaprevir 750 mg q8h, 10 dní</w:t>
            </w:r>
          </w:p>
        </w:tc>
        <w:tc>
          <w:tcPr>
            <w:tcW w:w="1779" w:type="dxa"/>
            <w:shd w:val="clear" w:color="auto" w:fill="auto"/>
          </w:tcPr>
          <w:p w:rsidR="00586480" w:rsidRPr="00275323" w:rsidRDefault="00586480" w:rsidP="001E2F5B">
            <w:pPr>
              <w:rPr>
                <w:color w:val="000000"/>
                <w:szCs w:val="22"/>
                <w:lang w:val="sk-SK"/>
              </w:rPr>
            </w:pPr>
            <w:r w:rsidRPr="00275323">
              <w:rPr>
                <w:color w:val="000000"/>
                <w:szCs w:val="22"/>
                <w:lang w:val="sk-SK"/>
              </w:rPr>
              <w:t>20 mg, SD</w:t>
            </w:r>
          </w:p>
        </w:tc>
        <w:tc>
          <w:tcPr>
            <w:tcW w:w="1641" w:type="dxa"/>
            <w:shd w:val="clear" w:color="auto" w:fill="auto"/>
          </w:tcPr>
          <w:p w:rsidR="00586480" w:rsidRPr="004B6827" w:rsidRDefault="00586480" w:rsidP="007C39CF">
            <w:pPr>
              <w:rPr>
                <w:color w:val="000000"/>
                <w:szCs w:val="22"/>
                <w:lang w:val="sk-SK" w:bidi="te-IN"/>
              </w:rPr>
            </w:pPr>
            <w:r w:rsidRPr="004B6827">
              <w:rPr>
                <w:color w:val="000000"/>
                <w:szCs w:val="22"/>
                <w:lang w:val="sk-SK" w:bidi="te-IN"/>
              </w:rPr>
              <w:t>↑ 7,9</w:t>
            </w:r>
            <w:r w:rsidR="007C39CF" w:rsidRPr="004B6827">
              <w:rPr>
                <w:color w:val="000000"/>
                <w:szCs w:val="22"/>
                <w:lang w:val="sk-SK" w:bidi="te-IN"/>
              </w:rPr>
              <w:t>-</w:t>
            </w:r>
            <w:r w:rsidRPr="004B6827">
              <w:rPr>
                <w:color w:val="000000"/>
                <w:szCs w:val="22"/>
                <w:lang w:val="sk-SK" w:bidi="te-IN"/>
              </w:rPr>
              <w:t>násobok</w:t>
            </w:r>
          </w:p>
        </w:tc>
        <w:tc>
          <w:tcPr>
            <w:tcW w:w="2952" w:type="dxa"/>
            <w:vMerge/>
            <w:shd w:val="clear" w:color="auto" w:fill="auto"/>
          </w:tcPr>
          <w:p w:rsidR="00586480" w:rsidRPr="004B6827" w:rsidRDefault="00586480" w:rsidP="001E2F5B">
            <w:pPr>
              <w:rPr>
                <w:color w:val="000000"/>
                <w:szCs w:val="22"/>
                <w:lang w:val="sk-SK"/>
              </w:rPr>
            </w:pPr>
          </w:p>
        </w:tc>
      </w:tr>
      <w:tr w:rsidR="00586480" w:rsidRPr="004B6827" w:rsidTr="001E2F5B">
        <w:trPr>
          <w:jc w:val="center"/>
        </w:trPr>
        <w:tc>
          <w:tcPr>
            <w:tcW w:w="2808" w:type="dxa"/>
            <w:shd w:val="clear" w:color="auto" w:fill="auto"/>
          </w:tcPr>
          <w:p w:rsidR="00586480" w:rsidRPr="004B6827" w:rsidRDefault="00586480" w:rsidP="001E2F5B">
            <w:pPr>
              <w:rPr>
                <w:color w:val="000000"/>
                <w:szCs w:val="22"/>
                <w:lang w:val="sk-SK"/>
              </w:rPr>
            </w:pPr>
            <w:r w:rsidRPr="004B6827">
              <w:rPr>
                <w:color w:val="000000"/>
                <w:szCs w:val="22"/>
                <w:lang w:val="sk-SK"/>
              </w:rPr>
              <w:t xml:space="preserve">Cyklosporín 5,2 mg/kg/deň, stabilná dávka </w:t>
            </w:r>
          </w:p>
        </w:tc>
        <w:tc>
          <w:tcPr>
            <w:tcW w:w="1779" w:type="dxa"/>
            <w:shd w:val="clear" w:color="auto" w:fill="auto"/>
          </w:tcPr>
          <w:p w:rsidR="00586480" w:rsidRPr="00275323" w:rsidRDefault="00586480" w:rsidP="001E2F5B">
            <w:pPr>
              <w:rPr>
                <w:color w:val="000000"/>
                <w:szCs w:val="22"/>
                <w:lang w:val="sk-SK"/>
              </w:rPr>
            </w:pPr>
            <w:r w:rsidRPr="00275323">
              <w:rPr>
                <w:color w:val="000000"/>
                <w:szCs w:val="22"/>
                <w:lang w:val="sk-SK"/>
              </w:rPr>
              <w:t>10 mg OD počas 28 dní</w:t>
            </w:r>
          </w:p>
        </w:tc>
        <w:tc>
          <w:tcPr>
            <w:tcW w:w="1641" w:type="dxa"/>
            <w:shd w:val="clear" w:color="auto" w:fill="auto"/>
          </w:tcPr>
          <w:p w:rsidR="00586480" w:rsidRPr="004B6827" w:rsidRDefault="00586480" w:rsidP="007C39CF">
            <w:pPr>
              <w:rPr>
                <w:color w:val="000000"/>
                <w:szCs w:val="22"/>
                <w:lang w:val="sk-SK" w:bidi="te-IN"/>
              </w:rPr>
            </w:pPr>
            <w:r w:rsidRPr="004B6827">
              <w:rPr>
                <w:color w:val="000000"/>
                <w:szCs w:val="22"/>
                <w:lang w:val="sk-SK" w:bidi="te-IN"/>
              </w:rPr>
              <w:t>↑ 8,7</w:t>
            </w:r>
            <w:r w:rsidR="007C39CF" w:rsidRPr="004B6827">
              <w:rPr>
                <w:color w:val="000000"/>
                <w:szCs w:val="22"/>
                <w:lang w:val="sk-SK" w:bidi="te-IN"/>
              </w:rPr>
              <w:t>-</w:t>
            </w:r>
            <w:r w:rsidRPr="004B6827">
              <w:rPr>
                <w:color w:val="000000"/>
                <w:szCs w:val="22"/>
                <w:lang w:val="sk-SK" w:bidi="te-IN"/>
              </w:rPr>
              <w:t>násobok</w:t>
            </w:r>
          </w:p>
        </w:tc>
        <w:tc>
          <w:tcPr>
            <w:tcW w:w="2952" w:type="dxa"/>
            <w:vMerge/>
            <w:shd w:val="clear" w:color="auto" w:fill="auto"/>
          </w:tcPr>
          <w:p w:rsidR="00586480" w:rsidRPr="004B6827" w:rsidRDefault="00586480" w:rsidP="001E2F5B">
            <w:pPr>
              <w:rPr>
                <w:color w:val="000000"/>
                <w:szCs w:val="22"/>
                <w:lang w:val="sk-SK"/>
              </w:rPr>
            </w:pPr>
          </w:p>
        </w:tc>
      </w:tr>
      <w:tr w:rsidR="00586480" w:rsidRPr="005023C8" w:rsidTr="001E2F5B">
        <w:trPr>
          <w:jc w:val="center"/>
        </w:trPr>
        <w:tc>
          <w:tcPr>
            <w:tcW w:w="2808" w:type="dxa"/>
            <w:shd w:val="clear" w:color="auto" w:fill="auto"/>
          </w:tcPr>
          <w:p w:rsidR="00586480" w:rsidRPr="004B6827" w:rsidRDefault="00586480" w:rsidP="00586480">
            <w:pPr>
              <w:rPr>
                <w:color w:val="000000"/>
                <w:szCs w:val="22"/>
                <w:lang w:val="sk-SK"/>
              </w:rPr>
            </w:pPr>
            <w:r w:rsidRPr="004B6827">
              <w:rPr>
                <w:color w:val="000000"/>
                <w:szCs w:val="22"/>
                <w:lang w:val="sk-SK"/>
              </w:rPr>
              <w:t>Lopinavir 400 mg BID/ Ritonavir 100 mg BID, 14 dní</w:t>
            </w:r>
          </w:p>
        </w:tc>
        <w:tc>
          <w:tcPr>
            <w:tcW w:w="1779" w:type="dxa"/>
            <w:shd w:val="clear" w:color="auto" w:fill="auto"/>
          </w:tcPr>
          <w:p w:rsidR="00586480" w:rsidRPr="00275323" w:rsidRDefault="00586480" w:rsidP="001E2F5B">
            <w:pPr>
              <w:rPr>
                <w:color w:val="000000"/>
                <w:szCs w:val="22"/>
                <w:lang w:val="sk-SK"/>
              </w:rPr>
            </w:pPr>
            <w:r w:rsidRPr="00275323">
              <w:rPr>
                <w:color w:val="000000"/>
                <w:szCs w:val="22"/>
                <w:lang w:val="sk-SK"/>
              </w:rPr>
              <w:t>20 mg OD počas 4 dní</w:t>
            </w:r>
          </w:p>
        </w:tc>
        <w:tc>
          <w:tcPr>
            <w:tcW w:w="1641" w:type="dxa"/>
            <w:shd w:val="clear" w:color="auto" w:fill="auto"/>
          </w:tcPr>
          <w:p w:rsidR="00586480" w:rsidRPr="004B6827" w:rsidRDefault="00586480" w:rsidP="007C39CF">
            <w:pPr>
              <w:rPr>
                <w:color w:val="000000"/>
                <w:szCs w:val="22"/>
                <w:lang w:val="sk-SK" w:bidi="te-IN"/>
              </w:rPr>
            </w:pPr>
            <w:r w:rsidRPr="004B6827">
              <w:rPr>
                <w:color w:val="000000"/>
                <w:szCs w:val="22"/>
                <w:lang w:val="sk-SK" w:bidi="te-IN"/>
              </w:rPr>
              <w:t>↑ 5,9</w:t>
            </w:r>
            <w:r w:rsidR="007C39CF" w:rsidRPr="004B6827">
              <w:rPr>
                <w:color w:val="000000"/>
                <w:szCs w:val="22"/>
                <w:lang w:val="sk-SK" w:bidi="te-IN"/>
              </w:rPr>
              <w:t>-</w:t>
            </w:r>
            <w:r w:rsidRPr="004B6827">
              <w:rPr>
                <w:color w:val="000000"/>
                <w:szCs w:val="22"/>
                <w:lang w:val="sk-SK" w:bidi="te-IN"/>
              </w:rPr>
              <w:t>násobok</w:t>
            </w:r>
          </w:p>
        </w:tc>
        <w:tc>
          <w:tcPr>
            <w:tcW w:w="2952" w:type="dxa"/>
            <w:vMerge w:val="restart"/>
            <w:shd w:val="clear" w:color="auto" w:fill="auto"/>
          </w:tcPr>
          <w:p w:rsidR="00586480" w:rsidRPr="004B6827" w:rsidRDefault="00586480" w:rsidP="00C9122D">
            <w:pPr>
              <w:rPr>
                <w:color w:val="000000"/>
                <w:szCs w:val="22"/>
                <w:lang w:val="sk-SK"/>
              </w:rPr>
            </w:pPr>
            <w:r w:rsidRPr="004B6827">
              <w:rPr>
                <w:color w:val="000000"/>
                <w:szCs w:val="22"/>
                <w:lang w:val="sk-SK"/>
              </w:rPr>
              <w:t xml:space="preserve">V prípadoch, kde </w:t>
            </w:r>
            <w:r w:rsidR="00C9122D" w:rsidRPr="004B6827">
              <w:rPr>
                <w:color w:val="000000"/>
                <w:szCs w:val="22"/>
                <w:lang w:val="sk-SK"/>
              </w:rPr>
              <w:t xml:space="preserve">je </w:t>
            </w:r>
            <w:r w:rsidRPr="004B6827">
              <w:rPr>
                <w:color w:val="000000"/>
                <w:szCs w:val="22"/>
                <w:lang w:val="sk-SK"/>
              </w:rPr>
              <w:t>súbežné podávanie s atorvastatínom nevyhnutné, sa odporúčajú nižšie udržiavacie dávky atorvastatínu. Pri dávkach atorvastatínu prekračujúcich 20 mg sa odporúča klinické monitorovanie týchto pacientov</w:t>
            </w:r>
            <w:r w:rsidRPr="004B6827">
              <w:rPr>
                <w:i/>
                <w:color w:val="000000"/>
                <w:szCs w:val="22"/>
                <w:lang w:val="sk-SK"/>
              </w:rPr>
              <w:t>.</w:t>
            </w:r>
          </w:p>
        </w:tc>
      </w:tr>
      <w:tr w:rsidR="00586480" w:rsidRPr="004B6827" w:rsidTr="001E2F5B">
        <w:trPr>
          <w:jc w:val="center"/>
        </w:trPr>
        <w:tc>
          <w:tcPr>
            <w:tcW w:w="2808" w:type="dxa"/>
            <w:shd w:val="clear" w:color="auto" w:fill="auto"/>
          </w:tcPr>
          <w:p w:rsidR="00586480" w:rsidRPr="004B6827" w:rsidRDefault="00586480" w:rsidP="001E2F5B">
            <w:pPr>
              <w:rPr>
                <w:color w:val="000000"/>
                <w:szCs w:val="22"/>
                <w:lang w:val="sk-SK"/>
              </w:rPr>
            </w:pPr>
            <w:r w:rsidRPr="004B6827">
              <w:rPr>
                <w:color w:val="000000"/>
                <w:szCs w:val="22"/>
                <w:lang w:val="sk-SK"/>
              </w:rPr>
              <w:t xml:space="preserve">Klaritromycín 500 mg BID, 9 dní </w:t>
            </w:r>
          </w:p>
        </w:tc>
        <w:tc>
          <w:tcPr>
            <w:tcW w:w="1779" w:type="dxa"/>
            <w:shd w:val="clear" w:color="auto" w:fill="auto"/>
          </w:tcPr>
          <w:p w:rsidR="00586480" w:rsidRPr="00275323" w:rsidRDefault="00586480" w:rsidP="001E2F5B">
            <w:pPr>
              <w:rPr>
                <w:color w:val="000000"/>
                <w:szCs w:val="22"/>
                <w:lang w:val="sk-SK"/>
              </w:rPr>
            </w:pPr>
            <w:r w:rsidRPr="00275323">
              <w:rPr>
                <w:color w:val="000000"/>
                <w:szCs w:val="22"/>
                <w:lang w:val="sk-SK"/>
              </w:rPr>
              <w:t>80 mg OD počas 8 dní</w:t>
            </w:r>
          </w:p>
        </w:tc>
        <w:tc>
          <w:tcPr>
            <w:tcW w:w="1641" w:type="dxa"/>
            <w:shd w:val="clear" w:color="auto" w:fill="auto"/>
          </w:tcPr>
          <w:p w:rsidR="00586480" w:rsidRPr="004B6827" w:rsidRDefault="00586480" w:rsidP="007C39CF">
            <w:pPr>
              <w:rPr>
                <w:color w:val="000000"/>
                <w:szCs w:val="22"/>
                <w:lang w:val="sk-SK" w:bidi="te-IN"/>
              </w:rPr>
            </w:pPr>
            <w:r w:rsidRPr="004B6827">
              <w:rPr>
                <w:color w:val="000000"/>
                <w:szCs w:val="22"/>
                <w:lang w:val="sk-SK" w:bidi="te-IN"/>
              </w:rPr>
              <w:t>↑ 4,4</w:t>
            </w:r>
            <w:r w:rsidR="007C39CF" w:rsidRPr="004B6827">
              <w:rPr>
                <w:color w:val="000000"/>
                <w:szCs w:val="22"/>
                <w:lang w:val="sk-SK" w:bidi="te-IN"/>
              </w:rPr>
              <w:t>-</w:t>
            </w:r>
            <w:r w:rsidRPr="004B6827">
              <w:rPr>
                <w:color w:val="000000"/>
                <w:szCs w:val="22"/>
                <w:lang w:val="sk-SK" w:bidi="te-IN"/>
              </w:rPr>
              <w:t>násobok</w:t>
            </w:r>
          </w:p>
        </w:tc>
        <w:tc>
          <w:tcPr>
            <w:tcW w:w="2952" w:type="dxa"/>
            <w:vMerge/>
            <w:shd w:val="clear" w:color="auto" w:fill="auto"/>
          </w:tcPr>
          <w:p w:rsidR="00586480" w:rsidRPr="004B6827" w:rsidRDefault="00586480" w:rsidP="001E2F5B">
            <w:pPr>
              <w:rPr>
                <w:color w:val="000000"/>
                <w:szCs w:val="22"/>
                <w:lang w:val="sk-SK"/>
              </w:rPr>
            </w:pPr>
          </w:p>
        </w:tc>
      </w:tr>
      <w:tr w:rsidR="00586480" w:rsidRPr="005023C8" w:rsidTr="001E2F5B">
        <w:trPr>
          <w:jc w:val="center"/>
        </w:trPr>
        <w:tc>
          <w:tcPr>
            <w:tcW w:w="2808" w:type="dxa"/>
            <w:shd w:val="clear" w:color="auto" w:fill="auto"/>
          </w:tcPr>
          <w:p w:rsidR="00586480" w:rsidRPr="004B6827" w:rsidRDefault="00586480" w:rsidP="001E2F5B">
            <w:pPr>
              <w:rPr>
                <w:szCs w:val="22"/>
                <w:lang w:val="sk-SK"/>
              </w:rPr>
            </w:pPr>
            <w:r w:rsidRPr="004B6827">
              <w:rPr>
                <w:szCs w:val="22"/>
                <w:lang w:val="sk-SK"/>
              </w:rPr>
              <w:t>Sachinavir 400 mg BID/ Ritonavir (300 mg BID od 5. </w:t>
            </w:r>
            <w:r w:rsidRPr="004B6827">
              <w:rPr>
                <w:szCs w:val="22"/>
                <w:lang w:val="sk-SK"/>
              </w:rPr>
              <w:noBreakHyphen/>
              <w:t> 7. dňa, zvýšenie na 400 mg BID na 8. deň), 4. </w:t>
            </w:r>
            <w:r w:rsidRPr="004B6827">
              <w:rPr>
                <w:szCs w:val="22"/>
                <w:lang w:val="sk-SK"/>
              </w:rPr>
              <w:noBreakHyphen/>
              <w:t> 18. deň, 30 min po dávke atorvastatínu</w:t>
            </w:r>
          </w:p>
        </w:tc>
        <w:tc>
          <w:tcPr>
            <w:tcW w:w="1779" w:type="dxa"/>
            <w:shd w:val="clear" w:color="auto" w:fill="auto"/>
          </w:tcPr>
          <w:p w:rsidR="00586480" w:rsidRPr="00275323" w:rsidRDefault="00586480" w:rsidP="001E2F5B">
            <w:pPr>
              <w:rPr>
                <w:color w:val="000000"/>
                <w:szCs w:val="22"/>
                <w:lang w:val="sk-SK"/>
              </w:rPr>
            </w:pPr>
            <w:r w:rsidRPr="00275323">
              <w:rPr>
                <w:color w:val="000000"/>
                <w:szCs w:val="22"/>
                <w:lang w:val="sk-SK"/>
              </w:rPr>
              <w:t>40 mg OD počas 4 dní</w:t>
            </w:r>
          </w:p>
        </w:tc>
        <w:tc>
          <w:tcPr>
            <w:tcW w:w="1641" w:type="dxa"/>
            <w:shd w:val="clear" w:color="auto" w:fill="auto"/>
          </w:tcPr>
          <w:p w:rsidR="00586480" w:rsidRPr="004B6827" w:rsidRDefault="00586480" w:rsidP="007C39CF">
            <w:pPr>
              <w:rPr>
                <w:color w:val="000000"/>
                <w:szCs w:val="22"/>
                <w:lang w:val="sk-SK" w:bidi="te-IN"/>
              </w:rPr>
            </w:pPr>
            <w:r w:rsidRPr="004B6827">
              <w:rPr>
                <w:color w:val="000000"/>
                <w:szCs w:val="22"/>
                <w:lang w:val="sk-SK" w:bidi="te-IN"/>
              </w:rPr>
              <w:t>↑ 3,9</w:t>
            </w:r>
            <w:r w:rsidR="007C39CF" w:rsidRPr="004B6827">
              <w:rPr>
                <w:color w:val="000000"/>
                <w:szCs w:val="22"/>
                <w:lang w:val="sk-SK" w:bidi="te-IN"/>
              </w:rPr>
              <w:t>-</w:t>
            </w:r>
            <w:r w:rsidRPr="004B6827">
              <w:rPr>
                <w:color w:val="000000"/>
                <w:szCs w:val="22"/>
                <w:lang w:val="sk-SK" w:bidi="te-IN"/>
              </w:rPr>
              <w:t>násobok</w:t>
            </w:r>
          </w:p>
        </w:tc>
        <w:tc>
          <w:tcPr>
            <w:tcW w:w="2952" w:type="dxa"/>
            <w:vMerge w:val="restart"/>
            <w:shd w:val="clear" w:color="auto" w:fill="auto"/>
          </w:tcPr>
          <w:p w:rsidR="00586480" w:rsidRPr="004B6827" w:rsidRDefault="00586480" w:rsidP="00C9122D">
            <w:pPr>
              <w:rPr>
                <w:color w:val="000000"/>
                <w:szCs w:val="22"/>
                <w:lang w:val="sk-SK"/>
              </w:rPr>
            </w:pPr>
            <w:r w:rsidRPr="004B6827">
              <w:rPr>
                <w:color w:val="000000"/>
                <w:szCs w:val="22"/>
                <w:lang w:val="sk-SK"/>
              </w:rPr>
              <w:t xml:space="preserve">V prípadoch, kde </w:t>
            </w:r>
            <w:r w:rsidR="00C9122D" w:rsidRPr="004B6827">
              <w:rPr>
                <w:color w:val="000000"/>
                <w:szCs w:val="22"/>
                <w:lang w:val="sk-SK"/>
              </w:rPr>
              <w:t xml:space="preserve">je </w:t>
            </w:r>
            <w:r w:rsidRPr="004B6827">
              <w:rPr>
                <w:color w:val="000000"/>
                <w:szCs w:val="22"/>
                <w:lang w:val="sk-SK"/>
              </w:rPr>
              <w:t>súbežné podávanie s atorvastatínom nevyhnutné, sa odporúčajú nižšie udržiavacie dávky atorvastatínu. Pri dávkach atorvastatínu prekračujúcich 40 mg sa odporúča klinické monitorovanie týchto pacientov</w:t>
            </w:r>
            <w:r w:rsidRPr="004B6827">
              <w:rPr>
                <w:i/>
                <w:color w:val="000000"/>
                <w:szCs w:val="22"/>
                <w:lang w:val="sk-SK"/>
              </w:rPr>
              <w:t>.</w:t>
            </w:r>
          </w:p>
        </w:tc>
      </w:tr>
      <w:tr w:rsidR="00586480" w:rsidRPr="004B6827" w:rsidTr="001E2F5B">
        <w:trPr>
          <w:jc w:val="center"/>
        </w:trPr>
        <w:tc>
          <w:tcPr>
            <w:tcW w:w="2808" w:type="dxa"/>
            <w:shd w:val="clear" w:color="auto" w:fill="auto"/>
          </w:tcPr>
          <w:p w:rsidR="00586480" w:rsidRPr="004B6827" w:rsidRDefault="00586480" w:rsidP="001E2F5B">
            <w:pPr>
              <w:rPr>
                <w:color w:val="000000"/>
                <w:szCs w:val="22"/>
                <w:lang w:val="sk-SK"/>
              </w:rPr>
            </w:pPr>
            <w:r w:rsidRPr="004B6827">
              <w:rPr>
                <w:color w:val="000000"/>
                <w:szCs w:val="22"/>
                <w:lang w:val="sk-SK"/>
              </w:rPr>
              <w:t>Darunavir 300 mg BID/</w:t>
            </w:r>
          </w:p>
          <w:p w:rsidR="00586480" w:rsidRPr="00275323" w:rsidRDefault="00586480" w:rsidP="001E2F5B">
            <w:pPr>
              <w:rPr>
                <w:color w:val="000000"/>
                <w:szCs w:val="22"/>
                <w:lang w:val="sk-SK"/>
              </w:rPr>
            </w:pPr>
            <w:r w:rsidRPr="004B6827">
              <w:rPr>
                <w:color w:val="000000"/>
                <w:szCs w:val="22"/>
                <w:lang w:val="sk-SK"/>
              </w:rPr>
              <w:t xml:space="preserve">Ritonavir 100 mg BID, 9 dní </w:t>
            </w:r>
          </w:p>
        </w:tc>
        <w:tc>
          <w:tcPr>
            <w:tcW w:w="1779" w:type="dxa"/>
            <w:shd w:val="clear" w:color="auto" w:fill="auto"/>
          </w:tcPr>
          <w:p w:rsidR="00586480" w:rsidRPr="004B6827" w:rsidRDefault="00586480" w:rsidP="001E2F5B">
            <w:pPr>
              <w:rPr>
                <w:color w:val="000000"/>
                <w:szCs w:val="22"/>
                <w:lang w:val="sk-SK"/>
              </w:rPr>
            </w:pPr>
            <w:r w:rsidRPr="004B6827">
              <w:rPr>
                <w:color w:val="000000"/>
                <w:szCs w:val="22"/>
                <w:lang w:val="sk-SK"/>
              </w:rPr>
              <w:t>10 mg OD počas 4 dní</w:t>
            </w:r>
          </w:p>
        </w:tc>
        <w:tc>
          <w:tcPr>
            <w:tcW w:w="1641" w:type="dxa"/>
            <w:shd w:val="clear" w:color="auto" w:fill="auto"/>
          </w:tcPr>
          <w:p w:rsidR="00586480" w:rsidRPr="004B6827" w:rsidRDefault="00586480" w:rsidP="007C39CF">
            <w:pPr>
              <w:rPr>
                <w:color w:val="000000"/>
                <w:szCs w:val="22"/>
                <w:lang w:val="sk-SK" w:bidi="te-IN"/>
              </w:rPr>
            </w:pPr>
            <w:r w:rsidRPr="004B6827">
              <w:rPr>
                <w:color w:val="000000"/>
                <w:szCs w:val="22"/>
                <w:lang w:val="sk-SK" w:bidi="te-IN"/>
              </w:rPr>
              <w:t>↑ 3,3</w:t>
            </w:r>
            <w:r w:rsidR="007C39CF" w:rsidRPr="004B6827">
              <w:rPr>
                <w:color w:val="000000"/>
                <w:szCs w:val="22"/>
                <w:lang w:val="sk-SK" w:bidi="te-IN"/>
              </w:rPr>
              <w:t>-</w:t>
            </w:r>
            <w:r w:rsidRPr="004B6827">
              <w:rPr>
                <w:color w:val="000000"/>
                <w:szCs w:val="22"/>
                <w:lang w:val="sk-SK" w:bidi="te-IN"/>
              </w:rPr>
              <w:t>násobok</w:t>
            </w:r>
          </w:p>
        </w:tc>
        <w:tc>
          <w:tcPr>
            <w:tcW w:w="2952" w:type="dxa"/>
            <w:vMerge/>
            <w:shd w:val="clear" w:color="auto" w:fill="auto"/>
          </w:tcPr>
          <w:p w:rsidR="00586480" w:rsidRPr="004B6827" w:rsidRDefault="00586480" w:rsidP="001E2F5B">
            <w:pPr>
              <w:rPr>
                <w:color w:val="000000"/>
                <w:szCs w:val="22"/>
                <w:lang w:val="sk-SK"/>
              </w:rPr>
            </w:pPr>
          </w:p>
        </w:tc>
      </w:tr>
      <w:tr w:rsidR="00586480" w:rsidRPr="004B6827" w:rsidTr="001E2F5B">
        <w:trPr>
          <w:jc w:val="center"/>
        </w:trPr>
        <w:tc>
          <w:tcPr>
            <w:tcW w:w="2808" w:type="dxa"/>
            <w:shd w:val="clear" w:color="auto" w:fill="auto"/>
          </w:tcPr>
          <w:p w:rsidR="00586480" w:rsidRPr="004B6827" w:rsidRDefault="00586480" w:rsidP="001E2F5B">
            <w:pPr>
              <w:rPr>
                <w:color w:val="000000"/>
                <w:szCs w:val="22"/>
                <w:lang w:val="sk-SK"/>
              </w:rPr>
            </w:pPr>
            <w:r w:rsidRPr="004B6827">
              <w:rPr>
                <w:color w:val="000000"/>
                <w:szCs w:val="22"/>
                <w:lang w:val="sk-SK"/>
              </w:rPr>
              <w:t xml:space="preserve">Itrakonazol 200 mg OD, 4 dni </w:t>
            </w:r>
          </w:p>
        </w:tc>
        <w:tc>
          <w:tcPr>
            <w:tcW w:w="1779" w:type="dxa"/>
            <w:shd w:val="clear" w:color="auto" w:fill="auto"/>
          </w:tcPr>
          <w:p w:rsidR="00586480" w:rsidRPr="00275323" w:rsidRDefault="00586480" w:rsidP="001E2F5B">
            <w:pPr>
              <w:rPr>
                <w:color w:val="000000"/>
                <w:szCs w:val="22"/>
                <w:lang w:val="sk-SK"/>
              </w:rPr>
            </w:pPr>
            <w:r w:rsidRPr="00275323">
              <w:rPr>
                <w:color w:val="000000"/>
                <w:szCs w:val="22"/>
                <w:lang w:val="sk-SK"/>
              </w:rPr>
              <w:t>40 mg SD</w:t>
            </w:r>
          </w:p>
        </w:tc>
        <w:tc>
          <w:tcPr>
            <w:tcW w:w="1641" w:type="dxa"/>
            <w:shd w:val="clear" w:color="auto" w:fill="auto"/>
          </w:tcPr>
          <w:p w:rsidR="00586480" w:rsidRPr="004B6827" w:rsidRDefault="00586480" w:rsidP="007C39CF">
            <w:pPr>
              <w:rPr>
                <w:color w:val="000000"/>
                <w:szCs w:val="22"/>
                <w:lang w:val="sk-SK" w:bidi="te-IN"/>
              </w:rPr>
            </w:pPr>
            <w:r w:rsidRPr="004B6827">
              <w:rPr>
                <w:color w:val="000000"/>
                <w:szCs w:val="22"/>
                <w:lang w:val="sk-SK" w:bidi="te-IN"/>
              </w:rPr>
              <w:t>↑ 3,3</w:t>
            </w:r>
            <w:r w:rsidR="007C39CF" w:rsidRPr="004B6827">
              <w:rPr>
                <w:color w:val="000000"/>
                <w:szCs w:val="22"/>
                <w:lang w:val="sk-SK" w:bidi="te-IN"/>
              </w:rPr>
              <w:t>-</w:t>
            </w:r>
            <w:r w:rsidRPr="004B6827">
              <w:rPr>
                <w:color w:val="000000"/>
                <w:szCs w:val="22"/>
                <w:lang w:val="sk-SK" w:bidi="te-IN"/>
              </w:rPr>
              <w:t>násobok</w:t>
            </w:r>
          </w:p>
        </w:tc>
        <w:tc>
          <w:tcPr>
            <w:tcW w:w="2952" w:type="dxa"/>
            <w:vMerge/>
            <w:shd w:val="clear" w:color="auto" w:fill="auto"/>
          </w:tcPr>
          <w:p w:rsidR="00586480" w:rsidRPr="004B6827" w:rsidRDefault="00586480" w:rsidP="001E2F5B">
            <w:pPr>
              <w:rPr>
                <w:color w:val="000000"/>
                <w:szCs w:val="22"/>
                <w:lang w:val="sk-SK"/>
              </w:rPr>
            </w:pPr>
          </w:p>
        </w:tc>
      </w:tr>
      <w:tr w:rsidR="00586480" w:rsidRPr="004B6827" w:rsidTr="001E2F5B">
        <w:trPr>
          <w:jc w:val="center"/>
        </w:trPr>
        <w:tc>
          <w:tcPr>
            <w:tcW w:w="2808" w:type="dxa"/>
            <w:shd w:val="clear" w:color="auto" w:fill="auto"/>
          </w:tcPr>
          <w:p w:rsidR="00586480" w:rsidRPr="004B6827" w:rsidRDefault="00586480" w:rsidP="00586480">
            <w:pPr>
              <w:rPr>
                <w:color w:val="000000"/>
                <w:szCs w:val="22"/>
                <w:lang w:val="sk-SK"/>
              </w:rPr>
            </w:pPr>
            <w:r w:rsidRPr="004B6827">
              <w:rPr>
                <w:color w:val="000000"/>
                <w:szCs w:val="22"/>
                <w:lang w:val="sk-SK"/>
              </w:rPr>
              <w:t>Fosamprenavir 700 mg BID/  Ritonavir 100 mg BID, 14 dní</w:t>
            </w:r>
          </w:p>
        </w:tc>
        <w:tc>
          <w:tcPr>
            <w:tcW w:w="1779" w:type="dxa"/>
            <w:shd w:val="clear" w:color="auto" w:fill="auto"/>
          </w:tcPr>
          <w:p w:rsidR="00586480" w:rsidRPr="00275323" w:rsidRDefault="00586480" w:rsidP="001E2F5B">
            <w:pPr>
              <w:rPr>
                <w:color w:val="000000"/>
                <w:szCs w:val="22"/>
                <w:lang w:val="sk-SK"/>
              </w:rPr>
            </w:pPr>
            <w:r w:rsidRPr="00275323">
              <w:rPr>
                <w:color w:val="000000"/>
                <w:szCs w:val="22"/>
                <w:lang w:val="sk-SK"/>
              </w:rPr>
              <w:t>10 mg OD počas 4 dní</w:t>
            </w:r>
          </w:p>
        </w:tc>
        <w:tc>
          <w:tcPr>
            <w:tcW w:w="1641" w:type="dxa"/>
            <w:shd w:val="clear" w:color="auto" w:fill="auto"/>
          </w:tcPr>
          <w:p w:rsidR="00586480" w:rsidRPr="004B6827" w:rsidRDefault="00586480" w:rsidP="007C39CF">
            <w:pPr>
              <w:rPr>
                <w:color w:val="000000"/>
                <w:szCs w:val="22"/>
                <w:lang w:val="sk-SK" w:bidi="te-IN"/>
              </w:rPr>
            </w:pPr>
            <w:r w:rsidRPr="004B6827">
              <w:rPr>
                <w:color w:val="000000"/>
                <w:szCs w:val="22"/>
                <w:lang w:val="sk-SK" w:bidi="te-IN"/>
              </w:rPr>
              <w:t>↑ 2,5</w:t>
            </w:r>
            <w:r w:rsidR="007C39CF" w:rsidRPr="004B6827">
              <w:rPr>
                <w:color w:val="000000"/>
                <w:szCs w:val="22"/>
                <w:lang w:val="sk-SK" w:bidi="te-IN"/>
              </w:rPr>
              <w:t>-</w:t>
            </w:r>
            <w:r w:rsidRPr="004B6827">
              <w:rPr>
                <w:color w:val="000000"/>
                <w:szCs w:val="22"/>
                <w:lang w:val="sk-SK" w:bidi="te-IN"/>
              </w:rPr>
              <w:t>násobok</w:t>
            </w:r>
          </w:p>
        </w:tc>
        <w:tc>
          <w:tcPr>
            <w:tcW w:w="2952" w:type="dxa"/>
            <w:vMerge/>
            <w:shd w:val="clear" w:color="auto" w:fill="auto"/>
          </w:tcPr>
          <w:p w:rsidR="00586480" w:rsidRPr="004B6827" w:rsidRDefault="00586480" w:rsidP="001E2F5B">
            <w:pPr>
              <w:rPr>
                <w:color w:val="000000"/>
                <w:szCs w:val="22"/>
                <w:lang w:val="sk-SK"/>
              </w:rPr>
            </w:pPr>
          </w:p>
        </w:tc>
      </w:tr>
      <w:tr w:rsidR="00586480" w:rsidRPr="004B6827" w:rsidTr="001E2F5B">
        <w:trPr>
          <w:jc w:val="center"/>
        </w:trPr>
        <w:tc>
          <w:tcPr>
            <w:tcW w:w="2808" w:type="dxa"/>
            <w:shd w:val="clear" w:color="auto" w:fill="auto"/>
          </w:tcPr>
          <w:p w:rsidR="00586480" w:rsidRPr="004B6827" w:rsidRDefault="00586480" w:rsidP="001E2F5B">
            <w:pPr>
              <w:rPr>
                <w:color w:val="000000"/>
                <w:szCs w:val="22"/>
                <w:lang w:val="sk-SK"/>
              </w:rPr>
            </w:pPr>
            <w:r w:rsidRPr="004B6827">
              <w:rPr>
                <w:color w:val="000000"/>
                <w:szCs w:val="22"/>
                <w:lang w:val="sk-SK"/>
              </w:rPr>
              <w:t xml:space="preserve">Fosamprenavir 1 400 mg BID, 14 dní </w:t>
            </w:r>
          </w:p>
        </w:tc>
        <w:tc>
          <w:tcPr>
            <w:tcW w:w="1779" w:type="dxa"/>
            <w:shd w:val="clear" w:color="auto" w:fill="auto"/>
          </w:tcPr>
          <w:p w:rsidR="00586480" w:rsidRPr="00275323" w:rsidRDefault="00586480" w:rsidP="001E2F5B">
            <w:pPr>
              <w:rPr>
                <w:color w:val="000000"/>
                <w:szCs w:val="22"/>
                <w:lang w:val="sk-SK"/>
              </w:rPr>
            </w:pPr>
            <w:r w:rsidRPr="00275323">
              <w:rPr>
                <w:color w:val="000000"/>
                <w:szCs w:val="22"/>
                <w:lang w:val="sk-SK"/>
              </w:rPr>
              <w:t>10 mg OD počas 4 dní</w:t>
            </w:r>
          </w:p>
        </w:tc>
        <w:tc>
          <w:tcPr>
            <w:tcW w:w="1641" w:type="dxa"/>
            <w:shd w:val="clear" w:color="auto" w:fill="auto"/>
          </w:tcPr>
          <w:p w:rsidR="00586480" w:rsidRPr="004B6827" w:rsidRDefault="00586480" w:rsidP="007C39CF">
            <w:pPr>
              <w:rPr>
                <w:color w:val="000000"/>
                <w:szCs w:val="22"/>
                <w:lang w:val="sk-SK" w:bidi="te-IN"/>
              </w:rPr>
            </w:pPr>
            <w:r w:rsidRPr="004B6827">
              <w:rPr>
                <w:color w:val="000000"/>
                <w:szCs w:val="22"/>
                <w:lang w:val="sk-SK" w:bidi="te-IN"/>
              </w:rPr>
              <w:t>↑ 2,3</w:t>
            </w:r>
            <w:r w:rsidR="007C39CF" w:rsidRPr="004B6827">
              <w:rPr>
                <w:color w:val="000000"/>
                <w:szCs w:val="22"/>
                <w:lang w:val="sk-SK" w:bidi="te-IN"/>
              </w:rPr>
              <w:t>-</w:t>
            </w:r>
            <w:r w:rsidRPr="004B6827">
              <w:rPr>
                <w:color w:val="000000"/>
                <w:szCs w:val="22"/>
                <w:lang w:val="sk-SK" w:bidi="te-IN"/>
              </w:rPr>
              <w:t>násobok</w:t>
            </w:r>
          </w:p>
        </w:tc>
        <w:tc>
          <w:tcPr>
            <w:tcW w:w="2952" w:type="dxa"/>
            <w:vMerge/>
            <w:shd w:val="clear" w:color="auto" w:fill="auto"/>
          </w:tcPr>
          <w:p w:rsidR="00586480" w:rsidRPr="004B6827" w:rsidRDefault="00586480" w:rsidP="001E2F5B">
            <w:pPr>
              <w:rPr>
                <w:color w:val="000000"/>
                <w:szCs w:val="22"/>
                <w:lang w:val="sk-SK"/>
              </w:rPr>
            </w:pPr>
          </w:p>
        </w:tc>
      </w:tr>
      <w:tr w:rsidR="00586480" w:rsidRPr="004B6827" w:rsidTr="001E2F5B">
        <w:trPr>
          <w:jc w:val="center"/>
        </w:trPr>
        <w:tc>
          <w:tcPr>
            <w:tcW w:w="2808" w:type="dxa"/>
            <w:shd w:val="clear" w:color="auto" w:fill="auto"/>
          </w:tcPr>
          <w:p w:rsidR="00586480" w:rsidRPr="00275323" w:rsidRDefault="00183524" w:rsidP="001E2F5B">
            <w:pPr>
              <w:rPr>
                <w:color w:val="000000"/>
                <w:szCs w:val="22"/>
                <w:lang w:val="sk-SK"/>
              </w:rPr>
            </w:pPr>
            <w:r w:rsidRPr="004B6827">
              <w:rPr>
                <w:bCs/>
                <w:color w:val="000000"/>
                <w:szCs w:val="22"/>
                <w:lang w:val="sk-SK"/>
              </w:rPr>
              <w:t>N</w:t>
            </w:r>
            <w:r w:rsidR="00586480" w:rsidRPr="004B6827">
              <w:rPr>
                <w:bCs/>
                <w:color w:val="000000"/>
                <w:szCs w:val="22"/>
                <w:lang w:val="sk-SK"/>
              </w:rPr>
              <w:t xml:space="preserve">elfinavir </w:t>
            </w:r>
            <w:r w:rsidR="00586480" w:rsidRPr="004B6827">
              <w:rPr>
                <w:color w:val="000000"/>
                <w:szCs w:val="22"/>
                <w:lang w:val="sk-SK"/>
              </w:rPr>
              <w:t>1 250 mg BID, 14 dní</w:t>
            </w:r>
          </w:p>
        </w:tc>
        <w:tc>
          <w:tcPr>
            <w:tcW w:w="1779" w:type="dxa"/>
            <w:shd w:val="clear" w:color="auto" w:fill="auto"/>
          </w:tcPr>
          <w:p w:rsidR="00586480" w:rsidRPr="004B6827" w:rsidRDefault="00586480" w:rsidP="001E2F5B">
            <w:pPr>
              <w:rPr>
                <w:color w:val="000000"/>
                <w:szCs w:val="22"/>
                <w:lang w:val="sk-SK"/>
              </w:rPr>
            </w:pPr>
            <w:r w:rsidRPr="004B6827">
              <w:rPr>
                <w:color w:val="000000"/>
                <w:szCs w:val="22"/>
                <w:lang w:val="sk-SK"/>
              </w:rPr>
              <w:t>10 mg OD počas 28 dní</w:t>
            </w:r>
          </w:p>
        </w:tc>
        <w:tc>
          <w:tcPr>
            <w:tcW w:w="1641" w:type="dxa"/>
            <w:shd w:val="clear" w:color="auto" w:fill="auto"/>
          </w:tcPr>
          <w:p w:rsidR="00586480" w:rsidRPr="004B6827" w:rsidRDefault="00586480" w:rsidP="007C39CF">
            <w:pPr>
              <w:rPr>
                <w:color w:val="000000"/>
                <w:szCs w:val="22"/>
                <w:lang w:val="sk-SK" w:bidi="te-IN"/>
              </w:rPr>
            </w:pPr>
            <w:r w:rsidRPr="004B6827">
              <w:rPr>
                <w:color w:val="000000"/>
                <w:szCs w:val="22"/>
                <w:lang w:val="sk-SK" w:bidi="te-IN"/>
              </w:rPr>
              <w:t>↑ 1,7</w:t>
            </w:r>
            <w:r w:rsidR="007C39CF" w:rsidRPr="004B6827">
              <w:rPr>
                <w:color w:val="000000"/>
                <w:szCs w:val="22"/>
                <w:lang w:val="sk-SK" w:bidi="te-IN"/>
              </w:rPr>
              <w:t>-</w:t>
            </w:r>
            <w:r w:rsidRPr="004B6827">
              <w:rPr>
                <w:color w:val="000000"/>
                <w:szCs w:val="22"/>
                <w:lang w:val="sk-SK" w:bidi="te-IN"/>
              </w:rPr>
              <w:t>násobok^</w:t>
            </w:r>
          </w:p>
        </w:tc>
        <w:tc>
          <w:tcPr>
            <w:tcW w:w="2952" w:type="dxa"/>
            <w:shd w:val="clear" w:color="auto" w:fill="auto"/>
          </w:tcPr>
          <w:p w:rsidR="00586480" w:rsidRPr="004B6827" w:rsidRDefault="00586480" w:rsidP="001E2F5B">
            <w:pPr>
              <w:rPr>
                <w:color w:val="000000"/>
                <w:szCs w:val="22"/>
                <w:lang w:val="sk-SK"/>
              </w:rPr>
            </w:pPr>
            <w:r w:rsidRPr="004B6827">
              <w:rPr>
                <w:color w:val="000000"/>
                <w:szCs w:val="22"/>
                <w:lang w:val="sk-SK"/>
              </w:rPr>
              <w:t>Žiadne osobitné odporúčania</w:t>
            </w:r>
            <w:r w:rsidR="001832C6" w:rsidRPr="004B6827">
              <w:rPr>
                <w:color w:val="000000"/>
                <w:szCs w:val="22"/>
                <w:lang w:val="sk-SK"/>
              </w:rPr>
              <w:t>.</w:t>
            </w:r>
          </w:p>
        </w:tc>
      </w:tr>
      <w:tr w:rsidR="00586480" w:rsidRPr="005023C8" w:rsidTr="001E2F5B">
        <w:trPr>
          <w:jc w:val="center"/>
        </w:trPr>
        <w:tc>
          <w:tcPr>
            <w:tcW w:w="2808" w:type="dxa"/>
            <w:shd w:val="clear" w:color="auto" w:fill="auto"/>
          </w:tcPr>
          <w:p w:rsidR="00586480" w:rsidRPr="004B6827" w:rsidRDefault="00183524" w:rsidP="00183524">
            <w:pPr>
              <w:rPr>
                <w:szCs w:val="22"/>
                <w:lang w:val="sk-SK"/>
              </w:rPr>
            </w:pPr>
            <w:r w:rsidRPr="004B6827">
              <w:rPr>
                <w:szCs w:val="22"/>
                <w:lang w:val="sk-SK"/>
              </w:rPr>
              <w:t>G</w:t>
            </w:r>
            <w:r w:rsidR="00586480" w:rsidRPr="004B6827">
              <w:rPr>
                <w:szCs w:val="22"/>
                <w:lang w:val="sk-SK"/>
              </w:rPr>
              <w:t>rapefruitov</w:t>
            </w:r>
            <w:r w:rsidRPr="004B6827">
              <w:rPr>
                <w:szCs w:val="22"/>
                <w:lang w:val="sk-SK"/>
              </w:rPr>
              <w:t>ý</w:t>
            </w:r>
            <w:r w:rsidR="00586480" w:rsidRPr="00275323">
              <w:rPr>
                <w:szCs w:val="22"/>
                <w:lang w:val="sk-SK"/>
              </w:rPr>
              <w:t xml:space="preserve"> </w:t>
            </w:r>
            <w:r w:rsidRPr="00275323">
              <w:rPr>
                <w:szCs w:val="22"/>
                <w:lang w:val="sk-SK"/>
              </w:rPr>
              <w:t>džús</w:t>
            </w:r>
            <w:r w:rsidR="00586480" w:rsidRPr="00275323">
              <w:rPr>
                <w:szCs w:val="22"/>
                <w:lang w:val="sk-SK"/>
              </w:rPr>
              <w:t>,</w:t>
            </w:r>
            <w:r w:rsidR="00586480" w:rsidRPr="004B6827">
              <w:rPr>
                <w:szCs w:val="22"/>
                <w:lang w:val="sk-SK"/>
              </w:rPr>
              <w:t xml:space="preserve"> 240 ml OD *</w:t>
            </w:r>
          </w:p>
        </w:tc>
        <w:tc>
          <w:tcPr>
            <w:tcW w:w="1779" w:type="dxa"/>
            <w:shd w:val="clear" w:color="auto" w:fill="auto"/>
          </w:tcPr>
          <w:p w:rsidR="00586480" w:rsidRPr="004B6827" w:rsidRDefault="00586480" w:rsidP="001E2F5B">
            <w:pPr>
              <w:rPr>
                <w:szCs w:val="22"/>
                <w:lang w:val="sk-SK"/>
              </w:rPr>
            </w:pPr>
            <w:r w:rsidRPr="004B6827">
              <w:rPr>
                <w:szCs w:val="22"/>
                <w:lang w:val="sk-SK"/>
              </w:rPr>
              <w:t>40 mg, SD</w:t>
            </w:r>
          </w:p>
        </w:tc>
        <w:tc>
          <w:tcPr>
            <w:tcW w:w="1641" w:type="dxa"/>
            <w:shd w:val="clear" w:color="auto" w:fill="auto"/>
          </w:tcPr>
          <w:p w:rsidR="00586480" w:rsidRPr="004B6827" w:rsidRDefault="00586480" w:rsidP="001E2F5B">
            <w:pPr>
              <w:rPr>
                <w:szCs w:val="22"/>
                <w:lang w:val="sk-SK" w:bidi="te-IN"/>
              </w:rPr>
            </w:pPr>
            <w:r w:rsidRPr="004B6827">
              <w:rPr>
                <w:szCs w:val="22"/>
                <w:lang w:val="sk-SK" w:bidi="te-IN"/>
              </w:rPr>
              <w:t xml:space="preserve">↑ 37 % </w:t>
            </w:r>
          </w:p>
        </w:tc>
        <w:tc>
          <w:tcPr>
            <w:tcW w:w="2952" w:type="dxa"/>
            <w:shd w:val="clear" w:color="auto" w:fill="auto"/>
          </w:tcPr>
          <w:p w:rsidR="00586480" w:rsidRPr="004B6827" w:rsidRDefault="00586480" w:rsidP="00C9122D">
            <w:pPr>
              <w:rPr>
                <w:szCs w:val="22"/>
                <w:lang w:val="sk-SK"/>
              </w:rPr>
            </w:pPr>
            <w:r w:rsidRPr="004B6827">
              <w:rPr>
                <w:szCs w:val="22"/>
                <w:lang w:val="sk-SK"/>
              </w:rPr>
              <w:t xml:space="preserve">Súbežný príjem </w:t>
            </w:r>
            <w:r w:rsidR="00C9122D" w:rsidRPr="004B6827">
              <w:rPr>
                <w:szCs w:val="22"/>
                <w:lang w:val="sk-SK"/>
              </w:rPr>
              <w:t xml:space="preserve">veľkého </w:t>
            </w:r>
            <w:r w:rsidRPr="004B6827">
              <w:rPr>
                <w:szCs w:val="22"/>
                <w:lang w:val="sk-SK"/>
              </w:rPr>
              <w:t>množst</w:t>
            </w:r>
            <w:r w:rsidR="00B62F7E" w:rsidRPr="004B6827">
              <w:rPr>
                <w:szCs w:val="22"/>
                <w:lang w:val="sk-SK"/>
              </w:rPr>
              <w:t>v</w:t>
            </w:r>
            <w:r w:rsidR="00C9122D" w:rsidRPr="004B6827">
              <w:rPr>
                <w:szCs w:val="22"/>
                <w:lang w:val="sk-SK"/>
              </w:rPr>
              <w:t>a</w:t>
            </w:r>
            <w:r w:rsidRPr="004B6827">
              <w:rPr>
                <w:szCs w:val="22"/>
                <w:lang w:val="sk-SK"/>
              </w:rPr>
              <w:t xml:space="preserve"> grapefruit</w:t>
            </w:r>
            <w:r w:rsidR="00183524" w:rsidRPr="004B6827">
              <w:rPr>
                <w:szCs w:val="22"/>
                <w:lang w:val="sk-SK"/>
              </w:rPr>
              <w:t>ového</w:t>
            </w:r>
            <w:r w:rsidRPr="004B6827">
              <w:rPr>
                <w:szCs w:val="22"/>
                <w:lang w:val="sk-SK"/>
              </w:rPr>
              <w:t xml:space="preserve"> </w:t>
            </w:r>
            <w:r w:rsidR="00183524" w:rsidRPr="004B6827">
              <w:rPr>
                <w:szCs w:val="22"/>
                <w:lang w:val="sk-SK"/>
              </w:rPr>
              <w:t>džúsu</w:t>
            </w:r>
            <w:r w:rsidRPr="004B6827">
              <w:rPr>
                <w:szCs w:val="22"/>
                <w:lang w:val="sk-SK"/>
              </w:rPr>
              <w:t xml:space="preserve"> a atorvastatínu sa neodporúča.</w:t>
            </w:r>
          </w:p>
        </w:tc>
      </w:tr>
      <w:tr w:rsidR="00586480" w:rsidRPr="005023C8" w:rsidTr="001E2F5B">
        <w:trPr>
          <w:jc w:val="center"/>
        </w:trPr>
        <w:tc>
          <w:tcPr>
            <w:tcW w:w="2808" w:type="dxa"/>
            <w:shd w:val="clear" w:color="auto" w:fill="auto"/>
          </w:tcPr>
          <w:p w:rsidR="00586480" w:rsidRPr="004B6827" w:rsidRDefault="00183524" w:rsidP="001E2F5B">
            <w:pPr>
              <w:rPr>
                <w:szCs w:val="22"/>
                <w:lang w:val="sk-SK"/>
              </w:rPr>
            </w:pPr>
            <w:r w:rsidRPr="004B6827">
              <w:rPr>
                <w:szCs w:val="22"/>
                <w:lang w:val="sk-SK"/>
              </w:rPr>
              <w:t>D</w:t>
            </w:r>
            <w:r w:rsidR="00586480" w:rsidRPr="004B6827">
              <w:rPr>
                <w:szCs w:val="22"/>
                <w:lang w:val="sk-SK"/>
              </w:rPr>
              <w:t xml:space="preserve">iltiazem 240 mg OD, 28 dní </w:t>
            </w:r>
          </w:p>
        </w:tc>
        <w:tc>
          <w:tcPr>
            <w:tcW w:w="1779" w:type="dxa"/>
            <w:shd w:val="clear" w:color="auto" w:fill="auto"/>
          </w:tcPr>
          <w:p w:rsidR="00586480" w:rsidRPr="00275323" w:rsidRDefault="00586480" w:rsidP="001E2F5B">
            <w:pPr>
              <w:rPr>
                <w:szCs w:val="22"/>
                <w:lang w:val="sk-SK"/>
              </w:rPr>
            </w:pPr>
            <w:r w:rsidRPr="00275323">
              <w:rPr>
                <w:szCs w:val="22"/>
                <w:lang w:val="sk-SK"/>
              </w:rPr>
              <w:t>40 mg, SD</w:t>
            </w:r>
          </w:p>
        </w:tc>
        <w:tc>
          <w:tcPr>
            <w:tcW w:w="1641" w:type="dxa"/>
            <w:shd w:val="clear" w:color="auto" w:fill="auto"/>
          </w:tcPr>
          <w:p w:rsidR="00586480" w:rsidRPr="004B6827" w:rsidRDefault="00586480" w:rsidP="001E2F5B">
            <w:pPr>
              <w:rPr>
                <w:szCs w:val="22"/>
                <w:lang w:val="sk-SK" w:bidi="te-IN"/>
              </w:rPr>
            </w:pPr>
            <w:r w:rsidRPr="004B6827">
              <w:rPr>
                <w:szCs w:val="22"/>
                <w:lang w:val="sk-SK" w:bidi="te-IN"/>
              </w:rPr>
              <w:t>↑ 51 %</w:t>
            </w:r>
          </w:p>
        </w:tc>
        <w:tc>
          <w:tcPr>
            <w:tcW w:w="2952" w:type="dxa"/>
            <w:shd w:val="clear" w:color="auto" w:fill="auto"/>
          </w:tcPr>
          <w:p w:rsidR="00586480" w:rsidRPr="004B6827" w:rsidRDefault="00586480" w:rsidP="00183524">
            <w:pPr>
              <w:rPr>
                <w:szCs w:val="22"/>
                <w:lang w:val="sk-SK"/>
              </w:rPr>
            </w:pPr>
            <w:r w:rsidRPr="004B6827">
              <w:rPr>
                <w:szCs w:val="22"/>
                <w:lang w:val="sk-SK"/>
              </w:rPr>
              <w:t>Po začatí liečby diltiazemom alebo po úprave dáv</w:t>
            </w:r>
            <w:r w:rsidR="00183524" w:rsidRPr="004B6827">
              <w:rPr>
                <w:szCs w:val="22"/>
                <w:lang w:val="sk-SK"/>
              </w:rPr>
              <w:t>ok</w:t>
            </w:r>
            <w:r w:rsidRPr="004B6827">
              <w:rPr>
                <w:szCs w:val="22"/>
                <w:lang w:val="sk-SK"/>
              </w:rPr>
              <w:t xml:space="preserve"> diltiazemu sa odporúča primerané klinické monitorovanie týchto pacientov.</w:t>
            </w:r>
          </w:p>
        </w:tc>
      </w:tr>
      <w:tr w:rsidR="00586480" w:rsidRPr="005023C8" w:rsidTr="001E2F5B">
        <w:trPr>
          <w:jc w:val="center"/>
        </w:trPr>
        <w:tc>
          <w:tcPr>
            <w:tcW w:w="2808" w:type="dxa"/>
            <w:shd w:val="clear" w:color="auto" w:fill="auto"/>
          </w:tcPr>
          <w:p w:rsidR="00586480" w:rsidRPr="004B6827" w:rsidRDefault="00183524" w:rsidP="001E2F5B">
            <w:pPr>
              <w:keepNext/>
              <w:rPr>
                <w:szCs w:val="22"/>
                <w:lang w:val="sk-SK"/>
              </w:rPr>
            </w:pPr>
            <w:r w:rsidRPr="004B6827">
              <w:rPr>
                <w:szCs w:val="22"/>
                <w:lang w:val="sk-SK"/>
              </w:rPr>
              <w:t>E</w:t>
            </w:r>
            <w:r w:rsidR="00586480" w:rsidRPr="004B6827">
              <w:rPr>
                <w:szCs w:val="22"/>
                <w:lang w:val="sk-SK"/>
              </w:rPr>
              <w:t xml:space="preserve">rytromycín 500 mg QID, 7 dní </w:t>
            </w:r>
          </w:p>
        </w:tc>
        <w:tc>
          <w:tcPr>
            <w:tcW w:w="1779" w:type="dxa"/>
            <w:shd w:val="clear" w:color="auto" w:fill="auto"/>
          </w:tcPr>
          <w:p w:rsidR="00586480" w:rsidRPr="00275323" w:rsidRDefault="00586480" w:rsidP="001E2F5B">
            <w:pPr>
              <w:keepNext/>
              <w:rPr>
                <w:szCs w:val="22"/>
                <w:lang w:val="sk-SK"/>
              </w:rPr>
            </w:pPr>
            <w:r w:rsidRPr="00275323">
              <w:rPr>
                <w:szCs w:val="22"/>
                <w:lang w:val="sk-SK"/>
              </w:rPr>
              <w:t>10 mg, SD</w:t>
            </w:r>
          </w:p>
        </w:tc>
        <w:tc>
          <w:tcPr>
            <w:tcW w:w="1641" w:type="dxa"/>
            <w:shd w:val="clear" w:color="auto" w:fill="auto"/>
          </w:tcPr>
          <w:p w:rsidR="00586480" w:rsidRPr="004B6827" w:rsidRDefault="00586480" w:rsidP="001E2F5B">
            <w:pPr>
              <w:keepNext/>
              <w:rPr>
                <w:szCs w:val="22"/>
                <w:lang w:val="sk-SK" w:bidi="te-IN"/>
              </w:rPr>
            </w:pPr>
            <w:r w:rsidRPr="004B6827">
              <w:rPr>
                <w:szCs w:val="22"/>
                <w:lang w:val="sk-SK" w:bidi="te-IN"/>
              </w:rPr>
              <w:t>↑ 33 %^</w:t>
            </w:r>
          </w:p>
        </w:tc>
        <w:tc>
          <w:tcPr>
            <w:tcW w:w="2952" w:type="dxa"/>
            <w:shd w:val="clear" w:color="auto" w:fill="auto"/>
          </w:tcPr>
          <w:p w:rsidR="00586480" w:rsidRPr="004B6827" w:rsidRDefault="00586480" w:rsidP="001E2F5B">
            <w:pPr>
              <w:keepNext/>
              <w:rPr>
                <w:szCs w:val="22"/>
                <w:lang w:val="sk-SK"/>
              </w:rPr>
            </w:pPr>
            <w:r w:rsidRPr="004B6827">
              <w:rPr>
                <w:szCs w:val="22"/>
                <w:lang w:val="sk-SK"/>
              </w:rPr>
              <w:t>Odporúča sa nižšia maximálna dávka a klinické monitorovanie týchto pacientov.</w:t>
            </w:r>
          </w:p>
        </w:tc>
      </w:tr>
      <w:tr w:rsidR="00586480" w:rsidRPr="004B6827" w:rsidTr="001E2F5B">
        <w:trPr>
          <w:trHeight w:val="218"/>
          <w:jc w:val="center"/>
        </w:trPr>
        <w:tc>
          <w:tcPr>
            <w:tcW w:w="2808" w:type="dxa"/>
            <w:shd w:val="clear" w:color="auto" w:fill="auto"/>
          </w:tcPr>
          <w:p w:rsidR="00586480" w:rsidRPr="004B6827" w:rsidRDefault="00183524" w:rsidP="001E2F5B">
            <w:pPr>
              <w:keepNext/>
              <w:rPr>
                <w:szCs w:val="22"/>
                <w:lang w:val="sk-SK"/>
              </w:rPr>
            </w:pPr>
            <w:r w:rsidRPr="004B6827">
              <w:rPr>
                <w:szCs w:val="22"/>
                <w:lang w:val="sk-SK"/>
              </w:rPr>
              <w:t>A</w:t>
            </w:r>
            <w:r w:rsidR="00586480" w:rsidRPr="004B6827">
              <w:rPr>
                <w:szCs w:val="22"/>
                <w:lang w:val="sk-SK"/>
              </w:rPr>
              <w:t xml:space="preserve">mlodipín 10 mg, jednorazová dávka </w:t>
            </w:r>
          </w:p>
        </w:tc>
        <w:tc>
          <w:tcPr>
            <w:tcW w:w="1779" w:type="dxa"/>
            <w:shd w:val="clear" w:color="auto" w:fill="auto"/>
          </w:tcPr>
          <w:p w:rsidR="00586480" w:rsidRPr="00275323" w:rsidRDefault="00586480" w:rsidP="001E2F5B">
            <w:pPr>
              <w:keepNext/>
              <w:rPr>
                <w:szCs w:val="22"/>
                <w:lang w:val="sk-SK"/>
              </w:rPr>
            </w:pPr>
            <w:r w:rsidRPr="00275323">
              <w:rPr>
                <w:szCs w:val="22"/>
                <w:lang w:val="sk-SK"/>
              </w:rPr>
              <w:t>80 mg, SD</w:t>
            </w:r>
          </w:p>
        </w:tc>
        <w:tc>
          <w:tcPr>
            <w:tcW w:w="1641" w:type="dxa"/>
            <w:shd w:val="clear" w:color="auto" w:fill="auto"/>
          </w:tcPr>
          <w:p w:rsidR="00586480" w:rsidRPr="004B6827" w:rsidRDefault="00586480" w:rsidP="001E2F5B">
            <w:pPr>
              <w:keepNext/>
              <w:rPr>
                <w:szCs w:val="22"/>
                <w:lang w:val="sk-SK" w:bidi="te-IN"/>
              </w:rPr>
            </w:pPr>
            <w:r w:rsidRPr="004B6827">
              <w:rPr>
                <w:szCs w:val="22"/>
                <w:lang w:val="sk-SK" w:bidi="te-IN"/>
              </w:rPr>
              <w:t xml:space="preserve">↑ 18 % </w:t>
            </w:r>
          </w:p>
        </w:tc>
        <w:tc>
          <w:tcPr>
            <w:tcW w:w="2952" w:type="dxa"/>
            <w:shd w:val="clear" w:color="auto" w:fill="auto"/>
          </w:tcPr>
          <w:p w:rsidR="00586480" w:rsidRPr="004B6827" w:rsidRDefault="00586480" w:rsidP="001E2F5B">
            <w:pPr>
              <w:keepNext/>
              <w:rPr>
                <w:szCs w:val="22"/>
                <w:lang w:val="sk-SK"/>
              </w:rPr>
            </w:pPr>
            <w:r w:rsidRPr="004B6827">
              <w:rPr>
                <w:color w:val="000000"/>
                <w:szCs w:val="22"/>
                <w:lang w:val="sk-SK"/>
              </w:rPr>
              <w:t>Žiadne osobitné odporúčania</w:t>
            </w:r>
            <w:r w:rsidRPr="004B6827">
              <w:rPr>
                <w:szCs w:val="22"/>
                <w:lang w:val="sk-SK"/>
              </w:rPr>
              <w:t>.</w:t>
            </w:r>
          </w:p>
        </w:tc>
      </w:tr>
      <w:tr w:rsidR="00586480" w:rsidRPr="004B6827" w:rsidTr="001E2F5B">
        <w:trPr>
          <w:jc w:val="center"/>
        </w:trPr>
        <w:tc>
          <w:tcPr>
            <w:tcW w:w="2808" w:type="dxa"/>
            <w:shd w:val="clear" w:color="auto" w:fill="auto"/>
          </w:tcPr>
          <w:p w:rsidR="00586480" w:rsidRPr="004B6827" w:rsidRDefault="00183524" w:rsidP="001E2F5B">
            <w:pPr>
              <w:keepNext/>
              <w:rPr>
                <w:szCs w:val="22"/>
                <w:lang w:val="sk-SK"/>
              </w:rPr>
            </w:pPr>
            <w:r w:rsidRPr="004B6827">
              <w:rPr>
                <w:szCs w:val="22"/>
                <w:lang w:val="sk-SK"/>
              </w:rPr>
              <w:t>C</w:t>
            </w:r>
            <w:r w:rsidR="00586480" w:rsidRPr="004B6827">
              <w:rPr>
                <w:szCs w:val="22"/>
                <w:lang w:val="sk-SK"/>
              </w:rPr>
              <w:t xml:space="preserve">imetidín 300 mg QID, </w:t>
            </w:r>
            <w:r w:rsidR="00586480" w:rsidRPr="004B6827">
              <w:rPr>
                <w:szCs w:val="22"/>
                <w:lang w:val="sk-SK"/>
              </w:rPr>
              <w:lastRenderedPageBreak/>
              <w:t>2 týždne</w:t>
            </w:r>
          </w:p>
        </w:tc>
        <w:tc>
          <w:tcPr>
            <w:tcW w:w="1779" w:type="dxa"/>
            <w:shd w:val="clear" w:color="auto" w:fill="auto"/>
          </w:tcPr>
          <w:p w:rsidR="00586480" w:rsidRPr="004B6827" w:rsidRDefault="00586480" w:rsidP="00183524">
            <w:pPr>
              <w:keepNext/>
              <w:rPr>
                <w:szCs w:val="22"/>
                <w:lang w:val="sk-SK"/>
              </w:rPr>
            </w:pPr>
            <w:r w:rsidRPr="00275323">
              <w:rPr>
                <w:szCs w:val="22"/>
                <w:lang w:val="sk-SK"/>
              </w:rPr>
              <w:lastRenderedPageBreak/>
              <w:t xml:space="preserve">10 mg OD počas </w:t>
            </w:r>
            <w:r w:rsidR="00183524" w:rsidRPr="004B6827">
              <w:rPr>
                <w:szCs w:val="22"/>
                <w:lang w:val="sk-SK"/>
              </w:rPr>
              <w:lastRenderedPageBreak/>
              <w:t>4</w:t>
            </w:r>
            <w:r w:rsidRPr="004B6827">
              <w:rPr>
                <w:szCs w:val="22"/>
                <w:lang w:val="sk-SK"/>
              </w:rPr>
              <w:t> týždňov</w:t>
            </w:r>
          </w:p>
        </w:tc>
        <w:tc>
          <w:tcPr>
            <w:tcW w:w="1641" w:type="dxa"/>
            <w:shd w:val="clear" w:color="auto" w:fill="auto"/>
          </w:tcPr>
          <w:p w:rsidR="00586480" w:rsidRPr="004B6827" w:rsidRDefault="00586480" w:rsidP="001E2F5B">
            <w:pPr>
              <w:keepNext/>
              <w:rPr>
                <w:szCs w:val="22"/>
                <w:lang w:val="sk-SK" w:bidi="te-IN"/>
              </w:rPr>
            </w:pPr>
            <w:r w:rsidRPr="004B6827">
              <w:rPr>
                <w:szCs w:val="22"/>
                <w:lang w:val="sk-SK" w:bidi="te-IN"/>
              </w:rPr>
              <w:lastRenderedPageBreak/>
              <w:t xml:space="preserve">↓ menej ako </w:t>
            </w:r>
            <w:r w:rsidRPr="004B6827">
              <w:rPr>
                <w:szCs w:val="22"/>
                <w:lang w:val="sk-SK" w:bidi="te-IN"/>
              </w:rPr>
              <w:lastRenderedPageBreak/>
              <w:t>1 %^</w:t>
            </w:r>
          </w:p>
        </w:tc>
        <w:tc>
          <w:tcPr>
            <w:tcW w:w="2952" w:type="dxa"/>
            <w:shd w:val="clear" w:color="auto" w:fill="auto"/>
          </w:tcPr>
          <w:p w:rsidR="00586480" w:rsidRPr="004B6827" w:rsidRDefault="00586480" w:rsidP="001E2F5B">
            <w:pPr>
              <w:keepNext/>
              <w:rPr>
                <w:szCs w:val="22"/>
                <w:lang w:val="sk-SK"/>
              </w:rPr>
            </w:pPr>
            <w:r w:rsidRPr="004B6827">
              <w:rPr>
                <w:color w:val="000000"/>
                <w:szCs w:val="22"/>
                <w:lang w:val="sk-SK"/>
              </w:rPr>
              <w:lastRenderedPageBreak/>
              <w:t>Žiadne osobitné odporúčania</w:t>
            </w:r>
            <w:r w:rsidRPr="004B6827">
              <w:rPr>
                <w:szCs w:val="22"/>
                <w:lang w:val="sk-SK"/>
              </w:rPr>
              <w:t>.</w:t>
            </w:r>
          </w:p>
        </w:tc>
      </w:tr>
      <w:tr w:rsidR="00183524" w:rsidRPr="004B6827" w:rsidTr="001E2F5B">
        <w:trPr>
          <w:jc w:val="center"/>
        </w:trPr>
        <w:tc>
          <w:tcPr>
            <w:tcW w:w="2808" w:type="dxa"/>
            <w:shd w:val="clear" w:color="auto" w:fill="auto"/>
          </w:tcPr>
          <w:p w:rsidR="00183524" w:rsidRPr="004B6827" w:rsidRDefault="00183524" w:rsidP="00183524">
            <w:pPr>
              <w:keepNext/>
              <w:rPr>
                <w:szCs w:val="22"/>
                <w:lang w:val="sk-SK"/>
              </w:rPr>
            </w:pPr>
            <w:r w:rsidRPr="004B6827">
              <w:rPr>
                <w:szCs w:val="22"/>
                <w:lang w:val="sk-SK"/>
              </w:rPr>
              <w:lastRenderedPageBreak/>
              <w:t>Antacidová suspenzia hydroxidu horečnatého a hydroxidu hlinitého, 30 ml QID, 2 týždne</w:t>
            </w:r>
          </w:p>
        </w:tc>
        <w:tc>
          <w:tcPr>
            <w:tcW w:w="1779" w:type="dxa"/>
            <w:shd w:val="clear" w:color="auto" w:fill="auto"/>
          </w:tcPr>
          <w:p w:rsidR="00183524" w:rsidRPr="00275323" w:rsidRDefault="00183524" w:rsidP="00183524">
            <w:pPr>
              <w:rPr>
                <w:szCs w:val="22"/>
                <w:lang w:val="sk-SK"/>
              </w:rPr>
            </w:pPr>
            <w:r w:rsidRPr="00275323">
              <w:rPr>
                <w:szCs w:val="22"/>
                <w:lang w:val="sk-SK"/>
              </w:rPr>
              <w:t>10 mg OD počas 4 týždňov</w:t>
            </w:r>
          </w:p>
        </w:tc>
        <w:tc>
          <w:tcPr>
            <w:tcW w:w="1641" w:type="dxa"/>
            <w:shd w:val="clear" w:color="auto" w:fill="auto"/>
          </w:tcPr>
          <w:p w:rsidR="00183524" w:rsidRPr="004B6827" w:rsidRDefault="00183524" w:rsidP="00183524">
            <w:pPr>
              <w:rPr>
                <w:szCs w:val="22"/>
                <w:lang w:val="sk-SK" w:bidi="te-IN"/>
              </w:rPr>
            </w:pPr>
            <w:r w:rsidRPr="004B6827">
              <w:rPr>
                <w:szCs w:val="22"/>
                <w:lang w:val="sk-SK" w:bidi="te-IN"/>
              </w:rPr>
              <w:t>↓ 35 %^</w:t>
            </w:r>
          </w:p>
        </w:tc>
        <w:tc>
          <w:tcPr>
            <w:tcW w:w="2952" w:type="dxa"/>
            <w:shd w:val="clear" w:color="auto" w:fill="auto"/>
          </w:tcPr>
          <w:p w:rsidR="00183524" w:rsidRPr="004B6827" w:rsidRDefault="00183524" w:rsidP="00183524">
            <w:pPr>
              <w:rPr>
                <w:szCs w:val="22"/>
                <w:lang w:val="sk-SK"/>
              </w:rPr>
            </w:pPr>
            <w:r w:rsidRPr="004B6827">
              <w:rPr>
                <w:color w:val="000000"/>
                <w:szCs w:val="22"/>
                <w:lang w:val="sk-SK"/>
              </w:rPr>
              <w:t>Žiadne osobitné odporúčania</w:t>
            </w:r>
            <w:r w:rsidRPr="004B6827">
              <w:rPr>
                <w:szCs w:val="22"/>
                <w:lang w:val="sk-SK"/>
              </w:rPr>
              <w:t>.</w:t>
            </w:r>
          </w:p>
        </w:tc>
      </w:tr>
      <w:tr w:rsidR="00183524" w:rsidRPr="004B6827" w:rsidTr="001E2F5B">
        <w:trPr>
          <w:jc w:val="center"/>
        </w:trPr>
        <w:tc>
          <w:tcPr>
            <w:tcW w:w="2808" w:type="dxa"/>
            <w:shd w:val="clear" w:color="auto" w:fill="auto"/>
          </w:tcPr>
          <w:p w:rsidR="00183524" w:rsidRPr="004B6827" w:rsidRDefault="00183524" w:rsidP="00183524">
            <w:pPr>
              <w:rPr>
                <w:szCs w:val="22"/>
                <w:lang w:val="sk-SK"/>
              </w:rPr>
            </w:pPr>
            <w:r w:rsidRPr="004B6827">
              <w:rPr>
                <w:szCs w:val="22"/>
                <w:lang w:val="sk-SK"/>
              </w:rPr>
              <w:t xml:space="preserve">Efavirenz 600 mg OD, 14 dní </w:t>
            </w:r>
          </w:p>
        </w:tc>
        <w:tc>
          <w:tcPr>
            <w:tcW w:w="1779" w:type="dxa"/>
            <w:shd w:val="clear" w:color="auto" w:fill="auto"/>
          </w:tcPr>
          <w:p w:rsidR="00183524" w:rsidRPr="00275323" w:rsidRDefault="00183524" w:rsidP="00183524">
            <w:pPr>
              <w:rPr>
                <w:szCs w:val="22"/>
                <w:lang w:val="sk-SK"/>
              </w:rPr>
            </w:pPr>
            <w:r w:rsidRPr="00275323">
              <w:rPr>
                <w:szCs w:val="22"/>
                <w:lang w:val="sk-SK"/>
              </w:rPr>
              <w:t>10 mg počas 3 dní</w:t>
            </w:r>
          </w:p>
        </w:tc>
        <w:tc>
          <w:tcPr>
            <w:tcW w:w="1641" w:type="dxa"/>
            <w:shd w:val="clear" w:color="auto" w:fill="auto"/>
          </w:tcPr>
          <w:p w:rsidR="00183524" w:rsidRPr="004B6827" w:rsidRDefault="00183524" w:rsidP="00183524">
            <w:pPr>
              <w:rPr>
                <w:szCs w:val="22"/>
                <w:lang w:val="sk-SK" w:bidi="te-IN"/>
              </w:rPr>
            </w:pPr>
            <w:r w:rsidRPr="004B6827">
              <w:rPr>
                <w:szCs w:val="22"/>
                <w:lang w:val="sk-SK" w:bidi="te-IN"/>
              </w:rPr>
              <w:t>↓ 41 %</w:t>
            </w:r>
          </w:p>
        </w:tc>
        <w:tc>
          <w:tcPr>
            <w:tcW w:w="2952" w:type="dxa"/>
            <w:shd w:val="clear" w:color="auto" w:fill="auto"/>
          </w:tcPr>
          <w:p w:rsidR="00183524" w:rsidRPr="004B6827" w:rsidRDefault="00183524" w:rsidP="00183524">
            <w:pPr>
              <w:rPr>
                <w:szCs w:val="22"/>
                <w:lang w:val="sk-SK"/>
              </w:rPr>
            </w:pPr>
            <w:r w:rsidRPr="004B6827">
              <w:rPr>
                <w:color w:val="000000"/>
                <w:szCs w:val="22"/>
                <w:lang w:val="sk-SK"/>
              </w:rPr>
              <w:t>Žiadne osobitné odporúčania</w:t>
            </w:r>
            <w:r w:rsidRPr="004B6827">
              <w:rPr>
                <w:szCs w:val="22"/>
                <w:lang w:val="sk-SK"/>
              </w:rPr>
              <w:t>.</w:t>
            </w:r>
          </w:p>
        </w:tc>
      </w:tr>
      <w:tr w:rsidR="00183524" w:rsidRPr="005023C8" w:rsidTr="001E2F5B">
        <w:trPr>
          <w:jc w:val="center"/>
        </w:trPr>
        <w:tc>
          <w:tcPr>
            <w:tcW w:w="2808" w:type="dxa"/>
            <w:shd w:val="clear" w:color="auto" w:fill="auto"/>
          </w:tcPr>
          <w:p w:rsidR="00183524" w:rsidRPr="004B6827" w:rsidRDefault="00183524" w:rsidP="00183524">
            <w:pPr>
              <w:rPr>
                <w:szCs w:val="22"/>
                <w:lang w:val="sk-SK"/>
              </w:rPr>
            </w:pPr>
            <w:r w:rsidRPr="004B6827">
              <w:rPr>
                <w:szCs w:val="22"/>
                <w:lang w:val="sk-SK"/>
              </w:rPr>
              <w:t xml:space="preserve">Rifampicín 600 mg OD, 7 dní (podávaný súbežne) </w:t>
            </w:r>
          </w:p>
        </w:tc>
        <w:tc>
          <w:tcPr>
            <w:tcW w:w="1779" w:type="dxa"/>
            <w:shd w:val="clear" w:color="auto" w:fill="auto"/>
          </w:tcPr>
          <w:p w:rsidR="00183524" w:rsidRPr="00275323" w:rsidRDefault="00183524" w:rsidP="00183524">
            <w:pPr>
              <w:rPr>
                <w:szCs w:val="22"/>
                <w:lang w:val="sk-SK"/>
              </w:rPr>
            </w:pPr>
            <w:r w:rsidRPr="00275323">
              <w:rPr>
                <w:szCs w:val="22"/>
                <w:lang w:val="sk-SK"/>
              </w:rPr>
              <w:t>40 mg, SD</w:t>
            </w:r>
          </w:p>
        </w:tc>
        <w:tc>
          <w:tcPr>
            <w:tcW w:w="1641" w:type="dxa"/>
            <w:shd w:val="clear" w:color="auto" w:fill="auto"/>
          </w:tcPr>
          <w:p w:rsidR="00183524" w:rsidRPr="004B6827" w:rsidRDefault="00183524" w:rsidP="00183524">
            <w:pPr>
              <w:rPr>
                <w:szCs w:val="22"/>
                <w:lang w:val="sk-SK" w:bidi="te-IN"/>
              </w:rPr>
            </w:pPr>
            <w:r w:rsidRPr="004B6827">
              <w:rPr>
                <w:szCs w:val="22"/>
                <w:lang w:val="sk-SK" w:bidi="te-IN"/>
              </w:rPr>
              <w:t>↑ 30 %</w:t>
            </w:r>
          </w:p>
        </w:tc>
        <w:tc>
          <w:tcPr>
            <w:tcW w:w="2952" w:type="dxa"/>
            <w:vMerge w:val="restart"/>
            <w:shd w:val="clear" w:color="auto" w:fill="auto"/>
          </w:tcPr>
          <w:p w:rsidR="00183524" w:rsidRPr="004B6827" w:rsidRDefault="00183524" w:rsidP="00183524">
            <w:pPr>
              <w:rPr>
                <w:szCs w:val="22"/>
                <w:lang w:val="sk-SK"/>
              </w:rPr>
            </w:pPr>
            <w:r w:rsidRPr="004B6827">
              <w:rPr>
                <w:szCs w:val="22"/>
                <w:lang w:val="sk-SK"/>
              </w:rPr>
              <w:t xml:space="preserve">Ak sa súbežnému podávaniu nedá vyhnúť, odporúča sa simultánne súbežné podávanie </w:t>
            </w:r>
            <w:r w:rsidRPr="004B6827">
              <w:rPr>
                <w:bCs/>
                <w:szCs w:val="22"/>
                <w:lang w:val="sk-SK"/>
              </w:rPr>
              <w:t>atorvastatínu s rifampicínom s klinickým monitorovaním.</w:t>
            </w:r>
          </w:p>
        </w:tc>
      </w:tr>
      <w:tr w:rsidR="00183524" w:rsidRPr="004B6827" w:rsidTr="001E2F5B">
        <w:trPr>
          <w:jc w:val="center"/>
        </w:trPr>
        <w:tc>
          <w:tcPr>
            <w:tcW w:w="2808" w:type="dxa"/>
            <w:shd w:val="clear" w:color="auto" w:fill="auto"/>
          </w:tcPr>
          <w:p w:rsidR="00183524" w:rsidRPr="004B6827" w:rsidRDefault="00183524" w:rsidP="00183524">
            <w:pPr>
              <w:rPr>
                <w:szCs w:val="22"/>
                <w:lang w:val="sk-SK"/>
              </w:rPr>
            </w:pPr>
            <w:r w:rsidRPr="004B6827">
              <w:rPr>
                <w:szCs w:val="22"/>
                <w:lang w:val="sk-SK"/>
              </w:rPr>
              <w:t>Rifampicín 600 mg OD, 5 dní (samostatné dávky)</w:t>
            </w:r>
          </w:p>
        </w:tc>
        <w:tc>
          <w:tcPr>
            <w:tcW w:w="1779" w:type="dxa"/>
            <w:shd w:val="clear" w:color="auto" w:fill="auto"/>
          </w:tcPr>
          <w:p w:rsidR="00183524" w:rsidRPr="00275323" w:rsidRDefault="00183524" w:rsidP="00183524">
            <w:pPr>
              <w:rPr>
                <w:szCs w:val="22"/>
                <w:lang w:val="sk-SK"/>
              </w:rPr>
            </w:pPr>
            <w:r w:rsidRPr="00275323">
              <w:rPr>
                <w:szCs w:val="22"/>
                <w:lang w:val="sk-SK"/>
              </w:rPr>
              <w:t>40 mg, SD</w:t>
            </w:r>
          </w:p>
        </w:tc>
        <w:tc>
          <w:tcPr>
            <w:tcW w:w="1641" w:type="dxa"/>
            <w:shd w:val="clear" w:color="auto" w:fill="auto"/>
          </w:tcPr>
          <w:p w:rsidR="00183524" w:rsidRPr="004B6827" w:rsidRDefault="00183524" w:rsidP="00183524">
            <w:pPr>
              <w:rPr>
                <w:szCs w:val="22"/>
                <w:lang w:val="sk-SK" w:bidi="te-IN"/>
              </w:rPr>
            </w:pPr>
            <w:r w:rsidRPr="004B6827">
              <w:rPr>
                <w:szCs w:val="22"/>
                <w:lang w:val="sk-SK" w:bidi="te-IN"/>
              </w:rPr>
              <w:t>↓ 80 %</w:t>
            </w:r>
          </w:p>
        </w:tc>
        <w:tc>
          <w:tcPr>
            <w:tcW w:w="2952" w:type="dxa"/>
            <w:vMerge/>
            <w:shd w:val="clear" w:color="auto" w:fill="auto"/>
          </w:tcPr>
          <w:p w:rsidR="00183524" w:rsidRPr="004B6827" w:rsidRDefault="00183524" w:rsidP="00183524">
            <w:pPr>
              <w:rPr>
                <w:szCs w:val="22"/>
                <w:lang w:val="sk-SK"/>
              </w:rPr>
            </w:pPr>
          </w:p>
        </w:tc>
      </w:tr>
      <w:tr w:rsidR="00183524" w:rsidRPr="005023C8" w:rsidTr="001E2F5B">
        <w:trPr>
          <w:jc w:val="center"/>
        </w:trPr>
        <w:tc>
          <w:tcPr>
            <w:tcW w:w="2808" w:type="dxa"/>
            <w:shd w:val="clear" w:color="auto" w:fill="auto"/>
          </w:tcPr>
          <w:p w:rsidR="00183524" w:rsidRPr="004B6827" w:rsidRDefault="00263A6D" w:rsidP="00183524">
            <w:pPr>
              <w:rPr>
                <w:szCs w:val="22"/>
                <w:lang w:val="sk-SK"/>
              </w:rPr>
            </w:pPr>
            <w:r w:rsidRPr="004B6827">
              <w:rPr>
                <w:szCs w:val="22"/>
                <w:lang w:val="sk-SK"/>
              </w:rPr>
              <w:t>Gemfibrozil 600 mg BID, 7 dní</w:t>
            </w:r>
          </w:p>
        </w:tc>
        <w:tc>
          <w:tcPr>
            <w:tcW w:w="1779" w:type="dxa"/>
            <w:shd w:val="clear" w:color="auto" w:fill="auto"/>
          </w:tcPr>
          <w:p w:rsidR="00183524" w:rsidRPr="00275323" w:rsidRDefault="00263A6D" w:rsidP="00183524">
            <w:pPr>
              <w:rPr>
                <w:szCs w:val="22"/>
                <w:lang w:val="sk-SK"/>
              </w:rPr>
            </w:pPr>
            <w:r w:rsidRPr="00275323">
              <w:rPr>
                <w:szCs w:val="22"/>
                <w:lang w:val="sk-SK"/>
              </w:rPr>
              <w:t>40 mg, SD</w:t>
            </w:r>
          </w:p>
        </w:tc>
        <w:tc>
          <w:tcPr>
            <w:tcW w:w="1641" w:type="dxa"/>
            <w:shd w:val="clear" w:color="auto" w:fill="auto"/>
          </w:tcPr>
          <w:p w:rsidR="00183524" w:rsidRPr="004B6827" w:rsidRDefault="00183524" w:rsidP="00183524">
            <w:pPr>
              <w:rPr>
                <w:szCs w:val="22"/>
                <w:lang w:val="sk-SK" w:bidi="te-IN"/>
              </w:rPr>
            </w:pPr>
            <w:r w:rsidRPr="004B6827">
              <w:rPr>
                <w:szCs w:val="22"/>
                <w:lang w:val="sk-SK"/>
              </w:rPr>
              <w:t xml:space="preserve">↑ 35 % </w:t>
            </w:r>
          </w:p>
        </w:tc>
        <w:tc>
          <w:tcPr>
            <w:tcW w:w="2952" w:type="dxa"/>
            <w:shd w:val="clear" w:color="auto" w:fill="auto"/>
          </w:tcPr>
          <w:p w:rsidR="00183524" w:rsidRPr="004B6827" w:rsidRDefault="00183524" w:rsidP="00183524">
            <w:pPr>
              <w:rPr>
                <w:szCs w:val="22"/>
                <w:lang w:val="sk-SK"/>
              </w:rPr>
            </w:pPr>
            <w:r w:rsidRPr="004B6827">
              <w:rPr>
                <w:szCs w:val="22"/>
                <w:lang w:val="sk-SK"/>
              </w:rPr>
              <w:t>Odporúča sa nižšia začiatočná dávka a klinické monitorovanie týchto pacientov.</w:t>
            </w:r>
          </w:p>
        </w:tc>
      </w:tr>
      <w:tr w:rsidR="00183524" w:rsidRPr="005023C8" w:rsidTr="001E2F5B">
        <w:trPr>
          <w:jc w:val="center"/>
        </w:trPr>
        <w:tc>
          <w:tcPr>
            <w:tcW w:w="2808" w:type="dxa"/>
            <w:shd w:val="clear" w:color="auto" w:fill="auto"/>
          </w:tcPr>
          <w:p w:rsidR="00183524" w:rsidRPr="004B6827" w:rsidRDefault="008F0F7C" w:rsidP="00183524">
            <w:pPr>
              <w:rPr>
                <w:szCs w:val="22"/>
                <w:lang w:val="sk-SK"/>
              </w:rPr>
            </w:pPr>
            <w:r w:rsidRPr="004B6827">
              <w:rPr>
                <w:szCs w:val="22"/>
                <w:lang w:val="sk-SK"/>
              </w:rPr>
              <w:t>F</w:t>
            </w:r>
            <w:r w:rsidR="00183524" w:rsidRPr="004B6827">
              <w:rPr>
                <w:szCs w:val="22"/>
                <w:lang w:val="sk-SK"/>
              </w:rPr>
              <w:t>enofibrát 160 mg OD, 7 dní</w:t>
            </w:r>
          </w:p>
        </w:tc>
        <w:tc>
          <w:tcPr>
            <w:tcW w:w="1779" w:type="dxa"/>
            <w:shd w:val="clear" w:color="auto" w:fill="auto"/>
          </w:tcPr>
          <w:p w:rsidR="00183524" w:rsidRPr="00275323" w:rsidRDefault="00263A6D" w:rsidP="00183524">
            <w:pPr>
              <w:rPr>
                <w:szCs w:val="22"/>
                <w:lang w:val="sk-SK"/>
              </w:rPr>
            </w:pPr>
            <w:r w:rsidRPr="00275323">
              <w:rPr>
                <w:szCs w:val="22"/>
                <w:lang w:val="sk-SK"/>
              </w:rPr>
              <w:t>40 mg, SD</w:t>
            </w:r>
          </w:p>
        </w:tc>
        <w:tc>
          <w:tcPr>
            <w:tcW w:w="1641" w:type="dxa"/>
            <w:shd w:val="clear" w:color="auto" w:fill="auto"/>
          </w:tcPr>
          <w:p w:rsidR="00183524" w:rsidRPr="004B6827" w:rsidRDefault="00183524" w:rsidP="00183524">
            <w:pPr>
              <w:rPr>
                <w:szCs w:val="22"/>
                <w:lang w:val="sk-SK" w:bidi="te-IN"/>
              </w:rPr>
            </w:pPr>
            <w:r w:rsidRPr="004B6827">
              <w:rPr>
                <w:szCs w:val="22"/>
                <w:lang w:val="sk-SK"/>
              </w:rPr>
              <w:t>↑ 3 %</w:t>
            </w:r>
          </w:p>
        </w:tc>
        <w:tc>
          <w:tcPr>
            <w:tcW w:w="2952" w:type="dxa"/>
            <w:shd w:val="clear" w:color="auto" w:fill="auto"/>
          </w:tcPr>
          <w:p w:rsidR="00183524" w:rsidRPr="004B6827" w:rsidRDefault="00183524" w:rsidP="00183524">
            <w:pPr>
              <w:rPr>
                <w:szCs w:val="22"/>
                <w:lang w:val="sk-SK"/>
              </w:rPr>
            </w:pPr>
            <w:r w:rsidRPr="004B6827">
              <w:rPr>
                <w:szCs w:val="22"/>
                <w:lang w:val="sk-SK"/>
              </w:rPr>
              <w:t>Odporúča sa nižšia začiatočná dávka a klinické monitorovanie týchto pacientov.</w:t>
            </w:r>
          </w:p>
        </w:tc>
      </w:tr>
      <w:tr w:rsidR="00F50D12" w:rsidRPr="005023C8" w:rsidTr="001E2F5B">
        <w:trPr>
          <w:jc w:val="center"/>
        </w:trPr>
        <w:tc>
          <w:tcPr>
            <w:tcW w:w="2808" w:type="dxa"/>
            <w:shd w:val="clear" w:color="auto" w:fill="auto"/>
          </w:tcPr>
          <w:p w:rsidR="00F50D12" w:rsidRPr="00275323" w:rsidRDefault="00F50D12" w:rsidP="00F50D12">
            <w:pPr>
              <w:rPr>
                <w:szCs w:val="22"/>
                <w:lang w:val="sk-SK"/>
              </w:rPr>
            </w:pPr>
            <w:r w:rsidRPr="004B6827">
              <w:rPr>
                <w:szCs w:val="22"/>
                <w:lang w:val="sk-SK"/>
              </w:rPr>
              <w:t>Bo</w:t>
            </w:r>
            <w:r w:rsidR="00982E73" w:rsidRPr="004B6827">
              <w:rPr>
                <w:szCs w:val="22"/>
                <w:lang w:val="sk-SK"/>
              </w:rPr>
              <w:t>c</w:t>
            </w:r>
            <w:r w:rsidRPr="00275323">
              <w:rPr>
                <w:szCs w:val="22"/>
                <w:lang w:val="sk-SK"/>
              </w:rPr>
              <w:t xml:space="preserve">eprevir 800 mg TID, </w:t>
            </w:r>
          </w:p>
          <w:p w:rsidR="00F50D12" w:rsidRPr="004B6827" w:rsidRDefault="00F50D12" w:rsidP="00183524">
            <w:pPr>
              <w:rPr>
                <w:szCs w:val="22"/>
                <w:lang w:val="sk-SK"/>
              </w:rPr>
            </w:pPr>
            <w:r w:rsidRPr="004B6827">
              <w:rPr>
                <w:szCs w:val="22"/>
                <w:lang w:val="sk-SK"/>
              </w:rPr>
              <w:t>7 dní</w:t>
            </w:r>
          </w:p>
        </w:tc>
        <w:tc>
          <w:tcPr>
            <w:tcW w:w="1779" w:type="dxa"/>
            <w:shd w:val="clear" w:color="auto" w:fill="auto"/>
          </w:tcPr>
          <w:p w:rsidR="00F50D12" w:rsidRPr="004B6827" w:rsidRDefault="00F50D12" w:rsidP="00183524">
            <w:pPr>
              <w:rPr>
                <w:szCs w:val="22"/>
                <w:lang w:val="sk-SK"/>
              </w:rPr>
            </w:pPr>
            <w:r w:rsidRPr="004B6827">
              <w:rPr>
                <w:szCs w:val="22"/>
                <w:lang w:val="sk-SK"/>
              </w:rPr>
              <w:t>40 mg, SD</w:t>
            </w:r>
          </w:p>
        </w:tc>
        <w:tc>
          <w:tcPr>
            <w:tcW w:w="1641" w:type="dxa"/>
            <w:shd w:val="clear" w:color="auto" w:fill="auto"/>
          </w:tcPr>
          <w:p w:rsidR="00F50D12" w:rsidRPr="004B6827" w:rsidRDefault="00F50D12" w:rsidP="003B1230">
            <w:pPr>
              <w:rPr>
                <w:szCs w:val="22"/>
                <w:lang w:val="sk-SK"/>
              </w:rPr>
            </w:pPr>
            <w:r w:rsidRPr="004B6827">
              <w:rPr>
                <w:szCs w:val="22"/>
                <w:lang w:val="sk-SK"/>
              </w:rPr>
              <w:t>↑ 2,3</w:t>
            </w:r>
            <w:r w:rsidR="003B1230" w:rsidRPr="004B6827">
              <w:rPr>
                <w:szCs w:val="22"/>
                <w:lang w:val="sk-SK" w:bidi="te-IN"/>
              </w:rPr>
              <w:t>-</w:t>
            </w:r>
            <w:r w:rsidRPr="004B6827">
              <w:rPr>
                <w:szCs w:val="22"/>
                <w:lang w:val="sk-SK" w:bidi="te-IN"/>
              </w:rPr>
              <w:t>násobok</w:t>
            </w:r>
          </w:p>
        </w:tc>
        <w:tc>
          <w:tcPr>
            <w:tcW w:w="2952" w:type="dxa"/>
            <w:shd w:val="clear" w:color="auto" w:fill="auto"/>
          </w:tcPr>
          <w:p w:rsidR="00F50D12" w:rsidRPr="004B6827" w:rsidRDefault="00F50D12" w:rsidP="00F50D12">
            <w:pPr>
              <w:rPr>
                <w:szCs w:val="22"/>
                <w:lang w:val="sk-SK"/>
              </w:rPr>
            </w:pPr>
            <w:r w:rsidRPr="004B6827">
              <w:rPr>
                <w:szCs w:val="22"/>
                <w:lang w:val="sk-SK"/>
              </w:rPr>
              <w:t>Odporúča sa nižšia začiatočná dávka a klinické monitorovanie týchto pacientov.</w:t>
            </w:r>
          </w:p>
          <w:p w:rsidR="00F50D12" w:rsidRPr="004B6827" w:rsidRDefault="00F50D12" w:rsidP="00D23C09">
            <w:pPr>
              <w:rPr>
                <w:szCs w:val="22"/>
                <w:lang w:val="sk-SK"/>
              </w:rPr>
            </w:pPr>
            <w:r w:rsidRPr="004B6827">
              <w:rPr>
                <w:szCs w:val="22"/>
                <w:lang w:val="sk-SK"/>
              </w:rPr>
              <w:t>Dávka atorvastatínu ne</w:t>
            </w:r>
            <w:r w:rsidR="00D23C09" w:rsidRPr="004B6827">
              <w:rPr>
                <w:szCs w:val="22"/>
                <w:lang w:val="sk-SK"/>
              </w:rPr>
              <w:t>má</w:t>
            </w:r>
            <w:r w:rsidRPr="004B6827">
              <w:rPr>
                <w:szCs w:val="22"/>
                <w:lang w:val="sk-SK"/>
              </w:rPr>
              <w:t xml:space="preserve"> prekročiť dennú dávku 20 mg počas súbežného podávania bo</w:t>
            </w:r>
            <w:r w:rsidR="00982E73" w:rsidRPr="004B6827">
              <w:rPr>
                <w:szCs w:val="22"/>
                <w:lang w:val="sk-SK"/>
              </w:rPr>
              <w:t>c</w:t>
            </w:r>
            <w:r w:rsidRPr="004B6827">
              <w:rPr>
                <w:szCs w:val="22"/>
                <w:lang w:val="sk-SK"/>
              </w:rPr>
              <w:t>epreviru.</w:t>
            </w:r>
          </w:p>
        </w:tc>
      </w:tr>
    </w:tbl>
    <w:p w:rsidR="00586480" w:rsidRPr="004B6827" w:rsidRDefault="00586480" w:rsidP="00586480">
      <w:pPr>
        <w:rPr>
          <w:szCs w:val="22"/>
          <w:lang w:val="sk-SK"/>
        </w:rPr>
      </w:pPr>
    </w:p>
    <w:p w:rsidR="00586480" w:rsidRPr="004B6827" w:rsidRDefault="008F0F7C" w:rsidP="00586480">
      <w:pPr>
        <w:ind w:right="966"/>
        <w:rPr>
          <w:szCs w:val="22"/>
          <w:lang w:val="sk-SK" w:bidi="te-IN"/>
        </w:rPr>
      </w:pPr>
      <w:r w:rsidRPr="004B6827">
        <w:rPr>
          <w:szCs w:val="22"/>
          <w:lang w:val="sk-SK"/>
        </w:rPr>
        <w:t xml:space="preserve">OD (once </w:t>
      </w:r>
      <w:r w:rsidRPr="00275323">
        <w:rPr>
          <w:szCs w:val="22"/>
          <w:lang w:val="sk-SK"/>
        </w:rPr>
        <w:t>daily) = jedenkrát denne; SD (single dose) = jednorazová dávka; BID (</w:t>
      </w:r>
      <w:r w:rsidRPr="00275323">
        <w:rPr>
          <w:i/>
          <w:szCs w:val="22"/>
          <w:lang w:val="sk-SK"/>
        </w:rPr>
        <w:t>bis in die</w:t>
      </w:r>
      <w:r w:rsidRPr="00275323">
        <w:rPr>
          <w:szCs w:val="22"/>
          <w:lang w:val="sk-SK"/>
        </w:rPr>
        <w:t>) = dvakrát denne; TID (</w:t>
      </w:r>
      <w:r w:rsidRPr="004B6827">
        <w:rPr>
          <w:i/>
          <w:szCs w:val="22"/>
          <w:lang w:val="sk-SK"/>
        </w:rPr>
        <w:t>ter in die</w:t>
      </w:r>
      <w:r w:rsidRPr="004B6827">
        <w:rPr>
          <w:szCs w:val="22"/>
          <w:lang w:val="sk-SK"/>
        </w:rPr>
        <w:t>) = trikrát denne; QID (</w:t>
      </w:r>
      <w:r w:rsidRPr="004B6827">
        <w:rPr>
          <w:i/>
          <w:szCs w:val="22"/>
          <w:lang w:val="sk-SK"/>
        </w:rPr>
        <w:t>quater in die</w:t>
      </w:r>
      <w:r w:rsidRPr="004B6827">
        <w:rPr>
          <w:szCs w:val="22"/>
          <w:lang w:val="sk-SK"/>
        </w:rPr>
        <w:t>) = štyrikrát denne</w:t>
      </w:r>
    </w:p>
    <w:p w:rsidR="008F0F7C" w:rsidRPr="004B6827" w:rsidRDefault="008F0F7C" w:rsidP="008F0F7C">
      <w:pPr>
        <w:ind w:left="567" w:hanging="567"/>
        <w:rPr>
          <w:szCs w:val="22"/>
          <w:lang w:val="sk-SK"/>
        </w:rPr>
      </w:pPr>
      <w:r w:rsidRPr="004B6827">
        <w:rPr>
          <w:szCs w:val="22"/>
          <w:lang w:val="sk-SK"/>
        </w:rPr>
        <w:t xml:space="preserve">Zvýšenie sa označuje ako </w:t>
      </w:r>
      <w:r w:rsidR="000A305A" w:rsidRPr="004B6827">
        <w:rPr>
          <w:szCs w:val="22"/>
          <w:lang w:val="sk-SK"/>
        </w:rPr>
        <w:t>„</w:t>
      </w:r>
      <w:r w:rsidRPr="004B6827">
        <w:rPr>
          <w:szCs w:val="22"/>
          <w:lang w:val="sk-SK"/>
        </w:rPr>
        <w:t>↑</w:t>
      </w:r>
      <w:r w:rsidR="000A305A" w:rsidRPr="004B6827">
        <w:rPr>
          <w:szCs w:val="22"/>
          <w:lang w:val="sk-SK"/>
        </w:rPr>
        <w:t>“</w:t>
      </w:r>
      <w:r w:rsidRPr="004B6827">
        <w:rPr>
          <w:szCs w:val="22"/>
          <w:lang w:val="sk-SK"/>
        </w:rPr>
        <w:t xml:space="preserve">, pokles ako </w:t>
      </w:r>
      <w:r w:rsidR="000A305A" w:rsidRPr="004B6827">
        <w:rPr>
          <w:szCs w:val="22"/>
          <w:lang w:val="sk-SK"/>
        </w:rPr>
        <w:t>„</w:t>
      </w:r>
      <w:r w:rsidRPr="004B6827">
        <w:rPr>
          <w:szCs w:val="22"/>
          <w:lang w:val="sk-SK"/>
        </w:rPr>
        <w:t>↓</w:t>
      </w:r>
      <w:r w:rsidR="000A305A" w:rsidRPr="004B6827">
        <w:rPr>
          <w:szCs w:val="22"/>
          <w:lang w:val="sk-SK"/>
        </w:rPr>
        <w:t>“</w:t>
      </w:r>
    </w:p>
    <w:p w:rsidR="00586480" w:rsidRPr="004B6827" w:rsidRDefault="00586480" w:rsidP="00586480">
      <w:pPr>
        <w:autoSpaceDE w:val="0"/>
        <w:autoSpaceDN w:val="0"/>
        <w:adjustRightInd w:val="0"/>
        <w:ind w:left="567" w:hanging="567"/>
        <w:rPr>
          <w:szCs w:val="22"/>
          <w:lang w:val="sk-SK" w:bidi="te-IN"/>
        </w:rPr>
      </w:pPr>
      <w:r w:rsidRPr="004B6827">
        <w:rPr>
          <w:szCs w:val="22"/>
          <w:vertAlign w:val="superscript"/>
          <w:lang w:val="sk-SK" w:bidi="te-IN"/>
        </w:rPr>
        <w:t>&amp;</w:t>
      </w:r>
      <w:r w:rsidR="008F0F7C" w:rsidRPr="004B6827">
        <w:rPr>
          <w:szCs w:val="22"/>
          <w:lang w:val="sk-SK" w:bidi="te-IN"/>
        </w:rPr>
        <w:tab/>
      </w:r>
      <w:r w:rsidRPr="004B6827">
        <w:rPr>
          <w:szCs w:val="22"/>
          <w:lang w:val="sk-SK" w:bidi="te-IN"/>
        </w:rPr>
        <w:t>Údaje uvedené ako</w:t>
      </w:r>
      <w:r w:rsidRPr="004B6827">
        <w:rPr>
          <w:szCs w:val="22"/>
          <w:lang w:val="sk-SK"/>
        </w:rPr>
        <w:t xml:space="preserve"> x-násobok zmeny predstavujú jednoduchý pomer medzi súbežným podávaním a atorvastatínom samotným (tzn. 1</w:t>
      </w:r>
      <w:r w:rsidR="000A305A" w:rsidRPr="004B6827">
        <w:rPr>
          <w:szCs w:val="22"/>
          <w:lang w:val="sk-SK"/>
        </w:rPr>
        <w:t>-</w:t>
      </w:r>
      <w:r w:rsidRPr="004B6827">
        <w:rPr>
          <w:szCs w:val="22"/>
          <w:lang w:val="sk-SK"/>
        </w:rPr>
        <w:t>násobok = žiadna zmena). Údaje uvedené ako % zmeny predstavujú % rozdiel voči atorvastatínu samotnému (tzn. 0 % = žiadna zmena).</w:t>
      </w:r>
    </w:p>
    <w:p w:rsidR="00586480" w:rsidRPr="004B6827" w:rsidRDefault="00586480" w:rsidP="00586480">
      <w:pPr>
        <w:ind w:left="567" w:hanging="567"/>
        <w:rPr>
          <w:szCs w:val="22"/>
          <w:lang w:val="sk-SK" w:bidi="te-IN"/>
        </w:rPr>
      </w:pPr>
      <w:r w:rsidRPr="004B6827">
        <w:rPr>
          <w:szCs w:val="22"/>
          <w:vertAlign w:val="superscript"/>
          <w:lang w:val="sk-SK"/>
        </w:rPr>
        <w:t>#</w:t>
      </w:r>
      <w:r w:rsidRPr="004B6827">
        <w:rPr>
          <w:szCs w:val="22"/>
          <w:lang w:val="sk-SK" w:bidi="te-IN"/>
        </w:rPr>
        <w:tab/>
        <w:t>Klinický význam pozri v častiach 4.4 a </w:t>
      </w:r>
      <w:r w:rsidR="008F0F7C" w:rsidRPr="004B6827">
        <w:rPr>
          <w:szCs w:val="22"/>
          <w:lang w:val="sk-SK" w:bidi="te-IN"/>
        </w:rPr>
        <w:t>4.5.</w:t>
      </w:r>
    </w:p>
    <w:p w:rsidR="00586480" w:rsidRPr="004B6827" w:rsidRDefault="008F0F7C" w:rsidP="00586480">
      <w:pPr>
        <w:ind w:left="567" w:hanging="567"/>
        <w:rPr>
          <w:szCs w:val="22"/>
          <w:lang w:val="sk-SK" w:bidi="te-IN"/>
        </w:rPr>
      </w:pPr>
      <w:r w:rsidRPr="004B6827">
        <w:rPr>
          <w:szCs w:val="22"/>
          <w:lang w:val="sk-SK" w:bidi="te-IN"/>
        </w:rPr>
        <w:t>*</w:t>
      </w:r>
      <w:r w:rsidR="00586480" w:rsidRPr="004B6827">
        <w:rPr>
          <w:szCs w:val="22"/>
          <w:lang w:val="sk-SK" w:bidi="te-IN"/>
        </w:rPr>
        <w:tab/>
        <w:t>Obsahuje</w:t>
      </w:r>
      <w:r w:rsidR="00586480" w:rsidRPr="004B6827">
        <w:rPr>
          <w:szCs w:val="22"/>
          <w:lang w:val="sk-SK"/>
        </w:rPr>
        <w:t xml:space="preserve"> jednu alebo viac zložiek, ktoré inhibujú CYP3A4 a môžu zvýšiť plazmatické koncentrácie liekov metaboliz</w:t>
      </w:r>
      <w:r w:rsidRPr="004B6827">
        <w:rPr>
          <w:szCs w:val="22"/>
          <w:lang w:val="sk-SK"/>
        </w:rPr>
        <w:t xml:space="preserve">ovaných prostredníctvom </w:t>
      </w:r>
      <w:r w:rsidR="00586480" w:rsidRPr="004B6827">
        <w:rPr>
          <w:szCs w:val="22"/>
          <w:lang w:val="sk-SK"/>
        </w:rPr>
        <w:t>CYP3A4. Požitie jedného 240 ml pohára grapefruit</w:t>
      </w:r>
      <w:r w:rsidRPr="004B6827">
        <w:rPr>
          <w:szCs w:val="22"/>
          <w:lang w:val="sk-SK"/>
        </w:rPr>
        <w:t>ového</w:t>
      </w:r>
      <w:r w:rsidR="00586480" w:rsidRPr="004B6827">
        <w:rPr>
          <w:szCs w:val="22"/>
          <w:lang w:val="sk-SK"/>
        </w:rPr>
        <w:t xml:space="preserve"> </w:t>
      </w:r>
      <w:r w:rsidRPr="004B6827">
        <w:rPr>
          <w:szCs w:val="22"/>
          <w:lang w:val="sk-SK"/>
        </w:rPr>
        <w:t>džúsu</w:t>
      </w:r>
      <w:r w:rsidR="00586480" w:rsidRPr="004B6827">
        <w:rPr>
          <w:szCs w:val="22"/>
          <w:lang w:val="sk-SK"/>
        </w:rPr>
        <w:t xml:space="preserve"> malo za následok tiež pokles AUC aktívneho ortohydroxymetabolitu o 20,4 %. Veľké množstv</w:t>
      </w:r>
      <w:r w:rsidR="00B62F7E" w:rsidRPr="004B6827">
        <w:rPr>
          <w:szCs w:val="22"/>
          <w:lang w:val="sk-SK"/>
        </w:rPr>
        <w:t>o</w:t>
      </w:r>
      <w:r w:rsidR="00586480" w:rsidRPr="004B6827">
        <w:rPr>
          <w:szCs w:val="22"/>
          <w:lang w:val="sk-SK"/>
        </w:rPr>
        <w:t xml:space="preserve"> grapefruito</w:t>
      </w:r>
      <w:r w:rsidRPr="004B6827">
        <w:rPr>
          <w:szCs w:val="22"/>
          <w:lang w:val="sk-SK"/>
        </w:rPr>
        <w:t>vého</w:t>
      </w:r>
      <w:r w:rsidR="00586480" w:rsidRPr="004B6827">
        <w:rPr>
          <w:szCs w:val="22"/>
          <w:lang w:val="sk-SK"/>
        </w:rPr>
        <w:t xml:space="preserve"> </w:t>
      </w:r>
      <w:r w:rsidRPr="004B6827">
        <w:rPr>
          <w:szCs w:val="22"/>
          <w:lang w:val="sk-SK"/>
        </w:rPr>
        <w:t>džúsu</w:t>
      </w:r>
      <w:r w:rsidR="00586480" w:rsidRPr="004B6827">
        <w:rPr>
          <w:szCs w:val="22"/>
          <w:lang w:val="sk-SK"/>
        </w:rPr>
        <w:t xml:space="preserve"> (nad 1,2 l denne počas 5 dní) zvýšil</w:t>
      </w:r>
      <w:r w:rsidR="00B62F7E" w:rsidRPr="004B6827">
        <w:rPr>
          <w:szCs w:val="22"/>
          <w:lang w:val="sk-SK"/>
        </w:rPr>
        <w:t>o</w:t>
      </w:r>
      <w:r w:rsidR="00586480" w:rsidRPr="004B6827">
        <w:rPr>
          <w:szCs w:val="22"/>
          <w:lang w:val="sk-SK"/>
        </w:rPr>
        <w:t xml:space="preserve"> AUC atorvastatínu 2,5</w:t>
      </w:r>
      <w:r w:rsidR="000A305A" w:rsidRPr="004B6827">
        <w:rPr>
          <w:szCs w:val="22"/>
          <w:lang w:val="sk-SK"/>
        </w:rPr>
        <w:t>-</w:t>
      </w:r>
      <w:r w:rsidR="00586480" w:rsidRPr="004B6827">
        <w:rPr>
          <w:szCs w:val="22"/>
          <w:lang w:val="sk-SK"/>
        </w:rPr>
        <w:t>násobne a AUC aktívnych zložiek (atorvastatínu a metabolitov</w:t>
      </w:r>
      <w:r w:rsidR="00662211" w:rsidRPr="004B6827">
        <w:rPr>
          <w:szCs w:val="22"/>
          <w:lang w:val="sk-SK"/>
        </w:rPr>
        <w:t>).</w:t>
      </w:r>
    </w:p>
    <w:p w:rsidR="00586480" w:rsidRPr="004B6827" w:rsidRDefault="008F0F7C" w:rsidP="00586480">
      <w:pPr>
        <w:ind w:left="567" w:hanging="567"/>
        <w:rPr>
          <w:szCs w:val="22"/>
          <w:lang w:val="sk-SK" w:bidi="te-IN"/>
        </w:rPr>
      </w:pPr>
      <w:r w:rsidRPr="004B6827">
        <w:rPr>
          <w:szCs w:val="22"/>
          <w:lang w:val="sk-SK" w:bidi="te-IN"/>
        </w:rPr>
        <w:t>^</w:t>
      </w:r>
      <w:r w:rsidR="00586480" w:rsidRPr="004B6827">
        <w:rPr>
          <w:szCs w:val="22"/>
          <w:lang w:val="sk-SK" w:bidi="te-IN"/>
        </w:rPr>
        <w:tab/>
      </w:r>
      <w:r w:rsidR="00662211" w:rsidRPr="004B6827">
        <w:rPr>
          <w:szCs w:val="22"/>
          <w:lang w:val="sk-SK" w:bidi="te-IN"/>
        </w:rPr>
        <w:t>Cel</w:t>
      </w:r>
      <w:r w:rsidR="00982E73" w:rsidRPr="004B6827">
        <w:rPr>
          <w:szCs w:val="22"/>
          <w:lang w:val="sk-SK" w:bidi="te-IN"/>
        </w:rPr>
        <w:t>k</w:t>
      </w:r>
      <w:r w:rsidR="00662211" w:rsidRPr="004B6827">
        <w:rPr>
          <w:szCs w:val="22"/>
          <w:lang w:val="sk-SK" w:bidi="te-IN"/>
        </w:rPr>
        <w:t xml:space="preserve">ová aktivita zodpovedajúca </w:t>
      </w:r>
      <w:r w:rsidR="00586480" w:rsidRPr="004B6827">
        <w:rPr>
          <w:szCs w:val="22"/>
          <w:lang w:val="sk-SK" w:bidi="te-IN"/>
        </w:rPr>
        <w:t>atorvastatínu</w:t>
      </w:r>
    </w:p>
    <w:p w:rsidR="00586480" w:rsidRPr="004B6827" w:rsidRDefault="00586480" w:rsidP="00586480">
      <w:pPr>
        <w:pStyle w:val="Paragraph"/>
        <w:tabs>
          <w:tab w:val="left" w:pos="567"/>
        </w:tabs>
        <w:spacing w:after="0"/>
        <w:rPr>
          <w:rFonts w:eastAsia="MS Mincho"/>
          <w:sz w:val="22"/>
          <w:szCs w:val="22"/>
          <w:lang w:val="sk-SK"/>
        </w:rPr>
      </w:pPr>
    </w:p>
    <w:p w:rsidR="00586480" w:rsidRPr="004B6827" w:rsidRDefault="00586480" w:rsidP="00586480">
      <w:pPr>
        <w:pStyle w:val="Paragraph"/>
        <w:tabs>
          <w:tab w:val="left" w:pos="567"/>
        </w:tabs>
        <w:rPr>
          <w:rFonts w:eastAsia="MS Mincho"/>
          <w:sz w:val="22"/>
          <w:szCs w:val="22"/>
          <w:u w:val="single"/>
          <w:lang w:val="sk-SK" w:eastAsia="ja-JP" w:bidi="te-IN"/>
        </w:rPr>
      </w:pPr>
      <w:r w:rsidRPr="004B6827">
        <w:rPr>
          <w:rFonts w:eastAsia="MS Mincho"/>
          <w:sz w:val="22"/>
          <w:szCs w:val="22"/>
          <w:u w:val="single"/>
          <w:lang w:val="sk-SK" w:eastAsia="ja-JP" w:bidi="te-IN"/>
        </w:rPr>
        <w:t>Tabuľka 2: Vplyv atorvastatínu na farmakokinetiku súbežne podávaných liekov</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3000"/>
        <w:gridCol w:w="1260"/>
        <w:gridCol w:w="3060"/>
      </w:tblGrid>
      <w:tr w:rsidR="00586480" w:rsidRPr="004B6827" w:rsidTr="001E2F5B">
        <w:tc>
          <w:tcPr>
            <w:tcW w:w="1680" w:type="dxa"/>
            <w:vMerge w:val="restart"/>
            <w:shd w:val="clear" w:color="auto" w:fill="auto"/>
          </w:tcPr>
          <w:p w:rsidR="00586480" w:rsidRPr="004B6827" w:rsidRDefault="00662211" w:rsidP="001E2F5B">
            <w:pPr>
              <w:rPr>
                <w:b/>
                <w:szCs w:val="22"/>
                <w:lang w:val="sk-SK" w:bidi="te-IN"/>
              </w:rPr>
            </w:pPr>
            <w:r w:rsidRPr="004B6827">
              <w:rPr>
                <w:b/>
                <w:bCs/>
                <w:szCs w:val="22"/>
                <w:lang w:val="sk-SK" w:bidi="te-IN"/>
              </w:rPr>
              <w:t>D</w:t>
            </w:r>
            <w:r w:rsidR="00586480" w:rsidRPr="004B6827">
              <w:rPr>
                <w:b/>
                <w:szCs w:val="22"/>
                <w:lang w:val="sk-SK"/>
              </w:rPr>
              <w:t xml:space="preserve">ávkovacia </w:t>
            </w:r>
            <w:r w:rsidRPr="004B6827">
              <w:rPr>
                <w:b/>
                <w:szCs w:val="22"/>
                <w:lang w:val="sk-SK"/>
              </w:rPr>
              <w:t>sch</w:t>
            </w:r>
            <w:r w:rsidR="00982E73" w:rsidRPr="004B6827">
              <w:rPr>
                <w:b/>
                <w:szCs w:val="22"/>
                <w:lang w:val="sk-SK"/>
              </w:rPr>
              <w:t>é</w:t>
            </w:r>
            <w:r w:rsidRPr="004B6827">
              <w:rPr>
                <w:b/>
                <w:szCs w:val="22"/>
                <w:lang w:val="sk-SK"/>
              </w:rPr>
              <w:t xml:space="preserve">ma </w:t>
            </w:r>
            <w:r w:rsidRPr="004B6827">
              <w:rPr>
                <w:b/>
                <w:bCs/>
                <w:szCs w:val="22"/>
                <w:lang w:val="sk-SK" w:bidi="te-IN"/>
              </w:rPr>
              <w:t>atorvastatínu</w:t>
            </w:r>
          </w:p>
        </w:tc>
        <w:tc>
          <w:tcPr>
            <w:tcW w:w="7320" w:type="dxa"/>
            <w:gridSpan w:val="3"/>
            <w:shd w:val="clear" w:color="auto" w:fill="auto"/>
          </w:tcPr>
          <w:p w:rsidR="00586480" w:rsidRPr="004B6827" w:rsidRDefault="00586480" w:rsidP="00662211">
            <w:pPr>
              <w:jc w:val="center"/>
              <w:rPr>
                <w:b/>
                <w:bCs/>
                <w:szCs w:val="22"/>
                <w:lang w:val="sk-SK" w:bidi="te-IN"/>
              </w:rPr>
            </w:pPr>
            <w:r w:rsidRPr="004B6827">
              <w:rPr>
                <w:b/>
                <w:bCs/>
                <w:szCs w:val="22"/>
                <w:lang w:val="sk-SK" w:bidi="te-IN"/>
              </w:rPr>
              <w:t>Súbežne podávaný liek</w:t>
            </w:r>
          </w:p>
        </w:tc>
      </w:tr>
      <w:tr w:rsidR="00586480" w:rsidRPr="004B6827" w:rsidTr="001E2F5B">
        <w:tc>
          <w:tcPr>
            <w:tcW w:w="1680" w:type="dxa"/>
            <w:vMerge/>
            <w:shd w:val="clear" w:color="auto" w:fill="auto"/>
          </w:tcPr>
          <w:p w:rsidR="00586480" w:rsidRPr="004B6827" w:rsidRDefault="00586480" w:rsidP="001E2F5B">
            <w:pPr>
              <w:rPr>
                <w:b/>
                <w:szCs w:val="22"/>
                <w:lang w:val="sk-SK" w:bidi="te-IN"/>
              </w:rPr>
            </w:pPr>
          </w:p>
        </w:tc>
        <w:tc>
          <w:tcPr>
            <w:tcW w:w="3000" w:type="dxa"/>
            <w:shd w:val="clear" w:color="auto" w:fill="auto"/>
          </w:tcPr>
          <w:p w:rsidR="00586480" w:rsidRPr="004B6827" w:rsidRDefault="00586480" w:rsidP="001E2F5B">
            <w:pPr>
              <w:rPr>
                <w:b/>
                <w:bCs/>
                <w:szCs w:val="22"/>
                <w:lang w:val="sk-SK" w:bidi="te-IN"/>
              </w:rPr>
            </w:pPr>
            <w:r w:rsidRPr="004B6827">
              <w:rPr>
                <w:b/>
                <w:bCs/>
                <w:szCs w:val="22"/>
                <w:lang w:val="sk-SK" w:bidi="te-IN"/>
              </w:rPr>
              <w:t>Liek/Dávka (mg)</w:t>
            </w:r>
          </w:p>
        </w:tc>
        <w:tc>
          <w:tcPr>
            <w:tcW w:w="1260" w:type="dxa"/>
            <w:shd w:val="clear" w:color="auto" w:fill="auto"/>
          </w:tcPr>
          <w:p w:rsidR="00586480" w:rsidRPr="004B6827" w:rsidRDefault="00586480" w:rsidP="001E2F5B">
            <w:pPr>
              <w:rPr>
                <w:b/>
                <w:bCs/>
                <w:szCs w:val="22"/>
                <w:vertAlign w:val="superscript"/>
                <w:lang w:val="sk-SK" w:bidi="te-IN"/>
              </w:rPr>
            </w:pPr>
            <w:r w:rsidRPr="004B6827">
              <w:rPr>
                <w:b/>
                <w:bCs/>
                <w:szCs w:val="22"/>
                <w:lang w:val="sk-SK" w:bidi="te-IN"/>
              </w:rPr>
              <w:t>Zmena v AUC</w:t>
            </w:r>
            <w:r w:rsidRPr="004B6827">
              <w:rPr>
                <w:b/>
                <w:bCs/>
                <w:szCs w:val="22"/>
                <w:vertAlign w:val="superscript"/>
                <w:lang w:val="sk-SK" w:bidi="te-IN"/>
              </w:rPr>
              <w:t>&amp;</w:t>
            </w:r>
          </w:p>
        </w:tc>
        <w:tc>
          <w:tcPr>
            <w:tcW w:w="3060" w:type="dxa"/>
            <w:shd w:val="clear" w:color="auto" w:fill="auto"/>
          </w:tcPr>
          <w:p w:rsidR="00586480" w:rsidRPr="004B6827" w:rsidRDefault="00586480" w:rsidP="001E2F5B">
            <w:pPr>
              <w:rPr>
                <w:b/>
                <w:bCs/>
                <w:szCs w:val="22"/>
                <w:lang w:val="sk-SK" w:bidi="te-IN"/>
              </w:rPr>
            </w:pPr>
            <w:r w:rsidRPr="004B6827">
              <w:rPr>
                <w:b/>
                <w:bCs/>
                <w:szCs w:val="22"/>
                <w:lang w:val="sk-SK" w:bidi="te-IN"/>
              </w:rPr>
              <w:t>Klinické odporúčanie</w:t>
            </w:r>
          </w:p>
        </w:tc>
      </w:tr>
      <w:tr w:rsidR="00586480" w:rsidRPr="005023C8" w:rsidTr="001E2F5B">
        <w:tc>
          <w:tcPr>
            <w:tcW w:w="1680" w:type="dxa"/>
            <w:shd w:val="clear" w:color="auto" w:fill="auto"/>
          </w:tcPr>
          <w:p w:rsidR="00586480" w:rsidRPr="004B6827" w:rsidRDefault="00586480" w:rsidP="001E2F5B">
            <w:pPr>
              <w:rPr>
                <w:szCs w:val="22"/>
                <w:lang w:val="sk-SK" w:bidi="te-IN"/>
              </w:rPr>
            </w:pPr>
            <w:r w:rsidRPr="004B6827">
              <w:rPr>
                <w:szCs w:val="22"/>
                <w:lang w:val="sk-SK" w:bidi="te-IN"/>
              </w:rPr>
              <w:t>80 mg OD počas 10 dní</w:t>
            </w:r>
          </w:p>
        </w:tc>
        <w:tc>
          <w:tcPr>
            <w:tcW w:w="3000" w:type="dxa"/>
            <w:shd w:val="clear" w:color="auto" w:fill="auto"/>
          </w:tcPr>
          <w:p w:rsidR="00586480" w:rsidRPr="00275323" w:rsidRDefault="00875F0E" w:rsidP="001E2F5B">
            <w:pPr>
              <w:rPr>
                <w:szCs w:val="22"/>
                <w:lang w:val="sk-SK" w:bidi="te-IN"/>
              </w:rPr>
            </w:pPr>
            <w:r w:rsidRPr="00275323">
              <w:rPr>
                <w:szCs w:val="22"/>
                <w:lang w:val="sk-SK" w:bidi="te-IN"/>
              </w:rPr>
              <w:t>D</w:t>
            </w:r>
            <w:r w:rsidR="00586480" w:rsidRPr="00275323">
              <w:rPr>
                <w:szCs w:val="22"/>
                <w:lang w:val="sk-SK" w:bidi="te-IN"/>
              </w:rPr>
              <w:t>igoxín 0,25 mg OD, 20 dní</w:t>
            </w:r>
          </w:p>
        </w:tc>
        <w:tc>
          <w:tcPr>
            <w:tcW w:w="1260" w:type="dxa"/>
            <w:shd w:val="clear" w:color="auto" w:fill="auto"/>
          </w:tcPr>
          <w:p w:rsidR="00586480" w:rsidRPr="004B6827" w:rsidRDefault="00586480" w:rsidP="001E2F5B">
            <w:pPr>
              <w:rPr>
                <w:szCs w:val="22"/>
                <w:lang w:val="sk-SK" w:bidi="te-IN"/>
              </w:rPr>
            </w:pPr>
            <w:r w:rsidRPr="004B6827">
              <w:rPr>
                <w:szCs w:val="22"/>
                <w:lang w:val="sk-SK" w:bidi="te-IN"/>
              </w:rPr>
              <w:t>↑ 15 %</w:t>
            </w:r>
          </w:p>
        </w:tc>
        <w:tc>
          <w:tcPr>
            <w:tcW w:w="3060" w:type="dxa"/>
            <w:shd w:val="clear" w:color="auto" w:fill="auto"/>
          </w:tcPr>
          <w:p w:rsidR="00586480" w:rsidRPr="004B6827" w:rsidRDefault="00586480" w:rsidP="00875F0E">
            <w:pPr>
              <w:rPr>
                <w:szCs w:val="22"/>
                <w:lang w:val="sk-SK"/>
              </w:rPr>
            </w:pPr>
            <w:r w:rsidRPr="004B6827">
              <w:rPr>
                <w:szCs w:val="22"/>
                <w:lang w:val="sk-SK"/>
              </w:rPr>
              <w:t xml:space="preserve">Pacienti užívajúci digoxín </w:t>
            </w:r>
            <w:r w:rsidR="00875F0E" w:rsidRPr="004B6827">
              <w:rPr>
                <w:szCs w:val="22"/>
                <w:lang w:val="sk-SK"/>
              </w:rPr>
              <w:t xml:space="preserve">sa </w:t>
            </w:r>
            <w:r w:rsidRPr="004B6827">
              <w:rPr>
                <w:szCs w:val="22"/>
                <w:lang w:val="sk-SK"/>
              </w:rPr>
              <w:t>majú náležite monitorova</w:t>
            </w:r>
            <w:r w:rsidR="00875F0E" w:rsidRPr="004B6827">
              <w:rPr>
                <w:szCs w:val="22"/>
                <w:lang w:val="sk-SK"/>
              </w:rPr>
              <w:t>ť</w:t>
            </w:r>
            <w:r w:rsidRPr="004B6827">
              <w:rPr>
                <w:szCs w:val="22"/>
                <w:lang w:val="sk-SK"/>
              </w:rPr>
              <w:t>.</w:t>
            </w:r>
          </w:p>
        </w:tc>
      </w:tr>
      <w:tr w:rsidR="00586480" w:rsidRPr="004B6827" w:rsidTr="001E2F5B">
        <w:tc>
          <w:tcPr>
            <w:tcW w:w="1680" w:type="dxa"/>
            <w:shd w:val="clear" w:color="auto" w:fill="auto"/>
          </w:tcPr>
          <w:p w:rsidR="00586480" w:rsidRPr="004B6827" w:rsidRDefault="00586480" w:rsidP="001E2F5B">
            <w:pPr>
              <w:rPr>
                <w:szCs w:val="22"/>
                <w:lang w:val="sk-SK" w:bidi="te-IN"/>
              </w:rPr>
            </w:pPr>
            <w:r w:rsidRPr="004B6827">
              <w:rPr>
                <w:szCs w:val="22"/>
                <w:lang w:val="sk-SK" w:bidi="te-IN"/>
              </w:rPr>
              <w:t xml:space="preserve">40 mg OD počas 22 dní </w:t>
            </w:r>
          </w:p>
        </w:tc>
        <w:tc>
          <w:tcPr>
            <w:tcW w:w="3000" w:type="dxa"/>
            <w:shd w:val="clear" w:color="auto" w:fill="auto"/>
          </w:tcPr>
          <w:p w:rsidR="00586480" w:rsidRPr="004B6827" w:rsidRDefault="00875F0E" w:rsidP="001E2F5B">
            <w:pPr>
              <w:rPr>
                <w:szCs w:val="22"/>
                <w:vertAlign w:val="superscript"/>
                <w:lang w:val="sk-SK" w:bidi="te-IN"/>
              </w:rPr>
            </w:pPr>
            <w:r w:rsidRPr="00275323">
              <w:rPr>
                <w:szCs w:val="22"/>
                <w:lang w:val="sk-SK" w:bidi="te-IN"/>
              </w:rPr>
              <w:t>P</w:t>
            </w:r>
            <w:r w:rsidR="00586480" w:rsidRPr="00275323">
              <w:rPr>
                <w:szCs w:val="22"/>
                <w:lang w:val="sk-SK" w:bidi="te-IN"/>
              </w:rPr>
              <w:t>erorálne kontraceptívum OD, 2 mesiace</w:t>
            </w:r>
          </w:p>
          <w:p w:rsidR="00586480" w:rsidRPr="004B6827" w:rsidRDefault="00CB2196" w:rsidP="001E2F5B">
            <w:pPr>
              <w:rPr>
                <w:szCs w:val="22"/>
                <w:lang w:val="sk-SK" w:bidi="te-IN"/>
              </w:rPr>
            </w:pPr>
            <w:r w:rsidRPr="004B6827">
              <w:rPr>
                <w:szCs w:val="22"/>
                <w:lang w:val="sk-SK"/>
              </w:rPr>
              <w:lastRenderedPageBreak/>
              <w:t>–</w:t>
            </w:r>
            <w:r w:rsidR="000A305A" w:rsidRPr="004B6827">
              <w:rPr>
                <w:szCs w:val="22"/>
                <w:lang w:val="sk-SK" w:bidi="te-IN"/>
              </w:rPr>
              <w:t xml:space="preserve"> </w:t>
            </w:r>
            <w:r w:rsidR="00875F0E" w:rsidRPr="004B6827">
              <w:rPr>
                <w:szCs w:val="22"/>
                <w:lang w:val="sk-SK" w:bidi="te-IN"/>
              </w:rPr>
              <w:t>N</w:t>
            </w:r>
            <w:r w:rsidR="00586480" w:rsidRPr="004B6827">
              <w:rPr>
                <w:szCs w:val="22"/>
                <w:lang w:val="sk-SK" w:bidi="te-IN"/>
              </w:rPr>
              <w:t>oreti</w:t>
            </w:r>
            <w:r w:rsidR="00875F0E" w:rsidRPr="004B6827">
              <w:rPr>
                <w:szCs w:val="22"/>
                <w:lang w:val="sk-SK" w:bidi="te-IN"/>
              </w:rPr>
              <w:t>ste</w:t>
            </w:r>
            <w:r w:rsidR="00586480" w:rsidRPr="004B6827">
              <w:rPr>
                <w:szCs w:val="22"/>
                <w:lang w:val="sk-SK" w:bidi="te-IN"/>
              </w:rPr>
              <w:t>rón 1 mg</w:t>
            </w:r>
          </w:p>
          <w:p w:rsidR="00586480" w:rsidRPr="004B6827" w:rsidRDefault="00CB2196" w:rsidP="001E2F5B">
            <w:pPr>
              <w:rPr>
                <w:szCs w:val="22"/>
                <w:lang w:val="sk-SK" w:bidi="te-IN"/>
              </w:rPr>
            </w:pPr>
            <w:r w:rsidRPr="004B6827">
              <w:rPr>
                <w:szCs w:val="22"/>
                <w:lang w:val="sk-SK"/>
              </w:rPr>
              <w:t>–</w:t>
            </w:r>
            <w:r w:rsidR="000A305A" w:rsidRPr="004B6827">
              <w:rPr>
                <w:szCs w:val="22"/>
                <w:lang w:val="sk-SK" w:bidi="te-IN"/>
              </w:rPr>
              <w:t xml:space="preserve"> </w:t>
            </w:r>
            <w:r w:rsidR="00875F0E" w:rsidRPr="004B6827">
              <w:rPr>
                <w:szCs w:val="22"/>
                <w:lang w:val="sk-SK" w:bidi="te-IN"/>
              </w:rPr>
              <w:t>E</w:t>
            </w:r>
            <w:r w:rsidR="00586480" w:rsidRPr="004B6827">
              <w:rPr>
                <w:szCs w:val="22"/>
                <w:lang w:val="sk-SK" w:bidi="te-IN"/>
              </w:rPr>
              <w:t>tinylestradiol 35 µg</w:t>
            </w:r>
          </w:p>
        </w:tc>
        <w:tc>
          <w:tcPr>
            <w:tcW w:w="1260" w:type="dxa"/>
            <w:shd w:val="clear" w:color="auto" w:fill="auto"/>
          </w:tcPr>
          <w:p w:rsidR="00586480" w:rsidRPr="004B6827" w:rsidRDefault="00586480" w:rsidP="001E2F5B">
            <w:pPr>
              <w:rPr>
                <w:szCs w:val="22"/>
                <w:lang w:val="sk-SK" w:bidi="te-IN"/>
              </w:rPr>
            </w:pPr>
            <w:r w:rsidRPr="004B6827">
              <w:rPr>
                <w:szCs w:val="22"/>
                <w:lang w:val="sk-SK" w:bidi="te-IN"/>
              </w:rPr>
              <w:lastRenderedPageBreak/>
              <w:t>↑ 28 %</w:t>
            </w:r>
          </w:p>
          <w:p w:rsidR="00586480" w:rsidRPr="004B6827" w:rsidRDefault="00586480" w:rsidP="001E2F5B">
            <w:pPr>
              <w:rPr>
                <w:szCs w:val="22"/>
                <w:lang w:val="sk-SK" w:bidi="te-IN"/>
              </w:rPr>
            </w:pPr>
            <w:r w:rsidRPr="004B6827">
              <w:rPr>
                <w:szCs w:val="22"/>
                <w:lang w:val="sk-SK" w:bidi="te-IN"/>
              </w:rPr>
              <w:t>↑ 19 %</w:t>
            </w:r>
          </w:p>
        </w:tc>
        <w:tc>
          <w:tcPr>
            <w:tcW w:w="3060" w:type="dxa"/>
            <w:shd w:val="clear" w:color="auto" w:fill="auto"/>
          </w:tcPr>
          <w:p w:rsidR="00586480" w:rsidRPr="004B6827" w:rsidRDefault="00586480" w:rsidP="001E2F5B">
            <w:pPr>
              <w:rPr>
                <w:szCs w:val="22"/>
                <w:lang w:val="sk-SK" w:bidi="te-IN"/>
              </w:rPr>
            </w:pPr>
            <w:r w:rsidRPr="004B6827">
              <w:rPr>
                <w:color w:val="000000"/>
                <w:szCs w:val="22"/>
                <w:lang w:val="sk-SK"/>
              </w:rPr>
              <w:t>Žiadne osobitné odporúčania</w:t>
            </w:r>
            <w:r w:rsidRPr="004B6827">
              <w:rPr>
                <w:szCs w:val="22"/>
                <w:lang w:val="sk-SK"/>
              </w:rPr>
              <w:t>.</w:t>
            </w:r>
          </w:p>
        </w:tc>
      </w:tr>
      <w:tr w:rsidR="00586480" w:rsidRPr="004B6827" w:rsidTr="001E2F5B">
        <w:tc>
          <w:tcPr>
            <w:tcW w:w="1680" w:type="dxa"/>
            <w:shd w:val="clear" w:color="auto" w:fill="auto"/>
          </w:tcPr>
          <w:p w:rsidR="00586480" w:rsidRPr="004B6827" w:rsidRDefault="00586480" w:rsidP="001E2F5B">
            <w:pPr>
              <w:rPr>
                <w:szCs w:val="22"/>
                <w:lang w:val="sk-SK" w:bidi="te-IN"/>
              </w:rPr>
            </w:pPr>
            <w:r w:rsidRPr="004B6827">
              <w:rPr>
                <w:szCs w:val="22"/>
                <w:lang w:val="sk-SK" w:bidi="te-IN"/>
              </w:rPr>
              <w:lastRenderedPageBreak/>
              <w:t xml:space="preserve">80 mg OD počas 15 dní </w:t>
            </w:r>
          </w:p>
        </w:tc>
        <w:tc>
          <w:tcPr>
            <w:tcW w:w="3000" w:type="dxa"/>
            <w:shd w:val="clear" w:color="auto" w:fill="auto"/>
          </w:tcPr>
          <w:p w:rsidR="00586480" w:rsidRPr="00275323" w:rsidRDefault="00875F0E" w:rsidP="001E2F5B">
            <w:pPr>
              <w:rPr>
                <w:szCs w:val="22"/>
                <w:lang w:val="sk-SK" w:bidi="te-IN"/>
              </w:rPr>
            </w:pPr>
            <w:r w:rsidRPr="00275323">
              <w:rPr>
                <w:szCs w:val="22"/>
                <w:lang w:val="sk-SK" w:bidi="te-IN"/>
              </w:rPr>
              <w:t>*F</w:t>
            </w:r>
            <w:r w:rsidR="00586480" w:rsidRPr="00275323">
              <w:rPr>
                <w:szCs w:val="22"/>
                <w:lang w:val="sk-SK" w:bidi="te-IN"/>
              </w:rPr>
              <w:t>enazón, 600 mg, SD</w:t>
            </w:r>
          </w:p>
        </w:tc>
        <w:tc>
          <w:tcPr>
            <w:tcW w:w="1260" w:type="dxa"/>
            <w:shd w:val="clear" w:color="auto" w:fill="auto"/>
          </w:tcPr>
          <w:p w:rsidR="00586480" w:rsidRPr="004B6827" w:rsidRDefault="00586480" w:rsidP="001E2F5B">
            <w:pPr>
              <w:rPr>
                <w:szCs w:val="22"/>
                <w:lang w:val="sk-SK" w:bidi="te-IN"/>
              </w:rPr>
            </w:pPr>
            <w:r w:rsidRPr="004B6827">
              <w:rPr>
                <w:szCs w:val="22"/>
                <w:lang w:val="sk-SK" w:bidi="te-IN"/>
              </w:rPr>
              <w:t>↑ 3 %</w:t>
            </w:r>
          </w:p>
        </w:tc>
        <w:tc>
          <w:tcPr>
            <w:tcW w:w="3060" w:type="dxa"/>
            <w:shd w:val="clear" w:color="auto" w:fill="auto"/>
          </w:tcPr>
          <w:p w:rsidR="00586480" w:rsidRPr="004B6827" w:rsidRDefault="00586480" w:rsidP="001E2F5B">
            <w:pPr>
              <w:rPr>
                <w:szCs w:val="22"/>
                <w:lang w:val="sk-SK" w:bidi="te-IN"/>
              </w:rPr>
            </w:pPr>
            <w:r w:rsidRPr="004B6827">
              <w:rPr>
                <w:color w:val="000000"/>
                <w:szCs w:val="22"/>
                <w:lang w:val="sk-SK"/>
              </w:rPr>
              <w:t>Žiadne osobitné odporúčania</w:t>
            </w:r>
            <w:r w:rsidRPr="004B6827">
              <w:rPr>
                <w:szCs w:val="22"/>
                <w:lang w:val="sk-SK"/>
              </w:rPr>
              <w:t>.</w:t>
            </w:r>
          </w:p>
        </w:tc>
      </w:tr>
      <w:tr w:rsidR="00586480" w:rsidRPr="004B6827" w:rsidTr="001E2F5B">
        <w:tc>
          <w:tcPr>
            <w:tcW w:w="1680" w:type="dxa"/>
            <w:shd w:val="clear" w:color="auto" w:fill="auto"/>
          </w:tcPr>
          <w:p w:rsidR="00586480" w:rsidRPr="004B6827" w:rsidRDefault="00586480" w:rsidP="001E2F5B">
            <w:pPr>
              <w:rPr>
                <w:szCs w:val="22"/>
                <w:lang w:val="sk-SK" w:bidi="te-IN"/>
              </w:rPr>
            </w:pPr>
            <w:r w:rsidRPr="004B6827">
              <w:rPr>
                <w:szCs w:val="22"/>
                <w:lang w:val="sk-SK" w:bidi="te-IN"/>
              </w:rPr>
              <w:t>10 mg, SD</w:t>
            </w:r>
          </w:p>
        </w:tc>
        <w:tc>
          <w:tcPr>
            <w:tcW w:w="3000" w:type="dxa"/>
            <w:shd w:val="clear" w:color="auto" w:fill="auto"/>
          </w:tcPr>
          <w:p w:rsidR="00586480" w:rsidRPr="00275323" w:rsidRDefault="00875F0E" w:rsidP="00875F0E">
            <w:pPr>
              <w:rPr>
                <w:szCs w:val="22"/>
                <w:lang w:val="sk-SK" w:bidi="te-IN"/>
              </w:rPr>
            </w:pPr>
            <w:r w:rsidRPr="004B6827">
              <w:rPr>
                <w:szCs w:val="22"/>
                <w:lang w:val="sk-SK" w:bidi="te-IN"/>
              </w:rPr>
              <w:t>T</w:t>
            </w:r>
            <w:r w:rsidR="00586480" w:rsidRPr="00275323">
              <w:rPr>
                <w:szCs w:val="22"/>
                <w:lang w:val="sk-SK" w:bidi="te-IN"/>
              </w:rPr>
              <w:t>ipranavir 500 mg BID/</w:t>
            </w:r>
            <w:r w:rsidRPr="00275323">
              <w:rPr>
                <w:szCs w:val="22"/>
                <w:lang w:val="sk-SK" w:bidi="te-IN"/>
              </w:rPr>
              <w:t>R</w:t>
            </w:r>
            <w:r w:rsidR="00586480" w:rsidRPr="00275323">
              <w:rPr>
                <w:szCs w:val="22"/>
                <w:lang w:val="sk-SK" w:bidi="te-IN"/>
              </w:rPr>
              <w:t>itonavir 200 mg BID, 7 dní</w:t>
            </w:r>
          </w:p>
        </w:tc>
        <w:tc>
          <w:tcPr>
            <w:tcW w:w="1260" w:type="dxa"/>
            <w:shd w:val="clear" w:color="auto" w:fill="auto"/>
          </w:tcPr>
          <w:p w:rsidR="00586480" w:rsidRPr="004B6827" w:rsidRDefault="00586480" w:rsidP="001E2F5B">
            <w:pPr>
              <w:rPr>
                <w:szCs w:val="22"/>
                <w:lang w:val="sk-SK" w:bidi="te-IN"/>
              </w:rPr>
            </w:pPr>
            <w:r w:rsidRPr="004B6827">
              <w:rPr>
                <w:szCs w:val="22"/>
                <w:lang w:val="sk-SK" w:bidi="te-IN"/>
              </w:rPr>
              <w:t>Bez zmeny</w:t>
            </w:r>
          </w:p>
        </w:tc>
        <w:tc>
          <w:tcPr>
            <w:tcW w:w="3060" w:type="dxa"/>
            <w:shd w:val="clear" w:color="auto" w:fill="auto"/>
          </w:tcPr>
          <w:p w:rsidR="00586480" w:rsidRPr="004B6827" w:rsidRDefault="00586480" w:rsidP="001E2F5B">
            <w:pPr>
              <w:rPr>
                <w:color w:val="000000"/>
                <w:szCs w:val="22"/>
                <w:lang w:val="sk-SK"/>
              </w:rPr>
            </w:pPr>
            <w:r w:rsidRPr="004B6827">
              <w:rPr>
                <w:color w:val="000000"/>
                <w:szCs w:val="22"/>
                <w:lang w:val="sk-SK"/>
              </w:rPr>
              <w:t>Žiadne osobitné odporúčania</w:t>
            </w:r>
            <w:r w:rsidRPr="004B6827">
              <w:rPr>
                <w:szCs w:val="22"/>
                <w:lang w:val="sk-SK"/>
              </w:rPr>
              <w:t>.</w:t>
            </w:r>
          </w:p>
        </w:tc>
      </w:tr>
      <w:tr w:rsidR="00586480" w:rsidRPr="004B6827" w:rsidTr="001E2F5B">
        <w:tc>
          <w:tcPr>
            <w:tcW w:w="1680" w:type="dxa"/>
            <w:shd w:val="clear" w:color="auto" w:fill="auto"/>
          </w:tcPr>
          <w:p w:rsidR="00586480" w:rsidRPr="004B6827" w:rsidRDefault="00586480" w:rsidP="001E2F5B">
            <w:pPr>
              <w:rPr>
                <w:szCs w:val="22"/>
                <w:lang w:val="sk-SK" w:bidi="te-IN"/>
              </w:rPr>
            </w:pPr>
            <w:r w:rsidRPr="004B6827">
              <w:rPr>
                <w:szCs w:val="22"/>
                <w:lang w:val="sk-SK" w:bidi="te-IN"/>
              </w:rPr>
              <w:t>10 mg, OD počas 4 dní</w:t>
            </w:r>
          </w:p>
        </w:tc>
        <w:tc>
          <w:tcPr>
            <w:tcW w:w="3000" w:type="dxa"/>
            <w:shd w:val="clear" w:color="auto" w:fill="auto"/>
          </w:tcPr>
          <w:p w:rsidR="00586480" w:rsidRPr="00275323" w:rsidRDefault="00875F0E" w:rsidP="001E2F5B">
            <w:pPr>
              <w:rPr>
                <w:szCs w:val="22"/>
                <w:lang w:val="sk-SK" w:bidi="te-IN"/>
              </w:rPr>
            </w:pPr>
            <w:r w:rsidRPr="00275323">
              <w:rPr>
                <w:szCs w:val="22"/>
                <w:lang w:val="sk-SK" w:bidi="te-IN"/>
              </w:rPr>
              <w:t>F</w:t>
            </w:r>
            <w:r w:rsidR="00586480" w:rsidRPr="00275323">
              <w:rPr>
                <w:szCs w:val="22"/>
                <w:lang w:val="sk-SK" w:bidi="te-IN"/>
              </w:rPr>
              <w:t>osamprenavir 1400 mg BID, 14 dní</w:t>
            </w:r>
          </w:p>
        </w:tc>
        <w:tc>
          <w:tcPr>
            <w:tcW w:w="1260" w:type="dxa"/>
            <w:shd w:val="clear" w:color="auto" w:fill="auto"/>
          </w:tcPr>
          <w:p w:rsidR="00586480" w:rsidRPr="004B6827" w:rsidRDefault="00586480" w:rsidP="001E2F5B">
            <w:pPr>
              <w:rPr>
                <w:szCs w:val="22"/>
                <w:lang w:val="sk-SK" w:bidi="te-IN"/>
              </w:rPr>
            </w:pPr>
            <w:r w:rsidRPr="004B6827">
              <w:rPr>
                <w:szCs w:val="22"/>
                <w:lang w:val="sk-SK" w:bidi="te-IN"/>
              </w:rPr>
              <w:t>↓ 27 %</w:t>
            </w:r>
          </w:p>
        </w:tc>
        <w:tc>
          <w:tcPr>
            <w:tcW w:w="3060" w:type="dxa"/>
            <w:shd w:val="clear" w:color="auto" w:fill="auto"/>
          </w:tcPr>
          <w:p w:rsidR="00586480" w:rsidRPr="004B6827" w:rsidRDefault="00586480" w:rsidP="001E2F5B">
            <w:pPr>
              <w:rPr>
                <w:color w:val="000000"/>
                <w:szCs w:val="22"/>
                <w:lang w:val="sk-SK"/>
              </w:rPr>
            </w:pPr>
            <w:r w:rsidRPr="004B6827">
              <w:rPr>
                <w:color w:val="000000"/>
                <w:szCs w:val="22"/>
                <w:lang w:val="sk-SK"/>
              </w:rPr>
              <w:t>Žiadne osobitné odporúčania</w:t>
            </w:r>
            <w:r w:rsidRPr="004B6827">
              <w:rPr>
                <w:szCs w:val="22"/>
                <w:lang w:val="sk-SK"/>
              </w:rPr>
              <w:t>.</w:t>
            </w:r>
          </w:p>
        </w:tc>
      </w:tr>
      <w:tr w:rsidR="00586480" w:rsidRPr="004B6827" w:rsidTr="001E2F5B">
        <w:tc>
          <w:tcPr>
            <w:tcW w:w="1680" w:type="dxa"/>
            <w:shd w:val="clear" w:color="auto" w:fill="auto"/>
          </w:tcPr>
          <w:p w:rsidR="00586480" w:rsidRPr="004B6827" w:rsidRDefault="00586480" w:rsidP="001E2F5B">
            <w:pPr>
              <w:rPr>
                <w:szCs w:val="22"/>
                <w:lang w:val="sk-SK" w:bidi="te-IN"/>
              </w:rPr>
            </w:pPr>
            <w:r w:rsidRPr="004B6827">
              <w:rPr>
                <w:szCs w:val="22"/>
                <w:lang w:val="sk-SK" w:bidi="te-IN"/>
              </w:rPr>
              <w:t>10 mg, OD počas 4 dní</w:t>
            </w:r>
          </w:p>
        </w:tc>
        <w:tc>
          <w:tcPr>
            <w:tcW w:w="3000" w:type="dxa"/>
            <w:shd w:val="clear" w:color="auto" w:fill="auto"/>
          </w:tcPr>
          <w:p w:rsidR="00586480" w:rsidRPr="00275323" w:rsidRDefault="00875F0E" w:rsidP="001E2F5B">
            <w:pPr>
              <w:rPr>
                <w:szCs w:val="22"/>
                <w:lang w:val="sk-SK" w:bidi="te-IN"/>
              </w:rPr>
            </w:pPr>
            <w:r w:rsidRPr="00275323">
              <w:rPr>
                <w:szCs w:val="22"/>
                <w:lang w:val="sk-SK" w:bidi="te-IN"/>
              </w:rPr>
              <w:t>Fosamprenavir 700 mg BID/R</w:t>
            </w:r>
            <w:r w:rsidR="00586480" w:rsidRPr="00275323">
              <w:rPr>
                <w:szCs w:val="22"/>
                <w:lang w:val="sk-SK" w:bidi="te-IN"/>
              </w:rPr>
              <w:t>itonavir 100 mg BID, 14 dní</w:t>
            </w:r>
          </w:p>
        </w:tc>
        <w:tc>
          <w:tcPr>
            <w:tcW w:w="1260" w:type="dxa"/>
            <w:shd w:val="clear" w:color="auto" w:fill="auto"/>
          </w:tcPr>
          <w:p w:rsidR="00586480" w:rsidRPr="004B6827" w:rsidRDefault="00586480" w:rsidP="001E2F5B">
            <w:pPr>
              <w:rPr>
                <w:szCs w:val="22"/>
                <w:lang w:val="sk-SK" w:bidi="te-IN"/>
              </w:rPr>
            </w:pPr>
            <w:r w:rsidRPr="004B6827">
              <w:rPr>
                <w:szCs w:val="22"/>
                <w:lang w:val="sk-SK" w:bidi="te-IN"/>
              </w:rPr>
              <w:t>Bez zmeny</w:t>
            </w:r>
          </w:p>
        </w:tc>
        <w:tc>
          <w:tcPr>
            <w:tcW w:w="3060" w:type="dxa"/>
            <w:shd w:val="clear" w:color="auto" w:fill="auto"/>
          </w:tcPr>
          <w:p w:rsidR="00586480" w:rsidRPr="004B6827" w:rsidRDefault="00586480" w:rsidP="001E2F5B">
            <w:pPr>
              <w:rPr>
                <w:color w:val="000000"/>
                <w:szCs w:val="22"/>
                <w:lang w:val="sk-SK"/>
              </w:rPr>
            </w:pPr>
            <w:r w:rsidRPr="004B6827">
              <w:rPr>
                <w:color w:val="000000"/>
                <w:szCs w:val="22"/>
                <w:lang w:val="sk-SK"/>
              </w:rPr>
              <w:t>Žiadne osobitné odporúčania</w:t>
            </w:r>
            <w:r w:rsidRPr="004B6827">
              <w:rPr>
                <w:szCs w:val="22"/>
                <w:lang w:val="sk-SK"/>
              </w:rPr>
              <w:t>.</w:t>
            </w:r>
          </w:p>
        </w:tc>
      </w:tr>
    </w:tbl>
    <w:p w:rsidR="00586480" w:rsidRPr="004B6827" w:rsidRDefault="00586480" w:rsidP="00586480">
      <w:pPr>
        <w:ind w:left="240" w:hanging="240"/>
        <w:rPr>
          <w:szCs w:val="22"/>
          <w:vertAlign w:val="superscript"/>
          <w:lang w:val="sk-SK" w:bidi="te-IN"/>
        </w:rPr>
      </w:pPr>
    </w:p>
    <w:p w:rsidR="00875F0E" w:rsidRPr="004B6827" w:rsidRDefault="00875F0E" w:rsidP="00875F0E">
      <w:pPr>
        <w:ind w:left="567" w:hanging="567"/>
        <w:rPr>
          <w:szCs w:val="22"/>
          <w:lang w:val="sk-SK"/>
        </w:rPr>
      </w:pPr>
      <w:r w:rsidRPr="004B6827">
        <w:rPr>
          <w:szCs w:val="22"/>
          <w:lang w:val="sk-SK"/>
        </w:rPr>
        <w:t>OD (once daily) = jedenkrát denne; SD (single dose) = jednorazová dávka</w:t>
      </w:r>
      <w:r w:rsidR="00E6310A" w:rsidRPr="00275323">
        <w:rPr>
          <w:szCs w:val="22"/>
          <w:lang w:val="sk-SK"/>
        </w:rPr>
        <w:t>; BID (bis in die)</w:t>
      </w:r>
      <w:r w:rsidR="00BF7FC3" w:rsidRPr="00275323">
        <w:rPr>
          <w:szCs w:val="22"/>
          <w:lang w:val="sk-SK"/>
        </w:rPr>
        <w:t> </w:t>
      </w:r>
      <w:r w:rsidR="00E6310A" w:rsidRPr="00275323">
        <w:rPr>
          <w:szCs w:val="22"/>
          <w:lang w:val="sk-SK"/>
        </w:rPr>
        <w:t>=</w:t>
      </w:r>
      <w:r w:rsidR="00BF7FC3" w:rsidRPr="004B6827">
        <w:rPr>
          <w:szCs w:val="22"/>
          <w:lang w:val="sk-SK"/>
        </w:rPr>
        <w:t> </w:t>
      </w:r>
      <w:r w:rsidR="00E6310A" w:rsidRPr="004B6827">
        <w:rPr>
          <w:szCs w:val="22"/>
          <w:lang w:val="sk-SK"/>
        </w:rPr>
        <w:t>dvakrát denne;</w:t>
      </w:r>
    </w:p>
    <w:p w:rsidR="00875F0E" w:rsidRPr="004B6827" w:rsidRDefault="00875F0E" w:rsidP="00875F0E">
      <w:pPr>
        <w:ind w:left="567" w:hanging="567"/>
        <w:rPr>
          <w:szCs w:val="22"/>
          <w:lang w:val="sk-SK"/>
        </w:rPr>
      </w:pPr>
      <w:r w:rsidRPr="004B6827">
        <w:rPr>
          <w:szCs w:val="22"/>
          <w:lang w:val="sk-SK"/>
        </w:rPr>
        <w:t xml:space="preserve">Zvýšenie je označené ako </w:t>
      </w:r>
      <w:r w:rsidR="000A305A" w:rsidRPr="004B6827">
        <w:rPr>
          <w:szCs w:val="22"/>
          <w:lang w:val="sk-SK"/>
        </w:rPr>
        <w:t>„</w:t>
      </w:r>
      <w:r w:rsidRPr="004B6827">
        <w:rPr>
          <w:szCs w:val="22"/>
          <w:lang w:val="sk-SK"/>
        </w:rPr>
        <w:t>↑</w:t>
      </w:r>
      <w:r w:rsidR="000A305A" w:rsidRPr="004B6827">
        <w:rPr>
          <w:szCs w:val="22"/>
          <w:lang w:val="sk-SK"/>
        </w:rPr>
        <w:t>“</w:t>
      </w:r>
      <w:r w:rsidRPr="004B6827">
        <w:rPr>
          <w:szCs w:val="22"/>
          <w:lang w:val="sk-SK"/>
        </w:rPr>
        <w:t xml:space="preserve">, pokles ako </w:t>
      </w:r>
      <w:r w:rsidR="000A305A" w:rsidRPr="004B6827">
        <w:rPr>
          <w:szCs w:val="22"/>
          <w:lang w:val="sk-SK"/>
        </w:rPr>
        <w:t>„</w:t>
      </w:r>
      <w:r w:rsidRPr="004B6827">
        <w:rPr>
          <w:szCs w:val="22"/>
          <w:lang w:val="sk-SK"/>
        </w:rPr>
        <w:t>↓</w:t>
      </w:r>
      <w:r w:rsidR="000A305A" w:rsidRPr="004B6827">
        <w:rPr>
          <w:szCs w:val="22"/>
          <w:lang w:val="sk-SK"/>
        </w:rPr>
        <w:t>“</w:t>
      </w:r>
    </w:p>
    <w:p w:rsidR="00586480" w:rsidRPr="004B6827" w:rsidRDefault="00586480" w:rsidP="00586480">
      <w:pPr>
        <w:autoSpaceDE w:val="0"/>
        <w:autoSpaceDN w:val="0"/>
        <w:adjustRightInd w:val="0"/>
        <w:ind w:left="567" w:hanging="567"/>
        <w:rPr>
          <w:szCs w:val="22"/>
          <w:lang w:val="sk-SK"/>
        </w:rPr>
      </w:pPr>
      <w:r w:rsidRPr="004B6827">
        <w:rPr>
          <w:szCs w:val="22"/>
          <w:vertAlign w:val="superscript"/>
          <w:lang w:val="sk-SK" w:bidi="te-IN"/>
        </w:rPr>
        <w:t>&amp;</w:t>
      </w:r>
      <w:r w:rsidRPr="004B6827">
        <w:rPr>
          <w:szCs w:val="22"/>
          <w:lang w:val="sk-SK" w:bidi="te-IN"/>
        </w:rPr>
        <w:tab/>
        <w:t>Údaje uvedené ako</w:t>
      </w:r>
      <w:r w:rsidRPr="004B6827">
        <w:rPr>
          <w:szCs w:val="22"/>
          <w:lang w:val="sk-SK"/>
        </w:rPr>
        <w:t xml:space="preserve"> % zmeny predstavujú % rozdiel voči atorvastatínu samotnému (tzn. 0 % = žiadna zmena)</w:t>
      </w:r>
    </w:p>
    <w:p w:rsidR="00586480" w:rsidRPr="004B6827" w:rsidRDefault="00586480" w:rsidP="00586480">
      <w:pPr>
        <w:ind w:left="567" w:hanging="567"/>
        <w:rPr>
          <w:szCs w:val="22"/>
          <w:lang w:val="sk-SK"/>
        </w:rPr>
      </w:pPr>
      <w:r w:rsidRPr="004B6827">
        <w:rPr>
          <w:szCs w:val="22"/>
          <w:lang w:val="sk-SK" w:bidi="te-IN"/>
        </w:rPr>
        <w:t>*</w:t>
      </w:r>
      <w:r w:rsidRPr="004B6827">
        <w:rPr>
          <w:szCs w:val="22"/>
          <w:lang w:val="sk-SK" w:bidi="te-IN"/>
        </w:rPr>
        <w:tab/>
        <w:t>Súbežné podávanie</w:t>
      </w:r>
      <w:r w:rsidRPr="004B6827">
        <w:rPr>
          <w:szCs w:val="22"/>
          <w:lang w:val="sk-SK"/>
        </w:rPr>
        <w:t xml:space="preserve"> opakovaných dávok atorvastatínu a fenazónu malo len malý alebo nedetegovateľný účinok na klírens fenazónu.</w:t>
      </w:r>
    </w:p>
    <w:p w:rsidR="00586480" w:rsidRPr="004B6827" w:rsidRDefault="00586480" w:rsidP="00586480">
      <w:pPr>
        <w:rPr>
          <w:szCs w:val="22"/>
          <w:lang w:val="sk-SK"/>
        </w:rPr>
      </w:pPr>
    </w:p>
    <w:p w:rsidR="000322EB" w:rsidRPr="004B6827" w:rsidRDefault="000322EB" w:rsidP="000322EB">
      <w:pPr>
        <w:rPr>
          <w:b/>
          <w:szCs w:val="22"/>
          <w:lang w:val="sk-SK"/>
        </w:rPr>
      </w:pPr>
    </w:p>
    <w:p w:rsidR="000322EB" w:rsidRPr="004B6827" w:rsidRDefault="000322EB" w:rsidP="000322EB">
      <w:pPr>
        <w:rPr>
          <w:szCs w:val="22"/>
          <w:lang w:val="sk-SK"/>
        </w:rPr>
      </w:pPr>
      <w:r w:rsidRPr="004B6827">
        <w:rPr>
          <w:b/>
          <w:szCs w:val="22"/>
          <w:lang w:val="sk-SK"/>
        </w:rPr>
        <w:t>4.6</w:t>
      </w:r>
      <w:r w:rsidRPr="004B6827">
        <w:rPr>
          <w:b/>
          <w:szCs w:val="22"/>
          <w:lang w:val="sk-SK"/>
        </w:rPr>
        <w:tab/>
        <w:t>Fertilita, gravidita a laktácia</w:t>
      </w:r>
    </w:p>
    <w:p w:rsidR="000322EB" w:rsidRPr="004B6827" w:rsidRDefault="000322EB" w:rsidP="000322EB">
      <w:pPr>
        <w:rPr>
          <w:szCs w:val="22"/>
          <w:lang w:val="sk-SK"/>
        </w:rPr>
      </w:pPr>
    </w:p>
    <w:p w:rsidR="00D265B1" w:rsidRPr="004B6827" w:rsidRDefault="00D265B1" w:rsidP="000322EB">
      <w:pPr>
        <w:rPr>
          <w:szCs w:val="22"/>
          <w:lang w:val="sk-SK"/>
        </w:rPr>
      </w:pPr>
      <w:r w:rsidRPr="004B6827">
        <w:rPr>
          <w:szCs w:val="22"/>
          <w:lang w:val="sk-SK"/>
        </w:rPr>
        <w:t xml:space="preserve">Počas gravidity a laktácie je </w:t>
      </w:r>
      <w:r w:rsidR="00212A25" w:rsidRPr="004B6827">
        <w:rPr>
          <w:szCs w:val="22"/>
          <w:lang w:val="sk-SK"/>
        </w:rPr>
        <w:t>Lipertance</w:t>
      </w:r>
      <w:r w:rsidRPr="004B6827">
        <w:rPr>
          <w:szCs w:val="22"/>
          <w:lang w:val="sk-SK"/>
        </w:rPr>
        <w:t xml:space="preserve"> kontraindikovan</w:t>
      </w:r>
      <w:r w:rsidR="00E72CF7" w:rsidRPr="004B6827">
        <w:rPr>
          <w:szCs w:val="22"/>
          <w:lang w:val="sk-SK"/>
        </w:rPr>
        <w:t>ý</w:t>
      </w:r>
      <w:r w:rsidRPr="004B6827">
        <w:rPr>
          <w:szCs w:val="22"/>
          <w:lang w:val="sk-SK"/>
        </w:rPr>
        <w:t xml:space="preserve"> (pozri časť 4.3).</w:t>
      </w:r>
    </w:p>
    <w:p w:rsidR="00D265B1" w:rsidRPr="004B6827" w:rsidRDefault="00D265B1" w:rsidP="000322EB">
      <w:pPr>
        <w:rPr>
          <w:szCs w:val="22"/>
          <w:lang w:val="sk-SK"/>
        </w:rPr>
      </w:pPr>
    </w:p>
    <w:p w:rsidR="000322EB" w:rsidRPr="004B6827" w:rsidRDefault="000322EB" w:rsidP="000322EB">
      <w:pPr>
        <w:rPr>
          <w:b/>
          <w:i/>
          <w:szCs w:val="22"/>
          <w:lang w:val="sk-SK"/>
        </w:rPr>
      </w:pPr>
      <w:r w:rsidRPr="004B6827">
        <w:rPr>
          <w:b/>
          <w:i/>
          <w:szCs w:val="22"/>
          <w:lang w:val="sk-SK"/>
        </w:rPr>
        <w:t>Ženy v reprodukčnom veku</w:t>
      </w:r>
    </w:p>
    <w:p w:rsidR="000322EB" w:rsidRPr="004B6827" w:rsidRDefault="000322EB" w:rsidP="000322EB">
      <w:pPr>
        <w:rPr>
          <w:szCs w:val="22"/>
          <w:lang w:val="sk-SK"/>
        </w:rPr>
      </w:pPr>
      <w:r w:rsidRPr="004B6827">
        <w:rPr>
          <w:szCs w:val="22"/>
          <w:lang w:val="sk-SK"/>
        </w:rPr>
        <w:t xml:space="preserve">Ženy v reprodukčnom veku majú počas liečby </w:t>
      </w:r>
      <w:r w:rsidR="00212A25" w:rsidRPr="004B6827">
        <w:rPr>
          <w:szCs w:val="22"/>
          <w:lang w:val="sk-SK"/>
        </w:rPr>
        <w:t>Lipertance</w:t>
      </w:r>
      <w:r w:rsidR="00D265B1" w:rsidRPr="004B6827">
        <w:rPr>
          <w:szCs w:val="22"/>
          <w:lang w:val="sk-SK"/>
        </w:rPr>
        <w:t xml:space="preserve"> </w:t>
      </w:r>
      <w:r w:rsidRPr="004B6827">
        <w:rPr>
          <w:szCs w:val="22"/>
          <w:lang w:val="sk-SK"/>
        </w:rPr>
        <w:t>používať účinnú antikoncepciu (pozri časť 4.3).</w:t>
      </w:r>
    </w:p>
    <w:p w:rsidR="000322EB" w:rsidRPr="004B6827" w:rsidRDefault="000322EB" w:rsidP="000322EB">
      <w:pPr>
        <w:rPr>
          <w:szCs w:val="22"/>
          <w:u w:val="single"/>
          <w:lang w:val="sk-SK"/>
        </w:rPr>
      </w:pPr>
    </w:p>
    <w:p w:rsidR="000322EB" w:rsidRPr="004B6827" w:rsidRDefault="000322EB" w:rsidP="000322EB">
      <w:pPr>
        <w:rPr>
          <w:szCs w:val="22"/>
          <w:u w:val="single"/>
          <w:lang w:val="sk-SK"/>
        </w:rPr>
      </w:pPr>
      <w:r w:rsidRPr="004B6827">
        <w:rPr>
          <w:szCs w:val="22"/>
          <w:u w:val="single"/>
          <w:lang w:val="sk-SK"/>
        </w:rPr>
        <w:t>Gravidita</w:t>
      </w:r>
      <w:r w:rsidR="00D265B1" w:rsidRPr="004B6827">
        <w:rPr>
          <w:szCs w:val="22"/>
          <w:u w:val="single"/>
          <w:lang w:val="sk-SK"/>
        </w:rPr>
        <w:t>:</w:t>
      </w:r>
    </w:p>
    <w:p w:rsidR="00D265B1" w:rsidRPr="004B6827" w:rsidRDefault="00D265B1" w:rsidP="000322EB">
      <w:pPr>
        <w:rPr>
          <w:szCs w:val="22"/>
          <w:u w:val="single"/>
          <w:lang w:val="sk-SK"/>
        </w:rPr>
      </w:pPr>
      <w:r w:rsidRPr="004B6827">
        <w:rPr>
          <w:szCs w:val="22"/>
          <w:u w:val="single"/>
          <w:lang w:val="sk-SK"/>
        </w:rPr>
        <w:t>Atorvastatín</w:t>
      </w:r>
    </w:p>
    <w:p w:rsidR="00D265B1" w:rsidRPr="004B6827" w:rsidRDefault="00D265B1" w:rsidP="00D265B1">
      <w:pPr>
        <w:rPr>
          <w:bCs/>
          <w:szCs w:val="22"/>
          <w:lang w:val="sk-SK"/>
        </w:rPr>
      </w:pPr>
      <w:r w:rsidRPr="004B6827">
        <w:rPr>
          <w:bCs/>
          <w:szCs w:val="22"/>
          <w:lang w:val="sk-SK"/>
        </w:rPr>
        <w:t>Bezpečnosť u gravidných žien nebola potvrdená. U gravidných žien sa neuskutočnili žiadne kontrolné klinické skúšania s atorvastatínom. Boli prijaté zriedkavé hlásenia o kongenitálnych anomáliách po vnútromaternicovej expozícii inhibítorom HMG</w:t>
      </w:r>
      <w:r w:rsidR="000A305A" w:rsidRPr="004B6827">
        <w:rPr>
          <w:bCs/>
          <w:szCs w:val="22"/>
          <w:lang w:val="sk-SK"/>
        </w:rPr>
        <w:t>-</w:t>
      </w:r>
      <w:r w:rsidRPr="004B6827">
        <w:rPr>
          <w:bCs/>
          <w:szCs w:val="22"/>
          <w:lang w:val="sk-SK"/>
        </w:rPr>
        <w:t>CoA reduktázy.</w:t>
      </w:r>
      <w:r w:rsidRPr="004B6827">
        <w:rPr>
          <w:b/>
          <w:bCs/>
          <w:szCs w:val="22"/>
          <w:lang w:val="sk-SK"/>
        </w:rPr>
        <w:t xml:space="preserve"> </w:t>
      </w:r>
      <w:r w:rsidRPr="004B6827">
        <w:rPr>
          <w:bCs/>
          <w:szCs w:val="22"/>
          <w:lang w:val="sk-SK"/>
        </w:rPr>
        <w:t>Štúdie na zvieratách preukázali toxicitu na reprodukciu (pozri časť 5.3).</w:t>
      </w:r>
    </w:p>
    <w:p w:rsidR="00D265B1" w:rsidRPr="004B6827" w:rsidRDefault="00D265B1" w:rsidP="00D265B1">
      <w:pPr>
        <w:rPr>
          <w:bCs/>
          <w:szCs w:val="22"/>
          <w:lang w:val="sk-SK"/>
        </w:rPr>
      </w:pPr>
      <w:r w:rsidRPr="004B6827">
        <w:rPr>
          <w:bCs/>
          <w:szCs w:val="22"/>
          <w:lang w:val="sk-SK"/>
        </w:rPr>
        <w:t>Liečba matky atorvastatínom môže znížiť fetálne hladiny mevalonátu, ktorý je prekurzorom biosyntézy cholesterolu. Ateroskleróza je chronický proces a spravidla prerušenie liečby liekmi znižujúcimi lipidy počas gravidity by malo mať malý vplyv na dlhodobé riziko spojené s primárnou hypercholesterolémiou.</w:t>
      </w:r>
    </w:p>
    <w:p w:rsidR="00D265B1" w:rsidRPr="004B6827" w:rsidRDefault="00D265B1" w:rsidP="00D265B1">
      <w:pPr>
        <w:rPr>
          <w:bCs/>
          <w:szCs w:val="22"/>
          <w:lang w:val="sk-SK"/>
        </w:rPr>
      </w:pPr>
      <w:r w:rsidRPr="004B6827">
        <w:rPr>
          <w:bCs/>
          <w:szCs w:val="22"/>
          <w:lang w:val="sk-SK"/>
        </w:rPr>
        <w:t>Z týchto dôvodov sa atorvastatín nemá používať u žien, ktoré sú gravidné, pokúšajú sa otehotnieť alebo majú podozrenie, že sú gravidné. Liečba atorvastatínom sa má prerušiť počas gravidity alebo pokiaľ sa nepotvrdí, že žena nie je gravidná (pozri časť 4.3).</w:t>
      </w:r>
    </w:p>
    <w:p w:rsidR="00D265B1" w:rsidRPr="004B6827" w:rsidRDefault="00D265B1" w:rsidP="000322EB">
      <w:pPr>
        <w:rPr>
          <w:szCs w:val="22"/>
          <w:lang w:val="sk-SK"/>
        </w:rPr>
      </w:pPr>
    </w:p>
    <w:p w:rsidR="00395CBF" w:rsidRPr="004B6827" w:rsidRDefault="00395CBF" w:rsidP="00395CBF">
      <w:pPr>
        <w:spacing w:line="240" w:lineRule="auto"/>
        <w:rPr>
          <w:bCs/>
          <w:szCs w:val="22"/>
          <w:u w:val="single"/>
          <w:lang w:val="sk-SK"/>
        </w:rPr>
      </w:pPr>
      <w:r w:rsidRPr="004B6827">
        <w:rPr>
          <w:bCs/>
          <w:szCs w:val="22"/>
          <w:u w:val="single"/>
          <w:lang w:val="sk-SK"/>
        </w:rPr>
        <w:t>Perindopril</w:t>
      </w:r>
    </w:p>
    <w:p w:rsidR="00395CBF" w:rsidRPr="004B6827" w:rsidRDefault="00395CBF" w:rsidP="00395CBF">
      <w:pPr>
        <w:spacing w:line="240" w:lineRule="auto"/>
        <w:rPr>
          <w:szCs w:val="22"/>
          <w:lang w:val="sk-SK"/>
        </w:rPr>
      </w:pPr>
      <w:r w:rsidRPr="004B6827">
        <w:rPr>
          <w:bCs/>
          <w:szCs w:val="22"/>
          <w:lang w:val="sk-SK"/>
        </w:rPr>
        <w:t>Používanie inhibítorov ACE sa neodporúča počas prvého trimestra gravidity</w:t>
      </w:r>
      <w:r w:rsidR="00F01D24" w:rsidRPr="004B6827">
        <w:rPr>
          <w:bCs/>
          <w:szCs w:val="22"/>
          <w:lang w:val="sk-SK"/>
        </w:rPr>
        <w:t>.</w:t>
      </w:r>
      <w:r w:rsidRPr="004B6827">
        <w:rPr>
          <w:bCs/>
          <w:szCs w:val="22"/>
          <w:lang w:val="sk-SK"/>
        </w:rPr>
        <w:t xml:space="preserve"> Používanie inhibítorov ACE </w:t>
      </w:r>
      <w:r w:rsidRPr="004B6827">
        <w:rPr>
          <w:szCs w:val="22"/>
          <w:lang w:val="sk-SK"/>
        </w:rPr>
        <w:t>je kontraindikované počas 2. a 3. trimestra gravidity (pozri časť 4.3).</w:t>
      </w:r>
    </w:p>
    <w:p w:rsidR="00395CBF" w:rsidRPr="004B6827" w:rsidRDefault="00395CBF" w:rsidP="00395CBF">
      <w:pPr>
        <w:spacing w:line="240" w:lineRule="auto"/>
        <w:rPr>
          <w:szCs w:val="22"/>
          <w:lang w:val="sk-SK"/>
        </w:rPr>
      </w:pPr>
      <w:r w:rsidRPr="004B6827">
        <w:rPr>
          <w:szCs w:val="22"/>
          <w:lang w:val="sk-SK"/>
        </w:rPr>
        <w:t>Epidemiologický dôkaz týkajúci sa rizika teratogenicity po expozícii inhibítorom ACE počas prvého trimestra gravidity nebol presvedčivý; malé zvýšenie rizika však nemožno vylúčiť. Pacientky, ktoré plánujú otehotnieť, majú prejsť na alternatívnu antihypertenzívn</w:t>
      </w:r>
      <w:r w:rsidR="00F01D24" w:rsidRPr="004B6827">
        <w:rPr>
          <w:szCs w:val="22"/>
          <w:lang w:val="sk-SK"/>
        </w:rPr>
        <w:t>u</w:t>
      </w:r>
      <w:r w:rsidRPr="004B6827">
        <w:rPr>
          <w:szCs w:val="22"/>
          <w:lang w:val="sk-SK"/>
        </w:rPr>
        <w:t xml:space="preserve"> liečbu, ktorá má stanovený profil bezpečnosti pre používanie v gravidite. V prípade diagnostikovanej gravidity sa má okamžite prerušiť liečba inhibítormi ACE</w:t>
      </w:r>
      <w:r w:rsidR="00C3157F" w:rsidRPr="004B6827">
        <w:rPr>
          <w:szCs w:val="22"/>
          <w:lang w:val="sk-SK"/>
        </w:rPr>
        <w:t>,</w:t>
      </w:r>
      <w:r w:rsidRPr="004B6827">
        <w:rPr>
          <w:szCs w:val="22"/>
          <w:lang w:val="sk-SK"/>
        </w:rPr>
        <w:t xml:space="preserve"> a ak je to vhodné, začať alternatívn</w:t>
      </w:r>
      <w:r w:rsidR="00C3157F" w:rsidRPr="004B6827">
        <w:rPr>
          <w:szCs w:val="22"/>
          <w:lang w:val="sk-SK"/>
        </w:rPr>
        <w:t>u</w:t>
      </w:r>
      <w:r w:rsidRPr="004B6827">
        <w:rPr>
          <w:szCs w:val="22"/>
          <w:lang w:val="sk-SK"/>
        </w:rPr>
        <w:t xml:space="preserve"> liečb</w:t>
      </w:r>
      <w:r w:rsidR="00C3157F" w:rsidRPr="004B6827">
        <w:rPr>
          <w:szCs w:val="22"/>
          <w:lang w:val="sk-SK"/>
        </w:rPr>
        <w:t>u</w:t>
      </w:r>
      <w:r w:rsidRPr="004B6827">
        <w:rPr>
          <w:szCs w:val="22"/>
          <w:lang w:val="sk-SK"/>
        </w:rPr>
        <w:t>.</w:t>
      </w:r>
    </w:p>
    <w:p w:rsidR="00395CBF" w:rsidRPr="004B6827" w:rsidRDefault="00395CBF" w:rsidP="00395CBF">
      <w:pPr>
        <w:spacing w:line="240" w:lineRule="auto"/>
        <w:rPr>
          <w:szCs w:val="22"/>
          <w:lang w:val="sk-SK"/>
        </w:rPr>
      </w:pPr>
      <w:r w:rsidRPr="004B6827">
        <w:rPr>
          <w:szCs w:val="22"/>
          <w:lang w:val="sk-SK"/>
        </w:rPr>
        <w:lastRenderedPageBreak/>
        <w:t>Je známe, že expozícia liečbe inhibítorom ACE počas druhého a tretieho trimestra vyvoláva</w:t>
      </w:r>
      <w:r w:rsidR="00462B52" w:rsidRPr="004B6827">
        <w:rPr>
          <w:szCs w:val="22"/>
          <w:lang w:val="sk-SK"/>
        </w:rPr>
        <w:t xml:space="preserve"> humánnu fetotoxicitu (znížené</w:t>
      </w:r>
      <w:r w:rsidRPr="004B6827">
        <w:rPr>
          <w:szCs w:val="22"/>
          <w:lang w:val="sk-SK"/>
        </w:rPr>
        <w:t xml:space="preserve"> funkcie</w:t>
      </w:r>
      <w:r w:rsidR="00462B52" w:rsidRPr="004B6827">
        <w:rPr>
          <w:szCs w:val="22"/>
          <w:lang w:val="sk-SK"/>
        </w:rPr>
        <w:t xml:space="preserve"> obličiek</w:t>
      </w:r>
      <w:r w:rsidRPr="004B6827">
        <w:rPr>
          <w:szCs w:val="22"/>
          <w:lang w:val="sk-SK"/>
        </w:rPr>
        <w:t>, oligohydramni</w:t>
      </w:r>
      <w:r w:rsidR="00462B52" w:rsidRPr="004B6827">
        <w:rPr>
          <w:szCs w:val="22"/>
          <w:lang w:val="sk-SK"/>
        </w:rPr>
        <w:t>ó</w:t>
      </w:r>
      <w:r w:rsidRPr="004B6827">
        <w:rPr>
          <w:szCs w:val="22"/>
          <w:lang w:val="sk-SK"/>
        </w:rPr>
        <w:t>n, spomalenie osifikácie lebky) a neonatálnu toxicitu (zlyhanie</w:t>
      </w:r>
      <w:r w:rsidR="00462B52" w:rsidRPr="004B6827">
        <w:rPr>
          <w:szCs w:val="22"/>
          <w:lang w:val="sk-SK"/>
        </w:rPr>
        <w:t xml:space="preserve"> funkcie obličiek</w:t>
      </w:r>
      <w:r w:rsidRPr="004B6827">
        <w:rPr>
          <w:szCs w:val="22"/>
          <w:lang w:val="sk-SK"/>
        </w:rPr>
        <w:t xml:space="preserve">, hypotenzia, hyperkaliémia) (pozri časť 5.3). Ak by došlo k expozícii inhibítorom ACE od druhého trimestra gravidity, odporúča sa vykonať ultrazvukovú kontrolu funkcií </w:t>
      </w:r>
      <w:r w:rsidR="00A96493" w:rsidRPr="004B6827">
        <w:rPr>
          <w:szCs w:val="22"/>
          <w:lang w:val="sk-SK"/>
        </w:rPr>
        <w:t xml:space="preserve">obličiek </w:t>
      </w:r>
      <w:r w:rsidRPr="004B6827">
        <w:rPr>
          <w:szCs w:val="22"/>
          <w:lang w:val="sk-SK"/>
        </w:rPr>
        <w:t>a lebky. U dojčiat, ktorých matky užívali inhibítory ACE, sa má starostlivo sledovať hypotenzia (pozri tiež časti 4.3 a 4.4).</w:t>
      </w:r>
    </w:p>
    <w:p w:rsidR="00D265B1" w:rsidRPr="004B6827" w:rsidRDefault="00D265B1" w:rsidP="000322EB">
      <w:pPr>
        <w:rPr>
          <w:szCs w:val="22"/>
          <w:lang w:val="sk-SK"/>
        </w:rPr>
      </w:pPr>
    </w:p>
    <w:p w:rsidR="00D70363" w:rsidRPr="004B6827" w:rsidRDefault="00D70363" w:rsidP="00D70363">
      <w:pPr>
        <w:autoSpaceDE w:val="0"/>
        <w:autoSpaceDN w:val="0"/>
        <w:adjustRightInd w:val="0"/>
        <w:spacing w:line="240" w:lineRule="auto"/>
        <w:jc w:val="both"/>
        <w:rPr>
          <w:bCs/>
          <w:iCs/>
          <w:szCs w:val="22"/>
          <w:u w:val="single"/>
          <w:lang w:val="sk-SK"/>
        </w:rPr>
      </w:pPr>
      <w:r w:rsidRPr="004B6827">
        <w:rPr>
          <w:bCs/>
          <w:iCs/>
          <w:szCs w:val="22"/>
          <w:u w:val="single"/>
          <w:lang w:val="sk-SK"/>
        </w:rPr>
        <w:t>Amlodipín</w:t>
      </w:r>
    </w:p>
    <w:p w:rsidR="00D70363" w:rsidRPr="004B6827" w:rsidRDefault="00D70363" w:rsidP="00D70363">
      <w:pPr>
        <w:pStyle w:val="Default"/>
        <w:jc w:val="both"/>
        <w:rPr>
          <w:color w:val="auto"/>
          <w:sz w:val="22"/>
          <w:szCs w:val="22"/>
          <w:lang w:val="sk-SK"/>
        </w:rPr>
      </w:pPr>
      <w:r w:rsidRPr="004B6827">
        <w:rPr>
          <w:color w:val="auto"/>
          <w:sz w:val="22"/>
          <w:szCs w:val="22"/>
          <w:lang w:val="sk-SK"/>
        </w:rPr>
        <w:t>Bezpečnosť amlodipínu počas gravidity u žien nebola stanovená. V </w:t>
      </w:r>
      <w:r w:rsidR="004B6827" w:rsidRPr="004B6827">
        <w:rPr>
          <w:color w:val="auto"/>
          <w:sz w:val="22"/>
          <w:szCs w:val="22"/>
          <w:lang w:val="sk-SK"/>
        </w:rPr>
        <w:t>štúdiách</w:t>
      </w:r>
      <w:r w:rsidRPr="004B6827">
        <w:rPr>
          <w:color w:val="auto"/>
          <w:sz w:val="22"/>
          <w:szCs w:val="22"/>
          <w:lang w:val="sk-SK"/>
        </w:rPr>
        <w:t xml:space="preserve"> so zvieratami bola pri vysokých dávkach pozorovaná reprodukčná toxicita (pozri časť 5.3).</w:t>
      </w:r>
    </w:p>
    <w:p w:rsidR="00D265B1" w:rsidRPr="004B6827" w:rsidRDefault="00D265B1" w:rsidP="000322EB">
      <w:pPr>
        <w:rPr>
          <w:szCs w:val="22"/>
          <w:lang w:val="sk-SK"/>
        </w:rPr>
      </w:pPr>
    </w:p>
    <w:p w:rsidR="00D70363" w:rsidRPr="004B6827" w:rsidRDefault="00D70363" w:rsidP="00D70363">
      <w:pPr>
        <w:rPr>
          <w:szCs w:val="22"/>
          <w:u w:val="single"/>
          <w:lang w:val="sk-SK"/>
        </w:rPr>
      </w:pPr>
      <w:r w:rsidRPr="004B6827">
        <w:rPr>
          <w:szCs w:val="22"/>
          <w:u w:val="single"/>
          <w:lang w:val="sk-SK"/>
        </w:rPr>
        <w:t>Dojčenie:</w:t>
      </w:r>
    </w:p>
    <w:p w:rsidR="00D265B1" w:rsidRPr="004B6827" w:rsidRDefault="00D70363" w:rsidP="000322EB">
      <w:pPr>
        <w:rPr>
          <w:szCs w:val="22"/>
          <w:u w:val="single"/>
          <w:lang w:val="sk-SK"/>
        </w:rPr>
      </w:pPr>
      <w:r w:rsidRPr="004B6827">
        <w:rPr>
          <w:szCs w:val="22"/>
          <w:u w:val="single"/>
          <w:lang w:val="sk-SK"/>
        </w:rPr>
        <w:t>Atorvastatín</w:t>
      </w:r>
    </w:p>
    <w:p w:rsidR="00D265B1" w:rsidRPr="004B6827" w:rsidRDefault="00D70363" w:rsidP="000322EB">
      <w:pPr>
        <w:rPr>
          <w:szCs w:val="22"/>
          <w:lang w:val="sk-SK"/>
        </w:rPr>
      </w:pPr>
      <w:r w:rsidRPr="004B6827">
        <w:rPr>
          <w:szCs w:val="22"/>
          <w:lang w:val="sk-SK"/>
        </w:rPr>
        <w:t>Nie je známe, či sa atorvastatín alebo jeho metabolity vylučujú do materského mlieka. Plazmatické koncentrácie atorvastatínu a jeho aktívnych metabolitov u potkanov sú podobné ako v mlieku (pozri časť 5.3). Vzhľadom na možný výskyt závažných nežiaducich</w:t>
      </w:r>
      <w:r w:rsidRPr="004B6827">
        <w:rPr>
          <w:bCs/>
          <w:szCs w:val="22"/>
          <w:lang w:val="sk-SK"/>
        </w:rPr>
        <w:t xml:space="preserve"> reakcií nemajú ženy užívajúce atorvastatín dojčiť svoje deti. Atorvastatín je kontraindikovaný počas </w:t>
      </w:r>
      <w:r w:rsidR="00EB39E7" w:rsidRPr="004B6827">
        <w:rPr>
          <w:bCs/>
          <w:szCs w:val="22"/>
          <w:lang w:val="sk-SK"/>
        </w:rPr>
        <w:t>dojčenia</w:t>
      </w:r>
      <w:r w:rsidRPr="004B6827">
        <w:rPr>
          <w:bCs/>
          <w:szCs w:val="22"/>
          <w:lang w:val="sk-SK"/>
        </w:rPr>
        <w:t xml:space="preserve"> (pozri časť 4.3).</w:t>
      </w:r>
    </w:p>
    <w:p w:rsidR="00D265B1" w:rsidRPr="004B6827" w:rsidRDefault="00D265B1" w:rsidP="000322EB">
      <w:pPr>
        <w:rPr>
          <w:szCs w:val="22"/>
          <w:lang w:val="sk-SK"/>
        </w:rPr>
      </w:pPr>
    </w:p>
    <w:p w:rsidR="00D265B1" w:rsidRPr="004B6827" w:rsidRDefault="00EC1A4F" w:rsidP="000322EB">
      <w:pPr>
        <w:rPr>
          <w:szCs w:val="22"/>
          <w:u w:val="single"/>
          <w:lang w:val="sk-SK"/>
        </w:rPr>
      </w:pPr>
      <w:r w:rsidRPr="004B6827">
        <w:rPr>
          <w:szCs w:val="22"/>
          <w:u w:val="single"/>
          <w:lang w:val="sk-SK"/>
        </w:rPr>
        <w:t>Perindopril</w:t>
      </w:r>
    </w:p>
    <w:p w:rsidR="00EC1A4F" w:rsidRPr="004B6827" w:rsidRDefault="00EC1A4F" w:rsidP="00EC1A4F">
      <w:pPr>
        <w:spacing w:line="240" w:lineRule="auto"/>
        <w:rPr>
          <w:szCs w:val="22"/>
          <w:lang w:val="sk-SK"/>
        </w:rPr>
      </w:pPr>
      <w:r w:rsidRPr="004B6827">
        <w:rPr>
          <w:szCs w:val="22"/>
          <w:lang w:val="sk-SK"/>
        </w:rPr>
        <w:t xml:space="preserve">Pretože nie sú dostupné žiadne informácie týkajúce sa užívania perindoprilu počas dojčenia, </w:t>
      </w:r>
      <w:r w:rsidR="00A83036" w:rsidRPr="004B6827">
        <w:rPr>
          <w:szCs w:val="22"/>
          <w:lang w:val="sk-SK"/>
        </w:rPr>
        <w:t>perindopril sa</w:t>
      </w:r>
      <w:r w:rsidRPr="004B6827">
        <w:rPr>
          <w:szCs w:val="22"/>
          <w:lang w:val="sk-SK"/>
        </w:rPr>
        <w:t xml:space="preserve"> neodporúča a uprednostňuje sa alternatívna liečba s lepšie stanoveným profilom bezpečnosti počas dojčenia, najmä počas dojčenia novorodenca alebo predčasne narodeného dieťaťa.</w:t>
      </w:r>
    </w:p>
    <w:p w:rsidR="00EC1A4F" w:rsidRPr="004B6827" w:rsidRDefault="00EC1A4F" w:rsidP="00EC1A4F">
      <w:pPr>
        <w:spacing w:line="240" w:lineRule="auto"/>
        <w:rPr>
          <w:szCs w:val="22"/>
          <w:lang w:val="sk-SK"/>
        </w:rPr>
      </w:pPr>
    </w:p>
    <w:p w:rsidR="001E2F5B" w:rsidRPr="004B6827" w:rsidRDefault="001E2F5B" w:rsidP="001E2F5B">
      <w:pPr>
        <w:spacing w:line="240" w:lineRule="auto"/>
        <w:jc w:val="both"/>
        <w:rPr>
          <w:szCs w:val="22"/>
          <w:u w:val="single"/>
          <w:lang w:val="sk-SK"/>
        </w:rPr>
      </w:pPr>
      <w:r w:rsidRPr="004B6827">
        <w:rPr>
          <w:szCs w:val="22"/>
          <w:u w:val="single"/>
          <w:lang w:val="sk-SK"/>
        </w:rPr>
        <w:t>Amlodipín</w:t>
      </w:r>
    </w:p>
    <w:p w:rsidR="001E2F5B" w:rsidRPr="004B6827" w:rsidRDefault="001E2F5B" w:rsidP="001E2F5B">
      <w:pPr>
        <w:spacing w:line="240" w:lineRule="auto"/>
        <w:jc w:val="both"/>
        <w:rPr>
          <w:noProof/>
          <w:szCs w:val="22"/>
          <w:lang w:val="sk-SK"/>
        </w:rPr>
      </w:pPr>
      <w:r w:rsidRPr="004B6827">
        <w:rPr>
          <w:bCs/>
          <w:iCs/>
          <w:szCs w:val="22"/>
          <w:lang w:val="sk-SK"/>
        </w:rPr>
        <w:t>Nie je známe, či sa amlodipín vylučuje do materského mlieka.</w:t>
      </w:r>
    </w:p>
    <w:p w:rsidR="000322EB" w:rsidRPr="004B6827" w:rsidRDefault="000322EB" w:rsidP="000322EB">
      <w:pPr>
        <w:rPr>
          <w:szCs w:val="22"/>
          <w:lang w:val="sk-SK"/>
        </w:rPr>
      </w:pPr>
    </w:p>
    <w:p w:rsidR="000322EB" w:rsidRPr="004B6827" w:rsidRDefault="000322EB" w:rsidP="000322EB">
      <w:pPr>
        <w:rPr>
          <w:szCs w:val="22"/>
          <w:lang w:val="sk-SK"/>
        </w:rPr>
      </w:pPr>
      <w:r w:rsidRPr="004B6827">
        <w:rPr>
          <w:szCs w:val="22"/>
          <w:u w:val="single"/>
          <w:lang w:val="sk-SK"/>
        </w:rPr>
        <w:t>Fertilita</w:t>
      </w:r>
      <w:r w:rsidR="001E2F5B" w:rsidRPr="004B6827">
        <w:rPr>
          <w:szCs w:val="22"/>
          <w:u w:val="single"/>
          <w:lang w:val="sk-SK"/>
        </w:rPr>
        <w:t>:</w:t>
      </w:r>
    </w:p>
    <w:p w:rsidR="001E2F5B" w:rsidRPr="004B6827" w:rsidRDefault="001E2F5B" w:rsidP="000322EB">
      <w:pPr>
        <w:rPr>
          <w:szCs w:val="22"/>
          <w:u w:val="single"/>
          <w:lang w:val="sk-SK"/>
        </w:rPr>
      </w:pPr>
      <w:r w:rsidRPr="004B6827">
        <w:rPr>
          <w:szCs w:val="22"/>
          <w:u w:val="single"/>
          <w:lang w:val="sk-SK"/>
        </w:rPr>
        <w:t>Atorvastatín</w:t>
      </w:r>
    </w:p>
    <w:p w:rsidR="001E2F5B" w:rsidRPr="004B6827" w:rsidRDefault="0024778E" w:rsidP="001E2F5B">
      <w:pPr>
        <w:spacing w:line="240" w:lineRule="auto"/>
        <w:rPr>
          <w:szCs w:val="22"/>
          <w:lang w:val="sk-SK"/>
        </w:rPr>
      </w:pPr>
      <w:r w:rsidRPr="004B6827">
        <w:rPr>
          <w:szCs w:val="22"/>
          <w:lang w:val="sk-SK"/>
        </w:rPr>
        <w:t>V </w:t>
      </w:r>
      <w:r w:rsidR="004B6827" w:rsidRPr="004B6827">
        <w:rPr>
          <w:szCs w:val="22"/>
          <w:lang w:val="sk-SK"/>
        </w:rPr>
        <w:t>štúdiách</w:t>
      </w:r>
      <w:r w:rsidRPr="004B6827">
        <w:rPr>
          <w:szCs w:val="22"/>
          <w:lang w:val="sk-SK"/>
        </w:rPr>
        <w:t xml:space="preserve"> so zvieratami sa nepozoroval </w:t>
      </w:r>
      <w:r w:rsidR="001E2F5B" w:rsidRPr="004B6827">
        <w:rPr>
          <w:szCs w:val="22"/>
          <w:lang w:val="sk-SK"/>
        </w:rPr>
        <w:t>žiadny účinok na reprodukčnú schopnosť alebo fertilitu</w:t>
      </w:r>
      <w:r w:rsidR="00EB39E7" w:rsidRPr="004B6827">
        <w:rPr>
          <w:szCs w:val="22"/>
          <w:lang w:val="sk-SK"/>
        </w:rPr>
        <w:t xml:space="preserve"> (pozri časť 5.3)</w:t>
      </w:r>
      <w:r w:rsidR="001E2F5B" w:rsidRPr="004B6827">
        <w:rPr>
          <w:szCs w:val="22"/>
          <w:lang w:val="sk-SK"/>
        </w:rPr>
        <w:t>.</w:t>
      </w:r>
    </w:p>
    <w:p w:rsidR="000918C1" w:rsidRPr="004B6827" w:rsidRDefault="000918C1" w:rsidP="001E2F5B">
      <w:pPr>
        <w:spacing w:line="240" w:lineRule="auto"/>
        <w:rPr>
          <w:szCs w:val="22"/>
          <w:lang w:val="sk-SK"/>
        </w:rPr>
      </w:pPr>
    </w:p>
    <w:p w:rsidR="000918C1" w:rsidRPr="004B6827" w:rsidRDefault="000918C1" w:rsidP="000918C1">
      <w:pPr>
        <w:tabs>
          <w:tab w:val="left" w:pos="284"/>
          <w:tab w:val="left" w:pos="709"/>
          <w:tab w:val="left" w:pos="993"/>
        </w:tabs>
        <w:spacing w:line="240" w:lineRule="auto"/>
        <w:jc w:val="both"/>
        <w:rPr>
          <w:szCs w:val="22"/>
          <w:u w:val="single"/>
          <w:lang w:val="sk-SK"/>
        </w:rPr>
      </w:pPr>
      <w:r w:rsidRPr="004B6827">
        <w:rPr>
          <w:szCs w:val="22"/>
          <w:u w:val="single"/>
          <w:lang w:val="sk-SK"/>
        </w:rPr>
        <w:t>Perindopril</w:t>
      </w:r>
    </w:p>
    <w:p w:rsidR="00A25BEE" w:rsidRPr="004B6827" w:rsidRDefault="00A25BEE" w:rsidP="00A25BEE">
      <w:pPr>
        <w:spacing w:line="240" w:lineRule="auto"/>
        <w:rPr>
          <w:szCs w:val="22"/>
          <w:lang w:val="sk-SK"/>
        </w:rPr>
      </w:pPr>
      <w:r w:rsidRPr="004B6827">
        <w:rPr>
          <w:szCs w:val="22"/>
          <w:lang w:val="sk-SK"/>
        </w:rPr>
        <w:t>Nepozoroval sa žiadny účinok na reprodukčnú schopnosť alebo fertilitu.</w:t>
      </w:r>
    </w:p>
    <w:p w:rsidR="000918C1" w:rsidRPr="004B6827" w:rsidRDefault="000918C1" w:rsidP="001E2F5B">
      <w:pPr>
        <w:spacing w:line="240" w:lineRule="auto"/>
        <w:rPr>
          <w:szCs w:val="22"/>
          <w:lang w:val="sk-SK"/>
        </w:rPr>
      </w:pPr>
    </w:p>
    <w:p w:rsidR="001E2F5B" w:rsidRPr="004B6827" w:rsidRDefault="00A25BEE" w:rsidP="000322EB">
      <w:pPr>
        <w:rPr>
          <w:szCs w:val="22"/>
          <w:u w:val="single"/>
          <w:lang w:val="sk-SK"/>
        </w:rPr>
      </w:pPr>
      <w:r w:rsidRPr="004B6827">
        <w:rPr>
          <w:szCs w:val="22"/>
          <w:u w:val="single"/>
          <w:lang w:val="sk-SK"/>
        </w:rPr>
        <w:t>Amlodipín</w:t>
      </w:r>
    </w:p>
    <w:p w:rsidR="00A25BEE" w:rsidRPr="004B6827" w:rsidRDefault="00A25BEE" w:rsidP="000322EB">
      <w:pPr>
        <w:rPr>
          <w:szCs w:val="22"/>
          <w:lang w:val="sk-SK"/>
        </w:rPr>
      </w:pPr>
      <w:r w:rsidRPr="004B6827">
        <w:rPr>
          <w:bCs/>
          <w:iCs/>
          <w:szCs w:val="22"/>
          <w:lang w:val="sk-SK"/>
        </w:rPr>
        <w:t>U niektorých pacientov liečených blokátormi kalciových kanálov boli hlásené reverzibilné biochemické zmeny na hlavičke spermií. Nie sú dostatočné klinické údaje týkajúce sa možného účinku amlodipínu na fertilitu. V jednej štúdii s potkanmi bol pozorovaný vedľajší účinok na fertilitu u samcov (pozri časť 5.3).</w:t>
      </w:r>
    </w:p>
    <w:p w:rsidR="000322EB" w:rsidRPr="004B6827" w:rsidRDefault="000322EB" w:rsidP="00B239E2">
      <w:pPr>
        <w:tabs>
          <w:tab w:val="clear" w:pos="567"/>
        </w:tabs>
        <w:spacing w:line="240" w:lineRule="auto"/>
        <w:rPr>
          <w:b/>
          <w:szCs w:val="22"/>
          <w:lang w:val="sk-SK"/>
        </w:rPr>
      </w:pPr>
    </w:p>
    <w:p w:rsidR="000F4A9B" w:rsidRPr="004B6827" w:rsidRDefault="000F4A9B" w:rsidP="00B239E2">
      <w:pPr>
        <w:tabs>
          <w:tab w:val="clear" w:pos="567"/>
        </w:tabs>
        <w:spacing w:line="240" w:lineRule="auto"/>
        <w:rPr>
          <w:b/>
          <w:szCs w:val="22"/>
          <w:lang w:val="sk-SK"/>
        </w:rPr>
      </w:pPr>
    </w:p>
    <w:p w:rsidR="000F4A9B" w:rsidRPr="004B6827" w:rsidRDefault="000F4A9B" w:rsidP="000F4A9B">
      <w:pPr>
        <w:rPr>
          <w:szCs w:val="22"/>
          <w:lang w:val="sk-SK"/>
        </w:rPr>
      </w:pPr>
      <w:r w:rsidRPr="004B6827">
        <w:rPr>
          <w:b/>
          <w:szCs w:val="22"/>
          <w:lang w:val="sk-SK"/>
        </w:rPr>
        <w:t>4.7</w:t>
      </w:r>
      <w:r w:rsidRPr="004B6827">
        <w:rPr>
          <w:b/>
          <w:szCs w:val="22"/>
          <w:lang w:val="sk-SK"/>
        </w:rPr>
        <w:tab/>
        <w:t>Ovplyvnenie schopnosti viesť vozidlá a obsluhovať stroje</w:t>
      </w:r>
    </w:p>
    <w:p w:rsidR="000F4A9B" w:rsidRPr="004B6827" w:rsidRDefault="000F4A9B" w:rsidP="000F4A9B">
      <w:pPr>
        <w:tabs>
          <w:tab w:val="clear" w:pos="567"/>
        </w:tabs>
        <w:spacing w:line="240" w:lineRule="auto"/>
        <w:rPr>
          <w:szCs w:val="22"/>
          <w:lang w:val="sk-SK"/>
        </w:rPr>
      </w:pPr>
    </w:p>
    <w:p w:rsidR="000F4A9B" w:rsidRPr="004B6827" w:rsidRDefault="00D23C09" w:rsidP="000F4A9B">
      <w:pPr>
        <w:rPr>
          <w:szCs w:val="22"/>
          <w:lang w:val="sk-SK"/>
        </w:rPr>
      </w:pPr>
      <w:r w:rsidRPr="004B6827">
        <w:rPr>
          <w:szCs w:val="22"/>
          <w:lang w:val="sk-SK"/>
        </w:rPr>
        <w:t xml:space="preserve">Neuskutočnili sa žiadne štúdie o vplyve </w:t>
      </w:r>
      <w:r w:rsidR="00212A25" w:rsidRPr="004B6827">
        <w:rPr>
          <w:szCs w:val="22"/>
          <w:lang w:val="sk-SK"/>
        </w:rPr>
        <w:t>Lipertance</w:t>
      </w:r>
      <w:r w:rsidRPr="004B6827">
        <w:rPr>
          <w:szCs w:val="22"/>
          <w:lang w:val="sk-SK"/>
        </w:rPr>
        <w:t xml:space="preserve"> na schopnosť viesť vozidlá a obsluhovať stroje.</w:t>
      </w:r>
    </w:p>
    <w:p w:rsidR="00D23C09" w:rsidRPr="004B6827" w:rsidRDefault="00D23C09" w:rsidP="000F4A9B">
      <w:pPr>
        <w:rPr>
          <w:szCs w:val="22"/>
          <w:lang w:val="sk-SK"/>
        </w:rPr>
      </w:pPr>
    </w:p>
    <w:p w:rsidR="00D23C09" w:rsidRPr="004B6827" w:rsidRDefault="00D23C09" w:rsidP="00D23C09">
      <w:pPr>
        <w:pStyle w:val="Odsekzoznamu"/>
        <w:numPr>
          <w:ilvl w:val="0"/>
          <w:numId w:val="38"/>
        </w:numPr>
        <w:rPr>
          <w:szCs w:val="22"/>
          <w:lang w:val="sk-SK"/>
        </w:rPr>
      </w:pPr>
      <w:r w:rsidRPr="004B6827">
        <w:rPr>
          <w:szCs w:val="22"/>
          <w:lang w:val="sk-SK"/>
        </w:rPr>
        <w:t>Atorvastatín má zanedbateľný vplyv na schopnosť viesť vozidlá a obsluhovať stroje.</w:t>
      </w:r>
    </w:p>
    <w:p w:rsidR="00D23C09" w:rsidRPr="004B6827" w:rsidRDefault="00D23C09" w:rsidP="00D23C09">
      <w:pPr>
        <w:pStyle w:val="Odsekzoznamu"/>
        <w:numPr>
          <w:ilvl w:val="0"/>
          <w:numId w:val="38"/>
        </w:numPr>
        <w:rPr>
          <w:szCs w:val="22"/>
          <w:lang w:val="sk-SK"/>
        </w:rPr>
      </w:pPr>
      <w:r w:rsidRPr="004B6827">
        <w:rPr>
          <w:szCs w:val="22"/>
          <w:lang w:val="sk-SK"/>
        </w:rPr>
        <w:t xml:space="preserve">Perindopril nemá priamy vplyv na schopnosť viesť vozidlá a obsluhovať stroje, ale u niektorých pacientov sa môžu vyskytnúť individuálne reakcie súvisiace so </w:t>
      </w:r>
      <w:r w:rsidR="00EB39E7" w:rsidRPr="004B6827">
        <w:rPr>
          <w:szCs w:val="22"/>
          <w:lang w:val="sk-SK"/>
        </w:rPr>
        <w:t>z</w:t>
      </w:r>
      <w:r w:rsidRPr="004B6827">
        <w:rPr>
          <w:szCs w:val="22"/>
          <w:lang w:val="sk-SK"/>
        </w:rPr>
        <w:t>nížením krvného tlaku, obzvlášť na začiatku liečby alebo pri kombinácii s iným antihypertenzívom.</w:t>
      </w:r>
    </w:p>
    <w:p w:rsidR="00D23C09" w:rsidRPr="004B6827" w:rsidRDefault="00D23C09" w:rsidP="00D23C09">
      <w:pPr>
        <w:pStyle w:val="Odsekzoznamu"/>
        <w:numPr>
          <w:ilvl w:val="0"/>
          <w:numId w:val="38"/>
        </w:numPr>
        <w:rPr>
          <w:szCs w:val="22"/>
          <w:lang w:val="sk-SK"/>
        </w:rPr>
      </w:pPr>
      <w:r w:rsidRPr="004B6827">
        <w:rPr>
          <w:szCs w:val="22"/>
          <w:lang w:val="sk-SK" w:eastAsia="sk-SK"/>
        </w:rPr>
        <w:t>Amlodipín môže mať malý alebo mierny vplyv na schopnosť viesť vozidlá a obsluhovať stroje. Ak pacienti užívajúci amlodipín trpia závratom, bolesťou hlavy, únavou alebo nauzeou, ich schopnosť reagovať môže byť znížená.</w:t>
      </w:r>
    </w:p>
    <w:p w:rsidR="00D23C09" w:rsidRPr="004B6827" w:rsidRDefault="00D23C09" w:rsidP="000F4A9B">
      <w:pPr>
        <w:rPr>
          <w:szCs w:val="22"/>
          <w:lang w:val="sk-SK"/>
        </w:rPr>
      </w:pPr>
    </w:p>
    <w:p w:rsidR="00D23C09" w:rsidRPr="004B6827" w:rsidRDefault="00E82C07" w:rsidP="000F4A9B">
      <w:pPr>
        <w:rPr>
          <w:szCs w:val="22"/>
          <w:lang w:val="sk-SK"/>
        </w:rPr>
      </w:pPr>
      <w:r w:rsidRPr="004B6827">
        <w:rPr>
          <w:szCs w:val="22"/>
          <w:lang w:val="sk-SK"/>
        </w:rPr>
        <w:lastRenderedPageBreak/>
        <w:t xml:space="preserve">Následkom toho môže byť u pacientov užívajúcich </w:t>
      </w:r>
      <w:r w:rsidR="00212A25" w:rsidRPr="004B6827">
        <w:rPr>
          <w:szCs w:val="22"/>
          <w:lang w:val="sk-SK"/>
        </w:rPr>
        <w:t>Lipertance</w:t>
      </w:r>
      <w:r w:rsidRPr="004B6827">
        <w:rPr>
          <w:szCs w:val="22"/>
          <w:lang w:val="sk-SK"/>
        </w:rPr>
        <w:t xml:space="preserve"> znížená schopnosť viesť vozidlá a obsluhovať stroje. Odporúča sa opatrnosť</w:t>
      </w:r>
      <w:r w:rsidR="00B75F14" w:rsidRPr="004B6827">
        <w:rPr>
          <w:szCs w:val="22"/>
          <w:lang w:val="sk-SK"/>
        </w:rPr>
        <w:t>,</w:t>
      </w:r>
      <w:r w:rsidRPr="004B6827">
        <w:rPr>
          <w:szCs w:val="22"/>
          <w:lang w:val="sk-SK"/>
        </w:rPr>
        <w:t xml:space="preserve"> obzvlášť na začiatku liečby.</w:t>
      </w:r>
    </w:p>
    <w:p w:rsidR="00D23C09" w:rsidRPr="004B6827" w:rsidRDefault="00D23C09" w:rsidP="000F4A9B">
      <w:pPr>
        <w:rPr>
          <w:szCs w:val="22"/>
          <w:lang w:val="sk-SK"/>
        </w:rPr>
      </w:pPr>
    </w:p>
    <w:p w:rsidR="000F4A9B" w:rsidRPr="004B6827" w:rsidRDefault="000F4A9B" w:rsidP="000F4A9B">
      <w:pPr>
        <w:rPr>
          <w:b/>
          <w:szCs w:val="22"/>
          <w:lang w:val="sk-SK"/>
        </w:rPr>
      </w:pPr>
      <w:r w:rsidRPr="004B6827">
        <w:rPr>
          <w:b/>
          <w:szCs w:val="22"/>
          <w:lang w:val="sk-SK"/>
        </w:rPr>
        <w:t>4.8</w:t>
      </w:r>
      <w:r w:rsidRPr="004B6827">
        <w:rPr>
          <w:b/>
          <w:szCs w:val="22"/>
          <w:lang w:val="sk-SK"/>
        </w:rPr>
        <w:tab/>
        <w:t>Nežiaduce účinky</w:t>
      </w:r>
    </w:p>
    <w:p w:rsidR="000F4A9B" w:rsidRPr="004B6827" w:rsidRDefault="000F4A9B" w:rsidP="000F4A9B">
      <w:pPr>
        <w:rPr>
          <w:szCs w:val="22"/>
          <w:u w:val="single"/>
          <w:lang w:val="sk-SK"/>
        </w:rPr>
      </w:pPr>
    </w:p>
    <w:p w:rsidR="000F4A9B" w:rsidRPr="004B6827" w:rsidRDefault="000F4A9B" w:rsidP="000F4A9B">
      <w:pPr>
        <w:rPr>
          <w:szCs w:val="22"/>
          <w:u w:val="single"/>
          <w:lang w:val="sk-SK"/>
        </w:rPr>
      </w:pPr>
      <w:r w:rsidRPr="004B6827">
        <w:rPr>
          <w:szCs w:val="22"/>
          <w:u w:val="single"/>
          <w:lang w:val="sk-SK"/>
        </w:rPr>
        <w:t>Súhrn bezpečnostného profilu</w:t>
      </w:r>
    </w:p>
    <w:p w:rsidR="000F4A9B" w:rsidRPr="004B6827" w:rsidRDefault="000F4A9B" w:rsidP="000F4A9B">
      <w:pPr>
        <w:rPr>
          <w:szCs w:val="22"/>
          <w:lang w:val="sk-SK"/>
        </w:rPr>
      </w:pPr>
      <w:r w:rsidRPr="004B6827">
        <w:rPr>
          <w:szCs w:val="22"/>
          <w:lang w:val="sk-SK"/>
        </w:rPr>
        <w:t xml:space="preserve">Najčastejšie </w:t>
      </w:r>
      <w:r w:rsidR="005343B8" w:rsidRPr="004B6827">
        <w:rPr>
          <w:szCs w:val="22"/>
          <w:lang w:val="sk-SK"/>
        </w:rPr>
        <w:t xml:space="preserve">hlásené </w:t>
      </w:r>
      <w:r w:rsidRPr="004B6827">
        <w:rPr>
          <w:szCs w:val="22"/>
          <w:lang w:val="sk-SK"/>
        </w:rPr>
        <w:t xml:space="preserve">nežiaduce reakcie </w:t>
      </w:r>
      <w:r w:rsidR="005A55B6" w:rsidRPr="004B6827">
        <w:rPr>
          <w:szCs w:val="22"/>
          <w:lang w:val="sk-SK"/>
        </w:rPr>
        <w:t xml:space="preserve">na samostatne podávaný </w:t>
      </w:r>
      <w:r w:rsidR="005343B8" w:rsidRPr="004B6827">
        <w:rPr>
          <w:szCs w:val="22"/>
          <w:lang w:val="sk-SK"/>
        </w:rPr>
        <w:t>atorvastatín</w:t>
      </w:r>
      <w:r w:rsidRPr="004B6827">
        <w:rPr>
          <w:szCs w:val="22"/>
          <w:lang w:val="sk-SK"/>
        </w:rPr>
        <w:t>,</w:t>
      </w:r>
      <w:r w:rsidR="005343B8" w:rsidRPr="004B6827">
        <w:rPr>
          <w:szCs w:val="22"/>
          <w:lang w:val="sk-SK"/>
        </w:rPr>
        <w:t xml:space="preserve"> perindopril a amlodipín zahŕňajú: nazofaryngitídu, alergické reakcie, hyperglykémiu, bolesť hlavy, faryngolaryng</w:t>
      </w:r>
      <w:r w:rsidR="00FA1BC0" w:rsidRPr="004B6827">
        <w:rPr>
          <w:szCs w:val="22"/>
          <w:lang w:val="sk-SK"/>
        </w:rPr>
        <w:t>e</w:t>
      </w:r>
      <w:r w:rsidR="005343B8" w:rsidRPr="004B6827">
        <w:rPr>
          <w:szCs w:val="22"/>
          <w:lang w:val="sk-SK"/>
        </w:rPr>
        <w:t>álnu b</w:t>
      </w:r>
      <w:r w:rsidR="00072349" w:rsidRPr="004B6827">
        <w:rPr>
          <w:szCs w:val="22"/>
          <w:lang w:val="sk-SK"/>
        </w:rPr>
        <w:t>olesť, epistaxu, zápchu, flatule</w:t>
      </w:r>
      <w:r w:rsidR="005343B8" w:rsidRPr="004B6827">
        <w:rPr>
          <w:szCs w:val="22"/>
          <w:lang w:val="sk-SK"/>
        </w:rPr>
        <w:t xml:space="preserve">nciu, </w:t>
      </w:r>
      <w:r w:rsidR="00396A0D" w:rsidRPr="004B6827">
        <w:rPr>
          <w:szCs w:val="22"/>
          <w:lang w:val="sk-SK"/>
        </w:rPr>
        <w:t>dyspepsiu, nauzeu, hnačku, myalgiu, artralgiu, bolesť v končatine, svalové spazmy, opuch kĺbov, bolesť chrbta, abnormálne hodnoty pečeňových testov, zvýšenie kreatínkinázy v krvi, somnolenci</w:t>
      </w:r>
      <w:r w:rsidR="00FA1BC0" w:rsidRPr="004B6827">
        <w:rPr>
          <w:szCs w:val="22"/>
          <w:lang w:val="sk-SK"/>
        </w:rPr>
        <w:t>u</w:t>
      </w:r>
      <w:r w:rsidR="00396A0D" w:rsidRPr="004B6827">
        <w:rPr>
          <w:szCs w:val="22"/>
          <w:lang w:val="sk-SK"/>
        </w:rPr>
        <w:t>, závrat, palpitácie, sčervenanie, bolesť brucha, perif</w:t>
      </w:r>
      <w:r w:rsidR="00980DEF" w:rsidRPr="004B6827">
        <w:rPr>
          <w:szCs w:val="22"/>
          <w:lang w:val="sk-SK"/>
        </w:rPr>
        <w:t>ér</w:t>
      </w:r>
      <w:r w:rsidR="00396A0D" w:rsidRPr="004B6827">
        <w:rPr>
          <w:szCs w:val="22"/>
          <w:lang w:val="sk-SK"/>
        </w:rPr>
        <w:t>ny edém, únav</w:t>
      </w:r>
      <w:r w:rsidR="00980DEF" w:rsidRPr="004B6827">
        <w:rPr>
          <w:szCs w:val="22"/>
          <w:lang w:val="sk-SK"/>
        </w:rPr>
        <w:t>u</w:t>
      </w:r>
      <w:r w:rsidR="00396A0D" w:rsidRPr="004B6827">
        <w:rPr>
          <w:szCs w:val="22"/>
          <w:lang w:val="sk-SK"/>
        </w:rPr>
        <w:t>, p</w:t>
      </w:r>
      <w:r w:rsidR="00664EEF" w:rsidRPr="004B6827">
        <w:rPr>
          <w:szCs w:val="22"/>
          <w:lang w:val="sk-SK"/>
        </w:rPr>
        <w:t>a</w:t>
      </w:r>
      <w:r w:rsidR="00396A0D" w:rsidRPr="004B6827">
        <w:rPr>
          <w:szCs w:val="22"/>
          <w:lang w:val="sk-SK"/>
        </w:rPr>
        <w:t>restézi</w:t>
      </w:r>
      <w:r w:rsidR="00980DEF" w:rsidRPr="004B6827">
        <w:rPr>
          <w:szCs w:val="22"/>
          <w:lang w:val="sk-SK"/>
        </w:rPr>
        <w:t>u</w:t>
      </w:r>
      <w:r w:rsidR="00396A0D" w:rsidRPr="004B6827">
        <w:rPr>
          <w:szCs w:val="22"/>
          <w:lang w:val="sk-SK"/>
        </w:rPr>
        <w:t>, zrakov</w:t>
      </w:r>
      <w:r w:rsidR="00980DEF" w:rsidRPr="004B6827">
        <w:rPr>
          <w:szCs w:val="22"/>
          <w:lang w:val="sk-SK"/>
        </w:rPr>
        <w:t>ú</w:t>
      </w:r>
      <w:r w:rsidR="00396A0D" w:rsidRPr="004B6827">
        <w:rPr>
          <w:szCs w:val="22"/>
          <w:lang w:val="sk-SK"/>
        </w:rPr>
        <w:t xml:space="preserve"> poruch</w:t>
      </w:r>
      <w:r w:rsidR="00980DEF" w:rsidRPr="004B6827">
        <w:rPr>
          <w:szCs w:val="22"/>
          <w:lang w:val="sk-SK"/>
        </w:rPr>
        <w:t>u</w:t>
      </w:r>
      <w:r w:rsidR="00396A0D" w:rsidRPr="004B6827">
        <w:rPr>
          <w:szCs w:val="22"/>
          <w:lang w:val="sk-SK"/>
        </w:rPr>
        <w:t>, tinnitus, hypotenzi</w:t>
      </w:r>
      <w:r w:rsidR="00980DEF" w:rsidRPr="004B6827">
        <w:rPr>
          <w:szCs w:val="22"/>
          <w:lang w:val="sk-SK"/>
        </w:rPr>
        <w:t>u</w:t>
      </w:r>
      <w:r w:rsidR="00396A0D" w:rsidRPr="004B6827">
        <w:rPr>
          <w:szCs w:val="22"/>
          <w:lang w:val="sk-SK"/>
        </w:rPr>
        <w:t xml:space="preserve">, kašeľ, dyspnoe, </w:t>
      </w:r>
      <w:r w:rsidR="00980DEF" w:rsidRPr="004B6827">
        <w:rPr>
          <w:szCs w:val="22"/>
          <w:lang w:val="sk-SK"/>
        </w:rPr>
        <w:t xml:space="preserve">vracanie, dysgeúziu, </w:t>
      </w:r>
      <w:r w:rsidR="00396A0D" w:rsidRPr="004B6827">
        <w:rPr>
          <w:szCs w:val="22"/>
          <w:lang w:val="sk-SK"/>
        </w:rPr>
        <w:t>vyrážk</w:t>
      </w:r>
      <w:r w:rsidR="00980DEF" w:rsidRPr="004B6827">
        <w:rPr>
          <w:szCs w:val="22"/>
          <w:lang w:val="sk-SK"/>
        </w:rPr>
        <w:t>u</w:t>
      </w:r>
      <w:r w:rsidR="00396A0D" w:rsidRPr="004B6827">
        <w:rPr>
          <w:szCs w:val="22"/>
          <w:lang w:val="sk-SK"/>
        </w:rPr>
        <w:t>, pruritus, svalové kŕče, asténi</w:t>
      </w:r>
      <w:r w:rsidR="00980DEF" w:rsidRPr="004B6827">
        <w:rPr>
          <w:szCs w:val="22"/>
          <w:lang w:val="sk-SK"/>
        </w:rPr>
        <w:t>u</w:t>
      </w:r>
      <w:r w:rsidRPr="004B6827">
        <w:rPr>
          <w:szCs w:val="22"/>
          <w:lang w:val="sk-SK"/>
        </w:rPr>
        <w:t>.</w:t>
      </w:r>
    </w:p>
    <w:p w:rsidR="000F4A9B" w:rsidRPr="004B6827" w:rsidRDefault="000F4A9B" w:rsidP="000F4A9B">
      <w:pPr>
        <w:rPr>
          <w:szCs w:val="22"/>
          <w:lang w:val="sk-SK"/>
        </w:rPr>
      </w:pPr>
    </w:p>
    <w:p w:rsidR="000F4A9B" w:rsidRPr="004B6827" w:rsidRDefault="000F4A9B" w:rsidP="000F4A9B">
      <w:pPr>
        <w:rPr>
          <w:szCs w:val="22"/>
          <w:u w:val="single"/>
          <w:lang w:val="sk-SK"/>
        </w:rPr>
      </w:pPr>
      <w:r w:rsidRPr="004B6827">
        <w:rPr>
          <w:szCs w:val="22"/>
          <w:u w:val="single"/>
          <w:lang w:val="sk-SK"/>
        </w:rPr>
        <w:t>Tabuľkový zoznam nežiaducich reakcií</w:t>
      </w:r>
    </w:p>
    <w:p w:rsidR="000F4A9B" w:rsidRPr="004B6827" w:rsidRDefault="000F4A9B" w:rsidP="000F4A9B">
      <w:pPr>
        <w:rPr>
          <w:szCs w:val="22"/>
          <w:lang w:val="sk-SK"/>
        </w:rPr>
      </w:pPr>
      <w:r w:rsidRPr="004B6827">
        <w:rPr>
          <w:szCs w:val="22"/>
          <w:lang w:val="sk-SK"/>
        </w:rPr>
        <w:t xml:space="preserve">Počas liečby </w:t>
      </w:r>
      <w:r w:rsidR="00396A0D" w:rsidRPr="004B6827">
        <w:rPr>
          <w:szCs w:val="22"/>
          <w:lang w:val="sk-SK"/>
        </w:rPr>
        <w:t>atorvastatínom, perindoprilom a amlodipínom</w:t>
      </w:r>
      <w:r w:rsidRPr="004B6827">
        <w:rPr>
          <w:szCs w:val="22"/>
          <w:lang w:val="sk-SK"/>
        </w:rPr>
        <w:t xml:space="preserve"> podávaných samostatne boli pozorované nasledujúce nežiaduce účinky</w:t>
      </w:r>
      <w:r w:rsidRPr="004B6827">
        <w:rPr>
          <w:noProof/>
          <w:szCs w:val="22"/>
          <w:lang w:val="sk-SK" w:eastAsia="sk-SK"/>
        </w:rPr>
        <w:t xml:space="preserve">, ktoré sú </w:t>
      </w:r>
      <w:r w:rsidRPr="004B6827">
        <w:rPr>
          <w:szCs w:val="22"/>
          <w:lang w:val="sk-SK" w:eastAsia="sk-SK"/>
        </w:rPr>
        <w:t xml:space="preserve">zoradené v súlade s terminológiou </w:t>
      </w:r>
      <w:r w:rsidR="005A55B6" w:rsidRPr="004B6827">
        <w:rPr>
          <w:szCs w:val="22"/>
          <w:lang w:val="sk-SK" w:eastAsia="sk-SK"/>
        </w:rPr>
        <w:t>MedDRA</w:t>
      </w:r>
      <w:r w:rsidR="005A55B6" w:rsidRPr="004B6827" w:rsidDel="005A55B6">
        <w:rPr>
          <w:szCs w:val="22"/>
          <w:lang w:val="sk-SK" w:eastAsia="sk-SK"/>
        </w:rPr>
        <w:t xml:space="preserve"> </w:t>
      </w:r>
      <w:r w:rsidR="005A55B6" w:rsidRPr="004B6827">
        <w:rPr>
          <w:szCs w:val="22"/>
          <w:lang w:val="sk-SK" w:eastAsia="sk-SK"/>
        </w:rPr>
        <w:t xml:space="preserve">vzhľadom na </w:t>
      </w:r>
      <w:r w:rsidR="00980DEF" w:rsidRPr="004B6827">
        <w:rPr>
          <w:szCs w:val="22"/>
          <w:lang w:val="sk-SK" w:eastAsia="sk-SK"/>
        </w:rPr>
        <w:t xml:space="preserve">orgánové </w:t>
      </w:r>
      <w:r w:rsidRPr="004B6827">
        <w:rPr>
          <w:szCs w:val="22"/>
          <w:lang w:val="sk-SK" w:eastAsia="sk-SK"/>
        </w:rPr>
        <w:t>s</w:t>
      </w:r>
      <w:r w:rsidR="00980DEF" w:rsidRPr="004B6827">
        <w:rPr>
          <w:szCs w:val="22"/>
          <w:lang w:val="sk-SK" w:eastAsia="sk-SK"/>
        </w:rPr>
        <w:t>ystémy</w:t>
      </w:r>
      <w:r w:rsidRPr="004B6827">
        <w:rPr>
          <w:szCs w:val="22"/>
          <w:lang w:val="sk-SK" w:eastAsia="sk-SK"/>
        </w:rPr>
        <w:t xml:space="preserve"> a frekvenci</w:t>
      </w:r>
      <w:r w:rsidR="005A55B6" w:rsidRPr="004B6827">
        <w:rPr>
          <w:szCs w:val="22"/>
          <w:lang w:val="sk-SK" w:eastAsia="sk-SK"/>
        </w:rPr>
        <w:t>u</w:t>
      </w:r>
      <w:r w:rsidRPr="004B6827">
        <w:rPr>
          <w:szCs w:val="22"/>
          <w:lang w:val="sk-SK" w:eastAsia="sk-SK"/>
        </w:rPr>
        <w:t xml:space="preserve"> výskytu podľa nasledujúcej konvencie</w:t>
      </w:r>
      <w:r w:rsidRPr="004B6827">
        <w:rPr>
          <w:szCs w:val="22"/>
          <w:lang w:val="sk-SK"/>
        </w:rPr>
        <w:t xml:space="preserve">: </w:t>
      </w:r>
    </w:p>
    <w:p w:rsidR="000F4A9B" w:rsidRPr="004B6827" w:rsidRDefault="000F4A9B" w:rsidP="000F4A9B">
      <w:pPr>
        <w:rPr>
          <w:szCs w:val="22"/>
          <w:lang w:val="sk-SK"/>
        </w:rPr>
      </w:pPr>
      <w:r w:rsidRPr="004B6827">
        <w:rPr>
          <w:szCs w:val="22"/>
          <w:lang w:val="sk-SK"/>
        </w:rPr>
        <w:t>veľmi časté (≥1/10); časté (≥1/100 až &lt;1/10); menej časté (≥1/1 000 až &lt;1/100); zriedkavé (≥1/10 000 až &lt;1/1 000); veľmi zriedkavé (&lt;1/10 000)</w:t>
      </w:r>
      <w:r w:rsidR="005A55B6" w:rsidRPr="004B6827">
        <w:rPr>
          <w:szCs w:val="22"/>
          <w:lang w:val="sk-SK"/>
        </w:rPr>
        <w:t>;</w:t>
      </w:r>
      <w:r w:rsidRPr="004B6827">
        <w:rPr>
          <w:szCs w:val="22"/>
          <w:lang w:val="sk-SK"/>
        </w:rPr>
        <w:t xml:space="preserve"> neznáme (z dostupných údajov).</w:t>
      </w:r>
    </w:p>
    <w:p w:rsidR="000F4A9B" w:rsidRPr="004B6827" w:rsidRDefault="000F4A9B" w:rsidP="000F4A9B">
      <w:pPr>
        <w:tabs>
          <w:tab w:val="clear" w:pos="567"/>
        </w:tabs>
        <w:rPr>
          <w:szCs w:val="22"/>
          <w:lang w:val="sk-SK"/>
        </w:rPr>
      </w:pPr>
    </w:p>
    <w:tbl>
      <w:tblPr>
        <w:tblStyle w:val="Mriekatabuky"/>
        <w:tblW w:w="5000" w:type="pct"/>
        <w:tblLayout w:type="fixed"/>
        <w:tblLook w:val="04A0" w:firstRow="1" w:lastRow="0" w:firstColumn="1" w:lastColumn="0" w:noHBand="0" w:noVBand="1"/>
      </w:tblPr>
      <w:tblGrid>
        <w:gridCol w:w="1685"/>
        <w:gridCol w:w="2766"/>
        <w:gridCol w:w="1614"/>
        <w:gridCol w:w="1612"/>
        <w:gridCol w:w="1611"/>
      </w:tblGrid>
      <w:tr w:rsidR="006A6164" w:rsidRPr="004B6827" w:rsidTr="006A6164">
        <w:trPr>
          <w:cantSplit/>
          <w:trHeight w:val="273"/>
          <w:tblHeader/>
        </w:trPr>
        <w:tc>
          <w:tcPr>
            <w:tcW w:w="907" w:type="pct"/>
            <w:vMerge w:val="restart"/>
          </w:tcPr>
          <w:p w:rsidR="006A6164" w:rsidRPr="004B6827" w:rsidRDefault="006A6164" w:rsidP="006A6164">
            <w:pPr>
              <w:spacing w:line="240" w:lineRule="auto"/>
              <w:jc w:val="center"/>
              <w:rPr>
                <w:b/>
                <w:color w:val="000000"/>
                <w:szCs w:val="22"/>
                <w:lang w:val="sk-SK"/>
              </w:rPr>
            </w:pPr>
            <w:r w:rsidRPr="004B6827">
              <w:rPr>
                <w:b/>
                <w:bCs/>
                <w:iCs/>
                <w:szCs w:val="22"/>
                <w:lang w:val="sk-SK" w:eastAsia="sk-SK"/>
              </w:rPr>
              <w:t>Trieda orgánových systémov podľa MedDRA</w:t>
            </w:r>
          </w:p>
        </w:tc>
        <w:tc>
          <w:tcPr>
            <w:tcW w:w="1489" w:type="pct"/>
            <w:vMerge w:val="restart"/>
            <w:vAlign w:val="center"/>
            <w:hideMark/>
          </w:tcPr>
          <w:p w:rsidR="006A6164" w:rsidRPr="004B6827" w:rsidRDefault="006A6164" w:rsidP="006A6164">
            <w:pPr>
              <w:spacing w:line="240" w:lineRule="auto"/>
              <w:jc w:val="center"/>
              <w:rPr>
                <w:b/>
                <w:color w:val="000000"/>
                <w:szCs w:val="22"/>
                <w:lang w:val="sk-SK"/>
              </w:rPr>
            </w:pPr>
            <w:r w:rsidRPr="004B6827">
              <w:rPr>
                <w:b/>
                <w:bCs/>
                <w:iCs/>
                <w:szCs w:val="22"/>
                <w:lang w:val="sk-SK" w:eastAsia="sk-SK"/>
              </w:rPr>
              <w:t>Nežiaduce účinky</w:t>
            </w:r>
          </w:p>
        </w:tc>
        <w:tc>
          <w:tcPr>
            <w:tcW w:w="2604" w:type="pct"/>
            <w:gridSpan w:val="3"/>
          </w:tcPr>
          <w:p w:rsidR="006A6164" w:rsidRPr="004B6827" w:rsidRDefault="006A6164" w:rsidP="006A6164">
            <w:pPr>
              <w:shd w:val="clear" w:color="auto" w:fill="FFFFFF"/>
              <w:jc w:val="center"/>
              <w:rPr>
                <w:b/>
                <w:szCs w:val="22"/>
                <w:lang w:val="sk-SK"/>
              </w:rPr>
            </w:pPr>
            <w:r w:rsidRPr="004B6827">
              <w:rPr>
                <w:b/>
                <w:szCs w:val="22"/>
                <w:lang w:val="sk-SK"/>
              </w:rPr>
              <w:t>Frekvencia</w:t>
            </w:r>
          </w:p>
        </w:tc>
      </w:tr>
      <w:tr w:rsidR="006A6164" w:rsidRPr="004B6827" w:rsidTr="006A6164">
        <w:trPr>
          <w:cantSplit/>
          <w:trHeight w:val="273"/>
          <w:tblHeader/>
        </w:trPr>
        <w:tc>
          <w:tcPr>
            <w:tcW w:w="907" w:type="pct"/>
            <w:vMerge/>
          </w:tcPr>
          <w:p w:rsidR="006A6164" w:rsidRPr="004B6827" w:rsidRDefault="006A6164" w:rsidP="006A6164">
            <w:pPr>
              <w:shd w:val="clear" w:color="auto" w:fill="FFFFFF"/>
              <w:rPr>
                <w:b/>
                <w:szCs w:val="22"/>
                <w:lang w:val="sk-SK"/>
              </w:rPr>
            </w:pPr>
          </w:p>
        </w:tc>
        <w:tc>
          <w:tcPr>
            <w:tcW w:w="1489" w:type="pct"/>
            <w:vMerge/>
            <w:hideMark/>
          </w:tcPr>
          <w:p w:rsidR="006A6164" w:rsidRPr="004B6827" w:rsidRDefault="006A6164" w:rsidP="006A6164">
            <w:pPr>
              <w:shd w:val="clear" w:color="auto" w:fill="FFFFFF"/>
              <w:rPr>
                <w:szCs w:val="22"/>
                <w:lang w:val="sk-SK"/>
              </w:rPr>
            </w:pPr>
          </w:p>
        </w:tc>
        <w:tc>
          <w:tcPr>
            <w:tcW w:w="869" w:type="pct"/>
          </w:tcPr>
          <w:p w:rsidR="006A6164" w:rsidRPr="004B6827" w:rsidRDefault="006A6164" w:rsidP="006A6164">
            <w:pPr>
              <w:shd w:val="clear" w:color="auto" w:fill="FFFFFF"/>
              <w:jc w:val="center"/>
              <w:rPr>
                <w:b/>
                <w:szCs w:val="22"/>
                <w:lang w:val="sk-SK"/>
              </w:rPr>
            </w:pPr>
            <w:r w:rsidRPr="004B6827">
              <w:rPr>
                <w:b/>
                <w:szCs w:val="22"/>
                <w:lang w:val="sk-SK"/>
              </w:rPr>
              <w:t>Atorvastatín</w:t>
            </w:r>
          </w:p>
        </w:tc>
        <w:tc>
          <w:tcPr>
            <w:tcW w:w="868" w:type="pct"/>
          </w:tcPr>
          <w:p w:rsidR="006A6164" w:rsidRPr="004B6827" w:rsidRDefault="006A6164" w:rsidP="006A6164">
            <w:pPr>
              <w:shd w:val="clear" w:color="auto" w:fill="FFFFFF"/>
              <w:jc w:val="center"/>
              <w:rPr>
                <w:b/>
                <w:szCs w:val="22"/>
                <w:lang w:val="sk-SK"/>
              </w:rPr>
            </w:pPr>
            <w:r w:rsidRPr="004B6827">
              <w:rPr>
                <w:b/>
                <w:szCs w:val="22"/>
                <w:lang w:val="sk-SK"/>
              </w:rPr>
              <w:t>Perindopril</w:t>
            </w:r>
          </w:p>
        </w:tc>
        <w:tc>
          <w:tcPr>
            <w:tcW w:w="868" w:type="pct"/>
          </w:tcPr>
          <w:p w:rsidR="006A6164" w:rsidRPr="004B6827" w:rsidRDefault="006A6164" w:rsidP="006A6164">
            <w:pPr>
              <w:shd w:val="clear" w:color="auto" w:fill="FFFFFF"/>
              <w:jc w:val="center"/>
              <w:rPr>
                <w:b/>
                <w:szCs w:val="22"/>
                <w:lang w:val="sk-SK"/>
              </w:rPr>
            </w:pPr>
            <w:r w:rsidRPr="004B6827">
              <w:rPr>
                <w:b/>
                <w:szCs w:val="22"/>
                <w:lang w:val="sk-SK"/>
              </w:rPr>
              <w:t>Amlodipín</w:t>
            </w:r>
          </w:p>
        </w:tc>
      </w:tr>
      <w:tr w:rsidR="006A6164" w:rsidRPr="004B6827" w:rsidTr="006A6164">
        <w:trPr>
          <w:trHeight w:val="305"/>
        </w:trPr>
        <w:tc>
          <w:tcPr>
            <w:tcW w:w="907" w:type="pct"/>
            <w:vMerge w:val="restart"/>
          </w:tcPr>
          <w:p w:rsidR="006A6164" w:rsidRPr="00275323" w:rsidRDefault="006A6164" w:rsidP="006A6164">
            <w:pPr>
              <w:shd w:val="clear" w:color="auto" w:fill="FFFFFF"/>
              <w:rPr>
                <w:b/>
                <w:bCs/>
                <w:szCs w:val="22"/>
                <w:lang w:val="sk-SK"/>
              </w:rPr>
            </w:pPr>
            <w:r w:rsidRPr="004B6827">
              <w:rPr>
                <w:b/>
                <w:bCs/>
                <w:szCs w:val="22"/>
                <w:lang w:val="sk-SK"/>
              </w:rPr>
              <w:t>Infekcie a nákazy</w:t>
            </w:r>
          </w:p>
        </w:tc>
        <w:tc>
          <w:tcPr>
            <w:tcW w:w="1489" w:type="pct"/>
          </w:tcPr>
          <w:p w:rsidR="006A6164" w:rsidRPr="004B6827" w:rsidRDefault="006A6164" w:rsidP="006A6164">
            <w:pPr>
              <w:shd w:val="clear" w:color="auto" w:fill="FFFFFF"/>
              <w:rPr>
                <w:szCs w:val="22"/>
                <w:lang w:val="sk-SK"/>
              </w:rPr>
            </w:pPr>
            <w:r w:rsidRPr="004B6827">
              <w:rPr>
                <w:szCs w:val="22"/>
                <w:lang w:val="sk-SK"/>
              </w:rPr>
              <w:t>Nazofaryngitída</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05"/>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6A6164" w:rsidP="006A6164">
            <w:pPr>
              <w:shd w:val="clear" w:color="auto" w:fill="FFFFFF"/>
              <w:rPr>
                <w:szCs w:val="22"/>
                <w:lang w:val="sk-SK"/>
              </w:rPr>
            </w:pPr>
            <w:r w:rsidRPr="004B6827">
              <w:rPr>
                <w:szCs w:val="22"/>
                <w:lang w:val="sk-SK"/>
              </w:rPr>
              <w:t>Rinitída</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00"/>
        </w:trPr>
        <w:tc>
          <w:tcPr>
            <w:tcW w:w="907" w:type="pct"/>
            <w:vMerge w:val="restart"/>
          </w:tcPr>
          <w:p w:rsidR="006A6164" w:rsidRPr="004B6827" w:rsidRDefault="006A6164" w:rsidP="006A6164">
            <w:pPr>
              <w:shd w:val="clear" w:color="auto" w:fill="FFFFFF"/>
              <w:rPr>
                <w:b/>
                <w:bCs/>
                <w:szCs w:val="22"/>
                <w:lang w:val="sk-SK"/>
              </w:rPr>
            </w:pPr>
            <w:r w:rsidRPr="004B6827">
              <w:rPr>
                <w:b/>
                <w:bCs/>
                <w:iCs/>
                <w:lang w:val="sk-SK" w:eastAsia="sk-SK"/>
              </w:rPr>
              <w:t>Poruchy krvi a lymfatického systému</w:t>
            </w:r>
          </w:p>
        </w:tc>
        <w:tc>
          <w:tcPr>
            <w:tcW w:w="1489" w:type="pct"/>
            <w:hideMark/>
          </w:tcPr>
          <w:p w:rsidR="006A6164" w:rsidRPr="00275323" w:rsidRDefault="006A6164" w:rsidP="006A6164">
            <w:pPr>
              <w:shd w:val="clear" w:color="auto" w:fill="FFFFFF"/>
              <w:rPr>
                <w:szCs w:val="22"/>
                <w:lang w:val="sk-SK"/>
              </w:rPr>
            </w:pPr>
            <w:r w:rsidRPr="00275323">
              <w:rPr>
                <w:szCs w:val="22"/>
                <w:lang w:val="sk-SK"/>
              </w:rPr>
              <w:t>Trombocytopénia</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Zriedkavé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r>
      <w:tr w:rsidR="006A6164" w:rsidRPr="004B6827" w:rsidTr="006A6164">
        <w:trPr>
          <w:trHeight w:val="215"/>
        </w:trPr>
        <w:tc>
          <w:tcPr>
            <w:tcW w:w="907" w:type="pct"/>
            <w:vMerge/>
          </w:tcPr>
          <w:p w:rsidR="006A6164" w:rsidRPr="004B6827" w:rsidRDefault="006A6164" w:rsidP="006A6164">
            <w:pPr>
              <w:shd w:val="clear" w:color="auto" w:fill="FFFFFF"/>
              <w:rPr>
                <w:b/>
                <w:bCs/>
                <w:szCs w:val="22"/>
                <w:lang w:val="sk-SK"/>
              </w:rPr>
            </w:pPr>
          </w:p>
        </w:tc>
        <w:tc>
          <w:tcPr>
            <w:tcW w:w="1489" w:type="pct"/>
            <w:hideMark/>
          </w:tcPr>
          <w:p w:rsidR="006A6164" w:rsidRPr="004B6827" w:rsidRDefault="006A6164" w:rsidP="006A6164">
            <w:pPr>
              <w:shd w:val="clear" w:color="auto" w:fill="FFFFFF"/>
              <w:rPr>
                <w:szCs w:val="22"/>
                <w:lang w:val="sk-SK"/>
              </w:rPr>
            </w:pPr>
            <w:r w:rsidRPr="004B6827">
              <w:rPr>
                <w:szCs w:val="22"/>
                <w:lang w:val="sk-SK"/>
              </w:rPr>
              <w:t>Leukopénia/neutropénia</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r>
      <w:tr w:rsidR="006A6164" w:rsidRPr="004B6827" w:rsidTr="006A6164">
        <w:trPr>
          <w:trHeight w:val="226"/>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6A6164" w:rsidP="006A6164">
            <w:pPr>
              <w:shd w:val="clear" w:color="auto" w:fill="FFFFFF"/>
              <w:rPr>
                <w:szCs w:val="22"/>
                <w:lang w:val="sk-SK"/>
              </w:rPr>
            </w:pPr>
            <w:r w:rsidRPr="004B6827">
              <w:rPr>
                <w:szCs w:val="22"/>
                <w:lang w:val="sk-SK"/>
              </w:rPr>
              <w:t>Eozinofília</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r w:rsidR="006A6164"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226"/>
        </w:trPr>
        <w:tc>
          <w:tcPr>
            <w:tcW w:w="907" w:type="pct"/>
            <w:vMerge/>
          </w:tcPr>
          <w:p w:rsidR="006A6164" w:rsidRPr="004B6827" w:rsidRDefault="006A6164" w:rsidP="006A6164">
            <w:pPr>
              <w:shd w:val="clear" w:color="auto" w:fill="FFFFFF"/>
              <w:rPr>
                <w:b/>
                <w:bCs/>
                <w:szCs w:val="22"/>
                <w:lang w:val="sk-SK"/>
              </w:rPr>
            </w:pPr>
          </w:p>
        </w:tc>
        <w:tc>
          <w:tcPr>
            <w:tcW w:w="1489" w:type="pct"/>
            <w:hideMark/>
          </w:tcPr>
          <w:p w:rsidR="006A6164" w:rsidRPr="004B6827" w:rsidRDefault="006A6164" w:rsidP="006A6164">
            <w:pPr>
              <w:shd w:val="clear" w:color="auto" w:fill="FFFFFF"/>
              <w:rPr>
                <w:szCs w:val="22"/>
                <w:lang w:val="sk-SK"/>
              </w:rPr>
            </w:pPr>
            <w:r w:rsidRPr="004B6827">
              <w:rPr>
                <w:szCs w:val="22"/>
                <w:lang w:val="sk-SK"/>
              </w:rPr>
              <w:t>Agranulocytóza alebo pancytopénia</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559"/>
        </w:trPr>
        <w:tc>
          <w:tcPr>
            <w:tcW w:w="907" w:type="pct"/>
            <w:vMerge/>
          </w:tcPr>
          <w:p w:rsidR="006A6164" w:rsidRPr="004B6827" w:rsidRDefault="006A6164" w:rsidP="006A6164">
            <w:pPr>
              <w:shd w:val="clear" w:color="auto" w:fill="FFFFFF"/>
              <w:rPr>
                <w:b/>
                <w:bCs/>
                <w:szCs w:val="22"/>
                <w:lang w:val="sk-SK"/>
              </w:rPr>
            </w:pPr>
          </w:p>
        </w:tc>
        <w:tc>
          <w:tcPr>
            <w:tcW w:w="1489" w:type="pct"/>
            <w:hideMark/>
          </w:tcPr>
          <w:p w:rsidR="006A6164" w:rsidRPr="004B6827" w:rsidRDefault="006A6164" w:rsidP="00980DEF">
            <w:pPr>
              <w:shd w:val="clear" w:color="auto" w:fill="FFFFFF"/>
              <w:rPr>
                <w:szCs w:val="22"/>
                <w:lang w:val="sk-SK"/>
              </w:rPr>
            </w:pPr>
            <w:r w:rsidRPr="004B6827">
              <w:rPr>
                <w:bCs/>
                <w:iCs/>
                <w:szCs w:val="22"/>
                <w:lang w:val="sk-SK" w:eastAsia="sk-SK"/>
              </w:rPr>
              <w:t xml:space="preserve">Hemolytická anémia u pacientov s vrodenou deficienciou G-6PDH </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51"/>
        </w:trPr>
        <w:tc>
          <w:tcPr>
            <w:tcW w:w="907" w:type="pct"/>
            <w:vMerge/>
          </w:tcPr>
          <w:p w:rsidR="006A6164" w:rsidRPr="004B6827" w:rsidRDefault="006A6164" w:rsidP="006A6164">
            <w:pPr>
              <w:shd w:val="clear" w:color="auto" w:fill="FFFFFF"/>
              <w:rPr>
                <w:b/>
                <w:bCs/>
                <w:szCs w:val="22"/>
                <w:lang w:val="sk-SK"/>
              </w:rPr>
            </w:pPr>
          </w:p>
        </w:tc>
        <w:tc>
          <w:tcPr>
            <w:tcW w:w="1489" w:type="pct"/>
            <w:hideMark/>
          </w:tcPr>
          <w:p w:rsidR="006A6164" w:rsidRPr="004B6827" w:rsidRDefault="006A6164" w:rsidP="006A6164">
            <w:pPr>
              <w:shd w:val="clear" w:color="auto" w:fill="FFFFFF"/>
              <w:rPr>
                <w:szCs w:val="22"/>
                <w:lang w:val="sk-SK"/>
              </w:rPr>
            </w:pPr>
            <w:r w:rsidRPr="004B6827">
              <w:rPr>
                <w:bCs/>
                <w:iCs/>
                <w:lang w:val="sk-SK" w:eastAsia="sk-SK"/>
              </w:rPr>
              <w:t>Znížený hemoglobín a znížený hematokrit</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05"/>
        </w:trPr>
        <w:tc>
          <w:tcPr>
            <w:tcW w:w="907" w:type="pct"/>
            <w:vMerge w:val="restart"/>
          </w:tcPr>
          <w:p w:rsidR="006A6164" w:rsidRPr="004B6827" w:rsidRDefault="006A6164" w:rsidP="006A6164">
            <w:pPr>
              <w:shd w:val="clear" w:color="auto" w:fill="FFFFFF"/>
              <w:rPr>
                <w:b/>
                <w:bCs/>
                <w:szCs w:val="22"/>
                <w:lang w:val="sk-SK"/>
              </w:rPr>
            </w:pPr>
            <w:r w:rsidRPr="004B6827">
              <w:rPr>
                <w:b/>
                <w:bCs/>
                <w:iCs/>
                <w:lang w:val="sk-SK" w:eastAsia="sk-SK"/>
              </w:rPr>
              <w:t>Poruchy imunitného systému</w:t>
            </w:r>
          </w:p>
        </w:tc>
        <w:tc>
          <w:tcPr>
            <w:tcW w:w="1489" w:type="pct"/>
          </w:tcPr>
          <w:p w:rsidR="006A6164" w:rsidRPr="00275323" w:rsidRDefault="006A6164" w:rsidP="006A6164">
            <w:pPr>
              <w:shd w:val="clear" w:color="auto" w:fill="FFFFFF"/>
              <w:rPr>
                <w:szCs w:val="22"/>
                <w:lang w:val="sk-SK"/>
              </w:rPr>
            </w:pPr>
            <w:r w:rsidRPr="00275323">
              <w:rPr>
                <w:szCs w:val="22"/>
                <w:lang w:val="sk-SK"/>
              </w:rPr>
              <w:t xml:space="preserve">Alergické reakcie </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r>
      <w:tr w:rsidR="006A6164" w:rsidRPr="004B6827" w:rsidTr="006A6164">
        <w:trPr>
          <w:trHeight w:val="305"/>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6A6164" w:rsidP="006A6164">
            <w:pPr>
              <w:shd w:val="clear" w:color="auto" w:fill="FFFFFF"/>
              <w:rPr>
                <w:szCs w:val="22"/>
                <w:lang w:val="sk-SK"/>
              </w:rPr>
            </w:pPr>
            <w:r w:rsidRPr="004B6827">
              <w:rPr>
                <w:szCs w:val="22"/>
                <w:lang w:val="sk-SK"/>
              </w:rPr>
              <w:t xml:space="preserve">Anafylaxia </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227"/>
        </w:trPr>
        <w:tc>
          <w:tcPr>
            <w:tcW w:w="907" w:type="pct"/>
            <w:vMerge w:val="restart"/>
          </w:tcPr>
          <w:p w:rsidR="006A6164" w:rsidRPr="004B6827" w:rsidRDefault="006A6164" w:rsidP="006A6164">
            <w:pPr>
              <w:shd w:val="clear" w:color="auto" w:fill="FFFFFF"/>
              <w:rPr>
                <w:b/>
                <w:szCs w:val="22"/>
                <w:lang w:val="sk-SK"/>
              </w:rPr>
            </w:pPr>
            <w:r w:rsidRPr="004B6827">
              <w:rPr>
                <w:b/>
                <w:bCs/>
                <w:iCs/>
                <w:lang w:val="sk-SK" w:eastAsia="sk-SK"/>
              </w:rPr>
              <w:t>Poruchy metabolizmu a výživy</w:t>
            </w:r>
          </w:p>
        </w:tc>
        <w:tc>
          <w:tcPr>
            <w:tcW w:w="1489" w:type="pct"/>
          </w:tcPr>
          <w:p w:rsidR="006A6164" w:rsidRPr="00275323" w:rsidRDefault="006A6164" w:rsidP="006A6164">
            <w:pPr>
              <w:shd w:val="clear" w:color="auto" w:fill="FFFFFF"/>
              <w:rPr>
                <w:szCs w:val="22"/>
                <w:lang w:val="sk-SK"/>
              </w:rPr>
            </w:pPr>
            <w:r w:rsidRPr="00275323">
              <w:rPr>
                <w:szCs w:val="22"/>
                <w:lang w:val="sk-SK"/>
              </w:rPr>
              <w:t xml:space="preserve">Hyperglykémia </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r>
      <w:tr w:rsidR="006A6164" w:rsidRPr="004B6827" w:rsidTr="006A6164">
        <w:trPr>
          <w:trHeight w:val="283"/>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6A6164" w:rsidP="006A6164">
            <w:pPr>
              <w:shd w:val="clear" w:color="auto" w:fill="FFFFFF"/>
              <w:rPr>
                <w:szCs w:val="22"/>
                <w:lang w:val="sk-SK"/>
              </w:rPr>
            </w:pPr>
            <w:r w:rsidRPr="004B6827">
              <w:rPr>
                <w:szCs w:val="22"/>
                <w:lang w:val="sk-SK"/>
              </w:rPr>
              <w:t>Hypoglykémia</w:t>
            </w:r>
          </w:p>
        </w:tc>
        <w:tc>
          <w:tcPr>
            <w:tcW w:w="869" w:type="pct"/>
          </w:tcPr>
          <w:p w:rsidR="006A6164" w:rsidRPr="004B6827" w:rsidDel="00B64B2F"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r w:rsidR="006A6164"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05"/>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6A6164" w:rsidP="00392C28">
            <w:pPr>
              <w:shd w:val="clear" w:color="auto" w:fill="FFFFFF"/>
              <w:rPr>
                <w:szCs w:val="22"/>
                <w:lang w:val="sk-SK"/>
              </w:rPr>
            </w:pPr>
            <w:r w:rsidRPr="004B6827">
              <w:rPr>
                <w:szCs w:val="22"/>
                <w:lang w:val="sk-SK"/>
              </w:rPr>
              <w:t>Hyponatr</w:t>
            </w:r>
            <w:r w:rsidR="00392C28" w:rsidRPr="004B6827">
              <w:rPr>
                <w:szCs w:val="22"/>
                <w:lang w:val="sk-SK"/>
              </w:rPr>
              <w:t>ié</w:t>
            </w:r>
            <w:r w:rsidRPr="004B6827">
              <w:rPr>
                <w:szCs w:val="22"/>
                <w:lang w:val="sk-SK"/>
              </w:rPr>
              <w:t>mia</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r w:rsidR="006A6164"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05"/>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6A6164" w:rsidP="00BF4ADC">
            <w:pPr>
              <w:shd w:val="clear" w:color="auto" w:fill="FFFFFF"/>
              <w:rPr>
                <w:szCs w:val="22"/>
                <w:lang w:val="sk-SK"/>
              </w:rPr>
            </w:pPr>
            <w:r w:rsidRPr="004B6827">
              <w:rPr>
                <w:szCs w:val="22"/>
                <w:lang w:val="sk-SK"/>
              </w:rPr>
              <w:t>Hyperkal</w:t>
            </w:r>
            <w:r w:rsidR="00392C28" w:rsidRPr="004B6827">
              <w:rPr>
                <w:szCs w:val="22"/>
                <w:lang w:val="sk-SK"/>
              </w:rPr>
              <w:t>ié</w:t>
            </w:r>
            <w:r w:rsidRPr="004B6827">
              <w:rPr>
                <w:szCs w:val="22"/>
                <w:lang w:val="sk-SK"/>
              </w:rPr>
              <w:t xml:space="preserve">mia </w:t>
            </w:r>
            <w:r w:rsidR="002404CA" w:rsidRPr="004B6827">
              <w:rPr>
                <w:szCs w:val="22"/>
                <w:lang w:val="sk-SK"/>
              </w:rPr>
              <w:t xml:space="preserve">reverzibilná </w:t>
            </w:r>
            <w:r w:rsidR="00392C28" w:rsidRPr="004B6827">
              <w:rPr>
                <w:szCs w:val="22"/>
                <w:lang w:val="sk-SK"/>
              </w:rPr>
              <w:t>po ukončení liečby</w:t>
            </w:r>
            <w:r w:rsidRPr="004B6827">
              <w:rPr>
                <w:szCs w:val="22"/>
                <w:lang w:val="sk-SK"/>
              </w:rPr>
              <w:t xml:space="preserve"> (</w:t>
            </w:r>
            <w:r w:rsidR="00392C28" w:rsidRPr="004B6827">
              <w:rPr>
                <w:szCs w:val="22"/>
                <w:lang w:val="sk-SK"/>
              </w:rPr>
              <w:t xml:space="preserve">pozri </w:t>
            </w:r>
            <w:r w:rsidR="00BF4ADC" w:rsidRPr="004B6827">
              <w:rPr>
                <w:szCs w:val="22"/>
                <w:lang w:val="sk-SK"/>
              </w:rPr>
              <w:t>č</w:t>
            </w:r>
            <w:r w:rsidR="00392C28" w:rsidRPr="004B6827">
              <w:rPr>
                <w:szCs w:val="22"/>
                <w:lang w:val="sk-SK"/>
              </w:rPr>
              <w:t>as</w:t>
            </w:r>
            <w:r w:rsidR="00BF4ADC" w:rsidRPr="004B6827">
              <w:rPr>
                <w:szCs w:val="22"/>
                <w:lang w:val="sk-SK"/>
              </w:rPr>
              <w:t>ť</w:t>
            </w:r>
            <w:r w:rsidRPr="004B6827">
              <w:rPr>
                <w:szCs w:val="22"/>
                <w:lang w:val="sk-SK"/>
              </w:rPr>
              <w:t xml:space="preserve"> 4.4)</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r w:rsidR="006A6164"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05"/>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6A6164" w:rsidP="006A6164">
            <w:pPr>
              <w:shd w:val="clear" w:color="auto" w:fill="FFFFFF"/>
              <w:rPr>
                <w:szCs w:val="22"/>
                <w:lang w:val="sk-SK"/>
              </w:rPr>
            </w:pPr>
            <w:r w:rsidRPr="004B6827">
              <w:rPr>
                <w:szCs w:val="22"/>
                <w:lang w:val="sk-SK"/>
              </w:rPr>
              <w:t xml:space="preserve">Anorexia </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05"/>
        </w:trPr>
        <w:tc>
          <w:tcPr>
            <w:tcW w:w="907" w:type="pct"/>
            <w:vMerge w:val="restart"/>
          </w:tcPr>
          <w:p w:rsidR="006A6164" w:rsidRPr="004B6827" w:rsidRDefault="00392C28" w:rsidP="006A6164">
            <w:pPr>
              <w:shd w:val="clear" w:color="auto" w:fill="FFFFFF"/>
              <w:rPr>
                <w:b/>
                <w:szCs w:val="22"/>
                <w:lang w:val="sk-SK"/>
              </w:rPr>
            </w:pPr>
            <w:r w:rsidRPr="004B6827">
              <w:rPr>
                <w:b/>
                <w:bCs/>
                <w:iCs/>
                <w:lang w:val="sk-SK" w:eastAsia="sk-SK"/>
              </w:rPr>
              <w:t>Psychické poruchy</w:t>
            </w:r>
          </w:p>
        </w:tc>
        <w:tc>
          <w:tcPr>
            <w:tcW w:w="1489" w:type="pct"/>
          </w:tcPr>
          <w:p w:rsidR="006A6164" w:rsidRPr="00275323" w:rsidRDefault="006A6164" w:rsidP="006A6164">
            <w:pPr>
              <w:shd w:val="clear" w:color="auto" w:fill="FFFFFF"/>
              <w:rPr>
                <w:szCs w:val="22"/>
                <w:lang w:val="sk-SK"/>
              </w:rPr>
            </w:pPr>
            <w:r w:rsidRPr="00275323">
              <w:rPr>
                <w:szCs w:val="22"/>
                <w:lang w:val="sk-SK"/>
              </w:rPr>
              <w:t>Insomnia</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392C28" w:rsidP="006A6164">
            <w:pPr>
              <w:shd w:val="clear" w:color="auto" w:fill="FFFFFF"/>
              <w:rPr>
                <w:szCs w:val="22"/>
                <w:lang w:val="sk-SK"/>
              </w:rPr>
            </w:pPr>
            <w:r w:rsidRPr="004B6827">
              <w:rPr>
                <w:szCs w:val="22"/>
                <w:lang w:val="sk-SK"/>
              </w:rPr>
              <w:t>Zmeny nálad</w:t>
            </w:r>
            <w:r w:rsidR="006A6164" w:rsidRPr="004B6827">
              <w:rPr>
                <w:szCs w:val="22"/>
                <w:lang w:val="sk-SK"/>
              </w:rPr>
              <w:t xml:space="preserve"> </w:t>
            </w:r>
          </w:p>
        </w:tc>
        <w:tc>
          <w:tcPr>
            <w:tcW w:w="869" w:type="pct"/>
          </w:tcPr>
          <w:p w:rsidR="006A6164" w:rsidRPr="004B6827" w:rsidRDefault="006A6164" w:rsidP="006A6164">
            <w:pPr>
              <w:shd w:val="clear" w:color="auto" w:fill="FFFFFF"/>
              <w:tabs>
                <w:tab w:val="clear" w:pos="567"/>
                <w:tab w:val="left" w:pos="0"/>
              </w:tabs>
              <w:autoSpaceDE w:val="0"/>
              <w:autoSpaceDN w:val="0"/>
              <w:adjustRightInd w:val="0"/>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autoSpaceDE w:val="0"/>
              <w:autoSpaceDN w:val="0"/>
              <w:adjustRightInd w:val="0"/>
              <w:ind w:left="720" w:hanging="686"/>
              <w:jc w:val="center"/>
              <w:rPr>
                <w:szCs w:val="22"/>
                <w:lang w:val="sk-SK"/>
              </w:rPr>
            </w:pPr>
            <w:r w:rsidRPr="004B6827">
              <w:rPr>
                <w:szCs w:val="22"/>
                <w:lang w:val="sk-SK"/>
              </w:rPr>
              <w:t>Menej časté</w:t>
            </w:r>
          </w:p>
        </w:tc>
        <w:tc>
          <w:tcPr>
            <w:tcW w:w="868" w:type="pct"/>
          </w:tcPr>
          <w:p w:rsidR="006A6164" w:rsidRPr="004B6827" w:rsidRDefault="008A2948" w:rsidP="006A6164">
            <w:pPr>
              <w:shd w:val="clear" w:color="auto" w:fill="FFFFFF"/>
              <w:autoSpaceDE w:val="0"/>
              <w:autoSpaceDN w:val="0"/>
              <w:adjustRightInd w:val="0"/>
              <w:ind w:left="720" w:hanging="686"/>
              <w:jc w:val="center"/>
              <w:rPr>
                <w:szCs w:val="22"/>
                <w:lang w:val="sk-SK"/>
              </w:rPr>
            </w:pPr>
            <w:r w:rsidRPr="004B6827">
              <w:rPr>
                <w:szCs w:val="22"/>
                <w:lang w:val="sk-SK"/>
              </w:rPr>
              <w:t>Menej časté</w:t>
            </w:r>
          </w:p>
        </w:tc>
      </w:tr>
      <w:tr w:rsidR="006A6164" w:rsidRPr="004B6827" w:rsidTr="006A6164">
        <w:trPr>
          <w:trHeight w:val="305"/>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392C28" w:rsidP="006A6164">
            <w:pPr>
              <w:shd w:val="clear" w:color="auto" w:fill="FFFFFF"/>
              <w:rPr>
                <w:szCs w:val="22"/>
                <w:lang w:val="sk-SK"/>
              </w:rPr>
            </w:pPr>
            <w:r w:rsidRPr="004B6827">
              <w:rPr>
                <w:szCs w:val="22"/>
                <w:lang w:val="sk-SK"/>
              </w:rPr>
              <w:t>Porucha spánku</w:t>
            </w:r>
          </w:p>
        </w:tc>
        <w:tc>
          <w:tcPr>
            <w:tcW w:w="869" w:type="pct"/>
          </w:tcPr>
          <w:p w:rsidR="006A6164" w:rsidRPr="004B6827" w:rsidRDefault="006A6164" w:rsidP="006A6164">
            <w:pPr>
              <w:shd w:val="clear" w:color="auto" w:fill="FFFFFF"/>
              <w:jc w:val="center"/>
              <w:rPr>
                <w:szCs w:val="22"/>
                <w:lang w:val="sk-SK"/>
              </w:rPr>
            </w:pP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392C28">
            <w:pPr>
              <w:shd w:val="clear" w:color="auto" w:fill="FFFFFF"/>
              <w:rPr>
                <w:szCs w:val="22"/>
                <w:lang w:val="sk-SK"/>
              </w:rPr>
            </w:pPr>
            <w:r w:rsidRPr="004B6827">
              <w:rPr>
                <w:szCs w:val="22"/>
                <w:lang w:val="sk-SK"/>
              </w:rPr>
              <w:t>Depres</w:t>
            </w:r>
            <w:r w:rsidR="00392C28" w:rsidRPr="004B6827">
              <w:rPr>
                <w:szCs w:val="22"/>
                <w:lang w:val="sk-SK"/>
              </w:rPr>
              <w:t>ia</w:t>
            </w:r>
            <w:r w:rsidRPr="004B6827">
              <w:rPr>
                <w:szCs w:val="22"/>
                <w:lang w:val="sk-SK"/>
              </w:rPr>
              <w:t xml:space="preserve"> </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392C28" w:rsidP="006A6164">
            <w:pPr>
              <w:shd w:val="clear" w:color="auto" w:fill="FFFFFF"/>
              <w:rPr>
                <w:szCs w:val="22"/>
                <w:lang w:val="sk-SK"/>
              </w:rPr>
            </w:pPr>
            <w:r w:rsidRPr="004B6827">
              <w:rPr>
                <w:szCs w:val="22"/>
                <w:lang w:val="sk-SK"/>
              </w:rPr>
              <w:t>Nočné mory</w:t>
            </w:r>
            <w:r w:rsidR="006A6164" w:rsidRPr="004B6827">
              <w:rPr>
                <w:szCs w:val="22"/>
                <w:lang w:val="sk-SK"/>
              </w:rPr>
              <w:t xml:space="preserve"> </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392C28" w:rsidP="006A6164">
            <w:pPr>
              <w:shd w:val="clear" w:color="auto" w:fill="FFFFFF"/>
              <w:rPr>
                <w:szCs w:val="22"/>
                <w:lang w:val="sk-SK"/>
              </w:rPr>
            </w:pPr>
            <w:r w:rsidRPr="004B6827">
              <w:rPr>
                <w:szCs w:val="22"/>
                <w:lang w:val="sk-SK"/>
              </w:rPr>
              <w:t>Zmätenosť</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Zriedkavé</w:t>
            </w:r>
          </w:p>
        </w:tc>
      </w:tr>
      <w:tr w:rsidR="006A6164" w:rsidRPr="004B6827" w:rsidTr="006A6164">
        <w:trPr>
          <w:trHeight w:val="305"/>
        </w:trPr>
        <w:tc>
          <w:tcPr>
            <w:tcW w:w="907" w:type="pct"/>
            <w:vMerge w:val="restart"/>
          </w:tcPr>
          <w:p w:rsidR="006A6164" w:rsidRPr="004B6827" w:rsidRDefault="00392C28" w:rsidP="006A6164">
            <w:pPr>
              <w:shd w:val="clear" w:color="auto" w:fill="FFFFFF"/>
              <w:rPr>
                <w:b/>
                <w:szCs w:val="22"/>
                <w:lang w:val="sk-SK"/>
              </w:rPr>
            </w:pPr>
            <w:r w:rsidRPr="004B6827">
              <w:rPr>
                <w:b/>
                <w:bCs/>
                <w:iCs/>
                <w:lang w:val="sk-SK" w:eastAsia="sk-SK"/>
              </w:rPr>
              <w:t>Poruchy nervového systému</w:t>
            </w:r>
          </w:p>
        </w:tc>
        <w:tc>
          <w:tcPr>
            <w:tcW w:w="1489" w:type="pct"/>
          </w:tcPr>
          <w:p w:rsidR="006A6164" w:rsidRPr="00275323" w:rsidRDefault="006A6164" w:rsidP="00392C28">
            <w:pPr>
              <w:shd w:val="clear" w:color="auto" w:fill="FFFFFF"/>
              <w:rPr>
                <w:szCs w:val="22"/>
                <w:lang w:val="sk-SK"/>
              </w:rPr>
            </w:pPr>
            <w:r w:rsidRPr="00275323">
              <w:rPr>
                <w:szCs w:val="22"/>
                <w:lang w:val="sk-SK"/>
              </w:rPr>
              <w:t>Somnolenc</w:t>
            </w:r>
            <w:r w:rsidR="00392C28" w:rsidRPr="00275323">
              <w:rPr>
                <w:szCs w:val="22"/>
                <w:lang w:val="sk-SK"/>
              </w:rPr>
              <w:t>ia</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r w:rsidR="006A6164"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Časté</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392C28" w:rsidP="006A6164">
            <w:pPr>
              <w:shd w:val="clear" w:color="auto" w:fill="FFFFFF"/>
              <w:rPr>
                <w:szCs w:val="22"/>
                <w:lang w:val="sk-SK"/>
              </w:rPr>
            </w:pPr>
            <w:r w:rsidRPr="004B6827">
              <w:rPr>
                <w:szCs w:val="22"/>
                <w:lang w:val="sk-SK"/>
              </w:rPr>
              <w:t>Závrat</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Časté</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392C28" w:rsidP="006A6164">
            <w:pPr>
              <w:shd w:val="clear" w:color="auto" w:fill="FFFFFF"/>
              <w:rPr>
                <w:szCs w:val="22"/>
                <w:lang w:val="sk-SK"/>
              </w:rPr>
            </w:pPr>
            <w:r w:rsidRPr="004B6827">
              <w:rPr>
                <w:szCs w:val="22"/>
                <w:lang w:val="sk-SK"/>
              </w:rPr>
              <w:t>Bolesť hlavy</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Časté</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6A6164">
            <w:pPr>
              <w:shd w:val="clear" w:color="auto" w:fill="FFFFFF"/>
              <w:rPr>
                <w:szCs w:val="22"/>
                <w:lang w:val="sk-SK"/>
              </w:rPr>
            </w:pPr>
            <w:r w:rsidRPr="004B6827">
              <w:rPr>
                <w:szCs w:val="22"/>
                <w:lang w:val="sk-SK"/>
              </w:rPr>
              <w:t>Tremor</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392C28">
            <w:pPr>
              <w:shd w:val="clear" w:color="auto" w:fill="FFFFFF"/>
              <w:rPr>
                <w:szCs w:val="22"/>
                <w:lang w:val="sk-SK"/>
              </w:rPr>
            </w:pPr>
            <w:r w:rsidRPr="004B6827">
              <w:rPr>
                <w:szCs w:val="22"/>
                <w:lang w:val="sk-SK"/>
              </w:rPr>
              <w:t>Dysge</w:t>
            </w:r>
            <w:r w:rsidR="00392C28" w:rsidRPr="004B6827">
              <w:rPr>
                <w:szCs w:val="22"/>
                <w:lang w:val="sk-SK"/>
              </w:rPr>
              <w:t>úz</w:t>
            </w:r>
            <w:r w:rsidRPr="004B6827">
              <w:rPr>
                <w:szCs w:val="22"/>
                <w:lang w:val="sk-SK"/>
              </w:rPr>
              <w:t xml:space="preserve">ia </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392C28">
            <w:pPr>
              <w:shd w:val="clear" w:color="auto" w:fill="FFFFFF"/>
              <w:rPr>
                <w:szCs w:val="22"/>
                <w:lang w:val="sk-SK"/>
              </w:rPr>
            </w:pPr>
            <w:r w:rsidRPr="004B6827">
              <w:rPr>
                <w:szCs w:val="22"/>
                <w:lang w:val="sk-SK"/>
              </w:rPr>
              <w:t>Syn</w:t>
            </w:r>
            <w:r w:rsidR="00392C28" w:rsidRPr="004B6827">
              <w:rPr>
                <w:szCs w:val="22"/>
                <w:lang w:val="sk-SK"/>
              </w:rPr>
              <w:t>kopa</w:t>
            </w:r>
            <w:r w:rsidRPr="004B6827">
              <w:rPr>
                <w:szCs w:val="22"/>
                <w:lang w:val="sk-SK"/>
              </w:rPr>
              <w:t xml:space="preserve"> </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r w:rsidR="006A6164"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392C28" w:rsidP="00392C28">
            <w:pPr>
              <w:shd w:val="clear" w:color="auto" w:fill="FFFFFF"/>
              <w:rPr>
                <w:szCs w:val="22"/>
                <w:lang w:val="sk-SK"/>
              </w:rPr>
            </w:pPr>
            <w:r w:rsidRPr="004B6827">
              <w:rPr>
                <w:szCs w:val="22"/>
                <w:lang w:val="sk-SK"/>
              </w:rPr>
              <w:t>Hyp</w:t>
            </w:r>
            <w:r w:rsidR="006A6164" w:rsidRPr="004B6827">
              <w:rPr>
                <w:szCs w:val="22"/>
                <w:lang w:val="sk-SK"/>
              </w:rPr>
              <w:t>es</w:t>
            </w:r>
            <w:r w:rsidRPr="004B6827">
              <w:rPr>
                <w:szCs w:val="22"/>
                <w:lang w:val="sk-SK"/>
              </w:rPr>
              <w:t>tézia</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392C28">
            <w:pPr>
              <w:shd w:val="clear" w:color="auto" w:fill="FFFFFF"/>
              <w:rPr>
                <w:szCs w:val="22"/>
                <w:lang w:val="sk-SK"/>
              </w:rPr>
            </w:pPr>
            <w:r w:rsidRPr="004B6827">
              <w:rPr>
                <w:szCs w:val="22"/>
                <w:lang w:val="sk-SK"/>
              </w:rPr>
              <w:t>Parest</w:t>
            </w:r>
            <w:r w:rsidR="00392C28" w:rsidRPr="004B6827">
              <w:rPr>
                <w:szCs w:val="22"/>
                <w:lang w:val="sk-SK"/>
              </w:rPr>
              <w:t>ézia</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6A6164">
            <w:pPr>
              <w:shd w:val="clear" w:color="auto" w:fill="FFFFFF"/>
              <w:rPr>
                <w:szCs w:val="22"/>
                <w:lang w:val="sk-SK"/>
              </w:rPr>
            </w:pPr>
            <w:r w:rsidRPr="004B6827">
              <w:rPr>
                <w:szCs w:val="22"/>
                <w:lang w:val="sk-SK"/>
              </w:rPr>
              <w:t>Vertigo</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392C28" w:rsidP="00392C28">
            <w:pPr>
              <w:shd w:val="clear" w:color="auto" w:fill="FFFFFF"/>
              <w:rPr>
                <w:szCs w:val="22"/>
                <w:lang w:val="sk-SK"/>
              </w:rPr>
            </w:pPr>
            <w:r w:rsidRPr="004B6827">
              <w:rPr>
                <w:bCs/>
                <w:iCs/>
                <w:lang w:val="sk-SK" w:eastAsia="sk-SK"/>
              </w:rPr>
              <w:t>Zvýšený svalový tonus</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392C28" w:rsidP="00392C28">
            <w:pPr>
              <w:shd w:val="clear" w:color="auto" w:fill="FFFFFF"/>
              <w:rPr>
                <w:szCs w:val="22"/>
                <w:lang w:val="sk-SK"/>
              </w:rPr>
            </w:pPr>
            <w:r w:rsidRPr="004B6827">
              <w:rPr>
                <w:bCs/>
                <w:iCs/>
                <w:lang w:val="sk-SK" w:eastAsia="sk-SK"/>
              </w:rPr>
              <w:t>Periférna neuropatia</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Zriedkavé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392C28">
            <w:pPr>
              <w:shd w:val="clear" w:color="auto" w:fill="FFFFFF"/>
              <w:rPr>
                <w:szCs w:val="22"/>
                <w:lang w:val="sk-SK"/>
              </w:rPr>
            </w:pPr>
            <w:r w:rsidRPr="004B6827">
              <w:rPr>
                <w:szCs w:val="22"/>
                <w:lang w:val="sk-SK"/>
              </w:rPr>
              <w:t>Amn</w:t>
            </w:r>
            <w:r w:rsidR="00392C28" w:rsidRPr="004B6827">
              <w:rPr>
                <w:szCs w:val="22"/>
                <w:lang w:val="sk-SK"/>
              </w:rPr>
              <w:t>ézia</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51"/>
        </w:trPr>
        <w:tc>
          <w:tcPr>
            <w:tcW w:w="907" w:type="pct"/>
            <w:vMerge w:val="restart"/>
          </w:tcPr>
          <w:p w:rsidR="006A6164" w:rsidRPr="004B6827" w:rsidRDefault="00392C28" w:rsidP="006A6164">
            <w:pPr>
              <w:shd w:val="clear" w:color="auto" w:fill="FFFFFF"/>
              <w:rPr>
                <w:b/>
                <w:szCs w:val="22"/>
                <w:lang w:val="sk-SK"/>
              </w:rPr>
            </w:pPr>
            <w:r w:rsidRPr="004B6827">
              <w:rPr>
                <w:b/>
                <w:bCs/>
                <w:iCs/>
                <w:lang w:val="sk-SK" w:eastAsia="sk-SK"/>
              </w:rPr>
              <w:t>Poruchy oka</w:t>
            </w:r>
          </w:p>
        </w:tc>
        <w:tc>
          <w:tcPr>
            <w:tcW w:w="1489" w:type="pct"/>
          </w:tcPr>
          <w:p w:rsidR="006A6164" w:rsidRPr="00275323" w:rsidRDefault="00392C28" w:rsidP="006A6164">
            <w:pPr>
              <w:shd w:val="clear" w:color="auto" w:fill="FFFFFF"/>
              <w:rPr>
                <w:szCs w:val="22"/>
                <w:lang w:val="sk-SK"/>
              </w:rPr>
            </w:pPr>
            <w:r w:rsidRPr="004B6827">
              <w:rPr>
                <w:szCs w:val="22"/>
                <w:lang w:val="sk-SK"/>
              </w:rPr>
              <w:t>Zrakové poruchy</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Zriedkavé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392C28" w:rsidP="006A6164">
            <w:pPr>
              <w:shd w:val="clear" w:color="auto" w:fill="FFFFFF"/>
              <w:rPr>
                <w:szCs w:val="22"/>
                <w:lang w:val="sk-SK"/>
              </w:rPr>
            </w:pPr>
            <w:r w:rsidRPr="004B6827">
              <w:rPr>
                <w:color w:val="000000"/>
                <w:szCs w:val="22"/>
                <w:lang w:val="sk-SK"/>
              </w:rPr>
              <w:t>Rozmazané videnie</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51"/>
        </w:trPr>
        <w:tc>
          <w:tcPr>
            <w:tcW w:w="907" w:type="pct"/>
            <w:vMerge w:val="restart"/>
          </w:tcPr>
          <w:p w:rsidR="006A6164" w:rsidRPr="004B6827" w:rsidRDefault="00747231" w:rsidP="006A6164">
            <w:pPr>
              <w:shd w:val="clear" w:color="auto" w:fill="FFFFFF"/>
              <w:rPr>
                <w:b/>
                <w:bCs/>
                <w:szCs w:val="22"/>
                <w:lang w:val="sk-SK"/>
              </w:rPr>
            </w:pPr>
            <w:r w:rsidRPr="004B6827">
              <w:rPr>
                <w:b/>
                <w:bCs/>
                <w:iCs/>
                <w:lang w:val="sk-SK" w:eastAsia="sk-SK"/>
              </w:rPr>
              <w:t>Poruchy ucha a labyrintu</w:t>
            </w:r>
          </w:p>
        </w:tc>
        <w:tc>
          <w:tcPr>
            <w:tcW w:w="1489" w:type="pct"/>
            <w:hideMark/>
          </w:tcPr>
          <w:p w:rsidR="006A6164" w:rsidRPr="00275323" w:rsidRDefault="006A6164" w:rsidP="006A6164">
            <w:pPr>
              <w:shd w:val="clear" w:color="auto" w:fill="FFFFFF"/>
              <w:rPr>
                <w:szCs w:val="22"/>
                <w:lang w:val="sk-SK"/>
              </w:rPr>
            </w:pPr>
            <w:r w:rsidRPr="00275323">
              <w:rPr>
                <w:szCs w:val="22"/>
                <w:lang w:val="sk-SK"/>
              </w:rPr>
              <w:t>Tinnitus</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hideMark/>
          </w:tcPr>
          <w:p w:rsidR="006A6164" w:rsidRPr="004B6827" w:rsidRDefault="00392C28" w:rsidP="006A6164">
            <w:pPr>
              <w:shd w:val="clear" w:color="auto" w:fill="FFFFFF"/>
              <w:rPr>
                <w:szCs w:val="22"/>
                <w:lang w:val="sk-SK"/>
              </w:rPr>
            </w:pPr>
            <w:r w:rsidRPr="004B6827">
              <w:rPr>
                <w:szCs w:val="22"/>
                <w:lang w:val="sk-SK"/>
              </w:rPr>
              <w:t>Strata sluchu</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806"/>
        </w:trPr>
        <w:tc>
          <w:tcPr>
            <w:tcW w:w="907" w:type="pct"/>
            <w:vMerge w:val="restart"/>
          </w:tcPr>
          <w:p w:rsidR="006A6164" w:rsidRPr="004B6827" w:rsidRDefault="00747231" w:rsidP="006A6164">
            <w:pPr>
              <w:shd w:val="clear" w:color="auto" w:fill="FFFFFF"/>
              <w:rPr>
                <w:b/>
                <w:szCs w:val="22"/>
                <w:lang w:val="sk-SK"/>
              </w:rPr>
            </w:pPr>
            <w:r w:rsidRPr="004B6827">
              <w:rPr>
                <w:b/>
                <w:bCs/>
                <w:iCs/>
                <w:lang w:val="sk-SK" w:eastAsia="sk-SK"/>
              </w:rPr>
              <w:t>Poruchy srdca a srdcovej činnosti</w:t>
            </w:r>
          </w:p>
        </w:tc>
        <w:tc>
          <w:tcPr>
            <w:tcW w:w="1489" w:type="pct"/>
          </w:tcPr>
          <w:p w:rsidR="006A6164" w:rsidRPr="004B6827" w:rsidRDefault="00392C28" w:rsidP="006A6164">
            <w:pPr>
              <w:shd w:val="clear" w:color="auto" w:fill="FFFFFF"/>
              <w:rPr>
                <w:szCs w:val="22"/>
                <w:lang w:val="sk-SK"/>
              </w:rPr>
            </w:pPr>
            <w:r w:rsidRPr="00275323">
              <w:rPr>
                <w:bCs/>
                <w:iCs/>
                <w:lang w:val="sk-SK" w:eastAsia="sk-SK"/>
              </w:rPr>
              <w:t xml:space="preserve">Infarkt myokardu </w:t>
            </w:r>
            <w:r w:rsidRPr="004B6827">
              <w:rPr>
                <w:lang w:val="sk-SK" w:eastAsia="sk-SK"/>
              </w:rPr>
              <w:t>pravdepodobne sekundárny v dôsledku nadmernej hypotenzie u vysokorizikových pacientov</w:t>
            </w:r>
            <w:r w:rsidRPr="004B6827">
              <w:rPr>
                <w:bCs/>
                <w:iCs/>
                <w:lang w:val="sk-SK" w:eastAsia="sk-SK"/>
              </w:rPr>
              <w:t xml:space="preserve"> (pozri časť 4.4)</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392C28">
            <w:pPr>
              <w:shd w:val="clear" w:color="auto" w:fill="FFFFFF"/>
              <w:rPr>
                <w:szCs w:val="22"/>
                <w:lang w:val="sk-SK"/>
              </w:rPr>
            </w:pPr>
            <w:r w:rsidRPr="004B6827">
              <w:rPr>
                <w:szCs w:val="22"/>
                <w:lang w:val="sk-SK"/>
              </w:rPr>
              <w:t>Angina pectoris (</w:t>
            </w:r>
            <w:r w:rsidR="00392C28" w:rsidRPr="004B6827">
              <w:rPr>
                <w:szCs w:val="22"/>
                <w:lang w:val="sk-SK"/>
              </w:rPr>
              <w:t>pozri časť</w:t>
            </w:r>
            <w:r w:rsidRPr="004B6827">
              <w:rPr>
                <w:szCs w:val="22"/>
                <w:lang w:val="sk-SK"/>
              </w:rPr>
              <w:t xml:space="preserve"> 4.4)</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392C28">
            <w:pPr>
              <w:shd w:val="clear" w:color="auto" w:fill="FFFFFF"/>
              <w:rPr>
                <w:szCs w:val="22"/>
                <w:lang w:val="sk-SK"/>
              </w:rPr>
            </w:pPr>
            <w:r w:rsidRPr="004B6827">
              <w:rPr>
                <w:szCs w:val="22"/>
                <w:lang w:val="sk-SK"/>
              </w:rPr>
              <w:t>Arytmia</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r>
      <w:tr w:rsidR="006A6164" w:rsidRPr="004B6827" w:rsidTr="006A6164">
        <w:trPr>
          <w:trHeight w:val="351"/>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392C28" w:rsidP="006A6164">
            <w:pPr>
              <w:shd w:val="clear" w:color="auto" w:fill="FFFFFF"/>
              <w:rPr>
                <w:szCs w:val="22"/>
                <w:lang w:val="sk-SK"/>
              </w:rPr>
            </w:pPr>
            <w:r w:rsidRPr="004B6827">
              <w:rPr>
                <w:szCs w:val="22"/>
                <w:lang w:val="sk-SK"/>
              </w:rPr>
              <w:t>Tachyk</w:t>
            </w:r>
            <w:r w:rsidR="006A6164" w:rsidRPr="004B6827">
              <w:rPr>
                <w:szCs w:val="22"/>
                <w:lang w:val="sk-SK"/>
              </w:rPr>
              <w:t>ardia</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r w:rsidR="006A6164"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392C28">
            <w:pPr>
              <w:shd w:val="clear" w:color="auto" w:fill="FFFFFF"/>
              <w:rPr>
                <w:szCs w:val="22"/>
                <w:lang w:val="sk-SK"/>
              </w:rPr>
            </w:pPr>
            <w:r w:rsidRPr="004B6827">
              <w:rPr>
                <w:szCs w:val="22"/>
                <w:lang w:val="sk-SK"/>
              </w:rPr>
              <w:t>Palpit</w:t>
            </w:r>
            <w:r w:rsidR="00392C28" w:rsidRPr="004B6827">
              <w:rPr>
                <w:szCs w:val="22"/>
                <w:lang w:val="sk-SK"/>
              </w:rPr>
              <w:t>ácie</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r w:rsidR="006A6164"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Časté</w:t>
            </w:r>
          </w:p>
        </w:tc>
      </w:tr>
      <w:tr w:rsidR="006A6164" w:rsidRPr="004B6827" w:rsidTr="006A6164">
        <w:trPr>
          <w:trHeight w:val="305"/>
        </w:trPr>
        <w:tc>
          <w:tcPr>
            <w:tcW w:w="907" w:type="pct"/>
            <w:vMerge w:val="restart"/>
          </w:tcPr>
          <w:p w:rsidR="006A6164" w:rsidRPr="004B6827" w:rsidRDefault="00747231" w:rsidP="006A6164">
            <w:pPr>
              <w:shd w:val="clear" w:color="auto" w:fill="FFFFFF"/>
              <w:rPr>
                <w:b/>
                <w:szCs w:val="22"/>
                <w:lang w:val="sk-SK"/>
              </w:rPr>
            </w:pPr>
            <w:r w:rsidRPr="004B6827">
              <w:rPr>
                <w:b/>
                <w:bCs/>
                <w:iCs/>
                <w:lang w:val="sk-SK" w:eastAsia="sk-SK"/>
              </w:rPr>
              <w:t>Poruchy ciev</w:t>
            </w:r>
          </w:p>
        </w:tc>
        <w:tc>
          <w:tcPr>
            <w:tcW w:w="1489" w:type="pct"/>
          </w:tcPr>
          <w:p w:rsidR="006A6164" w:rsidRPr="004B6827" w:rsidRDefault="006A6164" w:rsidP="00392C28">
            <w:pPr>
              <w:shd w:val="clear" w:color="auto" w:fill="FFFFFF"/>
              <w:rPr>
                <w:szCs w:val="22"/>
                <w:lang w:val="sk-SK"/>
              </w:rPr>
            </w:pPr>
            <w:r w:rsidRPr="004B6827">
              <w:rPr>
                <w:szCs w:val="22"/>
                <w:lang w:val="sk-SK"/>
              </w:rPr>
              <w:t>Hypoten</w:t>
            </w:r>
            <w:r w:rsidR="00392C28" w:rsidRPr="00275323">
              <w:rPr>
                <w:szCs w:val="22"/>
                <w:lang w:val="sk-SK"/>
              </w:rPr>
              <w:t>zia</w:t>
            </w:r>
            <w:r w:rsidRPr="00275323">
              <w:rPr>
                <w:szCs w:val="22"/>
                <w:lang w:val="sk-SK"/>
              </w:rPr>
              <w:t xml:space="preserve"> (</w:t>
            </w:r>
            <w:r w:rsidR="00392C28" w:rsidRPr="00275323">
              <w:rPr>
                <w:bCs/>
                <w:iCs/>
                <w:lang w:val="sk-SK" w:eastAsia="sk-SK"/>
              </w:rPr>
              <w:t>a účinky súvisiace s hypotenziou</w:t>
            </w:r>
            <w:r w:rsidRPr="004B6827">
              <w:rPr>
                <w:szCs w:val="22"/>
                <w:lang w:val="sk-SK"/>
              </w:rPr>
              <w:t>)</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392C28">
            <w:pPr>
              <w:shd w:val="clear" w:color="auto" w:fill="FFFFFF"/>
              <w:rPr>
                <w:szCs w:val="22"/>
                <w:lang w:val="sk-SK"/>
              </w:rPr>
            </w:pPr>
            <w:r w:rsidRPr="004B6827">
              <w:rPr>
                <w:szCs w:val="22"/>
                <w:lang w:val="sk-SK"/>
              </w:rPr>
              <w:t>Vas</w:t>
            </w:r>
            <w:r w:rsidR="00392C28" w:rsidRPr="004B6827">
              <w:rPr>
                <w:szCs w:val="22"/>
                <w:lang w:val="sk-SK"/>
              </w:rPr>
              <w:t>k</w:t>
            </w:r>
            <w:r w:rsidRPr="004B6827">
              <w:rPr>
                <w:szCs w:val="22"/>
                <w:lang w:val="sk-SK"/>
              </w:rPr>
              <w:t>ulit</w:t>
            </w:r>
            <w:r w:rsidR="00392C28" w:rsidRPr="004B6827">
              <w:rPr>
                <w:szCs w:val="22"/>
                <w:lang w:val="sk-SK"/>
              </w:rPr>
              <w:t>ída</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r w:rsidR="006A6164"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r>
      <w:tr w:rsidR="006A6164" w:rsidRPr="004B6827" w:rsidTr="006A6164">
        <w:trPr>
          <w:trHeight w:val="620"/>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392C28" w:rsidP="006A6164">
            <w:pPr>
              <w:shd w:val="clear" w:color="auto" w:fill="FFFFFF"/>
              <w:rPr>
                <w:szCs w:val="22"/>
                <w:lang w:val="sk-SK"/>
              </w:rPr>
            </w:pPr>
            <w:r w:rsidRPr="004B6827">
              <w:rPr>
                <w:bCs/>
                <w:iCs/>
                <w:lang w:val="sk-SK" w:eastAsia="sk-SK"/>
              </w:rPr>
              <w:t>Cievna mozgová príhoda, pravdepodobne sekundárna v dôsledku nadmernej hypotenzie u vysokorizikových pacientov (pozri časť 4.4)</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747231" w:rsidP="006A6164">
            <w:pPr>
              <w:shd w:val="clear" w:color="auto" w:fill="FFFFFF"/>
              <w:rPr>
                <w:szCs w:val="22"/>
                <w:lang w:val="sk-SK"/>
              </w:rPr>
            </w:pPr>
            <w:r w:rsidRPr="004B6827">
              <w:rPr>
                <w:szCs w:val="22"/>
                <w:lang w:val="sk-SK"/>
              </w:rPr>
              <w:t>Sčervenanie</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Časté</w:t>
            </w:r>
          </w:p>
        </w:tc>
      </w:tr>
      <w:tr w:rsidR="006A6164" w:rsidRPr="004B6827" w:rsidTr="006A6164">
        <w:trPr>
          <w:trHeight w:val="305"/>
        </w:trPr>
        <w:tc>
          <w:tcPr>
            <w:tcW w:w="907" w:type="pct"/>
            <w:vMerge w:val="restart"/>
          </w:tcPr>
          <w:p w:rsidR="006A6164" w:rsidRPr="004B6827" w:rsidRDefault="00747231" w:rsidP="006A6164">
            <w:pPr>
              <w:shd w:val="clear" w:color="auto" w:fill="FFFFFF"/>
              <w:rPr>
                <w:b/>
                <w:szCs w:val="22"/>
                <w:lang w:val="sk-SK"/>
              </w:rPr>
            </w:pPr>
            <w:r w:rsidRPr="004B6827">
              <w:rPr>
                <w:b/>
                <w:bCs/>
                <w:iCs/>
                <w:lang w:val="sk-SK" w:eastAsia="sk-SK"/>
              </w:rPr>
              <w:t>Poruchy dýchacej sústavy, hrudníka a mediastína</w:t>
            </w:r>
          </w:p>
        </w:tc>
        <w:tc>
          <w:tcPr>
            <w:tcW w:w="1489" w:type="pct"/>
          </w:tcPr>
          <w:p w:rsidR="006A6164" w:rsidRPr="004B6827" w:rsidRDefault="00747231" w:rsidP="00747231">
            <w:pPr>
              <w:shd w:val="clear" w:color="auto" w:fill="FFFFFF"/>
              <w:rPr>
                <w:szCs w:val="22"/>
                <w:lang w:val="sk-SK"/>
              </w:rPr>
            </w:pPr>
            <w:r w:rsidRPr="00275323">
              <w:rPr>
                <w:szCs w:val="22"/>
                <w:lang w:val="sk-SK"/>
              </w:rPr>
              <w:t>Faryngolaryng</w:t>
            </w:r>
            <w:r w:rsidR="00B74EC8" w:rsidRPr="00275323">
              <w:rPr>
                <w:szCs w:val="22"/>
                <w:lang w:val="sk-SK"/>
              </w:rPr>
              <w:t>e</w:t>
            </w:r>
            <w:r w:rsidRPr="00275323">
              <w:rPr>
                <w:szCs w:val="22"/>
                <w:lang w:val="sk-SK"/>
              </w:rPr>
              <w:t>álna bolesť</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05"/>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6A6164" w:rsidP="00747231">
            <w:pPr>
              <w:shd w:val="clear" w:color="auto" w:fill="FFFFFF"/>
              <w:rPr>
                <w:szCs w:val="22"/>
                <w:lang w:val="sk-SK"/>
              </w:rPr>
            </w:pPr>
            <w:r w:rsidRPr="004B6827">
              <w:rPr>
                <w:szCs w:val="22"/>
                <w:lang w:val="sk-SK"/>
              </w:rPr>
              <w:t>Epista</w:t>
            </w:r>
            <w:r w:rsidR="00747231" w:rsidRPr="004B6827">
              <w:rPr>
                <w:szCs w:val="22"/>
                <w:lang w:val="sk-SK"/>
              </w:rPr>
              <w:t>xa</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05"/>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747231" w:rsidP="00747231">
            <w:pPr>
              <w:shd w:val="clear" w:color="auto" w:fill="FFFFFF"/>
              <w:rPr>
                <w:szCs w:val="22"/>
                <w:lang w:val="sk-SK"/>
              </w:rPr>
            </w:pPr>
            <w:r w:rsidRPr="004B6827">
              <w:rPr>
                <w:szCs w:val="22"/>
                <w:lang w:val="sk-SK"/>
              </w:rPr>
              <w:t>Kašeľ</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r>
      <w:tr w:rsidR="006A6164" w:rsidRPr="004B6827" w:rsidTr="006A6164">
        <w:trPr>
          <w:trHeight w:val="305"/>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6A6164" w:rsidP="00747231">
            <w:pPr>
              <w:shd w:val="clear" w:color="auto" w:fill="FFFFFF"/>
              <w:rPr>
                <w:szCs w:val="22"/>
                <w:lang w:val="sk-SK"/>
              </w:rPr>
            </w:pPr>
            <w:r w:rsidRPr="004B6827">
              <w:rPr>
                <w:szCs w:val="22"/>
                <w:lang w:val="sk-SK"/>
              </w:rPr>
              <w:t>Dyspnoe</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05"/>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6A6164" w:rsidP="00747231">
            <w:pPr>
              <w:shd w:val="clear" w:color="auto" w:fill="FFFFFF"/>
              <w:rPr>
                <w:szCs w:val="22"/>
                <w:lang w:val="sk-SK"/>
              </w:rPr>
            </w:pPr>
            <w:r w:rsidRPr="004B6827">
              <w:rPr>
                <w:szCs w:val="22"/>
                <w:lang w:val="sk-SK"/>
              </w:rPr>
              <w:t>Bronchospa</w:t>
            </w:r>
            <w:r w:rsidR="00747231" w:rsidRPr="004B6827">
              <w:rPr>
                <w:szCs w:val="22"/>
                <w:lang w:val="sk-SK"/>
              </w:rPr>
              <w:t>zmus</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05"/>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6A6164" w:rsidP="00747231">
            <w:pPr>
              <w:shd w:val="clear" w:color="auto" w:fill="FFFFFF"/>
              <w:rPr>
                <w:szCs w:val="22"/>
                <w:lang w:val="sk-SK"/>
              </w:rPr>
            </w:pPr>
            <w:r w:rsidRPr="004B6827">
              <w:rPr>
                <w:szCs w:val="22"/>
                <w:lang w:val="sk-SK"/>
              </w:rPr>
              <w:t>Eo</w:t>
            </w:r>
            <w:r w:rsidR="00747231" w:rsidRPr="004B6827">
              <w:rPr>
                <w:szCs w:val="22"/>
                <w:lang w:val="sk-SK"/>
              </w:rPr>
              <w:t>z</w:t>
            </w:r>
            <w:r w:rsidRPr="004B6827">
              <w:rPr>
                <w:szCs w:val="22"/>
                <w:lang w:val="sk-SK"/>
              </w:rPr>
              <w:t>ino</w:t>
            </w:r>
            <w:r w:rsidR="00747231" w:rsidRPr="004B6827">
              <w:rPr>
                <w:szCs w:val="22"/>
                <w:lang w:val="sk-SK"/>
              </w:rPr>
              <w:t>filná pneumó</w:t>
            </w:r>
            <w:r w:rsidRPr="004B6827">
              <w:rPr>
                <w:szCs w:val="22"/>
                <w:lang w:val="sk-SK"/>
              </w:rPr>
              <w:t>nia</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51"/>
        </w:trPr>
        <w:tc>
          <w:tcPr>
            <w:tcW w:w="907" w:type="pct"/>
            <w:vMerge w:val="restart"/>
          </w:tcPr>
          <w:p w:rsidR="006A6164" w:rsidRPr="004B6827" w:rsidRDefault="00747231" w:rsidP="006A6164">
            <w:pPr>
              <w:shd w:val="clear" w:color="auto" w:fill="FFFFFF"/>
              <w:rPr>
                <w:b/>
                <w:szCs w:val="22"/>
                <w:lang w:val="sk-SK"/>
              </w:rPr>
            </w:pPr>
            <w:r w:rsidRPr="004B6827">
              <w:rPr>
                <w:b/>
                <w:bCs/>
                <w:iCs/>
                <w:lang w:val="sk-SK" w:eastAsia="sk-SK"/>
              </w:rPr>
              <w:t>Poruchy gastrointestinálneho traktu</w:t>
            </w:r>
          </w:p>
        </w:tc>
        <w:tc>
          <w:tcPr>
            <w:tcW w:w="1489" w:type="pct"/>
          </w:tcPr>
          <w:p w:rsidR="006A6164" w:rsidRPr="00275323" w:rsidRDefault="006A6164" w:rsidP="00747231">
            <w:pPr>
              <w:shd w:val="clear" w:color="auto" w:fill="FFFFFF"/>
              <w:rPr>
                <w:szCs w:val="22"/>
                <w:lang w:val="sk-SK"/>
              </w:rPr>
            </w:pPr>
            <w:r w:rsidRPr="00275323">
              <w:rPr>
                <w:szCs w:val="22"/>
                <w:lang w:val="sk-SK"/>
              </w:rPr>
              <w:t>Nau</w:t>
            </w:r>
            <w:r w:rsidR="00747231" w:rsidRPr="00275323">
              <w:rPr>
                <w:szCs w:val="22"/>
                <w:lang w:val="sk-SK"/>
              </w:rPr>
              <w:t>zea</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Časté</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747231">
            <w:pPr>
              <w:shd w:val="clear" w:color="auto" w:fill="FFFFFF"/>
              <w:rPr>
                <w:szCs w:val="22"/>
                <w:lang w:val="sk-SK"/>
              </w:rPr>
            </w:pPr>
            <w:r w:rsidRPr="004B6827">
              <w:rPr>
                <w:szCs w:val="22"/>
                <w:lang w:val="sk-SK"/>
              </w:rPr>
              <w:t>V</w:t>
            </w:r>
            <w:r w:rsidR="00747231" w:rsidRPr="004B6827">
              <w:rPr>
                <w:szCs w:val="22"/>
                <w:lang w:val="sk-SK"/>
              </w:rPr>
              <w:t>racanie</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747231" w:rsidP="006A6164">
            <w:pPr>
              <w:shd w:val="clear" w:color="auto" w:fill="FFFFFF"/>
              <w:rPr>
                <w:szCs w:val="22"/>
                <w:lang w:val="sk-SK"/>
              </w:rPr>
            </w:pPr>
            <w:r w:rsidRPr="004B6827">
              <w:rPr>
                <w:szCs w:val="22"/>
                <w:lang w:val="sk-SK"/>
              </w:rPr>
              <w:t>Bolesť v hornej a dolnej časti brucha</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Časté</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747231">
            <w:pPr>
              <w:shd w:val="clear" w:color="auto" w:fill="FFFFFF"/>
              <w:rPr>
                <w:szCs w:val="22"/>
                <w:lang w:val="sk-SK"/>
              </w:rPr>
            </w:pPr>
            <w:r w:rsidRPr="004B6827">
              <w:rPr>
                <w:szCs w:val="22"/>
                <w:lang w:val="sk-SK"/>
              </w:rPr>
              <w:t>Dyspepsia</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747231" w:rsidP="006A6164">
            <w:pPr>
              <w:shd w:val="clear" w:color="auto" w:fill="FFFFFF"/>
              <w:rPr>
                <w:szCs w:val="22"/>
                <w:lang w:val="sk-SK"/>
              </w:rPr>
            </w:pPr>
            <w:r w:rsidRPr="004B6827">
              <w:rPr>
                <w:szCs w:val="22"/>
                <w:lang w:val="sk-SK"/>
              </w:rPr>
              <w:t>Hnačka</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747231" w:rsidP="006A6164">
            <w:pPr>
              <w:shd w:val="clear" w:color="auto" w:fill="FFFFFF"/>
              <w:rPr>
                <w:szCs w:val="22"/>
                <w:lang w:val="sk-SK"/>
              </w:rPr>
            </w:pPr>
            <w:r w:rsidRPr="004B6827">
              <w:rPr>
                <w:szCs w:val="22"/>
                <w:lang w:val="sk-SK"/>
              </w:rPr>
              <w:t>Zápcha</w:t>
            </w:r>
            <w:r w:rsidR="006A6164" w:rsidRPr="004B6827">
              <w:rPr>
                <w:szCs w:val="22"/>
                <w:lang w:val="sk-SK"/>
              </w:rPr>
              <w:t xml:space="preserve"> </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747231" w:rsidP="006A6164">
            <w:pPr>
              <w:shd w:val="clear" w:color="auto" w:fill="FFFFFF"/>
              <w:rPr>
                <w:szCs w:val="22"/>
                <w:lang w:val="sk-SK"/>
              </w:rPr>
            </w:pPr>
            <w:r w:rsidRPr="004B6827">
              <w:rPr>
                <w:szCs w:val="22"/>
                <w:lang w:val="sk-SK"/>
              </w:rPr>
              <w:t>Sucho v ústach</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747231">
            <w:pPr>
              <w:shd w:val="clear" w:color="auto" w:fill="FFFFFF"/>
              <w:rPr>
                <w:szCs w:val="22"/>
                <w:lang w:val="sk-SK"/>
              </w:rPr>
            </w:pPr>
            <w:r w:rsidRPr="004B6827">
              <w:rPr>
                <w:szCs w:val="22"/>
                <w:lang w:val="sk-SK"/>
              </w:rPr>
              <w:t>Pan</w:t>
            </w:r>
            <w:r w:rsidR="00747231" w:rsidRPr="004B6827">
              <w:rPr>
                <w:szCs w:val="22"/>
                <w:lang w:val="sk-SK"/>
              </w:rPr>
              <w:t>k</w:t>
            </w:r>
            <w:r w:rsidRPr="004B6827">
              <w:rPr>
                <w:szCs w:val="22"/>
                <w:lang w:val="sk-SK"/>
              </w:rPr>
              <w:t>reatit</w:t>
            </w:r>
            <w:r w:rsidR="00747231" w:rsidRPr="004B6827">
              <w:rPr>
                <w:szCs w:val="22"/>
                <w:lang w:val="sk-SK"/>
              </w:rPr>
              <w:t>ída</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747231">
            <w:pPr>
              <w:shd w:val="clear" w:color="auto" w:fill="FFFFFF"/>
              <w:rPr>
                <w:szCs w:val="22"/>
                <w:lang w:val="sk-SK"/>
              </w:rPr>
            </w:pPr>
            <w:r w:rsidRPr="004B6827">
              <w:rPr>
                <w:szCs w:val="22"/>
                <w:lang w:val="sk-SK"/>
              </w:rPr>
              <w:t>Gastrit</w:t>
            </w:r>
            <w:r w:rsidR="00747231" w:rsidRPr="004B6827">
              <w:rPr>
                <w:szCs w:val="22"/>
                <w:lang w:val="sk-SK"/>
              </w:rPr>
              <w:t>ída</w:t>
            </w:r>
            <w:r w:rsidRPr="004B6827">
              <w:rPr>
                <w:szCs w:val="22"/>
                <w:lang w:val="sk-SK"/>
              </w:rPr>
              <w:t xml:space="preserve"> </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747231" w:rsidP="00747231">
            <w:pPr>
              <w:shd w:val="clear" w:color="auto" w:fill="FFFFFF"/>
              <w:rPr>
                <w:szCs w:val="22"/>
                <w:lang w:val="sk-SK"/>
              </w:rPr>
            </w:pPr>
            <w:r w:rsidRPr="004B6827">
              <w:rPr>
                <w:bCs/>
                <w:iCs/>
                <w:lang w:val="sk-SK" w:eastAsia="sk-SK"/>
              </w:rPr>
              <w:t>Gingiválna hyperplázia</w:t>
            </w:r>
          </w:p>
        </w:tc>
        <w:tc>
          <w:tcPr>
            <w:tcW w:w="869" w:type="pct"/>
          </w:tcPr>
          <w:p w:rsidR="006A6164" w:rsidRPr="004B6827" w:rsidRDefault="006A6164" w:rsidP="006A6164">
            <w:pPr>
              <w:shd w:val="clear" w:color="auto" w:fill="FFFFFF"/>
              <w:autoSpaceDE w:val="0"/>
              <w:autoSpaceDN w:val="0"/>
              <w:adjustRightInd w:val="0"/>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autoSpaceDE w:val="0"/>
              <w:autoSpaceDN w:val="0"/>
              <w:adjustRightInd w:val="0"/>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autoSpaceDE w:val="0"/>
              <w:autoSpaceDN w:val="0"/>
              <w:adjustRightInd w:val="0"/>
              <w:jc w:val="center"/>
              <w:rPr>
                <w:szCs w:val="22"/>
                <w:lang w:val="sk-SK"/>
              </w:rPr>
            </w:pPr>
            <w:r w:rsidRPr="004B6827">
              <w:rPr>
                <w:szCs w:val="22"/>
                <w:lang w:val="sk-SK"/>
              </w:rPr>
              <w:t>Veľmi zriedkavé</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072349" w:rsidP="00072349">
            <w:pPr>
              <w:shd w:val="clear" w:color="auto" w:fill="FFFFFF"/>
              <w:rPr>
                <w:szCs w:val="22"/>
                <w:lang w:val="sk-SK"/>
              </w:rPr>
            </w:pPr>
            <w:r w:rsidRPr="004B6827">
              <w:rPr>
                <w:bCs/>
                <w:iCs/>
                <w:lang w:val="sk-SK" w:eastAsia="sk-SK"/>
              </w:rPr>
              <w:t>Porucha činnosti čriev</w:t>
            </w:r>
            <w:r w:rsidR="006A6164" w:rsidRPr="004B6827">
              <w:rPr>
                <w:szCs w:val="22"/>
                <w:lang w:val="sk-SK"/>
              </w:rPr>
              <w:t xml:space="preserve"> (</w:t>
            </w:r>
            <w:r w:rsidRPr="004B6827">
              <w:rPr>
                <w:szCs w:val="22"/>
                <w:lang w:val="sk-SK"/>
              </w:rPr>
              <w:t>vrátane hnačky a zápchy</w:t>
            </w:r>
            <w:r w:rsidR="006A6164" w:rsidRPr="004B6827">
              <w:rPr>
                <w:szCs w:val="22"/>
                <w:lang w:val="sk-SK"/>
              </w:rPr>
              <w:t>)</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072349">
            <w:pPr>
              <w:shd w:val="clear" w:color="auto" w:fill="FFFFFF"/>
              <w:rPr>
                <w:szCs w:val="22"/>
                <w:lang w:val="sk-SK"/>
              </w:rPr>
            </w:pPr>
            <w:r w:rsidRPr="004B6827">
              <w:rPr>
                <w:szCs w:val="22"/>
                <w:lang w:val="sk-SK"/>
              </w:rPr>
              <w:t>Eru</w:t>
            </w:r>
            <w:r w:rsidR="00072349" w:rsidRPr="004B6827">
              <w:rPr>
                <w:szCs w:val="22"/>
                <w:lang w:val="sk-SK"/>
              </w:rPr>
              <w:t>ktácia</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072349">
            <w:pPr>
              <w:shd w:val="clear" w:color="auto" w:fill="FFFFFF"/>
              <w:rPr>
                <w:szCs w:val="22"/>
                <w:lang w:val="sk-SK"/>
              </w:rPr>
            </w:pPr>
            <w:r w:rsidRPr="004B6827">
              <w:rPr>
                <w:szCs w:val="22"/>
                <w:lang w:val="sk-SK"/>
              </w:rPr>
              <w:t>Flatulenc</w:t>
            </w:r>
            <w:r w:rsidR="00072349" w:rsidRPr="004B6827">
              <w:rPr>
                <w:szCs w:val="22"/>
                <w:lang w:val="sk-SK"/>
              </w:rPr>
              <w:t>ia</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51"/>
        </w:trPr>
        <w:tc>
          <w:tcPr>
            <w:tcW w:w="907" w:type="pct"/>
            <w:vMerge w:val="restart"/>
          </w:tcPr>
          <w:p w:rsidR="006A6164" w:rsidRPr="004B6827" w:rsidRDefault="00747231" w:rsidP="006A6164">
            <w:pPr>
              <w:shd w:val="clear" w:color="auto" w:fill="FFFFFF"/>
              <w:rPr>
                <w:b/>
                <w:szCs w:val="22"/>
                <w:lang w:val="sk-SK"/>
              </w:rPr>
            </w:pPr>
            <w:r w:rsidRPr="004B6827">
              <w:rPr>
                <w:b/>
                <w:bCs/>
                <w:iCs/>
                <w:lang w:val="sk-SK" w:eastAsia="sk-SK"/>
              </w:rPr>
              <w:t>Poruchy pečene a žlčových ciest</w:t>
            </w:r>
          </w:p>
        </w:tc>
        <w:tc>
          <w:tcPr>
            <w:tcW w:w="1489" w:type="pct"/>
          </w:tcPr>
          <w:p w:rsidR="006A6164" w:rsidRPr="004B6827" w:rsidRDefault="006A6164" w:rsidP="00072349">
            <w:pPr>
              <w:shd w:val="clear" w:color="auto" w:fill="FFFFFF"/>
              <w:rPr>
                <w:szCs w:val="22"/>
                <w:lang w:val="sk-SK"/>
              </w:rPr>
            </w:pPr>
            <w:r w:rsidRPr="00275323">
              <w:rPr>
                <w:szCs w:val="22"/>
                <w:lang w:val="sk-SK"/>
              </w:rPr>
              <w:t>Hepatit</w:t>
            </w:r>
            <w:r w:rsidR="00072349" w:rsidRPr="00275323">
              <w:rPr>
                <w:szCs w:val="22"/>
                <w:lang w:val="sk-SK"/>
              </w:rPr>
              <w:t xml:space="preserve">ída buď cytolytická alebo </w:t>
            </w:r>
            <w:r w:rsidRPr="004B6827">
              <w:rPr>
                <w:szCs w:val="22"/>
                <w:lang w:val="sk-SK"/>
              </w:rPr>
              <w:t>cholestatic</w:t>
            </w:r>
            <w:r w:rsidR="00072349" w:rsidRPr="004B6827">
              <w:rPr>
                <w:szCs w:val="22"/>
                <w:lang w:val="sk-SK"/>
              </w:rPr>
              <w:t>ká</w:t>
            </w:r>
            <w:r w:rsidRPr="004B6827">
              <w:rPr>
                <w:szCs w:val="22"/>
                <w:lang w:val="sk-SK"/>
              </w:rPr>
              <w:t xml:space="preserve"> (</w:t>
            </w:r>
            <w:r w:rsidR="00072349" w:rsidRPr="004B6827">
              <w:rPr>
                <w:szCs w:val="22"/>
                <w:lang w:val="sk-SK"/>
              </w:rPr>
              <w:t>pozri</w:t>
            </w:r>
            <w:r w:rsidRPr="004B6827">
              <w:rPr>
                <w:szCs w:val="22"/>
                <w:lang w:val="sk-SK"/>
              </w:rPr>
              <w:t xml:space="preserve"> </w:t>
            </w:r>
            <w:r w:rsidR="00072349" w:rsidRPr="004B6827">
              <w:rPr>
                <w:szCs w:val="22"/>
                <w:lang w:val="sk-SK"/>
              </w:rPr>
              <w:t>časť</w:t>
            </w:r>
            <w:r w:rsidRPr="004B6827">
              <w:rPr>
                <w:szCs w:val="22"/>
                <w:lang w:val="sk-SK"/>
              </w:rPr>
              <w:t xml:space="preserve"> 4.4)</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072349" w:rsidP="006A6164">
            <w:pPr>
              <w:shd w:val="clear" w:color="auto" w:fill="FFFFFF"/>
              <w:rPr>
                <w:szCs w:val="22"/>
                <w:lang w:val="sk-SK"/>
              </w:rPr>
            </w:pPr>
            <w:r w:rsidRPr="004B6827">
              <w:rPr>
                <w:szCs w:val="22"/>
                <w:lang w:val="sk-SK"/>
              </w:rPr>
              <w:t>Žltačka</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072349">
            <w:pPr>
              <w:shd w:val="clear" w:color="auto" w:fill="FFFFFF"/>
              <w:rPr>
                <w:szCs w:val="22"/>
                <w:lang w:val="sk-SK"/>
              </w:rPr>
            </w:pPr>
            <w:r w:rsidRPr="004B6827">
              <w:rPr>
                <w:szCs w:val="22"/>
                <w:lang w:val="sk-SK"/>
              </w:rPr>
              <w:t>Cholest</w:t>
            </w:r>
            <w:r w:rsidR="00072349" w:rsidRPr="004B6827">
              <w:rPr>
                <w:szCs w:val="22"/>
                <w:lang w:val="sk-SK"/>
              </w:rPr>
              <w:t>áza</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Zriedkavé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83ED9">
        <w:trPr>
          <w:trHeight w:val="351"/>
        </w:trPr>
        <w:tc>
          <w:tcPr>
            <w:tcW w:w="907" w:type="pct"/>
            <w:vMerge/>
            <w:tcBorders>
              <w:bottom w:val="single" w:sz="4" w:space="0" w:color="auto"/>
            </w:tcBorders>
          </w:tcPr>
          <w:p w:rsidR="006A6164" w:rsidRPr="004B6827" w:rsidRDefault="006A6164" w:rsidP="006A6164">
            <w:pPr>
              <w:shd w:val="clear" w:color="auto" w:fill="FFFFFF"/>
              <w:rPr>
                <w:b/>
                <w:szCs w:val="22"/>
                <w:lang w:val="sk-SK"/>
              </w:rPr>
            </w:pPr>
          </w:p>
        </w:tc>
        <w:tc>
          <w:tcPr>
            <w:tcW w:w="1489" w:type="pct"/>
            <w:tcBorders>
              <w:bottom w:val="single" w:sz="4" w:space="0" w:color="auto"/>
            </w:tcBorders>
          </w:tcPr>
          <w:p w:rsidR="006A6164" w:rsidRPr="004B6827" w:rsidRDefault="00072349" w:rsidP="006A6164">
            <w:pPr>
              <w:shd w:val="clear" w:color="auto" w:fill="FFFFFF"/>
              <w:rPr>
                <w:szCs w:val="22"/>
                <w:lang w:val="sk-SK"/>
              </w:rPr>
            </w:pPr>
            <w:r w:rsidRPr="004B6827">
              <w:rPr>
                <w:szCs w:val="22"/>
                <w:lang w:val="sk-SK"/>
              </w:rPr>
              <w:t>Zlyhanie pečene</w:t>
            </w:r>
          </w:p>
        </w:tc>
        <w:tc>
          <w:tcPr>
            <w:tcW w:w="869" w:type="pct"/>
            <w:tcBorders>
              <w:bottom w:val="single" w:sz="4" w:space="0" w:color="auto"/>
            </w:tcBorders>
          </w:tcPr>
          <w:p w:rsidR="006A6164" w:rsidRPr="004B6827" w:rsidRDefault="008A2948" w:rsidP="006A6164">
            <w:pPr>
              <w:shd w:val="clear" w:color="auto" w:fill="FFFFFF"/>
              <w:jc w:val="center"/>
              <w:rPr>
                <w:szCs w:val="22"/>
                <w:lang w:val="sk-SK"/>
              </w:rPr>
            </w:pPr>
            <w:r w:rsidRPr="004B6827">
              <w:rPr>
                <w:szCs w:val="22"/>
                <w:lang w:val="sk-SK"/>
              </w:rPr>
              <w:t>Veľmi zriedkavé</w:t>
            </w:r>
          </w:p>
        </w:tc>
        <w:tc>
          <w:tcPr>
            <w:tcW w:w="868" w:type="pct"/>
            <w:tcBorders>
              <w:bottom w:val="single" w:sz="4" w:space="0" w:color="auto"/>
            </w:tcBorders>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Borders>
              <w:bottom w:val="single" w:sz="4" w:space="0" w:color="auto"/>
            </w:tcBorders>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83ED9">
        <w:trPr>
          <w:trHeight w:val="305"/>
        </w:trPr>
        <w:tc>
          <w:tcPr>
            <w:tcW w:w="907" w:type="pct"/>
            <w:vMerge w:val="restart"/>
            <w:tcBorders>
              <w:top w:val="single" w:sz="4" w:space="0" w:color="auto"/>
              <w:left w:val="single" w:sz="4" w:space="0" w:color="auto"/>
              <w:bottom w:val="single" w:sz="4" w:space="0" w:color="auto"/>
              <w:right w:val="single" w:sz="4" w:space="0" w:color="auto"/>
            </w:tcBorders>
          </w:tcPr>
          <w:p w:rsidR="006A6164" w:rsidRPr="004B6827" w:rsidRDefault="00747231" w:rsidP="006A6164">
            <w:pPr>
              <w:shd w:val="clear" w:color="auto" w:fill="FFFFFF"/>
              <w:rPr>
                <w:b/>
                <w:szCs w:val="22"/>
                <w:lang w:val="sk-SK"/>
              </w:rPr>
            </w:pPr>
            <w:r w:rsidRPr="004B6827">
              <w:rPr>
                <w:b/>
                <w:bCs/>
                <w:iCs/>
                <w:lang w:val="sk-SK" w:eastAsia="sk-SK"/>
              </w:rPr>
              <w:t xml:space="preserve">Poruchy kože a podkožného </w:t>
            </w:r>
            <w:r w:rsidRPr="004B6827">
              <w:rPr>
                <w:b/>
                <w:bCs/>
                <w:iCs/>
                <w:lang w:val="sk-SK" w:eastAsia="sk-SK"/>
              </w:rPr>
              <w:lastRenderedPageBreak/>
              <w:t>tkaniva</w:t>
            </w:r>
          </w:p>
        </w:tc>
        <w:tc>
          <w:tcPr>
            <w:tcW w:w="1489" w:type="pct"/>
            <w:tcBorders>
              <w:top w:val="single" w:sz="4" w:space="0" w:color="auto"/>
              <w:left w:val="single" w:sz="4" w:space="0" w:color="auto"/>
              <w:bottom w:val="single" w:sz="4" w:space="0" w:color="auto"/>
              <w:right w:val="single" w:sz="4" w:space="0" w:color="auto"/>
            </w:tcBorders>
          </w:tcPr>
          <w:p w:rsidR="006A6164" w:rsidRPr="00275323" w:rsidRDefault="00072349" w:rsidP="006A6164">
            <w:pPr>
              <w:shd w:val="clear" w:color="auto" w:fill="FFFFFF"/>
              <w:rPr>
                <w:szCs w:val="22"/>
                <w:lang w:val="sk-SK"/>
              </w:rPr>
            </w:pPr>
            <w:r w:rsidRPr="00275323">
              <w:rPr>
                <w:szCs w:val="22"/>
                <w:lang w:val="sk-SK"/>
              </w:rPr>
              <w:lastRenderedPageBreak/>
              <w:t>Vyrážka</w:t>
            </w:r>
          </w:p>
        </w:tc>
        <w:tc>
          <w:tcPr>
            <w:tcW w:w="869" w:type="pct"/>
            <w:tcBorders>
              <w:top w:val="single" w:sz="4" w:space="0" w:color="auto"/>
              <w:left w:val="single" w:sz="4" w:space="0" w:color="auto"/>
              <w:bottom w:val="single" w:sz="4" w:space="0" w:color="auto"/>
              <w:right w:val="single" w:sz="4" w:space="0" w:color="auto"/>
            </w:tcBorders>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Borders>
              <w:top w:val="single" w:sz="4" w:space="0" w:color="auto"/>
              <w:left w:val="single" w:sz="4" w:space="0" w:color="auto"/>
              <w:bottom w:val="single" w:sz="4" w:space="0" w:color="auto"/>
              <w:right w:val="single" w:sz="4" w:space="0" w:color="auto"/>
            </w:tcBorders>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Borders>
              <w:top w:val="single" w:sz="4" w:space="0" w:color="auto"/>
              <w:left w:val="single" w:sz="4" w:space="0" w:color="auto"/>
              <w:bottom w:val="single" w:sz="4" w:space="0" w:color="auto"/>
              <w:right w:val="single" w:sz="4" w:space="0" w:color="auto"/>
            </w:tcBorders>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83ED9">
        <w:trPr>
          <w:trHeight w:val="305"/>
        </w:trPr>
        <w:tc>
          <w:tcPr>
            <w:tcW w:w="907" w:type="pct"/>
            <w:vMerge/>
            <w:tcBorders>
              <w:top w:val="single" w:sz="4" w:space="0" w:color="auto"/>
              <w:left w:val="single" w:sz="4" w:space="0" w:color="auto"/>
              <w:bottom w:val="single" w:sz="4" w:space="0" w:color="auto"/>
              <w:right w:val="single" w:sz="4" w:space="0" w:color="auto"/>
            </w:tcBorders>
          </w:tcPr>
          <w:p w:rsidR="006A6164" w:rsidRPr="004B6827" w:rsidRDefault="006A6164" w:rsidP="006A6164">
            <w:pPr>
              <w:shd w:val="clear" w:color="auto" w:fill="FFFFFF"/>
              <w:rPr>
                <w:b/>
                <w:szCs w:val="22"/>
                <w:lang w:val="sk-SK"/>
              </w:rPr>
            </w:pPr>
          </w:p>
        </w:tc>
        <w:tc>
          <w:tcPr>
            <w:tcW w:w="1489" w:type="pct"/>
            <w:tcBorders>
              <w:top w:val="single" w:sz="4" w:space="0" w:color="auto"/>
              <w:left w:val="single" w:sz="4" w:space="0" w:color="auto"/>
              <w:bottom w:val="single" w:sz="4" w:space="0" w:color="auto"/>
              <w:right w:val="single" w:sz="4" w:space="0" w:color="auto"/>
            </w:tcBorders>
          </w:tcPr>
          <w:p w:rsidR="006A6164" w:rsidRPr="004B6827" w:rsidRDefault="006A6164" w:rsidP="006A6164">
            <w:pPr>
              <w:shd w:val="clear" w:color="auto" w:fill="FFFFFF"/>
              <w:rPr>
                <w:szCs w:val="22"/>
                <w:lang w:val="sk-SK"/>
              </w:rPr>
            </w:pPr>
            <w:r w:rsidRPr="004B6827">
              <w:rPr>
                <w:szCs w:val="22"/>
                <w:lang w:val="sk-SK"/>
              </w:rPr>
              <w:t>Pruritus</w:t>
            </w:r>
          </w:p>
        </w:tc>
        <w:tc>
          <w:tcPr>
            <w:tcW w:w="869" w:type="pct"/>
            <w:tcBorders>
              <w:top w:val="single" w:sz="4" w:space="0" w:color="auto"/>
              <w:left w:val="single" w:sz="4" w:space="0" w:color="auto"/>
              <w:bottom w:val="single" w:sz="4" w:space="0" w:color="auto"/>
              <w:right w:val="single" w:sz="4" w:space="0" w:color="auto"/>
            </w:tcBorders>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Borders>
              <w:top w:val="single" w:sz="4" w:space="0" w:color="auto"/>
              <w:left w:val="single" w:sz="4" w:space="0" w:color="auto"/>
              <w:bottom w:val="single" w:sz="4" w:space="0" w:color="auto"/>
              <w:right w:val="single" w:sz="4" w:space="0" w:color="auto"/>
            </w:tcBorders>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Borders>
              <w:top w:val="single" w:sz="4" w:space="0" w:color="auto"/>
              <w:left w:val="single" w:sz="4" w:space="0" w:color="auto"/>
              <w:bottom w:val="single" w:sz="4" w:space="0" w:color="auto"/>
              <w:right w:val="single" w:sz="4" w:space="0" w:color="auto"/>
            </w:tcBorders>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83ED9">
        <w:trPr>
          <w:trHeight w:val="305"/>
        </w:trPr>
        <w:tc>
          <w:tcPr>
            <w:tcW w:w="907" w:type="pct"/>
            <w:vMerge/>
            <w:tcBorders>
              <w:top w:val="single" w:sz="4" w:space="0" w:color="auto"/>
              <w:left w:val="single" w:sz="4" w:space="0" w:color="auto"/>
              <w:bottom w:val="single" w:sz="4" w:space="0" w:color="auto"/>
              <w:right w:val="single" w:sz="4" w:space="0" w:color="auto"/>
            </w:tcBorders>
          </w:tcPr>
          <w:p w:rsidR="006A6164" w:rsidRPr="004B6827" w:rsidRDefault="006A6164" w:rsidP="006A6164">
            <w:pPr>
              <w:shd w:val="clear" w:color="auto" w:fill="FFFFFF"/>
              <w:rPr>
                <w:b/>
                <w:szCs w:val="22"/>
                <w:lang w:val="sk-SK"/>
              </w:rPr>
            </w:pPr>
          </w:p>
        </w:tc>
        <w:tc>
          <w:tcPr>
            <w:tcW w:w="1489" w:type="pct"/>
            <w:tcBorders>
              <w:top w:val="single" w:sz="4" w:space="0" w:color="auto"/>
              <w:left w:val="single" w:sz="4" w:space="0" w:color="auto"/>
              <w:bottom w:val="single" w:sz="4" w:space="0" w:color="auto"/>
              <w:right w:val="single" w:sz="4" w:space="0" w:color="auto"/>
            </w:tcBorders>
          </w:tcPr>
          <w:p w:rsidR="006A6164" w:rsidRPr="004B6827" w:rsidRDefault="006A6164" w:rsidP="00072349">
            <w:pPr>
              <w:shd w:val="clear" w:color="auto" w:fill="FFFFFF"/>
              <w:rPr>
                <w:szCs w:val="22"/>
                <w:lang w:val="sk-SK"/>
              </w:rPr>
            </w:pPr>
            <w:r w:rsidRPr="004B6827">
              <w:rPr>
                <w:szCs w:val="22"/>
                <w:lang w:val="sk-SK"/>
              </w:rPr>
              <w:t>Urti</w:t>
            </w:r>
            <w:r w:rsidR="00072349" w:rsidRPr="004B6827">
              <w:rPr>
                <w:szCs w:val="22"/>
                <w:lang w:val="sk-SK"/>
              </w:rPr>
              <w:t>ká</w:t>
            </w:r>
            <w:r w:rsidRPr="004B6827">
              <w:rPr>
                <w:szCs w:val="22"/>
                <w:lang w:val="sk-SK"/>
              </w:rPr>
              <w:t>ria</w:t>
            </w:r>
          </w:p>
        </w:tc>
        <w:tc>
          <w:tcPr>
            <w:tcW w:w="869" w:type="pct"/>
            <w:tcBorders>
              <w:top w:val="single" w:sz="4" w:space="0" w:color="auto"/>
              <w:left w:val="single" w:sz="4" w:space="0" w:color="auto"/>
              <w:bottom w:val="single" w:sz="4" w:space="0" w:color="auto"/>
              <w:right w:val="single" w:sz="4" w:space="0" w:color="auto"/>
            </w:tcBorders>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Borders>
              <w:top w:val="single" w:sz="4" w:space="0" w:color="auto"/>
              <w:left w:val="single" w:sz="4" w:space="0" w:color="auto"/>
              <w:bottom w:val="single" w:sz="4" w:space="0" w:color="auto"/>
              <w:right w:val="single" w:sz="4" w:space="0" w:color="auto"/>
            </w:tcBorders>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Borders>
              <w:top w:val="single" w:sz="4" w:space="0" w:color="auto"/>
              <w:left w:val="single" w:sz="4" w:space="0" w:color="auto"/>
              <w:bottom w:val="single" w:sz="4" w:space="0" w:color="auto"/>
              <w:right w:val="single" w:sz="4" w:space="0" w:color="auto"/>
            </w:tcBorders>
          </w:tcPr>
          <w:p w:rsidR="006A6164" w:rsidRPr="004B6827" w:rsidRDefault="008A2948" w:rsidP="006A6164">
            <w:pPr>
              <w:shd w:val="clear" w:color="auto" w:fill="FFFFFF"/>
              <w:jc w:val="center"/>
              <w:rPr>
                <w:szCs w:val="22"/>
                <w:lang w:val="sk-SK"/>
              </w:rPr>
            </w:pPr>
            <w:r w:rsidRPr="004B6827">
              <w:rPr>
                <w:szCs w:val="22"/>
                <w:lang w:val="sk-SK"/>
              </w:rPr>
              <w:t>Veľmi zriedkavé</w:t>
            </w:r>
          </w:p>
        </w:tc>
      </w:tr>
      <w:tr w:rsidR="006A6164" w:rsidRPr="004B6827" w:rsidTr="00683ED9">
        <w:trPr>
          <w:trHeight w:val="305"/>
        </w:trPr>
        <w:tc>
          <w:tcPr>
            <w:tcW w:w="907" w:type="pct"/>
            <w:vMerge/>
            <w:tcBorders>
              <w:top w:val="single" w:sz="4" w:space="0" w:color="auto"/>
            </w:tcBorders>
          </w:tcPr>
          <w:p w:rsidR="006A6164" w:rsidRPr="004B6827" w:rsidRDefault="006A6164" w:rsidP="006A6164">
            <w:pPr>
              <w:shd w:val="clear" w:color="auto" w:fill="FFFFFF"/>
              <w:rPr>
                <w:b/>
                <w:szCs w:val="22"/>
                <w:lang w:val="sk-SK"/>
              </w:rPr>
            </w:pPr>
          </w:p>
        </w:tc>
        <w:tc>
          <w:tcPr>
            <w:tcW w:w="1489" w:type="pct"/>
            <w:tcBorders>
              <w:top w:val="single" w:sz="4" w:space="0" w:color="auto"/>
            </w:tcBorders>
          </w:tcPr>
          <w:p w:rsidR="006A6164" w:rsidRPr="004B6827" w:rsidRDefault="006A6164" w:rsidP="006A6164">
            <w:pPr>
              <w:shd w:val="clear" w:color="auto" w:fill="FFFFFF"/>
              <w:rPr>
                <w:szCs w:val="22"/>
                <w:lang w:val="sk-SK"/>
              </w:rPr>
            </w:pPr>
            <w:r w:rsidRPr="004B6827">
              <w:rPr>
                <w:szCs w:val="22"/>
                <w:lang w:val="sk-SK"/>
              </w:rPr>
              <w:t>Purpura</w:t>
            </w:r>
          </w:p>
        </w:tc>
        <w:tc>
          <w:tcPr>
            <w:tcW w:w="869" w:type="pct"/>
            <w:tcBorders>
              <w:top w:val="single" w:sz="4" w:space="0" w:color="auto"/>
            </w:tcBorders>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Borders>
              <w:top w:val="single" w:sz="4" w:space="0" w:color="auto"/>
            </w:tcBorders>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Borders>
              <w:top w:val="single" w:sz="4" w:space="0" w:color="auto"/>
            </w:tcBorders>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7816E7" w:rsidP="006A6164">
            <w:pPr>
              <w:shd w:val="clear" w:color="auto" w:fill="FFFFFF"/>
              <w:rPr>
                <w:szCs w:val="22"/>
                <w:lang w:val="sk-SK"/>
              </w:rPr>
            </w:pPr>
            <w:r w:rsidRPr="004B6827">
              <w:rPr>
                <w:bCs/>
                <w:iCs/>
                <w:lang w:val="sk-SK" w:eastAsia="sk-SK"/>
              </w:rPr>
              <w:t>Zmeny sfarbenia pokožky</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7816E7">
            <w:pPr>
              <w:shd w:val="clear" w:color="auto" w:fill="FFFFFF"/>
              <w:rPr>
                <w:szCs w:val="22"/>
                <w:lang w:val="sk-SK"/>
              </w:rPr>
            </w:pPr>
            <w:r w:rsidRPr="004B6827">
              <w:rPr>
                <w:szCs w:val="22"/>
                <w:lang w:val="sk-SK"/>
              </w:rPr>
              <w:t>Hyperhidr</w:t>
            </w:r>
            <w:r w:rsidR="007816E7" w:rsidRPr="004B6827">
              <w:rPr>
                <w:szCs w:val="22"/>
                <w:lang w:val="sk-SK"/>
              </w:rPr>
              <w:t>óza</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7816E7">
            <w:pPr>
              <w:shd w:val="clear" w:color="auto" w:fill="FFFFFF"/>
              <w:rPr>
                <w:szCs w:val="22"/>
                <w:lang w:val="sk-SK"/>
              </w:rPr>
            </w:pPr>
            <w:r w:rsidRPr="004B6827">
              <w:rPr>
                <w:szCs w:val="22"/>
                <w:lang w:val="sk-SK"/>
              </w:rPr>
              <w:t>Exant</w:t>
            </w:r>
            <w:r w:rsidR="007816E7" w:rsidRPr="004B6827">
              <w:rPr>
                <w:szCs w:val="22"/>
                <w:lang w:val="sk-SK"/>
              </w:rPr>
              <w:t>ém</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7816E7">
            <w:pPr>
              <w:shd w:val="clear" w:color="auto" w:fill="FFFFFF"/>
              <w:rPr>
                <w:szCs w:val="22"/>
                <w:lang w:val="sk-SK"/>
              </w:rPr>
            </w:pPr>
            <w:r w:rsidRPr="004B6827">
              <w:rPr>
                <w:szCs w:val="22"/>
                <w:lang w:val="sk-SK"/>
              </w:rPr>
              <w:t>Alop</w:t>
            </w:r>
            <w:r w:rsidR="007816E7" w:rsidRPr="004B6827">
              <w:rPr>
                <w:szCs w:val="22"/>
                <w:lang w:val="sk-SK"/>
              </w:rPr>
              <w:t>é</w:t>
            </w:r>
            <w:r w:rsidRPr="004B6827">
              <w:rPr>
                <w:szCs w:val="22"/>
                <w:lang w:val="sk-SK"/>
              </w:rPr>
              <w:t xml:space="preserve">cia </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7816E7" w:rsidP="007816E7">
            <w:pPr>
              <w:shd w:val="clear" w:color="auto" w:fill="FFFFFF"/>
              <w:autoSpaceDE w:val="0"/>
              <w:autoSpaceDN w:val="0"/>
              <w:adjustRightInd w:val="0"/>
              <w:ind w:left="720" w:hanging="720"/>
              <w:jc w:val="both"/>
              <w:rPr>
                <w:szCs w:val="22"/>
                <w:lang w:val="sk-SK"/>
              </w:rPr>
            </w:pPr>
            <w:r w:rsidRPr="004B6827">
              <w:rPr>
                <w:szCs w:val="22"/>
                <w:lang w:val="sk-SK"/>
              </w:rPr>
              <w:t>Angioedé</w:t>
            </w:r>
            <w:r w:rsidR="006A6164" w:rsidRPr="004B6827">
              <w:rPr>
                <w:szCs w:val="22"/>
                <w:lang w:val="sk-SK"/>
              </w:rPr>
              <w:t>m (</w:t>
            </w:r>
            <w:r w:rsidRPr="004B6827">
              <w:rPr>
                <w:szCs w:val="22"/>
                <w:lang w:val="sk-SK"/>
              </w:rPr>
              <w:t>pozri časť</w:t>
            </w:r>
            <w:r w:rsidR="006A6164" w:rsidRPr="004B6827">
              <w:rPr>
                <w:szCs w:val="22"/>
                <w:lang w:val="sk-SK"/>
              </w:rPr>
              <w:t xml:space="preserve"> 4.4)</w:t>
            </w:r>
          </w:p>
        </w:tc>
        <w:tc>
          <w:tcPr>
            <w:tcW w:w="869" w:type="pct"/>
          </w:tcPr>
          <w:p w:rsidR="006A6164" w:rsidRPr="004B6827" w:rsidRDefault="008A2948" w:rsidP="006A6164">
            <w:pPr>
              <w:shd w:val="clear" w:color="auto" w:fill="FFFFFF"/>
              <w:autoSpaceDE w:val="0"/>
              <w:autoSpaceDN w:val="0"/>
              <w:adjustRightInd w:val="0"/>
              <w:jc w:val="center"/>
              <w:rPr>
                <w:szCs w:val="22"/>
                <w:lang w:val="sk-SK"/>
              </w:rPr>
            </w:pPr>
            <w:r w:rsidRPr="004B6827">
              <w:rPr>
                <w:szCs w:val="22"/>
                <w:lang w:val="sk-SK"/>
              </w:rPr>
              <w:t>Zriedkavé</w:t>
            </w:r>
          </w:p>
        </w:tc>
        <w:tc>
          <w:tcPr>
            <w:tcW w:w="868" w:type="pct"/>
          </w:tcPr>
          <w:p w:rsidR="006A6164" w:rsidRPr="004B6827" w:rsidRDefault="008A2948" w:rsidP="006A6164">
            <w:pPr>
              <w:shd w:val="clear" w:color="auto" w:fill="FFFFFF"/>
              <w:autoSpaceDE w:val="0"/>
              <w:autoSpaceDN w:val="0"/>
              <w:adjustRightInd w:val="0"/>
              <w:jc w:val="center"/>
              <w:rPr>
                <w:szCs w:val="22"/>
                <w:lang w:val="sk-SK"/>
              </w:rPr>
            </w:pPr>
            <w:r w:rsidRPr="004B6827">
              <w:rPr>
                <w:szCs w:val="22"/>
                <w:lang w:val="sk-SK"/>
              </w:rPr>
              <w:t>Menej časté</w:t>
            </w:r>
          </w:p>
        </w:tc>
        <w:tc>
          <w:tcPr>
            <w:tcW w:w="868" w:type="pct"/>
          </w:tcPr>
          <w:p w:rsidR="006A6164" w:rsidRPr="004B6827" w:rsidRDefault="008A2948" w:rsidP="006A6164">
            <w:pPr>
              <w:shd w:val="clear" w:color="auto" w:fill="FFFFFF"/>
              <w:autoSpaceDE w:val="0"/>
              <w:autoSpaceDN w:val="0"/>
              <w:adjustRightInd w:val="0"/>
              <w:jc w:val="center"/>
              <w:rPr>
                <w:szCs w:val="22"/>
                <w:lang w:val="sk-SK"/>
              </w:rPr>
            </w:pPr>
            <w:r w:rsidRPr="004B6827">
              <w:rPr>
                <w:szCs w:val="22"/>
                <w:lang w:val="sk-SK"/>
              </w:rPr>
              <w:t>Veľmi zriedkavé</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7816E7">
            <w:pPr>
              <w:shd w:val="clear" w:color="auto" w:fill="FFFFFF"/>
              <w:rPr>
                <w:szCs w:val="22"/>
                <w:lang w:val="sk-SK"/>
              </w:rPr>
            </w:pPr>
            <w:r w:rsidRPr="004B6827">
              <w:rPr>
                <w:szCs w:val="22"/>
                <w:lang w:val="sk-SK"/>
              </w:rPr>
              <w:t>Exfoliat</w:t>
            </w:r>
            <w:r w:rsidR="007816E7" w:rsidRPr="004B6827">
              <w:rPr>
                <w:szCs w:val="22"/>
                <w:lang w:val="sk-SK"/>
              </w:rPr>
              <w:t>ívna</w:t>
            </w:r>
            <w:r w:rsidRPr="004B6827">
              <w:rPr>
                <w:szCs w:val="22"/>
                <w:lang w:val="sk-SK"/>
              </w:rPr>
              <w:t xml:space="preserve"> dermatit</w:t>
            </w:r>
            <w:r w:rsidR="007816E7" w:rsidRPr="004B6827">
              <w:rPr>
                <w:szCs w:val="22"/>
                <w:lang w:val="sk-SK"/>
              </w:rPr>
              <w:t>ída</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r>
      <w:tr w:rsidR="006A6164" w:rsidRPr="004B6827" w:rsidTr="006A6164">
        <w:trPr>
          <w:trHeight w:val="305"/>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7816E7" w:rsidP="006A6164">
            <w:pPr>
              <w:shd w:val="clear" w:color="auto" w:fill="FFFFFF"/>
              <w:rPr>
                <w:szCs w:val="22"/>
                <w:lang w:val="sk-SK"/>
              </w:rPr>
            </w:pPr>
            <w:r w:rsidRPr="004B6827">
              <w:rPr>
                <w:szCs w:val="22"/>
                <w:lang w:val="sk-SK"/>
              </w:rPr>
              <w:t>Pemf</w:t>
            </w:r>
            <w:r w:rsidR="006A6164" w:rsidRPr="004B6827">
              <w:rPr>
                <w:szCs w:val="22"/>
                <w:lang w:val="sk-SK"/>
              </w:rPr>
              <w:t>igoid</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r w:rsidR="006A6164"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7816E7" w:rsidP="007816E7">
            <w:pPr>
              <w:shd w:val="clear" w:color="auto" w:fill="FFFFFF"/>
              <w:rPr>
                <w:szCs w:val="22"/>
                <w:lang w:val="sk-SK"/>
              </w:rPr>
            </w:pPr>
            <w:r w:rsidRPr="004B6827">
              <w:rPr>
                <w:bCs/>
                <w:iCs/>
                <w:lang w:val="sk-SK" w:eastAsia="sk-SK"/>
              </w:rPr>
              <w:t>Stevensov-Johnsonov syndróm</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Zriedkavé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7816E7" w:rsidP="007816E7">
            <w:pPr>
              <w:shd w:val="clear" w:color="auto" w:fill="FFFFFF"/>
              <w:rPr>
                <w:szCs w:val="22"/>
                <w:lang w:val="sk-SK"/>
              </w:rPr>
            </w:pPr>
            <w:r w:rsidRPr="004B6827">
              <w:rPr>
                <w:szCs w:val="22"/>
                <w:lang w:val="sk-SK"/>
              </w:rPr>
              <w:t>F</w:t>
            </w:r>
            <w:r w:rsidR="006A6164" w:rsidRPr="004B6827">
              <w:rPr>
                <w:szCs w:val="22"/>
                <w:lang w:val="sk-SK"/>
              </w:rPr>
              <w:t>otosen</w:t>
            </w:r>
            <w:r w:rsidRPr="004B6827">
              <w:rPr>
                <w:szCs w:val="22"/>
                <w:lang w:val="sk-SK"/>
              </w:rPr>
              <w:t>zitívne</w:t>
            </w:r>
            <w:r w:rsidR="006A6164" w:rsidRPr="004B6827">
              <w:rPr>
                <w:szCs w:val="22"/>
                <w:lang w:val="sk-SK"/>
              </w:rPr>
              <w:t xml:space="preserve"> rea</w:t>
            </w:r>
            <w:r w:rsidRPr="004B6827">
              <w:rPr>
                <w:szCs w:val="22"/>
                <w:lang w:val="sk-SK"/>
              </w:rPr>
              <w:t>kcie</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r w:rsidR="006A6164"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7816E7">
            <w:pPr>
              <w:shd w:val="clear" w:color="auto" w:fill="FFFFFF"/>
              <w:rPr>
                <w:szCs w:val="22"/>
                <w:lang w:val="sk-SK"/>
              </w:rPr>
            </w:pPr>
            <w:r w:rsidRPr="004B6827">
              <w:rPr>
                <w:szCs w:val="22"/>
                <w:lang w:val="sk-SK"/>
              </w:rPr>
              <w:t>Toxic</w:t>
            </w:r>
            <w:r w:rsidR="007816E7" w:rsidRPr="004B6827">
              <w:rPr>
                <w:szCs w:val="22"/>
                <w:lang w:val="sk-SK"/>
              </w:rPr>
              <w:t>ká</w:t>
            </w:r>
            <w:r w:rsidRPr="004B6827">
              <w:rPr>
                <w:szCs w:val="22"/>
                <w:lang w:val="sk-SK"/>
              </w:rPr>
              <w:t xml:space="preserve"> epiderm</w:t>
            </w:r>
            <w:r w:rsidR="007816E7" w:rsidRPr="004B6827">
              <w:rPr>
                <w:szCs w:val="22"/>
                <w:lang w:val="sk-SK"/>
              </w:rPr>
              <w:t>álna</w:t>
            </w:r>
            <w:r w:rsidRPr="004B6827">
              <w:rPr>
                <w:szCs w:val="22"/>
                <w:lang w:val="sk-SK"/>
              </w:rPr>
              <w:t xml:space="preserve"> ne</w:t>
            </w:r>
            <w:r w:rsidR="007816E7" w:rsidRPr="004B6827">
              <w:rPr>
                <w:szCs w:val="22"/>
                <w:lang w:val="sk-SK"/>
              </w:rPr>
              <w:t>k</w:t>
            </w:r>
            <w:r w:rsidRPr="004B6827">
              <w:rPr>
                <w:szCs w:val="22"/>
                <w:lang w:val="sk-SK"/>
              </w:rPr>
              <w:t>rol</w:t>
            </w:r>
            <w:r w:rsidR="007816E7" w:rsidRPr="004B6827">
              <w:rPr>
                <w:szCs w:val="22"/>
                <w:lang w:val="sk-SK"/>
              </w:rPr>
              <w:t>ýza</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Zriedkavé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7816E7" w:rsidP="006A6164">
            <w:pPr>
              <w:shd w:val="clear" w:color="auto" w:fill="FFFFFF"/>
              <w:rPr>
                <w:szCs w:val="22"/>
                <w:lang w:val="sk-SK"/>
              </w:rPr>
            </w:pPr>
            <w:r w:rsidRPr="004B6827">
              <w:rPr>
                <w:szCs w:val="22"/>
                <w:lang w:val="sk-SK"/>
              </w:rPr>
              <w:t>Multiformný erytém</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Zriedkavé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r>
      <w:tr w:rsidR="006A6164" w:rsidRPr="004B6827" w:rsidTr="006A6164">
        <w:trPr>
          <w:trHeight w:val="351"/>
        </w:trPr>
        <w:tc>
          <w:tcPr>
            <w:tcW w:w="907" w:type="pct"/>
            <w:vMerge w:val="restart"/>
          </w:tcPr>
          <w:p w:rsidR="006A6164" w:rsidRPr="004B6827" w:rsidRDefault="00747231" w:rsidP="006A6164">
            <w:pPr>
              <w:shd w:val="clear" w:color="auto" w:fill="FFFFFF"/>
              <w:rPr>
                <w:b/>
                <w:szCs w:val="22"/>
                <w:lang w:val="sk-SK"/>
              </w:rPr>
            </w:pPr>
            <w:r w:rsidRPr="004B6827">
              <w:rPr>
                <w:b/>
                <w:bCs/>
                <w:iCs/>
                <w:lang w:val="sk-SK" w:eastAsia="sk-SK"/>
              </w:rPr>
              <w:t>Poruchy kostrovej a svalovej sústavy a spojivového tkaniva</w:t>
            </w:r>
          </w:p>
        </w:tc>
        <w:tc>
          <w:tcPr>
            <w:tcW w:w="1489" w:type="pct"/>
          </w:tcPr>
          <w:p w:rsidR="006A6164" w:rsidRPr="00275323" w:rsidRDefault="007816E7" w:rsidP="006A6164">
            <w:pPr>
              <w:shd w:val="clear" w:color="auto" w:fill="FFFFFF"/>
              <w:rPr>
                <w:szCs w:val="22"/>
                <w:lang w:val="sk-SK"/>
              </w:rPr>
            </w:pPr>
            <w:r w:rsidRPr="00275323">
              <w:rPr>
                <w:szCs w:val="22"/>
                <w:lang w:val="sk-SK"/>
              </w:rPr>
              <w:t>Opuch kĺbov</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7816E7" w:rsidP="006A6164">
            <w:pPr>
              <w:shd w:val="clear" w:color="auto" w:fill="FFFFFF"/>
              <w:rPr>
                <w:szCs w:val="22"/>
                <w:lang w:val="sk-SK"/>
              </w:rPr>
            </w:pPr>
            <w:r w:rsidRPr="004B6827">
              <w:rPr>
                <w:szCs w:val="22"/>
                <w:lang w:val="sk-SK"/>
              </w:rPr>
              <w:t>Opuch členka</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Časté</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7816E7" w:rsidP="006A6164">
            <w:pPr>
              <w:shd w:val="clear" w:color="auto" w:fill="FFFFFF"/>
              <w:rPr>
                <w:szCs w:val="22"/>
                <w:lang w:val="sk-SK"/>
              </w:rPr>
            </w:pPr>
            <w:r w:rsidRPr="004B6827">
              <w:rPr>
                <w:szCs w:val="22"/>
                <w:lang w:val="sk-SK"/>
              </w:rPr>
              <w:t>Bolesť v končatine</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7816E7">
            <w:pPr>
              <w:shd w:val="clear" w:color="auto" w:fill="FFFFFF"/>
              <w:rPr>
                <w:szCs w:val="22"/>
                <w:lang w:val="sk-SK"/>
              </w:rPr>
            </w:pPr>
            <w:r w:rsidRPr="004B6827">
              <w:rPr>
                <w:szCs w:val="22"/>
                <w:lang w:val="sk-SK"/>
              </w:rPr>
              <w:t>Artralgia</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r w:rsidR="006A6164"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7816E7" w:rsidP="006A6164">
            <w:pPr>
              <w:shd w:val="clear" w:color="auto" w:fill="FFFFFF"/>
              <w:rPr>
                <w:szCs w:val="22"/>
                <w:lang w:val="sk-SK"/>
              </w:rPr>
            </w:pPr>
            <w:r w:rsidRPr="004B6827">
              <w:rPr>
                <w:szCs w:val="22"/>
                <w:lang w:val="sk-SK"/>
              </w:rPr>
              <w:t xml:space="preserve">Svalové </w:t>
            </w:r>
            <w:r w:rsidR="00EF142E" w:rsidRPr="004B6827">
              <w:rPr>
                <w:szCs w:val="22"/>
                <w:lang w:val="sk-SK"/>
              </w:rPr>
              <w:t>spazmy</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7816E7">
            <w:pPr>
              <w:shd w:val="clear" w:color="auto" w:fill="FFFFFF"/>
              <w:rPr>
                <w:szCs w:val="22"/>
                <w:lang w:val="sk-SK"/>
              </w:rPr>
            </w:pPr>
            <w:r w:rsidRPr="004B6827">
              <w:rPr>
                <w:szCs w:val="22"/>
                <w:lang w:val="sk-SK"/>
              </w:rPr>
              <w:t>Myalgi</w:t>
            </w:r>
            <w:r w:rsidR="00FD0621" w:rsidRPr="004B6827">
              <w:rPr>
                <w:szCs w:val="22"/>
                <w:lang w:val="sk-SK"/>
              </w:rPr>
              <w:t>a</w:t>
            </w:r>
            <w:r w:rsidRPr="004B6827">
              <w:rPr>
                <w:szCs w:val="22"/>
                <w:lang w:val="sk-SK"/>
              </w:rPr>
              <w:t xml:space="preserve"> </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r w:rsidR="006A6164"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7816E7" w:rsidP="006A6164">
            <w:pPr>
              <w:shd w:val="clear" w:color="auto" w:fill="FFFFFF"/>
              <w:rPr>
                <w:szCs w:val="22"/>
                <w:lang w:val="sk-SK"/>
              </w:rPr>
            </w:pPr>
            <w:r w:rsidRPr="004B6827">
              <w:rPr>
                <w:szCs w:val="22"/>
                <w:lang w:val="sk-SK"/>
              </w:rPr>
              <w:t>Svalové kŕče</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7816E7" w:rsidP="007816E7">
            <w:pPr>
              <w:shd w:val="clear" w:color="auto" w:fill="FFFFFF"/>
              <w:rPr>
                <w:szCs w:val="22"/>
                <w:lang w:val="sk-SK"/>
              </w:rPr>
            </w:pPr>
            <w:r w:rsidRPr="004B6827">
              <w:rPr>
                <w:szCs w:val="22"/>
                <w:lang w:val="sk-SK"/>
              </w:rPr>
              <w:t>Bolesť chrbta</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7816E7" w:rsidP="006A6164">
            <w:pPr>
              <w:shd w:val="clear" w:color="auto" w:fill="FFFFFF"/>
              <w:rPr>
                <w:szCs w:val="22"/>
                <w:lang w:val="sk-SK"/>
              </w:rPr>
            </w:pPr>
            <w:r w:rsidRPr="004B6827">
              <w:rPr>
                <w:szCs w:val="22"/>
                <w:lang w:val="sk-SK"/>
              </w:rPr>
              <w:t>B</w:t>
            </w:r>
            <w:r w:rsidR="00DC37D0" w:rsidRPr="004B6827">
              <w:rPr>
                <w:szCs w:val="22"/>
                <w:lang w:val="sk-SK"/>
              </w:rPr>
              <w:t xml:space="preserve">olesť </w:t>
            </w:r>
            <w:r w:rsidRPr="004B6827">
              <w:rPr>
                <w:szCs w:val="22"/>
                <w:lang w:val="sk-SK"/>
              </w:rPr>
              <w:t>krku</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7816E7" w:rsidP="006A6164">
            <w:pPr>
              <w:shd w:val="clear" w:color="auto" w:fill="FFFFFF"/>
              <w:rPr>
                <w:szCs w:val="22"/>
                <w:lang w:val="sk-SK"/>
              </w:rPr>
            </w:pPr>
            <w:r w:rsidRPr="004B6827">
              <w:rPr>
                <w:szCs w:val="22"/>
                <w:lang w:val="sk-SK"/>
              </w:rPr>
              <w:t>Svalová únava</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7816E7">
            <w:pPr>
              <w:shd w:val="clear" w:color="auto" w:fill="FFFFFF"/>
              <w:rPr>
                <w:szCs w:val="22"/>
                <w:lang w:val="sk-SK"/>
              </w:rPr>
            </w:pPr>
            <w:r w:rsidRPr="004B6827">
              <w:rPr>
                <w:szCs w:val="22"/>
                <w:lang w:val="sk-SK"/>
              </w:rPr>
              <w:t>Myopat</w:t>
            </w:r>
            <w:r w:rsidR="007816E7" w:rsidRPr="004B6827">
              <w:rPr>
                <w:szCs w:val="22"/>
                <w:lang w:val="sk-SK"/>
              </w:rPr>
              <w:t>ia</w:t>
            </w:r>
            <w:r w:rsidRPr="004B6827">
              <w:rPr>
                <w:szCs w:val="22"/>
                <w:lang w:val="sk-SK"/>
              </w:rPr>
              <w:t xml:space="preserve"> </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Zriedkavé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7816E7">
            <w:pPr>
              <w:shd w:val="clear" w:color="auto" w:fill="FFFFFF"/>
              <w:rPr>
                <w:szCs w:val="22"/>
                <w:lang w:val="sk-SK"/>
              </w:rPr>
            </w:pPr>
            <w:r w:rsidRPr="004B6827">
              <w:rPr>
                <w:szCs w:val="22"/>
                <w:lang w:val="sk-SK"/>
              </w:rPr>
              <w:t>Myo</w:t>
            </w:r>
            <w:r w:rsidR="007816E7" w:rsidRPr="004B6827">
              <w:rPr>
                <w:szCs w:val="22"/>
                <w:lang w:val="sk-SK"/>
              </w:rPr>
              <w:t>zitída</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Zriedkavé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7816E7" w:rsidP="007816E7">
            <w:pPr>
              <w:shd w:val="clear" w:color="auto" w:fill="FFFFFF"/>
              <w:rPr>
                <w:szCs w:val="22"/>
                <w:lang w:val="sk-SK"/>
              </w:rPr>
            </w:pPr>
            <w:r w:rsidRPr="004B6827">
              <w:rPr>
                <w:szCs w:val="22"/>
                <w:lang w:val="sk-SK"/>
              </w:rPr>
              <w:t>R</w:t>
            </w:r>
            <w:r w:rsidR="006A6164" w:rsidRPr="004B6827">
              <w:rPr>
                <w:szCs w:val="22"/>
                <w:lang w:val="sk-SK"/>
              </w:rPr>
              <w:t>abdomyol</w:t>
            </w:r>
            <w:r w:rsidRPr="004B6827">
              <w:rPr>
                <w:szCs w:val="22"/>
                <w:lang w:val="sk-SK"/>
              </w:rPr>
              <w:t>ýza</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Zriedkavé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7816E7" w:rsidP="006A6164">
            <w:pPr>
              <w:shd w:val="clear" w:color="auto" w:fill="FFFFFF"/>
              <w:rPr>
                <w:szCs w:val="22"/>
                <w:lang w:val="sk-SK"/>
              </w:rPr>
            </w:pPr>
            <w:r w:rsidRPr="004B6827">
              <w:rPr>
                <w:szCs w:val="22"/>
                <w:lang w:val="sk-SK"/>
              </w:rPr>
              <w:t>Tend</w:t>
            </w:r>
            <w:r w:rsidR="008D6CDE" w:rsidRPr="004B6827">
              <w:rPr>
                <w:szCs w:val="22"/>
                <w:lang w:val="sk-SK"/>
              </w:rPr>
              <w:t>in</w:t>
            </w:r>
            <w:r w:rsidRPr="004B6827">
              <w:rPr>
                <w:szCs w:val="22"/>
                <w:lang w:val="sk-SK"/>
              </w:rPr>
              <w:t>opatia, niekedy komplikovaná ruptúrou</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Zriedkavé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0657C8" w:rsidP="007816E7">
            <w:pPr>
              <w:shd w:val="clear" w:color="auto" w:fill="FFFFFF"/>
              <w:rPr>
                <w:szCs w:val="22"/>
                <w:lang w:val="sk-SK"/>
              </w:rPr>
            </w:pPr>
            <w:r w:rsidRPr="004B6827">
              <w:rPr>
                <w:szCs w:val="22"/>
                <w:lang w:val="sk-SK"/>
              </w:rPr>
              <w:t>I</w:t>
            </w:r>
            <w:r w:rsidR="007816E7" w:rsidRPr="004B6827">
              <w:rPr>
                <w:szCs w:val="22"/>
                <w:lang w:val="sk-SK"/>
              </w:rPr>
              <w:t xml:space="preserve">munitne sprostredkovaná nekrotizujúca myopatia </w:t>
            </w:r>
            <w:r w:rsidR="006A6164" w:rsidRPr="004B6827">
              <w:rPr>
                <w:szCs w:val="22"/>
                <w:lang w:val="sk-SK"/>
              </w:rPr>
              <w:t>(</w:t>
            </w:r>
            <w:r w:rsidR="007816E7" w:rsidRPr="004B6827">
              <w:rPr>
                <w:szCs w:val="22"/>
                <w:lang w:val="sk-SK"/>
              </w:rPr>
              <w:t>pozri časť</w:t>
            </w:r>
            <w:r w:rsidR="006A6164" w:rsidRPr="004B6827">
              <w:rPr>
                <w:szCs w:val="22"/>
                <w:lang w:val="sk-SK"/>
              </w:rPr>
              <w:t xml:space="preserve"> 4.4)</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Neznáme</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05"/>
        </w:trPr>
        <w:tc>
          <w:tcPr>
            <w:tcW w:w="907" w:type="pct"/>
            <w:vMerge w:val="restart"/>
          </w:tcPr>
          <w:p w:rsidR="006A6164" w:rsidRPr="004B6827" w:rsidRDefault="00747231" w:rsidP="006A6164">
            <w:pPr>
              <w:shd w:val="clear" w:color="auto" w:fill="FFFFFF"/>
              <w:rPr>
                <w:b/>
                <w:szCs w:val="22"/>
                <w:lang w:val="sk-SK"/>
              </w:rPr>
            </w:pPr>
            <w:r w:rsidRPr="004B6827">
              <w:rPr>
                <w:b/>
                <w:bCs/>
                <w:iCs/>
                <w:lang w:val="sk-SK" w:eastAsia="sk-SK"/>
              </w:rPr>
              <w:t xml:space="preserve">Poruchy obličiek a močových </w:t>
            </w:r>
            <w:r w:rsidRPr="004B6827">
              <w:rPr>
                <w:b/>
                <w:bCs/>
                <w:iCs/>
                <w:lang w:val="sk-SK" w:eastAsia="sk-SK"/>
              </w:rPr>
              <w:lastRenderedPageBreak/>
              <w:t>ciest</w:t>
            </w:r>
          </w:p>
        </w:tc>
        <w:tc>
          <w:tcPr>
            <w:tcW w:w="1489" w:type="pct"/>
          </w:tcPr>
          <w:p w:rsidR="006A6164" w:rsidRPr="00275323" w:rsidRDefault="00412411" w:rsidP="006A6164">
            <w:pPr>
              <w:shd w:val="clear" w:color="auto" w:fill="FFFFFF"/>
              <w:rPr>
                <w:szCs w:val="22"/>
                <w:lang w:val="sk-SK"/>
              </w:rPr>
            </w:pPr>
            <w:r w:rsidRPr="00275323">
              <w:rPr>
                <w:szCs w:val="22"/>
                <w:lang w:val="sk-SK"/>
              </w:rPr>
              <w:lastRenderedPageBreak/>
              <w:t>Porucha močenia</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412411">
            <w:pPr>
              <w:shd w:val="clear" w:color="auto" w:fill="FFFFFF"/>
              <w:rPr>
                <w:szCs w:val="22"/>
                <w:lang w:val="sk-SK"/>
              </w:rPr>
            </w:pPr>
            <w:r w:rsidRPr="004B6827">
              <w:rPr>
                <w:szCs w:val="22"/>
                <w:lang w:val="sk-SK"/>
              </w:rPr>
              <w:t>No</w:t>
            </w:r>
            <w:r w:rsidR="00412411" w:rsidRPr="004B6827">
              <w:rPr>
                <w:szCs w:val="22"/>
                <w:lang w:val="sk-SK"/>
              </w:rPr>
              <w:t>ktú</w:t>
            </w:r>
            <w:r w:rsidRPr="004B6827">
              <w:rPr>
                <w:szCs w:val="22"/>
                <w:lang w:val="sk-SK"/>
              </w:rPr>
              <w:t>ria</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412411" w:rsidP="00412411">
            <w:pPr>
              <w:shd w:val="clear" w:color="auto" w:fill="FFFFFF"/>
              <w:rPr>
                <w:szCs w:val="22"/>
                <w:lang w:val="sk-SK"/>
              </w:rPr>
            </w:pPr>
            <w:r w:rsidRPr="004B6827">
              <w:rPr>
                <w:szCs w:val="22"/>
                <w:lang w:val="sk-SK"/>
              </w:rPr>
              <w:t>Zvýšená frekvencia močenia</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412411">
            <w:pPr>
              <w:shd w:val="clear" w:color="auto" w:fill="FFFFFF"/>
              <w:rPr>
                <w:szCs w:val="22"/>
                <w:lang w:val="sk-SK"/>
              </w:rPr>
            </w:pPr>
            <w:r w:rsidRPr="004B6827">
              <w:rPr>
                <w:szCs w:val="22"/>
                <w:lang w:val="sk-SK"/>
              </w:rPr>
              <w:t>Ren</w:t>
            </w:r>
            <w:r w:rsidR="00412411" w:rsidRPr="004B6827">
              <w:rPr>
                <w:szCs w:val="22"/>
                <w:lang w:val="sk-SK"/>
              </w:rPr>
              <w:t>álna</w:t>
            </w:r>
            <w:r w:rsidRPr="004B6827">
              <w:rPr>
                <w:szCs w:val="22"/>
                <w:lang w:val="sk-SK"/>
              </w:rPr>
              <w:t xml:space="preserve"> insuficienc</w:t>
            </w:r>
            <w:r w:rsidR="00412411" w:rsidRPr="004B6827">
              <w:rPr>
                <w:szCs w:val="22"/>
                <w:lang w:val="sk-SK"/>
              </w:rPr>
              <w:t>ia</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05"/>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412411" w:rsidP="006A6164">
            <w:pPr>
              <w:shd w:val="clear" w:color="auto" w:fill="FFFFFF"/>
              <w:rPr>
                <w:szCs w:val="22"/>
                <w:lang w:val="sk-SK"/>
              </w:rPr>
            </w:pPr>
            <w:r w:rsidRPr="004B6827">
              <w:rPr>
                <w:szCs w:val="22"/>
                <w:lang w:val="sk-SK"/>
              </w:rPr>
              <w:t>Akútne zlyhanie obličiek</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51"/>
        </w:trPr>
        <w:tc>
          <w:tcPr>
            <w:tcW w:w="907" w:type="pct"/>
            <w:vMerge w:val="restart"/>
          </w:tcPr>
          <w:p w:rsidR="006A6164" w:rsidRPr="004B6827" w:rsidRDefault="00747231" w:rsidP="006A6164">
            <w:pPr>
              <w:shd w:val="clear" w:color="auto" w:fill="FFFFFF"/>
              <w:rPr>
                <w:b/>
                <w:szCs w:val="22"/>
                <w:lang w:val="sk-SK"/>
              </w:rPr>
            </w:pPr>
            <w:r w:rsidRPr="004B6827">
              <w:rPr>
                <w:b/>
                <w:bCs/>
                <w:iCs/>
                <w:lang w:val="sk-SK" w:eastAsia="sk-SK"/>
              </w:rPr>
              <w:t>Poruchy reprodukčného systému a prsníkov</w:t>
            </w:r>
          </w:p>
        </w:tc>
        <w:tc>
          <w:tcPr>
            <w:tcW w:w="1489" w:type="pct"/>
          </w:tcPr>
          <w:p w:rsidR="006A6164" w:rsidRPr="004B6827" w:rsidRDefault="00412411" w:rsidP="00412411">
            <w:pPr>
              <w:shd w:val="clear" w:color="auto" w:fill="FFFFFF"/>
              <w:rPr>
                <w:szCs w:val="22"/>
                <w:lang w:val="sk-SK"/>
              </w:rPr>
            </w:pPr>
            <w:r w:rsidRPr="00275323">
              <w:rPr>
                <w:szCs w:val="22"/>
                <w:lang w:val="sk-SK"/>
              </w:rPr>
              <w:t>Impotencia/erektilná dysfunkcia</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51"/>
        </w:trPr>
        <w:tc>
          <w:tcPr>
            <w:tcW w:w="907" w:type="pct"/>
            <w:vMerge/>
          </w:tcPr>
          <w:p w:rsidR="006A6164" w:rsidRPr="004B6827" w:rsidRDefault="006A6164" w:rsidP="006A6164">
            <w:pPr>
              <w:shd w:val="clear" w:color="auto" w:fill="FFFFFF"/>
              <w:rPr>
                <w:b/>
                <w:szCs w:val="22"/>
                <w:lang w:val="sk-SK"/>
              </w:rPr>
            </w:pPr>
          </w:p>
        </w:tc>
        <w:tc>
          <w:tcPr>
            <w:tcW w:w="1489" w:type="pct"/>
          </w:tcPr>
          <w:p w:rsidR="006A6164" w:rsidRPr="004B6827" w:rsidRDefault="006A6164" w:rsidP="00412411">
            <w:pPr>
              <w:shd w:val="clear" w:color="auto" w:fill="FFFFFF"/>
              <w:rPr>
                <w:szCs w:val="22"/>
                <w:lang w:val="sk-SK"/>
              </w:rPr>
            </w:pPr>
            <w:r w:rsidRPr="004B6827">
              <w:rPr>
                <w:szCs w:val="22"/>
                <w:lang w:val="sk-SK"/>
              </w:rPr>
              <w:t>Gyne</w:t>
            </w:r>
            <w:r w:rsidR="00412411" w:rsidRPr="004B6827">
              <w:rPr>
                <w:szCs w:val="22"/>
                <w:lang w:val="sk-SK"/>
              </w:rPr>
              <w:t>k</w:t>
            </w:r>
            <w:r w:rsidRPr="004B6827">
              <w:rPr>
                <w:szCs w:val="22"/>
                <w:lang w:val="sk-SK"/>
              </w:rPr>
              <w:t xml:space="preserve">omastia </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Veľmi zriedkavé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51"/>
        </w:trPr>
        <w:tc>
          <w:tcPr>
            <w:tcW w:w="907" w:type="pct"/>
            <w:vMerge w:val="restart"/>
          </w:tcPr>
          <w:p w:rsidR="006A6164" w:rsidRPr="004B6827" w:rsidRDefault="00747231" w:rsidP="006A6164">
            <w:pPr>
              <w:shd w:val="clear" w:color="auto" w:fill="FFFFFF"/>
              <w:rPr>
                <w:b/>
                <w:bCs/>
                <w:szCs w:val="22"/>
                <w:lang w:val="sk-SK"/>
              </w:rPr>
            </w:pPr>
            <w:r w:rsidRPr="004B6827">
              <w:rPr>
                <w:b/>
                <w:bCs/>
                <w:iCs/>
                <w:lang w:val="sk-SK" w:eastAsia="sk-SK"/>
              </w:rPr>
              <w:t>Celkové poruchy a reakcie v mieste podania</w:t>
            </w:r>
          </w:p>
        </w:tc>
        <w:tc>
          <w:tcPr>
            <w:tcW w:w="1489" w:type="pct"/>
          </w:tcPr>
          <w:p w:rsidR="006A6164" w:rsidRPr="00275323" w:rsidRDefault="006A6164" w:rsidP="00412411">
            <w:pPr>
              <w:shd w:val="clear" w:color="auto" w:fill="FFFFFF"/>
              <w:rPr>
                <w:szCs w:val="22"/>
                <w:lang w:val="sk-SK"/>
              </w:rPr>
            </w:pPr>
            <w:r w:rsidRPr="00275323">
              <w:rPr>
                <w:szCs w:val="22"/>
                <w:lang w:val="sk-SK"/>
              </w:rPr>
              <w:t>As</w:t>
            </w:r>
            <w:r w:rsidR="00412411" w:rsidRPr="00275323">
              <w:rPr>
                <w:szCs w:val="22"/>
                <w:lang w:val="sk-SK"/>
              </w:rPr>
              <w:t>té</w:t>
            </w:r>
            <w:r w:rsidRPr="00275323">
              <w:rPr>
                <w:szCs w:val="22"/>
                <w:lang w:val="sk-SK"/>
              </w:rPr>
              <w:t xml:space="preserve">nia </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51"/>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412411" w:rsidP="006A6164">
            <w:pPr>
              <w:shd w:val="clear" w:color="auto" w:fill="FFFFFF"/>
              <w:rPr>
                <w:szCs w:val="22"/>
                <w:lang w:val="sk-SK"/>
              </w:rPr>
            </w:pPr>
            <w:r w:rsidRPr="004B6827">
              <w:rPr>
                <w:szCs w:val="22"/>
                <w:lang w:val="sk-SK"/>
              </w:rPr>
              <w:t>Únava</w:t>
            </w:r>
            <w:r w:rsidR="006A6164" w:rsidRPr="004B6827">
              <w:rPr>
                <w:szCs w:val="22"/>
                <w:lang w:val="sk-SK"/>
              </w:rPr>
              <w:t xml:space="preserve"> </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Časté</w:t>
            </w:r>
          </w:p>
        </w:tc>
      </w:tr>
      <w:tr w:rsidR="006A6164" w:rsidRPr="004B6827" w:rsidTr="006A6164">
        <w:trPr>
          <w:trHeight w:val="351"/>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412411" w:rsidP="00171B26">
            <w:pPr>
              <w:shd w:val="clear" w:color="auto" w:fill="FFFFFF"/>
              <w:rPr>
                <w:szCs w:val="22"/>
                <w:lang w:val="sk-SK"/>
              </w:rPr>
            </w:pPr>
            <w:r w:rsidRPr="004B6827">
              <w:rPr>
                <w:szCs w:val="22"/>
                <w:lang w:val="sk-SK"/>
              </w:rPr>
              <w:t>Bolesť na hrud</w:t>
            </w:r>
            <w:r w:rsidR="00171B26" w:rsidRPr="004B6827">
              <w:rPr>
                <w:szCs w:val="22"/>
                <w:lang w:val="sk-SK"/>
              </w:rPr>
              <w:t>i</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r w:rsidR="006A6164"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51"/>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412411" w:rsidP="006A6164">
            <w:pPr>
              <w:shd w:val="clear" w:color="auto" w:fill="FFFFFF"/>
              <w:rPr>
                <w:szCs w:val="22"/>
                <w:lang w:val="sk-SK"/>
              </w:rPr>
            </w:pPr>
            <w:r w:rsidRPr="004B6827">
              <w:rPr>
                <w:szCs w:val="22"/>
                <w:lang w:val="sk-SK"/>
              </w:rPr>
              <w:t>Bolesť</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51"/>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412411" w:rsidP="006A6164">
            <w:pPr>
              <w:shd w:val="clear" w:color="auto" w:fill="FFFFFF"/>
              <w:rPr>
                <w:szCs w:val="22"/>
                <w:lang w:val="sk-SK"/>
              </w:rPr>
            </w:pPr>
            <w:r w:rsidRPr="004B6827">
              <w:rPr>
                <w:szCs w:val="22"/>
                <w:lang w:val="sk-SK"/>
              </w:rPr>
              <w:t>Celková nevoľnosť</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r w:rsidR="006A6164"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215"/>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412411" w:rsidP="006A6164">
            <w:pPr>
              <w:shd w:val="clear" w:color="auto" w:fill="FFFFFF"/>
              <w:rPr>
                <w:szCs w:val="22"/>
                <w:lang w:val="sk-SK"/>
              </w:rPr>
            </w:pPr>
            <w:r w:rsidRPr="004B6827">
              <w:rPr>
                <w:szCs w:val="22"/>
                <w:lang w:val="sk-SK"/>
              </w:rPr>
              <w:t>Periférny edém</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r w:rsidR="006A6164"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Časté</w:t>
            </w:r>
          </w:p>
        </w:tc>
      </w:tr>
      <w:tr w:rsidR="006A6164" w:rsidRPr="004B6827" w:rsidTr="006A6164">
        <w:trPr>
          <w:trHeight w:val="351"/>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6A6164" w:rsidP="006A6164">
            <w:pPr>
              <w:shd w:val="clear" w:color="auto" w:fill="FFFFFF"/>
              <w:rPr>
                <w:szCs w:val="22"/>
                <w:lang w:val="sk-SK"/>
              </w:rPr>
            </w:pPr>
            <w:r w:rsidRPr="004B6827">
              <w:rPr>
                <w:szCs w:val="22"/>
                <w:lang w:val="sk-SK"/>
              </w:rPr>
              <w:t xml:space="preserve">Pyrexia </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r w:rsidR="006A6164"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409"/>
        </w:trPr>
        <w:tc>
          <w:tcPr>
            <w:tcW w:w="907" w:type="pct"/>
            <w:vMerge w:val="restart"/>
          </w:tcPr>
          <w:p w:rsidR="006A6164" w:rsidRPr="004B6827" w:rsidRDefault="00747231" w:rsidP="006A6164">
            <w:pPr>
              <w:shd w:val="clear" w:color="auto" w:fill="FFFFFF"/>
              <w:rPr>
                <w:b/>
                <w:szCs w:val="22"/>
                <w:lang w:val="sk-SK"/>
              </w:rPr>
            </w:pPr>
            <w:r w:rsidRPr="004B6827">
              <w:rPr>
                <w:b/>
                <w:bCs/>
                <w:iCs/>
                <w:lang w:val="sk-SK" w:eastAsia="sk-SK"/>
              </w:rPr>
              <w:t>Laboratórne a funkčné vyšetrenia</w:t>
            </w:r>
          </w:p>
        </w:tc>
        <w:tc>
          <w:tcPr>
            <w:tcW w:w="1489" w:type="pct"/>
          </w:tcPr>
          <w:p w:rsidR="006A6164" w:rsidRPr="00275323" w:rsidRDefault="009250C7" w:rsidP="006A6164">
            <w:pPr>
              <w:shd w:val="clear" w:color="auto" w:fill="FFFFFF"/>
              <w:rPr>
                <w:szCs w:val="22"/>
                <w:lang w:val="sk-SK"/>
              </w:rPr>
            </w:pPr>
            <w:r w:rsidRPr="00275323">
              <w:rPr>
                <w:szCs w:val="22"/>
                <w:lang w:val="sk-SK"/>
              </w:rPr>
              <w:t>Zvýšená hladina urey v krvi</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r w:rsidR="006A6164"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87"/>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9250C7" w:rsidP="006A6164">
            <w:pPr>
              <w:shd w:val="clear" w:color="auto" w:fill="FFFFFF"/>
              <w:rPr>
                <w:szCs w:val="22"/>
                <w:lang w:val="sk-SK"/>
              </w:rPr>
            </w:pPr>
            <w:r w:rsidRPr="004B6827">
              <w:rPr>
                <w:szCs w:val="22"/>
                <w:lang w:val="sk-SK"/>
              </w:rPr>
              <w:t>Zvýšená hladina kreatinínu v krvi</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r w:rsidR="006A6164"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13"/>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9250C7" w:rsidP="006A6164">
            <w:pPr>
              <w:shd w:val="clear" w:color="auto" w:fill="FFFFFF"/>
              <w:rPr>
                <w:szCs w:val="22"/>
                <w:lang w:val="sk-SK"/>
              </w:rPr>
            </w:pPr>
            <w:r w:rsidRPr="004B6827">
              <w:rPr>
                <w:szCs w:val="22"/>
                <w:lang w:val="sk-SK"/>
              </w:rPr>
              <w:t>Zvýšenie pečeňových enzýmov</w:t>
            </w:r>
            <w:r w:rsidR="006A6164" w:rsidRPr="004B6827">
              <w:rPr>
                <w:szCs w:val="22"/>
                <w:shd w:val="clear" w:color="auto" w:fill="FFC000"/>
                <w:lang w:val="sk-SK"/>
              </w:rPr>
              <w:t xml:space="preserve"> </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Zriedkavé</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Veľmi zriedkavé</w:t>
            </w:r>
            <w:r w:rsidR="006A6164" w:rsidRPr="004B6827">
              <w:rPr>
                <w:szCs w:val="22"/>
                <w:lang w:val="sk-SK"/>
              </w:rPr>
              <w:t>**</w:t>
            </w:r>
          </w:p>
        </w:tc>
      </w:tr>
      <w:tr w:rsidR="006A6164" w:rsidRPr="004B6827" w:rsidTr="006A6164">
        <w:trPr>
          <w:trHeight w:val="313"/>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4B6827" w:rsidP="009250C7">
            <w:pPr>
              <w:shd w:val="clear" w:color="auto" w:fill="FFFFFF"/>
              <w:rPr>
                <w:szCs w:val="22"/>
                <w:lang w:val="sk-SK"/>
              </w:rPr>
            </w:pPr>
            <w:r w:rsidRPr="004B6827">
              <w:rPr>
                <w:szCs w:val="22"/>
                <w:lang w:val="sk-SK"/>
              </w:rPr>
              <w:t>Zvýšená</w:t>
            </w:r>
            <w:r w:rsidR="009250C7" w:rsidRPr="004B6827">
              <w:rPr>
                <w:szCs w:val="22"/>
                <w:lang w:val="sk-SK"/>
              </w:rPr>
              <w:t xml:space="preserve"> hladina bilirubínu v krvi</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Zriedkavé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05"/>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9250C7" w:rsidP="006A6164">
            <w:pPr>
              <w:shd w:val="clear" w:color="auto" w:fill="FFFFFF"/>
              <w:rPr>
                <w:szCs w:val="22"/>
                <w:lang w:val="sk-SK"/>
              </w:rPr>
            </w:pPr>
            <w:r w:rsidRPr="004B6827">
              <w:rPr>
                <w:szCs w:val="22"/>
                <w:lang w:val="sk-SK"/>
              </w:rPr>
              <w:t>Zvýšenie telesnej hmotnosti</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398"/>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BD32B9" w:rsidP="006A6164">
            <w:pPr>
              <w:shd w:val="clear" w:color="auto" w:fill="FFFFFF"/>
              <w:rPr>
                <w:szCs w:val="22"/>
                <w:lang w:val="sk-SK"/>
              </w:rPr>
            </w:pPr>
            <w:r w:rsidRPr="004B6827">
              <w:rPr>
                <w:szCs w:val="22"/>
                <w:lang w:val="sk-SK"/>
              </w:rPr>
              <w:t>P</w:t>
            </w:r>
            <w:r w:rsidR="009250C7" w:rsidRPr="004B6827">
              <w:rPr>
                <w:szCs w:val="22"/>
                <w:lang w:val="sk-SK"/>
              </w:rPr>
              <w:t>ozitívny nález bielych krviniek v moči</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Menej 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05"/>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9250C7" w:rsidP="009250C7">
            <w:pPr>
              <w:shd w:val="clear" w:color="auto" w:fill="FFFFFF"/>
              <w:rPr>
                <w:szCs w:val="22"/>
                <w:lang w:val="sk-SK"/>
              </w:rPr>
            </w:pPr>
            <w:r w:rsidRPr="004B6827">
              <w:rPr>
                <w:szCs w:val="22"/>
                <w:lang w:val="sk-SK"/>
              </w:rPr>
              <w:t>Zníženie telesnej hmotnosti</w:t>
            </w:r>
          </w:p>
        </w:tc>
        <w:tc>
          <w:tcPr>
            <w:tcW w:w="869"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8A2948" w:rsidP="006A6164">
            <w:pPr>
              <w:shd w:val="clear" w:color="auto" w:fill="FFFFFF"/>
              <w:jc w:val="center"/>
              <w:rPr>
                <w:szCs w:val="22"/>
                <w:lang w:val="sk-SK"/>
              </w:rPr>
            </w:pPr>
            <w:r w:rsidRPr="004B6827">
              <w:rPr>
                <w:szCs w:val="22"/>
                <w:lang w:val="sk-SK"/>
              </w:rPr>
              <w:t>Menej časté</w:t>
            </w:r>
          </w:p>
        </w:tc>
      </w:tr>
      <w:tr w:rsidR="006A6164" w:rsidRPr="004B6827" w:rsidTr="006A6164">
        <w:trPr>
          <w:trHeight w:val="270"/>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9250C7" w:rsidP="009250C7">
            <w:pPr>
              <w:shd w:val="clear" w:color="auto" w:fill="FFFFFF"/>
              <w:rPr>
                <w:szCs w:val="22"/>
                <w:lang w:val="sk-SK"/>
              </w:rPr>
            </w:pPr>
            <w:r w:rsidRPr="004B6827">
              <w:rPr>
                <w:szCs w:val="22"/>
                <w:lang w:val="sk-SK"/>
              </w:rPr>
              <w:t>Abnormálne hodnoty pečeňových testov</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255"/>
        </w:trPr>
        <w:tc>
          <w:tcPr>
            <w:tcW w:w="907" w:type="pct"/>
            <w:vMerge/>
          </w:tcPr>
          <w:p w:rsidR="006A6164" w:rsidRPr="004B6827" w:rsidRDefault="006A6164" w:rsidP="006A6164">
            <w:pPr>
              <w:shd w:val="clear" w:color="auto" w:fill="FFFFFF"/>
              <w:rPr>
                <w:b/>
                <w:bCs/>
                <w:szCs w:val="22"/>
                <w:lang w:val="sk-SK"/>
              </w:rPr>
            </w:pPr>
          </w:p>
        </w:tc>
        <w:tc>
          <w:tcPr>
            <w:tcW w:w="1489" w:type="pct"/>
          </w:tcPr>
          <w:p w:rsidR="006A6164" w:rsidRPr="004B6827" w:rsidRDefault="009250C7" w:rsidP="006A6164">
            <w:pPr>
              <w:shd w:val="clear" w:color="auto" w:fill="FFFFFF"/>
              <w:rPr>
                <w:szCs w:val="22"/>
                <w:lang w:val="sk-SK"/>
              </w:rPr>
            </w:pPr>
            <w:r w:rsidRPr="004B6827">
              <w:rPr>
                <w:szCs w:val="22"/>
                <w:lang w:val="sk-SK"/>
              </w:rPr>
              <w:t>Zvýšená hladina kreatínkinázy v krvi</w:t>
            </w:r>
            <w:r w:rsidR="006A6164" w:rsidRPr="004B6827">
              <w:rPr>
                <w:szCs w:val="22"/>
                <w:lang w:val="sk-SK"/>
              </w:rPr>
              <w:t xml:space="preserve"> </w:t>
            </w:r>
          </w:p>
        </w:tc>
        <w:tc>
          <w:tcPr>
            <w:tcW w:w="869" w:type="pct"/>
          </w:tcPr>
          <w:p w:rsidR="006A6164" w:rsidRPr="004B6827" w:rsidRDefault="008A2948" w:rsidP="006A6164">
            <w:pPr>
              <w:shd w:val="clear" w:color="auto" w:fill="FFFFFF"/>
              <w:jc w:val="center"/>
              <w:rPr>
                <w:szCs w:val="22"/>
                <w:lang w:val="sk-SK"/>
              </w:rPr>
            </w:pPr>
            <w:r w:rsidRPr="004B6827">
              <w:rPr>
                <w:szCs w:val="22"/>
                <w:lang w:val="sk-SK"/>
              </w:rPr>
              <w:t>Časté</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c>
          <w:tcPr>
            <w:tcW w:w="868" w:type="pct"/>
          </w:tcPr>
          <w:p w:rsidR="006A6164" w:rsidRPr="004B6827" w:rsidRDefault="006A6164" w:rsidP="006A6164">
            <w:pPr>
              <w:shd w:val="clear" w:color="auto" w:fill="FFFFFF"/>
              <w:jc w:val="center"/>
              <w:rPr>
                <w:szCs w:val="22"/>
                <w:lang w:val="sk-SK"/>
              </w:rPr>
            </w:pPr>
            <w:r w:rsidRPr="004B6827">
              <w:rPr>
                <w:szCs w:val="22"/>
                <w:lang w:val="sk-SK"/>
              </w:rPr>
              <w:t>-</w:t>
            </w:r>
          </w:p>
        </w:tc>
      </w:tr>
      <w:tr w:rsidR="006A6164" w:rsidRPr="004B6827" w:rsidTr="006A6164">
        <w:trPr>
          <w:trHeight w:val="305"/>
        </w:trPr>
        <w:tc>
          <w:tcPr>
            <w:tcW w:w="907" w:type="pct"/>
          </w:tcPr>
          <w:p w:rsidR="006A6164" w:rsidRPr="004B6827" w:rsidRDefault="008A2948" w:rsidP="006A6164">
            <w:pPr>
              <w:rPr>
                <w:b/>
                <w:bCs/>
                <w:szCs w:val="22"/>
                <w:lang w:val="sk-SK"/>
              </w:rPr>
            </w:pPr>
            <w:r w:rsidRPr="004B6827">
              <w:rPr>
                <w:b/>
                <w:bCs/>
                <w:szCs w:val="22"/>
                <w:lang w:val="sk-SK"/>
              </w:rPr>
              <w:t>Úrazy, otravy a komplikácie liečebného postupu</w:t>
            </w:r>
          </w:p>
        </w:tc>
        <w:tc>
          <w:tcPr>
            <w:tcW w:w="1489" w:type="pct"/>
          </w:tcPr>
          <w:p w:rsidR="006A6164" w:rsidRPr="00275323" w:rsidRDefault="008A2948" w:rsidP="006A6164">
            <w:pPr>
              <w:rPr>
                <w:szCs w:val="22"/>
                <w:lang w:val="sk-SK"/>
              </w:rPr>
            </w:pPr>
            <w:r w:rsidRPr="00275323">
              <w:rPr>
                <w:szCs w:val="22"/>
                <w:lang w:val="sk-SK"/>
              </w:rPr>
              <w:t>Pád</w:t>
            </w:r>
          </w:p>
        </w:tc>
        <w:tc>
          <w:tcPr>
            <w:tcW w:w="869" w:type="pct"/>
          </w:tcPr>
          <w:p w:rsidR="006A6164" w:rsidRPr="004B6827" w:rsidRDefault="006A6164" w:rsidP="006A6164">
            <w:pPr>
              <w:jc w:val="center"/>
              <w:rPr>
                <w:szCs w:val="22"/>
                <w:lang w:val="sk-SK"/>
              </w:rPr>
            </w:pPr>
            <w:r w:rsidRPr="004B6827">
              <w:rPr>
                <w:szCs w:val="22"/>
                <w:lang w:val="sk-SK"/>
              </w:rPr>
              <w:t>-</w:t>
            </w:r>
          </w:p>
        </w:tc>
        <w:tc>
          <w:tcPr>
            <w:tcW w:w="868" w:type="pct"/>
          </w:tcPr>
          <w:p w:rsidR="006A6164" w:rsidRPr="004B6827" w:rsidRDefault="008A2948" w:rsidP="006A6164">
            <w:pPr>
              <w:jc w:val="center"/>
              <w:rPr>
                <w:szCs w:val="22"/>
                <w:lang w:val="sk-SK"/>
              </w:rPr>
            </w:pPr>
            <w:r w:rsidRPr="004B6827">
              <w:rPr>
                <w:szCs w:val="22"/>
                <w:lang w:val="sk-SK"/>
              </w:rPr>
              <w:t>Menej časté</w:t>
            </w:r>
            <w:r w:rsidR="006A6164" w:rsidRPr="004B6827">
              <w:rPr>
                <w:szCs w:val="22"/>
                <w:lang w:val="sk-SK"/>
              </w:rPr>
              <w:t>*</w:t>
            </w:r>
          </w:p>
        </w:tc>
        <w:tc>
          <w:tcPr>
            <w:tcW w:w="868" w:type="pct"/>
          </w:tcPr>
          <w:p w:rsidR="006A6164" w:rsidRPr="004B6827" w:rsidRDefault="006A6164" w:rsidP="006A6164">
            <w:pPr>
              <w:jc w:val="center"/>
              <w:rPr>
                <w:szCs w:val="22"/>
                <w:lang w:val="sk-SK"/>
              </w:rPr>
            </w:pPr>
            <w:r w:rsidRPr="004B6827">
              <w:rPr>
                <w:szCs w:val="22"/>
                <w:lang w:val="sk-SK"/>
              </w:rPr>
              <w:t>-</w:t>
            </w:r>
          </w:p>
        </w:tc>
      </w:tr>
    </w:tbl>
    <w:p w:rsidR="000F4A9B" w:rsidRPr="004B6827" w:rsidRDefault="000F4A9B" w:rsidP="000F4A9B">
      <w:pPr>
        <w:tabs>
          <w:tab w:val="left" w:pos="-142"/>
          <w:tab w:val="left" w:pos="284"/>
        </w:tabs>
        <w:spacing w:line="240" w:lineRule="auto"/>
        <w:rPr>
          <w:i/>
          <w:noProof/>
          <w:szCs w:val="22"/>
          <w:lang w:val="sk-SK" w:eastAsia="sk-SK"/>
        </w:rPr>
      </w:pPr>
      <w:r w:rsidRPr="004B6827">
        <w:rPr>
          <w:i/>
          <w:noProof/>
          <w:szCs w:val="22"/>
          <w:lang w:val="sk-SK" w:eastAsia="sk-SK"/>
        </w:rPr>
        <w:t>* Frekvencia vypočítaná z klinických skúšaní pre nežiaduce účinky zistené zo spontánnych hlásení</w:t>
      </w:r>
    </w:p>
    <w:p w:rsidR="008E7A2E" w:rsidRPr="00275323" w:rsidRDefault="008E7A2E" w:rsidP="000F4A9B">
      <w:pPr>
        <w:tabs>
          <w:tab w:val="left" w:pos="-142"/>
          <w:tab w:val="left" w:pos="284"/>
        </w:tabs>
        <w:spacing w:line="240" w:lineRule="auto"/>
        <w:rPr>
          <w:i/>
          <w:noProof/>
          <w:szCs w:val="22"/>
          <w:lang w:val="sk-SK" w:eastAsia="sk-SK"/>
        </w:rPr>
      </w:pPr>
      <w:r w:rsidRPr="004B6827">
        <w:rPr>
          <w:i/>
          <w:noProof/>
          <w:szCs w:val="22"/>
          <w:lang w:val="sk-SK" w:eastAsia="sk-SK"/>
        </w:rPr>
        <w:t xml:space="preserve">** </w:t>
      </w:r>
      <w:r w:rsidR="004C2CE8" w:rsidRPr="00275323">
        <w:rPr>
          <w:i/>
          <w:noProof/>
          <w:szCs w:val="22"/>
          <w:lang w:val="sk-SK" w:eastAsia="sk-SK"/>
        </w:rPr>
        <w:t>Najkonzistentnejšie s cholestázou</w:t>
      </w:r>
    </w:p>
    <w:p w:rsidR="004C2CE8" w:rsidRPr="004B6827" w:rsidRDefault="004C2CE8" w:rsidP="000F4A9B">
      <w:pPr>
        <w:tabs>
          <w:tab w:val="left" w:pos="-142"/>
          <w:tab w:val="left" w:pos="284"/>
        </w:tabs>
        <w:spacing w:line="240" w:lineRule="auto"/>
        <w:rPr>
          <w:i/>
          <w:noProof/>
          <w:szCs w:val="22"/>
          <w:lang w:val="sk-SK" w:eastAsia="sk-SK"/>
        </w:rPr>
      </w:pPr>
    </w:p>
    <w:p w:rsidR="004C2CE8" w:rsidRPr="004B6827" w:rsidRDefault="004C2CE8" w:rsidP="000F4A9B">
      <w:pPr>
        <w:tabs>
          <w:tab w:val="left" w:pos="-142"/>
          <w:tab w:val="left" w:pos="284"/>
        </w:tabs>
        <w:spacing w:line="240" w:lineRule="auto"/>
        <w:rPr>
          <w:i/>
          <w:noProof/>
          <w:szCs w:val="22"/>
          <w:lang w:val="sk-SK" w:eastAsia="sk-SK"/>
        </w:rPr>
      </w:pPr>
      <w:r w:rsidRPr="004B6827">
        <w:rPr>
          <w:lang w:val="sk-SK" w:eastAsia="sk-SK"/>
        </w:rPr>
        <w:t>U amlodipínu boli hlásené výnimočné prípady extrapyramídového syndrómu.</w:t>
      </w:r>
    </w:p>
    <w:p w:rsidR="000F4A9B" w:rsidRPr="004B6827" w:rsidRDefault="000F4A9B" w:rsidP="000F4A9B">
      <w:pPr>
        <w:tabs>
          <w:tab w:val="left" w:pos="284"/>
        </w:tabs>
        <w:rPr>
          <w:szCs w:val="22"/>
          <w:lang w:val="sk-SK"/>
        </w:rPr>
      </w:pPr>
    </w:p>
    <w:p w:rsidR="004C2CE8" w:rsidRPr="004B6827" w:rsidRDefault="004C2CE8" w:rsidP="004C2CE8">
      <w:pPr>
        <w:rPr>
          <w:szCs w:val="22"/>
          <w:lang w:val="sk-SK"/>
        </w:rPr>
      </w:pPr>
      <w:r w:rsidRPr="004B6827">
        <w:rPr>
          <w:szCs w:val="22"/>
          <w:lang w:val="sk-SK"/>
        </w:rPr>
        <w:t>Rovnako ako u iných inhibítorov HMG</w:t>
      </w:r>
      <w:r w:rsidRPr="004B6827">
        <w:rPr>
          <w:szCs w:val="22"/>
          <w:lang w:val="sk-SK"/>
        </w:rPr>
        <w:noBreakHyphen/>
        <w:t>CoA reduktázy bol u pacientov liečených atorvastatínom hlásený vzostup transamináz v sére. Tieto zmeny boli zvyčajne mierne, prechodné a nevyžadovali prerušenie liečby. Klinicky významné (&gt; 3</w:t>
      </w:r>
      <w:r w:rsidR="002C3479" w:rsidRPr="004B6827">
        <w:rPr>
          <w:szCs w:val="22"/>
          <w:lang w:val="sk-SK"/>
        </w:rPr>
        <w:t>-</w:t>
      </w:r>
      <w:r w:rsidRPr="004B6827">
        <w:rPr>
          <w:szCs w:val="22"/>
          <w:lang w:val="sk-SK"/>
        </w:rPr>
        <w:t xml:space="preserve">násobok hornej hranice </w:t>
      </w:r>
      <w:r w:rsidR="008D6CDE" w:rsidRPr="004B6827">
        <w:rPr>
          <w:szCs w:val="22"/>
          <w:lang w:val="sk-SK"/>
        </w:rPr>
        <w:t xml:space="preserve">normálnych </w:t>
      </w:r>
      <w:r w:rsidRPr="004B6827">
        <w:rPr>
          <w:szCs w:val="22"/>
          <w:lang w:val="sk-SK"/>
        </w:rPr>
        <w:t xml:space="preserve">hodnôt) zvýšenie sérových transamináz sa vyskytlo u 0,8 % pacientov liečených atorvastatínom. Tieto zvýšenia boli závislé </w:t>
      </w:r>
      <w:r w:rsidR="00E217BF" w:rsidRPr="004B6827">
        <w:rPr>
          <w:szCs w:val="22"/>
          <w:lang w:val="sk-SK"/>
        </w:rPr>
        <w:t>od</w:t>
      </w:r>
      <w:r w:rsidRPr="004B6827">
        <w:rPr>
          <w:szCs w:val="22"/>
          <w:lang w:val="sk-SK"/>
        </w:rPr>
        <w:t xml:space="preserve"> dávk</w:t>
      </w:r>
      <w:r w:rsidR="00E217BF" w:rsidRPr="004B6827">
        <w:rPr>
          <w:szCs w:val="22"/>
          <w:lang w:val="sk-SK"/>
        </w:rPr>
        <w:t>y</w:t>
      </w:r>
      <w:r w:rsidRPr="004B6827">
        <w:rPr>
          <w:szCs w:val="22"/>
          <w:lang w:val="sk-SK"/>
        </w:rPr>
        <w:t xml:space="preserve"> a u všetkých pacientov boli reverzibilné.</w:t>
      </w:r>
    </w:p>
    <w:p w:rsidR="004C2CE8" w:rsidRPr="004B6827" w:rsidRDefault="004C2CE8" w:rsidP="004C2CE8">
      <w:pPr>
        <w:rPr>
          <w:szCs w:val="22"/>
          <w:lang w:val="sk-SK"/>
        </w:rPr>
      </w:pPr>
    </w:p>
    <w:p w:rsidR="004C2CE8" w:rsidRPr="004B6827" w:rsidRDefault="004C2CE8" w:rsidP="004C2CE8">
      <w:pPr>
        <w:tabs>
          <w:tab w:val="left" w:pos="284"/>
        </w:tabs>
        <w:rPr>
          <w:szCs w:val="22"/>
          <w:lang w:val="sk-SK"/>
        </w:rPr>
      </w:pPr>
      <w:r w:rsidRPr="004B6827">
        <w:rPr>
          <w:szCs w:val="22"/>
          <w:lang w:val="sk-SK"/>
        </w:rPr>
        <w:lastRenderedPageBreak/>
        <w:t>Zvýšené hladiny kreatínkinázy (CK) v sére na viac než 3</w:t>
      </w:r>
      <w:r w:rsidR="002C3479" w:rsidRPr="004B6827">
        <w:rPr>
          <w:szCs w:val="22"/>
          <w:lang w:val="sk-SK"/>
        </w:rPr>
        <w:t>-</w:t>
      </w:r>
      <w:r w:rsidRPr="004B6827">
        <w:rPr>
          <w:szCs w:val="22"/>
          <w:lang w:val="sk-SK"/>
        </w:rPr>
        <w:t xml:space="preserve">násobok hornej hranice </w:t>
      </w:r>
      <w:r w:rsidR="008D6CDE" w:rsidRPr="004B6827">
        <w:rPr>
          <w:szCs w:val="22"/>
          <w:lang w:val="sk-SK"/>
        </w:rPr>
        <w:t>normálnych</w:t>
      </w:r>
      <w:r w:rsidRPr="004B6827">
        <w:rPr>
          <w:szCs w:val="22"/>
          <w:lang w:val="sk-SK"/>
        </w:rPr>
        <w:t xml:space="preserve"> hodnôt sa vyskytli u 2,5 % pacientov liečených </w:t>
      </w:r>
      <w:r w:rsidR="00ED2E44" w:rsidRPr="004B6827">
        <w:rPr>
          <w:szCs w:val="22"/>
          <w:lang w:val="sk-SK"/>
        </w:rPr>
        <w:t>atorvastatínom</w:t>
      </w:r>
      <w:r w:rsidRPr="004B6827">
        <w:rPr>
          <w:szCs w:val="22"/>
          <w:lang w:val="sk-SK"/>
        </w:rPr>
        <w:t>, podobne ako v klinických skúšaniach s inými inhibítormi HMG</w:t>
      </w:r>
      <w:r w:rsidR="002C3479" w:rsidRPr="004B6827">
        <w:rPr>
          <w:szCs w:val="22"/>
          <w:lang w:val="sk-SK"/>
        </w:rPr>
        <w:t>-</w:t>
      </w:r>
      <w:r w:rsidRPr="004B6827">
        <w:rPr>
          <w:szCs w:val="22"/>
          <w:lang w:val="sk-SK"/>
        </w:rPr>
        <w:t>CoA reduktázy. H</w:t>
      </w:r>
      <w:r w:rsidR="00ED2E44" w:rsidRPr="004B6827">
        <w:rPr>
          <w:szCs w:val="22"/>
          <w:lang w:val="sk-SK"/>
        </w:rPr>
        <w:t>ladin</w:t>
      </w:r>
      <w:r w:rsidRPr="004B6827">
        <w:rPr>
          <w:szCs w:val="22"/>
          <w:lang w:val="sk-SK"/>
        </w:rPr>
        <w:t>y vyššie ako 10</w:t>
      </w:r>
      <w:r w:rsidR="002C3479" w:rsidRPr="004B6827">
        <w:rPr>
          <w:szCs w:val="22"/>
          <w:lang w:val="sk-SK"/>
        </w:rPr>
        <w:t>-</w:t>
      </w:r>
      <w:r w:rsidRPr="004B6827">
        <w:rPr>
          <w:szCs w:val="22"/>
          <w:lang w:val="sk-SK"/>
        </w:rPr>
        <w:t xml:space="preserve">násobok hornej hranice </w:t>
      </w:r>
      <w:r w:rsidR="008D6CDE" w:rsidRPr="004B6827">
        <w:rPr>
          <w:szCs w:val="22"/>
          <w:lang w:val="sk-SK"/>
        </w:rPr>
        <w:t>normálnych</w:t>
      </w:r>
      <w:r w:rsidRPr="004B6827">
        <w:rPr>
          <w:szCs w:val="22"/>
          <w:lang w:val="sk-SK"/>
        </w:rPr>
        <w:t xml:space="preserve"> hodnôt sa vyskytli u 0,4 % pacientov liečených </w:t>
      </w:r>
      <w:r w:rsidR="00ED2E44" w:rsidRPr="004B6827">
        <w:rPr>
          <w:szCs w:val="22"/>
          <w:lang w:val="sk-SK"/>
        </w:rPr>
        <w:t>atorvastatínom</w:t>
      </w:r>
      <w:r w:rsidRPr="004B6827">
        <w:rPr>
          <w:szCs w:val="22"/>
          <w:lang w:val="sk-SK"/>
        </w:rPr>
        <w:t xml:space="preserve"> (pozri časť 4.4).</w:t>
      </w:r>
    </w:p>
    <w:p w:rsidR="00DE4B30" w:rsidRPr="004B6827" w:rsidRDefault="00DE4B30" w:rsidP="004C2CE8">
      <w:pPr>
        <w:tabs>
          <w:tab w:val="left" w:pos="284"/>
        </w:tabs>
        <w:rPr>
          <w:szCs w:val="22"/>
          <w:lang w:val="sk-SK"/>
        </w:rPr>
      </w:pPr>
    </w:p>
    <w:p w:rsidR="00DE4B30" w:rsidRPr="004B6827" w:rsidRDefault="00DE4B30" w:rsidP="00DE4B30">
      <w:pPr>
        <w:autoSpaceDE w:val="0"/>
        <w:autoSpaceDN w:val="0"/>
        <w:adjustRightInd w:val="0"/>
        <w:rPr>
          <w:rFonts w:eastAsia="TimesNewRoman"/>
          <w:szCs w:val="22"/>
          <w:lang w:val="sk-SK" w:eastAsia="en-GB"/>
        </w:rPr>
      </w:pPr>
      <w:r w:rsidRPr="004B6827">
        <w:rPr>
          <w:rFonts w:eastAsia="TimesNewRoman"/>
          <w:szCs w:val="22"/>
          <w:lang w:val="sk-SK" w:eastAsia="en-GB"/>
        </w:rPr>
        <w:t>Nasledujúce nežiaduce účinky boli hlásené v súvislosti s niektorými statínmi:</w:t>
      </w:r>
    </w:p>
    <w:p w:rsidR="00DE4B30" w:rsidRPr="004B6827" w:rsidRDefault="00DE4B30" w:rsidP="00DE4B30">
      <w:pPr>
        <w:numPr>
          <w:ilvl w:val="0"/>
          <w:numId w:val="39"/>
        </w:numPr>
        <w:tabs>
          <w:tab w:val="clear" w:pos="720"/>
        </w:tabs>
        <w:autoSpaceDE w:val="0"/>
        <w:autoSpaceDN w:val="0"/>
        <w:adjustRightInd w:val="0"/>
        <w:spacing w:line="240" w:lineRule="auto"/>
        <w:ind w:left="567" w:hanging="567"/>
        <w:rPr>
          <w:rFonts w:eastAsia="TimesNewRoman"/>
          <w:szCs w:val="22"/>
          <w:lang w:val="sk-SK" w:eastAsia="en-GB"/>
        </w:rPr>
      </w:pPr>
      <w:r w:rsidRPr="004B6827">
        <w:rPr>
          <w:rFonts w:eastAsia="TimesNewRoman"/>
          <w:szCs w:val="22"/>
          <w:lang w:val="sk-SK" w:eastAsia="en-GB"/>
        </w:rPr>
        <w:t>Sexuálna dysfunkcia.</w:t>
      </w:r>
    </w:p>
    <w:p w:rsidR="00DE4B30" w:rsidRPr="004B6827" w:rsidRDefault="00DE4B30" w:rsidP="00DE4B30">
      <w:pPr>
        <w:numPr>
          <w:ilvl w:val="0"/>
          <w:numId w:val="39"/>
        </w:numPr>
        <w:tabs>
          <w:tab w:val="clear" w:pos="720"/>
        </w:tabs>
        <w:autoSpaceDE w:val="0"/>
        <w:autoSpaceDN w:val="0"/>
        <w:adjustRightInd w:val="0"/>
        <w:spacing w:line="240" w:lineRule="auto"/>
        <w:ind w:left="567" w:hanging="567"/>
        <w:rPr>
          <w:rFonts w:eastAsia="TimesNewRoman"/>
          <w:szCs w:val="22"/>
          <w:lang w:val="sk-SK" w:eastAsia="en-GB"/>
        </w:rPr>
      </w:pPr>
      <w:r w:rsidRPr="004B6827">
        <w:rPr>
          <w:rFonts w:eastAsia="TimesNewRoman"/>
          <w:szCs w:val="22"/>
          <w:lang w:val="sk-SK" w:eastAsia="en-GB"/>
        </w:rPr>
        <w:t>Depresia.</w:t>
      </w:r>
    </w:p>
    <w:p w:rsidR="00DE4B30" w:rsidRPr="004B6827" w:rsidRDefault="00DE4B30" w:rsidP="00DE4B30">
      <w:pPr>
        <w:numPr>
          <w:ilvl w:val="0"/>
          <w:numId w:val="39"/>
        </w:numPr>
        <w:tabs>
          <w:tab w:val="clear" w:pos="720"/>
        </w:tabs>
        <w:autoSpaceDE w:val="0"/>
        <w:autoSpaceDN w:val="0"/>
        <w:adjustRightInd w:val="0"/>
        <w:spacing w:line="240" w:lineRule="auto"/>
        <w:ind w:left="567" w:hanging="567"/>
        <w:rPr>
          <w:rFonts w:eastAsia="TimesNewRoman"/>
          <w:szCs w:val="22"/>
          <w:lang w:val="sk-SK" w:eastAsia="en-GB"/>
        </w:rPr>
      </w:pPr>
      <w:r w:rsidRPr="004B6827">
        <w:rPr>
          <w:rFonts w:eastAsia="TimesNewRoman"/>
          <w:szCs w:val="22"/>
          <w:lang w:val="sk-SK" w:eastAsia="en-GB"/>
        </w:rPr>
        <w:t>Výnimočné prípady intersticiálneho ochorenia pľúc, najmä pri dlhodobej liečbe (pozri časť 4.4).</w:t>
      </w:r>
    </w:p>
    <w:p w:rsidR="00DE4B30" w:rsidRPr="004B6827" w:rsidRDefault="00DE4B30" w:rsidP="00DE4B30">
      <w:pPr>
        <w:numPr>
          <w:ilvl w:val="0"/>
          <w:numId w:val="39"/>
        </w:numPr>
        <w:tabs>
          <w:tab w:val="clear" w:pos="720"/>
        </w:tabs>
        <w:autoSpaceDE w:val="0"/>
        <w:autoSpaceDN w:val="0"/>
        <w:adjustRightInd w:val="0"/>
        <w:spacing w:line="240" w:lineRule="auto"/>
        <w:ind w:left="567" w:hanging="567"/>
        <w:rPr>
          <w:rFonts w:eastAsia="TimesNewRoman"/>
          <w:szCs w:val="22"/>
          <w:lang w:val="sk-SK" w:eastAsia="en-GB"/>
        </w:rPr>
      </w:pPr>
      <w:r w:rsidRPr="004B6827">
        <w:rPr>
          <w:rFonts w:eastAsia="TimesNewRoman"/>
          <w:szCs w:val="22"/>
          <w:lang w:val="sk-SK" w:eastAsia="en-GB"/>
        </w:rPr>
        <w:t xml:space="preserve">Diabetes mellitus: </w:t>
      </w:r>
      <w:r w:rsidRPr="004B6827">
        <w:rPr>
          <w:bCs/>
          <w:szCs w:val="22"/>
          <w:lang w:val="sk-SK"/>
        </w:rPr>
        <w:t>Frekvencia závisí od prítomnosti alebo neprítomnosti rizikových faktorov (glykémia nalačno ≥ 5,6 mmol/l, BMI &gt;30 kg/m</w:t>
      </w:r>
      <w:r w:rsidRPr="004B6827">
        <w:rPr>
          <w:bCs/>
          <w:szCs w:val="22"/>
          <w:vertAlign w:val="superscript"/>
          <w:lang w:val="sk-SK"/>
        </w:rPr>
        <w:t>2</w:t>
      </w:r>
      <w:r w:rsidRPr="004B6827">
        <w:rPr>
          <w:bCs/>
          <w:szCs w:val="22"/>
          <w:lang w:val="sk-SK"/>
        </w:rPr>
        <w:t>, zvýšené tri</w:t>
      </w:r>
      <w:r w:rsidR="00D57DA2" w:rsidRPr="004B6827">
        <w:rPr>
          <w:bCs/>
          <w:szCs w:val="22"/>
          <w:lang w:val="sk-SK"/>
        </w:rPr>
        <w:t>acylglyceroly</w:t>
      </w:r>
      <w:r w:rsidRPr="004B6827">
        <w:rPr>
          <w:bCs/>
          <w:szCs w:val="22"/>
          <w:lang w:val="sk-SK"/>
        </w:rPr>
        <w:t>, hypertenzia v anamnéze).</w:t>
      </w:r>
    </w:p>
    <w:p w:rsidR="000F4A9B" w:rsidRPr="004B6827" w:rsidRDefault="000F4A9B" w:rsidP="000F4A9B">
      <w:pPr>
        <w:spacing w:line="240" w:lineRule="auto"/>
        <w:rPr>
          <w:szCs w:val="22"/>
          <w:lang w:val="sk-SK"/>
        </w:rPr>
      </w:pPr>
    </w:p>
    <w:p w:rsidR="000F4A9B" w:rsidRPr="004B6827" w:rsidRDefault="000F4A9B" w:rsidP="000F4A9B">
      <w:pPr>
        <w:tabs>
          <w:tab w:val="left" w:pos="284"/>
        </w:tabs>
        <w:rPr>
          <w:szCs w:val="22"/>
          <w:u w:val="single"/>
          <w:lang w:val="sk-SK"/>
        </w:rPr>
      </w:pPr>
      <w:r w:rsidRPr="004B6827">
        <w:rPr>
          <w:szCs w:val="22"/>
          <w:u w:val="single"/>
          <w:lang w:val="sk-SK"/>
        </w:rPr>
        <w:t>Hlásenie podozrení na nežiaduce reakcie</w:t>
      </w:r>
    </w:p>
    <w:p w:rsidR="000F4A9B" w:rsidRPr="004B6827" w:rsidRDefault="000F4A9B" w:rsidP="000F4A9B">
      <w:pPr>
        <w:tabs>
          <w:tab w:val="left" w:pos="284"/>
        </w:tabs>
        <w:rPr>
          <w:szCs w:val="22"/>
          <w:lang w:val="sk-SK"/>
        </w:rPr>
      </w:pPr>
      <w:r w:rsidRPr="004B6827">
        <w:rPr>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prostredníctvom </w:t>
      </w:r>
      <w:r w:rsidRPr="004B6827">
        <w:rPr>
          <w:szCs w:val="22"/>
          <w:highlight w:val="lightGray"/>
          <w:lang w:val="sk-SK"/>
        </w:rPr>
        <w:t>národného systému hlásenia uvedeného v </w:t>
      </w:r>
      <w:hyperlink r:id="rId19" w:history="1">
        <w:r w:rsidRPr="004B6827">
          <w:rPr>
            <w:color w:val="0000FF"/>
            <w:szCs w:val="22"/>
            <w:highlight w:val="lightGray"/>
            <w:u w:val="single"/>
            <w:lang w:val="sk-SK"/>
          </w:rPr>
          <w:t>Prílohe V</w:t>
        </w:r>
      </w:hyperlink>
      <w:r w:rsidRPr="004B6827">
        <w:rPr>
          <w:szCs w:val="22"/>
          <w:lang w:val="sk-SK"/>
        </w:rPr>
        <w:t>.</w:t>
      </w:r>
    </w:p>
    <w:p w:rsidR="000F4A9B" w:rsidRPr="004B6827" w:rsidRDefault="000F4A9B" w:rsidP="000F4A9B">
      <w:pPr>
        <w:tabs>
          <w:tab w:val="left" w:pos="284"/>
        </w:tabs>
        <w:rPr>
          <w:szCs w:val="22"/>
          <w:lang w:val="sk-SK"/>
        </w:rPr>
      </w:pPr>
    </w:p>
    <w:p w:rsidR="000F4A9B" w:rsidRPr="00275323" w:rsidRDefault="000F4A9B" w:rsidP="000F4A9B">
      <w:pPr>
        <w:rPr>
          <w:szCs w:val="22"/>
          <w:lang w:val="sk-SK"/>
        </w:rPr>
      </w:pPr>
      <w:r w:rsidRPr="00275323">
        <w:rPr>
          <w:b/>
          <w:szCs w:val="22"/>
          <w:lang w:val="sk-SK"/>
        </w:rPr>
        <w:t>4.9</w:t>
      </w:r>
      <w:r w:rsidRPr="00275323">
        <w:rPr>
          <w:b/>
          <w:szCs w:val="22"/>
          <w:lang w:val="sk-SK"/>
        </w:rPr>
        <w:tab/>
        <w:t>Predávkovanie</w:t>
      </w:r>
    </w:p>
    <w:p w:rsidR="000F4A9B" w:rsidRPr="004B6827" w:rsidRDefault="000F4A9B" w:rsidP="000F4A9B">
      <w:pPr>
        <w:tabs>
          <w:tab w:val="clear" w:pos="567"/>
        </w:tabs>
        <w:rPr>
          <w:szCs w:val="22"/>
          <w:lang w:val="sk-SK"/>
        </w:rPr>
      </w:pPr>
    </w:p>
    <w:p w:rsidR="000F4A9B" w:rsidRPr="004B6827" w:rsidRDefault="000F4A9B" w:rsidP="000F4A9B">
      <w:pPr>
        <w:tabs>
          <w:tab w:val="clear" w:pos="567"/>
        </w:tabs>
        <w:rPr>
          <w:szCs w:val="22"/>
          <w:lang w:val="sk-SK"/>
        </w:rPr>
      </w:pPr>
      <w:r w:rsidRPr="004B6827">
        <w:rPr>
          <w:szCs w:val="22"/>
          <w:lang w:val="sk-SK"/>
        </w:rPr>
        <w:t xml:space="preserve">Nie sú žiadne informácie o predávkovaní </w:t>
      </w:r>
      <w:r w:rsidR="00212A25" w:rsidRPr="004B6827">
        <w:rPr>
          <w:szCs w:val="22"/>
          <w:lang w:val="sk-SK"/>
        </w:rPr>
        <w:t>Lipertance</w:t>
      </w:r>
      <w:r w:rsidRPr="004B6827">
        <w:rPr>
          <w:szCs w:val="22"/>
          <w:lang w:val="sk-SK"/>
        </w:rPr>
        <w:t xml:space="preserve"> u ľudí.</w:t>
      </w:r>
    </w:p>
    <w:p w:rsidR="000F4A9B" w:rsidRPr="004B6827" w:rsidRDefault="000F4A9B" w:rsidP="000F4A9B">
      <w:pPr>
        <w:tabs>
          <w:tab w:val="clear" w:pos="567"/>
        </w:tabs>
        <w:rPr>
          <w:szCs w:val="22"/>
          <w:lang w:val="sk-SK"/>
        </w:rPr>
      </w:pPr>
    </w:p>
    <w:p w:rsidR="00860C6F" w:rsidRPr="004B6827" w:rsidRDefault="00860C6F" w:rsidP="000F4A9B">
      <w:pPr>
        <w:rPr>
          <w:b/>
          <w:i/>
          <w:szCs w:val="22"/>
          <w:lang w:val="sk-SK"/>
        </w:rPr>
      </w:pPr>
      <w:r w:rsidRPr="004B6827">
        <w:rPr>
          <w:b/>
          <w:i/>
          <w:szCs w:val="22"/>
          <w:lang w:val="sk-SK"/>
        </w:rPr>
        <w:t>Atorvastatín:</w:t>
      </w:r>
    </w:p>
    <w:p w:rsidR="00860C6F" w:rsidRPr="004B6827" w:rsidRDefault="00860C6F" w:rsidP="000F4A9B">
      <w:pPr>
        <w:rPr>
          <w:b/>
          <w:i/>
          <w:szCs w:val="22"/>
          <w:lang w:val="sk-SK"/>
        </w:rPr>
      </w:pPr>
    </w:p>
    <w:p w:rsidR="00860C6F" w:rsidRPr="004B6827" w:rsidRDefault="00860C6F" w:rsidP="000F4A9B">
      <w:pPr>
        <w:rPr>
          <w:szCs w:val="22"/>
          <w:u w:val="single"/>
          <w:lang w:val="sk-SK"/>
        </w:rPr>
      </w:pPr>
      <w:r w:rsidRPr="004B6827">
        <w:rPr>
          <w:szCs w:val="22"/>
          <w:u w:val="single"/>
          <w:lang w:val="sk-SK"/>
        </w:rPr>
        <w:t>Symptómy a liečba</w:t>
      </w:r>
    </w:p>
    <w:p w:rsidR="00860C6F" w:rsidRPr="004B6827" w:rsidRDefault="00860C6F" w:rsidP="00860C6F">
      <w:pPr>
        <w:rPr>
          <w:szCs w:val="22"/>
          <w:lang w:val="sk-SK"/>
        </w:rPr>
      </w:pPr>
      <w:r w:rsidRPr="004B6827">
        <w:rPr>
          <w:szCs w:val="22"/>
          <w:lang w:val="sk-SK"/>
        </w:rPr>
        <w:t xml:space="preserve">Špeciálna liečba pri predávkovaní atorvastatínom neexistuje. Pokiaľ dôjde k predávkovaniu, pacient sa má liečiť symptomaticky a v prípade potreby začať s podpornou liečbou. Majú sa vykonať pečeňové testy a majú sa monitorovať hladiny CK v sére. Keďže sa atorvastatín výrazne viaže na plazmatické bielkoviny, hemodialýza nemá význam pre </w:t>
      </w:r>
      <w:r w:rsidR="00E13782" w:rsidRPr="004B6827">
        <w:rPr>
          <w:szCs w:val="22"/>
          <w:lang w:val="sk-SK"/>
        </w:rPr>
        <w:t>význam</w:t>
      </w:r>
      <w:r w:rsidRPr="004B6827">
        <w:rPr>
          <w:szCs w:val="22"/>
          <w:lang w:val="sk-SK"/>
        </w:rPr>
        <w:t>né zvýšenie klírensu atorvastatínu.</w:t>
      </w:r>
    </w:p>
    <w:p w:rsidR="00860C6F" w:rsidRPr="004B6827" w:rsidRDefault="00860C6F" w:rsidP="000F4A9B">
      <w:pPr>
        <w:rPr>
          <w:szCs w:val="22"/>
          <w:lang w:val="sk-SK"/>
        </w:rPr>
      </w:pPr>
    </w:p>
    <w:p w:rsidR="00860C6F" w:rsidRPr="004B6827" w:rsidRDefault="00860C6F" w:rsidP="000F4A9B">
      <w:pPr>
        <w:rPr>
          <w:b/>
          <w:i/>
          <w:szCs w:val="22"/>
          <w:lang w:val="sk-SK"/>
        </w:rPr>
      </w:pPr>
      <w:r w:rsidRPr="004B6827">
        <w:rPr>
          <w:b/>
          <w:i/>
          <w:szCs w:val="22"/>
          <w:lang w:val="sk-SK"/>
        </w:rPr>
        <w:t>Perindopril:</w:t>
      </w:r>
    </w:p>
    <w:p w:rsidR="00860C6F" w:rsidRPr="004B6827" w:rsidRDefault="00860C6F" w:rsidP="000F4A9B">
      <w:pPr>
        <w:rPr>
          <w:b/>
          <w:i/>
          <w:szCs w:val="22"/>
          <w:lang w:val="sk-SK"/>
        </w:rPr>
      </w:pPr>
    </w:p>
    <w:p w:rsidR="00860C6F" w:rsidRPr="004B6827" w:rsidRDefault="00860C6F" w:rsidP="000F4A9B">
      <w:pPr>
        <w:rPr>
          <w:szCs w:val="22"/>
          <w:u w:val="single"/>
          <w:lang w:val="sk-SK"/>
        </w:rPr>
      </w:pPr>
      <w:r w:rsidRPr="004B6827">
        <w:rPr>
          <w:szCs w:val="22"/>
          <w:u w:val="single"/>
          <w:lang w:val="sk-SK"/>
        </w:rPr>
        <w:t>Symptómy:</w:t>
      </w:r>
    </w:p>
    <w:p w:rsidR="00860C6F" w:rsidRPr="004B6827" w:rsidRDefault="00860C6F" w:rsidP="000F4A9B">
      <w:pPr>
        <w:rPr>
          <w:szCs w:val="22"/>
          <w:u w:val="single"/>
          <w:lang w:val="sk-SK"/>
        </w:rPr>
      </w:pPr>
      <w:r w:rsidRPr="004B6827">
        <w:rPr>
          <w:lang w:val="sk-SK" w:eastAsia="sk-SK"/>
        </w:rPr>
        <w:t>Symptómy spojené s predávkovaním inhibítormi ACE môžu zahŕňať hypotenziu, obehový šok, poruchy elektrolytov, renálne zlyhanie, hyperventiláciu, tachykardiu, palpitácie, bradykardiu, závrat, úzkosť a kašeľ.</w:t>
      </w:r>
    </w:p>
    <w:p w:rsidR="00860C6F" w:rsidRPr="004B6827" w:rsidRDefault="00860C6F" w:rsidP="000F4A9B">
      <w:pPr>
        <w:rPr>
          <w:i/>
          <w:szCs w:val="22"/>
          <w:lang w:val="sk-SK"/>
        </w:rPr>
      </w:pPr>
    </w:p>
    <w:p w:rsidR="00860C6F" w:rsidRPr="004B6827" w:rsidRDefault="00860C6F" w:rsidP="000F4A9B">
      <w:pPr>
        <w:rPr>
          <w:szCs w:val="22"/>
          <w:u w:val="single"/>
          <w:lang w:val="sk-SK"/>
        </w:rPr>
      </w:pPr>
      <w:r w:rsidRPr="004B6827">
        <w:rPr>
          <w:szCs w:val="22"/>
          <w:u w:val="single"/>
          <w:lang w:val="sk-SK"/>
        </w:rPr>
        <w:t>Liečba:</w:t>
      </w:r>
    </w:p>
    <w:p w:rsidR="00860C6F" w:rsidRPr="004B6827" w:rsidRDefault="00423F22" w:rsidP="00860C6F">
      <w:pPr>
        <w:tabs>
          <w:tab w:val="left" w:pos="-142"/>
          <w:tab w:val="left" w:pos="284"/>
        </w:tabs>
        <w:spacing w:line="240" w:lineRule="auto"/>
        <w:rPr>
          <w:lang w:val="sk-SK" w:eastAsia="sk-SK"/>
        </w:rPr>
      </w:pPr>
      <w:r w:rsidRPr="004B6827">
        <w:rPr>
          <w:lang w:val="sk-SK" w:eastAsia="sk-SK"/>
        </w:rPr>
        <w:t>Odporúčaná</w:t>
      </w:r>
      <w:r w:rsidR="00860C6F" w:rsidRPr="004B6827">
        <w:rPr>
          <w:lang w:val="sk-SK" w:eastAsia="sk-SK"/>
        </w:rPr>
        <w:t xml:space="preserve"> </w:t>
      </w:r>
      <w:r w:rsidRPr="004B6827">
        <w:rPr>
          <w:lang w:val="sk-SK" w:eastAsia="sk-SK"/>
        </w:rPr>
        <w:t xml:space="preserve">liečba </w:t>
      </w:r>
      <w:r w:rsidR="00860C6F" w:rsidRPr="004B6827">
        <w:rPr>
          <w:lang w:val="sk-SK" w:eastAsia="sk-SK"/>
        </w:rPr>
        <w:t xml:space="preserve">predávkovania je intravenózna infúzia </w:t>
      </w:r>
      <w:r w:rsidRPr="004B6827">
        <w:rPr>
          <w:lang w:val="sk-SK" w:eastAsia="sk-SK"/>
        </w:rPr>
        <w:t>roztoku chloridu sodného 9 mg/ml (0,9%)</w:t>
      </w:r>
      <w:r w:rsidR="00860C6F" w:rsidRPr="004B6827">
        <w:rPr>
          <w:lang w:val="sk-SK" w:eastAsia="sk-SK"/>
        </w:rPr>
        <w:t xml:space="preserve">. Ak nastane hypotenzia, pacient </w:t>
      </w:r>
      <w:r w:rsidRPr="004B6827">
        <w:rPr>
          <w:lang w:val="sk-SK" w:eastAsia="sk-SK"/>
        </w:rPr>
        <w:t xml:space="preserve">sa </w:t>
      </w:r>
      <w:r w:rsidR="00860C6F" w:rsidRPr="004B6827">
        <w:rPr>
          <w:lang w:val="sk-SK" w:eastAsia="sk-SK"/>
        </w:rPr>
        <w:t>má ulož</w:t>
      </w:r>
      <w:r w:rsidRPr="004B6827">
        <w:rPr>
          <w:lang w:val="sk-SK" w:eastAsia="sk-SK"/>
        </w:rPr>
        <w:t>iť</w:t>
      </w:r>
      <w:r w:rsidR="00860C6F" w:rsidRPr="004B6827">
        <w:rPr>
          <w:lang w:val="sk-SK" w:eastAsia="sk-SK"/>
        </w:rPr>
        <w:t xml:space="preserve"> do protišokovej polohy. Ak je k dispozícii, môže sa tiež zvážiť </w:t>
      </w:r>
      <w:r w:rsidRPr="004B6827">
        <w:rPr>
          <w:lang w:val="sk-SK" w:eastAsia="sk-SK"/>
        </w:rPr>
        <w:t>liečb</w:t>
      </w:r>
      <w:r w:rsidR="00860C6F" w:rsidRPr="004B6827">
        <w:rPr>
          <w:lang w:val="sk-SK" w:eastAsia="sk-SK"/>
        </w:rPr>
        <w:t>a infúziou angiotenzínu II a/alebo intravenózn</w:t>
      </w:r>
      <w:r w:rsidR="00683ED9">
        <w:rPr>
          <w:lang w:val="sk-SK" w:eastAsia="sk-SK"/>
        </w:rPr>
        <w:t>ymi</w:t>
      </w:r>
      <w:r w:rsidR="00860C6F" w:rsidRPr="004B6827">
        <w:rPr>
          <w:lang w:val="sk-SK" w:eastAsia="sk-SK"/>
        </w:rPr>
        <w:t xml:space="preserve"> katecholamín</w:t>
      </w:r>
      <w:r w:rsidR="00641884" w:rsidRPr="004B6827">
        <w:rPr>
          <w:lang w:val="sk-SK" w:eastAsia="sk-SK"/>
        </w:rPr>
        <w:t>mi</w:t>
      </w:r>
      <w:r w:rsidR="00860C6F" w:rsidRPr="004B6827">
        <w:rPr>
          <w:lang w:val="sk-SK" w:eastAsia="sk-SK"/>
        </w:rPr>
        <w:t xml:space="preserve">. Perindopril je možné odstrániť zo systémovej cirkulácie </w:t>
      </w:r>
      <w:r w:rsidR="00A525CA" w:rsidRPr="004B6827">
        <w:rPr>
          <w:lang w:val="sk-SK" w:eastAsia="sk-SK"/>
        </w:rPr>
        <w:t>h</w:t>
      </w:r>
      <w:r w:rsidR="00860C6F" w:rsidRPr="004B6827">
        <w:rPr>
          <w:lang w:val="sk-SK" w:eastAsia="sk-SK"/>
        </w:rPr>
        <w:t>emodialýz</w:t>
      </w:r>
      <w:r w:rsidRPr="004B6827">
        <w:rPr>
          <w:lang w:val="sk-SK" w:eastAsia="sk-SK"/>
        </w:rPr>
        <w:t>ou</w:t>
      </w:r>
      <w:r w:rsidR="00860C6F" w:rsidRPr="004B6827">
        <w:rPr>
          <w:lang w:val="sk-SK" w:eastAsia="sk-SK"/>
        </w:rPr>
        <w:t xml:space="preserve"> (pozri časť 4.4). Kardiostimulačná </w:t>
      </w:r>
      <w:r w:rsidRPr="004B6827">
        <w:rPr>
          <w:lang w:val="sk-SK" w:eastAsia="sk-SK"/>
        </w:rPr>
        <w:t>liečba</w:t>
      </w:r>
      <w:r w:rsidR="00860C6F" w:rsidRPr="004B6827">
        <w:rPr>
          <w:lang w:val="sk-SK" w:eastAsia="sk-SK"/>
        </w:rPr>
        <w:t xml:space="preserve"> je indikovaná pri bradykardii rezistentnej na liečbu. Nepretržite </w:t>
      </w:r>
      <w:r w:rsidRPr="004B6827">
        <w:rPr>
          <w:lang w:val="sk-SK" w:eastAsia="sk-SK"/>
        </w:rPr>
        <w:t>sa majú</w:t>
      </w:r>
      <w:r w:rsidR="00860C6F" w:rsidRPr="004B6827">
        <w:rPr>
          <w:lang w:val="sk-SK" w:eastAsia="sk-SK"/>
        </w:rPr>
        <w:t xml:space="preserve"> monitorova</w:t>
      </w:r>
      <w:r w:rsidRPr="004B6827">
        <w:rPr>
          <w:lang w:val="sk-SK" w:eastAsia="sk-SK"/>
        </w:rPr>
        <w:t>ť</w:t>
      </w:r>
      <w:r w:rsidR="00860C6F" w:rsidRPr="004B6827">
        <w:rPr>
          <w:lang w:val="sk-SK" w:eastAsia="sk-SK"/>
        </w:rPr>
        <w:t xml:space="preserve"> životne dôležité funkcie, sérové elektrolyty a koncentrácie kreatinínu.</w:t>
      </w:r>
    </w:p>
    <w:p w:rsidR="00860C6F" w:rsidRPr="004B6827" w:rsidRDefault="00860C6F" w:rsidP="000F4A9B">
      <w:pPr>
        <w:rPr>
          <w:i/>
          <w:szCs w:val="22"/>
          <w:lang w:val="sk-SK"/>
        </w:rPr>
      </w:pPr>
    </w:p>
    <w:p w:rsidR="00860C6F" w:rsidRPr="004B6827" w:rsidRDefault="00E13782" w:rsidP="000F4A9B">
      <w:pPr>
        <w:rPr>
          <w:szCs w:val="22"/>
          <w:lang w:val="sk-SK"/>
        </w:rPr>
      </w:pPr>
      <w:r w:rsidRPr="004B6827">
        <w:rPr>
          <w:b/>
          <w:i/>
          <w:szCs w:val="22"/>
          <w:lang w:val="sk-SK"/>
        </w:rPr>
        <w:t>Amlodipín:</w:t>
      </w:r>
    </w:p>
    <w:p w:rsidR="00E13782" w:rsidRPr="004B6827" w:rsidRDefault="00E13782" w:rsidP="000F4A9B">
      <w:pPr>
        <w:rPr>
          <w:noProof/>
          <w:lang w:val="sk-SK" w:eastAsia="sk-SK"/>
        </w:rPr>
      </w:pPr>
    </w:p>
    <w:p w:rsidR="00E13782" w:rsidRPr="004B6827" w:rsidRDefault="00E13782" w:rsidP="000F4A9B">
      <w:pPr>
        <w:rPr>
          <w:noProof/>
          <w:lang w:val="sk-SK" w:eastAsia="sk-SK"/>
        </w:rPr>
      </w:pPr>
      <w:r w:rsidRPr="004B6827">
        <w:rPr>
          <w:noProof/>
          <w:lang w:val="sk-SK" w:eastAsia="sk-SK"/>
        </w:rPr>
        <w:t>Pre amlodipín sú len obmedzené skúsenosti s úmyselným predávkovaním u ľudí.</w:t>
      </w:r>
    </w:p>
    <w:p w:rsidR="002271B3" w:rsidRPr="004B6827" w:rsidRDefault="002271B3" w:rsidP="000F4A9B">
      <w:pPr>
        <w:rPr>
          <w:noProof/>
          <w:lang w:val="sk-SK" w:eastAsia="sk-SK"/>
        </w:rPr>
      </w:pPr>
    </w:p>
    <w:p w:rsidR="00E13782" w:rsidRPr="004B6827" w:rsidRDefault="00E13782" w:rsidP="000F4A9B">
      <w:pPr>
        <w:rPr>
          <w:noProof/>
          <w:u w:val="single"/>
          <w:lang w:val="sk-SK" w:eastAsia="sk-SK"/>
        </w:rPr>
      </w:pPr>
      <w:r w:rsidRPr="004B6827">
        <w:rPr>
          <w:noProof/>
          <w:u w:val="single"/>
          <w:lang w:val="sk-SK" w:eastAsia="sk-SK"/>
        </w:rPr>
        <w:t>Symptómy</w:t>
      </w:r>
    </w:p>
    <w:p w:rsidR="00E13782" w:rsidRPr="004B6827" w:rsidRDefault="00E13782" w:rsidP="000F4A9B">
      <w:pPr>
        <w:rPr>
          <w:szCs w:val="22"/>
          <w:u w:val="single"/>
          <w:lang w:val="sk-SK"/>
        </w:rPr>
      </w:pPr>
      <w:r w:rsidRPr="004B6827">
        <w:rPr>
          <w:noProof/>
          <w:lang w:val="sk-SK" w:eastAsia="sk-SK"/>
        </w:rPr>
        <w:lastRenderedPageBreak/>
        <w:t xml:space="preserve">Dostupné údaje naznačujú, že </w:t>
      </w:r>
      <w:r w:rsidR="00641884" w:rsidRPr="004B6827">
        <w:rPr>
          <w:noProof/>
          <w:lang w:val="sk-SK" w:eastAsia="sk-SK"/>
        </w:rPr>
        <w:t>závažné</w:t>
      </w:r>
      <w:r w:rsidRPr="004B6827">
        <w:rPr>
          <w:noProof/>
          <w:lang w:val="sk-SK" w:eastAsia="sk-SK"/>
        </w:rPr>
        <w:t xml:space="preserve"> predávkovanie môže spôsobiť nadmernú periférnu vazodilatáciu a možnú reflexnú tachykardiu. Bola hlásená výrazná a pravdepodobne dlhodobá systémová hypotenzia až vrátane šoku s fatálnym koncom.</w:t>
      </w:r>
    </w:p>
    <w:p w:rsidR="00860C6F" w:rsidRPr="004B6827" w:rsidRDefault="00860C6F" w:rsidP="000F4A9B">
      <w:pPr>
        <w:rPr>
          <w:i/>
          <w:szCs w:val="22"/>
          <w:lang w:val="sk-SK"/>
        </w:rPr>
      </w:pPr>
    </w:p>
    <w:p w:rsidR="000F4A9B" w:rsidRPr="004B6827" w:rsidRDefault="00E13782" w:rsidP="000F4A9B">
      <w:pPr>
        <w:tabs>
          <w:tab w:val="clear" w:pos="567"/>
        </w:tabs>
        <w:rPr>
          <w:szCs w:val="22"/>
          <w:u w:val="single"/>
          <w:lang w:val="sk-SK"/>
        </w:rPr>
      </w:pPr>
      <w:r w:rsidRPr="004B6827">
        <w:rPr>
          <w:szCs w:val="22"/>
          <w:u w:val="single"/>
          <w:lang w:val="sk-SK"/>
        </w:rPr>
        <w:t>Liečba</w:t>
      </w:r>
    </w:p>
    <w:p w:rsidR="007E2ADF" w:rsidRPr="004B6827" w:rsidRDefault="00E13782" w:rsidP="007E2ADF">
      <w:pPr>
        <w:tabs>
          <w:tab w:val="left" w:pos="-142"/>
          <w:tab w:val="left" w:pos="284"/>
        </w:tabs>
        <w:spacing w:line="240" w:lineRule="auto"/>
        <w:rPr>
          <w:lang w:val="sk-SK" w:eastAsia="sk-SK"/>
        </w:rPr>
      </w:pPr>
      <w:r w:rsidRPr="004B6827">
        <w:rPr>
          <w:noProof/>
          <w:lang w:val="sk-SK" w:eastAsia="sk-SK"/>
        </w:rPr>
        <w:t xml:space="preserve">Klinicky významná hypotenzia </w:t>
      </w:r>
      <w:r w:rsidR="004C3B0F" w:rsidRPr="004B6827">
        <w:rPr>
          <w:noProof/>
          <w:lang w:val="sk-SK" w:eastAsia="sk-SK"/>
        </w:rPr>
        <w:t>kvôli</w:t>
      </w:r>
      <w:r w:rsidRPr="004B6827">
        <w:rPr>
          <w:noProof/>
          <w:lang w:val="sk-SK" w:eastAsia="sk-SK"/>
        </w:rPr>
        <w:t xml:space="preserve"> predávkovan</w:t>
      </w:r>
      <w:r w:rsidR="004C3B0F" w:rsidRPr="004B6827">
        <w:rPr>
          <w:noProof/>
          <w:lang w:val="sk-SK" w:eastAsia="sk-SK"/>
        </w:rPr>
        <w:t>iu</w:t>
      </w:r>
      <w:r w:rsidRPr="004B6827">
        <w:rPr>
          <w:noProof/>
          <w:lang w:val="sk-SK" w:eastAsia="sk-SK"/>
        </w:rPr>
        <w:t xml:space="preserve"> amlodipínom si vyžaduje aktívnu kardiovaskulárnu podporu vrátane častého monitorovania srdcovej a dýchacej činnosti, zdvihnutie končatín a sledovanie objemu tekutín v obehu a objemu moču.</w:t>
      </w:r>
      <w:r w:rsidR="004C3B0F" w:rsidRPr="004B6827">
        <w:rPr>
          <w:noProof/>
          <w:lang w:val="sk-SK" w:eastAsia="sk-SK"/>
        </w:rPr>
        <w:t xml:space="preserve"> </w:t>
      </w:r>
      <w:r w:rsidRPr="004B6827">
        <w:rPr>
          <w:noProof/>
          <w:lang w:val="sk-SK" w:eastAsia="sk-SK"/>
        </w:rPr>
        <w:t>Podanie vazokonstriktíva môže byť užitočné pri obnovení cievneho tonusu a krvného tlaku za predpokladu, že jeho použitie nie je kontraindik</w:t>
      </w:r>
      <w:r w:rsidR="006247AB" w:rsidRPr="004B6827">
        <w:rPr>
          <w:noProof/>
          <w:lang w:val="sk-SK" w:eastAsia="sk-SK"/>
        </w:rPr>
        <w:t>áciou</w:t>
      </w:r>
      <w:r w:rsidRPr="004B6827">
        <w:rPr>
          <w:noProof/>
          <w:lang w:val="sk-SK" w:eastAsia="sk-SK"/>
        </w:rPr>
        <w:t xml:space="preserve">. </w:t>
      </w:r>
      <w:r w:rsidRPr="004B6827">
        <w:rPr>
          <w:lang w:val="sk-SK" w:eastAsia="sk-SK"/>
        </w:rPr>
        <w:t xml:space="preserve">Na zvrátenie účinkov blokády kalciového kanála </w:t>
      </w:r>
      <w:r w:rsidR="006247AB" w:rsidRPr="004B6827">
        <w:rPr>
          <w:lang w:val="sk-SK" w:eastAsia="sk-SK"/>
        </w:rPr>
        <w:t>môže byť</w:t>
      </w:r>
      <w:r w:rsidRPr="004B6827">
        <w:rPr>
          <w:lang w:val="sk-SK" w:eastAsia="sk-SK"/>
        </w:rPr>
        <w:t xml:space="preserve"> vhodn</w:t>
      </w:r>
      <w:r w:rsidR="00E00E42" w:rsidRPr="004B6827">
        <w:rPr>
          <w:lang w:val="sk-SK" w:eastAsia="sk-SK"/>
        </w:rPr>
        <w:t>ý</w:t>
      </w:r>
      <w:r w:rsidRPr="004B6827">
        <w:rPr>
          <w:lang w:val="sk-SK" w:eastAsia="sk-SK"/>
        </w:rPr>
        <w:t xml:space="preserve"> intravenózn</w:t>
      </w:r>
      <w:r w:rsidR="00E00E42" w:rsidRPr="004B6827">
        <w:rPr>
          <w:lang w:val="sk-SK" w:eastAsia="sk-SK"/>
        </w:rPr>
        <w:t>y</w:t>
      </w:r>
      <w:r w:rsidRPr="004B6827">
        <w:rPr>
          <w:lang w:val="sk-SK" w:eastAsia="sk-SK"/>
        </w:rPr>
        <w:t xml:space="preserve"> kalciumglukonát</w:t>
      </w:r>
      <w:r w:rsidR="00E00E42" w:rsidRPr="004B6827">
        <w:rPr>
          <w:lang w:val="sk-SK" w:eastAsia="sk-SK"/>
        </w:rPr>
        <w:t>.</w:t>
      </w:r>
      <w:r w:rsidR="007E2ADF" w:rsidRPr="004B6827">
        <w:rPr>
          <w:lang w:val="sk-SK" w:eastAsia="sk-SK"/>
        </w:rPr>
        <w:t xml:space="preserve"> V niektorých prípadoch môže byť vhodný výplach žalúdka. U zdravých dobrovoľníkov bolo dokázané, že užitie aktívneho uhlia do dvoch hodín po podaní 10 mg amlodipínu znižuje mieru absorpcie amlodipínu. </w:t>
      </w:r>
    </w:p>
    <w:p w:rsidR="007E2ADF" w:rsidRPr="004B6827" w:rsidRDefault="007E2ADF" w:rsidP="007E2ADF">
      <w:pPr>
        <w:tabs>
          <w:tab w:val="left" w:pos="-142"/>
          <w:tab w:val="left" w:pos="284"/>
        </w:tabs>
        <w:spacing w:line="240" w:lineRule="auto"/>
        <w:rPr>
          <w:lang w:val="sk-SK" w:eastAsia="sk-SK"/>
        </w:rPr>
      </w:pPr>
      <w:r w:rsidRPr="004B6827">
        <w:rPr>
          <w:lang w:val="sk-SK" w:eastAsia="sk-SK"/>
        </w:rPr>
        <w:t>Keďže amlodipín sa silne viaže na bielkoviny, nie je pravdepodobné, že by dialýza bola účinná.</w:t>
      </w:r>
    </w:p>
    <w:p w:rsidR="00E13782" w:rsidRPr="004B6827" w:rsidRDefault="00E13782" w:rsidP="004C3B0F">
      <w:pPr>
        <w:tabs>
          <w:tab w:val="left" w:pos="-142"/>
          <w:tab w:val="left" w:pos="284"/>
        </w:tabs>
        <w:spacing w:line="240" w:lineRule="auto"/>
        <w:rPr>
          <w:lang w:val="sk-SK" w:eastAsia="sk-SK"/>
        </w:rPr>
      </w:pPr>
    </w:p>
    <w:p w:rsidR="000F4A9B" w:rsidRPr="004B6827" w:rsidRDefault="000F4A9B" w:rsidP="000F4A9B">
      <w:pPr>
        <w:tabs>
          <w:tab w:val="clear" w:pos="567"/>
        </w:tabs>
        <w:rPr>
          <w:szCs w:val="22"/>
          <w:lang w:val="sk-SK"/>
        </w:rPr>
      </w:pPr>
    </w:p>
    <w:p w:rsidR="000F4A9B" w:rsidRPr="004B6827" w:rsidRDefault="000F4A9B" w:rsidP="000F4A9B">
      <w:pPr>
        <w:rPr>
          <w:szCs w:val="22"/>
          <w:lang w:val="sk-SK"/>
        </w:rPr>
      </w:pPr>
      <w:r w:rsidRPr="004B6827">
        <w:rPr>
          <w:b/>
          <w:szCs w:val="22"/>
          <w:lang w:val="sk-SK"/>
        </w:rPr>
        <w:t>5.</w:t>
      </w:r>
      <w:r w:rsidRPr="004B6827">
        <w:rPr>
          <w:b/>
          <w:szCs w:val="22"/>
          <w:lang w:val="sk-SK"/>
        </w:rPr>
        <w:tab/>
        <w:t>FARMAKOLOGICKÉ VLASTNOSTI</w:t>
      </w:r>
    </w:p>
    <w:p w:rsidR="000F4A9B" w:rsidRPr="004B6827" w:rsidRDefault="000F4A9B" w:rsidP="000F4A9B">
      <w:pPr>
        <w:tabs>
          <w:tab w:val="clear" w:pos="567"/>
        </w:tabs>
        <w:spacing w:line="240" w:lineRule="auto"/>
        <w:rPr>
          <w:b/>
          <w:szCs w:val="22"/>
          <w:lang w:val="sk-SK"/>
        </w:rPr>
      </w:pPr>
    </w:p>
    <w:p w:rsidR="000F4A9B" w:rsidRPr="004B6827" w:rsidRDefault="000F4A9B" w:rsidP="000F4A9B">
      <w:pPr>
        <w:rPr>
          <w:szCs w:val="22"/>
          <w:lang w:val="sk-SK"/>
        </w:rPr>
      </w:pPr>
      <w:r w:rsidRPr="004B6827">
        <w:rPr>
          <w:b/>
          <w:szCs w:val="22"/>
          <w:lang w:val="sk-SK"/>
        </w:rPr>
        <w:t>5.1</w:t>
      </w:r>
      <w:r w:rsidRPr="004B6827">
        <w:rPr>
          <w:b/>
          <w:szCs w:val="22"/>
          <w:lang w:val="sk-SK"/>
        </w:rPr>
        <w:tab/>
        <w:t>Farmakodynamické vlastnosti</w:t>
      </w:r>
    </w:p>
    <w:p w:rsidR="000F4A9B" w:rsidRPr="004B6827" w:rsidRDefault="000F4A9B" w:rsidP="000F4A9B">
      <w:pPr>
        <w:tabs>
          <w:tab w:val="clear" w:pos="567"/>
        </w:tabs>
        <w:rPr>
          <w:szCs w:val="22"/>
          <w:lang w:val="sk-SK"/>
        </w:rPr>
      </w:pPr>
    </w:p>
    <w:p w:rsidR="000F4A9B" w:rsidRPr="004B6827" w:rsidRDefault="000F4A9B" w:rsidP="000F4A9B">
      <w:pPr>
        <w:rPr>
          <w:szCs w:val="22"/>
          <w:lang w:val="sk-SK"/>
        </w:rPr>
      </w:pPr>
      <w:r w:rsidRPr="004B6827">
        <w:rPr>
          <w:szCs w:val="22"/>
          <w:lang w:val="sk-SK"/>
        </w:rPr>
        <w:t xml:space="preserve">Farmakoterapeutická skupina: </w:t>
      </w:r>
      <w:r w:rsidR="00CC4859" w:rsidRPr="004B6827">
        <w:rPr>
          <w:szCs w:val="22"/>
          <w:lang w:val="sk-SK"/>
        </w:rPr>
        <w:t>Liečivá ovplyvňujúce hladinu lipidov, inhibítory HMG</w:t>
      </w:r>
      <w:r w:rsidR="00C02051" w:rsidRPr="004B6827">
        <w:rPr>
          <w:szCs w:val="22"/>
          <w:lang w:val="sk-SK"/>
        </w:rPr>
        <w:t>-</w:t>
      </w:r>
      <w:r w:rsidR="00CC4859" w:rsidRPr="004B6827">
        <w:rPr>
          <w:szCs w:val="22"/>
          <w:lang w:val="sk-SK"/>
        </w:rPr>
        <w:t>CoA reduktázy, iné kombinácie,</w:t>
      </w:r>
      <w:r w:rsidRPr="004B6827">
        <w:rPr>
          <w:szCs w:val="22"/>
          <w:lang w:val="sk-SK"/>
        </w:rPr>
        <w:t xml:space="preserve"> ATC kód: </w:t>
      </w:r>
      <w:r w:rsidR="00CC4859" w:rsidRPr="004B6827">
        <w:rPr>
          <w:szCs w:val="22"/>
          <w:lang w:val="sk-SK"/>
        </w:rPr>
        <w:t>C10BX</w:t>
      </w:r>
    </w:p>
    <w:p w:rsidR="000F4A9B" w:rsidRPr="004B6827" w:rsidRDefault="000F4A9B" w:rsidP="000F4A9B">
      <w:pPr>
        <w:rPr>
          <w:szCs w:val="22"/>
          <w:u w:val="single"/>
          <w:lang w:val="sk-SK"/>
        </w:rPr>
      </w:pPr>
    </w:p>
    <w:p w:rsidR="000F4A9B" w:rsidRPr="004B6827" w:rsidRDefault="000F4A9B" w:rsidP="000F4A9B">
      <w:pPr>
        <w:rPr>
          <w:szCs w:val="22"/>
          <w:u w:val="single"/>
          <w:lang w:val="sk-SK"/>
        </w:rPr>
      </w:pPr>
      <w:r w:rsidRPr="004B6827">
        <w:rPr>
          <w:szCs w:val="22"/>
          <w:u w:val="single"/>
          <w:lang w:val="sk-SK"/>
        </w:rPr>
        <w:t>Mechanizmus účinku</w:t>
      </w:r>
    </w:p>
    <w:p w:rsidR="00CC4859" w:rsidRPr="004B6827" w:rsidRDefault="00CC4859" w:rsidP="000F4A9B">
      <w:pPr>
        <w:rPr>
          <w:szCs w:val="22"/>
          <w:lang w:val="sk-SK"/>
        </w:rPr>
      </w:pPr>
    </w:p>
    <w:p w:rsidR="000F4A9B" w:rsidRPr="004B6827" w:rsidRDefault="00CC4859" w:rsidP="000F4A9B">
      <w:pPr>
        <w:rPr>
          <w:b/>
          <w:i/>
          <w:szCs w:val="22"/>
          <w:lang w:val="sk-SK"/>
        </w:rPr>
      </w:pPr>
      <w:r w:rsidRPr="004B6827">
        <w:rPr>
          <w:b/>
          <w:i/>
          <w:szCs w:val="22"/>
          <w:lang w:val="sk-SK"/>
        </w:rPr>
        <w:t>Atorvastatín</w:t>
      </w:r>
    </w:p>
    <w:p w:rsidR="00CC4859" w:rsidRPr="004B6827" w:rsidRDefault="00CC4859" w:rsidP="00CC4859">
      <w:pPr>
        <w:rPr>
          <w:szCs w:val="22"/>
          <w:lang w:val="sk-SK"/>
        </w:rPr>
      </w:pPr>
      <w:r w:rsidRPr="004B6827">
        <w:rPr>
          <w:szCs w:val="22"/>
          <w:lang w:val="sk-SK"/>
        </w:rPr>
        <w:t>Atorvastatín je selektívny, kompetitívny inhibítor HMG</w:t>
      </w:r>
      <w:r w:rsidR="00C02051" w:rsidRPr="004B6827">
        <w:rPr>
          <w:szCs w:val="22"/>
          <w:lang w:val="sk-SK"/>
        </w:rPr>
        <w:t>-</w:t>
      </w:r>
      <w:r w:rsidRPr="004B6827">
        <w:rPr>
          <w:szCs w:val="22"/>
          <w:lang w:val="sk-SK"/>
        </w:rPr>
        <w:t>CoA reduktázy, ktorá je enzým katalyzujúci premenu 3</w:t>
      </w:r>
      <w:r w:rsidR="00C02051" w:rsidRPr="004B6827">
        <w:rPr>
          <w:szCs w:val="22"/>
          <w:lang w:val="sk-SK"/>
        </w:rPr>
        <w:t>-</w:t>
      </w:r>
      <w:r w:rsidRPr="004B6827">
        <w:rPr>
          <w:szCs w:val="22"/>
          <w:lang w:val="sk-SK"/>
        </w:rPr>
        <w:t>hydroxy</w:t>
      </w:r>
      <w:r w:rsidR="00C02051" w:rsidRPr="004B6827">
        <w:rPr>
          <w:szCs w:val="22"/>
          <w:lang w:val="sk-SK"/>
        </w:rPr>
        <w:t>-</w:t>
      </w:r>
      <w:r w:rsidRPr="004B6827">
        <w:rPr>
          <w:szCs w:val="22"/>
          <w:lang w:val="sk-SK"/>
        </w:rPr>
        <w:t>3</w:t>
      </w:r>
      <w:r w:rsidR="00C02051" w:rsidRPr="004B6827">
        <w:rPr>
          <w:szCs w:val="22"/>
          <w:lang w:val="sk-SK"/>
        </w:rPr>
        <w:t>-</w:t>
      </w:r>
      <w:r w:rsidRPr="004B6827">
        <w:rPr>
          <w:szCs w:val="22"/>
          <w:lang w:val="sk-SK"/>
        </w:rPr>
        <w:t>metyl</w:t>
      </w:r>
      <w:r w:rsidR="00C02051" w:rsidRPr="004B6827">
        <w:rPr>
          <w:szCs w:val="22"/>
          <w:lang w:val="sk-SK"/>
        </w:rPr>
        <w:t>-</w:t>
      </w:r>
      <w:r w:rsidRPr="004B6827">
        <w:rPr>
          <w:szCs w:val="22"/>
          <w:lang w:val="sk-SK"/>
        </w:rPr>
        <w:t>glutaryl</w:t>
      </w:r>
      <w:r w:rsidR="00C02051" w:rsidRPr="004B6827">
        <w:rPr>
          <w:szCs w:val="22"/>
          <w:lang w:val="sk-SK"/>
        </w:rPr>
        <w:t>-</w:t>
      </w:r>
      <w:r w:rsidRPr="004B6827">
        <w:rPr>
          <w:szCs w:val="22"/>
          <w:lang w:val="sk-SK"/>
        </w:rPr>
        <w:t xml:space="preserve">koenzýmu A na mevalonát, čo je prekurzor sterolov vrátane cholesterolu. V pečeni sú triacylglyceroly a cholesterol zabudované do lipoproteínov s veľmi nízkou hustotou (VLDL) a plazmou sú transportované do periférnych tkanív. Lipoproteín </w:t>
      </w:r>
      <w:r w:rsidR="00C02051" w:rsidRPr="004B6827">
        <w:rPr>
          <w:szCs w:val="22"/>
          <w:lang w:val="sk-SK"/>
        </w:rPr>
        <w:t xml:space="preserve">s nízkou </w:t>
      </w:r>
      <w:r w:rsidRPr="004B6827">
        <w:rPr>
          <w:szCs w:val="22"/>
          <w:lang w:val="sk-SK"/>
        </w:rPr>
        <w:t>hustot</w:t>
      </w:r>
      <w:r w:rsidR="00C02051" w:rsidRPr="004B6827">
        <w:rPr>
          <w:szCs w:val="22"/>
          <w:lang w:val="sk-SK"/>
        </w:rPr>
        <w:t>ou</w:t>
      </w:r>
      <w:r w:rsidRPr="004B6827">
        <w:rPr>
          <w:szCs w:val="22"/>
          <w:lang w:val="sk-SK"/>
        </w:rPr>
        <w:t xml:space="preserve"> (LDL) sa tvorí z VLDL a je primárne katabolizovaný receptormi s vysokou afinitou k LDL (LDL receptor).</w:t>
      </w:r>
    </w:p>
    <w:p w:rsidR="00CC4859" w:rsidRPr="004B6827" w:rsidRDefault="00CC4859" w:rsidP="000F4A9B">
      <w:pPr>
        <w:rPr>
          <w:szCs w:val="22"/>
          <w:lang w:val="sk-SK"/>
        </w:rPr>
      </w:pPr>
    </w:p>
    <w:p w:rsidR="00CC4859" w:rsidRPr="004B6827" w:rsidRDefault="00A95FD4" w:rsidP="000F4A9B">
      <w:pPr>
        <w:rPr>
          <w:b/>
          <w:i/>
          <w:szCs w:val="22"/>
          <w:lang w:val="sk-SK"/>
        </w:rPr>
      </w:pPr>
      <w:r w:rsidRPr="004B6827">
        <w:rPr>
          <w:b/>
          <w:i/>
          <w:szCs w:val="22"/>
          <w:lang w:val="sk-SK"/>
        </w:rPr>
        <w:t>Perindopril</w:t>
      </w:r>
    </w:p>
    <w:p w:rsidR="00A95FD4" w:rsidRPr="004B6827" w:rsidRDefault="00A95FD4" w:rsidP="00A95FD4">
      <w:pPr>
        <w:rPr>
          <w:lang w:val="sk-SK" w:eastAsia="sk-SK"/>
        </w:rPr>
      </w:pPr>
      <w:r w:rsidRPr="004B6827">
        <w:rPr>
          <w:szCs w:val="22"/>
          <w:lang w:val="sk-SK"/>
        </w:rPr>
        <w:t>Perindopril je inhibítor enzýmu, ktorý konvertuje angiotenzín I na angiotenzín II (angiotenzín-konvertujúci</w:t>
      </w:r>
      <w:r w:rsidRPr="004B6827">
        <w:rPr>
          <w:lang w:val="sk-SK" w:eastAsia="sk-SK"/>
        </w:rPr>
        <w:t xml:space="preserve"> enzým, ACE). Tento konvertujúci enzým alebo kináza je exopeptidáza, ktorá umožňuje konverziu angiotenzínu I na vazokonstrikčný angiotenzín II a zároveň spôsobuje rozpad vazodilatačného bradykinínu na neaktívny heptapeptid. Inhibícia ACE vedie k redukcii angiotenzínu II v plazme, čo vedie k zvýšenej aktivite plazmatického renínu (inhibíciou negatívnej spätnej väzby uvoľnenia renínu) a zníženej sekrécii aldosterónu. Keďže ACE inaktivuje bradykinín, inhibícia ACE vedie zároveň k zvýšenej aktivite obehového a lokálneho kalikreín-kinínového systému (a tým aj k aktivácii prostaglandínového systému). Je možné, že tento mechanizmus prispieva k účinku inhibítorov ACE na zníženie krvného tlaku a je </w:t>
      </w:r>
      <w:r w:rsidR="002A661D" w:rsidRPr="004B6827">
        <w:rPr>
          <w:lang w:val="sk-SK" w:eastAsia="sk-SK"/>
        </w:rPr>
        <w:t xml:space="preserve">čiastočne </w:t>
      </w:r>
      <w:r w:rsidRPr="004B6827">
        <w:rPr>
          <w:lang w:val="sk-SK" w:eastAsia="sk-SK"/>
        </w:rPr>
        <w:t>zodpovedný za ich niektoré vedľajšie účinky (napr. kašeľ).</w:t>
      </w:r>
    </w:p>
    <w:p w:rsidR="00A95FD4" w:rsidRPr="004B6827" w:rsidRDefault="00A95FD4" w:rsidP="00A95FD4">
      <w:pPr>
        <w:spacing w:line="240" w:lineRule="auto"/>
        <w:rPr>
          <w:lang w:val="sk-SK" w:eastAsia="sk-SK"/>
        </w:rPr>
      </w:pPr>
      <w:r w:rsidRPr="004B6827">
        <w:rPr>
          <w:lang w:val="sk-SK" w:eastAsia="sk-SK"/>
        </w:rPr>
        <w:t xml:space="preserve">Perindopril pôsobí prostredníctvom svojho aktívneho metabolitu, perindoprilátu. Ostatné metabolity nemajú </w:t>
      </w:r>
      <w:r w:rsidRPr="004B6827">
        <w:rPr>
          <w:i/>
          <w:lang w:val="sk-SK" w:eastAsia="sk-SK"/>
        </w:rPr>
        <w:t>in vitro</w:t>
      </w:r>
      <w:r w:rsidRPr="004B6827">
        <w:rPr>
          <w:lang w:val="sk-SK" w:eastAsia="sk-SK"/>
        </w:rPr>
        <w:t xml:space="preserve"> žiadnu ACE inhibičnú aktivitu.</w:t>
      </w:r>
    </w:p>
    <w:p w:rsidR="00A95FD4" w:rsidRPr="004B6827" w:rsidRDefault="00A95FD4" w:rsidP="00A95FD4">
      <w:pPr>
        <w:spacing w:line="240" w:lineRule="auto"/>
        <w:rPr>
          <w:lang w:val="sk-SK" w:eastAsia="sk-SK"/>
        </w:rPr>
      </w:pPr>
    </w:p>
    <w:p w:rsidR="00A95FD4" w:rsidRPr="004B6827" w:rsidRDefault="00A95FD4" w:rsidP="00A95FD4">
      <w:pPr>
        <w:rPr>
          <w:b/>
          <w:i/>
          <w:szCs w:val="22"/>
          <w:lang w:val="sk-SK"/>
        </w:rPr>
      </w:pPr>
      <w:r w:rsidRPr="004B6827">
        <w:rPr>
          <w:b/>
          <w:i/>
          <w:szCs w:val="22"/>
          <w:lang w:val="sk-SK"/>
        </w:rPr>
        <w:t>Amlodipín</w:t>
      </w:r>
    </w:p>
    <w:p w:rsidR="00A95FD4" w:rsidRPr="004B6827" w:rsidRDefault="00A95FD4" w:rsidP="00A95FD4">
      <w:pPr>
        <w:rPr>
          <w:lang w:val="sk-SK" w:eastAsia="sk-SK"/>
        </w:rPr>
      </w:pPr>
      <w:r w:rsidRPr="004B6827">
        <w:rPr>
          <w:szCs w:val="22"/>
          <w:lang w:val="sk-SK"/>
        </w:rPr>
        <w:t>Amlodipín</w:t>
      </w:r>
      <w:r w:rsidRPr="004B6827">
        <w:rPr>
          <w:lang w:val="sk-SK" w:eastAsia="sk-SK"/>
        </w:rPr>
        <w:t xml:space="preserve"> je inhibítor vstupu kalciových iónov z dihydropyridínovej skupiny (blokátor pomalého kanála alebo antagonista kalciových iónov) a inhibuje transmembránový vstup kalciových iónov do hladkých svalov srdca a ciev. </w:t>
      </w:r>
    </w:p>
    <w:p w:rsidR="00CC4859" w:rsidRPr="004B6827" w:rsidRDefault="00CC4859" w:rsidP="000F4A9B">
      <w:pPr>
        <w:rPr>
          <w:szCs w:val="22"/>
          <w:lang w:val="sk-SK"/>
        </w:rPr>
      </w:pPr>
    </w:p>
    <w:p w:rsidR="000F4A9B" w:rsidRPr="004B6827" w:rsidRDefault="000F4A9B" w:rsidP="000F4A9B">
      <w:pPr>
        <w:tabs>
          <w:tab w:val="left" w:pos="1134"/>
        </w:tabs>
        <w:rPr>
          <w:szCs w:val="22"/>
          <w:u w:val="single"/>
          <w:lang w:val="sk-SK"/>
        </w:rPr>
      </w:pPr>
      <w:r w:rsidRPr="004B6827">
        <w:rPr>
          <w:szCs w:val="22"/>
          <w:u w:val="single"/>
          <w:lang w:val="sk-SK"/>
        </w:rPr>
        <w:t>Farmakodynamick</w:t>
      </w:r>
      <w:r w:rsidR="00A95FD4" w:rsidRPr="004B6827">
        <w:rPr>
          <w:szCs w:val="22"/>
          <w:u w:val="single"/>
          <w:lang w:val="sk-SK"/>
        </w:rPr>
        <w:t>é</w:t>
      </w:r>
      <w:r w:rsidRPr="004B6827">
        <w:rPr>
          <w:szCs w:val="22"/>
          <w:u w:val="single"/>
          <w:lang w:val="sk-SK"/>
        </w:rPr>
        <w:t xml:space="preserve"> účin</w:t>
      </w:r>
      <w:r w:rsidR="00A95FD4" w:rsidRPr="004B6827">
        <w:rPr>
          <w:szCs w:val="22"/>
          <w:u w:val="single"/>
          <w:lang w:val="sk-SK"/>
        </w:rPr>
        <w:t>ky</w:t>
      </w:r>
    </w:p>
    <w:p w:rsidR="008D03A7" w:rsidRPr="004B6827" w:rsidRDefault="008D03A7" w:rsidP="000F4A9B">
      <w:pPr>
        <w:tabs>
          <w:tab w:val="left" w:pos="1134"/>
        </w:tabs>
        <w:rPr>
          <w:b/>
          <w:i/>
          <w:szCs w:val="22"/>
          <w:lang w:val="sk-SK"/>
        </w:rPr>
      </w:pPr>
      <w:r w:rsidRPr="004B6827">
        <w:rPr>
          <w:b/>
          <w:i/>
          <w:szCs w:val="22"/>
          <w:lang w:val="sk-SK"/>
        </w:rPr>
        <w:t>Atorvastatín</w:t>
      </w:r>
    </w:p>
    <w:p w:rsidR="008D03A7" w:rsidRPr="004B6827" w:rsidRDefault="008D03A7" w:rsidP="008D03A7">
      <w:pPr>
        <w:pStyle w:val="Zarkazkladnhotextu2"/>
        <w:spacing w:after="0" w:line="240" w:lineRule="auto"/>
        <w:ind w:left="0"/>
        <w:rPr>
          <w:szCs w:val="22"/>
          <w:lang w:val="sk-SK"/>
        </w:rPr>
      </w:pPr>
      <w:r w:rsidRPr="004B6827">
        <w:rPr>
          <w:szCs w:val="22"/>
          <w:lang w:val="sk-SK"/>
        </w:rPr>
        <w:lastRenderedPageBreak/>
        <w:t>Atorvastatín znižuje plazmatické koncentrácie cholesterolu a sérové koncentrácie lipoproteínov inhibíciou HMG</w:t>
      </w:r>
      <w:r w:rsidR="002A661D" w:rsidRPr="004B6827">
        <w:rPr>
          <w:szCs w:val="22"/>
          <w:lang w:val="sk-SK"/>
        </w:rPr>
        <w:t>-</w:t>
      </w:r>
      <w:r w:rsidRPr="004B6827">
        <w:rPr>
          <w:szCs w:val="22"/>
          <w:lang w:val="sk-SK"/>
        </w:rPr>
        <w:t>CoA-reduktázy a následne biosyntézy cholesterolu v pečeni a zvyšuje počet LDL receptorov pečene na povrchu bunky, čím sa urýchľuje vychytávanie a katabolizmus LDL.</w:t>
      </w:r>
    </w:p>
    <w:p w:rsidR="008D03A7" w:rsidRPr="004B6827" w:rsidRDefault="008D03A7" w:rsidP="008D03A7">
      <w:pPr>
        <w:pStyle w:val="Zarkazkladnhotextu2"/>
        <w:spacing w:after="0" w:line="240" w:lineRule="auto"/>
        <w:ind w:left="0"/>
        <w:rPr>
          <w:szCs w:val="22"/>
          <w:lang w:val="sk-SK"/>
        </w:rPr>
      </w:pPr>
      <w:r w:rsidRPr="004B6827">
        <w:rPr>
          <w:szCs w:val="22"/>
          <w:lang w:val="sk-SK"/>
        </w:rPr>
        <w:t>Atorvastatín znižuje tvorbu LDL a počet LDL častíc. Atorvastatín zapríčiňuje výrazné a trvalé zvýšenie aktivity LDL receptorov spojené s výhodnou zmenou kvality cirkulujúcich LDL častíc. Atorvastatín je účinný v znižovaní LDL</w:t>
      </w:r>
      <w:r w:rsidR="002A661D" w:rsidRPr="004B6827">
        <w:rPr>
          <w:szCs w:val="22"/>
          <w:lang w:val="sk-SK"/>
        </w:rPr>
        <w:t>-</w:t>
      </w:r>
      <w:r w:rsidRPr="004B6827">
        <w:rPr>
          <w:szCs w:val="22"/>
          <w:lang w:val="sk-SK"/>
        </w:rPr>
        <w:t>cholesterolu u pacientov s homozygotnou familiárnou hypercholesterolémiou, čo je populácia, ktorá obvykle nereaguje na hypolipidemické lieky.</w:t>
      </w:r>
    </w:p>
    <w:p w:rsidR="008D03A7" w:rsidRPr="004B6827" w:rsidRDefault="008D03A7" w:rsidP="000F4A9B">
      <w:pPr>
        <w:tabs>
          <w:tab w:val="left" w:pos="1134"/>
        </w:tabs>
        <w:rPr>
          <w:szCs w:val="22"/>
          <w:lang w:val="sk-SK"/>
        </w:rPr>
      </w:pPr>
    </w:p>
    <w:p w:rsidR="000F4A9B" w:rsidRPr="004B6827" w:rsidRDefault="008D03A7" w:rsidP="000F4A9B">
      <w:pPr>
        <w:spacing w:line="240" w:lineRule="auto"/>
        <w:rPr>
          <w:b/>
          <w:i/>
          <w:szCs w:val="22"/>
          <w:lang w:val="sk-SK"/>
        </w:rPr>
      </w:pPr>
      <w:r w:rsidRPr="004B6827">
        <w:rPr>
          <w:b/>
          <w:i/>
          <w:szCs w:val="22"/>
          <w:lang w:val="sk-SK"/>
        </w:rPr>
        <w:t>Perindopril</w:t>
      </w:r>
    </w:p>
    <w:p w:rsidR="008D03A7" w:rsidRPr="004B6827" w:rsidRDefault="008D03A7" w:rsidP="008D03A7">
      <w:pPr>
        <w:spacing w:line="240" w:lineRule="auto"/>
        <w:rPr>
          <w:i/>
          <w:lang w:val="sk-SK" w:eastAsia="sk-SK"/>
        </w:rPr>
      </w:pPr>
      <w:r w:rsidRPr="004B6827">
        <w:rPr>
          <w:i/>
          <w:lang w:val="sk-SK" w:eastAsia="sk-SK"/>
        </w:rPr>
        <w:t>Hypertenzia:</w:t>
      </w:r>
    </w:p>
    <w:p w:rsidR="008D03A7" w:rsidRPr="004B6827" w:rsidRDefault="008D03A7" w:rsidP="008D03A7">
      <w:pPr>
        <w:spacing w:line="240" w:lineRule="auto"/>
        <w:rPr>
          <w:lang w:val="sk-SK" w:eastAsia="sk-SK"/>
        </w:rPr>
      </w:pPr>
      <w:r w:rsidRPr="004B6827">
        <w:rPr>
          <w:lang w:val="sk-SK" w:eastAsia="sk-SK"/>
        </w:rPr>
        <w:t>Perindopril je účinný pri všetkých stupňoch hypertenzie: miernej, stredne ťažkej, ťažkej; pozoruje sa zníženie systolického a diastolického krvného tlaku v polohe ležmo aj v stoji.</w:t>
      </w:r>
    </w:p>
    <w:p w:rsidR="008D03A7" w:rsidRPr="004B6827" w:rsidRDefault="008D03A7" w:rsidP="008D03A7">
      <w:pPr>
        <w:spacing w:line="240" w:lineRule="auto"/>
        <w:rPr>
          <w:lang w:val="sk-SK" w:eastAsia="sk-SK"/>
        </w:rPr>
      </w:pPr>
      <w:r w:rsidRPr="004B6827">
        <w:rPr>
          <w:lang w:val="sk-SK" w:eastAsia="sk-SK"/>
        </w:rPr>
        <w:t>Perindopril znižuje periférnu cievnu rezistenciu, čo vedie k zníženiu krvného tlaku. Dôsledkom toho sa zvyšuje periférny prietok krvi bez ovplyvnenia srdcovej frekvencie.</w:t>
      </w:r>
    </w:p>
    <w:p w:rsidR="008D03A7" w:rsidRPr="004B6827" w:rsidRDefault="008D03A7" w:rsidP="008D03A7">
      <w:pPr>
        <w:spacing w:line="240" w:lineRule="auto"/>
        <w:rPr>
          <w:lang w:val="sk-SK" w:eastAsia="sk-SK"/>
        </w:rPr>
      </w:pPr>
      <w:r w:rsidRPr="004B6827">
        <w:rPr>
          <w:lang w:val="sk-SK" w:eastAsia="sk-SK"/>
        </w:rPr>
        <w:t xml:space="preserve">Spravidla sa zvyšuje prietok krvi obličkami, kým rýchlosť glomerulárnej filtrácie (GFR) </w:t>
      </w:r>
      <w:r w:rsidR="00551E8D" w:rsidRPr="004B6827">
        <w:rPr>
          <w:lang w:val="sk-SK" w:eastAsia="sk-SK"/>
        </w:rPr>
        <w:t>je</w:t>
      </w:r>
      <w:r w:rsidRPr="004B6827">
        <w:rPr>
          <w:lang w:val="sk-SK" w:eastAsia="sk-SK"/>
        </w:rPr>
        <w:t xml:space="preserve"> zvyčajne ne</w:t>
      </w:r>
      <w:r w:rsidR="00551E8D" w:rsidRPr="004B6827">
        <w:rPr>
          <w:lang w:val="sk-SK" w:eastAsia="sk-SK"/>
        </w:rPr>
        <w:t>zmenená</w:t>
      </w:r>
      <w:r w:rsidRPr="004B6827">
        <w:rPr>
          <w:lang w:val="sk-SK" w:eastAsia="sk-SK"/>
        </w:rPr>
        <w:t>.</w:t>
      </w:r>
    </w:p>
    <w:p w:rsidR="008D03A7" w:rsidRPr="004B6827" w:rsidRDefault="00551E8D" w:rsidP="000F4A9B">
      <w:pPr>
        <w:spacing w:line="240" w:lineRule="auto"/>
        <w:rPr>
          <w:lang w:val="sk-SK" w:eastAsia="sk-SK"/>
        </w:rPr>
      </w:pPr>
      <w:r w:rsidRPr="004B6827">
        <w:rPr>
          <w:lang w:val="sk-SK" w:eastAsia="sk-SK"/>
        </w:rPr>
        <w:t>Perindopril znižuje prácu srdca znížením preloadu a afterloadu.</w:t>
      </w:r>
    </w:p>
    <w:p w:rsidR="00551E8D" w:rsidRPr="004B6827" w:rsidRDefault="00551E8D" w:rsidP="000F4A9B">
      <w:pPr>
        <w:spacing w:line="240" w:lineRule="auto"/>
        <w:rPr>
          <w:lang w:val="sk-SK" w:eastAsia="sk-SK"/>
        </w:rPr>
      </w:pPr>
    </w:p>
    <w:p w:rsidR="00551E8D" w:rsidRPr="004B6827" w:rsidRDefault="00551E8D" w:rsidP="000F4A9B">
      <w:pPr>
        <w:spacing w:line="240" w:lineRule="auto"/>
        <w:rPr>
          <w:b/>
          <w:i/>
          <w:lang w:val="sk-SK" w:eastAsia="sk-SK"/>
        </w:rPr>
      </w:pPr>
      <w:r w:rsidRPr="004B6827">
        <w:rPr>
          <w:b/>
          <w:i/>
          <w:lang w:val="sk-SK" w:eastAsia="sk-SK"/>
        </w:rPr>
        <w:t>Amlodipín</w:t>
      </w:r>
    </w:p>
    <w:p w:rsidR="00551E8D" w:rsidRPr="004B6827" w:rsidRDefault="00551E8D" w:rsidP="00551E8D">
      <w:pPr>
        <w:autoSpaceDE w:val="0"/>
        <w:autoSpaceDN w:val="0"/>
        <w:adjustRightInd w:val="0"/>
        <w:spacing w:line="240" w:lineRule="auto"/>
        <w:rPr>
          <w:lang w:val="sk-SK" w:eastAsia="sk-SK"/>
        </w:rPr>
      </w:pPr>
      <w:r w:rsidRPr="004B6827">
        <w:rPr>
          <w:lang w:val="sk-SK" w:eastAsia="sk-SK"/>
        </w:rPr>
        <w:t>Mechanizmom antihypertenzívneho účinku amlodipínu je priamy relaxačný vplyv na hladké svaly ciev. Presný mechanizmus, ktorým amlodipín vyvoláva úľavu symptómov anginy pectoris nie je úplne stanovený, ale amlodipín redukuje celkovú ischemickú záťaž dvoma nasledovnými účinkami:</w:t>
      </w:r>
    </w:p>
    <w:p w:rsidR="00551E8D" w:rsidRPr="004B6827" w:rsidRDefault="00551E8D" w:rsidP="00551E8D">
      <w:pPr>
        <w:numPr>
          <w:ilvl w:val="0"/>
          <w:numId w:val="41"/>
        </w:numPr>
        <w:tabs>
          <w:tab w:val="clear" w:pos="567"/>
        </w:tabs>
        <w:autoSpaceDE w:val="0"/>
        <w:autoSpaceDN w:val="0"/>
        <w:adjustRightInd w:val="0"/>
        <w:spacing w:before="120" w:line="240" w:lineRule="auto"/>
        <w:rPr>
          <w:lang w:val="sk-SK" w:eastAsia="sk-SK"/>
        </w:rPr>
      </w:pPr>
      <w:r w:rsidRPr="004B6827">
        <w:rPr>
          <w:lang w:val="sk-SK" w:eastAsia="sk-SK"/>
        </w:rPr>
        <w:t>Amlodipín dilatuje periférne arterioly</w:t>
      </w:r>
      <w:r w:rsidR="005130B6" w:rsidRPr="004B6827">
        <w:rPr>
          <w:lang w:val="sk-SK" w:eastAsia="sk-SK"/>
        </w:rPr>
        <w:t>,</w:t>
      </w:r>
      <w:r w:rsidRPr="004B6827">
        <w:rPr>
          <w:lang w:val="sk-SK" w:eastAsia="sk-SK"/>
        </w:rPr>
        <w:t xml:space="preserve"> a znižuje teda celkovú periférnu rezistenciu (afterload), proti ktorej pracuje srdce. Keďže frekvencia srdca ostáva stabilná, táto menšia záťaž srdca znižuje spotrebu energie v myokarde a potrebu kyslíka.</w:t>
      </w:r>
    </w:p>
    <w:p w:rsidR="00551E8D" w:rsidRPr="004B6827" w:rsidRDefault="00551E8D" w:rsidP="00551E8D">
      <w:pPr>
        <w:numPr>
          <w:ilvl w:val="0"/>
          <w:numId w:val="41"/>
        </w:numPr>
        <w:tabs>
          <w:tab w:val="clear" w:pos="567"/>
        </w:tabs>
        <w:autoSpaceDE w:val="0"/>
        <w:autoSpaceDN w:val="0"/>
        <w:adjustRightInd w:val="0"/>
        <w:spacing w:line="240" w:lineRule="auto"/>
        <w:rPr>
          <w:lang w:val="sk-SK" w:eastAsia="sk-SK"/>
        </w:rPr>
      </w:pPr>
      <w:r w:rsidRPr="004B6827">
        <w:rPr>
          <w:lang w:val="sk-SK" w:eastAsia="sk-SK"/>
        </w:rPr>
        <w:t>Mechanizmus účinku amlodipínu pravdepodobne tiež zahŕňa aj dilatáciu hlavných koronárnych artérií a koronárnych arteriol v normálnych aj ischemických oblastiach. Táto dilatácia zvyšuje dodávku kyslíka myokardu u pacientov so spazmom koronárnych artérií (Prinzmetalova alebo variantná angina pectoris).</w:t>
      </w:r>
    </w:p>
    <w:p w:rsidR="008D03A7" w:rsidRPr="004B6827" w:rsidRDefault="008D03A7" w:rsidP="000F4A9B">
      <w:pPr>
        <w:spacing w:line="240" w:lineRule="auto"/>
        <w:rPr>
          <w:szCs w:val="22"/>
          <w:lang w:val="sk-SK"/>
        </w:rPr>
      </w:pPr>
    </w:p>
    <w:p w:rsidR="000F4A9B" w:rsidRPr="004B6827" w:rsidRDefault="000F4A9B" w:rsidP="000F4A9B">
      <w:pPr>
        <w:rPr>
          <w:szCs w:val="22"/>
          <w:u w:val="single"/>
          <w:lang w:val="sk-SK"/>
        </w:rPr>
      </w:pPr>
      <w:r w:rsidRPr="004B6827">
        <w:rPr>
          <w:szCs w:val="22"/>
          <w:u w:val="single"/>
          <w:lang w:val="sk-SK"/>
        </w:rPr>
        <w:t>Klinická účinnosť a bezpečnosť</w:t>
      </w:r>
    </w:p>
    <w:p w:rsidR="000F4A9B" w:rsidRPr="004B6827" w:rsidRDefault="000F4A9B" w:rsidP="000F4A9B">
      <w:pPr>
        <w:rPr>
          <w:szCs w:val="22"/>
          <w:lang w:val="sk-SK"/>
        </w:rPr>
      </w:pPr>
    </w:p>
    <w:p w:rsidR="000A61C0" w:rsidRPr="004B6827" w:rsidRDefault="00212A25" w:rsidP="000F4A9B">
      <w:pPr>
        <w:rPr>
          <w:szCs w:val="22"/>
          <w:lang w:val="sk-SK"/>
        </w:rPr>
      </w:pPr>
      <w:r w:rsidRPr="004B6827">
        <w:rPr>
          <w:szCs w:val="22"/>
          <w:lang w:val="sk-SK"/>
        </w:rPr>
        <w:t>Lipertance</w:t>
      </w:r>
      <w:r w:rsidR="000A61C0" w:rsidRPr="004B6827">
        <w:rPr>
          <w:szCs w:val="22"/>
          <w:lang w:val="sk-SK"/>
        </w:rPr>
        <w:t xml:space="preserve"> nebol </w:t>
      </w:r>
      <w:r w:rsidR="00DD34A5" w:rsidRPr="004B6827">
        <w:rPr>
          <w:szCs w:val="22"/>
          <w:lang w:val="sk-SK"/>
        </w:rPr>
        <w:t>skúšan</w:t>
      </w:r>
      <w:r w:rsidR="004E3F1A" w:rsidRPr="004B6827">
        <w:rPr>
          <w:szCs w:val="22"/>
          <w:lang w:val="sk-SK"/>
        </w:rPr>
        <w:t>ý</w:t>
      </w:r>
      <w:r w:rsidR="00DD34A5" w:rsidRPr="004B6827">
        <w:rPr>
          <w:szCs w:val="22"/>
          <w:lang w:val="sk-SK"/>
        </w:rPr>
        <w:t xml:space="preserve"> </w:t>
      </w:r>
      <w:r w:rsidR="005130B6" w:rsidRPr="004B6827">
        <w:rPr>
          <w:szCs w:val="22"/>
          <w:lang w:val="sk-SK"/>
        </w:rPr>
        <w:t xml:space="preserve">z hľadiska </w:t>
      </w:r>
      <w:r w:rsidR="00DD34A5" w:rsidRPr="004B6827">
        <w:rPr>
          <w:szCs w:val="22"/>
          <w:lang w:val="sk-SK"/>
        </w:rPr>
        <w:t>vplyv</w:t>
      </w:r>
      <w:r w:rsidR="005130B6" w:rsidRPr="004B6827">
        <w:rPr>
          <w:szCs w:val="22"/>
          <w:lang w:val="sk-SK"/>
        </w:rPr>
        <w:t>u</w:t>
      </w:r>
      <w:r w:rsidR="00DD34A5" w:rsidRPr="004B6827">
        <w:rPr>
          <w:szCs w:val="22"/>
          <w:lang w:val="sk-SK"/>
        </w:rPr>
        <w:t xml:space="preserve"> na morbiditu a mortalitu.</w:t>
      </w:r>
    </w:p>
    <w:p w:rsidR="00DD34A5" w:rsidRPr="004B6827" w:rsidRDefault="00DD34A5" w:rsidP="000F4A9B">
      <w:pPr>
        <w:rPr>
          <w:szCs w:val="22"/>
          <w:lang w:val="sk-SK"/>
        </w:rPr>
      </w:pPr>
    </w:p>
    <w:p w:rsidR="00880C4D" w:rsidRPr="004B6827" w:rsidRDefault="00880C4D" w:rsidP="000F4A9B">
      <w:pPr>
        <w:rPr>
          <w:b/>
          <w:i/>
          <w:szCs w:val="22"/>
          <w:lang w:val="sk-SK"/>
        </w:rPr>
      </w:pPr>
      <w:r w:rsidRPr="004B6827">
        <w:rPr>
          <w:b/>
          <w:i/>
          <w:szCs w:val="22"/>
          <w:lang w:val="sk-SK"/>
        </w:rPr>
        <w:t>Atorvastatín</w:t>
      </w:r>
    </w:p>
    <w:p w:rsidR="00E63E22" w:rsidRPr="004B6827" w:rsidRDefault="00E63E22" w:rsidP="00E63E22">
      <w:pPr>
        <w:pStyle w:val="Zarkazkladnhotextu2"/>
        <w:spacing w:after="0" w:line="240" w:lineRule="auto"/>
        <w:ind w:left="0"/>
        <w:rPr>
          <w:szCs w:val="22"/>
          <w:lang w:val="sk-SK"/>
        </w:rPr>
      </w:pPr>
      <w:r w:rsidRPr="004B6827">
        <w:rPr>
          <w:szCs w:val="22"/>
          <w:lang w:val="sk-SK"/>
        </w:rPr>
        <w:t xml:space="preserve">V klinickej štúdii sledujúcej odozvu liečby v závislosti </w:t>
      </w:r>
      <w:r w:rsidR="00B62F7E" w:rsidRPr="004B6827">
        <w:rPr>
          <w:szCs w:val="22"/>
          <w:lang w:val="sk-SK"/>
        </w:rPr>
        <w:t>od</w:t>
      </w:r>
      <w:r w:rsidRPr="004B6827">
        <w:rPr>
          <w:szCs w:val="22"/>
          <w:lang w:val="sk-SK"/>
        </w:rPr>
        <w:t xml:space="preserve"> dávk</w:t>
      </w:r>
      <w:r w:rsidR="00B62F7E" w:rsidRPr="004B6827">
        <w:rPr>
          <w:szCs w:val="22"/>
          <w:lang w:val="sk-SK"/>
        </w:rPr>
        <w:t>y</w:t>
      </w:r>
      <w:r w:rsidRPr="004B6827">
        <w:rPr>
          <w:szCs w:val="22"/>
          <w:lang w:val="sk-SK"/>
        </w:rPr>
        <w:t xml:space="preserve"> sa ukázalo, že atorvastatín znižuje koncentrácie celkového cholesterolu (30 </w:t>
      </w:r>
      <w:r w:rsidR="00BF7FC3" w:rsidRPr="004B6827">
        <w:rPr>
          <w:szCs w:val="22"/>
          <w:lang w:val="sk-SK"/>
        </w:rPr>
        <w:t>%</w:t>
      </w:r>
      <w:r w:rsidRPr="004B6827">
        <w:rPr>
          <w:szCs w:val="22"/>
          <w:lang w:val="sk-SK"/>
        </w:rPr>
        <w:t>– 46 %), LDL</w:t>
      </w:r>
      <w:r w:rsidR="005130B6" w:rsidRPr="004B6827">
        <w:rPr>
          <w:szCs w:val="22"/>
          <w:lang w:val="sk-SK"/>
        </w:rPr>
        <w:t>-</w:t>
      </w:r>
      <w:r w:rsidRPr="004B6827">
        <w:rPr>
          <w:szCs w:val="22"/>
          <w:lang w:val="sk-SK"/>
        </w:rPr>
        <w:t>cholesterolu (41 % – 61 %), apolipoproteínu B (34 % – 50 %) a triacylglycerolov (14 % – 33 %), pričom súčasne vyvolal variabilné zvýšenia HDL</w:t>
      </w:r>
      <w:r w:rsidR="005130B6" w:rsidRPr="004B6827">
        <w:rPr>
          <w:szCs w:val="22"/>
          <w:lang w:val="sk-SK"/>
        </w:rPr>
        <w:t>-</w:t>
      </w:r>
      <w:r w:rsidRPr="004B6827">
        <w:rPr>
          <w:szCs w:val="22"/>
          <w:lang w:val="sk-SK"/>
        </w:rPr>
        <w:t>cholesterolu a apolipoproteínu A1. Tieto výsledky sú zhodné u pacientov s heterozygotnou familiárnou hypercholesterolémiou, nefamiliárnymi formami hypercholesterolémie a zmiešanou hyperlipidémiou vrátane pacientov s diabetom mellitus nezávislý</w:t>
      </w:r>
      <w:r w:rsidR="00961262" w:rsidRPr="004B6827">
        <w:rPr>
          <w:szCs w:val="22"/>
          <w:lang w:val="sk-SK"/>
        </w:rPr>
        <w:t>ch</w:t>
      </w:r>
      <w:r w:rsidRPr="004B6827">
        <w:rPr>
          <w:szCs w:val="22"/>
          <w:lang w:val="sk-SK"/>
        </w:rPr>
        <w:t xml:space="preserve"> </w:t>
      </w:r>
      <w:r w:rsidR="00E217BF" w:rsidRPr="004B6827">
        <w:rPr>
          <w:szCs w:val="22"/>
          <w:lang w:val="sk-SK"/>
        </w:rPr>
        <w:t>od</w:t>
      </w:r>
      <w:r w:rsidRPr="004B6827">
        <w:rPr>
          <w:szCs w:val="22"/>
          <w:lang w:val="sk-SK"/>
        </w:rPr>
        <w:t xml:space="preserve"> inzulín</w:t>
      </w:r>
      <w:r w:rsidR="00E217BF" w:rsidRPr="004B6827">
        <w:rPr>
          <w:szCs w:val="22"/>
          <w:lang w:val="sk-SK"/>
        </w:rPr>
        <w:t>u</w:t>
      </w:r>
      <w:r w:rsidRPr="004B6827">
        <w:rPr>
          <w:szCs w:val="22"/>
          <w:lang w:val="sk-SK"/>
        </w:rPr>
        <w:t>.</w:t>
      </w:r>
    </w:p>
    <w:p w:rsidR="00E63E22" w:rsidRPr="004B6827" w:rsidRDefault="00E63E22" w:rsidP="00E63E22">
      <w:pPr>
        <w:rPr>
          <w:szCs w:val="22"/>
          <w:lang w:val="sk-SK"/>
        </w:rPr>
      </w:pPr>
      <w:r w:rsidRPr="004B6827">
        <w:rPr>
          <w:szCs w:val="22"/>
          <w:lang w:val="sk-SK"/>
        </w:rPr>
        <w:t>Bolo dokázané, že zníženia celkového</w:t>
      </w:r>
      <w:r w:rsidR="005130B6" w:rsidRPr="004B6827">
        <w:rPr>
          <w:szCs w:val="22"/>
          <w:lang w:val="sk-SK"/>
        </w:rPr>
        <w:t>-</w:t>
      </w:r>
      <w:r w:rsidRPr="004B6827">
        <w:rPr>
          <w:szCs w:val="22"/>
          <w:lang w:val="sk-SK"/>
        </w:rPr>
        <w:t>C, LDL</w:t>
      </w:r>
      <w:r w:rsidR="005130B6" w:rsidRPr="004B6827">
        <w:rPr>
          <w:szCs w:val="22"/>
          <w:lang w:val="sk-SK"/>
        </w:rPr>
        <w:t>-</w:t>
      </w:r>
      <w:r w:rsidRPr="004B6827">
        <w:rPr>
          <w:szCs w:val="22"/>
          <w:lang w:val="sk-SK"/>
        </w:rPr>
        <w:t>C a apolipoproteínu B znižujú riziko kardiovaskulárnych príhod a kardiovaskulárnej mortality.</w:t>
      </w:r>
    </w:p>
    <w:p w:rsidR="00E63E22" w:rsidRPr="004B6827" w:rsidRDefault="00E63E22" w:rsidP="00E63E22">
      <w:pPr>
        <w:rPr>
          <w:szCs w:val="22"/>
          <w:lang w:val="sk-SK"/>
        </w:rPr>
      </w:pPr>
    </w:p>
    <w:p w:rsidR="00E63E22" w:rsidRPr="004B6827" w:rsidRDefault="00E63E22" w:rsidP="00E63E22">
      <w:pPr>
        <w:rPr>
          <w:i/>
          <w:szCs w:val="22"/>
          <w:lang w:val="sk-SK"/>
        </w:rPr>
      </w:pPr>
      <w:r w:rsidRPr="004B6827">
        <w:rPr>
          <w:bCs/>
          <w:i/>
          <w:color w:val="000000"/>
          <w:szCs w:val="22"/>
          <w:lang w:val="sk-SK"/>
        </w:rPr>
        <w:t>Homozygotná familiárna hypercholesterolémia</w:t>
      </w:r>
    </w:p>
    <w:p w:rsidR="00E63E22" w:rsidRPr="004B6827" w:rsidRDefault="00E63E22" w:rsidP="00E63E22">
      <w:pPr>
        <w:rPr>
          <w:szCs w:val="22"/>
          <w:lang w:val="sk-SK"/>
        </w:rPr>
      </w:pPr>
      <w:r w:rsidRPr="004B6827">
        <w:rPr>
          <w:szCs w:val="22"/>
          <w:lang w:val="sk-SK"/>
        </w:rPr>
        <w:t>V multicentrickej 8 týždňov trvajúcej otvorenej štúdii umožňujúcej poskytnúť pacientovi liek z humanitárnych dôvodov s dobrovoľnou pokračujúcou fázou variabilnej dĺžky bolo zaradených 335 pacientov, pričom 89 z nich bolo identifikovaných ako pacienti s homozygotnou familiárnou hypercholesterolémiou. U týchto 89 pacientov došlo k priemernému percentuálnemu zníženiu LDL</w:t>
      </w:r>
      <w:r w:rsidR="005130B6" w:rsidRPr="004B6827">
        <w:rPr>
          <w:szCs w:val="22"/>
          <w:lang w:val="sk-SK"/>
        </w:rPr>
        <w:t>-</w:t>
      </w:r>
      <w:r w:rsidRPr="004B6827">
        <w:rPr>
          <w:szCs w:val="22"/>
          <w:lang w:val="sk-SK"/>
        </w:rPr>
        <w:t>C asi o 20 %. Atorvastatín sa podával v dávkach až do 80 mg/deň.</w:t>
      </w:r>
    </w:p>
    <w:p w:rsidR="00880C4D" w:rsidRPr="004B6827" w:rsidRDefault="00880C4D" w:rsidP="000F4A9B">
      <w:pPr>
        <w:rPr>
          <w:b/>
          <w:i/>
          <w:szCs w:val="22"/>
          <w:lang w:val="sk-SK"/>
        </w:rPr>
      </w:pPr>
    </w:p>
    <w:p w:rsidR="000A61C0" w:rsidRPr="004B6827" w:rsidRDefault="00F018A6" w:rsidP="000F4A9B">
      <w:pPr>
        <w:rPr>
          <w:i/>
          <w:szCs w:val="22"/>
          <w:lang w:val="sk-SK"/>
        </w:rPr>
      </w:pPr>
      <w:r w:rsidRPr="004B6827">
        <w:rPr>
          <w:i/>
          <w:szCs w:val="22"/>
          <w:lang w:val="sk-SK"/>
        </w:rPr>
        <w:t>Prevencia kardiovaskulárneho ochorenia</w:t>
      </w:r>
    </w:p>
    <w:p w:rsidR="00F018A6" w:rsidRPr="004B6827" w:rsidRDefault="00F018A6" w:rsidP="000F4A9B">
      <w:pPr>
        <w:rPr>
          <w:szCs w:val="22"/>
          <w:lang w:val="sk-SK"/>
        </w:rPr>
      </w:pPr>
      <w:r w:rsidRPr="004B6827">
        <w:rPr>
          <w:szCs w:val="22"/>
          <w:lang w:val="sk-SK"/>
        </w:rPr>
        <w:t>ASCOT (Anglo</w:t>
      </w:r>
      <w:r w:rsidR="00CB2196" w:rsidRPr="004B6827">
        <w:rPr>
          <w:szCs w:val="22"/>
          <w:lang w:val="sk-SK"/>
        </w:rPr>
        <w:t>-</w:t>
      </w:r>
      <w:r w:rsidRPr="004B6827">
        <w:rPr>
          <w:szCs w:val="22"/>
          <w:lang w:val="sk-SK"/>
        </w:rPr>
        <w:t>Scandinavian Cardiac Outcomes Trial) je medzinárodná randomizovaná štúdia s</w:t>
      </w:r>
      <w:r w:rsidRPr="004B6827">
        <w:rPr>
          <w:iCs/>
          <w:lang w:val="sk-SK"/>
        </w:rPr>
        <w:t xml:space="preserve"> 2x2 faktoriálnym dizajnom. ASCOT mala cieľ porovnať 2 antihypertenzívne liečebné režimy </w:t>
      </w:r>
      <w:r w:rsidRPr="004B6827">
        <w:rPr>
          <w:iCs/>
          <w:lang w:val="sk-SK"/>
        </w:rPr>
        <w:lastRenderedPageBreak/>
        <w:t>u 19 257 pacientov (rameno zamerané na zníženie krvného tlaku – ASCOT-BPLA</w:t>
      </w:r>
      <w:r w:rsidR="00B47C20" w:rsidRPr="004B6827">
        <w:rPr>
          <w:iCs/>
          <w:lang w:val="sk-SK"/>
        </w:rPr>
        <w:t xml:space="preserve"> (</w:t>
      </w:r>
      <w:r w:rsidR="00B47C20" w:rsidRPr="000E553C">
        <w:rPr>
          <w:lang w:val="sk-SK"/>
        </w:rPr>
        <w:t>Blood Pressure Lowering Arm)</w:t>
      </w:r>
      <w:r w:rsidRPr="004B6827">
        <w:rPr>
          <w:iCs/>
          <w:lang w:val="sk-SK"/>
        </w:rPr>
        <w:t>) a účinky pridania 10 mg atorvastatínu v porovnaní s placebom u 10 305 pacientov (rameno zamerané na zníženie lipidov – ASCOT-LLA</w:t>
      </w:r>
      <w:r w:rsidR="00B47C20" w:rsidRPr="004B6827">
        <w:rPr>
          <w:iCs/>
          <w:lang w:val="sk-SK"/>
        </w:rPr>
        <w:t xml:space="preserve"> (</w:t>
      </w:r>
      <w:r w:rsidR="00B47C20" w:rsidRPr="00B57E8C">
        <w:rPr>
          <w:lang w:val="sk-SK"/>
        </w:rPr>
        <w:t>Lipid Lowering Arm)</w:t>
      </w:r>
      <w:r w:rsidRPr="004B6827">
        <w:rPr>
          <w:iCs/>
          <w:lang w:val="sk-SK"/>
        </w:rPr>
        <w:t>) na fatálne a nefatálne koronárne príhody.</w:t>
      </w:r>
    </w:p>
    <w:p w:rsidR="00C52FD0" w:rsidRPr="004B6827" w:rsidRDefault="00F018A6" w:rsidP="00F018A6">
      <w:pPr>
        <w:rPr>
          <w:szCs w:val="22"/>
          <w:lang w:val="sk-SK"/>
        </w:rPr>
      </w:pPr>
      <w:r w:rsidRPr="00275323">
        <w:rPr>
          <w:iCs/>
          <w:lang w:val="sk-SK"/>
        </w:rPr>
        <w:t>Tieto ú</w:t>
      </w:r>
      <w:r w:rsidRPr="00275323">
        <w:rPr>
          <w:szCs w:val="22"/>
          <w:lang w:val="sk-SK"/>
        </w:rPr>
        <w:t xml:space="preserve">činky atorvastatínu na fatálne a nefatálne koronárne príhody sa </w:t>
      </w:r>
      <w:r w:rsidR="00C52FD0" w:rsidRPr="00275323">
        <w:rPr>
          <w:szCs w:val="22"/>
          <w:lang w:val="sk-SK"/>
        </w:rPr>
        <w:t>vyhodnocovali u hypertenzívnych pacientov vo veku 40</w:t>
      </w:r>
      <w:r w:rsidR="00CB2196" w:rsidRPr="004B6827">
        <w:rPr>
          <w:szCs w:val="22"/>
          <w:lang w:val="sk-SK"/>
        </w:rPr>
        <w:t xml:space="preserve"> – </w:t>
      </w:r>
      <w:r w:rsidR="00C52FD0" w:rsidRPr="004B6827">
        <w:rPr>
          <w:szCs w:val="22"/>
          <w:lang w:val="sk-SK"/>
        </w:rPr>
        <w:t>79 rokov be</w:t>
      </w:r>
      <w:r w:rsidR="00F7044D" w:rsidRPr="004B6827">
        <w:rPr>
          <w:szCs w:val="22"/>
          <w:lang w:val="sk-SK"/>
        </w:rPr>
        <w:t>z</w:t>
      </w:r>
      <w:r w:rsidR="00C52FD0" w:rsidRPr="004B6827">
        <w:rPr>
          <w:szCs w:val="22"/>
          <w:lang w:val="sk-SK"/>
        </w:rPr>
        <w:t xml:space="preserve"> anamnézy infarktu myokardu alebo liečby na anginu pectoris a s hladinou celkového cholesterolu TC ≤ 6,5 mmol/l (251 mg/dl). </w:t>
      </w:r>
    </w:p>
    <w:p w:rsidR="00F018A6" w:rsidRPr="004B6827" w:rsidRDefault="00F018A6" w:rsidP="00F018A6">
      <w:pPr>
        <w:rPr>
          <w:szCs w:val="22"/>
          <w:lang w:val="sk-SK"/>
        </w:rPr>
      </w:pPr>
      <w:r w:rsidRPr="004B6827">
        <w:rPr>
          <w:szCs w:val="22"/>
          <w:lang w:val="sk-SK"/>
        </w:rPr>
        <w:t>Všetci pacienti mali aspoň 3 z nasledujúcich vopred definovaných kardiovaskulárnych rizikových faktorov: mužské pohlavie, vek (</w:t>
      </w:r>
      <w:r w:rsidRPr="004B6827">
        <w:rPr>
          <w:szCs w:val="22"/>
          <w:lang w:val="sk-SK"/>
        </w:rPr>
        <w:sym w:font="Symbol" w:char="00B3"/>
      </w:r>
      <w:r w:rsidR="00C52FD0" w:rsidRPr="004B6827">
        <w:rPr>
          <w:szCs w:val="22"/>
          <w:lang w:val="sk-SK"/>
        </w:rPr>
        <w:t xml:space="preserve"> </w:t>
      </w:r>
      <w:r w:rsidRPr="004B6827">
        <w:rPr>
          <w:szCs w:val="22"/>
          <w:lang w:val="sk-SK"/>
        </w:rPr>
        <w:t>55 rokov), fajčenie, diabetes mellitus, anamnéza predčasného výskytu ICHS u prvostupňových príbuzných, TC: HDL </w:t>
      </w:r>
      <w:r w:rsidR="008D6CDE" w:rsidRPr="004B6827">
        <w:rPr>
          <w:szCs w:val="22"/>
          <w:lang w:val="sk-SK"/>
        </w:rPr>
        <w:t>&gt;</w:t>
      </w:r>
      <w:r w:rsidR="00C52FD0" w:rsidRPr="00275323">
        <w:rPr>
          <w:szCs w:val="22"/>
          <w:lang w:val="sk-SK"/>
        </w:rPr>
        <w:t xml:space="preserve"> </w:t>
      </w:r>
      <w:r w:rsidRPr="00275323">
        <w:rPr>
          <w:szCs w:val="22"/>
          <w:lang w:val="sk-SK"/>
        </w:rPr>
        <w:t>6, ochorenie periférnych ciev, hypertrofia ľavej komory, cievna mozgová príhoda v minulosti, špecifick</w:t>
      </w:r>
      <w:r w:rsidR="00C52FD0" w:rsidRPr="004B6827">
        <w:rPr>
          <w:szCs w:val="22"/>
          <w:lang w:val="sk-SK"/>
        </w:rPr>
        <w:t>á</w:t>
      </w:r>
      <w:r w:rsidRPr="004B6827">
        <w:rPr>
          <w:szCs w:val="22"/>
          <w:lang w:val="sk-SK"/>
        </w:rPr>
        <w:t xml:space="preserve"> abnormalit</w:t>
      </w:r>
      <w:r w:rsidR="00C52FD0" w:rsidRPr="004B6827">
        <w:rPr>
          <w:szCs w:val="22"/>
          <w:lang w:val="sk-SK"/>
        </w:rPr>
        <w:t>a</w:t>
      </w:r>
      <w:r w:rsidRPr="004B6827">
        <w:rPr>
          <w:szCs w:val="22"/>
          <w:lang w:val="sk-SK"/>
        </w:rPr>
        <w:t xml:space="preserve"> na EKG, proteinúria/albuminúria.</w:t>
      </w:r>
    </w:p>
    <w:p w:rsidR="00C52FD0" w:rsidRPr="004B6827" w:rsidRDefault="00F018A6" w:rsidP="00F018A6">
      <w:pPr>
        <w:rPr>
          <w:bCs/>
          <w:szCs w:val="22"/>
          <w:lang w:val="sk-SK"/>
        </w:rPr>
      </w:pPr>
      <w:r w:rsidRPr="004B6827">
        <w:rPr>
          <w:bCs/>
          <w:szCs w:val="22"/>
          <w:lang w:val="sk-SK"/>
        </w:rPr>
        <w:t xml:space="preserve">Pacienti </w:t>
      </w:r>
      <w:r w:rsidR="00C52FD0" w:rsidRPr="004B6827">
        <w:rPr>
          <w:bCs/>
          <w:szCs w:val="22"/>
          <w:lang w:val="sk-SK"/>
        </w:rPr>
        <w:t>dostávali</w:t>
      </w:r>
      <w:r w:rsidRPr="004B6827">
        <w:rPr>
          <w:bCs/>
          <w:szCs w:val="22"/>
          <w:lang w:val="sk-SK"/>
        </w:rPr>
        <w:t xml:space="preserve"> antihypertenz</w:t>
      </w:r>
      <w:r w:rsidR="00C52FD0" w:rsidRPr="004B6827">
        <w:rPr>
          <w:bCs/>
          <w:szCs w:val="22"/>
          <w:lang w:val="sk-SK"/>
        </w:rPr>
        <w:t>ívnu liečbu buď s </w:t>
      </w:r>
      <w:r w:rsidRPr="004B6827">
        <w:rPr>
          <w:bCs/>
          <w:szCs w:val="22"/>
          <w:lang w:val="sk-SK"/>
        </w:rPr>
        <w:t xml:space="preserve">amlodipínom alebo atenololom. Za účelom dosiahnutia cieľového </w:t>
      </w:r>
      <w:r w:rsidR="00C52FD0" w:rsidRPr="004B6827">
        <w:rPr>
          <w:bCs/>
          <w:szCs w:val="22"/>
          <w:lang w:val="sk-SK"/>
        </w:rPr>
        <w:t>krvného tlaku</w:t>
      </w:r>
      <w:r w:rsidRPr="004B6827">
        <w:rPr>
          <w:bCs/>
          <w:szCs w:val="22"/>
          <w:lang w:val="sk-SK"/>
        </w:rPr>
        <w:t xml:space="preserve"> (&lt;</w:t>
      </w:r>
      <w:r w:rsidR="00C52FD0" w:rsidRPr="004B6827">
        <w:rPr>
          <w:bCs/>
          <w:szCs w:val="22"/>
          <w:lang w:val="sk-SK"/>
        </w:rPr>
        <w:t xml:space="preserve"> </w:t>
      </w:r>
      <w:r w:rsidRPr="004B6827">
        <w:rPr>
          <w:bCs/>
          <w:szCs w:val="22"/>
          <w:lang w:val="sk-SK"/>
        </w:rPr>
        <w:t xml:space="preserve">140/90 mmHg </w:t>
      </w:r>
      <w:r w:rsidR="00C52FD0" w:rsidRPr="004B6827">
        <w:rPr>
          <w:bCs/>
          <w:szCs w:val="22"/>
          <w:lang w:val="sk-SK"/>
        </w:rPr>
        <w:t>u</w:t>
      </w:r>
      <w:r w:rsidRPr="004B6827">
        <w:rPr>
          <w:bCs/>
          <w:szCs w:val="22"/>
          <w:lang w:val="sk-SK"/>
        </w:rPr>
        <w:t xml:space="preserve"> nediabetických pacientov, &lt;</w:t>
      </w:r>
      <w:r w:rsidR="00C52FD0" w:rsidRPr="004B6827">
        <w:rPr>
          <w:bCs/>
          <w:szCs w:val="22"/>
          <w:lang w:val="sk-SK"/>
        </w:rPr>
        <w:t xml:space="preserve"> </w:t>
      </w:r>
      <w:r w:rsidRPr="004B6827">
        <w:rPr>
          <w:bCs/>
          <w:szCs w:val="22"/>
          <w:lang w:val="sk-SK"/>
        </w:rPr>
        <w:t xml:space="preserve">130/80 mmHg </w:t>
      </w:r>
      <w:r w:rsidR="00C52FD0" w:rsidRPr="004B6827">
        <w:rPr>
          <w:bCs/>
          <w:szCs w:val="22"/>
          <w:lang w:val="sk-SK"/>
        </w:rPr>
        <w:t>u</w:t>
      </w:r>
      <w:r w:rsidRPr="004B6827">
        <w:rPr>
          <w:bCs/>
          <w:szCs w:val="22"/>
          <w:lang w:val="sk-SK"/>
        </w:rPr>
        <w:t xml:space="preserve"> pacientov</w:t>
      </w:r>
      <w:r w:rsidR="00C52FD0" w:rsidRPr="004B6827">
        <w:rPr>
          <w:bCs/>
          <w:szCs w:val="22"/>
          <w:lang w:val="sk-SK"/>
        </w:rPr>
        <w:t xml:space="preserve"> s diabetom</w:t>
      </w:r>
      <w:r w:rsidRPr="004B6827">
        <w:rPr>
          <w:bCs/>
          <w:szCs w:val="22"/>
          <w:lang w:val="sk-SK"/>
        </w:rPr>
        <w:t xml:space="preserve">) sa mohol pridať perindopril ku skupine s amlodipínom a bendroflumetiazid </w:t>
      </w:r>
      <w:r w:rsidR="00C52FD0" w:rsidRPr="004B6827">
        <w:rPr>
          <w:bCs/>
          <w:szCs w:val="22"/>
          <w:lang w:val="sk-SK"/>
        </w:rPr>
        <w:t>ku skupine s atenololom.</w:t>
      </w:r>
    </w:p>
    <w:p w:rsidR="00C52FD0" w:rsidRPr="004B6827" w:rsidRDefault="00C52FD0" w:rsidP="00C52FD0">
      <w:pPr>
        <w:rPr>
          <w:szCs w:val="22"/>
          <w:lang w:val="sk-SK"/>
        </w:rPr>
      </w:pPr>
      <w:r w:rsidRPr="004B6827">
        <w:rPr>
          <w:szCs w:val="22"/>
          <w:lang w:val="sk-SK"/>
        </w:rPr>
        <w:t xml:space="preserve">Pacienti dostávali antihypertenzívnu liečbu </w:t>
      </w:r>
      <w:r w:rsidRPr="004B6827">
        <w:rPr>
          <w:bCs/>
          <w:iCs/>
          <w:szCs w:val="22"/>
          <w:lang w:val="sk-SK"/>
        </w:rPr>
        <w:t xml:space="preserve">(buď amlodipín alebo režim na báze atenololu) </w:t>
      </w:r>
      <w:r w:rsidRPr="004B6827">
        <w:rPr>
          <w:szCs w:val="22"/>
          <w:lang w:val="sk-SK"/>
        </w:rPr>
        <w:t>a buď atorvastatín 10 mg denne (n = 5 168) alebo placebo (n = 5 137).</w:t>
      </w:r>
    </w:p>
    <w:p w:rsidR="00C52FD0" w:rsidRPr="004B6827" w:rsidRDefault="001A5291" w:rsidP="00F018A6">
      <w:pPr>
        <w:rPr>
          <w:lang w:val="sk-SK"/>
        </w:rPr>
      </w:pPr>
      <w:r w:rsidRPr="004B6827">
        <w:rPr>
          <w:bCs/>
          <w:szCs w:val="22"/>
          <w:lang w:val="sk-SK"/>
        </w:rPr>
        <w:t>Kombinácia atorvastatínu a amlodipín</w:t>
      </w:r>
      <w:r w:rsidR="008D6CDE" w:rsidRPr="004B6827">
        <w:rPr>
          <w:bCs/>
          <w:szCs w:val="22"/>
          <w:lang w:val="sk-SK"/>
        </w:rPr>
        <w:t>u</w:t>
      </w:r>
      <w:r w:rsidRPr="004B6827">
        <w:rPr>
          <w:bCs/>
          <w:szCs w:val="22"/>
          <w:lang w:val="sk-SK"/>
        </w:rPr>
        <w:t xml:space="preserve"> ukázala významné zníženie rizika v primárnom </w:t>
      </w:r>
      <w:r w:rsidR="00F7044D" w:rsidRPr="00275323">
        <w:rPr>
          <w:bCs/>
          <w:szCs w:val="22"/>
          <w:lang w:val="sk-SK"/>
        </w:rPr>
        <w:t>cieli</w:t>
      </w:r>
      <w:r w:rsidRPr="00275323">
        <w:rPr>
          <w:bCs/>
          <w:szCs w:val="22"/>
          <w:lang w:val="sk-SK"/>
        </w:rPr>
        <w:t xml:space="preserve"> fatálnych koronárn</w:t>
      </w:r>
      <w:r w:rsidR="00ED645A" w:rsidRPr="004B6827">
        <w:rPr>
          <w:bCs/>
          <w:szCs w:val="22"/>
          <w:lang w:val="sk-SK"/>
        </w:rPr>
        <w:t>y</w:t>
      </w:r>
      <w:r w:rsidRPr="004B6827">
        <w:rPr>
          <w:bCs/>
          <w:szCs w:val="22"/>
          <w:lang w:val="sk-SK"/>
        </w:rPr>
        <w:t xml:space="preserve">ch príhod a nefatálnom infarkte myokardu </w:t>
      </w:r>
      <w:r w:rsidR="008D4023" w:rsidRPr="004B6827">
        <w:rPr>
          <w:bCs/>
          <w:szCs w:val="22"/>
          <w:lang w:val="sk-SK"/>
        </w:rPr>
        <w:t>53 % (95 % IS [0,31; 0,69], p &lt;</w:t>
      </w:r>
      <w:r w:rsidR="00C87963" w:rsidRPr="004B6827">
        <w:rPr>
          <w:bCs/>
          <w:szCs w:val="22"/>
          <w:lang w:val="sk-SK"/>
        </w:rPr>
        <w:t xml:space="preserve"> </w:t>
      </w:r>
      <w:r w:rsidR="008D4023" w:rsidRPr="004B6827">
        <w:rPr>
          <w:bCs/>
          <w:szCs w:val="22"/>
          <w:lang w:val="sk-SK"/>
        </w:rPr>
        <w:t>0,0001) v porovnaní s ramenom placebo + amlodipín a 39 % (95 % IS [0,08; 0,59], p &lt;</w:t>
      </w:r>
      <w:r w:rsidR="00C87963" w:rsidRPr="004B6827">
        <w:rPr>
          <w:bCs/>
          <w:szCs w:val="22"/>
          <w:lang w:val="sk-SK"/>
        </w:rPr>
        <w:t xml:space="preserve"> </w:t>
      </w:r>
      <w:r w:rsidR="008D4023" w:rsidRPr="004B6827">
        <w:rPr>
          <w:bCs/>
          <w:szCs w:val="22"/>
          <w:lang w:val="sk-SK"/>
        </w:rPr>
        <w:t>0,01</w:t>
      </w:r>
      <w:r w:rsidR="00ED645A" w:rsidRPr="004B6827">
        <w:rPr>
          <w:bCs/>
          <w:szCs w:val="22"/>
          <w:lang w:val="sk-SK"/>
        </w:rPr>
        <w:t>6</w:t>
      </w:r>
      <w:r w:rsidR="001834A3" w:rsidRPr="004B6827">
        <w:rPr>
          <w:bCs/>
          <w:szCs w:val="22"/>
          <w:lang w:val="sk-SK"/>
        </w:rPr>
        <w:t>)</w:t>
      </w:r>
      <w:r w:rsidR="008D4023" w:rsidRPr="004B6827">
        <w:rPr>
          <w:bCs/>
          <w:szCs w:val="22"/>
          <w:lang w:val="sk-SK"/>
        </w:rPr>
        <w:t xml:space="preserve"> v porovnaní s ramenom atorvastatín + atenolol</w:t>
      </w:r>
      <w:r w:rsidR="008D4023" w:rsidRPr="004B6827">
        <w:rPr>
          <w:lang w:val="sk-SK"/>
        </w:rPr>
        <w:t>.</w:t>
      </w:r>
    </w:p>
    <w:p w:rsidR="00C52FD0" w:rsidRPr="004B6827" w:rsidRDefault="00C52FD0" w:rsidP="00F018A6">
      <w:pPr>
        <w:rPr>
          <w:bCs/>
          <w:szCs w:val="22"/>
          <w:lang w:val="sk-SK"/>
        </w:rPr>
      </w:pPr>
    </w:p>
    <w:p w:rsidR="00C52FD0" w:rsidRPr="004B6827" w:rsidRDefault="008D4023" w:rsidP="00F018A6">
      <w:pPr>
        <w:rPr>
          <w:szCs w:val="22"/>
          <w:lang w:val="sk-SK"/>
        </w:rPr>
      </w:pPr>
      <w:r w:rsidRPr="004B6827">
        <w:rPr>
          <w:bCs/>
          <w:szCs w:val="22"/>
          <w:lang w:val="sk-SK"/>
        </w:rPr>
        <w:t>V podskupine pacientov ASCOT-LLA definovaných v</w:t>
      </w:r>
      <w:r w:rsidR="00C87963" w:rsidRPr="004B6827">
        <w:rPr>
          <w:bCs/>
          <w:szCs w:val="22"/>
          <w:lang w:val="sk-SK"/>
        </w:rPr>
        <w:t> </w:t>
      </w:r>
      <w:r w:rsidRPr="004B6827">
        <w:rPr>
          <w:bCs/>
          <w:szCs w:val="22"/>
          <w:lang w:val="sk-SK"/>
        </w:rPr>
        <w:t>post</w:t>
      </w:r>
      <w:r w:rsidR="00C87963" w:rsidRPr="004B6827">
        <w:rPr>
          <w:bCs/>
          <w:szCs w:val="22"/>
          <w:lang w:val="sk-SK"/>
        </w:rPr>
        <w:t xml:space="preserve"> </w:t>
      </w:r>
      <w:r w:rsidRPr="004B6827">
        <w:rPr>
          <w:bCs/>
          <w:szCs w:val="22"/>
          <w:lang w:val="sk-SK"/>
        </w:rPr>
        <w:t>hoc analýze súbežne liečených atorvastatínom, perindoprilom a amlodipínom (n </w:t>
      </w:r>
      <w:r w:rsidRPr="004B6827">
        <w:rPr>
          <w:szCs w:val="22"/>
          <w:lang w:val="sk-SK"/>
        </w:rPr>
        <w:t xml:space="preserve">= 1 814) bolo zníženie fatálnych koronárnych príhod 38 % a nefatálneho infarktu myokardu </w:t>
      </w:r>
      <w:r w:rsidRPr="004B6827">
        <w:rPr>
          <w:bCs/>
          <w:szCs w:val="22"/>
          <w:lang w:val="sk-SK"/>
        </w:rPr>
        <w:t>(95 % IS [0,36; 1,08]) v porovnaní s atorvastatínom, atenololom a bendroflumetiazidom (n </w:t>
      </w:r>
      <w:r w:rsidRPr="004B6827">
        <w:rPr>
          <w:szCs w:val="22"/>
          <w:lang w:val="sk-SK"/>
        </w:rPr>
        <w:t xml:space="preserve">= 1 978). </w:t>
      </w:r>
      <w:r w:rsidR="003A1224" w:rsidRPr="004B6827">
        <w:rPr>
          <w:szCs w:val="22"/>
          <w:lang w:val="sk-SK"/>
        </w:rPr>
        <w:t>Bolo aj významné zníženie celkových kardiovaskulárn</w:t>
      </w:r>
      <w:r w:rsidR="0064101D" w:rsidRPr="004B6827">
        <w:rPr>
          <w:szCs w:val="22"/>
          <w:lang w:val="sk-SK"/>
        </w:rPr>
        <w:t>y</w:t>
      </w:r>
      <w:r w:rsidR="003A1224" w:rsidRPr="004B6827">
        <w:rPr>
          <w:szCs w:val="22"/>
          <w:lang w:val="sk-SK"/>
        </w:rPr>
        <w:t xml:space="preserve">ch príhod a procedúr </w:t>
      </w:r>
      <w:r w:rsidR="0064101D" w:rsidRPr="004B6827">
        <w:rPr>
          <w:szCs w:val="22"/>
          <w:lang w:val="sk-SK"/>
        </w:rPr>
        <w:t xml:space="preserve">o </w:t>
      </w:r>
      <w:r w:rsidR="003A1224" w:rsidRPr="004B6827">
        <w:rPr>
          <w:szCs w:val="22"/>
          <w:lang w:val="sk-SK"/>
        </w:rPr>
        <w:t>24 % (95 % IS [0,59; 0,97]</w:t>
      </w:r>
      <w:r w:rsidR="00DC0017" w:rsidRPr="004B6827">
        <w:rPr>
          <w:szCs w:val="22"/>
          <w:lang w:val="sk-SK"/>
        </w:rPr>
        <w:t>)</w:t>
      </w:r>
      <w:r w:rsidR="003A1224" w:rsidRPr="004B6827">
        <w:rPr>
          <w:szCs w:val="22"/>
          <w:lang w:val="sk-SK"/>
        </w:rPr>
        <w:t xml:space="preserve"> a zníženie </w:t>
      </w:r>
      <w:r w:rsidR="0064101D" w:rsidRPr="004B6827">
        <w:rPr>
          <w:szCs w:val="22"/>
          <w:lang w:val="sk-SK"/>
        </w:rPr>
        <w:t xml:space="preserve">o </w:t>
      </w:r>
      <w:r w:rsidR="003A1224" w:rsidRPr="004B6827">
        <w:rPr>
          <w:szCs w:val="22"/>
          <w:lang w:val="sk-SK"/>
        </w:rPr>
        <w:t>31 % pre celkové koronárne príhody (95 % IS [0,48; 1,00]</w:t>
      </w:r>
      <w:r w:rsidR="00DC0017" w:rsidRPr="004B6827">
        <w:rPr>
          <w:szCs w:val="22"/>
          <w:lang w:val="sk-SK"/>
        </w:rPr>
        <w:t>)</w:t>
      </w:r>
      <w:r w:rsidR="003A1224" w:rsidRPr="004B6827">
        <w:rPr>
          <w:szCs w:val="22"/>
          <w:lang w:val="sk-SK"/>
        </w:rPr>
        <w:t xml:space="preserve"> a významné zníženie </w:t>
      </w:r>
      <w:r w:rsidR="00C87963" w:rsidRPr="004B6827">
        <w:rPr>
          <w:szCs w:val="22"/>
          <w:lang w:val="sk-SK"/>
        </w:rPr>
        <w:t xml:space="preserve">o </w:t>
      </w:r>
      <w:r w:rsidR="003A1224" w:rsidRPr="004B6827">
        <w:rPr>
          <w:szCs w:val="22"/>
          <w:lang w:val="sk-SK"/>
        </w:rPr>
        <w:t>50 % pre fatálne a nefatálne cievne mozgové príhody (95 % IS [0,29; 0,86]</w:t>
      </w:r>
      <w:r w:rsidR="00DC0017" w:rsidRPr="004B6827">
        <w:rPr>
          <w:szCs w:val="22"/>
          <w:lang w:val="sk-SK"/>
        </w:rPr>
        <w:t>)</w:t>
      </w:r>
      <w:r w:rsidR="003A1224" w:rsidRPr="004B6827">
        <w:rPr>
          <w:szCs w:val="22"/>
          <w:lang w:val="sk-SK"/>
        </w:rPr>
        <w:t xml:space="preserve">, 39 % pre </w:t>
      </w:r>
      <w:r w:rsidR="00B47C20" w:rsidRPr="004B6827">
        <w:rPr>
          <w:szCs w:val="22"/>
          <w:lang w:val="sk-SK"/>
        </w:rPr>
        <w:t>cieľ zložený z</w:t>
      </w:r>
      <w:r w:rsidR="003A1224" w:rsidRPr="004B6827">
        <w:rPr>
          <w:szCs w:val="22"/>
          <w:lang w:val="sk-SK"/>
        </w:rPr>
        <w:t xml:space="preserve"> nefatálneho infarktu myokardu, fatáln</w:t>
      </w:r>
      <w:r w:rsidR="00F7044D" w:rsidRPr="004B6827">
        <w:rPr>
          <w:szCs w:val="22"/>
          <w:lang w:val="sk-SK"/>
        </w:rPr>
        <w:t>y</w:t>
      </w:r>
      <w:r w:rsidR="003A1224" w:rsidRPr="004B6827">
        <w:rPr>
          <w:szCs w:val="22"/>
          <w:lang w:val="sk-SK"/>
        </w:rPr>
        <w:t>ch koronárn</w:t>
      </w:r>
      <w:r w:rsidR="001834A3" w:rsidRPr="004B6827">
        <w:rPr>
          <w:szCs w:val="22"/>
          <w:lang w:val="sk-SK"/>
        </w:rPr>
        <w:t>y</w:t>
      </w:r>
      <w:r w:rsidR="003A1224" w:rsidRPr="004B6827">
        <w:rPr>
          <w:szCs w:val="22"/>
          <w:lang w:val="sk-SK"/>
        </w:rPr>
        <w:t>ch príhod a koronárn</w:t>
      </w:r>
      <w:r w:rsidR="00B47C20" w:rsidRPr="004B6827">
        <w:rPr>
          <w:szCs w:val="22"/>
          <w:lang w:val="sk-SK"/>
        </w:rPr>
        <w:t>ych</w:t>
      </w:r>
      <w:r w:rsidR="003A1224" w:rsidRPr="004B6827">
        <w:rPr>
          <w:szCs w:val="22"/>
          <w:lang w:val="sk-SK"/>
        </w:rPr>
        <w:t xml:space="preserve"> revaskularizačn</w:t>
      </w:r>
      <w:r w:rsidR="00B47C20" w:rsidRPr="004B6827">
        <w:rPr>
          <w:szCs w:val="22"/>
          <w:lang w:val="sk-SK"/>
        </w:rPr>
        <w:t>ých</w:t>
      </w:r>
      <w:r w:rsidR="003A1224" w:rsidRPr="004B6827">
        <w:rPr>
          <w:szCs w:val="22"/>
          <w:lang w:val="sk-SK"/>
        </w:rPr>
        <w:t xml:space="preserve"> </w:t>
      </w:r>
      <w:r w:rsidR="00DC0017" w:rsidRPr="004B6827">
        <w:rPr>
          <w:szCs w:val="22"/>
          <w:lang w:val="sk-SK"/>
        </w:rPr>
        <w:t>proced</w:t>
      </w:r>
      <w:r w:rsidR="0064101D" w:rsidRPr="004B6827">
        <w:rPr>
          <w:szCs w:val="22"/>
          <w:lang w:val="sk-SK"/>
        </w:rPr>
        <w:t>úr</w:t>
      </w:r>
      <w:r w:rsidR="00DC0017" w:rsidRPr="004B6827">
        <w:rPr>
          <w:szCs w:val="22"/>
          <w:lang w:val="sk-SK"/>
        </w:rPr>
        <w:t xml:space="preserve"> (95 % IS [0,38; 0,97]) a 42 % pre </w:t>
      </w:r>
      <w:r w:rsidR="00B47C20" w:rsidRPr="004B6827">
        <w:rPr>
          <w:szCs w:val="22"/>
          <w:lang w:val="sk-SK"/>
        </w:rPr>
        <w:t>cieľ zložený z</w:t>
      </w:r>
      <w:r w:rsidR="00DC0017" w:rsidRPr="004B6827">
        <w:rPr>
          <w:szCs w:val="22"/>
          <w:lang w:val="sk-SK"/>
        </w:rPr>
        <w:t xml:space="preserve"> kardiovaskulárnej mortality, infarktu myokardu a cievnej mozgovej príhody (95 % IS [0,40; 0,85])</w:t>
      </w:r>
      <w:r w:rsidR="00BF7FC3" w:rsidRPr="004B6827">
        <w:rPr>
          <w:szCs w:val="22"/>
          <w:lang w:val="sk-SK"/>
        </w:rPr>
        <w:t>.</w:t>
      </w:r>
    </w:p>
    <w:p w:rsidR="00DC0017" w:rsidRPr="004B6827" w:rsidRDefault="00DC0017" w:rsidP="00F018A6">
      <w:pPr>
        <w:rPr>
          <w:szCs w:val="22"/>
          <w:lang w:val="sk-SK"/>
        </w:rPr>
      </w:pPr>
    </w:p>
    <w:p w:rsidR="00DC0017" w:rsidRPr="004B6827" w:rsidRDefault="00DC0017" w:rsidP="00F018A6">
      <w:pPr>
        <w:rPr>
          <w:b/>
          <w:i/>
          <w:szCs w:val="22"/>
          <w:lang w:val="sk-SK"/>
        </w:rPr>
      </w:pPr>
      <w:r w:rsidRPr="004B6827">
        <w:rPr>
          <w:b/>
          <w:i/>
          <w:szCs w:val="22"/>
          <w:lang w:val="sk-SK"/>
        </w:rPr>
        <w:t>Perindopril</w:t>
      </w:r>
    </w:p>
    <w:p w:rsidR="00E14E96" w:rsidRPr="004B6827" w:rsidRDefault="00E14E96" w:rsidP="00F018A6">
      <w:pPr>
        <w:rPr>
          <w:i/>
          <w:szCs w:val="22"/>
          <w:lang w:val="sk-SK"/>
        </w:rPr>
      </w:pPr>
      <w:r w:rsidRPr="004B6827">
        <w:rPr>
          <w:i/>
          <w:szCs w:val="22"/>
          <w:lang w:val="sk-SK"/>
        </w:rPr>
        <w:t>Hypertenzia</w:t>
      </w:r>
      <w:r w:rsidR="004E538B" w:rsidRPr="004B6827">
        <w:rPr>
          <w:i/>
          <w:szCs w:val="22"/>
          <w:lang w:val="sk-SK"/>
        </w:rPr>
        <w:t>:</w:t>
      </w:r>
    </w:p>
    <w:p w:rsidR="00734462" w:rsidRPr="004B6827" w:rsidRDefault="00734462" w:rsidP="00734462">
      <w:pPr>
        <w:spacing w:line="240" w:lineRule="auto"/>
        <w:rPr>
          <w:lang w:val="sk-SK" w:eastAsia="sk-SK"/>
        </w:rPr>
      </w:pPr>
      <w:r w:rsidRPr="004B6827">
        <w:rPr>
          <w:lang w:val="sk-SK" w:eastAsia="sk-SK"/>
        </w:rPr>
        <w:t>Antihypertenzný účinok je maximálny medzi 4</w:t>
      </w:r>
      <w:r w:rsidR="001834A3" w:rsidRPr="004B6827">
        <w:rPr>
          <w:lang w:val="sk-SK" w:eastAsia="sk-SK"/>
        </w:rPr>
        <w:t>.</w:t>
      </w:r>
      <w:r w:rsidRPr="004B6827">
        <w:rPr>
          <w:lang w:val="sk-SK" w:eastAsia="sk-SK"/>
        </w:rPr>
        <w:t xml:space="preserve"> a 6</w:t>
      </w:r>
      <w:r w:rsidR="001834A3" w:rsidRPr="004B6827">
        <w:rPr>
          <w:lang w:val="sk-SK" w:eastAsia="sk-SK"/>
        </w:rPr>
        <w:t xml:space="preserve">. </w:t>
      </w:r>
      <w:r w:rsidRPr="004B6827">
        <w:rPr>
          <w:lang w:val="sk-SK" w:eastAsia="sk-SK"/>
        </w:rPr>
        <w:t>hodinou po podaní jednorazovej dávky a pretrváva najmenej 24 hodín: účinok v čase minimálnej účinnosti predstavuje približne 87</w:t>
      </w:r>
      <w:r w:rsidR="00C87963" w:rsidRPr="004B6827">
        <w:rPr>
          <w:lang w:val="sk-SK" w:eastAsia="sk-SK"/>
        </w:rPr>
        <w:t xml:space="preserve"> </w:t>
      </w:r>
      <w:r w:rsidRPr="004B6827">
        <w:rPr>
          <w:lang w:val="sk-SK" w:eastAsia="sk-SK"/>
        </w:rPr>
        <w:t>–</w:t>
      </w:r>
      <w:r w:rsidR="00C87963" w:rsidRPr="004B6827">
        <w:rPr>
          <w:lang w:val="sk-SK" w:eastAsia="sk-SK"/>
        </w:rPr>
        <w:t xml:space="preserve"> </w:t>
      </w:r>
      <w:r w:rsidRPr="004B6827">
        <w:rPr>
          <w:lang w:val="sk-SK" w:eastAsia="sk-SK"/>
        </w:rPr>
        <w:t>100 % účinku v čase maximálnej účinnosti.</w:t>
      </w:r>
    </w:p>
    <w:p w:rsidR="00734462" w:rsidRPr="004B6827" w:rsidRDefault="00734462" w:rsidP="00734462">
      <w:pPr>
        <w:spacing w:line="240" w:lineRule="auto"/>
        <w:rPr>
          <w:lang w:val="sk-SK" w:eastAsia="sk-SK"/>
        </w:rPr>
      </w:pPr>
      <w:r w:rsidRPr="004B6827">
        <w:rPr>
          <w:lang w:val="sk-SK" w:eastAsia="sk-SK"/>
        </w:rPr>
        <w:t>Zníženie krvného tlaku prichádza rýchlo. U reagujúcich pacientov sa normalizácia tlaku dosiahne v priebehu jedného mesiaca a pretrváva bez výskytu tachyfylaxie.</w:t>
      </w:r>
    </w:p>
    <w:p w:rsidR="00734462" w:rsidRPr="004B6827" w:rsidRDefault="00734462" w:rsidP="00734462">
      <w:pPr>
        <w:spacing w:line="240" w:lineRule="auto"/>
        <w:rPr>
          <w:lang w:val="sk-SK" w:eastAsia="sk-SK"/>
        </w:rPr>
      </w:pPr>
      <w:r w:rsidRPr="004B6827">
        <w:rPr>
          <w:lang w:val="sk-SK" w:eastAsia="sk-SK"/>
        </w:rPr>
        <w:t>Ukončenie liečby nevedie k </w:t>
      </w:r>
      <w:r w:rsidRPr="004B6827">
        <w:rPr>
          <w:iCs/>
          <w:lang w:val="sk-SK" w:eastAsia="sk-SK"/>
        </w:rPr>
        <w:t>rebound</w:t>
      </w:r>
      <w:r w:rsidRPr="004B6827">
        <w:rPr>
          <w:lang w:val="sk-SK" w:eastAsia="sk-SK"/>
        </w:rPr>
        <w:t xml:space="preserve"> efektu.</w:t>
      </w:r>
    </w:p>
    <w:p w:rsidR="00734462" w:rsidRPr="004B6827" w:rsidRDefault="00734462" w:rsidP="00734462">
      <w:pPr>
        <w:spacing w:line="240" w:lineRule="auto"/>
        <w:rPr>
          <w:lang w:val="sk-SK" w:eastAsia="sk-SK"/>
        </w:rPr>
      </w:pPr>
      <w:r w:rsidRPr="004B6827">
        <w:rPr>
          <w:lang w:val="sk-SK" w:eastAsia="sk-SK"/>
        </w:rPr>
        <w:t>Perindopril redukuje hypertrofiu ľavej komory.</w:t>
      </w:r>
    </w:p>
    <w:p w:rsidR="00734462" w:rsidRPr="004B6827" w:rsidRDefault="00734462" w:rsidP="00734462">
      <w:pPr>
        <w:spacing w:line="240" w:lineRule="auto"/>
        <w:rPr>
          <w:lang w:val="sk-SK" w:eastAsia="sk-SK"/>
        </w:rPr>
      </w:pPr>
      <w:r w:rsidRPr="004B6827">
        <w:rPr>
          <w:lang w:val="sk-SK" w:eastAsia="sk-SK"/>
        </w:rPr>
        <w:t>U ľudí boli potvrdené vazodilatačné vlastnosti perindoprilu. Perindopril zlepšuje elasticitu veľkých artérií a znižuje pomer m</w:t>
      </w:r>
      <w:r w:rsidR="00B35751" w:rsidRPr="004B6827">
        <w:rPr>
          <w:lang w:val="sk-SK" w:eastAsia="sk-SK"/>
        </w:rPr>
        <w:t>e</w:t>
      </w:r>
      <w:r w:rsidRPr="004B6827">
        <w:rPr>
          <w:lang w:val="sk-SK" w:eastAsia="sk-SK"/>
        </w:rPr>
        <w:t>dia: lúmen malých artérií.</w:t>
      </w:r>
    </w:p>
    <w:p w:rsidR="00FA5CDF" w:rsidRPr="004B6827" w:rsidRDefault="00FA5CDF" w:rsidP="00FA5CDF">
      <w:pPr>
        <w:tabs>
          <w:tab w:val="left" w:pos="0"/>
          <w:tab w:val="left" w:pos="284"/>
        </w:tabs>
        <w:spacing w:line="240" w:lineRule="auto"/>
        <w:rPr>
          <w:szCs w:val="22"/>
          <w:lang w:val="sk-SK"/>
        </w:rPr>
      </w:pPr>
      <w:r w:rsidRPr="004B6827">
        <w:rPr>
          <w:szCs w:val="22"/>
          <w:lang w:val="sk-SK"/>
        </w:rPr>
        <w:t>Podporná liečba tiazidovým diuretikom vedie k aditívnej synergii. Kombinácia inhibítora ACE a tiazidu tiež znižuje riziko vzniku hypokaliémie navodenej diuretickou liečbou.</w:t>
      </w:r>
    </w:p>
    <w:p w:rsidR="00734462" w:rsidRPr="004B6827" w:rsidRDefault="00734462" w:rsidP="00734462">
      <w:pPr>
        <w:tabs>
          <w:tab w:val="left" w:pos="284"/>
        </w:tabs>
        <w:spacing w:line="240" w:lineRule="auto"/>
        <w:rPr>
          <w:lang w:val="sk-SK" w:eastAsia="sk-SK"/>
        </w:rPr>
      </w:pPr>
    </w:p>
    <w:p w:rsidR="00734462" w:rsidRPr="004B6827" w:rsidRDefault="00734462" w:rsidP="00734462">
      <w:pPr>
        <w:spacing w:line="240" w:lineRule="auto"/>
        <w:rPr>
          <w:i/>
          <w:lang w:val="sk-SK" w:eastAsia="sk-SK"/>
        </w:rPr>
      </w:pPr>
      <w:r w:rsidRPr="004B6827">
        <w:rPr>
          <w:i/>
          <w:lang w:val="sk-SK" w:eastAsia="sk-SK"/>
        </w:rPr>
        <w:t>Pacienti so stabilnou koronárnou chorobou srdca:</w:t>
      </w:r>
    </w:p>
    <w:p w:rsidR="00734462" w:rsidRPr="004B6827" w:rsidRDefault="00734462" w:rsidP="00734462">
      <w:pPr>
        <w:spacing w:before="120" w:line="240" w:lineRule="auto"/>
        <w:rPr>
          <w:lang w:val="sk-SK" w:eastAsia="sk-SK"/>
        </w:rPr>
      </w:pPr>
      <w:r w:rsidRPr="004B6827">
        <w:rPr>
          <w:lang w:val="sk-SK" w:eastAsia="sk-SK"/>
        </w:rPr>
        <w:t>Štúdia EUROPA bola multicentrická medzinárodná randomizovaná dvojito zaslepená placebom kontrolovaná klinická štúdia, ktorá trvala 4 roky.</w:t>
      </w:r>
    </w:p>
    <w:p w:rsidR="00734462" w:rsidRPr="004B6827" w:rsidRDefault="00734462" w:rsidP="00734462">
      <w:pPr>
        <w:spacing w:line="240" w:lineRule="auto"/>
        <w:rPr>
          <w:lang w:val="sk-SK" w:eastAsia="sk-SK"/>
        </w:rPr>
      </w:pPr>
      <w:r w:rsidRPr="004B6827">
        <w:rPr>
          <w:lang w:val="sk-SK" w:eastAsia="sk-SK"/>
        </w:rPr>
        <w:lastRenderedPageBreak/>
        <w:t>Dvanásťtisícdvestoosemnásť (12 218) pacientov vo veku nad 18 rokov bolo randomizovaných na 8 mg terc-butylamínovej soli perindoprilu (ekvivalentných s 10 mg perindopril</w:t>
      </w:r>
      <w:r w:rsidR="00F7044D" w:rsidRPr="004B6827">
        <w:rPr>
          <w:lang w:val="sk-SK" w:eastAsia="sk-SK"/>
        </w:rPr>
        <w:t>u</w:t>
      </w:r>
      <w:r w:rsidRPr="004B6827">
        <w:rPr>
          <w:lang w:val="sk-SK" w:eastAsia="sk-SK"/>
        </w:rPr>
        <w:t xml:space="preserve"> arginínu) (n = 6 </w:t>
      </w:r>
      <w:r w:rsidR="00F7044D" w:rsidRPr="004B6827">
        <w:rPr>
          <w:lang w:val="sk-SK" w:eastAsia="sk-SK"/>
        </w:rPr>
        <w:t>110) alebo placebo (n = 6 108).</w:t>
      </w:r>
    </w:p>
    <w:p w:rsidR="00734462" w:rsidRPr="004B6827" w:rsidRDefault="00734462" w:rsidP="00734462">
      <w:pPr>
        <w:spacing w:line="240" w:lineRule="auto"/>
        <w:rPr>
          <w:lang w:val="sk-SK" w:eastAsia="sk-SK"/>
        </w:rPr>
      </w:pPr>
      <w:r w:rsidRPr="004B6827">
        <w:rPr>
          <w:lang w:val="sk-SK" w:eastAsia="sk-SK"/>
        </w:rPr>
        <w:t xml:space="preserve">Populácia v štúdii mala potvrdenú koronárnu chorobu srdca bez klinických </w:t>
      </w:r>
      <w:r w:rsidR="00343F7C" w:rsidRPr="004B6827">
        <w:rPr>
          <w:lang w:val="sk-SK" w:eastAsia="sk-SK"/>
        </w:rPr>
        <w:t>prejavov</w:t>
      </w:r>
      <w:r w:rsidRPr="004B6827">
        <w:rPr>
          <w:lang w:val="sk-SK" w:eastAsia="sk-SK"/>
        </w:rPr>
        <w:t xml:space="preserve"> srdcového zlyh</w:t>
      </w:r>
      <w:r w:rsidR="008E43E9" w:rsidRPr="004B6827">
        <w:rPr>
          <w:lang w:val="sk-SK" w:eastAsia="sk-SK"/>
        </w:rPr>
        <w:t>áv</w:t>
      </w:r>
      <w:r w:rsidRPr="004B6827">
        <w:rPr>
          <w:lang w:val="sk-SK" w:eastAsia="sk-SK"/>
        </w:rPr>
        <w:t xml:space="preserve">ania. Celkovo 90 % pacientov prekonalo v minulosti infarkt myokardu a/alebo boli po koronárnej revaskularizácii. </w:t>
      </w:r>
      <w:r w:rsidR="00343F7C" w:rsidRPr="004B6827">
        <w:rPr>
          <w:lang w:val="sk-SK" w:eastAsia="sk-SK"/>
        </w:rPr>
        <w:t>U v</w:t>
      </w:r>
      <w:r w:rsidRPr="004B6827">
        <w:rPr>
          <w:lang w:val="sk-SK" w:eastAsia="sk-SK"/>
        </w:rPr>
        <w:t>äčšin</w:t>
      </w:r>
      <w:r w:rsidR="00343F7C" w:rsidRPr="004B6827">
        <w:rPr>
          <w:lang w:val="sk-SK" w:eastAsia="sk-SK"/>
        </w:rPr>
        <w:t>y</w:t>
      </w:r>
      <w:r w:rsidRPr="004B6827">
        <w:rPr>
          <w:lang w:val="sk-SK" w:eastAsia="sk-SK"/>
        </w:rPr>
        <w:t xml:space="preserve"> pacientov bol skúšaný produkt pridaný ku konvenčnej liečbe zahŕňajúcej antiagregačné látky, hypolipidemiká a betablokátory.</w:t>
      </w:r>
    </w:p>
    <w:p w:rsidR="00734462" w:rsidRPr="004B6827" w:rsidRDefault="00734462" w:rsidP="00734462">
      <w:pPr>
        <w:spacing w:line="240" w:lineRule="auto"/>
        <w:rPr>
          <w:lang w:val="sk-SK" w:eastAsia="sk-SK"/>
        </w:rPr>
      </w:pPr>
      <w:r w:rsidRPr="004B6827">
        <w:rPr>
          <w:lang w:val="sk-SK" w:eastAsia="sk-SK"/>
        </w:rPr>
        <w:t>Hlavné hodnotiace kritérium účinnosti bol</w:t>
      </w:r>
      <w:r w:rsidR="00343F7C" w:rsidRPr="004B6827">
        <w:rPr>
          <w:lang w:val="sk-SK" w:eastAsia="sk-SK"/>
        </w:rPr>
        <w:t>o zložené z</w:t>
      </w:r>
      <w:r w:rsidRPr="004B6827">
        <w:rPr>
          <w:lang w:val="sk-SK" w:eastAsia="sk-SK"/>
        </w:rPr>
        <w:t xml:space="preserve"> </w:t>
      </w:r>
      <w:r w:rsidRPr="004B6827">
        <w:rPr>
          <w:lang w:val="sk-SK"/>
        </w:rPr>
        <w:t>kardiovaskulárnej mortality, nefatálneho infarktu myokardu a/alebo zastavenia srdca s úspešnou resuscitáciou. Liečba 8 mg terc-butylamínovej soli perindoprilu (</w:t>
      </w:r>
      <w:r w:rsidRPr="004B6827">
        <w:rPr>
          <w:lang w:val="sk-SK" w:eastAsia="sk-SK"/>
        </w:rPr>
        <w:t>ekvivalentných s </w:t>
      </w:r>
      <w:r w:rsidRPr="004B6827">
        <w:rPr>
          <w:lang w:val="sk-SK"/>
        </w:rPr>
        <w:t>10 </w:t>
      </w:r>
      <w:r w:rsidRPr="004B6827">
        <w:rPr>
          <w:lang w:val="sk-SK" w:eastAsia="sk-SK"/>
        </w:rPr>
        <w:t>mg perindopril</w:t>
      </w:r>
      <w:r w:rsidR="00F7044D" w:rsidRPr="004B6827">
        <w:rPr>
          <w:lang w:val="sk-SK" w:eastAsia="sk-SK"/>
        </w:rPr>
        <w:t>u</w:t>
      </w:r>
      <w:r w:rsidRPr="004B6827">
        <w:rPr>
          <w:lang w:val="sk-SK" w:eastAsia="sk-SK"/>
        </w:rPr>
        <w:t xml:space="preserve"> arginínu) raz denne viedla k </w:t>
      </w:r>
      <w:r w:rsidR="0064101D" w:rsidRPr="004B6827">
        <w:rPr>
          <w:lang w:val="sk-SK" w:eastAsia="sk-SK"/>
        </w:rPr>
        <w:t>v</w:t>
      </w:r>
      <w:r w:rsidR="00343F7C" w:rsidRPr="004B6827">
        <w:rPr>
          <w:lang w:val="sk-SK" w:eastAsia="sk-SK"/>
        </w:rPr>
        <w:t>ýznamnému</w:t>
      </w:r>
      <w:r w:rsidRPr="004B6827">
        <w:rPr>
          <w:lang w:val="sk-SK" w:eastAsia="sk-SK"/>
        </w:rPr>
        <w:t xml:space="preserve"> absolútnemu zníženiu primárneho cieľa o 1,9 % (zníženie relatívneho rizika o 20 %, 95 % I</w:t>
      </w:r>
      <w:r w:rsidR="008D6CDE" w:rsidRPr="004B6827">
        <w:rPr>
          <w:lang w:val="sk-SK" w:eastAsia="sk-SK"/>
        </w:rPr>
        <w:t>S</w:t>
      </w:r>
      <w:r w:rsidRPr="004B6827">
        <w:rPr>
          <w:lang w:val="sk-SK" w:eastAsia="sk-SK"/>
        </w:rPr>
        <w:t xml:space="preserve"> [9,4; 28,6] – p &lt; 0,001).</w:t>
      </w:r>
    </w:p>
    <w:p w:rsidR="00734462" w:rsidRPr="004B6827" w:rsidRDefault="00734462" w:rsidP="00734462">
      <w:pPr>
        <w:spacing w:line="240" w:lineRule="auto"/>
        <w:rPr>
          <w:lang w:val="sk-SK" w:eastAsia="sk-SK"/>
        </w:rPr>
      </w:pPr>
      <w:r w:rsidRPr="004B6827">
        <w:rPr>
          <w:lang w:val="sk-SK" w:eastAsia="sk-SK"/>
        </w:rPr>
        <w:t>U pacientov s infarktom myokardu a/alebo revaskularizáciou v anamnéze bolo v porovnaní s placebom pozorované absolútne zníženie primárneho cieľa o 2,2 % zodpovedajúce zníženiu relatívneho rizika (RRR) o 22,4 % (95 % I</w:t>
      </w:r>
      <w:r w:rsidR="008D6CDE" w:rsidRPr="004B6827">
        <w:rPr>
          <w:lang w:val="sk-SK" w:eastAsia="sk-SK"/>
        </w:rPr>
        <w:t>S</w:t>
      </w:r>
      <w:r w:rsidRPr="004B6827">
        <w:rPr>
          <w:lang w:val="sk-SK" w:eastAsia="sk-SK"/>
        </w:rPr>
        <w:t xml:space="preserve"> [12,0; 31,6] – p &lt; 0,001).</w:t>
      </w:r>
    </w:p>
    <w:p w:rsidR="00734462" w:rsidRPr="004B6827" w:rsidRDefault="00734462" w:rsidP="00734462">
      <w:pPr>
        <w:spacing w:line="240" w:lineRule="auto"/>
        <w:rPr>
          <w:lang w:val="sk-SK" w:eastAsia="sk-SK"/>
        </w:rPr>
      </w:pPr>
    </w:p>
    <w:p w:rsidR="00734462" w:rsidRPr="004B6827" w:rsidRDefault="002959D7" w:rsidP="00734462">
      <w:pPr>
        <w:autoSpaceDE w:val="0"/>
        <w:autoSpaceDN w:val="0"/>
        <w:adjustRightInd w:val="0"/>
        <w:spacing w:line="240" w:lineRule="auto"/>
        <w:rPr>
          <w:bCs/>
          <w:u w:val="single"/>
          <w:lang w:val="sk-SK"/>
        </w:rPr>
      </w:pPr>
      <w:r w:rsidRPr="004B6827">
        <w:rPr>
          <w:u w:val="single"/>
          <w:lang w:val="sk-SK" w:eastAsia="en-GB"/>
        </w:rPr>
        <w:t>Iné: D</w:t>
      </w:r>
      <w:r w:rsidR="00734462" w:rsidRPr="004B6827">
        <w:rPr>
          <w:u w:val="single"/>
          <w:lang w:val="sk-SK" w:eastAsia="en-GB"/>
        </w:rPr>
        <w:t>uáln</w:t>
      </w:r>
      <w:r w:rsidRPr="004B6827">
        <w:rPr>
          <w:u w:val="single"/>
          <w:lang w:val="sk-SK" w:eastAsia="en-GB"/>
        </w:rPr>
        <w:t>a</w:t>
      </w:r>
      <w:r w:rsidR="00734462" w:rsidRPr="004B6827">
        <w:rPr>
          <w:u w:val="single"/>
          <w:lang w:val="sk-SK" w:eastAsia="en-GB"/>
        </w:rPr>
        <w:t xml:space="preserve"> inhibíci</w:t>
      </w:r>
      <w:r w:rsidRPr="004B6827">
        <w:rPr>
          <w:u w:val="single"/>
          <w:lang w:val="sk-SK" w:eastAsia="en-GB"/>
        </w:rPr>
        <w:t>a</w:t>
      </w:r>
      <w:r w:rsidR="00734462" w:rsidRPr="004B6827">
        <w:rPr>
          <w:u w:val="single"/>
          <w:lang w:val="sk-SK" w:eastAsia="en-GB"/>
        </w:rPr>
        <w:t xml:space="preserve"> systému </w:t>
      </w:r>
      <w:r w:rsidR="00734462" w:rsidRPr="004B6827">
        <w:rPr>
          <w:bCs/>
          <w:u w:val="single"/>
          <w:lang w:val="sk-SK"/>
        </w:rPr>
        <w:t>renín-angiotenzín-aldosterón (RAAS):</w:t>
      </w:r>
    </w:p>
    <w:p w:rsidR="00734462" w:rsidRPr="004B6827" w:rsidRDefault="00734462" w:rsidP="00734462">
      <w:pPr>
        <w:pStyle w:val="Bezriadkovania"/>
        <w:rPr>
          <w:szCs w:val="22"/>
          <w:lang w:val="sk-SK"/>
        </w:rPr>
      </w:pPr>
      <w:r w:rsidRPr="004B6827">
        <w:rPr>
          <w:szCs w:val="22"/>
          <w:lang w:val="sk-SK"/>
        </w:rPr>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w:t>
      </w:r>
    </w:p>
    <w:p w:rsidR="00734462" w:rsidRPr="004B6827" w:rsidRDefault="00734462" w:rsidP="00734462">
      <w:pPr>
        <w:pStyle w:val="Bezriadkovania"/>
        <w:rPr>
          <w:szCs w:val="22"/>
          <w:lang w:val="sk-SK"/>
        </w:rPr>
      </w:pPr>
      <w:r w:rsidRPr="004B6827">
        <w:rPr>
          <w:szCs w:val="22"/>
          <w:lang w:val="sk-SK"/>
        </w:rPr>
        <w:t>Skúšanie ONTARGET sa vykonalo u pacientov s kardiovaskulárnym alebo cerebrovaskulárnym ochorením v anamnéze, alebo u pacientov s diabetom mellitus 2. typu, u ktorých sa preukázalo poškodenie cieľových orgánov. Skúšanie VA NEPHRON-D sa vykonalo u pacientov s diabetom mellitus 2. typu a diabetickou nefropatiou.</w:t>
      </w:r>
    </w:p>
    <w:p w:rsidR="00734462" w:rsidRPr="004B6827" w:rsidRDefault="00734462" w:rsidP="00734462">
      <w:pPr>
        <w:pStyle w:val="Bezriadkovania"/>
        <w:rPr>
          <w:szCs w:val="22"/>
          <w:lang w:val="sk-SK"/>
        </w:rPr>
      </w:pPr>
      <w:r w:rsidRPr="004B6827">
        <w:rPr>
          <w:szCs w:val="22"/>
          <w:lang w:val="sk-SK"/>
        </w:rPr>
        <w:t>Tieto skúšania neukázali významný priaznivý účinok na renálne a/alebo kardiovaskulárne ukazovatele a mortalitu, zatiaľ čo v porovnaní s monoterapiou sa pozorovalo zvýšené riziko hyperkaliémie, akútneho poškoden</w:t>
      </w:r>
      <w:r w:rsidR="009809C4" w:rsidRPr="004B6827">
        <w:rPr>
          <w:szCs w:val="22"/>
          <w:lang w:val="sk-SK"/>
        </w:rPr>
        <w:t xml:space="preserve">ia obličiek a/alebo hypotenzie. </w:t>
      </w:r>
      <w:r w:rsidRPr="004B6827">
        <w:rPr>
          <w:szCs w:val="22"/>
          <w:lang w:val="sk-SK"/>
        </w:rPr>
        <w:t>Vzhľadom na podobné farmakodynamické vlastnosti sú tieto výsledky relevantné aj pre ostatné inhibítory ACE a blokátory receptorov angiotenzínu II.</w:t>
      </w:r>
    </w:p>
    <w:p w:rsidR="00734462" w:rsidRPr="004B6827" w:rsidRDefault="00734462" w:rsidP="00734462">
      <w:pPr>
        <w:pStyle w:val="Bezriadkovania"/>
        <w:rPr>
          <w:szCs w:val="22"/>
          <w:lang w:val="sk-SK"/>
        </w:rPr>
      </w:pPr>
      <w:r w:rsidRPr="004B6827">
        <w:rPr>
          <w:szCs w:val="22"/>
          <w:lang w:val="sk-SK"/>
        </w:rPr>
        <w:t>Inhibítory ACE a blokátory receptorov angiotenzínu II sa preto nemajú používať súbežne u pacientov s diabetickou nefropatiou.</w:t>
      </w:r>
    </w:p>
    <w:p w:rsidR="00734462" w:rsidRPr="004B6827" w:rsidRDefault="00734462" w:rsidP="00734462">
      <w:pPr>
        <w:pStyle w:val="Bezriadkovania"/>
        <w:rPr>
          <w:szCs w:val="22"/>
          <w:lang w:val="sk-SK"/>
        </w:rPr>
      </w:pPr>
      <w:r w:rsidRPr="004B6827">
        <w:rPr>
          <w:szCs w:val="22"/>
          <w:lang w:val="sk-SK"/>
        </w:rPr>
        <w:t>Skúšanie ALTITUDE (Aliskiren Trial in Type 2 Diabetes Using Cardiovascular and Renal Disease Endpoints) bolo navrhnuté na otestovanie prínosu pridania aliskir</w:t>
      </w:r>
      <w:r w:rsidR="00343F7C" w:rsidRPr="004B6827">
        <w:rPr>
          <w:szCs w:val="22"/>
          <w:lang w:val="sk-SK"/>
        </w:rPr>
        <w:t>é</w:t>
      </w:r>
      <w:r w:rsidRPr="004B6827">
        <w:rPr>
          <w:szCs w:val="22"/>
          <w:lang w:val="sk-SK"/>
        </w:rPr>
        <w:t>nu k štandardnej liečbe inhibítorom ACE alebo blokátorom receptorov angiotenzínu II u pacientov s diabetom mellitus 2. typu a chronickým ochorením obliči</w:t>
      </w:r>
      <w:r w:rsidR="00BF7FC3" w:rsidRPr="004B6827">
        <w:rPr>
          <w:szCs w:val="22"/>
          <w:lang w:val="sk-SK"/>
        </w:rPr>
        <w:t>ek, kardiovaskulárnym ochorením</w:t>
      </w:r>
      <w:r w:rsidRPr="004B6827">
        <w:rPr>
          <w:szCs w:val="22"/>
          <w:lang w:val="sk-SK"/>
        </w:rPr>
        <w:t xml:space="preserve"> alebo oboma ochoreniami. Skúšanie bolo predčasne ukončené pre zvýšené riziko nežiaducich udalostí. V skupine aliskir</w:t>
      </w:r>
      <w:r w:rsidR="00343F7C" w:rsidRPr="004B6827">
        <w:rPr>
          <w:szCs w:val="22"/>
          <w:lang w:val="sk-SK"/>
        </w:rPr>
        <w:t>é</w:t>
      </w:r>
      <w:r w:rsidRPr="004B6827">
        <w:rPr>
          <w:szCs w:val="22"/>
          <w:lang w:val="sk-SK"/>
        </w:rPr>
        <w:t xml:space="preserve">nu bolo numericky viac úmrtí </w:t>
      </w:r>
      <w:r w:rsidR="00DE4911" w:rsidRPr="004B6827">
        <w:rPr>
          <w:szCs w:val="22"/>
          <w:lang w:val="sk-SK"/>
        </w:rPr>
        <w:t xml:space="preserve">v dôsledku </w:t>
      </w:r>
      <w:r w:rsidRPr="004B6827">
        <w:rPr>
          <w:szCs w:val="22"/>
          <w:lang w:val="sk-SK"/>
        </w:rPr>
        <w:t>kardiovaskulárnej príčiny a cievnych mozgových príhod ako v skupine placeba a v skupine aliskir</w:t>
      </w:r>
      <w:r w:rsidR="00343F7C" w:rsidRPr="004B6827">
        <w:rPr>
          <w:szCs w:val="22"/>
          <w:lang w:val="sk-SK"/>
        </w:rPr>
        <w:t>é</w:t>
      </w:r>
      <w:r w:rsidRPr="004B6827">
        <w:rPr>
          <w:szCs w:val="22"/>
          <w:lang w:val="sk-SK"/>
        </w:rPr>
        <w:t>nu boli častejšie hlásené sledované nežiaduce udalosti a závažné nežiaduce udalosti (hyperkaliémia, hypotenzia a renálna dysfunkcia) ako v skupine placeba.</w:t>
      </w:r>
    </w:p>
    <w:p w:rsidR="00E14E96" w:rsidRPr="004B6827" w:rsidRDefault="00E14E96" w:rsidP="00F018A6">
      <w:pPr>
        <w:rPr>
          <w:bCs/>
          <w:i/>
          <w:szCs w:val="22"/>
          <w:lang w:val="sk-SK"/>
        </w:rPr>
      </w:pPr>
    </w:p>
    <w:p w:rsidR="00C52FD0" w:rsidRPr="004B6827" w:rsidRDefault="00B00B52" w:rsidP="00F018A6">
      <w:pPr>
        <w:rPr>
          <w:b/>
          <w:bCs/>
          <w:i/>
          <w:szCs w:val="22"/>
          <w:lang w:val="sk-SK"/>
        </w:rPr>
      </w:pPr>
      <w:r w:rsidRPr="004B6827">
        <w:rPr>
          <w:b/>
          <w:bCs/>
          <w:i/>
          <w:szCs w:val="22"/>
          <w:lang w:val="sk-SK"/>
        </w:rPr>
        <w:t>Amlodipín</w:t>
      </w:r>
    </w:p>
    <w:p w:rsidR="00DD13FC" w:rsidRPr="004B6827" w:rsidRDefault="00DD13FC" w:rsidP="00DD13FC">
      <w:pPr>
        <w:autoSpaceDE w:val="0"/>
        <w:autoSpaceDN w:val="0"/>
        <w:adjustRightInd w:val="0"/>
        <w:spacing w:line="240" w:lineRule="auto"/>
        <w:rPr>
          <w:lang w:val="sk-SK" w:eastAsia="sk-SK"/>
        </w:rPr>
      </w:pPr>
      <w:r w:rsidRPr="004B6827">
        <w:rPr>
          <w:lang w:val="sk-SK" w:eastAsia="sk-SK"/>
        </w:rPr>
        <w:t>U pacientov s hypertenziou vedie dávkovanie jedenkrát denne ku klinicky významnému zníženiu krvného tlaku v ľahu aj v stoji počas celého 24</w:t>
      </w:r>
      <w:r w:rsidR="00DE4911" w:rsidRPr="004B6827">
        <w:rPr>
          <w:lang w:val="sk-SK" w:eastAsia="sk-SK"/>
        </w:rPr>
        <w:t>-</w:t>
      </w:r>
      <w:r w:rsidRPr="004B6827">
        <w:rPr>
          <w:lang w:val="sk-SK" w:eastAsia="sk-SK"/>
        </w:rPr>
        <w:t>hodinového intervalu. Vzhľadom k pozvoľnému nástupu účinku nie je podávanie amlodipínu</w:t>
      </w:r>
      <w:r w:rsidR="00F22598" w:rsidRPr="004B6827">
        <w:rPr>
          <w:lang w:val="sk-SK" w:eastAsia="sk-SK"/>
        </w:rPr>
        <w:t xml:space="preserve"> spojené s akútnou hypotenziou.</w:t>
      </w:r>
    </w:p>
    <w:p w:rsidR="00DD13FC" w:rsidRPr="004B6827" w:rsidRDefault="00DD13FC" w:rsidP="00DD13FC">
      <w:pPr>
        <w:autoSpaceDE w:val="0"/>
        <w:autoSpaceDN w:val="0"/>
        <w:adjustRightInd w:val="0"/>
        <w:spacing w:line="240" w:lineRule="auto"/>
        <w:rPr>
          <w:lang w:val="sk-SK" w:eastAsia="sk-SK"/>
        </w:rPr>
      </w:pPr>
    </w:p>
    <w:p w:rsidR="00DD13FC" w:rsidRPr="004B6827" w:rsidRDefault="00DD13FC" w:rsidP="00DD13FC">
      <w:pPr>
        <w:autoSpaceDE w:val="0"/>
        <w:autoSpaceDN w:val="0"/>
        <w:adjustRightInd w:val="0"/>
        <w:spacing w:line="240" w:lineRule="auto"/>
        <w:rPr>
          <w:lang w:val="sk-SK" w:eastAsia="sk-SK"/>
        </w:rPr>
      </w:pPr>
      <w:r w:rsidRPr="004B6827">
        <w:rPr>
          <w:lang w:val="sk-SK" w:eastAsia="sk-SK"/>
        </w:rPr>
        <w:t xml:space="preserve">U pacientov s anginou pectoris dávkovanie amlodipínu jedenkrát denne predlžuje celkový čas záťaže, časový interval do vzniku anginóznych ťažkostí a čas do objavenia sa 1-milimetrovej depresie ST segmentu a znižuje frekvenciu anginóznych záchvatov, ako aj potrebu užívania nitroglycerínu. </w:t>
      </w:r>
    </w:p>
    <w:p w:rsidR="00DD13FC" w:rsidRPr="004B6827" w:rsidRDefault="00DD13FC" w:rsidP="00DD13FC">
      <w:pPr>
        <w:autoSpaceDE w:val="0"/>
        <w:autoSpaceDN w:val="0"/>
        <w:adjustRightInd w:val="0"/>
        <w:spacing w:line="240" w:lineRule="auto"/>
        <w:rPr>
          <w:lang w:val="sk-SK" w:eastAsia="sk-SK"/>
        </w:rPr>
      </w:pPr>
    </w:p>
    <w:p w:rsidR="00DD13FC" w:rsidRPr="004B6827" w:rsidRDefault="00DD13FC" w:rsidP="00DD13FC">
      <w:pPr>
        <w:autoSpaceDE w:val="0"/>
        <w:autoSpaceDN w:val="0"/>
        <w:adjustRightInd w:val="0"/>
        <w:spacing w:line="240" w:lineRule="auto"/>
        <w:rPr>
          <w:lang w:val="sk-SK" w:eastAsia="sk-SK"/>
        </w:rPr>
      </w:pPr>
      <w:r w:rsidRPr="004B6827">
        <w:rPr>
          <w:lang w:val="sk-SK" w:eastAsia="sk-SK"/>
        </w:rPr>
        <w:t xml:space="preserve">Podávanie amlodipínu nie je spojené so žiadnymi nepriaznivými metabolickými účinkami ani zmenami plazmatických lipidov a je vhodné u pacientov s astmou, cukrovkou a dnou. </w:t>
      </w:r>
    </w:p>
    <w:p w:rsidR="00DD13FC" w:rsidRPr="004B6827" w:rsidRDefault="00DD13FC" w:rsidP="00DD13FC">
      <w:pPr>
        <w:autoSpaceDE w:val="0"/>
        <w:autoSpaceDN w:val="0"/>
        <w:adjustRightInd w:val="0"/>
        <w:spacing w:line="240" w:lineRule="auto"/>
        <w:rPr>
          <w:lang w:val="sk-SK" w:eastAsia="sk-SK"/>
        </w:rPr>
      </w:pPr>
    </w:p>
    <w:p w:rsidR="00DD13FC" w:rsidRPr="004B6827" w:rsidRDefault="00DD13FC" w:rsidP="00DD13FC">
      <w:pPr>
        <w:autoSpaceDE w:val="0"/>
        <w:autoSpaceDN w:val="0"/>
        <w:adjustRightInd w:val="0"/>
        <w:spacing w:line="240" w:lineRule="auto"/>
        <w:rPr>
          <w:i/>
          <w:lang w:val="sk-SK" w:eastAsia="sk-SK"/>
        </w:rPr>
      </w:pPr>
      <w:r w:rsidRPr="004B6827">
        <w:rPr>
          <w:i/>
          <w:lang w:val="sk-SK" w:eastAsia="sk-SK"/>
        </w:rPr>
        <w:t>Pacienti s koronárnou chorobou srdca</w:t>
      </w:r>
      <w:r w:rsidR="00F22598" w:rsidRPr="004B6827">
        <w:rPr>
          <w:i/>
          <w:lang w:val="sk-SK" w:eastAsia="sk-SK"/>
        </w:rPr>
        <w:t xml:space="preserve"> (Coronary artery Disease, CAD)</w:t>
      </w:r>
    </w:p>
    <w:p w:rsidR="00DD13FC" w:rsidRPr="004B6827" w:rsidRDefault="00DD13FC" w:rsidP="00DD13FC">
      <w:pPr>
        <w:autoSpaceDE w:val="0"/>
        <w:autoSpaceDN w:val="0"/>
        <w:adjustRightInd w:val="0"/>
        <w:spacing w:line="240" w:lineRule="auto"/>
        <w:rPr>
          <w:lang w:val="sk-SK" w:eastAsia="sk-SK"/>
        </w:rPr>
      </w:pPr>
      <w:r w:rsidRPr="004B6827">
        <w:rPr>
          <w:lang w:val="sk-SK" w:eastAsia="sk-SK"/>
        </w:rPr>
        <w:lastRenderedPageBreak/>
        <w:t>Účinnosť amlodipínu v prevencii klinických príhod u pacientov s koronárnou chorobou srdca (CAD) bola hodnotená v nezávislej multicentrickej randomizovanej dvojito zaslepenej placebom kontrolovanej štúdii s</w:t>
      </w:r>
      <w:r w:rsidR="00DE4911" w:rsidRPr="004B6827">
        <w:rPr>
          <w:lang w:val="sk-SK" w:eastAsia="sk-SK"/>
        </w:rPr>
        <w:t> </w:t>
      </w:r>
      <w:r w:rsidRPr="004B6827">
        <w:rPr>
          <w:lang w:val="sk-SK" w:eastAsia="sk-SK"/>
        </w:rPr>
        <w:t>1</w:t>
      </w:r>
      <w:r w:rsidR="00DE4911" w:rsidRPr="004B6827">
        <w:rPr>
          <w:lang w:val="sk-SK" w:eastAsia="sk-SK"/>
        </w:rPr>
        <w:t xml:space="preserve"> </w:t>
      </w:r>
      <w:r w:rsidRPr="004B6827">
        <w:rPr>
          <w:lang w:val="sk-SK" w:eastAsia="sk-SK"/>
        </w:rPr>
        <w:t>997 pacientmi; Porovnanie amlodipínu voči enalaprilu zamerané na zníženie výskytu trombózy (Comparison of Amlodipine vs. Enalapril to Limit Occurrences of Thrombosis, CAMELOT). Z týchto pacientov bolo počas 2 rokov 663 liečených amlodipínom v dávkach 5 – 10 mg, 673 pacientov bolo liečených enalaprilom v dávkach 10 – 20 mg a 655 pacientov bolo liečených placebom okrem štandardnej</w:t>
      </w:r>
      <w:r w:rsidR="00FD020B" w:rsidRPr="004B6827">
        <w:rPr>
          <w:lang w:val="sk-SK" w:eastAsia="sk-SK"/>
        </w:rPr>
        <w:t xml:space="preserve"> liečby statínmi, beta</w:t>
      </w:r>
      <w:r w:rsidRPr="004B6827">
        <w:rPr>
          <w:lang w:val="sk-SK" w:eastAsia="sk-SK"/>
        </w:rPr>
        <w:t xml:space="preserve">blokátormi, diuretikami a aspirínom. Najdôležitejšie výsledky týkajúce sa účinnosti sú uvedené v tabuľke </w:t>
      </w:r>
      <w:r w:rsidR="00CF52FB" w:rsidRPr="004B6827">
        <w:rPr>
          <w:lang w:val="sk-SK" w:eastAsia="sk-SK"/>
        </w:rPr>
        <w:t>nižšie</w:t>
      </w:r>
      <w:r w:rsidRPr="004B6827">
        <w:rPr>
          <w:lang w:val="sk-SK" w:eastAsia="sk-SK"/>
        </w:rPr>
        <w:t>. Výsledky naznačujú, že liečba amlodipínom bola spojená s menším počtom hospitalizácií kvôli angine pectoris a revaskularizačným procedúram u pacientov s CAD.</w:t>
      </w:r>
    </w:p>
    <w:p w:rsidR="00DD13FC" w:rsidRPr="004B6827" w:rsidRDefault="00DD13FC" w:rsidP="00DD13FC">
      <w:pPr>
        <w:autoSpaceDE w:val="0"/>
        <w:autoSpaceDN w:val="0"/>
        <w:adjustRightInd w:val="0"/>
        <w:spacing w:line="240" w:lineRule="auto"/>
        <w:rPr>
          <w:lang w:val="sk-SK" w:eastAsia="sk-SK"/>
        </w:rPr>
      </w:pPr>
    </w:p>
    <w:p w:rsidR="008A69AE" w:rsidRPr="004B6827" w:rsidRDefault="008A69AE" w:rsidP="008A69AE">
      <w:pPr>
        <w:shd w:val="clear" w:color="auto" w:fill="FFFFFF"/>
        <w:rPr>
          <w:lang w:val="sk-SK"/>
        </w:rPr>
      </w:pPr>
      <w:r w:rsidRPr="004B6827">
        <w:rPr>
          <w:b/>
          <w:lang w:val="sk-SK"/>
        </w:rPr>
        <w:t>Výskyt významných klinických výsledkov pre CAMELOT</w:t>
      </w:r>
    </w:p>
    <w:tbl>
      <w:tblPr>
        <w:tblW w:w="5024" w:type="pct"/>
        <w:tblCellSpacing w:w="0" w:type="dxa"/>
        <w:tblInd w:w="-67"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340"/>
        <w:gridCol w:w="1378"/>
        <w:gridCol w:w="1073"/>
        <w:gridCol w:w="1066"/>
        <w:gridCol w:w="1864"/>
        <w:gridCol w:w="1515"/>
      </w:tblGrid>
      <w:tr w:rsidR="008A69AE" w:rsidRPr="004B6827" w:rsidTr="00DF377F">
        <w:trPr>
          <w:tblCellSpacing w:w="0" w:type="dxa"/>
        </w:trPr>
        <w:tc>
          <w:tcPr>
            <w:tcW w:w="1267" w:type="pct"/>
            <w:tcBorders>
              <w:top w:val="single" w:sz="4" w:space="0" w:color="auto"/>
              <w:left w:val="nil"/>
              <w:bottom w:val="single" w:sz="4" w:space="0" w:color="auto"/>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autoSpaceDE w:val="0"/>
              <w:autoSpaceDN w:val="0"/>
              <w:adjustRightInd w:val="0"/>
              <w:ind w:left="720"/>
              <w:jc w:val="both"/>
              <w:rPr>
                <w:sz w:val="20"/>
                <w:szCs w:val="20"/>
                <w:lang w:val="sk-SK"/>
              </w:rPr>
            </w:pPr>
            <w:r w:rsidRPr="004B6827">
              <w:rPr>
                <w:sz w:val="20"/>
                <w:szCs w:val="20"/>
                <w:lang w:val="sk-SK"/>
              </w:rPr>
              <w:t> </w:t>
            </w:r>
          </w:p>
        </w:tc>
        <w:tc>
          <w:tcPr>
            <w:tcW w:w="1904" w:type="pct"/>
            <w:gridSpan w:val="3"/>
            <w:tcBorders>
              <w:top w:val="single" w:sz="4" w:space="0" w:color="auto"/>
              <w:left w:val="nil"/>
              <w:bottom w:val="single" w:sz="4" w:space="0" w:color="auto"/>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rFonts w:eastAsia="Calibri"/>
                <w:sz w:val="20"/>
                <w:szCs w:val="20"/>
                <w:lang w:val="sk-SK"/>
              </w:rPr>
            </w:pPr>
            <w:r w:rsidRPr="004B6827">
              <w:rPr>
                <w:sz w:val="20"/>
                <w:szCs w:val="20"/>
                <w:u w:val="single"/>
                <w:lang w:val="sk-SK"/>
              </w:rPr>
              <w:t>Výskyt kardiovaskulárnych príhod,</w:t>
            </w:r>
          </w:p>
          <w:p w:rsidR="008A69AE" w:rsidRPr="004B6827" w:rsidRDefault="008A69AE" w:rsidP="00DF377F">
            <w:pPr>
              <w:pStyle w:val="Normlnywebov"/>
              <w:jc w:val="center"/>
              <w:rPr>
                <w:sz w:val="20"/>
                <w:szCs w:val="20"/>
                <w:lang w:val="sk-SK"/>
              </w:rPr>
            </w:pPr>
            <w:r w:rsidRPr="004B6827">
              <w:rPr>
                <w:sz w:val="20"/>
                <w:szCs w:val="20"/>
                <w:u w:val="single"/>
                <w:lang w:val="sk-SK"/>
              </w:rPr>
              <w:t>počet (%)</w:t>
            </w:r>
          </w:p>
        </w:tc>
        <w:tc>
          <w:tcPr>
            <w:tcW w:w="1829" w:type="pct"/>
            <w:gridSpan w:val="2"/>
            <w:tcBorders>
              <w:top w:val="single" w:sz="4" w:space="0" w:color="auto"/>
              <w:left w:val="nil"/>
              <w:bottom w:val="single" w:sz="4" w:space="0" w:color="auto"/>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u w:val="single"/>
                <w:lang w:val="sk-SK"/>
              </w:rPr>
              <w:t>Amlodipín vs. Placebo</w:t>
            </w:r>
          </w:p>
        </w:tc>
      </w:tr>
      <w:tr w:rsidR="008A69AE" w:rsidRPr="004B6827" w:rsidTr="00DF377F">
        <w:trPr>
          <w:tblCellSpacing w:w="0" w:type="dxa"/>
        </w:trPr>
        <w:tc>
          <w:tcPr>
            <w:tcW w:w="1267" w:type="pct"/>
            <w:tcBorders>
              <w:top w:val="nil"/>
              <w:left w:val="nil"/>
              <w:bottom w:val="single" w:sz="4" w:space="0" w:color="auto"/>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rPr>
                <w:sz w:val="20"/>
                <w:szCs w:val="20"/>
                <w:lang w:val="sk-SK"/>
              </w:rPr>
            </w:pPr>
            <w:r w:rsidRPr="004B6827">
              <w:rPr>
                <w:sz w:val="20"/>
                <w:szCs w:val="20"/>
                <w:lang w:val="sk-SK"/>
              </w:rPr>
              <w:t>Výsledky</w:t>
            </w:r>
          </w:p>
        </w:tc>
        <w:tc>
          <w:tcPr>
            <w:tcW w:w="746" w:type="pct"/>
            <w:tcBorders>
              <w:top w:val="nil"/>
              <w:left w:val="nil"/>
              <w:bottom w:val="single" w:sz="4" w:space="0" w:color="auto"/>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Amlodipín</w:t>
            </w:r>
          </w:p>
        </w:tc>
        <w:tc>
          <w:tcPr>
            <w:tcW w:w="581" w:type="pct"/>
            <w:tcBorders>
              <w:top w:val="nil"/>
              <w:left w:val="nil"/>
              <w:bottom w:val="single" w:sz="4" w:space="0" w:color="auto"/>
              <w:right w:val="nil"/>
            </w:tcBorders>
            <w:shd w:val="clear" w:color="auto" w:fill="FFFFFF"/>
            <w:tcMar>
              <w:top w:w="60" w:type="dxa"/>
              <w:left w:w="60" w:type="dxa"/>
              <w:bottom w:w="60" w:type="dxa"/>
              <w:right w:w="60" w:type="dxa"/>
            </w:tcMar>
            <w:hideMark/>
          </w:tcPr>
          <w:p w:rsidR="008A69AE" w:rsidRPr="00275323" w:rsidRDefault="008A69AE" w:rsidP="00DF377F">
            <w:pPr>
              <w:pStyle w:val="Normlnywebov"/>
              <w:jc w:val="center"/>
              <w:rPr>
                <w:sz w:val="20"/>
                <w:szCs w:val="20"/>
                <w:lang w:val="sk-SK"/>
              </w:rPr>
            </w:pPr>
            <w:r w:rsidRPr="00275323">
              <w:rPr>
                <w:sz w:val="20"/>
                <w:szCs w:val="20"/>
                <w:lang w:val="sk-SK"/>
              </w:rPr>
              <w:t>Placebo</w:t>
            </w:r>
          </w:p>
        </w:tc>
        <w:tc>
          <w:tcPr>
            <w:tcW w:w="577" w:type="pct"/>
            <w:tcBorders>
              <w:top w:val="nil"/>
              <w:left w:val="nil"/>
              <w:bottom w:val="single" w:sz="4" w:space="0" w:color="auto"/>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Enalapril</w:t>
            </w:r>
          </w:p>
        </w:tc>
        <w:tc>
          <w:tcPr>
            <w:tcW w:w="1009" w:type="pct"/>
            <w:tcBorders>
              <w:top w:val="nil"/>
              <w:left w:val="nil"/>
              <w:bottom w:val="single" w:sz="4" w:space="0" w:color="auto"/>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Pomer rizika (95% IS)</w:t>
            </w:r>
          </w:p>
        </w:tc>
        <w:tc>
          <w:tcPr>
            <w:tcW w:w="820" w:type="pct"/>
            <w:tcBorders>
              <w:top w:val="nil"/>
              <w:left w:val="nil"/>
              <w:bottom w:val="single" w:sz="4" w:space="0" w:color="auto"/>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iCs/>
                <w:sz w:val="20"/>
                <w:szCs w:val="20"/>
                <w:lang w:val="sk-SK"/>
              </w:rPr>
              <w:t>Hodnota</w:t>
            </w:r>
            <w:r w:rsidRPr="004B6827">
              <w:rPr>
                <w:i/>
                <w:iCs/>
                <w:sz w:val="20"/>
                <w:szCs w:val="20"/>
                <w:lang w:val="sk-SK"/>
              </w:rPr>
              <w:t xml:space="preserve"> P</w:t>
            </w:r>
          </w:p>
        </w:tc>
      </w:tr>
      <w:tr w:rsidR="008A69AE" w:rsidRPr="004B6827" w:rsidTr="00DF377F">
        <w:trPr>
          <w:tblCellSpacing w:w="0" w:type="dxa"/>
        </w:trPr>
        <w:tc>
          <w:tcPr>
            <w:tcW w:w="1267"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rPr>
                <w:sz w:val="20"/>
                <w:szCs w:val="20"/>
                <w:lang w:val="sk-SK"/>
              </w:rPr>
            </w:pPr>
            <w:r w:rsidRPr="004B6827">
              <w:rPr>
                <w:sz w:val="20"/>
                <w:szCs w:val="20"/>
                <w:u w:val="single"/>
                <w:lang w:val="sk-SK"/>
              </w:rPr>
              <w:t>Primárny koncový bod</w:t>
            </w:r>
          </w:p>
        </w:tc>
        <w:tc>
          <w:tcPr>
            <w:tcW w:w="746"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p>
        </w:tc>
        <w:tc>
          <w:tcPr>
            <w:tcW w:w="581" w:type="pct"/>
            <w:tcBorders>
              <w:top w:val="nil"/>
              <w:left w:val="nil"/>
              <w:bottom w:val="nil"/>
              <w:right w:val="nil"/>
            </w:tcBorders>
            <w:shd w:val="clear" w:color="auto" w:fill="FFFFFF"/>
            <w:tcMar>
              <w:top w:w="60" w:type="dxa"/>
              <w:left w:w="60" w:type="dxa"/>
              <w:bottom w:w="60" w:type="dxa"/>
              <w:right w:w="60" w:type="dxa"/>
            </w:tcMar>
            <w:hideMark/>
          </w:tcPr>
          <w:p w:rsidR="008A69AE" w:rsidRPr="00275323" w:rsidRDefault="008A69AE" w:rsidP="00DF377F">
            <w:pPr>
              <w:pStyle w:val="Normlnywebov"/>
              <w:jc w:val="center"/>
              <w:rPr>
                <w:sz w:val="20"/>
                <w:szCs w:val="20"/>
                <w:lang w:val="sk-SK"/>
              </w:rPr>
            </w:pPr>
          </w:p>
        </w:tc>
        <w:tc>
          <w:tcPr>
            <w:tcW w:w="577"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p>
        </w:tc>
        <w:tc>
          <w:tcPr>
            <w:tcW w:w="1009"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p>
        </w:tc>
        <w:tc>
          <w:tcPr>
            <w:tcW w:w="820"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p>
        </w:tc>
      </w:tr>
      <w:tr w:rsidR="008A69AE" w:rsidRPr="004B6827" w:rsidTr="00DF377F">
        <w:trPr>
          <w:tblCellSpacing w:w="0" w:type="dxa"/>
        </w:trPr>
        <w:tc>
          <w:tcPr>
            <w:tcW w:w="1267"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rPr>
                <w:sz w:val="20"/>
                <w:szCs w:val="20"/>
                <w:lang w:val="sk-SK"/>
              </w:rPr>
            </w:pPr>
            <w:r w:rsidRPr="00B57E8C">
              <w:rPr>
                <w:sz w:val="20"/>
                <w:szCs w:val="20"/>
                <w:lang w:val="sk-SK"/>
              </w:rPr>
              <w:t>Nežiaduce kardiovaskulárne príhody</w:t>
            </w:r>
            <w:r w:rsidRPr="004B6827">
              <w:rPr>
                <w:sz w:val="20"/>
                <w:szCs w:val="20"/>
                <w:lang w:val="sk-SK"/>
              </w:rPr>
              <w:t xml:space="preserve"> </w:t>
            </w:r>
          </w:p>
        </w:tc>
        <w:tc>
          <w:tcPr>
            <w:tcW w:w="746" w:type="pct"/>
            <w:tcBorders>
              <w:top w:val="nil"/>
              <w:left w:val="nil"/>
              <w:bottom w:val="nil"/>
              <w:right w:val="nil"/>
            </w:tcBorders>
            <w:shd w:val="clear" w:color="auto" w:fill="FFFFFF"/>
            <w:tcMar>
              <w:top w:w="60" w:type="dxa"/>
              <w:left w:w="60" w:type="dxa"/>
              <w:bottom w:w="60" w:type="dxa"/>
              <w:right w:w="60" w:type="dxa"/>
            </w:tcMar>
            <w:hideMark/>
          </w:tcPr>
          <w:p w:rsidR="008A69AE" w:rsidRPr="00275323" w:rsidRDefault="008A69AE" w:rsidP="00DF377F">
            <w:pPr>
              <w:pStyle w:val="Normlnywebov"/>
              <w:jc w:val="center"/>
              <w:rPr>
                <w:sz w:val="20"/>
                <w:szCs w:val="20"/>
                <w:lang w:val="sk-SK"/>
              </w:rPr>
            </w:pPr>
            <w:r w:rsidRPr="004B6827">
              <w:rPr>
                <w:sz w:val="20"/>
                <w:szCs w:val="20"/>
                <w:lang w:val="sk-SK"/>
              </w:rPr>
              <w:t>110 (16,6)</w:t>
            </w:r>
          </w:p>
        </w:tc>
        <w:tc>
          <w:tcPr>
            <w:tcW w:w="581"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151 (23,1)</w:t>
            </w:r>
          </w:p>
        </w:tc>
        <w:tc>
          <w:tcPr>
            <w:tcW w:w="577"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136 (20,2)</w:t>
            </w:r>
          </w:p>
        </w:tc>
        <w:tc>
          <w:tcPr>
            <w:tcW w:w="1009"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0,69 (0,54</w:t>
            </w:r>
            <w:r w:rsidR="00941C95" w:rsidRPr="004B6827">
              <w:rPr>
                <w:sz w:val="20"/>
                <w:szCs w:val="20"/>
                <w:lang w:val="sk-SK"/>
              </w:rPr>
              <w:t xml:space="preserve"> </w:t>
            </w:r>
            <w:r w:rsidR="00941C95" w:rsidRPr="004B6827">
              <w:rPr>
                <w:lang w:val="sk-SK" w:eastAsia="sk-SK"/>
              </w:rPr>
              <w:t>–</w:t>
            </w:r>
            <w:r w:rsidR="00941C95" w:rsidRPr="004B6827">
              <w:rPr>
                <w:sz w:val="20"/>
                <w:szCs w:val="20"/>
                <w:lang w:val="sk-SK"/>
              </w:rPr>
              <w:t xml:space="preserve"> </w:t>
            </w:r>
            <w:r w:rsidRPr="004B6827">
              <w:rPr>
                <w:sz w:val="20"/>
                <w:szCs w:val="20"/>
                <w:lang w:val="sk-SK"/>
              </w:rPr>
              <w:t>0,88)</w:t>
            </w:r>
          </w:p>
        </w:tc>
        <w:tc>
          <w:tcPr>
            <w:tcW w:w="820"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0,003</w:t>
            </w:r>
          </w:p>
        </w:tc>
      </w:tr>
      <w:tr w:rsidR="008A69AE" w:rsidRPr="004B6827" w:rsidTr="00DF377F">
        <w:trPr>
          <w:tblCellSpacing w:w="0" w:type="dxa"/>
        </w:trPr>
        <w:tc>
          <w:tcPr>
            <w:tcW w:w="1267"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rPr>
                <w:sz w:val="20"/>
                <w:szCs w:val="20"/>
                <w:u w:val="single"/>
                <w:lang w:val="sk-SK"/>
              </w:rPr>
            </w:pPr>
            <w:r w:rsidRPr="004B6827">
              <w:rPr>
                <w:sz w:val="20"/>
                <w:szCs w:val="20"/>
                <w:u w:val="single"/>
                <w:lang w:val="sk-SK"/>
              </w:rPr>
              <w:t>Jednotlivé zložky</w:t>
            </w:r>
          </w:p>
        </w:tc>
        <w:tc>
          <w:tcPr>
            <w:tcW w:w="746"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p>
        </w:tc>
        <w:tc>
          <w:tcPr>
            <w:tcW w:w="581" w:type="pct"/>
            <w:tcBorders>
              <w:top w:val="nil"/>
              <w:left w:val="nil"/>
              <w:bottom w:val="nil"/>
              <w:right w:val="nil"/>
            </w:tcBorders>
            <w:shd w:val="clear" w:color="auto" w:fill="FFFFFF"/>
            <w:tcMar>
              <w:top w:w="60" w:type="dxa"/>
              <w:left w:w="60" w:type="dxa"/>
              <w:bottom w:w="60" w:type="dxa"/>
              <w:right w:w="60" w:type="dxa"/>
            </w:tcMar>
            <w:hideMark/>
          </w:tcPr>
          <w:p w:rsidR="008A69AE" w:rsidRPr="00275323" w:rsidRDefault="008A69AE" w:rsidP="00DF377F">
            <w:pPr>
              <w:pStyle w:val="Normlnywebov"/>
              <w:jc w:val="center"/>
              <w:rPr>
                <w:sz w:val="20"/>
                <w:szCs w:val="20"/>
                <w:lang w:val="sk-SK"/>
              </w:rPr>
            </w:pPr>
          </w:p>
        </w:tc>
        <w:tc>
          <w:tcPr>
            <w:tcW w:w="577"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p>
        </w:tc>
        <w:tc>
          <w:tcPr>
            <w:tcW w:w="1009"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p>
        </w:tc>
        <w:tc>
          <w:tcPr>
            <w:tcW w:w="820"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p>
        </w:tc>
      </w:tr>
      <w:tr w:rsidR="008A69AE" w:rsidRPr="004B6827" w:rsidTr="00DF377F">
        <w:trPr>
          <w:tblCellSpacing w:w="0" w:type="dxa"/>
        </w:trPr>
        <w:tc>
          <w:tcPr>
            <w:tcW w:w="1267"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rPr>
                <w:sz w:val="20"/>
                <w:szCs w:val="20"/>
                <w:lang w:val="sk-SK"/>
              </w:rPr>
            </w:pPr>
            <w:r w:rsidRPr="004B6827">
              <w:rPr>
                <w:sz w:val="20"/>
                <w:szCs w:val="20"/>
                <w:lang w:val="sk-SK"/>
              </w:rPr>
              <w:t>Koronárna revaskularizácia</w:t>
            </w:r>
          </w:p>
        </w:tc>
        <w:tc>
          <w:tcPr>
            <w:tcW w:w="746" w:type="pct"/>
            <w:tcBorders>
              <w:top w:val="nil"/>
              <w:left w:val="nil"/>
              <w:bottom w:val="nil"/>
              <w:right w:val="nil"/>
            </w:tcBorders>
            <w:shd w:val="clear" w:color="auto" w:fill="FFFFFF"/>
            <w:tcMar>
              <w:top w:w="60" w:type="dxa"/>
              <w:left w:w="60" w:type="dxa"/>
              <w:bottom w:w="60" w:type="dxa"/>
              <w:right w:w="60" w:type="dxa"/>
            </w:tcMar>
            <w:hideMark/>
          </w:tcPr>
          <w:p w:rsidR="008A69AE" w:rsidRPr="00275323" w:rsidRDefault="008A69AE" w:rsidP="00DF377F">
            <w:pPr>
              <w:pStyle w:val="Normlnywebov"/>
              <w:jc w:val="center"/>
              <w:rPr>
                <w:sz w:val="20"/>
                <w:szCs w:val="20"/>
                <w:lang w:val="sk-SK"/>
              </w:rPr>
            </w:pPr>
            <w:r w:rsidRPr="004B6827">
              <w:rPr>
                <w:sz w:val="20"/>
                <w:szCs w:val="20"/>
                <w:lang w:val="sk-SK"/>
              </w:rPr>
              <w:t>78 (11,8)</w:t>
            </w:r>
          </w:p>
        </w:tc>
        <w:tc>
          <w:tcPr>
            <w:tcW w:w="581"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103 (15,7)</w:t>
            </w:r>
          </w:p>
        </w:tc>
        <w:tc>
          <w:tcPr>
            <w:tcW w:w="577"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95 (14,1)</w:t>
            </w:r>
          </w:p>
        </w:tc>
        <w:tc>
          <w:tcPr>
            <w:tcW w:w="1009"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0,73 (0,54</w:t>
            </w:r>
            <w:r w:rsidR="00941C95" w:rsidRPr="004B6827">
              <w:rPr>
                <w:sz w:val="20"/>
                <w:szCs w:val="20"/>
                <w:lang w:val="sk-SK"/>
              </w:rPr>
              <w:t xml:space="preserve"> </w:t>
            </w:r>
            <w:r w:rsidR="00941C95" w:rsidRPr="004B6827">
              <w:rPr>
                <w:lang w:val="sk-SK" w:eastAsia="sk-SK"/>
              </w:rPr>
              <w:t>–</w:t>
            </w:r>
            <w:r w:rsidR="00941C95" w:rsidRPr="004B6827">
              <w:rPr>
                <w:sz w:val="20"/>
                <w:szCs w:val="20"/>
                <w:lang w:val="sk-SK"/>
              </w:rPr>
              <w:t xml:space="preserve"> </w:t>
            </w:r>
            <w:r w:rsidRPr="004B6827">
              <w:rPr>
                <w:sz w:val="20"/>
                <w:szCs w:val="20"/>
                <w:lang w:val="sk-SK"/>
              </w:rPr>
              <w:t>0,98)</w:t>
            </w:r>
          </w:p>
        </w:tc>
        <w:tc>
          <w:tcPr>
            <w:tcW w:w="820"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0,03</w:t>
            </w:r>
          </w:p>
        </w:tc>
      </w:tr>
      <w:tr w:rsidR="008A69AE" w:rsidRPr="004B6827" w:rsidTr="00DF377F">
        <w:trPr>
          <w:tblCellSpacing w:w="0" w:type="dxa"/>
        </w:trPr>
        <w:tc>
          <w:tcPr>
            <w:tcW w:w="1267"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rPr>
                <w:sz w:val="20"/>
                <w:szCs w:val="20"/>
                <w:lang w:val="sk-SK"/>
              </w:rPr>
            </w:pPr>
            <w:r w:rsidRPr="004B6827">
              <w:rPr>
                <w:sz w:val="20"/>
                <w:szCs w:val="20"/>
                <w:lang w:val="sk-SK"/>
              </w:rPr>
              <w:t>Hospitalizácia pre anginu pectoris</w:t>
            </w:r>
          </w:p>
        </w:tc>
        <w:tc>
          <w:tcPr>
            <w:tcW w:w="746" w:type="pct"/>
            <w:tcBorders>
              <w:top w:val="nil"/>
              <w:left w:val="nil"/>
              <w:bottom w:val="nil"/>
              <w:right w:val="nil"/>
            </w:tcBorders>
            <w:shd w:val="clear" w:color="auto" w:fill="FFFFFF"/>
            <w:tcMar>
              <w:top w:w="60" w:type="dxa"/>
              <w:left w:w="60" w:type="dxa"/>
              <w:bottom w:w="60" w:type="dxa"/>
              <w:right w:w="60" w:type="dxa"/>
            </w:tcMar>
            <w:hideMark/>
          </w:tcPr>
          <w:p w:rsidR="008A69AE" w:rsidRPr="00275323" w:rsidRDefault="008A69AE" w:rsidP="00DF377F">
            <w:pPr>
              <w:pStyle w:val="Normlnywebov"/>
              <w:jc w:val="center"/>
              <w:rPr>
                <w:sz w:val="20"/>
                <w:szCs w:val="20"/>
                <w:lang w:val="sk-SK"/>
              </w:rPr>
            </w:pPr>
            <w:r w:rsidRPr="00275323">
              <w:rPr>
                <w:sz w:val="20"/>
                <w:szCs w:val="20"/>
                <w:lang w:val="sk-SK"/>
              </w:rPr>
              <w:t>51 (7,7)</w:t>
            </w:r>
          </w:p>
        </w:tc>
        <w:tc>
          <w:tcPr>
            <w:tcW w:w="581"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84 (12,8)</w:t>
            </w:r>
          </w:p>
        </w:tc>
        <w:tc>
          <w:tcPr>
            <w:tcW w:w="577"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86 (12,8)</w:t>
            </w:r>
          </w:p>
        </w:tc>
        <w:tc>
          <w:tcPr>
            <w:tcW w:w="1009"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0,58 (0,41</w:t>
            </w:r>
            <w:r w:rsidR="00941C95" w:rsidRPr="004B6827">
              <w:rPr>
                <w:sz w:val="20"/>
                <w:szCs w:val="20"/>
                <w:lang w:val="sk-SK"/>
              </w:rPr>
              <w:t xml:space="preserve"> </w:t>
            </w:r>
            <w:r w:rsidR="00941C95" w:rsidRPr="004B6827">
              <w:rPr>
                <w:lang w:val="sk-SK" w:eastAsia="sk-SK"/>
              </w:rPr>
              <w:t>–</w:t>
            </w:r>
            <w:r w:rsidR="00941C95" w:rsidRPr="004B6827">
              <w:rPr>
                <w:sz w:val="20"/>
                <w:szCs w:val="20"/>
                <w:lang w:val="sk-SK"/>
              </w:rPr>
              <w:t xml:space="preserve"> </w:t>
            </w:r>
            <w:r w:rsidRPr="004B6827">
              <w:rPr>
                <w:sz w:val="20"/>
                <w:szCs w:val="20"/>
                <w:lang w:val="sk-SK"/>
              </w:rPr>
              <w:t>0,82)</w:t>
            </w:r>
          </w:p>
        </w:tc>
        <w:tc>
          <w:tcPr>
            <w:tcW w:w="820"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0,002</w:t>
            </w:r>
          </w:p>
        </w:tc>
      </w:tr>
      <w:tr w:rsidR="008A69AE" w:rsidRPr="004B6827" w:rsidTr="00DF377F">
        <w:trPr>
          <w:tblCellSpacing w:w="0" w:type="dxa"/>
        </w:trPr>
        <w:tc>
          <w:tcPr>
            <w:tcW w:w="1267" w:type="pct"/>
            <w:tcBorders>
              <w:top w:val="nil"/>
              <w:left w:val="nil"/>
              <w:bottom w:val="nil"/>
              <w:right w:val="nil"/>
            </w:tcBorders>
            <w:shd w:val="clear" w:color="auto" w:fill="FFFFFF"/>
            <w:tcMar>
              <w:top w:w="60" w:type="dxa"/>
              <w:left w:w="60" w:type="dxa"/>
              <w:bottom w:w="60" w:type="dxa"/>
              <w:right w:w="60" w:type="dxa"/>
            </w:tcMar>
            <w:hideMark/>
          </w:tcPr>
          <w:p w:rsidR="008A69AE" w:rsidRPr="00275323" w:rsidRDefault="008A69AE" w:rsidP="00DF377F">
            <w:pPr>
              <w:pStyle w:val="Normlnywebov"/>
              <w:rPr>
                <w:sz w:val="20"/>
                <w:szCs w:val="20"/>
                <w:lang w:val="sk-SK"/>
              </w:rPr>
            </w:pPr>
            <w:r w:rsidRPr="004B6827">
              <w:rPr>
                <w:sz w:val="20"/>
                <w:szCs w:val="20"/>
                <w:lang w:val="sk-SK"/>
              </w:rPr>
              <w:t>Nefatálny I</w:t>
            </w:r>
            <w:r w:rsidR="00343F7C" w:rsidRPr="00275323">
              <w:rPr>
                <w:sz w:val="20"/>
                <w:szCs w:val="20"/>
                <w:lang w:val="sk-SK"/>
              </w:rPr>
              <w:t>M</w:t>
            </w:r>
          </w:p>
        </w:tc>
        <w:tc>
          <w:tcPr>
            <w:tcW w:w="746"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14 (2,1)</w:t>
            </w:r>
          </w:p>
        </w:tc>
        <w:tc>
          <w:tcPr>
            <w:tcW w:w="581"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19 (2,9)</w:t>
            </w:r>
          </w:p>
        </w:tc>
        <w:tc>
          <w:tcPr>
            <w:tcW w:w="577"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11 (1,6)</w:t>
            </w:r>
          </w:p>
        </w:tc>
        <w:tc>
          <w:tcPr>
            <w:tcW w:w="1009"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0,73 (0,37</w:t>
            </w:r>
            <w:r w:rsidR="00941C95" w:rsidRPr="004B6827">
              <w:rPr>
                <w:sz w:val="20"/>
                <w:szCs w:val="20"/>
                <w:lang w:val="sk-SK"/>
              </w:rPr>
              <w:t xml:space="preserve"> </w:t>
            </w:r>
            <w:r w:rsidR="00941C95" w:rsidRPr="004B6827">
              <w:rPr>
                <w:lang w:val="sk-SK" w:eastAsia="sk-SK"/>
              </w:rPr>
              <w:t>–</w:t>
            </w:r>
            <w:r w:rsidR="00941C95" w:rsidRPr="004B6827">
              <w:rPr>
                <w:sz w:val="20"/>
                <w:szCs w:val="20"/>
                <w:lang w:val="sk-SK"/>
              </w:rPr>
              <w:t xml:space="preserve"> </w:t>
            </w:r>
            <w:r w:rsidRPr="004B6827">
              <w:rPr>
                <w:sz w:val="20"/>
                <w:szCs w:val="20"/>
                <w:lang w:val="sk-SK"/>
              </w:rPr>
              <w:t>1,46)</w:t>
            </w:r>
          </w:p>
        </w:tc>
        <w:tc>
          <w:tcPr>
            <w:tcW w:w="820"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0,37</w:t>
            </w:r>
          </w:p>
        </w:tc>
      </w:tr>
      <w:tr w:rsidR="008A69AE" w:rsidRPr="004B6827" w:rsidTr="00DF377F">
        <w:trPr>
          <w:tblCellSpacing w:w="0" w:type="dxa"/>
        </w:trPr>
        <w:tc>
          <w:tcPr>
            <w:tcW w:w="1267"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rPr>
                <w:sz w:val="20"/>
                <w:szCs w:val="20"/>
                <w:lang w:val="sk-SK"/>
              </w:rPr>
            </w:pPr>
            <w:r w:rsidRPr="004B6827">
              <w:rPr>
                <w:sz w:val="20"/>
                <w:szCs w:val="20"/>
                <w:lang w:val="sk-SK"/>
              </w:rPr>
              <w:t>Mozgová mŕtvica alebo TIA</w:t>
            </w:r>
          </w:p>
        </w:tc>
        <w:tc>
          <w:tcPr>
            <w:tcW w:w="746" w:type="pct"/>
            <w:tcBorders>
              <w:top w:val="nil"/>
              <w:left w:val="nil"/>
              <w:bottom w:val="nil"/>
              <w:right w:val="nil"/>
            </w:tcBorders>
            <w:shd w:val="clear" w:color="auto" w:fill="FFFFFF"/>
            <w:tcMar>
              <w:top w:w="60" w:type="dxa"/>
              <w:left w:w="60" w:type="dxa"/>
              <w:bottom w:w="60" w:type="dxa"/>
              <w:right w:w="60" w:type="dxa"/>
            </w:tcMar>
            <w:hideMark/>
          </w:tcPr>
          <w:p w:rsidR="008A69AE" w:rsidRPr="00275323" w:rsidRDefault="008A69AE" w:rsidP="00DF377F">
            <w:pPr>
              <w:pStyle w:val="Normlnywebov"/>
              <w:jc w:val="center"/>
              <w:rPr>
                <w:sz w:val="20"/>
                <w:szCs w:val="20"/>
                <w:lang w:val="sk-SK"/>
              </w:rPr>
            </w:pPr>
            <w:r w:rsidRPr="00275323">
              <w:rPr>
                <w:sz w:val="20"/>
                <w:szCs w:val="20"/>
                <w:lang w:val="sk-SK"/>
              </w:rPr>
              <w:t>6 (0,9)</w:t>
            </w:r>
          </w:p>
        </w:tc>
        <w:tc>
          <w:tcPr>
            <w:tcW w:w="581"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12 (1,8)</w:t>
            </w:r>
          </w:p>
        </w:tc>
        <w:tc>
          <w:tcPr>
            <w:tcW w:w="577"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8 (1,2)</w:t>
            </w:r>
          </w:p>
        </w:tc>
        <w:tc>
          <w:tcPr>
            <w:tcW w:w="1009"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0,50 (0,19</w:t>
            </w:r>
            <w:r w:rsidR="00941C95" w:rsidRPr="004B6827">
              <w:rPr>
                <w:sz w:val="20"/>
                <w:szCs w:val="20"/>
                <w:lang w:val="sk-SK"/>
              </w:rPr>
              <w:t xml:space="preserve"> </w:t>
            </w:r>
            <w:r w:rsidR="00941C95" w:rsidRPr="004B6827">
              <w:rPr>
                <w:lang w:val="sk-SK" w:eastAsia="sk-SK"/>
              </w:rPr>
              <w:t>–</w:t>
            </w:r>
            <w:r w:rsidR="00941C95" w:rsidRPr="004B6827">
              <w:rPr>
                <w:sz w:val="20"/>
                <w:szCs w:val="20"/>
                <w:lang w:val="sk-SK"/>
              </w:rPr>
              <w:t xml:space="preserve"> </w:t>
            </w:r>
            <w:r w:rsidRPr="004B6827">
              <w:rPr>
                <w:sz w:val="20"/>
                <w:szCs w:val="20"/>
                <w:lang w:val="sk-SK"/>
              </w:rPr>
              <w:t>1,32)</w:t>
            </w:r>
          </w:p>
        </w:tc>
        <w:tc>
          <w:tcPr>
            <w:tcW w:w="820"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0,15</w:t>
            </w:r>
          </w:p>
        </w:tc>
      </w:tr>
      <w:tr w:rsidR="008A69AE" w:rsidRPr="004B6827" w:rsidTr="00DF377F">
        <w:trPr>
          <w:tblCellSpacing w:w="0" w:type="dxa"/>
        </w:trPr>
        <w:tc>
          <w:tcPr>
            <w:tcW w:w="1267"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rPr>
                <w:sz w:val="20"/>
                <w:szCs w:val="20"/>
                <w:lang w:val="sk-SK"/>
              </w:rPr>
            </w:pPr>
            <w:r w:rsidRPr="004B6827">
              <w:rPr>
                <w:sz w:val="20"/>
                <w:szCs w:val="20"/>
                <w:lang w:val="sk-SK"/>
              </w:rPr>
              <w:t>Smrť z kardiovaskulárnych príčin</w:t>
            </w:r>
          </w:p>
        </w:tc>
        <w:tc>
          <w:tcPr>
            <w:tcW w:w="746" w:type="pct"/>
            <w:tcBorders>
              <w:top w:val="nil"/>
              <w:left w:val="nil"/>
              <w:bottom w:val="nil"/>
              <w:right w:val="nil"/>
            </w:tcBorders>
            <w:shd w:val="clear" w:color="auto" w:fill="FFFFFF"/>
            <w:tcMar>
              <w:top w:w="60" w:type="dxa"/>
              <w:left w:w="60" w:type="dxa"/>
              <w:bottom w:w="60" w:type="dxa"/>
              <w:right w:w="60" w:type="dxa"/>
            </w:tcMar>
            <w:hideMark/>
          </w:tcPr>
          <w:p w:rsidR="008A69AE" w:rsidRPr="00275323" w:rsidRDefault="008A69AE" w:rsidP="00DF377F">
            <w:pPr>
              <w:pStyle w:val="Normlnywebov"/>
              <w:jc w:val="center"/>
              <w:rPr>
                <w:sz w:val="20"/>
                <w:szCs w:val="20"/>
                <w:lang w:val="sk-SK"/>
              </w:rPr>
            </w:pPr>
            <w:r w:rsidRPr="00275323">
              <w:rPr>
                <w:sz w:val="20"/>
                <w:szCs w:val="20"/>
                <w:lang w:val="sk-SK"/>
              </w:rPr>
              <w:t>5 (0,8)</w:t>
            </w:r>
          </w:p>
        </w:tc>
        <w:tc>
          <w:tcPr>
            <w:tcW w:w="581"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2 (0,3)</w:t>
            </w:r>
          </w:p>
        </w:tc>
        <w:tc>
          <w:tcPr>
            <w:tcW w:w="577"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5 (0,7)</w:t>
            </w:r>
          </w:p>
        </w:tc>
        <w:tc>
          <w:tcPr>
            <w:tcW w:w="1009"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2,46 (0,48</w:t>
            </w:r>
            <w:r w:rsidR="00941C95" w:rsidRPr="004B6827">
              <w:rPr>
                <w:sz w:val="20"/>
                <w:szCs w:val="20"/>
                <w:lang w:val="sk-SK"/>
              </w:rPr>
              <w:t xml:space="preserve"> </w:t>
            </w:r>
            <w:r w:rsidR="00941C95" w:rsidRPr="004B6827">
              <w:rPr>
                <w:lang w:val="sk-SK" w:eastAsia="sk-SK"/>
              </w:rPr>
              <w:t>–</w:t>
            </w:r>
            <w:r w:rsidR="00941C95" w:rsidRPr="004B6827">
              <w:rPr>
                <w:sz w:val="20"/>
                <w:szCs w:val="20"/>
                <w:lang w:val="sk-SK"/>
              </w:rPr>
              <w:t xml:space="preserve"> </w:t>
            </w:r>
            <w:r w:rsidRPr="004B6827">
              <w:rPr>
                <w:sz w:val="20"/>
                <w:szCs w:val="20"/>
                <w:lang w:val="sk-SK"/>
              </w:rPr>
              <w:t>12,7)</w:t>
            </w:r>
          </w:p>
        </w:tc>
        <w:tc>
          <w:tcPr>
            <w:tcW w:w="820"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0,27</w:t>
            </w:r>
          </w:p>
        </w:tc>
      </w:tr>
      <w:tr w:rsidR="008A69AE" w:rsidRPr="004B6827" w:rsidTr="00DF377F">
        <w:trPr>
          <w:tblCellSpacing w:w="0" w:type="dxa"/>
        </w:trPr>
        <w:tc>
          <w:tcPr>
            <w:tcW w:w="1267"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rPr>
                <w:sz w:val="20"/>
                <w:szCs w:val="20"/>
                <w:lang w:val="sk-SK"/>
              </w:rPr>
            </w:pPr>
            <w:r w:rsidRPr="004B6827">
              <w:rPr>
                <w:sz w:val="20"/>
                <w:szCs w:val="20"/>
                <w:lang w:val="sk-SK"/>
              </w:rPr>
              <w:t>Hospitalizácia kvôli KSZ</w:t>
            </w:r>
          </w:p>
        </w:tc>
        <w:tc>
          <w:tcPr>
            <w:tcW w:w="746" w:type="pct"/>
            <w:tcBorders>
              <w:top w:val="nil"/>
              <w:left w:val="nil"/>
              <w:bottom w:val="nil"/>
              <w:right w:val="nil"/>
            </w:tcBorders>
            <w:shd w:val="clear" w:color="auto" w:fill="FFFFFF"/>
            <w:tcMar>
              <w:top w:w="60" w:type="dxa"/>
              <w:left w:w="60" w:type="dxa"/>
              <w:bottom w:w="60" w:type="dxa"/>
              <w:right w:w="60" w:type="dxa"/>
            </w:tcMar>
            <w:hideMark/>
          </w:tcPr>
          <w:p w:rsidR="008A69AE" w:rsidRPr="00275323" w:rsidRDefault="008A69AE" w:rsidP="00DF377F">
            <w:pPr>
              <w:pStyle w:val="Normlnywebov"/>
              <w:jc w:val="center"/>
              <w:rPr>
                <w:sz w:val="20"/>
                <w:szCs w:val="20"/>
                <w:lang w:val="sk-SK"/>
              </w:rPr>
            </w:pPr>
            <w:r w:rsidRPr="004B6827">
              <w:rPr>
                <w:sz w:val="20"/>
                <w:szCs w:val="20"/>
                <w:lang w:val="sk-SK"/>
              </w:rPr>
              <w:t>3 (0,5)</w:t>
            </w:r>
          </w:p>
        </w:tc>
        <w:tc>
          <w:tcPr>
            <w:tcW w:w="581"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5 (0,8)</w:t>
            </w:r>
          </w:p>
        </w:tc>
        <w:tc>
          <w:tcPr>
            <w:tcW w:w="577"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4 (0,6)</w:t>
            </w:r>
          </w:p>
        </w:tc>
        <w:tc>
          <w:tcPr>
            <w:tcW w:w="1009"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0,59 (0,14</w:t>
            </w:r>
            <w:r w:rsidR="00941C95" w:rsidRPr="004B6827">
              <w:rPr>
                <w:sz w:val="20"/>
                <w:szCs w:val="20"/>
                <w:lang w:val="sk-SK"/>
              </w:rPr>
              <w:t xml:space="preserve"> </w:t>
            </w:r>
            <w:r w:rsidR="00941C95" w:rsidRPr="004B6827">
              <w:rPr>
                <w:lang w:val="sk-SK" w:eastAsia="sk-SK"/>
              </w:rPr>
              <w:t>–</w:t>
            </w:r>
            <w:r w:rsidR="00941C95" w:rsidRPr="004B6827">
              <w:rPr>
                <w:sz w:val="20"/>
                <w:szCs w:val="20"/>
                <w:lang w:val="sk-SK"/>
              </w:rPr>
              <w:t xml:space="preserve"> </w:t>
            </w:r>
            <w:r w:rsidRPr="004B6827">
              <w:rPr>
                <w:sz w:val="20"/>
                <w:szCs w:val="20"/>
                <w:lang w:val="sk-SK"/>
              </w:rPr>
              <w:t>2,47)</w:t>
            </w:r>
          </w:p>
        </w:tc>
        <w:tc>
          <w:tcPr>
            <w:tcW w:w="820"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0,46</w:t>
            </w:r>
          </w:p>
        </w:tc>
      </w:tr>
      <w:tr w:rsidR="008A69AE" w:rsidRPr="004B6827" w:rsidTr="00DF377F">
        <w:trPr>
          <w:tblCellSpacing w:w="0" w:type="dxa"/>
        </w:trPr>
        <w:tc>
          <w:tcPr>
            <w:tcW w:w="1267"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rPr>
                <w:sz w:val="20"/>
                <w:szCs w:val="20"/>
                <w:lang w:val="sk-SK"/>
              </w:rPr>
            </w:pPr>
            <w:r w:rsidRPr="004B6827">
              <w:rPr>
                <w:sz w:val="20"/>
                <w:szCs w:val="20"/>
                <w:lang w:val="sk-SK"/>
              </w:rPr>
              <w:t xml:space="preserve">Resuscitovaná zástava srdca </w:t>
            </w:r>
          </w:p>
        </w:tc>
        <w:tc>
          <w:tcPr>
            <w:tcW w:w="746" w:type="pct"/>
            <w:tcBorders>
              <w:top w:val="nil"/>
              <w:left w:val="nil"/>
              <w:bottom w:val="nil"/>
              <w:right w:val="nil"/>
            </w:tcBorders>
            <w:shd w:val="clear" w:color="auto" w:fill="FFFFFF"/>
            <w:tcMar>
              <w:top w:w="60" w:type="dxa"/>
              <w:left w:w="60" w:type="dxa"/>
              <w:bottom w:w="60" w:type="dxa"/>
              <w:right w:w="60" w:type="dxa"/>
            </w:tcMar>
            <w:hideMark/>
          </w:tcPr>
          <w:p w:rsidR="008A69AE" w:rsidRPr="00275323" w:rsidRDefault="008A69AE" w:rsidP="00DF377F">
            <w:pPr>
              <w:pStyle w:val="Normlnywebov"/>
              <w:jc w:val="center"/>
              <w:rPr>
                <w:sz w:val="20"/>
                <w:szCs w:val="20"/>
                <w:lang w:val="sk-SK"/>
              </w:rPr>
            </w:pPr>
            <w:r w:rsidRPr="00275323">
              <w:rPr>
                <w:sz w:val="20"/>
                <w:szCs w:val="20"/>
                <w:lang w:val="sk-SK"/>
              </w:rPr>
              <w:t>0</w:t>
            </w:r>
          </w:p>
        </w:tc>
        <w:tc>
          <w:tcPr>
            <w:tcW w:w="581"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4 (0,6)</w:t>
            </w:r>
          </w:p>
        </w:tc>
        <w:tc>
          <w:tcPr>
            <w:tcW w:w="577"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1 (0,1)</w:t>
            </w:r>
          </w:p>
        </w:tc>
        <w:tc>
          <w:tcPr>
            <w:tcW w:w="1009"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941C95" w:rsidP="00DF377F">
            <w:pPr>
              <w:pStyle w:val="Normlnywebov"/>
              <w:jc w:val="center"/>
              <w:rPr>
                <w:sz w:val="20"/>
                <w:szCs w:val="20"/>
                <w:lang w:val="sk-SK"/>
              </w:rPr>
            </w:pPr>
            <w:r w:rsidRPr="004B6827">
              <w:rPr>
                <w:lang w:val="sk-SK" w:eastAsia="sk-SK"/>
              </w:rPr>
              <w:t>–</w:t>
            </w:r>
          </w:p>
        </w:tc>
        <w:tc>
          <w:tcPr>
            <w:tcW w:w="820" w:type="pct"/>
            <w:tcBorders>
              <w:top w:val="nil"/>
              <w:left w:val="nil"/>
              <w:bottom w:val="nil"/>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0,04</w:t>
            </w:r>
          </w:p>
        </w:tc>
      </w:tr>
      <w:tr w:rsidR="008A69AE" w:rsidRPr="004B6827" w:rsidTr="00DF377F">
        <w:trPr>
          <w:tblCellSpacing w:w="0" w:type="dxa"/>
        </w:trPr>
        <w:tc>
          <w:tcPr>
            <w:tcW w:w="1267" w:type="pct"/>
            <w:tcBorders>
              <w:top w:val="nil"/>
              <w:left w:val="nil"/>
              <w:bottom w:val="single" w:sz="4" w:space="0" w:color="auto"/>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autoSpaceDE w:val="0"/>
              <w:autoSpaceDN w:val="0"/>
              <w:adjustRightInd w:val="0"/>
              <w:rPr>
                <w:sz w:val="20"/>
                <w:szCs w:val="20"/>
                <w:lang w:val="sk-SK"/>
              </w:rPr>
            </w:pPr>
            <w:r w:rsidRPr="004B6827">
              <w:rPr>
                <w:sz w:val="20"/>
                <w:szCs w:val="20"/>
                <w:lang w:val="sk-SK"/>
              </w:rPr>
              <w:t>Novodiagnostikované ochorenie periférnych ciev</w:t>
            </w:r>
          </w:p>
        </w:tc>
        <w:tc>
          <w:tcPr>
            <w:tcW w:w="746" w:type="pct"/>
            <w:tcBorders>
              <w:top w:val="nil"/>
              <w:left w:val="nil"/>
              <w:bottom w:val="single" w:sz="4" w:space="0" w:color="auto"/>
              <w:right w:val="nil"/>
            </w:tcBorders>
            <w:shd w:val="clear" w:color="auto" w:fill="FFFFFF"/>
            <w:tcMar>
              <w:top w:w="60" w:type="dxa"/>
              <w:left w:w="60" w:type="dxa"/>
              <w:bottom w:w="60" w:type="dxa"/>
              <w:right w:w="60" w:type="dxa"/>
            </w:tcMar>
            <w:hideMark/>
          </w:tcPr>
          <w:p w:rsidR="008A69AE" w:rsidRPr="00275323" w:rsidRDefault="008A69AE" w:rsidP="00DF377F">
            <w:pPr>
              <w:pStyle w:val="Normlnywebov"/>
              <w:jc w:val="center"/>
              <w:rPr>
                <w:sz w:val="20"/>
                <w:szCs w:val="20"/>
                <w:lang w:val="sk-SK"/>
              </w:rPr>
            </w:pPr>
            <w:r w:rsidRPr="00275323">
              <w:rPr>
                <w:sz w:val="20"/>
                <w:szCs w:val="20"/>
                <w:lang w:val="sk-SK"/>
              </w:rPr>
              <w:t>5 (0,8)</w:t>
            </w:r>
          </w:p>
        </w:tc>
        <w:tc>
          <w:tcPr>
            <w:tcW w:w="581" w:type="pct"/>
            <w:tcBorders>
              <w:top w:val="nil"/>
              <w:left w:val="nil"/>
              <w:bottom w:val="single" w:sz="4" w:space="0" w:color="auto"/>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2 (0,3)</w:t>
            </w:r>
          </w:p>
        </w:tc>
        <w:tc>
          <w:tcPr>
            <w:tcW w:w="577" w:type="pct"/>
            <w:tcBorders>
              <w:top w:val="nil"/>
              <w:left w:val="nil"/>
              <w:bottom w:val="single" w:sz="4" w:space="0" w:color="auto"/>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8 (1,2)</w:t>
            </w:r>
          </w:p>
        </w:tc>
        <w:tc>
          <w:tcPr>
            <w:tcW w:w="1009" w:type="pct"/>
            <w:tcBorders>
              <w:top w:val="nil"/>
              <w:left w:val="nil"/>
              <w:bottom w:val="single" w:sz="4" w:space="0" w:color="auto"/>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2,6 (0,50</w:t>
            </w:r>
            <w:r w:rsidR="00941C95" w:rsidRPr="004B6827">
              <w:rPr>
                <w:sz w:val="20"/>
                <w:szCs w:val="20"/>
                <w:lang w:val="sk-SK"/>
              </w:rPr>
              <w:t xml:space="preserve"> </w:t>
            </w:r>
            <w:r w:rsidR="00941C95" w:rsidRPr="004B6827">
              <w:rPr>
                <w:lang w:val="sk-SK" w:eastAsia="sk-SK"/>
              </w:rPr>
              <w:t>–</w:t>
            </w:r>
            <w:r w:rsidR="00941C95" w:rsidRPr="004B6827">
              <w:rPr>
                <w:sz w:val="20"/>
                <w:szCs w:val="20"/>
                <w:lang w:val="sk-SK"/>
              </w:rPr>
              <w:t xml:space="preserve"> </w:t>
            </w:r>
            <w:r w:rsidRPr="004B6827">
              <w:rPr>
                <w:sz w:val="20"/>
                <w:szCs w:val="20"/>
                <w:lang w:val="sk-SK"/>
              </w:rPr>
              <w:t>13,4)</w:t>
            </w:r>
          </w:p>
        </w:tc>
        <w:tc>
          <w:tcPr>
            <w:tcW w:w="820" w:type="pct"/>
            <w:tcBorders>
              <w:top w:val="nil"/>
              <w:left w:val="nil"/>
              <w:bottom w:val="single" w:sz="4" w:space="0" w:color="auto"/>
              <w:right w:val="nil"/>
            </w:tcBorders>
            <w:shd w:val="clear" w:color="auto" w:fill="FFFFFF"/>
            <w:tcMar>
              <w:top w:w="60" w:type="dxa"/>
              <w:left w:w="60" w:type="dxa"/>
              <w:bottom w:w="60" w:type="dxa"/>
              <w:right w:w="60" w:type="dxa"/>
            </w:tcMar>
            <w:hideMark/>
          </w:tcPr>
          <w:p w:rsidR="008A69AE" w:rsidRPr="004B6827" w:rsidRDefault="008A69AE" w:rsidP="00DF377F">
            <w:pPr>
              <w:pStyle w:val="Normlnywebov"/>
              <w:jc w:val="center"/>
              <w:rPr>
                <w:sz w:val="20"/>
                <w:szCs w:val="20"/>
                <w:lang w:val="sk-SK"/>
              </w:rPr>
            </w:pPr>
            <w:r w:rsidRPr="004B6827">
              <w:rPr>
                <w:sz w:val="20"/>
                <w:szCs w:val="20"/>
                <w:lang w:val="sk-SK"/>
              </w:rPr>
              <w:t>0,24</w:t>
            </w:r>
          </w:p>
        </w:tc>
      </w:tr>
    </w:tbl>
    <w:p w:rsidR="008A69AE" w:rsidRPr="00275323" w:rsidRDefault="008A69AE" w:rsidP="008A69AE">
      <w:pPr>
        <w:shd w:val="clear" w:color="auto" w:fill="FFFFFF"/>
        <w:rPr>
          <w:lang w:val="sk-SK"/>
        </w:rPr>
      </w:pPr>
      <w:r w:rsidRPr="004B6827">
        <w:rPr>
          <w:lang w:val="sk-SK" w:eastAsia="sk-SK"/>
        </w:rPr>
        <w:t xml:space="preserve">Skratky: KSZ </w:t>
      </w:r>
      <w:r w:rsidR="008D6CDE" w:rsidRPr="004B6827">
        <w:rPr>
          <w:lang w:val="sk-SK" w:eastAsia="sk-SK"/>
        </w:rPr>
        <w:t xml:space="preserve">= </w:t>
      </w:r>
      <w:r w:rsidR="008E43E9" w:rsidRPr="004B6827">
        <w:rPr>
          <w:lang w:val="sk-SK" w:eastAsia="sk-SK"/>
        </w:rPr>
        <w:t>kongestívne srdcové zlyháva</w:t>
      </w:r>
      <w:r w:rsidRPr="00275323">
        <w:rPr>
          <w:lang w:val="sk-SK" w:eastAsia="sk-SK"/>
        </w:rPr>
        <w:t xml:space="preserve">nie; IS </w:t>
      </w:r>
      <w:r w:rsidR="008D6CDE" w:rsidRPr="00275323">
        <w:rPr>
          <w:lang w:val="sk-SK" w:eastAsia="sk-SK"/>
        </w:rPr>
        <w:t xml:space="preserve">= </w:t>
      </w:r>
      <w:r w:rsidRPr="00275323">
        <w:rPr>
          <w:lang w:val="sk-SK" w:eastAsia="sk-SK"/>
        </w:rPr>
        <w:t>interval spoľahlivosti; I</w:t>
      </w:r>
      <w:r w:rsidR="00FA3548" w:rsidRPr="004B6827">
        <w:rPr>
          <w:lang w:val="sk-SK" w:eastAsia="sk-SK"/>
        </w:rPr>
        <w:t>M</w:t>
      </w:r>
      <w:r w:rsidR="008D6CDE" w:rsidRPr="004B6827">
        <w:rPr>
          <w:lang w:val="sk-SK" w:eastAsia="sk-SK"/>
        </w:rPr>
        <w:t xml:space="preserve"> =</w:t>
      </w:r>
      <w:r w:rsidRPr="004B6827">
        <w:rPr>
          <w:lang w:val="sk-SK" w:eastAsia="sk-SK"/>
        </w:rPr>
        <w:t xml:space="preserve"> infarkt myokardu; TIA</w:t>
      </w:r>
      <w:r w:rsidR="00FA3548" w:rsidRPr="004B6827">
        <w:rPr>
          <w:lang w:val="sk-SK" w:eastAsia="sk-SK"/>
        </w:rPr>
        <w:t xml:space="preserve"> (</w:t>
      </w:r>
      <w:r w:rsidR="00FA3548" w:rsidRPr="00B57E8C">
        <w:rPr>
          <w:sz w:val="20"/>
          <w:lang w:val="sk-SK"/>
        </w:rPr>
        <w:t>transient ischemic attack</w:t>
      </w:r>
      <w:r w:rsidR="00FA3548" w:rsidRPr="004B6827">
        <w:rPr>
          <w:lang w:val="sk-SK" w:eastAsia="sk-SK"/>
        </w:rPr>
        <w:t>)</w:t>
      </w:r>
      <w:r w:rsidRPr="004B6827">
        <w:rPr>
          <w:lang w:val="sk-SK" w:eastAsia="sk-SK"/>
        </w:rPr>
        <w:t xml:space="preserve"> </w:t>
      </w:r>
      <w:r w:rsidR="008D6CDE" w:rsidRPr="004B6827">
        <w:rPr>
          <w:lang w:val="sk-SK" w:eastAsia="sk-SK"/>
        </w:rPr>
        <w:t xml:space="preserve">= </w:t>
      </w:r>
      <w:r w:rsidRPr="00275323">
        <w:rPr>
          <w:lang w:val="sk-SK" w:eastAsia="sk-SK"/>
        </w:rPr>
        <w:t>prechodný ischemický záchvat</w:t>
      </w:r>
      <w:r w:rsidRPr="00275323">
        <w:rPr>
          <w:sz w:val="20"/>
          <w:lang w:val="sk-SK"/>
        </w:rPr>
        <w:t>.</w:t>
      </w:r>
    </w:p>
    <w:p w:rsidR="00DD13FC" w:rsidRPr="004B6827" w:rsidRDefault="00DD13FC" w:rsidP="00DD13FC">
      <w:pPr>
        <w:autoSpaceDE w:val="0"/>
        <w:autoSpaceDN w:val="0"/>
        <w:adjustRightInd w:val="0"/>
        <w:spacing w:line="240" w:lineRule="auto"/>
        <w:rPr>
          <w:lang w:val="sk-SK" w:eastAsia="sk-SK"/>
        </w:rPr>
      </w:pPr>
    </w:p>
    <w:p w:rsidR="00DD13FC" w:rsidRPr="004B6827" w:rsidRDefault="00DD13FC" w:rsidP="00DD13FC">
      <w:pPr>
        <w:autoSpaceDE w:val="0"/>
        <w:autoSpaceDN w:val="0"/>
        <w:adjustRightInd w:val="0"/>
        <w:spacing w:line="240" w:lineRule="auto"/>
        <w:rPr>
          <w:i/>
          <w:lang w:val="sk-SK" w:eastAsia="sk-SK"/>
        </w:rPr>
      </w:pPr>
      <w:r w:rsidRPr="004B6827">
        <w:rPr>
          <w:i/>
          <w:lang w:val="sk-SK" w:eastAsia="sk-SK"/>
        </w:rPr>
        <w:t>Použiti</w:t>
      </w:r>
      <w:r w:rsidR="00457E73" w:rsidRPr="004B6827">
        <w:rPr>
          <w:i/>
          <w:lang w:val="sk-SK" w:eastAsia="sk-SK"/>
        </w:rPr>
        <w:t>e u pacientov so zlyh</w:t>
      </w:r>
      <w:r w:rsidR="008E43E9" w:rsidRPr="004B6827">
        <w:rPr>
          <w:i/>
          <w:lang w:val="sk-SK" w:eastAsia="sk-SK"/>
        </w:rPr>
        <w:t>áva</w:t>
      </w:r>
      <w:r w:rsidR="00457E73" w:rsidRPr="004B6827">
        <w:rPr>
          <w:i/>
          <w:lang w:val="sk-SK" w:eastAsia="sk-SK"/>
        </w:rPr>
        <w:t>ním srdca</w:t>
      </w:r>
    </w:p>
    <w:p w:rsidR="00DD13FC" w:rsidRPr="004B6827" w:rsidRDefault="00DD13FC" w:rsidP="00DD13FC">
      <w:pPr>
        <w:autoSpaceDE w:val="0"/>
        <w:autoSpaceDN w:val="0"/>
        <w:adjustRightInd w:val="0"/>
        <w:spacing w:line="240" w:lineRule="auto"/>
        <w:rPr>
          <w:lang w:val="sk-SK" w:eastAsia="sk-SK"/>
        </w:rPr>
      </w:pPr>
      <w:r w:rsidRPr="004B6827">
        <w:rPr>
          <w:lang w:val="sk-SK" w:eastAsia="sk-SK"/>
        </w:rPr>
        <w:t>Hemodynamické štúdie a kontrolované klinické štúdie na základe záťažových test</w:t>
      </w:r>
      <w:r w:rsidR="008E43E9" w:rsidRPr="004B6827">
        <w:rPr>
          <w:lang w:val="sk-SK" w:eastAsia="sk-SK"/>
        </w:rPr>
        <w:t>ov u pacientov so srdcovým zlyháva</w:t>
      </w:r>
      <w:r w:rsidRPr="004B6827">
        <w:rPr>
          <w:lang w:val="sk-SK" w:eastAsia="sk-SK"/>
        </w:rPr>
        <w:t>ním (NYHA II – IV stupňa) preukázali, že amlodipín na základe posúdenia tolerancie fyzickej záťaže, ejekčnej frakcie ľavej komory a klinickej symptomatológie nespôsobuje klinické zhoršenie stavu.</w:t>
      </w:r>
    </w:p>
    <w:p w:rsidR="00DD13FC" w:rsidRPr="004B6827" w:rsidRDefault="00DD13FC" w:rsidP="00DD13FC">
      <w:pPr>
        <w:autoSpaceDE w:val="0"/>
        <w:autoSpaceDN w:val="0"/>
        <w:adjustRightInd w:val="0"/>
        <w:spacing w:line="240" w:lineRule="auto"/>
        <w:rPr>
          <w:lang w:val="sk-SK" w:eastAsia="sk-SK"/>
        </w:rPr>
      </w:pPr>
      <w:r w:rsidRPr="004B6827">
        <w:rPr>
          <w:lang w:val="sk-SK" w:eastAsia="sk-SK"/>
        </w:rPr>
        <w:t>Placebom kontrolovaná štúdia (PRAISE) navrhnutá na hodnot</w:t>
      </w:r>
      <w:r w:rsidR="008E43E9" w:rsidRPr="004B6827">
        <w:rPr>
          <w:lang w:val="sk-SK" w:eastAsia="sk-SK"/>
        </w:rPr>
        <w:t>enie pacientov so srdcovým zlyháva</w:t>
      </w:r>
      <w:r w:rsidRPr="004B6827">
        <w:rPr>
          <w:lang w:val="sk-SK" w:eastAsia="sk-SK"/>
        </w:rPr>
        <w:t>ním (NYHA II</w:t>
      </w:r>
      <w:r w:rsidR="008D6CDE" w:rsidRPr="004B6827">
        <w:rPr>
          <w:lang w:val="sk-SK" w:eastAsia="sk-SK"/>
        </w:rPr>
        <w:t>.</w:t>
      </w:r>
      <w:r w:rsidRPr="004B6827">
        <w:rPr>
          <w:lang w:val="sk-SK" w:eastAsia="sk-SK"/>
        </w:rPr>
        <w:t> – IV</w:t>
      </w:r>
      <w:r w:rsidR="008D6CDE" w:rsidRPr="004B6827">
        <w:rPr>
          <w:lang w:val="sk-SK" w:eastAsia="sk-SK"/>
        </w:rPr>
        <w:t>.</w:t>
      </w:r>
      <w:r w:rsidRPr="004B6827">
        <w:rPr>
          <w:lang w:val="sk-SK" w:eastAsia="sk-SK"/>
        </w:rPr>
        <w:t xml:space="preserve"> stupňa), ktorí užívali digoxín, diuretiká a inhibítory </w:t>
      </w:r>
      <w:r w:rsidR="00457E73" w:rsidRPr="004B6827">
        <w:rPr>
          <w:lang w:val="sk-SK" w:eastAsia="sk-SK"/>
        </w:rPr>
        <w:t xml:space="preserve">ACE </w:t>
      </w:r>
      <w:r w:rsidRPr="004B6827">
        <w:rPr>
          <w:lang w:val="sk-SK" w:eastAsia="sk-SK"/>
        </w:rPr>
        <w:t>ukázala, že amlodipín nevedie k zvýšeniu rizika mortality alebo kombinovanej mortality a morbidity pri srdcovom zlyh</w:t>
      </w:r>
      <w:r w:rsidR="008E43E9" w:rsidRPr="004B6827">
        <w:rPr>
          <w:lang w:val="sk-SK" w:eastAsia="sk-SK"/>
        </w:rPr>
        <w:t>ávaní.</w:t>
      </w:r>
    </w:p>
    <w:p w:rsidR="00DD13FC" w:rsidRPr="004B6827" w:rsidRDefault="00DD13FC" w:rsidP="00DD13FC">
      <w:pPr>
        <w:autoSpaceDE w:val="0"/>
        <w:autoSpaceDN w:val="0"/>
        <w:adjustRightInd w:val="0"/>
        <w:spacing w:line="240" w:lineRule="auto"/>
        <w:rPr>
          <w:lang w:val="sk-SK" w:eastAsia="sk-SK"/>
        </w:rPr>
      </w:pPr>
      <w:r w:rsidRPr="004B6827">
        <w:rPr>
          <w:lang w:val="sk-SK" w:eastAsia="sk-SK"/>
        </w:rPr>
        <w:t>V následnej dlhodobej placebom kontrolovanej štúdii (PRAISE</w:t>
      </w:r>
      <w:r w:rsidR="00941C95" w:rsidRPr="004B6827">
        <w:rPr>
          <w:sz w:val="20"/>
          <w:lang w:val="sk-SK"/>
        </w:rPr>
        <w:t xml:space="preserve"> </w:t>
      </w:r>
      <w:r w:rsidR="00941C95" w:rsidRPr="004B6827">
        <w:rPr>
          <w:lang w:val="sk-SK" w:eastAsia="sk-SK"/>
        </w:rPr>
        <w:t>–</w:t>
      </w:r>
      <w:r w:rsidR="00941C95" w:rsidRPr="004B6827">
        <w:rPr>
          <w:sz w:val="20"/>
          <w:lang w:val="sk-SK"/>
        </w:rPr>
        <w:t xml:space="preserve"> </w:t>
      </w:r>
      <w:r w:rsidRPr="004B6827">
        <w:rPr>
          <w:lang w:val="sk-SK" w:eastAsia="sk-SK"/>
        </w:rPr>
        <w:t>2) s amlodipínom u pacientov so srdcov</w:t>
      </w:r>
      <w:r w:rsidR="008E43E9" w:rsidRPr="004B6827">
        <w:rPr>
          <w:lang w:val="sk-SK" w:eastAsia="sk-SK"/>
        </w:rPr>
        <w:t>ým zlyháva</w:t>
      </w:r>
      <w:r w:rsidRPr="004B6827">
        <w:rPr>
          <w:lang w:val="sk-SK" w:eastAsia="sk-SK"/>
        </w:rPr>
        <w:t>ním (NYHA III</w:t>
      </w:r>
      <w:r w:rsidR="008D6CDE" w:rsidRPr="004B6827">
        <w:rPr>
          <w:lang w:val="sk-SK" w:eastAsia="sk-SK"/>
        </w:rPr>
        <w:t>.</w:t>
      </w:r>
      <w:r w:rsidRPr="004B6827">
        <w:rPr>
          <w:lang w:val="sk-SK" w:eastAsia="sk-SK"/>
        </w:rPr>
        <w:t xml:space="preserve"> a</w:t>
      </w:r>
      <w:r w:rsidR="008D6CDE" w:rsidRPr="004B6827">
        <w:rPr>
          <w:lang w:val="sk-SK" w:eastAsia="sk-SK"/>
        </w:rPr>
        <w:t> </w:t>
      </w:r>
      <w:r w:rsidRPr="004B6827">
        <w:rPr>
          <w:lang w:val="sk-SK" w:eastAsia="sk-SK"/>
        </w:rPr>
        <w:t>IV</w:t>
      </w:r>
      <w:r w:rsidR="008D6CDE" w:rsidRPr="004B6827">
        <w:rPr>
          <w:lang w:val="sk-SK" w:eastAsia="sk-SK"/>
        </w:rPr>
        <w:t>.</w:t>
      </w:r>
      <w:r w:rsidRPr="004B6827">
        <w:rPr>
          <w:lang w:val="sk-SK" w:eastAsia="sk-SK"/>
        </w:rPr>
        <w:t xml:space="preserve"> stupňa) bez klinických príznakov alebo objektívnych nálezov sugestívnej alebo </w:t>
      </w:r>
      <w:r w:rsidRPr="004B6827">
        <w:rPr>
          <w:noProof/>
          <w:lang w:val="sk-SK" w:eastAsia="sk-SK"/>
        </w:rPr>
        <w:t xml:space="preserve">základnej </w:t>
      </w:r>
      <w:r w:rsidRPr="004B6827">
        <w:rPr>
          <w:lang w:val="sk-SK" w:eastAsia="sk-SK"/>
        </w:rPr>
        <w:t>ischemickej</w:t>
      </w:r>
      <w:r w:rsidR="00457E73" w:rsidRPr="004B6827">
        <w:rPr>
          <w:lang w:val="sk-SK" w:eastAsia="sk-SK"/>
        </w:rPr>
        <w:t xml:space="preserve"> choroby na stabilných dávkach </w:t>
      </w:r>
      <w:r w:rsidRPr="004B6827">
        <w:rPr>
          <w:lang w:val="sk-SK" w:eastAsia="sk-SK"/>
        </w:rPr>
        <w:t>inhibítorov</w:t>
      </w:r>
      <w:r w:rsidR="00457E73" w:rsidRPr="004B6827">
        <w:rPr>
          <w:lang w:val="sk-SK" w:eastAsia="sk-SK"/>
        </w:rPr>
        <w:t xml:space="preserve"> ACE</w:t>
      </w:r>
      <w:r w:rsidRPr="004B6827">
        <w:rPr>
          <w:lang w:val="sk-SK" w:eastAsia="sk-SK"/>
        </w:rPr>
        <w:t>, digit</w:t>
      </w:r>
      <w:r w:rsidR="00FA3548" w:rsidRPr="004B6827">
        <w:rPr>
          <w:lang w:val="sk-SK" w:eastAsia="sk-SK"/>
        </w:rPr>
        <w:t>á</w:t>
      </w:r>
      <w:r w:rsidRPr="004B6827">
        <w:rPr>
          <w:lang w:val="sk-SK" w:eastAsia="sk-SK"/>
        </w:rPr>
        <w:t xml:space="preserve">lisu </w:t>
      </w:r>
      <w:r w:rsidRPr="004B6827">
        <w:rPr>
          <w:lang w:val="sk-SK" w:eastAsia="sk-SK"/>
        </w:rPr>
        <w:lastRenderedPageBreak/>
        <w:t xml:space="preserve">a diuretík </w:t>
      </w:r>
      <w:r w:rsidR="00941C95" w:rsidRPr="004B6827">
        <w:rPr>
          <w:lang w:val="sk-SK" w:eastAsia="sk-SK"/>
        </w:rPr>
        <w:t xml:space="preserve">nemal </w:t>
      </w:r>
      <w:r w:rsidRPr="004B6827">
        <w:rPr>
          <w:lang w:val="sk-SK" w:eastAsia="sk-SK"/>
        </w:rPr>
        <w:t>amlodipín žiadny vplyv na celkovú kardiovaskulárnu mortalitu. U tejto istej populácie bol amlodipín spojený so zvýšeným počtom hlásení pľúcneho edému.</w:t>
      </w:r>
    </w:p>
    <w:p w:rsidR="00DD13FC" w:rsidRPr="004B6827" w:rsidRDefault="00DD13FC" w:rsidP="00DD13FC">
      <w:pPr>
        <w:autoSpaceDE w:val="0"/>
        <w:autoSpaceDN w:val="0"/>
        <w:adjustRightInd w:val="0"/>
        <w:spacing w:line="240" w:lineRule="auto"/>
        <w:rPr>
          <w:lang w:val="sk-SK" w:eastAsia="sk-SK"/>
        </w:rPr>
      </w:pPr>
    </w:p>
    <w:p w:rsidR="00DD13FC" w:rsidRPr="004B6827" w:rsidRDefault="00DD13FC" w:rsidP="00DD13FC">
      <w:pPr>
        <w:autoSpaceDE w:val="0"/>
        <w:autoSpaceDN w:val="0"/>
        <w:adjustRightInd w:val="0"/>
        <w:spacing w:line="240" w:lineRule="auto"/>
        <w:rPr>
          <w:i/>
          <w:lang w:val="sk-SK" w:eastAsia="sk-SK"/>
        </w:rPr>
      </w:pPr>
      <w:r w:rsidRPr="004B6827">
        <w:rPr>
          <w:i/>
          <w:lang w:val="sk-SK" w:eastAsia="sk-SK"/>
        </w:rPr>
        <w:t>Štúdia liečby za účelom preve</w:t>
      </w:r>
      <w:r w:rsidR="00457E73" w:rsidRPr="004B6827">
        <w:rPr>
          <w:i/>
          <w:lang w:val="sk-SK" w:eastAsia="sk-SK"/>
        </w:rPr>
        <w:t>ncie infarktu myokardu (ALLHAT)</w:t>
      </w:r>
    </w:p>
    <w:p w:rsidR="00DD13FC" w:rsidRPr="004B6827" w:rsidRDefault="00DD13FC" w:rsidP="00DD13FC">
      <w:pPr>
        <w:autoSpaceDE w:val="0"/>
        <w:autoSpaceDN w:val="0"/>
        <w:adjustRightInd w:val="0"/>
        <w:spacing w:line="240" w:lineRule="auto"/>
        <w:rPr>
          <w:lang w:val="sk-SK" w:eastAsia="sk-SK"/>
        </w:rPr>
      </w:pPr>
      <w:r w:rsidRPr="004B6827">
        <w:rPr>
          <w:lang w:val="sk-SK" w:eastAsia="sk-SK"/>
        </w:rPr>
        <w:t xml:space="preserve">Randomizovaná dvojito zaslepená morbiditno-mortalitná štúdia nazvaná Klinické skúšanie zamerané na antihypertenznú a hypolipidemickú liečbu za účelom prevencie infarktu myokardu (ALLHAT = </w:t>
      </w:r>
      <w:r w:rsidR="00941C95" w:rsidRPr="004B6827">
        <w:rPr>
          <w:lang w:val="sk-SK" w:eastAsia="sk-SK"/>
        </w:rPr>
        <w:t>„</w:t>
      </w:r>
      <w:r w:rsidRPr="004B6827">
        <w:rPr>
          <w:lang w:val="sk-SK" w:eastAsia="sk-SK"/>
        </w:rPr>
        <w:t>Antihypertensive and Lipid-Lowering Treatment to Prevent Heart Attack Trial“) bola vykonaná na porovnanie terapie novšími liekmi: amlodipínom 2,5 – 10 mg/deň (blokátor kalciového kanála) alebo lizinoprilom 10 – 40 mg/deň (</w:t>
      </w:r>
      <w:r w:rsidR="00E918A4" w:rsidRPr="004B6827">
        <w:rPr>
          <w:lang w:val="sk-SK" w:eastAsia="sk-SK"/>
        </w:rPr>
        <w:t>inhib</w:t>
      </w:r>
      <w:r w:rsidR="007E6720" w:rsidRPr="004B6827">
        <w:rPr>
          <w:lang w:val="sk-SK" w:eastAsia="sk-SK"/>
        </w:rPr>
        <w:t>í</w:t>
      </w:r>
      <w:r w:rsidR="00E918A4" w:rsidRPr="004B6827">
        <w:rPr>
          <w:lang w:val="sk-SK" w:eastAsia="sk-SK"/>
        </w:rPr>
        <w:t>tor ACE</w:t>
      </w:r>
      <w:r w:rsidRPr="004B6827">
        <w:rPr>
          <w:lang w:val="sk-SK" w:eastAsia="sk-SK"/>
        </w:rPr>
        <w:t>)</w:t>
      </w:r>
      <w:r w:rsidR="00941C95" w:rsidRPr="004B6827">
        <w:rPr>
          <w:lang w:val="sk-SK" w:eastAsia="sk-SK"/>
        </w:rPr>
        <w:t>,</w:t>
      </w:r>
      <w:r w:rsidRPr="004B6827">
        <w:rPr>
          <w:lang w:val="sk-SK" w:eastAsia="sk-SK"/>
        </w:rPr>
        <w:t xml:space="preserve"> ako liekov prvej voľby s liečbou tiazidovým diuretikom, chlórtalidónom 12,5 – 25 mg/deň pri miernej až stredne </w:t>
      </w:r>
      <w:r w:rsidR="00E918A4" w:rsidRPr="004B6827">
        <w:rPr>
          <w:lang w:val="sk-SK" w:eastAsia="sk-SK"/>
        </w:rPr>
        <w:t>ťažk</w:t>
      </w:r>
      <w:r w:rsidRPr="004B6827">
        <w:rPr>
          <w:lang w:val="sk-SK" w:eastAsia="sk-SK"/>
        </w:rPr>
        <w:t xml:space="preserve">ej hypertenzii. </w:t>
      </w:r>
    </w:p>
    <w:p w:rsidR="00DD13FC" w:rsidRPr="004B6827" w:rsidRDefault="00DD13FC" w:rsidP="00DD13FC">
      <w:pPr>
        <w:autoSpaceDE w:val="0"/>
        <w:autoSpaceDN w:val="0"/>
        <w:adjustRightInd w:val="0"/>
        <w:spacing w:line="240" w:lineRule="auto"/>
        <w:rPr>
          <w:lang w:val="sk-SK" w:eastAsia="sk-SK"/>
        </w:rPr>
      </w:pPr>
      <w:r w:rsidRPr="004B6827">
        <w:rPr>
          <w:lang w:val="sk-SK" w:eastAsia="sk-SK"/>
        </w:rPr>
        <w:t xml:space="preserve">Celkovo bolo randomizovaných 33 357 pacientov s hypertenziou vo veku 55 rokov alebo starších, ktorí pokračovali v liečbe v priemere 4,9 roka. Pacienti mali aspoň jeden ďalší rizikový faktor koronárnej choroby srdca (ICHS) vrátane predchádzajúceho infarktu myokardu alebo cievnej mozgovej príhody </w:t>
      </w:r>
      <w:r w:rsidR="001E0185" w:rsidRPr="004B6827">
        <w:rPr>
          <w:lang w:val="sk-SK" w:eastAsia="sk-SK"/>
        </w:rPr>
        <w:t>(</w:t>
      </w:r>
      <w:r w:rsidRPr="004B6827">
        <w:rPr>
          <w:lang w:val="sk-SK" w:eastAsia="sk-SK"/>
        </w:rPr>
        <w:t>&gt; 6 mesiacov pred zaradením</w:t>
      </w:r>
      <w:r w:rsidR="001E0185" w:rsidRPr="004B6827">
        <w:rPr>
          <w:lang w:val="sk-SK" w:eastAsia="sk-SK"/>
        </w:rPr>
        <w:t>)</w:t>
      </w:r>
      <w:r w:rsidRPr="004B6827">
        <w:rPr>
          <w:lang w:val="sk-SK" w:eastAsia="sk-SK"/>
        </w:rPr>
        <w:t xml:space="preserve"> alebo dokumentované iné aterosklerotické kardiovaskulárne ochorenie (celkovo 51,5 %), diabetes 2. typu (36,1 %), HDL-C &lt; 35 mg/dl (11,6 %), hypertrofiu ľavej komory diagnostikovanú pomocou elektrokardiogramu alebo echokardiograficky (20,9 %), fajčenie cigariet v súčasnosti (21,9 %). </w:t>
      </w:r>
    </w:p>
    <w:p w:rsidR="00DD13FC" w:rsidRPr="004B6827" w:rsidRDefault="00DD13FC" w:rsidP="00DD13FC">
      <w:pPr>
        <w:autoSpaceDE w:val="0"/>
        <w:autoSpaceDN w:val="0"/>
        <w:adjustRightInd w:val="0"/>
        <w:spacing w:line="240" w:lineRule="auto"/>
        <w:rPr>
          <w:lang w:val="sk-SK" w:eastAsia="sk-SK"/>
        </w:rPr>
      </w:pPr>
      <w:r w:rsidRPr="004B6827">
        <w:rPr>
          <w:lang w:val="sk-SK" w:eastAsia="sk-SK"/>
        </w:rPr>
        <w:t>Primárny cieľový ukazovateľ bol kombináciou fatálnej ICHS alebo nefatálneho infarktu myokardu. V primárnom cieľovom ukazovateľovi nebol signifikantný rozdiel medzi amlodipínovou liečbou a chlórtalidónovou liečbou: RR 0,98 (95 % CI [0,90–1,07] p = 0,65). Medzi sekundárnymi cieľovými ukazovateľmi bola incidencia srdcového zlyh</w:t>
      </w:r>
      <w:r w:rsidR="008E43E9" w:rsidRPr="004B6827">
        <w:rPr>
          <w:lang w:val="sk-SK" w:eastAsia="sk-SK"/>
        </w:rPr>
        <w:t>áva</w:t>
      </w:r>
      <w:r w:rsidRPr="004B6827">
        <w:rPr>
          <w:lang w:val="sk-SK" w:eastAsia="sk-SK"/>
        </w:rPr>
        <w:t xml:space="preserve">nia (súčasť kompozitného </w:t>
      </w:r>
      <w:r w:rsidR="00AA434B" w:rsidRPr="004B6827">
        <w:rPr>
          <w:lang w:val="sk-SK" w:eastAsia="sk-SK"/>
        </w:rPr>
        <w:t>kombinovaného</w:t>
      </w:r>
      <w:r w:rsidRPr="004B6827">
        <w:rPr>
          <w:lang w:val="sk-SK" w:eastAsia="sk-SK"/>
        </w:rPr>
        <w:t xml:space="preserve"> kardio-vaskulárneho cieľového ukazovateľa) v amlodipínovej skupine v porovnaní s chlórtalidónovou skupinou významne vyššia (10,2 % vs. 7,7 %, RR 1,38, (95 % CI [1,25</w:t>
      </w:r>
      <w:r w:rsidR="00020982" w:rsidRPr="004B6827">
        <w:rPr>
          <w:lang w:val="sk-SK" w:eastAsia="sk-SK"/>
        </w:rPr>
        <w:t xml:space="preserve"> </w:t>
      </w:r>
      <w:r w:rsidRPr="004B6827">
        <w:rPr>
          <w:lang w:val="sk-SK" w:eastAsia="sk-SK"/>
        </w:rPr>
        <w:t>–</w:t>
      </w:r>
      <w:r w:rsidR="00020982" w:rsidRPr="004B6827">
        <w:rPr>
          <w:lang w:val="sk-SK" w:eastAsia="sk-SK"/>
        </w:rPr>
        <w:t xml:space="preserve"> </w:t>
      </w:r>
      <w:r w:rsidRPr="004B6827">
        <w:rPr>
          <w:lang w:val="sk-SK" w:eastAsia="sk-SK"/>
        </w:rPr>
        <w:t xml:space="preserve">1,52] p &lt; 0,001). Nebol však žiadny signifikantný rozdiel v mortalite z akejkoľvek príčiny medzi amlodipínovou liečbou a chlórtalidónovou liečbou: RR 0,96 (95 % CI [0,89 – 1,02] p = 0,20). </w:t>
      </w:r>
    </w:p>
    <w:p w:rsidR="00B00B52" w:rsidRPr="004B6827" w:rsidRDefault="00B00B52" w:rsidP="00F018A6">
      <w:pPr>
        <w:rPr>
          <w:bCs/>
          <w:szCs w:val="22"/>
          <w:lang w:val="sk-SK"/>
        </w:rPr>
      </w:pPr>
    </w:p>
    <w:p w:rsidR="00F018A6" w:rsidRPr="004B6827" w:rsidRDefault="00DA4F76" w:rsidP="00F018A6">
      <w:pPr>
        <w:rPr>
          <w:bCs/>
          <w:szCs w:val="22"/>
          <w:u w:val="single"/>
          <w:lang w:val="sk-SK"/>
        </w:rPr>
      </w:pPr>
      <w:r w:rsidRPr="004B6827">
        <w:rPr>
          <w:bCs/>
          <w:szCs w:val="22"/>
          <w:u w:val="single"/>
          <w:lang w:val="sk-SK"/>
        </w:rPr>
        <w:t>Pediatrická populácia</w:t>
      </w:r>
    </w:p>
    <w:p w:rsidR="00DA4F76" w:rsidRPr="004B6827" w:rsidRDefault="00DA4F76" w:rsidP="00F018A6">
      <w:pPr>
        <w:rPr>
          <w:bCs/>
          <w:szCs w:val="22"/>
          <w:lang w:val="sk-SK"/>
        </w:rPr>
      </w:pPr>
      <w:r w:rsidRPr="004B6827">
        <w:rPr>
          <w:bCs/>
          <w:szCs w:val="22"/>
          <w:lang w:val="sk-SK"/>
        </w:rPr>
        <w:t xml:space="preserve">K dispozícii nie sú žiadne údaje o </w:t>
      </w:r>
      <w:r w:rsidR="003B2800" w:rsidRPr="004B6827">
        <w:rPr>
          <w:bCs/>
          <w:szCs w:val="22"/>
          <w:lang w:val="sk-SK"/>
        </w:rPr>
        <w:t>p</w:t>
      </w:r>
      <w:r w:rsidRPr="004B6827">
        <w:rPr>
          <w:bCs/>
          <w:szCs w:val="22"/>
          <w:lang w:val="sk-SK"/>
        </w:rPr>
        <w:t xml:space="preserve">oužití </w:t>
      </w:r>
      <w:r w:rsidR="00212A25" w:rsidRPr="004B6827">
        <w:rPr>
          <w:bCs/>
          <w:szCs w:val="22"/>
          <w:lang w:val="sk-SK"/>
        </w:rPr>
        <w:t>Lipertance</w:t>
      </w:r>
      <w:r w:rsidRPr="004B6827">
        <w:rPr>
          <w:bCs/>
          <w:szCs w:val="22"/>
          <w:lang w:val="sk-SK"/>
        </w:rPr>
        <w:t xml:space="preserve"> u detí.</w:t>
      </w:r>
    </w:p>
    <w:p w:rsidR="00F018A6" w:rsidRPr="004B6827" w:rsidRDefault="00706742" w:rsidP="000F4A9B">
      <w:pPr>
        <w:rPr>
          <w:szCs w:val="22"/>
          <w:lang w:val="sk-SK"/>
        </w:rPr>
      </w:pPr>
      <w:r w:rsidRPr="004B6827">
        <w:rPr>
          <w:szCs w:val="22"/>
          <w:lang w:val="sk-SK"/>
        </w:rPr>
        <w:t>Európska agentúra pre lieky udelila výnimku z povinnosti predložiť výsledky štúdií s </w:t>
      </w:r>
      <w:r w:rsidR="00212A25" w:rsidRPr="004B6827">
        <w:rPr>
          <w:szCs w:val="22"/>
          <w:lang w:val="sk-SK"/>
        </w:rPr>
        <w:t>Lipertance</w:t>
      </w:r>
      <w:r w:rsidRPr="004B6827">
        <w:rPr>
          <w:szCs w:val="22"/>
          <w:lang w:val="sk-SK"/>
        </w:rPr>
        <w:t xml:space="preserve"> vo všetkých podskupinách pediatrickej populácie pre liečbu ischemickej choroby srdca, hypertenzie a zvýšeného cholesterolu (informácie o použití v pediatrickej populácii, pozri časť 4.2).</w:t>
      </w:r>
    </w:p>
    <w:p w:rsidR="000A61C0" w:rsidRPr="004B6827" w:rsidRDefault="000A61C0" w:rsidP="000F4A9B">
      <w:pPr>
        <w:rPr>
          <w:szCs w:val="22"/>
          <w:lang w:val="sk-SK"/>
        </w:rPr>
      </w:pPr>
    </w:p>
    <w:p w:rsidR="000F4A9B" w:rsidRPr="004B6827" w:rsidRDefault="000F4A9B" w:rsidP="000F4A9B">
      <w:pPr>
        <w:rPr>
          <w:szCs w:val="22"/>
          <w:lang w:val="sk-SK"/>
        </w:rPr>
      </w:pPr>
      <w:r w:rsidRPr="004B6827">
        <w:rPr>
          <w:b/>
          <w:szCs w:val="22"/>
          <w:lang w:val="sk-SK"/>
        </w:rPr>
        <w:t>5.2</w:t>
      </w:r>
      <w:r w:rsidRPr="004B6827">
        <w:rPr>
          <w:b/>
          <w:szCs w:val="22"/>
          <w:lang w:val="sk-SK"/>
        </w:rPr>
        <w:tab/>
        <w:t>Farmakokinetické vlastnosti</w:t>
      </w:r>
    </w:p>
    <w:p w:rsidR="000F4A9B" w:rsidRPr="004B6827" w:rsidRDefault="000F4A9B" w:rsidP="000F4A9B">
      <w:pPr>
        <w:tabs>
          <w:tab w:val="clear" w:pos="567"/>
        </w:tabs>
        <w:rPr>
          <w:szCs w:val="22"/>
          <w:lang w:val="sk-SK"/>
        </w:rPr>
      </w:pPr>
    </w:p>
    <w:p w:rsidR="000F4A9B" w:rsidRPr="004B6827" w:rsidRDefault="00292CF5" w:rsidP="000F4A9B">
      <w:pPr>
        <w:rPr>
          <w:szCs w:val="22"/>
          <w:lang w:val="sk-SK"/>
        </w:rPr>
      </w:pPr>
      <w:r w:rsidRPr="004B6827">
        <w:rPr>
          <w:szCs w:val="22"/>
          <w:lang w:val="sk-SK"/>
        </w:rPr>
        <w:t>V liekovej interakčnej štúdii u zdravých jedincov viedlo súbežné podávanie atorvastatínu 40 mg, perindoprilu arginínu 10 mg a amlodipínu 10 mg k 23 % zvýšeniu AUC atorvastatínu, ktoré nie je klinicky významné. Maximálna koncentrácia perindoprilu sa zvýšila asi o 19 %, ale farmakokinetika aktívneho metabolitu perindoprilátu nebola ovplyvnená.</w:t>
      </w:r>
      <w:r w:rsidR="003B2800" w:rsidRPr="004B6827">
        <w:rPr>
          <w:szCs w:val="22"/>
          <w:lang w:val="sk-SK"/>
        </w:rPr>
        <w:t xml:space="preserve"> </w:t>
      </w:r>
      <w:r w:rsidRPr="004B6827">
        <w:rPr>
          <w:szCs w:val="22"/>
          <w:lang w:val="sk-SK"/>
        </w:rPr>
        <w:t>Miera a rozsah absorpcie amlodipínu pri súbežnom podaní s atorvastatínom a perindoprilom neboli významne odlišné od miery a absor</w:t>
      </w:r>
      <w:r w:rsidR="003B2800" w:rsidRPr="004B6827">
        <w:rPr>
          <w:szCs w:val="22"/>
          <w:lang w:val="sk-SK"/>
        </w:rPr>
        <w:t>p</w:t>
      </w:r>
      <w:r w:rsidRPr="004B6827">
        <w:rPr>
          <w:szCs w:val="22"/>
          <w:lang w:val="sk-SK"/>
        </w:rPr>
        <w:t>cie amlodipínu, keď sa užije samostatne.</w:t>
      </w:r>
    </w:p>
    <w:p w:rsidR="000F4A9B" w:rsidRPr="004B6827" w:rsidRDefault="000F4A9B" w:rsidP="000F4A9B">
      <w:pPr>
        <w:rPr>
          <w:szCs w:val="22"/>
          <w:lang w:val="sk-SK"/>
        </w:rPr>
      </w:pPr>
    </w:p>
    <w:p w:rsidR="00292CF5" w:rsidRPr="004B6827" w:rsidRDefault="00292CF5" w:rsidP="000F4A9B">
      <w:pPr>
        <w:rPr>
          <w:b/>
          <w:i/>
          <w:szCs w:val="22"/>
          <w:lang w:val="sk-SK"/>
        </w:rPr>
      </w:pPr>
      <w:r w:rsidRPr="004B6827">
        <w:rPr>
          <w:b/>
          <w:i/>
          <w:szCs w:val="22"/>
          <w:lang w:val="sk-SK"/>
        </w:rPr>
        <w:t>Atorvastatín</w:t>
      </w:r>
    </w:p>
    <w:p w:rsidR="00292CF5" w:rsidRPr="004B6827" w:rsidRDefault="00292CF5" w:rsidP="000F4A9B">
      <w:pPr>
        <w:rPr>
          <w:szCs w:val="22"/>
          <w:lang w:val="sk-SK"/>
        </w:rPr>
      </w:pPr>
    </w:p>
    <w:p w:rsidR="000F4A9B" w:rsidRPr="004B6827" w:rsidRDefault="000F4A9B" w:rsidP="000F4A9B">
      <w:pPr>
        <w:rPr>
          <w:szCs w:val="22"/>
          <w:u w:val="single"/>
          <w:lang w:val="sk-SK"/>
        </w:rPr>
      </w:pPr>
      <w:r w:rsidRPr="004B6827">
        <w:rPr>
          <w:szCs w:val="22"/>
          <w:u w:val="single"/>
          <w:lang w:val="sk-SK"/>
        </w:rPr>
        <w:t>A</w:t>
      </w:r>
      <w:r w:rsidR="00292CF5" w:rsidRPr="004B6827">
        <w:rPr>
          <w:szCs w:val="22"/>
          <w:u w:val="single"/>
          <w:lang w:val="sk-SK"/>
        </w:rPr>
        <w:t>bsorpcia</w:t>
      </w:r>
    </w:p>
    <w:p w:rsidR="00D50797" w:rsidRPr="004B6827" w:rsidRDefault="00D50797" w:rsidP="000F4A9B">
      <w:pPr>
        <w:rPr>
          <w:szCs w:val="22"/>
          <w:lang w:val="sk-SK"/>
        </w:rPr>
      </w:pPr>
      <w:r w:rsidRPr="004B6827">
        <w:rPr>
          <w:szCs w:val="22"/>
          <w:lang w:val="sk-SK"/>
        </w:rPr>
        <w:t>Atorvastatín sa po perorálnom podaní rýchlo absorbuje; maximálne plazmatické koncentrácie (C</w:t>
      </w:r>
      <w:r w:rsidRPr="004B6827">
        <w:rPr>
          <w:szCs w:val="22"/>
          <w:vertAlign w:val="subscript"/>
          <w:lang w:val="sk-SK"/>
        </w:rPr>
        <w:t>max</w:t>
      </w:r>
      <w:r w:rsidRPr="004B6827">
        <w:rPr>
          <w:szCs w:val="22"/>
          <w:lang w:val="sk-SK"/>
        </w:rPr>
        <w:t>) sa dosiahnu do 1 – 2 hodín. Miera absorpcie vzrastá proporcionálne s dávkou atorvastatínu. Po perorálnom podaní majú filmom obalené tablety atorvastatínu v porovnaní s perorálnym roztokom 95 – 99% biologickú dostupnosť. Absolútna biologická dostupnosť atorvastatínu je približne 12 % a systémovo dosiahnuteľná inhibičná aktivita HMG</w:t>
      </w:r>
      <w:r w:rsidR="00020982" w:rsidRPr="004B6827">
        <w:rPr>
          <w:szCs w:val="22"/>
          <w:lang w:val="sk-SK"/>
        </w:rPr>
        <w:t>-</w:t>
      </w:r>
      <w:r w:rsidRPr="004B6827">
        <w:rPr>
          <w:szCs w:val="22"/>
          <w:lang w:val="sk-SK"/>
        </w:rPr>
        <w:t xml:space="preserve">CoA reduktázy je asi 30 %. Nízka systémová dostupnosť býva pripisovaná presystémovému klírensu na sliznici GIT a/alebo tzv. </w:t>
      </w:r>
      <w:r w:rsidR="00020982" w:rsidRPr="004B6827">
        <w:rPr>
          <w:szCs w:val="22"/>
          <w:lang w:val="sk-SK"/>
        </w:rPr>
        <w:t>„</w:t>
      </w:r>
      <w:r w:rsidRPr="004B6827">
        <w:rPr>
          <w:szCs w:val="22"/>
          <w:lang w:val="sk-SK"/>
        </w:rPr>
        <w:t>first</w:t>
      </w:r>
      <w:r w:rsidRPr="004B6827">
        <w:rPr>
          <w:szCs w:val="22"/>
          <w:lang w:val="sk-SK"/>
        </w:rPr>
        <w:noBreakHyphen/>
        <w:t>pass“ metabolizmu v pečeni.</w:t>
      </w:r>
    </w:p>
    <w:p w:rsidR="000F4A9B" w:rsidRPr="004B6827" w:rsidRDefault="000F4A9B" w:rsidP="000F4A9B">
      <w:pPr>
        <w:rPr>
          <w:szCs w:val="22"/>
          <w:lang w:val="sk-SK"/>
        </w:rPr>
      </w:pPr>
    </w:p>
    <w:p w:rsidR="000F4A9B" w:rsidRPr="004B6827" w:rsidRDefault="000F4A9B" w:rsidP="000F4A9B">
      <w:pPr>
        <w:rPr>
          <w:szCs w:val="22"/>
          <w:lang w:val="sk-SK"/>
        </w:rPr>
      </w:pPr>
      <w:r w:rsidRPr="004B6827">
        <w:rPr>
          <w:szCs w:val="22"/>
          <w:u w:val="single"/>
          <w:lang w:val="sk-SK"/>
        </w:rPr>
        <w:t>Distribúcia</w:t>
      </w:r>
    </w:p>
    <w:p w:rsidR="00204DAC" w:rsidRPr="004B6827" w:rsidRDefault="00204DAC" w:rsidP="00204DAC">
      <w:pPr>
        <w:rPr>
          <w:szCs w:val="22"/>
          <w:lang w:val="sk-SK"/>
        </w:rPr>
      </w:pPr>
      <w:r w:rsidRPr="004B6827">
        <w:rPr>
          <w:szCs w:val="22"/>
          <w:lang w:val="sk-SK"/>
        </w:rPr>
        <w:lastRenderedPageBreak/>
        <w:t xml:space="preserve">Priemerný distribučný objem atorvastatínu je približne </w:t>
      </w:r>
      <w:smartTag w:uri="urn:schemas-microsoft-com:office:smarttags" w:element="metricconverter">
        <w:smartTagPr>
          <w:attr w:name="ProductID" w:val="381ﾠl"/>
        </w:smartTagPr>
        <w:r w:rsidRPr="004B6827">
          <w:rPr>
            <w:szCs w:val="22"/>
            <w:lang w:val="sk-SK"/>
          </w:rPr>
          <w:t>381 l</w:t>
        </w:r>
      </w:smartTag>
      <w:r w:rsidRPr="004B6827">
        <w:rPr>
          <w:szCs w:val="22"/>
          <w:lang w:val="sk-SK"/>
        </w:rPr>
        <w:t>. Atorvastatín je z </w:t>
      </w:r>
      <w:r w:rsidRPr="004B6827">
        <w:rPr>
          <w:szCs w:val="22"/>
          <w:lang w:val="sk-SK"/>
        </w:rPr>
        <w:sym w:font="Symbol" w:char="F0B3"/>
      </w:r>
      <w:r w:rsidRPr="004B6827">
        <w:rPr>
          <w:szCs w:val="22"/>
          <w:lang w:val="sk-SK"/>
        </w:rPr>
        <w:t> 98 % viazaný na plazmatické bielkoviny.</w:t>
      </w:r>
    </w:p>
    <w:p w:rsidR="000F4A9B" w:rsidRPr="00275323" w:rsidRDefault="000F4A9B" w:rsidP="000F4A9B">
      <w:pPr>
        <w:rPr>
          <w:szCs w:val="22"/>
          <w:lang w:val="sk-SK"/>
        </w:rPr>
      </w:pPr>
    </w:p>
    <w:p w:rsidR="000F4A9B" w:rsidRPr="004B6827" w:rsidRDefault="000F4A9B" w:rsidP="000F4A9B">
      <w:pPr>
        <w:rPr>
          <w:szCs w:val="22"/>
          <w:lang w:val="sk-SK"/>
        </w:rPr>
      </w:pPr>
      <w:r w:rsidRPr="004B6827">
        <w:rPr>
          <w:szCs w:val="22"/>
          <w:u w:val="single"/>
          <w:lang w:val="sk-SK"/>
        </w:rPr>
        <w:t>Biotransformácia</w:t>
      </w:r>
    </w:p>
    <w:p w:rsidR="00204DAC" w:rsidRPr="004B6827" w:rsidRDefault="00204DAC" w:rsidP="000F4A9B">
      <w:pPr>
        <w:rPr>
          <w:szCs w:val="22"/>
          <w:lang w:val="sk-SK"/>
        </w:rPr>
      </w:pPr>
      <w:r w:rsidRPr="004B6827">
        <w:rPr>
          <w:szCs w:val="22"/>
          <w:lang w:val="sk-SK"/>
        </w:rPr>
        <w:t>Atorvastatín je metabolizovaný cytochrómom P450 3A4 na orto</w:t>
      </w:r>
      <w:r w:rsidR="00530481" w:rsidRPr="004B6827">
        <w:rPr>
          <w:szCs w:val="22"/>
          <w:lang w:val="sk-SK"/>
        </w:rPr>
        <w:t>-</w:t>
      </w:r>
      <w:r w:rsidRPr="004B6827">
        <w:rPr>
          <w:szCs w:val="22"/>
          <w:lang w:val="sk-SK"/>
        </w:rPr>
        <w:t xml:space="preserve"> a parahydroxylové deriváty a rôzne betaoxidačné produkty. Okrem iných ciest sú tieto produkty ďalej metabolizované glukuronidáciou. </w:t>
      </w:r>
      <w:r w:rsidRPr="004B6827">
        <w:rPr>
          <w:i/>
          <w:szCs w:val="22"/>
          <w:lang w:val="sk-SK"/>
        </w:rPr>
        <w:t>In vitro</w:t>
      </w:r>
      <w:r w:rsidRPr="004B6827">
        <w:rPr>
          <w:szCs w:val="22"/>
          <w:lang w:val="sk-SK"/>
        </w:rPr>
        <w:t xml:space="preserve"> je inhibícia HMG</w:t>
      </w:r>
      <w:r w:rsidR="006D7185" w:rsidRPr="004B6827">
        <w:rPr>
          <w:szCs w:val="22"/>
          <w:lang w:val="sk-SK"/>
        </w:rPr>
        <w:t>-</w:t>
      </w:r>
      <w:r w:rsidRPr="004B6827">
        <w:rPr>
          <w:szCs w:val="22"/>
          <w:lang w:val="sk-SK"/>
        </w:rPr>
        <w:t>CoA reduktázy orto</w:t>
      </w:r>
      <w:r w:rsidR="00530481" w:rsidRPr="004B6827">
        <w:rPr>
          <w:szCs w:val="22"/>
          <w:lang w:val="sk-SK"/>
        </w:rPr>
        <w:t>-</w:t>
      </w:r>
      <w:r w:rsidRPr="004B6827">
        <w:rPr>
          <w:szCs w:val="22"/>
          <w:lang w:val="sk-SK"/>
        </w:rPr>
        <w:t xml:space="preserve"> a parahydroxylovými metabolitmi ekvivalentná inhibícii atorvastatínom. Približne 70 % cirkulujúcej inhibičnej aktivity HMG</w:t>
      </w:r>
      <w:r w:rsidR="006D7185" w:rsidRPr="004B6827">
        <w:rPr>
          <w:szCs w:val="22"/>
          <w:lang w:val="sk-SK"/>
        </w:rPr>
        <w:t>-</w:t>
      </w:r>
      <w:r w:rsidRPr="004B6827">
        <w:rPr>
          <w:szCs w:val="22"/>
          <w:lang w:val="sk-SK"/>
        </w:rPr>
        <w:t>CoA reduktázy sa pripisuje biologicky aktívnym metabolitom.</w:t>
      </w:r>
    </w:p>
    <w:p w:rsidR="00204DAC" w:rsidRPr="004B6827" w:rsidRDefault="00204DAC" w:rsidP="000F4A9B">
      <w:pPr>
        <w:rPr>
          <w:szCs w:val="22"/>
          <w:lang w:val="sk-SK"/>
        </w:rPr>
      </w:pPr>
    </w:p>
    <w:p w:rsidR="000F4A9B" w:rsidRPr="004B6827" w:rsidRDefault="000F4A9B" w:rsidP="000F4A9B">
      <w:pPr>
        <w:rPr>
          <w:szCs w:val="22"/>
          <w:lang w:val="sk-SK"/>
        </w:rPr>
      </w:pPr>
      <w:r w:rsidRPr="004B6827">
        <w:rPr>
          <w:szCs w:val="22"/>
          <w:u w:val="single"/>
          <w:lang w:val="sk-SK"/>
        </w:rPr>
        <w:t>Eliminácia</w:t>
      </w:r>
    </w:p>
    <w:p w:rsidR="000F4A9B" w:rsidRPr="004B6827" w:rsidRDefault="00204DAC" w:rsidP="000F4A9B">
      <w:pPr>
        <w:rPr>
          <w:szCs w:val="22"/>
          <w:lang w:val="sk-SK"/>
        </w:rPr>
      </w:pPr>
      <w:r w:rsidRPr="004B6827">
        <w:rPr>
          <w:szCs w:val="22"/>
          <w:lang w:val="sk-SK"/>
        </w:rPr>
        <w:t xml:space="preserve">Atorvastatín sa primárne vylučuje žlčou po hepatálnej a/alebo extrahepatálnej metabolizácii. Nezdá sa však, že by liek prechádzal významnou enterohepatálnou recirkuláciou. </w:t>
      </w:r>
      <w:r w:rsidR="000B2556" w:rsidRPr="004B6827">
        <w:rPr>
          <w:szCs w:val="22"/>
          <w:lang w:val="sk-SK"/>
        </w:rPr>
        <w:t>Priemerný</w:t>
      </w:r>
      <w:r w:rsidRPr="004B6827">
        <w:rPr>
          <w:szCs w:val="22"/>
          <w:lang w:val="sk-SK"/>
        </w:rPr>
        <w:t xml:space="preserve"> eliminačný polčas atorvastatínu v plazme je u človeka približne 14 h. Polčas inhibičnej aktivity HMG</w:t>
      </w:r>
      <w:r w:rsidR="006B31C1" w:rsidRPr="004B6827">
        <w:rPr>
          <w:szCs w:val="22"/>
          <w:lang w:val="sk-SK"/>
        </w:rPr>
        <w:t>-</w:t>
      </w:r>
      <w:r w:rsidRPr="004B6827">
        <w:rPr>
          <w:szCs w:val="22"/>
          <w:lang w:val="sk-SK"/>
        </w:rPr>
        <w:t>CoA reduktázy je asi 20 až 30 h vzhľadom na prí</w:t>
      </w:r>
      <w:r w:rsidR="008F07F5" w:rsidRPr="004B6827">
        <w:rPr>
          <w:szCs w:val="22"/>
          <w:lang w:val="sk-SK"/>
        </w:rPr>
        <w:t>nos</w:t>
      </w:r>
      <w:r w:rsidRPr="004B6827">
        <w:rPr>
          <w:szCs w:val="22"/>
          <w:lang w:val="sk-SK"/>
        </w:rPr>
        <w:t xml:space="preserve"> aktívnych metabolitov.</w:t>
      </w:r>
    </w:p>
    <w:p w:rsidR="000F4A9B" w:rsidRPr="004B6827" w:rsidRDefault="000F4A9B" w:rsidP="000F4A9B">
      <w:pPr>
        <w:rPr>
          <w:szCs w:val="22"/>
          <w:u w:val="single"/>
          <w:lang w:val="sk-SK"/>
        </w:rPr>
      </w:pPr>
    </w:p>
    <w:p w:rsidR="000F4A9B" w:rsidRPr="004B6827" w:rsidRDefault="004258CF" w:rsidP="000F4A9B">
      <w:pPr>
        <w:rPr>
          <w:szCs w:val="22"/>
          <w:lang w:val="sk-SK"/>
        </w:rPr>
      </w:pPr>
      <w:r w:rsidRPr="004B6827">
        <w:rPr>
          <w:szCs w:val="22"/>
          <w:u w:val="single"/>
          <w:lang w:val="sk-SK"/>
        </w:rPr>
        <w:t>Osobitné populácie</w:t>
      </w:r>
    </w:p>
    <w:p w:rsidR="00B0208D" w:rsidRPr="004B6827" w:rsidRDefault="00B0208D" w:rsidP="00B0208D">
      <w:pPr>
        <w:tabs>
          <w:tab w:val="num" w:pos="-426"/>
          <w:tab w:val="num" w:pos="360"/>
        </w:tabs>
        <w:rPr>
          <w:szCs w:val="22"/>
          <w:lang w:val="sk-SK"/>
        </w:rPr>
      </w:pPr>
      <w:r w:rsidRPr="004B6827">
        <w:rPr>
          <w:i/>
          <w:szCs w:val="22"/>
          <w:lang w:val="sk-SK"/>
        </w:rPr>
        <w:t xml:space="preserve">Starší ľudia: </w:t>
      </w:r>
      <w:r w:rsidRPr="004B6827">
        <w:rPr>
          <w:szCs w:val="22"/>
          <w:lang w:val="sk-SK"/>
        </w:rPr>
        <w:t xml:space="preserve">Plazmatické koncentrácie atorvastatínu a jeho aktívnych metabolitov sú vyššie u zdravých starších jedincov ako u mladých dospelých osôb, pričom účinky na lipidy boli porovnateľné s účinkami </w:t>
      </w:r>
      <w:r w:rsidR="008F07F5" w:rsidRPr="004B6827">
        <w:rPr>
          <w:szCs w:val="22"/>
          <w:lang w:val="sk-SK"/>
        </w:rPr>
        <w:t>v</w:t>
      </w:r>
      <w:r w:rsidRPr="004B6827">
        <w:rPr>
          <w:szCs w:val="22"/>
          <w:lang w:val="sk-SK"/>
        </w:rPr>
        <w:t> populáci</w:t>
      </w:r>
      <w:r w:rsidR="008F07F5" w:rsidRPr="004B6827">
        <w:rPr>
          <w:szCs w:val="22"/>
          <w:lang w:val="sk-SK"/>
        </w:rPr>
        <w:t>i</w:t>
      </w:r>
      <w:r w:rsidRPr="004B6827">
        <w:rPr>
          <w:szCs w:val="22"/>
          <w:lang w:val="sk-SK"/>
        </w:rPr>
        <w:t xml:space="preserve"> mladších pacientov.</w:t>
      </w:r>
    </w:p>
    <w:p w:rsidR="00B0208D" w:rsidRPr="004B6827" w:rsidRDefault="00B0208D" w:rsidP="00B0208D">
      <w:pPr>
        <w:tabs>
          <w:tab w:val="num" w:pos="-426"/>
          <w:tab w:val="num" w:pos="360"/>
        </w:tabs>
        <w:rPr>
          <w:szCs w:val="22"/>
          <w:lang w:val="sk-SK"/>
        </w:rPr>
      </w:pPr>
      <w:r w:rsidRPr="004B6827">
        <w:rPr>
          <w:i/>
          <w:szCs w:val="22"/>
          <w:lang w:val="sk-SK"/>
        </w:rPr>
        <w:t xml:space="preserve">Pohlavie: </w:t>
      </w:r>
      <w:r w:rsidRPr="004B6827">
        <w:rPr>
          <w:szCs w:val="22"/>
          <w:lang w:val="sk-SK"/>
        </w:rPr>
        <w:t>Koncentrácie atorvastatínu a jeho aktívnych metabolitov u žien sa líšia od koncentrácií u mužov (ženy: približne o 20 % vyššie C</w:t>
      </w:r>
      <w:r w:rsidRPr="004B6827">
        <w:rPr>
          <w:szCs w:val="22"/>
          <w:vertAlign w:val="subscript"/>
          <w:lang w:val="sk-SK"/>
        </w:rPr>
        <w:t>max</w:t>
      </w:r>
      <w:r w:rsidRPr="004B6827">
        <w:rPr>
          <w:szCs w:val="22"/>
          <w:lang w:val="sk-SK"/>
        </w:rPr>
        <w:t xml:space="preserve"> a o 10 % nižšia hodnota AUC). Tieto rozdiely nie sú klinicky významné a nemajú za následok žiadne klinicky významné rozdiely v účinku na lipidy medzi mužmi a ženami.</w:t>
      </w:r>
    </w:p>
    <w:p w:rsidR="00B0208D" w:rsidRPr="004B6827" w:rsidRDefault="00B0208D" w:rsidP="00B0208D">
      <w:pPr>
        <w:tabs>
          <w:tab w:val="num" w:pos="-426"/>
          <w:tab w:val="num" w:pos="360"/>
        </w:tabs>
        <w:rPr>
          <w:szCs w:val="22"/>
          <w:lang w:val="sk-SK"/>
        </w:rPr>
      </w:pPr>
      <w:r w:rsidRPr="004B6827">
        <w:rPr>
          <w:i/>
          <w:szCs w:val="22"/>
          <w:lang w:val="sk-SK"/>
        </w:rPr>
        <w:t xml:space="preserve">Pacienti s poruchou funkcie obličiek: </w:t>
      </w:r>
      <w:r w:rsidRPr="004B6827">
        <w:rPr>
          <w:szCs w:val="22"/>
          <w:lang w:val="sk-SK"/>
        </w:rPr>
        <w:t>Ochorenie obličiek nemá vplyv na plazmatické koncentrácie alebo účinky atorvastatínu a jeho aktívnych metabolitov na lipidy.</w:t>
      </w:r>
    </w:p>
    <w:p w:rsidR="00B0208D" w:rsidRPr="004B6827" w:rsidRDefault="00B0208D" w:rsidP="00B0208D">
      <w:pPr>
        <w:tabs>
          <w:tab w:val="num" w:pos="-426"/>
          <w:tab w:val="num" w:pos="360"/>
        </w:tabs>
        <w:rPr>
          <w:i/>
          <w:szCs w:val="22"/>
          <w:lang w:val="sk-SK"/>
        </w:rPr>
      </w:pPr>
      <w:r w:rsidRPr="004B6827">
        <w:rPr>
          <w:i/>
          <w:szCs w:val="22"/>
          <w:lang w:val="sk-SK"/>
        </w:rPr>
        <w:t xml:space="preserve">Pacienti s poruchou funkcie pečene: </w:t>
      </w:r>
      <w:r w:rsidRPr="004B6827">
        <w:rPr>
          <w:szCs w:val="22"/>
          <w:lang w:val="sk-SK"/>
        </w:rPr>
        <w:t>Plazmatické koncentrácie atorvastatínu a jeho aktívnych metabolitov sú výrazne zvýšené (asi 16</w:t>
      </w:r>
      <w:r w:rsidR="00977C6D" w:rsidRPr="004B6827">
        <w:rPr>
          <w:szCs w:val="22"/>
          <w:lang w:val="sk-SK"/>
        </w:rPr>
        <w:t>-</w:t>
      </w:r>
      <w:r w:rsidRPr="004B6827">
        <w:rPr>
          <w:szCs w:val="22"/>
          <w:lang w:val="sk-SK"/>
        </w:rPr>
        <w:t>násobne u C</w:t>
      </w:r>
      <w:r w:rsidRPr="004B6827">
        <w:rPr>
          <w:szCs w:val="22"/>
          <w:vertAlign w:val="subscript"/>
          <w:lang w:val="sk-SK"/>
        </w:rPr>
        <w:t>max</w:t>
      </w:r>
      <w:r w:rsidRPr="004B6827">
        <w:rPr>
          <w:szCs w:val="22"/>
          <w:lang w:val="sk-SK"/>
        </w:rPr>
        <w:t xml:space="preserve"> a asi 11</w:t>
      </w:r>
      <w:r w:rsidR="00977C6D" w:rsidRPr="004B6827">
        <w:rPr>
          <w:szCs w:val="22"/>
          <w:lang w:val="sk-SK"/>
        </w:rPr>
        <w:t>-</w:t>
      </w:r>
      <w:r w:rsidRPr="004B6827">
        <w:rPr>
          <w:szCs w:val="22"/>
          <w:lang w:val="sk-SK"/>
        </w:rPr>
        <w:t xml:space="preserve">násobne u AUC) u pacientov s chronickou alkoholickou </w:t>
      </w:r>
      <w:r w:rsidR="008164EB" w:rsidRPr="004B6827">
        <w:rPr>
          <w:szCs w:val="22"/>
          <w:lang w:val="sk-SK"/>
        </w:rPr>
        <w:t>ch</w:t>
      </w:r>
      <w:r w:rsidR="003A67B0" w:rsidRPr="004B6827">
        <w:rPr>
          <w:szCs w:val="22"/>
          <w:lang w:val="sk-SK"/>
        </w:rPr>
        <w:t>orobou</w:t>
      </w:r>
      <w:r w:rsidRPr="004B6827">
        <w:rPr>
          <w:szCs w:val="22"/>
          <w:lang w:val="sk-SK"/>
        </w:rPr>
        <w:t xml:space="preserve"> pečene (stupeň B Childovej</w:t>
      </w:r>
      <w:r w:rsidR="00977C6D" w:rsidRPr="004B6827">
        <w:rPr>
          <w:szCs w:val="22"/>
          <w:lang w:val="sk-SK"/>
        </w:rPr>
        <w:t>-</w:t>
      </w:r>
      <w:r w:rsidRPr="004B6827">
        <w:rPr>
          <w:szCs w:val="22"/>
          <w:lang w:val="sk-SK"/>
        </w:rPr>
        <w:t>Pughovej klasifikácie)</w:t>
      </w:r>
      <w:r w:rsidR="00671A6E" w:rsidRPr="004B6827">
        <w:rPr>
          <w:szCs w:val="22"/>
          <w:lang w:val="sk-SK"/>
        </w:rPr>
        <w:t>.</w:t>
      </w:r>
    </w:p>
    <w:p w:rsidR="00B0208D" w:rsidRPr="004B6827" w:rsidRDefault="00671A6E" w:rsidP="00B0208D">
      <w:pPr>
        <w:tabs>
          <w:tab w:val="num" w:pos="-426"/>
          <w:tab w:val="num" w:pos="360"/>
        </w:tabs>
        <w:rPr>
          <w:szCs w:val="22"/>
          <w:lang w:val="sk-SK"/>
        </w:rPr>
      </w:pPr>
      <w:r w:rsidRPr="004B6827">
        <w:rPr>
          <w:i/>
          <w:color w:val="000000"/>
          <w:szCs w:val="22"/>
          <w:lang w:val="sk-SK"/>
        </w:rPr>
        <w:t xml:space="preserve">Polymorfizmus SLOC1B1: </w:t>
      </w:r>
      <w:r w:rsidRPr="004B6827">
        <w:rPr>
          <w:color w:val="000000"/>
          <w:szCs w:val="22"/>
          <w:lang w:val="sk-SK"/>
        </w:rPr>
        <w:t xml:space="preserve">Na hepatálnom vychytávaní všetkých inhibítorov </w:t>
      </w:r>
      <w:r w:rsidRPr="004B6827">
        <w:rPr>
          <w:bCs/>
          <w:szCs w:val="22"/>
          <w:lang w:val="sk-SK"/>
        </w:rPr>
        <w:t>HMG</w:t>
      </w:r>
      <w:r w:rsidR="00020982" w:rsidRPr="004B6827">
        <w:rPr>
          <w:bCs/>
          <w:szCs w:val="22"/>
          <w:lang w:val="sk-SK"/>
        </w:rPr>
        <w:t>-</w:t>
      </w:r>
      <w:r w:rsidRPr="004B6827">
        <w:rPr>
          <w:bCs/>
          <w:szCs w:val="22"/>
          <w:lang w:val="sk-SK"/>
        </w:rPr>
        <w:t xml:space="preserve">CoA reduktázy </w:t>
      </w:r>
      <w:r w:rsidRPr="004B6827">
        <w:rPr>
          <w:color w:val="000000"/>
          <w:szCs w:val="22"/>
          <w:lang w:val="sk-SK"/>
        </w:rPr>
        <w:t>vrátane atorvastatínu</w:t>
      </w:r>
      <w:r w:rsidRPr="004B6827">
        <w:rPr>
          <w:bCs/>
          <w:szCs w:val="22"/>
          <w:lang w:val="sk-SK"/>
        </w:rPr>
        <w:t xml:space="preserve"> </w:t>
      </w:r>
      <w:r w:rsidRPr="004B6827">
        <w:rPr>
          <w:color w:val="000000"/>
          <w:szCs w:val="22"/>
          <w:lang w:val="sk-SK"/>
        </w:rPr>
        <w:t>sa podieľa transportér OATP1B1. U pacientov s polymorfizmom SLCO1B1 existuje riziko zvýšenej expozície atorvastatínu, ktoré môže viesť ku zvýšenému riziku rabdomyolýzy (pozri časť 4.4). Polymorfizmus v géne s kódovaním OATP1B1 (SLCO1B1 c.521CC) je spojený s 2,4</w:t>
      </w:r>
      <w:r w:rsidR="00977C6D" w:rsidRPr="004B6827">
        <w:rPr>
          <w:color w:val="000000"/>
          <w:szCs w:val="22"/>
          <w:lang w:val="sk-SK"/>
        </w:rPr>
        <w:t>-</w:t>
      </w:r>
      <w:r w:rsidRPr="004B6827">
        <w:rPr>
          <w:color w:val="000000"/>
          <w:szCs w:val="22"/>
          <w:lang w:val="sk-SK"/>
        </w:rPr>
        <w:t>násobne vyššou expozíciou atorvastatínu (AUC) než u jedincov bez tohto genotypového variantu (c.521TT). U týchto pacientov je tiež možné geneticky po</w:t>
      </w:r>
      <w:r w:rsidR="009F6D9A" w:rsidRPr="004B6827">
        <w:rPr>
          <w:color w:val="000000"/>
          <w:szCs w:val="22"/>
          <w:lang w:val="sk-SK"/>
        </w:rPr>
        <w:t>škode</w:t>
      </w:r>
      <w:r w:rsidRPr="004B6827">
        <w:rPr>
          <w:color w:val="000000"/>
          <w:szCs w:val="22"/>
          <w:lang w:val="sk-SK"/>
        </w:rPr>
        <w:t>né hepatálne vychytávanie atorvastatínu. Možné dôsledky pre účinnosť nie sú známe</w:t>
      </w:r>
      <w:r w:rsidR="00E10CD2" w:rsidRPr="004B6827">
        <w:rPr>
          <w:color w:val="000000"/>
          <w:szCs w:val="22"/>
          <w:lang w:val="sk-SK"/>
        </w:rPr>
        <w:t>.</w:t>
      </w:r>
    </w:p>
    <w:p w:rsidR="00671A6E" w:rsidRPr="004B6827" w:rsidRDefault="00671A6E" w:rsidP="00B0208D">
      <w:pPr>
        <w:tabs>
          <w:tab w:val="num" w:pos="-426"/>
          <w:tab w:val="num" w:pos="360"/>
        </w:tabs>
        <w:rPr>
          <w:i/>
          <w:szCs w:val="22"/>
          <w:u w:val="single"/>
          <w:lang w:val="sk-SK"/>
        </w:rPr>
      </w:pPr>
    </w:p>
    <w:p w:rsidR="00C76B31" w:rsidRPr="004B6827" w:rsidRDefault="00E10CD2" w:rsidP="00C76B31">
      <w:pPr>
        <w:rPr>
          <w:b/>
          <w:i/>
          <w:szCs w:val="22"/>
          <w:lang w:val="sk-SK"/>
        </w:rPr>
      </w:pPr>
      <w:r w:rsidRPr="004B6827">
        <w:rPr>
          <w:b/>
          <w:i/>
          <w:szCs w:val="22"/>
          <w:lang w:val="sk-SK"/>
        </w:rPr>
        <w:t>Perindopril</w:t>
      </w:r>
    </w:p>
    <w:p w:rsidR="00C76B31" w:rsidRPr="004B6827" w:rsidRDefault="00C76B31" w:rsidP="00C76B31">
      <w:pPr>
        <w:rPr>
          <w:szCs w:val="22"/>
          <w:lang w:val="sk-SK"/>
        </w:rPr>
      </w:pPr>
    </w:p>
    <w:p w:rsidR="00C76B31" w:rsidRPr="004B6827" w:rsidRDefault="00C76B31" w:rsidP="00C76B31">
      <w:pPr>
        <w:rPr>
          <w:szCs w:val="22"/>
          <w:u w:val="single"/>
          <w:lang w:val="sk-SK"/>
        </w:rPr>
      </w:pPr>
      <w:r w:rsidRPr="004B6827">
        <w:rPr>
          <w:szCs w:val="22"/>
          <w:u w:val="single"/>
          <w:lang w:val="sk-SK"/>
        </w:rPr>
        <w:t>Absorpcia</w:t>
      </w:r>
    </w:p>
    <w:p w:rsidR="00C76B31" w:rsidRPr="004B6827" w:rsidRDefault="00C76B31" w:rsidP="00C76B31">
      <w:pPr>
        <w:spacing w:line="240" w:lineRule="auto"/>
        <w:rPr>
          <w:lang w:val="sk-SK" w:eastAsia="sk-SK"/>
        </w:rPr>
      </w:pPr>
      <w:r w:rsidRPr="004B6827">
        <w:rPr>
          <w:lang w:val="sk-SK" w:eastAsia="sk-SK"/>
        </w:rPr>
        <w:t>Po perorálnom podaní je absorpcia perindoprilu rýchla a maximálna koncentrácia sa dosiahne v priebehu 1 hodiny. Plazmatický polčas perindoprilu je rovný 1 hodine.</w:t>
      </w:r>
    </w:p>
    <w:p w:rsidR="00C76B31" w:rsidRPr="004B6827" w:rsidRDefault="00C76B31" w:rsidP="000F4A9B">
      <w:pPr>
        <w:tabs>
          <w:tab w:val="num" w:pos="-426"/>
          <w:tab w:val="num" w:pos="360"/>
        </w:tabs>
        <w:ind w:left="360" w:hanging="360"/>
        <w:rPr>
          <w:szCs w:val="22"/>
          <w:u w:val="single"/>
          <w:lang w:val="sk-SK"/>
        </w:rPr>
      </w:pPr>
    </w:p>
    <w:p w:rsidR="00C76B31" w:rsidRPr="004B6827" w:rsidRDefault="00C76B31" w:rsidP="000F4A9B">
      <w:pPr>
        <w:tabs>
          <w:tab w:val="num" w:pos="-426"/>
          <w:tab w:val="num" w:pos="360"/>
        </w:tabs>
        <w:ind w:left="360" w:hanging="360"/>
        <w:rPr>
          <w:szCs w:val="22"/>
          <w:u w:val="single"/>
          <w:lang w:val="sk-SK"/>
        </w:rPr>
      </w:pPr>
      <w:r w:rsidRPr="004B6827">
        <w:rPr>
          <w:szCs w:val="22"/>
          <w:u w:val="single"/>
          <w:lang w:val="sk-SK"/>
        </w:rPr>
        <w:t>Biotransformácia</w:t>
      </w:r>
    </w:p>
    <w:p w:rsidR="00C76B31" w:rsidRPr="004B6827" w:rsidRDefault="00C76B31" w:rsidP="00C76B31">
      <w:pPr>
        <w:spacing w:line="240" w:lineRule="auto"/>
        <w:rPr>
          <w:lang w:val="sk-SK" w:eastAsia="sk-SK"/>
        </w:rPr>
      </w:pPr>
      <w:r w:rsidRPr="004B6827">
        <w:rPr>
          <w:lang w:val="sk-SK" w:eastAsia="sk-SK"/>
        </w:rPr>
        <w:t>Perindopril je prodrug. Dvadsaťsedem percent podanej dávky perindoprilu sa dostane do krvného obehu ako aktívny metabolit perindoprilát. Okrem aktívneho perindoprilátu poskytuje perindopril ďalších päť metabolitov, ktoré sú všetky neaktívne. Maximálna plazmatická koncentrácia perindoprilátu sa dosiahne v priebehu 3 až 4 hodín.</w:t>
      </w:r>
    </w:p>
    <w:p w:rsidR="00C76B31" w:rsidRPr="004B6827" w:rsidRDefault="00C76B31" w:rsidP="00C76B31">
      <w:pPr>
        <w:spacing w:line="240" w:lineRule="auto"/>
        <w:rPr>
          <w:lang w:val="sk-SK" w:eastAsia="sk-SK"/>
        </w:rPr>
      </w:pPr>
      <w:r w:rsidRPr="004B6827">
        <w:rPr>
          <w:lang w:val="sk-SK" w:eastAsia="sk-SK"/>
        </w:rPr>
        <w:t>Keďže požitie jedla znižuje premenu na perindoprilát, a tým aj biologickú dostupnosť, perindopril arginín sa má podávať perorálne v jednorazovej dennej dávke ráno pred jedlom.</w:t>
      </w:r>
    </w:p>
    <w:p w:rsidR="00C76B31" w:rsidRPr="004B6827" w:rsidRDefault="00C76B31" w:rsidP="000F4A9B">
      <w:pPr>
        <w:tabs>
          <w:tab w:val="num" w:pos="-426"/>
          <w:tab w:val="num" w:pos="360"/>
        </w:tabs>
        <w:ind w:left="360" w:hanging="360"/>
        <w:rPr>
          <w:szCs w:val="22"/>
          <w:u w:val="single"/>
          <w:lang w:val="sk-SK"/>
        </w:rPr>
      </w:pPr>
    </w:p>
    <w:p w:rsidR="00C76B31" w:rsidRPr="004B6827" w:rsidRDefault="00C76B31" w:rsidP="000F4A9B">
      <w:pPr>
        <w:tabs>
          <w:tab w:val="num" w:pos="-426"/>
          <w:tab w:val="num" w:pos="360"/>
        </w:tabs>
        <w:ind w:left="360" w:hanging="360"/>
        <w:rPr>
          <w:szCs w:val="22"/>
          <w:u w:val="single"/>
          <w:lang w:val="sk-SK"/>
        </w:rPr>
      </w:pPr>
      <w:r w:rsidRPr="004B6827">
        <w:rPr>
          <w:szCs w:val="22"/>
          <w:u w:val="single"/>
          <w:lang w:val="sk-SK"/>
        </w:rPr>
        <w:t>Linearita</w:t>
      </w:r>
    </w:p>
    <w:p w:rsidR="00C76B31" w:rsidRPr="004B6827" w:rsidRDefault="00C76B31" w:rsidP="000F4A9B">
      <w:pPr>
        <w:tabs>
          <w:tab w:val="num" w:pos="-426"/>
          <w:tab w:val="num" w:pos="360"/>
        </w:tabs>
        <w:ind w:left="360" w:hanging="360"/>
        <w:rPr>
          <w:szCs w:val="22"/>
          <w:lang w:val="sk-SK"/>
        </w:rPr>
      </w:pPr>
      <w:r w:rsidRPr="004B6827">
        <w:rPr>
          <w:lang w:val="sk-SK" w:eastAsia="sk-SK"/>
        </w:rPr>
        <w:t>Bol dokázaný lineárny vzťah medzi dávkou perindoprilu a jeho expozíciou v plazme.</w:t>
      </w:r>
    </w:p>
    <w:p w:rsidR="00C76B31" w:rsidRPr="004B6827" w:rsidRDefault="00C76B31" w:rsidP="000F4A9B">
      <w:pPr>
        <w:tabs>
          <w:tab w:val="num" w:pos="-426"/>
          <w:tab w:val="num" w:pos="360"/>
        </w:tabs>
        <w:ind w:left="360" w:hanging="360"/>
        <w:rPr>
          <w:szCs w:val="22"/>
          <w:u w:val="single"/>
          <w:lang w:val="sk-SK"/>
        </w:rPr>
      </w:pPr>
    </w:p>
    <w:p w:rsidR="00C76B31" w:rsidRPr="004B6827" w:rsidRDefault="00C76B31" w:rsidP="000F4A9B">
      <w:pPr>
        <w:tabs>
          <w:tab w:val="num" w:pos="-426"/>
          <w:tab w:val="num" w:pos="360"/>
        </w:tabs>
        <w:ind w:left="360" w:hanging="360"/>
        <w:rPr>
          <w:szCs w:val="22"/>
          <w:u w:val="single"/>
          <w:lang w:val="sk-SK"/>
        </w:rPr>
      </w:pPr>
      <w:r w:rsidRPr="004B6827">
        <w:rPr>
          <w:szCs w:val="22"/>
          <w:u w:val="single"/>
          <w:lang w:val="sk-SK"/>
        </w:rPr>
        <w:lastRenderedPageBreak/>
        <w:t>Distribúcia</w:t>
      </w:r>
    </w:p>
    <w:p w:rsidR="00C76B31" w:rsidRPr="004B6827" w:rsidRDefault="00C76B31" w:rsidP="00C76B31">
      <w:pPr>
        <w:tabs>
          <w:tab w:val="num" w:pos="-426"/>
          <w:tab w:val="num" w:pos="360"/>
        </w:tabs>
        <w:rPr>
          <w:szCs w:val="22"/>
          <w:lang w:val="sk-SK"/>
        </w:rPr>
      </w:pPr>
      <w:r w:rsidRPr="004B6827">
        <w:rPr>
          <w:bCs/>
          <w:iCs/>
          <w:lang w:val="sk-SK" w:eastAsia="sk-SK"/>
        </w:rPr>
        <w:t>Distribučný objem neviazaného perindoprilátu je približne 0,2 l/kg. Väzba perindoprilátu na plazmatické bielkoviny je 20 %, prevažne na angiotenzín-konvertujúci enzým, ale je závislá od koncentrácie.</w:t>
      </w:r>
    </w:p>
    <w:p w:rsidR="00C76B31" w:rsidRPr="004B6827" w:rsidRDefault="00C76B31" w:rsidP="000F4A9B">
      <w:pPr>
        <w:tabs>
          <w:tab w:val="num" w:pos="-426"/>
          <w:tab w:val="num" w:pos="360"/>
        </w:tabs>
        <w:ind w:left="360" w:hanging="360"/>
        <w:rPr>
          <w:szCs w:val="22"/>
          <w:u w:val="single"/>
          <w:lang w:val="sk-SK"/>
        </w:rPr>
      </w:pPr>
    </w:p>
    <w:p w:rsidR="00C76B31" w:rsidRPr="004B6827" w:rsidRDefault="00C76B31" w:rsidP="00C76B31">
      <w:pPr>
        <w:tabs>
          <w:tab w:val="clear" w:pos="567"/>
        </w:tabs>
        <w:rPr>
          <w:szCs w:val="22"/>
          <w:u w:val="single"/>
          <w:lang w:val="sk-SK"/>
        </w:rPr>
      </w:pPr>
      <w:r w:rsidRPr="004B6827">
        <w:rPr>
          <w:szCs w:val="22"/>
          <w:u w:val="single"/>
          <w:lang w:val="sk-SK"/>
        </w:rPr>
        <w:t>Eliminácia</w:t>
      </w:r>
    </w:p>
    <w:p w:rsidR="00C76B31" w:rsidRPr="004B6827" w:rsidRDefault="00C76B31" w:rsidP="00C76B31">
      <w:pPr>
        <w:tabs>
          <w:tab w:val="num" w:pos="-426"/>
          <w:tab w:val="num" w:pos="360"/>
        </w:tabs>
        <w:rPr>
          <w:lang w:val="sk-SK" w:eastAsia="sk-SK"/>
        </w:rPr>
      </w:pPr>
      <w:r w:rsidRPr="004B6827">
        <w:rPr>
          <w:lang w:val="sk-SK" w:eastAsia="sk-SK"/>
        </w:rPr>
        <w:t>Perindoprilát sa eliminuje močom a konečný polčas neviazanej frakcie je približne 17 hodín, takže rovnovážny stav sa dosiahne v priebehu 4 dní.</w:t>
      </w:r>
    </w:p>
    <w:p w:rsidR="004258CF" w:rsidRPr="004B6827" w:rsidRDefault="004258CF" w:rsidP="00C76B31">
      <w:pPr>
        <w:tabs>
          <w:tab w:val="num" w:pos="-426"/>
          <w:tab w:val="num" w:pos="360"/>
        </w:tabs>
        <w:rPr>
          <w:lang w:val="sk-SK" w:eastAsia="sk-SK"/>
        </w:rPr>
      </w:pPr>
    </w:p>
    <w:p w:rsidR="004258CF" w:rsidRPr="004B6827" w:rsidRDefault="004258CF" w:rsidP="004258CF">
      <w:pPr>
        <w:rPr>
          <w:szCs w:val="22"/>
          <w:lang w:val="sk-SK"/>
        </w:rPr>
      </w:pPr>
      <w:r w:rsidRPr="004B6827">
        <w:rPr>
          <w:szCs w:val="22"/>
          <w:u w:val="single"/>
          <w:lang w:val="sk-SK"/>
        </w:rPr>
        <w:t xml:space="preserve">Osobitné populácie </w:t>
      </w:r>
    </w:p>
    <w:p w:rsidR="004258CF" w:rsidRPr="004B6827" w:rsidRDefault="004258CF" w:rsidP="004258CF">
      <w:pPr>
        <w:tabs>
          <w:tab w:val="num" w:pos="-426"/>
          <w:tab w:val="num" w:pos="360"/>
        </w:tabs>
        <w:rPr>
          <w:lang w:val="sk-SK" w:eastAsia="sk-SK"/>
        </w:rPr>
      </w:pPr>
      <w:r w:rsidRPr="004B6827">
        <w:rPr>
          <w:i/>
          <w:szCs w:val="22"/>
          <w:lang w:val="sk-SK"/>
        </w:rPr>
        <w:t xml:space="preserve">Starší ľudia: </w:t>
      </w:r>
      <w:r w:rsidRPr="004B6827">
        <w:rPr>
          <w:lang w:val="sk-SK" w:eastAsia="sk-SK"/>
        </w:rPr>
        <w:t>Vylučovanie perindoprilátu je znížené u starších osôb a tiež u pacientov so srdcovým alebo renálnym zlyhaním.</w:t>
      </w:r>
    </w:p>
    <w:p w:rsidR="004258CF" w:rsidRPr="004B6827" w:rsidRDefault="004258CF" w:rsidP="004258CF">
      <w:pPr>
        <w:tabs>
          <w:tab w:val="num" w:pos="-426"/>
          <w:tab w:val="num" w:pos="360"/>
        </w:tabs>
        <w:rPr>
          <w:lang w:val="sk-SK" w:eastAsia="sk-SK"/>
        </w:rPr>
      </w:pPr>
      <w:r w:rsidRPr="004B6827">
        <w:rPr>
          <w:i/>
          <w:lang w:val="sk-SK" w:eastAsia="sk-SK"/>
        </w:rPr>
        <w:t xml:space="preserve">Pacienti s poruchou funkcie obličiek: </w:t>
      </w:r>
      <w:r w:rsidRPr="004B6827">
        <w:rPr>
          <w:lang w:val="sk-SK" w:eastAsia="sk-SK"/>
        </w:rPr>
        <w:t xml:space="preserve">Pri renálnej insuficiencii je žiaduca úprava dávkovania v závislosti </w:t>
      </w:r>
      <w:r w:rsidR="00B62F7E" w:rsidRPr="004B6827">
        <w:rPr>
          <w:lang w:val="sk-SK" w:eastAsia="sk-SK"/>
        </w:rPr>
        <w:t>od</w:t>
      </w:r>
      <w:r w:rsidRPr="004B6827">
        <w:rPr>
          <w:lang w:val="sk-SK" w:eastAsia="sk-SK"/>
        </w:rPr>
        <w:t xml:space="preserve"> stup</w:t>
      </w:r>
      <w:r w:rsidR="00B62F7E" w:rsidRPr="004B6827">
        <w:rPr>
          <w:lang w:val="sk-SK" w:eastAsia="sk-SK"/>
        </w:rPr>
        <w:t>ňa</w:t>
      </w:r>
      <w:r w:rsidRPr="004B6827">
        <w:rPr>
          <w:lang w:val="sk-SK" w:eastAsia="sk-SK"/>
        </w:rPr>
        <w:t xml:space="preserve"> poruchy (klírens kreatinínu).</w:t>
      </w:r>
    </w:p>
    <w:p w:rsidR="004258CF" w:rsidRPr="004B6827" w:rsidRDefault="004258CF" w:rsidP="004258CF">
      <w:pPr>
        <w:tabs>
          <w:tab w:val="num" w:pos="-426"/>
          <w:tab w:val="num" w:pos="360"/>
        </w:tabs>
        <w:rPr>
          <w:lang w:val="sk-SK" w:eastAsia="sk-SK"/>
        </w:rPr>
      </w:pPr>
    </w:p>
    <w:p w:rsidR="004258CF" w:rsidRPr="004B6827" w:rsidRDefault="004258CF" w:rsidP="004258CF">
      <w:pPr>
        <w:tabs>
          <w:tab w:val="num" w:pos="-426"/>
          <w:tab w:val="num" w:pos="360"/>
        </w:tabs>
        <w:rPr>
          <w:i/>
          <w:szCs w:val="22"/>
          <w:u w:val="single"/>
          <w:lang w:val="sk-SK"/>
        </w:rPr>
      </w:pPr>
      <w:r w:rsidRPr="004B6827">
        <w:rPr>
          <w:lang w:val="sk-SK" w:eastAsia="sk-SK"/>
        </w:rPr>
        <w:t>Dialyzačný klírens perindoprilátu je 70 ml/min.</w:t>
      </w:r>
    </w:p>
    <w:p w:rsidR="00C76B31" w:rsidRPr="004B6827" w:rsidRDefault="00C76B31" w:rsidP="000F4A9B">
      <w:pPr>
        <w:tabs>
          <w:tab w:val="num" w:pos="-426"/>
          <w:tab w:val="num" w:pos="360"/>
        </w:tabs>
        <w:ind w:left="360" w:hanging="360"/>
        <w:rPr>
          <w:szCs w:val="22"/>
          <w:u w:val="single"/>
          <w:lang w:val="sk-SK"/>
        </w:rPr>
      </w:pPr>
    </w:p>
    <w:p w:rsidR="004258CF" w:rsidRPr="004B6827" w:rsidRDefault="004258CF" w:rsidP="004258CF">
      <w:pPr>
        <w:tabs>
          <w:tab w:val="num" w:pos="-426"/>
          <w:tab w:val="num" w:pos="360"/>
        </w:tabs>
        <w:rPr>
          <w:lang w:val="sk-SK" w:eastAsia="sk-SK"/>
        </w:rPr>
      </w:pPr>
      <w:r w:rsidRPr="004B6827">
        <w:rPr>
          <w:i/>
          <w:szCs w:val="22"/>
          <w:lang w:val="sk-SK"/>
        </w:rPr>
        <w:t xml:space="preserve">U pacientov s cirhózou: </w:t>
      </w:r>
      <w:r w:rsidRPr="004B6827">
        <w:rPr>
          <w:lang w:val="sk-SK" w:eastAsia="sk-SK"/>
        </w:rPr>
        <w:t>Kinetika perindoprilu je modifikovaná u pacientov s cirhózou: hepatálny klírens pôvodnej molekuly je znížený o polovicu. Množstvo vytvoreného perindoprilátu však nie je znížené, a preto nie je potrebná úprava dávkovania (pozri časti 4.2 a 4.4).</w:t>
      </w:r>
    </w:p>
    <w:p w:rsidR="004258CF" w:rsidRPr="004B6827" w:rsidRDefault="004258CF" w:rsidP="004258CF">
      <w:pPr>
        <w:tabs>
          <w:tab w:val="num" w:pos="-426"/>
          <w:tab w:val="num" w:pos="360"/>
        </w:tabs>
        <w:rPr>
          <w:lang w:val="sk-SK" w:eastAsia="sk-SK"/>
        </w:rPr>
      </w:pPr>
    </w:p>
    <w:p w:rsidR="004258CF" w:rsidRPr="004B6827" w:rsidRDefault="004258CF" w:rsidP="004258CF">
      <w:pPr>
        <w:tabs>
          <w:tab w:val="num" w:pos="-426"/>
          <w:tab w:val="num" w:pos="360"/>
        </w:tabs>
        <w:rPr>
          <w:b/>
          <w:i/>
          <w:szCs w:val="22"/>
          <w:lang w:val="sk-SK"/>
        </w:rPr>
      </w:pPr>
      <w:r w:rsidRPr="004B6827">
        <w:rPr>
          <w:b/>
          <w:i/>
          <w:lang w:val="sk-SK" w:eastAsia="sk-SK"/>
        </w:rPr>
        <w:t>Amlodipín</w:t>
      </w:r>
    </w:p>
    <w:p w:rsidR="004258CF" w:rsidRPr="004B6827" w:rsidRDefault="004258CF" w:rsidP="000F4A9B">
      <w:pPr>
        <w:tabs>
          <w:tab w:val="num" w:pos="-426"/>
          <w:tab w:val="num" w:pos="360"/>
        </w:tabs>
        <w:ind w:left="360" w:hanging="360"/>
        <w:rPr>
          <w:szCs w:val="22"/>
          <w:u w:val="single"/>
          <w:lang w:val="sk-SK"/>
        </w:rPr>
      </w:pPr>
    </w:p>
    <w:p w:rsidR="004258CF" w:rsidRPr="004B6827" w:rsidRDefault="004258CF" w:rsidP="000F4A9B">
      <w:pPr>
        <w:tabs>
          <w:tab w:val="num" w:pos="-426"/>
          <w:tab w:val="num" w:pos="360"/>
        </w:tabs>
        <w:ind w:left="360" w:hanging="360"/>
        <w:rPr>
          <w:szCs w:val="22"/>
          <w:u w:val="single"/>
          <w:lang w:val="sk-SK"/>
        </w:rPr>
      </w:pPr>
      <w:r w:rsidRPr="004B6827">
        <w:rPr>
          <w:szCs w:val="22"/>
          <w:u w:val="single"/>
          <w:lang w:val="sk-SK"/>
        </w:rPr>
        <w:t>Absorpcia</w:t>
      </w:r>
    </w:p>
    <w:p w:rsidR="004258CF" w:rsidRPr="004B6827" w:rsidRDefault="004258CF" w:rsidP="004258CF">
      <w:pPr>
        <w:rPr>
          <w:lang w:val="sk-SK" w:eastAsia="sk-SK"/>
        </w:rPr>
      </w:pPr>
      <w:r w:rsidRPr="004B6827">
        <w:rPr>
          <w:lang w:val="sk-SK" w:eastAsia="sk-SK"/>
        </w:rPr>
        <w:t>Po perorálnom podaní terapeutických dávok sa amlodipín dobre vstrebáva a </w:t>
      </w:r>
      <w:r w:rsidR="009F6D9A" w:rsidRPr="004B6827">
        <w:rPr>
          <w:lang w:val="sk-SK" w:eastAsia="sk-SK"/>
        </w:rPr>
        <w:t>maximálne</w:t>
      </w:r>
      <w:r w:rsidRPr="004B6827">
        <w:rPr>
          <w:lang w:val="sk-SK" w:eastAsia="sk-SK"/>
        </w:rPr>
        <w:t xml:space="preserve"> plazmatické koncentrácie sa dosiahnu za 6 – 12 hodín po užití dávky. Absolútna biologická dostupnosť je odhadovaná medzi 64 – 80 %.</w:t>
      </w:r>
      <w:r w:rsidRPr="004B6827">
        <w:rPr>
          <w:lang w:val="sk-SK"/>
        </w:rPr>
        <w:t xml:space="preserve"> </w:t>
      </w:r>
      <w:r w:rsidRPr="004B6827">
        <w:rPr>
          <w:lang w:val="sk-SK" w:eastAsia="sk-SK"/>
        </w:rPr>
        <w:t>Biologická dostupnosť amlodipínu nie je ovplyvnená príjmom potravy.</w:t>
      </w:r>
    </w:p>
    <w:p w:rsidR="0060489E" w:rsidRPr="004B6827" w:rsidRDefault="0060489E" w:rsidP="004258CF">
      <w:pPr>
        <w:rPr>
          <w:lang w:val="sk-SK" w:eastAsia="sk-SK"/>
        </w:rPr>
      </w:pPr>
    </w:p>
    <w:p w:rsidR="0060489E" w:rsidRPr="004B6827" w:rsidRDefault="0060489E" w:rsidP="0060489E">
      <w:pPr>
        <w:tabs>
          <w:tab w:val="num" w:pos="-426"/>
          <w:tab w:val="num" w:pos="360"/>
        </w:tabs>
        <w:ind w:left="360" w:hanging="360"/>
        <w:rPr>
          <w:szCs w:val="22"/>
          <w:u w:val="single"/>
          <w:lang w:val="sk-SK"/>
        </w:rPr>
      </w:pPr>
      <w:r w:rsidRPr="004B6827">
        <w:rPr>
          <w:szCs w:val="22"/>
          <w:u w:val="single"/>
          <w:lang w:val="sk-SK"/>
        </w:rPr>
        <w:t>Distribúcia</w:t>
      </w:r>
    </w:p>
    <w:p w:rsidR="0060489E" w:rsidRPr="004B6827" w:rsidRDefault="0060489E" w:rsidP="004258CF">
      <w:pPr>
        <w:rPr>
          <w:lang w:val="sk-SK" w:eastAsia="sk-SK"/>
        </w:rPr>
      </w:pPr>
      <w:r w:rsidRPr="004B6827">
        <w:rPr>
          <w:lang w:val="sk-SK" w:eastAsia="sk-SK"/>
        </w:rPr>
        <w:t xml:space="preserve">Distribučný objem je približne 21 l/kg. Štúdie </w:t>
      </w:r>
      <w:r w:rsidRPr="004B6827">
        <w:rPr>
          <w:i/>
          <w:lang w:val="sk-SK" w:eastAsia="sk-SK"/>
        </w:rPr>
        <w:t>in vitro</w:t>
      </w:r>
      <w:r w:rsidRPr="004B6827">
        <w:rPr>
          <w:lang w:val="sk-SK" w:eastAsia="sk-SK"/>
        </w:rPr>
        <w:t xml:space="preserve"> ukázali, že približne 97,5 % cirkulujúceho amlodipínu je viazaného na plazmatické bielkoviny.</w:t>
      </w:r>
    </w:p>
    <w:p w:rsidR="0060489E" w:rsidRPr="004B6827" w:rsidRDefault="0060489E" w:rsidP="004258CF">
      <w:pPr>
        <w:rPr>
          <w:lang w:val="sk-SK"/>
        </w:rPr>
      </w:pPr>
    </w:p>
    <w:p w:rsidR="004258CF" w:rsidRPr="004B6827" w:rsidRDefault="0060489E" w:rsidP="000F4A9B">
      <w:pPr>
        <w:tabs>
          <w:tab w:val="num" w:pos="-426"/>
          <w:tab w:val="num" w:pos="360"/>
        </w:tabs>
        <w:ind w:left="360" w:hanging="360"/>
        <w:rPr>
          <w:szCs w:val="22"/>
          <w:u w:val="single"/>
          <w:lang w:val="sk-SK"/>
        </w:rPr>
      </w:pPr>
      <w:r w:rsidRPr="004B6827">
        <w:rPr>
          <w:szCs w:val="22"/>
          <w:u w:val="single"/>
          <w:lang w:val="sk-SK"/>
        </w:rPr>
        <w:t>Biotransformácia a eliminácia</w:t>
      </w:r>
    </w:p>
    <w:p w:rsidR="0060489E" w:rsidRPr="004B6827" w:rsidRDefault="0060489E" w:rsidP="0060489E">
      <w:pPr>
        <w:tabs>
          <w:tab w:val="num" w:pos="-426"/>
          <w:tab w:val="num" w:pos="360"/>
        </w:tabs>
        <w:rPr>
          <w:szCs w:val="22"/>
          <w:u w:val="single"/>
          <w:lang w:val="sk-SK"/>
        </w:rPr>
      </w:pPr>
      <w:r w:rsidRPr="004B6827">
        <w:rPr>
          <w:lang w:val="sk-SK" w:eastAsia="sk-SK"/>
        </w:rPr>
        <w:t>Terminálny plazmatický polčas eliminácie je asi 35 – 50 hodín a je zhodný s dávkovaním jedenkrát denne. Amlodipín sa extenzívne metabolizuje v pečeni na neúčinné metabolity, pričom 10 % materskej látky a 60 % metabolitov sa vylučuje do moču.</w:t>
      </w:r>
    </w:p>
    <w:p w:rsidR="0060489E" w:rsidRPr="004B6827" w:rsidRDefault="0060489E" w:rsidP="000F4A9B">
      <w:pPr>
        <w:tabs>
          <w:tab w:val="num" w:pos="-426"/>
          <w:tab w:val="num" w:pos="360"/>
        </w:tabs>
        <w:ind w:left="360" w:hanging="360"/>
        <w:rPr>
          <w:szCs w:val="22"/>
          <w:u w:val="single"/>
          <w:lang w:val="sk-SK"/>
        </w:rPr>
      </w:pPr>
    </w:p>
    <w:p w:rsidR="00A241E7" w:rsidRPr="004B6827" w:rsidRDefault="00A241E7" w:rsidP="00A241E7">
      <w:pPr>
        <w:rPr>
          <w:szCs w:val="22"/>
          <w:lang w:val="sk-SK"/>
        </w:rPr>
      </w:pPr>
      <w:r w:rsidRPr="004B6827">
        <w:rPr>
          <w:szCs w:val="22"/>
          <w:u w:val="single"/>
          <w:lang w:val="sk-SK"/>
        </w:rPr>
        <w:t xml:space="preserve">Osobitné populácie </w:t>
      </w:r>
    </w:p>
    <w:p w:rsidR="00A241E7" w:rsidRPr="004B6827" w:rsidRDefault="00A241E7" w:rsidP="00A241E7">
      <w:pPr>
        <w:tabs>
          <w:tab w:val="num" w:pos="-426"/>
          <w:tab w:val="num" w:pos="360"/>
        </w:tabs>
        <w:rPr>
          <w:lang w:val="sk-SK" w:eastAsia="sk-SK"/>
        </w:rPr>
      </w:pPr>
      <w:r w:rsidRPr="004B6827">
        <w:rPr>
          <w:i/>
          <w:szCs w:val="22"/>
          <w:lang w:val="sk-SK"/>
        </w:rPr>
        <w:t>Pacienti s poruchou funkcie pečene</w:t>
      </w:r>
      <w:r w:rsidRPr="004B6827">
        <w:rPr>
          <w:i/>
          <w:lang w:val="sk-SK" w:eastAsia="sk-SK"/>
        </w:rPr>
        <w:t xml:space="preserve">: </w:t>
      </w:r>
      <w:r w:rsidRPr="004B6827">
        <w:rPr>
          <w:lang w:val="sk-SK" w:eastAsia="sk-SK"/>
        </w:rPr>
        <w:t>Dostupné sú veľmi obmedzené klinické údaje týkajúce sa podávania amlodipínu pacientom s poruchou funkcie pečene. Pacienti s hepatálnou insuficienciou majú znížený klírens amlodipínu, ktorý má za následok predĺženie polčasu a zvýšeni</w:t>
      </w:r>
      <w:r w:rsidR="0083283E" w:rsidRPr="004B6827">
        <w:rPr>
          <w:lang w:val="sk-SK" w:eastAsia="sk-SK"/>
        </w:rPr>
        <w:t>e</w:t>
      </w:r>
      <w:r w:rsidRPr="004B6827">
        <w:rPr>
          <w:lang w:val="sk-SK" w:eastAsia="sk-SK"/>
        </w:rPr>
        <w:t xml:space="preserve"> AUC približne o 40 </w:t>
      </w:r>
      <w:r w:rsidR="0083283E" w:rsidRPr="004B6827">
        <w:rPr>
          <w:lang w:val="sk-SK" w:eastAsia="sk-SK"/>
        </w:rPr>
        <w:t>–</w:t>
      </w:r>
      <w:r w:rsidRPr="004B6827">
        <w:rPr>
          <w:lang w:val="sk-SK" w:eastAsia="sk-SK"/>
        </w:rPr>
        <w:t> 60 %.</w:t>
      </w:r>
    </w:p>
    <w:p w:rsidR="00A241E7" w:rsidRPr="004B6827" w:rsidRDefault="00A241E7" w:rsidP="00A241E7">
      <w:pPr>
        <w:tabs>
          <w:tab w:val="num" w:pos="-426"/>
          <w:tab w:val="num" w:pos="360"/>
        </w:tabs>
        <w:rPr>
          <w:lang w:val="sk-SK" w:eastAsia="sk-SK"/>
        </w:rPr>
      </w:pPr>
      <w:r w:rsidRPr="004B6827">
        <w:rPr>
          <w:i/>
          <w:szCs w:val="22"/>
          <w:lang w:val="sk-SK"/>
        </w:rPr>
        <w:t xml:space="preserve">Starší ľudia: </w:t>
      </w:r>
      <w:r w:rsidR="00E778B6" w:rsidRPr="004B6827">
        <w:rPr>
          <w:lang w:val="sk-SK" w:eastAsia="sk-SK"/>
        </w:rPr>
        <w:t>Čas po dosiahnutie maximálnej plazmatickej koncentrácie amlodipínu u starších i mladých ľudí je podobný. Klírens amlodipínu má tendenciu k zníženiu, čo vedie k zväčšeniu AUC a predĺženiu polčasu eliminácie u starších pacientov. Zvýšenie AUC a predĺženie eliminačného polčasu u pacientov s kongestívnym srdcovým zlyh</w:t>
      </w:r>
      <w:r w:rsidR="008E43E9" w:rsidRPr="004B6827">
        <w:rPr>
          <w:lang w:val="sk-SK" w:eastAsia="sk-SK"/>
        </w:rPr>
        <w:t>áv</w:t>
      </w:r>
      <w:r w:rsidR="00E778B6" w:rsidRPr="004B6827">
        <w:rPr>
          <w:lang w:val="sk-SK" w:eastAsia="sk-SK"/>
        </w:rPr>
        <w:t>aním boli v rozsahu, ktorý sa očakával vzhľadom na vek skúmanej skupiny pacientov.</w:t>
      </w:r>
    </w:p>
    <w:p w:rsidR="00A241E7" w:rsidRPr="004B6827" w:rsidRDefault="00A241E7" w:rsidP="000F4A9B">
      <w:pPr>
        <w:tabs>
          <w:tab w:val="clear" w:pos="567"/>
        </w:tabs>
        <w:rPr>
          <w:szCs w:val="22"/>
          <w:lang w:val="sk-SK"/>
        </w:rPr>
      </w:pPr>
    </w:p>
    <w:p w:rsidR="000F4A9B" w:rsidRPr="004B6827" w:rsidRDefault="000F4A9B" w:rsidP="000F4A9B">
      <w:pPr>
        <w:rPr>
          <w:szCs w:val="22"/>
          <w:lang w:val="sk-SK"/>
        </w:rPr>
      </w:pPr>
      <w:r w:rsidRPr="004B6827">
        <w:rPr>
          <w:b/>
          <w:szCs w:val="22"/>
          <w:lang w:val="sk-SK"/>
        </w:rPr>
        <w:t>5.3</w:t>
      </w:r>
      <w:r w:rsidRPr="004B6827">
        <w:rPr>
          <w:b/>
          <w:szCs w:val="22"/>
          <w:lang w:val="sk-SK"/>
        </w:rPr>
        <w:tab/>
        <w:t>Predklinické údaje o bezpečnosti</w:t>
      </w:r>
    </w:p>
    <w:p w:rsidR="000F4A9B" w:rsidRPr="004B6827" w:rsidRDefault="000F4A9B" w:rsidP="000F4A9B">
      <w:pPr>
        <w:tabs>
          <w:tab w:val="clear" w:pos="567"/>
        </w:tabs>
        <w:rPr>
          <w:szCs w:val="22"/>
          <w:lang w:val="sk-SK"/>
        </w:rPr>
      </w:pPr>
    </w:p>
    <w:p w:rsidR="000F4A9B" w:rsidRPr="004B6827" w:rsidRDefault="00E778B6" w:rsidP="000F4A9B">
      <w:pPr>
        <w:tabs>
          <w:tab w:val="clear" w:pos="567"/>
        </w:tabs>
        <w:rPr>
          <w:szCs w:val="22"/>
          <w:lang w:val="sk-SK"/>
        </w:rPr>
      </w:pPr>
      <w:r w:rsidRPr="004B6827">
        <w:rPr>
          <w:szCs w:val="22"/>
          <w:lang w:val="sk-SK"/>
        </w:rPr>
        <w:t>Neboli vykonané žiadne predklinické štúdie s </w:t>
      </w:r>
      <w:r w:rsidR="00212A25" w:rsidRPr="004B6827">
        <w:rPr>
          <w:szCs w:val="22"/>
          <w:lang w:val="sk-SK"/>
        </w:rPr>
        <w:t>Lipertance</w:t>
      </w:r>
      <w:r w:rsidRPr="004B6827">
        <w:rPr>
          <w:szCs w:val="22"/>
          <w:lang w:val="sk-SK"/>
        </w:rPr>
        <w:t>.</w:t>
      </w:r>
    </w:p>
    <w:p w:rsidR="00E778B6" w:rsidRPr="004B6827" w:rsidRDefault="00E778B6" w:rsidP="000F4A9B">
      <w:pPr>
        <w:tabs>
          <w:tab w:val="clear" w:pos="567"/>
        </w:tabs>
        <w:rPr>
          <w:szCs w:val="22"/>
          <w:lang w:val="sk-SK"/>
        </w:rPr>
      </w:pPr>
    </w:p>
    <w:p w:rsidR="00E778B6" w:rsidRPr="004B6827" w:rsidRDefault="00E778B6" w:rsidP="000F4A9B">
      <w:pPr>
        <w:tabs>
          <w:tab w:val="clear" w:pos="567"/>
        </w:tabs>
        <w:rPr>
          <w:b/>
          <w:i/>
          <w:szCs w:val="22"/>
          <w:lang w:val="sk-SK"/>
        </w:rPr>
      </w:pPr>
      <w:r w:rsidRPr="004B6827">
        <w:rPr>
          <w:b/>
          <w:i/>
          <w:szCs w:val="22"/>
          <w:lang w:val="sk-SK"/>
        </w:rPr>
        <w:t>Atorvastatín:</w:t>
      </w:r>
    </w:p>
    <w:p w:rsidR="00115366" w:rsidRPr="004B6827" w:rsidRDefault="00115366" w:rsidP="00115366">
      <w:pPr>
        <w:rPr>
          <w:szCs w:val="22"/>
          <w:lang w:val="sk-SK"/>
        </w:rPr>
      </w:pPr>
      <w:r w:rsidRPr="004B6827">
        <w:rPr>
          <w:i/>
          <w:szCs w:val="22"/>
          <w:lang w:val="sk-SK"/>
        </w:rPr>
        <w:lastRenderedPageBreak/>
        <w:t xml:space="preserve">Reprodukčná toxikológia a </w:t>
      </w:r>
      <w:r w:rsidR="00BE4A73" w:rsidRPr="004B6827">
        <w:rPr>
          <w:i/>
          <w:szCs w:val="22"/>
          <w:lang w:val="sk-SK"/>
        </w:rPr>
        <w:t xml:space="preserve">vplyv </w:t>
      </w:r>
      <w:r w:rsidRPr="004B6827">
        <w:rPr>
          <w:i/>
          <w:szCs w:val="22"/>
          <w:lang w:val="sk-SK"/>
        </w:rPr>
        <w:t>na fertilitu</w:t>
      </w:r>
      <w:r w:rsidRPr="004B6827">
        <w:rPr>
          <w:szCs w:val="22"/>
          <w:lang w:val="sk-SK"/>
        </w:rPr>
        <w:t xml:space="preserve">: Na základe </w:t>
      </w:r>
      <w:r w:rsidRPr="004B6827">
        <w:rPr>
          <w:bCs/>
          <w:szCs w:val="22"/>
          <w:lang w:val="sk-SK"/>
        </w:rPr>
        <w:t>experimentálnych štúdií na zvieratách bolo dokázané, že inhibítory HMG-CoA reduktázy môžu ovplyvňovať vývin embryí alebo plodov. U potkanov, králikov a psov nemal atorvastatín žiaden účinok na fertilitu a nebol teratogénny. Avšak u potkanov a králikov sa pozorovala fetálna toxicita pri toxických dávkach pre matku. Vývin potkaních potomkov bol oneskorený a postnatálne prežívanie pokleslo počas expozície potkaních matiek vyšším dávkam atorvastatínu. U potkanov bol dokázaný transfer cez placentu. Plazmatické koncentrácie atorvastatínu u potkanov sú podobné koncentráciám v mlieku. Nie je známe, či sa atorvastatín alebo jeho metabolity vylučujú do materského mlieka u ľudí.</w:t>
      </w:r>
    </w:p>
    <w:p w:rsidR="000F4A9B" w:rsidRPr="004B6827" w:rsidRDefault="00115366" w:rsidP="000F4A9B">
      <w:pPr>
        <w:tabs>
          <w:tab w:val="clear" w:pos="567"/>
        </w:tabs>
        <w:rPr>
          <w:szCs w:val="22"/>
          <w:lang w:val="sk-SK"/>
        </w:rPr>
      </w:pPr>
      <w:r w:rsidRPr="004B6827">
        <w:rPr>
          <w:i/>
          <w:szCs w:val="22"/>
          <w:lang w:val="sk-SK"/>
        </w:rPr>
        <w:t xml:space="preserve">Karcinogenita, mutagenita: </w:t>
      </w:r>
      <w:r w:rsidRPr="004B6827">
        <w:rPr>
          <w:szCs w:val="22"/>
          <w:lang w:val="sk-SK"/>
        </w:rPr>
        <w:t xml:space="preserve">Atorvastatín mal negatívny mutagénny a klastogénny potenciál v súbore </w:t>
      </w:r>
      <w:smartTag w:uri="urn:schemas-microsoft-com:office:smarttags" w:element="metricconverter">
        <w:smartTagPr>
          <w:attr w:name="ProductID" w:val="4ﾠin"/>
        </w:smartTagPr>
        <w:r w:rsidRPr="004B6827">
          <w:rPr>
            <w:szCs w:val="22"/>
            <w:lang w:val="sk-SK"/>
          </w:rPr>
          <w:t>4 </w:t>
        </w:r>
        <w:r w:rsidRPr="004B6827">
          <w:rPr>
            <w:i/>
            <w:szCs w:val="22"/>
            <w:lang w:val="sk-SK"/>
          </w:rPr>
          <w:t>in</w:t>
        </w:r>
      </w:smartTag>
      <w:r w:rsidRPr="004B6827">
        <w:rPr>
          <w:i/>
          <w:szCs w:val="22"/>
          <w:lang w:val="sk-SK"/>
        </w:rPr>
        <w:t xml:space="preserve"> vitro</w:t>
      </w:r>
      <w:r w:rsidRPr="004B6827">
        <w:rPr>
          <w:szCs w:val="22"/>
          <w:lang w:val="sk-SK"/>
        </w:rPr>
        <w:t xml:space="preserve"> testov a 1 </w:t>
      </w:r>
      <w:r w:rsidRPr="004B6827">
        <w:rPr>
          <w:i/>
          <w:szCs w:val="22"/>
          <w:lang w:val="sk-SK"/>
        </w:rPr>
        <w:t>in vivo</w:t>
      </w:r>
      <w:r w:rsidRPr="004B6827">
        <w:rPr>
          <w:szCs w:val="22"/>
          <w:lang w:val="sk-SK"/>
        </w:rPr>
        <w:t xml:space="preserve"> skúške. Bolo zistené, že atorvastatín nebol karcinogénny u potkanov, ale vysoké dávky u myší (vedúce k 6 </w:t>
      </w:r>
      <w:r w:rsidR="00DC1538" w:rsidRPr="004B6827">
        <w:rPr>
          <w:szCs w:val="22"/>
          <w:lang w:val="sk-SK"/>
        </w:rPr>
        <w:t>až </w:t>
      </w:r>
      <w:r w:rsidRPr="004B6827">
        <w:rPr>
          <w:szCs w:val="22"/>
          <w:lang w:val="sk-SK"/>
        </w:rPr>
        <w:t>11</w:t>
      </w:r>
      <w:r w:rsidR="00DC1538" w:rsidRPr="004B6827">
        <w:rPr>
          <w:szCs w:val="22"/>
          <w:lang w:val="sk-SK"/>
        </w:rPr>
        <w:t>-</w:t>
      </w:r>
      <w:r w:rsidRPr="004B6827">
        <w:rPr>
          <w:szCs w:val="22"/>
          <w:lang w:val="sk-SK"/>
        </w:rPr>
        <w:t>násobku AUC</w:t>
      </w:r>
      <w:r w:rsidRPr="004B6827">
        <w:rPr>
          <w:szCs w:val="22"/>
          <w:vertAlign w:val="subscript"/>
          <w:lang w:val="sk-SK"/>
        </w:rPr>
        <w:t xml:space="preserve">0-24h </w:t>
      </w:r>
      <w:r w:rsidRPr="004B6827">
        <w:rPr>
          <w:szCs w:val="22"/>
          <w:lang w:val="sk-SK"/>
        </w:rPr>
        <w:t>dosiahnutému u ľudí pri najvyššej odporúčanej dávke) preukázali hepatocelulárne adenómy u samcov a hepatocelulárne karcinómy u samíc.</w:t>
      </w:r>
    </w:p>
    <w:p w:rsidR="00115366" w:rsidRPr="004B6827" w:rsidRDefault="00115366" w:rsidP="000F4A9B">
      <w:pPr>
        <w:tabs>
          <w:tab w:val="clear" w:pos="567"/>
        </w:tabs>
        <w:rPr>
          <w:szCs w:val="22"/>
          <w:lang w:val="sk-SK"/>
        </w:rPr>
      </w:pPr>
    </w:p>
    <w:p w:rsidR="00BF7FC3" w:rsidRPr="004B6827" w:rsidRDefault="00115366" w:rsidP="003A67B0">
      <w:pPr>
        <w:tabs>
          <w:tab w:val="clear" w:pos="567"/>
        </w:tabs>
        <w:rPr>
          <w:b/>
          <w:i/>
          <w:szCs w:val="22"/>
          <w:lang w:val="sk-SK"/>
        </w:rPr>
      </w:pPr>
      <w:r w:rsidRPr="004B6827">
        <w:rPr>
          <w:b/>
          <w:i/>
          <w:szCs w:val="22"/>
          <w:lang w:val="sk-SK"/>
        </w:rPr>
        <w:t>Perindopril</w:t>
      </w:r>
      <w:r w:rsidR="00364B81" w:rsidRPr="004B6827">
        <w:rPr>
          <w:b/>
          <w:i/>
          <w:szCs w:val="22"/>
          <w:lang w:val="sk-SK"/>
        </w:rPr>
        <w:t>:</w:t>
      </w:r>
    </w:p>
    <w:p w:rsidR="00115366" w:rsidRPr="004B6827" w:rsidRDefault="00115366" w:rsidP="003A67B0">
      <w:pPr>
        <w:tabs>
          <w:tab w:val="clear" w:pos="567"/>
        </w:tabs>
        <w:rPr>
          <w:bCs/>
          <w:iCs/>
          <w:lang w:val="sk-SK" w:eastAsia="sk-SK"/>
        </w:rPr>
      </w:pPr>
      <w:r w:rsidRPr="004B6827">
        <w:rPr>
          <w:i/>
          <w:szCs w:val="22"/>
          <w:lang w:val="sk-SK"/>
        </w:rPr>
        <w:t>Chronická toxicita:</w:t>
      </w:r>
      <w:r w:rsidRPr="004B6827">
        <w:rPr>
          <w:szCs w:val="22"/>
          <w:lang w:val="sk-SK"/>
        </w:rPr>
        <w:t xml:space="preserve"> </w:t>
      </w:r>
      <w:r w:rsidRPr="004B6827">
        <w:rPr>
          <w:lang w:val="sk-SK" w:eastAsia="sk-SK"/>
        </w:rPr>
        <w:t>V štúdiách chronickej perorálnej toxicity (na potkanoch a opiciach) sú cieľovým orgánom obličky s reverzibilným poškodením</w:t>
      </w:r>
      <w:r w:rsidRPr="004B6827">
        <w:rPr>
          <w:bCs/>
          <w:iCs/>
          <w:lang w:val="sk-SK" w:eastAsia="sk-SK"/>
        </w:rPr>
        <w:t>.</w:t>
      </w:r>
    </w:p>
    <w:p w:rsidR="00115366" w:rsidRPr="004B6827" w:rsidRDefault="00BE4A73" w:rsidP="000F4A9B">
      <w:pPr>
        <w:tabs>
          <w:tab w:val="clear" w:pos="567"/>
        </w:tabs>
        <w:rPr>
          <w:lang w:val="sk-SK" w:eastAsia="sk-SK"/>
        </w:rPr>
      </w:pPr>
      <w:r w:rsidRPr="004B6827">
        <w:rPr>
          <w:i/>
          <w:szCs w:val="22"/>
          <w:lang w:val="sk-SK"/>
        </w:rPr>
        <w:t>Reprodukčná toxikológia a vplyv na fertilitu:</w:t>
      </w:r>
      <w:r w:rsidRPr="004B6827">
        <w:rPr>
          <w:szCs w:val="22"/>
          <w:lang w:val="sk-SK"/>
        </w:rPr>
        <w:t xml:space="preserve"> </w:t>
      </w:r>
      <w:r w:rsidRPr="004B6827">
        <w:rPr>
          <w:lang w:val="sk-SK" w:eastAsia="sk-SK"/>
        </w:rPr>
        <w:t>Reprodukčné toxikologické štúdie (na potkanoch, myšiach, králikoch a opiciach) nepreukázali žiadne známky embryotoxicity alebo teratogenity. Pri inhibítoroch angiotenzín-konvertujúceho enzýmu ako skupine sa však potvrdilo, že vyvolávajú nežiaduce účinky na neskorý vývoj plodu, čo pri hlodavcoch a králikoch vedie k úmrtiu plodu a vrodeným defektom: boli pozorované renálne lézie a zvýšenie peri- a postnatálnej mortality. Fertilita nebola porušená ani u samcov ani u samíc potkanov.</w:t>
      </w:r>
    </w:p>
    <w:p w:rsidR="00BE4A73" w:rsidRPr="004B6827" w:rsidRDefault="00BE4A73" w:rsidP="000F4A9B">
      <w:pPr>
        <w:tabs>
          <w:tab w:val="clear" w:pos="567"/>
        </w:tabs>
        <w:rPr>
          <w:lang w:val="sk-SK" w:eastAsia="sk-SK"/>
        </w:rPr>
      </w:pPr>
      <w:r w:rsidRPr="004B6827">
        <w:rPr>
          <w:i/>
          <w:lang w:val="sk-SK" w:eastAsia="sk-SK"/>
        </w:rPr>
        <w:t>Karcinoge</w:t>
      </w:r>
      <w:r w:rsidR="009F6D9A" w:rsidRPr="004B6827">
        <w:rPr>
          <w:i/>
          <w:lang w:val="sk-SK" w:eastAsia="sk-SK"/>
        </w:rPr>
        <w:t>n</w:t>
      </w:r>
      <w:r w:rsidRPr="004B6827">
        <w:rPr>
          <w:i/>
          <w:lang w:val="sk-SK" w:eastAsia="sk-SK"/>
        </w:rPr>
        <w:t>ita, mutagenita:</w:t>
      </w:r>
      <w:r w:rsidR="00544C51" w:rsidRPr="004B6827">
        <w:rPr>
          <w:i/>
          <w:lang w:val="sk-SK" w:eastAsia="sk-SK"/>
        </w:rPr>
        <w:t xml:space="preserve"> </w:t>
      </w:r>
      <w:r w:rsidRPr="004B6827">
        <w:rPr>
          <w:lang w:val="sk-SK" w:eastAsia="sk-SK"/>
        </w:rPr>
        <w:t xml:space="preserve">V </w:t>
      </w:r>
      <w:r w:rsidRPr="004B6827">
        <w:rPr>
          <w:i/>
          <w:lang w:val="sk-SK" w:eastAsia="sk-SK"/>
        </w:rPr>
        <w:t>in vitro</w:t>
      </w:r>
      <w:r w:rsidRPr="004B6827">
        <w:rPr>
          <w:lang w:val="sk-SK" w:eastAsia="sk-SK"/>
        </w:rPr>
        <w:t xml:space="preserve"> alebo </w:t>
      </w:r>
      <w:r w:rsidRPr="004B6827">
        <w:rPr>
          <w:i/>
          <w:lang w:val="sk-SK" w:eastAsia="sk-SK"/>
        </w:rPr>
        <w:t>in vivo</w:t>
      </w:r>
      <w:r w:rsidRPr="004B6827">
        <w:rPr>
          <w:lang w:val="sk-SK" w:eastAsia="sk-SK"/>
        </w:rPr>
        <w:t xml:space="preserve"> štúdi</w:t>
      </w:r>
      <w:r w:rsidR="003A67B0" w:rsidRPr="004B6827">
        <w:rPr>
          <w:lang w:val="sk-SK" w:eastAsia="sk-SK"/>
        </w:rPr>
        <w:t>á</w:t>
      </w:r>
      <w:r w:rsidRPr="004B6827">
        <w:rPr>
          <w:lang w:val="sk-SK" w:eastAsia="sk-SK"/>
        </w:rPr>
        <w:t xml:space="preserve">ch sa nepozorovala </w:t>
      </w:r>
      <w:r w:rsidR="003A67B0" w:rsidRPr="004B6827">
        <w:rPr>
          <w:lang w:val="sk-SK" w:eastAsia="sk-SK"/>
        </w:rPr>
        <w:t>ž</w:t>
      </w:r>
      <w:r w:rsidRPr="004B6827">
        <w:rPr>
          <w:lang w:val="sk-SK" w:eastAsia="sk-SK"/>
        </w:rPr>
        <w:t xml:space="preserve">iadna mutagenita. V dlhodobých </w:t>
      </w:r>
      <w:r w:rsidR="004B6827" w:rsidRPr="004B6827">
        <w:rPr>
          <w:lang w:val="sk-SK" w:eastAsia="sk-SK"/>
        </w:rPr>
        <w:t>štúdiách</w:t>
      </w:r>
      <w:r w:rsidRPr="004B6827">
        <w:rPr>
          <w:lang w:val="sk-SK" w:eastAsia="sk-SK"/>
        </w:rPr>
        <w:t xml:space="preserve"> u potkanov a myší sa nepozorovala žiadna karcinogenita.</w:t>
      </w:r>
    </w:p>
    <w:p w:rsidR="00364B81" w:rsidRPr="004B6827" w:rsidRDefault="00364B81" w:rsidP="000F4A9B">
      <w:pPr>
        <w:tabs>
          <w:tab w:val="clear" w:pos="567"/>
        </w:tabs>
        <w:rPr>
          <w:lang w:val="sk-SK" w:eastAsia="sk-SK"/>
        </w:rPr>
      </w:pPr>
    </w:p>
    <w:p w:rsidR="00364B81" w:rsidRPr="004B6827" w:rsidRDefault="00364B81" w:rsidP="000F4A9B">
      <w:pPr>
        <w:tabs>
          <w:tab w:val="clear" w:pos="567"/>
        </w:tabs>
        <w:rPr>
          <w:b/>
          <w:i/>
          <w:szCs w:val="22"/>
          <w:lang w:val="sk-SK"/>
        </w:rPr>
      </w:pPr>
      <w:r w:rsidRPr="004B6827">
        <w:rPr>
          <w:b/>
          <w:i/>
          <w:lang w:val="sk-SK" w:eastAsia="sk-SK"/>
        </w:rPr>
        <w:t>Amlodipín:</w:t>
      </w:r>
    </w:p>
    <w:p w:rsidR="00115366" w:rsidRPr="004B6827" w:rsidRDefault="00364B81" w:rsidP="000F4A9B">
      <w:pPr>
        <w:tabs>
          <w:tab w:val="clear" w:pos="567"/>
        </w:tabs>
        <w:rPr>
          <w:szCs w:val="22"/>
          <w:lang w:val="sk-SK"/>
        </w:rPr>
      </w:pPr>
      <w:r w:rsidRPr="004B6827">
        <w:rPr>
          <w:i/>
          <w:szCs w:val="22"/>
          <w:lang w:val="sk-SK"/>
        </w:rPr>
        <w:t xml:space="preserve">Reprodukčná toxikológia: </w:t>
      </w:r>
      <w:r w:rsidRPr="004B6827">
        <w:rPr>
          <w:lang w:val="sk-SK" w:eastAsia="sk-SK"/>
        </w:rPr>
        <w:t>Reprodukčné štúdie na potkanoch a myšiach preukázali oneskorený dátum pôrodu, predĺžené trvanie pôrodu a znížený počet prežívajúcich mláďat pri dávkach približne 50</w:t>
      </w:r>
      <w:r w:rsidR="00530481" w:rsidRPr="004B6827">
        <w:rPr>
          <w:lang w:val="sk-SK" w:eastAsia="sk-SK"/>
        </w:rPr>
        <w:t>-</w:t>
      </w:r>
      <w:r w:rsidRPr="004B6827">
        <w:rPr>
          <w:lang w:val="sk-SK" w:eastAsia="sk-SK"/>
        </w:rPr>
        <w:t>krát vyšších ako je maximálna odporúčaná dávka pre ľudí vyjadrená v mg/kg.</w:t>
      </w:r>
    </w:p>
    <w:p w:rsidR="00364B81" w:rsidRPr="004B6827" w:rsidRDefault="00364B81" w:rsidP="00364B81">
      <w:pPr>
        <w:autoSpaceDE w:val="0"/>
        <w:autoSpaceDN w:val="0"/>
        <w:adjustRightInd w:val="0"/>
        <w:spacing w:line="240" w:lineRule="auto"/>
        <w:rPr>
          <w:lang w:val="sk-SK" w:eastAsia="sk-SK"/>
        </w:rPr>
      </w:pPr>
      <w:r w:rsidRPr="004B6827">
        <w:rPr>
          <w:i/>
          <w:lang w:val="sk-SK" w:eastAsia="sk-SK"/>
        </w:rPr>
        <w:t>Poruchy fertility:</w:t>
      </w:r>
      <w:r w:rsidRPr="004B6827">
        <w:rPr>
          <w:lang w:val="sk-SK" w:eastAsia="sk-SK"/>
        </w:rPr>
        <w:t xml:space="preserve"> Nepreukázal sa žiadny účinok na plodnosť potkanov liečených amlodipínom (samce 64 dní a samice 14 dní pred párením) v dávkach až do 10 mg/kg/deň (8</w:t>
      </w:r>
      <w:r w:rsidR="00530481" w:rsidRPr="004B6827">
        <w:rPr>
          <w:lang w:val="sk-SK" w:eastAsia="sk-SK"/>
        </w:rPr>
        <w:t>-</w:t>
      </w:r>
      <w:r w:rsidRPr="004B6827">
        <w:rPr>
          <w:lang w:val="sk-SK" w:eastAsia="sk-SK"/>
        </w:rPr>
        <w:t>násobok* maximálnej odporúčanej dávky u ľudí rovnajúcej sa 10 mg po prepočítaní na mg/m</w:t>
      </w:r>
      <w:r w:rsidRPr="004B6827">
        <w:rPr>
          <w:vertAlign w:val="superscript"/>
          <w:lang w:val="sk-SK" w:eastAsia="sk-SK"/>
        </w:rPr>
        <w:t>2</w:t>
      </w:r>
      <w:r w:rsidRPr="004B6827">
        <w:rPr>
          <w:lang w:val="sk-SK" w:eastAsia="sk-SK"/>
        </w:rPr>
        <w:t xml:space="preserve"> povrchu). V inej štúdii </w:t>
      </w:r>
      <w:r w:rsidR="00DF26E8" w:rsidRPr="004B6827">
        <w:rPr>
          <w:lang w:val="sk-SK" w:eastAsia="sk-SK"/>
        </w:rPr>
        <w:t>u</w:t>
      </w:r>
      <w:r w:rsidRPr="004B6827">
        <w:rPr>
          <w:lang w:val="sk-SK" w:eastAsia="sk-SK"/>
        </w:rPr>
        <w:t xml:space="preserve"> potkano</w:t>
      </w:r>
      <w:r w:rsidR="00DF26E8" w:rsidRPr="004B6827">
        <w:rPr>
          <w:lang w:val="sk-SK" w:eastAsia="sk-SK"/>
        </w:rPr>
        <w:t>v</w:t>
      </w:r>
      <w:r w:rsidRPr="004B6827">
        <w:rPr>
          <w:lang w:val="sk-SK" w:eastAsia="sk-SK"/>
        </w:rPr>
        <w:t>, v ktorej boli samce potkanov liečené amlodipíniumbesilátom 30 dní dávkou porovnateľnou s dávkou u ľudí vyjadrenej v mg/kg, boli v plazme zistené poklesy hormónu stimulujúceho folikuly a testosterónu, rovnako ako zníženie hustoty spermií a počtu zrelých spermatoblastov a Sertoliho podporných buniek.</w:t>
      </w:r>
    </w:p>
    <w:p w:rsidR="00115366" w:rsidRPr="004B6827" w:rsidRDefault="00DF26E8" w:rsidP="000F4A9B">
      <w:pPr>
        <w:tabs>
          <w:tab w:val="clear" w:pos="567"/>
        </w:tabs>
        <w:rPr>
          <w:szCs w:val="22"/>
          <w:lang w:val="sk-SK"/>
        </w:rPr>
      </w:pPr>
      <w:r w:rsidRPr="004B6827">
        <w:rPr>
          <w:i/>
          <w:lang w:val="sk-SK" w:eastAsia="sk-SK"/>
        </w:rPr>
        <w:t>Karcinoge</w:t>
      </w:r>
      <w:r w:rsidR="009F6D9A" w:rsidRPr="004B6827">
        <w:rPr>
          <w:i/>
          <w:lang w:val="sk-SK" w:eastAsia="sk-SK"/>
        </w:rPr>
        <w:t>n</w:t>
      </w:r>
      <w:r w:rsidRPr="004B6827">
        <w:rPr>
          <w:i/>
          <w:lang w:val="sk-SK" w:eastAsia="sk-SK"/>
        </w:rPr>
        <w:t>ita, mutagenita:</w:t>
      </w:r>
      <w:r w:rsidRPr="004B6827">
        <w:rPr>
          <w:lang w:val="sk-SK" w:eastAsia="sk-SK"/>
        </w:rPr>
        <w:t xml:space="preserve"> U potkanov a myší užívajúcich amlodipín v potrave po dobu dvoch rokov v koncentráciách prepočítaných tak, aby sa zabezpečili denné dávky 0,5; 1,25 a 2,5 mg/kg/deň, sa nepreukázali žiadne dôkazy o jeho karcinogenite. Najvyššia dávka v mg (pre myši približne rovnaká a pre potkany rovnajúca sa dvojnásobnej</w:t>
      </w:r>
      <w:r w:rsidRPr="004B6827">
        <w:rPr>
          <w:vertAlign w:val="superscript"/>
          <w:lang w:val="sk-SK" w:eastAsia="sk-SK"/>
        </w:rPr>
        <w:t>*</w:t>
      </w:r>
      <w:r w:rsidRPr="004B6827">
        <w:rPr>
          <w:lang w:val="sk-SK" w:eastAsia="sk-SK"/>
        </w:rPr>
        <w:t xml:space="preserve"> maximálnej odporúčanej klinickej dávke 10 mg po prepočítaní na mg/m</w:t>
      </w:r>
      <w:r w:rsidRPr="004B6827">
        <w:rPr>
          <w:vertAlign w:val="superscript"/>
          <w:lang w:val="sk-SK" w:eastAsia="sk-SK"/>
        </w:rPr>
        <w:t>2</w:t>
      </w:r>
      <w:r w:rsidRPr="004B6827">
        <w:rPr>
          <w:lang w:val="sk-SK" w:eastAsia="sk-SK"/>
        </w:rPr>
        <w:t xml:space="preserve"> povrchu) sa blížila maximálnej tolerovanej dávke pre myši, ale nie pre potkany.</w:t>
      </w:r>
    </w:p>
    <w:p w:rsidR="00115366" w:rsidRPr="004B6827" w:rsidRDefault="00DF26E8" w:rsidP="000F4A9B">
      <w:pPr>
        <w:tabs>
          <w:tab w:val="clear" w:pos="567"/>
        </w:tabs>
        <w:rPr>
          <w:szCs w:val="22"/>
          <w:lang w:val="sk-SK"/>
        </w:rPr>
      </w:pPr>
      <w:r w:rsidRPr="004B6827">
        <w:rPr>
          <w:lang w:val="sk-SK" w:eastAsia="sk-SK"/>
        </w:rPr>
        <w:t>Štúdie mutagenity neodhalili žiadne účinky súvisiace s liekom či už na génovej alebo chromoz</w:t>
      </w:r>
      <w:r w:rsidR="00544C51" w:rsidRPr="004B6827">
        <w:rPr>
          <w:lang w:val="sk-SK" w:eastAsia="sk-SK"/>
        </w:rPr>
        <w:t>o</w:t>
      </w:r>
      <w:r w:rsidRPr="004B6827">
        <w:rPr>
          <w:lang w:val="sk-SK" w:eastAsia="sk-SK"/>
        </w:rPr>
        <w:t>málnej úrovni.</w:t>
      </w:r>
    </w:p>
    <w:p w:rsidR="00115366" w:rsidRPr="004B6827" w:rsidRDefault="00115366" w:rsidP="000F4A9B">
      <w:pPr>
        <w:tabs>
          <w:tab w:val="clear" w:pos="567"/>
        </w:tabs>
        <w:rPr>
          <w:szCs w:val="22"/>
          <w:lang w:val="sk-SK"/>
        </w:rPr>
      </w:pPr>
    </w:p>
    <w:p w:rsidR="000F4A9B" w:rsidRPr="004B6827" w:rsidRDefault="000F4A9B" w:rsidP="000F4A9B">
      <w:pPr>
        <w:rPr>
          <w:b/>
          <w:szCs w:val="22"/>
          <w:lang w:val="sk-SK"/>
        </w:rPr>
      </w:pPr>
      <w:r w:rsidRPr="004B6827">
        <w:rPr>
          <w:b/>
          <w:szCs w:val="22"/>
          <w:lang w:val="sk-SK"/>
        </w:rPr>
        <w:t>6.</w:t>
      </w:r>
      <w:r w:rsidRPr="004B6827">
        <w:rPr>
          <w:b/>
          <w:szCs w:val="22"/>
          <w:lang w:val="sk-SK"/>
        </w:rPr>
        <w:tab/>
        <w:t>FARMACEUTICKÉ INFORMÁCIE</w:t>
      </w:r>
    </w:p>
    <w:p w:rsidR="000F4A9B" w:rsidRPr="004B6827" w:rsidRDefault="000F4A9B" w:rsidP="000F4A9B">
      <w:pPr>
        <w:tabs>
          <w:tab w:val="clear" w:pos="567"/>
        </w:tabs>
        <w:rPr>
          <w:szCs w:val="22"/>
          <w:lang w:val="sk-SK"/>
        </w:rPr>
      </w:pPr>
    </w:p>
    <w:p w:rsidR="000F4A9B" w:rsidRPr="004B6827" w:rsidRDefault="000F4A9B" w:rsidP="000F4A9B">
      <w:pPr>
        <w:rPr>
          <w:szCs w:val="22"/>
          <w:lang w:val="sk-SK"/>
        </w:rPr>
      </w:pPr>
      <w:r w:rsidRPr="004B6827">
        <w:rPr>
          <w:b/>
          <w:szCs w:val="22"/>
          <w:lang w:val="sk-SK"/>
        </w:rPr>
        <w:t>6.1</w:t>
      </w:r>
      <w:r w:rsidRPr="004B6827">
        <w:rPr>
          <w:b/>
          <w:szCs w:val="22"/>
          <w:lang w:val="sk-SK"/>
        </w:rPr>
        <w:tab/>
        <w:t>Zoznam pomocných látok</w:t>
      </w:r>
    </w:p>
    <w:p w:rsidR="000F4A9B" w:rsidRPr="004B6827" w:rsidRDefault="000F4A9B" w:rsidP="000F4A9B">
      <w:pPr>
        <w:tabs>
          <w:tab w:val="clear" w:pos="567"/>
        </w:tabs>
        <w:spacing w:line="240" w:lineRule="auto"/>
        <w:rPr>
          <w:szCs w:val="22"/>
          <w:lang w:val="sk-SK"/>
        </w:rPr>
      </w:pPr>
    </w:p>
    <w:p w:rsidR="000F4A9B" w:rsidRPr="004B6827" w:rsidRDefault="000F4A9B" w:rsidP="000F4A9B">
      <w:pPr>
        <w:keepNext/>
        <w:tabs>
          <w:tab w:val="left" w:pos="-720"/>
          <w:tab w:val="left" w:pos="4536"/>
        </w:tabs>
        <w:suppressAutoHyphens/>
        <w:outlineLvl w:val="5"/>
        <w:rPr>
          <w:i/>
          <w:szCs w:val="22"/>
          <w:lang w:val="sk-SK"/>
        </w:rPr>
      </w:pPr>
      <w:r w:rsidRPr="004B6827">
        <w:rPr>
          <w:i/>
          <w:szCs w:val="22"/>
          <w:lang w:val="sk-SK"/>
        </w:rPr>
        <w:t>Jadro</w:t>
      </w:r>
    </w:p>
    <w:p w:rsidR="000F4A9B" w:rsidRPr="004B6827" w:rsidRDefault="00761EAD" w:rsidP="000F4A9B">
      <w:pPr>
        <w:rPr>
          <w:bCs/>
          <w:iCs/>
          <w:szCs w:val="22"/>
          <w:lang w:val="sk-SK"/>
        </w:rPr>
      </w:pPr>
      <w:r w:rsidRPr="004B6827">
        <w:rPr>
          <w:bCs/>
          <w:iCs/>
          <w:szCs w:val="22"/>
          <w:lang w:val="sk-SK"/>
        </w:rPr>
        <w:t>Monohydrát laktózy</w:t>
      </w:r>
    </w:p>
    <w:p w:rsidR="00761EAD" w:rsidRPr="004B6827" w:rsidRDefault="00761EAD" w:rsidP="000F4A9B">
      <w:pPr>
        <w:rPr>
          <w:bCs/>
          <w:iCs/>
          <w:szCs w:val="22"/>
          <w:lang w:val="sk-SK"/>
        </w:rPr>
      </w:pPr>
      <w:r w:rsidRPr="004B6827">
        <w:rPr>
          <w:lang w:val="sk-SK"/>
        </w:rPr>
        <w:t>Uhličitan vápenatý (E</w:t>
      </w:r>
      <w:r w:rsidR="00530481" w:rsidRPr="004B6827">
        <w:rPr>
          <w:lang w:val="sk-SK"/>
        </w:rPr>
        <w:t xml:space="preserve"> </w:t>
      </w:r>
      <w:r w:rsidRPr="004B6827">
        <w:rPr>
          <w:lang w:val="sk-SK"/>
        </w:rPr>
        <w:t>170)</w:t>
      </w:r>
    </w:p>
    <w:p w:rsidR="00761EAD" w:rsidRPr="004B6827" w:rsidRDefault="00761EAD" w:rsidP="000F4A9B">
      <w:pPr>
        <w:rPr>
          <w:lang w:val="sk-SK"/>
        </w:rPr>
      </w:pPr>
      <w:r w:rsidRPr="004B6827">
        <w:rPr>
          <w:lang w:val="sk-SK"/>
        </w:rPr>
        <w:t>Hydroxypropylcelulóza (E</w:t>
      </w:r>
      <w:r w:rsidR="00530481" w:rsidRPr="004B6827">
        <w:rPr>
          <w:lang w:val="sk-SK"/>
        </w:rPr>
        <w:t xml:space="preserve"> </w:t>
      </w:r>
      <w:r w:rsidRPr="004B6827">
        <w:rPr>
          <w:lang w:val="sk-SK"/>
        </w:rPr>
        <w:t>463)</w:t>
      </w:r>
    </w:p>
    <w:p w:rsidR="00761EAD" w:rsidRPr="004B6827" w:rsidRDefault="00761EAD" w:rsidP="000F4A9B">
      <w:pPr>
        <w:rPr>
          <w:lang w:val="sk-SK"/>
        </w:rPr>
      </w:pPr>
      <w:r w:rsidRPr="004B6827">
        <w:rPr>
          <w:lang w:val="sk-SK"/>
        </w:rPr>
        <w:t>Sodná soľ glykolátu škrobu (typ A)</w:t>
      </w:r>
    </w:p>
    <w:p w:rsidR="00761EAD" w:rsidRPr="004B6827" w:rsidRDefault="00761EAD" w:rsidP="000F4A9B">
      <w:pPr>
        <w:rPr>
          <w:szCs w:val="22"/>
          <w:lang w:val="sk-SK"/>
        </w:rPr>
      </w:pPr>
      <w:r w:rsidRPr="004B6827">
        <w:rPr>
          <w:lang w:val="sk-SK"/>
        </w:rPr>
        <w:lastRenderedPageBreak/>
        <w:t>Mikrokryštalická celulóza (E</w:t>
      </w:r>
      <w:r w:rsidR="00530481" w:rsidRPr="004B6827">
        <w:rPr>
          <w:lang w:val="sk-SK"/>
        </w:rPr>
        <w:t xml:space="preserve"> </w:t>
      </w:r>
      <w:r w:rsidRPr="004B6827">
        <w:rPr>
          <w:lang w:val="sk-SK"/>
        </w:rPr>
        <w:t>460)</w:t>
      </w:r>
    </w:p>
    <w:p w:rsidR="000F4A9B" w:rsidRPr="004B6827" w:rsidRDefault="000F4A9B" w:rsidP="000F4A9B">
      <w:pPr>
        <w:rPr>
          <w:szCs w:val="22"/>
          <w:lang w:val="sk-SK"/>
        </w:rPr>
      </w:pPr>
      <w:r w:rsidRPr="004B6827">
        <w:rPr>
          <w:szCs w:val="22"/>
          <w:lang w:val="sk-SK"/>
        </w:rPr>
        <w:t>Maltodextrín</w:t>
      </w:r>
    </w:p>
    <w:p w:rsidR="000F4A9B" w:rsidRPr="004B6827" w:rsidRDefault="000F4A9B" w:rsidP="000F4A9B">
      <w:pPr>
        <w:rPr>
          <w:szCs w:val="22"/>
          <w:lang w:val="sk-SK"/>
        </w:rPr>
      </w:pPr>
      <w:r w:rsidRPr="004B6827">
        <w:rPr>
          <w:szCs w:val="22"/>
          <w:lang w:val="sk-SK"/>
        </w:rPr>
        <w:t xml:space="preserve">Magnéziumstearát (E </w:t>
      </w:r>
      <w:r w:rsidR="00761EAD" w:rsidRPr="004B6827">
        <w:rPr>
          <w:szCs w:val="22"/>
          <w:lang w:val="sk-SK"/>
        </w:rPr>
        <w:t>572</w:t>
      </w:r>
      <w:r w:rsidRPr="004B6827">
        <w:rPr>
          <w:szCs w:val="22"/>
          <w:lang w:val="sk-SK"/>
        </w:rPr>
        <w:t>)</w:t>
      </w:r>
    </w:p>
    <w:p w:rsidR="000F4A9B" w:rsidRPr="004B6827" w:rsidRDefault="000F4A9B" w:rsidP="000F4A9B">
      <w:pPr>
        <w:rPr>
          <w:szCs w:val="22"/>
          <w:lang w:val="sk-SK"/>
        </w:rPr>
      </w:pPr>
    </w:p>
    <w:p w:rsidR="000F4A9B" w:rsidRPr="004B6827" w:rsidRDefault="000F4A9B" w:rsidP="000F4A9B">
      <w:pPr>
        <w:keepNext/>
        <w:tabs>
          <w:tab w:val="left" w:pos="-720"/>
          <w:tab w:val="left" w:pos="4536"/>
        </w:tabs>
        <w:suppressAutoHyphens/>
        <w:outlineLvl w:val="5"/>
        <w:rPr>
          <w:i/>
          <w:szCs w:val="22"/>
          <w:lang w:val="sk-SK"/>
        </w:rPr>
      </w:pPr>
      <w:r w:rsidRPr="004B6827">
        <w:rPr>
          <w:i/>
          <w:szCs w:val="22"/>
          <w:lang w:val="sk-SK"/>
        </w:rPr>
        <w:t xml:space="preserve">Filmotvorná vrstva </w:t>
      </w:r>
    </w:p>
    <w:p w:rsidR="000F4A9B" w:rsidRPr="004B6827" w:rsidRDefault="000F4A9B" w:rsidP="000F4A9B">
      <w:pPr>
        <w:rPr>
          <w:szCs w:val="22"/>
          <w:lang w:val="sk-SK"/>
        </w:rPr>
      </w:pPr>
      <w:r w:rsidRPr="004B6827">
        <w:rPr>
          <w:szCs w:val="22"/>
          <w:lang w:val="sk-SK"/>
        </w:rPr>
        <w:t>Glycerol (E</w:t>
      </w:r>
      <w:r w:rsidR="00530481" w:rsidRPr="004B6827">
        <w:rPr>
          <w:szCs w:val="22"/>
          <w:lang w:val="sk-SK"/>
        </w:rPr>
        <w:t xml:space="preserve"> </w:t>
      </w:r>
      <w:r w:rsidRPr="004B6827">
        <w:rPr>
          <w:szCs w:val="22"/>
          <w:lang w:val="sk-SK"/>
        </w:rPr>
        <w:t>422)</w:t>
      </w:r>
    </w:p>
    <w:p w:rsidR="000F4A9B" w:rsidRPr="004B6827" w:rsidRDefault="000F4A9B" w:rsidP="000F4A9B">
      <w:pPr>
        <w:rPr>
          <w:szCs w:val="22"/>
          <w:lang w:val="sk-SK"/>
        </w:rPr>
      </w:pPr>
      <w:r w:rsidRPr="004B6827">
        <w:rPr>
          <w:szCs w:val="22"/>
          <w:lang w:val="sk-SK"/>
        </w:rPr>
        <w:t>Hypromelóza (E</w:t>
      </w:r>
      <w:r w:rsidR="00530481" w:rsidRPr="004B6827">
        <w:rPr>
          <w:szCs w:val="22"/>
          <w:lang w:val="sk-SK"/>
        </w:rPr>
        <w:t xml:space="preserve"> </w:t>
      </w:r>
      <w:r w:rsidRPr="004B6827">
        <w:rPr>
          <w:szCs w:val="22"/>
          <w:lang w:val="sk-SK"/>
        </w:rPr>
        <w:t>464)</w:t>
      </w:r>
    </w:p>
    <w:p w:rsidR="000F4A9B" w:rsidRPr="004B6827" w:rsidRDefault="000F4A9B" w:rsidP="000F4A9B">
      <w:pPr>
        <w:rPr>
          <w:szCs w:val="22"/>
          <w:lang w:val="sk-SK"/>
        </w:rPr>
      </w:pPr>
      <w:r w:rsidRPr="004B6827">
        <w:rPr>
          <w:szCs w:val="22"/>
          <w:lang w:val="sk-SK"/>
        </w:rPr>
        <w:t>Makrogol 6</w:t>
      </w:r>
      <w:r w:rsidR="00530481" w:rsidRPr="004B6827">
        <w:rPr>
          <w:szCs w:val="22"/>
          <w:lang w:val="sk-SK"/>
        </w:rPr>
        <w:t xml:space="preserve"> </w:t>
      </w:r>
      <w:r w:rsidRPr="004B6827">
        <w:rPr>
          <w:szCs w:val="22"/>
          <w:lang w:val="sk-SK"/>
        </w:rPr>
        <w:t>000</w:t>
      </w:r>
    </w:p>
    <w:p w:rsidR="000F4A9B" w:rsidRPr="004B6827" w:rsidRDefault="000F4A9B" w:rsidP="000F4A9B">
      <w:pPr>
        <w:rPr>
          <w:szCs w:val="22"/>
          <w:lang w:val="sk-SK"/>
        </w:rPr>
      </w:pPr>
      <w:r w:rsidRPr="004B6827">
        <w:rPr>
          <w:szCs w:val="22"/>
          <w:lang w:val="sk-SK"/>
        </w:rPr>
        <w:t>Magnéziumstearát (E</w:t>
      </w:r>
      <w:r w:rsidR="00530481" w:rsidRPr="004B6827">
        <w:rPr>
          <w:szCs w:val="22"/>
          <w:lang w:val="sk-SK"/>
        </w:rPr>
        <w:t xml:space="preserve"> </w:t>
      </w:r>
      <w:r w:rsidR="00761EAD" w:rsidRPr="004B6827">
        <w:rPr>
          <w:szCs w:val="22"/>
          <w:lang w:val="sk-SK"/>
        </w:rPr>
        <w:t>572</w:t>
      </w:r>
      <w:r w:rsidRPr="004B6827">
        <w:rPr>
          <w:szCs w:val="22"/>
          <w:lang w:val="sk-SK"/>
        </w:rPr>
        <w:t>)</w:t>
      </w:r>
    </w:p>
    <w:p w:rsidR="000F4A9B" w:rsidRPr="004B6827" w:rsidRDefault="000F4A9B" w:rsidP="000F4A9B">
      <w:pPr>
        <w:rPr>
          <w:szCs w:val="22"/>
          <w:lang w:val="sk-SK"/>
        </w:rPr>
      </w:pPr>
      <w:r w:rsidRPr="004B6827">
        <w:rPr>
          <w:szCs w:val="22"/>
          <w:lang w:val="sk-SK"/>
        </w:rPr>
        <w:t>Oxid titaničitý (E</w:t>
      </w:r>
      <w:r w:rsidR="00530481" w:rsidRPr="004B6827">
        <w:rPr>
          <w:szCs w:val="22"/>
          <w:lang w:val="sk-SK"/>
        </w:rPr>
        <w:t xml:space="preserve"> </w:t>
      </w:r>
      <w:r w:rsidRPr="004B6827">
        <w:rPr>
          <w:szCs w:val="22"/>
          <w:lang w:val="sk-SK"/>
        </w:rPr>
        <w:t>171)</w:t>
      </w:r>
    </w:p>
    <w:p w:rsidR="00761EAD" w:rsidRPr="004B6827" w:rsidRDefault="00761EAD" w:rsidP="000F4A9B">
      <w:pPr>
        <w:rPr>
          <w:szCs w:val="22"/>
          <w:lang w:val="sk-SK"/>
        </w:rPr>
      </w:pPr>
      <w:r w:rsidRPr="004B6827">
        <w:rPr>
          <w:lang w:val="sk-SK"/>
        </w:rPr>
        <w:t>Oxid železitý žltý (E 172)</w:t>
      </w:r>
    </w:p>
    <w:p w:rsidR="000F4A9B" w:rsidRPr="004B6827" w:rsidRDefault="000F4A9B" w:rsidP="000F4A9B">
      <w:pPr>
        <w:tabs>
          <w:tab w:val="clear" w:pos="567"/>
        </w:tabs>
        <w:spacing w:line="240" w:lineRule="auto"/>
        <w:rPr>
          <w:szCs w:val="22"/>
          <w:lang w:val="sk-SK"/>
        </w:rPr>
      </w:pPr>
    </w:p>
    <w:p w:rsidR="000F4A9B" w:rsidRPr="004B6827" w:rsidRDefault="000F4A9B" w:rsidP="000F4A9B">
      <w:pPr>
        <w:rPr>
          <w:szCs w:val="22"/>
          <w:lang w:val="sk-SK"/>
        </w:rPr>
      </w:pPr>
      <w:r w:rsidRPr="004B6827">
        <w:rPr>
          <w:b/>
          <w:szCs w:val="22"/>
          <w:lang w:val="sk-SK"/>
        </w:rPr>
        <w:t>6.2</w:t>
      </w:r>
      <w:r w:rsidRPr="004B6827">
        <w:rPr>
          <w:b/>
          <w:szCs w:val="22"/>
          <w:lang w:val="sk-SK"/>
        </w:rPr>
        <w:tab/>
        <w:t>Inkompatibility</w:t>
      </w:r>
    </w:p>
    <w:p w:rsidR="000F4A9B" w:rsidRPr="004B6827" w:rsidRDefault="000F4A9B" w:rsidP="000F4A9B">
      <w:pPr>
        <w:tabs>
          <w:tab w:val="clear" w:pos="567"/>
        </w:tabs>
        <w:spacing w:line="240" w:lineRule="auto"/>
        <w:rPr>
          <w:szCs w:val="22"/>
          <w:lang w:val="sk-SK"/>
        </w:rPr>
      </w:pPr>
    </w:p>
    <w:p w:rsidR="000F4A9B" w:rsidRPr="004B6827" w:rsidRDefault="000F4A9B" w:rsidP="000F4A9B">
      <w:pPr>
        <w:rPr>
          <w:szCs w:val="22"/>
          <w:lang w:val="sk-SK"/>
        </w:rPr>
      </w:pPr>
      <w:r w:rsidRPr="004B6827">
        <w:rPr>
          <w:szCs w:val="22"/>
          <w:lang w:val="sk-SK"/>
        </w:rPr>
        <w:t>Neaplikovateľné.</w:t>
      </w:r>
    </w:p>
    <w:p w:rsidR="000F4A9B" w:rsidRPr="004B6827" w:rsidRDefault="000F4A9B" w:rsidP="000F4A9B">
      <w:pPr>
        <w:tabs>
          <w:tab w:val="clear" w:pos="567"/>
        </w:tabs>
        <w:spacing w:line="240" w:lineRule="auto"/>
        <w:rPr>
          <w:szCs w:val="22"/>
          <w:lang w:val="sk-SK"/>
        </w:rPr>
      </w:pPr>
    </w:p>
    <w:p w:rsidR="000F4A9B" w:rsidRPr="004B6827" w:rsidRDefault="000F4A9B" w:rsidP="000F4A9B">
      <w:pPr>
        <w:rPr>
          <w:szCs w:val="22"/>
          <w:lang w:val="sk-SK"/>
        </w:rPr>
      </w:pPr>
      <w:r w:rsidRPr="004B6827">
        <w:rPr>
          <w:b/>
          <w:szCs w:val="22"/>
          <w:lang w:val="sk-SK"/>
        </w:rPr>
        <w:t>6.3</w:t>
      </w:r>
      <w:r w:rsidRPr="004B6827">
        <w:rPr>
          <w:b/>
          <w:szCs w:val="22"/>
          <w:lang w:val="sk-SK"/>
        </w:rPr>
        <w:tab/>
        <w:t>Čas použiteľnosti</w:t>
      </w:r>
    </w:p>
    <w:p w:rsidR="000F4A9B" w:rsidRPr="004B6827" w:rsidRDefault="000F4A9B" w:rsidP="000F4A9B">
      <w:pPr>
        <w:tabs>
          <w:tab w:val="clear" w:pos="567"/>
        </w:tabs>
        <w:spacing w:line="240" w:lineRule="auto"/>
        <w:rPr>
          <w:szCs w:val="22"/>
          <w:lang w:val="sk-SK"/>
        </w:rPr>
      </w:pPr>
    </w:p>
    <w:p w:rsidR="000F4A9B" w:rsidRPr="004B6827" w:rsidRDefault="00761EAD" w:rsidP="000F4A9B">
      <w:pPr>
        <w:rPr>
          <w:szCs w:val="22"/>
          <w:lang w:val="sk-SK"/>
        </w:rPr>
      </w:pPr>
      <w:r w:rsidRPr="004B6827">
        <w:rPr>
          <w:szCs w:val="22"/>
          <w:lang w:val="sk-SK"/>
        </w:rPr>
        <w:t>2 roky</w:t>
      </w:r>
    </w:p>
    <w:p w:rsidR="00761EAD" w:rsidRPr="004B6827" w:rsidRDefault="00761EAD" w:rsidP="000F4A9B">
      <w:pPr>
        <w:rPr>
          <w:szCs w:val="22"/>
          <w:lang w:val="sk-SK"/>
        </w:rPr>
      </w:pPr>
    </w:p>
    <w:p w:rsidR="00761EAD" w:rsidRPr="004B6827" w:rsidRDefault="00761EAD" w:rsidP="00761EAD">
      <w:pPr>
        <w:rPr>
          <w:lang w:val="sk-SK"/>
        </w:rPr>
      </w:pPr>
      <w:r w:rsidRPr="004B6827">
        <w:rPr>
          <w:lang w:val="sk-SK"/>
        </w:rPr>
        <w:t xml:space="preserve">V 30-tabletovom </w:t>
      </w:r>
      <w:r w:rsidR="00446590" w:rsidRPr="004B6827">
        <w:rPr>
          <w:lang w:val="sk-SK"/>
        </w:rPr>
        <w:t xml:space="preserve">obale z </w:t>
      </w:r>
      <w:r w:rsidRPr="004B6827">
        <w:rPr>
          <w:lang w:val="sk-SK"/>
        </w:rPr>
        <w:t>polypropylén</w:t>
      </w:r>
      <w:r w:rsidR="00446590" w:rsidRPr="004B6827">
        <w:rPr>
          <w:lang w:val="sk-SK"/>
        </w:rPr>
        <w:t>u</w:t>
      </w:r>
      <w:r w:rsidRPr="004B6827">
        <w:rPr>
          <w:lang w:val="sk-SK"/>
        </w:rPr>
        <w:t xml:space="preserve"> sú tablety stabilné 30 dní po otvorení.</w:t>
      </w:r>
    </w:p>
    <w:p w:rsidR="00761EAD" w:rsidRPr="004B6827" w:rsidRDefault="00761EAD" w:rsidP="00761EAD">
      <w:pPr>
        <w:rPr>
          <w:szCs w:val="22"/>
          <w:lang w:val="sk-SK"/>
        </w:rPr>
      </w:pPr>
      <w:r w:rsidRPr="004B6827">
        <w:rPr>
          <w:lang w:val="sk-SK"/>
        </w:rPr>
        <w:t>V 100-tabletovom obale z polyetylénu s vysokou hustotou sú tablety stabilné 100 dní po otvorení.</w:t>
      </w:r>
    </w:p>
    <w:p w:rsidR="000F4A9B" w:rsidRPr="004B6827" w:rsidRDefault="000F4A9B" w:rsidP="000F4A9B">
      <w:pPr>
        <w:tabs>
          <w:tab w:val="clear" w:pos="567"/>
        </w:tabs>
        <w:spacing w:line="240" w:lineRule="auto"/>
        <w:rPr>
          <w:szCs w:val="22"/>
          <w:lang w:val="sk-SK"/>
        </w:rPr>
      </w:pPr>
    </w:p>
    <w:p w:rsidR="000F4A9B" w:rsidRPr="004B6827" w:rsidRDefault="000F4A9B" w:rsidP="000F4A9B">
      <w:pPr>
        <w:rPr>
          <w:szCs w:val="22"/>
          <w:lang w:val="sk-SK"/>
        </w:rPr>
      </w:pPr>
      <w:r w:rsidRPr="004B6827">
        <w:rPr>
          <w:b/>
          <w:szCs w:val="22"/>
          <w:lang w:val="sk-SK"/>
        </w:rPr>
        <w:t>6.4</w:t>
      </w:r>
      <w:r w:rsidRPr="004B6827">
        <w:rPr>
          <w:b/>
          <w:szCs w:val="22"/>
          <w:lang w:val="sk-SK"/>
        </w:rPr>
        <w:tab/>
        <w:t>Špeciálne upozornenia na uchovávanie</w:t>
      </w:r>
    </w:p>
    <w:p w:rsidR="000F4A9B" w:rsidRPr="004B6827" w:rsidRDefault="000F4A9B" w:rsidP="000F4A9B">
      <w:pPr>
        <w:tabs>
          <w:tab w:val="clear" w:pos="567"/>
        </w:tabs>
        <w:spacing w:line="240" w:lineRule="auto"/>
        <w:rPr>
          <w:szCs w:val="22"/>
          <w:lang w:val="sk-SK"/>
        </w:rPr>
      </w:pPr>
    </w:p>
    <w:p w:rsidR="00E71289" w:rsidRPr="004B6827" w:rsidRDefault="00E71289" w:rsidP="00E71289">
      <w:pPr>
        <w:rPr>
          <w:szCs w:val="22"/>
          <w:lang w:val="sk-SK"/>
        </w:rPr>
      </w:pPr>
      <w:r w:rsidRPr="004B6827">
        <w:rPr>
          <w:szCs w:val="22"/>
          <w:lang w:val="sk-SK"/>
        </w:rPr>
        <w:t>PP obal: Tento liek nevyžaduje</w:t>
      </w:r>
      <w:r w:rsidRPr="004B6827">
        <w:rPr>
          <w:bCs/>
          <w:szCs w:val="22"/>
          <w:lang w:val="sk-SK"/>
        </w:rPr>
        <w:t xml:space="preserve"> žiadne zvláštne teplotné podmienky na uchovávanie.</w:t>
      </w:r>
    </w:p>
    <w:p w:rsidR="00E71289" w:rsidRPr="004B6827" w:rsidRDefault="00E71289" w:rsidP="00E71289">
      <w:pPr>
        <w:rPr>
          <w:szCs w:val="22"/>
          <w:lang w:val="sk-SK"/>
        </w:rPr>
      </w:pPr>
    </w:p>
    <w:p w:rsidR="00E71289" w:rsidRPr="004B6827" w:rsidRDefault="00E71289" w:rsidP="00E71289">
      <w:pPr>
        <w:rPr>
          <w:bCs/>
          <w:szCs w:val="22"/>
          <w:lang w:val="sk-SK"/>
        </w:rPr>
      </w:pPr>
      <w:r w:rsidRPr="004B6827">
        <w:rPr>
          <w:szCs w:val="22"/>
          <w:lang w:val="sk-SK"/>
        </w:rPr>
        <w:t xml:space="preserve">HDPE obal (všetky </w:t>
      </w:r>
      <w:r w:rsidR="00960028" w:rsidRPr="004B6827">
        <w:rPr>
          <w:szCs w:val="22"/>
          <w:lang w:val="sk-SK"/>
        </w:rPr>
        <w:t xml:space="preserve">sily </w:t>
      </w:r>
      <w:r w:rsidRPr="004B6827">
        <w:rPr>
          <w:szCs w:val="22"/>
          <w:lang w:val="sk-SK"/>
        </w:rPr>
        <w:t>okrem 40 mg/10 mg/10 mg): Tento liek nevyžaduje</w:t>
      </w:r>
      <w:r w:rsidRPr="004B6827">
        <w:rPr>
          <w:bCs/>
          <w:szCs w:val="22"/>
          <w:lang w:val="sk-SK"/>
        </w:rPr>
        <w:t xml:space="preserve"> žiadne zvláštne teplotné podmienky na uchovávanie.</w:t>
      </w:r>
    </w:p>
    <w:p w:rsidR="00E71289" w:rsidRPr="004B6827" w:rsidRDefault="00E71289" w:rsidP="00E71289">
      <w:pPr>
        <w:rPr>
          <w:bCs/>
          <w:szCs w:val="22"/>
          <w:lang w:val="sk-SK"/>
        </w:rPr>
      </w:pPr>
    </w:p>
    <w:p w:rsidR="00E71289" w:rsidRPr="004B6827" w:rsidRDefault="00E71289" w:rsidP="00E71289">
      <w:pPr>
        <w:rPr>
          <w:lang w:val="sk-SK"/>
        </w:rPr>
      </w:pPr>
      <w:r w:rsidRPr="004B6827">
        <w:rPr>
          <w:szCs w:val="22"/>
          <w:lang w:val="sk-SK"/>
        </w:rPr>
        <w:t xml:space="preserve">HDPE obal (sila 40 mg/10 mg/10 mg): </w:t>
      </w:r>
      <w:r w:rsidR="00960028" w:rsidRPr="004B6827">
        <w:rPr>
          <w:szCs w:val="22"/>
          <w:lang w:val="sk-SK"/>
        </w:rPr>
        <w:t>Uchovávajte pri teplote neprevyšujúcej</w:t>
      </w:r>
      <w:r w:rsidRPr="004B6827">
        <w:rPr>
          <w:szCs w:val="22"/>
          <w:lang w:val="sk-SK"/>
        </w:rPr>
        <w:t xml:space="preserve"> </w:t>
      </w:r>
      <w:r w:rsidRPr="004B6827">
        <w:rPr>
          <w:lang w:val="sk-SK"/>
        </w:rPr>
        <w:t>30°C.</w:t>
      </w:r>
    </w:p>
    <w:p w:rsidR="00E71289" w:rsidRPr="004B6827" w:rsidRDefault="00E71289" w:rsidP="00E71289">
      <w:pPr>
        <w:rPr>
          <w:lang w:val="sk-SK"/>
        </w:rPr>
      </w:pPr>
    </w:p>
    <w:p w:rsidR="00E71289" w:rsidRPr="004B6827" w:rsidRDefault="00E71289" w:rsidP="00E71289">
      <w:pPr>
        <w:rPr>
          <w:szCs w:val="22"/>
          <w:lang w:val="sk-SK"/>
        </w:rPr>
      </w:pPr>
      <w:r w:rsidRPr="004B6827">
        <w:rPr>
          <w:bCs/>
          <w:iCs/>
          <w:szCs w:val="22"/>
          <w:lang w:val="sk-SK"/>
        </w:rPr>
        <w:t>Obal udržiavajte dôkladne uzatvorený na ochranu pred vlhkosťou.</w:t>
      </w:r>
    </w:p>
    <w:p w:rsidR="000F4A9B" w:rsidRPr="004B6827" w:rsidRDefault="000F4A9B" w:rsidP="000F4A9B">
      <w:pPr>
        <w:tabs>
          <w:tab w:val="clear" w:pos="567"/>
        </w:tabs>
        <w:spacing w:line="240" w:lineRule="auto"/>
        <w:rPr>
          <w:szCs w:val="22"/>
          <w:lang w:val="sk-SK"/>
        </w:rPr>
      </w:pPr>
    </w:p>
    <w:p w:rsidR="000F4A9B" w:rsidRPr="004B6827" w:rsidRDefault="000F4A9B" w:rsidP="000F4A9B">
      <w:pPr>
        <w:rPr>
          <w:szCs w:val="22"/>
          <w:lang w:val="sk-SK"/>
        </w:rPr>
      </w:pPr>
      <w:r w:rsidRPr="004B6827">
        <w:rPr>
          <w:b/>
          <w:szCs w:val="22"/>
          <w:lang w:val="sk-SK"/>
        </w:rPr>
        <w:t>6.5</w:t>
      </w:r>
      <w:r w:rsidRPr="004B6827">
        <w:rPr>
          <w:b/>
          <w:szCs w:val="22"/>
          <w:lang w:val="sk-SK"/>
        </w:rPr>
        <w:tab/>
        <w:t xml:space="preserve">Druh obalu a obsah balenia </w:t>
      </w:r>
    </w:p>
    <w:p w:rsidR="000F4A9B" w:rsidRPr="004B6827" w:rsidRDefault="000F4A9B" w:rsidP="000F4A9B">
      <w:pPr>
        <w:tabs>
          <w:tab w:val="clear" w:pos="567"/>
        </w:tabs>
        <w:spacing w:line="240" w:lineRule="auto"/>
        <w:rPr>
          <w:szCs w:val="22"/>
          <w:lang w:val="sk-SK"/>
        </w:rPr>
      </w:pPr>
    </w:p>
    <w:p w:rsidR="00446590" w:rsidRPr="004B6827" w:rsidRDefault="00446590" w:rsidP="00446590">
      <w:pPr>
        <w:rPr>
          <w:lang w:val="sk-SK"/>
        </w:rPr>
      </w:pPr>
      <w:r w:rsidRPr="004B6827">
        <w:rPr>
          <w:lang w:val="sk-SK"/>
        </w:rPr>
        <w:t>30 filmom obalených tabliet v obale na tablety z</w:t>
      </w:r>
      <w:r w:rsidR="00F71879" w:rsidRPr="004B6827">
        <w:rPr>
          <w:lang w:val="sk-SK"/>
        </w:rPr>
        <w:t xml:space="preserve"> polypropylénu </w:t>
      </w:r>
      <w:r w:rsidRPr="004B6827">
        <w:rPr>
          <w:lang w:val="sk-SK"/>
        </w:rPr>
        <w:t xml:space="preserve">uzavretom </w:t>
      </w:r>
      <w:r w:rsidR="00F71879" w:rsidRPr="004B6827">
        <w:rPr>
          <w:lang w:val="sk-SK"/>
        </w:rPr>
        <w:t xml:space="preserve">LDPE </w:t>
      </w:r>
      <w:r w:rsidRPr="004B6827">
        <w:rPr>
          <w:lang w:val="sk-SK"/>
        </w:rPr>
        <w:t>zátkou. Zátka obsahuje vysúšadlo.</w:t>
      </w:r>
      <w:r w:rsidR="00F71879" w:rsidRPr="004B6827">
        <w:rPr>
          <w:lang w:val="sk-SK"/>
        </w:rPr>
        <w:t xml:space="preserve"> Obal na tablety 10 mg/5 mg/5 mg obsahuje LDPE</w:t>
      </w:r>
      <w:r w:rsidR="00A84B41" w:rsidRPr="004B6827">
        <w:rPr>
          <w:lang w:val="sk-SK"/>
        </w:rPr>
        <w:t xml:space="preserve"> reduk</w:t>
      </w:r>
      <w:r w:rsidR="000F15A4">
        <w:rPr>
          <w:lang w:val="sk-SK"/>
        </w:rPr>
        <w:t>ciu</w:t>
      </w:r>
      <w:r w:rsidR="00A84B41" w:rsidRPr="004B6827">
        <w:rPr>
          <w:lang w:val="sk-SK"/>
        </w:rPr>
        <w:t>.</w:t>
      </w:r>
    </w:p>
    <w:p w:rsidR="00446590" w:rsidRPr="004B6827" w:rsidRDefault="00446590" w:rsidP="00446590">
      <w:pPr>
        <w:rPr>
          <w:lang w:val="sk-SK"/>
        </w:rPr>
      </w:pPr>
    </w:p>
    <w:p w:rsidR="00446590" w:rsidRPr="004B6827" w:rsidRDefault="00446590" w:rsidP="00446590">
      <w:pPr>
        <w:rPr>
          <w:lang w:val="sk-SK"/>
        </w:rPr>
      </w:pPr>
      <w:r w:rsidRPr="00275323">
        <w:rPr>
          <w:lang w:val="sk-SK"/>
        </w:rPr>
        <w:t>100 filmom obalených tabliet v</w:t>
      </w:r>
      <w:r w:rsidR="00A84B41" w:rsidRPr="00275323">
        <w:rPr>
          <w:lang w:val="sk-SK"/>
        </w:rPr>
        <w:t> </w:t>
      </w:r>
      <w:r w:rsidRPr="00275323">
        <w:rPr>
          <w:lang w:val="sk-SK"/>
        </w:rPr>
        <w:t>obale</w:t>
      </w:r>
      <w:r w:rsidR="00A84B41" w:rsidRPr="00275323">
        <w:rPr>
          <w:lang w:val="sk-SK"/>
        </w:rPr>
        <w:t xml:space="preserve"> z polyetylénu s vysokou hustotou</w:t>
      </w:r>
      <w:r w:rsidRPr="004B6827">
        <w:rPr>
          <w:lang w:val="sk-SK"/>
        </w:rPr>
        <w:t xml:space="preserve"> so skrutkovým uzáverom. Skrutkový uzáver obsahuje vysúšadlo</w:t>
      </w:r>
      <w:r w:rsidR="00A84B41" w:rsidRPr="004B6827">
        <w:rPr>
          <w:lang w:val="sk-SK"/>
        </w:rPr>
        <w:t xml:space="preserve">. Obal na tablety obsahuje </w:t>
      </w:r>
      <w:r w:rsidRPr="004B6827">
        <w:rPr>
          <w:lang w:val="sk-SK"/>
        </w:rPr>
        <w:t>kapsuly vysúšadla.</w:t>
      </w:r>
    </w:p>
    <w:p w:rsidR="000F049B" w:rsidRPr="004B6827" w:rsidRDefault="000F049B" w:rsidP="000F4A9B">
      <w:pPr>
        <w:rPr>
          <w:szCs w:val="22"/>
          <w:lang w:val="sk-SK"/>
        </w:rPr>
      </w:pPr>
    </w:p>
    <w:p w:rsidR="000F4A9B" w:rsidRPr="004B6827" w:rsidRDefault="00A84B41" w:rsidP="000F4A9B">
      <w:pPr>
        <w:rPr>
          <w:szCs w:val="22"/>
          <w:lang w:val="sk-SK"/>
        </w:rPr>
      </w:pPr>
      <w:r w:rsidRPr="004B6827">
        <w:rPr>
          <w:szCs w:val="22"/>
          <w:lang w:val="sk-SK"/>
        </w:rPr>
        <w:t>Škatuľka s 30, 90 (3 obaly na tablety s 30 tabletami) alebo 100 filmom obalenými tabletami.</w:t>
      </w:r>
    </w:p>
    <w:p w:rsidR="000F4A9B" w:rsidRPr="004B6827" w:rsidRDefault="000F4A9B" w:rsidP="000F4A9B">
      <w:pPr>
        <w:rPr>
          <w:szCs w:val="22"/>
          <w:lang w:val="sk-SK"/>
        </w:rPr>
      </w:pPr>
    </w:p>
    <w:p w:rsidR="000F4A9B" w:rsidRPr="004B6827" w:rsidRDefault="000F4A9B" w:rsidP="000F4A9B">
      <w:pPr>
        <w:rPr>
          <w:szCs w:val="22"/>
          <w:lang w:val="sk-SK"/>
        </w:rPr>
      </w:pPr>
      <w:r w:rsidRPr="004B6827">
        <w:rPr>
          <w:szCs w:val="22"/>
          <w:lang w:val="sk-SK"/>
        </w:rPr>
        <w:t>Na trh nemusia byť uvedené všetky veľkosti balenia.</w:t>
      </w:r>
    </w:p>
    <w:p w:rsidR="000F4A9B" w:rsidRPr="004B6827" w:rsidRDefault="000F4A9B" w:rsidP="000F4A9B">
      <w:pPr>
        <w:rPr>
          <w:szCs w:val="22"/>
          <w:lang w:val="sk-SK"/>
        </w:rPr>
      </w:pPr>
    </w:p>
    <w:p w:rsidR="000F4A9B" w:rsidRPr="004B6827" w:rsidRDefault="000F4A9B" w:rsidP="000F4A9B">
      <w:pPr>
        <w:rPr>
          <w:szCs w:val="22"/>
          <w:lang w:val="sk-SK"/>
        </w:rPr>
      </w:pPr>
      <w:r w:rsidRPr="004B6827">
        <w:rPr>
          <w:b/>
          <w:szCs w:val="22"/>
          <w:lang w:val="sk-SK"/>
        </w:rPr>
        <w:t>6.6</w:t>
      </w:r>
      <w:r w:rsidRPr="004B6827">
        <w:rPr>
          <w:b/>
          <w:szCs w:val="22"/>
          <w:lang w:val="sk-SK"/>
        </w:rPr>
        <w:tab/>
        <w:t>Špeciálne opatrenia na likvidáciu</w:t>
      </w:r>
    </w:p>
    <w:p w:rsidR="000F4A9B" w:rsidRPr="004B6827" w:rsidRDefault="000F4A9B" w:rsidP="000F4A9B">
      <w:pPr>
        <w:tabs>
          <w:tab w:val="clear" w:pos="567"/>
        </w:tabs>
        <w:spacing w:line="240" w:lineRule="auto"/>
        <w:rPr>
          <w:szCs w:val="22"/>
          <w:lang w:val="sk-SK"/>
        </w:rPr>
      </w:pPr>
    </w:p>
    <w:p w:rsidR="000F4A9B" w:rsidRPr="004B6827" w:rsidRDefault="00EE4F83" w:rsidP="000F4A9B">
      <w:pPr>
        <w:rPr>
          <w:szCs w:val="22"/>
          <w:lang w:val="sk-SK"/>
        </w:rPr>
      </w:pPr>
      <w:r w:rsidRPr="004B6827">
        <w:rPr>
          <w:szCs w:val="22"/>
          <w:lang w:val="sk-SK" w:eastAsia="fr-FR"/>
        </w:rPr>
        <w:t>Žiadne zvláštne požiadavky na likvidáciu</w:t>
      </w:r>
      <w:r w:rsidR="000F4A9B" w:rsidRPr="004B6827">
        <w:rPr>
          <w:szCs w:val="22"/>
          <w:lang w:val="sk-SK" w:eastAsia="fr-FR"/>
        </w:rPr>
        <w:t>.</w:t>
      </w:r>
    </w:p>
    <w:p w:rsidR="000F4A9B" w:rsidRPr="004B6827" w:rsidRDefault="000F4A9B" w:rsidP="000F4A9B">
      <w:pPr>
        <w:tabs>
          <w:tab w:val="clear" w:pos="567"/>
        </w:tabs>
        <w:spacing w:line="240" w:lineRule="auto"/>
        <w:rPr>
          <w:szCs w:val="22"/>
          <w:lang w:val="sk-SK"/>
        </w:rPr>
      </w:pPr>
    </w:p>
    <w:p w:rsidR="000F4A9B" w:rsidRPr="004B6827" w:rsidRDefault="000F4A9B" w:rsidP="000F4A9B">
      <w:pPr>
        <w:tabs>
          <w:tab w:val="clear" w:pos="567"/>
        </w:tabs>
        <w:spacing w:line="240" w:lineRule="auto"/>
        <w:rPr>
          <w:szCs w:val="22"/>
          <w:lang w:val="sk-SK"/>
        </w:rPr>
      </w:pPr>
    </w:p>
    <w:p w:rsidR="000F4A9B" w:rsidRPr="004B6827" w:rsidRDefault="000F4A9B" w:rsidP="000F4A9B">
      <w:pPr>
        <w:rPr>
          <w:szCs w:val="22"/>
          <w:lang w:val="sk-SK"/>
        </w:rPr>
      </w:pPr>
      <w:r w:rsidRPr="004B6827">
        <w:rPr>
          <w:b/>
          <w:szCs w:val="22"/>
          <w:lang w:val="sk-SK"/>
        </w:rPr>
        <w:t>7.</w:t>
      </w:r>
      <w:r w:rsidRPr="004B6827">
        <w:rPr>
          <w:b/>
          <w:szCs w:val="22"/>
          <w:lang w:val="sk-SK"/>
        </w:rPr>
        <w:tab/>
        <w:t>DRŽITEĽ ROZHODNUTIA O REGISTRÁCII</w:t>
      </w:r>
    </w:p>
    <w:p w:rsidR="000F4A9B" w:rsidRPr="004B6827" w:rsidRDefault="000F4A9B" w:rsidP="000F4A9B">
      <w:pPr>
        <w:tabs>
          <w:tab w:val="clear" w:pos="567"/>
        </w:tabs>
        <w:spacing w:line="240" w:lineRule="auto"/>
        <w:rPr>
          <w:szCs w:val="22"/>
          <w:lang w:val="sk-SK"/>
        </w:rPr>
      </w:pPr>
    </w:p>
    <w:p w:rsidR="000F4A9B" w:rsidRPr="004B6827" w:rsidRDefault="000F4A9B" w:rsidP="000F4A9B">
      <w:pPr>
        <w:rPr>
          <w:szCs w:val="22"/>
          <w:lang w:val="sk-SK"/>
        </w:rPr>
      </w:pPr>
      <w:r w:rsidRPr="004B6827">
        <w:rPr>
          <w:szCs w:val="22"/>
          <w:lang w:val="sk-SK"/>
        </w:rPr>
        <w:t>Les Laboratoires Servier</w:t>
      </w:r>
    </w:p>
    <w:p w:rsidR="000F4A9B" w:rsidRPr="004B6827" w:rsidRDefault="000F4A9B" w:rsidP="000F4A9B">
      <w:pPr>
        <w:rPr>
          <w:szCs w:val="22"/>
          <w:lang w:val="sk-SK" w:eastAsia="fr-FR"/>
        </w:rPr>
      </w:pPr>
      <w:r w:rsidRPr="004B6827">
        <w:rPr>
          <w:szCs w:val="22"/>
          <w:lang w:val="sk-SK" w:eastAsia="fr-FR"/>
        </w:rPr>
        <w:lastRenderedPageBreak/>
        <w:t>50, rue Carnot</w:t>
      </w:r>
    </w:p>
    <w:p w:rsidR="000F4A9B" w:rsidRPr="004B6827" w:rsidRDefault="000F4A9B" w:rsidP="000F4A9B">
      <w:pPr>
        <w:rPr>
          <w:szCs w:val="22"/>
          <w:lang w:val="sk-SK" w:eastAsia="fr-FR"/>
        </w:rPr>
      </w:pPr>
      <w:r w:rsidRPr="004B6827">
        <w:rPr>
          <w:szCs w:val="22"/>
          <w:lang w:val="sk-SK" w:eastAsia="fr-FR"/>
        </w:rPr>
        <w:t>92284 Suresnes cedex</w:t>
      </w:r>
    </w:p>
    <w:p w:rsidR="000F4A9B" w:rsidRPr="004B6827" w:rsidRDefault="000F4A9B" w:rsidP="000F4A9B">
      <w:pPr>
        <w:rPr>
          <w:szCs w:val="22"/>
          <w:lang w:val="sk-SK"/>
        </w:rPr>
      </w:pPr>
      <w:r w:rsidRPr="004B6827">
        <w:rPr>
          <w:szCs w:val="22"/>
          <w:lang w:val="sk-SK"/>
        </w:rPr>
        <w:t>Francúzsko</w:t>
      </w:r>
    </w:p>
    <w:p w:rsidR="000F4A9B" w:rsidRPr="004B6827" w:rsidRDefault="000F4A9B" w:rsidP="000F4A9B">
      <w:pPr>
        <w:tabs>
          <w:tab w:val="clear" w:pos="567"/>
        </w:tabs>
        <w:spacing w:line="240" w:lineRule="auto"/>
        <w:rPr>
          <w:szCs w:val="22"/>
          <w:lang w:val="sk-SK"/>
        </w:rPr>
      </w:pPr>
    </w:p>
    <w:p w:rsidR="000F4A9B" w:rsidRPr="004B6827" w:rsidRDefault="000F4A9B" w:rsidP="000F4A9B">
      <w:pPr>
        <w:tabs>
          <w:tab w:val="clear" w:pos="567"/>
        </w:tabs>
        <w:spacing w:line="240" w:lineRule="auto"/>
        <w:rPr>
          <w:szCs w:val="22"/>
          <w:lang w:val="sk-SK"/>
        </w:rPr>
      </w:pPr>
    </w:p>
    <w:p w:rsidR="000F4A9B" w:rsidRPr="004B6827" w:rsidRDefault="000F4A9B" w:rsidP="000F4A9B">
      <w:pPr>
        <w:rPr>
          <w:b/>
          <w:szCs w:val="22"/>
          <w:lang w:val="sk-SK"/>
        </w:rPr>
      </w:pPr>
      <w:r w:rsidRPr="004B6827">
        <w:rPr>
          <w:b/>
          <w:szCs w:val="22"/>
          <w:lang w:val="sk-SK"/>
        </w:rPr>
        <w:t>8.</w:t>
      </w:r>
      <w:r w:rsidRPr="004B6827">
        <w:rPr>
          <w:b/>
          <w:szCs w:val="22"/>
          <w:lang w:val="sk-SK"/>
        </w:rPr>
        <w:tab/>
        <w:t>REGISTRAČNÉ ČÍSLO</w:t>
      </w:r>
    </w:p>
    <w:p w:rsidR="007C452E" w:rsidRPr="004B6827" w:rsidRDefault="007C452E" w:rsidP="00EE4F83">
      <w:pPr>
        <w:spacing w:line="240" w:lineRule="auto"/>
        <w:ind w:left="567" w:hanging="567"/>
        <w:rPr>
          <w:noProof/>
          <w:szCs w:val="22"/>
          <w:lang w:val="sk-SK" w:eastAsia="sk-SK"/>
        </w:rPr>
      </w:pPr>
    </w:p>
    <w:p w:rsidR="00EE4F83" w:rsidRPr="004B6827" w:rsidRDefault="00212A25" w:rsidP="00EE4F83">
      <w:pPr>
        <w:spacing w:line="240" w:lineRule="auto"/>
        <w:ind w:left="567" w:hanging="567"/>
        <w:rPr>
          <w:noProof/>
          <w:szCs w:val="22"/>
          <w:lang w:val="sk-SK" w:eastAsia="sk-SK"/>
        </w:rPr>
      </w:pPr>
      <w:r w:rsidRPr="004B6827">
        <w:rPr>
          <w:noProof/>
          <w:szCs w:val="22"/>
          <w:lang w:val="sk-SK" w:eastAsia="sk-SK"/>
        </w:rPr>
        <w:t>Lipertance</w:t>
      </w:r>
      <w:r w:rsidR="00EE4F83" w:rsidRPr="004B6827">
        <w:rPr>
          <w:noProof/>
          <w:szCs w:val="22"/>
          <w:lang w:val="sk-SK" w:eastAsia="sk-SK"/>
        </w:rPr>
        <w:t xml:space="preserve"> 10 mg/5 mg/5 mg:</w:t>
      </w:r>
      <w:r w:rsidR="00352EE1" w:rsidRPr="00B57E8C">
        <w:rPr>
          <w:lang w:val="sk-SK"/>
        </w:rPr>
        <w:t xml:space="preserve"> </w:t>
      </w:r>
      <w:r w:rsidR="00352EE1" w:rsidRPr="004B6827">
        <w:rPr>
          <w:noProof/>
          <w:szCs w:val="22"/>
          <w:lang w:val="sk-SK" w:eastAsia="sk-SK"/>
        </w:rPr>
        <w:t>58/0390/15-S</w:t>
      </w:r>
    </w:p>
    <w:p w:rsidR="00EE4F83" w:rsidRPr="004B6827" w:rsidRDefault="00212A25" w:rsidP="00EE4F83">
      <w:pPr>
        <w:spacing w:line="240" w:lineRule="auto"/>
        <w:ind w:left="567" w:hanging="567"/>
        <w:rPr>
          <w:noProof/>
          <w:szCs w:val="22"/>
          <w:lang w:val="sk-SK" w:eastAsia="sk-SK"/>
        </w:rPr>
      </w:pPr>
      <w:r w:rsidRPr="004B6827">
        <w:rPr>
          <w:noProof/>
          <w:szCs w:val="22"/>
          <w:lang w:val="sk-SK" w:eastAsia="sk-SK"/>
        </w:rPr>
        <w:t>Lipertance</w:t>
      </w:r>
      <w:r w:rsidR="00EE4F83" w:rsidRPr="00275323">
        <w:rPr>
          <w:noProof/>
          <w:szCs w:val="22"/>
          <w:lang w:val="sk-SK" w:eastAsia="sk-SK"/>
        </w:rPr>
        <w:t xml:space="preserve"> 20 mg/5 mg/5 mg:</w:t>
      </w:r>
      <w:r w:rsidR="00352EE1" w:rsidRPr="00B57E8C">
        <w:rPr>
          <w:lang w:val="sk-SK"/>
        </w:rPr>
        <w:t xml:space="preserve"> </w:t>
      </w:r>
      <w:r w:rsidR="00352EE1" w:rsidRPr="004B6827">
        <w:rPr>
          <w:noProof/>
          <w:szCs w:val="22"/>
          <w:lang w:val="sk-SK" w:eastAsia="sk-SK"/>
        </w:rPr>
        <w:t>58/0391/15-S</w:t>
      </w:r>
    </w:p>
    <w:p w:rsidR="00EE4F83" w:rsidRPr="004B6827" w:rsidRDefault="00212A25" w:rsidP="00EE4F83">
      <w:pPr>
        <w:spacing w:line="240" w:lineRule="auto"/>
        <w:ind w:left="567" w:hanging="567"/>
        <w:rPr>
          <w:noProof/>
          <w:szCs w:val="22"/>
          <w:lang w:val="sk-SK" w:eastAsia="sk-SK"/>
        </w:rPr>
      </w:pPr>
      <w:r w:rsidRPr="00275323">
        <w:rPr>
          <w:noProof/>
          <w:szCs w:val="22"/>
          <w:lang w:val="sk-SK" w:eastAsia="sk-SK"/>
        </w:rPr>
        <w:t>Lipertance</w:t>
      </w:r>
      <w:r w:rsidR="00EE4F83" w:rsidRPr="00275323">
        <w:rPr>
          <w:noProof/>
          <w:szCs w:val="22"/>
          <w:lang w:val="sk-SK" w:eastAsia="sk-SK"/>
        </w:rPr>
        <w:t xml:space="preserve"> 20 mg/10 mg/5 mg:</w:t>
      </w:r>
      <w:r w:rsidR="00352EE1" w:rsidRPr="00B57E8C">
        <w:rPr>
          <w:lang w:val="sk-SK"/>
        </w:rPr>
        <w:t xml:space="preserve"> </w:t>
      </w:r>
      <w:r w:rsidR="00352EE1" w:rsidRPr="004B6827">
        <w:rPr>
          <w:noProof/>
          <w:szCs w:val="22"/>
          <w:lang w:val="sk-SK" w:eastAsia="sk-SK"/>
        </w:rPr>
        <w:t>58/0392/15-S</w:t>
      </w:r>
    </w:p>
    <w:p w:rsidR="00EE4F83" w:rsidRPr="004B6827" w:rsidRDefault="00212A25" w:rsidP="00EE4F83">
      <w:pPr>
        <w:spacing w:line="240" w:lineRule="auto"/>
        <w:ind w:left="567" w:hanging="567"/>
        <w:rPr>
          <w:noProof/>
          <w:szCs w:val="22"/>
          <w:lang w:val="sk-SK" w:eastAsia="sk-SK"/>
        </w:rPr>
      </w:pPr>
      <w:r w:rsidRPr="00275323">
        <w:rPr>
          <w:noProof/>
          <w:szCs w:val="22"/>
          <w:lang w:val="sk-SK" w:eastAsia="sk-SK"/>
        </w:rPr>
        <w:t>Lipertance</w:t>
      </w:r>
      <w:r w:rsidR="00EE4F83" w:rsidRPr="00275323">
        <w:rPr>
          <w:noProof/>
          <w:szCs w:val="22"/>
          <w:lang w:val="sk-SK" w:eastAsia="sk-SK"/>
        </w:rPr>
        <w:t xml:space="preserve"> 20 mg/10 mg/10 mg:</w:t>
      </w:r>
      <w:r w:rsidR="00352EE1" w:rsidRPr="00B57E8C">
        <w:rPr>
          <w:lang w:val="sk-SK"/>
        </w:rPr>
        <w:t xml:space="preserve"> </w:t>
      </w:r>
      <w:r w:rsidR="00352EE1" w:rsidRPr="004B6827">
        <w:rPr>
          <w:noProof/>
          <w:szCs w:val="22"/>
          <w:lang w:val="sk-SK" w:eastAsia="sk-SK"/>
        </w:rPr>
        <w:t>58/0393/15-S</w:t>
      </w:r>
    </w:p>
    <w:p w:rsidR="00EE4F83" w:rsidRPr="004B6827" w:rsidRDefault="00212A25" w:rsidP="00EE4F83">
      <w:pPr>
        <w:spacing w:line="240" w:lineRule="auto"/>
        <w:ind w:left="567" w:hanging="567"/>
        <w:rPr>
          <w:noProof/>
          <w:szCs w:val="22"/>
          <w:lang w:val="sk-SK" w:eastAsia="sk-SK"/>
        </w:rPr>
      </w:pPr>
      <w:r w:rsidRPr="00275323">
        <w:rPr>
          <w:noProof/>
          <w:szCs w:val="22"/>
          <w:lang w:val="sk-SK" w:eastAsia="sk-SK"/>
        </w:rPr>
        <w:t>Lipertance</w:t>
      </w:r>
      <w:r w:rsidR="00EE4F83" w:rsidRPr="00275323">
        <w:rPr>
          <w:noProof/>
          <w:szCs w:val="22"/>
          <w:lang w:val="sk-SK" w:eastAsia="sk-SK"/>
        </w:rPr>
        <w:t xml:space="preserve"> 40 mg/10 mg/10 mg:</w:t>
      </w:r>
      <w:r w:rsidR="00352EE1" w:rsidRPr="00B57E8C">
        <w:rPr>
          <w:lang w:val="sk-SK"/>
        </w:rPr>
        <w:t xml:space="preserve"> </w:t>
      </w:r>
      <w:r w:rsidR="00352EE1" w:rsidRPr="004B6827">
        <w:rPr>
          <w:noProof/>
          <w:szCs w:val="22"/>
          <w:lang w:val="sk-SK" w:eastAsia="sk-SK"/>
        </w:rPr>
        <w:t>58/0394/15-S</w:t>
      </w:r>
    </w:p>
    <w:p w:rsidR="000F4A9B" w:rsidRPr="00275323" w:rsidRDefault="000F4A9B" w:rsidP="000F4A9B">
      <w:pPr>
        <w:spacing w:line="240" w:lineRule="auto"/>
        <w:ind w:left="567" w:hanging="567"/>
        <w:rPr>
          <w:noProof/>
          <w:szCs w:val="22"/>
          <w:lang w:val="sk-SK" w:eastAsia="sk-SK"/>
        </w:rPr>
      </w:pPr>
    </w:p>
    <w:p w:rsidR="000F4A9B" w:rsidRPr="004B6827" w:rsidRDefault="000F4A9B" w:rsidP="000F4A9B">
      <w:pPr>
        <w:tabs>
          <w:tab w:val="clear" w:pos="567"/>
        </w:tabs>
        <w:spacing w:line="240" w:lineRule="auto"/>
        <w:rPr>
          <w:szCs w:val="22"/>
          <w:lang w:val="sk-SK"/>
        </w:rPr>
      </w:pPr>
    </w:p>
    <w:p w:rsidR="000F4A9B" w:rsidRPr="004B6827" w:rsidRDefault="000F4A9B" w:rsidP="000F4A9B">
      <w:pPr>
        <w:rPr>
          <w:szCs w:val="22"/>
          <w:lang w:val="sk-SK"/>
        </w:rPr>
      </w:pPr>
      <w:r w:rsidRPr="004B6827">
        <w:rPr>
          <w:b/>
          <w:szCs w:val="22"/>
          <w:lang w:val="sk-SK"/>
        </w:rPr>
        <w:t>9.</w:t>
      </w:r>
      <w:r w:rsidRPr="004B6827">
        <w:rPr>
          <w:b/>
          <w:szCs w:val="22"/>
          <w:lang w:val="sk-SK"/>
        </w:rPr>
        <w:tab/>
        <w:t>DÁTUM PRVEJ REGISTRÁCIE/PREDĹŽENIA REGISTRÁCIE</w:t>
      </w:r>
    </w:p>
    <w:p w:rsidR="000F4A9B" w:rsidRPr="004B6827" w:rsidRDefault="000F4A9B" w:rsidP="000F4A9B">
      <w:pPr>
        <w:tabs>
          <w:tab w:val="clear" w:pos="567"/>
        </w:tabs>
        <w:spacing w:line="240" w:lineRule="auto"/>
        <w:rPr>
          <w:szCs w:val="22"/>
          <w:lang w:val="sk-SK"/>
        </w:rPr>
      </w:pPr>
    </w:p>
    <w:p w:rsidR="000F4A9B" w:rsidRPr="004B6827" w:rsidRDefault="000F4A9B" w:rsidP="000F4A9B">
      <w:pPr>
        <w:tabs>
          <w:tab w:val="clear" w:pos="567"/>
        </w:tabs>
        <w:spacing w:line="240" w:lineRule="auto"/>
        <w:rPr>
          <w:szCs w:val="22"/>
          <w:lang w:val="sk-SK"/>
        </w:rPr>
      </w:pPr>
      <w:r w:rsidRPr="004B6827">
        <w:rPr>
          <w:szCs w:val="22"/>
          <w:lang w:val="sk-SK"/>
        </w:rPr>
        <w:t xml:space="preserve">Dátum prvej registrácie: </w:t>
      </w:r>
    </w:p>
    <w:p w:rsidR="000F4A9B" w:rsidRPr="004B6827" w:rsidRDefault="000F4A9B" w:rsidP="000F4A9B">
      <w:pPr>
        <w:tabs>
          <w:tab w:val="clear" w:pos="567"/>
        </w:tabs>
        <w:spacing w:line="240" w:lineRule="auto"/>
        <w:rPr>
          <w:szCs w:val="22"/>
          <w:lang w:val="sk-SK"/>
        </w:rPr>
      </w:pPr>
      <w:r w:rsidRPr="004B6827">
        <w:rPr>
          <w:szCs w:val="22"/>
          <w:lang w:val="sk-SK"/>
        </w:rPr>
        <w:t xml:space="preserve">Dátum posledného predĺženia registrácie: </w:t>
      </w:r>
    </w:p>
    <w:p w:rsidR="000F4A9B" w:rsidRPr="004B6827" w:rsidRDefault="000F4A9B" w:rsidP="000F4A9B">
      <w:pPr>
        <w:tabs>
          <w:tab w:val="clear" w:pos="567"/>
        </w:tabs>
        <w:spacing w:line="240" w:lineRule="auto"/>
        <w:rPr>
          <w:szCs w:val="22"/>
          <w:lang w:val="sk-SK"/>
        </w:rPr>
      </w:pPr>
    </w:p>
    <w:p w:rsidR="000F4A9B" w:rsidRPr="004B6827" w:rsidRDefault="000F4A9B" w:rsidP="000F4A9B">
      <w:pPr>
        <w:tabs>
          <w:tab w:val="clear" w:pos="567"/>
        </w:tabs>
        <w:spacing w:line="240" w:lineRule="auto"/>
        <w:rPr>
          <w:szCs w:val="22"/>
          <w:lang w:val="sk-SK"/>
        </w:rPr>
      </w:pPr>
    </w:p>
    <w:p w:rsidR="000F4A9B" w:rsidRPr="004B6827" w:rsidRDefault="000F4A9B" w:rsidP="000F4A9B">
      <w:pPr>
        <w:rPr>
          <w:b/>
          <w:szCs w:val="22"/>
          <w:lang w:val="sk-SK"/>
        </w:rPr>
      </w:pPr>
      <w:r w:rsidRPr="004B6827">
        <w:rPr>
          <w:b/>
          <w:szCs w:val="22"/>
          <w:lang w:val="sk-SK"/>
        </w:rPr>
        <w:t>10.</w:t>
      </w:r>
      <w:r w:rsidRPr="004B6827">
        <w:rPr>
          <w:b/>
          <w:szCs w:val="22"/>
          <w:lang w:val="sk-SK"/>
        </w:rPr>
        <w:tab/>
        <w:t>DÁTUM REVÍZIE TEXTU</w:t>
      </w:r>
    </w:p>
    <w:p w:rsidR="000F4A9B" w:rsidRPr="004B6827" w:rsidRDefault="000F4A9B" w:rsidP="000F4A9B">
      <w:pPr>
        <w:tabs>
          <w:tab w:val="clear" w:pos="567"/>
        </w:tabs>
        <w:spacing w:line="240" w:lineRule="auto"/>
        <w:rPr>
          <w:szCs w:val="22"/>
          <w:lang w:val="sk-SK"/>
        </w:rPr>
      </w:pPr>
    </w:p>
    <w:p w:rsidR="000F4A9B" w:rsidRPr="004B6827" w:rsidRDefault="002665C7" w:rsidP="00B239E2">
      <w:pPr>
        <w:tabs>
          <w:tab w:val="clear" w:pos="567"/>
        </w:tabs>
        <w:spacing w:line="240" w:lineRule="auto"/>
        <w:rPr>
          <w:szCs w:val="22"/>
          <w:lang w:val="sk-SK"/>
        </w:rPr>
      </w:pPr>
      <w:r>
        <w:rPr>
          <w:szCs w:val="22"/>
          <w:lang w:val="sk-SK"/>
        </w:rPr>
        <w:t>December</w:t>
      </w:r>
      <w:r w:rsidR="00960028" w:rsidRPr="004B6827">
        <w:rPr>
          <w:szCs w:val="22"/>
          <w:lang w:val="sk-SK"/>
        </w:rPr>
        <w:t xml:space="preserve"> 2015</w:t>
      </w:r>
    </w:p>
    <w:sectPr w:rsidR="000F4A9B" w:rsidRPr="004B6827" w:rsidSect="0035277A">
      <w:footerReference w:type="default" r:id="rId20"/>
      <w:headerReference w:type="first" r:id="rId21"/>
      <w:footerReference w:type="first" r:id="rId22"/>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2E8D69" w15:done="0"/>
  <w15:commentEx w15:paraId="0AADD6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B91" w:rsidRDefault="00CE1B91" w:rsidP="000322EB">
      <w:pPr>
        <w:spacing w:line="240" w:lineRule="auto"/>
      </w:pPr>
      <w:r>
        <w:separator/>
      </w:r>
    </w:p>
  </w:endnote>
  <w:endnote w:type="continuationSeparator" w:id="0">
    <w:p w:rsidR="00CE1B91" w:rsidRDefault="00CE1B91" w:rsidP="00032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MS Mincho"/>
    <w:panose1 w:val="00000000000000000000"/>
    <w:charset w:val="80"/>
    <w:family w:val="auto"/>
    <w:notTrueType/>
    <w:pitch w:val="default"/>
    <w:sig w:usb0="00000003" w:usb1="08070000" w:usb2="00000010" w:usb3="00000000" w:csb0="00020001"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960899"/>
      <w:docPartObj>
        <w:docPartGallery w:val="Page Numbers (Bottom of Page)"/>
        <w:docPartUnique/>
      </w:docPartObj>
    </w:sdtPr>
    <w:sdtEndPr>
      <w:rPr>
        <w:rFonts w:ascii="Times New Roman" w:hAnsi="Times New Roman"/>
        <w:sz w:val="18"/>
        <w:szCs w:val="18"/>
      </w:rPr>
    </w:sdtEndPr>
    <w:sdtContent>
      <w:p w:rsidR="00852A69" w:rsidRPr="00A61609" w:rsidRDefault="00852A69">
        <w:pPr>
          <w:pStyle w:val="Pta"/>
          <w:jc w:val="center"/>
          <w:rPr>
            <w:rFonts w:ascii="Times New Roman" w:hAnsi="Times New Roman"/>
            <w:sz w:val="18"/>
            <w:szCs w:val="18"/>
          </w:rPr>
        </w:pPr>
        <w:r w:rsidRPr="00A61609">
          <w:rPr>
            <w:rFonts w:ascii="Times New Roman" w:hAnsi="Times New Roman"/>
            <w:sz w:val="18"/>
            <w:szCs w:val="18"/>
          </w:rPr>
          <w:fldChar w:fldCharType="begin"/>
        </w:r>
        <w:r w:rsidRPr="00A61609">
          <w:rPr>
            <w:rFonts w:ascii="Times New Roman" w:hAnsi="Times New Roman"/>
            <w:sz w:val="18"/>
            <w:szCs w:val="18"/>
          </w:rPr>
          <w:instrText>PAGE   \* MERGEFORMAT</w:instrText>
        </w:r>
        <w:r w:rsidRPr="00A61609">
          <w:rPr>
            <w:rFonts w:ascii="Times New Roman" w:hAnsi="Times New Roman"/>
            <w:sz w:val="18"/>
            <w:szCs w:val="18"/>
          </w:rPr>
          <w:fldChar w:fldCharType="separate"/>
        </w:r>
        <w:r w:rsidR="00B54952" w:rsidRPr="00B54952">
          <w:rPr>
            <w:rFonts w:ascii="Times New Roman" w:hAnsi="Times New Roman"/>
            <w:noProof/>
            <w:sz w:val="18"/>
            <w:szCs w:val="18"/>
            <w:lang w:val="sk-SK"/>
          </w:rPr>
          <w:t>10</w:t>
        </w:r>
        <w:r w:rsidRPr="00A61609">
          <w:rPr>
            <w:rFonts w:ascii="Times New Roman" w:hAnsi="Times New Roman"/>
            <w:sz w:val="18"/>
            <w:szCs w:val="18"/>
          </w:rPr>
          <w:fldChar w:fldCharType="end"/>
        </w:r>
      </w:p>
    </w:sdtContent>
  </w:sdt>
  <w:p w:rsidR="00852A69" w:rsidRDefault="00852A6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0115455"/>
      <w:docPartObj>
        <w:docPartGallery w:val="Page Numbers (Bottom of Page)"/>
        <w:docPartUnique/>
      </w:docPartObj>
    </w:sdtPr>
    <w:sdtEndPr>
      <w:rPr>
        <w:rFonts w:ascii="Times New Roman" w:hAnsi="Times New Roman"/>
        <w:sz w:val="18"/>
        <w:szCs w:val="18"/>
      </w:rPr>
    </w:sdtEndPr>
    <w:sdtContent>
      <w:p w:rsidR="00852A69" w:rsidRPr="00A61609" w:rsidRDefault="00852A69">
        <w:pPr>
          <w:pStyle w:val="Pta"/>
          <w:jc w:val="center"/>
          <w:rPr>
            <w:rFonts w:ascii="Times New Roman" w:hAnsi="Times New Roman"/>
            <w:sz w:val="18"/>
            <w:szCs w:val="18"/>
          </w:rPr>
        </w:pPr>
        <w:r w:rsidRPr="00A61609">
          <w:rPr>
            <w:rFonts w:ascii="Times New Roman" w:hAnsi="Times New Roman"/>
            <w:sz w:val="18"/>
            <w:szCs w:val="18"/>
          </w:rPr>
          <w:fldChar w:fldCharType="begin"/>
        </w:r>
        <w:r w:rsidRPr="00A61609">
          <w:rPr>
            <w:rFonts w:ascii="Times New Roman" w:hAnsi="Times New Roman"/>
            <w:sz w:val="18"/>
            <w:szCs w:val="18"/>
          </w:rPr>
          <w:instrText>PAGE   \* MERGEFORMAT</w:instrText>
        </w:r>
        <w:r w:rsidRPr="00A61609">
          <w:rPr>
            <w:rFonts w:ascii="Times New Roman" w:hAnsi="Times New Roman"/>
            <w:sz w:val="18"/>
            <w:szCs w:val="18"/>
          </w:rPr>
          <w:fldChar w:fldCharType="separate"/>
        </w:r>
        <w:r w:rsidR="00B54952" w:rsidRPr="00B54952">
          <w:rPr>
            <w:rFonts w:ascii="Times New Roman" w:hAnsi="Times New Roman"/>
            <w:noProof/>
            <w:sz w:val="18"/>
            <w:szCs w:val="18"/>
            <w:lang w:val="sk-SK"/>
          </w:rPr>
          <w:t>1</w:t>
        </w:r>
        <w:r w:rsidRPr="00A61609">
          <w:rPr>
            <w:rFonts w:ascii="Times New Roman" w:hAnsi="Times New Roman"/>
            <w:sz w:val="18"/>
            <w:szCs w:val="18"/>
          </w:rPr>
          <w:fldChar w:fldCharType="end"/>
        </w:r>
      </w:p>
    </w:sdtContent>
  </w:sdt>
  <w:p w:rsidR="00852A69" w:rsidRDefault="00852A69">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553916"/>
      <w:docPartObj>
        <w:docPartGallery w:val="Page Numbers (Bottom of Page)"/>
        <w:docPartUnique/>
      </w:docPartObj>
    </w:sdtPr>
    <w:sdtEndPr>
      <w:rPr>
        <w:rFonts w:ascii="Times New Roman" w:hAnsi="Times New Roman"/>
        <w:sz w:val="18"/>
        <w:szCs w:val="18"/>
      </w:rPr>
    </w:sdtEndPr>
    <w:sdtContent>
      <w:p w:rsidR="00852A69" w:rsidRPr="0035277A" w:rsidRDefault="00852A69">
        <w:pPr>
          <w:pStyle w:val="Pta"/>
          <w:jc w:val="center"/>
          <w:rPr>
            <w:rFonts w:ascii="Times New Roman" w:hAnsi="Times New Roman"/>
            <w:sz w:val="18"/>
            <w:szCs w:val="18"/>
          </w:rPr>
        </w:pPr>
        <w:r w:rsidRPr="0035277A">
          <w:rPr>
            <w:rFonts w:ascii="Times New Roman" w:hAnsi="Times New Roman"/>
            <w:sz w:val="18"/>
            <w:szCs w:val="18"/>
          </w:rPr>
          <w:fldChar w:fldCharType="begin"/>
        </w:r>
        <w:r w:rsidRPr="0035277A">
          <w:rPr>
            <w:rFonts w:ascii="Times New Roman" w:hAnsi="Times New Roman"/>
            <w:sz w:val="18"/>
            <w:szCs w:val="18"/>
          </w:rPr>
          <w:instrText>PAGE   \* MERGEFORMAT</w:instrText>
        </w:r>
        <w:r w:rsidRPr="0035277A">
          <w:rPr>
            <w:rFonts w:ascii="Times New Roman" w:hAnsi="Times New Roman"/>
            <w:sz w:val="18"/>
            <w:szCs w:val="18"/>
          </w:rPr>
          <w:fldChar w:fldCharType="separate"/>
        </w:r>
        <w:r w:rsidR="00B54952" w:rsidRPr="00B54952">
          <w:rPr>
            <w:rFonts w:ascii="Times New Roman" w:hAnsi="Times New Roman"/>
            <w:noProof/>
            <w:sz w:val="18"/>
            <w:szCs w:val="18"/>
            <w:lang w:val="sk-SK"/>
          </w:rPr>
          <w:t>34</w:t>
        </w:r>
        <w:r w:rsidRPr="0035277A">
          <w:rPr>
            <w:rFonts w:ascii="Times New Roman" w:hAnsi="Times New Roman"/>
            <w:sz w:val="18"/>
            <w:szCs w:val="18"/>
          </w:rPr>
          <w:fldChar w:fldCharType="end"/>
        </w:r>
      </w:p>
    </w:sdtContent>
  </w:sdt>
  <w:p w:rsidR="00852A69" w:rsidRDefault="00852A69">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298482"/>
      <w:docPartObj>
        <w:docPartGallery w:val="Page Numbers (Bottom of Page)"/>
        <w:docPartUnique/>
      </w:docPartObj>
    </w:sdtPr>
    <w:sdtEndPr>
      <w:rPr>
        <w:rFonts w:ascii="Times New Roman" w:hAnsi="Times New Roman"/>
        <w:sz w:val="18"/>
        <w:szCs w:val="18"/>
      </w:rPr>
    </w:sdtEndPr>
    <w:sdtContent>
      <w:p w:rsidR="00852A69" w:rsidRPr="0035277A" w:rsidRDefault="00852A69">
        <w:pPr>
          <w:pStyle w:val="Pta"/>
          <w:jc w:val="center"/>
          <w:rPr>
            <w:rFonts w:ascii="Times New Roman" w:hAnsi="Times New Roman"/>
            <w:sz w:val="18"/>
            <w:szCs w:val="18"/>
          </w:rPr>
        </w:pPr>
        <w:r w:rsidRPr="0035277A">
          <w:rPr>
            <w:rFonts w:ascii="Times New Roman" w:hAnsi="Times New Roman"/>
            <w:sz w:val="18"/>
            <w:szCs w:val="18"/>
          </w:rPr>
          <w:fldChar w:fldCharType="begin"/>
        </w:r>
        <w:r w:rsidRPr="0035277A">
          <w:rPr>
            <w:rFonts w:ascii="Times New Roman" w:hAnsi="Times New Roman"/>
            <w:sz w:val="18"/>
            <w:szCs w:val="18"/>
          </w:rPr>
          <w:instrText>PAGE   \* MERGEFORMAT</w:instrText>
        </w:r>
        <w:r w:rsidRPr="0035277A">
          <w:rPr>
            <w:rFonts w:ascii="Times New Roman" w:hAnsi="Times New Roman"/>
            <w:sz w:val="18"/>
            <w:szCs w:val="18"/>
          </w:rPr>
          <w:fldChar w:fldCharType="separate"/>
        </w:r>
        <w:r w:rsidR="00B54952" w:rsidRPr="00B54952">
          <w:rPr>
            <w:rFonts w:ascii="Times New Roman" w:hAnsi="Times New Roman"/>
            <w:noProof/>
            <w:sz w:val="18"/>
            <w:szCs w:val="18"/>
            <w:lang w:val="sk-SK"/>
          </w:rPr>
          <w:t>11</w:t>
        </w:r>
        <w:r w:rsidRPr="0035277A">
          <w:rPr>
            <w:rFonts w:ascii="Times New Roman" w:hAnsi="Times New Roman"/>
            <w:sz w:val="18"/>
            <w:szCs w:val="18"/>
          </w:rPr>
          <w:fldChar w:fldCharType="end"/>
        </w:r>
      </w:p>
    </w:sdtContent>
  </w:sdt>
  <w:p w:rsidR="00852A69" w:rsidRPr="005E0E11" w:rsidRDefault="00852A69" w:rsidP="005E0E1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B91" w:rsidRDefault="00CE1B91" w:rsidP="000322EB">
      <w:pPr>
        <w:spacing w:line="240" w:lineRule="auto"/>
      </w:pPr>
      <w:r>
        <w:separator/>
      </w:r>
    </w:p>
  </w:footnote>
  <w:footnote w:type="continuationSeparator" w:id="0">
    <w:p w:rsidR="00CE1B91" w:rsidRDefault="00CE1B91" w:rsidP="000322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69" w:rsidRPr="00756E64" w:rsidRDefault="00852A69" w:rsidP="00A61609">
    <w:pPr>
      <w:pStyle w:val="Hlavika"/>
      <w:rPr>
        <w:rFonts w:ascii="Times New Roman" w:hAnsi="Times New Roman"/>
        <w:sz w:val="18"/>
        <w:szCs w:val="18"/>
      </w:rPr>
    </w:pPr>
    <w:r w:rsidRPr="003027AD">
      <w:rPr>
        <w:rFonts w:ascii="Times New Roman" w:hAnsi="Times New Roman"/>
        <w:sz w:val="18"/>
        <w:szCs w:val="18"/>
      </w:rPr>
      <w:t>Schválený text k rozhodnutiu o registrácii, ev. č.:</w:t>
    </w:r>
    <w:r w:rsidRPr="003027AD">
      <w:rPr>
        <w:rFonts w:ascii="Times New Roman" w:hAnsi="Times New Roman"/>
        <w:sz w:val="18"/>
        <w:szCs w:val="18"/>
      </w:rPr>
      <w:tab/>
      <w:t xml:space="preserve"> 2014/01161-REG, 2014/01163-REG, 2014/01165-REG, 2014/01166-REG, 2014/01167-REG</w:t>
    </w:r>
  </w:p>
  <w:p w:rsidR="00852A69" w:rsidRDefault="00852A69">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69" w:rsidRDefault="00852A6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55pt;height:13.25pt" o:bullet="t">
        <v:imagedata r:id="rId1" o:title=""/>
      </v:shape>
    </w:pict>
  </w:numPicBullet>
  <w:abstractNum w:abstractNumId="0">
    <w:nsid w:val="FFFFFF7C"/>
    <w:multiLevelType w:val="singleLevel"/>
    <w:tmpl w:val="68863E6A"/>
    <w:lvl w:ilvl="0">
      <w:start w:val="1"/>
      <w:numFmt w:val="decimal"/>
      <w:pStyle w:val="slovanzoznam5"/>
      <w:lvlText w:val="%1."/>
      <w:lvlJc w:val="left"/>
      <w:pPr>
        <w:tabs>
          <w:tab w:val="num" w:pos="1492"/>
        </w:tabs>
        <w:ind w:left="1492" w:hanging="360"/>
      </w:pPr>
    </w:lvl>
  </w:abstractNum>
  <w:abstractNum w:abstractNumId="1">
    <w:nsid w:val="FFFFFF7D"/>
    <w:multiLevelType w:val="singleLevel"/>
    <w:tmpl w:val="CD247862"/>
    <w:lvl w:ilvl="0">
      <w:start w:val="1"/>
      <w:numFmt w:val="decimal"/>
      <w:pStyle w:val="slovanzoznam4"/>
      <w:lvlText w:val="%1."/>
      <w:lvlJc w:val="left"/>
      <w:pPr>
        <w:tabs>
          <w:tab w:val="num" w:pos="1209"/>
        </w:tabs>
        <w:ind w:left="1209" w:hanging="360"/>
      </w:pPr>
    </w:lvl>
  </w:abstractNum>
  <w:abstractNum w:abstractNumId="2">
    <w:nsid w:val="FFFFFF7E"/>
    <w:multiLevelType w:val="singleLevel"/>
    <w:tmpl w:val="B3542198"/>
    <w:lvl w:ilvl="0">
      <w:start w:val="1"/>
      <w:numFmt w:val="decimal"/>
      <w:pStyle w:val="slovanzoznam3"/>
      <w:lvlText w:val="%1."/>
      <w:lvlJc w:val="left"/>
      <w:pPr>
        <w:tabs>
          <w:tab w:val="num" w:pos="926"/>
        </w:tabs>
        <w:ind w:left="926" w:hanging="360"/>
      </w:pPr>
    </w:lvl>
  </w:abstractNum>
  <w:abstractNum w:abstractNumId="3">
    <w:nsid w:val="FFFFFF7F"/>
    <w:multiLevelType w:val="singleLevel"/>
    <w:tmpl w:val="794014A2"/>
    <w:lvl w:ilvl="0">
      <w:start w:val="1"/>
      <w:numFmt w:val="decimal"/>
      <w:pStyle w:val="slovanzoznam2"/>
      <w:lvlText w:val="%1."/>
      <w:lvlJc w:val="left"/>
      <w:pPr>
        <w:tabs>
          <w:tab w:val="num" w:pos="643"/>
        </w:tabs>
        <w:ind w:left="643" w:hanging="360"/>
      </w:pPr>
    </w:lvl>
  </w:abstractNum>
  <w:abstractNum w:abstractNumId="4">
    <w:nsid w:val="FFFFFF80"/>
    <w:multiLevelType w:val="singleLevel"/>
    <w:tmpl w:val="ED381608"/>
    <w:lvl w:ilvl="0">
      <w:start w:val="1"/>
      <w:numFmt w:val="bullet"/>
      <w:pStyle w:val="Zo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C00E862E"/>
    <w:lvl w:ilvl="0">
      <w:start w:val="1"/>
      <w:numFmt w:val="bullet"/>
      <w:pStyle w:val="Zo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208289EC"/>
    <w:lvl w:ilvl="0">
      <w:start w:val="1"/>
      <w:numFmt w:val="bullet"/>
      <w:pStyle w:val="Zoznamsodrkami3"/>
      <w:lvlText w:val=""/>
      <w:lvlJc w:val="left"/>
      <w:pPr>
        <w:tabs>
          <w:tab w:val="num" w:pos="926"/>
        </w:tabs>
        <w:ind w:left="926" w:hanging="360"/>
      </w:pPr>
      <w:rPr>
        <w:rFonts w:ascii="Symbol" w:hAnsi="Symbol" w:hint="default"/>
      </w:rPr>
    </w:lvl>
  </w:abstractNum>
  <w:abstractNum w:abstractNumId="7">
    <w:nsid w:val="FFFFFF83"/>
    <w:multiLevelType w:val="singleLevel"/>
    <w:tmpl w:val="BD4A4560"/>
    <w:lvl w:ilvl="0">
      <w:start w:val="1"/>
      <w:numFmt w:val="bullet"/>
      <w:pStyle w:val="Zoznamsodrkami2"/>
      <w:lvlText w:val=""/>
      <w:lvlJc w:val="left"/>
      <w:pPr>
        <w:tabs>
          <w:tab w:val="num" w:pos="643"/>
        </w:tabs>
        <w:ind w:left="643" w:hanging="360"/>
      </w:pPr>
      <w:rPr>
        <w:rFonts w:ascii="Symbol" w:hAnsi="Symbol" w:hint="default"/>
      </w:rPr>
    </w:lvl>
  </w:abstractNum>
  <w:abstractNum w:abstractNumId="8">
    <w:nsid w:val="FFFFFF88"/>
    <w:multiLevelType w:val="singleLevel"/>
    <w:tmpl w:val="960CE0BA"/>
    <w:lvl w:ilvl="0">
      <w:start w:val="1"/>
      <w:numFmt w:val="decimal"/>
      <w:pStyle w:val="slovanzoznam"/>
      <w:lvlText w:val="%1."/>
      <w:lvlJc w:val="left"/>
      <w:pPr>
        <w:tabs>
          <w:tab w:val="num" w:pos="360"/>
        </w:tabs>
        <w:ind w:left="360" w:hanging="360"/>
      </w:pPr>
    </w:lvl>
  </w:abstractNum>
  <w:abstractNum w:abstractNumId="9">
    <w:nsid w:val="FFFFFF89"/>
    <w:multiLevelType w:val="singleLevel"/>
    <w:tmpl w:val="9B0A3F60"/>
    <w:lvl w:ilvl="0">
      <w:start w:val="1"/>
      <w:numFmt w:val="bullet"/>
      <w:pStyle w:val="Zoznamsodrkami"/>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0C5F502D"/>
    <w:multiLevelType w:val="hybridMultilevel"/>
    <w:tmpl w:val="410486D8"/>
    <w:lvl w:ilvl="0" w:tplc="035A0246">
      <w:start w:val="1"/>
      <w:numFmt w:val="bullet"/>
      <w:lvlText w:val="–"/>
      <w:lvlJc w:val="left"/>
      <w:pPr>
        <w:tabs>
          <w:tab w:val="num" w:pos="5256"/>
        </w:tabs>
        <w:ind w:left="5256" w:hanging="360"/>
      </w:pPr>
      <w:rPr>
        <w:rFonts w:ascii="Arial" w:eastAsia="Times New Roman" w:hAnsi="Arial" w:cs="Arial" w:hint="default"/>
      </w:rPr>
    </w:lvl>
    <w:lvl w:ilvl="1" w:tplc="041B0003">
      <w:start w:val="1"/>
      <w:numFmt w:val="bullet"/>
      <w:lvlText w:val="o"/>
      <w:lvlJc w:val="left"/>
      <w:pPr>
        <w:tabs>
          <w:tab w:val="num" w:pos="5976"/>
        </w:tabs>
        <w:ind w:left="5976" w:hanging="360"/>
      </w:pPr>
      <w:rPr>
        <w:rFonts w:ascii="Courier New" w:hAnsi="Courier New" w:cs="Courier New" w:hint="default"/>
      </w:rPr>
    </w:lvl>
    <w:lvl w:ilvl="2" w:tplc="041B0005">
      <w:start w:val="1"/>
      <w:numFmt w:val="bullet"/>
      <w:lvlText w:val=""/>
      <w:lvlJc w:val="left"/>
      <w:pPr>
        <w:tabs>
          <w:tab w:val="num" w:pos="6696"/>
        </w:tabs>
        <w:ind w:left="6696" w:hanging="360"/>
      </w:pPr>
      <w:rPr>
        <w:rFonts w:ascii="Wingdings" w:hAnsi="Wingdings" w:hint="default"/>
      </w:rPr>
    </w:lvl>
    <w:lvl w:ilvl="3" w:tplc="041B0001">
      <w:start w:val="1"/>
      <w:numFmt w:val="bullet"/>
      <w:lvlText w:val=""/>
      <w:lvlJc w:val="left"/>
      <w:pPr>
        <w:tabs>
          <w:tab w:val="num" w:pos="7416"/>
        </w:tabs>
        <w:ind w:left="7416" w:hanging="360"/>
      </w:pPr>
      <w:rPr>
        <w:rFonts w:ascii="Symbol" w:hAnsi="Symbol" w:hint="default"/>
      </w:rPr>
    </w:lvl>
    <w:lvl w:ilvl="4" w:tplc="041B0003">
      <w:start w:val="1"/>
      <w:numFmt w:val="bullet"/>
      <w:lvlText w:val="o"/>
      <w:lvlJc w:val="left"/>
      <w:pPr>
        <w:tabs>
          <w:tab w:val="num" w:pos="8136"/>
        </w:tabs>
        <w:ind w:left="8136" w:hanging="360"/>
      </w:pPr>
      <w:rPr>
        <w:rFonts w:ascii="Courier New" w:hAnsi="Courier New" w:cs="Courier New" w:hint="default"/>
      </w:rPr>
    </w:lvl>
    <w:lvl w:ilvl="5" w:tplc="041B0005">
      <w:start w:val="1"/>
      <w:numFmt w:val="bullet"/>
      <w:lvlText w:val=""/>
      <w:lvlJc w:val="left"/>
      <w:pPr>
        <w:tabs>
          <w:tab w:val="num" w:pos="8856"/>
        </w:tabs>
        <w:ind w:left="8856" w:hanging="360"/>
      </w:pPr>
      <w:rPr>
        <w:rFonts w:ascii="Wingdings" w:hAnsi="Wingdings" w:hint="default"/>
      </w:rPr>
    </w:lvl>
    <w:lvl w:ilvl="6" w:tplc="041B0001">
      <w:start w:val="1"/>
      <w:numFmt w:val="bullet"/>
      <w:lvlText w:val=""/>
      <w:lvlJc w:val="left"/>
      <w:pPr>
        <w:tabs>
          <w:tab w:val="num" w:pos="9576"/>
        </w:tabs>
        <w:ind w:left="9576" w:hanging="360"/>
      </w:pPr>
      <w:rPr>
        <w:rFonts w:ascii="Symbol" w:hAnsi="Symbol" w:hint="default"/>
      </w:rPr>
    </w:lvl>
    <w:lvl w:ilvl="7" w:tplc="041B0003">
      <w:start w:val="1"/>
      <w:numFmt w:val="bullet"/>
      <w:lvlText w:val="o"/>
      <w:lvlJc w:val="left"/>
      <w:pPr>
        <w:tabs>
          <w:tab w:val="num" w:pos="10296"/>
        </w:tabs>
        <w:ind w:left="10296" w:hanging="360"/>
      </w:pPr>
      <w:rPr>
        <w:rFonts w:ascii="Courier New" w:hAnsi="Courier New" w:cs="Courier New" w:hint="default"/>
      </w:rPr>
    </w:lvl>
    <w:lvl w:ilvl="8" w:tplc="041B0005">
      <w:start w:val="1"/>
      <w:numFmt w:val="bullet"/>
      <w:lvlText w:val=""/>
      <w:lvlJc w:val="left"/>
      <w:pPr>
        <w:tabs>
          <w:tab w:val="num" w:pos="11016"/>
        </w:tabs>
        <w:ind w:left="11016" w:hanging="360"/>
      </w:pPr>
      <w:rPr>
        <w:rFonts w:ascii="Wingdings" w:hAnsi="Wingdings" w:hint="default"/>
      </w:rPr>
    </w:lvl>
  </w:abstractNum>
  <w:abstractNum w:abstractNumId="13">
    <w:nsid w:val="117D0AED"/>
    <w:multiLevelType w:val="hybridMultilevel"/>
    <w:tmpl w:val="96329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2EE74FF"/>
    <w:multiLevelType w:val="hybridMultilevel"/>
    <w:tmpl w:val="4FE2E9C8"/>
    <w:lvl w:ilvl="0" w:tplc="041B0003">
      <w:start w:val="1"/>
      <w:numFmt w:val="bullet"/>
      <w:lvlText w:val="o"/>
      <w:lvlJc w:val="left"/>
      <w:pPr>
        <w:ind w:left="644" w:hanging="360"/>
      </w:pPr>
      <w:rPr>
        <w:rFonts w:ascii="Courier New" w:hAnsi="Courier New" w:cs="Courier New"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5">
    <w:nsid w:val="12FE41B6"/>
    <w:multiLevelType w:val="hybridMultilevel"/>
    <w:tmpl w:val="597657A4"/>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nsid w:val="16044AB4"/>
    <w:multiLevelType w:val="hybridMultilevel"/>
    <w:tmpl w:val="34FABD08"/>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194F346C"/>
    <w:multiLevelType w:val="hybridMultilevel"/>
    <w:tmpl w:val="AB0EE20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8">
    <w:nsid w:val="1CE53AA7"/>
    <w:multiLevelType w:val="hybridMultilevel"/>
    <w:tmpl w:val="9B6C0306"/>
    <w:lvl w:ilvl="0" w:tplc="92344E96">
      <w:start w:val="1"/>
      <w:numFmt w:val="bullet"/>
      <w:lvlText w:val="-"/>
      <w:lvlJc w:val="left"/>
      <w:pPr>
        <w:tabs>
          <w:tab w:val="num" w:pos="567"/>
        </w:tabs>
        <w:ind w:left="567" w:hanging="567"/>
      </w:pPr>
      <w:rPr>
        <w:rFonts w:ascii="Times New Roman" w:hAnsi="Times New Roman"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212713E5"/>
    <w:multiLevelType w:val="hybridMultilevel"/>
    <w:tmpl w:val="C2EC60E8"/>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29835304"/>
    <w:multiLevelType w:val="hybridMultilevel"/>
    <w:tmpl w:val="355A28B8"/>
    <w:lvl w:ilvl="0" w:tplc="5A141B02">
      <w:start w:val="1"/>
      <w:numFmt w:val="bullet"/>
      <w:lvlText w:val=""/>
      <w:lvlJc w:val="left"/>
      <w:pPr>
        <w:ind w:left="720" w:hanging="360"/>
      </w:pPr>
      <w:rPr>
        <w:rFonts w:ascii="Symbol" w:hAnsi="Symbol" w:hint="default"/>
        <w:color w:val="auto"/>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29B7025B"/>
    <w:multiLevelType w:val="hybridMultilevel"/>
    <w:tmpl w:val="080AAA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303759B6"/>
    <w:multiLevelType w:val="hybridMultilevel"/>
    <w:tmpl w:val="ACA005B8"/>
    <w:lvl w:ilvl="0" w:tplc="FFFFFFFF">
      <w:start w:val="1"/>
      <w:numFmt w:val="bullet"/>
      <w:lvlText w:val="-"/>
      <w:lvlJc w:val="left"/>
      <w:pPr>
        <w:tabs>
          <w:tab w:val="num" w:pos="720"/>
        </w:tabs>
        <w:ind w:left="720" w:hanging="360"/>
      </w:pPr>
      <w:rPr>
        <w:rFont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3">
    <w:nsid w:val="304D45FD"/>
    <w:multiLevelType w:val="hybridMultilevel"/>
    <w:tmpl w:val="BA0C0266"/>
    <w:lvl w:ilvl="0" w:tplc="041B0001">
      <w:start w:val="1"/>
      <w:numFmt w:val="bullet"/>
      <w:lvlText w:val=""/>
      <w:lvlJc w:val="left"/>
      <w:pPr>
        <w:tabs>
          <w:tab w:val="num" w:pos="567"/>
        </w:tabs>
        <w:ind w:left="567" w:hanging="567"/>
      </w:pPr>
      <w:rPr>
        <w:rFonts w:ascii="Symbol" w:hAnsi="Symbol" w:hint="default"/>
        <w:color w:val="auto"/>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30FE4B2B"/>
    <w:multiLevelType w:val="hybridMultilevel"/>
    <w:tmpl w:val="02467E28"/>
    <w:lvl w:ilvl="0" w:tplc="49083B70">
      <w:start w:val="1"/>
      <w:numFmt w:val="bullet"/>
      <w:lvlText w:val=""/>
      <w:lvlJc w:val="center"/>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31BC37EA"/>
    <w:multiLevelType w:val="hybridMultilevel"/>
    <w:tmpl w:val="BA24665C"/>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3E284ACE"/>
    <w:multiLevelType w:val="hybridMultilevel"/>
    <w:tmpl w:val="08527DF6"/>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42016D4C"/>
    <w:multiLevelType w:val="hybridMultilevel"/>
    <w:tmpl w:val="93FEFB1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nsid w:val="48EE2875"/>
    <w:multiLevelType w:val="hybridMultilevel"/>
    <w:tmpl w:val="B574A3BE"/>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4A6F3E3D"/>
    <w:multiLevelType w:val="hybridMultilevel"/>
    <w:tmpl w:val="9BA81DEE"/>
    <w:lvl w:ilvl="0" w:tplc="2226913E">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4E12451B"/>
    <w:multiLevelType w:val="hybridMultilevel"/>
    <w:tmpl w:val="A9CC97F4"/>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50E767E0"/>
    <w:multiLevelType w:val="hybridMultilevel"/>
    <w:tmpl w:val="994ED322"/>
    <w:lvl w:ilvl="0" w:tplc="FFFFFFFF">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nsid w:val="5D5F3EA3"/>
    <w:multiLevelType w:val="hybridMultilevel"/>
    <w:tmpl w:val="72E8AFB4"/>
    <w:lvl w:ilvl="0" w:tplc="92344E96">
      <w:start w:val="1"/>
      <w:numFmt w:val="bullet"/>
      <w:lvlText w:val="-"/>
      <w:lvlJc w:val="left"/>
      <w:pPr>
        <w:tabs>
          <w:tab w:val="num" w:pos="567"/>
        </w:tabs>
        <w:ind w:left="567" w:hanging="567"/>
      </w:pPr>
      <w:rPr>
        <w:rFonts w:ascii="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5D7512AD"/>
    <w:multiLevelType w:val="hybridMultilevel"/>
    <w:tmpl w:val="4F04D15C"/>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nsid w:val="64B71DD0"/>
    <w:multiLevelType w:val="hybridMultilevel"/>
    <w:tmpl w:val="65D65BAC"/>
    <w:lvl w:ilvl="0" w:tplc="49083B70">
      <w:start w:val="1"/>
      <w:numFmt w:val="bullet"/>
      <w:lvlText w:val=""/>
      <w:lvlJc w:val="center"/>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nsid w:val="6C140ACF"/>
    <w:multiLevelType w:val="hybridMultilevel"/>
    <w:tmpl w:val="CB701196"/>
    <w:lvl w:ilvl="0" w:tplc="EC308DB0">
      <w:start w:val="1"/>
      <w:numFmt w:val="bullet"/>
      <w:lvlText w:val=""/>
      <w:lvlPicBulletId w:val="0"/>
      <w:lvlJc w:val="left"/>
      <w:pPr>
        <w:tabs>
          <w:tab w:val="num" w:pos="720"/>
        </w:tabs>
        <w:ind w:left="720" w:hanging="360"/>
      </w:pPr>
      <w:rPr>
        <w:rFonts w:ascii="Symbol" w:hAnsi="Symbol" w:hint="default"/>
      </w:rPr>
    </w:lvl>
    <w:lvl w:ilvl="1" w:tplc="33F83D0A" w:tentative="1">
      <w:start w:val="1"/>
      <w:numFmt w:val="bullet"/>
      <w:lvlText w:val=""/>
      <w:lvlJc w:val="left"/>
      <w:pPr>
        <w:tabs>
          <w:tab w:val="num" w:pos="1440"/>
        </w:tabs>
        <w:ind w:left="1440" w:hanging="360"/>
      </w:pPr>
      <w:rPr>
        <w:rFonts w:ascii="Symbol" w:hAnsi="Symbol" w:hint="default"/>
      </w:rPr>
    </w:lvl>
    <w:lvl w:ilvl="2" w:tplc="08CCB46E" w:tentative="1">
      <w:start w:val="1"/>
      <w:numFmt w:val="bullet"/>
      <w:lvlText w:val=""/>
      <w:lvlJc w:val="left"/>
      <w:pPr>
        <w:tabs>
          <w:tab w:val="num" w:pos="2160"/>
        </w:tabs>
        <w:ind w:left="2160" w:hanging="360"/>
      </w:pPr>
      <w:rPr>
        <w:rFonts w:ascii="Symbol" w:hAnsi="Symbol" w:hint="default"/>
      </w:rPr>
    </w:lvl>
    <w:lvl w:ilvl="3" w:tplc="89D42762" w:tentative="1">
      <w:start w:val="1"/>
      <w:numFmt w:val="bullet"/>
      <w:lvlText w:val=""/>
      <w:lvlJc w:val="left"/>
      <w:pPr>
        <w:tabs>
          <w:tab w:val="num" w:pos="2880"/>
        </w:tabs>
        <w:ind w:left="2880" w:hanging="360"/>
      </w:pPr>
      <w:rPr>
        <w:rFonts w:ascii="Symbol" w:hAnsi="Symbol" w:hint="default"/>
      </w:rPr>
    </w:lvl>
    <w:lvl w:ilvl="4" w:tplc="5CBE5A1E" w:tentative="1">
      <w:start w:val="1"/>
      <w:numFmt w:val="bullet"/>
      <w:lvlText w:val=""/>
      <w:lvlJc w:val="left"/>
      <w:pPr>
        <w:tabs>
          <w:tab w:val="num" w:pos="3600"/>
        </w:tabs>
        <w:ind w:left="3600" w:hanging="360"/>
      </w:pPr>
      <w:rPr>
        <w:rFonts w:ascii="Symbol" w:hAnsi="Symbol" w:hint="default"/>
      </w:rPr>
    </w:lvl>
    <w:lvl w:ilvl="5" w:tplc="CD48EB4E" w:tentative="1">
      <w:start w:val="1"/>
      <w:numFmt w:val="bullet"/>
      <w:lvlText w:val=""/>
      <w:lvlJc w:val="left"/>
      <w:pPr>
        <w:tabs>
          <w:tab w:val="num" w:pos="4320"/>
        </w:tabs>
        <w:ind w:left="4320" w:hanging="360"/>
      </w:pPr>
      <w:rPr>
        <w:rFonts w:ascii="Symbol" w:hAnsi="Symbol" w:hint="default"/>
      </w:rPr>
    </w:lvl>
    <w:lvl w:ilvl="6" w:tplc="AA7004C6" w:tentative="1">
      <w:start w:val="1"/>
      <w:numFmt w:val="bullet"/>
      <w:lvlText w:val=""/>
      <w:lvlJc w:val="left"/>
      <w:pPr>
        <w:tabs>
          <w:tab w:val="num" w:pos="5040"/>
        </w:tabs>
        <w:ind w:left="5040" w:hanging="360"/>
      </w:pPr>
      <w:rPr>
        <w:rFonts w:ascii="Symbol" w:hAnsi="Symbol" w:hint="default"/>
      </w:rPr>
    </w:lvl>
    <w:lvl w:ilvl="7" w:tplc="62CA5F7A" w:tentative="1">
      <w:start w:val="1"/>
      <w:numFmt w:val="bullet"/>
      <w:lvlText w:val=""/>
      <w:lvlJc w:val="left"/>
      <w:pPr>
        <w:tabs>
          <w:tab w:val="num" w:pos="5760"/>
        </w:tabs>
        <w:ind w:left="5760" w:hanging="360"/>
      </w:pPr>
      <w:rPr>
        <w:rFonts w:ascii="Symbol" w:hAnsi="Symbol" w:hint="default"/>
      </w:rPr>
    </w:lvl>
    <w:lvl w:ilvl="8" w:tplc="63145AB8" w:tentative="1">
      <w:start w:val="1"/>
      <w:numFmt w:val="bullet"/>
      <w:lvlText w:val=""/>
      <w:lvlJc w:val="left"/>
      <w:pPr>
        <w:tabs>
          <w:tab w:val="num" w:pos="6480"/>
        </w:tabs>
        <w:ind w:left="6480" w:hanging="360"/>
      </w:pPr>
      <w:rPr>
        <w:rFonts w:ascii="Symbol" w:hAnsi="Symbol" w:hint="default"/>
      </w:rPr>
    </w:lvl>
  </w:abstractNum>
  <w:abstractNum w:abstractNumId="36">
    <w:nsid w:val="6D4D7D58"/>
    <w:multiLevelType w:val="hybridMultilevel"/>
    <w:tmpl w:val="F6466A1C"/>
    <w:lvl w:ilvl="0" w:tplc="F42007EE">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nsid w:val="6D564263"/>
    <w:multiLevelType w:val="hybridMultilevel"/>
    <w:tmpl w:val="016CF2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7A654E9F"/>
    <w:multiLevelType w:val="hybridMultilevel"/>
    <w:tmpl w:val="DD0A695E"/>
    <w:lvl w:ilvl="0" w:tplc="73BEB85E">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7BD55DF2"/>
    <w:multiLevelType w:val="hybridMultilevel"/>
    <w:tmpl w:val="CC9AC1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7CA23916"/>
    <w:multiLevelType w:val="hybridMultilevel"/>
    <w:tmpl w:val="B19AE786"/>
    <w:lvl w:ilvl="0" w:tplc="4112CFA0">
      <w:numFmt w:val="bullet"/>
      <w:lvlText w:val="-"/>
      <w:lvlJc w:val="left"/>
      <w:pPr>
        <w:ind w:left="930" w:hanging="360"/>
      </w:pPr>
      <w:rPr>
        <w:rFonts w:ascii="Times New Roman" w:eastAsia="Times New Roman" w:hAnsi="Times New Roman" w:cs="Times New Roman" w:hint="default"/>
      </w:rPr>
    </w:lvl>
    <w:lvl w:ilvl="1" w:tplc="041B0003" w:tentative="1">
      <w:start w:val="1"/>
      <w:numFmt w:val="bullet"/>
      <w:lvlText w:val="o"/>
      <w:lvlJc w:val="left"/>
      <w:pPr>
        <w:ind w:left="1650" w:hanging="360"/>
      </w:pPr>
      <w:rPr>
        <w:rFonts w:ascii="Courier New" w:hAnsi="Courier New" w:cs="Courier New" w:hint="default"/>
      </w:rPr>
    </w:lvl>
    <w:lvl w:ilvl="2" w:tplc="041B0005" w:tentative="1">
      <w:start w:val="1"/>
      <w:numFmt w:val="bullet"/>
      <w:lvlText w:val=""/>
      <w:lvlJc w:val="left"/>
      <w:pPr>
        <w:ind w:left="2370" w:hanging="360"/>
      </w:pPr>
      <w:rPr>
        <w:rFonts w:ascii="Wingdings" w:hAnsi="Wingdings" w:hint="default"/>
      </w:rPr>
    </w:lvl>
    <w:lvl w:ilvl="3" w:tplc="041B0001" w:tentative="1">
      <w:start w:val="1"/>
      <w:numFmt w:val="bullet"/>
      <w:lvlText w:val=""/>
      <w:lvlJc w:val="left"/>
      <w:pPr>
        <w:ind w:left="3090" w:hanging="360"/>
      </w:pPr>
      <w:rPr>
        <w:rFonts w:ascii="Symbol" w:hAnsi="Symbol" w:hint="default"/>
      </w:rPr>
    </w:lvl>
    <w:lvl w:ilvl="4" w:tplc="041B0003" w:tentative="1">
      <w:start w:val="1"/>
      <w:numFmt w:val="bullet"/>
      <w:lvlText w:val="o"/>
      <w:lvlJc w:val="left"/>
      <w:pPr>
        <w:ind w:left="3810" w:hanging="360"/>
      </w:pPr>
      <w:rPr>
        <w:rFonts w:ascii="Courier New" w:hAnsi="Courier New" w:cs="Courier New" w:hint="default"/>
      </w:rPr>
    </w:lvl>
    <w:lvl w:ilvl="5" w:tplc="041B0005" w:tentative="1">
      <w:start w:val="1"/>
      <w:numFmt w:val="bullet"/>
      <w:lvlText w:val=""/>
      <w:lvlJc w:val="left"/>
      <w:pPr>
        <w:ind w:left="4530" w:hanging="360"/>
      </w:pPr>
      <w:rPr>
        <w:rFonts w:ascii="Wingdings" w:hAnsi="Wingdings" w:hint="default"/>
      </w:rPr>
    </w:lvl>
    <w:lvl w:ilvl="6" w:tplc="041B0001" w:tentative="1">
      <w:start w:val="1"/>
      <w:numFmt w:val="bullet"/>
      <w:lvlText w:val=""/>
      <w:lvlJc w:val="left"/>
      <w:pPr>
        <w:ind w:left="5250" w:hanging="360"/>
      </w:pPr>
      <w:rPr>
        <w:rFonts w:ascii="Symbol" w:hAnsi="Symbol" w:hint="default"/>
      </w:rPr>
    </w:lvl>
    <w:lvl w:ilvl="7" w:tplc="041B0003" w:tentative="1">
      <w:start w:val="1"/>
      <w:numFmt w:val="bullet"/>
      <w:lvlText w:val="o"/>
      <w:lvlJc w:val="left"/>
      <w:pPr>
        <w:ind w:left="5970" w:hanging="360"/>
      </w:pPr>
      <w:rPr>
        <w:rFonts w:ascii="Courier New" w:hAnsi="Courier New" w:cs="Courier New" w:hint="default"/>
      </w:rPr>
    </w:lvl>
    <w:lvl w:ilvl="8" w:tplc="041B0005" w:tentative="1">
      <w:start w:val="1"/>
      <w:numFmt w:val="bullet"/>
      <w:lvlText w:val=""/>
      <w:lvlJc w:val="left"/>
      <w:pPr>
        <w:ind w:left="669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360"/>
        <w:lvlJc w:val="left"/>
        <w:pPr>
          <w:ind w:left="360" w:hanging="360"/>
        </w:pPr>
      </w:lvl>
    </w:lvlOverride>
  </w:num>
  <w:num w:numId="3">
    <w:abstractNumId w:val="23"/>
  </w:num>
  <w:num w:numId="4">
    <w:abstractNumId w:val="18"/>
  </w:num>
  <w:num w:numId="5">
    <w:abstractNumId w:val="10"/>
    <w:lvlOverride w:ilvl="0">
      <w:lvl w:ilvl="0">
        <w:start w:val="1"/>
        <w:numFmt w:val="bullet"/>
        <w:lvlText w:val="-"/>
        <w:legacy w:legacy="1" w:legacySpace="0" w:legacyIndent="360"/>
        <w:lvlJc w:val="left"/>
        <w:pPr>
          <w:ind w:left="360" w:hanging="360"/>
        </w:pPr>
      </w:lvl>
    </w:lvlOverride>
  </w:num>
  <w:num w:numId="6">
    <w:abstractNumId w:val="38"/>
  </w:num>
  <w:num w:numId="7">
    <w:abstractNumId w:val="16"/>
  </w:num>
  <w:num w:numId="8">
    <w:abstractNumId w:val="26"/>
  </w:num>
  <w:num w:numId="9">
    <w:abstractNumId w:val="29"/>
  </w:num>
  <w:num w:numId="10">
    <w:abstractNumId w:val="11"/>
  </w:num>
  <w:num w:numId="11">
    <w:abstractNumId w:val="17"/>
  </w:num>
  <w:num w:numId="12">
    <w:abstractNumId w:val="20"/>
  </w:num>
  <w:num w:numId="13">
    <w:abstractNumId w:val="21"/>
  </w:num>
  <w:num w:numId="14">
    <w:abstractNumId w:val="37"/>
  </w:num>
  <w:num w:numId="15">
    <w:abstractNumId w:val="35"/>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34"/>
  </w:num>
  <w:num w:numId="27">
    <w:abstractNumId w:val="32"/>
  </w:num>
  <w:num w:numId="28">
    <w:abstractNumId w:val="14"/>
  </w:num>
  <w:num w:numId="29">
    <w:abstractNumId w:val="31"/>
  </w:num>
  <w:num w:numId="30">
    <w:abstractNumId w:val="25"/>
  </w:num>
  <w:num w:numId="31">
    <w:abstractNumId w:val="28"/>
  </w:num>
  <w:num w:numId="32">
    <w:abstractNumId w:val="13"/>
  </w:num>
  <w:num w:numId="33">
    <w:abstractNumId w:val="12"/>
  </w:num>
  <w:num w:numId="34">
    <w:abstractNumId w:val="40"/>
  </w:num>
  <w:num w:numId="35">
    <w:abstractNumId w:val="15"/>
  </w:num>
  <w:num w:numId="36">
    <w:abstractNumId w:val="22"/>
  </w:num>
  <w:num w:numId="37">
    <w:abstractNumId w:val="19"/>
  </w:num>
  <w:num w:numId="38">
    <w:abstractNumId w:val="30"/>
  </w:num>
  <w:num w:numId="39">
    <w:abstractNumId w:val="39"/>
  </w:num>
  <w:num w:numId="40">
    <w:abstractNumId w:val="27"/>
  </w:num>
  <w:num w:numId="41">
    <w:abstractNumId w:val="33"/>
  </w:num>
  <w:num w:numId="42">
    <w:abstractNumId w:val="36"/>
  </w:num>
  <w:num w:numId="43">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VIC_SK1">
    <w15:presenceInfo w15:providerId="None" w15:userId="MVIC_S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EB"/>
    <w:rsid w:val="00002AB9"/>
    <w:rsid w:val="00015280"/>
    <w:rsid w:val="00020982"/>
    <w:rsid w:val="00024940"/>
    <w:rsid w:val="00025584"/>
    <w:rsid w:val="00030669"/>
    <w:rsid w:val="000322EB"/>
    <w:rsid w:val="000427FC"/>
    <w:rsid w:val="000657C8"/>
    <w:rsid w:val="00072349"/>
    <w:rsid w:val="00076DB9"/>
    <w:rsid w:val="000918C1"/>
    <w:rsid w:val="00095752"/>
    <w:rsid w:val="000A305A"/>
    <w:rsid w:val="000A3F13"/>
    <w:rsid w:val="000A4EE0"/>
    <w:rsid w:val="000A5B38"/>
    <w:rsid w:val="000A61C0"/>
    <w:rsid w:val="000B07D2"/>
    <w:rsid w:val="000B13EB"/>
    <w:rsid w:val="000B2556"/>
    <w:rsid w:val="000C361A"/>
    <w:rsid w:val="000C5410"/>
    <w:rsid w:val="000C557F"/>
    <w:rsid w:val="000C7503"/>
    <w:rsid w:val="000E2570"/>
    <w:rsid w:val="000E553C"/>
    <w:rsid w:val="000E6150"/>
    <w:rsid w:val="000E6EF3"/>
    <w:rsid w:val="000F0171"/>
    <w:rsid w:val="000F0364"/>
    <w:rsid w:val="000F049B"/>
    <w:rsid w:val="000F0F2A"/>
    <w:rsid w:val="000F15A4"/>
    <w:rsid w:val="000F329B"/>
    <w:rsid w:val="000F4A9B"/>
    <w:rsid w:val="00105A56"/>
    <w:rsid w:val="00107160"/>
    <w:rsid w:val="00107F5E"/>
    <w:rsid w:val="00115366"/>
    <w:rsid w:val="001167F9"/>
    <w:rsid w:val="00120F2D"/>
    <w:rsid w:val="00122115"/>
    <w:rsid w:val="00123BD0"/>
    <w:rsid w:val="001307F6"/>
    <w:rsid w:val="001458FB"/>
    <w:rsid w:val="001519A2"/>
    <w:rsid w:val="00161C46"/>
    <w:rsid w:val="00167BAF"/>
    <w:rsid w:val="00171B26"/>
    <w:rsid w:val="00176D24"/>
    <w:rsid w:val="00177013"/>
    <w:rsid w:val="00177FD5"/>
    <w:rsid w:val="0018025C"/>
    <w:rsid w:val="001832C6"/>
    <w:rsid w:val="001834A3"/>
    <w:rsid w:val="00183524"/>
    <w:rsid w:val="001843A3"/>
    <w:rsid w:val="00186ED2"/>
    <w:rsid w:val="001A5291"/>
    <w:rsid w:val="001B7CDA"/>
    <w:rsid w:val="001C2613"/>
    <w:rsid w:val="001C4756"/>
    <w:rsid w:val="001C644F"/>
    <w:rsid w:val="001C71BF"/>
    <w:rsid w:val="001D2613"/>
    <w:rsid w:val="001D3756"/>
    <w:rsid w:val="001E0185"/>
    <w:rsid w:val="001E2F5B"/>
    <w:rsid w:val="001F3B9B"/>
    <w:rsid w:val="001F7158"/>
    <w:rsid w:val="00204DAC"/>
    <w:rsid w:val="00212A25"/>
    <w:rsid w:val="00214121"/>
    <w:rsid w:val="00215D35"/>
    <w:rsid w:val="0022405A"/>
    <w:rsid w:val="00226D79"/>
    <w:rsid w:val="002271B3"/>
    <w:rsid w:val="002330DE"/>
    <w:rsid w:val="00233E2F"/>
    <w:rsid w:val="002368FF"/>
    <w:rsid w:val="002404CA"/>
    <w:rsid w:val="00240D18"/>
    <w:rsid w:val="00242C3A"/>
    <w:rsid w:val="00242F45"/>
    <w:rsid w:val="00243F00"/>
    <w:rsid w:val="0024778E"/>
    <w:rsid w:val="0025367B"/>
    <w:rsid w:val="00263A6D"/>
    <w:rsid w:val="0026541A"/>
    <w:rsid w:val="002665C7"/>
    <w:rsid w:val="00275323"/>
    <w:rsid w:val="0027555B"/>
    <w:rsid w:val="00287D9E"/>
    <w:rsid w:val="00290504"/>
    <w:rsid w:val="00290750"/>
    <w:rsid w:val="00291594"/>
    <w:rsid w:val="00291700"/>
    <w:rsid w:val="00292630"/>
    <w:rsid w:val="00292CF5"/>
    <w:rsid w:val="002959D7"/>
    <w:rsid w:val="00295F76"/>
    <w:rsid w:val="002A661D"/>
    <w:rsid w:val="002B0EF2"/>
    <w:rsid w:val="002B2677"/>
    <w:rsid w:val="002B6DBD"/>
    <w:rsid w:val="002C08B7"/>
    <w:rsid w:val="002C1B97"/>
    <w:rsid w:val="002C3479"/>
    <w:rsid w:val="002C36CF"/>
    <w:rsid w:val="002C711C"/>
    <w:rsid w:val="002E033B"/>
    <w:rsid w:val="002E6422"/>
    <w:rsid w:val="002F1D07"/>
    <w:rsid w:val="002F4B26"/>
    <w:rsid w:val="002F6BAC"/>
    <w:rsid w:val="00301483"/>
    <w:rsid w:val="003027AD"/>
    <w:rsid w:val="003057CF"/>
    <w:rsid w:val="003071F3"/>
    <w:rsid w:val="00311B02"/>
    <w:rsid w:val="00320777"/>
    <w:rsid w:val="00323A2E"/>
    <w:rsid w:val="00343F7C"/>
    <w:rsid w:val="003460F9"/>
    <w:rsid w:val="0035277A"/>
    <w:rsid w:val="00352BE3"/>
    <w:rsid w:val="00352EE1"/>
    <w:rsid w:val="00352FBE"/>
    <w:rsid w:val="00355093"/>
    <w:rsid w:val="003558CB"/>
    <w:rsid w:val="00357FCE"/>
    <w:rsid w:val="00361663"/>
    <w:rsid w:val="00364757"/>
    <w:rsid w:val="00364B81"/>
    <w:rsid w:val="00392C28"/>
    <w:rsid w:val="00395CBF"/>
    <w:rsid w:val="00396A0D"/>
    <w:rsid w:val="003A0A8C"/>
    <w:rsid w:val="003A1224"/>
    <w:rsid w:val="003A43C7"/>
    <w:rsid w:val="003A67B0"/>
    <w:rsid w:val="003B1230"/>
    <w:rsid w:val="003B2800"/>
    <w:rsid w:val="003B44F4"/>
    <w:rsid w:val="003D19EA"/>
    <w:rsid w:val="003D5633"/>
    <w:rsid w:val="003F2088"/>
    <w:rsid w:val="003F4B7F"/>
    <w:rsid w:val="003F642F"/>
    <w:rsid w:val="00403299"/>
    <w:rsid w:val="00412411"/>
    <w:rsid w:val="00421A58"/>
    <w:rsid w:val="0042348C"/>
    <w:rsid w:val="00423F22"/>
    <w:rsid w:val="004258CF"/>
    <w:rsid w:val="00425AB6"/>
    <w:rsid w:val="00446590"/>
    <w:rsid w:val="00447736"/>
    <w:rsid w:val="00451CEC"/>
    <w:rsid w:val="00451E10"/>
    <w:rsid w:val="00457E73"/>
    <w:rsid w:val="00462B52"/>
    <w:rsid w:val="0046521A"/>
    <w:rsid w:val="00474794"/>
    <w:rsid w:val="0048748B"/>
    <w:rsid w:val="0049630F"/>
    <w:rsid w:val="004A1A61"/>
    <w:rsid w:val="004A4252"/>
    <w:rsid w:val="004A4F93"/>
    <w:rsid w:val="004B5386"/>
    <w:rsid w:val="004B6827"/>
    <w:rsid w:val="004C2604"/>
    <w:rsid w:val="004C2CE8"/>
    <w:rsid w:val="004C3B0F"/>
    <w:rsid w:val="004C70D8"/>
    <w:rsid w:val="004C7551"/>
    <w:rsid w:val="004D2BC8"/>
    <w:rsid w:val="004E261E"/>
    <w:rsid w:val="004E3F1A"/>
    <w:rsid w:val="004E538B"/>
    <w:rsid w:val="004E7DE3"/>
    <w:rsid w:val="004F0BCE"/>
    <w:rsid w:val="004F12EE"/>
    <w:rsid w:val="004F3B43"/>
    <w:rsid w:val="005023C8"/>
    <w:rsid w:val="005110C0"/>
    <w:rsid w:val="00512167"/>
    <w:rsid w:val="005130B6"/>
    <w:rsid w:val="00514579"/>
    <w:rsid w:val="00515F24"/>
    <w:rsid w:val="00521B64"/>
    <w:rsid w:val="00530481"/>
    <w:rsid w:val="005343B8"/>
    <w:rsid w:val="00536FBF"/>
    <w:rsid w:val="00544C51"/>
    <w:rsid w:val="00551E8D"/>
    <w:rsid w:val="00555685"/>
    <w:rsid w:val="00561C6B"/>
    <w:rsid w:val="0057298C"/>
    <w:rsid w:val="005730D7"/>
    <w:rsid w:val="00577C4E"/>
    <w:rsid w:val="00584066"/>
    <w:rsid w:val="00585DE6"/>
    <w:rsid w:val="00586480"/>
    <w:rsid w:val="00591EEB"/>
    <w:rsid w:val="0059368D"/>
    <w:rsid w:val="0059635B"/>
    <w:rsid w:val="005A55B6"/>
    <w:rsid w:val="005B5D96"/>
    <w:rsid w:val="005C1F7F"/>
    <w:rsid w:val="005C503C"/>
    <w:rsid w:val="005C6CE8"/>
    <w:rsid w:val="005D37B3"/>
    <w:rsid w:val="005E0E11"/>
    <w:rsid w:val="005E3FDA"/>
    <w:rsid w:val="005E5C52"/>
    <w:rsid w:val="005F03D8"/>
    <w:rsid w:val="005F52F7"/>
    <w:rsid w:val="005F628C"/>
    <w:rsid w:val="00601667"/>
    <w:rsid w:val="0060489E"/>
    <w:rsid w:val="0061581F"/>
    <w:rsid w:val="00621016"/>
    <w:rsid w:val="006247AB"/>
    <w:rsid w:val="0062563F"/>
    <w:rsid w:val="0063694C"/>
    <w:rsid w:val="0064101D"/>
    <w:rsid w:val="00641884"/>
    <w:rsid w:val="006541BD"/>
    <w:rsid w:val="00662211"/>
    <w:rsid w:val="006626D3"/>
    <w:rsid w:val="00664EEF"/>
    <w:rsid w:val="00670A19"/>
    <w:rsid w:val="00671A6E"/>
    <w:rsid w:val="006728FD"/>
    <w:rsid w:val="00676D6B"/>
    <w:rsid w:val="006826C9"/>
    <w:rsid w:val="00683ED9"/>
    <w:rsid w:val="006A4FD3"/>
    <w:rsid w:val="006A6164"/>
    <w:rsid w:val="006B01CE"/>
    <w:rsid w:val="006B31C1"/>
    <w:rsid w:val="006B3314"/>
    <w:rsid w:val="006B586D"/>
    <w:rsid w:val="006B658D"/>
    <w:rsid w:val="006B787F"/>
    <w:rsid w:val="006D58A3"/>
    <w:rsid w:val="006D596B"/>
    <w:rsid w:val="006D6727"/>
    <w:rsid w:val="006D7185"/>
    <w:rsid w:val="006E30CA"/>
    <w:rsid w:val="006E671A"/>
    <w:rsid w:val="006F3525"/>
    <w:rsid w:val="006F618F"/>
    <w:rsid w:val="007020ED"/>
    <w:rsid w:val="00706742"/>
    <w:rsid w:val="00707E2B"/>
    <w:rsid w:val="00711D10"/>
    <w:rsid w:val="00713119"/>
    <w:rsid w:val="0071343C"/>
    <w:rsid w:val="00717075"/>
    <w:rsid w:val="00734462"/>
    <w:rsid w:val="00734D54"/>
    <w:rsid w:val="0073620E"/>
    <w:rsid w:val="00745644"/>
    <w:rsid w:val="0074670F"/>
    <w:rsid w:val="00747231"/>
    <w:rsid w:val="007538F2"/>
    <w:rsid w:val="00757753"/>
    <w:rsid w:val="00761EAD"/>
    <w:rsid w:val="00771F84"/>
    <w:rsid w:val="00777B7E"/>
    <w:rsid w:val="007816E7"/>
    <w:rsid w:val="0078182E"/>
    <w:rsid w:val="0078375E"/>
    <w:rsid w:val="007A3648"/>
    <w:rsid w:val="007A5842"/>
    <w:rsid w:val="007B2AC7"/>
    <w:rsid w:val="007C39CF"/>
    <w:rsid w:val="007C452E"/>
    <w:rsid w:val="007D3E17"/>
    <w:rsid w:val="007E22DB"/>
    <w:rsid w:val="007E2ADF"/>
    <w:rsid w:val="007E6720"/>
    <w:rsid w:val="007F5B56"/>
    <w:rsid w:val="008022B8"/>
    <w:rsid w:val="0080419A"/>
    <w:rsid w:val="0080446A"/>
    <w:rsid w:val="00810F43"/>
    <w:rsid w:val="008127C3"/>
    <w:rsid w:val="00814C20"/>
    <w:rsid w:val="008164EB"/>
    <w:rsid w:val="008174D7"/>
    <w:rsid w:val="0083283E"/>
    <w:rsid w:val="008442EA"/>
    <w:rsid w:val="008474E8"/>
    <w:rsid w:val="00851FA3"/>
    <w:rsid w:val="00852A69"/>
    <w:rsid w:val="00860C6F"/>
    <w:rsid w:val="00867B07"/>
    <w:rsid w:val="008756FA"/>
    <w:rsid w:val="00875F0E"/>
    <w:rsid w:val="008776BB"/>
    <w:rsid w:val="00880199"/>
    <w:rsid w:val="00880C4D"/>
    <w:rsid w:val="00886DA2"/>
    <w:rsid w:val="00887A8E"/>
    <w:rsid w:val="008928A0"/>
    <w:rsid w:val="008A1BEC"/>
    <w:rsid w:val="008A2948"/>
    <w:rsid w:val="008A4D1C"/>
    <w:rsid w:val="008A69AE"/>
    <w:rsid w:val="008A6D7B"/>
    <w:rsid w:val="008B1510"/>
    <w:rsid w:val="008C0666"/>
    <w:rsid w:val="008D03A7"/>
    <w:rsid w:val="008D4023"/>
    <w:rsid w:val="008D6CDE"/>
    <w:rsid w:val="008E43E9"/>
    <w:rsid w:val="008E6D1A"/>
    <w:rsid w:val="008E7A2E"/>
    <w:rsid w:val="008F07F5"/>
    <w:rsid w:val="008F0F7C"/>
    <w:rsid w:val="008F27C9"/>
    <w:rsid w:val="00901AAA"/>
    <w:rsid w:val="00907BF4"/>
    <w:rsid w:val="00915A66"/>
    <w:rsid w:val="0092041B"/>
    <w:rsid w:val="009209D1"/>
    <w:rsid w:val="0092400D"/>
    <w:rsid w:val="00924056"/>
    <w:rsid w:val="009250C7"/>
    <w:rsid w:val="00941C95"/>
    <w:rsid w:val="00944AF6"/>
    <w:rsid w:val="009521E4"/>
    <w:rsid w:val="00960028"/>
    <w:rsid w:val="00961262"/>
    <w:rsid w:val="009700EE"/>
    <w:rsid w:val="00976DC9"/>
    <w:rsid w:val="00977C6D"/>
    <w:rsid w:val="009809C4"/>
    <w:rsid w:val="00980DEF"/>
    <w:rsid w:val="00982E73"/>
    <w:rsid w:val="00985374"/>
    <w:rsid w:val="009909B3"/>
    <w:rsid w:val="00992D47"/>
    <w:rsid w:val="0099457C"/>
    <w:rsid w:val="00996BF1"/>
    <w:rsid w:val="009A06F1"/>
    <w:rsid w:val="009A2E9D"/>
    <w:rsid w:val="009A6D77"/>
    <w:rsid w:val="009C1A72"/>
    <w:rsid w:val="009C280D"/>
    <w:rsid w:val="009C3BCC"/>
    <w:rsid w:val="009C4D18"/>
    <w:rsid w:val="009D1246"/>
    <w:rsid w:val="009D2E2D"/>
    <w:rsid w:val="009E1197"/>
    <w:rsid w:val="009E5798"/>
    <w:rsid w:val="009F6D9A"/>
    <w:rsid w:val="00A0189A"/>
    <w:rsid w:val="00A067BE"/>
    <w:rsid w:val="00A11B64"/>
    <w:rsid w:val="00A225C8"/>
    <w:rsid w:val="00A241E7"/>
    <w:rsid w:val="00A24EF5"/>
    <w:rsid w:val="00A25BEE"/>
    <w:rsid w:val="00A42FEB"/>
    <w:rsid w:val="00A45BF6"/>
    <w:rsid w:val="00A525CA"/>
    <w:rsid w:val="00A53F1C"/>
    <w:rsid w:val="00A60B28"/>
    <w:rsid w:val="00A61609"/>
    <w:rsid w:val="00A640D5"/>
    <w:rsid w:val="00A713C8"/>
    <w:rsid w:val="00A83036"/>
    <w:rsid w:val="00A84B41"/>
    <w:rsid w:val="00A86690"/>
    <w:rsid w:val="00A91ED5"/>
    <w:rsid w:val="00A95FD4"/>
    <w:rsid w:val="00A96493"/>
    <w:rsid w:val="00AA434B"/>
    <w:rsid w:val="00AB0AA3"/>
    <w:rsid w:val="00AC0868"/>
    <w:rsid w:val="00AC7CFC"/>
    <w:rsid w:val="00AD3032"/>
    <w:rsid w:val="00AD60AA"/>
    <w:rsid w:val="00AE4723"/>
    <w:rsid w:val="00AE627A"/>
    <w:rsid w:val="00AE76E6"/>
    <w:rsid w:val="00AF4134"/>
    <w:rsid w:val="00AF5E03"/>
    <w:rsid w:val="00B00B52"/>
    <w:rsid w:val="00B0208D"/>
    <w:rsid w:val="00B066A5"/>
    <w:rsid w:val="00B239E2"/>
    <w:rsid w:val="00B34262"/>
    <w:rsid w:val="00B35751"/>
    <w:rsid w:val="00B36E55"/>
    <w:rsid w:val="00B36FA4"/>
    <w:rsid w:val="00B40459"/>
    <w:rsid w:val="00B47C20"/>
    <w:rsid w:val="00B50EA8"/>
    <w:rsid w:val="00B5198E"/>
    <w:rsid w:val="00B54952"/>
    <w:rsid w:val="00B57E8C"/>
    <w:rsid w:val="00B62F7E"/>
    <w:rsid w:val="00B66FB6"/>
    <w:rsid w:val="00B7266B"/>
    <w:rsid w:val="00B731AF"/>
    <w:rsid w:val="00B74EC8"/>
    <w:rsid w:val="00B75F14"/>
    <w:rsid w:val="00B914C9"/>
    <w:rsid w:val="00BA60BE"/>
    <w:rsid w:val="00BA78CA"/>
    <w:rsid w:val="00BD32B9"/>
    <w:rsid w:val="00BE053A"/>
    <w:rsid w:val="00BE1227"/>
    <w:rsid w:val="00BE2967"/>
    <w:rsid w:val="00BE4A73"/>
    <w:rsid w:val="00BF4ADC"/>
    <w:rsid w:val="00BF649B"/>
    <w:rsid w:val="00BF7FC3"/>
    <w:rsid w:val="00C02051"/>
    <w:rsid w:val="00C038DB"/>
    <w:rsid w:val="00C040EF"/>
    <w:rsid w:val="00C0536B"/>
    <w:rsid w:val="00C246F7"/>
    <w:rsid w:val="00C257E1"/>
    <w:rsid w:val="00C3157F"/>
    <w:rsid w:val="00C31730"/>
    <w:rsid w:val="00C31C4F"/>
    <w:rsid w:val="00C31F57"/>
    <w:rsid w:val="00C41797"/>
    <w:rsid w:val="00C507C1"/>
    <w:rsid w:val="00C50FD5"/>
    <w:rsid w:val="00C52FD0"/>
    <w:rsid w:val="00C6340A"/>
    <w:rsid w:val="00C720B3"/>
    <w:rsid w:val="00C76B31"/>
    <w:rsid w:val="00C80CB5"/>
    <w:rsid w:val="00C87963"/>
    <w:rsid w:val="00C9122D"/>
    <w:rsid w:val="00C97B43"/>
    <w:rsid w:val="00CA10A4"/>
    <w:rsid w:val="00CA1416"/>
    <w:rsid w:val="00CA38D5"/>
    <w:rsid w:val="00CB2196"/>
    <w:rsid w:val="00CB2592"/>
    <w:rsid w:val="00CB3E36"/>
    <w:rsid w:val="00CB773A"/>
    <w:rsid w:val="00CC339B"/>
    <w:rsid w:val="00CC4859"/>
    <w:rsid w:val="00CC79D5"/>
    <w:rsid w:val="00CD0DB0"/>
    <w:rsid w:val="00CE1B91"/>
    <w:rsid w:val="00CE49F1"/>
    <w:rsid w:val="00CE7DBC"/>
    <w:rsid w:val="00CF04A8"/>
    <w:rsid w:val="00CF52FB"/>
    <w:rsid w:val="00D05B10"/>
    <w:rsid w:val="00D23C09"/>
    <w:rsid w:val="00D265B1"/>
    <w:rsid w:val="00D351D6"/>
    <w:rsid w:val="00D50797"/>
    <w:rsid w:val="00D53961"/>
    <w:rsid w:val="00D57DA2"/>
    <w:rsid w:val="00D60086"/>
    <w:rsid w:val="00D64222"/>
    <w:rsid w:val="00D64D5B"/>
    <w:rsid w:val="00D70363"/>
    <w:rsid w:val="00D71920"/>
    <w:rsid w:val="00D730AB"/>
    <w:rsid w:val="00D8435A"/>
    <w:rsid w:val="00D86B64"/>
    <w:rsid w:val="00D9528C"/>
    <w:rsid w:val="00D95656"/>
    <w:rsid w:val="00DA0FCC"/>
    <w:rsid w:val="00DA48DB"/>
    <w:rsid w:val="00DA4F76"/>
    <w:rsid w:val="00DB6898"/>
    <w:rsid w:val="00DB7F85"/>
    <w:rsid w:val="00DC0017"/>
    <w:rsid w:val="00DC1538"/>
    <w:rsid w:val="00DC37D0"/>
    <w:rsid w:val="00DD13FC"/>
    <w:rsid w:val="00DD29C1"/>
    <w:rsid w:val="00DD34A5"/>
    <w:rsid w:val="00DD39BA"/>
    <w:rsid w:val="00DD641F"/>
    <w:rsid w:val="00DE0A75"/>
    <w:rsid w:val="00DE0EEC"/>
    <w:rsid w:val="00DE1DF8"/>
    <w:rsid w:val="00DE4911"/>
    <w:rsid w:val="00DE4B30"/>
    <w:rsid w:val="00DE76C1"/>
    <w:rsid w:val="00DF26E8"/>
    <w:rsid w:val="00DF377F"/>
    <w:rsid w:val="00E00E42"/>
    <w:rsid w:val="00E065C4"/>
    <w:rsid w:val="00E06735"/>
    <w:rsid w:val="00E10CD2"/>
    <w:rsid w:val="00E13782"/>
    <w:rsid w:val="00E14E96"/>
    <w:rsid w:val="00E15E19"/>
    <w:rsid w:val="00E217BF"/>
    <w:rsid w:val="00E23041"/>
    <w:rsid w:val="00E24F70"/>
    <w:rsid w:val="00E25D2A"/>
    <w:rsid w:val="00E273A6"/>
    <w:rsid w:val="00E27D36"/>
    <w:rsid w:val="00E3584B"/>
    <w:rsid w:val="00E425A2"/>
    <w:rsid w:val="00E4395F"/>
    <w:rsid w:val="00E52AA2"/>
    <w:rsid w:val="00E54E33"/>
    <w:rsid w:val="00E54E68"/>
    <w:rsid w:val="00E6283E"/>
    <w:rsid w:val="00E6310A"/>
    <w:rsid w:val="00E63E22"/>
    <w:rsid w:val="00E673EC"/>
    <w:rsid w:val="00E6744F"/>
    <w:rsid w:val="00E71289"/>
    <w:rsid w:val="00E72CF7"/>
    <w:rsid w:val="00E776D6"/>
    <w:rsid w:val="00E778B6"/>
    <w:rsid w:val="00E82C07"/>
    <w:rsid w:val="00E86155"/>
    <w:rsid w:val="00E86F05"/>
    <w:rsid w:val="00E90375"/>
    <w:rsid w:val="00E918A4"/>
    <w:rsid w:val="00E97D37"/>
    <w:rsid w:val="00EB39E7"/>
    <w:rsid w:val="00EB7087"/>
    <w:rsid w:val="00EB7D4C"/>
    <w:rsid w:val="00EC1A4F"/>
    <w:rsid w:val="00EC55C3"/>
    <w:rsid w:val="00EC638E"/>
    <w:rsid w:val="00ED0061"/>
    <w:rsid w:val="00ED233E"/>
    <w:rsid w:val="00ED2E44"/>
    <w:rsid w:val="00ED645A"/>
    <w:rsid w:val="00EE22DD"/>
    <w:rsid w:val="00EE4AEA"/>
    <w:rsid w:val="00EE4F83"/>
    <w:rsid w:val="00EF142E"/>
    <w:rsid w:val="00EF3730"/>
    <w:rsid w:val="00EF6A4E"/>
    <w:rsid w:val="00F018A6"/>
    <w:rsid w:val="00F01D24"/>
    <w:rsid w:val="00F10989"/>
    <w:rsid w:val="00F125B7"/>
    <w:rsid w:val="00F143D9"/>
    <w:rsid w:val="00F215BA"/>
    <w:rsid w:val="00F22598"/>
    <w:rsid w:val="00F24A19"/>
    <w:rsid w:val="00F24B30"/>
    <w:rsid w:val="00F350AD"/>
    <w:rsid w:val="00F429D5"/>
    <w:rsid w:val="00F46833"/>
    <w:rsid w:val="00F50707"/>
    <w:rsid w:val="00F50D12"/>
    <w:rsid w:val="00F51449"/>
    <w:rsid w:val="00F5150B"/>
    <w:rsid w:val="00F51837"/>
    <w:rsid w:val="00F64A06"/>
    <w:rsid w:val="00F65B32"/>
    <w:rsid w:val="00F7044D"/>
    <w:rsid w:val="00F71879"/>
    <w:rsid w:val="00F753DB"/>
    <w:rsid w:val="00F95D3A"/>
    <w:rsid w:val="00F96CA2"/>
    <w:rsid w:val="00FA1BC0"/>
    <w:rsid w:val="00FA3548"/>
    <w:rsid w:val="00FA3795"/>
    <w:rsid w:val="00FA5CDF"/>
    <w:rsid w:val="00FC0512"/>
    <w:rsid w:val="00FC6C1A"/>
    <w:rsid w:val="00FD020B"/>
    <w:rsid w:val="00FD0621"/>
    <w:rsid w:val="00FD0D31"/>
    <w:rsid w:val="00FD2478"/>
    <w:rsid w:val="00FD7C0F"/>
    <w:rsid w:val="00FF7CFC"/>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9D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lang w:val="en-GB"/>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tabs>
        <w:tab w:val="clear" w:pos="567"/>
      </w:tabs>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semiHidden/>
    <w:unhideWhenUsed/>
    <w:qFormat/>
    <w:rsid w:val="001D2613"/>
    <w:rPr>
      <w:b/>
      <w:bCs/>
      <w:sz w:val="20"/>
    </w:rPr>
  </w:style>
  <w:style w:type="paragraph" w:styleId="Nzov">
    <w:name w:val="Title"/>
    <w:basedOn w:val="Normlny"/>
    <w:next w:val="Normlny"/>
    <w:link w:val="NzovChar"/>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rsid w:val="001D2613"/>
    <w:rPr>
      <w:rFonts w:ascii="Cambria" w:hAnsi="Cambria"/>
      <w:b/>
      <w:bCs/>
      <w:kern w:val="28"/>
      <w:sz w:val="32"/>
      <w:szCs w:val="32"/>
      <w:lang w:val="en-GB"/>
    </w:rPr>
  </w:style>
  <w:style w:type="paragraph" w:styleId="Podtitul">
    <w:name w:val="Subtitle"/>
    <w:basedOn w:val="Normlny"/>
    <w:next w:val="Normlny"/>
    <w:link w:val="PodtitulChar"/>
    <w:qFormat/>
    <w:rsid w:val="001D2613"/>
    <w:pPr>
      <w:spacing w:after="60"/>
      <w:jc w:val="center"/>
      <w:outlineLvl w:val="1"/>
    </w:pPr>
    <w:rPr>
      <w:rFonts w:ascii="Cambria" w:hAnsi="Cambria"/>
      <w:sz w:val="24"/>
      <w:szCs w:val="24"/>
    </w:rPr>
  </w:style>
  <w:style w:type="character" w:customStyle="1" w:styleId="PodtitulChar">
    <w:name w:val="Podtitul Char"/>
    <w:link w:val="Podtitul"/>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sz w:val="20"/>
    </w:rPr>
  </w:style>
  <w:style w:type="character" w:customStyle="1" w:styleId="HlavikaChar">
    <w:name w:val="Hlavička Char"/>
    <w:basedOn w:val="Predvolenpsmoodseku"/>
    <w:link w:val="Hlavika"/>
    <w:uiPriority w:val="99"/>
    <w:rsid w:val="000322EB"/>
    <w:rPr>
      <w:rFonts w:ascii="Arial" w:hAnsi="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sz w:val="16"/>
    </w:rPr>
  </w:style>
  <w:style w:type="character" w:customStyle="1" w:styleId="PtaChar">
    <w:name w:val="Päta Char"/>
    <w:basedOn w:val="Predvolenpsmoodseku"/>
    <w:link w:val="Pta"/>
    <w:uiPriority w:val="99"/>
    <w:rsid w:val="000322EB"/>
    <w:rPr>
      <w:rFonts w:ascii="Arial" w:hAnsi="Arial"/>
      <w:sz w:val="16"/>
      <w:lang w:val="en-GB"/>
    </w:rPr>
  </w:style>
  <w:style w:type="character" w:styleId="slostrany">
    <w:name w:val="page number"/>
    <w:basedOn w:val="Predvolenpsmoodseku"/>
    <w:rsid w:val="000322EB"/>
  </w:style>
  <w:style w:type="paragraph" w:styleId="Textvysvetlivky">
    <w:name w:val="endnote text"/>
    <w:basedOn w:val="Normlny"/>
    <w:link w:val="TextvysvetlivkyChar"/>
    <w:semiHidden/>
    <w:rsid w:val="000322EB"/>
    <w:pPr>
      <w:spacing w:line="240" w:lineRule="auto"/>
    </w:pPr>
  </w:style>
  <w:style w:type="character" w:customStyle="1" w:styleId="TextvysvetlivkyChar">
    <w:name w:val="Text vysvetlivky Char"/>
    <w:basedOn w:val="Predvolenpsmoodseku"/>
    <w:link w:val="Textvysvetlivky"/>
    <w:semiHidden/>
    <w:rsid w:val="000322EB"/>
    <w:rPr>
      <w:sz w:val="22"/>
      <w:lang w:val="en-GB"/>
    </w:rPr>
  </w:style>
  <w:style w:type="character" w:styleId="Odkaznavysvetlivku">
    <w:name w:val="endnote reference"/>
    <w:semiHidden/>
    <w:rsid w:val="000322EB"/>
    <w:rPr>
      <w:vertAlign w:val="superscript"/>
    </w:rPr>
  </w:style>
  <w:style w:type="character" w:styleId="Odkaznakomentr">
    <w:name w:val="annotation reference"/>
    <w:semiHidden/>
    <w:rsid w:val="000322EB"/>
    <w:rPr>
      <w:sz w:val="16"/>
    </w:rPr>
  </w:style>
  <w:style w:type="paragraph" w:styleId="Textkomentra">
    <w:name w:val="annotation text"/>
    <w:basedOn w:val="Normlny"/>
    <w:link w:val="TextkomentraChar"/>
    <w:semiHidden/>
    <w:rsid w:val="000322EB"/>
    <w:rPr>
      <w:sz w:val="20"/>
    </w:rPr>
  </w:style>
  <w:style w:type="character" w:customStyle="1" w:styleId="TextkomentraChar">
    <w:name w:val="Text komentára Char"/>
    <w:basedOn w:val="Predvolenpsmoodseku"/>
    <w:link w:val="Textkomentra"/>
    <w:semiHidden/>
    <w:rsid w:val="000322EB"/>
    <w:rPr>
      <w:lang w:val="en-GB"/>
    </w:rPr>
  </w:style>
  <w:style w:type="paragraph" w:styleId="Zkladntext2">
    <w:name w:val="Body Text 2"/>
    <w:basedOn w:val="Normlny"/>
    <w:link w:val="Zkladntext2Char"/>
    <w:rsid w:val="000322EB"/>
    <w:pPr>
      <w:tabs>
        <w:tab w:val="left" w:pos="4536"/>
      </w:tabs>
      <w:jc w:val="both"/>
    </w:pPr>
    <w:rPr>
      <w:b/>
    </w:rPr>
  </w:style>
  <w:style w:type="character" w:customStyle="1" w:styleId="Zkladntext2Char">
    <w:name w:val="Základný text 2 Char"/>
    <w:basedOn w:val="Predvolenpsmoodseku"/>
    <w:link w:val="Zkladntext2"/>
    <w:rsid w:val="000322EB"/>
    <w:rPr>
      <w:b/>
      <w:sz w:val="22"/>
      <w:lang w:val="en-GB"/>
    </w:rPr>
  </w:style>
  <w:style w:type="paragraph" w:styleId="Zkladntext">
    <w:name w:val="Body Text"/>
    <w:basedOn w:val="Normlny"/>
    <w:link w:val="ZkladntextChar"/>
    <w:rsid w:val="000322EB"/>
    <w:rPr>
      <w:b/>
      <w:i/>
    </w:rPr>
  </w:style>
  <w:style w:type="character" w:customStyle="1" w:styleId="ZkladntextChar">
    <w:name w:val="Základný text Char"/>
    <w:basedOn w:val="Predvolenpsmoodseku"/>
    <w:link w:val="Zkladntext"/>
    <w:rsid w:val="000322EB"/>
    <w:rPr>
      <w:b/>
      <w:i/>
      <w:sz w:val="22"/>
      <w:lang w:val="en-GB"/>
    </w:rPr>
  </w:style>
  <w:style w:type="paragraph" w:styleId="Zkladntext3">
    <w:name w:val="Body Text 3"/>
    <w:basedOn w:val="Normlny"/>
    <w:link w:val="Zkladntext3Char"/>
    <w:rsid w:val="000322EB"/>
    <w:pPr>
      <w:jc w:val="both"/>
    </w:pPr>
    <w:rPr>
      <w:b/>
      <w:i/>
    </w:rPr>
  </w:style>
  <w:style w:type="character" w:customStyle="1" w:styleId="Zkladntext3Char">
    <w:name w:val="Základný text 3 Char"/>
    <w:basedOn w:val="Predvolenpsmoodseku"/>
    <w:link w:val="Zkladntext3"/>
    <w:rsid w:val="000322EB"/>
    <w:rPr>
      <w:b/>
      <w:i/>
      <w:sz w:val="22"/>
      <w:lang w:val="en-GB"/>
    </w:rPr>
  </w:style>
  <w:style w:type="paragraph" w:styleId="Textpoznmkypodiarou">
    <w:name w:val="footnote text"/>
    <w:basedOn w:val="Normlny"/>
    <w:link w:val="TextpoznmkypodiarouChar"/>
    <w:semiHidden/>
    <w:rsid w:val="000322EB"/>
    <w:rPr>
      <w:sz w:val="20"/>
    </w:rPr>
  </w:style>
  <w:style w:type="character" w:customStyle="1" w:styleId="TextpoznmkypodiarouChar">
    <w:name w:val="Text poznámky pod čiarou Char"/>
    <w:basedOn w:val="Predvolenpsmoodseku"/>
    <w:link w:val="Textpoznmkypodiarou"/>
    <w:semiHidden/>
    <w:rsid w:val="000322EB"/>
    <w:rPr>
      <w:lang w:val="en-GB"/>
    </w:rPr>
  </w:style>
  <w:style w:type="character" w:styleId="Odkaznapoznmkupodiarou">
    <w:name w:val="footnote reference"/>
    <w:semiHidden/>
    <w:rsid w:val="000322EB"/>
    <w:rPr>
      <w:vertAlign w:val="superscript"/>
    </w:rPr>
  </w:style>
  <w:style w:type="paragraph" w:styleId="truktradokumentu">
    <w:name w:val="Document Map"/>
    <w:basedOn w:val="Normlny"/>
    <w:link w:val="truktradokumentuChar"/>
    <w:semiHidden/>
    <w:rsid w:val="000322EB"/>
    <w:pPr>
      <w:shd w:val="clear" w:color="auto" w:fill="000080"/>
    </w:pPr>
    <w:rPr>
      <w:rFonts w:ascii="Tahoma" w:hAnsi="Tahoma"/>
    </w:rPr>
  </w:style>
  <w:style w:type="character" w:customStyle="1" w:styleId="truktradokumentuChar">
    <w:name w:val="Štruktúra dokumentu Char"/>
    <w:basedOn w:val="Predvolenpsmoodseku"/>
    <w:link w:val="truktradokumentu"/>
    <w:semiHidden/>
    <w:rsid w:val="000322EB"/>
    <w:rPr>
      <w:rFonts w:ascii="Tahoma" w:hAnsi="Tahoma"/>
      <w:sz w:val="22"/>
      <w:shd w:val="clear" w:color="auto" w:fill="000080"/>
      <w:lang w:val="en-GB"/>
    </w:rPr>
  </w:style>
  <w:style w:type="paragraph" w:customStyle="1" w:styleId="Style1">
    <w:name w:val="Style1"/>
    <w:basedOn w:val="Normlny"/>
    <w:rsid w:val="000322EB"/>
    <w:pPr>
      <w:tabs>
        <w:tab w:val="clear" w:pos="567"/>
      </w:tabs>
      <w:spacing w:line="240" w:lineRule="auto"/>
    </w:pPr>
    <w:rPr>
      <w:rFonts w:ascii="Arial" w:hAnsi="Arial"/>
      <w:sz w:val="24"/>
      <w:szCs w:val="24"/>
      <w:lang w:val="fr-FR" w:eastAsia="fr-FR"/>
    </w:rPr>
  </w:style>
  <w:style w:type="paragraph" w:customStyle="1" w:styleId="Textedebulles1">
    <w:name w:val="Texte de bulles1"/>
    <w:basedOn w:val="Normlny"/>
    <w:semiHidden/>
    <w:rsid w:val="000322EB"/>
    <w:rPr>
      <w:rFonts w:ascii="Tahoma" w:hAnsi="Tahoma" w:cs="Tahoma"/>
      <w:sz w:val="16"/>
      <w:szCs w:val="16"/>
    </w:rPr>
  </w:style>
  <w:style w:type="paragraph" w:styleId="Textbubliny">
    <w:name w:val="Balloon Text"/>
    <w:basedOn w:val="Normlny"/>
    <w:link w:val="TextbublinyChar"/>
    <w:semiHidden/>
    <w:rsid w:val="000322EB"/>
    <w:rPr>
      <w:rFonts w:ascii="Tahoma" w:hAnsi="Tahoma" w:cs="Tahoma"/>
      <w:sz w:val="16"/>
      <w:szCs w:val="16"/>
    </w:rPr>
  </w:style>
  <w:style w:type="character" w:customStyle="1" w:styleId="TextbublinyChar">
    <w:name w:val="Text bubliny Char"/>
    <w:basedOn w:val="Predvolenpsmoodseku"/>
    <w:link w:val="Textbubliny"/>
    <w:semiHidden/>
    <w:rsid w:val="000322EB"/>
    <w:rPr>
      <w:rFonts w:ascii="Tahoma" w:hAnsi="Tahoma" w:cs="Tahoma"/>
      <w:sz w:val="16"/>
      <w:szCs w:val="16"/>
      <w:lang w:val="en-GB"/>
    </w:rPr>
  </w:style>
  <w:style w:type="character" w:styleId="Hypertextovprepojenie">
    <w:name w:val="Hyperlink"/>
    <w:rsid w:val="000322EB"/>
    <w:rPr>
      <w:color w:val="0000FF"/>
      <w:u w:val="single"/>
    </w:rPr>
  </w:style>
  <w:style w:type="paragraph" w:styleId="Predmetkomentra">
    <w:name w:val="annotation subject"/>
    <w:basedOn w:val="Textkomentra"/>
    <w:next w:val="Textkomentra"/>
    <w:link w:val="PredmetkomentraChar"/>
    <w:semiHidden/>
    <w:rsid w:val="000322EB"/>
    <w:rPr>
      <w:b/>
      <w:bCs/>
    </w:rPr>
  </w:style>
  <w:style w:type="character" w:customStyle="1" w:styleId="PredmetkomentraChar">
    <w:name w:val="Predmet komentára Char"/>
    <w:basedOn w:val="TextkomentraChar"/>
    <w:link w:val="Predmetkomentra"/>
    <w:semiHidden/>
    <w:rsid w:val="000322EB"/>
    <w:rPr>
      <w:b/>
      <w:bCs/>
      <w:lang w:val="en-GB"/>
    </w:rPr>
  </w:style>
  <w:style w:type="paragraph" w:customStyle="1" w:styleId="titreA">
    <w:name w:val="titreA"/>
    <w:basedOn w:val="Normlny"/>
    <w:rsid w:val="000322EB"/>
    <w:pPr>
      <w:jc w:val="center"/>
      <w:outlineLvl w:val="0"/>
    </w:pPr>
    <w:rPr>
      <w:b/>
      <w:caps/>
      <w:szCs w:val="22"/>
      <w:lang w:val="sk-SK"/>
    </w:rPr>
  </w:style>
  <w:style w:type="paragraph" w:customStyle="1" w:styleId="titreB">
    <w:name w:val="titreB"/>
    <w:basedOn w:val="Normlny"/>
    <w:rsid w:val="000322EB"/>
    <w:pPr>
      <w:tabs>
        <w:tab w:val="left" w:pos="1701"/>
      </w:tabs>
      <w:ind w:left="1701" w:right="1416"/>
    </w:pPr>
    <w:rPr>
      <w:b/>
      <w:lang w:val="sk-SK"/>
    </w:rPr>
  </w:style>
  <w:style w:type="paragraph" w:customStyle="1" w:styleId="TitreB0">
    <w:name w:val="TitreB"/>
    <w:basedOn w:val="Normlny"/>
    <w:rsid w:val="000322EB"/>
    <w:pPr>
      <w:tabs>
        <w:tab w:val="left" w:pos="1701"/>
      </w:tabs>
      <w:ind w:left="1701" w:right="1416"/>
    </w:pPr>
    <w:rPr>
      <w:b/>
      <w:lang w:val="sk-SK"/>
    </w:rPr>
  </w:style>
  <w:style w:type="paragraph" w:customStyle="1" w:styleId="PROCORALAN1">
    <w:name w:val="PROCORALAN1"/>
    <w:basedOn w:val="titreA"/>
    <w:qFormat/>
    <w:rsid w:val="000322EB"/>
  </w:style>
  <w:style w:type="paragraph" w:customStyle="1" w:styleId="PROCORALAN2">
    <w:name w:val="PROCORALAN2"/>
    <w:basedOn w:val="Normlny"/>
    <w:qFormat/>
    <w:rsid w:val="000322EB"/>
    <w:rPr>
      <w:b/>
      <w:lang w:val="sk-SK"/>
    </w:rPr>
  </w:style>
  <w:style w:type="paragraph" w:customStyle="1" w:styleId="PROCORALAN3">
    <w:name w:val="PROCORALAN3"/>
    <w:basedOn w:val="Normlny"/>
    <w:qFormat/>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szCs w:val="22"/>
      <w:lang w:val="sk-SK" w:eastAsia="zh-CN"/>
    </w:rPr>
  </w:style>
  <w:style w:type="paragraph" w:styleId="AdresaHTML">
    <w:name w:val="HTML Address"/>
    <w:basedOn w:val="Normlny"/>
    <w:link w:val="AdresaHTMLChar"/>
    <w:rsid w:val="000322EB"/>
    <w:rPr>
      <w:i/>
      <w:iCs/>
    </w:rPr>
  </w:style>
  <w:style w:type="character" w:customStyle="1" w:styleId="AdresaHTMLChar">
    <w:name w:val="Adresa HTML Char"/>
    <w:basedOn w:val="Predvolenpsmoodseku"/>
    <w:link w:val="AdresaHTML"/>
    <w:rsid w:val="000322EB"/>
    <w:rPr>
      <w:i/>
      <w:iCs/>
      <w:sz w:val="22"/>
      <w:lang w:val="en-GB"/>
    </w:rPr>
  </w:style>
  <w:style w:type="paragraph" w:styleId="Adresanaoblke">
    <w:name w:val="envelope address"/>
    <w:basedOn w:val="Normlny"/>
    <w:rsid w:val="000322EB"/>
    <w:pPr>
      <w:framePr w:w="7920" w:h="1980" w:hRule="exact" w:hSpace="141" w:wrap="auto" w:hAnchor="page" w:xAlign="center" w:yAlign="bottom"/>
      <w:ind w:left="2880"/>
    </w:pPr>
    <w:rPr>
      <w:rFonts w:ascii="Cambria" w:hAnsi="Cambria"/>
      <w:sz w:val="24"/>
      <w:szCs w:val="24"/>
    </w:rPr>
  </w:style>
  <w:style w:type="paragraph" w:styleId="Bibliografia">
    <w:name w:val="Bibliography"/>
    <w:basedOn w:val="Normlny"/>
    <w:next w:val="Normlny"/>
    <w:uiPriority w:val="37"/>
    <w:semiHidden/>
    <w:unhideWhenUsed/>
    <w:rsid w:val="000322EB"/>
  </w:style>
  <w:style w:type="paragraph" w:styleId="slovanzoznam">
    <w:name w:val="List Number"/>
    <w:basedOn w:val="Normlny"/>
    <w:rsid w:val="000322EB"/>
    <w:pPr>
      <w:numPr>
        <w:numId w:val="16"/>
      </w:numPr>
      <w:contextualSpacing/>
    </w:pPr>
  </w:style>
  <w:style w:type="paragraph" w:styleId="slovanzoznam2">
    <w:name w:val="List Number 2"/>
    <w:basedOn w:val="Normlny"/>
    <w:rsid w:val="000322EB"/>
    <w:pPr>
      <w:numPr>
        <w:numId w:val="17"/>
      </w:numPr>
      <w:tabs>
        <w:tab w:val="clear" w:pos="643"/>
        <w:tab w:val="num" w:pos="360"/>
      </w:tabs>
      <w:ind w:left="0" w:firstLine="0"/>
      <w:contextualSpacing/>
    </w:pPr>
  </w:style>
  <w:style w:type="paragraph" w:styleId="slovanzoznam3">
    <w:name w:val="List Number 3"/>
    <w:basedOn w:val="Normlny"/>
    <w:rsid w:val="000322EB"/>
    <w:pPr>
      <w:numPr>
        <w:numId w:val="18"/>
      </w:numPr>
      <w:contextualSpacing/>
    </w:pPr>
  </w:style>
  <w:style w:type="paragraph" w:styleId="slovanzoznam4">
    <w:name w:val="List Number 4"/>
    <w:basedOn w:val="Normlny"/>
    <w:rsid w:val="000322EB"/>
    <w:pPr>
      <w:numPr>
        <w:numId w:val="19"/>
      </w:numPr>
      <w:contextualSpacing/>
    </w:pPr>
  </w:style>
  <w:style w:type="paragraph" w:styleId="slovanzoznam5">
    <w:name w:val="List Number 5"/>
    <w:basedOn w:val="Normlny"/>
    <w:rsid w:val="000322EB"/>
    <w:pPr>
      <w:numPr>
        <w:numId w:val="20"/>
      </w:numPr>
      <w:contextualSpacing/>
    </w:pPr>
  </w:style>
  <w:style w:type="paragraph" w:styleId="Dtum">
    <w:name w:val="Date"/>
    <w:basedOn w:val="Normlny"/>
    <w:next w:val="Normlny"/>
    <w:link w:val="DtumChar"/>
    <w:rsid w:val="000322EB"/>
  </w:style>
  <w:style w:type="character" w:customStyle="1" w:styleId="DtumChar">
    <w:name w:val="Dátum Char"/>
    <w:basedOn w:val="Predvolenpsmoodseku"/>
    <w:link w:val="Dtum"/>
    <w:rsid w:val="000322EB"/>
    <w:rPr>
      <w:sz w:val="22"/>
      <w:lang w:val="en-GB"/>
    </w:rPr>
  </w:style>
  <w:style w:type="paragraph" w:styleId="Hlavikasprvy">
    <w:name w:val="Message Header"/>
    <w:basedOn w:val="Normlny"/>
    <w:link w:val="HlavikasprvyChar"/>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HlavikasprvyChar">
    <w:name w:val="Hlavička správy Char"/>
    <w:basedOn w:val="Predvolenpsmoodseku"/>
    <w:link w:val="Hlavikasprvy"/>
    <w:rsid w:val="000322EB"/>
    <w:rPr>
      <w:rFonts w:ascii="Cambria" w:hAnsi="Cambria"/>
      <w:sz w:val="24"/>
      <w:szCs w:val="24"/>
      <w:shd w:val="pct20" w:color="auto" w:fill="auto"/>
      <w:lang w:val="en-GB"/>
    </w:rPr>
  </w:style>
  <w:style w:type="paragraph" w:styleId="Hlavikazoznamucitci">
    <w:name w:val="toa heading"/>
    <w:basedOn w:val="Normlny"/>
    <w:next w:val="Normlny"/>
    <w:rsid w:val="000322EB"/>
    <w:pPr>
      <w:spacing w:before="120"/>
    </w:pPr>
    <w:rPr>
      <w:rFonts w:ascii="Cambria" w:hAnsi="Cambria"/>
      <w:b/>
      <w:bCs/>
      <w:sz w:val="24"/>
      <w:szCs w:val="24"/>
    </w:rPr>
  </w:style>
  <w:style w:type="paragraph" w:styleId="Nadpispoznmky">
    <w:name w:val="Note Heading"/>
    <w:basedOn w:val="Normlny"/>
    <w:next w:val="Normlny"/>
    <w:link w:val="NadpispoznmkyChar"/>
    <w:rsid w:val="000322EB"/>
  </w:style>
  <w:style w:type="character" w:customStyle="1" w:styleId="NadpispoznmkyChar">
    <w:name w:val="Nadpis poznámky Char"/>
    <w:basedOn w:val="Predvolenpsmoodseku"/>
    <w:link w:val="Nadpispoznmky"/>
    <w:rsid w:val="000322EB"/>
    <w:rPr>
      <w:sz w:val="22"/>
      <w:lang w:val="en-GB"/>
    </w:rPr>
  </w:style>
  <w:style w:type="paragraph" w:styleId="Register1">
    <w:name w:val="index 1"/>
    <w:basedOn w:val="Normlny"/>
    <w:next w:val="Normlny"/>
    <w:autoRedefine/>
    <w:rsid w:val="000322EB"/>
    <w:pPr>
      <w:tabs>
        <w:tab w:val="clear" w:pos="567"/>
      </w:tabs>
      <w:ind w:left="220" w:hanging="220"/>
    </w:pPr>
  </w:style>
  <w:style w:type="paragraph" w:styleId="Nadpisregistra">
    <w:name w:val="index heading"/>
    <w:basedOn w:val="Normlny"/>
    <w:next w:val="Register1"/>
    <w:rsid w:val="000322EB"/>
    <w:rPr>
      <w:rFonts w:ascii="Cambria" w:hAnsi="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rsid w:val="000322EB"/>
    <w:pPr>
      <w:ind w:left="708"/>
    </w:pPr>
  </w:style>
  <w:style w:type="paragraph" w:styleId="Obsah1">
    <w:name w:val="toc 1"/>
    <w:basedOn w:val="Normlny"/>
    <w:next w:val="Normlny"/>
    <w:autoRedefine/>
    <w:rsid w:val="000322EB"/>
    <w:pPr>
      <w:tabs>
        <w:tab w:val="clear" w:pos="567"/>
      </w:tabs>
    </w:pPr>
  </w:style>
  <w:style w:type="paragraph" w:styleId="Obsah2">
    <w:name w:val="toc 2"/>
    <w:basedOn w:val="Normlny"/>
    <w:next w:val="Normlny"/>
    <w:autoRedefine/>
    <w:rsid w:val="000322EB"/>
    <w:pPr>
      <w:tabs>
        <w:tab w:val="clear" w:pos="567"/>
      </w:tabs>
      <w:ind w:left="220"/>
    </w:pPr>
  </w:style>
  <w:style w:type="paragraph" w:styleId="Obsah3">
    <w:name w:val="toc 3"/>
    <w:basedOn w:val="Normlny"/>
    <w:next w:val="Normlny"/>
    <w:autoRedefine/>
    <w:rsid w:val="000322EB"/>
    <w:pPr>
      <w:tabs>
        <w:tab w:val="clear" w:pos="567"/>
      </w:tabs>
      <w:ind w:left="440"/>
    </w:pPr>
  </w:style>
  <w:style w:type="paragraph" w:styleId="Obsah4">
    <w:name w:val="toc 4"/>
    <w:basedOn w:val="Normlny"/>
    <w:next w:val="Normlny"/>
    <w:autoRedefine/>
    <w:rsid w:val="000322EB"/>
    <w:pPr>
      <w:tabs>
        <w:tab w:val="clear" w:pos="567"/>
      </w:tabs>
      <w:ind w:left="660"/>
    </w:pPr>
  </w:style>
  <w:style w:type="paragraph" w:styleId="Obsah5">
    <w:name w:val="toc 5"/>
    <w:basedOn w:val="Normlny"/>
    <w:next w:val="Normlny"/>
    <w:autoRedefine/>
    <w:rsid w:val="000322EB"/>
    <w:pPr>
      <w:tabs>
        <w:tab w:val="clear" w:pos="567"/>
      </w:tabs>
      <w:ind w:left="880"/>
    </w:pPr>
  </w:style>
  <w:style w:type="paragraph" w:styleId="Obsah6">
    <w:name w:val="toc 6"/>
    <w:basedOn w:val="Normlny"/>
    <w:next w:val="Normlny"/>
    <w:autoRedefine/>
    <w:rsid w:val="000322EB"/>
    <w:pPr>
      <w:tabs>
        <w:tab w:val="clear" w:pos="567"/>
      </w:tabs>
      <w:ind w:left="1100"/>
    </w:pPr>
  </w:style>
  <w:style w:type="paragraph" w:styleId="Obsah7">
    <w:name w:val="toc 7"/>
    <w:basedOn w:val="Normlny"/>
    <w:next w:val="Normlny"/>
    <w:autoRedefine/>
    <w:rsid w:val="000322EB"/>
    <w:pPr>
      <w:tabs>
        <w:tab w:val="clear" w:pos="567"/>
      </w:tabs>
      <w:ind w:left="1320"/>
    </w:pPr>
  </w:style>
  <w:style w:type="paragraph" w:styleId="Obsah8">
    <w:name w:val="toc 8"/>
    <w:basedOn w:val="Normlny"/>
    <w:next w:val="Normlny"/>
    <w:autoRedefine/>
    <w:rsid w:val="000322EB"/>
    <w:pPr>
      <w:tabs>
        <w:tab w:val="clear" w:pos="567"/>
      </w:tabs>
      <w:ind w:left="1540"/>
    </w:pPr>
  </w:style>
  <w:style w:type="paragraph" w:styleId="Obsah9">
    <w:name w:val="toc 9"/>
    <w:basedOn w:val="Normlny"/>
    <w:next w:val="Normlny"/>
    <w:autoRedefine/>
    <w:rsid w:val="000322EB"/>
    <w:pPr>
      <w:tabs>
        <w:tab w:val="clear" w:pos="567"/>
      </w:tabs>
      <w:ind w:left="1760"/>
    </w:pPr>
  </w:style>
  <w:style w:type="paragraph" w:styleId="Obyajntext">
    <w:name w:val="Plain Text"/>
    <w:basedOn w:val="Normlny"/>
    <w:link w:val="ObyajntextChar"/>
    <w:rsid w:val="000322EB"/>
    <w:rPr>
      <w:rFonts w:ascii="Courier New" w:hAnsi="Courier New" w:cs="Courier New"/>
      <w:sz w:val="20"/>
    </w:rPr>
  </w:style>
  <w:style w:type="character" w:customStyle="1" w:styleId="ObyajntextChar">
    <w:name w:val="Obyčajný text Char"/>
    <w:basedOn w:val="Predvolenpsmoodseku"/>
    <w:link w:val="Obyajntext"/>
    <w:rsid w:val="000322EB"/>
    <w:rPr>
      <w:rFonts w:ascii="Courier New" w:hAnsi="Courier New" w:cs="Courier New"/>
      <w:lang w:val="en-GB"/>
    </w:rPr>
  </w:style>
  <w:style w:type="paragraph" w:styleId="Oslovenie">
    <w:name w:val="Salutation"/>
    <w:basedOn w:val="Normlny"/>
    <w:next w:val="Normlny"/>
    <w:link w:val="OslovenieChar"/>
    <w:rsid w:val="000322EB"/>
  </w:style>
  <w:style w:type="character" w:customStyle="1" w:styleId="OslovenieChar">
    <w:name w:val="Oslovenie Char"/>
    <w:basedOn w:val="Predvolenpsmoodseku"/>
    <w:link w:val="Oslovenie"/>
    <w:rsid w:val="000322EB"/>
    <w:rPr>
      <w:sz w:val="22"/>
      <w:lang w:val="en-GB"/>
    </w:rPr>
  </w:style>
  <w:style w:type="paragraph" w:styleId="Oznaitext">
    <w:name w:val="Block Text"/>
    <w:basedOn w:val="Normlny"/>
    <w:rsid w:val="000322EB"/>
    <w:pPr>
      <w:spacing w:after="120"/>
      <w:ind w:left="1440" w:right="1440"/>
    </w:pPr>
  </w:style>
  <w:style w:type="paragraph" w:styleId="Podpis">
    <w:name w:val="Signature"/>
    <w:basedOn w:val="Normlny"/>
    <w:link w:val="PodpisChar"/>
    <w:rsid w:val="000322EB"/>
    <w:pPr>
      <w:ind w:left="4252"/>
    </w:pPr>
  </w:style>
  <w:style w:type="character" w:customStyle="1" w:styleId="PodpisChar">
    <w:name w:val="Podpis Char"/>
    <w:basedOn w:val="Predvolenpsmoodseku"/>
    <w:link w:val="Podpis"/>
    <w:rsid w:val="000322EB"/>
    <w:rPr>
      <w:sz w:val="22"/>
      <w:lang w:val="en-GB"/>
    </w:rPr>
  </w:style>
  <w:style w:type="paragraph" w:styleId="Podpise-mailu">
    <w:name w:val="E-mail Signature"/>
    <w:basedOn w:val="Normlny"/>
    <w:link w:val="Podpise-mailuChar"/>
    <w:rsid w:val="000322EB"/>
  </w:style>
  <w:style w:type="character" w:customStyle="1" w:styleId="Podpise-mailuChar">
    <w:name w:val="Podpis e-mailu Char"/>
    <w:basedOn w:val="Predvolenpsmoodseku"/>
    <w:link w:val="Podpise-mailu"/>
    <w:rsid w:val="000322EB"/>
    <w:rPr>
      <w:sz w:val="22"/>
      <w:lang w:val="en-GB"/>
    </w:rPr>
  </w:style>
  <w:style w:type="paragraph" w:styleId="Pokraovaniezoznamu">
    <w:name w:val="List Continue"/>
    <w:basedOn w:val="Normlny"/>
    <w:rsid w:val="000322EB"/>
    <w:pPr>
      <w:spacing w:after="120"/>
      <w:ind w:left="283"/>
      <w:contextualSpacing/>
    </w:pPr>
  </w:style>
  <w:style w:type="paragraph" w:styleId="Pokraovaniezoznamu2">
    <w:name w:val="List Continue 2"/>
    <w:basedOn w:val="Normlny"/>
    <w:rsid w:val="000322EB"/>
    <w:pPr>
      <w:spacing w:after="120"/>
      <w:ind w:left="566"/>
      <w:contextualSpacing/>
    </w:pPr>
  </w:style>
  <w:style w:type="paragraph" w:styleId="Pokraovaniezoznamu3">
    <w:name w:val="List Continue 3"/>
    <w:basedOn w:val="Normlny"/>
    <w:rsid w:val="000322EB"/>
    <w:pPr>
      <w:spacing w:after="120"/>
      <w:ind w:left="849"/>
      <w:contextualSpacing/>
    </w:pPr>
  </w:style>
  <w:style w:type="paragraph" w:styleId="Pokraovaniezoznamu4">
    <w:name w:val="List Continue 4"/>
    <w:basedOn w:val="Normlny"/>
    <w:rsid w:val="000322EB"/>
    <w:pPr>
      <w:spacing w:after="120"/>
      <w:ind w:left="1132"/>
      <w:contextualSpacing/>
    </w:pPr>
  </w:style>
  <w:style w:type="paragraph" w:styleId="Pokraovaniezoznamu5">
    <w:name w:val="List Continue 5"/>
    <w:basedOn w:val="Normlny"/>
    <w:rsid w:val="000322EB"/>
    <w:pPr>
      <w:spacing w:after="120"/>
      <w:ind w:left="1415"/>
      <w:contextualSpacing/>
    </w:pPr>
  </w:style>
  <w:style w:type="paragraph" w:styleId="PredformtovanHTML">
    <w:name w:val="HTML Preformatted"/>
    <w:basedOn w:val="Normlny"/>
    <w:link w:val="PredformtovanHTMLChar"/>
    <w:rsid w:val="000322EB"/>
    <w:rPr>
      <w:rFonts w:ascii="Courier New" w:hAnsi="Courier New" w:cs="Courier New"/>
      <w:sz w:val="20"/>
    </w:rPr>
  </w:style>
  <w:style w:type="character" w:customStyle="1" w:styleId="PredformtovanHTMLChar">
    <w:name w:val="Predformátované HTML Char"/>
    <w:basedOn w:val="Predvolenpsmoodseku"/>
    <w:link w:val="PredformtovanHTML"/>
    <w:rsid w:val="000322EB"/>
    <w:rPr>
      <w:rFonts w:ascii="Courier New" w:hAnsi="Courier New" w:cs="Courier New"/>
      <w:lang w:val="en-GB"/>
    </w:rPr>
  </w:style>
  <w:style w:type="paragraph" w:styleId="Prvzarkazkladnhotextu">
    <w:name w:val="Body Text First Indent"/>
    <w:basedOn w:val="Zkladntext"/>
    <w:link w:val="PrvzarkazkladnhotextuChar"/>
    <w:rsid w:val="000322EB"/>
    <w:pPr>
      <w:spacing w:after="120"/>
      <w:ind w:firstLine="210"/>
    </w:pPr>
    <w:rPr>
      <w:b w:val="0"/>
      <w:i w:val="0"/>
    </w:rPr>
  </w:style>
  <w:style w:type="character" w:customStyle="1" w:styleId="PrvzarkazkladnhotextuChar">
    <w:name w:val="Prvá zarážka základného textu Char"/>
    <w:basedOn w:val="ZkladntextChar"/>
    <w:link w:val="Prvzarkazkladnhotextu"/>
    <w:rsid w:val="000322EB"/>
    <w:rPr>
      <w:b w:val="0"/>
      <w:i w:val="0"/>
      <w:sz w:val="22"/>
      <w:lang w:val="en-GB"/>
    </w:rPr>
  </w:style>
  <w:style w:type="paragraph" w:styleId="Zarkazkladnhotextu">
    <w:name w:val="Body Text Indent"/>
    <w:basedOn w:val="Normlny"/>
    <w:link w:val="ZarkazkladnhotextuChar"/>
    <w:rsid w:val="000322EB"/>
    <w:pPr>
      <w:spacing w:after="120"/>
      <w:ind w:left="283"/>
    </w:pPr>
  </w:style>
  <w:style w:type="character" w:customStyle="1" w:styleId="ZarkazkladnhotextuChar">
    <w:name w:val="Zarážka základného textu Char"/>
    <w:basedOn w:val="Predvolenpsmoodseku"/>
    <w:link w:val="Zarkazkladnhotextu"/>
    <w:rsid w:val="000322EB"/>
    <w:rPr>
      <w:sz w:val="22"/>
      <w:lang w:val="en-GB"/>
    </w:rPr>
  </w:style>
  <w:style w:type="paragraph" w:styleId="Prvzarkazkladnhotextu2">
    <w:name w:val="Body Text First Indent 2"/>
    <w:basedOn w:val="Zarkazkladnhotextu"/>
    <w:link w:val="Prvzarkazkladnhotextu2Char"/>
    <w:rsid w:val="000322EB"/>
    <w:pPr>
      <w:ind w:firstLine="210"/>
    </w:pPr>
  </w:style>
  <w:style w:type="character" w:customStyle="1" w:styleId="Prvzarkazkladnhotextu2Char">
    <w:name w:val="Prvá zarážka základného textu 2 Char"/>
    <w:basedOn w:val="ZarkazkladnhotextuChar"/>
    <w:link w:val="Prvzarkazkladnhotextu2"/>
    <w:rsid w:val="000322EB"/>
    <w:rPr>
      <w:sz w:val="22"/>
      <w:lang w:val="en-GB"/>
    </w:rPr>
  </w:style>
  <w:style w:type="paragraph" w:styleId="Register2">
    <w:name w:val="index 2"/>
    <w:basedOn w:val="Normlny"/>
    <w:next w:val="Normlny"/>
    <w:autoRedefine/>
    <w:rsid w:val="000322EB"/>
    <w:pPr>
      <w:tabs>
        <w:tab w:val="clear" w:pos="567"/>
      </w:tabs>
      <w:ind w:left="440" w:hanging="220"/>
    </w:pPr>
  </w:style>
  <w:style w:type="paragraph" w:styleId="Register3">
    <w:name w:val="index 3"/>
    <w:basedOn w:val="Normlny"/>
    <w:next w:val="Normlny"/>
    <w:autoRedefine/>
    <w:rsid w:val="000322EB"/>
    <w:pPr>
      <w:tabs>
        <w:tab w:val="clear" w:pos="567"/>
      </w:tabs>
      <w:ind w:left="660" w:hanging="220"/>
    </w:pPr>
  </w:style>
  <w:style w:type="paragraph" w:styleId="Register4">
    <w:name w:val="index 4"/>
    <w:basedOn w:val="Normlny"/>
    <w:next w:val="Normlny"/>
    <w:autoRedefine/>
    <w:rsid w:val="000322EB"/>
    <w:pPr>
      <w:tabs>
        <w:tab w:val="clear" w:pos="567"/>
      </w:tabs>
      <w:ind w:left="880" w:hanging="220"/>
    </w:pPr>
  </w:style>
  <w:style w:type="paragraph" w:styleId="Register5">
    <w:name w:val="index 5"/>
    <w:basedOn w:val="Normlny"/>
    <w:next w:val="Normlny"/>
    <w:autoRedefine/>
    <w:rsid w:val="000322EB"/>
    <w:pPr>
      <w:tabs>
        <w:tab w:val="clear" w:pos="567"/>
      </w:tabs>
      <w:ind w:left="1100" w:hanging="220"/>
    </w:pPr>
  </w:style>
  <w:style w:type="paragraph" w:styleId="Register6">
    <w:name w:val="index 6"/>
    <w:basedOn w:val="Normlny"/>
    <w:next w:val="Normlny"/>
    <w:autoRedefine/>
    <w:rsid w:val="000322EB"/>
    <w:pPr>
      <w:tabs>
        <w:tab w:val="clear" w:pos="567"/>
      </w:tabs>
      <w:ind w:left="1320" w:hanging="220"/>
    </w:pPr>
  </w:style>
  <w:style w:type="paragraph" w:styleId="Register7">
    <w:name w:val="index 7"/>
    <w:basedOn w:val="Normlny"/>
    <w:next w:val="Normlny"/>
    <w:autoRedefine/>
    <w:rsid w:val="000322EB"/>
    <w:pPr>
      <w:tabs>
        <w:tab w:val="clear" w:pos="567"/>
      </w:tabs>
      <w:ind w:left="1540" w:hanging="220"/>
    </w:pPr>
  </w:style>
  <w:style w:type="paragraph" w:styleId="Register8">
    <w:name w:val="index 8"/>
    <w:basedOn w:val="Normlny"/>
    <w:next w:val="Normlny"/>
    <w:autoRedefine/>
    <w:rsid w:val="000322EB"/>
    <w:pPr>
      <w:tabs>
        <w:tab w:val="clear" w:pos="567"/>
      </w:tabs>
      <w:ind w:left="1760" w:hanging="220"/>
    </w:pPr>
  </w:style>
  <w:style w:type="paragraph" w:styleId="Register9">
    <w:name w:val="index 9"/>
    <w:basedOn w:val="Normlny"/>
    <w:next w:val="Normlny"/>
    <w:autoRedefine/>
    <w:rsid w:val="000322EB"/>
    <w:pPr>
      <w:tabs>
        <w:tab w:val="clear" w:pos="567"/>
      </w:tabs>
      <w:ind w:left="1980" w:hanging="220"/>
    </w:pPr>
  </w:style>
  <w:style w:type="paragraph" w:styleId="Spiatonadresanaoblke">
    <w:name w:val="envelope return"/>
    <w:basedOn w:val="Normlny"/>
    <w:rsid w:val="000322EB"/>
    <w:rPr>
      <w:rFonts w:ascii="Cambria" w:hAnsi="Cambria"/>
      <w:sz w:val="20"/>
    </w:rPr>
  </w:style>
  <w:style w:type="paragraph" w:styleId="Textmakra">
    <w:name w:val="macro"/>
    <w:link w:val="TextmakraChar"/>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TextmakraChar">
    <w:name w:val="Text makra Char"/>
    <w:basedOn w:val="Predvolenpsmoodseku"/>
    <w:link w:val="Textmakra"/>
    <w:rsid w:val="000322EB"/>
    <w:rPr>
      <w:rFonts w:ascii="Courier New" w:hAnsi="Courier New" w:cs="Courier New"/>
      <w:lang w:val="en-GB"/>
    </w:rPr>
  </w:style>
  <w:style w:type="paragraph" w:styleId="Zarkazkladnhotextu2">
    <w:name w:val="Body Text Indent 2"/>
    <w:basedOn w:val="Normlny"/>
    <w:link w:val="Zarkazkladnhotextu2Char"/>
    <w:rsid w:val="000322EB"/>
    <w:pPr>
      <w:spacing w:after="120" w:line="480" w:lineRule="auto"/>
      <w:ind w:left="283"/>
    </w:pPr>
  </w:style>
  <w:style w:type="character" w:customStyle="1" w:styleId="Zarkazkladnhotextu2Char">
    <w:name w:val="Zarážka základného textu 2 Char"/>
    <w:basedOn w:val="Predvolenpsmoodseku"/>
    <w:link w:val="Zarkazkladnhotextu2"/>
    <w:rsid w:val="000322EB"/>
    <w:rPr>
      <w:sz w:val="22"/>
      <w:lang w:val="en-GB"/>
    </w:rPr>
  </w:style>
  <w:style w:type="paragraph" w:styleId="Zarkazkladnhotextu3">
    <w:name w:val="Body Text Indent 3"/>
    <w:basedOn w:val="Normlny"/>
    <w:link w:val="Zarkazkladnhotextu3Char"/>
    <w:rsid w:val="000322EB"/>
    <w:pPr>
      <w:spacing w:after="120"/>
      <w:ind w:left="283"/>
    </w:pPr>
    <w:rPr>
      <w:sz w:val="16"/>
      <w:szCs w:val="16"/>
    </w:rPr>
  </w:style>
  <w:style w:type="character" w:customStyle="1" w:styleId="Zarkazkladnhotextu3Char">
    <w:name w:val="Zarážka základného textu 3 Char"/>
    <w:basedOn w:val="Predvolenpsmoodseku"/>
    <w:link w:val="Zarkazkladnhotextu3"/>
    <w:rsid w:val="000322EB"/>
    <w:rPr>
      <w:sz w:val="16"/>
      <w:szCs w:val="16"/>
      <w:lang w:val="en-GB"/>
    </w:rPr>
  </w:style>
  <w:style w:type="paragraph" w:styleId="Zver">
    <w:name w:val="Closing"/>
    <w:basedOn w:val="Normlny"/>
    <w:link w:val="ZverChar"/>
    <w:rsid w:val="000322EB"/>
    <w:pPr>
      <w:ind w:left="4252"/>
    </w:pPr>
  </w:style>
  <w:style w:type="character" w:customStyle="1" w:styleId="ZverChar">
    <w:name w:val="Záver Char"/>
    <w:basedOn w:val="Predvolenpsmoodseku"/>
    <w:link w:val="Zver"/>
    <w:rsid w:val="000322EB"/>
    <w:rPr>
      <w:sz w:val="22"/>
      <w:lang w:val="en-GB"/>
    </w:rPr>
  </w:style>
  <w:style w:type="paragraph" w:styleId="Zoznam">
    <w:name w:val="List"/>
    <w:basedOn w:val="Normlny"/>
    <w:rsid w:val="000322EB"/>
    <w:pPr>
      <w:ind w:left="283" w:hanging="283"/>
      <w:contextualSpacing/>
    </w:pPr>
  </w:style>
  <w:style w:type="paragraph" w:styleId="Zoznam2">
    <w:name w:val="List 2"/>
    <w:basedOn w:val="Normlny"/>
    <w:rsid w:val="000322EB"/>
    <w:pPr>
      <w:ind w:left="566" w:hanging="283"/>
      <w:contextualSpacing/>
    </w:pPr>
  </w:style>
  <w:style w:type="paragraph" w:styleId="Zoznam3">
    <w:name w:val="List 3"/>
    <w:basedOn w:val="Normlny"/>
    <w:rsid w:val="000322EB"/>
    <w:pPr>
      <w:ind w:left="849" w:hanging="283"/>
      <w:contextualSpacing/>
    </w:pPr>
  </w:style>
  <w:style w:type="paragraph" w:styleId="Zoznam4">
    <w:name w:val="List 4"/>
    <w:basedOn w:val="Normlny"/>
    <w:rsid w:val="000322EB"/>
    <w:pPr>
      <w:ind w:left="1132" w:hanging="283"/>
      <w:contextualSpacing/>
    </w:pPr>
  </w:style>
  <w:style w:type="paragraph" w:styleId="Zoznam5">
    <w:name w:val="List 5"/>
    <w:basedOn w:val="Normlny"/>
    <w:rsid w:val="000322EB"/>
    <w:pPr>
      <w:ind w:left="1415" w:hanging="283"/>
      <w:contextualSpacing/>
    </w:pPr>
  </w:style>
  <w:style w:type="paragraph" w:styleId="Zoznamcitci">
    <w:name w:val="table of authorities"/>
    <w:basedOn w:val="Normlny"/>
    <w:next w:val="Normlny"/>
    <w:rsid w:val="000322EB"/>
    <w:pPr>
      <w:tabs>
        <w:tab w:val="clear" w:pos="567"/>
      </w:tabs>
      <w:ind w:left="220" w:hanging="220"/>
    </w:pPr>
  </w:style>
  <w:style w:type="paragraph" w:styleId="Zoznamobrzkov">
    <w:name w:val="table of figures"/>
    <w:basedOn w:val="Normlny"/>
    <w:next w:val="Normlny"/>
    <w:rsid w:val="000322EB"/>
    <w:pPr>
      <w:tabs>
        <w:tab w:val="clear" w:pos="567"/>
      </w:tabs>
    </w:pPr>
  </w:style>
  <w:style w:type="paragraph" w:styleId="Zoznamsodrkami">
    <w:name w:val="List Bullet"/>
    <w:basedOn w:val="Normlny"/>
    <w:rsid w:val="000322EB"/>
    <w:pPr>
      <w:numPr>
        <w:numId w:val="21"/>
      </w:numPr>
      <w:contextualSpacing/>
    </w:pPr>
  </w:style>
  <w:style w:type="paragraph" w:styleId="Zoznamsodrkami2">
    <w:name w:val="List Bullet 2"/>
    <w:basedOn w:val="Normlny"/>
    <w:rsid w:val="000322EB"/>
    <w:pPr>
      <w:numPr>
        <w:numId w:val="22"/>
      </w:numPr>
      <w:contextualSpacing/>
    </w:pPr>
  </w:style>
  <w:style w:type="paragraph" w:styleId="Zoznamsodrkami3">
    <w:name w:val="List Bullet 3"/>
    <w:basedOn w:val="Normlny"/>
    <w:rsid w:val="000322EB"/>
    <w:pPr>
      <w:numPr>
        <w:numId w:val="23"/>
      </w:numPr>
      <w:contextualSpacing/>
    </w:pPr>
  </w:style>
  <w:style w:type="paragraph" w:styleId="Zoznamsodrkami4">
    <w:name w:val="List Bullet 4"/>
    <w:basedOn w:val="Normlny"/>
    <w:rsid w:val="000322EB"/>
    <w:pPr>
      <w:numPr>
        <w:numId w:val="24"/>
      </w:numPr>
      <w:contextualSpacing/>
    </w:pPr>
  </w:style>
  <w:style w:type="paragraph" w:styleId="Zoznamsodrkami5">
    <w:name w:val="List Bullet 5"/>
    <w:basedOn w:val="Normlny"/>
    <w:rsid w:val="000322EB"/>
    <w:pPr>
      <w:numPr>
        <w:numId w:val="25"/>
      </w:numPr>
      <w:contextualSpacing/>
    </w:pPr>
  </w:style>
  <w:style w:type="paragraph" w:customStyle="1" w:styleId="tl1">
    <w:name w:val="Štýl1"/>
    <w:basedOn w:val="PROOOCO1"/>
    <w:qFormat/>
    <w:rsid w:val="000322EB"/>
    <w:pPr>
      <w:tabs>
        <w:tab w:val="left" w:pos="567"/>
      </w:tabs>
      <w:spacing w:line="260" w:lineRule="exact"/>
      <w:outlineLvl w:val="0"/>
    </w:pPr>
    <w:rPr>
      <w:caps/>
      <w:szCs w:val="22"/>
    </w:rPr>
  </w:style>
  <w:style w:type="paragraph" w:customStyle="1" w:styleId="tl2">
    <w:name w:val="Štýl2"/>
    <w:basedOn w:val="PROOOCO1"/>
    <w:qFormat/>
    <w:rsid w:val="000322EB"/>
    <w:pPr>
      <w:tabs>
        <w:tab w:val="left" w:pos="567"/>
      </w:tabs>
      <w:spacing w:line="260" w:lineRule="exact"/>
      <w:outlineLvl w:val="0"/>
    </w:pPr>
    <w:rPr>
      <w:caps/>
      <w:szCs w:val="22"/>
    </w:rPr>
  </w:style>
  <w:style w:type="paragraph" w:customStyle="1" w:styleId="tl3">
    <w:name w:val="Štýl3"/>
    <w:basedOn w:val="PROOOCO1"/>
    <w:qFormat/>
    <w:rsid w:val="000322EB"/>
    <w:pPr>
      <w:tabs>
        <w:tab w:val="left" w:pos="567"/>
      </w:tabs>
      <w:spacing w:line="260" w:lineRule="exact"/>
      <w:outlineLvl w:val="0"/>
    </w:pPr>
    <w:rPr>
      <w:caps/>
      <w:szCs w:val="22"/>
    </w:rPr>
  </w:style>
  <w:style w:type="paragraph" w:customStyle="1" w:styleId="tl4">
    <w:name w:val="Štýl4"/>
    <w:basedOn w:val="PROOOCO2"/>
    <w:qFormat/>
    <w:rsid w:val="000322EB"/>
    <w:pPr>
      <w:ind w:left="0" w:firstLine="0"/>
    </w:pPr>
  </w:style>
  <w:style w:type="paragraph" w:customStyle="1" w:styleId="tl5">
    <w:name w:val="Štýl5"/>
    <w:basedOn w:val="PROOOCO2"/>
    <w:qFormat/>
    <w:rsid w:val="000322EB"/>
    <w:pPr>
      <w:ind w:left="0" w:firstLine="0"/>
    </w:pPr>
  </w:style>
  <w:style w:type="paragraph" w:customStyle="1" w:styleId="tl6">
    <w:name w:val="Štýl6"/>
    <w:basedOn w:val="PROOOCO2"/>
    <w:qFormat/>
    <w:rsid w:val="000322EB"/>
    <w:pPr>
      <w:ind w:left="0" w:firstLine="0"/>
    </w:pPr>
  </w:style>
  <w:style w:type="paragraph" w:customStyle="1" w:styleId="tl7">
    <w:name w:val="Štýl7"/>
    <w:basedOn w:val="PROOOCO2"/>
    <w:qFormat/>
    <w:rsid w:val="000322EB"/>
    <w:pPr>
      <w:ind w:left="0" w:firstLine="0"/>
    </w:pPr>
  </w:style>
  <w:style w:type="paragraph" w:customStyle="1" w:styleId="BLANKA1">
    <w:name w:val="BLANKA1"/>
    <w:basedOn w:val="tl1"/>
    <w:qFormat/>
    <w:rsid w:val="000322EB"/>
  </w:style>
  <w:style w:type="paragraph" w:customStyle="1" w:styleId="BLANKA2">
    <w:name w:val="BLANKA2"/>
    <w:basedOn w:val="tl4"/>
    <w:qFormat/>
    <w:rsid w:val="000322EB"/>
  </w:style>
  <w:style w:type="character" w:customStyle="1" w:styleId="hps">
    <w:name w:val="hps"/>
    <w:rsid w:val="000322EB"/>
  </w:style>
  <w:style w:type="character" w:customStyle="1" w:styleId="atn">
    <w:name w:val="atn"/>
    <w:rsid w:val="000322EB"/>
  </w:style>
  <w:style w:type="character" w:styleId="Siln">
    <w:name w:val="Strong"/>
    <w:uiPriority w:val="22"/>
    <w:qFormat/>
    <w:rsid w:val="000322EB"/>
    <w:rPr>
      <w:b/>
      <w:bCs/>
    </w:rPr>
  </w:style>
  <w:style w:type="paragraph" w:customStyle="1" w:styleId="EMEAEnBodyText">
    <w:name w:val="EMEA En Body Text"/>
    <w:basedOn w:val="Normlny"/>
    <w:rsid w:val="005730D7"/>
    <w:pPr>
      <w:tabs>
        <w:tab w:val="clear" w:pos="567"/>
      </w:tabs>
      <w:spacing w:before="120" w:after="120" w:line="240" w:lineRule="auto"/>
      <w:jc w:val="both"/>
    </w:pPr>
    <w:rPr>
      <w:lang w:val="en-US"/>
    </w:rPr>
  </w:style>
  <w:style w:type="paragraph" w:customStyle="1" w:styleId="Paragraph">
    <w:name w:val="Paragraph"/>
    <w:link w:val="ParagraphChar"/>
    <w:rsid w:val="00586480"/>
    <w:pPr>
      <w:spacing w:after="240"/>
    </w:pPr>
    <w:rPr>
      <w:sz w:val="24"/>
      <w:szCs w:val="24"/>
      <w:lang w:val="en-US"/>
    </w:rPr>
  </w:style>
  <w:style w:type="character" w:customStyle="1" w:styleId="ParagraphChar">
    <w:name w:val="Paragraph Char"/>
    <w:link w:val="Paragraph"/>
    <w:rsid w:val="00586480"/>
    <w:rPr>
      <w:sz w:val="24"/>
      <w:szCs w:val="24"/>
      <w:lang w:val="en-US"/>
    </w:rPr>
  </w:style>
  <w:style w:type="paragraph" w:customStyle="1" w:styleId="Default">
    <w:name w:val="Default"/>
    <w:rsid w:val="00D70363"/>
    <w:pPr>
      <w:autoSpaceDE w:val="0"/>
      <w:autoSpaceDN w:val="0"/>
      <w:adjustRightInd w:val="0"/>
    </w:pPr>
    <w:rPr>
      <w:color w:val="000000"/>
      <w:sz w:val="24"/>
      <w:szCs w:val="24"/>
      <w:lang w:val="fr-FR" w:eastAsia="fr-FR"/>
    </w:rPr>
  </w:style>
  <w:style w:type="table" w:styleId="Mriekatabuky">
    <w:name w:val="Table Grid"/>
    <w:basedOn w:val="Normlnatabuka"/>
    <w:uiPriority w:val="59"/>
    <w:rsid w:val="006A616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B57E8C"/>
    <w:rPr>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lang w:val="en-GB"/>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tabs>
        <w:tab w:val="clear" w:pos="567"/>
      </w:tabs>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semiHidden/>
    <w:unhideWhenUsed/>
    <w:qFormat/>
    <w:rsid w:val="001D2613"/>
    <w:rPr>
      <w:b/>
      <w:bCs/>
      <w:sz w:val="20"/>
    </w:rPr>
  </w:style>
  <w:style w:type="paragraph" w:styleId="Nzov">
    <w:name w:val="Title"/>
    <w:basedOn w:val="Normlny"/>
    <w:next w:val="Normlny"/>
    <w:link w:val="NzovChar"/>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rsid w:val="001D2613"/>
    <w:rPr>
      <w:rFonts w:ascii="Cambria" w:hAnsi="Cambria"/>
      <w:b/>
      <w:bCs/>
      <w:kern w:val="28"/>
      <w:sz w:val="32"/>
      <w:szCs w:val="32"/>
      <w:lang w:val="en-GB"/>
    </w:rPr>
  </w:style>
  <w:style w:type="paragraph" w:styleId="Podtitul">
    <w:name w:val="Subtitle"/>
    <w:basedOn w:val="Normlny"/>
    <w:next w:val="Normlny"/>
    <w:link w:val="PodtitulChar"/>
    <w:qFormat/>
    <w:rsid w:val="001D2613"/>
    <w:pPr>
      <w:spacing w:after="60"/>
      <w:jc w:val="center"/>
      <w:outlineLvl w:val="1"/>
    </w:pPr>
    <w:rPr>
      <w:rFonts w:ascii="Cambria" w:hAnsi="Cambria"/>
      <w:sz w:val="24"/>
      <w:szCs w:val="24"/>
    </w:rPr>
  </w:style>
  <w:style w:type="character" w:customStyle="1" w:styleId="PodtitulChar">
    <w:name w:val="Podtitul Char"/>
    <w:link w:val="Podtitul"/>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sz w:val="20"/>
    </w:rPr>
  </w:style>
  <w:style w:type="character" w:customStyle="1" w:styleId="HlavikaChar">
    <w:name w:val="Hlavička Char"/>
    <w:basedOn w:val="Predvolenpsmoodseku"/>
    <w:link w:val="Hlavika"/>
    <w:uiPriority w:val="99"/>
    <w:rsid w:val="000322EB"/>
    <w:rPr>
      <w:rFonts w:ascii="Arial" w:hAnsi="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sz w:val="16"/>
    </w:rPr>
  </w:style>
  <w:style w:type="character" w:customStyle="1" w:styleId="PtaChar">
    <w:name w:val="Päta Char"/>
    <w:basedOn w:val="Predvolenpsmoodseku"/>
    <w:link w:val="Pta"/>
    <w:uiPriority w:val="99"/>
    <w:rsid w:val="000322EB"/>
    <w:rPr>
      <w:rFonts w:ascii="Arial" w:hAnsi="Arial"/>
      <w:sz w:val="16"/>
      <w:lang w:val="en-GB"/>
    </w:rPr>
  </w:style>
  <w:style w:type="character" w:styleId="slostrany">
    <w:name w:val="page number"/>
    <w:basedOn w:val="Predvolenpsmoodseku"/>
    <w:rsid w:val="000322EB"/>
  </w:style>
  <w:style w:type="paragraph" w:styleId="Textvysvetlivky">
    <w:name w:val="endnote text"/>
    <w:basedOn w:val="Normlny"/>
    <w:link w:val="TextvysvetlivkyChar"/>
    <w:semiHidden/>
    <w:rsid w:val="000322EB"/>
    <w:pPr>
      <w:spacing w:line="240" w:lineRule="auto"/>
    </w:pPr>
  </w:style>
  <w:style w:type="character" w:customStyle="1" w:styleId="TextvysvetlivkyChar">
    <w:name w:val="Text vysvetlivky Char"/>
    <w:basedOn w:val="Predvolenpsmoodseku"/>
    <w:link w:val="Textvysvetlivky"/>
    <w:semiHidden/>
    <w:rsid w:val="000322EB"/>
    <w:rPr>
      <w:sz w:val="22"/>
      <w:lang w:val="en-GB"/>
    </w:rPr>
  </w:style>
  <w:style w:type="character" w:styleId="Odkaznavysvetlivku">
    <w:name w:val="endnote reference"/>
    <w:semiHidden/>
    <w:rsid w:val="000322EB"/>
    <w:rPr>
      <w:vertAlign w:val="superscript"/>
    </w:rPr>
  </w:style>
  <w:style w:type="character" w:styleId="Odkaznakomentr">
    <w:name w:val="annotation reference"/>
    <w:semiHidden/>
    <w:rsid w:val="000322EB"/>
    <w:rPr>
      <w:sz w:val="16"/>
    </w:rPr>
  </w:style>
  <w:style w:type="paragraph" w:styleId="Textkomentra">
    <w:name w:val="annotation text"/>
    <w:basedOn w:val="Normlny"/>
    <w:link w:val="TextkomentraChar"/>
    <w:semiHidden/>
    <w:rsid w:val="000322EB"/>
    <w:rPr>
      <w:sz w:val="20"/>
    </w:rPr>
  </w:style>
  <w:style w:type="character" w:customStyle="1" w:styleId="TextkomentraChar">
    <w:name w:val="Text komentára Char"/>
    <w:basedOn w:val="Predvolenpsmoodseku"/>
    <w:link w:val="Textkomentra"/>
    <w:semiHidden/>
    <w:rsid w:val="000322EB"/>
    <w:rPr>
      <w:lang w:val="en-GB"/>
    </w:rPr>
  </w:style>
  <w:style w:type="paragraph" w:styleId="Zkladntext2">
    <w:name w:val="Body Text 2"/>
    <w:basedOn w:val="Normlny"/>
    <w:link w:val="Zkladntext2Char"/>
    <w:rsid w:val="000322EB"/>
    <w:pPr>
      <w:tabs>
        <w:tab w:val="left" w:pos="4536"/>
      </w:tabs>
      <w:jc w:val="both"/>
    </w:pPr>
    <w:rPr>
      <w:b/>
    </w:rPr>
  </w:style>
  <w:style w:type="character" w:customStyle="1" w:styleId="Zkladntext2Char">
    <w:name w:val="Základný text 2 Char"/>
    <w:basedOn w:val="Predvolenpsmoodseku"/>
    <w:link w:val="Zkladntext2"/>
    <w:rsid w:val="000322EB"/>
    <w:rPr>
      <w:b/>
      <w:sz w:val="22"/>
      <w:lang w:val="en-GB"/>
    </w:rPr>
  </w:style>
  <w:style w:type="paragraph" w:styleId="Zkladntext">
    <w:name w:val="Body Text"/>
    <w:basedOn w:val="Normlny"/>
    <w:link w:val="ZkladntextChar"/>
    <w:rsid w:val="000322EB"/>
    <w:rPr>
      <w:b/>
      <w:i/>
    </w:rPr>
  </w:style>
  <w:style w:type="character" w:customStyle="1" w:styleId="ZkladntextChar">
    <w:name w:val="Základný text Char"/>
    <w:basedOn w:val="Predvolenpsmoodseku"/>
    <w:link w:val="Zkladntext"/>
    <w:rsid w:val="000322EB"/>
    <w:rPr>
      <w:b/>
      <w:i/>
      <w:sz w:val="22"/>
      <w:lang w:val="en-GB"/>
    </w:rPr>
  </w:style>
  <w:style w:type="paragraph" w:styleId="Zkladntext3">
    <w:name w:val="Body Text 3"/>
    <w:basedOn w:val="Normlny"/>
    <w:link w:val="Zkladntext3Char"/>
    <w:rsid w:val="000322EB"/>
    <w:pPr>
      <w:jc w:val="both"/>
    </w:pPr>
    <w:rPr>
      <w:b/>
      <w:i/>
    </w:rPr>
  </w:style>
  <w:style w:type="character" w:customStyle="1" w:styleId="Zkladntext3Char">
    <w:name w:val="Základný text 3 Char"/>
    <w:basedOn w:val="Predvolenpsmoodseku"/>
    <w:link w:val="Zkladntext3"/>
    <w:rsid w:val="000322EB"/>
    <w:rPr>
      <w:b/>
      <w:i/>
      <w:sz w:val="22"/>
      <w:lang w:val="en-GB"/>
    </w:rPr>
  </w:style>
  <w:style w:type="paragraph" w:styleId="Textpoznmkypodiarou">
    <w:name w:val="footnote text"/>
    <w:basedOn w:val="Normlny"/>
    <w:link w:val="TextpoznmkypodiarouChar"/>
    <w:semiHidden/>
    <w:rsid w:val="000322EB"/>
    <w:rPr>
      <w:sz w:val="20"/>
    </w:rPr>
  </w:style>
  <w:style w:type="character" w:customStyle="1" w:styleId="TextpoznmkypodiarouChar">
    <w:name w:val="Text poznámky pod čiarou Char"/>
    <w:basedOn w:val="Predvolenpsmoodseku"/>
    <w:link w:val="Textpoznmkypodiarou"/>
    <w:semiHidden/>
    <w:rsid w:val="000322EB"/>
    <w:rPr>
      <w:lang w:val="en-GB"/>
    </w:rPr>
  </w:style>
  <w:style w:type="character" w:styleId="Odkaznapoznmkupodiarou">
    <w:name w:val="footnote reference"/>
    <w:semiHidden/>
    <w:rsid w:val="000322EB"/>
    <w:rPr>
      <w:vertAlign w:val="superscript"/>
    </w:rPr>
  </w:style>
  <w:style w:type="paragraph" w:styleId="truktradokumentu">
    <w:name w:val="Document Map"/>
    <w:basedOn w:val="Normlny"/>
    <w:link w:val="truktradokumentuChar"/>
    <w:semiHidden/>
    <w:rsid w:val="000322EB"/>
    <w:pPr>
      <w:shd w:val="clear" w:color="auto" w:fill="000080"/>
    </w:pPr>
    <w:rPr>
      <w:rFonts w:ascii="Tahoma" w:hAnsi="Tahoma"/>
    </w:rPr>
  </w:style>
  <w:style w:type="character" w:customStyle="1" w:styleId="truktradokumentuChar">
    <w:name w:val="Štruktúra dokumentu Char"/>
    <w:basedOn w:val="Predvolenpsmoodseku"/>
    <w:link w:val="truktradokumentu"/>
    <w:semiHidden/>
    <w:rsid w:val="000322EB"/>
    <w:rPr>
      <w:rFonts w:ascii="Tahoma" w:hAnsi="Tahoma"/>
      <w:sz w:val="22"/>
      <w:shd w:val="clear" w:color="auto" w:fill="000080"/>
      <w:lang w:val="en-GB"/>
    </w:rPr>
  </w:style>
  <w:style w:type="paragraph" w:customStyle="1" w:styleId="Style1">
    <w:name w:val="Style1"/>
    <w:basedOn w:val="Normlny"/>
    <w:rsid w:val="000322EB"/>
    <w:pPr>
      <w:tabs>
        <w:tab w:val="clear" w:pos="567"/>
      </w:tabs>
      <w:spacing w:line="240" w:lineRule="auto"/>
    </w:pPr>
    <w:rPr>
      <w:rFonts w:ascii="Arial" w:hAnsi="Arial"/>
      <w:sz w:val="24"/>
      <w:szCs w:val="24"/>
      <w:lang w:val="fr-FR" w:eastAsia="fr-FR"/>
    </w:rPr>
  </w:style>
  <w:style w:type="paragraph" w:customStyle="1" w:styleId="Textedebulles1">
    <w:name w:val="Texte de bulles1"/>
    <w:basedOn w:val="Normlny"/>
    <w:semiHidden/>
    <w:rsid w:val="000322EB"/>
    <w:rPr>
      <w:rFonts w:ascii="Tahoma" w:hAnsi="Tahoma" w:cs="Tahoma"/>
      <w:sz w:val="16"/>
      <w:szCs w:val="16"/>
    </w:rPr>
  </w:style>
  <w:style w:type="paragraph" w:styleId="Textbubliny">
    <w:name w:val="Balloon Text"/>
    <w:basedOn w:val="Normlny"/>
    <w:link w:val="TextbublinyChar"/>
    <w:semiHidden/>
    <w:rsid w:val="000322EB"/>
    <w:rPr>
      <w:rFonts w:ascii="Tahoma" w:hAnsi="Tahoma" w:cs="Tahoma"/>
      <w:sz w:val="16"/>
      <w:szCs w:val="16"/>
    </w:rPr>
  </w:style>
  <w:style w:type="character" w:customStyle="1" w:styleId="TextbublinyChar">
    <w:name w:val="Text bubliny Char"/>
    <w:basedOn w:val="Predvolenpsmoodseku"/>
    <w:link w:val="Textbubliny"/>
    <w:semiHidden/>
    <w:rsid w:val="000322EB"/>
    <w:rPr>
      <w:rFonts w:ascii="Tahoma" w:hAnsi="Tahoma" w:cs="Tahoma"/>
      <w:sz w:val="16"/>
      <w:szCs w:val="16"/>
      <w:lang w:val="en-GB"/>
    </w:rPr>
  </w:style>
  <w:style w:type="character" w:styleId="Hypertextovprepojenie">
    <w:name w:val="Hyperlink"/>
    <w:rsid w:val="000322EB"/>
    <w:rPr>
      <w:color w:val="0000FF"/>
      <w:u w:val="single"/>
    </w:rPr>
  </w:style>
  <w:style w:type="paragraph" w:styleId="Predmetkomentra">
    <w:name w:val="annotation subject"/>
    <w:basedOn w:val="Textkomentra"/>
    <w:next w:val="Textkomentra"/>
    <w:link w:val="PredmetkomentraChar"/>
    <w:semiHidden/>
    <w:rsid w:val="000322EB"/>
    <w:rPr>
      <w:b/>
      <w:bCs/>
    </w:rPr>
  </w:style>
  <w:style w:type="character" w:customStyle="1" w:styleId="PredmetkomentraChar">
    <w:name w:val="Predmet komentára Char"/>
    <w:basedOn w:val="TextkomentraChar"/>
    <w:link w:val="Predmetkomentra"/>
    <w:semiHidden/>
    <w:rsid w:val="000322EB"/>
    <w:rPr>
      <w:b/>
      <w:bCs/>
      <w:lang w:val="en-GB"/>
    </w:rPr>
  </w:style>
  <w:style w:type="paragraph" w:customStyle="1" w:styleId="titreA">
    <w:name w:val="titreA"/>
    <w:basedOn w:val="Normlny"/>
    <w:rsid w:val="000322EB"/>
    <w:pPr>
      <w:jc w:val="center"/>
      <w:outlineLvl w:val="0"/>
    </w:pPr>
    <w:rPr>
      <w:b/>
      <w:caps/>
      <w:szCs w:val="22"/>
      <w:lang w:val="sk-SK"/>
    </w:rPr>
  </w:style>
  <w:style w:type="paragraph" w:customStyle="1" w:styleId="titreB">
    <w:name w:val="titreB"/>
    <w:basedOn w:val="Normlny"/>
    <w:rsid w:val="000322EB"/>
    <w:pPr>
      <w:tabs>
        <w:tab w:val="left" w:pos="1701"/>
      </w:tabs>
      <w:ind w:left="1701" w:right="1416"/>
    </w:pPr>
    <w:rPr>
      <w:b/>
      <w:lang w:val="sk-SK"/>
    </w:rPr>
  </w:style>
  <w:style w:type="paragraph" w:customStyle="1" w:styleId="TitreB0">
    <w:name w:val="TitreB"/>
    <w:basedOn w:val="Normlny"/>
    <w:rsid w:val="000322EB"/>
    <w:pPr>
      <w:tabs>
        <w:tab w:val="left" w:pos="1701"/>
      </w:tabs>
      <w:ind w:left="1701" w:right="1416"/>
    </w:pPr>
    <w:rPr>
      <w:b/>
      <w:lang w:val="sk-SK"/>
    </w:rPr>
  </w:style>
  <w:style w:type="paragraph" w:customStyle="1" w:styleId="PROCORALAN1">
    <w:name w:val="PROCORALAN1"/>
    <w:basedOn w:val="titreA"/>
    <w:qFormat/>
    <w:rsid w:val="000322EB"/>
  </w:style>
  <w:style w:type="paragraph" w:customStyle="1" w:styleId="PROCORALAN2">
    <w:name w:val="PROCORALAN2"/>
    <w:basedOn w:val="Normlny"/>
    <w:qFormat/>
    <w:rsid w:val="000322EB"/>
    <w:rPr>
      <w:b/>
      <w:lang w:val="sk-SK"/>
    </w:rPr>
  </w:style>
  <w:style w:type="paragraph" w:customStyle="1" w:styleId="PROCORALAN3">
    <w:name w:val="PROCORALAN3"/>
    <w:basedOn w:val="Normlny"/>
    <w:qFormat/>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szCs w:val="22"/>
      <w:lang w:val="sk-SK" w:eastAsia="zh-CN"/>
    </w:rPr>
  </w:style>
  <w:style w:type="paragraph" w:styleId="AdresaHTML">
    <w:name w:val="HTML Address"/>
    <w:basedOn w:val="Normlny"/>
    <w:link w:val="AdresaHTMLChar"/>
    <w:rsid w:val="000322EB"/>
    <w:rPr>
      <w:i/>
      <w:iCs/>
    </w:rPr>
  </w:style>
  <w:style w:type="character" w:customStyle="1" w:styleId="AdresaHTMLChar">
    <w:name w:val="Adresa HTML Char"/>
    <w:basedOn w:val="Predvolenpsmoodseku"/>
    <w:link w:val="AdresaHTML"/>
    <w:rsid w:val="000322EB"/>
    <w:rPr>
      <w:i/>
      <w:iCs/>
      <w:sz w:val="22"/>
      <w:lang w:val="en-GB"/>
    </w:rPr>
  </w:style>
  <w:style w:type="paragraph" w:styleId="Adresanaoblke">
    <w:name w:val="envelope address"/>
    <w:basedOn w:val="Normlny"/>
    <w:rsid w:val="000322EB"/>
    <w:pPr>
      <w:framePr w:w="7920" w:h="1980" w:hRule="exact" w:hSpace="141" w:wrap="auto" w:hAnchor="page" w:xAlign="center" w:yAlign="bottom"/>
      <w:ind w:left="2880"/>
    </w:pPr>
    <w:rPr>
      <w:rFonts w:ascii="Cambria" w:hAnsi="Cambria"/>
      <w:sz w:val="24"/>
      <w:szCs w:val="24"/>
    </w:rPr>
  </w:style>
  <w:style w:type="paragraph" w:styleId="Bibliografia">
    <w:name w:val="Bibliography"/>
    <w:basedOn w:val="Normlny"/>
    <w:next w:val="Normlny"/>
    <w:uiPriority w:val="37"/>
    <w:semiHidden/>
    <w:unhideWhenUsed/>
    <w:rsid w:val="000322EB"/>
  </w:style>
  <w:style w:type="paragraph" w:styleId="slovanzoznam">
    <w:name w:val="List Number"/>
    <w:basedOn w:val="Normlny"/>
    <w:rsid w:val="000322EB"/>
    <w:pPr>
      <w:numPr>
        <w:numId w:val="16"/>
      </w:numPr>
      <w:contextualSpacing/>
    </w:pPr>
  </w:style>
  <w:style w:type="paragraph" w:styleId="slovanzoznam2">
    <w:name w:val="List Number 2"/>
    <w:basedOn w:val="Normlny"/>
    <w:rsid w:val="000322EB"/>
    <w:pPr>
      <w:numPr>
        <w:numId w:val="17"/>
      </w:numPr>
      <w:tabs>
        <w:tab w:val="clear" w:pos="643"/>
        <w:tab w:val="num" w:pos="360"/>
      </w:tabs>
      <w:ind w:left="0" w:firstLine="0"/>
      <w:contextualSpacing/>
    </w:pPr>
  </w:style>
  <w:style w:type="paragraph" w:styleId="slovanzoznam3">
    <w:name w:val="List Number 3"/>
    <w:basedOn w:val="Normlny"/>
    <w:rsid w:val="000322EB"/>
    <w:pPr>
      <w:numPr>
        <w:numId w:val="18"/>
      </w:numPr>
      <w:contextualSpacing/>
    </w:pPr>
  </w:style>
  <w:style w:type="paragraph" w:styleId="slovanzoznam4">
    <w:name w:val="List Number 4"/>
    <w:basedOn w:val="Normlny"/>
    <w:rsid w:val="000322EB"/>
    <w:pPr>
      <w:numPr>
        <w:numId w:val="19"/>
      </w:numPr>
      <w:contextualSpacing/>
    </w:pPr>
  </w:style>
  <w:style w:type="paragraph" w:styleId="slovanzoznam5">
    <w:name w:val="List Number 5"/>
    <w:basedOn w:val="Normlny"/>
    <w:rsid w:val="000322EB"/>
    <w:pPr>
      <w:numPr>
        <w:numId w:val="20"/>
      </w:numPr>
      <w:contextualSpacing/>
    </w:pPr>
  </w:style>
  <w:style w:type="paragraph" w:styleId="Dtum">
    <w:name w:val="Date"/>
    <w:basedOn w:val="Normlny"/>
    <w:next w:val="Normlny"/>
    <w:link w:val="DtumChar"/>
    <w:rsid w:val="000322EB"/>
  </w:style>
  <w:style w:type="character" w:customStyle="1" w:styleId="DtumChar">
    <w:name w:val="Dátum Char"/>
    <w:basedOn w:val="Predvolenpsmoodseku"/>
    <w:link w:val="Dtum"/>
    <w:rsid w:val="000322EB"/>
    <w:rPr>
      <w:sz w:val="22"/>
      <w:lang w:val="en-GB"/>
    </w:rPr>
  </w:style>
  <w:style w:type="paragraph" w:styleId="Hlavikasprvy">
    <w:name w:val="Message Header"/>
    <w:basedOn w:val="Normlny"/>
    <w:link w:val="HlavikasprvyChar"/>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HlavikasprvyChar">
    <w:name w:val="Hlavička správy Char"/>
    <w:basedOn w:val="Predvolenpsmoodseku"/>
    <w:link w:val="Hlavikasprvy"/>
    <w:rsid w:val="000322EB"/>
    <w:rPr>
      <w:rFonts w:ascii="Cambria" w:hAnsi="Cambria"/>
      <w:sz w:val="24"/>
      <w:szCs w:val="24"/>
      <w:shd w:val="pct20" w:color="auto" w:fill="auto"/>
      <w:lang w:val="en-GB"/>
    </w:rPr>
  </w:style>
  <w:style w:type="paragraph" w:styleId="Hlavikazoznamucitci">
    <w:name w:val="toa heading"/>
    <w:basedOn w:val="Normlny"/>
    <w:next w:val="Normlny"/>
    <w:rsid w:val="000322EB"/>
    <w:pPr>
      <w:spacing w:before="120"/>
    </w:pPr>
    <w:rPr>
      <w:rFonts w:ascii="Cambria" w:hAnsi="Cambria"/>
      <w:b/>
      <w:bCs/>
      <w:sz w:val="24"/>
      <w:szCs w:val="24"/>
    </w:rPr>
  </w:style>
  <w:style w:type="paragraph" w:styleId="Nadpispoznmky">
    <w:name w:val="Note Heading"/>
    <w:basedOn w:val="Normlny"/>
    <w:next w:val="Normlny"/>
    <w:link w:val="NadpispoznmkyChar"/>
    <w:rsid w:val="000322EB"/>
  </w:style>
  <w:style w:type="character" w:customStyle="1" w:styleId="NadpispoznmkyChar">
    <w:name w:val="Nadpis poznámky Char"/>
    <w:basedOn w:val="Predvolenpsmoodseku"/>
    <w:link w:val="Nadpispoznmky"/>
    <w:rsid w:val="000322EB"/>
    <w:rPr>
      <w:sz w:val="22"/>
      <w:lang w:val="en-GB"/>
    </w:rPr>
  </w:style>
  <w:style w:type="paragraph" w:styleId="Register1">
    <w:name w:val="index 1"/>
    <w:basedOn w:val="Normlny"/>
    <w:next w:val="Normlny"/>
    <w:autoRedefine/>
    <w:rsid w:val="000322EB"/>
    <w:pPr>
      <w:tabs>
        <w:tab w:val="clear" w:pos="567"/>
      </w:tabs>
      <w:ind w:left="220" w:hanging="220"/>
    </w:pPr>
  </w:style>
  <w:style w:type="paragraph" w:styleId="Nadpisregistra">
    <w:name w:val="index heading"/>
    <w:basedOn w:val="Normlny"/>
    <w:next w:val="Register1"/>
    <w:rsid w:val="000322EB"/>
    <w:rPr>
      <w:rFonts w:ascii="Cambria" w:hAnsi="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rsid w:val="000322EB"/>
    <w:pPr>
      <w:ind w:left="708"/>
    </w:pPr>
  </w:style>
  <w:style w:type="paragraph" w:styleId="Obsah1">
    <w:name w:val="toc 1"/>
    <w:basedOn w:val="Normlny"/>
    <w:next w:val="Normlny"/>
    <w:autoRedefine/>
    <w:rsid w:val="000322EB"/>
    <w:pPr>
      <w:tabs>
        <w:tab w:val="clear" w:pos="567"/>
      </w:tabs>
    </w:pPr>
  </w:style>
  <w:style w:type="paragraph" w:styleId="Obsah2">
    <w:name w:val="toc 2"/>
    <w:basedOn w:val="Normlny"/>
    <w:next w:val="Normlny"/>
    <w:autoRedefine/>
    <w:rsid w:val="000322EB"/>
    <w:pPr>
      <w:tabs>
        <w:tab w:val="clear" w:pos="567"/>
      </w:tabs>
      <w:ind w:left="220"/>
    </w:pPr>
  </w:style>
  <w:style w:type="paragraph" w:styleId="Obsah3">
    <w:name w:val="toc 3"/>
    <w:basedOn w:val="Normlny"/>
    <w:next w:val="Normlny"/>
    <w:autoRedefine/>
    <w:rsid w:val="000322EB"/>
    <w:pPr>
      <w:tabs>
        <w:tab w:val="clear" w:pos="567"/>
      </w:tabs>
      <w:ind w:left="440"/>
    </w:pPr>
  </w:style>
  <w:style w:type="paragraph" w:styleId="Obsah4">
    <w:name w:val="toc 4"/>
    <w:basedOn w:val="Normlny"/>
    <w:next w:val="Normlny"/>
    <w:autoRedefine/>
    <w:rsid w:val="000322EB"/>
    <w:pPr>
      <w:tabs>
        <w:tab w:val="clear" w:pos="567"/>
      </w:tabs>
      <w:ind w:left="660"/>
    </w:pPr>
  </w:style>
  <w:style w:type="paragraph" w:styleId="Obsah5">
    <w:name w:val="toc 5"/>
    <w:basedOn w:val="Normlny"/>
    <w:next w:val="Normlny"/>
    <w:autoRedefine/>
    <w:rsid w:val="000322EB"/>
    <w:pPr>
      <w:tabs>
        <w:tab w:val="clear" w:pos="567"/>
      </w:tabs>
      <w:ind w:left="880"/>
    </w:pPr>
  </w:style>
  <w:style w:type="paragraph" w:styleId="Obsah6">
    <w:name w:val="toc 6"/>
    <w:basedOn w:val="Normlny"/>
    <w:next w:val="Normlny"/>
    <w:autoRedefine/>
    <w:rsid w:val="000322EB"/>
    <w:pPr>
      <w:tabs>
        <w:tab w:val="clear" w:pos="567"/>
      </w:tabs>
      <w:ind w:left="1100"/>
    </w:pPr>
  </w:style>
  <w:style w:type="paragraph" w:styleId="Obsah7">
    <w:name w:val="toc 7"/>
    <w:basedOn w:val="Normlny"/>
    <w:next w:val="Normlny"/>
    <w:autoRedefine/>
    <w:rsid w:val="000322EB"/>
    <w:pPr>
      <w:tabs>
        <w:tab w:val="clear" w:pos="567"/>
      </w:tabs>
      <w:ind w:left="1320"/>
    </w:pPr>
  </w:style>
  <w:style w:type="paragraph" w:styleId="Obsah8">
    <w:name w:val="toc 8"/>
    <w:basedOn w:val="Normlny"/>
    <w:next w:val="Normlny"/>
    <w:autoRedefine/>
    <w:rsid w:val="000322EB"/>
    <w:pPr>
      <w:tabs>
        <w:tab w:val="clear" w:pos="567"/>
      </w:tabs>
      <w:ind w:left="1540"/>
    </w:pPr>
  </w:style>
  <w:style w:type="paragraph" w:styleId="Obsah9">
    <w:name w:val="toc 9"/>
    <w:basedOn w:val="Normlny"/>
    <w:next w:val="Normlny"/>
    <w:autoRedefine/>
    <w:rsid w:val="000322EB"/>
    <w:pPr>
      <w:tabs>
        <w:tab w:val="clear" w:pos="567"/>
      </w:tabs>
      <w:ind w:left="1760"/>
    </w:pPr>
  </w:style>
  <w:style w:type="paragraph" w:styleId="Obyajntext">
    <w:name w:val="Plain Text"/>
    <w:basedOn w:val="Normlny"/>
    <w:link w:val="ObyajntextChar"/>
    <w:rsid w:val="000322EB"/>
    <w:rPr>
      <w:rFonts w:ascii="Courier New" w:hAnsi="Courier New" w:cs="Courier New"/>
      <w:sz w:val="20"/>
    </w:rPr>
  </w:style>
  <w:style w:type="character" w:customStyle="1" w:styleId="ObyajntextChar">
    <w:name w:val="Obyčajný text Char"/>
    <w:basedOn w:val="Predvolenpsmoodseku"/>
    <w:link w:val="Obyajntext"/>
    <w:rsid w:val="000322EB"/>
    <w:rPr>
      <w:rFonts w:ascii="Courier New" w:hAnsi="Courier New" w:cs="Courier New"/>
      <w:lang w:val="en-GB"/>
    </w:rPr>
  </w:style>
  <w:style w:type="paragraph" w:styleId="Oslovenie">
    <w:name w:val="Salutation"/>
    <w:basedOn w:val="Normlny"/>
    <w:next w:val="Normlny"/>
    <w:link w:val="OslovenieChar"/>
    <w:rsid w:val="000322EB"/>
  </w:style>
  <w:style w:type="character" w:customStyle="1" w:styleId="OslovenieChar">
    <w:name w:val="Oslovenie Char"/>
    <w:basedOn w:val="Predvolenpsmoodseku"/>
    <w:link w:val="Oslovenie"/>
    <w:rsid w:val="000322EB"/>
    <w:rPr>
      <w:sz w:val="22"/>
      <w:lang w:val="en-GB"/>
    </w:rPr>
  </w:style>
  <w:style w:type="paragraph" w:styleId="Oznaitext">
    <w:name w:val="Block Text"/>
    <w:basedOn w:val="Normlny"/>
    <w:rsid w:val="000322EB"/>
    <w:pPr>
      <w:spacing w:after="120"/>
      <w:ind w:left="1440" w:right="1440"/>
    </w:pPr>
  </w:style>
  <w:style w:type="paragraph" w:styleId="Podpis">
    <w:name w:val="Signature"/>
    <w:basedOn w:val="Normlny"/>
    <w:link w:val="PodpisChar"/>
    <w:rsid w:val="000322EB"/>
    <w:pPr>
      <w:ind w:left="4252"/>
    </w:pPr>
  </w:style>
  <w:style w:type="character" w:customStyle="1" w:styleId="PodpisChar">
    <w:name w:val="Podpis Char"/>
    <w:basedOn w:val="Predvolenpsmoodseku"/>
    <w:link w:val="Podpis"/>
    <w:rsid w:val="000322EB"/>
    <w:rPr>
      <w:sz w:val="22"/>
      <w:lang w:val="en-GB"/>
    </w:rPr>
  </w:style>
  <w:style w:type="paragraph" w:styleId="Podpise-mailu">
    <w:name w:val="E-mail Signature"/>
    <w:basedOn w:val="Normlny"/>
    <w:link w:val="Podpise-mailuChar"/>
    <w:rsid w:val="000322EB"/>
  </w:style>
  <w:style w:type="character" w:customStyle="1" w:styleId="Podpise-mailuChar">
    <w:name w:val="Podpis e-mailu Char"/>
    <w:basedOn w:val="Predvolenpsmoodseku"/>
    <w:link w:val="Podpise-mailu"/>
    <w:rsid w:val="000322EB"/>
    <w:rPr>
      <w:sz w:val="22"/>
      <w:lang w:val="en-GB"/>
    </w:rPr>
  </w:style>
  <w:style w:type="paragraph" w:styleId="Pokraovaniezoznamu">
    <w:name w:val="List Continue"/>
    <w:basedOn w:val="Normlny"/>
    <w:rsid w:val="000322EB"/>
    <w:pPr>
      <w:spacing w:after="120"/>
      <w:ind w:left="283"/>
      <w:contextualSpacing/>
    </w:pPr>
  </w:style>
  <w:style w:type="paragraph" w:styleId="Pokraovaniezoznamu2">
    <w:name w:val="List Continue 2"/>
    <w:basedOn w:val="Normlny"/>
    <w:rsid w:val="000322EB"/>
    <w:pPr>
      <w:spacing w:after="120"/>
      <w:ind w:left="566"/>
      <w:contextualSpacing/>
    </w:pPr>
  </w:style>
  <w:style w:type="paragraph" w:styleId="Pokraovaniezoznamu3">
    <w:name w:val="List Continue 3"/>
    <w:basedOn w:val="Normlny"/>
    <w:rsid w:val="000322EB"/>
    <w:pPr>
      <w:spacing w:after="120"/>
      <w:ind w:left="849"/>
      <w:contextualSpacing/>
    </w:pPr>
  </w:style>
  <w:style w:type="paragraph" w:styleId="Pokraovaniezoznamu4">
    <w:name w:val="List Continue 4"/>
    <w:basedOn w:val="Normlny"/>
    <w:rsid w:val="000322EB"/>
    <w:pPr>
      <w:spacing w:after="120"/>
      <w:ind w:left="1132"/>
      <w:contextualSpacing/>
    </w:pPr>
  </w:style>
  <w:style w:type="paragraph" w:styleId="Pokraovaniezoznamu5">
    <w:name w:val="List Continue 5"/>
    <w:basedOn w:val="Normlny"/>
    <w:rsid w:val="000322EB"/>
    <w:pPr>
      <w:spacing w:after="120"/>
      <w:ind w:left="1415"/>
      <w:contextualSpacing/>
    </w:pPr>
  </w:style>
  <w:style w:type="paragraph" w:styleId="PredformtovanHTML">
    <w:name w:val="HTML Preformatted"/>
    <w:basedOn w:val="Normlny"/>
    <w:link w:val="PredformtovanHTMLChar"/>
    <w:rsid w:val="000322EB"/>
    <w:rPr>
      <w:rFonts w:ascii="Courier New" w:hAnsi="Courier New" w:cs="Courier New"/>
      <w:sz w:val="20"/>
    </w:rPr>
  </w:style>
  <w:style w:type="character" w:customStyle="1" w:styleId="PredformtovanHTMLChar">
    <w:name w:val="Predformátované HTML Char"/>
    <w:basedOn w:val="Predvolenpsmoodseku"/>
    <w:link w:val="PredformtovanHTML"/>
    <w:rsid w:val="000322EB"/>
    <w:rPr>
      <w:rFonts w:ascii="Courier New" w:hAnsi="Courier New" w:cs="Courier New"/>
      <w:lang w:val="en-GB"/>
    </w:rPr>
  </w:style>
  <w:style w:type="paragraph" w:styleId="Prvzarkazkladnhotextu">
    <w:name w:val="Body Text First Indent"/>
    <w:basedOn w:val="Zkladntext"/>
    <w:link w:val="PrvzarkazkladnhotextuChar"/>
    <w:rsid w:val="000322EB"/>
    <w:pPr>
      <w:spacing w:after="120"/>
      <w:ind w:firstLine="210"/>
    </w:pPr>
    <w:rPr>
      <w:b w:val="0"/>
      <w:i w:val="0"/>
    </w:rPr>
  </w:style>
  <w:style w:type="character" w:customStyle="1" w:styleId="PrvzarkazkladnhotextuChar">
    <w:name w:val="Prvá zarážka základného textu Char"/>
    <w:basedOn w:val="ZkladntextChar"/>
    <w:link w:val="Prvzarkazkladnhotextu"/>
    <w:rsid w:val="000322EB"/>
    <w:rPr>
      <w:b w:val="0"/>
      <w:i w:val="0"/>
      <w:sz w:val="22"/>
      <w:lang w:val="en-GB"/>
    </w:rPr>
  </w:style>
  <w:style w:type="paragraph" w:styleId="Zarkazkladnhotextu">
    <w:name w:val="Body Text Indent"/>
    <w:basedOn w:val="Normlny"/>
    <w:link w:val="ZarkazkladnhotextuChar"/>
    <w:rsid w:val="000322EB"/>
    <w:pPr>
      <w:spacing w:after="120"/>
      <w:ind w:left="283"/>
    </w:pPr>
  </w:style>
  <w:style w:type="character" w:customStyle="1" w:styleId="ZarkazkladnhotextuChar">
    <w:name w:val="Zarážka základného textu Char"/>
    <w:basedOn w:val="Predvolenpsmoodseku"/>
    <w:link w:val="Zarkazkladnhotextu"/>
    <w:rsid w:val="000322EB"/>
    <w:rPr>
      <w:sz w:val="22"/>
      <w:lang w:val="en-GB"/>
    </w:rPr>
  </w:style>
  <w:style w:type="paragraph" w:styleId="Prvzarkazkladnhotextu2">
    <w:name w:val="Body Text First Indent 2"/>
    <w:basedOn w:val="Zarkazkladnhotextu"/>
    <w:link w:val="Prvzarkazkladnhotextu2Char"/>
    <w:rsid w:val="000322EB"/>
    <w:pPr>
      <w:ind w:firstLine="210"/>
    </w:pPr>
  </w:style>
  <w:style w:type="character" w:customStyle="1" w:styleId="Prvzarkazkladnhotextu2Char">
    <w:name w:val="Prvá zarážka základného textu 2 Char"/>
    <w:basedOn w:val="ZarkazkladnhotextuChar"/>
    <w:link w:val="Prvzarkazkladnhotextu2"/>
    <w:rsid w:val="000322EB"/>
    <w:rPr>
      <w:sz w:val="22"/>
      <w:lang w:val="en-GB"/>
    </w:rPr>
  </w:style>
  <w:style w:type="paragraph" w:styleId="Register2">
    <w:name w:val="index 2"/>
    <w:basedOn w:val="Normlny"/>
    <w:next w:val="Normlny"/>
    <w:autoRedefine/>
    <w:rsid w:val="000322EB"/>
    <w:pPr>
      <w:tabs>
        <w:tab w:val="clear" w:pos="567"/>
      </w:tabs>
      <w:ind w:left="440" w:hanging="220"/>
    </w:pPr>
  </w:style>
  <w:style w:type="paragraph" w:styleId="Register3">
    <w:name w:val="index 3"/>
    <w:basedOn w:val="Normlny"/>
    <w:next w:val="Normlny"/>
    <w:autoRedefine/>
    <w:rsid w:val="000322EB"/>
    <w:pPr>
      <w:tabs>
        <w:tab w:val="clear" w:pos="567"/>
      </w:tabs>
      <w:ind w:left="660" w:hanging="220"/>
    </w:pPr>
  </w:style>
  <w:style w:type="paragraph" w:styleId="Register4">
    <w:name w:val="index 4"/>
    <w:basedOn w:val="Normlny"/>
    <w:next w:val="Normlny"/>
    <w:autoRedefine/>
    <w:rsid w:val="000322EB"/>
    <w:pPr>
      <w:tabs>
        <w:tab w:val="clear" w:pos="567"/>
      </w:tabs>
      <w:ind w:left="880" w:hanging="220"/>
    </w:pPr>
  </w:style>
  <w:style w:type="paragraph" w:styleId="Register5">
    <w:name w:val="index 5"/>
    <w:basedOn w:val="Normlny"/>
    <w:next w:val="Normlny"/>
    <w:autoRedefine/>
    <w:rsid w:val="000322EB"/>
    <w:pPr>
      <w:tabs>
        <w:tab w:val="clear" w:pos="567"/>
      </w:tabs>
      <w:ind w:left="1100" w:hanging="220"/>
    </w:pPr>
  </w:style>
  <w:style w:type="paragraph" w:styleId="Register6">
    <w:name w:val="index 6"/>
    <w:basedOn w:val="Normlny"/>
    <w:next w:val="Normlny"/>
    <w:autoRedefine/>
    <w:rsid w:val="000322EB"/>
    <w:pPr>
      <w:tabs>
        <w:tab w:val="clear" w:pos="567"/>
      </w:tabs>
      <w:ind w:left="1320" w:hanging="220"/>
    </w:pPr>
  </w:style>
  <w:style w:type="paragraph" w:styleId="Register7">
    <w:name w:val="index 7"/>
    <w:basedOn w:val="Normlny"/>
    <w:next w:val="Normlny"/>
    <w:autoRedefine/>
    <w:rsid w:val="000322EB"/>
    <w:pPr>
      <w:tabs>
        <w:tab w:val="clear" w:pos="567"/>
      </w:tabs>
      <w:ind w:left="1540" w:hanging="220"/>
    </w:pPr>
  </w:style>
  <w:style w:type="paragraph" w:styleId="Register8">
    <w:name w:val="index 8"/>
    <w:basedOn w:val="Normlny"/>
    <w:next w:val="Normlny"/>
    <w:autoRedefine/>
    <w:rsid w:val="000322EB"/>
    <w:pPr>
      <w:tabs>
        <w:tab w:val="clear" w:pos="567"/>
      </w:tabs>
      <w:ind w:left="1760" w:hanging="220"/>
    </w:pPr>
  </w:style>
  <w:style w:type="paragraph" w:styleId="Register9">
    <w:name w:val="index 9"/>
    <w:basedOn w:val="Normlny"/>
    <w:next w:val="Normlny"/>
    <w:autoRedefine/>
    <w:rsid w:val="000322EB"/>
    <w:pPr>
      <w:tabs>
        <w:tab w:val="clear" w:pos="567"/>
      </w:tabs>
      <w:ind w:left="1980" w:hanging="220"/>
    </w:pPr>
  </w:style>
  <w:style w:type="paragraph" w:styleId="Spiatonadresanaoblke">
    <w:name w:val="envelope return"/>
    <w:basedOn w:val="Normlny"/>
    <w:rsid w:val="000322EB"/>
    <w:rPr>
      <w:rFonts w:ascii="Cambria" w:hAnsi="Cambria"/>
      <w:sz w:val="20"/>
    </w:rPr>
  </w:style>
  <w:style w:type="paragraph" w:styleId="Textmakra">
    <w:name w:val="macro"/>
    <w:link w:val="TextmakraChar"/>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TextmakraChar">
    <w:name w:val="Text makra Char"/>
    <w:basedOn w:val="Predvolenpsmoodseku"/>
    <w:link w:val="Textmakra"/>
    <w:rsid w:val="000322EB"/>
    <w:rPr>
      <w:rFonts w:ascii="Courier New" w:hAnsi="Courier New" w:cs="Courier New"/>
      <w:lang w:val="en-GB"/>
    </w:rPr>
  </w:style>
  <w:style w:type="paragraph" w:styleId="Zarkazkladnhotextu2">
    <w:name w:val="Body Text Indent 2"/>
    <w:basedOn w:val="Normlny"/>
    <w:link w:val="Zarkazkladnhotextu2Char"/>
    <w:rsid w:val="000322EB"/>
    <w:pPr>
      <w:spacing w:after="120" w:line="480" w:lineRule="auto"/>
      <w:ind w:left="283"/>
    </w:pPr>
  </w:style>
  <w:style w:type="character" w:customStyle="1" w:styleId="Zarkazkladnhotextu2Char">
    <w:name w:val="Zarážka základného textu 2 Char"/>
    <w:basedOn w:val="Predvolenpsmoodseku"/>
    <w:link w:val="Zarkazkladnhotextu2"/>
    <w:rsid w:val="000322EB"/>
    <w:rPr>
      <w:sz w:val="22"/>
      <w:lang w:val="en-GB"/>
    </w:rPr>
  </w:style>
  <w:style w:type="paragraph" w:styleId="Zarkazkladnhotextu3">
    <w:name w:val="Body Text Indent 3"/>
    <w:basedOn w:val="Normlny"/>
    <w:link w:val="Zarkazkladnhotextu3Char"/>
    <w:rsid w:val="000322EB"/>
    <w:pPr>
      <w:spacing w:after="120"/>
      <w:ind w:left="283"/>
    </w:pPr>
    <w:rPr>
      <w:sz w:val="16"/>
      <w:szCs w:val="16"/>
    </w:rPr>
  </w:style>
  <w:style w:type="character" w:customStyle="1" w:styleId="Zarkazkladnhotextu3Char">
    <w:name w:val="Zarážka základného textu 3 Char"/>
    <w:basedOn w:val="Predvolenpsmoodseku"/>
    <w:link w:val="Zarkazkladnhotextu3"/>
    <w:rsid w:val="000322EB"/>
    <w:rPr>
      <w:sz w:val="16"/>
      <w:szCs w:val="16"/>
      <w:lang w:val="en-GB"/>
    </w:rPr>
  </w:style>
  <w:style w:type="paragraph" w:styleId="Zver">
    <w:name w:val="Closing"/>
    <w:basedOn w:val="Normlny"/>
    <w:link w:val="ZverChar"/>
    <w:rsid w:val="000322EB"/>
    <w:pPr>
      <w:ind w:left="4252"/>
    </w:pPr>
  </w:style>
  <w:style w:type="character" w:customStyle="1" w:styleId="ZverChar">
    <w:name w:val="Záver Char"/>
    <w:basedOn w:val="Predvolenpsmoodseku"/>
    <w:link w:val="Zver"/>
    <w:rsid w:val="000322EB"/>
    <w:rPr>
      <w:sz w:val="22"/>
      <w:lang w:val="en-GB"/>
    </w:rPr>
  </w:style>
  <w:style w:type="paragraph" w:styleId="Zoznam">
    <w:name w:val="List"/>
    <w:basedOn w:val="Normlny"/>
    <w:rsid w:val="000322EB"/>
    <w:pPr>
      <w:ind w:left="283" w:hanging="283"/>
      <w:contextualSpacing/>
    </w:pPr>
  </w:style>
  <w:style w:type="paragraph" w:styleId="Zoznam2">
    <w:name w:val="List 2"/>
    <w:basedOn w:val="Normlny"/>
    <w:rsid w:val="000322EB"/>
    <w:pPr>
      <w:ind w:left="566" w:hanging="283"/>
      <w:contextualSpacing/>
    </w:pPr>
  </w:style>
  <w:style w:type="paragraph" w:styleId="Zoznam3">
    <w:name w:val="List 3"/>
    <w:basedOn w:val="Normlny"/>
    <w:rsid w:val="000322EB"/>
    <w:pPr>
      <w:ind w:left="849" w:hanging="283"/>
      <w:contextualSpacing/>
    </w:pPr>
  </w:style>
  <w:style w:type="paragraph" w:styleId="Zoznam4">
    <w:name w:val="List 4"/>
    <w:basedOn w:val="Normlny"/>
    <w:rsid w:val="000322EB"/>
    <w:pPr>
      <w:ind w:left="1132" w:hanging="283"/>
      <w:contextualSpacing/>
    </w:pPr>
  </w:style>
  <w:style w:type="paragraph" w:styleId="Zoznam5">
    <w:name w:val="List 5"/>
    <w:basedOn w:val="Normlny"/>
    <w:rsid w:val="000322EB"/>
    <w:pPr>
      <w:ind w:left="1415" w:hanging="283"/>
      <w:contextualSpacing/>
    </w:pPr>
  </w:style>
  <w:style w:type="paragraph" w:styleId="Zoznamcitci">
    <w:name w:val="table of authorities"/>
    <w:basedOn w:val="Normlny"/>
    <w:next w:val="Normlny"/>
    <w:rsid w:val="000322EB"/>
    <w:pPr>
      <w:tabs>
        <w:tab w:val="clear" w:pos="567"/>
      </w:tabs>
      <w:ind w:left="220" w:hanging="220"/>
    </w:pPr>
  </w:style>
  <w:style w:type="paragraph" w:styleId="Zoznamobrzkov">
    <w:name w:val="table of figures"/>
    <w:basedOn w:val="Normlny"/>
    <w:next w:val="Normlny"/>
    <w:rsid w:val="000322EB"/>
    <w:pPr>
      <w:tabs>
        <w:tab w:val="clear" w:pos="567"/>
      </w:tabs>
    </w:pPr>
  </w:style>
  <w:style w:type="paragraph" w:styleId="Zoznamsodrkami">
    <w:name w:val="List Bullet"/>
    <w:basedOn w:val="Normlny"/>
    <w:rsid w:val="000322EB"/>
    <w:pPr>
      <w:numPr>
        <w:numId w:val="21"/>
      </w:numPr>
      <w:contextualSpacing/>
    </w:pPr>
  </w:style>
  <w:style w:type="paragraph" w:styleId="Zoznamsodrkami2">
    <w:name w:val="List Bullet 2"/>
    <w:basedOn w:val="Normlny"/>
    <w:rsid w:val="000322EB"/>
    <w:pPr>
      <w:numPr>
        <w:numId w:val="22"/>
      </w:numPr>
      <w:contextualSpacing/>
    </w:pPr>
  </w:style>
  <w:style w:type="paragraph" w:styleId="Zoznamsodrkami3">
    <w:name w:val="List Bullet 3"/>
    <w:basedOn w:val="Normlny"/>
    <w:rsid w:val="000322EB"/>
    <w:pPr>
      <w:numPr>
        <w:numId w:val="23"/>
      </w:numPr>
      <w:contextualSpacing/>
    </w:pPr>
  </w:style>
  <w:style w:type="paragraph" w:styleId="Zoznamsodrkami4">
    <w:name w:val="List Bullet 4"/>
    <w:basedOn w:val="Normlny"/>
    <w:rsid w:val="000322EB"/>
    <w:pPr>
      <w:numPr>
        <w:numId w:val="24"/>
      </w:numPr>
      <w:contextualSpacing/>
    </w:pPr>
  </w:style>
  <w:style w:type="paragraph" w:styleId="Zoznamsodrkami5">
    <w:name w:val="List Bullet 5"/>
    <w:basedOn w:val="Normlny"/>
    <w:rsid w:val="000322EB"/>
    <w:pPr>
      <w:numPr>
        <w:numId w:val="25"/>
      </w:numPr>
      <w:contextualSpacing/>
    </w:pPr>
  </w:style>
  <w:style w:type="paragraph" w:customStyle="1" w:styleId="tl1">
    <w:name w:val="Štýl1"/>
    <w:basedOn w:val="PROOOCO1"/>
    <w:qFormat/>
    <w:rsid w:val="000322EB"/>
    <w:pPr>
      <w:tabs>
        <w:tab w:val="left" w:pos="567"/>
      </w:tabs>
      <w:spacing w:line="260" w:lineRule="exact"/>
      <w:outlineLvl w:val="0"/>
    </w:pPr>
    <w:rPr>
      <w:caps/>
      <w:szCs w:val="22"/>
    </w:rPr>
  </w:style>
  <w:style w:type="paragraph" w:customStyle="1" w:styleId="tl2">
    <w:name w:val="Štýl2"/>
    <w:basedOn w:val="PROOOCO1"/>
    <w:qFormat/>
    <w:rsid w:val="000322EB"/>
    <w:pPr>
      <w:tabs>
        <w:tab w:val="left" w:pos="567"/>
      </w:tabs>
      <w:spacing w:line="260" w:lineRule="exact"/>
      <w:outlineLvl w:val="0"/>
    </w:pPr>
    <w:rPr>
      <w:caps/>
      <w:szCs w:val="22"/>
    </w:rPr>
  </w:style>
  <w:style w:type="paragraph" w:customStyle="1" w:styleId="tl3">
    <w:name w:val="Štýl3"/>
    <w:basedOn w:val="PROOOCO1"/>
    <w:qFormat/>
    <w:rsid w:val="000322EB"/>
    <w:pPr>
      <w:tabs>
        <w:tab w:val="left" w:pos="567"/>
      </w:tabs>
      <w:spacing w:line="260" w:lineRule="exact"/>
      <w:outlineLvl w:val="0"/>
    </w:pPr>
    <w:rPr>
      <w:caps/>
      <w:szCs w:val="22"/>
    </w:rPr>
  </w:style>
  <w:style w:type="paragraph" w:customStyle="1" w:styleId="tl4">
    <w:name w:val="Štýl4"/>
    <w:basedOn w:val="PROOOCO2"/>
    <w:qFormat/>
    <w:rsid w:val="000322EB"/>
    <w:pPr>
      <w:ind w:left="0" w:firstLine="0"/>
    </w:pPr>
  </w:style>
  <w:style w:type="paragraph" w:customStyle="1" w:styleId="tl5">
    <w:name w:val="Štýl5"/>
    <w:basedOn w:val="PROOOCO2"/>
    <w:qFormat/>
    <w:rsid w:val="000322EB"/>
    <w:pPr>
      <w:ind w:left="0" w:firstLine="0"/>
    </w:pPr>
  </w:style>
  <w:style w:type="paragraph" w:customStyle="1" w:styleId="tl6">
    <w:name w:val="Štýl6"/>
    <w:basedOn w:val="PROOOCO2"/>
    <w:qFormat/>
    <w:rsid w:val="000322EB"/>
    <w:pPr>
      <w:ind w:left="0" w:firstLine="0"/>
    </w:pPr>
  </w:style>
  <w:style w:type="paragraph" w:customStyle="1" w:styleId="tl7">
    <w:name w:val="Štýl7"/>
    <w:basedOn w:val="PROOOCO2"/>
    <w:qFormat/>
    <w:rsid w:val="000322EB"/>
    <w:pPr>
      <w:ind w:left="0" w:firstLine="0"/>
    </w:pPr>
  </w:style>
  <w:style w:type="paragraph" w:customStyle="1" w:styleId="BLANKA1">
    <w:name w:val="BLANKA1"/>
    <w:basedOn w:val="tl1"/>
    <w:qFormat/>
    <w:rsid w:val="000322EB"/>
  </w:style>
  <w:style w:type="paragraph" w:customStyle="1" w:styleId="BLANKA2">
    <w:name w:val="BLANKA2"/>
    <w:basedOn w:val="tl4"/>
    <w:qFormat/>
    <w:rsid w:val="000322EB"/>
  </w:style>
  <w:style w:type="character" w:customStyle="1" w:styleId="hps">
    <w:name w:val="hps"/>
    <w:rsid w:val="000322EB"/>
  </w:style>
  <w:style w:type="character" w:customStyle="1" w:styleId="atn">
    <w:name w:val="atn"/>
    <w:rsid w:val="000322EB"/>
  </w:style>
  <w:style w:type="character" w:styleId="Siln">
    <w:name w:val="Strong"/>
    <w:uiPriority w:val="22"/>
    <w:qFormat/>
    <w:rsid w:val="000322EB"/>
    <w:rPr>
      <w:b/>
      <w:bCs/>
    </w:rPr>
  </w:style>
  <w:style w:type="paragraph" w:customStyle="1" w:styleId="EMEAEnBodyText">
    <w:name w:val="EMEA En Body Text"/>
    <w:basedOn w:val="Normlny"/>
    <w:rsid w:val="005730D7"/>
    <w:pPr>
      <w:tabs>
        <w:tab w:val="clear" w:pos="567"/>
      </w:tabs>
      <w:spacing w:before="120" w:after="120" w:line="240" w:lineRule="auto"/>
      <w:jc w:val="both"/>
    </w:pPr>
    <w:rPr>
      <w:lang w:val="en-US"/>
    </w:rPr>
  </w:style>
  <w:style w:type="paragraph" w:customStyle="1" w:styleId="Paragraph">
    <w:name w:val="Paragraph"/>
    <w:link w:val="ParagraphChar"/>
    <w:rsid w:val="00586480"/>
    <w:pPr>
      <w:spacing w:after="240"/>
    </w:pPr>
    <w:rPr>
      <w:sz w:val="24"/>
      <w:szCs w:val="24"/>
      <w:lang w:val="en-US"/>
    </w:rPr>
  </w:style>
  <w:style w:type="character" w:customStyle="1" w:styleId="ParagraphChar">
    <w:name w:val="Paragraph Char"/>
    <w:link w:val="Paragraph"/>
    <w:rsid w:val="00586480"/>
    <w:rPr>
      <w:sz w:val="24"/>
      <w:szCs w:val="24"/>
      <w:lang w:val="en-US"/>
    </w:rPr>
  </w:style>
  <w:style w:type="paragraph" w:customStyle="1" w:styleId="Default">
    <w:name w:val="Default"/>
    <w:rsid w:val="00D70363"/>
    <w:pPr>
      <w:autoSpaceDE w:val="0"/>
      <w:autoSpaceDN w:val="0"/>
      <w:adjustRightInd w:val="0"/>
    </w:pPr>
    <w:rPr>
      <w:color w:val="000000"/>
      <w:sz w:val="24"/>
      <w:szCs w:val="24"/>
      <w:lang w:val="fr-FR" w:eastAsia="fr-FR"/>
    </w:rPr>
  </w:style>
  <w:style w:type="table" w:styleId="Mriekatabuky">
    <w:name w:val="Table Grid"/>
    <w:basedOn w:val="Normlnatabuka"/>
    <w:uiPriority w:val="59"/>
    <w:rsid w:val="006A616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B57E8C"/>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9324">
      <w:bodyDiv w:val="1"/>
      <w:marLeft w:val="0"/>
      <w:marRight w:val="0"/>
      <w:marTop w:val="0"/>
      <w:marBottom w:val="0"/>
      <w:divBdr>
        <w:top w:val="none" w:sz="0" w:space="0" w:color="auto"/>
        <w:left w:val="none" w:sz="0" w:space="0" w:color="auto"/>
        <w:bottom w:val="none" w:sz="0" w:space="0" w:color="auto"/>
        <w:right w:val="none" w:sz="0" w:space="0" w:color="auto"/>
      </w:divBdr>
    </w:div>
    <w:div w:id="160656746">
      <w:bodyDiv w:val="1"/>
      <w:marLeft w:val="0"/>
      <w:marRight w:val="0"/>
      <w:marTop w:val="0"/>
      <w:marBottom w:val="0"/>
      <w:divBdr>
        <w:top w:val="none" w:sz="0" w:space="0" w:color="auto"/>
        <w:left w:val="none" w:sz="0" w:space="0" w:color="auto"/>
        <w:bottom w:val="none" w:sz="0" w:space="0" w:color="auto"/>
        <w:right w:val="none" w:sz="0" w:space="0" w:color="auto"/>
      </w:divBdr>
    </w:div>
    <w:div w:id="458955631">
      <w:bodyDiv w:val="1"/>
      <w:marLeft w:val="0"/>
      <w:marRight w:val="0"/>
      <w:marTop w:val="0"/>
      <w:marBottom w:val="0"/>
      <w:divBdr>
        <w:top w:val="none" w:sz="0" w:space="0" w:color="auto"/>
        <w:left w:val="none" w:sz="0" w:space="0" w:color="auto"/>
        <w:bottom w:val="none" w:sz="0" w:space="0" w:color="auto"/>
        <w:right w:val="none" w:sz="0" w:space="0" w:color="auto"/>
      </w:divBdr>
    </w:div>
    <w:div w:id="540703928">
      <w:bodyDiv w:val="1"/>
      <w:marLeft w:val="0"/>
      <w:marRight w:val="0"/>
      <w:marTop w:val="0"/>
      <w:marBottom w:val="0"/>
      <w:divBdr>
        <w:top w:val="none" w:sz="0" w:space="0" w:color="auto"/>
        <w:left w:val="none" w:sz="0" w:space="0" w:color="auto"/>
        <w:bottom w:val="none" w:sz="0" w:space="0" w:color="auto"/>
        <w:right w:val="none" w:sz="0" w:space="0" w:color="auto"/>
      </w:divBdr>
    </w:div>
    <w:div w:id="785195105">
      <w:bodyDiv w:val="1"/>
      <w:marLeft w:val="0"/>
      <w:marRight w:val="0"/>
      <w:marTop w:val="0"/>
      <w:marBottom w:val="0"/>
      <w:divBdr>
        <w:top w:val="none" w:sz="0" w:space="0" w:color="auto"/>
        <w:left w:val="none" w:sz="0" w:space="0" w:color="auto"/>
        <w:bottom w:val="none" w:sz="0" w:space="0" w:color="auto"/>
        <w:right w:val="none" w:sz="0" w:space="0" w:color="auto"/>
      </w:divBdr>
    </w:div>
    <w:div w:id="1282615079">
      <w:bodyDiv w:val="1"/>
      <w:marLeft w:val="0"/>
      <w:marRight w:val="0"/>
      <w:marTop w:val="0"/>
      <w:marBottom w:val="0"/>
      <w:divBdr>
        <w:top w:val="none" w:sz="0" w:space="0" w:color="auto"/>
        <w:left w:val="none" w:sz="0" w:space="0" w:color="auto"/>
        <w:bottom w:val="none" w:sz="0" w:space="0" w:color="auto"/>
        <w:right w:val="none" w:sz="0" w:space="0" w:color="auto"/>
      </w:divBdr>
    </w:div>
    <w:div w:id="1562447871">
      <w:bodyDiv w:val="1"/>
      <w:marLeft w:val="0"/>
      <w:marRight w:val="0"/>
      <w:marTop w:val="0"/>
      <w:marBottom w:val="0"/>
      <w:divBdr>
        <w:top w:val="none" w:sz="0" w:space="0" w:color="auto"/>
        <w:left w:val="none" w:sz="0" w:space="0" w:color="auto"/>
        <w:bottom w:val="none" w:sz="0" w:space="0" w:color="auto"/>
        <w:right w:val="none" w:sz="0" w:space="0" w:color="auto"/>
      </w:divBdr>
    </w:div>
    <w:div w:id="197127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header" Target="header1.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cid:image031.jpg@01CD31EE.C417BD40"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ema.europa.eu/docs/en_GB/document_library/Template_or_form/2013/03/WC500139752.doc"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B4D48-8271-48FA-9872-45677570C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1</Pages>
  <Words>13681</Words>
  <Characters>77987</Characters>
  <Application>Microsoft Office Word</Application>
  <DocSecurity>0</DocSecurity>
  <Lines>649</Lines>
  <Paragraphs>182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Servier</Company>
  <LinksUpToDate>false</LinksUpToDate>
  <CharactersWithSpaces>91486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MVYC_SK1</dc:creator>
  <cp:lastModifiedBy>Palkóciová, Eva</cp:lastModifiedBy>
  <cp:revision>31</cp:revision>
  <cp:lastPrinted>2015-09-24T08:51:00Z</cp:lastPrinted>
  <dcterms:created xsi:type="dcterms:W3CDTF">2015-08-17T10:23:00Z</dcterms:created>
  <dcterms:modified xsi:type="dcterms:W3CDTF">2015-12-01T16:00:00Z</dcterms:modified>
</cp:coreProperties>
</file>