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ED" w:rsidRPr="00AE2AC2" w:rsidRDefault="00F009ED" w:rsidP="00F009ED">
      <w:pPr>
        <w:spacing w:after="0" w:line="240" w:lineRule="auto"/>
        <w:jc w:val="center"/>
        <w:rPr>
          <w:rFonts w:ascii="Times New Roman" w:hAnsi="Times New Roman"/>
          <w:b/>
        </w:rPr>
      </w:pPr>
      <w:r w:rsidRPr="00AE2AC2">
        <w:rPr>
          <w:rFonts w:ascii="Times New Roman" w:hAnsi="Times New Roman"/>
          <w:b/>
        </w:rPr>
        <w:t>SÚHRN CHARAKTERISTICKÝCH VLASTNOSTÍ LIEKU</w:t>
      </w:r>
    </w:p>
    <w:p w:rsidR="00F009ED" w:rsidRPr="00AE2AC2" w:rsidRDefault="00F009ED" w:rsidP="00F009ED">
      <w:pPr>
        <w:spacing w:after="0" w:line="240" w:lineRule="auto"/>
        <w:rPr>
          <w:rFonts w:ascii="Times New Roman" w:hAnsi="Times New Roman"/>
          <w:b/>
        </w:rPr>
      </w:pPr>
    </w:p>
    <w:p w:rsidR="00F72992" w:rsidRPr="00AE2AC2" w:rsidRDefault="00F7299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1. NÁZOV LIEKU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</w:t>
      </w:r>
      <w:r w:rsidR="00833CEA">
        <w:rPr>
          <w:rFonts w:ascii="Times New Roman" w:eastAsia="Times New Roman" w:hAnsi="Times New Roman" w:cs="Times New Roman"/>
        </w:rPr>
        <w:t>sagiline</w:t>
      </w:r>
      <w:r w:rsidR="00777003" w:rsidRPr="00AE2AC2">
        <w:rPr>
          <w:rFonts w:ascii="Times New Roman" w:eastAsia="Times New Roman" w:hAnsi="Times New Roman" w:cs="Times New Roman"/>
        </w:rPr>
        <w:t xml:space="preserve"> Accord </w:t>
      </w:r>
      <w:r w:rsidR="00A65150" w:rsidRPr="00AE2AC2">
        <w:rPr>
          <w:rFonts w:ascii="Times New Roman" w:eastAsia="Times New Roman" w:hAnsi="Times New Roman" w:cs="Times New Roman"/>
        </w:rPr>
        <w:t>1 mg tablety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2. KVALITATÍVNE A KVANTITATÍVNE ZLOŽENIE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99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Každá tableta obsahuje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(ako </w:t>
      </w:r>
      <w:r w:rsidR="00AE2AC2" w:rsidRPr="00AE2AC2">
        <w:rPr>
          <w:rFonts w:ascii="Times New Roman" w:eastAsia="Times New Roman" w:hAnsi="Times New Roman" w:cs="Times New Roman"/>
        </w:rPr>
        <w:t>ra</w:t>
      </w:r>
      <w:r w:rsidR="00AE2AC2">
        <w:rPr>
          <w:rFonts w:ascii="Times New Roman" w:eastAsia="Times New Roman" w:hAnsi="Times New Roman" w:cs="Times New Roman"/>
        </w:rPr>
        <w:t>z</w:t>
      </w:r>
      <w:r w:rsidR="00AE2AC2" w:rsidRPr="00AE2AC2">
        <w:rPr>
          <w:rFonts w:ascii="Times New Roman" w:eastAsia="Times New Roman" w:hAnsi="Times New Roman" w:cs="Times New Roman"/>
        </w:rPr>
        <w:t>agil</w:t>
      </w:r>
      <w:r w:rsidR="00AE2AC2">
        <w:rPr>
          <w:rFonts w:ascii="Times New Roman" w:eastAsia="Times New Roman" w:hAnsi="Times New Roman" w:cs="Times New Roman"/>
        </w:rPr>
        <w:t>í</w:t>
      </w:r>
      <w:r w:rsidR="00AE2AC2" w:rsidRPr="00AE2AC2">
        <w:rPr>
          <w:rFonts w:ascii="Times New Roman" w:eastAsia="Times New Roman" w:hAnsi="Times New Roman" w:cs="Times New Roman"/>
        </w:rPr>
        <w:t>n</w:t>
      </w:r>
      <w:r w:rsidR="00AE2AC2">
        <w:rPr>
          <w:rFonts w:ascii="Times New Roman" w:eastAsia="Times New Roman" w:hAnsi="Times New Roman" w:cs="Times New Roman"/>
        </w:rPr>
        <w:t>ium</w:t>
      </w:r>
      <w:r w:rsidR="00F176A3" w:rsidRPr="00AE2AC2">
        <w:rPr>
          <w:rFonts w:ascii="Times New Roman" w:eastAsia="Times New Roman" w:hAnsi="Times New Roman" w:cs="Times New Roman"/>
        </w:rPr>
        <w:t>tartrát</w:t>
      </w:r>
      <w:r w:rsidRPr="00AE2AC2">
        <w:rPr>
          <w:rFonts w:ascii="Times New Roman" w:eastAsia="Times New Roman" w:hAnsi="Times New Roman" w:cs="Times New Roman"/>
        </w:rPr>
        <w:t xml:space="preserve">). 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Úplný zoznam pomocných látok, pozri časť 6.1.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3. LIEKOVÁ FORMA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Tableta.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Biele až </w:t>
      </w:r>
      <w:r w:rsidR="00F176A3" w:rsidRPr="00AE2AC2">
        <w:rPr>
          <w:rFonts w:ascii="Times New Roman" w:eastAsia="Times New Roman" w:hAnsi="Times New Roman" w:cs="Times New Roman"/>
        </w:rPr>
        <w:t>takmer biele</w:t>
      </w:r>
      <w:r w:rsidRPr="00AE2AC2">
        <w:rPr>
          <w:rFonts w:ascii="Times New Roman" w:eastAsia="Times New Roman" w:hAnsi="Times New Roman" w:cs="Times New Roman"/>
        </w:rPr>
        <w:t xml:space="preserve"> okrúhle ploché </w:t>
      </w:r>
      <w:r w:rsidR="00CD599F" w:rsidRPr="00AE2AC2">
        <w:rPr>
          <w:rFonts w:ascii="Times New Roman" w:eastAsia="Times New Roman" w:hAnsi="Times New Roman" w:cs="Times New Roman"/>
        </w:rPr>
        <w:t xml:space="preserve">tablety </w:t>
      </w:r>
      <w:r w:rsidR="00AE2AC2" w:rsidRPr="00AE2AC2">
        <w:rPr>
          <w:rFonts w:ascii="Times New Roman" w:eastAsia="Times New Roman" w:hAnsi="Times New Roman" w:cs="Times New Roman"/>
        </w:rPr>
        <w:t xml:space="preserve">so skosenými okrajmi </w:t>
      </w:r>
      <w:r w:rsidR="00CD599F" w:rsidRPr="00AE2AC2">
        <w:rPr>
          <w:rFonts w:ascii="Times New Roman" w:eastAsia="Times New Roman" w:hAnsi="Times New Roman" w:cs="Times New Roman"/>
        </w:rPr>
        <w:t>(6,5 mm).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 KLINICKÉ ÚDAJE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4.1 Terapeutické indikácie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</w:t>
      </w:r>
      <w:r w:rsidR="00833CEA">
        <w:rPr>
          <w:rFonts w:ascii="Times New Roman" w:eastAsia="Times New Roman" w:hAnsi="Times New Roman" w:cs="Times New Roman"/>
        </w:rPr>
        <w:t>sagiline</w:t>
      </w:r>
      <w:r w:rsidR="00CD599F" w:rsidRPr="00AE2AC2">
        <w:rPr>
          <w:rFonts w:ascii="Times New Roman" w:eastAsia="Times New Roman" w:hAnsi="Times New Roman" w:cs="Times New Roman"/>
        </w:rPr>
        <w:t xml:space="preserve"> Accord</w:t>
      </w:r>
      <w:r w:rsidR="00A65150" w:rsidRPr="00AE2AC2">
        <w:rPr>
          <w:rFonts w:ascii="Times New Roman" w:eastAsia="Times New Roman" w:hAnsi="Times New Roman" w:cs="Times New Roman"/>
        </w:rPr>
        <w:t xml:space="preserve"> je indikovaný na liečbu idiopatickej Parkinsonovej choroby ako monoterapia (bez levodopy) alebo ako adjuvantná terapia (s levodopou) u pacientov s fluktuáciou na konci účinku dávky.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4.2 Dávkovanie a spôsob podávania</w:t>
      </w:r>
    </w:p>
    <w:p w:rsidR="00886C6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E2AC2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:rsidR="00AE2AC2" w:rsidRPr="00AE2AC2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r w:rsidRPr="00AE2AC2">
        <w:rPr>
          <w:rFonts w:ascii="Times New Roman" w:eastAsia="Times New Roman" w:hAnsi="Times New Roman" w:cs="Times New Roman"/>
          <w:u w:val="single"/>
          <w:lang w:eastAsia="en-US"/>
        </w:rPr>
        <w:t>Dávkovanie</w:t>
      </w:r>
    </w:p>
    <w:p w:rsidR="00CD599F" w:rsidRPr="00AE2AC2" w:rsidRDefault="00361EE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>je určený na perorálne podanie v 1 mg dávke jeden raz denne s</w:t>
      </w:r>
      <w:r w:rsidR="00AE2AC2">
        <w:rPr>
          <w:rFonts w:ascii="Times New Roman" w:eastAsia="Times New Roman" w:hAnsi="Times New Roman" w:cs="Times New Roman"/>
        </w:rPr>
        <w:t xml:space="preserve"> levodopou </w:t>
      </w:r>
      <w:r w:rsidR="00A65150" w:rsidRPr="00AE2AC2">
        <w:rPr>
          <w:rFonts w:ascii="Times New Roman" w:eastAsia="Times New Roman" w:hAnsi="Times New Roman" w:cs="Times New Roman"/>
        </w:rPr>
        <w:t xml:space="preserve">alebo bez </w:t>
      </w:r>
      <w:r w:rsidR="00AE2AC2">
        <w:rPr>
          <w:rFonts w:ascii="Times New Roman" w:eastAsia="Times New Roman" w:hAnsi="Times New Roman" w:cs="Times New Roman"/>
        </w:rPr>
        <w:t>nej</w:t>
      </w:r>
      <w:r w:rsidR="00A65150" w:rsidRPr="00AE2AC2">
        <w:rPr>
          <w:rFonts w:ascii="Times New Roman" w:eastAsia="Times New Roman" w:hAnsi="Times New Roman" w:cs="Times New Roman"/>
        </w:rPr>
        <w:t xml:space="preserve">. </w:t>
      </w:r>
    </w:p>
    <w:p w:rsidR="00CD599F" w:rsidRPr="00AE2AC2" w:rsidRDefault="00CD599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Môže sa užívať s jedlom aj bez jedla.</w:t>
      </w:r>
    </w:p>
    <w:p w:rsidR="004006B9" w:rsidRPr="00AE2AC2" w:rsidRDefault="004006B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u w:val="single"/>
        </w:rPr>
        <w:t>Starší pacienti: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48091F">
        <w:rPr>
          <w:rFonts w:ascii="Times New Roman" w:eastAsia="Times New Roman" w:hAnsi="Times New Roman" w:cs="Times New Roman"/>
        </w:rPr>
        <w:t>U</w:t>
      </w:r>
      <w:r w:rsidR="0048091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starších pacientov nie je potrebná </w:t>
      </w:r>
      <w:r w:rsidR="004373D3">
        <w:rPr>
          <w:rFonts w:ascii="Times New Roman" w:eastAsia="Times New Roman" w:hAnsi="Times New Roman" w:cs="Times New Roman"/>
        </w:rPr>
        <w:t> úprava dávky</w:t>
      </w:r>
      <w:r w:rsidRPr="00AE2AC2">
        <w:rPr>
          <w:rFonts w:ascii="Times New Roman" w:eastAsia="Times New Roman" w:hAnsi="Times New Roman" w:cs="Times New Roman"/>
        </w:rPr>
        <w:t>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992" w:rsidRPr="00AE2AC2" w:rsidRDefault="004373D3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Pediatrická populácia</w:t>
      </w:r>
      <w:r w:rsidR="00A65150" w:rsidRPr="00AE2AC2">
        <w:rPr>
          <w:rFonts w:ascii="Times New Roman" w:eastAsia="Times New Roman" w:hAnsi="Times New Roman" w:cs="Times New Roman"/>
        </w:rPr>
        <w:t xml:space="preserve">: </w:t>
      </w:r>
      <w:r w:rsidR="00833CEA" w:rsidRPr="00833CEA">
        <w:rPr>
          <w:rFonts w:ascii="Times New Roman" w:eastAsia="Times New Roman" w:hAnsi="Times New Roman" w:cs="Times New Roman"/>
        </w:rPr>
        <w:t xml:space="preserve"> </w:t>
      </w:r>
      <w:r w:rsidR="00833CEA">
        <w:rPr>
          <w:rFonts w:ascii="Times New Roman" w:eastAsia="Times New Roman" w:hAnsi="Times New Roman" w:cs="Times New Roman"/>
        </w:rPr>
        <w:t>Rasagiline</w:t>
      </w:r>
      <w:r w:rsidR="00CD599F" w:rsidRPr="00AE2AC2">
        <w:rPr>
          <w:rFonts w:ascii="Times New Roman" w:eastAsia="Times New Roman" w:hAnsi="Times New Roman" w:cs="Times New Roman"/>
        </w:rPr>
        <w:t xml:space="preserve"> Accord sa </w:t>
      </w:r>
      <w:r w:rsidR="00A65150" w:rsidRPr="00AE2AC2">
        <w:rPr>
          <w:rFonts w:ascii="Times New Roman" w:eastAsia="Times New Roman" w:hAnsi="Times New Roman" w:cs="Times New Roman"/>
        </w:rPr>
        <w:t xml:space="preserve">neodporúča používať u detí </w:t>
      </w:r>
      <w:r w:rsidR="00CD599F" w:rsidRPr="00AE2AC2">
        <w:rPr>
          <w:rFonts w:ascii="Times New Roman" w:eastAsia="Times New Roman" w:hAnsi="Times New Roman" w:cs="Times New Roman"/>
        </w:rPr>
        <w:t xml:space="preserve">a dospievajúcich </w:t>
      </w:r>
      <w:r w:rsidR="00A65150" w:rsidRPr="00AE2AC2">
        <w:rPr>
          <w:rFonts w:ascii="Times New Roman" w:eastAsia="Times New Roman" w:hAnsi="Times New Roman" w:cs="Times New Roman"/>
        </w:rPr>
        <w:t>kvôli chýbajúcim údajom o bezpečnosti a účinnosti.</w:t>
      </w:r>
    </w:p>
    <w:p w:rsidR="00F72992" w:rsidRPr="00AE2AC2" w:rsidRDefault="00F7299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u w:val="single"/>
        </w:rPr>
        <w:t xml:space="preserve">Pacienti s </w:t>
      </w:r>
      <w:r w:rsidR="004373D3">
        <w:rPr>
          <w:rFonts w:ascii="Times New Roman" w:eastAsia="Times New Roman" w:hAnsi="Times New Roman" w:cs="Times New Roman"/>
          <w:u w:val="single"/>
        </w:rPr>
        <w:t>poruch</w:t>
      </w:r>
      <w:r w:rsidRPr="00AE2AC2">
        <w:rPr>
          <w:rFonts w:ascii="Times New Roman" w:eastAsia="Times New Roman" w:hAnsi="Times New Roman" w:cs="Times New Roman"/>
          <w:u w:val="single"/>
        </w:rPr>
        <w:t>ou funkciou pečene: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48091F">
        <w:rPr>
          <w:rFonts w:ascii="Times New Roman" w:eastAsia="Times New Roman" w:hAnsi="Times New Roman" w:cs="Times New Roman"/>
        </w:rPr>
        <w:t>P</w:t>
      </w:r>
      <w:r w:rsidR="0048091F" w:rsidRPr="00AE2AC2">
        <w:rPr>
          <w:rFonts w:ascii="Times New Roman" w:eastAsia="Times New Roman" w:hAnsi="Times New Roman" w:cs="Times New Roman"/>
        </w:rPr>
        <w:t xml:space="preserve">odávanie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pacientom so </w:t>
      </w:r>
      <w:r w:rsidR="004373D3" w:rsidRPr="00AE2AC2">
        <w:rPr>
          <w:rFonts w:ascii="Times New Roman" w:eastAsia="Times New Roman" w:hAnsi="Times New Roman" w:cs="Times New Roman"/>
        </w:rPr>
        <w:t>závažn</w:t>
      </w:r>
      <w:r w:rsidR="004373D3">
        <w:rPr>
          <w:rFonts w:ascii="Times New Roman" w:eastAsia="Times New Roman" w:hAnsi="Times New Roman" w:cs="Times New Roman"/>
        </w:rPr>
        <w:t>ou</w:t>
      </w:r>
      <w:r w:rsidR="004373D3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poruchou</w:t>
      </w:r>
      <w:r w:rsidRPr="00AE2AC2">
        <w:rPr>
          <w:rFonts w:ascii="Times New Roman" w:eastAsia="Times New Roman" w:hAnsi="Times New Roman" w:cs="Times New Roman"/>
        </w:rPr>
        <w:t xml:space="preserve"> funkcie pečene je kontraindikované (pozri časť 4.3). Je potrebné sa vyvarovať podávaniu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pacientom so stredne </w:t>
      </w:r>
      <w:r w:rsidR="004373D3" w:rsidRPr="00AE2AC2">
        <w:rPr>
          <w:rFonts w:ascii="Times New Roman" w:eastAsia="Times New Roman" w:hAnsi="Times New Roman" w:cs="Times New Roman"/>
        </w:rPr>
        <w:t>ťažk</w:t>
      </w:r>
      <w:r w:rsidR="004373D3">
        <w:rPr>
          <w:rFonts w:ascii="Times New Roman" w:eastAsia="Times New Roman" w:hAnsi="Times New Roman" w:cs="Times New Roman"/>
        </w:rPr>
        <w:t>ou</w:t>
      </w:r>
      <w:r w:rsidR="004373D3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poruchou</w:t>
      </w:r>
      <w:r w:rsidRPr="00AE2AC2">
        <w:rPr>
          <w:rFonts w:ascii="Times New Roman" w:eastAsia="Times New Roman" w:hAnsi="Times New Roman" w:cs="Times New Roman"/>
        </w:rPr>
        <w:t xml:space="preserve"> funkcie pečene. Na začiatku liečby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om u pacientov s miernou </w:t>
      </w:r>
      <w:r w:rsidR="004373D3" w:rsidRPr="004373D3">
        <w:rPr>
          <w:rFonts w:ascii="Times New Roman" w:eastAsia="Times New Roman" w:hAnsi="Times New Roman" w:cs="Times New Roman"/>
        </w:rPr>
        <w:t>poruchou funkcie pečene</w:t>
      </w:r>
      <w:r w:rsidRPr="00AE2AC2">
        <w:rPr>
          <w:rFonts w:ascii="Times New Roman" w:eastAsia="Times New Roman" w:hAnsi="Times New Roman" w:cs="Times New Roman"/>
        </w:rPr>
        <w:t xml:space="preserve"> je potrebná zvýšená opatrnosť. Pri progresi</w:t>
      </w:r>
      <w:r w:rsidR="00B36CE3" w:rsidRPr="00AE2AC2">
        <w:rPr>
          <w:rFonts w:ascii="Times New Roman" w:eastAsia="Times New Roman" w:hAnsi="Times New Roman" w:cs="Times New Roman"/>
        </w:rPr>
        <w:t xml:space="preserve">i </w:t>
      </w:r>
      <w:r w:rsidR="004373D3">
        <w:rPr>
          <w:rFonts w:ascii="Times New Roman" w:eastAsia="Times New Roman" w:hAnsi="Times New Roman" w:cs="Times New Roman"/>
        </w:rPr>
        <w:t>poruchy</w:t>
      </w:r>
      <w:r w:rsidR="00B36CE3" w:rsidRPr="00AE2AC2">
        <w:rPr>
          <w:rFonts w:ascii="Times New Roman" w:eastAsia="Times New Roman" w:hAnsi="Times New Roman" w:cs="Times New Roman"/>
        </w:rPr>
        <w:t xml:space="preserve"> funkcie pečen</w:t>
      </w:r>
      <w:r w:rsidRPr="00AE2AC2">
        <w:rPr>
          <w:rFonts w:ascii="Times New Roman" w:eastAsia="Times New Roman" w:hAnsi="Times New Roman" w:cs="Times New Roman"/>
        </w:rPr>
        <w:t>e z mierneho na stredne ťažký stupeň sa má terapia ukončiť (pozri časť 4.4).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u w:val="single"/>
        </w:rPr>
        <w:t xml:space="preserve">Pacienti s </w:t>
      </w:r>
      <w:r w:rsidR="004373D3">
        <w:rPr>
          <w:rFonts w:ascii="Times New Roman" w:eastAsia="Times New Roman" w:hAnsi="Times New Roman" w:cs="Times New Roman"/>
          <w:u w:val="single"/>
        </w:rPr>
        <w:t>poruchou</w:t>
      </w:r>
      <w:r w:rsidRPr="00AE2AC2">
        <w:rPr>
          <w:rFonts w:ascii="Times New Roman" w:eastAsia="Times New Roman" w:hAnsi="Times New Roman" w:cs="Times New Roman"/>
          <w:u w:val="single"/>
        </w:rPr>
        <w:t xml:space="preserve"> funkcie obličiek: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48091F">
        <w:rPr>
          <w:rFonts w:ascii="Times New Roman" w:eastAsia="Times New Roman" w:hAnsi="Times New Roman" w:cs="Times New Roman"/>
        </w:rPr>
        <w:t>U</w:t>
      </w:r>
      <w:r w:rsidR="0048091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pacientov s </w:t>
      </w:r>
      <w:r w:rsidR="004373D3">
        <w:rPr>
          <w:rFonts w:ascii="Times New Roman" w:eastAsia="Times New Roman" w:hAnsi="Times New Roman" w:cs="Times New Roman"/>
        </w:rPr>
        <w:t>poruchou</w:t>
      </w:r>
      <w:r w:rsidRPr="00AE2AC2">
        <w:rPr>
          <w:rFonts w:ascii="Times New Roman" w:eastAsia="Times New Roman" w:hAnsi="Times New Roman" w:cs="Times New Roman"/>
        </w:rPr>
        <w:t xml:space="preserve"> funkcie obličiek nie je potrebná úprava dávkovania.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4.3 Kontraindikácie</w:t>
      </w: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Precitlivenosť na liečivo alebo na </w:t>
      </w:r>
      <w:r w:rsidR="004373D3" w:rsidRPr="004373D3">
        <w:rPr>
          <w:rFonts w:ascii="Times New Roman" w:eastAsia="Times New Roman" w:hAnsi="Times New Roman" w:cs="Times New Roman"/>
        </w:rPr>
        <w:t>ktorúkoľvek</w:t>
      </w:r>
      <w:r w:rsidRPr="00AE2AC2">
        <w:rPr>
          <w:rFonts w:ascii="Times New Roman" w:eastAsia="Times New Roman" w:hAnsi="Times New Roman" w:cs="Times New Roman"/>
        </w:rPr>
        <w:t xml:space="preserve"> z pomocných látok (</w:t>
      </w:r>
      <w:r w:rsidR="004373D3" w:rsidRPr="004373D3">
        <w:rPr>
          <w:rFonts w:ascii="Times New Roman" w:eastAsia="Times New Roman" w:hAnsi="Times New Roman" w:cs="Times New Roman"/>
        </w:rPr>
        <w:t>uvedených v časti</w:t>
      </w:r>
      <w:r w:rsidRPr="00AE2AC2">
        <w:rPr>
          <w:rFonts w:ascii="Times New Roman" w:eastAsia="Times New Roman" w:hAnsi="Times New Roman" w:cs="Times New Roman"/>
        </w:rPr>
        <w:t xml:space="preserve"> 6.1).</w:t>
      </w:r>
    </w:p>
    <w:p w:rsidR="004373D3" w:rsidRPr="004373D3" w:rsidRDefault="00A65150" w:rsidP="004373D3">
      <w:pPr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lastRenderedPageBreak/>
        <w:t xml:space="preserve">Súčasná liečba s inými inhibítormi monoaminooxidázy (IMAO) </w:t>
      </w:r>
      <w:r w:rsidR="00CD599F" w:rsidRPr="00AE2AC2">
        <w:rPr>
          <w:rFonts w:ascii="Times New Roman" w:eastAsia="Times New Roman" w:hAnsi="Times New Roman" w:cs="Times New Roman"/>
        </w:rPr>
        <w:t>(vrátane liekov alebo prírodných prípravkov</w:t>
      </w:r>
      <w:r w:rsidR="004373D3" w:rsidRPr="004373D3">
        <w:rPr>
          <w:rFonts w:ascii="Times New Roman" w:eastAsia="Times New Roman" w:hAnsi="Times New Roman" w:cs="Times New Roman"/>
        </w:rPr>
        <w:t xml:space="preserve">, ktoré nie sú viazané na lekársky predpis, </w:t>
      </w:r>
      <w:r w:rsidR="00CD599F" w:rsidRPr="00AE2AC2">
        <w:rPr>
          <w:rFonts w:ascii="Times New Roman" w:eastAsia="Times New Roman" w:hAnsi="Times New Roman" w:cs="Times New Roman"/>
        </w:rPr>
        <w:t xml:space="preserve">ako je Ľubovník bodkovaný) </w:t>
      </w:r>
      <w:r w:rsidRPr="00AE2AC2">
        <w:rPr>
          <w:rFonts w:ascii="Times New Roman" w:eastAsia="Times New Roman" w:hAnsi="Times New Roman" w:cs="Times New Roman"/>
        </w:rPr>
        <w:t xml:space="preserve">alebo s petidínom (pozri časť 4.5). Po ukončení liečby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 sa má počkať aspoň 14 dní pred začatím liečby inhibítormi MAO alebo petidínom.</w:t>
      </w:r>
      <w:r w:rsidR="004006B9" w:rsidRPr="00AE2AC2">
        <w:rPr>
          <w:rFonts w:ascii="Times New Roman" w:eastAsia="Times New Roman" w:hAnsi="Times New Roman" w:cs="Times New Roman"/>
        </w:rPr>
        <w:t xml:space="preserve">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je kontraindikovaný u pacientov </w:t>
      </w:r>
      <w:r w:rsidR="004373D3" w:rsidRPr="004373D3">
        <w:rPr>
          <w:rFonts w:ascii="Times New Roman" w:eastAsia="Times New Roman" w:hAnsi="Times New Roman" w:cs="Times New Roman"/>
          <w:lang w:eastAsia="en-US"/>
        </w:rPr>
        <w:t>so závažnou poruchou funkcie pečene.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4.4 Osobitné upozornenia a opatrenia pri používaní</w:t>
      </w:r>
      <w:r w:rsidRPr="00AE2AC2">
        <w:rPr>
          <w:rFonts w:ascii="Times New Roman" w:eastAsia="Times New Roman" w:hAnsi="Times New Roman" w:cs="Times New Roman"/>
        </w:rPr>
        <w:t xml:space="preserve"> 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 sa nemá podávať súčasne s fluoxetínom alebo fluvoxamínom (pozri časť. 4.5). Po ukončení liečby fluoxetínom sa má počkať aspoň 5 týždňov pred začatím liečby </w:t>
      </w:r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om. Po ukončení liečby </w:t>
      </w:r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om sa má počkať aspoň 14 dní pred začatím liečby fluoxetínom a fluvoxamínom.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6897" w:rsidRPr="00AE2AC2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U pacientov liečených dopamínovými agonistami a/ale</w:t>
      </w:r>
      <w:r w:rsidR="00A279D1" w:rsidRPr="00AE2AC2">
        <w:rPr>
          <w:rFonts w:ascii="Times New Roman" w:eastAsia="Times New Roman" w:hAnsi="Times New Roman" w:cs="Times New Roman"/>
        </w:rPr>
        <w:t xml:space="preserve">bo pri inej </w:t>
      </w:r>
      <w:r w:rsidR="004373D3" w:rsidRPr="00AE2AC2">
        <w:rPr>
          <w:rFonts w:ascii="Times New Roman" w:eastAsia="Times New Roman" w:hAnsi="Times New Roman" w:cs="Times New Roman"/>
        </w:rPr>
        <w:t>dopam</w:t>
      </w:r>
      <w:r w:rsidR="004373D3">
        <w:rPr>
          <w:rFonts w:ascii="Times New Roman" w:eastAsia="Times New Roman" w:hAnsi="Times New Roman" w:cs="Times New Roman"/>
        </w:rPr>
        <w:t>í</w:t>
      </w:r>
      <w:r w:rsidR="004373D3" w:rsidRPr="00AE2AC2">
        <w:rPr>
          <w:rFonts w:ascii="Times New Roman" w:eastAsia="Times New Roman" w:hAnsi="Times New Roman" w:cs="Times New Roman"/>
        </w:rPr>
        <w:t xml:space="preserve">nergnej </w:t>
      </w:r>
      <w:r w:rsidR="00A279D1" w:rsidRPr="00AE2AC2">
        <w:rPr>
          <w:rFonts w:ascii="Times New Roman" w:eastAsia="Times New Roman" w:hAnsi="Times New Roman" w:cs="Times New Roman"/>
        </w:rPr>
        <w:t>liečbe</w:t>
      </w:r>
      <w:r w:rsidRPr="00AE2AC2">
        <w:rPr>
          <w:rFonts w:ascii="Times New Roman" w:eastAsia="Times New Roman" w:hAnsi="Times New Roman" w:cs="Times New Roman"/>
        </w:rPr>
        <w:t xml:space="preserve"> môže vzniknúť porucha kontroly impulzov. Podobné hlásenia týkajúce sa poruchy kontroly impulzov boli zaznamenané </w:t>
      </w:r>
      <w:r w:rsidR="004373D3" w:rsidRPr="004373D3">
        <w:rPr>
          <w:rFonts w:ascii="Times New Roman" w:eastAsia="Times New Roman" w:hAnsi="Times New Roman" w:cs="Times New Roman"/>
        </w:rPr>
        <w:t>po uvedení razagilínu na trh</w:t>
      </w:r>
      <w:r w:rsidRPr="00AE2AC2">
        <w:rPr>
          <w:rFonts w:ascii="Times New Roman" w:eastAsia="Times New Roman" w:hAnsi="Times New Roman" w:cs="Times New Roman"/>
        </w:rPr>
        <w:t>. Pacienti majú byť pravidelne monitorovaní kvôli rozvinutiu porúch kontroly impulzov.</w:t>
      </w:r>
      <w:r w:rsidR="00A279D1" w:rsidRPr="00AE2AC2">
        <w:rPr>
          <w:rFonts w:ascii="Times New Roman" w:eastAsia="Times New Roman" w:hAnsi="Times New Roman" w:cs="Times New Roman"/>
        </w:rPr>
        <w:t xml:space="preserve"> </w:t>
      </w:r>
      <w:r w:rsidR="00B86897" w:rsidRPr="00AE2AC2">
        <w:rPr>
          <w:rFonts w:ascii="Times New Roman" w:eastAsia="Times New Roman" w:hAnsi="Times New Roman" w:cs="Times New Roman"/>
        </w:rPr>
        <w:t>Pacientov a</w:t>
      </w:r>
      <w:r w:rsidR="00536FBE" w:rsidRPr="00AE2AC2">
        <w:rPr>
          <w:rFonts w:ascii="Times New Roman" w:eastAsia="Times New Roman" w:hAnsi="Times New Roman" w:cs="Times New Roman"/>
        </w:rPr>
        <w:t xml:space="preserve"> </w:t>
      </w:r>
      <w:r w:rsidR="00B86897" w:rsidRPr="00AE2AC2">
        <w:rPr>
          <w:rFonts w:ascii="Times New Roman" w:eastAsia="Times New Roman" w:hAnsi="Times New Roman" w:cs="Times New Roman"/>
        </w:rPr>
        <w:t>ich ošetrujúci</w:t>
      </w:r>
      <w:r w:rsidRPr="00AE2AC2">
        <w:rPr>
          <w:rFonts w:ascii="Times New Roman" w:eastAsia="Times New Roman" w:hAnsi="Times New Roman" w:cs="Times New Roman"/>
        </w:rPr>
        <w:t>c</w:t>
      </w:r>
      <w:r w:rsidR="00B86897" w:rsidRPr="00AE2AC2">
        <w:rPr>
          <w:rFonts w:ascii="Times New Roman" w:eastAsia="Times New Roman" w:hAnsi="Times New Roman" w:cs="Times New Roman"/>
        </w:rPr>
        <w:t xml:space="preserve">h je </w:t>
      </w:r>
      <w:r w:rsidR="00536FBE" w:rsidRPr="00AE2AC2">
        <w:rPr>
          <w:rFonts w:ascii="Times New Roman" w:eastAsia="Times New Roman" w:hAnsi="Times New Roman" w:cs="Times New Roman"/>
        </w:rPr>
        <w:t xml:space="preserve">potrebné upozorniť na prejavy v </w:t>
      </w:r>
      <w:r w:rsidR="00B86897" w:rsidRPr="00AE2AC2">
        <w:rPr>
          <w:rFonts w:ascii="Times New Roman" w:eastAsia="Times New Roman" w:hAnsi="Times New Roman" w:cs="Times New Roman"/>
        </w:rPr>
        <w:t xml:space="preserve">správaní pri poruchách kontroly impulzov, ktoré boli pozorované u pacientov liečených </w:t>
      </w:r>
      <w:r w:rsidR="00AE2AC2">
        <w:rPr>
          <w:rFonts w:ascii="Times New Roman" w:eastAsia="Times New Roman" w:hAnsi="Times New Roman" w:cs="Times New Roman"/>
        </w:rPr>
        <w:t>razagilín</w:t>
      </w:r>
      <w:r w:rsidR="00B86897" w:rsidRPr="00AE2AC2">
        <w:rPr>
          <w:rFonts w:ascii="Times New Roman" w:eastAsia="Times New Roman" w:hAnsi="Times New Roman" w:cs="Times New Roman"/>
        </w:rPr>
        <w:t xml:space="preserve">om vrátane prípadov nutkania, obsesívnych myšlienok, </w:t>
      </w:r>
      <w:r w:rsidRPr="00AE2AC2">
        <w:rPr>
          <w:rFonts w:ascii="Times New Roman" w:eastAsia="Times New Roman" w:hAnsi="Times New Roman" w:cs="Times New Roman"/>
        </w:rPr>
        <w:t>patologického hráčstva, zvýšeného libida, hypersexuality, impulzívneho správania sa, chorobného utrácania alebo nakupovania.</w:t>
      </w:r>
    </w:p>
    <w:p w:rsidR="00614EA8" w:rsidRPr="00AE2AC2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79D1" w:rsidRPr="00AE2AC2" w:rsidRDefault="00A279D1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Vzhľadom na to, že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zosilňuje účinky levodopy, nežiaduce účinky levodopy sa môžu zvýšiť a už existujúca dyskinéza </w:t>
      </w:r>
      <w:r w:rsidR="00332442">
        <w:rPr>
          <w:rFonts w:ascii="Times New Roman" w:eastAsia="Times New Roman" w:hAnsi="Times New Roman" w:cs="Times New Roman"/>
        </w:rPr>
        <w:t>zhoršiť</w:t>
      </w:r>
      <w:r w:rsidRPr="00AE2AC2">
        <w:rPr>
          <w:rFonts w:ascii="Times New Roman" w:eastAsia="Times New Roman" w:hAnsi="Times New Roman" w:cs="Times New Roman"/>
        </w:rPr>
        <w:t>. Znížením dávky levodopy</w:t>
      </w:r>
      <w:r w:rsidR="00017A42" w:rsidRPr="00AE2AC2">
        <w:rPr>
          <w:rFonts w:ascii="Times New Roman" w:eastAsia="Times New Roman" w:hAnsi="Times New Roman" w:cs="Times New Roman"/>
        </w:rPr>
        <w:t xml:space="preserve"> sa môžu zmierniť tieto nežiaduce účinky.</w:t>
      </w:r>
    </w:p>
    <w:p w:rsidR="00017A42" w:rsidRPr="00AE2AC2" w:rsidRDefault="00017A4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7C4A" w:rsidRPr="00AE2AC2" w:rsidRDefault="00F17C4A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Pri súčasnom užívaní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a levodopy boli zaznamenané hypotenzívne účinky. Pacienti s Parkinsonovou chorobou sú obzvlášť vystavení nežiaducemu účinku hypotenzie kvôli pretrvávajúcim ťažkostiam pri chôdzi.</w:t>
      </w:r>
    </w:p>
    <w:p w:rsidR="00F17C4A" w:rsidRPr="00AE2AC2" w:rsidRDefault="00F17C4A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Neodporúča sa súčasné užívanie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a dextrometorfánu alebo takých sympatomimetík, ktoré sú prítomné v nosových a </w:t>
      </w:r>
      <w:r w:rsidR="00332442">
        <w:rPr>
          <w:rFonts w:ascii="Times New Roman" w:eastAsia="Times New Roman" w:hAnsi="Times New Roman" w:cs="Times New Roman"/>
        </w:rPr>
        <w:t>per</w:t>
      </w:r>
      <w:r w:rsidRPr="00AE2AC2">
        <w:rPr>
          <w:rFonts w:ascii="Times New Roman" w:eastAsia="Times New Roman" w:hAnsi="Times New Roman" w:cs="Times New Roman"/>
        </w:rPr>
        <w:t>orálnych dekongestívach ako ani liekov na nádchu, ktoré obsahujú efedrín alebo pseudoefedrín (pozri časť 4.5).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Výskyt prípadov melanómu počas programu klinického vývoja upriamil pozornosť na možné spojenie s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om. Zozbierané údaje naznačujú, že Parkinsonova choroba a nie žiaden konkrétny liek je spojená so zvýšeným rizikom rakoviny kože (nie výlučne melanómu). Akékoľvek podozrivé poškodenie kože má prehodnotiť špecialista.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Pri začatí liečby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om je potrebná zvýšená opatrnosť u pacientov s </w:t>
      </w:r>
      <w:r w:rsidR="00332442" w:rsidRPr="00AE2AC2">
        <w:rPr>
          <w:rFonts w:ascii="Times New Roman" w:eastAsia="Times New Roman" w:hAnsi="Times New Roman" w:cs="Times New Roman"/>
        </w:rPr>
        <w:t>miern</w:t>
      </w:r>
      <w:r w:rsidR="00332442">
        <w:rPr>
          <w:rFonts w:ascii="Times New Roman" w:eastAsia="Times New Roman" w:hAnsi="Times New Roman" w:cs="Times New Roman"/>
        </w:rPr>
        <w:t>ou</w:t>
      </w:r>
      <w:r w:rsidR="00332442" w:rsidRPr="00AE2AC2">
        <w:rPr>
          <w:rFonts w:ascii="Times New Roman" w:eastAsia="Times New Roman" w:hAnsi="Times New Roman" w:cs="Times New Roman"/>
        </w:rPr>
        <w:t xml:space="preserve"> </w:t>
      </w:r>
      <w:r w:rsidR="00332442">
        <w:rPr>
          <w:rFonts w:ascii="Times New Roman" w:eastAsia="Times New Roman" w:hAnsi="Times New Roman" w:cs="Times New Roman"/>
        </w:rPr>
        <w:t>poruch</w:t>
      </w:r>
      <w:r w:rsidR="00332442" w:rsidRPr="00AE2AC2">
        <w:rPr>
          <w:rFonts w:ascii="Times New Roman" w:eastAsia="Times New Roman" w:hAnsi="Times New Roman" w:cs="Times New Roman"/>
        </w:rPr>
        <w:t xml:space="preserve">ou </w:t>
      </w:r>
      <w:r w:rsidRPr="00AE2AC2">
        <w:rPr>
          <w:rFonts w:ascii="Times New Roman" w:eastAsia="Times New Roman" w:hAnsi="Times New Roman" w:cs="Times New Roman"/>
        </w:rPr>
        <w:t>funkci</w:t>
      </w:r>
      <w:r w:rsidR="00332442">
        <w:rPr>
          <w:rFonts w:ascii="Times New Roman" w:eastAsia="Times New Roman" w:hAnsi="Times New Roman" w:cs="Times New Roman"/>
        </w:rPr>
        <w:t>e</w:t>
      </w:r>
      <w:r w:rsidRPr="00AE2AC2">
        <w:rPr>
          <w:rFonts w:ascii="Times New Roman" w:eastAsia="Times New Roman" w:hAnsi="Times New Roman" w:cs="Times New Roman"/>
        </w:rPr>
        <w:t xml:space="preserve"> pečene. Je potrebné vyvarovať sa podávaniu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pacientom so stredne </w:t>
      </w:r>
      <w:r w:rsidR="00332442" w:rsidRPr="00AE2AC2">
        <w:rPr>
          <w:rFonts w:ascii="Times New Roman" w:eastAsia="Times New Roman" w:hAnsi="Times New Roman" w:cs="Times New Roman"/>
        </w:rPr>
        <w:t>ťažk</w:t>
      </w:r>
      <w:r w:rsidR="00332442">
        <w:rPr>
          <w:rFonts w:ascii="Times New Roman" w:eastAsia="Times New Roman" w:hAnsi="Times New Roman" w:cs="Times New Roman"/>
        </w:rPr>
        <w:t>ou</w:t>
      </w:r>
      <w:r w:rsidR="00332442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</w:t>
      </w:r>
      <w:r w:rsidR="00332442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pečene. Liečba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om sa má ukončiť v prípade, že sa </w:t>
      </w:r>
      <w:r w:rsidR="004373D3">
        <w:rPr>
          <w:rFonts w:ascii="Times New Roman" w:eastAsia="Times New Roman" w:hAnsi="Times New Roman" w:cs="Times New Roman"/>
        </w:rPr>
        <w:t>poruch</w:t>
      </w:r>
      <w:r w:rsidR="00332442">
        <w:rPr>
          <w:rFonts w:ascii="Times New Roman" w:eastAsia="Times New Roman" w:hAnsi="Times New Roman" w:cs="Times New Roman"/>
        </w:rPr>
        <w:t>a</w:t>
      </w:r>
      <w:r w:rsidRPr="00AE2AC2">
        <w:rPr>
          <w:rFonts w:ascii="Times New Roman" w:eastAsia="Times New Roman" w:hAnsi="Times New Roman" w:cs="Times New Roman"/>
        </w:rPr>
        <w:t xml:space="preserve"> funkcie pečene zhorší z mierneho na stredne ťažký stupeň (pozri časť 5.2).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4.5 Liekové a iné interakcie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36FBE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Medzi neselektívnymi inhibítormi MAO a inými liekmi dochádza k mno</w:t>
      </w:r>
      <w:r w:rsidR="00536FBE" w:rsidRPr="00AE2AC2">
        <w:rPr>
          <w:rFonts w:ascii="Times New Roman" w:eastAsia="Times New Roman" w:hAnsi="Times New Roman" w:cs="Times New Roman"/>
        </w:rPr>
        <w:t>hým známym interakciám.</w:t>
      </w:r>
    </w:p>
    <w:p w:rsidR="00536FBE" w:rsidRPr="00AE2AC2" w:rsidRDefault="00536F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 sa nesmie podávať spolu s inými inhibítormi MAO</w:t>
      </w:r>
      <w:r w:rsidR="00536FBE" w:rsidRPr="00AE2AC2">
        <w:rPr>
          <w:rFonts w:ascii="Times New Roman" w:eastAsia="Times New Roman" w:hAnsi="Times New Roman" w:cs="Times New Roman"/>
        </w:rPr>
        <w:t xml:space="preserve"> (vrátane liekov alebo prírodných prípravkov</w:t>
      </w:r>
      <w:r w:rsidR="00332442">
        <w:rPr>
          <w:rFonts w:ascii="Times New Roman" w:eastAsia="Times New Roman" w:hAnsi="Times New Roman" w:cs="Times New Roman"/>
        </w:rPr>
        <w:t>,</w:t>
      </w:r>
      <w:r w:rsidR="00536FBE" w:rsidRPr="00AE2AC2">
        <w:rPr>
          <w:rFonts w:ascii="Times New Roman" w:eastAsia="Times New Roman" w:hAnsi="Times New Roman" w:cs="Times New Roman"/>
        </w:rPr>
        <w:t xml:space="preserve"> </w:t>
      </w:r>
      <w:r w:rsidR="00332442" w:rsidRPr="00332442">
        <w:rPr>
          <w:rFonts w:ascii="Times New Roman" w:eastAsia="Times New Roman" w:hAnsi="Times New Roman" w:cs="Times New Roman"/>
        </w:rPr>
        <w:t>ktoré nie sú viazané na lekársky predpis,</w:t>
      </w:r>
      <w:r w:rsidR="00536FBE" w:rsidRPr="00AE2AC2">
        <w:rPr>
          <w:rFonts w:ascii="Times New Roman" w:eastAsia="Times New Roman" w:hAnsi="Times New Roman" w:cs="Times New Roman"/>
        </w:rPr>
        <w:t xml:space="preserve"> ako je Ľubovník bodkovaný)</w:t>
      </w:r>
      <w:r w:rsidR="00A65150" w:rsidRPr="00AE2AC2">
        <w:rPr>
          <w:rFonts w:ascii="Times New Roman" w:eastAsia="Times New Roman" w:hAnsi="Times New Roman" w:cs="Times New Roman"/>
        </w:rPr>
        <w:t>, pretože nastáva riziko neselektívnej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>inhibície MAO, ktorá môže spôsobiť hypertenznú krízu (pozri časť 4.3).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55F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Vážne nežiaduce reakcie boli zaznamenané pri súčasnom podávaní petidínu a inhibítorov MAO </w:t>
      </w:r>
      <w:r w:rsidR="00332442" w:rsidRPr="00332442">
        <w:rPr>
          <w:rFonts w:ascii="Times New Roman" w:eastAsia="Times New Roman" w:hAnsi="Times New Roman" w:cs="Times New Roman"/>
        </w:rPr>
        <w:t>vrátane iných selektívnych inhibítorov</w:t>
      </w:r>
      <w:r w:rsidRPr="00AE2AC2">
        <w:rPr>
          <w:rFonts w:ascii="Times New Roman" w:eastAsia="Times New Roman" w:hAnsi="Times New Roman" w:cs="Times New Roman"/>
        </w:rPr>
        <w:t xml:space="preserve"> MAO-B. Súčasné podávanie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a petidínu je kontraindikované (pozri časť 4.3).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lastRenderedPageBreak/>
        <w:t xml:space="preserve">Boli zaznamenané liekové interakcie pri súčasnom podávaní inhibítorov MAO </w:t>
      </w:r>
      <w:r w:rsidR="006F70B0" w:rsidRPr="00AE2AC2">
        <w:rPr>
          <w:rFonts w:ascii="Times New Roman" w:eastAsia="Times New Roman" w:hAnsi="Times New Roman" w:cs="Times New Roman"/>
        </w:rPr>
        <w:t>a</w:t>
      </w:r>
      <w:r w:rsidRPr="00AE2AC2">
        <w:rPr>
          <w:rFonts w:ascii="Times New Roman" w:eastAsia="Times New Roman" w:hAnsi="Times New Roman" w:cs="Times New Roman"/>
        </w:rPr>
        <w:t xml:space="preserve"> sympatomimetík. Vzhľadom na inhibičnú aktivitu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voči MAO sa neodporúča súčasné používanie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a takých sympatomimetík aké sú prítomné v nosových a </w:t>
      </w:r>
      <w:r w:rsidR="00BB3792">
        <w:rPr>
          <w:rFonts w:ascii="Times New Roman" w:eastAsia="Times New Roman" w:hAnsi="Times New Roman" w:cs="Times New Roman"/>
        </w:rPr>
        <w:t>per</w:t>
      </w:r>
      <w:r w:rsidRPr="00AE2AC2">
        <w:rPr>
          <w:rFonts w:ascii="Times New Roman" w:eastAsia="Times New Roman" w:hAnsi="Times New Roman" w:cs="Times New Roman"/>
        </w:rPr>
        <w:t>orálnych dekongestívach alebo liekov na nádchu, ktoré obsahujú efedrín alebo pseudoefedrín (pozri časť 4.4).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Boli zaznamenané liekové interakcie pri súčasnom podaní dextrometorfánu a neselektívnych inhibítorov MAO. Vzhľadom na inhibičnú aktivitu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voči MAO sa súčasné podávanie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a dextrometorfánu neodporúča (pozri časť 4.4).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70B0" w:rsidRPr="00AE2AC2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Je potrebné vyvarovať sa súčasnému podávaniu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s fluoxetínom alebo fluvoxamínom</w:t>
      </w:r>
    </w:p>
    <w:p w:rsidR="006F70B0" w:rsidRPr="00AE2AC2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(pozri časť 4.4).</w:t>
      </w:r>
    </w:p>
    <w:p w:rsidR="006F70B0" w:rsidRPr="00AE2AC2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Závažné nežiaduce reakcie boli hlásené pri súčasnom užívaní selektívnych inhibítorov spätného vychytávania serotonínu (SSRI), </w:t>
      </w:r>
      <w:r w:rsidR="006F70B0" w:rsidRPr="00AE2AC2">
        <w:rPr>
          <w:rFonts w:ascii="Times New Roman" w:eastAsia="Times New Roman" w:hAnsi="Times New Roman" w:cs="Times New Roman"/>
        </w:rPr>
        <w:t xml:space="preserve">SNRI, </w:t>
      </w:r>
      <w:r w:rsidRPr="00AE2AC2">
        <w:rPr>
          <w:rFonts w:ascii="Times New Roman" w:eastAsia="Times New Roman" w:hAnsi="Times New Roman" w:cs="Times New Roman"/>
        </w:rPr>
        <w:t xml:space="preserve">tricyklických a tetracyklických antidepresív </w:t>
      </w:r>
      <w:r w:rsidR="00D25CBE" w:rsidRPr="00AE2AC2">
        <w:rPr>
          <w:rFonts w:ascii="Times New Roman" w:eastAsia="Times New Roman" w:hAnsi="Times New Roman" w:cs="Times New Roman"/>
        </w:rPr>
        <w:t xml:space="preserve">a inhibítorov </w:t>
      </w:r>
      <w:r w:rsidRPr="00AE2AC2">
        <w:rPr>
          <w:rFonts w:ascii="Times New Roman" w:eastAsia="Times New Roman" w:hAnsi="Times New Roman" w:cs="Times New Roman"/>
        </w:rPr>
        <w:t xml:space="preserve">MAO. Vzhľadom na inhibičnú aktivitu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voči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MAO sa antidepresíva </w:t>
      </w:r>
      <w:r w:rsidR="00BB3792" w:rsidRPr="00AE2AC2">
        <w:rPr>
          <w:rFonts w:ascii="Times New Roman" w:eastAsia="Times New Roman" w:hAnsi="Times New Roman" w:cs="Times New Roman"/>
        </w:rPr>
        <w:t>ma</w:t>
      </w:r>
      <w:r w:rsidR="00BB3792">
        <w:rPr>
          <w:rFonts w:ascii="Times New Roman" w:eastAsia="Times New Roman" w:hAnsi="Times New Roman" w:cs="Times New Roman"/>
        </w:rPr>
        <w:t>jú</w:t>
      </w:r>
      <w:r w:rsidR="00BB3792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podávať so zvýšenou opatrnosťou.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U pacientov s Parkinsonovou chorobou </w:t>
      </w:r>
      <w:r w:rsidR="00B36CE3" w:rsidRPr="00AE2AC2">
        <w:rPr>
          <w:rFonts w:ascii="Times New Roman" w:eastAsia="Times New Roman" w:hAnsi="Times New Roman" w:cs="Times New Roman"/>
        </w:rPr>
        <w:t>dlhodobo</w:t>
      </w:r>
      <w:r w:rsidRPr="00AE2AC2">
        <w:rPr>
          <w:rFonts w:ascii="Times New Roman" w:eastAsia="Times New Roman" w:hAnsi="Times New Roman" w:cs="Times New Roman"/>
        </w:rPr>
        <w:t xml:space="preserve"> liečených levodopou vo forme adjuvantnej terapie, sa nepreukázal klinicky signifikantný efekt liečby levodopou na klírens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AE2AC2">
        <w:rPr>
          <w:rFonts w:ascii="Times New Roman" w:eastAsia="Times New Roman" w:hAnsi="Times New Roman" w:cs="Times New Roman"/>
        </w:rPr>
        <w:t xml:space="preserve">štúdie metabolizmu preukázali, že cytochróm P450 1A2 (CYP1A2) je hlavným enzýmom zodpovedným za metabolizmus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u. </w:t>
      </w:r>
      <w:r w:rsidR="00D25CBE" w:rsidRPr="00AE2AC2">
        <w:rPr>
          <w:rFonts w:ascii="Times New Roman" w:eastAsia="Times New Roman" w:hAnsi="Times New Roman" w:cs="Times New Roman"/>
        </w:rPr>
        <w:t>Súčasné p</w:t>
      </w:r>
      <w:r w:rsidRPr="00AE2AC2">
        <w:rPr>
          <w:rFonts w:ascii="Times New Roman" w:eastAsia="Times New Roman" w:hAnsi="Times New Roman" w:cs="Times New Roman"/>
        </w:rPr>
        <w:t xml:space="preserve">odávanie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s ciprofloxacínom (inhibítorom CYP1A2) zvýšilo AUC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o 83%. </w:t>
      </w:r>
      <w:r w:rsidR="00D25CBE" w:rsidRPr="00AE2AC2">
        <w:rPr>
          <w:rFonts w:ascii="Times New Roman" w:eastAsia="Times New Roman" w:hAnsi="Times New Roman" w:cs="Times New Roman"/>
        </w:rPr>
        <w:t>Súčasné p</w:t>
      </w:r>
      <w:r w:rsidRPr="00AE2AC2">
        <w:rPr>
          <w:rFonts w:ascii="Times New Roman" w:eastAsia="Times New Roman" w:hAnsi="Times New Roman" w:cs="Times New Roman"/>
        </w:rPr>
        <w:t xml:space="preserve">odávanie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s teofylínom (substrátom CYP1A2) neovplyvnilo farmakokinetiku ani jednej z látok. Vzhľadom na to, účinné inhibítory CYP1A2 môžu zmeniť plazmatickú koncentráciu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a majú sa podávať s opatrnosťou.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U fajčiacich pacientov je riziko zníženia plazmatickej koncentrácie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vzhľadom na indukciu metabolizujúceho enzýmu CYP1A2.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5CBE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AE2AC2">
        <w:rPr>
          <w:rFonts w:ascii="Times New Roman" w:eastAsia="Times New Roman" w:hAnsi="Times New Roman" w:cs="Times New Roman"/>
        </w:rPr>
        <w:t xml:space="preserve">štúdie preukázali, že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v koncentrácii 1 µg/ml (čo zodpovedá hladine, ktorá je 160 násobok priemeru Cmax ~ 5,9-8,5 ng/ml u pacientov s Parkinsonovou chorobou po viacnásobnom podaní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u) neinhiboval izoenzýmy cytochrómu P450, CYP1A2, CYP2A6, CYP2C9, CYP2C19, CYP2D6, CYP2E1, CYP3A4 a CYP4A. Tieto výsledky dokazujú, že nie je pravdepodobné, aby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v terapeutických koncentráciách signifikantne interferoval so substrátmi týchto enzýmov.</w:t>
      </w:r>
    </w:p>
    <w:p w:rsidR="00D25CBE" w:rsidRPr="00AE2AC2" w:rsidRDefault="00D25C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Súčasné podávanie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a entakapónu zvýšilo klírens </w:t>
      </w:r>
      <w:r w:rsidR="00BB3792" w:rsidRPr="00BB3792">
        <w:rPr>
          <w:rFonts w:ascii="Times New Roman" w:eastAsia="Times New Roman" w:hAnsi="Times New Roman" w:cs="Times New Roman"/>
        </w:rPr>
        <w:t xml:space="preserve">perorálne podávaného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o 28%.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>Interakcie tyramín/</w:t>
      </w:r>
      <w:r w:rsidR="00AE2AC2">
        <w:rPr>
          <w:rFonts w:ascii="Times New Roman" w:eastAsia="Times New Roman" w:hAnsi="Times New Roman" w:cs="Times New Roman"/>
          <w:i/>
          <w:iCs/>
        </w:rPr>
        <w:t>razagilín</w:t>
      </w:r>
      <w:r w:rsidRPr="00AE2AC2">
        <w:rPr>
          <w:rFonts w:ascii="Times New Roman" w:eastAsia="Times New Roman" w:hAnsi="Times New Roman" w:cs="Times New Roman"/>
          <w:i/>
          <w:iCs/>
        </w:rPr>
        <w:t xml:space="preserve">: </w:t>
      </w:r>
      <w:r w:rsidRPr="00AE2AC2">
        <w:rPr>
          <w:rFonts w:ascii="Times New Roman" w:eastAsia="Times New Roman" w:hAnsi="Times New Roman" w:cs="Times New Roman"/>
        </w:rPr>
        <w:t xml:space="preserve">Výsledky </w:t>
      </w:r>
      <w:r w:rsidR="00D25CBE" w:rsidRPr="00AE2AC2">
        <w:rPr>
          <w:rFonts w:ascii="Times New Roman" w:eastAsia="Times New Roman" w:hAnsi="Times New Roman" w:cs="Times New Roman"/>
        </w:rPr>
        <w:t>piatich</w:t>
      </w:r>
      <w:r w:rsidRPr="00AE2AC2">
        <w:rPr>
          <w:rFonts w:ascii="Times New Roman" w:eastAsia="Times New Roman" w:hAnsi="Times New Roman" w:cs="Times New Roman"/>
        </w:rPr>
        <w:t xml:space="preserve"> záťažových štúdií (u dobrovoľníkov a</w:t>
      </w:r>
      <w:r w:rsidR="00886C63" w:rsidRPr="00AE2AC2">
        <w:rPr>
          <w:rFonts w:ascii="Times New Roman" w:eastAsia="Times New Roman" w:hAnsi="Times New Roman" w:cs="Times New Roman"/>
        </w:rPr>
        <w:t> </w:t>
      </w:r>
      <w:r w:rsidRPr="00AE2AC2">
        <w:rPr>
          <w:rFonts w:ascii="Times New Roman" w:eastAsia="Times New Roman" w:hAnsi="Times New Roman" w:cs="Times New Roman"/>
        </w:rPr>
        <w:t>pacientov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s Parkinsonovou chorobou) spolu s výsledkami domáceho monitorovania krvného tlaku po jedle (u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464 pacientov, ktorým bolo podávané 0,5 alebo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denne alebo placebo ako adjuvantná terapia k levodope počas 6 mesiacov bez obmedzenia tyramínu) a fakt, že neboli zaznamenané žiadne interakcie medzi tyramínom a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om dokazujú, že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sa môže bezpečne používať bez dietetického obmedzenia tyramínu.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4.6 Gravidita a</w:t>
      </w:r>
      <w:r w:rsidR="00886C63" w:rsidRPr="00AE2AC2">
        <w:rPr>
          <w:rFonts w:ascii="Times New Roman" w:eastAsia="Times New Roman" w:hAnsi="Times New Roman" w:cs="Times New Roman"/>
          <w:b/>
          <w:bCs/>
        </w:rPr>
        <w:t> </w:t>
      </w:r>
      <w:r w:rsidRPr="00AE2AC2">
        <w:rPr>
          <w:rFonts w:ascii="Times New Roman" w:eastAsia="Times New Roman" w:hAnsi="Times New Roman" w:cs="Times New Roman"/>
          <w:b/>
          <w:bCs/>
        </w:rPr>
        <w:t>laktácia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37E7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Nie sú dostupné žiadne klinické údaje o gravidných ženách vystavených účinku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u. Štúdie na zvieratách nepreukázali priame alebo nepriame škodlivé účinky na graviditu, embryonálny/fetálny vývoj, pôrod alebo postnatálny vývoj (pozri časť 5.3). Pri predpisovaní lieku gravidným ženám je potrebná opatrnosť.</w:t>
      </w:r>
    </w:p>
    <w:p w:rsidR="00E37E7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lastRenderedPageBreak/>
        <w:t xml:space="preserve">Experimentálne údaje preukázali, že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inhibuje sekréciu prolaktínu</w:t>
      </w:r>
      <w:r w:rsidR="00E37E73" w:rsidRPr="00AE2AC2">
        <w:rPr>
          <w:rFonts w:ascii="Times New Roman" w:eastAsia="Times New Roman" w:hAnsi="Times New Roman" w:cs="Times New Roman"/>
        </w:rPr>
        <w:t>,</w:t>
      </w:r>
      <w:r w:rsidRPr="00AE2AC2">
        <w:rPr>
          <w:rFonts w:ascii="Times New Roman" w:eastAsia="Times New Roman" w:hAnsi="Times New Roman" w:cs="Times New Roman"/>
        </w:rPr>
        <w:t xml:space="preserve"> a teda môže inhibovať laktáciu. Nie je známe, či sa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vylučuje do </w:t>
      </w:r>
      <w:r w:rsidR="00F95457">
        <w:rPr>
          <w:rFonts w:ascii="Times New Roman" w:eastAsia="Times New Roman" w:hAnsi="Times New Roman" w:cs="Times New Roman"/>
        </w:rPr>
        <w:t xml:space="preserve">ľudského </w:t>
      </w:r>
      <w:r w:rsidRPr="00AE2AC2">
        <w:rPr>
          <w:rFonts w:ascii="Times New Roman" w:eastAsia="Times New Roman" w:hAnsi="Times New Roman" w:cs="Times New Roman"/>
        </w:rPr>
        <w:t>materského mlieka. Pri podávaní dojčiacim ženám je potrebná opatrnosť.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4.7 Ovplyvnenie schopnosti viesť vozidlá a obsluhovať stroje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Neuskutočnili sa žiadne štúdie o účinkoch na schopnosť viesť vozidlá a obsluhovať stroje.</w:t>
      </w:r>
    </w:p>
    <w:p w:rsidR="00886C6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E2AC2">
        <w:rPr>
          <w:rFonts w:ascii="Times New Roman" w:eastAsia="Times New Roman" w:hAnsi="Times New Roman" w:cs="Times New Roman"/>
          <w:bCs/>
        </w:rPr>
        <w:t>Pacienti majú byť obozretní ohľadom ovládania nebezpečných strojov vrátane vedenia vozidiel, až kým si neb</w:t>
      </w:r>
      <w:r w:rsidR="00B36CE3" w:rsidRPr="00AE2AC2">
        <w:rPr>
          <w:rFonts w:ascii="Times New Roman" w:eastAsia="Times New Roman" w:hAnsi="Times New Roman" w:cs="Times New Roman"/>
          <w:bCs/>
        </w:rPr>
        <w:t xml:space="preserve">udú dostatočne istí, že </w:t>
      </w:r>
      <w:r w:rsidR="00F22131">
        <w:rPr>
          <w:rFonts w:ascii="Times New Roman" w:eastAsia="Times New Roman" w:hAnsi="Times New Roman" w:cs="Times New Roman"/>
          <w:bCs/>
        </w:rPr>
        <w:t>Ra</w:t>
      </w:r>
      <w:r w:rsidR="00833CEA">
        <w:rPr>
          <w:rFonts w:ascii="Times New Roman" w:eastAsia="Times New Roman" w:hAnsi="Times New Roman" w:cs="Times New Roman"/>
          <w:bCs/>
        </w:rPr>
        <w:t>sagiline</w:t>
      </w:r>
      <w:r w:rsidRPr="00AE2AC2">
        <w:rPr>
          <w:rFonts w:ascii="Times New Roman" w:eastAsia="Times New Roman" w:hAnsi="Times New Roman" w:cs="Times New Roman"/>
          <w:bCs/>
        </w:rPr>
        <w:t xml:space="preserve"> Accord ich už nežiaduco neovplyvňuje.</w:t>
      </w:r>
    </w:p>
    <w:p w:rsidR="00E37E7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4.8 Nežiaduce účinky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Celkovo 1361 pacientov bolo liečených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om v klinickom programe počas 3076,4 pacientských rokov. V dvojito zaslepených placebom kontrolovaných štúdiách bolo 529 pacientov liečených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 v dávke 1 mg/deň počas 212 pacientských rokov a placebo bolo podané 539 pacientom počas 213 pacientských rokov.</w:t>
      </w:r>
    </w:p>
    <w:p w:rsidR="00E37E7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Monoterapia</w:t>
      </w:r>
    </w:p>
    <w:p w:rsidR="009724F6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Nižšie uvedený zoznam obsahuje nežiaduce reakcie, u ktorých bol v placebom kontrolovaných štúdiách zaznamenaný vyšší výskyt u pacientov, ktorým bol podávaný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denne (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ová skupina n=149, placebo skupina n=151). </w:t>
      </w:r>
    </w:p>
    <w:p w:rsidR="009724F6" w:rsidRPr="00AE2AC2" w:rsidRDefault="009724F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24F6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</w:rPr>
        <w:t>Nežiaduce reakcie s aspoň 2% rozdiel</w:t>
      </w:r>
      <w:bookmarkStart w:id="0" w:name="_GoBack"/>
      <w:bookmarkEnd w:id="0"/>
      <w:r w:rsidRPr="00AE2AC2">
        <w:rPr>
          <w:rFonts w:ascii="Times New Roman" w:eastAsia="Times New Roman" w:hAnsi="Times New Roman" w:cs="Times New Roman"/>
        </w:rPr>
        <w:t xml:space="preserve">om oproti placebu sú vyznačené </w:t>
      </w:r>
      <w:r w:rsidRPr="00AE2AC2">
        <w:rPr>
          <w:rFonts w:ascii="Times New Roman" w:eastAsia="Times New Roman" w:hAnsi="Times New Roman" w:cs="Times New Roman"/>
          <w:i/>
          <w:iCs/>
        </w:rPr>
        <w:t xml:space="preserve">kurzívou. 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V zátvorkách je uvedený výskyt nežiaducich reakcií (% pacientov) v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poradí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ová skupina oproti placebu.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Nežiaduce reakcie sú zoradené podľa frekvencie výskytu na základe nasledujúcej konvencie: veľ</w:t>
      </w:r>
      <w:r w:rsidR="009724F6" w:rsidRPr="00AE2AC2">
        <w:rPr>
          <w:rFonts w:ascii="Times New Roman" w:eastAsia="Times New Roman" w:hAnsi="Times New Roman" w:cs="Times New Roman"/>
        </w:rPr>
        <w:t>mi časté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9724F6" w:rsidRPr="00AE2AC2">
        <w:rPr>
          <w:rFonts w:ascii="Times New Roman" w:eastAsia="Times New Roman" w:hAnsi="Times New Roman" w:cs="Times New Roman"/>
        </w:rPr>
        <w:t>1/10), časté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9724F6" w:rsidRPr="00AE2AC2">
        <w:rPr>
          <w:rFonts w:ascii="Times New Roman" w:eastAsia="Times New Roman" w:hAnsi="Times New Roman" w:cs="Times New Roman"/>
        </w:rPr>
        <w:t xml:space="preserve">1/100 až </w:t>
      </w:r>
      <w:r w:rsidRPr="00AE2AC2">
        <w:rPr>
          <w:rFonts w:ascii="Times New Roman" w:eastAsia="Times New Roman" w:hAnsi="Times New Roman" w:cs="Times New Roman"/>
        </w:rPr>
        <w:t>&lt;1/10), menej časté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3867C0" w:rsidRPr="00AE2AC2">
        <w:rPr>
          <w:rFonts w:ascii="Times New Roman" w:eastAsia="Times New Roman" w:hAnsi="Times New Roman" w:cs="Times New Roman"/>
        </w:rPr>
        <w:t xml:space="preserve">1/1000 až </w:t>
      </w:r>
      <w:r w:rsidRPr="00AE2AC2">
        <w:rPr>
          <w:rFonts w:ascii="Times New Roman" w:eastAsia="Times New Roman" w:hAnsi="Times New Roman" w:cs="Times New Roman"/>
        </w:rPr>
        <w:t>&lt;1/100), zriedkavé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3867C0" w:rsidRPr="00AE2AC2">
        <w:rPr>
          <w:rFonts w:ascii="Times New Roman" w:eastAsia="Times New Roman" w:hAnsi="Times New Roman" w:cs="Times New Roman"/>
        </w:rPr>
        <w:t>1/10 000 až</w:t>
      </w:r>
      <w:r w:rsidRPr="00AE2AC2">
        <w:rPr>
          <w:rFonts w:ascii="Times New Roman" w:eastAsia="Times New Roman" w:hAnsi="Times New Roman" w:cs="Times New Roman"/>
        </w:rPr>
        <w:t xml:space="preserve"> &lt;1/1000), veľmi zriedkavé (&lt;1/10 000).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88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88"/>
      </w:tblGrid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Infekcie a nákazy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chrípka</w:t>
            </w:r>
            <w:r w:rsidRPr="00F22131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oproti</w:t>
            </w:r>
            <w:r w:rsidRPr="00F22131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0,7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Benígne a malígne nádory, vrátane nešpecifikovaných novotvarov (cysty a polypy)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F22131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rakovina kože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1"/>
                <w:sz w:val="22"/>
                <w:szCs w:val="22"/>
                <w:lang w:val="sk-SK"/>
              </w:rPr>
              <w:t>(</w:t>
            </w:r>
            <w:r w:rsidRPr="00F22131">
              <w:rPr>
                <w:sz w:val="22"/>
                <w:szCs w:val="22"/>
                <w:lang w:val="sk-SK"/>
              </w:rPr>
              <w:t>1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sz w:val="22"/>
                <w:szCs w:val="22"/>
                <w:lang w:val="sk-SK"/>
              </w:rPr>
              <w:t>3%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u w:val="single"/>
                <w:lang w:val="sk-SK"/>
              </w:rPr>
            </w:pPr>
            <w:r>
              <w:rPr>
                <w:b/>
                <w:bCs/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le</w:t>
            </w:r>
            <w:r>
              <w:rPr>
                <w:spacing w:val="1"/>
                <w:sz w:val="22"/>
                <w:szCs w:val="22"/>
                <w:lang w:val="sk-SK"/>
              </w:rPr>
              <w:t>u</w:t>
            </w:r>
            <w:r>
              <w:rPr>
                <w:spacing w:val="-1"/>
                <w:sz w:val="22"/>
                <w:szCs w:val="22"/>
                <w:lang w:val="sk-SK"/>
              </w:rPr>
              <w:t>k</w:t>
            </w:r>
            <w:r>
              <w:rPr>
                <w:sz w:val="22"/>
                <w:szCs w:val="22"/>
                <w:lang w:val="sk-SK"/>
              </w:rPr>
              <w:t>opénia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2"/>
                <w:sz w:val="22"/>
                <w:szCs w:val="22"/>
                <w:lang w:val="sk-SK"/>
              </w:rPr>
              <w:t>(</w:t>
            </w:r>
            <w:r>
              <w:rPr>
                <w:spacing w:val="-1"/>
                <w:sz w:val="22"/>
                <w:szCs w:val="22"/>
                <w:lang w:val="sk-SK"/>
              </w:rPr>
              <w:t>1,3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imunitného systému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alergia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(1,3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0,7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8" w:lineRule="exact"/>
              <w:rPr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3867C0" w:rsidRPr="00AE2AC2" w:rsidTr="002F72D4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6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znížená chuť do jedla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(0,7%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0%)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depresia (5,4%</w:t>
            </w:r>
            <w:r w:rsidRPr="00F22131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 2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%)</w:t>
            </w:r>
            <w:r w:rsidRPr="00F22131">
              <w:rPr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halucinácie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(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1,3</w:t>
            </w:r>
            <w:r w:rsidRPr="00F22131">
              <w:rPr>
                <w:sz w:val="22"/>
                <w:szCs w:val="22"/>
                <w:lang w:val="sk-SK"/>
              </w:rPr>
              <w:t>%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nervového systému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Veľmi časté</w:t>
            </w:r>
            <w:r>
              <w:rPr>
                <w:i/>
                <w:iCs/>
                <w:sz w:val="22"/>
                <w:szCs w:val="22"/>
                <w:lang w:val="sk-SK"/>
              </w:rPr>
              <w:t>:</w:t>
            </w:r>
            <w:r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 xml:space="preserve">bolesť hlavy </w:t>
            </w:r>
            <w:r>
              <w:rPr>
                <w:i/>
                <w:iCs/>
                <w:spacing w:val="-2"/>
                <w:sz w:val="22"/>
                <w:szCs w:val="22"/>
                <w:lang w:val="sk-SK"/>
              </w:rPr>
              <w:t>(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14,</w:t>
            </w:r>
            <w:r>
              <w:rPr>
                <w:i/>
                <w:iCs/>
                <w:sz w:val="22"/>
                <w:szCs w:val="22"/>
                <w:lang w:val="sk-SK"/>
              </w:rPr>
              <w:t>1%</w:t>
            </w:r>
            <w:r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11,</w:t>
            </w:r>
            <w:r>
              <w:rPr>
                <w:i/>
                <w:iCs/>
                <w:sz w:val="22"/>
                <w:szCs w:val="22"/>
                <w:lang w:val="sk-SK"/>
              </w:rPr>
              <w:t>9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cerebrovaskulárna príhoda (0,7%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0%)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1"/>
                <w:sz w:val="22"/>
                <w:szCs w:val="22"/>
                <w:u w:val="thick"/>
                <w:lang w:val="sk-SK"/>
              </w:rPr>
              <w:t>Poruchy oka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konjuktivitída (2,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ucha a labyrintu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vertigo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(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2,7</w:t>
            </w:r>
            <w:r w:rsidRPr="00F22131">
              <w:rPr>
                <w:sz w:val="22"/>
                <w:szCs w:val="22"/>
                <w:lang w:val="sk-SK"/>
              </w:rPr>
              <w:t>%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 xml:space="preserve">oproti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1,3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srdca a srdcovej činnosti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a</w:t>
            </w:r>
            <w:r>
              <w:rPr>
                <w:spacing w:val="1"/>
                <w:sz w:val="22"/>
                <w:szCs w:val="22"/>
                <w:lang w:val="sk-SK"/>
              </w:rPr>
              <w:t>n</w:t>
            </w:r>
            <w:r>
              <w:rPr>
                <w:sz w:val="22"/>
                <w:szCs w:val="22"/>
                <w:lang w:val="sk-SK"/>
              </w:rPr>
              <w:t>gína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pectoris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(1,3%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%)</w:t>
            </w:r>
            <w:r>
              <w:rPr>
                <w:sz w:val="22"/>
                <w:szCs w:val="22"/>
                <w:lang w:val="sk-SK"/>
              </w:rPr>
              <w:t>;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3"/>
                <w:sz w:val="22"/>
                <w:szCs w:val="22"/>
                <w:lang w:val="sk-SK"/>
              </w:rPr>
              <w:t>infarkt myokardu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(0,7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 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dýchacej sústavy, hrudníka a mediastína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rinitída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3,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0,7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%)</w:t>
            </w:r>
          </w:p>
        </w:tc>
      </w:tr>
      <w:tr w:rsidR="003867C0" w:rsidRPr="00AE2AC2" w:rsidTr="002F72D4">
        <w:trPr>
          <w:trHeight w:hRule="exact" w:val="5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lastRenderedPageBreak/>
              <w:t>Poruchy gastrointestinálneho traktu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F22131"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flatulencia</w:t>
            </w:r>
            <w:r w:rsidRPr="00F22131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(1,3%</w:t>
            </w:r>
            <w:r w:rsidRPr="00F22131">
              <w:rPr>
                <w:spacing w:val="-2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 0%)</w:t>
            </w:r>
          </w:p>
        </w:tc>
      </w:tr>
      <w:tr w:rsidR="003867C0" w:rsidRPr="00AE2AC2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Poruchy kože a podkožného tkaniva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dermatitída</w:t>
            </w:r>
            <w:r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</w:t>
            </w:r>
            <w:r>
              <w:rPr>
                <w:i/>
                <w:iCs/>
                <w:sz w:val="22"/>
                <w:szCs w:val="22"/>
                <w:lang w:val="sk-SK"/>
              </w:rPr>
              <w:t>2,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 0</w:t>
            </w:r>
            <w:r>
              <w:rPr>
                <w:i/>
                <w:iCs/>
                <w:spacing w:val="-5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2" w:lineRule="exact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vezikulobulózny exantém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0</w:t>
            </w:r>
            <w:r>
              <w:rPr>
                <w:spacing w:val="-1"/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7%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AA5927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kostrovej a svalovej sústavy a spojivového tkaniva</w:t>
            </w:r>
          </w:p>
          <w:p w:rsidR="003867C0" w:rsidRPr="00AE2AC2" w:rsidRDefault="00F22131" w:rsidP="00AA5927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muskuloskeletálna bolesť (6,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2,6</w:t>
            </w:r>
            <w:r w:rsidRPr="00F22131">
              <w:rPr>
                <w:i/>
                <w:iCs/>
                <w:spacing w:val="-6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),</w:t>
            </w:r>
            <w:r w:rsidRPr="00F22131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bolesť krku</w:t>
            </w:r>
            <w:r w:rsidRPr="00F22131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(2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,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7%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 0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5"/>
                <w:sz w:val="22"/>
                <w:szCs w:val="22"/>
                <w:lang w:val="sk-SK"/>
              </w:rPr>
              <w:t>)</w:t>
            </w:r>
            <w:r w:rsidRPr="00F22131">
              <w:rPr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artritída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(1,3%</w:t>
            </w:r>
            <w:r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 0,7 %)</w:t>
            </w:r>
          </w:p>
          <w:p w:rsidR="003867C0" w:rsidRPr="00AE2AC2" w:rsidRDefault="00F22131" w:rsidP="004373D3">
            <w:pPr>
              <w:pStyle w:val="TableParagraph"/>
              <w:kinsoku w:val="0"/>
              <w:overflowPunct w:val="0"/>
              <w:ind w:left="101"/>
              <w:rPr>
                <w:lang w:val="sk-SK"/>
              </w:rPr>
            </w:pPr>
            <w:r w:rsidRPr="00F22131">
              <w:rPr>
                <w:spacing w:val="-1"/>
                <w:sz w:val="22"/>
                <w:szCs w:val="22"/>
                <w:lang w:val="sk-SK"/>
              </w:rPr>
              <w:t>0.7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264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AA5927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3867C0" w:rsidRPr="00AE2AC2" w:rsidTr="002F72D4">
        <w:trPr>
          <w:trHeight w:hRule="exact" w:val="32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AA5927">
            <w:pPr>
              <w:pStyle w:val="Zkladntext"/>
              <w:kinsoku w:val="0"/>
              <w:overflowPunct w:val="0"/>
              <w:spacing w:before="63"/>
              <w:ind w:left="0"/>
              <w:rPr>
                <w:lang w:val="sk-SK"/>
              </w:rPr>
            </w:pPr>
            <w:r w:rsidRPr="00F22131">
              <w:rPr>
                <w:spacing w:val="-1"/>
                <w:lang w:val="sk-SK"/>
              </w:rPr>
              <w:t>Časté</w:t>
            </w:r>
            <w:r w:rsidRPr="00F22131">
              <w:rPr>
                <w:lang w:val="sk-SK"/>
              </w:rPr>
              <w:t>:</w:t>
            </w:r>
            <w:r w:rsidRPr="00F22131">
              <w:rPr>
                <w:spacing w:val="-17"/>
                <w:lang w:val="sk-SK"/>
              </w:rPr>
              <w:t xml:space="preserve"> </w:t>
            </w:r>
            <w:r w:rsidRPr="00F22131">
              <w:rPr>
                <w:lang w:val="sk-SK"/>
              </w:rPr>
              <w:t>nutkanie na močenie</w:t>
            </w:r>
            <w:r w:rsidRPr="00F22131">
              <w:rPr>
                <w:spacing w:val="-15"/>
                <w:lang w:val="sk-SK"/>
              </w:rPr>
              <w:t xml:space="preserve"> </w:t>
            </w:r>
            <w:r w:rsidRPr="00F22131">
              <w:rPr>
                <w:spacing w:val="-1"/>
                <w:lang w:val="sk-SK"/>
              </w:rPr>
              <w:t>(</w:t>
            </w:r>
            <w:r w:rsidRPr="00F22131">
              <w:rPr>
                <w:lang w:val="sk-SK"/>
              </w:rPr>
              <w:t>1</w:t>
            </w:r>
            <w:r w:rsidRPr="00F22131">
              <w:rPr>
                <w:spacing w:val="-1"/>
                <w:lang w:val="sk-SK"/>
              </w:rPr>
              <w:t>,</w:t>
            </w:r>
            <w:r w:rsidRPr="00F22131">
              <w:rPr>
                <w:lang w:val="sk-SK"/>
              </w:rPr>
              <w:t>3%</w:t>
            </w:r>
            <w:r w:rsidRPr="00F22131">
              <w:rPr>
                <w:spacing w:val="-16"/>
                <w:lang w:val="sk-SK"/>
              </w:rPr>
              <w:t xml:space="preserve"> </w:t>
            </w:r>
            <w:r w:rsidRPr="00F22131">
              <w:rPr>
                <w:lang w:val="sk-SK"/>
              </w:rPr>
              <w:t>oproti</w:t>
            </w:r>
            <w:r w:rsidRPr="00F22131">
              <w:rPr>
                <w:spacing w:val="-15"/>
                <w:lang w:val="sk-SK"/>
              </w:rPr>
              <w:t xml:space="preserve"> </w:t>
            </w:r>
            <w:r w:rsidRPr="00F22131">
              <w:rPr>
                <w:spacing w:val="-1"/>
                <w:lang w:val="sk-SK"/>
              </w:rPr>
              <w:t>0,7</w:t>
            </w:r>
            <w:r w:rsidRPr="00F22131">
              <w:rPr>
                <w:spacing w:val="-2"/>
                <w:lang w:val="sk-SK"/>
              </w:rPr>
              <w:t>%</w:t>
            </w:r>
            <w:r w:rsidRPr="00F22131">
              <w:rPr>
                <w:spacing w:val="-1"/>
                <w:lang w:val="sk-SK"/>
              </w:rPr>
              <w:t>)</w:t>
            </w:r>
          </w:p>
          <w:p w:rsidR="003867C0" w:rsidRPr="00AE2AC2" w:rsidRDefault="003867C0" w:rsidP="004373D3">
            <w:pPr>
              <w:pStyle w:val="TableParagraph"/>
              <w:kinsoku w:val="0"/>
              <w:overflowPunct w:val="0"/>
              <w:spacing w:line="248" w:lineRule="exact"/>
              <w:ind w:left="101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3867C0" w:rsidRPr="00AE2AC2" w:rsidTr="002F72D4">
        <w:trPr>
          <w:trHeight w:hRule="exact" w:val="560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AA5927">
            <w:pPr>
              <w:pStyle w:val="Nadpis1"/>
              <w:kinsoku w:val="0"/>
              <w:overflowPunct w:val="0"/>
              <w:spacing w:before="8"/>
              <w:ind w:left="0" w:firstLine="0"/>
              <w:rPr>
                <w:b w:val="0"/>
                <w:bCs w:val="0"/>
                <w:lang w:val="sk-SK"/>
              </w:rPr>
            </w:pPr>
            <w:r>
              <w:rPr>
                <w:lang w:val="sk-SK"/>
              </w:rPr>
              <w:t>Celkové poruchy a reakcie v mieste podania</w:t>
            </w:r>
          </w:p>
          <w:p w:rsidR="003867C0" w:rsidRPr="00AE2AC2" w:rsidRDefault="00277A74" w:rsidP="003867C0">
            <w:pPr>
              <w:kinsoku w:val="0"/>
              <w:overflowPunct w:val="0"/>
              <w:spacing w:line="25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u w:val="single"/>
              </w:rPr>
              <w:t>Časté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spacing w:val="-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horúčka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(2,7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oproti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1"/>
              </w:rPr>
              <w:t>,3</w:t>
            </w:r>
            <w:r>
              <w:rPr>
                <w:rFonts w:ascii="Times New Roman" w:hAnsi="Times New Roman" w:cs="Times New Roman"/>
                <w:spacing w:val="-2"/>
              </w:rPr>
              <w:t>%)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celkový pocit choroby (</w:t>
            </w:r>
            <w:r>
              <w:rPr>
                <w:rFonts w:ascii="Times New Roman" w:hAnsi="Times New Roman" w:cs="Times New Roman"/>
                <w:i/>
                <w:iCs/>
                <w:spacing w:val="1"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%</w:t>
            </w:r>
            <w:r>
              <w:rPr>
                <w:rFonts w:ascii="Times New Roman" w:hAnsi="Times New Roman" w:cs="Times New Roman"/>
                <w:i/>
                <w:iCs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oproti</w:t>
            </w:r>
            <w:r>
              <w:rPr>
                <w:rFonts w:ascii="Times New Roman" w:hAnsi="Times New Roman" w:cs="Times New Roman"/>
                <w:i/>
                <w:iCs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%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3867C0" w:rsidRPr="00AE2AC2" w:rsidRDefault="003867C0" w:rsidP="003867C0">
            <w:pPr>
              <w:pStyle w:val="Zkladntext"/>
              <w:kinsoku w:val="0"/>
              <w:overflowPunct w:val="0"/>
              <w:spacing w:before="63"/>
              <w:ind w:left="225"/>
              <w:rPr>
                <w:spacing w:val="-1"/>
                <w:lang w:val="sk-SK"/>
              </w:rPr>
            </w:pPr>
          </w:p>
        </w:tc>
      </w:tr>
    </w:tbl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Adjuvantná terapia</w:t>
      </w:r>
    </w:p>
    <w:p w:rsidR="00853BAC" w:rsidRPr="00AE2AC2" w:rsidRDefault="00853BAC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853BAC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Nižšie uvedený zoznam obsahuje nežiaduce reakcie, ktorých výskyt bol zaznamenaný vo vyššej miere v placebom kontrolovaných štúdiách u pacientov, ktorým bol podávaný 1 mg </w:t>
      </w:r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u denne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>(</w:t>
      </w:r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ová skupina n=380, placebo skupina n=388). V zátvorkách je uvedený výskyt nežiaducich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 xml:space="preserve">reakcií (% pacientov) v poradí </w:t>
      </w:r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ová skupina oproti placebu. </w:t>
      </w:r>
    </w:p>
    <w:p w:rsidR="00853BAC" w:rsidRPr="00AE2AC2" w:rsidRDefault="00853BA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Nežiaduce reakcie s aspoň 2%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rozdielom oproti placebu sú vyznačené </w:t>
      </w:r>
      <w:r w:rsidRPr="00AE2AC2">
        <w:rPr>
          <w:rFonts w:ascii="Times New Roman" w:eastAsia="Times New Roman" w:hAnsi="Times New Roman" w:cs="Times New Roman"/>
          <w:i/>
        </w:rPr>
        <w:t>kurzívou.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107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Nežiaduce reakcie sú zoradené podľa frekvencie výskytu na základe konvencie: veľmi časté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1/10), časté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1/100, &lt;1/10), menej časté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1/1000, &lt;1/100), zriedkavé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1/10 000, &lt;1/1000), veľmi zriedkavé (&lt;1/10 000).</w:t>
      </w:r>
      <w:r w:rsidR="00A21072" w:rsidRPr="00AE2AC2">
        <w:rPr>
          <w:rFonts w:ascii="Times New Roman" w:eastAsia="Times New Roman" w:hAnsi="Times New Roman" w:cs="Times New Roman"/>
        </w:rPr>
        <w:t xml:space="preserve"> 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88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88"/>
      </w:tblGrid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853BAC" w:rsidP="00853BAC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AE2AC2">
              <w:rPr>
                <w:b/>
                <w:bCs/>
                <w:sz w:val="22"/>
                <w:szCs w:val="22"/>
                <w:u w:val="thick"/>
                <w:lang w:val="sk-SK"/>
              </w:rPr>
              <w:t>Benígne a malígne nádory, vrátane nešpecifikovaných novotvarov (cysty a polypy)</w:t>
            </w:r>
          </w:p>
          <w:p w:rsidR="00853BAC" w:rsidRPr="00AE2AC2" w:rsidRDefault="00853BAC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AE2AC2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AE2AC2">
              <w:rPr>
                <w:sz w:val="22"/>
                <w:szCs w:val="22"/>
                <w:lang w:val="sk-SK"/>
              </w:rPr>
              <w:t>:</w:t>
            </w:r>
            <w:r w:rsidRPr="00AE2AC2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534FD0" w:rsidRPr="00AE2AC2">
              <w:rPr>
                <w:sz w:val="22"/>
                <w:szCs w:val="22"/>
                <w:lang w:val="sk-SK"/>
              </w:rPr>
              <w:t>kožný melanóm</w:t>
            </w:r>
            <w:r w:rsidRPr="00AE2AC2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AE2AC2">
              <w:rPr>
                <w:spacing w:val="-1"/>
                <w:sz w:val="22"/>
                <w:szCs w:val="22"/>
                <w:lang w:val="sk-SK"/>
              </w:rPr>
              <w:t>(</w:t>
            </w:r>
            <w:r w:rsidRPr="00AE2AC2">
              <w:rPr>
                <w:sz w:val="22"/>
                <w:szCs w:val="22"/>
                <w:lang w:val="sk-SK"/>
              </w:rPr>
              <w:t>0</w:t>
            </w:r>
            <w:r w:rsidR="00277A74">
              <w:rPr>
                <w:spacing w:val="-1"/>
                <w:sz w:val="22"/>
                <w:szCs w:val="22"/>
                <w:lang w:val="sk-SK"/>
              </w:rPr>
              <w:t>,</w:t>
            </w:r>
            <w:r w:rsidR="00277A74">
              <w:rPr>
                <w:sz w:val="22"/>
                <w:szCs w:val="22"/>
                <w:lang w:val="sk-SK"/>
              </w:rPr>
              <w:t>5%</w:t>
            </w:r>
            <w:r w:rsidR="00277A74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277A74">
              <w:rPr>
                <w:sz w:val="22"/>
                <w:szCs w:val="22"/>
                <w:lang w:val="sk-SK"/>
              </w:rPr>
              <w:t>oproti</w:t>
            </w:r>
            <w:r w:rsidR="00277A74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="00277A74">
              <w:rPr>
                <w:spacing w:val="-1"/>
                <w:sz w:val="22"/>
                <w:szCs w:val="22"/>
                <w:lang w:val="sk-SK"/>
              </w:rPr>
              <w:t>0,3</w:t>
            </w:r>
            <w:r w:rsidR="00277A74">
              <w:rPr>
                <w:spacing w:val="-2"/>
                <w:sz w:val="22"/>
                <w:szCs w:val="22"/>
                <w:lang w:val="sk-SK"/>
              </w:rPr>
              <w:t>%</w:t>
            </w:r>
            <w:r w:rsidR="00277A74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F22131" w:rsidP="00853BAC">
            <w:pPr>
              <w:pStyle w:val="TableParagraph"/>
              <w:kinsoku w:val="0"/>
              <w:overflowPunct w:val="0"/>
              <w:spacing w:line="252" w:lineRule="exact"/>
              <w:rPr>
                <w:spacing w:val="-2"/>
                <w:sz w:val="22"/>
                <w:szCs w:val="22"/>
                <w:u w:val="single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single"/>
                <w:lang w:val="sk-SK"/>
              </w:rPr>
              <w:t>Poruchy metabolizmu a výživy</w:t>
            </w:r>
          </w:p>
          <w:p w:rsidR="00853BAC" w:rsidRPr="00AE2AC2" w:rsidRDefault="00F22131" w:rsidP="00534FD0">
            <w:pPr>
              <w:pStyle w:val="TableParagraph"/>
              <w:kinsoku w:val="0"/>
              <w:overflowPunct w:val="0"/>
              <w:spacing w:line="252" w:lineRule="exact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znížená chuť do jedla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(2,4%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0,8%)</w:t>
            </w:r>
          </w:p>
        </w:tc>
      </w:tr>
      <w:tr w:rsidR="00853BAC" w:rsidRPr="00AE2AC2" w:rsidTr="00853BAC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277A74" w:rsidP="00853BAC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 xml:space="preserve">Psychické </w:t>
            </w:r>
            <w:r>
              <w:rPr>
                <w:b/>
                <w:bCs/>
                <w:spacing w:val="-42"/>
                <w:sz w:val="22"/>
                <w:szCs w:val="22"/>
                <w:u w:val="thick"/>
                <w:lang w:val="sk-SK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  <w:u w:val="thick"/>
                <w:lang w:val="sk-SK"/>
              </w:rPr>
              <w:t>poruchy</w:t>
            </w:r>
          </w:p>
          <w:p w:rsidR="00853BAC" w:rsidRPr="00AE2AC2" w:rsidRDefault="00277A74" w:rsidP="00853BAC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h</w:t>
            </w:r>
            <w:r>
              <w:rPr>
                <w:spacing w:val="-1"/>
                <w:sz w:val="22"/>
                <w:szCs w:val="22"/>
                <w:lang w:val="sk-SK"/>
              </w:rPr>
              <w:t>a</w:t>
            </w:r>
            <w:r>
              <w:rPr>
                <w:spacing w:val="1"/>
                <w:sz w:val="22"/>
                <w:szCs w:val="22"/>
                <w:lang w:val="sk-SK"/>
              </w:rPr>
              <w:t>l</w:t>
            </w:r>
            <w:r>
              <w:rPr>
                <w:sz w:val="22"/>
                <w:szCs w:val="22"/>
                <w:lang w:val="sk-SK"/>
              </w:rPr>
              <w:t>u</w:t>
            </w:r>
            <w:r>
              <w:rPr>
                <w:spacing w:val="-1"/>
                <w:sz w:val="22"/>
                <w:szCs w:val="22"/>
                <w:lang w:val="sk-SK"/>
              </w:rPr>
              <w:t>ci</w:t>
            </w:r>
            <w:r>
              <w:rPr>
                <w:sz w:val="22"/>
                <w:szCs w:val="22"/>
                <w:lang w:val="sk-SK"/>
              </w:rPr>
              <w:t>n</w:t>
            </w:r>
            <w:r>
              <w:rPr>
                <w:spacing w:val="-1"/>
                <w:sz w:val="22"/>
                <w:szCs w:val="22"/>
                <w:lang w:val="sk-SK"/>
              </w:rPr>
              <w:t>ácie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(2,9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2,1</w:t>
            </w:r>
            <w:r>
              <w:rPr>
                <w:spacing w:val="-5"/>
                <w:sz w:val="22"/>
                <w:szCs w:val="22"/>
                <w:lang w:val="sk-SK"/>
              </w:rPr>
              <w:t>%</w:t>
            </w:r>
            <w:r>
              <w:rPr>
                <w:spacing w:val="-1"/>
                <w:sz w:val="22"/>
                <w:szCs w:val="22"/>
                <w:lang w:val="sk-SK"/>
              </w:rPr>
              <w:t>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abnormá</w:t>
            </w:r>
            <w:r>
              <w:rPr>
                <w:sz w:val="22"/>
                <w:szCs w:val="22"/>
                <w:lang w:val="sk-SK"/>
              </w:rPr>
              <w:t>lne sny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2</w:t>
            </w:r>
            <w:r>
              <w:rPr>
                <w:spacing w:val="-1"/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1%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0,8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  <w:p w:rsidR="00853BAC" w:rsidRPr="00AE2AC2" w:rsidRDefault="00F22131" w:rsidP="00853BAC">
            <w:pPr>
              <w:pStyle w:val="TableParagraph"/>
              <w:kinsoku w:val="0"/>
              <w:overflowPunct w:val="0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zmätenosť</w:t>
            </w:r>
            <w:r w:rsidRPr="00F22131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(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</w:t>
            </w:r>
            <w:r w:rsidRPr="00F22131">
              <w:rPr>
                <w:spacing w:val="-3"/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8</w:t>
            </w:r>
            <w:r w:rsidRPr="00F22131">
              <w:rPr>
                <w:sz w:val="22"/>
                <w:szCs w:val="22"/>
                <w:lang w:val="sk-SK"/>
              </w:rPr>
              <w:t>%</w:t>
            </w:r>
            <w:r w:rsidRPr="00F22131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</w:t>
            </w:r>
            <w:r w:rsidRPr="00F22131">
              <w:rPr>
                <w:sz w:val="22"/>
                <w:szCs w:val="22"/>
                <w:lang w:val="sk-SK"/>
              </w:rPr>
              <w:t>5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127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nervového systému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Veľmi časté</w:t>
            </w:r>
            <w:r>
              <w:rPr>
                <w:i/>
                <w:iCs/>
                <w:sz w:val="22"/>
                <w:szCs w:val="22"/>
                <w:lang w:val="sk-SK"/>
              </w:rPr>
              <w:t>:</w:t>
            </w:r>
            <w:r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dyskinézia</w:t>
            </w:r>
            <w:r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(10,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6,2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d</w:t>
            </w:r>
            <w:r>
              <w:rPr>
                <w:spacing w:val="1"/>
                <w:sz w:val="22"/>
                <w:szCs w:val="22"/>
                <w:lang w:val="sk-SK"/>
              </w:rPr>
              <w:t>y</w:t>
            </w:r>
            <w:r>
              <w:rPr>
                <w:spacing w:val="-2"/>
                <w:sz w:val="22"/>
                <w:szCs w:val="22"/>
                <w:lang w:val="sk-SK"/>
              </w:rPr>
              <w:t>s</w:t>
            </w:r>
            <w:r>
              <w:rPr>
                <w:sz w:val="22"/>
                <w:szCs w:val="22"/>
                <w:lang w:val="sk-SK"/>
              </w:rPr>
              <w:t>tónia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(2,4%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0,8</w:t>
            </w:r>
            <w:r>
              <w:rPr>
                <w:spacing w:val="-2"/>
                <w:sz w:val="22"/>
                <w:szCs w:val="22"/>
                <w:lang w:val="sk-SK"/>
              </w:rPr>
              <w:t>%)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syndróm karpálneho tunela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(1,3%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1"/>
                <w:sz w:val="22"/>
                <w:szCs w:val="22"/>
                <w:lang w:val="sk-SK"/>
              </w:rPr>
              <w:t>oproti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porucha rovnováhy  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(1,6%</w:t>
            </w:r>
            <w:r w:rsidR="00F22131"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oproti</w:t>
            </w:r>
            <w:r w:rsidR="00F22131"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0,3%)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cerebrovaskulárna príhoda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(0,5%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0,3%)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srdca a srdcovej činnosti</w:t>
            </w:r>
          </w:p>
          <w:p w:rsidR="00853BAC" w:rsidRPr="00AE2AC2" w:rsidRDefault="00277A74" w:rsidP="00852E0C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angína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pectoris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(0,5%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pacing w:val="-1"/>
                <w:sz w:val="22"/>
                <w:szCs w:val="22"/>
                <w:u w:val="thick"/>
                <w:lang w:val="sk-SK"/>
              </w:rPr>
              <w:t>Poruchy ciev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ortostatická hypotenzia</w:t>
            </w:r>
            <w:r w:rsidRPr="00F22131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(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3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9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8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>Poruchy gastrointestinálneho traktu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bolesť brucha</w:t>
            </w:r>
            <w:r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</w:t>
            </w:r>
            <w:r>
              <w:rPr>
                <w:i/>
                <w:iCs/>
                <w:sz w:val="22"/>
                <w:szCs w:val="22"/>
                <w:lang w:val="sk-SK"/>
              </w:rPr>
              <w:t>4,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2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1,3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spacing w:val="-1"/>
                <w:sz w:val="22"/>
                <w:szCs w:val="22"/>
                <w:lang w:val="sk-SK"/>
              </w:rPr>
              <w:t>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zápcha</w:t>
            </w:r>
            <w:r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(4,2%</w:t>
            </w:r>
            <w:r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2,</w:t>
            </w:r>
            <w:r>
              <w:rPr>
                <w:i/>
                <w:iCs/>
                <w:sz w:val="22"/>
                <w:szCs w:val="22"/>
                <w:lang w:val="sk-SK"/>
              </w:rPr>
              <w:t>1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2"/>
                <w:sz w:val="22"/>
                <w:szCs w:val="22"/>
                <w:lang w:val="sk-SK"/>
              </w:rPr>
              <w:t>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nauzea</w:t>
            </w:r>
            <w:r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a</w:t>
            </w:r>
            <w:r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vracanie</w:t>
            </w:r>
          </w:p>
          <w:p w:rsidR="00853BAC" w:rsidRPr="00AE2AC2" w:rsidRDefault="00277A74" w:rsidP="00852E0C">
            <w:pPr>
              <w:pStyle w:val="TableParagraph"/>
              <w:kinsoku w:val="0"/>
              <w:overflowPunct w:val="0"/>
              <w:ind w:left="105"/>
              <w:rPr>
                <w:lang w:val="sk-SK"/>
              </w:rPr>
            </w:pPr>
            <w:r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(8,</w:t>
            </w:r>
            <w:r w:rsidR="00F22131"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="00F22131"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="00F22131" w:rsidRPr="00F22131">
              <w:rPr>
                <w:i/>
                <w:iCs/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6</w:t>
            </w:r>
            <w:r w:rsidR="00F22131"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2</w:t>
            </w:r>
            <w:r w:rsidR="00F22131"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  <w:r w:rsidR="00F22131" w:rsidRPr="00F22131">
              <w:rPr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sucho v ústach</w:t>
            </w:r>
            <w:r w:rsidR="00F22131"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(</w:t>
            </w:r>
            <w:r w:rsidR="00F22131" w:rsidRPr="00F22131">
              <w:rPr>
                <w:sz w:val="22"/>
                <w:szCs w:val="22"/>
                <w:lang w:val="sk-SK"/>
              </w:rPr>
              <w:t>3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sz w:val="22"/>
                <w:szCs w:val="22"/>
                <w:lang w:val="sk-SK"/>
              </w:rPr>
              <w:t>4%</w:t>
            </w:r>
            <w:r w:rsidR="00F22131"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oproti</w:t>
            </w:r>
            <w:r w:rsidR="00F22131"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1</w:t>
            </w:r>
            <w:r w:rsidR="00F22131" w:rsidRPr="00F22131">
              <w:rPr>
                <w:spacing w:val="-3"/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8</w:t>
            </w:r>
            <w:r w:rsidR="00F22131"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="00F22131"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Poruchy kože a podkožného tkaniva</w:t>
            </w:r>
          </w:p>
          <w:p w:rsidR="00853BAC" w:rsidRPr="00AE2AC2" w:rsidRDefault="00277A74" w:rsidP="00852E0C">
            <w:pPr>
              <w:pStyle w:val="TableParagraph"/>
              <w:kinsoku w:val="0"/>
              <w:overflowPunct w:val="0"/>
              <w:spacing w:line="252" w:lineRule="exact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vyrážka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1</w:t>
            </w:r>
            <w:r>
              <w:rPr>
                <w:spacing w:val="-1"/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1%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3"/>
                <w:sz w:val="22"/>
                <w:szCs w:val="22"/>
                <w:lang w:val="sk-SK"/>
              </w:rPr>
              <w:t>,</w:t>
            </w:r>
            <w:r>
              <w:rPr>
                <w:spacing w:val="-1"/>
                <w:sz w:val="22"/>
                <w:szCs w:val="22"/>
                <w:lang w:val="sk-SK"/>
              </w:rPr>
              <w:t>3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F22131" w:rsidP="00534FD0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kostrovej a svalovej sústavy a spojivového tkaniva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ar</w:t>
            </w:r>
            <w:r w:rsidRPr="00F22131">
              <w:rPr>
                <w:spacing w:val="1"/>
                <w:sz w:val="22"/>
                <w:szCs w:val="22"/>
                <w:lang w:val="sk-SK"/>
              </w:rPr>
              <w:t>t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ral</w:t>
            </w:r>
            <w:r w:rsidRPr="00F22131">
              <w:rPr>
                <w:sz w:val="22"/>
                <w:szCs w:val="22"/>
                <w:lang w:val="sk-SK"/>
              </w:rPr>
              <w:t>g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i</w:t>
            </w:r>
            <w:r w:rsidRPr="00F22131">
              <w:rPr>
                <w:sz w:val="22"/>
                <w:szCs w:val="22"/>
                <w:lang w:val="sk-SK"/>
              </w:rPr>
              <w:t>a</w:t>
            </w:r>
            <w:r w:rsidRPr="00F22131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(</w:t>
            </w:r>
            <w:r w:rsidRPr="00F22131">
              <w:rPr>
                <w:sz w:val="22"/>
                <w:szCs w:val="22"/>
                <w:lang w:val="sk-SK"/>
              </w:rPr>
              <w:t>2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sz w:val="22"/>
                <w:szCs w:val="22"/>
                <w:lang w:val="sk-SK"/>
              </w:rPr>
              <w:t>4%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2,1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)</w:t>
            </w:r>
            <w:r w:rsidRPr="00F22131">
              <w:rPr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bolesť krku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(</w:t>
            </w:r>
            <w:r w:rsidRPr="00F22131">
              <w:rPr>
                <w:sz w:val="22"/>
                <w:szCs w:val="22"/>
                <w:lang w:val="sk-SK"/>
              </w:rPr>
              <w:t>1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sz w:val="22"/>
                <w:szCs w:val="22"/>
                <w:lang w:val="sk-SK"/>
              </w:rPr>
              <w:t>3%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0,5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F22131" w:rsidP="00534FD0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Laboratórne a funkčné vyšetrenia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zníženie telesnej hmotnosti</w:t>
            </w:r>
            <w:r w:rsidRPr="00F22131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1,5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Úrazy, otravy a komplikácie liečebného postupu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pád (4,7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3,</w:t>
            </w:r>
            <w:r>
              <w:rPr>
                <w:spacing w:val="-2"/>
                <w:sz w:val="22"/>
                <w:szCs w:val="22"/>
                <w:lang w:val="sk-SK"/>
              </w:rPr>
              <w:t>4%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</w:tbl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10BD" w:rsidRPr="00AE2AC2" w:rsidRDefault="00277A74" w:rsidP="000D10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Parkinsonova choroba je sprevádzaná halucináciami a zmätenosťou. </w:t>
      </w:r>
      <w:r w:rsidR="00DB071C" w:rsidRPr="00DB071C">
        <w:rPr>
          <w:rFonts w:ascii="Times New Roman" w:eastAsia="Times New Roman" w:hAnsi="Times New Roman" w:cs="Times New Roman"/>
        </w:rPr>
        <w:t>Po uvedení razagilínu na trh</w:t>
      </w:r>
      <w:r w:rsidR="000D10BD" w:rsidRPr="00AE2AC2">
        <w:rPr>
          <w:rFonts w:ascii="Times New Roman" w:eastAsia="Times New Roman" w:hAnsi="Times New Roman" w:cs="Times New Roman"/>
        </w:rPr>
        <w:t xml:space="preserve"> boli tieto príznaky pozorované aj u pacientov s Parkinsonovou chorobou, ktorí boli liečení </w:t>
      </w:r>
      <w:r w:rsidR="00AE2AC2">
        <w:rPr>
          <w:rFonts w:ascii="Times New Roman" w:eastAsia="Times New Roman" w:hAnsi="Times New Roman" w:cs="Times New Roman"/>
        </w:rPr>
        <w:t>razagilín</w:t>
      </w:r>
      <w:r w:rsidR="000D10BD" w:rsidRPr="00AE2AC2">
        <w:rPr>
          <w:rFonts w:ascii="Times New Roman" w:eastAsia="Times New Roman" w:hAnsi="Times New Roman" w:cs="Times New Roman"/>
        </w:rPr>
        <w:t>om.</w:t>
      </w:r>
    </w:p>
    <w:p w:rsidR="000D10BD" w:rsidRPr="00AE2AC2" w:rsidRDefault="000D10B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2F29" w:rsidRPr="00AE2AC2" w:rsidRDefault="00434E9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Je známy výskyt závažných nežiaducich účinkov pri súčasnom používaní SSRI, SNRI, tricyklických, tetracyklických antidepresív a inhibítorov MAO. </w:t>
      </w:r>
      <w:r w:rsidR="00DB071C" w:rsidRPr="00DB071C">
        <w:rPr>
          <w:rFonts w:ascii="Times New Roman" w:eastAsia="Times New Roman" w:hAnsi="Times New Roman" w:cs="Times New Roman"/>
        </w:rPr>
        <w:t>Po uvedení razagilínu na trh</w:t>
      </w:r>
      <w:r w:rsidRPr="00AE2AC2">
        <w:rPr>
          <w:rFonts w:ascii="Times New Roman" w:eastAsia="Times New Roman" w:hAnsi="Times New Roman" w:cs="Times New Roman"/>
        </w:rPr>
        <w:t xml:space="preserve"> boli zaznamenané prípady serotonínového syndrómu </w:t>
      </w:r>
      <w:r w:rsidR="00DB071C">
        <w:rPr>
          <w:rFonts w:ascii="Times New Roman" w:eastAsia="Times New Roman" w:hAnsi="Times New Roman" w:cs="Times New Roman"/>
        </w:rPr>
        <w:t> ktorý sa prejavuje</w:t>
      </w:r>
      <w:r w:rsidRPr="00AE2AC2">
        <w:rPr>
          <w:rFonts w:ascii="Times New Roman" w:eastAsia="Times New Roman" w:hAnsi="Times New Roman" w:cs="Times New Roman"/>
        </w:rPr>
        <w:t xml:space="preserve"> agitáciou, zmätenosťou, rigiditou, horúčkou a kŕčovými zášklbmi svalov (myoklonom) u pacientov liečených antidepresívami/SNRI súčasne s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om.</w:t>
      </w:r>
    </w:p>
    <w:p w:rsidR="00662F29" w:rsidRPr="00AE2AC2" w:rsidRDefault="00662F2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850" w:rsidRPr="00AE2AC2" w:rsidRDefault="00434E9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 klinických štúdiach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nebolo povolené súčasné používanie</w:t>
      </w:r>
      <w:r w:rsidR="00730850" w:rsidRPr="00AE2AC2">
        <w:rPr>
          <w:rFonts w:ascii="Times New Roman" w:eastAsia="Times New Roman" w:hAnsi="Times New Roman" w:cs="Times New Roman"/>
        </w:rPr>
        <w:t xml:space="preserve"> fluoxetínu alebo fluvoxamínu s</w:t>
      </w:r>
      <w:r w:rsidR="002C7479" w:rsidRPr="00AE2AC2">
        <w:rPr>
          <w:rFonts w:ascii="Times New Roman" w:eastAsia="Times New Roman" w:hAnsi="Times New Roman" w:cs="Times New Roman"/>
        </w:rPr>
        <w:t xml:space="preserve"> </w:t>
      </w:r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 xml:space="preserve">om, avšak bolo povolené súčasné použitie </w:t>
      </w:r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>u s nasledujúcimi antidepresívami v uvedených dávkach: amitriptylín ≤ 50 mg/denne, trazodón ≤ 100 mg/denne, citalopram ≤ 20</w:t>
      </w:r>
      <w:r w:rsidR="002C7479" w:rsidRPr="00AE2AC2">
        <w:rPr>
          <w:rFonts w:ascii="Times New Roman" w:eastAsia="Times New Roman" w:hAnsi="Times New Roman" w:cs="Times New Roman"/>
        </w:rPr>
        <w:t xml:space="preserve"> mg/denne, sertralí</w:t>
      </w:r>
      <w:r w:rsidR="00730850" w:rsidRPr="00AE2AC2">
        <w:rPr>
          <w:rFonts w:ascii="Times New Roman" w:eastAsia="Times New Roman" w:hAnsi="Times New Roman" w:cs="Times New Roman"/>
        </w:rPr>
        <w:t>n ≤ 100 mg/denne a p</w:t>
      </w:r>
      <w:r w:rsidR="002C7479" w:rsidRPr="00AE2AC2">
        <w:rPr>
          <w:rFonts w:ascii="Times New Roman" w:eastAsia="Times New Roman" w:hAnsi="Times New Roman" w:cs="Times New Roman"/>
        </w:rPr>
        <w:t>aroxetí</w:t>
      </w:r>
      <w:r w:rsidR="00730850" w:rsidRPr="00AE2AC2">
        <w:rPr>
          <w:rFonts w:ascii="Times New Roman" w:eastAsia="Times New Roman" w:hAnsi="Times New Roman" w:cs="Times New Roman"/>
        </w:rPr>
        <w:t>n ≤ 30 mg/denne.</w:t>
      </w:r>
      <w:r w:rsidR="002C7479" w:rsidRPr="00AE2AC2">
        <w:rPr>
          <w:rFonts w:ascii="Times New Roman" w:eastAsia="Times New Roman" w:hAnsi="Times New Roman" w:cs="Times New Roman"/>
        </w:rPr>
        <w:t xml:space="preserve"> </w:t>
      </w:r>
      <w:r w:rsidR="00730850" w:rsidRPr="00AE2AC2">
        <w:rPr>
          <w:rFonts w:ascii="Times New Roman" w:eastAsia="Times New Roman" w:hAnsi="Times New Roman" w:cs="Times New Roman"/>
        </w:rPr>
        <w:t xml:space="preserve">Neboli zaznamenané žiadne prípady serotonínového syndrómu v </w:t>
      </w:r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 xml:space="preserve">ovom klinickom programe, v ktorom 115 pacientov súčasne užívalo </w:t>
      </w:r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 xml:space="preserve"> a tricyklické antidepresíva a 141 pacientov užívalo </w:t>
      </w:r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 xml:space="preserve"> a SSRI/SNRI.</w:t>
      </w:r>
    </w:p>
    <w:p w:rsidR="00730850" w:rsidRPr="00AE2AC2" w:rsidRDefault="007308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850" w:rsidRPr="00AE2AC2" w:rsidRDefault="00DB071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B071C">
        <w:rPr>
          <w:rFonts w:ascii="Times New Roman" w:eastAsia="Times New Roman" w:hAnsi="Times New Roman" w:cs="Times New Roman"/>
        </w:rPr>
        <w:t>Po uvedení razagilínu na trh</w:t>
      </w:r>
      <w:r w:rsidR="00730850" w:rsidRPr="00AE2AC2">
        <w:rPr>
          <w:rFonts w:ascii="Times New Roman" w:eastAsia="Times New Roman" w:hAnsi="Times New Roman" w:cs="Times New Roman"/>
        </w:rPr>
        <w:t xml:space="preserve"> boli u pacientov užívajúcich </w:t>
      </w:r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 xml:space="preserve"> hlásené prípady zvýšeného krvného tlaku, vrátane zriedkavých prípadov hypertenznej krízy spojenej s</w:t>
      </w:r>
      <w:r w:rsidR="00F84DB8" w:rsidRPr="00AE2AC2">
        <w:rPr>
          <w:rFonts w:ascii="Times New Roman" w:eastAsia="Times New Roman" w:hAnsi="Times New Roman" w:cs="Times New Roman"/>
        </w:rPr>
        <w:t xml:space="preserve"> </w:t>
      </w:r>
      <w:r w:rsidR="00730850" w:rsidRPr="00AE2AC2">
        <w:rPr>
          <w:rFonts w:ascii="Times New Roman" w:eastAsia="Times New Roman" w:hAnsi="Times New Roman" w:cs="Times New Roman"/>
        </w:rPr>
        <w:t>užitím neznámeho množstva na tyramín bohatých potravín.</w:t>
      </w:r>
    </w:p>
    <w:p w:rsidR="00730850" w:rsidRPr="00AE2AC2" w:rsidRDefault="007308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850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Boli zaznamenané liekové interakcie pri súčasnom podávaní inhibítorov MAO a sympatomimetík.</w:t>
      </w:r>
    </w:p>
    <w:p w:rsidR="00730850" w:rsidRPr="00AE2AC2" w:rsidRDefault="00DB071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B071C">
        <w:rPr>
          <w:rFonts w:ascii="Times New Roman" w:eastAsia="Times New Roman" w:hAnsi="Times New Roman" w:cs="Times New Roman"/>
        </w:rPr>
        <w:t>Po uvedení razagilínu na trh</w:t>
      </w:r>
      <w:r w:rsidR="00F84DB8" w:rsidRPr="00AE2AC2">
        <w:rPr>
          <w:rFonts w:ascii="Times New Roman" w:eastAsia="Times New Roman" w:hAnsi="Times New Roman" w:cs="Times New Roman"/>
        </w:rPr>
        <w:t xml:space="preserve"> bol hlásený jeden prípad zvýšeného krvného tlaku u pacienta užívajúceho </w:t>
      </w:r>
      <w:r w:rsidR="00361EEE" w:rsidRPr="00361EEE">
        <w:rPr>
          <w:rFonts w:ascii="Times New Roman" w:eastAsia="Times New Roman" w:hAnsi="Times New Roman" w:cs="Times New Roman"/>
        </w:rPr>
        <w:t>tetryzolíniumchlorid</w:t>
      </w:r>
      <w:r w:rsidR="00F84DB8" w:rsidRPr="00AE2AC2">
        <w:rPr>
          <w:rFonts w:ascii="Times New Roman" w:eastAsia="Times New Roman" w:hAnsi="Times New Roman" w:cs="Times New Roman"/>
        </w:rPr>
        <w:t xml:space="preserve"> na vazokonstrikciu očných ciev popri užívaní </w:t>
      </w:r>
      <w:r w:rsidR="00AE2AC2">
        <w:rPr>
          <w:rFonts w:ascii="Times New Roman" w:eastAsia="Times New Roman" w:hAnsi="Times New Roman" w:cs="Times New Roman"/>
        </w:rPr>
        <w:t>razagilín</w:t>
      </w:r>
      <w:r w:rsidR="00F84DB8" w:rsidRPr="00AE2AC2">
        <w:rPr>
          <w:rFonts w:ascii="Times New Roman" w:eastAsia="Times New Roman" w:hAnsi="Times New Roman" w:cs="Times New Roman"/>
        </w:rPr>
        <w:t>u.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Poruchy kontroly</w:t>
      </w:r>
      <w:r w:rsidR="00DB071C">
        <w:rPr>
          <w:rFonts w:ascii="Times New Roman" w:eastAsia="Times New Roman" w:hAnsi="Times New Roman" w:cs="Times New Roman"/>
        </w:rPr>
        <w:t xml:space="preserve"> impulzov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Patologické hráčstvo, zvýšené libido, hypersexualita, kompulzívne míňanie alebo nakupovanie, záchvatové prejedanie a</w:t>
      </w:r>
      <w:r w:rsidR="004A1B62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kompulzívne prejedanie sa môžu vyskytnúť u pacientov liečených dopamínovými agonistami a/alebo pri inej dopamínergnej liečbe. Poruchy kontroly impulzov podobného charakteru boli hlásené </w:t>
      </w:r>
      <w:r w:rsidR="00DB071C" w:rsidRPr="00DB071C">
        <w:rPr>
          <w:rFonts w:ascii="Times New Roman" w:eastAsia="Times New Roman" w:hAnsi="Times New Roman" w:cs="Times New Roman"/>
        </w:rPr>
        <w:t>po uvedení razagilínu na trh</w:t>
      </w:r>
      <w:r w:rsidRPr="00AE2AC2">
        <w:rPr>
          <w:rFonts w:ascii="Times New Roman" w:eastAsia="Times New Roman" w:hAnsi="Times New Roman" w:cs="Times New Roman"/>
        </w:rPr>
        <w:t>, ktoré taktiež zahŕňali nutkanie, obsesívne myšlienky a impulzívne správanie (pozri časť 4.4)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07DF" w:rsidRPr="00AE2AC2" w:rsidRDefault="009C07DF" w:rsidP="009C07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E2AC2">
        <w:rPr>
          <w:rFonts w:ascii="Times New Roman" w:hAnsi="Times New Roman" w:cs="Times New Roman"/>
          <w:u w:val="single"/>
        </w:rPr>
        <w:t>Hlásenie podozrení na nežiaduce reakcie</w:t>
      </w:r>
    </w:p>
    <w:p w:rsidR="009C07DF" w:rsidRPr="00AE2AC2" w:rsidRDefault="009C07DF" w:rsidP="009C07DF">
      <w:pPr>
        <w:spacing w:after="0" w:line="240" w:lineRule="auto"/>
        <w:rPr>
          <w:rFonts w:ascii="Times New Roman" w:hAnsi="Times New Roman" w:cs="Times New Roman"/>
        </w:rPr>
      </w:pPr>
      <w:r w:rsidRPr="00AE2AC2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AE2AC2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7" w:history="1">
        <w:r w:rsidRPr="00AE2AC2">
          <w:rPr>
            <w:rStyle w:val="Hypertextovprepojenie"/>
            <w:rFonts w:ascii="Times New Roman" w:hAnsi="Times New Roman" w:cs="Times New Roman"/>
          </w:rPr>
          <w:t>Prílohe V</w:t>
        </w:r>
      </w:hyperlink>
      <w:r w:rsidRPr="00AE2AC2">
        <w:rPr>
          <w:rFonts w:ascii="Times New Roman" w:hAnsi="Times New Roman" w:cs="Times New Roman"/>
        </w:rPr>
        <w:t>.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107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4.9 Predávkovanie</w:t>
      </w:r>
      <w:r w:rsidRPr="00AE2AC2">
        <w:rPr>
          <w:rFonts w:ascii="Times New Roman" w:eastAsia="Times New Roman" w:hAnsi="Times New Roman" w:cs="Times New Roman"/>
        </w:rPr>
        <w:t xml:space="preserve"> 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5EAB" w:rsidRPr="00AE2AC2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Predávkovanie: Hlásené symptómy z</w:t>
      </w:r>
      <w:r w:rsidR="00C47F7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predávkovania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 v</w:t>
      </w:r>
      <w:r w:rsidR="00C47F7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rozsahu dávok od 3 mg do 100 mg zahŕňajú dysfóriu, hypomániu, hypertenznú krízu a</w:t>
      </w:r>
      <w:r w:rsidR="00C47F7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serotonínový syndróm.</w:t>
      </w:r>
    </w:p>
    <w:p w:rsidR="00F95EAB" w:rsidRPr="00AE2AC2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404E" w:rsidRPr="00AE2AC2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Predávkovanie môže byť spojené s významnou inhibíciou MAO-A aj MAO-B. V štúdii bola po</w:t>
      </w:r>
      <w:r w:rsidR="00F009ED" w:rsidRPr="00AE2AC2">
        <w:rPr>
          <w:rFonts w:ascii="Times New Roman" w:eastAsia="Times New Roman" w:hAnsi="Times New Roman" w:cs="Times New Roman"/>
        </w:rPr>
        <w:t>daná zdravým dobrovoľníkom jedn</w:t>
      </w:r>
      <w:r w:rsidRPr="00AE2AC2">
        <w:rPr>
          <w:rFonts w:ascii="Times New Roman" w:eastAsia="Times New Roman" w:hAnsi="Times New Roman" w:cs="Times New Roman"/>
        </w:rPr>
        <w:t>orazová dávka 20 mg/deň a</w:t>
      </w:r>
      <w:r w:rsidR="00F009ED" w:rsidRPr="00AE2AC2">
        <w:rPr>
          <w:rFonts w:ascii="Times New Roman" w:eastAsia="Times New Roman" w:hAnsi="Times New Roman" w:cs="Times New Roman"/>
        </w:rPr>
        <w:t> </w:t>
      </w:r>
      <w:r w:rsidRPr="00AE2AC2">
        <w:rPr>
          <w:rFonts w:ascii="Times New Roman" w:eastAsia="Times New Roman" w:hAnsi="Times New Roman" w:cs="Times New Roman"/>
        </w:rPr>
        <w:t>v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10-dňovej štúdii bolo podané zdravým dobrovoľníkom 10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mg/deň. Nežiaduce účinky boli mierneho až stredne ťažkého stupňa a neboli dôsledkom liečby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om. V štúdii so zvyšovaním dávky u pacientov </w:t>
      </w:r>
      <w:r w:rsidR="00F009ED" w:rsidRPr="00AE2AC2">
        <w:rPr>
          <w:rFonts w:ascii="Times New Roman" w:eastAsia="Times New Roman" w:hAnsi="Times New Roman" w:cs="Times New Roman"/>
        </w:rPr>
        <w:t>dlhodobo</w:t>
      </w:r>
      <w:r w:rsidR="0038404E" w:rsidRPr="00AE2AC2">
        <w:rPr>
          <w:rFonts w:ascii="Times New Roman" w:eastAsia="Times New Roman" w:hAnsi="Times New Roman" w:cs="Times New Roman"/>
        </w:rPr>
        <w:t xml:space="preserve"> liečených levodopou, ktorým bol podávaný </w:t>
      </w:r>
      <w:r w:rsidR="00AE2AC2">
        <w:rPr>
          <w:rFonts w:ascii="Times New Roman" w:eastAsia="Times New Roman" w:hAnsi="Times New Roman" w:cs="Times New Roman"/>
        </w:rPr>
        <w:t>razagilín</w:t>
      </w:r>
      <w:r w:rsidR="0038404E" w:rsidRPr="00AE2AC2">
        <w:rPr>
          <w:rFonts w:ascii="Times New Roman" w:eastAsia="Times New Roman" w:hAnsi="Times New Roman" w:cs="Times New Roman"/>
        </w:rPr>
        <w:t xml:space="preserve"> v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="0038404E" w:rsidRPr="00AE2AC2">
        <w:rPr>
          <w:rFonts w:ascii="Times New Roman" w:eastAsia="Times New Roman" w:hAnsi="Times New Roman" w:cs="Times New Roman"/>
        </w:rPr>
        <w:t>dávke 1</w:t>
      </w:r>
      <w:r w:rsidR="00F009ED" w:rsidRPr="00AE2AC2">
        <w:rPr>
          <w:rFonts w:ascii="Times New Roman" w:eastAsia="Times New Roman" w:hAnsi="Times New Roman" w:cs="Times New Roman"/>
        </w:rPr>
        <w:t>0 mg/deň, boli zaznamenané ka</w:t>
      </w:r>
      <w:r w:rsidR="0038404E" w:rsidRPr="00AE2AC2">
        <w:rPr>
          <w:rFonts w:ascii="Times New Roman" w:eastAsia="Times New Roman" w:hAnsi="Times New Roman" w:cs="Times New Roman"/>
        </w:rPr>
        <w:t>rdiovaskulárne nežiaduce účinky (vrátane hypertenzie a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="0038404E" w:rsidRPr="00AE2AC2">
        <w:rPr>
          <w:rFonts w:ascii="Times New Roman" w:eastAsia="Times New Roman" w:hAnsi="Times New Roman" w:cs="Times New Roman"/>
        </w:rPr>
        <w:t xml:space="preserve">posturálnej </w:t>
      </w:r>
      <w:r w:rsidR="00F009ED" w:rsidRPr="00AE2AC2">
        <w:rPr>
          <w:rFonts w:ascii="Times New Roman" w:eastAsia="Times New Roman" w:hAnsi="Times New Roman" w:cs="Times New Roman"/>
        </w:rPr>
        <w:t>hypotanzie</w:t>
      </w:r>
      <w:r w:rsidR="0038404E" w:rsidRPr="00AE2AC2">
        <w:rPr>
          <w:rFonts w:ascii="Times New Roman" w:eastAsia="Times New Roman" w:hAnsi="Times New Roman" w:cs="Times New Roman"/>
        </w:rPr>
        <w:t>), čo vyústilo do prerušenia terapie.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="0038404E" w:rsidRPr="00AE2AC2">
        <w:rPr>
          <w:rFonts w:ascii="Times New Roman" w:eastAsia="Times New Roman" w:hAnsi="Times New Roman" w:cs="Times New Roman"/>
        </w:rPr>
        <w:t>Tieto symptómy sú podobné príznakom pozorovaným pri neselektívnych inhibítoroch MAO.</w:t>
      </w:r>
    </w:p>
    <w:p w:rsidR="0038404E" w:rsidRPr="00AE2AC2" w:rsidRDefault="0038404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Neexi</w:t>
      </w:r>
      <w:r w:rsidR="00DB071C">
        <w:rPr>
          <w:rFonts w:ascii="Times New Roman" w:eastAsia="Times New Roman" w:hAnsi="Times New Roman" w:cs="Times New Roman"/>
        </w:rPr>
        <w:t>s</w:t>
      </w:r>
      <w:r w:rsidRPr="00AE2AC2">
        <w:rPr>
          <w:rFonts w:ascii="Times New Roman" w:eastAsia="Times New Roman" w:hAnsi="Times New Roman" w:cs="Times New Roman"/>
        </w:rPr>
        <w:t>tuje žiadne špecifické antidotum. V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prípade predávkovania majú byť pacienti monitorovaní a má byť stanovená vhodná symptomatická a podporná terapia.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107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5. FARMAKOLOGICKÉ VLASTNOSTI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5.1 Farmakodynamické vlastnosti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Farmakoterapeutická skupina: Antiparkinsoniká, Inhibítory monoaminooxidázy typu B. 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ATC kód: N04BD02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Mechanizmus účinku:</w:t>
      </w: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01CF7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Dokázalo sa, že </w:t>
      </w:r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 je účinný ireverzibilný selektívny inhibítor MAO-B, ktorý môže spôsobiť zvýšenie extracelulárnych hladín dopamínu v striate. Zvýšená hladina dopamínu a následné zvýšenie dopaminergnej aktivity pravdepodobne sprostredkováva priaznivé účinky </w:t>
      </w:r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u, ako sa ukázalo na modeloch dopaminergných motorických dysfunkcií.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1-aminoindan je aktívny hlavný metabolit a nie je inhíbitorom MAO-B.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Klinické štúdie: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Účinnosť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bola stanovená v troch štúdiách: ako monoterapeutická liečba v štúdii I a ako adjuvantná terapia k levodope v štúdiách II a III.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Monoterapia:</w:t>
      </w:r>
    </w:p>
    <w:p w:rsidR="00F009E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 randomizovanej štúdii I bolo 404 pacientom podané placebo (138 pacientov),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denne (134 pacientov) alebo 2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denne (132 pacientov) a boli liečení počas 26 týždňov, bez aktívneho komparátora.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V tejto štúdii bola hlavným kritériom účinnosti zmena oproti východiskovým hodnotám v</w:t>
      </w:r>
      <w:r w:rsidR="00001CF7" w:rsidRPr="00AE2AC2">
        <w:rPr>
          <w:rFonts w:ascii="Times New Roman" w:eastAsia="Times New Roman" w:hAnsi="Times New Roman" w:cs="Times New Roman"/>
        </w:rPr>
        <w:t> </w:t>
      </w:r>
      <w:r w:rsidRPr="00AE2AC2">
        <w:rPr>
          <w:rFonts w:ascii="Times New Roman" w:eastAsia="Times New Roman" w:hAnsi="Times New Roman" w:cs="Times New Roman"/>
        </w:rPr>
        <w:t>celkovom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skóre Unifikovanej hodnotiacej škály Parkinsonovej choroby (Unified Parkinson’s Disease Rating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Scale, UPDRS, časti I-III). Rozdiel medzi priemernou zmenou medzi začiatkom a koncom terapie, t.j.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="00F009ED" w:rsidRPr="00AE2AC2">
        <w:rPr>
          <w:rFonts w:ascii="Times New Roman" w:eastAsia="Times New Roman" w:hAnsi="Times New Roman" w:cs="Times New Roman"/>
        </w:rPr>
        <w:t>26 týždňov</w:t>
      </w:r>
      <w:r w:rsidRPr="00AE2AC2">
        <w:rPr>
          <w:rFonts w:ascii="Times New Roman" w:eastAsia="Times New Roman" w:hAnsi="Times New Roman" w:cs="Times New Roman"/>
        </w:rPr>
        <w:t xml:space="preserve"> (metódou LOCF, Last Observation Carried Forward) bol štatisticky významný (UDPRS,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časti I-III: pre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1 mg v porovnaní s placebom -4,2; 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[-5,7; -2,7], p&lt;0,0001; pre </w:t>
      </w:r>
      <w:r w:rsidR="00AE2AC2">
        <w:rPr>
          <w:rFonts w:ascii="Times New Roman" w:eastAsia="Times New Roman" w:hAnsi="Times New Roman" w:cs="Times New Roman"/>
        </w:rPr>
        <w:t>razagilín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2 mg v porovnaní s placebom -3,6; 95% </w:t>
      </w:r>
      <w:r w:rsidR="00DB071C">
        <w:rPr>
          <w:rFonts w:ascii="Times New Roman" w:eastAsia="Times New Roman" w:hAnsi="Times New Roman" w:cs="Times New Roman"/>
        </w:rPr>
        <w:t>IS</w:t>
      </w:r>
      <w:r w:rsidRPr="00AE2AC2">
        <w:rPr>
          <w:rFonts w:ascii="Times New Roman" w:eastAsia="Times New Roman" w:hAnsi="Times New Roman" w:cs="Times New Roman"/>
        </w:rPr>
        <w:t xml:space="preserve">[-5,0; -2,1], p&lt;0,0001; UDPRS Motor, časť II: pre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1 mg v porovnaní s placebom –2,7; 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[-3,87; -1,55], p&lt;0,0001; pre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2 mg v porovnaní s placebom –1,68; 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[-2,85; -0,51], p=0,0050). Účinok bol zrejmý, aj keď jeho rozsah bol mierny v tejto populácii pacientov s miernym ochorením. Pri hodnotení škálou PD- QUALIF bol účinok na kvalitu života signifikantný a prínosný.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Adjuvantná terapia:</w:t>
      </w:r>
    </w:p>
    <w:p w:rsidR="00F3424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 randomizovanej štúdii II, bolo pacientom podané placebo (229 pacientov), alebo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denne (231 pacientov) alebo inhibítor katechol-O-metyltransferázy (COMT), entakapón 200 mg spolu so stanovenými dávkami levodopy (LD)/ inhibítora dekarboxylázy (227 pacientov) a boli liečení počas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18 týždňov. V randomizovanej štúdii III bolo pacientom podané placebo (159 pacientov), 0,5 mg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denne (164 pacientov) alebo 1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denne (149 pacientov) a boli liečení počas 26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týždňov.</w:t>
      </w:r>
      <w:r w:rsidR="00F3424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V oboch štúdiách bola hlavným kritériom účinnosti zmena priemerného počtu hodín strávených v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„OFF“ stave v priebehu dňa medzi začiatkom a ukončením terapie (stanovená z domácich „24- hodinových“ denníkov vedených 3 dni pred každou návštevou lekára).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F3424D" w:rsidRPr="00AE2AC2" w:rsidRDefault="00F3424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24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V štúdii II, priemerný rozdiel v počte hodín času „OFF“ v porovnaní s placebom bol -0,78 h,</w:t>
      </w:r>
      <w:r w:rsidR="00F3424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[-1,18; -0,39], p=0,0001. Celkový priemerný denný pokles času „OFF“ bol podobný v skupine, ktorej bol podávaný entakapón (-0,80 h, 95% </w:t>
      </w:r>
      <w:r w:rsidR="00DB071C">
        <w:rPr>
          <w:rFonts w:ascii="Times New Roman" w:eastAsia="Times New Roman" w:hAnsi="Times New Roman" w:cs="Times New Roman"/>
        </w:rPr>
        <w:t>SI</w:t>
      </w:r>
      <w:r w:rsidRPr="00AE2AC2">
        <w:rPr>
          <w:rFonts w:ascii="Times New Roman" w:eastAsia="Times New Roman" w:hAnsi="Times New Roman" w:cs="Times New Roman"/>
        </w:rPr>
        <w:t xml:space="preserve">[-1,20; -0,41], p&lt;0,0001) a v skupine, ktorej bol podávaný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v dávke 1 mg. V štúdii III, priemerný rozdiel v porovnaní s placebom bol -0,94 h, 95% </w:t>
      </w:r>
      <w:r w:rsidR="00DB071C">
        <w:rPr>
          <w:rFonts w:ascii="Times New Roman" w:eastAsia="Times New Roman" w:hAnsi="Times New Roman" w:cs="Times New Roman"/>
        </w:rPr>
        <w:t>SI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[-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1,36; -0,51], p&lt;0,0001. Štatisticky významné zlepšenie v porovnaní s placebom sa preukázalo aj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v skupine s dávkou 0,5 mg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u, hoci rozsah zlepšenia bol menší. Význam týchto výsledkov pre dosiahnutie primárneho konečného ukazovateľa účinnosti bol potvrdený skupinou dodatočných štatistických modelov a bol dokázaný v troch skupinových analýzach (Intention-to-treat (ITT), na protokol a na ukončené prípady).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lastRenderedPageBreak/>
        <w:t xml:space="preserve">Sekundárne kritériá účinnosti zahŕňali celkové zhodnotenie zlepšenia stavu vyšetrujúcim, škálou Denných Aktivít (Activities of Daily Living, ADL) v čase OFF a motorickou UPDRS v čase ON.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vykazoval štatisticky významný prínos v porovnaní s placebom.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5.2 Farmakokinetické vlastnosti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Absorpcia: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sa </w:t>
      </w:r>
      <w:r w:rsidR="00BA4E47" w:rsidRPr="00AE2AC2">
        <w:rPr>
          <w:rFonts w:ascii="Times New Roman" w:eastAsia="Times New Roman" w:hAnsi="Times New Roman" w:cs="Times New Roman"/>
        </w:rPr>
        <w:t>vs</w:t>
      </w:r>
      <w:r w:rsidRPr="00AE2AC2">
        <w:rPr>
          <w:rFonts w:ascii="Times New Roman" w:eastAsia="Times New Roman" w:hAnsi="Times New Roman" w:cs="Times New Roman"/>
        </w:rPr>
        <w:t>trebáva rýchlo a dosahuje maximálnu plazmatickú koncentráciu (Cmax) za približne 0,5 hodiny. Absolútna bio</w:t>
      </w:r>
      <w:r w:rsidR="00BA4E47" w:rsidRPr="00AE2AC2">
        <w:rPr>
          <w:rFonts w:ascii="Times New Roman" w:eastAsia="Times New Roman" w:hAnsi="Times New Roman" w:cs="Times New Roman"/>
        </w:rPr>
        <w:t xml:space="preserve">logická </w:t>
      </w:r>
      <w:r w:rsidRPr="00AE2AC2">
        <w:rPr>
          <w:rFonts w:ascii="Times New Roman" w:eastAsia="Times New Roman" w:hAnsi="Times New Roman" w:cs="Times New Roman"/>
        </w:rPr>
        <w:t xml:space="preserve">dostupnosť jednorazovej dávky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je </w:t>
      </w:r>
      <w:r w:rsidR="00DB071C">
        <w:rPr>
          <w:rFonts w:ascii="Times New Roman" w:eastAsia="Times New Roman" w:hAnsi="Times New Roman" w:cs="Times New Roman"/>
        </w:rPr>
        <w:t>približne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36%. Jedlo nemá vplyv na tmax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u, aj keď Cmax a expozícia (AUC) boli znížené o približne 60% a 20%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v tomto poradí, keď bol liek podaný s jedlom s vysokým obsahom tuku. Pretože AUC nie je výrazne ovplyvnené jedlom,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sa môže podávať s jedlom aj bez jedla.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Distribúcia: </w:t>
      </w:r>
      <w:r w:rsidRPr="00AE2AC2">
        <w:rPr>
          <w:rFonts w:ascii="Times New Roman" w:eastAsia="Times New Roman" w:hAnsi="Times New Roman" w:cs="Times New Roman"/>
        </w:rPr>
        <w:t xml:space="preserve">Priemerný objem distribúcie po podaní jednorazovej intravenóznej dávky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je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243 l. Väzba </w:t>
      </w:r>
      <w:r w:rsidR="00DB071C" w:rsidRPr="00DB071C">
        <w:rPr>
          <w:rFonts w:ascii="Times New Roman" w:eastAsia="Times New Roman" w:hAnsi="Times New Roman" w:cs="Times New Roman"/>
        </w:rPr>
        <w:t>na plazmatické proteíny</w:t>
      </w:r>
      <w:r w:rsidRPr="00AE2AC2">
        <w:rPr>
          <w:rFonts w:ascii="Times New Roman" w:eastAsia="Times New Roman" w:hAnsi="Times New Roman" w:cs="Times New Roman"/>
        </w:rPr>
        <w:t xml:space="preserve"> po podaní jednorazovej perorálnej dávky 14</w:t>
      </w:r>
      <w:r w:rsidRPr="00AE2AC2">
        <w:rPr>
          <w:rFonts w:ascii="Times New Roman" w:eastAsia="Times New Roman" w:hAnsi="Times New Roman" w:cs="Times New Roman"/>
          <w:vertAlign w:val="superscript"/>
        </w:rPr>
        <w:t>C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je približne 60 až 70%.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Metabolizmus: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sa pred vylúčením skoro úplne biotransformuje v pečeni.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sa metabolizuje dvoma hlavnými cestami: N-dealkyláciou a/alebo hydroxyláciou so vznikom: 1- aminoindanu, 3-hydroxy-N-propargyl-1 aminoindanu a 3-hydroxy-1-aminoindanu. </w:t>
      </w:r>
      <w:r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AE2AC2">
        <w:rPr>
          <w:rFonts w:ascii="Times New Roman" w:eastAsia="Times New Roman" w:hAnsi="Times New Roman" w:cs="Times New Roman"/>
        </w:rPr>
        <w:t xml:space="preserve">experimenty dokazujú, že obe metabolické cesty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závisia od systému cytochrómu P 450, pričom najdôležitejšiu úlohu v metabolizme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zohráva izoenzým CYP1A2. Konjugácia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a jeho metabolitov je takisto dôležitá cesta eliminácie so vznikom glukuronidov.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>Exkrécia:</w:t>
      </w:r>
      <w:r w:rsidR="00001CF7" w:rsidRPr="00AE2AC2">
        <w:rPr>
          <w:rFonts w:ascii="Times New Roman" w:eastAsia="Times New Roman" w:hAnsi="Times New Roman" w:cs="Times New Roman"/>
          <w:i/>
          <w:iCs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Perorálne podaný </w:t>
      </w:r>
      <w:r w:rsidRPr="00AE2AC2">
        <w:rPr>
          <w:rFonts w:ascii="Times New Roman" w:eastAsia="Times New Roman" w:hAnsi="Times New Roman" w:cs="Times New Roman"/>
          <w:vertAlign w:val="superscript"/>
        </w:rPr>
        <w:t>14</w:t>
      </w:r>
      <w:r w:rsidRPr="00AE2AC2">
        <w:rPr>
          <w:rFonts w:ascii="Times New Roman" w:eastAsia="Times New Roman" w:hAnsi="Times New Roman" w:cs="Times New Roman"/>
        </w:rPr>
        <w:t xml:space="preserve">C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sa eliminuje hlavne močom (62,6%), sekundárne stolicou (21,8%) a celková eliminácia predstavuje 84,4% dávky v priebehu 38 dní. Menej ako 1%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sa vylúči močom v nezmenenej forme.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Linearita/nelinearita: </w:t>
      </w:r>
      <w:r w:rsidRPr="00AE2AC2">
        <w:rPr>
          <w:rFonts w:ascii="Times New Roman" w:eastAsia="Times New Roman" w:hAnsi="Times New Roman" w:cs="Times New Roman"/>
        </w:rPr>
        <w:t xml:space="preserve">Farmakokinetika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 je lineárna v rozmedzí dávky 0,5-2 mg. Polčas rozpadu je 0,6-2 hodiny.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E2AC2">
        <w:rPr>
          <w:rFonts w:ascii="Times New Roman" w:eastAsia="Times New Roman" w:hAnsi="Times New Roman" w:cs="Times New Roman"/>
          <w:u w:val="single"/>
        </w:rPr>
        <w:t>Charakteristika podľa ochorení pacientov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Pacienti s </w:t>
      </w:r>
      <w:r w:rsidR="004373D3">
        <w:rPr>
          <w:rFonts w:ascii="Times New Roman" w:eastAsia="Times New Roman" w:hAnsi="Times New Roman" w:cs="Times New Roman"/>
        </w:rPr>
        <w:t>poruch</w:t>
      </w:r>
      <w:r w:rsidRPr="00AE2AC2">
        <w:rPr>
          <w:rFonts w:ascii="Times New Roman" w:eastAsia="Times New Roman" w:hAnsi="Times New Roman" w:cs="Times New Roman"/>
        </w:rPr>
        <w:t xml:space="preserve">ou </w:t>
      </w:r>
      <w:r w:rsidR="00AB0F0F" w:rsidRPr="00AE2AC2">
        <w:rPr>
          <w:rFonts w:ascii="Times New Roman" w:eastAsia="Times New Roman" w:hAnsi="Times New Roman" w:cs="Times New Roman"/>
        </w:rPr>
        <w:t>funkci</w:t>
      </w:r>
      <w:r w:rsidR="00AB0F0F">
        <w:rPr>
          <w:rFonts w:ascii="Times New Roman" w:eastAsia="Times New Roman" w:hAnsi="Times New Roman" w:cs="Times New Roman"/>
        </w:rPr>
        <w:t>e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pečene: u pacientov s </w:t>
      </w:r>
      <w:r w:rsidR="00AB0F0F" w:rsidRPr="00AE2AC2">
        <w:rPr>
          <w:rFonts w:ascii="Times New Roman" w:eastAsia="Times New Roman" w:hAnsi="Times New Roman" w:cs="Times New Roman"/>
        </w:rPr>
        <w:t>miern</w:t>
      </w:r>
      <w:r w:rsidR="00AB0F0F">
        <w:rPr>
          <w:rFonts w:ascii="Times New Roman" w:eastAsia="Times New Roman" w:hAnsi="Times New Roman" w:cs="Times New Roman"/>
        </w:rPr>
        <w:t>ou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pečene sa AUC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zvýšilo o 80% a Cmax o 38%. U pacientov so stredne ťažkým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pečene sa AUC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zvýšilo o 568% a Cmax o 83% (pozri časť 4.4).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Pacienti s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obličiek: farmakokinetické vlastnosti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u u pacientov s </w:t>
      </w:r>
      <w:r w:rsidR="00AB0F0F" w:rsidRPr="00AE2AC2">
        <w:rPr>
          <w:rFonts w:ascii="Times New Roman" w:eastAsia="Times New Roman" w:hAnsi="Times New Roman" w:cs="Times New Roman"/>
        </w:rPr>
        <w:t>miern</w:t>
      </w:r>
      <w:r w:rsidR="00AB0F0F">
        <w:rPr>
          <w:rFonts w:ascii="Times New Roman" w:eastAsia="Times New Roman" w:hAnsi="Times New Roman" w:cs="Times New Roman"/>
        </w:rPr>
        <w:t>ou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(CLcr 50-80 ml/min) a stredne </w:t>
      </w:r>
      <w:r w:rsidR="00AB0F0F" w:rsidRPr="00AE2AC2">
        <w:rPr>
          <w:rFonts w:ascii="Times New Roman" w:eastAsia="Times New Roman" w:hAnsi="Times New Roman" w:cs="Times New Roman"/>
        </w:rPr>
        <w:t>ťažk</w:t>
      </w:r>
      <w:r w:rsidR="00AB0F0F">
        <w:rPr>
          <w:rFonts w:ascii="Times New Roman" w:eastAsia="Times New Roman" w:hAnsi="Times New Roman" w:cs="Times New Roman"/>
        </w:rPr>
        <w:t>ou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(CLcr 30-49 ml/min)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obličiek boli podobné ako u zdravých osôb.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5.3 Predklinické údaje o bezpečnosti</w:t>
      </w:r>
      <w:r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Predklinické údaje </w:t>
      </w:r>
      <w:r w:rsidR="00AB0F0F" w:rsidRPr="00AB0F0F">
        <w:rPr>
          <w:rFonts w:ascii="Times New Roman" w:eastAsia="Times New Roman" w:hAnsi="Times New Roman" w:cs="Times New Roman"/>
        </w:rPr>
        <w:t xml:space="preserve">získané </w:t>
      </w:r>
      <w:r w:rsidR="00AB0F0F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na základe obvyklých </w:t>
      </w:r>
      <w:r w:rsidR="00AB0F0F" w:rsidRPr="00AB0F0F">
        <w:rPr>
          <w:rFonts w:ascii="Times New Roman" w:eastAsia="Times New Roman" w:hAnsi="Times New Roman" w:cs="Times New Roman"/>
        </w:rPr>
        <w:t xml:space="preserve">farmakologických </w:t>
      </w:r>
      <w:r w:rsidR="00AB0F0F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štúdií bezpečnosti, toxicity po opakovanom pod</w:t>
      </w:r>
      <w:r w:rsidR="00AB0F0F">
        <w:rPr>
          <w:rFonts w:ascii="Times New Roman" w:eastAsia="Times New Roman" w:hAnsi="Times New Roman" w:cs="Times New Roman"/>
        </w:rPr>
        <w:t>áv</w:t>
      </w:r>
      <w:r w:rsidRPr="00AE2AC2">
        <w:rPr>
          <w:rFonts w:ascii="Times New Roman" w:eastAsia="Times New Roman" w:hAnsi="Times New Roman" w:cs="Times New Roman"/>
        </w:rPr>
        <w:t>aní a reprodukčnej toxicity neodhalili žiadne osobitné riziko pre ľudí.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 nepreukazoval genotoxický potenciál </w:t>
      </w:r>
      <w:r w:rsidR="00A65150" w:rsidRPr="00AE2AC2">
        <w:rPr>
          <w:rFonts w:ascii="Times New Roman" w:eastAsia="Times New Roman" w:hAnsi="Times New Roman" w:cs="Times New Roman"/>
          <w:i/>
          <w:iCs/>
        </w:rPr>
        <w:t xml:space="preserve">in vivo </w:t>
      </w:r>
      <w:r w:rsidR="00A65150" w:rsidRPr="00AE2AC2">
        <w:rPr>
          <w:rFonts w:ascii="Times New Roman" w:eastAsia="Times New Roman" w:hAnsi="Times New Roman" w:cs="Times New Roman"/>
        </w:rPr>
        <w:t xml:space="preserve">a vo viacerých </w:t>
      </w:r>
      <w:r w:rsidR="00A65150"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="00A65150" w:rsidRPr="00AE2AC2">
        <w:rPr>
          <w:rFonts w:ascii="Times New Roman" w:eastAsia="Times New Roman" w:hAnsi="Times New Roman" w:cs="Times New Roman"/>
        </w:rPr>
        <w:t xml:space="preserve">systémoch používajúcich baktérie alebo hepatocyty. Pri metabolickej aktivácii </w:t>
      </w:r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 xml:space="preserve"> indukoval nárast chromozomálnych aberácii pri koncentráciách s nadmernou cytotoxicitou, ktoré sú nedosiahnuteľné pri klinickom použití.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Pri systémovej expozícii u potkanov </w:t>
      </w:r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 xml:space="preserve"> nebol karcinogénny pri 84 - 339-násobkoch očakávanej plazmatickej expozície u ľudí v dávke 1 mg/deň. U myší bol pozorovaný zvýšený výskyt kombinovaného bronchiálneho/alveolárneho adenómu a/alebo karcinómu pri systémovej expozícii pri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144 - 213-násobkoch očakávanej plazmatickej expozície u ľudí v dávke 1 mg/deň.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lastRenderedPageBreak/>
        <w:t>6. FARMACEUTICKÉ INFORMÁCIE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6.1 Zoznam pomocných látok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5F028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Mi</w:t>
      </w:r>
      <w:r w:rsidR="00C62399" w:rsidRPr="00AE2AC2">
        <w:rPr>
          <w:rFonts w:ascii="Times New Roman" w:eastAsia="Times New Roman" w:hAnsi="Times New Roman" w:cs="Times New Roman"/>
        </w:rPr>
        <w:t>krokryštalická celulóza</w:t>
      </w: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Kukuričný škrob</w:t>
      </w: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Predželatínovaný kukuričný škrob </w:t>
      </w: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Mastenec</w:t>
      </w:r>
    </w:p>
    <w:p w:rsidR="00C62399" w:rsidRPr="00AE2AC2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C62399" w:rsidRPr="00AE2AC2">
        <w:rPr>
          <w:rFonts w:ascii="Times New Roman" w:eastAsia="Times New Roman" w:hAnsi="Times New Roman" w:cs="Times New Roman"/>
        </w:rPr>
        <w:t>tearylfumar</w:t>
      </w:r>
      <w:r>
        <w:rPr>
          <w:rFonts w:ascii="Times New Roman" w:eastAsia="Times New Roman" w:hAnsi="Times New Roman" w:cs="Times New Roman"/>
        </w:rPr>
        <w:t>an sodný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6.2 Inkompatibility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Neaplikovateľné.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6.3 Čas použiteľnosti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roky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6.4 Špeciálne upozornenia na uchovávanie 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Tento liek nevyžaduje žiadne zvláštne podmienky na uchovávanie.</w:t>
      </w:r>
    </w:p>
    <w:p w:rsidR="00C62399" w:rsidRPr="00AE2AC2" w:rsidRDefault="00C6239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6.5 Druh obalu a obsah balenia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62399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Al/Al blistre, priehľadný</w:t>
      </w:r>
      <w:r w:rsidR="00AB0F0F">
        <w:rPr>
          <w:rFonts w:ascii="Times New Roman" w:eastAsia="Times New Roman" w:hAnsi="Times New Roman" w:cs="Times New Roman"/>
        </w:rPr>
        <w:t>,</w:t>
      </w:r>
      <w:r w:rsidR="00C62399" w:rsidRPr="00AE2AC2">
        <w:rPr>
          <w:rFonts w:ascii="Times New Roman" w:eastAsia="Times New Roman" w:hAnsi="Times New Roman" w:cs="Times New Roman"/>
        </w:rPr>
        <w:t xml:space="preserve"> PVC/PE/PVdC-Al blister</w:t>
      </w:r>
    </w:p>
    <w:p w:rsidR="006552F2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Veľkosti balenia po </w:t>
      </w:r>
      <w:r w:rsidR="00A65150" w:rsidRPr="00AE2AC2">
        <w:rPr>
          <w:rFonts w:ascii="Times New Roman" w:eastAsia="Times New Roman" w:hAnsi="Times New Roman" w:cs="Times New Roman"/>
        </w:rPr>
        <w:t xml:space="preserve">7, 10, 28, 30, </w:t>
      </w:r>
      <w:r w:rsidR="00E372CC" w:rsidRPr="00AE2AC2">
        <w:rPr>
          <w:rFonts w:ascii="Times New Roman" w:eastAsia="Times New Roman" w:hAnsi="Times New Roman" w:cs="Times New Roman"/>
        </w:rPr>
        <w:t>60,</w:t>
      </w:r>
      <w:r w:rsidR="00A65150" w:rsidRPr="00AE2AC2">
        <w:rPr>
          <w:rFonts w:ascii="Times New Roman" w:eastAsia="Times New Roman" w:hAnsi="Times New Roman" w:cs="Times New Roman"/>
        </w:rPr>
        <w:t>100 alebo 112 tabliet.</w:t>
      </w:r>
    </w:p>
    <w:p w:rsidR="00867775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HDPE fľaše s </w:t>
      </w:r>
      <w:r w:rsidR="00AB0F0F" w:rsidRPr="00AB0F0F">
        <w:rPr>
          <w:rFonts w:ascii="Times New Roman" w:eastAsia="Times New Roman" w:hAnsi="Times New Roman" w:cs="Times New Roman"/>
        </w:rPr>
        <w:t>PP skrutkovacím uzáverom bezpečným pred deťmi</w:t>
      </w:r>
      <w:r w:rsidR="00867775" w:rsidRPr="00AE2AC2">
        <w:rPr>
          <w:rFonts w:ascii="Times New Roman" w:eastAsia="Times New Roman" w:hAnsi="Times New Roman" w:cs="Times New Roman"/>
        </w:rPr>
        <w:t xml:space="preserve"> s obsahom vysúšadla (silikagel).</w:t>
      </w:r>
    </w:p>
    <w:p w:rsidR="006552F2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Veľkosť balenia po </w:t>
      </w:r>
      <w:r w:rsidR="00A65150" w:rsidRPr="00AE2AC2">
        <w:rPr>
          <w:rFonts w:ascii="Times New Roman" w:eastAsia="Times New Roman" w:hAnsi="Times New Roman" w:cs="Times New Roman"/>
        </w:rPr>
        <w:t>30 tabliet.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všetky veľkosti balenia musia byť uvedené do obehu.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6.6 Špeciálne opatrenia na likvidáciu</w:t>
      </w:r>
    </w:p>
    <w:p w:rsidR="00EE32FB" w:rsidRPr="00AE2AC2" w:rsidRDefault="00EE32FB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5150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Žiadne zvláštne požiadavky.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7775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7. DRŽITEĽ ROZHODNUTIA O REGISTRÁCII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2FB" w:rsidRPr="00AE2AC2" w:rsidRDefault="00EE32F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7775" w:rsidRPr="00AE2AC2" w:rsidRDefault="00277A74" w:rsidP="00867775">
      <w:pPr>
        <w:spacing w:after="0" w:line="2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 Healthcare Limited</w:t>
      </w:r>
    </w:p>
    <w:p w:rsidR="00867775" w:rsidRPr="00AE2AC2" w:rsidRDefault="00867775" w:rsidP="00867775">
      <w:pPr>
        <w:spacing w:after="0" w:line="273" w:lineRule="exact"/>
        <w:rPr>
          <w:rFonts w:ascii="Times New Roman" w:hAnsi="Times New Roman" w:cs="Times New Roman"/>
        </w:rPr>
      </w:pPr>
      <w:r w:rsidRPr="00AE2AC2">
        <w:rPr>
          <w:rFonts w:ascii="Times New Roman" w:hAnsi="Times New Roman" w:cs="Times New Roman"/>
        </w:rPr>
        <w:t>Sage House, 319, Pinner Road,</w:t>
      </w:r>
    </w:p>
    <w:p w:rsidR="00867775" w:rsidRPr="00AE2AC2" w:rsidRDefault="00867775" w:rsidP="00867775">
      <w:pPr>
        <w:spacing w:after="0" w:line="273" w:lineRule="exact"/>
        <w:rPr>
          <w:rFonts w:ascii="Times New Roman" w:hAnsi="Times New Roman" w:cs="Times New Roman"/>
        </w:rPr>
      </w:pPr>
      <w:r w:rsidRPr="00AE2AC2">
        <w:rPr>
          <w:rFonts w:ascii="Times New Roman" w:hAnsi="Times New Roman" w:cs="Times New Roman"/>
        </w:rPr>
        <w:t>North Harrow, Middlesex, HA1 4HF,</w:t>
      </w:r>
    </w:p>
    <w:p w:rsidR="00867775" w:rsidRPr="00AE2AC2" w:rsidRDefault="00F22131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22131">
        <w:rPr>
          <w:rFonts w:ascii="Times New Roman" w:hAnsi="Times New Roman" w:cs="Times New Roman"/>
        </w:rPr>
        <w:t>Veľká Británia</w:t>
      </w:r>
    </w:p>
    <w:p w:rsidR="00867775" w:rsidRPr="00AE2AC2" w:rsidRDefault="00867775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67775" w:rsidRPr="00AE2AC2" w:rsidRDefault="00867775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E32FB" w:rsidRPr="00AE2AC2" w:rsidRDefault="00A65150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8. REGISTRAČNÉ ČÍSLO</w:t>
      </w:r>
    </w:p>
    <w:p w:rsidR="00AB0F0F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0F0F">
        <w:rPr>
          <w:rFonts w:ascii="Times New Roman" w:eastAsia="Times New Roman" w:hAnsi="Times New Roman" w:cs="Times New Roman"/>
        </w:rPr>
        <w:t>27/0497/15-S</w:t>
      </w:r>
    </w:p>
    <w:p w:rsidR="00AB0F0F" w:rsidRPr="00AE2AC2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1545" w:rsidRPr="00AE2AC2" w:rsidRDefault="00A65150" w:rsidP="00A01545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9. DÁTUM PRVEJ REGISTRÁCIE/ PREDĹŽENIA REGISTRÁCIE</w:t>
      </w:r>
      <w:r w:rsidRPr="00AE2AC2">
        <w:rPr>
          <w:rFonts w:ascii="Times New Roman" w:eastAsia="Times New Roman" w:hAnsi="Times New Roman" w:cs="Times New Roman"/>
        </w:rPr>
        <w:br/>
      </w:r>
    </w:p>
    <w:p w:rsidR="00A01545" w:rsidRPr="00AE2AC2" w:rsidRDefault="00A0154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1545" w:rsidRDefault="00A65150" w:rsidP="00200DD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10. DÁTUM REVÍZIE TEXTU</w:t>
      </w:r>
    </w:p>
    <w:p w:rsidR="00AB0F0F" w:rsidRPr="00AB0F0F" w:rsidRDefault="00F22131" w:rsidP="00200DDC">
      <w:pPr>
        <w:spacing w:after="0" w:line="240" w:lineRule="auto"/>
        <w:rPr>
          <w:rFonts w:ascii="Times New Roman" w:hAnsi="Times New Roman" w:cs="Times New Roman"/>
        </w:rPr>
      </w:pPr>
      <w:r w:rsidRPr="00F22131">
        <w:rPr>
          <w:rFonts w:ascii="Times New Roman" w:eastAsia="Times New Roman" w:hAnsi="Times New Roman" w:cs="Times New Roman"/>
          <w:bCs/>
        </w:rPr>
        <w:t>December 2015</w:t>
      </w:r>
    </w:p>
    <w:sectPr w:rsidR="00AB0F0F" w:rsidRPr="00AB0F0F" w:rsidSect="00715F1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7756E4" w15:done="0"/>
  <w15:commentEx w15:paraId="42A184AE" w15:done="0"/>
  <w15:commentEx w15:paraId="496BE41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40" w:rsidRDefault="00E55F40" w:rsidP="00354661">
      <w:pPr>
        <w:spacing w:after="0" w:line="240" w:lineRule="auto"/>
      </w:pPr>
      <w:r>
        <w:separator/>
      </w:r>
    </w:p>
  </w:endnote>
  <w:endnote w:type="continuationSeparator" w:id="0">
    <w:p w:rsidR="00E55F40" w:rsidRDefault="00E55F40" w:rsidP="0035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40" w:rsidRDefault="00E55F40" w:rsidP="00354661">
      <w:pPr>
        <w:spacing w:after="0" w:line="240" w:lineRule="auto"/>
      </w:pPr>
      <w:r>
        <w:separator/>
      </w:r>
    </w:p>
  </w:footnote>
  <w:footnote w:type="continuationSeparator" w:id="0">
    <w:p w:rsidR="00E55F40" w:rsidRDefault="00E55F40" w:rsidP="0035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3" w:rsidRPr="00895FFD" w:rsidRDefault="00F22131" w:rsidP="00715F15">
    <w:pPr>
      <w:rPr>
        <w:rFonts w:ascii="Times New Roman" w:hAnsi="Times New Roman" w:cs="Times New Roman"/>
        <w:b/>
      </w:rPr>
    </w:pPr>
    <w:r w:rsidRPr="00F22131">
      <w:rPr>
        <w:rFonts w:ascii="Times New Roman" w:hAnsi="Times New Roman" w:cs="Times New Roman"/>
        <w:sz w:val="18"/>
        <w:szCs w:val="18"/>
      </w:rPr>
      <w:t>Schválený text k rozhodnutiu o registrácii, ev. č.: 2015/01318-REG</w:t>
    </w:r>
  </w:p>
  <w:p w:rsidR="004373D3" w:rsidRDefault="004373D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C4BB3"/>
    <w:multiLevelType w:val="hybridMultilevel"/>
    <w:tmpl w:val="89AE4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5150"/>
    <w:rsid w:val="00001CF7"/>
    <w:rsid w:val="00017A42"/>
    <w:rsid w:val="00022494"/>
    <w:rsid w:val="00037A4E"/>
    <w:rsid w:val="000742C5"/>
    <w:rsid w:val="00097987"/>
    <w:rsid w:val="000D10BD"/>
    <w:rsid w:val="00112D87"/>
    <w:rsid w:val="001555FD"/>
    <w:rsid w:val="00191AE8"/>
    <w:rsid w:val="001A5984"/>
    <w:rsid w:val="001D60C6"/>
    <w:rsid w:val="00200DDC"/>
    <w:rsid w:val="00243B77"/>
    <w:rsid w:val="00265EF3"/>
    <w:rsid w:val="00277A74"/>
    <w:rsid w:val="002B4858"/>
    <w:rsid w:val="002C7479"/>
    <w:rsid w:val="002F72D4"/>
    <w:rsid w:val="00332442"/>
    <w:rsid w:val="00354661"/>
    <w:rsid w:val="00361EEE"/>
    <w:rsid w:val="00370738"/>
    <w:rsid w:val="0038404E"/>
    <w:rsid w:val="003867C0"/>
    <w:rsid w:val="004006B9"/>
    <w:rsid w:val="00434E98"/>
    <w:rsid w:val="004373D3"/>
    <w:rsid w:val="00445BA1"/>
    <w:rsid w:val="00477EAB"/>
    <w:rsid w:val="0048091F"/>
    <w:rsid w:val="004937EC"/>
    <w:rsid w:val="004A1B62"/>
    <w:rsid w:val="00534FD0"/>
    <w:rsid w:val="00536FBE"/>
    <w:rsid w:val="005E00FE"/>
    <w:rsid w:val="005F028F"/>
    <w:rsid w:val="00614EA8"/>
    <w:rsid w:val="00633DCB"/>
    <w:rsid w:val="006552F2"/>
    <w:rsid w:val="00662F29"/>
    <w:rsid w:val="006709A1"/>
    <w:rsid w:val="006C58CE"/>
    <w:rsid w:val="006E2B1B"/>
    <w:rsid w:val="006F70B0"/>
    <w:rsid w:val="00715F15"/>
    <w:rsid w:val="00730850"/>
    <w:rsid w:val="00777003"/>
    <w:rsid w:val="00783961"/>
    <w:rsid w:val="007F30F7"/>
    <w:rsid w:val="00801576"/>
    <w:rsid w:val="008266F4"/>
    <w:rsid w:val="00833CEA"/>
    <w:rsid w:val="00852E0C"/>
    <w:rsid w:val="00853BAC"/>
    <w:rsid w:val="00867775"/>
    <w:rsid w:val="00886C63"/>
    <w:rsid w:val="00895FFD"/>
    <w:rsid w:val="008A4BE8"/>
    <w:rsid w:val="008B110A"/>
    <w:rsid w:val="008D5D4A"/>
    <w:rsid w:val="008F72E1"/>
    <w:rsid w:val="009524F9"/>
    <w:rsid w:val="009724F6"/>
    <w:rsid w:val="00972B52"/>
    <w:rsid w:val="0098401B"/>
    <w:rsid w:val="009C07DF"/>
    <w:rsid w:val="009E2D01"/>
    <w:rsid w:val="00A01545"/>
    <w:rsid w:val="00A21072"/>
    <w:rsid w:val="00A279D1"/>
    <w:rsid w:val="00A33FFC"/>
    <w:rsid w:val="00A65150"/>
    <w:rsid w:val="00A84AFA"/>
    <w:rsid w:val="00AA5927"/>
    <w:rsid w:val="00AB0F0F"/>
    <w:rsid w:val="00AE2AC2"/>
    <w:rsid w:val="00B36CE3"/>
    <w:rsid w:val="00B86897"/>
    <w:rsid w:val="00BA4E47"/>
    <w:rsid w:val="00BB3792"/>
    <w:rsid w:val="00BD26AD"/>
    <w:rsid w:val="00BE5814"/>
    <w:rsid w:val="00C47F77"/>
    <w:rsid w:val="00C62399"/>
    <w:rsid w:val="00C92CC4"/>
    <w:rsid w:val="00CB66F1"/>
    <w:rsid w:val="00CD599F"/>
    <w:rsid w:val="00D25CBE"/>
    <w:rsid w:val="00D95E31"/>
    <w:rsid w:val="00DB071C"/>
    <w:rsid w:val="00DC49CA"/>
    <w:rsid w:val="00E372CC"/>
    <w:rsid w:val="00E37E73"/>
    <w:rsid w:val="00E55F40"/>
    <w:rsid w:val="00E824FE"/>
    <w:rsid w:val="00EE32FB"/>
    <w:rsid w:val="00EF7F24"/>
    <w:rsid w:val="00F0074F"/>
    <w:rsid w:val="00F009ED"/>
    <w:rsid w:val="00F01701"/>
    <w:rsid w:val="00F176A3"/>
    <w:rsid w:val="00F17C4A"/>
    <w:rsid w:val="00F22131"/>
    <w:rsid w:val="00F3424D"/>
    <w:rsid w:val="00F72992"/>
    <w:rsid w:val="00F84DB8"/>
    <w:rsid w:val="00F95457"/>
    <w:rsid w:val="00F9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B52"/>
  </w:style>
  <w:style w:type="paragraph" w:styleId="Nadpis1">
    <w:name w:val="heading 1"/>
    <w:basedOn w:val="Normlny"/>
    <w:next w:val="Normlny"/>
    <w:link w:val="Nadpis1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674" w:hanging="569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6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176A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3867C0"/>
    <w:rPr>
      <w:rFonts w:ascii="Times New Roman" w:hAnsi="Times New Roman" w:cs="Times New Roman"/>
      <w:b/>
      <w:bCs/>
      <w:lang w:val="en-IN" w:eastAsia="en-IN"/>
    </w:rPr>
  </w:style>
  <w:style w:type="paragraph" w:styleId="Zkladntext">
    <w:name w:val="Body Text"/>
    <w:basedOn w:val="Normlny"/>
    <w:link w:val="Zkladntext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  <w:lang w:val="en-IN" w:eastAsia="en-I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67C0"/>
    <w:rPr>
      <w:rFonts w:ascii="Times New Roman" w:hAnsi="Times New Roman" w:cs="Times New Roman"/>
      <w:lang w:val="en-IN" w:eastAsia="en-IN"/>
    </w:rPr>
  </w:style>
  <w:style w:type="paragraph" w:customStyle="1" w:styleId="TableParagraph">
    <w:name w:val="Table Paragraph"/>
    <w:basedOn w:val="Normlny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Hlavika">
    <w:name w:val="header"/>
    <w:basedOn w:val="Normlny"/>
    <w:link w:val="HlavikaChar"/>
    <w:uiPriority w:val="99"/>
    <w:semiHidden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54661"/>
  </w:style>
  <w:style w:type="paragraph" w:styleId="Pta">
    <w:name w:val="footer"/>
    <w:basedOn w:val="Normlny"/>
    <w:link w:val="PtaChar"/>
    <w:uiPriority w:val="99"/>
    <w:semiHidden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54661"/>
  </w:style>
  <w:style w:type="paragraph" w:styleId="Textbubliny">
    <w:name w:val="Balloon Text"/>
    <w:basedOn w:val="Normlny"/>
    <w:link w:val="TextbublinyChar"/>
    <w:uiPriority w:val="99"/>
    <w:semiHidden/>
    <w:unhideWhenUsed/>
    <w:rsid w:val="0071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F1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A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A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A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A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3659</Words>
  <Characters>20862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2015-12-17T06:13:00Z</dcterms:created>
  <dcterms:modified xsi:type="dcterms:W3CDTF">2015-12-17T06:13:00Z</dcterms:modified>
</cp:coreProperties>
</file>