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280D" w:rsidRPr="00821ADF" w:rsidRDefault="00E827F3" w:rsidP="0026280D">
      <w:pPr>
        <w:pStyle w:val="SPCaPILhlavika"/>
        <w:rPr>
          <w:lang w:val="sk-SK"/>
        </w:rPr>
      </w:pPr>
      <w:r>
        <w:rPr>
          <w:lang w:val="sk-SK"/>
        </w:rPr>
        <w:t>S</w:t>
      </w:r>
      <w:r w:rsidR="0026280D" w:rsidRPr="00821ADF">
        <w:rPr>
          <w:lang w:val="sk-SK"/>
        </w:rPr>
        <w:t>ÚHRN CHARAKTERISTICKÝCH VLASTNOSTÍ LIEKU</w:t>
      </w:r>
    </w:p>
    <w:p w:rsidR="0026280D" w:rsidRPr="00821ADF" w:rsidRDefault="0026280D" w:rsidP="0026280D">
      <w:pPr>
        <w:pStyle w:val="Styl1"/>
        <w:numPr>
          <w:ilvl w:val="0"/>
          <w:numId w:val="3"/>
        </w:numPr>
        <w:spacing w:before="480" w:after="120"/>
        <w:ind w:left="357" w:hanging="357"/>
        <w:rPr>
          <w:lang w:val="sk-SK"/>
        </w:rPr>
      </w:pPr>
      <w:r w:rsidRPr="00821ADF">
        <w:rPr>
          <w:lang w:val="sk-SK"/>
        </w:rPr>
        <w:t>NÁZOV LIEKU</w:t>
      </w:r>
    </w:p>
    <w:p w:rsidR="0026280D" w:rsidRPr="00821ADF" w:rsidRDefault="0026280D" w:rsidP="0026280D">
      <w:pPr>
        <w:pStyle w:val="Normlndobloku"/>
        <w:rPr>
          <w:lang w:val="sk-SK"/>
        </w:rPr>
      </w:pPr>
      <w:r w:rsidRPr="00821ADF">
        <w:rPr>
          <w:lang w:val="sk-SK"/>
        </w:rPr>
        <w:t>SAGILIA 1 mg tablety</w:t>
      </w:r>
    </w:p>
    <w:p w:rsidR="0026280D" w:rsidRPr="00821ADF" w:rsidRDefault="0026280D" w:rsidP="0026280D">
      <w:pPr>
        <w:pStyle w:val="Styl1"/>
        <w:numPr>
          <w:ilvl w:val="0"/>
          <w:numId w:val="3"/>
        </w:numPr>
        <w:spacing w:before="480" w:after="120"/>
        <w:ind w:left="357" w:hanging="357"/>
        <w:rPr>
          <w:lang w:val="sk-SK"/>
        </w:rPr>
      </w:pPr>
      <w:r w:rsidRPr="00821ADF">
        <w:rPr>
          <w:lang w:val="sk-SK"/>
        </w:rPr>
        <w:t>KVALITATÍVNE A KVANTITATÍVNE ZLOŽENIE</w:t>
      </w:r>
    </w:p>
    <w:p w:rsidR="0026280D" w:rsidRPr="00821ADF" w:rsidRDefault="0026280D" w:rsidP="0026280D">
      <w:pPr>
        <w:pStyle w:val="Normlndobloku"/>
        <w:rPr>
          <w:lang w:val="sk-SK"/>
        </w:rPr>
      </w:pPr>
      <w:r w:rsidRPr="00821ADF">
        <w:rPr>
          <w:lang w:val="sk-SK"/>
        </w:rPr>
        <w:t xml:space="preserve">Jedna tableta obsahuje 1 mg </w:t>
      </w:r>
      <w:proofErr w:type="spellStart"/>
      <w:r w:rsidR="00301BD2">
        <w:rPr>
          <w:lang w:val="sk-SK"/>
        </w:rPr>
        <w:t>razagilín</w:t>
      </w:r>
      <w:r w:rsidRPr="00821ADF">
        <w:rPr>
          <w:lang w:val="sk-SK"/>
        </w:rPr>
        <w:t>u</w:t>
      </w:r>
      <w:proofErr w:type="spellEnd"/>
      <w:r w:rsidRPr="00821ADF">
        <w:rPr>
          <w:lang w:val="sk-SK"/>
        </w:rPr>
        <w:t xml:space="preserve"> (ako </w:t>
      </w:r>
      <w:proofErr w:type="spellStart"/>
      <w:r w:rsidR="00301BD2" w:rsidRPr="00301BD2">
        <w:rPr>
          <w:bCs/>
          <w:lang w:val="sk-SK"/>
        </w:rPr>
        <w:t>razagilíniumtartarát</w:t>
      </w:r>
      <w:proofErr w:type="spellEnd"/>
      <w:r w:rsidRPr="00821ADF">
        <w:rPr>
          <w:lang w:val="sk-SK"/>
        </w:rPr>
        <w:t>).</w:t>
      </w:r>
    </w:p>
    <w:p w:rsidR="0026280D" w:rsidRPr="00821ADF" w:rsidRDefault="0026280D" w:rsidP="0026280D">
      <w:pPr>
        <w:pStyle w:val="Normlndobloku"/>
        <w:rPr>
          <w:lang w:val="sk-SK"/>
        </w:rPr>
      </w:pPr>
      <w:r w:rsidRPr="00821ADF">
        <w:rPr>
          <w:lang w:val="sk-SK"/>
        </w:rPr>
        <w:t>Úplný zoznam pomocných látok, pozri časť 6.1.</w:t>
      </w:r>
    </w:p>
    <w:p w:rsidR="0026280D" w:rsidRPr="00821ADF" w:rsidRDefault="0026280D" w:rsidP="0026280D">
      <w:pPr>
        <w:pStyle w:val="Styl1"/>
        <w:numPr>
          <w:ilvl w:val="0"/>
          <w:numId w:val="3"/>
        </w:numPr>
        <w:spacing w:before="480" w:after="120"/>
        <w:ind w:left="357" w:hanging="357"/>
        <w:rPr>
          <w:lang w:val="sk-SK"/>
        </w:rPr>
      </w:pPr>
      <w:r w:rsidRPr="00821ADF">
        <w:rPr>
          <w:lang w:val="sk-SK"/>
        </w:rPr>
        <w:t>LIEKOVÁ FORMA</w:t>
      </w:r>
    </w:p>
    <w:p w:rsidR="0026280D" w:rsidRPr="00821ADF" w:rsidRDefault="0026280D" w:rsidP="0026280D">
      <w:pPr>
        <w:pStyle w:val="Normlndobloku"/>
        <w:rPr>
          <w:lang w:val="sk-SK"/>
        </w:rPr>
      </w:pPr>
      <w:r w:rsidRPr="00821ADF">
        <w:rPr>
          <w:lang w:val="sk-SK"/>
        </w:rPr>
        <w:t>Tableta</w:t>
      </w:r>
    </w:p>
    <w:p w:rsidR="0026280D" w:rsidRPr="00821ADF" w:rsidRDefault="0026280D" w:rsidP="0026280D">
      <w:pPr>
        <w:pStyle w:val="Normlndobloku"/>
        <w:rPr>
          <w:lang w:val="sk-SK"/>
        </w:rPr>
      </w:pPr>
      <w:r w:rsidRPr="00821ADF">
        <w:rPr>
          <w:lang w:val="sk-SK"/>
        </w:rPr>
        <w:t>Biele až takmer biele, okrúhle, ploché tablet</w:t>
      </w:r>
      <w:r w:rsidR="004B3CF6">
        <w:rPr>
          <w:lang w:val="sk-SK"/>
        </w:rPr>
        <w:t>y so skosenými hranami (6,5 mm)</w:t>
      </w:r>
    </w:p>
    <w:p w:rsidR="0026280D" w:rsidRPr="00821ADF" w:rsidRDefault="0026280D" w:rsidP="0026280D">
      <w:pPr>
        <w:pStyle w:val="Styl1"/>
        <w:numPr>
          <w:ilvl w:val="0"/>
          <w:numId w:val="3"/>
        </w:numPr>
        <w:spacing w:before="480" w:after="120"/>
        <w:ind w:left="357" w:hanging="357"/>
        <w:rPr>
          <w:lang w:val="sk-SK"/>
        </w:rPr>
      </w:pPr>
      <w:r w:rsidRPr="00821ADF">
        <w:rPr>
          <w:lang w:val="sk-SK"/>
        </w:rPr>
        <w:t>KLINICKÉ ÚDAJE</w:t>
      </w:r>
    </w:p>
    <w:p w:rsidR="0026280D" w:rsidRPr="00821ADF" w:rsidRDefault="0026280D" w:rsidP="0026280D">
      <w:pPr>
        <w:pStyle w:val="Styl2"/>
        <w:numPr>
          <w:ilvl w:val="1"/>
          <w:numId w:val="3"/>
        </w:numPr>
        <w:spacing w:before="120" w:after="120"/>
        <w:ind w:left="357" w:hanging="357"/>
        <w:rPr>
          <w:lang w:val="sk-SK"/>
        </w:rPr>
      </w:pPr>
      <w:r w:rsidRPr="00821ADF">
        <w:rPr>
          <w:lang w:val="sk-SK"/>
        </w:rPr>
        <w:t>Terapeutické indikácie</w:t>
      </w:r>
    </w:p>
    <w:p w:rsidR="0026280D" w:rsidRPr="00821ADF" w:rsidRDefault="0026280D" w:rsidP="0026280D">
      <w:pPr>
        <w:pStyle w:val="Normlndobloku"/>
        <w:rPr>
          <w:lang w:val="sk-SK"/>
        </w:rPr>
      </w:pPr>
      <w:r w:rsidRPr="00821ADF">
        <w:rPr>
          <w:lang w:val="sk-SK"/>
        </w:rPr>
        <w:t xml:space="preserve">SAGILIA je indikovaná na liečbu </w:t>
      </w:r>
      <w:proofErr w:type="spellStart"/>
      <w:r w:rsidRPr="00821ADF">
        <w:rPr>
          <w:lang w:val="sk-SK"/>
        </w:rPr>
        <w:t>idiopatickej</w:t>
      </w:r>
      <w:proofErr w:type="spellEnd"/>
      <w:r w:rsidRPr="00821ADF">
        <w:rPr>
          <w:lang w:val="sk-SK"/>
        </w:rPr>
        <w:t xml:space="preserve"> </w:t>
      </w:r>
      <w:proofErr w:type="spellStart"/>
      <w:r w:rsidRPr="00821ADF">
        <w:rPr>
          <w:lang w:val="sk-SK"/>
        </w:rPr>
        <w:t>Parkinsonovej</w:t>
      </w:r>
      <w:proofErr w:type="spellEnd"/>
      <w:r w:rsidRPr="00821ADF">
        <w:rPr>
          <w:lang w:val="sk-SK"/>
        </w:rPr>
        <w:t xml:space="preserve"> choroby (PD) ako </w:t>
      </w:r>
      <w:proofErr w:type="spellStart"/>
      <w:r w:rsidRPr="00821ADF">
        <w:rPr>
          <w:lang w:val="sk-SK"/>
        </w:rPr>
        <w:t>monoterapia</w:t>
      </w:r>
      <w:proofErr w:type="spellEnd"/>
      <w:r w:rsidRPr="00821ADF">
        <w:rPr>
          <w:lang w:val="sk-SK"/>
        </w:rPr>
        <w:t xml:space="preserve"> (bez </w:t>
      </w:r>
      <w:proofErr w:type="spellStart"/>
      <w:r w:rsidRPr="00821ADF">
        <w:rPr>
          <w:lang w:val="sk-SK"/>
        </w:rPr>
        <w:t>levodopy</w:t>
      </w:r>
      <w:proofErr w:type="spellEnd"/>
      <w:r w:rsidRPr="00821ADF">
        <w:rPr>
          <w:lang w:val="sk-SK"/>
        </w:rPr>
        <w:t xml:space="preserve">) alebo ako </w:t>
      </w:r>
      <w:proofErr w:type="spellStart"/>
      <w:r w:rsidRPr="00821ADF">
        <w:rPr>
          <w:lang w:val="sk-SK"/>
        </w:rPr>
        <w:t>adjuvantná</w:t>
      </w:r>
      <w:proofErr w:type="spellEnd"/>
      <w:r w:rsidRPr="00821ADF">
        <w:rPr>
          <w:lang w:val="sk-SK"/>
        </w:rPr>
        <w:t xml:space="preserve"> terapia (s </w:t>
      </w:r>
      <w:proofErr w:type="spellStart"/>
      <w:r w:rsidRPr="00821ADF">
        <w:rPr>
          <w:lang w:val="sk-SK"/>
        </w:rPr>
        <w:t>levodopou</w:t>
      </w:r>
      <w:proofErr w:type="spellEnd"/>
      <w:r w:rsidRPr="00821ADF">
        <w:rPr>
          <w:lang w:val="sk-SK"/>
        </w:rPr>
        <w:t>) u pacientov s fluktuáciou na konci účinku dávky.</w:t>
      </w:r>
    </w:p>
    <w:p w:rsidR="0026280D" w:rsidRPr="00821ADF" w:rsidRDefault="0026280D" w:rsidP="0026280D">
      <w:pPr>
        <w:pStyle w:val="Styl2"/>
        <w:numPr>
          <w:ilvl w:val="1"/>
          <w:numId w:val="3"/>
        </w:numPr>
        <w:spacing w:before="120" w:after="120"/>
        <w:ind w:left="357" w:hanging="357"/>
        <w:rPr>
          <w:lang w:val="sk-SK"/>
        </w:rPr>
      </w:pPr>
      <w:r w:rsidRPr="00821ADF">
        <w:rPr>
          <w:lang w:val="sk-SK"/>
        </w:rPr>
        <w:t>Dávkovanie a spôsob podávania</w:t>
      </w:r>
    </w:p>
    <w:p w:rsidR="0026280D" w:rsidRPr="00821ADF" w:rsidRDefault="0026280D" w:rsidP="0026280D">
      <w:pPr>
        <w:pStyle w:val="Styl3"/>
        <w:rPr>
          <w:lang w:val="sk-SK"/>
        </w:rPr>
      </w:pPr>
      <w:r w:rsidRPr="00821ADF">
        <w:rPr>
          <w:lang w:val="sk-SK"/>
        </w:rPr>
        <w:t>Dávkovanie</w:t>
      </w:r>
    </w:p>
    <w:p w:rsidR="0026280D" w:rsidRPr="00821ADF" w:rsidRDefault="00301BD2" w:rsidP="0026280D">
      <w:pPr>
        <w:pStyle w:val="Styl4"/>
        <w:rPr>
          <w:i w:val="0"/>
          <w:lang w:val="sk-SK"/>
        </w:rPr>
      </w:pPr>
      <w:proofErr w:type="spellStart"/>
      <w:r>
        <w:rPr>
          <w:i w:val="0"/>
          <w:lang w:val="sk-SK"/>
        </w:rPr>
        <w:t>Razagilín</w:t>
      </w:r>
      <w:proofErr w:type="spellEnd"/>
      <w:r w:rsidR="0026280D" w:rsidRPr="00821ADF">
        <w:rPr>
          <w:i w:val="0"/>
          <w:lang w:val="sk-SK"/>
        </w:rPr>
        <w:t xml:space="preserve"> je určený na perorálne podanie v 1 mg dávke jeden raz denne s </w:t>
      </w:r>
      <w:proofErr w:type="spellStart"/>
      <w:r w:rsidR="0026280D" w:rsidRPr="00821ADF">
        <w:rPr>
          <w:i w:val="0"/>
          <w:lang w:val="sk-SK"/>
        </w:rPr>
        <w:t>levodopou</w:t>
      </w:r>
      <w:proofErr w:type="spellEnd"/>
      <w:r w:rsidR="0026280D" w:rsidRPr="00821ADF">
        <w:rPr>
          <w:i w:val="0"/>
          <w:lang w:val="sk-SK"/>
        </w:rPr>
        <w:t xml:space="preserve"> alebo bez nej. Môže sa užívať s jedlom alebo bez jedla.</w:t>
      </w:r>
    </w:p>
    <w:p w:rsidR="0026280D" w:rsidRPr="00821ADF" w:rsidRDefault="0026280D" w:rsidP="0026280D">
      <w:pPr>
        <w:pStyle w:val="Styl4"/>
        <w:rPr>
          <w:lang w:val="sk-SK"/>
        </w:rPr>
      </w:pPr>
      <w:r w:rsidRPr="00821ADF">
        <w:rPr>
          <w:lang w:val="sk-SK"/>
        </w:rPr>
        <w:t>Starší pacienti</w:t>
      </w:r>
    </w:p>
    <w:p w:rsidR="0026280D" w:rsidRPr="00821ADF" w:rsidRDefault="0026280D" w:rsidP="0026280D">
      <w:pPr>
        <w:pStyle w:val="Normlndobloku"/>
        <w:rPr>
          <w:lang w:val="sk-SK"/>
        </w:rPr>
      </w:pPr>
      <w:r w:rsidRPr="00821ADF">
        <w:rPr>
          <w:lang w:val="sk-SK"/>
        </w:rPr>
        <w:t>U starších pacientov nie je potrebná žiadna úprava dávky.</w:t>
      </w:r>
    </w:p>
    <w:p w:rsidR="0026280D" w:rsidRPr="00821ADF" w:rsidRDefault="0026280D" w:rsidP="0026280D">
      <w:pPr>
        <w:pStyle w:val="Styl4"/>
        <w:rPr>
          <w:lang w:val="sk-SK" w:eastAsia="en-US"/>
        </w:rPr>
      </w:pPr>
      <w:r w:rsidRPr="00821ADF">
        <w:rPr>
          <w:lang w:val="sk-SK" w:eastAsia="en-US"/>
        </w:rPr>
        <w:t>Pediatrická populácia</w:t>
      </w:r>
    </w:p>
    <w:p w:rsidR="0026280D" w:rsidRPr="00821ADF" w:rsidRDefault="0026280D" w:rsidP="0026280D">
      <w:pPr>
        <w:pStyle w:val="Normlndobloku"/>
        <w:rPr>
          <w:lang w:val="sk-SK"/>
        </w:rPr>
      </w:pPr>
      <w:r w:rsidRPr="00821ADF">
        <w:rPr>
          <w:lang w:val="sk-SK"/>
        </w:rPr>
        <w:t>SAGILIA sa neodporúča používať u detí a dospievajúcich kvôli nedostatočným údajom o bezpečnosti a účinnosti.</w:t>
      </w:r>
    </w:p>
    <w:p w:rsidR="0026280D" w:rsidRPr="00821ADF" w:rsidRDefault="0026280D" w:rsidP="0026280D">
      <w:pPr>
        <w:pStyle w:val="Styl4"/>
        <w:rPr>
          <w:lang w:val="sk-SK"/>
        </w:rPr>
      </w:pPr>
      <w:r w:rsidRPr="00821ADF">
        <w:rPr>
          <w:lang w:val="sk-SK"/>
        </w:rPr>
        <w:t>Pacienti s </w:t>
      </w:r>
      <w:r w:rsidR="00301BD2" w:rsidRPr="00821ADF">
        <w:rPr>
          <w:lang w:val="sk-SK"/>
        </w:rPr>
        <w:t>po</w:t>
      </w:r>
      <w:r w:rsidR="00301BD2">
        <w:rPr>
          <w:lang w:val="sk-SK"/>
        </w:rPr>
        <w:t>ruch</w:t>
      </w:r>
      <w:r w:rsidR="00301BD2" w:rsidRPr="00821ADF">
        <w:rPr>
          <w:lang w:val="sk-SK"/>
        </w:rPr>
        <w:t xml:space="preserve">ou </w:t>
      </w:r>
      <w:r w:rsidRPr="00821ADF">
        <w:rPr>
          <w:lang w:val="sk-SK"/>
        </w:rPr>
        <w:t>funkci</w:t>
      </w:r>
      <w:r w:rsidR="00301BD2">
        <w:rPr>
          <w:lang w:val="sk-SK"/>
        </w:rPr>
        <w:t>e</w:t>
      </w:r>
      <w:r w:rsidRPr="00821ADF">
        <w:rPr>
          <w:lang w:val="sk-SK"/>
        </w:rPr>
        <w:t xml:space="preserve"> pečene</w:t>
      </w:r>
    </w:p>
    <w:p w:rsidR="0026280D" w:rsidRPr="00821ADF" w:rsidRDefault="0026280D" w:rsidP="0026280D">
      <w:pPr>
        <w:pStyle w:val="Styl4"/>
        <w:rPr>
          <w:i w:val="0"/>
          <w:lang w:val="sk-SK"/>
        </w:rPr>
      </w:pPr>
      <w:r w:rsidRPr="00821ADF">
        <w:rPr>
          <w:i w:val="0"/>
          <w:lang w:val="sk-SK"/>
        </w:rPr>
        <w:t xml:space="preserve">Podávanie </w:t>
      </w:r>
      <w:proofErr w:type="spellStart"/>
      <w:r w:rsidR="00301BD2">
        <w:rPr>
          <w:i w:val="0"/>
          <w:lang w:val="sk-SK"/>
        </w:rPr>
        <w:t>razagilín</w:t>
      </w:r>
      <w:r w:rsidRPr="00821ADF">
        <w:rPr>
          <w:i w:val="0"/>
          <w:lang w:val="sk-SK"/>
        </w:rPr>
        <w:t>u</w:t>
      </w:r>
      <w:proofErr w:type="spellEnd"/>
      <w:r w:rsidRPr="00821ADF">
        <w:rPr>
          <w:i w:val="0"/>
          <w:lang w:val="sk-SK"/>
        </w:rPr>
        <w:t xml:space="preserve"> pacientom so </w:t>
      </w:r>
      <w:r w:rsidR="00301BD2" w:rsidRPr="00821ADF">
        <w:rPr>
          <w:i w:val="0"/>
          <w:lang w:val="sk-SK"/>
        </w:rPr>
        <w:t>závažn</w:t>
      </w:r>
      <w:r w:rsidR="00301BD2">
        <w:rPr>
          <w:i w:val="0"/>
          <w:lang w:val="sk-SK"/>
        </w:rPr>
        <w:t>ou</w:t>
      </w:r>
      <w:r w:rsidR="00301BD2" w:rsidRPr="00821ADF">
        <w:rPr>
          <w:i w:val="0"/>
          <w:lang w:val="sk-SK"/>
        </w:rPr>
        <w:t xml:space="preserve"> po</w:t>
      </w:r>
      <w:r w:rsidR="00301BD2">
        <w:rPr>
          <w:i w:val="0"/>
          <w:lang w:val="sk-SK"/>
        </w:rPr>
        <w:t>ruchou</w:t>
      </w:r>
      <w:r w:rsidR="00301BD2" w:rsidRPr="00821ADF">
        <w:rPr>
          <w:i w:val="0"/>
          <w:lang w:val="sk-SK"/>
        </w:rPr>
        <w:t xml:space="preserve"> </w:t>
      </w:r>
      <w:r w:rsidRPr="00821ADF">
        <w:rPr>
          <w:i w:val="0"/>
          <w:lang w:val="sk-SK"/>
        </w:rPr>
        <w:t xml:space="preserve">funkcie pečene je kontraindikované (pozri časť 4.3). Je potrebné vyvarovať sa podávaniu </w:t>
      </w:r>
      <w:proofErr w:type="spellStart"/>
      <w:r w:rsidR="00301BD2">
        <w:rPr>
          <w:i w:val="0"/>
          <w:lang w:val="sk-SK"/>
        </w:rPr>
        <w:t>razagilín</w:t>
      </w:r>
      <w:r w:rsidRPr="00821ADF">
        <w:rPr>
          <w:i w:val="0"/>
          <w:lang w:val="sk-SK"/>
        </w:rPr>
        <w:t>u</w:t>
      </w:r>
      <w:proofErr w:type="spellEnd"/>
      <w:r w:rsidRPr="00821ADF">
        <w:rPr>
          <w:i w:val="0"/>
          <w:lang w:val="sk-SK"/>
        </w:rPr>
        <w:t xml:space="preserve"> pacientom so stredne </w:t>
      </w:r>
      <w:r w:rsidR="00301BD2" w:rsidRPr="00821ADF">
        <w:rPr>
          <w:i w:val="0"/>
          <w:lang w:val="sk-SK"/>
        </w:rPr>
        <w:t>ťažk</w:t>
      </w:r>
      <w:r w:rsidR="00301BD2">
        <w:rPr>
          <w:i w:val="0"/>
          <w:lang w:val="sk-SK"/>
        </w:rPr>
        <w:t>ou</w:t>
      </w:r>
      <w:r w:rsidR="00301BD2" w:rsidRPr="00821ADF">
        <w:rPr>
          <w:i w:val="0"/>
          <w:lang w:val="sk-SK"/>
        </w:rPr>
        <w:t xml:space="preserve"> po</w:t>
      </w:r>
      <w:r w:rsidR="00301BD2">
        <w:rPr>
          <w:i w:val="0"/>
          <w:lang w:val="sk-SK"/>
        </w:rPr>
        <w:t>ruchou</w:t>
      </w:r>
      <w:r w:rsidR="00301BD2" w:rsidRPr="00821ADF">
        <w:rPr>
          <w:i w:val="0"/>
          <w:lang w:val="sk-SK"/>
        </w:rPr>
        <w:t xml:space="preserve"> </w:t>
      </w:r>
      <w:r w:rsidRPr="00821ADF">
        <w:rPr>
          <w:i w:val="0"/>
          <w:lang w:val="sk-SK"/>
        </w:rPr>
        <w:t xml:space="preserve">funkcie pečene. Na začiatku liečby </w:t>
      </w:r>
      <w:proofErr w:type="spellStart"/>
      <w:r w:rsidR="00301BD2">
        <w:rPr>
          <w:i w:val="0"/>
          <w:lang w:val="sk-SK"/>
        </w:rPr>
        <w:t>razagilín</w:t>
      </w:r>
      <w:r w:rsidRPr="00821ADF">
        <w:rPr>
          <w:i w:val="0"/>
          <w:lang w:val="sk-SK"/>
        </w:rPr>
        <w:t>om</w:t>
      </w:r>
      <w:proofErr w:type="spellEnd"/>
      <w:r w:rsidRPr="00821ADF">
        <w:rPr>
          <w:i w:val="0"/>
          <w:lang w:val="sk-SK"/>
        </w:rPr>
        <w:t xml:space="preserve"> u pacientov s </w:t>
      </w:r>
      <w:r w:rsidR="00301BD2" w:rsidRPr="00821ADF">
        <w:rPr>
          <w:i w:val="0"/>
          <w:lang w:val="sk-SK"/>
        </w:rPr>
        <w:t>miern</w:t>
      </w:r>
      <w:r w:rsidR="00301BD2">
        <w:rPr>
          <w:i w:val="0"/>
          <w:lang w:val="sk-SK"/>
        </w:rPr>
        <w:t>ou</w:t>
      </w:r>
      <w:r w:rsidR="00301BD2" w:rsidRPr="00821ADF">
        <w:rPr>
          <w:i w:val="0"/>
          <w:lang w:val="sk-SK"/>
        </w:rPr>
        <w:t xml:space="preserve"> po</w:t>
      </w:r>
      <w:r w:rsidR="00301BD2">
        <w:rPr>
          <w:i w:val="0"/>
          <w:lang w:val="sk-SK"/>
        </w:rPr>
        <w:t>ruch</w:t>
      </w:r>
      <w:r w:rsidR="00301BD2" w:rsidRPr="00821ADF">
        <w:rPr>
          <w:i w:val="0"/>
          <w:lang w:val="sk-SK"/>
        </w:rPr>
        <w:t>ou funkci</w:t>
      </w:r>
      <w:r w:rsidR="00301BD2">
        <w:rPr>
          <w:i w:val="0"/>
          <w:lang w:val="sk-SK"/>
        </w:rPr>
        <w:t>e</w:t>
      </w:r>
      <w:r w:rsidR="00301BD2" w:rsidRPr="00821ADF">
        <w:rPr>
          <w:i w:val="0"/>
          <w:lang w:val="sk-SK"/>
        </w:rPr>
        <w:t xml:space="preserve"> </w:t>
      </w:r>
      <w:r w:rsidRPr="00821ADF">
        <w:rPr>
          <w:i w:val="0"/>
          <w:lang w:val="sk-SK"/>
        </w:rPr>
        <w:t xml:space="preserve">pečene je potrebná zvýšená opatrnosť. Pri progresii </w:t>
      </w:r>
      <w:r w:rsidR="00301BD2" w:rsidRPr="00821ADF">
        <w:rPr>
          <w:i w:val="0"/>
          <w:lang w:val="sk-SK"/>
        </w:rPr>
        <w:t>po</w:t>
      </w:r>
      <w:r w:rsidR="00301BD2">
        <w:rPr>
          <w:i w:val="0"/>
          <w:lang w:val="sk-SK"/>
        </w:rPr>
        <w:t>ruchy</w:t>
      </w:r>
      <w:r w:rsidR="00301BD2" w:rsidRPr="00821ADF">
        <w:rPr>
          <w:i w:val="0"/>
          <w:lang w:val="sk-SK"/>
        </w:rPr>
        <w:t xml:space="preserve"> </w:t>
      </w:r>
      <w:r w:rsidRPr="00821ADF">
        <w:rPr>
          <w:i w:val="0"/>
          <w:lang w:val="sk-SK"/>
        </w:rPr>
        <w:t>funkcie pečene z mierneho na stredne ťažký stupeň sa má terapia ukončiť (pozri časť 4.4).</w:t>
      </w:r>
    </w:p>
    <w:p w:rsidR="0026280D" w:rsidRPr="00821ADF" w:rsidRDefault="0026280D" w:rsidP="0026280D">
      <w:pPr>
        <w:pStyle w:val="Styl4"/>
        <w:rPr>
          <w:lang w:val="sk-SK"/>
        </w:rPr>
      </w:pPr>
      <w:r w:rsidRPr="00821ADF">
        <w:rPr>
          <w:lang w:val="sk-SK"/>
        </w:rPr>
        <w:t>Pacienti s </w:t>
      </w:r>
      <w:r w:rsidR="00B000F2" w:rsidRPr="00821ADF">
        <w:rPr>
          <w:lang w:val="sk-SK"/>
        </w:rPr>
        <w:t>po</w:t>
      </w:r>
      <w:r w:rsidR="00B000F2">
        <w:rPr>
          <w:lang w:val="sk-SK"/>
        </w:rPr>
        <w:t>ruchou</w:t>
      </w:r>
      <w:r w:rsidR="00B000F2" w:rsidRPr="00821ADF">
        <w:rPr>
          <w:lang w:val="sk-SK"/>
        </w:rPr>
        <w:t xml:space="preserve"> </w:t>
      </w:r>
      <w:r w:rsidRPr="00821ADF">
        <w:rPr>
          <w:lang w:val="sk-SK"/>
        </w:rPr>
        <w:t>funkcie obličiek</w:t>
      </w:r>
    </w:p>
    <w:p w:rsidR="0026280D" w:rsidRPr="00821ADF" w:rsidRDefault="0026280D" w:rsidP="0026280D">
      <w:pPr>
        <w:pStyle w:val="Normlndobloku"/>
        <w:rPr>
          <w:lang w:val="sk-SK"/>
        </w:rPr>
      </w:pPr>
      <w:r w:rsidRPr="00821ADF">
        <w:rPr>
          <w:lang w:val="sk-SK"/>
        </w:rPr>
        <w:t>U pacientov s </w:t>
      </w:r>
      <w:r w:rsidR="00B000F2" w:rsidRPr="00821ADF">
        <w:rPr>
          <w:lang w:val="sk-SK"/>
        </w:rPr>
        <w:t>po</w:t>
      </w:r>
      <w:r w:rsidR="00B000F2">
        <w:rPr>
          <w:lang w:val="sk-SK"/>
        </w:rPr>
        <w:t>ruchou</w:t>
      </w:r>
      <w:r w:rsidR="00B000F2" w:rsidRPr="00821ADF">
        <w:rPr>
          <w:lang w:val="sk-SK"/>
        </w:rPr>
        <w:t xml:space="preserve"> </w:t>
      </w:r>
      <w:r w:rsidRPr="00821ADF">
        <w:rPr>
          <w:lang w:val="sk-SK"/>
        </w:rPr>
        <w:t>funkcie obličiek nie je potrebná úprava dávky.</w:t>
      </w:r>
    </w:p>
    <w:p w:rsidR="0026280D" w:rsidRPr="00821ADF" w:rsidRDefault="0026280D" w:rsidP="0026280D">
      <w:pPr>
        <w:pStyle w:val="Styl2"/>
        <w:numPr>
          <w:ilvl w:val="1"/>
          <w:numId w:val="3"/>
        </w:numPr>
        <w:spacing w:before="120" w:after="120"/>
        <w:ind w:left="357" w:hanging="357"/>
        <w:rPr>
          <w:lang w:val="sk-SK"/>
        </w:rPr>
      </w:pPr>
      <w:r w:rsidRPr="00821ADF">
        <w:rPr>
          <w:lang w:val="sk-SK"/>
        </w:rPr>
        <w:t>Kontraindikácie</w:t>
      </w:r>
    </w:p>
    <w:p w:rsidR="0026280D" w:rsidRPr="00821ADF" w:rsidRDefault="0026280D" w:rsidP="0026280D">
      <w:pPr>
        <w:pStyle w:val="Normlndobloku"/>
        <w:rPr>
          <w:lang w:val="sk-SK"/>
        </w:rPr>
      </w:pPr>
      <w:r w:rsidRPr="00821ADF">
        <w:rPr>
          <w:lang w:val="sk-SK"/>
        </w:rPr>
        <w:t xml:space="preserve">Precitlivenosť na liečivo alebo na ktorúkoľvek z pomocných látok </w:t>
      </w:r>
      <w:r w:rsidR="00B000F2" w:rsidRPr="00B000F2">
        <w:rPr>
          <w:lang w:val="sk-SK"/>
        </w:rPr>
        <w:t>uvedených v časti</w:t>
      </w:r>
      <w:r w:rsidRPr="00821ADF">
        <w:rPr>
          <w:lang w:val="sk-SK"/>
        </w:rPr>
        <w:t xml:space="preserve"> 6.1.</w:t>
      </w:r>
    </w:p>
    <w:p w:rsidR="0026280D" w:rsidRPr="00821ADF" w:rsidRDefault="0026280D" w:rsidP="0026280D">
      <w:pPr>
        <w:pStyle w:val="Normlndobloku"/>
        <w:rPr>
          <w:lang w:val="sk-SK"/>
        </w:rPr>
      </w:pPr>
      <w:r w:rsidRPr="00821ADF">
        <w:rPr>
          <w:lang w:val="sk-SK"/>
        </w:rPr>
        <w:lastRenderedPageBreak/>
        <w:t xml:space="preserve">Súčasná liečba s inými inhibítormi </w:t>
      </w:r>
      <w:proofErr w:type="spellStart"/>
      <w:r w:rsidRPr="00821ADF">
        <w:rPr>
          <w:lang w:val="sk-SK"/>
        </w:rPr>
        <w:t>monoaminooxidázy</w:t>
      </w:r>
      <w:proofErr w:type="spellEnd"/>
      <w:r w:rsidRPr="00821ADF">
        <w:rPr>
          <w:lang w:val="sk-SK"/>
        </w:rPr>
        <w:t xml:space="preserve"> (IMAO) (vrátane liekov a prírodných prípravkov, ktoré nie sú viazané na lekársky predpis, ako napríklad Ľubovník bodkovaný) alebo s </w:t>
      </w:r>
      <w:proofErr w:type="spellStart"/>
      <w:r w:rsidRPr="00821ADF">
        <w:rPr>
          <w:lang w:val="sk-SK"/>
        </w:rPr>
        <w:t>petidínom</w:t>
      </w:r>
      <w:proofErr w:type="spellEnd"/>
      <w:r w:rsidRPr="00821ADF">
        <w:rPr>
          <w:lang w:val="sk-SK"/>
        </w:rPr>
        <w:t xml:space="preserve"> (pozri časť 4.5). Po ukončení liečby </w:t>
      </w:r>
      <w:proofErr w:type="spellStart"/>
      <w:r w:rsidR="00301BD2">
        <w:rPr>
          <w:lang w:val="sk-SK"/>
        </w:rPr>
        <w:t>razagilín</w:t>
      </w:r>
      <w:r w:rsidRPr="00821ADF">
        <w:rPr>
          <w:lang w:val="sk-SK"/>
        </w:rPr>
        <w:t>om</w:t>
      </w:r>
      <w:proofErr w:type="spellEnd"/>
      <w:r w:rsidRPr="00821ADF">
        <w:rPr>
          <w:lang w:val="sk-SK"/>
        </w:rPr>
        <w:t xml:space="preserve"> sa musí počkať minimálne 14 dní pred začatím liečby inhibítormi MAO alebo </w:t>
      </w:r>
      <w:proofErr w:type="spellStart"/>
      <w:r w:rsidRPr="00821ADF">
        <w:rPr>
          <w:lang w:val="sk-SK"/>
        </w:rPr>
        <w:t>petidínom</w:t>
      </w:r>
      <w:proofErr w:type="spellEnd"/>
      <w:r w:rsidRPr="00821ADF">
        <w:rPr>
          <w:lang w:val="sk-SK"/>
        </w:rPr>
        <w:t>.</w:t>
      </w:r>
    </w:p>
    <w:p w:rsidR="0026280D" w:rsidRPr="00821ADF" w:rsidRDefault="00301BD2" w:rsidP="0026280D">
      <w:pPr>
        <w:pStyle w:val="Normlndobloku"/>
        <w:rPr>
          <w:lang w:val="sk-SK"/>
        </w:rPr>
      </w:pPr>
      <w:proofErr w:type="spellStart"/>
      <w:r>
        <w:rPr>
          <w:lang w:val="sk-SK"/>
        </w:rPr>
        <w:t>Razagilín</w:t>
      </w:r>
      <w:proofErr w:type="spellEnd"/>
      <w:r w:rsidR="0026280D" w:rsidRPr="00821ADF">
        <w:rPr>
          <w:lang w:val="sk-SK"/>
        </w:rPr>
        <w:t xml:space="preserve"> je kontraindikovaný u pacientov </w:t>
      </w:r>
      <w:r w:rsidR="00B000F2" w:rsidRPr="00B000F2">
        <w:rPr>
          <w:lang w:val="sk-SK"/>
        </w:rPr>
        <w:t>so závažnou poruchou funkcie</w:t>
      </w:r>
      <w:r w:rsidR="0026280D" w:rsidRPr="00821ADF">
        <w:rPr>
          <w:lang w:val="sk-SK"/>
        </w:rPr>
        <w:t xml:space="preserve"> pečene.</w:t>
      </w:r>
    </w:p>
    <w:p w:rsidR="0026280D" w:rsidRPr="00821ADF" w:rsidRDefault="0026280D" w:rsidP="0026280D">
      <w:pPr>
        <w:pStyle w:val="Styl2"/>
        <w:numPr>
          <w:ilvl w:val="1"/>
          <w:numId w:val="3"/>
        </w:numPr>
        <w:spacing w:before="120" w:after="120"/>
        <w:ind w:left="357" w:hanging="357"/>
        <w:rPr>
          <w:lang w:val="sk-SK"/>
        </w:rPr>
      </w:pPr>
      <w:r w:rsidRPr="00821ADF">
        <w:rPr>
          <w:lang w:val="sk-SK"/>
        </w:rPr>
        <w:t>Osobitné upozornenia a opatrenia pri používaní</w:t>
      </w:r>
    </w:p>
    <w:p w:rsidR="00C15776" w:rsidRDefault="00301BD2" w:rsidP="0026280D">
      <w:pPr>
        <w:pStyle w:val="Normlndobloku"/>
        <w:rPr>
          <w:lang w:val="sk-SK"/>
        </w:rPr>
      </w:pPr>
      <w:proofErr w:type="spellStart"/>
      <w:r>
        <w:rPr>
          <w:lang w:val="sk-SK"/>
        </w:rPr>
        <w:t>Razagilín</w:t>
      </w:r>
      <w:proofErr w:type="spellEnd"/>
      <w:r w:rsidR="0026280D" w:rsidRPr="00821ADF">
        <w:rPr>
          <w:lang w:val="sk-SK"/>
        </w:rPr>
        <w:t xml:space="preserve"> sa nemá podávať súčasne s </w:t>
      </w:r>
      <w:proofErr w:type="spellStart"/>
      <w:r w:rsidR="0026280D" w:rsidRPr="00821ADF">
        <w:rPr>
          <w:lang w:val="sk-SK"/>
        </w:rPr>
        <w:t>fluoxetínom</w:t>
      </w:r>
      <w:proofErr w:type="spellEnd"/>
      <w:r w:rsidR="0026280D" w:rsidRPr="00821ADF">
        <w:rPr>
          <w:lang w:val="sk-SK"/>
        </w:rPr>
        <w:t xml:space="preserve"> alebo </w:t>
      </w:r>
      <w:proofErr w:type="spellStart"/>
      <w:r w:rsidR="0026280D" w:rsidRPr="00821ADF">
        <w:rPr>
          <w:lang w:val="sk-SK"/>
        </w:rPr>
        <w:t>fluvoxamínom</w:t>
      </w:r>
      <w:proofErr w:type="spellEnd"/>
      <w:r w:rsidR="0026280D" w:rsidRPr="00821ADF">
        <w:rPr>
          <w:lang w:val="sk-SK"/>
        </w:rPr>
        <w:t xml:space="preserve"> (pozri časť. 4.5). Po ukončení liečby </w:t>
      </w:r>
      <w:proofErr w:type="spellStart"/>
      <w:r w:rsidR="0026280D" w:rsidRPr="00821ADF">
        <w:rPr>
          <w:lang w:val="sk-SK"/>
        </w:rPr>
        <w:t>fluoxetínom</w:t>
      </w:r>
      <w:proofErr w:type="spellEnd"/>
      <w:r w:rsidR="0026280D" w:rsidRPr="00821ADF">
        <w:rPr>
          <w:lang w:val="sk-SK"/>
        </w:rPr>
        <w:t xml:space="preserve"> sa má počkať aspoň 5 týždňov pred začatím liečby </w:t>
      </w:r>
      <w:proofErr w:type="spellStart"/>
      <w:r>
        <w:rPr>
          <w:lang w:val="sk-SK"/>
        </w:rPr>
        <w:t>razagilín</w:t>
      </w:r>
      <w:r w:rsidR="0026280D" w:rsidRPr="00821ADF">
        <w:rPr>
          <w:lang w:val="sk-SK"/>
        </w:rPr>
        <w:t>om</w:t>
      </w:r>
      <w:proofErr w:type="spellEnd"/>
      <w:r w:rsidR="0026280D" w:rsidRPr="00821ADF">
        <w:rPr>
          <w:lang w:val="sk-SK"/>
        </w:rPr>
        <w:t xml:space="preserve">. Po ukončení liečby </w:t>
      </w:r>
      <w:proofErr w:type="spellStart"/>
      <w:r>
        <w:rPr>
          <w:lang w:val="sk-SK"/>
        </w:rPr>
        <w:t>razagilín</w:t>
      </w:r>
      <w:r w:rsidR="0026280D" w:rsidRPr="00821ADF">
        <w:rPr>
          <w:lang w:val="sk-SK"/>
        </w:rPr>
        <w:t>om</w:t>
      </w:r>
      <w:proofErr w:type="spellEnd"/>
      <w:r w:rsidR="0026280D" w:rsidRPr="00821ADF">
        <w:rPr>
          <w:lang w:val="sk-SK"/>
        </w:rPr>
        <w:t xml:space="preserve"> sa má počkať aspoň 14 dní pr</w:t>
      </w:r>
      <w:r w:rsidR="00743910">
        <w:rPr>
          <w:lang w:val="sk-SK"/>
        </w:rPr>
        <w:t xml:space="preserve">ed začatím liečby </w:t>
      </w:r>
      <w:proofErr w:type="spellStart"/>
      <w:r w:rsidR="00743910">
        <w:rPr>
          <w:lang w:val="sk-SK"/>
        </w:rPr>
        <w:t>fluoxetínom</w:t>
      </w:r>
      <w:proofErr w:type="spellEnd"/>
      <w:r w:rsidR="00743910">
        <w:rPr>
          <w:lang w:val="sk-SK"/>
        </w:rPr>
        <w:t xml:space="preserve"> a </w:t>
      </w:r>
      <w:proofErr w:type="spellStart"/>
      <w:r w:rsidR="0026280D" w:rsidRPr="00821ADF">
        <w:rPr>
          <w:lang w:val="sk-SK"/>
        </w:rPr>
        <w:t>fluvoxamínom</w:t>
      </w:r>
      <w:proofErr w:type="spellEnd"/>
      <w:r w:rsidR="0026280D" w:rsidRPr="00821ADF">
        <w:rPr>
          <w:lang w:val="sk-SK"/>
        </w:rPr>
        <w:t>.</w:t>
      </w:r>
    </w:p>
    <w:p w:rsidR="00C15776" w:rsidRDefault="0026280D" w:rsidP="0026280D">
      <w:pPr>
        <w:pStyle w:val="Normlndobloku"/>
        <w:rPr>
          <w:lang w:val="sk-SK"/>
        </w:rPr>
      </w:pPr>
      <w:r w:rsidRPr="00821ADF">
        <w:rPr>
          <w:lang w:val="sk-SK"/>
        </w:rPr>
        <w:t xml:space="preserve">U pacientov liečených </w:t>
      </w:r>
      <w:proofErr w:type="spellStart"/>
      <w:r w:rsidRPr="00821ADF">
        <w:rPr>
          <w:lang w:val="sk-SK"/>
        </w:rPr>
        <w:t>dopamínovými</w:t>
      </w:r>
      <w:proofErr w:type="spellEnd"/>
      <w:r w:rsidRPr="00821ADF">
        <w:rPr>
          <w:lang w:val="sk-SK"/>
        </w:rPr>
        <w:t xml:space="preserve"> </w:t>
      </w:r>
      <w:proofErr w:type="spellStart"/>
      <w:r w:rsidRPr="00821ADF">
        <w:rPr>
          <w:lang w:val="sk-SK"/>
        </w:rPr>
        <w:t>agonistami</w:t>
      </w:r>
      <w:proofErr w:type="spellEnd"/>
      <w:r w:rsidRPr="00821ADF">
        <w:rPr>
          <w:lang w:val="sk-SK"/>
        </w:rPr>
        <w:t xml:space="preserve"> a/alebo pri inej </w:t>
      </w:r>
      <w:proofErr w:type="spellStart"/>
      <w:r w:rsidR="00B000F2" w:rsidRPr="00821ADF">
        <w:rPr>
          <w:lang w:val="sk-SK"/>
        </w:rPr>
        <w:t>dopamínerg</w:t>
      </w:r>
      <w:r w:rsidR="00B000F2">
        <w:rPr>
          <w:lang w:val="sk-SK"/>
        </w:rPr>
        <w:t>n</w:t>
      </w:r>
      <w:r w:rsidR="00B000F2" w:rsidRPr="00821ADF">
        <w:rPr>
          <w:lang w:val="sk-SK"/>
        </w:rPr>
        <w:t>ej</w:t>
      </w:r>
      <w:proofErr w:type="spellEnd"/>
      <w:r w:rsidR="00B000F2" w:rsidRPr="00821ADF">
        <w:rPr>
          <w:lang w:val="sk-SK"/>
        </w:rPr>
        <w:t xml:space="preserve"> </w:t>
      </w:r>
      <w:r w:rsidRPr="00821ADF">
        <w:rPr>
          <w:lang w:val="sk-SK"/>
        </w:rPr>
        <w:t xml:space="preserve">liečbe môže vzniknúť porucha kontroly impulzov. Podobné hlásenia týkajúce sa poruchy kontroly impulzov boli zaznamenané </w:t>
      </w:r>
      <w:r w:rsidR="00B000F2" w:rsidRPr="00B000F2">
        <w:rPr>
          <w:lang w:val="sk-SK"/>
        </w:rPr>
        <w:t xml:space="preserve">po uvedení </w:t>
      </w:r>
      <w:proofErr w:type="spellStart"/>
      <w:r w:rsidR="00B000F2" w:rsidRPr="00B000F2">
        <w:rPr>
          <w:lang w:val="sk-SK"/>
        </w:rPr>
        <w:t>razagilínu</w:t>
      </w:r>
      <w:proofErr w:type="spellEnd"/>
      <w:r w:rsidR="00B000F2" w:rsidRPr="00B000F2">
        <w:rPr>
          <w:lang w:val="sk-SK"/>
        </w:rPr>
        <w:t xml:space="preserve"> na trh</w:t>
      </w:r>
      <w:r w:rsidRPr="00821ADF">
        <w:rPr>
          <w:lang w:val="sk-SK"/>
        </w:rPr>
        <w:t xml:space="preserve">. Pacienti majú byť pravidelne monitorovaní kvôli rozvinutiu porúch kontroly impulzov. Pacientov a ich ošetrujúcich je potrebné upozorniť na prejavy v správaní pri poruchách kontroly impulzov, ktoré boli pozorované u pacientov liečených </w:t>
      </w:r>
      <w:proofErr w:type="spellStart"/>
      <w:r w:rsidR="00301BD2">
        <w:rPr>
          <w:lang w:val="sk-SK"/>
        </w:rPr>
        <w:t>razagilín</w:t>
      </w:r>
      <w:r w:rsidRPr="00821ADF">
        <w:rPr>
          <w:lang w:val="sk-SK"/>
        </w:rPr>
        <w:t>om</w:t>
      </w:r>
      <w:proofErr w:type="spellEnd"/>
      <w:r w:rsidRPr="00821ADF">
        <w:rPr>
          <w:lang w:val="sk-SK"/>
        </w:rPr>
        <w:t xml:space="preserve"> vrátane prípadov nutkania, </w:t>
      </w:r>
      <w:proofErr w:type="spellStart"/>
      <w:r w:rsidRPr="00821ADF">
        <w:rPr>
          <w:lang w:val="sk-SK"/>
        </w:rPr>
        <w:t>obsesívnych</w:t>
      </w:r>
      <w:proofErr w:type="spellEnd"/>
      <w:r w:rsidRPr="00821ADF">
        <w:rPr>
          <w:lang w:val="sk-SK"/>
        </w:rPr>
        <w:t xml:space="preserve"> myšlienok, patologického hráčstva, zvýšeného libida, </w:t>
      </w:r>
      <w:proofErr w:type="spellStart"/>
      <w:r w:rsidRPr="00821ADF">
        <w:rPr>
          <w:lang w:val="sk-SK"/>
        </w:rPr>
        <w:t>hypersexuality</w:t>
      </w:r>
      <w:proofErr w:type="spellEnd"/>
      <w:r w:rsidRPr="00821ADF">
        <w:rPr>
          <w:lang w:val="sk-SK"/>
        </w:rPr>
        <w:t xml:space="preserve">, impulzívneho </w:t>
      </w:r>
      <w:r w:rsidR="00B94D60" w:rsidRPr="00821ADF">
        <w:rPr>
          <w:lang w:val="sk-SK"/>
        </w:rPr>
        <w:t>správania</w:t>
      </w:r>
      <w:r w:rsidRPr="00821ADF">
        <w:rPr>
          <w:lang w:val="sk-SK"/>
        </w:rPr>
        <w:t xml:space="preserve"> sa, chorobného utrácania alebo nakupovania.</w:t>
      </w:r>
    </w:p>
    <w:p w:rsidR="00C15776" w:rsidRDefault="0026280D" w:rsidP="0026280D">
      <w:pPr>
        <w:pStyle w:val="Normlndobloku"/>
        <w:rPr>
          <w:lang w:val="sk-SK"/>
        </w:rPr>
      </w:pPr>
      <w:r w:rsidRPr="00821ADF">
        <w:rPr>
          <w:lang w:val="sk-SK"/>
        </w:rPr>
        <w:t xml:space="preserve">Vzhľadom na to že </w:t>
      </w:r>
      <w:proofErr w:type="spellStart"/>
      <w:r w:rsidR="00301BD2">
        <w:rPr>
          <w:lang w:val="sk-SK"/>
        </w:rPr>
        <w:t>razagilín</w:t>
      </w:r>
      <w:proofErr w:type="spellEnd"/>
      <w:r w:rsidRPr="00821ADF">
        <w:rPr>
          <w:lang w:val="sk-SK"/>
        </w:rPr>
        <w:t xml:space="preserve"> zosilňuje účinky </w:t>
      </w:r>
      <w:proofErr w:type="spellStart"/>
      <w:r w:rsidRPr="00821ADF">
        <w:rPr>
          <w:lang w:val="sk-SK"/>
        </w:rPr>
        <w:t>levodopy</w:t>
      </w:r>
      <w:proofErr w:type="spellEnd"/>
      <w:r w:rsidRPr="00821ADF">
        <w:rPr>
          <w:lang w:val="sk-SK"/>
        </w:rPr>
        <w:t xml:space="preserve">, nežiaduce účinky </w:t>
      </w:r>
      <w:proofErr w:type="spellStart"/>
      <w:r w:rsidRPr="00821ADF">
        <w:rPr>
          <w:lang w:val="sk-SK"/>
        </w:rPr>
        <w:t>levodopy</w:t>
      </w:r>
      <w:proofErr w:type="spellEnd"/>
      <w:r w:rsidRPr="00821ADF">
        <w:rPr>
          <w:lang w:val="sk-SK"/>
        </w:rPr>
        <w:t xml:space="preserve"> sa môžu zvýšiť a existujúca </w:t>
      </w:r>
      <w:proofErr w:type="spellStart"/>
      <w:r w:rsidR="00B94D60" w:rsidRPr="00821ADF">
        <w:rPr>
          <w:lang w:val="sk-SK"/>
        </w:rPr>
        <w:t>dyskinéza</w:t>
      </w:r>
      <w:proofErr w:type="spellEnd"/>
      <w:r w:rsidRPr="00821ADF">
        <w:rPr>
          <w:lang w:val="sk-SK"/>
        </w:rPr>
        <w:t xml:space="preserve"> </w:t>
      </w:r>
      <w:r w:rsidR="00B000F2">
        <w:rPr>
          <w:lang w:val="sk-SK"/>
        </w:rPr>
        <w:t>zhorš</w:t>
      </w:r>
      <w:r w:rsidR="00B000F2" w:rsidRPr="00821ADF">
        <w:rPr>
          <w:lang w:val="sk-SK"/>
        </w:rPr>
        <w:t>iť</w:t>
      </w:r>
      <w:r w:rsidRPr="00821ADF">
        <w:rPr>
          <w:lang w:val="sk-SK"/>
        </w:rPr>
        <w:t xml:space="preserve">. Znížením dávky </w:t>
      </w:r>
      <w:proofErr w:type="spellStart"/>
      <w:r w:rsidRPr="00821ADF">
        <w:rPr>
          <w:lang w:val="sk-SK"/>
        </w:rPr>
        <w:t>levodopy</w:t>
      </w:r>
      <w:proofErr w:type="spellEnd"/>
      <w:r w:rsidRPr="00821ADF">
        <w:rPr>
          <w:lang w:val="sk-SK"/>
        </w:rPr>
        <w:t xml:space="preserve"> sa môžu zmierniť tieto nežiaduce účinky.</w:t>
      </w:r>
    </w:p>
    <w:p w:rsidR="00C15776" w:rsidRDefault="0026280D" w:rsidP="0026280D">
      <w:pPr>
        <w:pStyle w:val="Normlndobloku"/>
        <w:rPr>
          <w:lang w:val="sk-SK"/>
        </w:rPr>
      </w:pPr>
      <w:r w:rsidRPr="00821ADF">
        <w:rPr>
          <w:lang w:val="sk-SK"/>
        </w:rPr>
        <w:t xml:space="preserve">Pri súčasnom užívaní </w:t>
      </w:r>
      <w:proofErr w:type="spellStart"/>
      <w:r w:rsidR="00301BD2">
        <w:rPr>
          <w:lang w:val="sk-SK"/>
        </w:rPr>
        <w:t>razagilín</w:t>
      </w:r>
      <w:r w:rsidRPr="00821ADF">
        <w:rPr>
          <w:lang w:val="sk-SK"/>
        </w:rPr>
        <w:t>u</w:t>
      </w:r>
      <w:proofErr w:type="spellEnd"/>
      <w:r w:rsidRPr="00821ADF">
        <w:rPr>
          <w:lang w:val="sk-SK"/>
        </w:rPr>
        <w:t xml:space="preserve"> a </w:t>
      </w:r>
      <w:proofErr w:type="spellStart"/>
      <w:r w:rsidRPr="00821ADF">
        <w:rPr>
          <w:lang w:val="sk-SK"/>
        </w:rPr>
        <w:t>levodopy</w:t>
      </w:r>
      <w:proofErr w:type="spellEnd"/>
      <w:r w:rsidRPr="00821ADF">
        <w:rPr>
          <w:lang w:val="sk-SK"/>
        </w:rPr>
        <w:t xml:space="preserve"> boli zaznamenané </w:t>
      </w:r>
      <w:proofErr w:type="spellStart"/>
      <w:r w:rsidRPr="00821ADF">
        <w:rPr>
          <w:lang w:val="sk-SK"/>
        </w:rPr>
        <w:t>hypotenzívne</w:t>
      </w:r>
      <w:proofErr w:type="spellEnd"/>
      <w:r w:rsidRPr="00821ADF">
        <w:rPr>
          <w:lang w:val="sk-SK"/>
        </w:rPr>
        <w:t xml:space="preserve"> účinky. Pacienti s </w:t>
      </w:r>
      <w:proofErr w:type="spellStart"/>
      <w:r w:rsidR="00B94D60" w:rsidRPr="00821ADF">
        <w:rPr>
          <w:lang w:val="sk-SK"/>
        </w:rPr>
        <w:t>Parkinsonovou</w:t>
      </w:r>
      <w:proofErr w:type="spellEnd"/>
      <w:r w:rsidRPr="00821ADF">
        <w:rPr>
          <w:lang w:val="sk-SK"/>
        </w:rPr>
        <w:t xml:space="preserve"> chorobou sú obzvlášť vystavení nežiaducemu účinku hypotenzie kvôli pretrvávajúcim ťažkostiam pri chôdzi.</w:t>
      </w:r>
    </w:p>
    <w:p w:rsidR="00C15776" w:rsidRDefault="0026280D" w:rsidP="0026280D">
      <w:pPr>
        <w:pStyle w:val="Normlndobloku"/>
        <w:rPr>
          <w:lang w:val="sk-SK"/>
        </w:rPr>
      </w:pPr>
      <w:r w:rsidRPr="00821ADF">
        <w:rPr>
          <w:lang w:val="sk-SK"/>
        </w:rPr>
        <w:t xml:space="preserve">Neodporúča sa súčasné užívanie </w:t>
      </w:r>
      <w:proofErr w:type="spellStart"/>
      <w:r w:rsidR="00301BD2">
        <w:rPr>
          <w:lang w:val="sk-SK"/>
        </w:rPr>
        <w:t>razagilín</w:t>
      </w:r>
      <w:r w:rsidRPr="00821ADF">
        <w:rPr>
          <w:lang w:val="sk-SK"/>
        </w:rPr>
        <w:t>u</w:t>
      </w:r>
      <w:proofErr w:type="spellEnd"/>
      <w:r w:rsidRPr="00821ADF">
        <w:rPr>
          <w:lang w:val="sk-SK"/>
        </w:rPr>
        <w:t xml:space="preserve"> a </w:t>
      </w:r>
      <w:proofErr w:type="spellStart"/>
      <w:r w:rsidRPr="00821ADF">
        <w:rPr>
          <w:lang w:val="sk-SK"/>
        </w:rPr>
        <w:t>dextrometorfánu</w:t>
      </w:r>
      <w:proofErr w:type="spellEnd"/>
      <w:r w:rsidRPr="00821ADF">
        <w:rPr>
          <w:lang w:val="sk-SK"/>
        </w:rPr>
        <w:t xml:space="preserve"> alebo takých </w:t>
      </w:r>
      <w:proofErr w:type="spellStart"/>
      <w:r w:rsidRPr="00821ADF">
        <w:rPr>
          <w:lang w:val="sk-SK"/>
        </w:rPr>
        <w:t>sympatomimetík</w:t>
      </w:r>
      <w:proofErr w:type="spellEnd"/>
      <w:r w:rsidRPr="00821ADF">
        <w:rPr>
          <w:lang w:val="sk-SK"/>
        </w:rPr>
        <w:t xml:space="preserve">, ktoré sú prítomné v nosových a </w:t>
      </w:r>
      <w:r w:rsidR="00B000F2">
        <w:rPr>
          <w:lang w:val="sk-SK"/>
        </w:rPr>
        <w:t>per</w:t>
      </w:r>
      <w:r w:rsidRPr="00821ADF">
        <w:rPr>
          <w:lang w:val="sk-SK"/>
        </w:rPr>
        <w:t xml:space="preserve">orálnych </w:t>
      </w:r>
      <w:proofErr w:type="spellStart"/>
      <w:r w:rsidRPr="00821ADF">
        <w:rPr>
          <w:lang w:val="sk-SK"/>
        </w:rPr>
        <w:t>dekongestívach</w:t>
      </w:r>
      <w:proofErr w:type="spellEnd"/>
      <w:r w:rsidRPr="00821ADF">
        <w:rPr>
          <w:lang w:val="sk-SK"/>
        </w:rPr>
        <w:t xml:space="preserve"> ako ani liekov na nádchu, ktoré obsahujú </w:t>
      </w:r>
      <w:proofErr w:type="spellStart"/>
      <w:r w:rsidRPr="00821ADF">
        <w:rPr>
          <w:lang w:val="sk-SK"/>
        </w:rPr>
        <w:t>efedrín</w:t>
      </w:r>
      <w:proofErr w:type="spellEnd"/>
      <w:r w:rsidRPr="00821ADF">
        <w:rPr>
          <w:lang w:val="sk-SK"/>
        </w:rPr>
        <w:t xml:space="preserve"> alebo </w:t>
      </w:r>
      <w:proofErr w:type="spellStart"/>
      <w:r w:rsidRPr="00821ADF">
        <w:rPr>
          <w:lang w:val="sk-SK"/>
        </w:rPr>
        <w:t>pseudoefedrín</w:t>
      </w:r>
      <w:proofErr w:type="spellEnd"/>
      <w:r w:rsidRPr="00821ADF">
        <w:rPr>
          <w:lang w:val="sk-SK"/>
        </w:rPr>
        <w:t xml:space="preserve"> (pozri časť 4.5).</w:t>
      </w:r>
    </w:p>
    <w:p w:rsidR="00C15776" w:rsidRDefault="0026280D" w:rsidP="0026280D">
      <w:pPr>
        <w:pStyle w:val="Normlndobloku"/>
        <w:rPr>
          <w:lang w:val="sk-SK"/>
        </w:rPr>
      </w:pPr>
      <w:r w:rsidRPr="00821ADF">
        <w:rPr>
          <w:lang w:val="sk-SK"/>
        </w:rPr>
        <w:t>Výskyt prípadov melanómu počas programu klinického vývoja upriamil pozornosť na možné spojenie s </w:t>
      </w:r>
      <w:proofErr w:type="spellStart"/>
      <w:r w:rsidR="00301BD2">
        <w:rPr>
          <w:lang w:val="sk-SK"/>
        </w:rPr>
        <w:t>razagilín</w:t>
      </w:r>
      <w:r w:rsidRPr="00821ADF">
        <w:rPr>
          <w:lang w:val="sk-SK"/>
        </w:rPr>
        <w:t>om</w:t>
      </w:r>
      <w:proofErr w:type="spellEnd"/>
      <w:r w:rsidRPr="00821ADF">
        <w:rPr>
          <w:lang w:val="sk-SK"/>
        </w:rPr>
        <w:t xml:space="preserve">. Zozbierané údaje naznačujú, že </w:t>
      </w:r>
      <w:proofErr w:type="spellStart"/>
      <w:r w:rsidRPr="00821ADF">
        <w:rPr>
          <w:lang w:val="sk-SK"/>
        </w:rPr>
        <w:t>Parkinsonova</w:t>
      </w:r>
      <w:proofErr w:type="spellEnd"/>
      <w:r w:rsidRPr="00821ADF">
        <w:rPr>
          <w:lang w:val="sk-SK"/>
        </w:rPr>
        <w:t xml:space="preserve"> choroba, a nie žiaden konkrétny liek, je spojená so zvýšeným rizikom rakoviny kože (nie výlučne melanómu). Akékoľvek podozrivé poškodenie kože má prehodnotiť špecialista.</w:t>
      </w:r>
    </w:p>
    <w:p w:rsidR="00C15776" w:rsidRDefault="0026280D" w:rsidP="0026280D">
      <w:pPr>
        <w:pStyle w:val="Normlndobloku"/>
        <w:rPr>
          <w:lang w:val="sk-SK"/>
        </w:rPr>
      </w:pPr>
      <w:r w:rsidRPr="00821ADF">
        <w:rPr>
          <w:lang w:val="sk-SK"/>
        </w:rPr>
        <w:t xml:space="preserve">Pri začatí liečby </w:t>
      </w:r>
      <w:proofErr w:type="spellStart"/>
      <w:r w:rsidR="00301BD2">
        <w:rPr>
          <w:lang w:val="sk-SK"/>
        </w:rPr>
        <w:t>razagilín</w:t>
      </w:r>
      <w:r w:rsidRPr="00821ADF">
        <w:rPr>
          <w:lang w:val="sk-SK"/>
        </w:rPr>
        <w:t>om</w:t>
      </w:r>
      <w:proofErr w:type="spellEnd"/>
      <w:r w:rsidRPr="00821ADF">
        <w:rPr>
          <w:lang w:val="sk-SK"/>
        </w:rPr>
        <w:t xml:space="preserve"> je potrebná zvýšená opatrnosť u pacientov s </w:t>
      </w:r>
      <w:r w:rsidR="00A00529" w:rsidRPr="00821ADF">
        <w:rPr>
          <w:lang w:val="sk-SK"/>
        </w:rPr>
        <w:t>miern</w:t>
      </w:r>
      <w:r w:rsidR="00A00529">
        <w:rPr>
          <w:lang w:val="sk-SK"/>
        </w:rPr>
        <w:t>ou</w:t>
      </w:r>
      <w:r w:rsidR="00A00529" w:rsidRPr="00821ADF">
        <w:rPr>
          <w:lang w:val="sk-SK"/>
        </w:rPr>
        <w:t xml:space="preserve"> po</w:t>
      </w:r>
      <w:r w:rsidR="00A00529">
        <w:rPr>
          <w:lang w:val="sk-SK"/>
        </w:rPr>
        <w:t>ruch</w:t>
      </w:r>
      <w:r w:rsidR="00A00529" w:rsidRPr="00821ADF">
        <w:rPr>
          <w:lang w:val="sk-SK"/>
        </w:rPr>
        <w:t xml:space="preserve">ou </w:t>
      </w:r>
      <w:r w:rsidR="00A00529">
        <w:rPr>
          <w:lang w:val="sk-SK"/>
        </w:rPr>
        <w:t>funkcie</w:t>
      </w:r>
      <w:r w:rsidR="00A00529" w:rsidRPr="00821ADF">
        <w:rPr>
          <w:lang w:val="sk-SK"/>
        </w:rPr>
        <w:t xml:space="preserve"> </w:t>
      </w:r>
      <w:r w:rsidRPr="00821ADF">
        <w:rPr>
          <w:lang w:val="sk-SK"/>
        </w:rPr>
        <w:t xml:space="preserve">pečene. Je potrebné vyvarovať sa podávaniu </w:t>
      </w:r>
      <w:proofErr w:type="spellStart"/>
      <w:r w:rsidR="00301BD2">
        <w:rPr>
          <w:lang w:val="sk-SK"/>
        </w:rPr>
        <w:t>razagilín</w:t>
      </w:r>
      <w:r w:rsidRPr="00821ADF">
        <w:rPr>
          <w:lang w:val="sk-SK"/>
        </w:rPr>
        <w:t>u</w:t>
      </w:r>
      <w:proofErr w:type="spellEnd"/>
      <w:r w:rsidRPr="00821ADF">
        <w:rPr>
          <w:lang w:val="sk-SK"/>
        </w:rPr>
        <w:t xml:space="preserve"> pacientom so stredne </w:t>
      </w:r>
      <w:r w:rsidR="00A00529">
        <w:rPr>
          <w:lang w:val="sk-SK"/>
        </w:rPr>
        <w:t>závažnou</w:t>
      </w:r>
      <w:r w:rsidR="00A00529" w:rsidRPr="00821ADF">
        <w:rPr>
          <w:lang w:val="sk-SK"/>
        </w:rPr>
        <w:t xml:space="preserve"> po</w:t>
      </w:r>
      <w:r w:rsidR="00A00529">
        <w:rPr>
          <w:lang w:val="sk-SK"/>
        </w:rPr>
        <w:t>ruchou</w:t>
      </w:r>
      <w:r w:rsidR="00A00529" w:rsidRPr="00821ADF">
        <w:rPr>
          <w:lang w:val="sk-SK"/>
        </w:rPr>
        <w:t xml:space="preserve"> </w:t>
      </w:r>
      <w:r w:rsidRPr="00821ADF">
        <w:rPr>
          <w:lang w:val="sk-SK"/>
        </w:rPr>
        <w:t xml:space="preserve">funkcie pečene. Liečba </w:t>
      </w:r>
      <w:proofErr w:type="spellStart"/>
      <w:r w:rsidR="00301BD2">
        <w:rPr>
          <w:lang w:val="sk-SK"/>
        </w:rPr>
        <w:t>razagilín</w:t>
      </w:r>
      <w:r w:rsidRPr="00821ADF">
        <w:rPr>
          <w:lang w:val="sk-SK"/>
        </w:rPr>
        <w:t>om</w:t>
      </w:r>
      <w:proofErr w:type="spellEnd"/>
      <w:r w:rsidRPr="00821ADF">
        <w:rPr>
          <w:lang w:val="sk-SK"/>
        </w:rPr>
        <w:t xml:space="preserve"> sa má ukončiť v prípade, že sa </w:t>
      </w:r>
      <w:r w:rsidR="00A00529" w:rsidRPr="00821ADF">
        <w:rPr>
          <w:lang w:val="sk-SK"/>
        </w:rPr>
        <w:t>po</w:t>
      </w:r>
      <w:r w:rsidR="00A00529">
        <w:rPr>
          <w:lang w:val="sk-SK"/>
        </w:rPr>
        <w:t>rucha</w:t>
      </w:r>
      <w:r w:rsidR="00A00529" w:rsidRPr="00821ADF">
        <w:rPr>
          <w:lang w:val="sk-SK"/>
        </w:rPr>
        <w:t xml:space="preserve"> </w:t>
      </w:r>
      <w:r w:rsidRPr="00821ADF">
        <w:rPr>
          <w:lang w:val="sk-SK"/>
        </w:rPr>
        <w:t>funkcie pečene zhorší z mierneho na stredne ťažký stupeň (pozri časť 5.2).</w:t>
      </w:r>
    </w:p>
    <w:p w:rsidR="0026280D" w:rsidRPr="00821ADF" w:rsidRDefault="0026280D" w:rsidP="0026280D">
      <w:pPr>
        <w:pStyle w:val="Styl2"/>
        <w:numPr>
          <w:ilvl w:val="1"/>
          <w:numId w:val="3"/>
        </w:numPr>
        <w:spacing w:before="120" w:after="120"/>
        <w:ind w:left="357" w:hanging="357"/>
        <w:rPr>
          <w:lang w:val="sk-SK"/>
        </w:rPr>
      </w:pPr>
      <w:r w:rsidRPr="00821ADF">
        <w:rPr>
          <w:lang w:val="sk-SK"/>
        </w:rPr>
        <w:t>Liekové a iné interakcie</w:t>
      </w:r>
    </w:p>
    <w:p w:rsidR="00C15776" w:rsidRDefault="0026280D" w:rsidP="0026280D">
      <w:pPr>
        <w:pStyle w:val="Normlndobloku"/>
        <w:rPr>
          <w:lang w:val="sk-SK"/>
        </w:rPr>
      </w:pPr>
      <w:r w:rsidRPr="00821ADF">
        <w:rPr>
          <w:lang w:val="sk-SK"/>
        </w:rPr>
        <w:t>Medzi neselektívnymi inhibítormi MAO a inými liekmi dochádza k mnohým známym interakciám.</w:t>
      </w:r>
    </w:p>
    <w:p w:rsidR="00C15776" w:rsidRDefault="00301BD2" w:rsidP="0026280D">
      <w:pPr>
        <w:pStyle w:val="Normlndobloku"/>
        <w:rPr>
          <w:lang w:val="sk-SK"/>
        </w:rPr>
      </w:pPr>
      <w:proofErr w:type="spellStart"/>
      <w:r>
        <w:rPr>
          <w:lang w:val="sk-SK"/>
        </w:rPr>
        <w:t>Razagilín</w:t>
      </w:r>
      <w:proofErr w:type="spellEnd"/>
      <w:r w:rsidR="0026280D" w:rsidRPr="00821ADF">
        <w:rPr>
          <w:lang w:val="sk-SK"/>
        </w:rPr>
        <w:t xml:space="preserve"> sa nesmie podávať spolu s inými inhibítormi MAO (vrátane liekov a prírodných prípravkov, ktoré nie sú viazané na lekársky predpis, ako napríklad ľubovník bodkovaný), pretože nastáva riziko neselektívnej inhibície MAO, ktorá môže spôsobiť </w:t>
      </w:r>
      <w:proofErr w:type="spellStart"/>
      <w:r w:rsidR="0026280D" w:rsidRPr="00821ADF">
        <w:rPr>
          <w:lang w:val="sk-SK"/>
        </w:rPr>
        <w:t>hypertenznú</w:t>
      </w:r>
      <w:proofErr w:type="spellEnd"/>
      <w:r w:rsidR="0026280D" w:rsidRPr="00821ADF">
        <w:rPr>
          <w:lang w:val="sk-SK"/>
        </w:rPr>
        <w:t xml:space="preserve"> krízu (pozri časť 4.3).</w:t>
      </w:r>
    </w:p>
    <w:p w:rsidR="00C15776" w:rsidRDefault="0026280D" w:rsidP="0026280D">
      <w:pPr>
        <w:pStyle w:val="Normlndobloku"/>
        <w:rPr>
          <w:lang w:val="sk-SK"/>
        </w:rPr>
      </w:pPr>
      <w:r w:rsidRPr="00821ADF">
        <w:rPr>
          <w:lang w:val="sk-SK"/>
        </w:rPr>
        <w:t xml:space="preserve">Vážne nežiaduce reakcie boli zaznamenané pri súčasnom podávaní </w:t>
      </w:r>
      <w:proofErr w:type="spellStart"/>
      <w:r w:rsidRPr="00821ADF">
        <w:rPr>
          <w:lang w:val="sk-SK"/>
        </w:rPr>
        <w:t>petidínu</w:t>
      </w:r>
      <w:proofErr w:type="spellEnd"/>
      <w:r w:rsidRPr="00821ADF">
        <w:rPr>
          <w:lang w:val="sk-SK"/>
        </w:rPr>
        <w:t xml:space="preserve"> a inhibítorov MAO vrátane iných selektívnych inhibítorov MAO-B. Súčasné podávanie </w:t>
      </w:r>
      <w:proofErr w:type="spellStart"/>
      <w:r w:rsidR="00301BD2">
        <w:rPr>
          <w:lang w:val="sk-SK"/>
        </w:rPr>
        <w:t>razagilín</w:t>
      </w:r>
      <w:r w:rsidRPr="00821ADF">
        <w:rPr>
          <w:lang w:val="sk-SK"/>
        </w:rPr>
        <w:t>u</w:t>
      </w:r>
      <w:proofErr w:type="spellEnd"/>
      <w:r w:rsidRPr="00821ADF">
        <w:rPr>
          <w:lang w:val="sk-SK"/>
        </w:rPr>
        <w:t xml:space="preserve"> a </w:t>
      </w:r>
      <w:proofErr w:type="spellStart"/>
      <w:r w:rsidRPr="00821ADF">
        <w:rPr>
          <w:lang w:val="sk-SK"/>
        </w:rPr>
        <w:t>petidínu</w:t>
      </w:r>
      <w:proofErr w:type="spellEnd"/>
      <w:r w:rsidRPr="00821ADF">
        <w:rPr>
          <w:lang w:val="sk-SK"/>
        </w:rPr>
        <w:t xml:space="preserve"> je kontraindikované (pozri časť 4.3).</w:t>
      </w:r>
    </w:p>
    <w:p w:rsidR="00C15776" w:rsidRDefault="0026280D" w:rsidP="0026280D">
      <w:pPr>
        <w:pStyle w:val="Normlndobloku"/>
        <w:rPr>
          <w:lang w:val="sk-SK"/>
        </w:rPr>
      </w:pPr>
      <w:r w:rsidRPr="00821ADF">
        <w:rPr>
          <w:lang w:val="sk-SK"/>
        </w:rPr>
        <w:t>Boli zaznamenané liekové interakcie pri súča</w:t>
      </w:r>
      <w:r w:rsidR="00743910">
        <w:rPr>
          <w:lang w:val="sk-SK"/>
        </w:rPr>
        <w:t>snom podávaní inhibítorov MAO a </w:t>
      </w:r>
      <w:proofErr w:type="spellStart"/>
      <w:r w:rsidRPr="00821ADF">
        <w:rPr>
          <w:lang w:val="sk-SK"/>
        </w:rPr>
        <w:t>sympatomimetík</w:t>
      </w:r>
      <w:proofErr w:type="spellEnd"/>
      <w:r w:rsidRPr="00821ADF">
        <w:rPr>
          <w:lang w:val="sk-SK"/>
        </w:rPr>
        <w:t xml:space="preserve">. Vzhľadom na inhibičnú aktivitu </w:t>
      </w:r>
      <w:proofErr w:type="spellStart"/>
      <w:r w:rsidR="00301BD2">
        <w:rPr>
          <w:lang w:val="sk-SK"/>
        </w:rPr>
        <w:t>razagilín</w:t>
      </w:r>
      <w:r w:rsidRPr="00821ADF">
        <w:rPr>
          <w:lang w:val="sk-SK"/>
        </w:rPr>
        <w:t>u</w:t>
      </w:r>
      <w:proofErr w:type="spellEnd"/>
      <w:r w:rsidRPr="00821ADF">
        <w:rPr>
          <w:lang w:val="sk-SK"/>
        </w:rPr>
        <w:t xml:space="preserve"> voči MAO sa neodporúča súčasné používanie </w:t>
      </w:r>
      <w:proofErr w:type="spellStart"/>
      <w:r w:rsidR="00301BD2">
        <w:rPr>
          <w:lang w:val="sk-SK"/>
        </w:rPr>
        <w:t>razagilín</w:t>
      </w:r>
      <w:r w:rsidRPr="00821ADF">
        <w:rPr>
          <w:lang w:val="sk-SK"/>
        </w:rPr>
        <w:t>u</w:t>
      </w:r>
      <w:proofErr w:type="spellEnd"/>
      <w:r w:rsidRPr="00821ADF">
        <w:rPr>
          <w:lang w:val="sk-SK"/>
        </w:rPr>
        <w:t xml:space="preserve"> a takých </w:t>
      </w:r>
      <w:proofErr w:type="spellStart"/>
      <w:r w:rsidRPr="00821ADF">
        <w:rPr>
          <w:lang w:val="sk-SK"/>
        </w:rPr>
        <w:t>sympatomimetík</w:t>
      </w:r>
      <w:proofErr w:type="spellEnd"/>
      <w:r w:rsidRPr="00821ADF">
        <w:rPr>
          <w:lang w:val="sk-SK"/>
        </w:rPr>
        <w:t xml:space="preserve"> aké sú prítomné v nosových a </w:t>
      </w:r>
      <w:r w:rsidR="00997BBC">
        <w:rPr>
          <w:lang w:val="sk-SK"/>
        </w:rPr>
        <w:t>per</w:t>
      </w:r>
      <w:r w:rsidRPr="00821ADF">
        <w:rPr>
          <w:lang w:val="sk-SK"/>
        </w:rPr>
        <w:t xml:space="preserve">orálnych </w:t>
      </w:r>
      <w:proofErr w:type="spellStart"/>
      <w:r w:rsidRPr="00821ADF">
        <w:rPr>
          <w:lang w:val="sk-SK"/>
        </w:rPr>
        <w:t>dekongestívach</w:t>
      </w:r>
      <w:proofErr w:type="spellEnd"/>
      <w:r w:rsidRPr="00821ADF">
        <w:rPr>
          <w:lang w:val="sk-SK"/>
        </w:rPr>
        <w:t xml:space="preserve"> alebo liekov na nádchu, ktoré obsahujú </w:t>
      </w:r>
      <w:proofErr w:type="spellStart"/>
      <w:r w:rsidRPr="00821ADF">
        <w:rPr>
          <w:lang w:val="sk-SK"/>
        </w:rPr>
        <w:t>efedrín</w:t>
      </w:r>
      <w:proofErr w:type="spellEnd"/>
      <w:r w:rsidRPr="00821ADF">
        <w:rPr>
          <w:lang w:val="sk-SK"/>
        </w:rPr>
        <w:t xml:space="preserve"> alebo </w:t>
      </w:r>
      <w:proofErr w:type="spellStart"/>
      <w:r w:rsidRPr="00821ADF">
        <w:rPr>
          <w:lang w:val="sk-SK"/>
        </w:rPr>
        <w:t>pseudoefedrín</w:t>
      </w:r>
      <w:proofErr w:type="spellEnd"/>
      <w:r w:rsidRPr="00821ADF">
        <w:rPr>
          <w:lang w:val="sk-SK"/>
        </w:rPr>
        <w:t xml:space="preserve"> (pozri časť 4.4).</w:t>
      </w:r>
    </w:p>
    <w:p w:rsidR="00C15776" w:rsidRDefault="0026280D" w:rsidP="0026280D">
      <w:pPr>
        <w:pStyle w:val="Normlndobloku"/>
        <w:rPr>
          <w:lang w:val="sk-SK"/>
        </w:rPr>
      </w:pPr>
      <w:r w:rsidRPr="00821ADF">
        <w:rPr>
          <w:lang w:val="sk-SK"/>
        </w:rPr>
        <w:lastRenderedPageBreak/>
        <w:t xml:space="preserve">Boli zaznamenané liekové interakcie pri súčasnom podaní </w:t>
      </w:r>
      <w:proofErr w:type="spellStart"/>
      <w:r w:rsidRPr="00821ADF">
        <w:rPr>
          <w:lang w:val="sk-SK"/>
        </w:rPr>
        <w:t>dextrometorfánu</w:t>
      </w:r>
      <w:proofErr w:type="spellEnd"/>
      <w:r w:rsidRPr="00821ADF">
        <w:rPr>
          <w:lang w:val="sk-SK"/>
        </w:rPr>
        <w:t xml:space="preserve"> a neselektívnych inhibítorov MAO. Vzhľadom na inhibičnú aktivitu </w:t>
      </w:r>
      <w:proofErr w:type="spellStart"/>
      <w:r w:rsidR="00301BD2">
        <w:rPr>
          <w:lang w:val="sk-SK"/>
        </w:rPr>
        <w:t>razagilín</w:t>
      </w:r>
      <w:r w:rsidRPr="00821ADF">
        <w:rPr>
          <w:lang w:val="sk-SK"/>
        </w:rPr>
        <w:t>u</w:t>
      </w:r>
      <w:proofErr w:type="spellEnd"/>
      <w:r w:rsidRPr="00821ADF">
        <w:rPr>
          <w:lang w:val="sk-SK"/>
        </w:rPr>
        <w:t xml:space="preserve"> voči MAO sa súčasné podávanie </w:t>
      </w:r>
      <w:proofErr w:type="spellStart"/>
      <w:r w:rsidR="00301BD2">
        <w:rPr>
          <w:lang w:val="sk-SK"/>
        </w:rPr>
        <w:t>razagilín</w:t>
      </w:r>
      <w:r w:rsidRPr="00821ADF">
        <w:rPr>
          <w:lang w:val="sk-SK"/>
        </w:rPr>
        <w:t>u</w:t>
      </w:r>
      <w:proofErr w:type="spellEnd"/>
      <w:r w:rsidRPr="00821ADF">
        <w:rPr>
          <w:lang w:val="sk-SK"/>
        </w:rPr>
        <w:t xml:space="preserve"> a </w:t>
      </w:r>
      <w:proofErr w:type="spellStart"/>
      <w:r w:rsidRPr="00821ADF">
        <w:rPr>
          <w:lang w:val="sk-SK"/>
        </w:rPr>
        <w:t>dextrometorfánu</w:t>
      </w:r>
      <w:proofErr w:type="spellEnd"/>
      <w:r w:rsidRPr="00821ADF">
        <w:rPr>
          <w:lang w:val="sk-SK"/>
        </w:rPr>
        <w:t xml:space="preserve"> neodporúča (pozri časť 4.4).</w:t>
      </w:r>
    </w:p>
    <w:p w:rsidR="00C15776" w:rsidRDefault="0026280D" w:rsidP="0026280D">
      <w:pPr>
        <w:pStyle w:val="Normlndobloku"/>
        <w:rPr>
          <w:lang w:val="sk-SK"/>
        </w:rPr>
      </w:pPr>
      <w:r w:rsidRPr="00821ADF">
        <w:rPr>
          <w:lang w:val="sk-SK"/>
        </w:rPr>
        <w:t xml:space="preserve">Je potrebné vyvarovať sa súčasnému podávaniu </w:t>
      </w:r>
      <w:proofErr w:type="spellStart"/>
      <w:r w:rsidR="00301BD2">
        <w:rPr>
          <w:lang w:val="sk-SK"/>
        </w:rPr>
        <w:t>razagilín</w:t>
      </w:r>
      <w:r w:rsidRPr="00821ADF">
        <w:rPr>
          <w:lang w:val="sk-SK"/>
        </w:rPr>
        <w:t>u</w:t>
      </w:r>
      <w:proofErr w:type="spellEnd"/>
      <w:r w:rsidRPr="00821ADF">
        <w:rPr>
          <w:lang w:val="sk-SK"/>
        </w:rPr>
        <w:t xml:space="preserve"> s </w:t>
      </w:r>
      <w:proofErr w:type="spellStart"/>
      <w:r w:rsidRPr="00821ADF">
        <w:rPr>
          <w:lang w:val="sk-SK"/>
        </w:rPr>
        <w:t>fluoxetínom</w:t>
      </w:r>
      <w:proofErr w:type="spellEnd"/>
      <w:r w:rsidRPr="00821ADF">
        <w:rPr>
          <w:lang w:val="sk-SK"/>
        </w:rPr>
        <w:t xml:space="preserve"> alebo </w:t>
      </w:r>
      <w:proofErr w:type="spellStart"/>
      <w:r w:rsidRPr="00821ADF">
        <w:rPr>
          <w:lang w:val="sk-SK"/>
        </w:rPr>
        <w:t>fluvoxamínom</w:t>
      </w:r>
      <w:proofErr w:type="spellEnd"/>
      <w:r w:rsidRPr="00821ADF">
        <w:rPr>
          <w:lang w:val="sk-SK"/>
        </w:rPr>
        <w:t xml:space="preserve"> (pozri časť 4.4).</w:t>
      </w:r>
    </w:p>
    <w:p w:rsidR="00C15776" w:rsidRDefault="0026280D" w:rsidP="0026280D">
      <w:pPr>
        <w:pStyle w:val="Normlndobloku"/>
        <w:rPr>
          <w:lang w:val="sk-SK"/>
        </w:rPr>
      </w:pPr>
      <w:r w:rsidRPr="00821ADF">
        <w:rPr>
          <w:lang w:val="sk-SK"/>
        </w:rPr>
        <w:t xml:space="preserve">Súčasné použitie </w:t>
      </w:r>
      <w:proofErr w:type="spellStart"/>
      <w:r w:rsidR="00301BD2">
        <w:rPr>
          <w:lang w:val="sk-SK"/>
        </w:rPr>
        <w:t>razagilín</w:t>
      </w:r>
      <w:r w:rsidRPr="00821ADF">
        <w:rPr>
          <w:lang w:val="sk-SK"/>
        </w:rPr>
        <w:t>u</w:t>
      </w:r>
      <w:proofErr w:type="spellEnd"/>
      <w:r w:rsidRPr="00821ADF">
        <w:rPr>
          <w:lang w:val="sk-SK"/>
        </w:rPr>
        <w:t xml:space="preserve"> so selektívnymi inhibítormi spätného vychytávania </w:t>
      </w:r>
      <w:proofErr w:type="spellStart"/>
      <w:r w:rsidRPr="00821ADF">
        <w:rPr>
          <w:lang w:val="sk-SK"/>
        </w:rPr>
        <w:t>serotonínu</w:t>
      </w:r>
      <w:proofErr w:type="spellEnd"/>
      <w:r w:rsidRPr="00821ADF">
        <w:rPr>
          <w:lang w:val="sk-SK"/>
        </w:rPr>
        <w:t xml:space="preserve"> (SSRI)/ selektívnymi inhibítormi spätného vychytávania </w:t>
      </w:r>
      <w:proofErr w:type="spellStart"/>
      <w:r w:rsidRPr="00821ADF">
        <w:rPr>
          <w:lang w:val="sk-SK"/>
        </w:rPr>
        <w:t>sero</w:t>
      </w:r>
      <w:r w:rsidR="00743910">
        <w:rPr>
          <w:lang w:val="sk-SK"/>
        </w:rPr>
        <w:t>tonínu</w:t>
      </w:r>
      <w:proofErr w:type="spellEnd"/>
      <w:r w:rsidR="00743910">
        <w:rPr>
          <w:lang w:val="sk-SK"/>
        </w:rPr>
        <w:t xml:space="preserve"> a </w:t>
      </w:r>
      <w:proofErr w:type="spellStart"/>
      <w:r w:rsidR="00743910">
        <w:rPr>
          <w:lang w:val="sk-SK"/>
        </w:rPr>
        <w:t>noradrenalínu</w:t>
      </w:r>
      <w:proofErr w:type="spellEnd"/>
      <w:r w:rsidR="00743910">
        <w:rPr>
          <w:lang w:val="sk-SK"/>
        </w:rPr>
        <w:t xml:space="preserve"> (SNRI) v </w:t>
      </w:r>
      <w:r w:rsidRPr="00821ADF">
        <w:rPr>
          <w:lang w:val="sk-SK"/>
        </w:rPr>
        <w:t>klinickom skúšaní pozri v časti 4.8.</w:t>
      </w:r>
    </w:p>
    <w:p w:rsidR="00C15776" w:rsidRDefault="0026280D" w:rsidP="0026280D">
      <w:pPr>
        <w:pStyle w:val="Normlndobloku"/>
        <w:rPr>
          <w:lang w:val="sk-SK"/>
        </w:rPr>
      </w:pPr>
      <w:r w:rsidRPr="00821ADF">
        <w:rPr>
          <w:lang w:val="sk-SK"/>
        </w:rPr>
        <w:t>Závažné nežiaduce reakcie boli hlásené pri súčasnom užív</w:t>
      </w:r>
      <w:r w:rsidR="00743910">
        <w:rPr>
          <w:lang w:val="sk-SK"/>
        </w:rPr>
        <w:t xml:space="preserve">aní SSRI, SNRI, </w:t>
      </w:r>
      <w:proofErr w:type="spellStart"/>
      <w:r w:rsidR="00743910">
        <w:rPr>
          <w:lang w:val="sk-SK"/>
        </w:rPr>
        <w:t>tricyklických</w:t>
      </w:r>
      <w:proofErr w:type="spellEnd"/>
      <w:r w:rsidR="00743910">
        <w:rPr>
          <w:lang w:val="sk-SK"/>
        </w:rPr>
        <w:t xml:space="preserve"> a </w:t>
      </w:r>
      <w:proofErr w:type="spellStart"/>
      <w:r w:rsidRPr="00821ADF">
        <w:rPr>
          <w:lang w:val="sk-SK"/>
        </w:rPr>
        <w:t>tetracyklických</w:t>
      </w:r>
      <w:proofErr w:type="spellEnd"/>
      <w:r w:rsidRPr="00821ADF">
        <w:rPr>
          <w:lang w:val="sk-SK"/>
        </w:rPr>
        <w:t xml:space="preserve"> </w:t>
      </w:r>
      <w:proofErr w:type="spellStart"/>
      <w:r w:rsidRPr="00821ADF">
        <w:rPr>
          <w:lang w:val="sk-SK"/>
        </w:rPr>
        <w:t>antidepresív</w:t>
      </w:r>
      <w:proofErr w:type="spellEnd"/>
      <w:r w:rsidRPr="00821ADF">
        <w:rPr>
          <w:lang w:val="sk-SK"/>
        </w:rPr>
        <w:t xml:space="preserve"> spolu s inhibítormi MAO. Vzhľadom na inhibičnú aktivitu </w:t>
      </w:r>
      <w:proofErr w:type="spellStart"/>
      <w:r w:rsidR="00301BD2">
        <w:rPr>
          <w:lang w:val="sk-SK"/>
        </w:rPr>
        <w:t>razagilín</w:t>
      </w:r>
      <w:r w:rsidRPr="00821ADF">
        <w:rPr>
          <w:lang w:val="sk-SK"/>
        </w:rPr>
        <w:t>u</w:t>
      </w:r>
      <w:proofErr w:type="spellEnd"/>
      <w:r w:rsidRPr="00821ADF">
        <w:rPr>
          <w:lang w:val="sk-SK"/>
        </w:rPr>
        <w:t xml:space="preserve"> voči MAO sa </w:t>
      </w:r>
      <w:proofErr w:type="spellStart"/>
      <w:r w:rsidRPr="00821ADF">
        <w:rPr>
          <w:lang w:val="sk-SK"/>
        </w:rPr>
        <w:t>antidepresíva</w:t>
      </w:r>
      <w:proofErr w:type="spellEnd"/>
      <w:r w:rsidRPr="00821ADF">
        <w:rPr>
          <w:lang w:val="sk-SK"/>
        </w:rPr>
        <w:t xml:space="preserve"> </w:t>
      </w:r>
      <w:r w:rsidR="00997BBC" w:rsidRPr="00821ADF">
        <w:rPr>
          <w:lang w:val="sk-SK"/>
        </w:rPr>
        <w:t>ma</w:t>
      </w:r>
      <w:r w:rsidR="00997BBC">
        <w:rPr>
          <w:lang w:val="sk-SK"/>
        </w:rPr>
        <w:t>jú</w:t>
      </w:r>
      <w:r w:rsidR="00997BBC" w:rsidRPr="00821ADF">
        <w:rPr>
          <w:lang w:val="sk-SK"/>
        </w:rPr>
        <w:t xml:space="preserve"> </w:t>
      </w:r>
      <w:r w:rsidRPr="00821ADF">
        <w:rPr>
          <w:lang w:val="sk-SK"/>
        </w:rPr>
        <w:t>podávať so zvýšenou opatrnosťou.</w:t>
      </w:r>
    </w:p>
    <w:p w:rsidR="00C15776" w:rsidRDefault="0026280D" w:rsidP="0026280D">
      <w:pPr>
        <w:pStyle w:val="Normlndobloku"/>
        <w:rPr>
          <w:lang w:val="sk-SK"/>
        </w:rPr>
      </w:pPr>
      <w:r w:rsidRPr="00821ADF">
        <w:rPr>
          <w:lang w:val="sk-SK"/>
        </w:rPr>
        <w:t xml:space="preserve">U pacientov s </w:t>
      </w:r>
      <w:proofErr w:type="spellStart"/>
      <w:r w:rsidRPr="00821ADF">
        <w:rPr>
          <w:lang w:val="sk-SK"/>
        </w:rPr>
        <w:t>Parkinsonovou</w:t>
      </w:r>
      <w:proofErr w:type="spellEnd"/>
      <w:r w:rsidRPr="00821ADF">
        <w:rPr>
          <w:lang w:val="sk-SK"/>
        </w:rPr>
        <w:t xml:space="preserve"> chorobou chronicky liečených </w:t>
      </w:r>
      <w:proofErr w:type="spellStart"/>
      <w:r w:rsidRPr="00821ADF">
        <w:rPr>
          <w:lang w:val="sk-SK"/>
        </w:rPr>
        <w:t>levodopou</w:t>
      </w:r>
      <w:proofErr w:type="spellEnd"/>
      <w:r w:rsidRPr="00821ADF">
        <w:rPr>
          <w:lang w:val="sk-SK"/>
        </w:rPr>
        <w:t xml:space="preserve"> vo forme </w:t>
      </w:r>
      <w:proofErr w:type="spellStart"/>
      <w:r w:rsidRPr="00821ADF">
        <w:rPr>
          <w:lang w:val="sk-SK"/>
        </w:rPr>
        <w:t>adjuvantnej</w:t>
      </w:r>
      <w:proofErr w:type="spellEnd"/>
      <w:r w:rsidRPr="00821ADF">
        <w:rPr>
          <w:lang w:val="sk-SK"/>
        </w:rPr>
        <w:t xml:space="preserve"> terapie, sa nepreukázal klinicky </w:t>
      </w:r>
      <w:proofErr w:type="spellStart"/>
      <w:r w:rsidRPr="00821ADF">
        <w:rPr>
          <w:lang w:val="sk-SK"/>
        </w:rPr>
        <w:t>signifikantný</w:t>
      </w:r>
      <w:proofErr w:type="spellEnd"/>
      <w:r w:rsidRPr="00821ADF">
        <w:rPr>
          <w:lang w:val="sk-SK"/>
        </w:rPr>
        <w:t xml:space="preserve"> efekt liečby </w:t>
      </w:r>
      <w:proofErr w:type="spellStart"/>
      <w:r w:rsidRPr="00821ADF">
        <w:rPr>
          <w:lang w:val="sk-SK"/>
        </w:rPr>
        <w:t>levodopou</w:t>
      </w:r>
      <w:proofErr w:type="spellEnd"/>
      <w:r w:rsidRPr="00821ADF">
        <w:rPr>
          <w:lang w:val="sk-SK"/>
        </w:rPr>
        <w:t xml:space="preserve"> na </w:t>
      </w:r>
      <w:proofErr w:type="spellStart"/>
      <w:r w:rsidRPr="00821ADF">
        <w:rPr>
          <w:lang w:val="sk-SK"/>
        </w:rPr>
        <w:t>klírens</w:t>
      </w:r>
      <w:proofErr w:type="spellEnd"/>
      <w:r w:rsidRPr="00821ADF">
        <w:rPr>
          <w:lang w:val="sk-SK"/>
        </w:rPr>
        <w:t xml:space="preserve"> </w:t>
      </w:r>
      <w:proofErr w:type="spellStart"/>
      <w:r w:rsidR="00301BD2">
        <w:rPr>
          <w:lang w:val="sk-SK"/>
        </w:rPr>
        <w:t>razagilín</w:t>
      </w:r>
      <w:r w:rsidRPr="00821ADF">
        <w:rPr>
          <w:lang w:val="sk-SK"/>
        </w:rPr>
        <w:t>u</w:t>
      </w:r>
      <w:proofErr w:type="spellEnd"/>
      <w:r w:rsidRPr="00821ADF">
        <w:rPr>
          <w:lang w:val="sk-SK"/>
        </w:rPr>
        <w:t>.</w:t>
      </w:r>
    </w:p>
    <w:p w:rsidR="00C15776" w:rsidRDefault="0026280D" w:rsidP="0026280D">
      <w:pPr>
        <w:pStyle w:val="Normlndobloku"/>
        <w:rPr>
          <w:lang w:val="sk-SK"/>
        </w:rPr>
      </w:pPr>
      <w:r w:rsidRPr="007345DB">
        <w:rPr>
          <w:i/>
          <w:lang w:val="sk-SK"/>
        </w:rPr>
        <w:t xml:space="preserve">In </w:t>
      </w:r>
      <w:proofErr w:type="spellStart"/>
      <w:r w:rsidRPr="007345DB">
        <w:rPr>
          <w:i/>
          <w:lang w:val="sk-SK"/>
        </w:rPr>
        <w:t>vitro</w:t>
      </w:r>
      <w:proofErr w:type="spellEnd"/>
      <w:r w:rsidRPr="00821ADF">
        <w:rPr>
          <w:lang w:val="sk-SK"/>
        </w:rPr>
        <w:t xml:space="preserve"> štúdie metabolizmu preukázali, že </w:t>
      </w:r>
      <w:proofErr w:type="spellStart"/>
      <w:r w:rsidRPr="00821ADF">
        <w:rPr>
          <w:lang w:val="sk-SK"/>
        </w:rPr>
        <w:t>cytochróm</w:t>
      </w:r>
      <w:proofErr w:type="spellEnd"/>
      <w:r w:rsidRPr="00821ADF">
        <w:rPr>
          <w:lang w:val="sk-SK"/>
        </w:rPr>
        <w:t xml:space="preserve"> P450 1A2 (CYP1A2) je hlavným enzýmom zodpovedným za metabolizmus </w:t>
      </w:r>
      <w:proofErr w:type="spellStart"/>
      <w:r w:rsidR="00301BD2">
        <w:rPr>
          <w:lang w:val="sk-SK"/>
        </w:rPr>
        <w:t>razagilín</w:t>
      </w:r>
      <w:r w:rsidRPr="00821ADF">
        <w:rPr>
          <w:lang w:val="sk-SK"/>
        </w:rPr>
        <w:t>u</w:t>
      </w:r>
      <w:proofErr w:type="spellEnd"/>
      <w:r w:rsidRPr="00821ADF">
        <w:rPr>
          <w:lang w:val="sk-SK"/>
        </w:rPr>
        <w:t xml:space="preserve">. Podávanie </w:t>
      </w:r>
      <w:proofErr w:type="spellStart"/>
      <w:r w:rsidR="00301BD2">
        <w:rPr>
          <w:lang w:val="sk-SK"/>
        </w:rPr>
        <w:t>razagilín</w:t>
      </w:r>
      <w:r w:rsidRPr="00821ADF">
        <w:rPr>
          <w:lang w:val="sk-SK"/>
        </w:rPr>
        <w:t>u</w:t>
      </w:r>
      <w:proofErr w:type="spellEnd"/>
      <w:r w:rsidRPr="00821ADF">
        <w:rPr>
          <w:lang w:val="sk-SK"/>
        </w:rPr>
        <w:t xml:space="preserve"> s </w:t>
      </w:r>
      <w:proofErr w:type="spellStart"/>
      <w:r w:rsidRPr="00821ADF">
        <w:rPr>
          <w:lang w:val="sk-SK"/>
        </w:rPr>
        <w:t>ciprofloxacínom</w:t>
      </w:r>
      <w:proofErr w:type="spellEnd"/>
      <w:r w:rsidRPr="00821ADF">
        <w:rPr>
          <w:lang w:val="sk-SK"/>
        </w:rPr>
        <w:t xml:space="preserve"> (inhibítorom CYP1A2) zvýšilo AUC </w:t>
      </w:r>
      <w:proofErr w:type="spellStart"/>
      <w:r w:rsidR="00301BD2">
        <w:rPr>
          <w:lang w:val="sk-SK"/>
        </w:rPr>
        <w:t>razagilín</w:t>
      </w:r>
      <w:r w:rsidRPr="00821ADF">
        <w:rPr>
          <w:lang w:val="sk-SK"/>
        </w:rPr>
        <w:t>u</w:t>
      </w:r>
      <w:proofErr w:type="spellEnd"/>
      <w:r w:rsidRPr="00821ADF">
        <w:rPr>
          <w:lang w:val="sk-SK"/>
        </w:rPr>
        <w:t xml:space="preserve"> o 83 %. Podávanie </w:t>
      </w:r>
      <w:proofErr w:type="spellStart"/>
      <w:r w:rsidR="00301BD2">
        <w:rPr>
          <w:lang w:val="sk-SK"/>
        </w:rPr>
        <w:t>razagilín</w:t>
      </w:r>
      <w:r w:rsidRPr="00821ADF">
        <w:rPr>
          <w:lang w:val="sk-SK"/>
        </w:rPr>
        <w:t>u</w:t>
      </w:r>
      <w:proofErr w:type="spellEnd"/>
      <w:r w:rsidRPr="00821ADF">
        <w:rPr>
          <w:lang w:val="sk-SK"/>
        </w:rPr>
        <w:t xml:space="preserve"> s </w:t>
      </w:r>
      <w:proofErr w:type="spellStart"/>
      <w:r w:rsidRPr="00821ADF">
        <w:rPr>
          <w:lang w:val="sk-SK"/>
        </w:rPr>
        <w:t>teofylínom</w:t>
      </w:r>
      <w:proofErr w:type="spellEnd"/>
      <w:r w:rsidRPr="00821ADF">
        <w:rPr>
          <w:lang w:val="sk-SK"/>
        </w:rPr>
        <w:t xml:space="preserve"> (substrátom CYP1A2) neovplyvnilo </w:t>
      </w:r>
      <w:proofErr w:type="spellStart"/>
      <w:r w:rsidRPr="00821ADF">
        <w:rPr>
          <w:lang w:val="sk-SK"/>
        </w:rPr>
        <w:t>farmakokinetiku</w:t>
      </w:r>
      <w:proofErr w:type="spellEnd"/>
      <w:r w:rsidRPr="00821ADF">
        <w:rPr>
          <w:lang w:val="sk-SK"/>
        </w:rPr>
        <w:t xml:space="preserve"> ani jednej z látok. Vzhľadom na to, účinné inhibítory CYP1A2 môžu zmeniť plazmatickú koncentráciu </w:t>
      </w:r>
      <w:proofErr w:type="spellStart"/>
      <w:r w:rsidR="00301BD2">
        <w:rPr>
          <w:lang w:val="sk-SK"/>
        </w:rPr>
        <w:t>razagilín</w:t>
      </w:r>
      <w:r w:rsidRPr="00821ADF">
        <w:rPr>
          <w:lang w:val="sk-SK"/>
        </w:rPr>
        <w:t>u</w:t>
      </w:r>
      <w:proofErr w:type="spellEnd"/>
      <w:r w:rsidRPr="00821ADF">
        <w:rPr>
          <w:lang w:val="sk-SK"/>
        </w:rPr>
        <w:t xml:space="preserve"> a majú sa podávať s opatrnosťou.</w:t>
      </w:r>
    </w:p>
    <w:p w:rsidR="00C15776" w:rsidRDefault="0026280D" w:rsidP="0026280D">
      <w:pPr>
        <w:pStyle w:val="Normlndobloku"/>
        <w:rPr>
          <w:lang w:val="sk-SK"/>
        </w:rPr>
      </w:pPr>
      <w:r w:rsidRPr="00821ADF">
        <w:rPr>
          <w:lang w:val="sk-SK"/>
        </w:rPr>
        <w:t xml:space="preserve">U fajčiacich pacientov je riziko zníženia plazmatickej koncentrácie </w:t>
      </w:r>
      <w:proofErr w:type="spellStart"/>
      <w:r w:rsidR="00301BD2">
        <w:rPr>
          <w:lang w:val="sk-SK"/>
        </w:rPr>
        <w:t>razagilín</w:t>
      </w:r>
      <w:r w:rsidRPr="00821ADF">
        <w:rPr>
          <w:lang w:val="sk-SK"/>
        </w:rPr>
        <w:t>u</w:t>
      </w:r>
      <w:proofErr w:type="spellEnd"/>
      <w:r w:rsidRPr="00821ADF">
        <w:rPr>
          <w:lang w:val="sk-SK"/>
        </w:rPr>
        <w:t xml:space="preserve"> vzhľadom na indukciu metabolizujúceho enzýmu CYP1A2.</w:t>
      </w:r>
    </w:p>
    <w:p w:rsidR="00C15776" w:rsidRDefault="0026280D" w:rsidP="0026280D">
      <w:pPr>
        <w:pStyle w:val="Normlndobloku"/>
        <w:rPr>
          <w:lang w:val="sk-SK"/>
        </w:rPr>
      </w:pPr>
      <w:r w:rsidRPr="007345DB">
        <w:rPr>
          <w:i/>
          <w:lang w:val="sk-SK"/>
        </w:rPr>
        <w:t xml:space="preserve">In </w:t>
      </w:r>
      <w:proofErr w:type="spellStart"/>
      <w:r w:rsidRPr="007345DB">
        <w:rPr>
          <w:i/>
          <w:lang w:val="sk-SK"/>
        </w:rPr>
        <w:t>vitro</w:t>
      </w:r>
      <w:proofErr w:type="spellEnd"/>
      <w:r w:rsidRPr="00821ADF">
        <w:rPr>
          <w:lang w:val="sk-SK"/>
        </w:rPr>
        <w:t xml:space="preserve"> štúdie preukázali, že </w:t>
      </w:r>
      <w:proofErr w:type="spellStart"/>
      <w:r w:rsidR="00301BD2">
        <w:rPr>
          <w:lang w:val="sk-SK"/>
        </w:rPr>
        <w:t>razagilín</w:t>
      </w:r>
      <w:proofErr w:type="spellEnd"/>
      <w:r w:rsidRPr="00821ADF">
        <w:rPr>
          <w:lang w:val="sk-SK"/>
        </w:rPr>
        <w:t xml:space="preserve"> v koncentrácii 1 µg/ml (čo </w:t>
      </w:r>
      <w:r w:rsidR="00A554E0">
        <w:rPr>
          <w:lang w:val="sk-SK"/>
        </w:rPr>
        <w:t>zodpovedá hladine, ktorá je 160 </w:t>
      </w:r>
      <w:r w:rsidRPr="00821ADF">
        <w:rPr>
          <w:lang w:val="sk-SK"/>
        </w:rPr>
        <w:t xml:space="preserve">násobok priemeru </w:t>
      </w:r>
      <w:proofErr w:type="spellStart"/>
      <w:r w:rsidRPr="00821ADF">
        <w:rPr>
          <w:lang w:val="sk-SK"/>
        </w:rPr>
        <w:t>C</w:t>
      </w:r>
      <w:r w:rsidRPr="00821ADF">
        <w:rPr>
          <w:vertAlign w:val="subscript"/>
          <w:lang w:val="sk-SK"/>
        </w:rPr>
        <w:t>max</w:t>
      </w:r>
      <w:proofErr w:type="spellEnd"/>
      <w:r w:rsidR="00C914C9">
        <w:rPr>
          <w:lang w:val="sk-SK"/>
        </w:rPr>
        <w:t xml:space="preserve"> ~ 5,9 – </w:t>
      </w:r>
      <w:r w:rsidRPr="00821ADF">
        <w:rPr>
          <w:lang w:val="sk-SK"/>
        </w:rPr>
        <w:t xml:space="preserve">8,5 </w:t>
      </w:r>
      <w:proofErr w:type="spellStart"/>
      <w:r w:rsidRPr="00821ADF">
        <w:rPr>
          <w:lang w:val="sk-SK"/>
        </w:rPr>
        <w:t>ng</w:t>
      </w:r>
      <w:proofErr w:type="spellEnd"/>
      <w:r w:rsidRPr="00821ADF">
        <w:rPr>
          <w:lang w:val="sk-SK"/>
        </w:rPr>
        <w:t xml:space="preserve">/ml u pacientov s </w:t>
      </w:r>
      <w:proofErr w:type="spellStart"/>
      <w:r w:rsidRPr="00821ADF">
        <w:rPr>
          <w:lang w:val="sk-SK"/>
        </w:rPr>
        <w:t>Parkinsonovou</w:t>
      </w:r>
      <w:proofErr w:type="spellEnd"/>
      <w:r w:rsidRPr="00821ADF">
        <w:rPr>
          <w:lang w:val="sk-SK"/>
        </w:rPr>
        <w:t xml:space="preserve"> chorobou po viacnásobnom podaní 1 mg </w:t>
      </w:r>
      <w:proofErr w:type="spellStart"/>
      <w:r w:rsidR="00301BD2">
        <w:rPr>
          <w:lang w:val="sk-SK"/>
        </w:rPr>
        <w:t>razagilín</w:t>
      </w:r>
      <w:r w:rsidRPr="00821ADF">
        <w:rPr>
          <w:lang w:val="sk-SK"/>
        </w:rPr>
        <w:t>u</w:t>
      </w:r>
      <w:proofErr w:type="spellEnd"/>
      <w:r w:rsidRPr="00821ADF">
        <w:rPr>
          <w:lang w:val="sk-SK"/>
        </w:rPr>
        <w:t xml:space="preserve">) </w:t>
      </w:r>
      <w:proofErr w:type="spellStart"/>
      <w:r w:rsidRPr="00821ADF">
        <w:rPr>
          <w:lang w:val="sk-SK"/>
        </w:rPr>
        <w:t>neinhiboval</w:t>
      </w:r>
      <w:proofErr w:type="spellEnd"/>
      <w:r w:rsidRPr="00821ADF">
        <w:rPr>
          <w:lang w:val="sk-SK"/>
        </w:rPr>
        <w:t xml:space="preserve"> </w:t>
      </w:r>
      <w:proofErr w:type="spellStart"/>
      <w:r w:rsidRPr="00821ADF">
        <w:rPr>
          <w:lang w:val="sk-SK"/>
        </w:rPr>
        <w:t>izoenzýmy</w:t>
      </w:r>
      <w:proofErr w:type="spellEnd"/>
      <w:r w:rsidRPr="00821ADF">
        <w:rPr>
          <w:lang w:val="sk-SK"/>
        </w:rPr>
        <w:t xml:space="preserve"> </w:t>
      </w:r>
      <w:proofErr w:type="spellStart"/>
      <w:r w:rsidRPr="00821ADF">
        <w:rPr>
          <w:lang w:val="sk-SK"/>
        </w:rPr>
        <w:t>cytochrómu</w:t>
      </w:r>
      <w:proofErr w:type="spellEnd"/>
      <w:r w:rsidRPr="00821ADF">
        <w:rPr>
          <w:lang w:val="sk-SK"/>
        </w:rPr>
        <w:t xml:space="preserve"> P450, CYP1A2, CYP2A6, CYP2C9, CYP2C19, CYP2D6, CYP2E1, CYP3A4 a CYP4A. Tieto výsledky dokazujú, že nie je pravdepodobné, aby </w:t>
      </w:r>
      <w:proofErr w:type="spellStart"/>
      <w:r w:rsidR="00301BD2">
        <w:rPr>
          <w:lang w:val="sk-SK"/>
        </w:rPr>
        <w:t>razagilín</w:t>
      </w:r>
      <w:proofErr w:type="spellEnd"/>
      <w:r w:rsidRPr="00821ADF">
        <w:rPr>
          <w:lang w:val="sk-SK"/>
        </w:rPr>
        <w:t xml:space="preserve"> v terapeutických koncentráciách </w:t>
      </w:r>
      <w:proofErr w:type="spellStart"/>
      <w:r w:rsidRPr="00821ADF">
        <w:rPr>
          <w:lang w:val="sk-SK"/>
        </w:rPr>
        <w:t>signifikantne</w:t>
      </w:r>
      <w:proofErr w:type="spellEnd"/>
      <w:r w:rsidRPr="00821ADF">
        <w:rPr>
          <w:lang w:val="sk-SK"/>
        </w:rPr>
        <w:t xml:space="preserve"> interferoval so substrátmi týchto enzýmov.</w:t>
      </w:r>
    </w:p>
    <w:p w:rsidR="00C15776" w:rsidRDefault="0026280D" w:rsidP="0026280D">
      <w:pPr>
        <w:pStyle w:val="Normlndobloku"/>
        <w:rPr>
          <w:lang w:val="sk-SK"/>
        </w:rPr>
      </w:pPr>
      <w:r w:rsidRPr="00821ADF">
        <w:rPr>
          <w:lang w:val="sk-SK"/>
        </w:rPr>
        <w:t xml:space="preserve">Súčasné podávanie </w:t>
      </w:r>
      <w:proofErr w:type="spellStart"/>
      <w:r w:rsidR="00301BD2">
        <w:rPr>
          <w:lang w:val="sk-SK"/>
        </w:rPr>
        <w:t>razagilín</w:t>
      </w:r>
      <w:r w:rsidRPr="00821ADF">
        <w:rPr>
          <w:lang w:val="sk-SK"/>
        </w:rPr>
        <w:t>u</w:t>
      </w:r>
      <w:proofErr w:type="spellEnd"/>
      <w:r w:rsidRPr="00821ADF">
        <w:rPr>
          <w:lang w:val="sk-SK"/>
        </w:rPr>
        <w:t xml:space="preserve"> a </w:t>
      </w:r>
      <w:proofErr w:type="spellStart"/>
      <w:r w:rsidRPr="00821ADF">
        <w:rPr>
          <w:lang w:val="sk-SK"/>
        </w:rPr>
        <w:t>entakapónu</w:t>
      </w:r>
      <w:proofErr w:type="spellEnd"/>
      <w:r w:rsidRPr="00821ADF">
        <w:rPr>
          <w:lang w:val="sk-SK"/>
        </w:rPr>
        <w:t xml:space="preserve"> zvýšilo </w:t>
      </w:r>
      <w:r w:rsidR="00997BBC">
        <w:rPr>
          <w:lang w:val="sk-SK"/>
        </w:rPr>
        <w:t>per</w:t>
      </w:r>
      <w:r w:rsidRPr="00821ADF">
        <w:rPr>
          <w:lang w:val="sk-SK"/>
        </w:rPr>
        <w:t xml:space="preserve">orálny </w:t>
      </w:r>
      <w:proofErr w:type="spellStart"/>
      <w:r w:rsidRPr="00821ADF">
        <w:rPr>
          <w:lang w:val="sk-SK"/>
        </w:rPr>
        <w:t>klírens</w:t>
      </w:r>
      <w:proofErr w:type="spellEnd"/>
      <w:r w:rsidRPr="00821ADF">
        <w:rPr>
          <w:lang w:val="sk-SK"/>
        </w:rPr>
        <w:t xml:space="preserve"> </w:t>
      </w:r>
      <w:proofErr w:type="spellStart"/>
      <w:r w:rsidR="00301BD2">
        <w:rPr>
          <w:lang w:val="sk-SK"/>
        </w:rPr>
        <w:t>razagilín</w:t>
      </w:r>
      <w:r w:rsidRPr="00821ADF">
        <w:rPr>
          <w:lang w:val="sk-SK"/>
        </w:rPr>
        <w:t>u</w:t>
      </w:r>
      <w:proofErr w:type="spellEnd"/>
      <w:r w:rsidRPr="00821ADF">
        <w:rPr>
          <w:lang w:val="sk-SK"/>
        </w:rPr>
        <w:t xml:space="preserve"> o 28 %.</w:t>
      </w:r>
    </w:p>
    <w:p w:rsidR="00C15776" w:rsidRDefault="0026280D" w:rsidP="0026280D">
      <w:pPr>
        <w:pStyle w:val="Normlndobloku"/>
        <w:rPr>
          <w:lang w:val="sk-SK"/>
        </w:rPr>
      </w:pPr>
      <w:r w:rsidRPr="00821ADF">
        <w:rPr>
          <w:lang w:val="sk-SK"/>
        </w:rPr>
        <w:t xml:space="preserve">Interakcie </w:t>
      </w:r>
      <w:proofErr w:type="spellStart"/>
      <w:r w:rsidRPr="00821ADF">
        <w:rPr>
          <w:lang w:val="sk-SK"/>
        </w:rPr>
        <w:t>tyramín</w:t>
      </w:r>
      <w:proofErr w:type="spellEnd"/>
      <w:r w:rsidRPr="00821ADF">
        <w:rPr>
          <w:lang w:val="sk-SK"/>
        </w:rPr>
        <w:t>/</w:t>
      </w:r>
      <w:proofErr w:type="spellStart"/>
      <w:r w:rsidR="00301BD2">
        <w:rPr>
          <w:lang w:val="sk-SK"/>
        </w:rPr>
        <w:t>razagilín</w:t>
      </w:r>
      <w:proofErr w:type="spellEnd"/>
      <w:r w:rsidRPr="00821ADF">
        <w:rPr>
          <w:lang w:val="sk-SK"/>
        </w:rPr>
        <w:t>: Výsledky piatich záťažových štúdií (u dobrovoľníkov a pacientov s </w:t>
      </w:r>
      <w:proofErr w:type="spellStart"/>
      <w:r w:rsidRPr="00821ADF">
        <w:rPr>
          <w:lang w:val="sk-SK"/>
        </w:rPr>
        <w:t>Parkinsonovou</w:t>
      </w:r>
      <w:proofErr w:type="spellEnd"/>
      <w:r w:rsidRPr="00821ADF">
        <w:rPr>
          <w:lang w:val="sk-SK"/>
        </w:rPr>
        <w:t xml:space="preserve"> chorobou) spolu s výsledkami domáceho monitorovania krvného tlaku po jedle (u 464 pacientov, ktorým bolo podávané 0,5 alebo 1 mg </w:t>
      </w:r>
      <w:proofErr w:type="spellStart"/>
      <w:r w:rsidR="00301BD2">
        <w:rPr>
          <w:lang w:val="sk-SK"/>
        </w:rPr>
        <w:t>razagilín</w:t>
      </w:r>
      <w:r w:rsidRPr="00821ADF">
        <w:rPr>
          <w:lang w:val="sk-SK"/>
        </w:rPr>
        <w:t>u</w:t>
      </w:r>
      <w:proofErr w:type="spellEnd"/>
      <w:r w:rsidRPr="00821ADF">
        <w:rPr>
          <w:lang w:val="sk-SK"/>
        </w:rPr>
        <w:t xml:space="preserve"> denne alebo </w:t>
      </w:r>
      <w:proofErr w:type="spellStart"/>
      <w:r w:rsidRPr="00821ADF">
        <w:rPr>
          <w:lang w:val="sk-SK"/>
        </w:rPr>
        <w:t>placebo</w:t>
      </w:r>
      <w:proofErr w:type="spellEnd"/>
      <w:r w:rsidRPr="00821ADF">
        <w:rPr>
          <w:lang w:val="sk-SK"/>
        </w:rPr>
        <w:t xml:space="preserve"> ako </w:t>
      </w:r>
      <w:proofErr w:type="spellStart"/>
      <w:r w:rsidRPr="00821ADF">
        <w:rPr>
          <w:lang w:val="sk-SK"/>
        </w:rPr>
        <w:t>adjuvantná</w:t>
      </w:r>
      <w:proofErr w:type="spellEnd"/>
      <w:r w:rsidRPr="00821ADF">
        <w:rPr>
          <w:lang w:val="sk-SK"/>
        </w:rPr>
        <w:t xml:space="preserve"> terapia k </w:t>
      </w:r>
      <w:proofErr w:type="spellStart"/>
      <w:r w:rsidRPr="00821ADF">
        <w:rPr>
          <w:lang w:val="sk-SK"/>
        </w:rPr>
        <w:t>levodope</w:t>
      </w:r>
      <w:proofErr w:type="spellEnd"/>
      <w:r w:rsidRPr="00821ADF">
        <w:rPr>
          <w:lang w:val="sk-SK"/>
        </w:rPr>
        <w:t xml:space="preserve"> počas 6 mesiacov bez obmedzenia </w:t>
      </w:r>
      <w:proofErr w:type="spellStart"/>
      <w:r w:rsidRPr="00821ADF">
        <w:rPr>
          <w:lang w:val="sk-SK"/>
        </w:rPr>
        <w:t>tyramínu</w:t>
      </w:r>
      <w:proofErr w:type="spellEnd"/>
      <w:r w:rsidRPr="00821ADF">
        <w:rPr>
          <w:lang w:val="sk-SK"/>
        </w:rPr>
        <w:t xml:space="preserve">) a fakt, že neboli zaznamenané žiadne interakcie medzi </w:t>
      </w:r>
      <w:proofErr w:type="spellStart"/>
      <w:r w:rsidRPr="00821ADF">
        <w:rPr>
          <w:lang w:val="sk-SK"/>
        </w:rPr>
        <w:t>tyramínom</w:t>
      </w:r>
      <w:proofErr w:type="spellEnd"/>
      <w:r w:rsidRPr="00821ADF">
        <w:rPr>
          <w:lang w:val="sk-SK"/>
        </w:rPr>
        <w:t xml:space="preserve"> a </w:t>
      </w:r>
      <w:proofErr w:type="spellStart"/>
      <w:r w:rsidR="00301BD2">
        <w:rPr>
          <w:lang w:val="sk-SK"/>
        </w:rPr>
        <w:t>razagilín</w:t>
      </w:r>
      <w:r w:rsidRPr="00821ADF">
        <w:rPr>
          <w:lang w:val="sk-SK"/>
        </w:rPr>
        <w:t>om</w:t>
      </w:r>
      <w:proofErr w:type="spellEnd"/>
      <w:r w:rsidRPr="00821ADF">
        <w:rPr>
          <w:lang w:val="sk-SK"/>
        </w:rPr>
        <w:t xml:space="preserve"> dokazujú, že </w:t>
      </w:r>
      <w:proofErr w:type="spellStart"/>
      <w:r w:rsidR="00301BD2">
        <w:rPr>
          <w:lang w:val="sk-SK"/>
        </w:rPr>
        <w:t>razagilín</w:t>
      </w:r>
      <w:proofErr w:type="spellEnd"/>
      <w:r w:rsidRPr="00821ADF">
        <w:rPr>
          <w:lang w:val="sk-SK"/>
        </w:rPr>
        <w:t xml:space="preserve"> sa môže bezpečne používať bez dietetického obmedzenia </w:t>
      </w:r>
      <w:proofErr w:type="spellStart"/>
      <w:r w:rsidRPr="00821ADF">
        <w:rPr>
          <w:lang w:val="sk-SK"/>
        </w:rPr>
        <w:t>tyramínu</w:t>
      </w:r>
      <w:proofErr w:type="spellEnd"/>
      <w:r w:rsidRPr="00821ADF">
        <w:rPr>
          <w:lang w:val="sk-SK"/>
        </w:rPr>
        <w:t>.</w:t>
      </w:r>
    </w:p>
    <w:p w:rsidR="0026280D" w:rsidRPr="00821ADF" w:rsidRDefault="0026280D" w:rsidP="0026280D">
      <w:pPr>
        <w:pStyle w:val="Styl2"/>
        <w:numPr>
          <w:ilvl w:val="1"/>
          <w:numId w:val="3"/>
        </w:numPr>
        <w:spacing w:before="120" w:after="120"/>
        <w:ind w:left="357" w:hanging="357"/>
        <w:rPr>
          <w:lang w:val="sk-SK"/>
        </w:rPr>
      </w:pPr>
      <w:proofErr w:type="spellStart"/>
      <w:r w:rsidRPr="00821ADF">
        <w:rPr>
          <w:lang w:val="sk-SK"/>
        </w:rPr>
        <w:t>Fertilita</w:t>
      </w:r>
      <w:proofErr w:type="spellEnd"/>
      <w:r w:rsidRPr="00821ADF">
        <w:rPr>
          <w:lang w:val="sk-SK"/>
        </w:rPr>
        <w:t>, gravidita a laktácia</w:t>
      </w:r>
    </w:p>
    <w:p w:rsidR="00C15776" w:rsidRDefault="0026280D" w:rsidP="0026280D">
      <w:pPr>
        <w:pStyle w:val="Normlndobloku"/>
        <w:rPr>
          <w:lang w:val="sk-SK"/>
        </w:rPr>
      </w:pPr>
      <w:r w:rsidRPr="00821ADF">
        <w:rPr>
          <w:lang w:val="sk-SK"/>
        </w:rPr>
        <w:t xml:space="preserve">Nie sú k dispozícii žiadne klinické údaje o gravidných ženách vystavených účinku </w:t>
      </w:r>
      <w:proofErr w:type="spellStart"/>
      <w:r w:rsidR="00301BD2">
        <w:rPr>
          <w:lang w:val="sk-SK"/>
        </w:rPr>
        <w:t>razagilín</w:t>
      </w:r>
      <w:r w:rsidRPr="00821ADF">
        <w:rPr>
          <w:lang w:val="sk-SK"/>
        </w:rPr>
        <w:t>u</w:t>
      </w:r>
      <w:proofErr w:type="spellEnd"/>
      <w:r w:rsidRPr="00821ADF">
        <w:rPr>
          <w:lang w:val="sk-SK"/>
        </w:rPr>
        <w:t>. Štúdie na zvieratách nepreukázali priame alebo nepriame škodlivé účinky na graviditu, embryonálny/</w:t>
      </w:r>
      <w:proofErr w:type="spellStart"/>
      <w:r w:rsidRPr="00821ADF">
        <w:rPr>
          <w:lang w:val="sk-SK"/>
        </w:rPr>
        <w:t>fetálny</w:t>
      </w:r>
      <w:proofErr w:type="spellEnd"/>
      <w:r w:rsidRPr="00821ADF">
        <w:rPr>
          <w:lang w:val="sk-SK"/>
        </w:rPr>
        <w:t xml:space="preserve"> vývoj, pôrod alebo </w:t>
      </w:r>
      <w:proofErr w:type="spellStart"/>
      <w:r w:rsidRPr="00821ADF">
        <w:rPr>
          <w:lang w:val="sk-SK"/>
        </w:rPr>
        <w:t>postnatálny</w:t>
      </w:r>
      <w:proofErr w:type="spellEnd"/>
      <w:r w:rsidRPr="00821ADF">
        <w:rPr>
          <w:lang w:val="sk-SK"/>
        </w:rPr>
        <w:t xml:space="preserve"> vývoj (pozri časť 5.3). Pri predpisovaní lieku gravidným ženám je potrebná opatrnosť.</w:t>
      </w:r>
    </w:p>
    <w:p w:rsidR="00C15776" w:rsidRDefault="0026280D" w:rsidP="0026280D">
      <w:pPr>
        <w:pStyle w:val="Normlndobloku"/>
        <w:rPr>
          <w:lang w:val="sk-SK"/>
        </w:rPr>
      </w:pPr>
      <w:r w:rsidRPr="00821ADF">
        <w:rPr>
          <w:lang w:val="sk-SK"/>
        </w:rPr>
        <w:t xml:space="preserve">Experimentálne údaje preukázali, že </w:t>
      </w:r>
      <w:proofErr w:type="spellStart"/>
      <w:r w:rsidR="00301BD2">
        <w:rPr>
          <w:lang w:val="sk-SK"/>
        </w:rPr>
        <w:t>razagilín</w:t>
      </w:r>
      <w:proofErr w:type="spellEnd"/>
      <w:r w:rsidRPr="00821ADF">
        <w:rPr>
          <w:lang w:val="sk-SK"/>
        </w:rPr>
        <w:t xml:space="preserve"> </w:t>
      </w:r>
      <w:proofErr w:type="spellStart"/>
      <w:r w:rsidRPr="00821ADF">
        <w:rPr>
          <w:lang w:val="sk-SK"/>
        </w:rPr>
        <w:t>inhibuje</w:t>
      </w:r>
      <w:proofErr w:type="spellEnd"/>
      <w:r w:rsidRPr="00821ADF">
        <w:rPr>
          <w:lang w:val="sk-SK"/>
        </w:rPr>
        <w:t xml:space="preserve"> sekréciu </w:t>
      </w:r>
      <w:proofErr w:type="spellStart"/>
      <w:r w:rsidRPr="00821ADF">
        <w:rPr>
          <w:lang w:val="sk-SK"/>
        </w:rPr>
        <w:t>prolaktínu</w:t>
      </w:r>
      <w:proofErr w:type="spellEnd"/>
      <w:r w:rsidRPr="00821ADF">
        <w:rPr>
          <w:lang w:val="sk-SK"/>
        </w:rPr>
        <w:t xml:space="preserve"> a teda môže </w:t>
      </w:r>
      <w:proofErr w:type="spellStart"/>
      <w:r w:rsidRPr="00821ADF">
        <w:rPr>
          <w:lang w:val="sk-SK"/>
        </w:rPr>
        <w:t>inhibovať</w:t>
      </w:r>
      <w:proofErr w:type="spellEnd"/>
      <w:r w:rsidRPr="00821ADF">
        <w:rPr>
          <w:lang w:val="sk-SK"/>
        </w:rPr>
        <w:t xml:space="preserve"> laktáciu. Nie je známe, či sa </w:t>
      </w:r>
      <w:proofErr w:type="spellStart"/>
      <w:r w:rsidR="00301BD2">
        <w:rPr>
          <w:lang w:val="sk-SK"/>
        </w:rPr>
        <w:t>razagilín</w:t>
      </w:r>
      <w:proofErr w:type="spellEnd"/>
      <w:r w:rsidRPr="00821ADF">
        <w:rPr>
          <w:lang w:val="sk-SK"/>
        </w:rPr>
        <w:t xml:space="preserve"> vylučuje do </w:t>
      </w:r>
      <w:r w:rsidR="00997BBC">
        <w:rPr>
          <w:lang w:val="sk-SK"/>
        </w:rPr>
        <w:t xml:space="preserve">ľudského </w:t>
      </w:r>
      <w:r w:rsidRPr="00821ADF">
        <w:rPr>
          <w:lang w:val="sk-SK"/>
        </w:rPr>
        <w:t>materského mlieka. Pri podávaní dojčiacim ženám je potrebná opatrnosť.</w:t>
      </w:r>
    </w:p>
    <w:p w:rsidR="0026280D" w:rsidRPr="00821ADF" w:rsidRDefault="0026280D" w:rsidP="0026280D">
      <w:pPr>
        <w:pStyle w:val="Styl2"/>
        <w:numPr>
          <w:ilvl w:val="1"/>
          <w:numId w:val="3"/>
        </w:numPr>
        <w:spacing w:before="120" w:after="120"/>
        <w:ind w:left="357" w:hanging="357"/>
        <w:rPr>
          <w:lang w:val="sk-SK"/>
        </w:rPr>
      </w:pPr>
      <w:r w:rsidRPr="00821ADF">
        <w:rPr>
          <w:lang w:val="sk-SK"/>
        </w:rPr>
        <w:t>Ovplyvnenie schopnosti viesť vozidlá a obsluhovať stroje</w:t>
      </w:r>
    </w:p>
    <w:p w:rsidR="00C15776" w:rsidRDefault="0026280D" w:rsidP="0026280D">
      <w:pPr>
        <w:pStyle w:val="Normlndobloku"/>
        <w:rPr>
          <w:lang w:val="sk-SK"/>
        </w:rPr>
      </w:pPr>
      <w:r w:rsidRPr="00821ADF">
        <w:rPr>
          <w:lang w:val="sk-SK"/>
        </w:rPr>
        <w:t>Neuskutočnili sa žiadne štúdie o účinkoch na schopnosť viesť vozidlá a obsluhovať stroje. Pacienti majú byť obozretní ohľadom ovládania nebezpečných strojov, vrátane vedenia vozidiel, až kým si nebudú dostatočne istí, že SAGILIA ich už nežiaduco neovplyvňuje.</w:t>
      </w:r>
    </w:p>
    <w:p w:rsidR="0026280D" w:rsidRPr="00821ADF" w:rsidRDefault="0026280D" w:rsidP="0026280D">
      <w:pPr>
        <w:pStyle w:val="Styl2"/>
        <w:numPr>
          <w:ilvl w:val="1"/>
          <w:numId w:val="3"/>
        </w:numPr>
        <w:spacing w:before="120" w:after="120"/>
        <w:ind w:left="357" w:hanging="357"/>
        <w:rPr>
          <w:lang w:val="sk-SK"/>
        </w:rPr>
      </w:pPr>
      <w:r w:rsidRPr="00821ADF">
        <w:rPr>
          <w:lang w:val="sk-SK"/>
        </w:rPr>
        <w:lastRenderedPageBreak/>
        <w:t>Nežiaduce účinky</w:t>
      </w:r>
    </w:p>
    <w:p w:rsidR="00C15776" w:rsidRDefault="0026280D" w:rsidP="0026280D">
      <w:pPr>
        <w:pStyle w:val="Normlndobloku"/>
        <w:rPr>
          <w:lang w:val="sk-SK"/>
        </w:rPr>
      </w:pPr>
      <w:r w:rsidRPr="00821ADF">
        <w:rPr>
          <w:lang w:val="sk-SK"/>
        </w:rPr>
        <w:t>Celkovo 1</w:t>
      </w:r>
      <w:r w:rsidR="00A554E0">
        <w:rPr>
          <w:lang w:val="sk-SK"/>
        </w:rPr>
        <w:t> </w:t>
      </w:r>
      <w:r w:rsidRPr="00821ADF">
        <w:rPr>
          <w:lang w:val="sk-SK"/>
        </w:rPr>
        <w:t xml:space="preserve">361 pacientov bolo liečených </w:t>
      </w:r>
      <w:proofErr w:type="spellStart"/>
      <w:r w:rsidR="00301BD2">
        <w:rPr>
          <w:lang w:val="sk-SK"/>
        </w:rPr>
        <w:t>razagilín</w:t>
      </w:r>
      <w:r w:rsidR="00A554E0">
        <w:rPr>
          <w:lang w:val="sk-SK"/>
        </w:rPr>
        <w:t>om</w:t>
      </w:r>
      <w:proofErr w:type="spellEnd"/>
      <w:r w:rsidR="00A554E0">
        <w:rPr>
          <w:lang w:val="sk-SK"/>
        </w:rPr>
        <w:t xml:space="preserve"> v klinickom programe počas 3 </w:t>
      </w:r>
      <w:r w:rsidRPr="00821ADF">
        <w:rPr>
          <w:lang w:val="sk-SK"/>
        </w:rPr>
        <w:t xml:space="preserve">076,4 </w:t>
      </w:r>
      <w:r w:rsidR="00B94D60" w:rsidRPr="00821ADF">
        <w:rPr>
          <w:lang w:val="sk-SK"/>
        </w:rPr>
        <w:t>pacientsk</w:t>
      </w:r>
      <w:r w:rsidR="00782DCE">
        <w:rPr>
          <w:lang w:val="sk-SK"/>
        </w:rPr>
        <w:t>y</w:t>
      </w:r>
      <w:r w:rsidR="00B94D60" w:rsidRPr="00821ADF">
        <w:rPr>
          <w:lang w:val="sk-SK"/>
        </w:rPr>
        <w:t>ch</w:t>
      </w:r>
      <w:r w:rsidRPr="00821ADF">
        <w:rPr>
          <w:lang w:val="sk-SK"/>
        </w:rPr>
        <w:t xml:space="preserve"> rokov. V dvojito zaslepených </w:t>
      </w:r>
      <w:proofErr w:type="spellStart"/>
      <w:r w:rsidRPr="00821ADF">
        <w:rPr>
          <w:lang w:val="sk-SK"/>
        </w:rPr>
        <w:t>placebom</w:t>
      </w:r>
      <w:proofErr w:type="spellEnd"/>
      <w:r w:rsidRPr="00821ADF">
        <w:rPr>
          <w:lang w:val="sk-SK"/>
        </w:rPr>
        <w:t xml:space="preserve"> kontrolovaných štúdiách bolo 529 pacientov liečených </w:t>
      </w:r>
      <w:proofErr w:type="spellStart"/>
      <w:r w:rsidR="00301BD2">
        <w:rPr>
          <w:lang w:val="sk-SK"/>
        </w:rPr>
        <w:t>razagilín</w:t>
      </w:r>
      <w:r w:rsidRPr="00821ADF">
        <w:rPr>
          <w:lang w:val="sk-SK"/>
        </w:rPr>
        <w:t>om</w:t>
      </w:r>
      <w:proofErr w:type="spellEnd"/>
      <w:r w:rsidRPr="00821ADF">
        <w:rPr>
          <w:lang w:val="sk-SK"/>
        </w:rPr>
        <w:t xml:space="preserve"> v dávke 1 mg/deň počas 212 </w:t>
      </w:r>
      <w:r w:rsidR="00997BBC" w:rsidRPr="00821ADF">
        <w:rPr>
          <w:lang w:val="sk-SK"/>
        </w:rPr>
        <w:t>pacientsk</w:t>
      </w:r>
      <w:r w:rsidR="00782DCE">
        <w:rPr>
          <w:lang w:val="sk-SK"/>
        </w:rPr>
        <w:t>y</w:t>
      </w:r>
      <w:r w:rsidR="00997BBC" w:rsidRPr="00821ADF">
        <w:rPr>
          <w:lang w:val="sk-SK"/>
        </w:rPr>
        <w:t xml:space="preserve">ch </w:t>
      </w:r>
      <w:r w:rsidRPr="00821ADF">
        <w:rPr>
          <w:lang w:val="sk-SK"/>
        </w:rPr>
        <w:t xml:space="preserve">rokov a </w:t>
      </w:r>
      <w:proofErr w:type="spellStart"/>
      <w:r w:rsidRPr="00821ADF">
        <w:rPr>
          <w:lang w:val="sk-SK"/>
        </w:rPr>
        <w:t>placebo</w:t>
      </w:r>
      <w:proofErr w:type="spellEnd"/>
      <w:r w:rsidRPr="00821ADF">
        <w:rPr>
          <w:lang w:val="sk-SK"/>
        </w:rPr>
        <w:t xml:space="preserve"> bolo podané 539 pacientom počas 213 </w:t>
      </w:r>
      <w:r w:rsidR="00997BBC" w:rsidRPr="00821ADF">
        <w:rPr>
          <w:lang w:val="sk-SK"/>
        </w:rPr>
        <w:t>pacientsk</w:t>
      </w:r>
      <w:r w:rsidR="00782DCE">
        <w:rPr>
          <w:lang w:val="sk-SK"/>
        </w:rPr>
        <w:t>y</w:t>
      </w:r>
      <w:r w:rsidR="00997BBC" w:rsidRPr="00821ADF">
        <w:rPr>
          <w:lang w:val="sk-SK"/>
        </w:rPr>
        <w:t xml:space="preserve">ch </w:t>
      </w:r>
      <w:r w:rsidRPr="00821ADF">
        <w:rPr>
          <w:lang w:val="sk-SK"/>
        </w:rPr>
        <w:t>rokov.</w:t>
      </w:r>
    </w:p>
    <w:p w:rsidR="00C15776" w:rsidRDefault="0026280D" w:rsidP="0026280D">
      <w:pPr>
        <w:pStyle w:val="Normlndobloku"/>
        <w:rPr>
          <w:i/>
          <w:lang w:val="sk-SK"/>
        </w:rPr>
      </w:pPr>
      <w:proofErr w:type="spellStart"/>
      <w:r w:rsidRPr="00821ADF">
        <w:rPr>
          <w:i/>
          <w:lang w:val="sk-SK"/>
        </w:rPr>
        <w:t>Monoterapia</w:t>
      </w:r>
      <w:proofErr w:type="spellEnd"/>
    </w:p>
    <w:p w:rsidR="0026280D" w:rsidRPr="00821ADF" w:rsidRDefault="0026280D" w:rsidP="0026280D">
      <w:pPr>
        <w:pStyle w:val="Normlndobloku"/>
        <w:rPr>
          <w:lang w:val="sk-SK"/>
        </w:rPr>
      </w:pPr>
      <w:r w:rsidRPr="00821ADF">
        <w:rPr>
          <w:lang w:val="sk-SK"/>
        </w:rPr>
        <w:t xml:space="preserve">Nižšie uvedený zoznam obsahuje nežiaduce reakcie, u ktorých bol v </w:t>
      </w:r>
      <w:proofErr w:type="spellStart"/>
      <w:r w:rsidRPr="00821ADF">
        <w:rPr>
          <w:lang w:val="sk-SK"/>
        </w:rPr>
        <w:t>placebom</w:t>
      </w:r>
      <w:proofErr w:type="spellEnd"/>
      <w:r w:rsidRPr="00821ADF">
        <w:rPr>
          <w:lang w:val="sk-SK"/>
        </w:rPr>
        <w:t xml:space="preserve"> kontrolovaných štúdiách zaznamenaný vyšší výskyt u pacientov, ktorým bol podávaný 1 mg </w:t>
      </w:r>
      <w:proofErr w:type="spellStart"/>
      <w:r w:rsidR="00301BD2">
        <w:rPr>
          <w:lang w:val="sk-SK"/>
        </w:rPr>
        <w:t>razagilín</w:t>
      </w:r>
      <w:r w:rsidRPr="00821ADF">
        <w:rPr>
          <w:lang w:val="sk-SK"/>
        </w:rPr>
        <w:t>u</w:t>
      </w:r>
      <w:proofErr w:type="spellEnd"/>
      <w:r w:rsidRPr="00821ADF">
        <w:rPr>
          <w:lang w:val="sk-SK"/>
        </w:rPr>
        <w:t xml:space="preserve"> denne (</w:t>
      </w:r>
      <w:proofErr w:type="spellStart"/>
      <w:r w:rsidR="00301BD2">
        <w:rPr>
          <w:lang w:val="sk-SK"/>
        </w:rPr>
        <w:t>razagilín</w:t>
      </w:r>
      <w:r w:rsidRPr="00821ADF">
        <w:rPr>
          <w:lang w:val="sk-SK"/>
        </w:rPr>
        <w:t>ová</w:t>
      </w:r>
      <w:proofErr w:type="spellEnd"/>
      <w:r w:rsidRPr="00821ADF">
        <w:rPr>
          <w:lang w:val="sk-SK"/>
        </w:rPr>
        <w:t xml:space="preserve"> skupina n=149, </w:t>
      </w:r>
      <w:proofErr w:type="spellStart"/>
      <w:r w:rsidRPr="00821ADF">
        <w:rPr>
          <w:lang w:val="sk-SK"/>
        </w:rPr>
        <w:t>placebo</w:t>
      </w:r>
      <w:proofErr w:type="spellEnd"/>
      <w:r w:rsidRPr="00821ADF">
        <w:rPr>
          <w:lang w:val="sk-SK"/>
        </w:rPr>
        <w:t xml:space="preserve"> skupina n=151).</w:t>
      </w:r>
    </w:p>
    <w:p w:rsidR="00C15776" w:rsidRDefault="0026280D" w:rsidP="0026280D">
      <w:pPr>
        <w:pStyle w:val="Normlndobloku"/>
        <w:rPr>
          <w:lang w:val="sk-SK"/>
        </w:rPr>
      </w:pPr>
      <w:r w:rsidRPr="00821ADF">
        <w:rPr>
          <w:lang w:val="sk-SK"/>
        </w:rPr>
        <w:t xml:space="preserve">Nežiaduce reakcie s aspoň 2 % rozdielom oproti </w:t>
      </w:r>
      <w:proofErr w:type="spellStart"/>
      <w:r w:rsidRPr="00821ADF">
        <w:rPr>
          <w:lang w:val="sk-SK"/>
        </w:rPr>
        <w:t>placebu</w:t>
      </w:r>
      <w:proofErr w:type="spellEnd"/>
      <w:r w:rsidRPr="00821ADF">
        <w:rPr>
          <w:lang w:val="sk-SK"/>
        </w:rPr>
        <w:t xml:space="preserve"> sú vyznačené </w:t>
      </w:r>
      <w:r w:rsidR="00D72B76" w:rsidRPr="00784AF1">
        <w:rPr>
          <w:i/>
          <w:lang w:val="sk-SK"/>
        </w:rPr>
        <w:t>kurzívou</w:t>
      </w:r>
      <w:r w:rsidRPr="00821ADF">
        <w:rPr>
          <w:lang w:val="sk-SK"/>
        </w:rPr>
        <w:t xml:space="preserve">. V zátvorkách je uvedený výskyt nežiaducich reakcií (% pacientov) v poradí </w:t>
      </w:r>
      <w:proofErr w:type="spellStart"/>
      <w:r w:rsidR="00301BD2">
        <w:rPr>
          <w:lang w:val="sk-SK"/>
        </w:rPr>
        <w:t>razagilín</w:t>
      </w:r>
      <w:r w:rsidRPr="00821ADF">
        <w:rPr>
          <w:lang w:val="sk-SK"/>
        </w:rPr>
        <w:t>ová</w:t>
      </w:r>
      <w:proofErr w:type="spellEnd"/>
      <w:r w:rsidRPr="00821ADF">
        <w:rPr>
          <w:lang w:val="sk-SK"/>
        </w:rPr>
        <w:t xml:space="preserve"> skupina oproti </w:t>
      </w:r>
      <w:proofErr w:type="spellStart"/>
      <w:r w:rsidRPr="00821ADF">
        <w:rPr>
          <w:lang w:val="sk-SK"/>
        </w:rPr>
        <w:t>placebu</w:t>
      </w:r>
      <w:proofErr w:type="spellEnd"/>
      <w:r w:rsidRPr="00821ADF">
        <w:rPr>
          <w:lang w:val="sk-SK"/>
        </w:rPr>
        <w:t>.</w:t>
      </w:r>
    </w:p>
    <w:p w:rsidR="0026280D" w:rsidRPr="00821ADF" w:rsidRDefault="0026280D" w:rsidP="0026280D">
      <w:pPr>
        <w:pStyle w:val="Normlndobloku"/>
        <w:rPr>
          <w:lang w:val="sk-SK"/>
        </w:rPr>
      </w:pPr>
      <w:r w:rsidRPr="00821ADF">
        <w:rPr>
          <w:lang w:val="sk-SK"/>
        </w:rPr>
        <w:t>Nežiaduce reakcie sú zoradené podľa frekvencie výskytu na základe nasledujúcej konvencie: veľmi časté (≥1/10), časté (≥1/100 až &lt;1/10), menej časté (≥1/1</w:t>
      </w:r>
      <w:r w:rsidR="00A554E0">
        <w:rPr>
          <w:lang w:val="sk-SK"/>
        </w:rPr>
        <w:t> </w:t>
      </w:r>
      <w:r w:rsidRPr="00821ADF">
        <w:rPr>
          <w:lang w:val="sk-SK"/>
        </w:rPr>
        <w:t>0</w:t>
      </w:r>
      <w:r w:rsidR="00A554E0">
        <w:rPr>
          <w:lang w:val="sk-SK"/>
        </w:rPr>
        <w:t>00 až &lt;1/100), zriedkavé (≥1/10 </w:t>
      </w:r>
      <w:r w:rsidRPr="00821ADF">
        <w:rPr>
          <w:lang w:val="sk-SK"/>
        </w:rPr>
        <w:t>000 až &lt;</w:t>
      </w:r>
      <w:r w:rsidR="00A554E0">
        <w:rPr>
          <w:lang w:val="sk-SK"/>
        </w:rPr>
        <w:t>1/1 000), veľmi zriedkavé (≥1/10 </w:t>
      </w:r>
      <w:r w:rsidRPr="00821ADF">
        <w:rPr>
          <w:lang w:val="sk-SK"/>
        </w:rPr>
        <w:t xml:space="preserve">000). </w:t>
      </w:r>
    </w:p>
    <w:tbl>
      <w:tblPr>
        <w:tblStyle w:val="Mriekatabuky"/>
        <w:tblW w:w="0" w:type="auto"/>
        <w:tblLayout w:type="fixed"/>
        <w:tblLook w:val="04A0"/>
      </w:tblPr>
      <w:tblGrid>
        <w:gridCol w:w="9546"/>
      </w:tblGrid>
      <w:tr w:rsidR="0026280D" w:rsidRPr="00821ADF" w:rsidTr="00D54CDD">
        <w:trPr>
          <w:trHeight w:val="265"/>
        </w:trPr>
        <w:tc>
          <w:tcPr>
            <w:tcW w:w="9546" w:type="dxa"/>
          </w:tcPr>
          <w:p w:rsidR="0026280D" w:rsidRPr="00821ADF" w:rsidRDefault="0026280D" w:rsidP="00D54CDD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821ADF">
              <w:rPr>
                <w:b/>
                <w:bCs/>
                <w:sz w:val="22"/>
                <w:szCs w:val="22"/>
              </w:rPr>
              <w:t>Infekcie a nákazy</w:t>
            </w:r>
          </w:p>
          <w:p w:rsidR="0026280D" w:rsidRPr="00821ADF" w:rsidRDefault="0026280D" w:rsidP="00D54CDD">
            <w:pPr>
              <w:pStyle w:val="Default"/>
              <w:rPr>
                <w:sz w:val="22"/>
                <w:szCs w:val="22"/>
              </w:rPr>
            </w:pPr>
            <w:r w:rsidRPr="00821ADF">
              <w:rPr>
                <w:rFonts w:ascii="Times-New-Roman" w:hAnsi="Times-New-Roman" w:cs="Times-New-Roman"/>
                <w:i/>
                <w:sz w:val="22"/>
                <w:szCs w:val="22"/>
              </w:rPr>
              <w:t>Č</w:t>
            </w:r>
            <w:r w:rsidRPr="00821ADF">
              <w:rPr>
                <w:i/>
                <w:sz w:val="22"/>
                <w:szCs w:val="22"/>
              </w:rPr>
              <w:t>asté:</w:t>
            </w:r>
            <w:r w:rsidRPr="00821ADF">
              <w:rPr>
                <w:sz w:val="22"/>
                <w:szCs w:val="22"/>
              </w:rPr>
              <w:t xml:space="preserve"> </w:t>
            </w:r>
            <w:r w:rsidR="00D72B76" w:rsidRPr="00C24D61">
              <w:rPr>
                <w:iCs/>
                <w:sz w:val="22"/>
                <w:szCs w:val="22"/>
              </w:rPr>
              <w:t>chrípka (4,7 % oproti 0,7 %)</w:t>
            </w:r>
            <w:r w:rsidRPr="00821ADF">
              <w:rPr>
                <w:i/>
                <w:iCs/>
                <w:sz w:val="22"/>
                <w:szCs w:val="22"/>
              </w:rPr>
              <w:t xml:space="preserve"> </w:t>
            </w:r>
          </w:p>
        </w:tc>
      </w:tr>
      <w:tr w:rsidR="0026280D" w:rsidRPr="00821ADF" w:rsidTr="00D54CDD">
        <w:trPr>
          <w:trHeight w:val="257"/>
        </w:trPr>
        <w:tc>
          <w:tcPr>
            <w:tcW w:w="9546" w:type="dxa"/>
          </w:tcPr>
          <w:p w:rsidR="0026280D" w:rsidRPr="00821ADF" w:rsidRDefault="0026280D" w:rsidP="00D54CDD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821ADF">
              <w:rPr>
                <w:b/>
                <w:bCs/>
                <w:sz w:val="22"/>
                <w:szCs w:val="22"/>
              </w:rPr>
              <w:t>Benígne a malígne nádory, vrátane nešpecifikovaných novotvarov (cysty a polypy)</w:t>
            </w:r>
          </w:p>
          <w:p w:rsidR="0026280D" w:rsidRPr="00821ADF" w:rsidRDefault="0026280D" w:rsidP="00D54CDD">
            <w:pPr>
              <w:pStyle w:val="Default"/>
              <w:rPr>
                <w:sz w:val="22"/>
                <w:szCs w:val="22"/>
              </w:rPr>
            </w:pPr>
            <w:r w:rsidRPr="00821ADF">
              <w:rPr>
                <w:rFonts w:ascii="Times-New-Roman" w:hAnsi="Times-New-Roman" w:cs="Times-New-Roman"/>
                <w:i/>
                <w:sz w:val="22"/>
                <w:szCs w:val="22"/>
              </w:rPr>
              <w:t>Č</w:t>
            </w:r>
            <w:r w:rsidRPr="00821ADF">
              <w:rPr>
                <w:i/>
                <w:sz w:val="22"/>
                <w:szCs w:val="22"/>
              </w:rPr>
              <w:t>asté:</w:t>
            </w:r>
            <w:r w:rsidRPr="00821ADF">
              <w:rPr>
                <w:sz w:val="22"/>
                <w:szCs w:val="22"/>
              </w:rPr>
              <w:t xml:space="preserve"> rakovina kože (1,3 % oproti 0,7 %) </w:t>
            </w:r>
          </w:p>
        </w:tc>
      </w:tr>
      <w:tr w:rsidR="0026280D" w:rsidRPr="00821ADF" w:rsidTr="00D54CDD">
        <w:trPr>
          <w:trHeight w:val="257"/>
        </w:trPr>
        <w:tc>
          <w:tcPr>
            <w:tcW w:w="9546" w:type="dxa"/>
          </w:tcPr>
          <w:p w:rsidR="0026280D" w:rsidRPr="00821ADF" w:rsidRDefault="0026280D" w:rsidP="00D54CDD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821ADF">
              <w:rPr>
                <w:b/>
                <w:bCs/>
                <w:sz w:val="22"/>
                <w:szCs w:val="22"/>
              </w:rPr>
              <w:t>Poruchy krvi a lymfatického systému</w:t>
            </w:r>
          </w:p>
          <w:p w:rsidR="0026280D" w:rsidRPr="00821ADF" w:rsidRDefault="0026280D" w:rsidP="00D54CDD">
            <w:pPr>
              <w:pStyle w:val="Default"/>
              <w:rPr>
                <w:sz w:val="22"/>
                <w:szCs w:val="22"/>
              </w:rPr>
            </w:pPr>
            <w:r w:rsidRPr="00821ADF">
              <w:rPr>
                <w:rFonts w:ascii="Times-New-Roman" w:hAnsi="Times-New-Roman" w:cs="Times-New-Roman"/>
                <w:i/>
                <w:sz w:val="22"/>
                <w:szCs w:val="22"/>
              </w:rPr>
              <w:t>Č</w:t>
            </w:r>
            <w:r w:rsidRPr="00821ADF">
              <w:rPr>
                <w:i/>
                <w:sz w:val="22"/>
                <w:szCs w:val="22"/>
              </w:rPr>
              <w:t>asté:</w:t>
            </w:r>
            <w:r w:rsidRPr="00821ADF">
              <w:rPr>
                <w:sz w:val="22"/>
                <w:szCs w:val="22"/>
              </w:rPr>
              <w:t xml:space="preserve"> </w:t>
            </w:r>
            <w:proofErr w:type="spellStart"/>
            <w:r w:rsidRPr="00821ADF">
              <w:rPr>
                <w:sz w:val="22"/>
                <w:szCs w:val="22"/>
              </w:rPr>
              <w:t>leukopénia</w:t>
            </w:r>
            <w:proofErr w:type="spellEnd"/>
            <w:r w:rsidRPr="00821ADF">
              <w:rPr>
                <w:sz w:val="22"/>
                <w:szCs w:val="22"/>
              </w:rPr>
              <w:t xml:space="preserve"> (1,3 % oproti 0 %) </w:t>
            </w:r>
          </w:p>
        </w:tc>
      </w:tr>
      <w:tr w:rsidR="0026280D" w:rsidRPr="00821ADF" w:rsidTr="00D54CDD">
        <w:trPr>
          <w:trHeight w:val="257"/>
        </w:trPr>
        <w:tc>
          <w:tcPr>
            <w:tcW w:w="9546" w:type="dxa"/>
          </w:tcPr>
          <w:p w:rsidR="0026280D" w:rsidRPr="00821ADF" w:rsidRDefault="0026280D" w:rsidP="00D54CDD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821ADF">
              <w:rPr>
                <w:b/>
                <w:bCs/>
                <w:sz w:val="22"/>
                <w:szCs w:val="22"/>
              </w:rPr>
              <w:t>Poruchy imunitného systému</w:t>
            </w:r>
          </w:p>
          <w:p w:rsidR="0026280D" w:rsidRPr="00821ADF" w:rsidRDefault="0026280D" w:rsidP="00D54CDD">
            <w:pPr>
              <w:pStyle w:val="Default"/>
              <w:rPr>
                <w:sz w:val="22"/>
                <w:szCs w:val="22"/>
              </w:rPr>
            </w:pPr>
            <w:r w:rsidRPr="00821ADF">
              <w:rPr>
                <w:rFonts w:ascii="Times-New-Roman" w:hAnsi="Times-New-Roman" w:cs="Times-New-Roman"/>
                <w:i/>
                <w:sz w:val="22"/>
                <w:szCs w:val="22"/>
              </w:rPr>
              <w:t>Č</w:t>
            </w:r>
            <w:r w:rsidRPr="00821ADF">
              <w:rPr>
                <w:i/>
                <w:sz w:val="22"/>
                <w:szCs w:val="22"/>
              </w:rPr>
              <w:t>asté:</w:t>
            </w:r>
            <w:r w:rsidRPr="00821ADF">
              <w:rPr>
                <w:sz w:val="22"/>
                <w:szCs w:val="22"/>
              </w:rPr>
              <w:t xml:space="preserve"> alergia (1,3 % oproti 0,7 %) </w:t>
            </w:r>
          </w:p>
        </w:tc>
      </w:tr>
      <w:tr w:rsidR="0026280D" w:rsidRPr="00821ADF" w:rsidTr="00D54CDD">
        <w:trPr>
          <w:trHeight w:val="131"/>
        </w:trPr>
        <w:tc>
          <w:tcPr>
            <w:tcW w:w="9546" w:type="dxa"/>
          </w:tcPr>
          <w:p w:rsidR="0026280D" w:rsidRPr="00821ADF" w:rsidRDefault="0026280D" w:rsidP="00D54CDD">
            <w:pPr>
              <w:pStyle w:val="Default"/>
              <w:rPr>
                <w:sz w:val="22"/>
                <w:szCs w:val="22"/>
              </w:rPr>
            </w:pPr>
            <w:r w:rsidRPr="00821ADF">
              <w:rPr>
                <w:b/>
                <w:bCs/>
                <w:sz w:val="22"/>
                <w:szCs w:val="22"/>
              </w:rPr>
              <w:t xml:space="preserve">Poruchy metabolizmu a výživy </w:t>
            </w:r>
          </w:p>
        </w:tc>
      </w:tr>
      <w:tr w:rsidR="0026280D" w:rsidRPr="00821ADF" w:rsidTr="00D54CDD">
        <w:trPr>
          <w:trHeight w:val="132"/>
        </w:trPr>
        <w:tc>
          <w:tcPr>
            <w:tcW w:w="9546" w:type="dxa"/>
          </w:tcPr>
          <w:p w:rsidR="0026280D" w:rsidRPr="00821ADF" w:rsidRDefault="0026280D" w:rsidP="00D54CDD">
            <w:pPr>
              <w:pStyle w:val="Default"/>
              <w:rPr>
                <w:sz w:val="22"/>
                <w:szCs w:val="22"/>
              </w:rPr>
            </w:pPr>
            <w:r w:rsidRPr="00821ADF">
              <w:rPr>
                <w:i/>
                <w:sz w:val="22"/>
                <w:szCs w:val="22"/>
              </w:rPr>
              <w:t xml:space="preserve">Menej </w:t>
            </w:r>
            <w:r w:rsidRPr="00821ADF">
              <w:rPr>
                <w:rFonts w:ascii="Times-New-Roman" w:hAnsi="Times-New-Roman" w:cs="Times-New-Roman"/>
                <w:i/>
                <w:sz w:val="22"/>
                <w:szCs w:val="22"/>
              </w:rPr>
              <w:t>č</w:t>
            </w:r>
            <w:r w:rsidRPr="00821ADF">
              <w:rPr>
                <w:i/>
                <w:sz w:val="22"/>
                <w:szCs w:val="22"/>
              </w:rPr>
              <w:t>asté:</w:t>
            </w:r>
            <w:r w:rsidRPr="00821ADF">
              <w:rPr>
                <w:sz w:val="22"/>
                <w:szCs w:val="22"/>
              </w:rPr>
              <w:t xml:space="preserve"> znížená chu</w:t>
            </w:r>
            <w:r w:rsidRPr="00821ADF">
              <w:rPr>
                <w:rFonts w:ascii="Times-New-Roman" w:hAnsi="Times-New-Roman" w:cs="Times-New-Roman"/>
                <w:sz w:val="22"/>
                <w:szCs w:val="22"/>
              </w:rPr>
              <w:t xml:space="preserve">ť </w:t>
            </w:r>
            <w:r w:rsidRPr="00821ADF">
              <w:rPr>
                <w:sz w:val="22"/>
                <w:szCs w:val="22"/>
              </w:rPr>
              <w:t xml:space="preserve">do jedla (0,7 % oproti 0 %) </w:t>
            </w:r>
          </w:p>
        </w:tc>
      </w:tr>
      <w:tr w:rsidR="0026280D" w:rsidRPr="00821ADF" w:rsidTr="00D54CDD">
        <w:trPr>
          <w:trHeight w:val="257"/>
        </w:trPr>
        <w:tc>
          <w:tcPr>
            <w:tcW w:w="9546" w:type="dxa"/>
          </w:tcPr>
          <w:p w:rsidR="0026280D" w:rsidRPr="00821ADF" w:rsidRDefault="0026280D" w:rsidP="00D54CDD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821ADF">
              <w:rPr>
                <w:b/>
                <w:bCs/>
                <w:sz w:val="22"/>
                <w:szCs w:val="22"/>
              </w:rPr>
              <w:t>Psychické poruchy</w:t>
            </w:r>
          </w:p>
          <w:p w:rsidR="0026280D" w:rsidRPr="00821ADF" w:rsidRDefault="0026280D" w:rsidP="00D54CDD">
            <w:pPr>
              <w:pStyle w:val="Default"/>
              <w:rPr>
                <w:sz w:val="22"/>
                <w:szCs w:val="22"/>
              </w:rPr>
            </w:pPr>
            <w:r w:rsidRPr="00821ADF">
              <w:rPr>
                <w:rFonts w:ascii="Times-New-Roman" w:hAnsi="Times-New-Roman" w:cs="Times-New-Roman"/>
                <w:i/>
                <w:sz w:val="22"/>
                <w:szCs w:val="22"/>
              </w:rPr>
              <w:t>Č</w:t>
            </w:r>
            <w:r w:rsidRPr="00821ADF">
              <w:rPr>
                <w:i/>
                <w:sz w:val="22"/>
                <w:szCs w:val="22"/>
              </w:rPr>
              <w:t>asté</w:t>
            </w:r>
            <w:r w:rsidRPr="00821ADF">
              <w:rPr>
                <w:sz w:val="22"/>
                <w:szCs w:val="22"/>
              </w:rPr>
              <w:t>:</w:t>
            </w:r>
            <w:r w:rsidRPr="00821ADF">
              <w:rPr>
                <w:iCs/>
                <w:sz w:val="22"/>
                <w:szCs w:val="22"/>
              </w:rPr>
              <w:t xml:space="preserve"> depresia (5,4 % oproti 2 %)</w:t>
            </w:r>
            <w:r w:rsidRPr="00821ADF">
              <w:rPr>
                <w:sz w:val="22"/>
                <w:szCs w:val="22"/>
              </w:rPr>
              <w:t xml:space="preserve">, halucinácie (1,3 % oproti 0, 7%) </w:t>
            </w:r>
          </w:p>
        </w:tc>
      </w:tr>
      <w:tr w:rsidR="0026280D" w:rsidRPr="00821ADF" w:rsidTr="00D54CDD">
        <w:trPr>
          <w:trHeight w:val="383"/>
        </w:trPr>
        <w:tc>
          <w:tcPr>
            <w:tcW w:w="9546" w:type="dxa"/>
          </w:tcPr>
          <w:p w:rsidR="0026280D" w:rsidRPr="00821ADF" w:rsidRDefault="0026280D" w:rsidP="00D54CDD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821ADF">
              <w:rPr>
                <w:b/>
                <w:bCs/>
                <w:sz w:val="22"/>
                <w:szCs w:val="22"/>
              </w:rPr>
              <w:t>Poruchy nervového systému</w:t>
            </w:r>
          </w:p>
          <w:p w:rsidR="0026280D" w:rsidRPr="00C24D61" w:rsidRDefault="0026280D" w:rsidP="00D54CDD">
            <w:pPr>
              <w:pStyle w:val="Default"/>
              <w:rPr>
                <w:iCs/>
                <w:sz w:val="22"/>
                <w:szCs w:val="22"/>
              </w:rPr>
            </w:pPr>
            <w:r w:rsidRPr="00821ADF">
              <w:rPr>
                <w:i/>
                <w:sz w:val="22"/>
                <w:szCs w:val="22"/>
              </w:rPr>
              <w:t>Ve</w:t>
            </w:r>
            <w:r w:rsidRPr="00821ADF">
              <w:rPr>
                <w:rFonts w:ascii="Times-New-Roman" w:hAnsi="Times-New-Roman" w:cs="Times-New-Roman"/>
                <w:i/>
                <w:sz w:val="22"/>
                <w:szCs w:val="22"/>
              </w:rPr>
              <w:t>ľ</w:t>
            </w:r>
            <w:r w:rsidRPr="00821ADF">
              <w:rPr>
                <w:i/>
                <w:sz w:val="22"/>
                <w:szCs w:val="22"/>
              </w:rPr>
              <w:t xml:space="preserve">mi </w:t>
            </w:r>
            <w:r w:rsidRPr="00821ADF">
              <w:rPr>
                <w:rFonts w:ascii="Times-New-Roman" w:hAnsi="Times-New-Roman" w:cs="Times-New-Roman"/>
                <w:i/>
                <w:sz w:val="22"/>
                <w:szCs w:val="22"/>
              </w:rPr>
              <w:t>č</w:t>
            </w:r>
            <w:r w:rsidRPr="00821ADF">
              <w:rPr>
                <w:i/>
                <w:sz w:val="22"/>
                <w:szCs w:val="22"/>
              </w:rPr>
              <w:t>asté</w:t>
            </w:r>
            <w:r w:rsidRPr="00821ADF">
              <w:rPr>
                <w:i/>
                <w:iCs/>
                <w:sz w:val="22"/>
                <w:szCs w:val="22"/>
              </w:rPr>
              <w:t xml:space="preserve">: </w:t>
            </w:r>
            <w:r w:rsidR="00D72B76" w:rsidRPr="00C24D61">
              <w:rPr>
                <w:iCs/>
                <w:sz w:val="22"/>
                <w:szCs w:val="22"/>
              </w:rPr>
              <w:t>boles</w:t>
            </w:r>
            <w:r w:rsidR="00D72B76" w:rsidRPr="00C24D61">
              <w:rPr>
                <w:rFonts w:ascii="Times-New-Roman,Italic" w:hAnsi="Times-New-Roman,Italic" w:cs="Times-New-Roman,Italic"/>
                <w:sz w:val="22"/>
                <w:szCs w:val="22"/>
              </w:rPr>
              <w:t xml:space="preserve">ť </w:t>
            </w:r>
            <w:r w:rsidR="00D72B76" w:rsidRPr="00C24D61">
              <w:rPr>
                <w:iCs/>
                <w:sz w:val="22"/>
                <w:szCs w:val="22"/>
              </w:rPr>
              <w:t>hlavy (14,1 % oproti 11,9 %)</w:t>
            </w:r>
          </w:p>
          <w:p w:rsidR="0026280D" w:rsidRPr="00821ADF" w:rsidRDefault="0026280D" w:rsidP="00D54CDD">
            <w:pPr>
              <w:pStyle w:val="Default"/>
              <w:rPr>
                <w:sz w:val="22"/>
                <w:szCs w:val="22"/>
              </w:rPr>
            </w:pPr>
            <w:r w:rsidRPr="00821ADF">
              <w:rPr>
                <w:i/>
                <w:sz w:val="22"/>
                <w:szCs w:val="22"/>
              </w:rPr>
              <w:t xml:space="preserve">Menej </w:t>
            </w:r>
            <w:r w:rsidRPr="00821ADF">
              <w:rPr>
                <w:rFonts w:ascii="Times-New-Roman" w:hAnsi="Times-New-Roman" w:cs="Times-New-Roman"/>
                <w:i/>
                <w:sz w:val="22"/>
                <w:szCs w:val="22"/>
              </w:rPr>
              <w:t>č</w:t>
            </w:r>
            <w:r w:rsidRPr="00821ADF">
              <w:rPr>
                <w:i/>
                <w:sz w:val="22"/>
                <w:szCs w:val="22"/>
              </w:rPr>
              <w:t>asté</w:t>
            </w:r>
            <w:r w:rsidRPr="00821ADF">
              <w:rPr>
                <w:sz w:val="22"/>
                <w:szCs w:val="22"/>
              </w:rPr>
              <w:t xml:space="preserve">: </w:t>
            </w:r>
            <w:proofErr w:type="spellStart"/>
            <w:r w:rsidRPr="00821ADF">
              <w:rPr>
                <w:sz w:val="22"/>
                <w:szCs w:val="22"/>
              </w:rPr>
              <w:t>cerebrovaskulárna</w:t>
            </w:r>
            <w:proofErr w:type="spellEnd"/>
            <w:r w:rsidRPr="00821ADF">
              <w:rPr>
                <w:sz w:val="22"/>
                <w:szCs w:val="22"/>
              </w:rPr>
              <w:t xml:space="preserve"> príhoda (0,7 % oproti 0 %) </w:t>
            </w:r>
          </w:p>
        </w:tc>
      </w:tr>
      <w:tr w:rsidR="0026280D" w:rsidRPr="00821ADF" w:rsidTr="00D54CDD">
        <w:trPr>
          <w:trHeight w:val="257"/>
        </w:trPr>
        <w:tc>
          <w:tcPr>
            <w:tcW w:w="9546" w:type="dxa"/>
          </w:tcPr>
          <w:p w:rsidR="0026280D" w:rsidRPr="00821ADF" w:rsidRDefault="0026280D" w:rsidP="00D54CDD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821ADF">
              <w:rPr>
                <w:b/>
                <w:bCs/>
                <w:sz w:val="22"/>
                <w:szCs w:val="22"/>
              </w:rPr>
              <w:t>Poruchy oka</w:t>
            </w:r>
          </w:p>
          <w:p w:rsidR="0026280D" w:rsidRPr="00821ADF" w:rsidRDefault="0026280D" w:rsidP="00D54CDD">
            <w:pPr>
              <w:pStyle w:val="Default"/>
              <w:rPr>
                <w:sz w:val="22"/>
                <w:szCs w:val="22"/>
              </w:rPr>
            </w:pPr>
            <w:r w:rsidRPr="00821ADF">
              <w:rPr>
                <w:rFonts w:ascii="Times-New-Roman" w:hAnsi="Times-New-Roman" w:cs="Times-New-Roman"/>
                <w:i/>
                <w:sz w:val="22"/>
                <w:szCs w:val="22"/>
              </w:rPr>
              <w:t>Č</w:t>
            </w:r>
            <w:r w:rsidRPr="00821ADF">
              <w:rPr>
                <w:i/>
                <w:sz w:val="22"/>
                <w:szCs w:val="22"/>
              </w:rPr>
              <w:t>asté:</w:t>
            </w:r>
            <w:r w:rsidRPr="00821ADF">
              <w:rPr>
                <w:sz w:val="22"/>
                <w:szCs w:val="22"/>
              </w:rPr>
              <w:t xml:space="preserve"> </w:t>
            </w:r>
            <w:proofErr w:type="spellStart"/>
            <w:r w:rsidR="00D72B76" w:rsidRPr="00C24D61">
              <w:rPr>
                <w:iCs/>
                <w:sz w:val="22"/>
                <w:szCs w:val="22"/>
              </w:rPr>
              <w:t>konjunktivitída</w:t>
            </w:r>
            <w:proofErr w:type="spellEnd"/>
            <w:r w:rsidR="00D72B76" w:rsidRPr="00C24D61">
              <w:rPr>
                <w:iCs/>
                <w:sz w:val="22"/>
                <w:szCs w:val="22"/>
              </w:rPr>
              <w:t xml:space="preserve"> (2,7 % oproti 0,7 %)</w:t>
            </w:r>
            <w:r w:rsidRPr="00821ADF">
              <w:rPr>
                <w:i/>
                <w:iCs/>
                <w:sz w:val="22"/>
                <w:szCs w:val="22"/>
              </w:rPr>
              <w:t xml:space="preserve"> </w:t>
            </w:r>
          </w:p>
        </w:tc>
      </w:tr>
      <w:tr w:rsidR="0026280D" w:rsidRPr="00821ADF" w:rsidTr="00D54CDD">
        <w:trPr>
          <w:trHeight w:val="257"/>
        </w:trPr>
        <w:tc>
          <w:tcPr>
            <w:tcW w:w="9546" w:type="dxa"/>
          </w:tcPr>
          <w:p w:rsidR="0026280D" w:rsidRPr="00821ADF" w:rsidRDefault="0026280D" w:rsidP="00D54CDD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821ADF">
              <w:rPr>
                <w:b/>
                <w:bCs/>
                <w:sz w:val="22"/>
                <w:szCs w:val="22"/>
              </w:rPr>
              <w:t>Poruchy ucha a labyrintu</w:t>
            </w:r>
          </w:p>
          <w:p w:rsidR="0026280D" w:rsidRPr="00821ADF" w:rsidRDefault="0026280D" w:rsidP="00D54CDD">
            <w:pPr>
              <w:pStyle w:val="Default"/>
              <w:rPr>
                <w:sz w:val="22"/>
                <w:szCs w:val="22"/>
              </w:rPr>
            </w:pPr>
            <w:r w:rsidRPr="00821ADF">
              <w:rPr>
                <w:rFonts w:ascii="Times-New-Roman" w:hAnsi="Times-New-Roman" w:cs="Times-New-Roman"/>
                <w:i/>
                <w:sz w:val="22"/>
                <w:szCs w:val="22"/>
              </w:rPr>
              <w:t>Č</w:t>
            </w:r>
            <w:r w:rsidRPr="00821ADF">
              <w:rPr>
                <w:i/>
                <w:sz w:val="22"/>
                <w:szCs w:val="22"/>
              </w:rPr>
              <w:t>asté:</w:t>
            </w:r>
            <w:r w:rsidRPr="00821ADF">
              <w:rPr>
                <w:sz w:val="22"/>
                <w:szCs w:val="22"/>
              </w:rPr>
              <w:t xml:space="preserve"> </w:t>
            </w:r>
            <w:proofErr w:type="spellStart"/>
            <w:r w:rsidRPr="00821ADF">
              <w:rPr>
                <w:sz w:val="22"/>
                <w:szCs w:val="22"/>
              </w:rPr>
              <w:t>vertigo</w:t>
            </w:r>
            <w:proofErr w:type="spellEnd"/>
            <w:r w:rsidRPr="00821ADF">
              <w:rPr>
                <w:sz w:val="22"/>
                <w:szCs w:val="22"/>
              </w:rPr>
              <w:t xml:space="preserve"> (2,7 % oproti 1,3 %) </w:t>
            </w:r>
          </w:p>
        </w:tc>
      </w:tr>
      <w:tr w:rsidR="0026280D" w:rsidRPr="00821ADF" w:rsidTr="00D54CDD">
        <w:trPr>
          <w:trHeight w:val="385"/>
        </w:trPr>
        <w:tc>
          <w:tcPr>
            <w:tcW w:w="9546" w:type="dxa"/>
          </w:tcPr>
          <w:p w:rsidR="0026280D" w:rsidRPr="00821ADF" w:rsidRDefault="0026280D" w:rsidP="00D54CDD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821ADF">
              <w:rPr>
                <w:b/>
                <w:bCs/>
                <w:sz w:val="22"/>
                <w:szCs w:val="22"/>
              </w:rPr>
              <w:t xml:space="preserve">Poruchy srdca a srdcovej </w:t>
            </w:r>
            <w:r w:rsidRPr="00821ADF">
              <w:rPr>
                <w:rFonts w:ascii="Times-New-Roman,Bold" w:hAnsi="Times-New-Roman,Bold" w:cs="Times-New-Roman,Bold"/>
                <w:b/>
                <w:bCs/>
                <w:sz w:val="22"/>
                <w:szCs w:val="22"/>
              </w:rPr>
              <w:t>č</w:t>
            </w:r>
            <w:r w:rsidRPr="00821ADF">
              <w:rPr>
                <w:b/>
                <w:bCs/>
                <w:sz w:val="22"/>
                <w:szCs w:val="22"/>
              </w:rPr>
              <w:t>innosti</w:t>
            </w:r>
          </w:p>
          <w:p w:rsidR="0026280D" w:rsidRPr="00821ADF" w:rsidRDefault="0026280D" w:rsidP="00D54CDD">
            <w:pPr>
              <w:pStyle w:val="Default"/>
              <w:rPr>
                <w:sz w:val="22"/>
                <w:szCs w:val="22"/>
              </w:rPr>
            </w:pPr>
            <w:r w:rsidRPr="00821ADF">
              <w:rPr>
                <w:rFonts w:ascii="Times-New-Roman" w:hAnsi="Times-New-Roman" w:cs="Times-New-Roman"/>
                <w:i/>
                <w:sz w:val="22"/>
                <w:szCs w:val="22"/>
              </w:rPr>
              <w:t>Č</w:t>
            </w:r>
            <w:r w:rsidRPr="00821ADF">
              <w:rPr>
                <w:i/>
                <w:sz w:val="22"/>
                <w:szCs w:val="22"/>
              </w:rPr>
              <w:t>asté</w:t>
            </w:r>
            <w:r w:rsidRPr="00821ADF">
              <w:rPr>
                <w:sz w:val="22"/>
                <w:szCs w:val="22"/>
              </w:rPr>
              <w:t xml:space="preserve">: </w:t>
            </w:r>
            <w:proofErr w:type="spellStart"/>
            <w:r w:rsidRPr="00821ADF">
              <w:rPr>
                <w:sz w:val="22"/>
                <w:szCs w:val="22"/>
              </w:rPr>
              <w:t>angina</w:t>
            </w:r>
            <w:proofErr w:type="spellEnd"/>
            <w:r w:rsidRPr="00821ADF">
              <w:rPr>
                <w:sz w:val="22"/>
                <w:szCs w:val="22"/>
              </w:rPr>
              <w:t xml:space="preserve"> </w:t>
            </w:r>
            <w:proofErr w:type="spellStart"/>
            <w:r w:rsidRPr="00821ADF">
              <w:rPr>
                <w:sz w:val="22"/>
                <w:szCs w:val="22"/>
              </w:rPr>
              <w:t>pectoris</w:t>
            </w:r>
            <w:proofErr w:type="spellEnd"/>
            <w:r w:rsidRPr="00821ADF">
              <w:rPr>
                <w:sz w:val="22"/>
                <w:szCs w:val="22"/>
              </w:rPr>
              <w:t xml:space="preserve"> (1,3 % oproti 0 %)</w:t>
            </w:r>
          </w:p>
          <w:p w:rsidR="0026280D" w:rsidRPr="00821ADF" w:rsidRDefault="0026280D" w:rsidP="00D54CDD">
            <w:pPr>
              <w:pStyle w:val="Default"/>
              <w:rPr>
                <w:sz w:val="22"/>
                <w:szCs w:val="22"/>
              </w:rPr>
            </w:pPr>
            <w:r w:rsidRPr="00821ADF">
              <w:rPr>
                <w:i/>
                <w:sz w:val="22"/>
                <w:szCs w:val="22"/>
              </w:rPr>
              <w:t xml:space="preserve">Menej </w:t>
            </w:r>
            <w:r w:rsidRPr="00821ADF">
              <w:rPr>
                <w:rFonts w:ascii="Times-New-Roman" w:hAnsi="Times-New-Roman" w:cs="Times-New-Roman"/>
                <w:i/>
                <w:sz w:val="22"/>
                <w:szCs w:val="22"/>
              </w:rPr>
              <w:t>č</w:t>
            </w:r>
            <w:r w:rsidRPr="00821ADF">
              <w:rPr>
                <w:i/>
                <w:sz w:val="22"/>
                <w:szCs w:val="22"/>
              </w:rPr>
              <w:t>asté:</w:t>
            </w:r>
            <w:r w:rsidRPr="00821ADF">
              <w:rPr>
                <w:sz w:val="22"/>
                <w:szCs w:val="22"/>
              </w:rPr>
              <w:t xml:space="preserve"> infarkt myokardu (0,7 % oproti 0 %) </w:t>
            </w:r>
          </w:p>
        </w:tc>
      </w:tr>
      <w:tr w:rsidR="0026280D" w:rsidRPr="00821ADF" w:rsidTr="00D54CDD">
        <w:trPr>
          <w:trHeight w:val="257"/>
        </w:trPr>
        <w:tc>
          <w:tcPr>
            <w:tcW w:w="9546" w:type="dxa"/>
          </w:tcPr>
          <w:p w:rsidR="0026280D" w:rsidRPr="00821ADF" w:rsidRDefault="0026280D" w:rsidP="00D54CDD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821ADF">
              <w:rPr>
                <w:b/>
                <w:bCs/>
                <w:sz w:val="22"/>
                <w:szCs w:val="22"/>
              </w:rPr>
              <w:t>Poruchy dýchacej sústavy, hrudníka a </w:t>
            </w:r>
            <w:proofErr w:type="spellStart"/>
            <w:r w:rsidRPr="00821ADF">
              <w:rPr>
                <w:b/>
                <w:bCs/>
                <w:sz w:val="22"/>
                <w:szCs w:val="22"/>
              </w:rPr>
              <w:t>mediastína</w:t>
            </w:r>
            <w:proofErr w:type="spellEnd"/>
          </w:p>
          <w:p w:rsidR="0026280D" w:rsidRPr="00821ADF" w:rsidRDefault="0026280D" w:rsidP="00D54CDD">
            <w:pPr>
              <w:pStyle w:val="Default"/>
              <w:rPr>
                <w:sz w:val="22"/>
                <w:szCs w:val="22"/>
              </w:rPr>
            </w:pPr>
            <w:r w:rsidRPr="00821ADF">
              <w:rPr>
                <w:rFonts w:ascii="Times-New-Roman" w:hAnsi="Times-New-Roman" w:cs="Times-New-Roman"/>
                <w:i/>
                <w:sz w:val="22"/>
                <w:szCs w:val="22"/>
              </w:rPr>
              <w:t>Č</w:t>
            </w:r>
            <w:r w:rsidRPr="00821ADF">
              <w:rPr>
                <w:i/>
                <w:sz w:val="22"/>
                <w:szCs w:val="22"/>
              </w:rPr>
              <w:t>asté</w:t>
            </w:r>
            <w:r w:rsidRPr="00821ADF">
              <w:rPr>
                <w:sz w:val="22"/>
                <w:szCs w:val="22"/>
              </w:rPr>
              <w:t xml:space="preserve">: </w:t>
            </w:r>
            <w:proofErr w:type="spellStart"/>
            <w:r w:rsidR="00D72B76" w:rsidRPr="00C24D61">
              <w:rPr>
                <w:iCs/>
                <w:sz w:val="22"/>
                <w:szCs w:val="22"/>
              </w:rPr>
              <w:t>rinitída</w:t>
            </w:r>
            <w:proofErr w:type="spellEnd"/>
            <w:r w:rsidR="00D72B76" w:rsidRPr="00C24D61">
              <w:rPr>
                <w:iCs/>
                <w:sz w:val="22"/>
                <w:szCs w:val="22"/>
              </w:rPr>
              <w:t xml:space="preserve"> </w:t>
            </w:r>
            <w:r w:rsidR="00D72B76" w:rsidRPr="00C24D61">
              <w:rPr>
                <w:sz w:val="22"/>
                <w:szCs w:val="22"/>
              </w:rPr>
              <w:t>(</w:t>
            </w:r>
            <w:r w:rsidR="00D72B76" w:rsidRPr="00C24D61">
              <w:rPr>
                <w:iCs/>
                <w:sz w:val="22"/>
                <w:szCs w:val="22"/>
              </w:rPr>
              <w:t xml:space="preserve">3,4 % oproti 0,7 </w:t>
            </w:r>
            <w:r w:rsidR="00D72B76" w:rsidRPr="00C24D61">
              <w:rPr>
                <w:sz w:val="22"/>
                <w:szCs w:val="22"/>
              </w:rPr>
              <w:t>%)</w:t>
            </w:r>
            <w:r w:rsidRPr="00821ADF">
              <w:rPr>
                <w:sz w:val="22"/>
                <w:szCs w:val="22"/>
              </w:rPr>
              <w:t xml:space="preserve"> </w:t>
            </w:r>
          </w:p>
        </w:tc>
      </w:tr>
      <w:tr w:rsidR="0026280D" w:rsidRPr="00821ADF" w:rsidTr="00D54CDD">
        <w:trPr>
          <w:trHeight w:val="257"/>
        </w:trPr>
        <w:tc>
          <w:tcPr>
            <w:tcW w:w="9546" w:type="dxa"/>
          </w:tcPr>
          <w:p w:rsidR="0026280D" w:rsidRPr="00821ADF" w:rsidRDefault="0026280D" w:rsidP="00D54CDD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821ADF">
              <w:rPr>
                <w:b/>
                <w:bCs/>
                <w:sz w:val="22"/>
                <w:szCs w:val="22"/>
              </w:rPr>
              <w:t xml:space="preserve">Poruchy </w:t>
            </w:r>
            <w:proofErr w:type="spellStart"/>
            <w:r w:rsidRPr="00821ADF">
              <w:rPr>
                <w:b/>
                <w:bCs/>
                <w:sz w:val="22"/>
                <w:szCs w:val="22"/>
              </w:rPr>
              <w:t>gastrointestinálneho</w:t>
            </w:r>
            <w:proofErr w:type="spellEnd"/>
            <w:r w:rsidRPr="00821ADF">
              <w:rPr>
                <w:b/>
                <w:bCs/>
                <w:sz w:val="22"/>
                <w:szCs w:val="22"/>
              </w:rPr>
              <w:t xml:space="preserve"> traktu</w:t>
            </w:r>
          </w:p>
          <w:p w:rsidR="0026280D" w:rsidRPr="00821ADF" w:rsidRDefault="0026280D" w:rsidP="00D54CDD">
            <w:pPr>
              <w:pStyle w:val="Default"/>
              <w:rPr>
                <w:sz w:val="22"/>
                <w:szCs w:val="22"/>
              </w:rPr>
            </w:pPr>
            <w:r w:rsidRPr="00821ADF">
              <w:rPr>
                <w:rFonts w:ascii="Times-New-Roman" w:hAnsi="Times-New-Roman" w:cs="Times-New-Roman"/>
                <w:i/>
                <w:sz w:val="22"/>
                <w:szCs w:val="22"/>
              </w:rPr>
              <w:t>Č</w:t>
            </w:r>
            <w:r w:rsidRPr="00821ADF">
              <w:rPr>
                <w:i/>
                <w:sz w:val="22"/>
                <w:szCs w:val="22"/>
              </w:rPr>
              <w:t>asté</w:t>
            </w:r>
            <w:r w:rsidRPr="00821ADF">
              <w:rPr>
                <w:i/>
                <w:iCs/>
                <w:sz w:val="22"/>
                <w:szCs w:val="22"/>
              </w:rPr>
              <w:t xml:space="preserve">: </w:t>
            </w:r>
            <w:proofErr w:type="spellStart"/>
            <w:r w:rsidRPr="00821ADF">
              <w:rPr>
                <w:sz w:val="22"/>
                <w:szCs w:val="22"/>
              </w:rPr>
              <w:t>flatulencia</w:t>
            </w:r>
            <w:proofErr w:type="spellEnd"/>
            <w:r w:rsidRPr="00821ADF">
              <w:rPr>
                <w:sz w:val="22"/>
                <w:szCs w:val="22"/>
              </w:rPr>
              <w:t xml:space="preserve"> (1,3 % oproti 0 %) </w:t>
            </w:r>
          </w:p>
        </w:tc>
      </w:tr>
      <w:tr w:rsidR="0026280D" w:rsidRPr="00821ADF" w:rsidTr="00D54CDD">
        <w:trPr>
          <w:trHeight w:val="383"/>
        </w:trPr>
        <w:tc>
          <w:tcPr>
            <w:tcW w:w="9546" w:type="dxa"/>
          </w:tcPr>
          <w:p w:rsidR="0026280D" w:rsidRPr="00821ADF" w:rsidRDefault="0026280D" w:rsidP="00D54CDD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821ADF">
              <w:rPr>
                <w:b/>
                <w:bCs/>
                <w:sz w:val="22"/>
                <w:szCs w:val="22"/>
              </w:rPr>
              <w:t>Poruchy kože a podkožného tkaniva</w:t>
            </w:r>
          </w:p>
          <w:p w:rsidR="0026280D" w:rsidRPr="00C24D61" w:rsidRDefault="0026280D" w:rsidP="00D54CDD">
            <w:pPr>
              <w:pStyle w:val="Default"/>
              <w:rPr>
                <w:sz w:val="22"/>
                <w:szCs w:val="22"/>
              </w:rPr>
            </w:pPr>
            <w:r w:rsidRPr="00821ADF">
              <w:rPr>
                <w:rFonts w:ascii="Times-New-Roman" w:hAnsi="Times-New-Roman" w:cs="Times-New-Roman"/>
                <w:i/>
                <w:sz w:val="22"/>
                <w:szCs w:val="22"/>
              </w:rPr>
              <w:t>Č</w:t>
            </w:r>
            <w:r w:rsidRPr="00821ADF">
              <w:rPr>
                <w:i/>
                <w:sz w:val="22"/>
                <w:szCs w:val="22"/>
              </w:rPr>
              <w:t>asté:</w:t>
            </w:r>
            <w:r w:rsidRPr="00821ADF">
              <w:rPr>
                <w:sz w:val="22"/>
                <w:szCs w:val="22"/>
              </w:rPr>
              <w:t xml:space="preserve"> </w:t>
            </w:r>
            <w:r w:rsidR="00D72B76" w:rsidRPr="00C24D61">
              <w:rPr>
                <w:iCs/>
                <w:sz w:val="22"/>
                <w:szCs w:val="22"/>
              </w:rPr>
              <w:t xml:space="preserve">dermatitída </w:t>
            </w:r>
            <w:r w:rsidR="00D72B76" w:rsidRPr="00C24D61">
              <w:rPr>
                <w:sz w:val="22"/>
                <w:szCs w:val="22"/>
              </w:rPr>
              <w:t>(</w:t>
            </w:r>
            <w:r w:rsidR="00D72B76" w:rsidRPr="00C24D61">
              <w:rPr>
                <w:iCs/>
                <w:sz w:val="22"/>
                <w:szCs w:val="22"/>
              </w:rPr>
              <w:t>2,0 % oproti 0 %</w:t>
            </w:r>
            <w:r w:rsidR="00D72B76" w:rsidRPr="00C24D61">
              <w:rPr>
                <w:sz w:val="22"/>
                <w:szCs w:val="22"/>
              </w:rPr>
              <w:t>)</w:t>
            </w:r>
          </w:p>
          <w:p w:rsidR="0026280D" w:rsidRPr="00821ADF" w:rsidRDefault="0026280D" w:rsidP="00D54CDD">
            <w:pPr>
              <w:pStyle w:val="Default"/>
              <w:rPr>
                <w:sz w:val="22"/>
                <w:szCs w:val="22"/>
              </w:rPr>
            </w:pPr>
            <w:r w:rsidRPr="00821ADF">
              <w:rPr>
                <w:i/>
                <w:sz w:val="22"/>
                <w:szCs w:val="22"/>
              </w:rPr>
              <w:t xml:space="preserve">Menej </w:t>
            </w:r>
            <w:r w:rsidRPr="00821ADF">
              <w:rPr>
                <w:rFonts w:ascii="Times-New-Roman" w:hAnsi="Times-New-Roman" w:cs="Times-New-Roman"/>
                <w:i/>
                <w:sz w:val="22"/>
                <w:szCs w:val="22"/>
              </w:rPr>
              <w:t>č</w:t>
            </w:r>
            <w:r w:rsidRPr="00821ADF">
              <w:rPr>
                <w:i/>
                <w:sz w:val="22"/>
                <w:szCs w:val="22"/>
              </w:rPr>
              <w:t>asté</w:t>
            </w:r>
            <w:r w:rsidRPr="00821ADF">
              <w:rPr>
                <w:sz w:val="22"/>
                <w:szCs w:val="22"/>
              </w:rPr>
              <w:t xml:space="preserve">: </w:t>
            </w:r>
            <w:proofErr w:type="spellStart"/>
            <w:r w:rsidRPr="00821ADF">
              <w:rPr>
                <w:sz w:val="22"/>
                <w:szCs w:val="22"/>
              </w:rPr>
              <w:t>vezikulobulózny</w:t>
            </w:r>
            <w:proofErr w:type="spellEnd"/>
            <w:r w:rsidRPr="00821ADF">
              <w:rPr>
                <w:sz w:val="22"/>
                <w:szCs w:val="22"/>
              </w:rPr>
              <w:t xml:space="preserve"> exantém (0,7 % oproti 0 %) </w:t>
            </w:r>
          </w:p>
        </w:tc>
      </w:tr>
      <w:tr w:rsidR="0026280D" w:rsidRPr="00821ADF" w:rsidTr="00D54CDD">
        <w:trPr>
          <w:trHeight w:val="256"/>
        </w:trPr>
        <w:tc>
          <w:tcPr>
            <w:tcW w:w="9546" w:type="dxa"/>
          </w:tcPr>
          <w:p w:rsidR="0026280D" w:rsidRPr="00821ADF" w:rsidRDefault="0026280D" w:rsidP="00D54CDD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821ADF">
              <w:rPr>
                <w:b/>
                <w:bCs/>
                <w:sz w:val="22"/>
                <w:szCs w:val="22"/>
              </w:rPr>
              <w:t>Poruchy kostrovej a svalovej sústavy a spojivového tkaniva</w:t>
            </w:r>
          </w:p>
          <w:p w:rsidR="0026280D" w:rsidRPr="00821ADF" w:rsidRDefault="0026280D" w:rsidP="00D54CDD">
            <w:pPr>
              <w:pStyle w:val="Default"/>
              <w:rPr>
                <w:sz w:val="22"/>
                <w:szCs w:val="22"/>
              </w:rPr>
            </w:pPr>
            <w:r w:rsidRPr="00821ADF">
              <w:rPr>
                <w:rFonts w:ascii="Times-New-Roman" w:hAnsi="Times-New-Roman" w:cs="Times-New-Roman"/>
                <w:i/>
                <w:sz w:val="22"/>
                <w:szCs w:val="22"/>
              </w:rPr>
              <w:t>Č</w:t>
            </w:r>
            <w:r w:rsidRPr="00821ADF">
              <w:rPr>
                <w:i/>
                <w:sz w:val="22"/>
                <w:szCs w:val="22"/>
              </w:rPr>
              <w:t>asté</w:t>
            </w:r>
            <w:r w:rsidRPr="00821ADF">
              <w:rPr>
                <w:sz w:val="22"/>
                <w:szCs w:val="22"/>
              </w:rPr>
              <w:t xml:space="preserve">: </w:t>
            </w:r>
            <w:proofErr w:type="spellStart"/>
            <w:r w:rsidR="00D72B76" w:rsidRPr="00C24D61">
              <w:rPr>
                <w:iCs/>
                <w:sz w:val="22"/>
                <w:szCs w:val="22"/>
              </w:rPr>
              <w:t>muskuloskeletálna</w:t>
            </w:r>
            <w:proofErr w:type="spellEnd"/>
            <w:r w:rsidR="00D72B76" w:rsidRPr="00C24D61">
              <w:rPr>
                <w:iCs/>
                <w:sz w:val="22"/>
                <w:szCs w:val="22"/>
              </w:rPr>
              <w:t xml:space="preserve"> boles</w:t>
            </w:r>
            <w:r w:rsidR="00D72B76" w:rsidRPr="00C24D61">
              <w:rPr>
                <w:rFonts w:ascii="Times-New-Roman,Italic" w:hAnsi="Times-New-Roman,Italic" w:cs="Times-New-Roman,Italic"/>
                <w:sz w:val="22"/>
                <w:szCs w:val="22"/>
              </w:rPr>
              <w:t xml:space="preserve">ť </w:t>
            </w:r>
            <w:r w:rsidR="00D72B76" w:rsidRPr="00C24D61">
              <w:rPr>
                <w:iCs/>
                <w:sz w:val="22"/>
                <w:szCs w:val="22"/>
              </w:rPr>
              <w:t xml:space="preserve">(6,7 % oproti 2,6 %), </w:t>
            </w:r>
            <w:r w:rsidR="00D72B76" w:rsidRPr="00C24D61">
              <w:rPr>
                <w:sz w:val="22"/>
                <w:szCs w:val="22"/>
              </w:rPr>
              <w:t>boles</w:t>
            </w:r>
            <w:r w:rsidR="00D72B76" w:rsidRPr="00C24D61">
              <w:rPr>
                <w:rFonts w:ascii="Times-New-Roman" w:hAnsi="Times-New-Roman" w:cs="Times-New-Roman"/>
                <w:sz w:val="22"/>
                <w:szCs w:val="22"/>
              </w:rPr>
              <w:t xml:space="preserve">ť </w:t>
            </w:r>
            <w:r w:rsidR="00D72B76" w:rsidRPr="00C24D61">
              <w:rPr>
                <w:sz w:val="22"/>
                <w:szCs w:val="22"/>
              </w:rPr>
              <w:t xml:space="preserve">krku </w:t>
            </w:r>
            <w:r w:rsidR="00D72B76" w:rsidRPr="00C24D61">
              <w:rPr>
                <w:iCs/>
                <w:sz w:val="22"/>
                <w:szCs w:val="22"/>
              </w:rPr>
              <w:t>(2,7 % oproti 0 %)</w:t>
            </w:r>
            <w:r w:rsidRPr="00C24D61">
              <w:rPr>
                <w:sz w:val="22"/>
                <w:szCs w:val="22"/>
              </w:rPr>
              <w:t>, artritída (</w:t>
            </w:r>
            <w:r w:rsidRPr="00C24D61">
              <w:rPr>
                <w:iCs/>
                <w:sz w:val="22"/>
                <w:szCs w:val="22"/>
              </w:rPr>
              <w:t>1,3 % oproti 0 %)</w:t>
            </w:r>
            <w:r w:rsidRPr="00C24D61">
              <w:rPr>
                <w:sz w:val="22"/>
                <w:szCs w:val="22"/>
              </w:rPr>
              <w:t>,</w:t>
            </w:r>
          </w:p>
        </w:tc>
      </w:tr>
      <w:tr w:rsidR="0026280D" w:rsidRPr="00821ADF" w:rsidTr="00D54CDD">
        <w:trPr>
          <w:trHeight w:val="256"/>
        </w:trPr>
        <w:tc>
          <w:tcPr>
            <w:tcW w:w="9546" w:type="dxa"/>
          </w:tcPr>
          <w:p w:rsidR="0026280D" w:rsidRPr="00821ADF" w:rsidRDefault="0026280D" w:rsidP="00D54CDD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821ADF">
              <w:rPr>
                <w:b/>
                <w:bCs/>
                <w:sz w:val="22"/>
                <w:szCs w:val="22"/>
              </w:rPr>
              <w:t>Poruchy obli</w:t>
            </w:r>
            <w:r w:rsidRPr="00821ADF">
              <w:rPr>
                <w:rFonts w:ascii="Times-New-Roman,Bold" w:hAnsi="Times-New-Roman,Bold" w:cs="Times-New-Roman,Bold"/>
                <w:b/>
                <w:bCs/>
                <w:sz w:val="22"/>
                <w:szCs w:val="22"/>
              </w:rPr>
              <w:t>č</w:t>
            </w:r>
            <w:r w:rsidRPr="00821ADF">
              <w:rPr>
                <w:b/>
                <w:bCs/>
                <w:sz w:val="22"/>
                <w:szCs w:val="22"/>
              </w:rPr>
              <w:t>iek a mo</w:t>
            </w:r>
            <w:r w:rsidRPr="00821ADF">
              <w:rPr>
                <w:rFonts w:ascii="Times-New-Roman,Bold" w:hAnsi="Times-New-Roman,Bold" w:cs="Times-New-Roman,Bold"/>
                <w:b/>
                <w:bCs/>
                <w:sz w:val="22"/>
                <w:szCs w:val="22"/>
              </w:rPr>
              <w:t>č</w:t>
            </w:r>
            <w:r w:rsidRPr="00821ADF">
              <w:rPr>
                <w:b/>
                <w:bCs/>
                <w:sz w:val="22"/>
                <w:szCs w:val="22"/>
              </w:rPr>
              <w:t>ových ciest</w:t>
            </w:r>
          </w:p>
          <w:p w:rsidR="0026280D" w:rsidRPr="00821ADF" w:rsidRDefault="0026280D" w:rsidP="00D54CDD">
            <w:pPr>
              <w:pStyle w:val="Default"/>
              <w:rPr>
                <w:sz w:val="22"/>
                <w:szCs w:val="22"/>
              </w:rPr>
            </w:pPr>
            <w:r w:rsidRPr="00821ADF">
              <w:rPr>
                <w:rFonts w:ascii="Times-New-Roman" w:hAnsi="Times-New-Roman" w:cs="Times-New-Roman"/>
                <w:i/>
                <w:sz w:val="22"/>
                <w:szCs w:val="22"/>
              </w:rPr>
              <w:lastRenderedPageBreak/>
              <w:t>Č</w:t>
            </w:r>
            <w:r w:rsidRPr="00821ADF">
              <w:rPr>
                <w:i/>
                <w:sz w:val="22"/>
                <w:szCs w:val="22"/>
              </w:rPr>
              <w:t>asté:</w:t>
            </w:r>
            <w:r w:rsidRPr="00821ADF">
              <w:rPr>
                <w:sz w:val="22"/>
                <w:szCs w:val="22"/>
              </w:rPr>
              <w:t xml:space="preserve"> nutkanie na mo</w:t>
            </w:r>
            <w:r w:rsidRPr="00821ADF">
              <w:rPr>
                <w:rFonts w:ascii="Times-New-Roman" w:hAnsi="Times-New-Roman" w:cs="Times-New-Roman"/>
                <w:sz w:val="22"/>
                <w:szCs w:val="22"/>
              </w:rPr>
              <w:t>č</w:t>
            </w:r>
            <w:r w:rsidRPr="00821ADF">
              <w:rPr>
                <w:sz w:val="22"/>
                <w:szCs w:val="22"/>
              </w:rPr>
              <w:t xml:space="preserve">enie (1,3 % oproti 0,7 %). </w:t>
            </w:r>
          </w:p>
        </w:tc>
      </w:tr>
      <w:tr w:rsidR="0026280D" w:rsidRPr="00821ADF" w:rsidTr="00D54CDD">
        <w:trPr>
          <w:trHeight w:val="256"/>
        </w:trPr>
        <w:tc>
          <w:tcPr>
            <w:tcW w:w="9546" w:type="dxa"/>
          </w:tcPr>
          <w:p w:rsidR="0026280D" w:rsidRPr="00821ADF" w:rsidRDefault="0026280D" w:rsidP="00D54CDD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821ADF">
              <w:rPr>
                <w:b/>
                <w:bCs/>
                <w:sz w:val="22"/>
                <w:szCs w:val="22"/>
              </w:rPr>
              <w:lastRenderedPageBreak/>
              <w:t>Celkové poruchy a reakcie v mieste podania</w:t>
            </w:r>
          </w:p>
          <w:p w:rsidR="0026280D" w:rsidRPr="00821ADF" w:rsidRDefault="0026280D" w:rsidP="00D54CDD">
            <w:pPr>
              <w:pStyle w:val="Default"/>
              <w:rPr>
                <w:sz w:val="22"/>
                <w:szCs w:val="22"/>
              </w:rPr>
            </w:pPr>
            <w:r w:rsidRPr="00821ADF">
              <w:rPr>
                <w:rFonts w:ascii="Times-New-Roman" w:hAnsi="Times-New-Roman" w:cs="Times-New-Roman"/>
                <w:i/>
                <w:sz w:val="22"/>
                <w:szCs w:val="22"/>
              </w:rPr>
              <w:t>Č</w:t>
            </w:r>
            <w:r w:rsidRPr="00821ADF">
              <w:rPr>
                <w:i/>
                <w:sz w:val="22"/>
                <w:szCs w:val="22"/>
              </w:rPr>
              <w:t>asté:</w:t>
            </w:r>
            <w:r w:rsidRPr="00821ADF">
              <w:rPr>
                <w:sz w:val="22"/>
                <w:szCs w:val="22"/>
              </w:rPr>
              <w:t xml:space="preserve"> horú</w:t>
            </w:r>
            <w:r w:rsidRPr="00821ADF">
              <w:rPr>
                <w:rFonts w:ascii="Times-New-Roman" w:hAnsi="Times-New-Roman" w:cs="Times-New-Roman"/>
                <w:sz w:val="22"/>
                <w:szCs w:val="22"/>
              </w:rPr>
              <w:t>č</w:t>
            </w:r>
            <w:r w:rsidRPr="00821ADF">
              <w:rPr>
                <w:sz w:val="22"/>
                <w:szCs w:val="22"/>
              </w:rPr>
              <w:t xml:space="preserve">ka (2,7 % oproti 1,3 %), </w:t>
            </w:r>
            <w:r w:rsidR="00D72B76" w:rsidRPr="00784AF1">
              <w:rPr>
                <w:i/>
                <w:sz w:val="22"/>
                <w:szCs w:val="22"/>
              </w:rPr>
              <w:t>celkový pocit choroby</w:t>
            </w:r>
            <w:r w:rsidRPr="00821ADF">
              <w:rPr>
                <w:sz w:val="22"/>
                <w:szCs w:val="22"/>
              </w:rPr>
              <w:t xml:space="preserve"> </w:t>
            </w:r>
            <w:r w:rsidRPr="00821ADF">
              <w:rPr>
                <w:i/>
                <w:iCs/>
                <w:sz w:val="22"/>
                <w:szCs w:val="22"/>
              </w:rPr>
              <w:t xml:space="preserve">(2 % oproti 0 %) </w:t>
            </w:r>
          </w:p>
        </w:tc>
      </w:tr>
    </w:tbl>
    <w:p w:rsidR="004B3CF6" w:rsidRDefault="004B3CF6" w:rsidP="0026280D">
      <w:pPr>
        <w:pStyle w:val="Normlndobloku"/>
        <w:rPr>
          <w:i/>
          <w:lang w:val="sk-SK"/>
        </w:rPr>
      </w:pPr>
    </w:p>
    <w:p w:rsidR="00C15776" w:rsidRDefault="0026280D" w:rsidP="0026280D">
      <w:pPr>
        <w:pStyle w:val="Normlndobloku"/>
        <w:rPr>
          <w:i/>
          <w:lang w:val="sk-SK"/>
        </w:rPr>
      </w:pPr>
      <w:proofErr w:type="spellStart"/>
      <w:r w:rsidRPr="00821ADF">
        <w:rPr>
          <w:i/>
          <w:lang w:val="sk-SK"/>
        </w:rPr>
        <w:t>Adjuvantná</w:t>
      </w:r>
      <w:proofErr w:type="spellEnd"/>
      <w:r w:rsidRPr="00821ADF">
        <w:rPr>
          <w:i/>
          <w:lang w:val="sk-SK"/>
        </w:rPr>
        <w:t xml:space="preserve"> terapia</w:t>
      </w:r>
    </w:p>
    <w:p w:rsidR="0026280D" w:rsidRPr="00821ADF" w:rsidRDefault="0026280D" w:rsidP="0026280D">
      <w:pPr>
        <w:pStyle w:val="Normlndobloku"/>
        <w:rPr>
          <w:lang w:val="sk-SK"/>
        </w:rPr>
      </w:pPr>
      <w:r w:rsidRPr="00821ADF">
        <w:rPr>
          <w:lang w:val="sk-SK"/>
        </w:rPr>
        <w:t>Nižšie uvedený zoznam obsahuje nežiaduce reakcie, ktorých výskyt bol zaznamenaný vo vyššej miere v </w:t>
      </w:r>
      <w:proofErr w:type="spellStart"/>
      <w:r w:rsidRPr="00821ADF">
        <w:rPr>
          <w:lang w:val="sk-SK"/>
        </w:rPr>
        <w:t>placebom</w:t>
      </w:r>
      <w:proofErr w:type="spellEnd"/>
      <w:r w:rsidRPr="00821ADF">
        <w:rPr>
          <w:lang w:val="sk-SK"/>
        </w:rPr>
        <w:t xml:space="preserve"> kontrolovaných štúdiách u pacientov, ktorým bol podávaný 1 mg </w:t>
      </w:r>
      <w:proofErr w:type="spellStart"/>
      <w:r w:rsidR="00301BD2">
        <w:rPr>
          <w:lang w:val="sk-SK"/>
        </w:rPr>
        <w:t>razagilín</w:t>
      </w:r>
      <w:r w:rsidRPr="00821ADF">
        <w:rPr>
          <w:lang w:val="sk-SK"/>
        </w:rPr>
        <w:t>u</w:t>
      </w:r>
      <w:proofErr w:type="spellEnd"/>
      <w:r w:rsidRPr="00821ADF">
        <w:rPr>
          <w:lang w:val="sk-SK"/>
        </w:rPr>
        <w:t xml:space="preserve"> denne (</w:t>
      </w:r>
      <w:proofErr w:type="spellStart"/>
      <w:r w:rsidR="00301BD2">
        <w:rPr>
          <w:lang w:val="sk-SK"/>
        </w:rPr>
        <w:t>razagilín</w:t>
      </w:r>
      <w:r w:rsidRPr="00821ADF">
        <w:rPr>
          <w:lang w:val="sk-SK"/>
        </w:rPr>
        <w:t>ová</w:t>
      </w:r>
      <w:proofErr w:type="spellEnd"/>
      <w:r w:rsidRPr="00821ADF">
        <w:rPr>
          <w:lang w:val="sk-SK"/>
        </w:rPr>
        <w:t xml:space="preserve"> skupina n=380, </w:t>
      </w:r>
      <w:proofErr w:type="spellStart"/>
      <w:r w:rsidRPr="00821ADF">
        <w:rPr>
          <w:lang w:val="sk-SK"/>
        </w:rPr>
        <w:t>placebo</w:t>
      </w:r>
      <w:proofErr w:type="spellEnd"/>
      <w:r w:rsidRPr="00821ADF">
        <w:rPr>
          <w:lang w:val="sk-SK"/>
        </w:rPr>
        <w:t xml:space="preserve"> skupina n=388). V zátvorkách je uvedený výskyt nežiaducich reakcií (% pacientov) v poradí </w:t>
      </w:r>
      <w:proofErr w:type="spellStart"/>
      <w:r w:rsidR="00301BD2">
        <w:rPr>
          <w:lang w:val="sk-SK"/>
        </w:rPr>
        <w:t>razagilín</w:t>
      </w:r>
      <w:r w:rsidRPr="00821ADF">
        <w:rPr>
          <w:lang w:val="sk-SK"/>
        </w:rPr>
        <w:t>ová</w:t>
      </w:r>
      <w:proofErr w:type="spellEnd"/>
      <w:r w:rsidRPr="00821ADF">
        <w:rPr>
          <w:lang w:val="sk-SK"/>
        </w:rPr>
        <w:t xml:space="preserve"> skupina oproti </w:t>
      </w:r>
      <w:proofErr w:type="spellStart"/>
      <w:r w:rsidRPr="00821ADF">
        <w:rPr>
          <w:lang w:val="sk-SK"/>
        </w:rPr>
        <w:t>placebu</w:t>
      </w:r>
      <w:proofErr w:type="spellEnd"/>
      <w:r w:rsidRPr="00821ADF">
        <w:rPr>
          <w:lang w:val="sk-SK"/>
        </w:rPr>
        <w:t>.</w:t>
      </w:r>
    </w:p>
    <w:p w:rsidR="00C15776" w:rsidRDefault="0026280D" w:rsidP="0026280D">
      <w:pPr>
        <w:pStyle w:val="Normlndobloku"/>
        <w:rPr>
          <w:lang w:val="sk-SK"/>
        </w:rPr>
      </w:pPr>
      <w:r w:rsidRPr="00821ADF">
        <w:rPr>
          <w:lang w:val="sk-SK"/>
        </w:rPr>
        <w:t xml:space="preserve">Nežiaduce reakcie s aspoň 2% rozdielom oproti </w:t>
      </w:r>
      <w:proofErr w:type="spellStart"/>
      <w:r w:rsidRPr="00821ADF">
        <w:rPr>
          <w:lang w:val="sk-SK"/>
        </w:rPr>
        <w:t>placebu</w:t>
      </w:r>
      <w:proofErr w:type="spellEnd"/>
      <w:r w:rsidRPr="00821ADF">
        <w:rPr>
          <w:lang w:val="sk-SK"/>
        </w:rPr>
        <w:t xml:space="preserve"> sú vyznačené </w:t>
      </w:r>
      <w:r w:rsidR="00D72B76" w:rsidRPr="00784AF1">
        <w:rPr>
          <w:i/>
          <w:lang w:val="sk-SK"/>
        </w:rPr>
        <w:t>kurzívou</w:t>
      </w:r>
      <w:r w:rsidRPr="00821ADF">
        <w:rPr>
          <w:lang w:val="sk-SK"/>
        </w:rPr>
        <w:t>.</w:t>
      </w:r>
    </w:p>
    <w:p w:rsidR="0026280D" w:rsidRPr="00821ADF" w:rsidRDefault="0026280D" w:rsidP="0026280D">
      <w:pPr>
        <w:pStyle w:val="Normlndobloku"/>
        <w:rPr>
          <w:lang w:val="sk-SK"/>
        </w:rPr>
      </w:pPr>
      <w:r w:rsidRPr="00821ADF">
        <w:rPr>
          <w:lang w:val="sk-SK"/>
        </w:rPr>
        <w:t>Nežiaduce reakcie sú zoradené podľa frekvencie výskytu na základe konvencie: veľmi časté (≥1/10), časté (≥1/100 až &lt;1/10), menej časté (≥1/1</w:t>
      </w:r>
      <w:r w:rsidR="003305A9">
        <w:rPr>
          <w:lang w:val="sk-SK"/>
        </w:rPr>
        <w:t> </w:t>
      </w:r>
      <w:r w:rsidRPr="00821ADF">
        <w:rPr>
          <w:lang w:val="sk-SK"/>
        </w:rPr>
        <w:t>0</w:t>
      </w:r>
      <w:r w:rsidR="003305A9">
        <w:rPr>
          <w:lang w:val="sk-SK"/>
        </w:rPr>
        <w:t>00 až &lt;1/100), zriedkavé (≥1/10 </w:t>
      </w:r>
      <w:r w:rsidRPr="00821ADF">
        <w:rPr>
          <w:lang w:val="sk-SK"/>
        </w:rPr>
        <w:t>000 až &lt;1/1</w:t>
      </w:r>
      <w:r w:rsidR="003305A9">
        <w:rPr>
          <w:lang w:val="sk-SK"/>
        </w:rPr>
        <w:t> 000), veľmi zriedkavé (≥1/10 </w:t>
      </w:r>
      <w:r w:rsidRPr="00821ADF">
        <w:rPr>
          <w:lang w:val="sk-SK"/>
        </w:rPr>
        <w:t xml:space="preserve">000). 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9606"/>
      </w:tblGrid>
      <w:tr w:rsidR="0026280D" w:rsidRPr="00821ADF" w:rsidTr="00D54CDD">
        <w:trPr>
          <w:trHeight w:val="263"/>
        </w:trPr>
        <w:tc>
          <w:tcPr>
            <w:tcW w:w="96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26280D" w:rsidRPr="00821ADF" w:rsidRDefault="0026280D" w:rsidP="00D54CDD">
            <w:pPr>
              <w:pStyle w:val="Default"/>
              <w:rPr>
                <w:b/>
                <w:bCs/>
                <w:sz w:val="22"/>
                <w:szCs w:val="22"/>
                <w:lang w:val="sk-SK"/>
              </w:rPr>
            </w:pPr>
            <w:r w:rsidRPr="00821ADF">
              <w:rPr>
                <w:b/>
                <w:bCs/>
                <w:sz w:val="22"/>
                <w:szCs w:val="22"/>
                <w:lang w:val="sk-SK"/>
              </w:rPr>
              <w:t>Benígne a malígne nádory, vrátane nešpecifikovaných foriem</w:t>
            </w:r>
          </w:p>
          <w:p w:rsidR="0026280D" w:rsidRPr="00821ADF" w:rsidRDefault="0026280D" w:rsidP="00D54CDD">
            <w:pPr>
              <w:pStyle w:val="Default"/>
              <w:rPr>
                <w:sz w:val="22"/>
                <w:szCs w:val="22"/>
                <w:lang w:val="sk-SK"/>
              </w:rPr>
            </w:pPr>
            <w:r w:rsidRPr="00821ADF">
              <w:rPr>
                <w:rFonts w:ascii="Times-New-Roman" w:hAnsi="Times-New-Roman" w:cs="Times-New-Roman"/>
                <w:i/>
                <w:sz w:val="22"/>
                <w:szCs w:val="22"/>
                <w:lang w:val="sk-SK"/>
              </w:rPr>
              <w:t>Menej časté</w:t>
            </w:r>
            <w:r w:rsidRPr="00821ADF">
              <w:rPr>
                <w:i/>
                <w:sz w:val="22"/>
                <w:szCs w:val="22"/>
                <w:lang w:val="sk-SK"/>
              </w:rPr>
              <w:t>:</w:t>
            </w:r>
            <w:r w:rsidRPr="00821ADF">
              <w:rPr>
                <w:sz w:val="22"/>
                <w:szCs w:val="22"/>
                <w:lang w:val="sk-SK"/>
              </w:rPr>
              <w:t xml:space="preserve"> melanóm (0,5 % oproti 0,3 %) </w:t>
            </w:r>
          </w:p>
        </w:tc>
      </w:tr>
      <w:tr w:rsidR="0026280D" w:rsidRPr="00821ADF" w:rsidTr="00D54CDD">
        <w:trPr>
          <w:trHeight w:val="263"/>
        </w:trPr>
        <w:tc>
          <w:tcPr>
            <w:tcW w:w="96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26280D" w:rsidRPr="00821ADF" w:rsidRDefault="0026280D" w:rsidP="00D54CDD">
            <w:pPr>
              <w:pStyle w:val="Default"/>
              <w:rPr>
                <w:b/>
                <w:bCs/>
                <w:sz w:val="22"/>
                <w:szCs w:val="22"/>
                <w:lang w:val="sk-SK"/>
              </w:rPr>
            </w:pPr>
            <w:r w:rsidRPr="00821ADF">
              <w:rPr>
                <w:b/>
                <w:bCs/>
                <w:sz w:val="22"/>
                <w:szCs w:val="22"/>
                <w:lang w:val="sk-SK"/>
              </w:rPr>
              <w:t>Poruchy metabolizmu a výživy</w:t>
            </w:r>
          </w:p>
          <w:p w:rsidR="0026280D" w:rsidRPr="00821ADF" w:rsidRDefault="008E243E" w:rsidP="00D54CDD">
            <w:pPr>
              <w:pStyle w:val="Default"/>
              <w:rPr>
                <w:sz w:val="22"/>
                <w:szCs w:val="22"/>
                <w:lang w:val="sk-SK"/>
              </w:rPr>
            </w:pPr>
            <w:r>
              <w:rPr>
                <w:rFonts w:ascii="Times-New-Roman" w:hAnsi="Times-New-Roman" w:cs="Times-New-Roman"/>
                <w:i/>
                <w:sz w:val="22"/>
                <w:szCs w:val="22"/>
                <w:lang w:val="sk-SK"/>
              </w:rPr>
              <w:t>Č</w:t>
            </w:r>
            <w:r w:rsidR="0026280D" w:rsidRPr="00821ADF">
              <w:rPr>
                <w:i/>
                <w:sz w:val="22"/>
                <w:szCs w:val="22"/>
                <w:lang w:val="sk-SK"/>
              </w:rPr>
              <w:t>asté</w:t>
            </w:r>
            <w:r w:rsidR="0026280D" w:rsidRPr="00821ADF">
              <w:rPr>
                <w:sz w:val="22"/>
                <w:szCs w:val="22"/>
                <w:lang w:val="sk-SK"/>
              </w:rPr>
              <w:t>: znížená chu</w:t>
            </w:r>
            <w:r w:rsidR="0026280D" w:rsidRPr="00821ADF">
              <w:rPr>
                <w:rFonts w:ascii="Times-New-Roman" w:hAnsi="Times-New-Roman" w:cs="Times-New-Roman"/>
                <w:sz w:val="22"/>
                <w:szCs w:val="22"/>
                <w:lang w:val="sk-SK"/>
              </w:rPr>
              <w:t xml:space="preserve">ť </w:t>
            </w:r>
            <w:r w:rsidR="0026280D" w:rsidRPr="00821ADF">
              <w:rPr>
                <w:sz w:val="22"/>
                <w:szCs w:val="22"/>
                <w:lang w:val="sk-SK"/>
              </w:rPr>
              <w:t>do jedla (2,4 % oproti 0,8 %)</w:t>
            </w:r>
          </w:p>
        </w:tc>
      </w:tr>
      <w:tr w:rsidR="0026280D" w:rsidRPr="00821ADF" w:rsidTr="00D54CDD">
        <w:trPr>
          <w:trHeight w:val="383"/>
        </w:trPr>
        <w:tc>
          <w:tcPr>
            <w:tcW w:w="96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26280D" w:rsidRPr="00821ADF" w:rsidRDefault="0026280D" w:rsidP="00D54CDD">
            <w:pPr>
              <w:pStyle w:val="Default"/>
              <w:rPr>
                <w:b/>
                <w:bCs/>
                <w:sz w:val="22"/>
                <w:szCs w:val="22"/>
                <w:lang w:val="sk-SK"/>
              </w:rPr>
            </w:pPr>
            <w:r w:rsidRPr="00821ADF">
              <w:rPr>
                <w:b/>
                <w:bCs/>
                <w:sz w:val="22"/>
                <w:szCs w:val="22"/>
                <w:lang w:val="sk-SK"/>
              </w:rPr>
              <w:t>Psychické poruchy</w:t>
            </w:r>
          </w:p>
          <w:p w:rsidR="0026280D" w:rsidRPr="00821ADF" w:rsidRDefault="0026280D" w:rsidP="00D54CDD">
            <w:pPr>
              <w:pStyle w:val="Default"/>
              <w:rPr>
                <w:sz w:val="22"/>
                <w:szCs w:val="22"/>
                <w:lang w:val="sk-SK"/>
              </w:rPr>
            </w:pPr>
            <w:r w:rsidRPr="00821ADF">
              <w:rPr>
                <w:rFonts w:ascii="Times-New-Roman" w:hAnsi="Times-New-Roman" w:cs="Times-New-Roman"/>
                <w:i/>
                <w:sz w:val="22"/>
                <w:szCs w:val="22"/>
                <w:lang w:val="sk-SK"/>
              </w:rPr>
              <w:t>Č</w:t>
            </w:r>
            <w:r w:rsidRPr="00821ADF">
              <w:rPr>
                <w:i/>
                <w:sz w:val="22"/>
                <w:szCs w:val="22"/>
                <w:lang w:val="sk-SK"/>
              </w:rPr>
              <w:t>asté:</w:t>
            </w:r>
            <w:r w:rsidRPr="00821ADF">
              <w:rPr>
                <w:sz w:val="22"/>
                <w:szCs w:val="22"/>
                <w:lang w:val="sk-SK"/>
              </w:rPr>
              <w:t xml:space="preserve"> halucinácie (2,9 % oproti 2,1 %), abnormálne sny (2,1 % oproti 0,8 %)</w:t>
            </w:r>
          </w:p>
          <w:p w:rsidR="0026280D" w:rsidRPr="00821ADF" w:rsidRDefault="0026280D" w:rsidP="00D54CDD">
            <w:pPr>
              <w:pStyle w:val="Default"/>
              <w:rPr>
                <w:sz w:val="22"/>
                <w:szCs w:val="22"/>
                <w:lang w:val="sk-SK"/>
              </w:rPr>
            </w:pPr>
            <w:r w:rsidRPr="00821ADF">
              <w:rPr>
                <w:i/>
                <w:sz w:val="22"/>
                <w:szCs w:val="22"/>
                <w:lang w:val="sk-SK"/>
              </w:rPr>
              <w:t xml:space="preserve">Menej </w:t>
            </w:r>
            <w:r w:rsidRPr="00821ADF">
              <w:rPr>
                <w:rFonts w:ascii="Times-New-Roman" w:hAnsi="Times-New-Roman" w:cs="Times-New-Roman"/>
                <w:i/>
                <w:sz w:val="22"/>
                <w:szCs w:val="22"/>
                <w:lang w:val="sk-SK"/>
              </w:rPr>
              <w:t>č</w:t>
            </w:r>
            <w:r w:rsidRPr="00821ADF">
              <w:rPr>
                <w:i/>
                <w:sz w:val="22"/>
                <w:szCs w:val="22"/>
                <w:lang w:val="sk-SK"/>
              </w:rPr>
              <w:t>asté</w:t>
            </w:r>
            <w:r w:rsidRPr="00821ADF">
              <w:rPr>
                <w:sz w:val="22"/>
                <w:szCs w:val="22"/>
                <w:lang w:val="sk-SK"/>
              </w:rPr>
              <w:t>: zmätenos</w:t>
            </w:r>
            <w:r w:rsidRPr="00821ADF">
              <w:rPr>
                <w:rFonts w:ascii="Times-New-Roman" w:hAnsi="Times-New-Roman" w:cs="Times-New-Roman"/>
                <w:sz w:val="22"/>
                <w:szCs w:val="22"/>
                <w:lang w:val="sk-SK"/>
              </w:rPr>
              <w:t xml:space="preserve">ť </w:t>
            </w:r>
            <w:r w:rsidRPr="00821ADF">
              <w:rPr>
                <w:sz w:val="22"/>
                <w:szCs w:val="22"/>
                <w:lang w:val="sk-SK"/>
              </w:rPr>
              <w:t xml:space="preserve">(0,8 % oproti 0,5 %) </w:t>
            </w:r>
          </w:p>
        </w:tc>
      </w:tr>
      <w:tr w:rsidR="0026280D" w:rsidRPr="00821ADF" w:rsidTr="00D54CDD">
        <w:trPr>
          <w:trHeight w:val="637"/>
        </w:trPr>
        <w:tc>
          <w:tcPr>
            <w:tcW w:w="96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26280D" w:rsidRPr="00821ADF" w:rsidRDefault="0026280D" w:rsidP="00D54CDD">
            <w:pPr>
              <w:pStyle w:val="Default"/>
              <w:rPr>
                <w:b/>
                <w:bCs/>
                <w:sz w:val="22"/>
                <w:szCs w:val="22"/>
                <w:lang w:val="sk-SK"/>
              </w:rPr>
            </w:pPr>
            <w:r w:rsidRPr="00821ADF">
              <w:rPr>
                <w:b/>
                <w:bCs/>
                <w:sz w:val="22"/>
                <w:szCs w:val="22"/>
                <w:lang w:val="sk-SK"/>
              </w:rPr>
              <w:t>Poruchy nervového systému</w:t>
            </w:r>
          </w:p>
          <w:p w:rsidR="0026280D" w:rsidRPr="00784AF1" w:rsidRDefault="0026280D" w:rsidP="00D54CDD">
            <w:pPr>
              <w:pStyle w:val="Default"/>
              <w:rPr>
                <w:iCs/>
                <w:sz w:val="22"/>
                <w:szCs w:val="22"/>
                <w:lang w:val="sk-SK"/>
              </w:rPr>
            </w:pPr>
            <w:r w:rsidRPr="00821ADF">
              <w:rPr>
                <w:i/>
                <w:sz w:val="22"/>
                <w:szCs w:val="22"/>
                <w:lang w:val="sk-SK"/>
              </w:rPr>
              <w:t>Ve</w:t>
            </w:r>
            <w:r w:rsidRPr="00821ADF">
              <w:rPr>
                <w:rFonts w:ascii="Times-New-Roman" w:hAnsi="Times-New-Roman" w:cs="Times-New-Roman"/>
                <w:i/>
                <w:sz w:val="22"/>
                <w:szCs w:val="22"/>
                <w:lang w:val="sk-SK"/>
              </w:rPr>
              <w:t>ľ</w:t>
            </w:r>
            <w:r w:rsidRPr="00821ADF">
              <w:rPr>
                <w:i/>
                <w:sz w:val="22"/>
                <w:szCs w:val="22"/>
                <w:lang w:val="sk-SK"/>
              </w:rPr>
              <w:t xml:space="preserve">mi </w:t>
            </w:r>
            <w:r w:rsidRPr="00821ADF">
              <w:rPr>
                <w:rFonts w:ascii="Times-New-Roman" w:hAnsi="Times-New-Roman" w:cs="Times-New-Roman"/>
                <w:i/>
                <w:sz w:val="22"/>
                <w:szCs w:val="22"/>
                <w:lang w:val="sk-SK"/>
              </w:rPr>
              <w:t>č</w:t>
            </w:r>
            <w:r w:rsidRPr="00821ADF">
              <w:rPr>
                <w:i/>
                <w:sz w:val="22"/>
                <w:szCs w:val="22"/>
                <w:lang w:val="sk-SK"/>
              </w:rPr>
              <w:t>asté</w:t>
            </w:r>
            <w:r w:rsidRPr="00821ADF">
              <w:rPr>
                <w:iCs/>
                <w:sz w:val="22"/>
                <w:szCs w:val="22"/>
                <w:lang w:val="sk-SK"/>
              </w:rPr>
              <w:t xml:space="preserve">: </w:t>
            </w:r>
            <w:proofErr w:type="spellStart"/>
            <w:r w:rsidR="001D7112" w:rsidRPr="00A0612C">
              <w:rPr>
                <w:i/>
                <w:iCs/>
                <w:sz w:val="22"/>
                <w:szCs w:val="22"/>
                <w:lang w:val="sk-SK"/>
              </w:rPr>
              <w:t>dyskinéza</w:t>
            </w:r>
            <w:proofErr w:type="spellEnd"/>
            <w:r w:rsidR="001D7112" w:rsidRPr="00A0612C">
              <w:rPr>
                <w:i/>
                <w:iCs/>
                <w:sz w:val="22"/>
                <w:szCs w:val="22"/>
                <w:lang w:val="sk-SK"/>
              </w:rPr>
              <w:t xml:space="preserve"> (10,5 % oproti 6,2 %)</w:t>
            </w:r>
          </w:p>
          <w:p w:rsidR="0026280D" w:rsidRPr="00821ADF" w:rsidRDefault="0026280D" w:rsidP="00D54CDD">
            <w:pPr>
              <w:pStyle w:val="Default"/>
              <w:rPr>
                <w:sz w:val="22"/>
                <w:szCs w:val="22"/>
                <w:lang w:val="sk-SK"/>
              </w:rPr>
            </w:pPr>
            <w:r w:rsidRPr="00821ADF">
              <w:rPr>
                <w:rFonts w:ascii="Times-New-Roman,Italic" w:hAnsi="Times-New-Roman,Italic" w:cs="Times-New-Roman,Italic"/>
                <w:i/>
                <w:sz w:val="22"/>
                <w:szCs w:val="22"/>
                <w:lang w:val="sk-SK"/>
              </w:rPr>
              <w:t>Č</w:t>
            </w:r>
            <w:r w:rsidRPr="00821ADF">
              <w:rPr>
                <w:i/>
                <w:iCs/>
                <w:sz w:val="22"/>
                <w:szCs w:val="22"/>
                <w:lang w:val="sk-SK"/>
              </w:rPr>
              <w:t>asté:</w:t>
            </w:r>
            <w:r w:rsidRPr="00821ADF">
              <w:rPr>
                <w:iCs/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821ADF">
              <w:rPr>
                <w:sz w:val="22"/>
                <w:szCs w:val="22"/>
                <w:lang w:val="sk-SK"/>
              </w:rPr>
              <w:t>dystónia</w:t>
            </w:r>
            <w:proofErr w:type="spellEnd"/>
            <w:r w:rsidRPr="00821ADF">
              <w:rPr>
                <w:sz w:val="22"/>
                <w:szCs w:val="22"/>
                <w:lang w:val="sk-SK"/>
              </w:rPr>
              <w:t xml:space="preserve"> (2,4 % oproti 0,8 %), syndróm </w:t>
            </w:r>
            <w:proofErr w:type="spellStart"/>
            <w:r w:rsidRPr="00821ADF">
              <w:rPr>
                <w:sz w:val="22"/>
                <w:szCs w:val="22"/>
                <w:lang w:val="sk-SK"/>
              </w:rPr>
              <w:t>karpálneho</w:t>
            </w:r>
            <w:proofErr w:type="spellEnd"/>
            <w:r w:rsidRPr="00821ADF">
              <w:rPr>
                <w:sz w:val="22"/>
                <w:szCs w:val="22"/>
                <w:lang w:val="sk-SK"/>
              </w:rPr>
              <w:t xml:space="preserve"> kanála (1,3 % oproti 0 %), porucha rovnováhy (1,6 % oproti 0,3 %)</w:t>
            </w:r>
          </w:p>
          <w:p w:rsidR="0026280D" w:rsidRPr="00821ADF" w:rsidRDefault="0026280D" w:rsidP="00D54CDD">
            <w:pPr>
              <w:pStyle w:val="Default"/>
              <w:rPr>
                <w:sz w:val="22"/>
                <w:szCs w:val="22"/>
                <w:lang w:val="sk-SK"/>
              </w:rPr>
            </w:pPr>
            <w:r w:rsidRPr="00821ADF">
              <w:rPr>
                <w:i/>
                <w:sz w:val="22"/>
                <w:szCs w:val="22"/>
                <w:lang w:val="sk-SK"/>
              </w:rPr>
              <w:t xml:space="preserve">Menej </w:t>
            </w:r>
            <w:r w:rsidRPr="00821ADF">
              <w:rPr>
                <w:rFonts w:ascii="Times-New-Roman" w:hAnsi="Times-New-Roman" w:cs="Times-New-Roman"/>
                <w:i/>
                <w:sz w:val="22"/>
                <w:szCs w:val="22"/>
                <w:lang w:val="sk-SK"/>
              </w:rPr>
              <w:t>č</w:t>
            </w:r>
            <w:r w:rsidRPr="00821ADF">
              <w:rPr>
                <w:i/>
                <w:sz w:val="22"/>
                <w:szCs w:val="22"/>
                <w:lang w:val="sk-SK"/>
              </w:rPr>
              <w:t>asté</w:t>
            </w:r>
            <w:r w:rsidRPr="00821ADF">
              <w:rPr>
                <w:sz w:val="22"/>
                <w:szCs w:val="22"/>
                <w:lang w:val="sk-SK"/>
              </w:rPr>
              <w:t xml:space="preserve">: </w:t>
            </w:r>
            <w:proofErr w:type="spellStart"/>
            <w:r w:rsidRPr="00821ADF">
              <w:rPr>
                <w:sz w:val="22"/>
                <w:szCs w:val="22"/>
                <w:lang w:val="sk-SK"/>
              </w:rPr>
              <w:t>cerebrovaskulárna</w:t>
            </w:r>
            <w:proofErr w:type="spellEnd"/>
            <w:r w:rsidRPr="00821ADF">
              <w:rPr>
                <w:sz w:val="22"/>
                <w:szCs w:val="22"/>
                <w:lang w:val="sk-SK"/>
              </w:rPr>
              <w:t xml:space="preserve"> príhoda (0,5 % oproti 0,3 %) </w:t>
            </w:r>
          </w:p>
        </w:tc>
      </w:tr>
      <w:tr w:rsidR="0026280D" w:rsidRPr="00821ADF" w:rsidTr="00D54CDD">
        <w:trPr>
          <w:trHeight w:val="257"/>
        </w:trPr>
        <w:tc>
          <w:tcPr>
            <w:tcW w:w="96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26280D" w:rsidRPr="00821ADF" w:rsidRDefault="0026280D" w:rsidP="00D54CDD">
            <w:pPr>
              <w:pStyle w:val="Default"/>
              <w:rPr>
                <w:b/>
                <w:bCs/>
                <w:sz w:val="22"/>
                <w:szCs w:val="22"/>
                <w:lang w:val="sk-SK"/>
              </w:rPr>
            </w:pPr>
            <w:r w:rsidRPr="00821ADF">
              <w:rPr>
                <w:b/>
                <w:bCs/>
                <w:sz w:val="22"/>
                <w:szCs w:val="22"/>
                <w:lang w:val="sk-SK"/>
              </w:rPr>
              <w:t xml:space="preserve">Poruchy srdca a srdcovej </w:t>
            </w:r>
            <w:r w:rsidRPr="00821ADF">
              <w:rPr>
                <w:rFonts w:ascii="Times-New-Roman,Bold" w:hAnsi="Times-New-Roman,Bold" w:cs="Times-New-Roman,Bold"/>
                <w:b/>
                <w:bCs/>
                <w:sz w:val="22"/>
                <w:szCs w:val="22"/>
                <w:lang w:val="sk-SK"/>
              </w:rPr>
              <w:t>č</w:t>
            </w:r>
            <w:r w:rsidRPr="00821ADF">
              <w:rPr>
                <w:b/>
                <w:bCs/>
                <w:sz w:val="22"/>
                <w:szCs w:val="22"/>
                <w:lang w:val="sk-SK"/>
              </w:rPr>
              <w:t>innosti</w:t>
            </w:r>
          </w:p>
          <w:p w:rsidR="0026280D" w:rsidRPr="00821ADF" w:rsidRDefault="0026280D" w:rsidP="00D54CDD">
            <w:pPr>
              <w:pStyle w:val="Default"/>
              <w:rPr>
                <w:sz w:val="22"/>
                <w:szCs w:val="22"/>
                <w:lang w:val="sk-SK"/>
              </w:rPr>
            </w:pPr>
            <w:r w:rsidRPr="00821ADF">
              <w:rPr>
                <w:i/>
                <w:sz w:val="22"/>
                <w:szCs w:val="22"/>
                <w:lang w:val="sk-SK"/>
              </w:rPr>
              <w:t xml:space="preserve">Menej </w:t>
            </w:r>
            <w:r w:rsidRPr="00821ADF">
              <w:rPr>
                <w:rFonts w:ascii="Times-New-Roman" w:hAnsi="Times-New-Roman" w:cs="Times-New-Roman"/>
                <w:i/>
                <w:sz w:val="22"/>
                <w:szCs w:val="22"/>
                <w:lang w:val="sk-SK"/>
              </w:rPr>
              <w:t>č</w:t>
            </w:r>
            <w:r w:rsidRPr="00821ADF">
              <w:rPr>
                <w:i/>
                <w:sz w:val="22"/>
                <w:szCs w:val="22"/>
                <w:lang w:val="sk-SK"/>
              </w:rPr>
              <w:t>asté</w:t>
            </w:r>
            <w:r w:rsidRPr="00821ADF">
              <w:rPr>
                <w:sz w:val="22"/>
                <w:szCs w:val="22"/>
                <w:lang w:val="sk-SK"/>
              </w:rPr>
              <w:t xml:space="preserve">: </w:t>
            </w:r>
            <w:proofErr w:type="spellStart"/>
            <w:r w:rsidRPr="00821ADF">
              <w:rPr>
                <w:sz w:val="22"/>
                <w:szCs w:val="22"/>
                <w:lang w:val="sk-SK"/>
              </w:rPr>
              <w:t>angina</w:t>
            </w:r>
            <w:proofErr w:type="spellEnd"/>
            <w:r w:rsidRPr="00821ADF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821ADF">
              <w:rPr>
                <w:sz w:val="22"/>
                <w:szCs w:val="22"/>
                <w:lang w:val="sk-SK"/>
              </w:rPr>
              <w:t>pectoris</w:t>
            </w:r>
            <w:proofErr w:type="spellEnd"/>
            <w:r w:rsidRPr="00821ADF">
              <w:rPr>
                <w:sz w:val="22"/>
                <w:szCs w:val="22"/>
                <w:lang w:val="sk-SK"/>
              </w:rPr>
              <w:t xml:space="preserve"> (0,5 % oproti 0 %); </w:t>
            </w:r>
          </w:p>
        </w:tc>
      </w:tr>
      <w:tr w:rsidR="0026280D" w:rsidRPr="00821ADF" w:rsidTr="00D54CDD">
        <w:trPr>
          <w:trHeight w:val="257"/>
        </w:trPr>
        <w:tc>
          <w:tcPr>
            <w:tcW w:w="96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26280D" w:rsidRPr="00821ADF" w:rsidRDefault="0026280D" w:rsidP="00D54CDD">
            <w:pPr>
              <w:pStyle w:val="Default"/>
              <w:rPr>
                <w:b/>
                <w:bCs/>
                <w:sz w:val="22"/>
                <w:szCs w:val="22"/>
                <w:lang w:val="sk-SK"/>
              </w:rPr>
            </w:pPr>
            <w:r w:rsidRPr="00821ADF">
              <w:rPr>
                <w:b/>
                <w:bCs/>
                <w:sz w:val="22"/>
                <w:szCs w:val="22"/>
                <w:lang w:val="sk-SK"/>
              </w:rPr>
              <w:t>Poruchy ciev</w:t>
            </w:r>
          </w:p>
          <w:p w:rsidR="0026280D" w:rsidRPr="00821ADF" w:rsidRDefault="0026280D" w:rsidP="00D54CDD">
            <w:pPr>
              <w:pStyle w:val="Default"/>
              <w:rPr>
                <w:sz w:val="22"/>
                <w:szCs w:val="22"/>
                <w:lang w:val="sk-SK"/>
              </w:rPr>
            </w:pPr>
            <w:r w:rsidRPr="00821ADF">
              <w:rPr>
                <w:rFonts w:ascii="Times-New-Roman" w:hAnsi="Times-New-Roman" w:cs="Times-New-Roman"/>
                <w:i/>
                <w:sz w:val="22"/>
                <w:szCs w:val="22"/>
                <w:lang w:val="sk-SK"/>
              </w:rPr>
              <w:t>Č</w:t>
            </w:r>
            <w:r w:rsidRPr="00821ADF">
              <w:rPr>
                <w:i/>
                <w:sz w:val="22"/>
                <w:szCs w:val="22"/>
                <w:lang w:val="sk-SK"/>
              </w:rPr>
              <w:t>asté:</w:t>
            </w:r>
            <w:r w:rsidRPr="00821ADF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="00D72B76" w:rsidRPr="00784AF1">
              <w:rPr>
                <w:i/>
                <w:sz w:val="22"/>
                <w:szCs w:val="22"/>
                <w:lang w:val="sk-SK"/>
              </w:rPr>
              <w:t>ortostatická</w:t>
            </w:r>
            <w:proofErr w:type="spellEnd"/>
            <w:r w:rsidR="00D72B76" w:rsidRPr="00784AF1">
              <w:rPr>
                <w:i/>
                <w:sz w:val="22"/>
                <w:szCs w:val="22"/>
                <w:lang w:val="sk-SK"/>
              </w:rPr>
              <w:t xml:space="preserve"> hypotenzia (3,9 oproti 0,8)</w:t>
            </w:r>
            <w:r w:rsidRPr="00821ADF">
              <w:rPr>
                <w:sz w:val="22"/>
                <w:szCs w:val="22"/>
                <w:lang w:val="sk-SK"/>
              </w:rPr>
              <w:t xml:space="preserve"> </w:t>
            </w:r>
          </w:p>
        </w:tc>
      </w:tr>
      <w:tr w:rsidR="0026280D" w:rsidRPr="00821ADF" w:rsidTr="00D54CDD">
        <w:trPr>
          <w:trHeight w:val="385"/>
        </w:trPr>
        <w:tc>
          <w:tcPr>
            <w:tcW w:w="96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26280D" w:rsidRPr="00821ADF" w:rsidRDefault="0026280D" w:rsidP="00D54CDD">
            <w:pPr>
              <w:pStyle w:val="Default"/>
              <w:rPr>
                <w:b/>
                <w:bCs/>
                <w:sz w:val="22"/>
                <w:szCs w:val="22"/>
                <w:lang w:val="sk-SK"/>
              </w:rPr>
            </w:pPr>
            <w:r w:rsidRPr="00821ADF">
              <w:rPr>
                <w:b/>
                <w:bCs/>
                <w:sz w:val="22"/>
                <w:szCs w:val="22"/>
                <w:lang w:val="sk-SK"/>
              </w:rPr>
              <w:t xml:space="preserve">Poruchy </w:t>
            </w:r>
            <w:proofErr w:type="spellStart"/>
            <w:r w:rsidRPr="00821ADF">
              <w:rPr>
                <w:b/>
                <w:bCs/>
                <w:sz w:val="22"/>
                <w:szCs w:val="22"/>
                <w:lang w:val="sk-SK"/>
              </w:rPr>
              <w:t>gastrointestinálneho</w:t>
            </w:r>
            <w:proofErr w:type="spellEnd"/>
            <w:r w:rsidRPr="00821ADF">
              <w:rPr>
                <w:b/>
                <w:bCs/>
                <w:sz w:val="22"/>
                <w:szCs w:val="22"/>
                <w:lang w:val="sk-SK"/>
              </w:rPr>
              <w:t xml:space="preserve"> traktu</w:t>
            </w:r>
          </w:p>
          <w:p w:rsidR="0026280D" w:rsidRPr="00821ADF" w:rsidRDefault="0026280D" w:rsidP="00D54CDD">
            <w:pPr>
              <w:pStyle w:val="Default"/>
              <w:rPr>
                <w:sz w:val="22"/>
                <w:szCs w:val="22"/>
                <w:lang w:val="sk-SK"/>
              </w:rPr>
            </w:pPr>
            <w:r w:rsidRPr="00821ADF">
              <w:rPr>
                <w:rFonts w:ascii="Times-New-Roman" w:hAnsi="Times-New-Roman" w:cs="Times-New-Roman"/>
                <w:i/>
                <w:sz w:val="22"/>
                <w:szCs w:val="22"/>
                <w:lang w:val="sk-SK"/>
              </w:rPr>
              <w:t>Č</w:t>
            </w:r>
            <w:r w:rsidRPr="00821ADF">
              <w:rPr>
                <w:i/>
                <w:sz w:val="22"/>
                <w:szCs w:val="22"/>
                <w:lang w:val="sk-SK"/>
              </w:rPr>
              <w:t>asté</w:t>
            </w:r>
            <w:r w:rsidRPr="00821ADF">
              <w:rPr>
                <w:i/>
                <w:iCs/>
                <w:sz w:val="22"/>
                <w:szCs w:val="22"/>
                <w:lang w:val="sk-SK"/>
              </w:rPr>
              <w:t>:</w:t>
            </w:r>
            <w:r w:rsidRPr="00821ADF">
              <w:rPr>
                <w:iCs/>
                <w:sz w:val="22"/>
                <w:szCs w:val="22"/>
                <w:lang w:val="sk-SK"/>
              </w:rPr>
              <w:t xml:space="preserve"> </w:t>
            </w:r>
            <w:r w:rsidR="001D7112" w:rsidRPr="00A0612C">
              <w:rPr>
                <w:i/>
                <w:iCs/>
                <w:sz w:val="22"/>
                <w:szCs w:val="22"/>
                <w:lang w:val="sk-SK"/>
              </w:rPr>
              <w:t>boles</w:t>
            </w:r>
            <w:r w:rsidR="001D7112" w:rsidRPr="00A0612C">
              <w:rPr>
                <w:rFonts w:ascii="Times-New-Roman,Italic" w:hAnsi="Times-New-Roman,Italic" w:cs="Times-New-Roman,Italic"/>
                <w:i/>
                <w:sz w:val="22"/>
                <w:szCs w:val="22"/>
                <w:lang w:val="sk-SK"/>
              </w:rPr>
              <w:t xml:space="preserve">ť </w:t>
            </w:r>
            <w:r w:rsidR="001D7112" w:rsidRPr="00A0612C">
              <w:rPr>
                <w:i/>
                <w:iCs/>
                <w:sz w:val="22"/>
                <w:szCs w:val="22"/>
                <w:lang w:val="sk-SK"/>
              </w:rPr>
              <w:t>brucha (4,2 % oproti 1,3 %)</w:t>
            </w:r>
            <w:r w:rsidRPr="00784AF1">
              <w:rPr>
                <w:iCs/>
                <w:sz w:val="22"/>
                <w:szCs w:val="22"/>
                <w:lang w:val="sk-SK"/>
              </w:rPr>
              <w:t xml:space="preserve">, </w:t>
            </w:r>
            <w:r w:rsidR="001D7112" w:rsidRPr="00A0612C">
              <w:rPr>
                <w:i/>
                <w:iCs/>
                <w:sz w:val="22"/>
                <w:szCs w:val="22"/>
                <w:lang w:val="sk-SK"/>
              </w:rPr>
              <w:t xml:space="preserve">zápcha (4,2 % oproti 2,1 %), </w:t>
            </w:r>
            <w:proofErr w:type="spellStart"/>
            <w:r w:rsidR="001D7112" w:rsidRPr="00A0612C">
              <w:rPr>
                <w:i/>
                <w:iCs/>
                <w:sz w:val="22"/>
                <w:szCs w:val="22"/>
                <w:lang w:val="sk-SK"/>
              </w:rPr>
              <w:t>nauzea</w:t>
            </w:r>
            <w:proofErr w:type="spellEnd"/>
            <w:r w:rsidR="001D7112" w:rsidRPr="00A0612C">
              <w:rPr>
                <w:i/>
                <w:iCs/>
                <w:sz w:val="22"/>
                <w:szCs w:val="22"/>
                <w:lang w:val="sk-SK"/>
              </w:rPr>
              <w:t xml:space="preserve"> a vracanie (8,4 % oproti 6,2 %)</w:t>
            </w:r>
            <w:r w:rsidRPr="00784AF1">
              <w:rPr>
                <w:sz w:val="22"/>
                <w:szCs w:val="22"/>
                <w:lang w:val="sk-SK"/>
              </w:rPr>
              <w:t>, sucho v ústach (3,4 % oproti 1,8 %)</w:t>
            </w:r>
            <w:r w:rsidRPr="00821ADF">
              <w:rPr>
                <w:sz w:val="22"/>
                <w:szCs w:val="22"/>
                <w:lang w:val="sk-SK"/>
              </w:rPr>
              <w:t xml:space="preserve"> </w:t>
            </w:r>
          </w:p>
        </w:tc>
      </w:tr>
      <w:tr w:rsidR="0026280D" w:rsidRPr="00821ADF" w:rsidTr="00D54CDD">
        <w:trPr>
          <w:trHeight w:val="257"/>
        </w:trPr>
        <w:tc>
          <w:tcPr>
            <w:tcW w:w="96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26280D" w:rsidRPr="00821ADF" w:rsidRDefault="0026280D" w:rsidP="00D54CDD">
            <w:pPr>
              <w:pStyle w:val="Default"/>
              <w:rPr>
                <w:b/>
                <w:bCs/>
                <w:sz w:val="22"/>
                <w:szCs w:val="22"/>
                <w:lang w:val="sk-SK"/>
              </w:rPr>
            </w:pPr>
            <w:r w:rsidRPr="00821ADF">
              <w:rPr>
                <w:b/>
                <w:bCs/>
                <w:sz w:val="22"/>
                <w:szCs w:val="22"/>
                <w:lang w:val="sk-SK"/>
              </w:rPr>
              <w:t>Poruchy kože a podkožného tkaniva</w:t>
            </w:r>
          </w:p>
          <w:p w:rsidR="0026280D" w:rsidRPr="00821ADF" w:rsidRDefault="0026280D" w:rsidP="00D54CDD">
            <w:pPr>
              <w:pStyle w:val="Default"/>
              <w:rPr>
                <w:sz w:val="22"/>
                <w:szCs w:val="22"/>
                <w:lang w:val="sk-SK"/>
              </w:rPr>
            </w:pPr>
            <w:r w:rsidRPr="00821ADF">
              <w:rPr>
                <w:rFonts w:ascii="Times-New-Roman" w:hAnsi="Times-New-Roman" w:cs="Times-New-Roman"/>
                <w:i/>
                <w:sz w:val="22"/>
                <w:szCs w:val="22"/>
                <w:lang w:val="sk-SK"/>
              </w:rPr>
              <w:t>Č</w:t>
            </w:r>
            <w:r w:rsidRPr="00821ADF">
              <w:rPr>
                <w:i/>
                <w:sz w:val="22"/>
                <w:szCs w:val="22"/>
                <w:lang w:val="sk-SK"/>
              </w:rPr>
              <w:t>asté:</w:t>
            </w:r>
            <w:r w:rsidRPr="00821ADF">
              <w:rPr>
                <w:sz w:val="22"/>
                <w:szCs w:val="22"/>
                <w:lang w:val="sk-SK"/>
              </w:rPr>
              <w:t xml:space="preserve"> </w:t>
            </w:r>
            <w:r w:rsidRPr="00821ADF">
              <w:rPr>
                <w:iCs/>
                <w:sz w:val="22"/>
                <w:szCs w:val="22"/>
                <w:lang w:val="sk-SK"/>
              </w:rPr>
              <w:t xml:space="preserve">vyrážka </w:t>
            </w:r>
            <w:r w:rsidRPr="00821ADF">
              <w:rPr>
                <w:sz w:val="22"/>
                <w:szCs w:val="22"/>
                <w:lang w:val="sk-SK"/>
              </w:rPr>
              <w:t xml:space="preserve">(1,1 % oproti 0,3 %) </w:t>
            </w:r>
          </w:p>
        </w:tc>
      </w:tr>
      <w:tr w:rsidR="0026280D" w:rsidRPr="00821ADF" w:rsidTr="00D54CDD">
        <w:trPr>
          <w:trHeight w:val="257"/>
        </w:trPr>
        <w:tc>
          <w:tcPr>
            <w:tcW w:w="96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26280D" w:rsidRPr="00821ADF" w:rsidRDefault="0026280D" w:rsidP="00D54CDD">
            <w:pPr>
              <w:pStyle w:val="Default"/>
              <w:rPr>
                <w:b/>
                <w:bCs/>
                <w:sz w:val="22"/>
                <w:szCs w:val="22"/>
                <w:lang w:val="sk-SK"/>
              </w:rPr>
            </w:pPr>
            <w:r w:rsidRPr="00821ADF">
              <w:rPr>
                <w:b/>
                <w:bCs/>
                <w:sz w:val="22"/>
                <w:szCs w:val="22"/>
                <w:lang w:val="sk-SK"/>
              </w:rPr>
              <w:t>Poruchy kostrovej a svalovej sústavy a spojivového tkaniva</w:t>
            </w:r>
          </w:p>
          <w:p w:rsidR="0026280D" w:rsidRPr="00821ADF" w:rsidRDefault="0026280D" w:rsidP="00D54CDD">
            <w:pPr>
              <w:pStyle w:val="Default"/>
              <w:rPr>
                <w:sz w:val="22"/>
                <w:szCs w:val="22"/>
                <w:lang w:val="sk-SK"/>
              </w:rPr>
            </w:pPr>
            <w:r w:rsidRPr="00821ADF">
              <w:rPr>
                <w:rFonts w:ascii="Times-New-Roman" w:hAnsi="Times-New-Roman" w:cs="Times-New-Roman"/>
                <w:i/>
                <w:sz w:val="22"/>
                <w:szCs w:val="22"/>
                <w:lang w:val="sk-SK"/>
              </w:rPr>
              <w:t>Č</w:t>
            </w:r>
            <w:r w:rsidRPr="00821ADF">
              <w:rPr>
                <w:i/>
                <w:sz w:val="22"/>
                <w:szCs w:val="22"/>
                <w:lang w:val="sk-SK"/>
              </w:rPr>
              <w:t>asté:</w:t>
            </w:r>
            <w:r w:rsidRPr="00821ADF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821ADF">
              <w:rPr>
                <w:iCs/>
                <w:sz w:val="22"/>
                <w:szCs w:val="22"/>
                <w:lang w:val="sk-SK"/>
              </w:rPr>
              <w:t>artralgia</w:t>
            </w:r>
            <w:proofErr w:type="spellEnd"/>
            <w:r w:rsidRPr="00821ADF">
              <w:rPr>
                <w:iCs/>
                <w:sz w:val="22"/>
                <w:szCs w:val="22"/>
                <w:lang w:val="sk-SK"/>
              </w:rPr>
              <w:t xml:space="preserve"> (2,4 % oproti 2,1 %), </w:t>
            </w:r>
            <w:r w:rsidRPr="00821ADF">
              <w:rPr>
                <w:sz w:val="22"/>
                <w:szCs w:val="22"/>
                <w:lang w:val="sk-SK"/>
              </w:rPr>
              <w:t>boles</w:t>
            </w:r>
            <w:r w:rsidRPr="00821ADF">
              <w:rPr>
                <w:rFonts w:ascii="Times-New-Roman" w:hAnsi="Times-New-Roman" w:cs="Times-New-Roman"/>
                <w:sz w:val="22"/>
                <w:szCs w:val="22"/>
                <w:lang w:val="sk-SK"/>
              </w:rPr>
              <w:t xml:space="preserve">ť </w:t>
            </w:r>
            <w:r w:rsidRPr="00821ADF">
              <w:rPr>
                <w:sz w:val="22"/>
                <w:szCs w:val="22"/>
                <w:lang w:val="sk-SK"/>
              </w:rPr>
              <w:t xml:space="preserve">krku </w:t>
            </w:r>
            <w:r w:rsidRPr="00821ADF">
              <w:rPr>
                <w:iCs/>
                <w:sz w:val="22"/>
                <w:szCs w:val="22"/>
                <w:lang w:val="sk-SK"/>
              </w:rPr>
              <w:t>(1,3 % oproti 0,5 %)</w:t>
            </w:r>
            <w:r w:rsidRPr="00821ADF">
              <w:rPr>
                <w:i/>
                <w:iCs/>
                <w:sz w:val="22"/>
                <w:szCs w:val="22"/>
                <w:lang w:val="sk-SK"/>
              </w:rPr>
              <w:t xml:space="preserve"> </w:t>
            </w:r>
          </w:p>
        </w:tc>
      </w:tr>
      <w:tr w:rsidR="0026280D" w:rsidRPr="00821ADF" w:rsidTr="00D54CDD">
        <w:trPr>
          <w:trHeight w:val="257"/>
        </w:trPr>
        <w:tc>
          <w:tcPr>
            <w:tcW w:w="96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26280D" w:rsidRPr="00821ADF" w:rsidRDefault="0026280D" w:rsidP="00D54CDD">
            <w:pPr>
              <w:pStyle w:val="Default"/>
              <w:rPr>
                <w:b/>
                <w:bCs/>
                <w:sz w:val="22"/>
                <w:szCs w:val="22"/>
                <w:lang w:val="sk-SK"/>
              </w:rPr>
            </w:pPr>
            <w:r w:rsidRPr="00821ADF">
              <w:rPr>
                <w:b/>
                <w:bCs/>
                <w:sz w:val="22"/>
                <w:szCs w:val="22"/>
                <w:lang w:val="sk-SK"/>
              </w:rPr>
              <w:t>Laboratórne a funk</w:t>
            </w:r>
            <w:r w:rsidRPr="00821ADF">
              <w:rPr>
                <w:rFonts w:ascii="Times-New-Roman,Bold" w:hAnsi="Times-New-Roman,Bold" w:cs="Times-New-Roman,Bold"/>
                <w:b/>
                <w:bCs/>
                <w:sz w:val="22"/>
                <w:szCs w:val="22"/>
                <w:lang w:val="sk-SK"/>
              </w:rPr>
              <w:t>č</w:t>
            </w:r>
            <w:r w:rsidRPr="00821ADF">
              <w:rPr>
                <w:b/>
                <w:bCs/>
                <w:sz w:val="22"/>
                <w:szCs w:val="22"/>
                <w:lang w:val="sk-SK"/>
              </w:rPr>
              <w:t>né vyšetrenia</w:t>
            </w:r>
          </w:p>
          <w:p w:rsidR="0026280D" w:rsidRPr="00821ADF" w:rsidRDefault="0026280D" w:rsidP="00D54CDD">
            <w:pPr>
              <w:pStyle w:val="Default"/>
              <w:rPr>
                <w:sz w:val="22"/>
                <w:szCs w:val="22"/>
                <w:lang w:val="sk-SK"/>
              </w:rPr>
            </w:pPr>
            <w:r w:rsidRPr="00821ADF">
              <w:rPr>
                <w:rFonts w:ascii="Times-New-Roman" w:hAnsi="Times-New-Roman" w:cs="Times-New-Roman"/>
                <w:i/>
                <w:sz w:val="22"/>
                <w:szCs w:val="22"/>
                <w:lang w:val="sk-SK"/>
              </w:rPr>
              <w:t>Č</w:t>
            </w:r>
            <w:r w:rsidRPr="00821ADF">
              <w:rPr>
                <w:i/>
                <w:sz w:val="22"/>
                <w:szCs w:val="22"/>
                <w:lang w:val="sk-SK"/>
              </w:rPr>
              <w:t>asté:</w:t>
            </w:r>
            <w:r w:rsidRPr="00821ADF">
              <w:rPr>
                <w:sz w:val="22"/>
                <w:szCs w:val="22"/>
                <w:lang w:val="sk-SK"/>
              </w:rPr>
              <w:t xml:space="preserve"> </w:t>
            </w:r>
            <w:r w:rsidR="00D72B76" w:rsidRPr="00784AF1">
              <w:rPr>
                <w:sz w:val="22"/>
                <w:szCs w:val="22"/>
                <w:lang w:val="sk-SK"/>
              </w:rPr>
              <w:t xml:space="preserve">zníženie telesnej hmotnosti </w:t>
            </w:r>
            <w:r w:rsidR="00D72B76" w:rsidRPr="00784AF1">
              <w:rPr>
                <w:iCs/>
                <w:sz w:val="22"/>
                <w:szCs w:val="22"/>
                <w:lang w:val="sk-SK"/>
              </w:rPr>
              <w:t>(4,5 % oproti 1,5 %)</w:t>
            </w:r>
            <w:r w:rsidR="001D7112" w:rsidRPr="00A0612C">
              <w:rPr>
                <w:i/>
                <w:iCs/>
                <w:sz w:val="22"/>
                <w:szCs w:val="22"/>
                <w:lang w:val="sk-SK"/>
              </w:rPr>
              <w:t xml:space="preserve"> </w:t>
            </w:r>
          </w:p>
        </w:tc>
      </w:tr>
      <w:tr w:rsidR="0026280D" w:rsidRPr="00821ADF" w:rsidTr="00D54CDD">
        <w:trPr>
          <w:trHeight w:val="256"/>
        </w:trPr>
        <w:tc>
          <w:tcPr>
            <w:tcW w:w="960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80D" w:rsidRPr="00821ADF" w:rsidRDefault="0026280D" w:rsidP="00D54CDD">
            <w:pPr>
              <w:pStyle w:val="Default"/>
              <w:rPr>
                <w:b/>
                <w:bCs/>
                <w:sz w:val="22"/>
                <w:szCs w:val="22"/>
                <w:lang w:val="sk-SK"/>
              </w:rPr>
            </w:pPr>
            <w:r w:rsidRPr="00821ADF">
              <w:rPr>
                <w:b/>
                <w:bCs/>
                <w:sz w:val="22"/>
                <w:szCs w:val="22"/>
                <w:lang w:val="sk-SK"/>
              </w:rPr>
              <w:t>Úrazy, otravy a komplikácie lie</w:t>
            </w:r>
            <w:r w:rsidRPr="00821ADF">
              <w:rPr>
                <w:rFonts w:ascii="Times-New-Roman,Bold" w:hAnsi="Times-New-Roman,Bold" w:cs="Times-New-Roman,Bold"/>
                <w:b/>
                <w:bCs/>
                <w:sz w:val="22"/>
                <w:szCs w:val="22"/>
                <w:lang w:val="sk-SK"/>
              </w:rPr>
              <w:t>č</w:t>
            </w:r>
            <w:r w:rsidRPr="00821ADF">
              <w:rPr>
                <w:b/>
                <w:bCs/>
                <w:sz w:val="22"/>
                <w:szCs w:val="22"/>
                <w:lang w:val="sk-SK"/>
              </w:rPr>
              <w:t>ebného postupu</w:t>
            </w:r>
          </w:p>
          <w:p w:rsidR="0026280D" w:rsidRPr="00821ADF" w:rsidRDefault="0026280D" w:rsidP="00D54CDD">
            <w:pPr>
              <w:pStyle w:val="Default"/>
              <w:rPr>
                <w:sz w:val="22"/>
                <w:szCs w:val="22"/>
                <w:lang w:val="sk-SK"/>
              </w:rPr>
            </w:pPr>
            <w:r w:rsidRPr="00821ADF">
              <w:rPr>
                <w:rFonts w:ascii="Times-New-Roman" w:hAnsi="Times-New-Roman" w:cs="Times-New-Roman"/>
                <w:i/>
                <w:sz w:val="22"/>
                <w:szCs w:val="22"/>
                <w:lang w:val="sk-SK"/>
              </w:rPr>
              <w:t>Č</w:t>
            </w:r>
            <w:r w:rsidRPr="00821ADF">
              <w:rPr>
                <w:i/>
                <w:sz w:val="22"/>
                <w:szCs w:val="22"/>
                <w:lang w:val="sk-SK"/>
              </w:rPr>
              <w:t>asté</w:t>
            </w:r>
            <w:r w:rsidRPr="00821ADF">
              <w:rPr>
                <w:sz w:val="22"/>
                <w:szCs w:val="22"/>
                <w:lang w:val="sk-SK"/>
              </w:rPr>
              <w:t xml:space="preserve">: pád (4,7 % oproti 3,4 %) </w:t>
            </w:r>
          </w:p>
        </w:tc>
      </w:tr>
    </w:tbl>
    <w:p w:rsidR="00C15776" w:rsidRDefault="0026280D" w:rsidP="0026280D">
      <w:pPr>
        <w:pStyle w:val="Normlndobloku"/>
        <w:rPr>
          <w:lang w:val="sk-SK"/>
        </w:rPr>
      </w:pPr>
      <w:proofErr w:type="spellStart"/>
      <w:r w:rsidRPr="00821ADF">
        <w:rPr>
          <w:lang w:val="sk-SK"/>
        </w:rPr>
        <w:t>Parkinsonova</w:t>
      </w:r>
      <w:proofErr w:type="spellEnd"/>
      <w:r w:rsidRPr="00821ADF">
        <w:rPr>
          <w:lang w:val="sk-SK"/>
        </w:rPr>
        <w:t xml:space="preserve"> choroba je sprevádzaná halucináciami a zmätenosťou. </w:t>
      </w:r>
      <w:r w:rsidR="00D54CDD" w:rsidRPr="00D54CDD">
        <w:rPr>
          <w:lang w:val="sk-SK"/>
        </w:rPr>
        <w:t xml:space="preserve">Po uvedení </w:t>
      </w:r>
      <w:proofErr w:type="spellStart"/>
      <w:r w:rsidR="00D54CDD" w:rsidRPr="00D54CDD">
        <w:rPr>
          <w:lang w:val="sk-SK"/>
        </w:rPr>
        <w:t>razagilínu</w:t>
      </w:r>
      <w:proofErr w:type="spellEnd"/>
      <w:r w:rsidR="00D54CDD" w:rsidRPr="00D54CDD">
        <w:rPr>
          <w:lang w:val="sk-SK"/>
        </w:rPr>
        <w:t xml:space="preserve"> na trh</w:t>
      </w:r>
      <w:r w:rsidRPr="00821ADF">
        <w:rPr>
          <w:lang w:val="sk-SK"/>
        </w:rPr>
        <w:t xml:space="preserve"> boli tieto príznaky pozorované aj u pacientov s </w:t>
      </w:r>
      <w:proofErr w:type="spellStart"/>
      <w:r w:rsidRPr="00821ADF">
        <w:rPr>
          <w:lang w:val="sk-SK"/>
        </w:rPr>
        <w:t>Parkinsonovou</w:t>
      </w:r>
      <w:proofErr w:type="spellEnd"/>
      <w:r w:rsidRPr="00821ADF">
        <w:rPr>
          <w:lang w:val="sk-SK"/>
        </w:rPr>
        <w:t xml:space="preserve"> chorobou, ktorí boli liečení </w:t>
      </w:r>
      <w:proofErr w:type="spellStart"/>
      <w:r w:rsidR="00301BD2">
        <w:rPr>
          <w:lang w:val="sk-SK"/>
        </w:rPr>
        <w:t>razagilín</w:t>
      </w:r>
      <w:r w:rsidRPr="00821ADF">
        <w:rPr>
          <w:lang w:val="sk-SK"/>
        </w:rPr>
        <w:t>om</w:t>
      </w:r>
      <w:proofErr w:type="spellEnd"/>
      <w:r w:rsidRPr="00821ADF">
        <w:rPr>
          <w:lang w:val="sk-SK"/>
        </w:rPr>
        <w:t>.</w:t>
      </w:r>
    </w:p>
    <w:p w:rsidR="00C15776" w:rsidRDefault="0026280D" w:rsidP="0026280D">
      <w:pPr>
        <w:pStyle w:val="Normlndobloku"/>
        <w:rPr>
          <w:lang w:val="sk-SK"/>
        </w:rPr>
      </w:pPr>
      <w:r w:rsidRPr="00821ADF">
        <w:rPr>
          <w:lang w:val="sk-SK"/>
        </w:rPr>
        <w:t xml:space="preserve">Je známy výskyt závažných nežiaducich účinkov pri súčasnom používaní SSRI, SNRI, </w:t>
      </w:r>
      <w:proofErr w:type="spellStart"/>
      <w:r w:rsidRPr="00821ADF">
        <w:rPr>
          <w:lang w:val="sk-SK"/>
        </w:rPr>
        <w:t>tricyklických</w:t>
      </w:r>
      <w:proofErr w:type="spellEnd"/>
      <w:r w:rsidRPr="00821ADF">
        <w:rPr>
          <w:lang w:val="sk-SK"/>
        </w:rPr>
        <w:t xml:space="preserve">, </w:t>
      </w:r>
      <w:proofErr w:type="spellStart"/>
      <w:r w:rsidRPr="00821ADF">
        <w:rPr>
          <w:lang w:val="sk-SK"/>
        </w:rPr>
        <w:t>tetracyklických</w:t>
      </w:r>
      <w:proofErr w:type="spellEnd"/>
      <w:r w:rsidRPr="00821ADF">
        <w:rPr>
          <w:lang w:val="sk-SK"/>
        </w:rPr>
        <w:t xml:space="preserve"> </w:t>
      </w:r>
      <w:proofErr w:type="spellStart"/>
      <w:r w:rsidRPr="00821ADF">
        <w:rPr>
          <w:lang w:val="sk-SK"/>
        </w:rPr>
        <w:t>antidepresív</w:t>
      </w:r>
      <w:proofErr w:type="spellEnd"/>
      <w:r w:rsidRPr="00821ADF">
        <w:rPr>
          <w:lang w:val="sk-SK"/>
        </w:rPr>
        <w:t xml:space="preserve"> a inhibítorov MAO. V </w:t>
      </w:r>
      <w:proofErr w:type="spellStart"/>
      <w:r w:rsidRPr="00821ADF">
        <w:rPr>
          <w:lang w:val="sk-SK"/>
        </w:rPr>
        <w:t>postregistračnom</w:t>
      </w:r>
      <w:proofErr w:type="spellEnd"/>
      <w:r w:rsidRPr="00821ADF">
        <w:rPr>
          <w:lang w:val="sk-SK"/>
        </w:rPr>
        <w:t xml:space="preserve"> období lieku boli zaznamenané prípady </w:t>
      </w:r>
      <w:proofErr w:type="spellStart"/>
      <w:r w:rsidRPr="00821ADF">
        <w:rPr>
          <w:lang w:val="sk-SK"/>
        </w:rPr>
        <w:t>serotonínového</w:t>
      </w:r>
      <w:proofErr w:type="spellEnd"/>
      <w:r w:rsidRPr="00821ADF">
        <w:rPr>
          <w:lang w:val="sk-SK"/>
        </w:rPr>
        <w:t xml:space="preserve"> syndrómu </w:t>
      </w:r>
      <w:r w:rsidR="00D54CDD">
        <w:rPr>
          <w:lang w:val="sk-SK"/>
        </w:rPr>
        <w:t>spojeného so</w:t>
      </w:r>
      <w:r w:rsidRPr="00821ADF">
        <w:rPr>
          <w:lang w:val="sk-SK"/>
        </w:rPr>
        <w:t xml:space="preserve"> zmätenosťou, </w:t>
      </w:r>
      <w:proofErr w:type="spellStart"/>
      <w:r w:rsidRPr="00821ADF">
        <w:rPr>
          <w:lang w:val="sk-SK"/>
        </w:rPr>
        <w:t>rigiditou</w:t>
      </w:r>
      <w:proofErr w:type="spellEnd"/>
      <w:r w:rsidRPr="00821ADF">
        <w:rPr>
          <w:lang w:val="sk-SK"/>
        </w:rPr>
        <w:t xml:space="preserve">, horúčkou a kŕčovými </w:t>
      </w:r>
      <w:proofErr w:type="spellStart"/>
      <w:r w:rsidRPr="00821ADF">
        <w:rPr>
          <w:lang w:val="sk-SK"/>
        </w:rPr>
        <w:t>zášklbmi</w:t>
      </w:r>
      <w:proofErr w:type="spellEnd"/>
      <w:r w:rsidRPr="00821ADF">
        <w:rPr>
          <w:lang w:val="sk-SK"/>
        </w:rPr>
        <w:t xml:space="preserve"> svalov (</w:t>
      </w:r>
      <w:proofErr w:type="spellStart"/>
      <w:r w:rsidRPr="00821ADF">
        <w:rPr>
          <w:lang w:val="sk-SK"/>
        </w:rPr>
        <w:t>myoklonom</w:t>
      </w:r>
      <w:proofErr w:type="spellEnd"/>
      <w:r w:rsidRPr="00821ADF">
        <w:rPr>
          <w:lang w:val="sk-SK"/>
        </w:rPr>
        <w:t xml:space="preserve">) u pacientov liečených </w:t>
      </w:r>
      <w:proofErr w:type="spellStart"/>
      <w:r w:rsidRPr="00821ADF">
        <w:rPr>
          <w:lang w:val="sk-SK"/>
        </w:rPr>
        <w:t>antidepresívami</w:t>
      </w:r>
      <w:proofErr w:type="spellEnd"/>
      <w:r w:rsidRPr="00821ADF">
        <w:rPr>
          <w:lang w:val="sk-SK"/>
        </w:rPr>
        <w:t xml:space="preserve">/SNRI súčasne s </w:t>
      </w:r>
      <w:proofErr w:type="spellStart"/>
      <w:r w:rsidR="00301BD2">
        <w:rPr>
          <w:lang w:val="sk-SK"/>
        </w:rPr>
        <w:t>razagilín</w:t>
      </w:r>
      <w:r w:rsidRPr="00821ADF">
        <w:rPr>
          <w:lang w:val="sk-SK"/>
        </w:rPr>
        <w:t>om</w:t>
      </w:r>
      <w:proofErr w:type="spellEnd"/>
      <w:r w:rsidRPr="00821ADF">
        <w:rPr>
          <w:lang w:val="sk-SK"/>
        </w:rPr>
        <w:t>.</w:t>
      </w:r>
    </w:p>
    <w:p w:rsidR="00C15776" w:rsidRDefault="0026280D" w:rsidP="0026280D">
      <w:pPr>
        <w:pStyle w:val="Normlndobloku"/>
        <w:rPr>
          <w:lang w:val="sk-SK"/>
        </w:rPr>
      </w:pPr>
      <w:r w:rsidRPr="00821ADF">
        <w:rPr>
          <w:lang w:val="sk-SK"/>
        </w:rPr>
        <w:lastRenderedPageBreak/>
        <w:t xml:space="preserve">V klinických skúšaniach </w:t>
      </w:r>
      <w:proofErr w:type="spellStart"/>
      <w:r w:rsidR="00301BD2">
        <w:rPr>
          <w:lang w:val="sk-SK"/>
        </w:rPr>
        <w:t>razagilín</w:t>
      </w:r>
      <w:r w:rsidRPr="00821ADF">
        <w:rPr>
          <w:lang w:val="sk-SK"/>
        </w:rPr>
        <w:t>u</w:t>
      </w:r>
      <w:proofErr w:type="spellEnd"/>
      <w:r w:rsidRPr="00821ADF">
        <w:rPr>
          <w:lang w:val="sk-SK"/>
        </w:rPr>
        <w:t xml:space="preserve"> nebolo povolené súčasné používanie </w:t>
      </w:r>
      <w:proofErr w:type="spellStart"/>
      <w:r w:rsidRPr="00821ADF">
        <w:rPr>
          <w:lang w:val="sk-SK"/>
        </w:rPr>
        <w:t>fluoxetínu</w:t>
      </w:r>
      <w:proofErr w:type="spellEnd"/>
      <w:r w:rsidRPr="00821ADF">
        <w:rPr>
          <w:lang w:val="sk-SK"/>
        </w:rPr>
        <w:t xml:space="preserve"> alebo </w:t>
      </w:r>
      <w:proofErr w:type="spellStart"/>
      <w:r w:rsidRPr="00821ADF">
        <w:rPr>
          <w:lang w:val="sk-SK"/>
        </w:rPr>
        <w:t>fluvoxamínu</w:t>
      </w:r>
      <w:proofErr w:type="spellEnd"/>
      <w:r w:rsidRPr="00821ADF">
        <w:rPr>
          <w:lang w:val="sk-SK"/>
        </w:rPr>
        <w:t xml:space="preserve"> s </w:t>
      </w:r>
      <w:proofErr w:type="spellStart"/>
      <w:r w:rsidR="00301BD2">
        <w:rPr>
          <w:lang w:val="sk-SK"/>
        </w:rPr>
        <w:t>razagilín</w:t>
      </w:r>
      <w:r w:rsidRPr="00821ADF">
        <w:rPr>
          <w:lang w:val="sk-SK"/>
        </w:rPr>
        <w:t>om</w:t>
      </w:r>
      <w:proofErr w:type="spellEnd"/>
      <w:r w:rsidRPr="00821ADF">
        <w:rPr>
          <w:lang w:val="sk-SK"/>
        </w:rPr>
        <w:t xml:space="preserve">, avšak bolo povolené súčasné použitie </w:t>
      </w:r>
      <w:proofErr w:type="spellStart"/>
      <w:r w:rsidR="00301BD2">
        <w:rPr>
          <w:lang w:val="sk-SK"/>
        </w:rPr>
        <w:t>razagilín</w:t>
      </w:r>
      <w:r w:rsidRPr="00821ADF">
        <w:rPr>
          <w:lang w:val="sk-SK"/>
        </w:rPr>
        <w:t>u</w:t>
      </w:r>
      <w:proofErr w:type="spellEnd"/>
      <w:r w:rsidRPr="00821ADF">
        <w:rPr>
          <w:lang w:val="sk-SK"/>
        </w:rPr>
        <w:t xml:space="preserve"> s nasledujúcimi </w:t>
      </w:r>
      <w:proofErr w:type="spellStart"/>
      <w:r w:rsidRPr="00821ADF">
        <w:rPr>
          <w:lang w:val="sk-SK"/>
        </w:rPr>
        <w:t>antidepresívami</w:t>
      </w:r>
      <w:proofErr w:type="spellEnd"/>
      <w:r w:rsidRPr="00821ADF">
        <w:rPr>
          <w:lang w:val="sk-SK"/>
        </w:rPr>
        <w:t xml:space="preserve"> v uv</w:t>
      </w:r>
      <w:r w:rsidR="0090752E">
        <w:rPr>
          <w:lang w:val="sk-SK"/>
        </w:rPr>
        <w:t xml:space="preserve">edených dávkach: </w:t>
      </w:r>
      <w:proofErr w:type="spellStart"/>
      <w:r w:rsidR="0090752E">
        <w:rPr>
          <w:lang w:val="sk-SK"/>
        </w:rPr>
        <w:t>amitriptylín</w:t>
      </w:r>
      <w:proofErr w:type="spellEnd"/>
      <w:r w:rsidR="0090752E">
        <w:rPr>
          <w:lang w:val="sk-SK"/>
        </w:rPr>
        <w:t xml:space="preserve"> ≤ 50 mg/denne, </w:t>
      </w:r>
      <w:proofErr w:type="spellStart"/>
      <w:r w:rsidR="0090752E">
        <w:rPr>
          <w:lang w:val="sk-SK"/>
        </w:rPr>
        <w:t>trazodón</w:t>
      </w:r>
      <w:proofErr w:type="spellEnd"/>
      <w:r w:rsidR="0090752E">
        <w:rPr>
          <w:lang w:val="sk-SK"/>
        </w:rPr>
        <w:t xml:space="preserve"> ≤ 100 mg/denne, </w:t>
      </w:r>
      <w:proofErr w:type="spellStart"/>
      <w:r w:rsidR="0090752E">
        <w:rPr>
          <w:lang w:val="sk-SK"/>
        </w:rPr>
        <w:t>citalopram</w:t>
      </w:r>
      <w:proofErr w:type="spellEnd"/>
      <w:r w:rsidR="0090752E">
        <w:rPr>
          <w:lang w:val="sk-SK"/>
        </w:rPr>
        <w:t xml:space="preserve"> ≤ 20 mg/denne, </w:t>
      </w:r>
      <w:proofErr w:type="spellStart"/>
      <w:r w:rsidR="00D54CDD">
        <w:rPr>
          <w:lang w:val="sk-SK"/>
        </w:rPr>
        <w:t>sertralín</w:t>
      </w:r>
      <w:proofErr w:type="spellEnd"/>
      <w:r w:rsidR="00D54CDD">
        <w:rPr>
          <w:lang w:val="sk-SK"/>
        </w:rPr>
        <w:t xml:space="preserve"> </w:t>
      </w:r>
      <w:r w:rsidR="0090752E">
        <w:rPr>
          <w:lang w:val="sk-SK"/>
        </w:rPr>
        <w:t xml:space="preserve">≤ 100 mg/denne a </w:t>
      </w:r>
      <w:proofErr w:type="spellStart"/>
      <w:r w:rsidR="0090752E">
        <w:rPr>
          <w:lang w:val="sk-SK"/>
        </w:rPr>
        <w:t>paroxet</w:t>
      </w:r>
      <w:r w:rsidR="00B94D60">
        <w:rPr>
          <w:lang w:val="sk-SK"/>
        </w:rPr>
        <w:t>í</w:t>
      </w:r>
      <w:r w:rsidR="0090752E">
        <w:rPr>
          <w:lang w:val="sk-SK"/>
        </w:rPr>
        <w:t>n</w:t>
      </w:r>
      <w:proofErr w:type="spellEnd"/>
      <w:r w:rsidR="0090752E">
        <w:rPr>
          <w:lang w:val="sk-SK"/>
        </w:rPr>
        <w:t xml:space="preserve"> ≤ </w:t>
      </w:r>
      <w:r w:rsidRPr="00821ADF">
        <w:rPr>
          <w:lang w:val="sk-SK"/>
        </w:rPr>
        <w:t xml:space="preserve">30 mg/denne. Neboli zaznamenané žiadne prípady </w:t>
      </w:r>
      <w:proofErr w:type="spellStart"/>
      <w:r w:rsidRPr="00821ADF">
        <w:rPr>
          <w:lang w:val="sk-SK"/>
        </w:rPr>
        <w:t>serotonínového</w:t>
      </w:r>
      <w:proofErr w:type="spellEnd"/>
      <w:r w:rsidRPr="00821ADF">
        <w:rPr>
          <w:lang w:val="sk-SK"/>
        </w:rPr>
        <w:t xml:space="preserve"> syndrómu v </w:t>
      </w:r>
      <w:proofErr w:type="spellStart"/>
      <w:r w:rsidR="00301BD2">
        <w:rPr>
          <w:lang w:val="sk-SK"/>
        </w:rPr>
        <w:t>razagilín</w:t>
      </w:r>
      <w:r w:rsidR="00743910">
        <w:rPr>
          <w:lang w:val="sk-SK"/>
        </w:rPr>
        <w:t>ovom</w:t>
      </w:r>
      <w:proofErr w:type="spellEnd"/>
      <w:r w:rsidR="00743910">
        <w:rPr>
          <w:lang w:val="sk-SK"/>
        </w:rPr>
        <w:t xml:space="preserve"> klinickom programe, v </w:t>
      </w:r>
      <w:r w:rsidRPr="00821ADF">
        <w:rPr>
          <w:lang w:val="sk-SK"/>
        </w:rPr>
        <w:t xml:space="preserve">ktorom 115 pacientov súčasne užívalo </w:t>
      </w:r>
      <w:proofErr w:type="spellStart"/>
      <w:r w:rsidR="00301BD2">
        <w:rPr>
          <w:lang w:val="sk-SK"/>
        </w:rPr>
        <w:t>razagilín</w:t>
      </w:r>
      <w:proofErr w:type="spellEnd"/>
      <w:r w:rsidRPr="00821ADF">
        <w:rPr>
          <w:lang w:val="sk-SK"/>
        </w:rPr>
        <w:t xml:space="preserve"> a </w:t>
      </w:r>
      <w:proofErr w:type="spellStart"/>
      <w:r w:rsidRPr="00821ADF">
        <w:rPr>
          <w:lang w:val="sk-SK"/>
        </w:rPr>
        <w:t>tricyklické</w:t>
      </w:r>
      <w:proofErr w:type="spellEnd"/>
      <w:r w:rsidRPr="00821ADF">
        <w:rPr>
          <w:lang w:val="sk-SK"/>
        </w:rPr>
        <w:t xml:space="preserve"> </w:t>
      </w:r>
      <w:proofErr w:type="spellStart"/>
      <w:r w:rsidRPr="00821ADF">
        <w:rPr>
          <w:lang w:val="sk-SK"/>
        </w:rPr>
        <w:t>antidepresíva</w:t>
      </w:r>
      <w:proofErr w:type="spellEnd"/>
      <w:r w:rsidRPr="00821ADF">
        <w:rPr>
          <w:lang w:val="sk-SK"/>
        </w:rPr>
        <w:t xml:space="preserve"> a 141 pacientov užívalo </w:t>
      </w:r>
      <w:proofErr w:type="spellStart"/>
      <w:r w:rsidR="00301BD2">
        <w:rPr>
          <w:lang w:val="sk-SK"/>
        </w:rPr>
        <w:t>razagilín</w:t>
      </w:r>
      <w:proofErr w:type="spellEnd"/>
      <w:r w:rsidRPr="00821ADF">
        <w:rPr>
          <w:lang w:val="sk-SK"/>
        </w:rPr>
        <w:t xml:space="preserve"> a SSRI/ SNRI.</w:t>
      </w:r>
    </w:p>
    <w:p w:rsidR="00C15776" w:rsidRDefault="00D54CDD" w:rsidP="0026280D">
      <w:pPr>
        <w:pStyle w:val="Normlndobloku"/>
        <w:rPr>
          <w:lang w:val="sk-SK"/>
        </w:rPr>
      </w:pPr>
      <w:r w:rsidRPr="00D54CDD">
        <w:rPr>
          <w:lang w:val="sk-SK"/>
        </w:rPr>
        <w:t xml:space="preserve">Po uvedení </w:t>
      </w:r>
      <w:proofErr w:type="spellStart"/>
      <w:r w:rsidRPr="00D54CDD">
        <w:rPr>
          <w:lang w:val="sk-SK"/>
        </w:rPr>
        <w:t>razagilínu</w:t>
      </w:r>
      <w:proofErr w:type="spellEnd"/>
      <w:r w:rsidRPr="00D54CDD">
        <w:rPr>
          <w:lang w:val="sk-SK"/>
        </w:rPr>
        <w:t xml:space="preserve"> na trh</w:t>
      </w:r>
      <w:r w:rsidR="0026280D" w:rsidRPr="00821ADF">
        <w:rPr>
          <w:lang w:val="sk-SK"/>
        </w:rPr>
        <w:t xml:space="preserve"> boli u pacientov užívajúcich </w:t>
      </w:r>
      <w:proofErr w:type="spellStart"/>
      <w:r w:rsidR="00301BD2">
        <w:rPr>
          <w:lang w:val="sk-SK"/>
        </w:rPr>
        <w:t>razagilín</w:t>
      </w:r>
      <w:proofErr w:type="spellEnd"/>
      <w:r w:rsidR="0026280D" w:rsidRPr="00821ADF">
        <w:rPr>
          <w:lang w:val="sk-SK"/>
        </w:rPr>
        <w:t xml:space="preserve"> hlásené prípady zvýšeného krvného tlaku, vrátane zriedkavých prípadov </w:t>
      </w:r>
      <w:proofErr w:type="spellStart"/>
      <w:r w:rsidR="0026280D" w:rsidRPr="00821ADF">
        <w:rPr>
          <w:lang w:val="sk-SK"/>
        </w:rPr>
        <w:t>hypertenznej</w:t>
      </w:r>
      <w:proofErr w:type="spellEnd"/>
      <w:r w:rsidR="0026280D" w:rsidRPr="00821ADF">
        <w:rPr>
          <w:lang w:val="sk-SK"/>
        </w:rPr>
        <w:t xml:space="preserve"> krízy spojenej s užitím neznámeho množstva na </w:t>
      </w:r>
      <w:proofErr w:type="spellStart"/>
      <w:r w:rsidR="0026280D" w:rsidRPr="00821ADF">
        <w:rPr>
          <w:lang w:val="sk-SK"/>
        </w:rPr>
        <w:t>tyramín</w:t>
      </w:r>
      <w:proofErr w:type="spellEnd"/>
      <w:r w:rsidR="0026280D" w:rsidRPr="00821ADF">
        <w:rPr>
          <w:lang w:val="sk-SK"/>
        </w:rPr>
        <w:t xml:space="preserve"> bohatých potravín.</w:t>
      </w:r>
    </w:p>
    <w:p w:rsidR="00C15776" w:rsidRDefault="0026280D" w:rsidP="0026280D">
      <w:pPr>
        <w:pStyle w:val="Normlndobloku"/>
        <w:rPr>
          <w:lang w:val="sk-SK"/>
        </w:rPr>
      </w:pPr>
      <w:r w:rsidRPr="00821ADF">
        <w:rPr>
          <w:lang w:val="sk-SK"/>
        </w:rPr>
        <w:t>Boli zaznamenané liekové interakcie pri súča</w:t>
      </w:r>
      <w:r w:rsidR="00743910">
        <w:rPr>
          <w:lang w:val="sk-SK"/>
        </w:rPr>
        <w:t>snom podávaní inhibítorov MAO a</w:t>
      </w:r>
      <w:r w:rsidR="003F00EC">
        <w:rPr>
          <w:lang w:val="sk-SK"/>
        </w:rPr>
        <w:t> </w:t>
      </w:r>
      <w:proofErr w:type="spellStart"/>
      <w:r w:rsidRPr="00821ADF">
        <w:rPr>
          <w:lang w:val="sk-SK"/>
        </w:rPr>
        <w:t>sympatomimetík</w:t>
      </w:r>
      <w:proofErr w:type="spellEnd"/>
      <w:r w:rsidRPr="00821ADF">
        <w:rPr>
          <w:lang w:val="sk-SK"/>
        </w:rPr>
        <w:t xml:space="preserve">. </w:t>
      </w:r>
      <w:r w:rsidR="00D54CDD" w:rsidRPr="00D54CDD">
        <w:rPr>
          <w:lang w:val="sk-SK"/>
        </w:rPr>
        <w:t xml:space="preserve">Po uvedení </w:t>
      </w:r>
      <w:proofErr w:type="spellStart"/>
      <w:r w:rsidR="00D54CDD" w:rsidRPr="00D54CDD">
        <w:rPr>
          <w:lang w:val="sk-SK"/>
        </w:rPr>
        <w:t>razagilínu</w:t>
      </w:r>
      <w:proofErr w:type="spellEnd"/>
      <w:r w:rsidR="00D54CDD" w:rsidRPr="00D54CDD">
        <w:rPr>
          <w:lang w:val="sk-SK"/>
        </w:rPr>
        <w:t xml:space="preserve"> na trh</w:t>
      </w:r>
      <w:r w:rsidRPr="00821ADF">
        <w:rPr>
          <w:lang w:val="sk-SK"/>
        </w:rPr>
        <w:t xml:space="preserve"> bol hlásený jeden prípad zvýšeného krvného tlaku u pacienta užívajúceho </w:t>
      </w:r>
      <w:proofErr w:type="spellStart"/>
      <w:r w:rsidR="00D54CDD">
        <w:rPr>
          <w:lang w:val="sk-SK"/>
        </w:rPr>
        <w:t>tetryzolíniumchlorid</w:t>
      </w:r>
      <w:proofErr w:type="spellEnd"/>
      <w:r w:rsidR="00D54CDD">
        <w:rPr>
          <w:lang w:val="sk-SK"/>
        </w:rPr>
        <w:t xml:space="preserve"> </w:t>
      </w:r>
      <w:r w:rsidRPr="00821ADF">
        <w:rPr>
          <w:lang w:val="sk-SK"/>
        </w:rPr>
        <w:t xml:space="preserve">na </w:t>
      </w:r>
      <w:proofErr w:type="spellStart"/>
      <w:r w:rsidRPr="00821ADF">
        <w:rPr>
          <w:lang w:val="sk-SK"/>
        </w:rPr>
        <w:t>vazokonstrikciu</w:t>
      </w:r>
      <w:proofErr w:type="spellEnd"/>
      <w:r w:rsidRPr="00821ADF">
        <w:rPr>
          <w:lang w:val="sk-SK"/>
        </w:rPr>
        <w:t xml:space="preserve"> očných ciev popri užívaní </w:t>
      </w:r>
      <w:proofErr w:type="spellStart"/>
      <w:r w:rsidR="00301BD2">
        <w:rPr>
          <w:lang w:val="sk-SK"/>
        </w:rPr>
        <w:t>razagilín</w:t>
      </w:r>
      <w:r w:rsidRPr="00821ADF">
        <w:rPr>
          <w:lang w:val="sk-SK"/>
        </w:rPr>
        <w:t>u</w:t>
      </w:r>
      <w:proofErr w:type="spellEnd"/>
      <w:r w:rsidRPr="00821ADF">
        <w:rPr>
          <w:lang w:val="sk-SK"/>
        </w:rPr>
        <w:t>.</w:t>
      </w:r>
    </w:p>
    <w:p w:rsidR="0026280D" w:rsidRPr="00821ADF" w:rsidRDefault="0026280D" w:rsidP="0026280D">
      <w:pPr>
        <w:pStyle w:val="Normlndobloku"/>
        <w:rPr>
          <w:lang w:val="sk-SK"/>
        </w:rPr>
      </w:pPr>
      <w:r w:rsidRPr="00821ADF">
        <w:rPr>
          <w:lang w:val="sk-SK"/>
        </w:rPr>
        <w:t>Poruchy kontroly</w:t>
      </w:r>
      <w:r w:rsidR="00D54CDD">
        <w:rPr>
          <w:lang w:val="sk-SK"/>
        </w:rPr>
        <w:t xml:space="preserve"> impulzov</w:t>
      </w:r>
    </w:p>
    <w:p w:rsidR="00C15776" w:rsidRDefault="0026280D" w:rsidP="0026280D">
      <w:pPr>
        <w:pStyle w:val="Normlndobloku"/>
        <w:rPr>
          <w:lang w:val="sk-SK"/>
        </w:rPr>
      </w:pPr>
      <w:r w:rsidRPr="00821ADF">
        <w:rPr>
          <w:lang w:val="sk-SK"/>
        </w:rPr>
        <w:t xml:space="preserve">Patologické hráčstvo, zvýšené libido, </w:t>
      </w:r>
      <w:proofErr w:type="spellStart"/>
      <w:r w:rsidRPr="00821ADF">
        <w:rPr>
          <w:lang w:val="sk-SK"/>
        </w:rPr>
        <w:t>hypersexualita</w:t>
      </w:r>
      <w:proofErr w:type="spellEnd"/>
      <w:r w:rsidRPr="00821ADF">
        <w:rPr>
          <w:lang w:val="sk-SK"/>
        </w:rPr>
        <w:t xml:space="preserve">, </w:t>
      </w:r>
      <w:proofErr w:type="spellStart"/>
      <w:r w:rsidRPr="00821ADF">
        <w:rPr>
          <w:lang w:val="sk-SK"/>
        </w:rPr>
        <w:t>kompulzívne</w:t>
      </w:r>
      <w:proofErr w:type="spellEnd"/>
      <w:r w:rsidRPr="00821ADF">
        <w:rPr>
          <w:lang w:val="sk-SK"/>
        </w:rPr>
        <w:t xml:space="preserve"> míňanie alebo nakupovanie, záchvatové prejedanie a </w:t>
      </w:r>
      <w:proofErr w:type="spellStart"/>
      <w:r w:rsidRPr="00821ADF">
        <w:rPr>
          <w:lang w:val="sk-SK"/>
        </w:rPr>
        <w:t>kompulzívne</w:t>
      </w:r>
      <w:proofErr w:type="spellEnd"/>
      <w:r w:rsidRPr="00821ADF">
        <w:rPr>
          <w:lang w:val="sk-SK"/>
        </w:rPr>
        <w:t xml:space="preserve"> prejedanie sa môžu vyskytnúť u pacientov liečených </w:t>
      </w:r>
      <w:proofErr w:type="spellStart"/>
      <w:r w:rsidRPr="00821ADF">
        <w:rPr>
          <w:lang w:val="sk-SK"/>
        </w:rPr>
        <w:t>dopamínovými</w:t>
      </w:r>
      <w:proofErr w:type="spellEnd"/>
      <w:r w:rsidRPr="00821ADF">
        <w:rPr>
          <w:lang w:val="sk-SK"/>
        </w:rPr>
        <w:t xml:space="preserve"> </w:t>
      </w:r>
      <w:proofErr w:type="spellStart"/>
      <w:r w:rsidRPr="00821ADF">
        <w:rPr>
          <w:lang w:val="sk-SK"/>
        </w:rPr>
        <w:t>agonistami</w:t>
      </w:r>
      <w:proofErr w:type="spellEnd"/>
      <w:r w:rsidRPr="00821ADF">
        <w:rPr>
          <w:lang w:val="sk-SK"/>
        </w:rPr>
        <w:t xml:space="preserve"> a/alebo pri inej </w:t>
      </w:r>
      <w:proofErr w:type="spellStart"/>
      <w:r w:rsidRPr="00821ADF">
        <w:rPr>
          <w:lang w:val="sk-SK"/>
        </w:rPr>
        <w:t>dopamínergickej</w:t>
      </w:r>
      <w:proofErr w:type="spellEnd"/>
      <w:r w:rsidRPr="00821ADF">
        <w:rPr>
          <w:lang w:val="sk-SK"/>
        </w:rPr>
        <w:t xml:space="preserve"> liečbe. Poruchy kontroly impulzov podobného charakteru boli hlásené </w:t>
      </w:r>
      <w:proofErr w:type="spellStart"/>
      <w:r w:rsidRPr="00821ADF">
        <w:rPr>
          <w:lang w:val="sk-SK"/>
        </w:rPr>
        <w:t>postmarketingovo</w:t>
      </w:r>
      <w:proofErr w:type="spellEnd"/>
      <w:r w:rsidRPr="00821ADF">
        <w:rPr>
          <w:lang w:val="sk-SK"/>
        </w:rPr>
        <w:t xml:space="preserve"> u </w:t>
      </w:r>
      <w:proofErr w:type="spellStart"/>
      <w:r w:rsidR="00301BD2">
        <w:rPr>
          <w:lang w:val="sk-SK"/>
        </w:rPr>
        <w:t>razagilín</w:t>
      </w:r>
      <w:r w:rsidRPr="00821ADF">
        <w:rPr>
          <w:lang w:val="sk-SK"/>
        </w:rPr>
        <w:t>u</w:t>
      </w:r>
      <w:proofErr w:type="spellEnd"/>
      <w:r w:rsidRPr="00821ADF">
        <w:rPr>
          <w:lang w:val="sk-SK"/>
        </w:rPr>
        <w:t xml:space="preserve">, ktoré taktiež zahŕňali nutkanie, </w:t>
      </w:r>
      <w:proofErr w:type="spellStart"/>
      <w:r w:rsidRPr="00821ADF">
        <w:rPr>
          <w:lang w:val="sk-SK"/>
        </w:rPr>
        <w:t>obsesívne</w:t>
      </w:r>
      <w:proofErr w:type="spellEnd"/>
      <w:r w:rsidRPr="00821ADF">
        <w:rPr>
          <w:lang w:val="sk-SK"/>
        </w:rPr>
        <w:t xml:space="preserve"> myšlienky a impulzívne správanie (pozri časť 4.4).</w:t>
      </w:r>
    </w:p>
    <w:p w:rsidR="0026280D" w:rsidRPr="00821ADF" w:rsidRDefault="0026280D" w:rsidP="0026280D">
      <w:pPr>
        <w:pStyle w:val="Styl3"/>
        <w:rPr>
          <w:szCs w:val="22"/>
          <w:lang w:val="sk-SK"/>
        </w:rPr>
      </w:pPr>
      <w:r w:rsidRPr="00821ADF">
        <w:rPr>
          <w:szCs w:val="22"/>
          <w:lang w:val="sk-SK"/>
        </w:rPr>
        <w:t>Hlásenie</w:t>
      </w:r>
      <w:r w:rsidRPr="00821ADF">
        <w:rPr>
          <w:lang w:val="sk-SK"/>
        </w:rPr>
        <w:t xml:space="preserve"> podozrení</w:t>
      </w:r>
      <w:r w:rsidRPr="00821ADF">
        <w:rPr>
          <w:szCs w:val="22"/>
          <w:lang w:val="sk-SK"/>
        </w:rPr>
        <w:t xml:space="preserve"> na</w:t>
      </w:r>
      <w:r w:rsidRPr="00821ADF">
        <w:rPr>
          <w:lang w:val="sk-SK"/>
        </w:rPr>
        <w:t xml:space="preserve"> nežiaduce reakcie</w:t>
      </w:r>
    </w:p>
    <w:p w:rsidR="0026280D" w:rsidRPr="00821ADF" w:rsidRDefault="0026280D" w:rsidP="0026280D">
      <w:pPr>
        <w:pStyle w:val="Normlndobloku"/>
        <w:rPr>
          <w:lang w:val="sk-SK"/>
        </w:rPr>
      </w:pPr>
      <w:r w:rsidRPr="00821ADF">
        <w:rPr>
          <w:lang w:val="sk-SK"/>
        </w:rPr>
        <w:t xml:space="preserve">Hlásenie podozrení na nežiaduce reakcie po registrácii lieku je dôležité. Umožňuje priebežné monitorovanie pomeru prínosu a rizika lieku. Od zdravotníckych pracovníkov sa vyžaduje, aby hlásili akékoľvek podozrenia na nežiaduce reakcie prostredníctvom </w:t>
      </w:r>
      <w:r w:rsidRPr="00821ADF">
        <w:rPr>
          <w:highlight w:val="lightGray"/>
          <w:lang w:val="sk-SK"/>
        </w:rPr>
        <w:t xml:space="preserve">národného systému hlásenia uvedeného </w:t>
      </w:r>
      <w:r w:rsidRPr="00D54CDD">
        <w:rPr>
          <w:highlight w:val="lightGray"/>
          <w:lang w:val="sk-SK"/>
        </w:rPr>
        <w:t>v</w:t>
      </w:r>
      <w:r w:rsidR="00D72B76" w:rsidRPr="00784AF1">
        <w:rPr>
          <w:highlight w:val="lightGray"/>
          <w:lang w:val="sk-SK"/>
        </w:rPr>
        <w:t> </w:t>
      </w:r>
      <w:hyperlink r:id="rId8" w:history="1">
        <w:r w:rsidR="00D72B76" w:rsidRPr="00784AF1">
          <w:rPr>
            <w:rStyle w:val="Hypertextovprepojenie"/>
            <w:highlight w:val="lightGray"/>
            <w:lang w:val="sk-SK"/>
          </w:rPr>
          <w:t>Prílohe V</w:t>
        </w:r>
      </w:hyperlink>
      <w:r w:rsidRPr="00821ADF">
        <w:rPr>
          <w:lang w:val="sk-SK"/>
        </w:rPr>
        <w:t>.</w:t>
      </w:r>
    </w:p>
    <w:p w:rsidR="0026280D" w:rsidRPr="00821ADF" w:rsidRDefault="0026280D" w:rsidP="0026280D">
      <w:pPr>
        <w:pStyle w:val="Styl2"/>
        <w:numPr>
          <w:ilvl w:val="1"/>
          <w:numId w:val="3"/>
        </w:numPr>
        <w:spacing w:before="120" w:after="120"/>
        <w:ind w:left="357" w:hanging="357"/>
        <w:rPr>
          <w:lang w:val="sk-SK"/>
        </w:rPr>
      </w:pPr>
      <w:r w:rsidRPr="00821ADF">
        <w:rPr>
          <w:lang w:val="sk-SK"/>
        </w:rPr>
        <w:t>Predávkovanie</w:t>
      </w:r>
    </w:p>
    <w:p w:rsidR="00C15776" w:rsidRDefault="0026280D" w:rsidP="0026280D">
      <w:pPr>
        <w:pStyle w:val="Normlndobloku"/>
        <w:rPr>
          <w:lang w:val="sk-SK"/>
        </w:rPr>
      </w:pPr>
      <w:r w:rsidRPr="00821ADF">
        <w:rPr>
          <w:lang w:val="sk-SK"/>
        </w:rPr>
        <w:t xml:space="preserve">Predávkovanie: Hlásené symptómy z predávkovania </w:t>
      </w:r>
      <w:proofErr w:type="spellStart"/>
      <w:r w:rsidR="00D54CDD">
        <w:rPr>
          <w:lang w:val="sk-SK"/>
        </w:rPr>
        <w:t>razagilínom</w:t>
      </w:r>
      <w:proofErr w:type="spellEnd"/>
      <w:r w:rsidRPr="00821ADF">
        <w:rPr>
          <w:lang w:val="sk-SK"/>
        </w:rPr>
        <w:t xml:space="preserve"> v rozsahu dávok od 3 mg do 100 mg zahŕňajú </w:t>
      </w:r>
      <w:proofErr w:type="spellStart"/>
      <w:r w:rsidRPr="00821ADF">
        <w:rPr>
          <w:lang w:val="sk-SK"/>
        </w:rPr>
        <w:t>dysfóriu</w:t>
      </w:r>
      <w:proofErr w:type="spellEnd"/>
      <w:r w:rsidRPr="00821ADF">
        <w:rPr>
          <w:lang w:val="sk-SK"/>
        </w:rPr>
        <w:t xml:space="preserve">, </w:t>
      </w:r>
      <w:proofErr w:type="spellStart"/>
      <w:r w:rsidRPr="00821ADF">
        <w:rPr>
          <w:lang w:val="sk-SK"/>
        </w:rPr>
        <w:t>hypomániu</w:t>
      </w:r>
      <w:proofErr w:type="spellEnd"/>
      <w:r w:rsidRPr="00821ADF">
        <w:rPr>
          <w:lang w:val="sk-SK"/>
        </w:rPr>
        <w:t xml:space="preserve">, </w:t>
      </w:r>
      <w:proofErr w:type="spellStart"/>
      <w:r w:rsidRPr="00821ADF">
        <w:rPr>
          <w:lang w:val="sk-SK"/>
        </w:rPr>
        <w:t>hypertenznú</w:t>
      </w:r>
      <w:proofErr w:type="spellEnd"/>
      <w:r w:rsidRPr="00821ADF">
        <w:rPr>
          <w:lang w:val="sk-SK"/>
        </w:rPr>
        <w:t xml:space="preserve"> krízu a </w:t>
      </w:r>
      <w:proofErr w:type="spellStart"/>
      <w:r w:rsidRPr="00821ADF">
        <w:rPr>
          <w:lang w:val="sk-SK"/>
        </w:rPr>
        <w:t>serotonínový</w:t>
      </w:r>
      <w:proofErr w:type="spellEnd"/>
      <w:r w:rsidRPr="00821ADF">
        <w:rPr>
          <w:lang w:val="sk-SK"/>
        </w:rPr>
        <w:t xml:space="preserve"> syndróm.</w:t>
      </w:r>
    </w:p>
    <w:p w:rsidR="00C15776" w:rsidRDefault="0026280D" w:rsidP="0026280D">
      <w:pPr>
        <w:pStyle w:val="Normlndobloku"/>
        <w:rPr>
          <w:lang w:val="sk-SK"/>
        </w:rPr>
      </w:pPr>
      <w:r w:rsidRPr="00821ADF">
        <w:rPr>
          <w:lang w:val="sk-SK"/>
        </w:rPr>
        <w:t xml:space="preserve">Predávkovanie môže byť spojené s významnou inhibíciou MAO-A aj MAO-B. V štúdii bola podaná zdravým dobrovoľníkom jednorazová dávka 20 mg/deň a v 10-dňovej štúdii bolo podané zdravým dobrovoľníkom 10 mg/deň. Nežiaduce účinky boli mierneho až stredne ťažkého stupňa a neboli dôsledkom liečby </w:t>
      </w:r>
      <w:proofErr w:type="spellStart"/>
      <w:r w:rsidR="00301BD2">
        <w:rPr>
          <w:lang w:val="sk-SK"/>
        </w:rPr>
        <w:t>razagilín</w:t>
      </w:r>
      <w:r w:rsidRPr="00821ADF">
        <w:rPr>
          <w:lang w:val="sk-SK"/>
        </w:rPr>
        <w:t>om</w:t>
      </w:r>
      <w:proofErr w:type="spellEnd"/>
      <w:r w:rsidRPr="00821ADF">
        <w:rPr>
          <w:lang w:val="sk-SK"/>
        </w:rPr>
        <w:t xml:space="preserve">. V štúdii so zvyšovaním dávky u pacientov chronicky liečených </w:t>
      </w:r>
      <w:proofErr w:type="spellStart"/>
      <w:r w:rsidRPr="00821ADF">
        <w:rPr>
          <w:lang w:val="sk-SK"/>
        </w:rPr>
        <w:t>levodopou</w:t>
      </w:r>
      <w:proofErr w:type="spellEnd"/>
      <w:r w:rsidRPr="00821ADF">
        <w:rPr>
          <w:lang w:val="sk-SK"/>
        </w:rPr>
        <w:t xml:space="preserve">, ktorým bol podávaný </w:t>
      </w:r>
      <w:proofErr w:type="spellStart"/>
      <w:r w:rsidR="00301BD2">
        <w:rPr>
          <w:lang w:val="sk-SK"/>
        </w:rPr>
        <w:t>razagilín</w:t>
      </w:r>
      <w:proofErr w:type="spellEnd"/>
      <w:r w:rsidRPr="00821ADF">
        <w:rPr>
          <w:lang w:val="sk-SK"/>
        </w:rPr>
        <w:t xml:space="preserve"> v dávke 10 mg/deň, boli zaznamenané kardiovaskulárne nežiaduce reakcie (vrátane hypertenzie a </w:t>
      </w:r>
      <w:proofErr w:type="spellStart"/>
      <w:r w:rsidRPr="00821ADF">
        <w:rPr>
          <w:lang w:val="sk-SK"/>
        </w:rPr>
        <w:t>posturálnej</w:t>
      </w:r>
      <w:proofErr w:type="spellEnd"/>
      <w:r w:rsidRPr="00821ADF">
        <w:rPr>
          <w:lang w:val="sk-SK"/>
        </w:rPr>
        <w:t xml:space="preserve"> hypotenzie), čo vyústilo do prerušenia terapie. Tieto symptómy sú podobné príznakom pozorovaným pri neselektívnych inhibítoroch MAO.</w:t>
      </w:r>
    </w:p>
    <w:p w:rsidR="00C15776" w:rsidRDefault="0026280D" w:rsidP="0026280D">
      <w:pPr>
        <w:pStyle w:val="Normlndobloku"/>
        <w:rPr>
          <w:lang w:val="sk-SK"/>
        </w:rPr>
      </w:pPr>
      <w:r w:rsidRPr="00821ADF">
        <w:rPr>
          <w:lang w:val="sk-SK"/>
        </w:rPr>
        <w:t xml:space="preserve">Neexistuje žiadne špecifické </w:t>
      </w:r>
      <w:proofErr w:type="spellStart"/>
      <w:r w:rsidRPr="00821ADF">
        <w:rPr>
          <w:lang w:val="sk-SK"/>
        </w:rPr>
        <w:t>antidotum</w:t>
      </w:r>
      <w:proofErr w:type="spellEnd"/>
      <w:r w:rsidRPr="00821ADF">
        <w:rPr>
          <w:lang w:val="sk-SK"/>
        </w:rPr>
        <w:t>. V prípade predávkovania majú byť pacienti monitorovaní a má byť stanovená vhodná symptomatická a podporná terapia.</w:t>
      </w:r>
    </w:p>
    <w:p w:rsidR="0026280D" w:rsidRPr="00821ADF" w:rsidRDefault="0026280D" w:rsidP="0026280D">
      <w:pPr>
        <w:pStyle w:val="Styl1"/>
        <w:numPr>
          <w:ilvl w:val="0"/>
          <w:numId w:val="3"/>
        </w:numPr>
        <w:spacing w:before="480" w:after="120"/>
        <w:ind w:left="357" w:hanging="357"/>
        <w:rPr>
          <w:lang w:val="sk-SK"/>
        </w:rPr>
      </w:pPr>
      <w:r w:rsidRPr="00821ADF">
        <w:rPr>
          <w:lang w:val="sk-SK"/>
        </w:rPr>
        <w:t>FARMAKOLOGICKÉ VLASTNOSTI</w:t>
      </w:r>
    </w:p>
    <w:p w:rsidR="0026280D" w:rsidRPr="00821ADF" w:rsidRDefault="0026280D" w:rsidP="0026280D">
      <w:pPr>
        <w:pStyle w:val="Styl2"/>
        <w:numPr>
          <w:ilvl w:val="1"/>
          <w:numId w:val="3"/>
        </w:numPr>
        <w:spacing w:before="120" w:after="120"/>
        <w:ind w:left="357" w:hanging="357"/>
        <w:rPr>
          <w:lang w:val="sk-SK"/>
        </w:rPr>
      </w:pPr>
      <w:proofErr w:type="spellStart"/>
      <w:r w:rsidRPr="00821ADF">
        <w:rPr>
          <w:lang w:val="sk-SK"/>
        </w:rPr>
        <w:t>Farmakodynamické</w:t>
      </w:r>
      <w:proofErr w:type="spellEnd"/>
      <w:r w:rsidRPr="00821ADF">
        <w:rPr>
          <w:lang w:val="sk-SK"/>
        </w:rPr>
        <w:t xml:space="preserve"> vlastnosti</w:t>
      </w:r>
    </w:p>
    <w:p w:rsidR="0026280D" w:rsidRPr="00821ADF" w:rsidRDefault="0026280D" w:rsidP="0026280D">
      <w:pPr>
        <w:pStyle w:val="Normlndobloku"/>
        <w:rPr>
          <w:lang w:val="sk-SK"/>
        </w:rPr>
      </w:pPr>
      <w:proofErr w:type="spellStart"/>
      <w:r w:rsidRPr="00821ADF">
        <w:rPr>
          <w:lang w:val="sk-SK"/>
        </w:rPr>
        <w:t>Farmakoterapeutická</w:t>
      </w:r>
      <w:proofErr w:type="spellEnd"/>
      <w:r w:rsidRPr="00821ADF">
        <w:rPr>
          <w:lang w:val="sk-SK"/>
        </w:rPr>
        <w:t xml:space="preserve"> skupina: </w:t>
      </w:r>
      <w:proofErr w:type="spellStart"/>
      <w:r w:rsidRPr="00821ADF">
        <w:rPr>
          <w:lang w:val="sk-SK"/>
        </w:rPr>
        <w:t>Antiparkinsoniká</w:t>
      </w:r>
      <w:proofErr w:type="spellEnd"/>
      <w:r w:rsidRPr="00821ADF">
        <w:rPr>
          <w:lang w:val="sk-SK"/>
        </w:rPr>
        <w:t>, Inhibítor</w:t>
      </w:r>
      <w:r w:rsidR="00205B0C">
        <w:rPr>
          <w:lang w:val="sk-SK"/>
        </w:rPr>
        <w:t>y</w:t>
      </w:r>
      <w:r w:rsidRPr="00821ADF">
        <w:rPr>
          <w:lang w:val="sk-SK"/>
        </w:rPr>
        <w:t xml:space="preserve"> </w:t>
      </w:r>
      <w:proofErr w:type="spellStart"/>
      <w:r w:rsidRPr="00821ADF">
        <w:rPr>
          <w:lang w:val="sk-SK"/>
        </w:rPr>
        <w:t>mon</w:t>
      </w:r>
      <w:r w:rsidR="00B94D60">
        <w:rPr>
          <w:lang w:val="sk-SK"/>
        </w:rPr>
        <w:t>oaminooxidázy</w:t>
      </w:r>
      <w:proofErr w:type="spellEnd"/>
      <w:r w:rsidR="00B94D60">
        <w:rPr>
          <w:lang w:val="sk-SK"/>
        </w:rPr>
        <w:t xml:space="preserve"> typu B</w:t>
      </w:r>
    </w:p>
    <w:p w:rsidR="0026280D" w:rsidRPr="00821ADF" w:rsidRDefault="0026280D" w:rsidP="0026280D">
      <w:pPr>
        <w:pStyle w:val="Normlndobloku"/>
        <w:rPr>
          <w:lang w:val="sk-SK"/>
        </w:rPr>
      </w:pPr>
      <w:r w:rsidRPr="00821ADF">
        <w:rPr>
          <w:lang w:val="sk-SK"/>
        </w:rPr>
        <w:t>ATC kód N04BD02</w:t>
      </w:r>
    </w:p>
    <w:p w:rsidR="00C15776" w:rsidRDefault="004B3CF6" w:rsidP="0026280D">
      <w:pPr>
        <w:pStyle w:val="Normlndobloku"/>
        <w:rPr>
          <w:u w:val="single"/>
          <w:lang w:val="sk-SK"/>
        </w:rPr>
      </w:pPr>
      <w:r>
        <w:rPr>
          <w:u w:val="single"/>
          <w:lang w:val="sk-SK"/>
        </w:rPr>
        <w:t>Mechanizmus účinku</w:t>
      </w:r>
    </w:p>
    <w:p w:rsidR="00C15776" w:rsidRDefault="0026280D" w:rsidP="0026280D">
      <w:pPr>
        <w:pStyle w:val="Normlndobloku"/>
        <w:rPr>
          <w:lang w:val="sk-SK"/>
        </w:rPr>
      </w:pPr>
      <w:r w:rsidRPr="00821ADF">
        <w:rPr>
          <w:lang w:val="sk-SK"/>
        </w:rPr>
        <w:lastRenderedPageBreak/>
        <w:t xml:space="preserve">Dokázalo sa, že </w:t>
      </w:r>
      <w:proofErr w:type="spellStart"/>
      <w:r w:rsidR="00301BD2">
        <w:rPr>
          <w:lang w:val="sk-SK"/>
        </w:rPr>
        <w:t>razagilín</w:t>
      </w:r>
      <w:proofErr w:type="spellEnd"/>
      <w:r w:rsidRPr="00821ADF">
        <w:rPr>
          <w:lang w:val="sk-SK"/>
        </w:rPr>
        <w:t xml:space="preserve"> je účinný ireverzibilný selektívny inhibítor MAO-B, ktorý môže spôsobiť zvýšenie </w:t>
      </w:r>
      <w:proofErr w:type="spellStart"/>
      <w:r w:rsidRPr="00821ADF">
        <w:rPr>
          <w:lang w:val="sk-SK"/>
        </w:rPr>
        <w:t>extracelulárnych</w:t>
      </w:r>
      <w:proofErr w:type="spellEnd"/>
      <w:r w:rsidRPr="00821ADF">
        <w:rPr>
          <w:lang w:val="sk-SK"/>
        </w:rPr>
        <w:t xml:space="preserve"> hladín </w:t>
      </w:r>
      <w:proofErr w:type="spellStart"/>
      <w:r w:rsidRPr="00821ADF">
        <w:rPr>
          <w:lang w:val="sk-SK"/>
        </w:rPr>
        <w:t>dopamínu</w:t>
      </w:r>
      <w:proofErr w:type="spellEnd"/>
      <w:r w:rsidRPr="00821ADF">
        <w:rPr>
          <w:lang w:val="sk-SK"/>
        </w:rPr>
        <w:t xml:space="preserve"> v </w:t>
      </w:r>
      <w:proofErr w:type="spellStart"/>
      <w:r w:rsidRPr="00821ADF">
        <w:rPr>
          <w:lang w:val="sk-SK"/>
        </w:rPr>
        <w:t>stri</w:t>
      </w:r>
      <w:r w:rsidR="00743910">
        <w:rPr>
          <w:lang w:val="sk-SK"/>
        </w:rPr>
        <w:t>ate</w:t>
      </w:r>
      <w:proofErr w:type="spellEnd"/>
      <w:r w:rsidR="00743910">
        <w:rPr>
          <w:lang w:val="sk-SK"/>
        </w:rPr>
        <w:t xml:space="preserve">. Zvýšená hladina </w:t>
      </w:r>
      <w:proofErr w:type="spellStart"/>
      <w:r w:rsidR="00743910">
        <w:rPr>
          <w:lang w:val="sk-SK"/>
        </w:rPr>
        <w:t>dopamínu</w:t>
      </w:r>
      <w:proofErr w:type="spellEnd"/>
      <w:r w:rsidR="00743910">
        <w:rPr>
          <w:lang w:val="sk-SK"/>
        </w:rPr>
        <w:t xml:space="preserve"> a </w:t>
      </w:r>
      <w:r w:rsidRPr="00821ADF">
        <w:rPr>
          <w:lang w:val="sk-SK"/>
        </w:rPr>
        <w:t xml:space="preserve">následné zvýšenie </w:t>
      </w:r>
      <w:proofErr w:type="spellStart"/>
      <w:r w:rsidRPr="00821ADF">
        <w:rPr>
          <w:lang w:val="sk-SK"/>
        </w:rPr>
        <w:t>dopaminergnej</w:t>
      </w:r>
      <w:proofErr w:type="spellEnd"/>
      <w:r w:rsidRPr="00821ADF">
        <w:rPr>
          <w:lang w:val="sk-SK"/>
        </w:rPr>
        <w:t xml:space="preserve"> aktivity pravdepodobne sprostredkováva priaznivé účinky </w:t>
      </w:r>
      <w:proofErr w:type="spellStart"/>
      <w:r w:rsidR="00301BD2">
        <w:rPr>
          <w:lang w:val="sk-SK"/>
        </w:rPr>
        <w:t>razagilín</w:t>
      </w:r>
      <w:r w:rsidRPr="00821ADF">
        <w:rPr>
          <w:lang w:val="sk-SK"/>
        </w:rPr>
        <w:t>u</w:t>
      </w:r>
      <w:proofErr w:type="spellEnd"/>
      <w:r w:rsidRPr="00821ADF">
        <w:rPr>
          <w:lang w:val="sk-SK"/>
        </w:rPr>
        <w:t xml:space="preserve">, ako sa ukázalo na modeloch </w:t>
      </w:r>
      <w:proofErr w:type="spellStart"/>
      <w:r w:rsidRPr="00821ADF">
        <w:rPr>
          <w:lang w:val="sk-SK"/>
        </w:rPr>
        <w:t>dopaminergných</w:t>
      </w:r>
      <w:proofErr w:type="spellEnd"/>
      <w:r w:rsidRPr="00821ADF">
        <w:rPr>
          <w:lang w:val="sk-SK"/>
        </w:rPr>
        <w:t xml:space="preserve"> motorických dysfunkcií.</w:t>
      </w:r>
    </w:p>
    <w:p w:rsidR="00C15776" w:rsidRDefault="0026280D" w:rsidP="0026280D">
      <w:pPr>
        <w:pStyle w:val="Normlndobloku"/>
        <w:rPr>
          <w:lang w:val="sk-SK"/>
        </w:rPr>
      </w:pPr>
      <w:r w:rsidRPr="00821ADF">
        <w:rPr>
          <w:lang w:val="sk-SK"/>
        </w:rPr>
        <w:t xml:space="preserve">1-aminoindan je aktívny hlavný </w:t>
      </w:r>
      <w:proofErr w:type="spellStart"/>
      <w:r w:rsidRPr="00821ADF">
        <w:rPr>
          <w:lang w:val="sk-SK"/>
        </w:rPr>
        <w:t>metab</w:t>
      </w:r>
      <w:bookmarkStart w:id="0" w:name="_GoBack"/>
      <w:bookmarkEnd w:id="0"/>
      <w:r w:rsidRPr="00821ADF">
        <w:rPr>
          <w:lang w:val="sk-SK"/>
        </w:rPr>
        <w:t>olit</w:t>
      </w:r>
      <w:proofErr w:type="spellEnd"/>
      <w:r w:rsidRPr="00821ADF">
        <w:rPr>
          <w:lang w:val="sk-SK"/>
        </w:rPr>
        <w:t xml:space="preserve"> a nie je </w:t>
      </w:r>
      <w:proofErr w:type="spellStart"/>
      <w:r w:rsidRPr="00821ADF">
        <w:rPr>
          <w:lang w:val="sk-SK"/>
        </w:rPr>
        <w:t>inhíbitorom</w:t>
      </w:r>
      <w:proofErr w:type="spellEnd"/>
      <w:r w:rsidRPr="00821ADF">
        <w:rPr>
          <w:lang w:val="sk-SK"/>
        </w:rPr>
        <w:t xml:space="preserve"> MAO-B.</w:t>
      </w:r>
    </w:p>
    <w:p w:rsidR="00C15776" w:rsidRDefault="004B3CF6" w:rsidP="0026280D">
      <w:pPr>
        <w:pStyle w:val="Normlndobloku"/>
        <w:rPr>
          <w:u w:val="single"/>
          <w:lang w:val="sk-SK"/>
        </w:rPr>
      </w:pPr>
      <w:r>
        <w:rPr>
          <w:u w:val="single"/>
          <w:lang w:val="sk-SK"/>
        </w:rPr>
        <w:t>Klinické štúdie</w:t>
      </w:r>
    </w:p>
    <w:p w:rsidR="00C15776" w:rsidRDefault="0026280D" w:rsidP="0026280D">
      <w:pPr>
        <w:pStyle w:val="Normlndobloku"/>
        <w:rPr>
          <w:lang w:val="sk-SK"/>
        </w:rPr>
      </w:pPr>
      <w:r w:rsidRPr="00821ADF">
        <w:rPr>
          <w:lang w:val="sk-SK"/>
        </w:rPr>
        <w:t xml:space="preserve">Účinnosť </w:t>
      </w:r>
      <w:proofErr w:type="spellStart"/>
      <w:r w:rsidR="00301BD2">
        <w:rPr>
          <w:lang w:val="sk-SK"/>
        </w:rPr>
        <w:t>razagilín</w:t>
      </w:r>
      <w:r w:rsidRPr="00821ADF">
        <w:rPr>
          <w:lang w:val="sk-SK"/>
        </w:rPr>
        <w:t>u</w:t>
      </w:r>
      <w:proofErr w:type="spellEnd"/>
      <w:r w:rsidRPr="00821ADF">
        <w:rPr>
          <w:lang w:val="sk-SK"/>
        </w:rPr>
        <w:t xml:space="preserve"> bola stanovená v troch štúdiách: ako </w:t>
      </w:r>
      <w:proofErr w:type="spellStart"/>
      <w:r w:rsidRPr="00821ADF">
        <w:rPr>
          <w:lang w:val="sk-SK"/>
        </w:rPr>
        <w:t>monoterapeutická</w:t>
      </w:r>
      <w:proofErr w:type="spellEnd"/>
      <w:r w:rsidRPr="00821ADF">
        <w:rPr>
          <w:lang w:val="sk-SK"/>
        </w:rPr>
        <w:t xml:space="preserve"> liečba v štúdii </w:t>
      </w:r>
      <w:proofErr w:type="spellStart"/>
      <w:r w:rsidRPr="00821ADF">
        <w:rPr>
          <w:lang w:val="sk-SK"/>
        </w:rPr>
        <w:t>Ia</w:t>
      </w:r>
      <w:proofErr w:type="spellEnd"/>
      <w:r w:rsidRPr="00821ADF">
        <w:rPr>
          <w:lang w:val="sk-SK"/>
        </w:rPr>
        <w:t xml:space="preserve"> ako </w:t>
      </w:r>
      <w:proofErr w:type="spellStart"/>
      <w:r w:rsidRPr="00821ADF">
        <w:rPr>
          <w:lang w:val="sk-SK"/>
        </w:rPr>
        <w:t>adjuvantná</w:t>
      </w:r>
      <w:proofErr w:type="spellEnd"/>
      <w:r w:rsidRPr="00821ADF">
        <w:rPr>
          <w:lang w:val="sk-SK"/>
        </w:rPr>
        <w:t xml:space="preserve"> terapia k </w:t>
      </w:r>
      <w:proofErr w:type="spellStart"/>
      <w:r w:rsidRPr="00821ADF">
        <w:rPr>
          <w:lang w:val="sk-SK"/>
        </w:rPr>
        <w:t>levodope</w:t>
      </w:r>
      <w:proofErr w:type="spellEnd"/>
      <w:r w:rsidRPr="00821ADF">
        <w:rPr>
          <w:lang w:val="sk-SK"/>
        </w:rPr>
        <w:t xml:space="preserve"> v štúdiách II a III.</w:t>
      </w:r>
    </w:p>
    <w:p w:rsidR="00C15776" w:rsidRDefault="004B3CF6" w:rsidP="0026280D">
      <w:pPr>
        <w:pStyle w:val="Normlndobloku"/>
        <w:rPr>
          <w:u w:val="single"/>
          <w:lang w:val="sk-SK"/>
        </w:rPr>
      </w:pPr>
      <w:proofErr w:type="spellStart"/>
      <w:r>
        <w:rPr>
          <w:u w:val="single"/>
          <w:lang w:val="sk-SK"/>
        </w:rPr>
        <w:t>Monoterapia</w:t>
      </w:r>
      <w:proofErr w:type="spellEnd"/>
    </w:p>
    <w:p w:rsidR="00C15776" w:rsidRDefault="0026280D" w:rsidP="0026280D">
      <w:pPr>
        <w:pStyle w:val="Normlndobloku"/>
        <w:rPr>
          <w:lang w:val="sk-SK"/>
        </w:rPr>
      </w:pPr>
      <w:r w:rsidRPr="00821ADF">
        <w:rPr>
          <w:lang w:val="sk-SK"/>
        </w:rPr>
        <w:t xml:space="preserve">V </w:t>
      </w:r>
      <w:proofErr w:type="spellStart"/>
      <w:r w:rsidRPr="00821ADF">
        <w:rPr>
          <w:lang w:val="sk-SK"/>
        </w:rPr>
        <w:t>randomizovanej</w:t>
      </w:r>
      <w:proofErr w:type="spellEnd"/>
      <w:r w:rsidRPr="00821ADF">
        <w:rPr>
          <w:lang w:val="sk-SK"/>
        </w:rPr>
        <w:t xml:space="preserve"> štúdii I bolo 404 pacientom podané </w:t>
      </w:r>
      <w:proofErr w:type="spellStart"/>
      <w:r w:rsidRPr="00821ADF">
        <w:rPr>
          <w:lang w:val="sk-SK"/>
        </w:rPr>
        <w:t>placebo</w:t>
      </w:r>
      <w:proofErr w:type="spellEnd"/>
      <w:r w:rsidRPr="00821ADF">
        <w:rPr>
          <w:lang w:val="sk-SK"/>
        </w:rPr>
        <w:t xml:space="preserve"> (138 pacientov), 1 mg </w:t>
      </w:r>
      <w:proofErr w:type="spellStart"/>
      <w:r w:rsidR="00301BD2">
        <w:rPr>
          <w:lang w:val="sk-SK"/>
        </w:rPr>
        <w:t>razagilín</w:t>
      </w:r>
      <w:r w:rsidRPr="00821ADF">
        <w:rPr>
          <w:lang w:val="sk-SK"/>
        </w:rPr>
        <w:t>u</w:t>
      </w:r>
      <w:proofErr w:type="spellEnd"/>
      <w:r w:rsidRPr="00821ADF">
        <w:rPr>
          <w:lang w:val="sk-SK"/>
        </w:rPr>
        <w:t xml:space="preserve"> denne (134 pacientov) alebo 2 mg </w:t>
      </w:r>
      <w:proofErr w:type="spellStart"/>
      <w:r w:rsidR="00301BD2">
        <w:rPr>
          <w:lang w:val="sk-SK"/>
        </w:rPr>
        <w:t>razagilín</w:t>
      </w:r>
      <w:r w:rsidRPr="00821ADF">
        <w:rPr>
          <w:lang w:val="sk-SK"/>
        </w:rPr>
        <w:t>u</w:t>
      </w:r>
      <w:proofErr w:type="spellEnd"/>
      <w:r w:rsidRPr="00821ADF">
        <w:rPr>
          <w:lang w:val="sk-SK"/>
        </w:rPr>
        <w:t xml:space="preserve"> denne (132 pac</w:t>
      </w:r>
      <w:r w:rsidR="00743910">
        <w:rPr>
          <w:lang w:val="sk-SK"/>
        </w:rPr>
        <w:t>ientov) a boli liečení počas 26 </w:t>
      </w:r>
      <w:r w:rsidRPr="00821ADF">
        <w:rPr>
          <w:lang w:val="sk-SK"/>
        </w:rPr>
        <w:t xml:space="preserve">týždňov, bez aktívneho </w:t>
      </w:r>
      <w:proofErr w:type="spellStart"/>
      <w:r w:rsidRPr="00821ADF">
        <w:rPr>
          <w:lang w:val="sk-SK"/>
        </w:rPr>
        <w:t>komparátora</w:t>
      </w:r>
      <w:proofErr w:type="spellEnd"/>
      <w:r w:rsidRPr="00821ADF">
        <w:rPr>
          <w:lang w:val="sk-SK"/>
        </w:rPr>
        <w:t xml:space="preserve">. V tejto štúdii bola hlavným kritériom účinnosti zmena oproti východiskovým hodnotám v celkovom skóre Unifikovanej hodnotiacej škály </w:t>
      </w:r>
      <w:proofErr w:type="spellStart"/>
      <w:r w:rsidRPr="00821ADF">
        <w:rPr>
          <w:lang w:val="sk-SK"/>
        </w:rPr>
        <w:t>Parkinsonovej</w:t>
      </w:r>
      <w:proofErr w:type="spellEnd"/>
      <w:r w:rsidRPr="00821ADF">
        <w:rPr>
          <w:lang w:val="sk-SK"/>
        </w:rPr>
        <w:t xml:space="preserve"> choroby (</w:t>
      </w:r>
      <w:proofErr w:type="spellStart"/>
      <w:r w:rsidRPr="00821ADF">
        <w:rPr>
          <w:lang w:val="sk-SK"/>
        </w:rPr>
        <w:t>Unified</w:t>
      </w:r>
      <w:proofErr w:type="spellEnd"/>
      <w:r w:rsidRPr="00821ADF">
        <w:rPr>
          <w:lang w:val="sk-SK"/>
        </w:rPr>
        <w:t xml:space="preserve"> </w:t>
      </w:r>
      <w:proofErr w:type="spellStart"/>
      <w:r w:rsidRPr="00821ADF">
        <w:rPr>
          <w:lang w:val="sk-SK"/>
        </w:rPr>
        <w:t>Parkinson’s</w:t>
      </w:r>
      <w:proofErr w:type="spellEnd"/>
      <w:r w:rsidR="00B94D60">
        <w:rPr>
          <w:lang w:val="sk-SK"/>
        </w:rPr>
        <w:t> </w:t>
      </w:r>
      <w:proofErr w:type="spellStart"/>
      <w:r w:rsidRPr="00821ADF">
        <w:rPr>
          <w:lang w:val="sk-SK"/>
        </w:rPr>
        <w:t>Disease</w:t>
      </w:r>
      <w:proofErr w:type="spellEnd"/>
      <w:r w:rsidRPr="00821ADF">
        <w:rPr>
          <w:lang w:val="sk-SK"/>
        </w:rPr>
        <w:t xml:space="preserve"> Rating </w:t>
      </w:r>
      <w:proofErr w:type="spellStart"/>
      <w:r w:rsidRPr="00821ADF">
        <w:rPr>
          <w:lang w:val="sk-SK"/>
        </w:rPr>
        <w:t>Scale</w:t>
      </w:r>
      <w:proofErr w:type="spellEnd"/>
      <w:r w:rsidRPr="00821ADF">
        <w:rPr>
          <w:lang w:val="sk-SK"/>
        </w:rPr>
        <w:t xml:space="preserve">, UPDRS, časti I-III). Rozdiel medzi priemernou zmenou medzi začiatkom a koncom terapie, t.j. 26 týždňom (metódou LOCF, </w:t>
      </w:r>
      <w:proofErr w:type="spellStart"/>
      <w:r w:rsidRPr="00821ADF">
        <w:rPr>
          <w:lang w:val="sk-SK"/>
        </w:rPr>
        <w:t>Last</w:t>
      </w:r>
      <w:proofErr w:type="spellEnd"/>
      <w:r w:rsidRPr="00821ADF">
        <w:rPr>
          <w:lang w:val="sk-SK"/>
        </w:rPr>
        <w:t xml:space="preserve"> </w:t>
      </w:r>
      <w:proofErr w:type="spellStart"/>
      <w:r w:rsidRPr="00821ADF">
        <w:rPr>
          <w:lang w:val="sk-SK"/>
        </w:rPr>
        <w:t>Observation</w:t>
      </w:r>
      <w:proofErr w:type="spellEnd"/>
      <w:r w:rsidRPr="00821ADF">
        <w:rPr>
          <w:lang w:val="sk-SK"/>
        </w:rPr>
        <w:t xml:space="preserve"> </w:t>
      </w:r>
      <w:proofErr w:type="spellStart"/>
      <w:r w:rsidRPr="00821ADF">
        <w:rPr>
          <w:lang w:val="sk-SK"/>
        </w:rPr>
        <w:t>Carried</w:t>
      </w:r>
      <w:proofErr w:type="spellEnd"/>
      <w:r w:rsidRPr="00821ADF">
        <w:rPr>
          <w:lang w:val="sk-SK"/>
        </w:rPr>
        <w:t xml:space="preserve"> </w:t>
      </w:r>
      <w:proofErr w:type="spellStart"/>
      <w:r w:rsidRPr="00821ADF">
        <w:rPr>
          <w:lang w:val="sk-SK"/>
        </w:rPr>
        <w:t>Forward</w:t>
      </w:r>
      <w:proofErr w:type="spellEnd"/>
      <w:r w:rsidRPr="00821ADF">
        <w:rPr>
          <w:lang w:val="sk-SK"/>
        </w:rPr>
        <w:t xml:space="preserve">) bol štatisticky významný (UDPRS, časti I-III: pre </w:t>
      </w:r>
      <w:proofErr w:type="spellStart"/>
      <w:r w:rsidR="00301BD2">
        <w:rPr>
          <w:lang w:val="sk-SK"/>
        </w:rPr>
        <w:t>razagilín</w:t>
      </w:r>
      <w:proofErr w:type="spellEnd"/>
      <w:r w:rsidR="00743910">
        <w:rPr>
          <w:lang w:val="sk-SK"/>
        </w:rPr>
        <w:t xml:space="preserve"> 1 </w:t>
      </w:r>
      <w:r w:rsidRPr="00821ADF">
        <w:rPr>
          <w:lang w:val="sk-SK"/>
        </w:rPr>
        <w:t xml:space="preserve">mg v porovnaní s </w:t>
      </w:r>
      <w:proofErr w:type="spellStart"/>
      <w:r w:rsidRPr="00821ADF">
        <w:rPr>
          <w:lang w:val="sk-SK"/>
        </w:rPr>
        <w:t>placebom</w:t>
      </w:r>
      <w:proofErr w:type="spellEnd"/>
      <w:r w:rsidRPr="00821ADF">
        <w:rPr>
          <w:lang w:val="sk-SK"/>
        </w:rPr>
        <w:t xml:space="preserve"> -4,2; 95 % </w:t>
      </w:r>
      <w:r w:rsidR="0017719F">
        <w:rPr>
          <w:lang w:val="sk-SK"/>
        </w:rPr>
        <w:t>CI</w:t>
      </w:r>
      <w:r w:rsidR="00205B0C" w:rsidRPr="00821ADF">
        <w:rPr>
          <w:lang w:val="sk-SK"/>
        </w:rPr>
        <w:t xml:space="preserve"> </w:t>
      </w:r>
      <w:r w:rsidRPr="00821ADF">
        <w:rPr>
          <w:lang w:val="sk-SK"/>
        </w:rPr>
        <w:t xml:space="preserve">[-5,7; -2,7], p&lt;0,0001; pre </w:t>
      </w:r>
      <w:proofErr w:type="spellStart"/>
      <w:r w:rsidR="00301BD2">
        <w:rPr>
          <w:lang w:val="sk-SK"/>
        </w:rPr>
        <w:t>razagilín</w:t>
      </w:r>
      <w:proofErr w:type="spellEnd"/>
      <w:r w:rsidRPr="00821ADF">
        <w:rPr>
          <w:lang w:val="sk-SK"/>
        </w:rPr>
        <w:t xml:space="preserve"> 2 mg v</w:t>
      </w:r>
      <w:r w:rsidR="003F00EC">
        <w:rPr>
          <w:lang w:val="sk-SK"/>
        </w:rPr>
        <w:t> </w:t>
      </w:r>
      <w:r w:rsidRPr="00821ADF">
        <w:rPr>
          <w:lang w:val="sk-SK"/>
        </w:rPr>
        <w:t xml:space="preserve">porovnaní s </w:t>
      </w:r>
      <w:proofErr w:type="spellStart"/>
      <w:r w:rsidRPr="00821ADF">
        <w:rPr>
          <w:lang w:val="sk-SK"/>
        </w:rPr>
        <w:t>placebom</w:t>
      </w:r>
      <w:proofErr w:type="spellEnd"/>
      <w:r w:rsidRPr="00821ADF">
        <w:rPr>
          <w:lang w:val="sk-SK"/>
        </w:rPr>
        <w:t xml:space="preserve"> -3,6; 95 % CI [-5,0; -2,1], p&lt;0,0001; UDPRS Motor, časť II: pre </w:t>
      </w:r>
      <w:proofErr w:type="spellStart"/>
      <w:r w:rsidR="00301BD2">
        <w:rPr>
          <w:lang w:val="sk-SK"/>
        </w:rPr>
        <w:t>razagilín</w:t>
      </w:r>
      <w:proofErr w:type="spellEnd"/>
      <w:r w:rsidRPr="00821ADF">
        <w:rPr>
          <w:lang w:val="sk-SK"/>
        </w:rPr>
        <w:t xml:space="preserve"> 1 mg v porovnaní s </w:t>
      </w:r>
      <w:proofErr w:type="spellStart"/>
      <w:r w:rsidRPr="00821ADF">
        <w:rPr>
          <w:lang w:val="sk-SK"/>
        </w:rPr>
        <w:t>placebom</w:t>
      </w:r>
      <w:proofErr w:type="spellEnd"/>
      <w:r w:rsidRPr="00821ADF">
        <w:rPr>
          <w:lang w:val="sk-SK"/>
        </w:rPr>
        <w:t xml:space="preserve"> –2,7; 95 % CI [-3,87; -1,55], p&lt;0,0001; pre </w:t>
      </w:r>
      <w:proofErr w:type="spellStart"/>
      <w:r w:rsidR="00301BD2">
        <w:rPr>
          <w:lang w:val="sk-SK"/>
        </w:rPr>
        <w:t>razagilín</w:t>
      </w:r>
      <w:proofErr w:type="spellEnd"/>
      <w:r w:rsidRPr="00821ADF">
        <w:rPr>
          <w:lang w:val="sk-SK"/>
        </w:rPr>
        <w:t xml:space="preserve"> 2 mg v porovnaní s </w:t>
      </w:r>
      <w:proofErr w:type="spellStart"/>
      <w:r w:rsidRPr="00821ADF">
        <w:rPr>
          <w:lang w:val="sk-SK"/>
        </w:rPr>
        <w:t>placebom</w:t>
      </w:r>
      <w:proofErr w:type="spellEnd"/>
      <w:r w:rsidRPr="00821ADF">
        <w:rPr>
          <w:lang w:val="sk-SK"/>
        </w:rPr>
        <w:t xml:space="preserve"> –1,68; 95 % CI [-2,85; -0,51], p=0,0050). Účinok bol zrejmý, aj keď jeho rozsah bol mierny v tejto populácii pacientov s miernym ochorením. Pri hodnotení škálou PD</w:t>
      </w:r>
      <w:r w:rsidRPr="00821ADF">
        <w:rPr>
          <w:lang w:val="sk-SK"/>
        </w:rPr>
        <w:softHyphen/>
        <w:t xml:space="preserve">QUALIF bol účinok na kvalitu života </w:t>
      </w:r>
      <w:proofErr w:type="spellStart"/>
      <w:r w:rsidRPr="00821ADF">
        <w:rPr>
          <w:lang w:val="sk-SK"/>
        </w:rPr>
        <w:t>signifikantný</w:t>
      </w:r>
      <w:proofErr w:type="spellEnd"/>
      <w:r w:rsidRPr="00821ADF">
        <w:rPr>
          <w:lang w:val="sk-SK"/>
        </w:rPr>
        <w:t xml:space="preserve"> a prínosný.</w:t>
      </w:r>
    </w:p>
    <w:p w:rsidR="00C15776" w:rsidRDefault="004B3CF6" w:rsidP="0026280D">
      <w:pPr>
        <w:pStyle w:val="Normlndobloku"/>
        <w:rPr>
          <w:u w:val="single"/>
          <w:lang w:val="sk-SK"/>
        </w:rPr>
      </w:pPr>
      <w:proofErr w:type="spellStart"/>
      <w:r>
        <w:rPr>
          <w:u w:val="single"/>
          <w:lang w:val="sk-SK"/>
        </w:rPr>
        <w:t>Adjuvantná</w:t>
      </w:r>
      <w:proofErr w:type="spellEnd"/>
      <w:r>
        <w:rPr>
          <w:u w:val="single"/>
          <w:lang w:val="sk-SK"/>
        </w:rPr>
        <w:t xml:space="preserve"> terapia</w:t>
      </w:r>
    </w:p>
    <w:p w:rsidR="0026280D" w:rsidRPr="00821ADF" w:rsidRDefault="0026280D" w:rsidP="0026280D">
      <w:pPr>
        <w:pStyle w:val="Normlndobloku"/>
        <w:rPr>
          <w:lang w:val="sk-SK"/>
        </w:rPr>
      </w:pPr>
      <w:r w:rsidRPr="00821ADF">
        <w:rPr>
          <w:lang w:val="sk-SK"/>
        </w:rPr>
        <w:t xml:space="preserve">V </w:t>
      </w:r>
      <w:proofErr w:type="spellStart"/>
      <w:r w:rsidRPr="00821ADF">
        <w:rPr>
          <w:lang w:val="sk-SK"/>
        </w:rPr>
        <w:t>randomizovanej</w:t>
      </w:r>
      <w:proofErr w:type="spellEnd"/>
      <w:r w:rsidRPr="00821ADF">
        <w:rPr>
          <w:lang w:val="sk-SK"/>
        </w:rPr>
        <w:t xml:space="preserve"> štúdii II, bolo pacientom podané </w:t>
      </w:r>
      <w:proofErr w:type="spellStart"/>
      <w:r w:rsidRPr="00821ADF">
        <w:rPr>
          <w:lang w:val="sk-SK"/>
        </w:rPr>
        <w:t>placebo</w:t>
      </w:r>
      <w:proofErr w:type="spellEnd"/>
      <w:r w:rsidRPr="00821ADF">
        <w:rPr>
          <w:lang w:val="sk-SK"/>
        </w:rPr>
        <w:t xml:space="preserve"> (229 pacientov), alebo 1 mg </w:t>
      </w:r>
      <w:proofErr w:type="spellStart"/>
      <w:r w:rsidR="00301BD2">
        <w:rPr>
          <w:lang w:val="sk-SK"/>
        </w:rPr>
        <w:t>razagilín</w:t>
      </w:r>
      <w:r w:rsidRPr="00821ADF">
        <w:rPr>
          <w:lang w:val="sk-SK"/>
        </w:rPr>
        <w:t>u</w:t>
      </w:r>
      <w:proofErr w:type="spellEnd"/>
      <w:r w:rsidRPr="00821ADF">
        <w:rPr>
          <w:lang w:val="sk-SK"/>
        </w:rPr>
        <w:t xml:space="preserve"> denne (231 pacientov) alebo inhibítor </w:t>
      </w:r>
      <w:proofErr w:type="spellStart"/>
      <w:r w:rsidRPr="00821ADF">
        <w:rPr>
          <w:lang w:val="sk-SK"/>
        </w:rPr>
        <w:t>katechol-O-metyltransferázy</w:t>
      </w:r>
      <w:proofErr w:type="spellEnd"/>
      <w:r w:rsidRPr="00821ADF">
        <w:rPr>
          <w:lang w:val="sk-SK"/>
        </w:rPr>
        <w:t xml:space="preserve"> (COMT), </w:t>
      </w:r>
      <w:proofErr w:type="spellStart"/>
      <w:r w:rsidRPr="00821ADF">
        <w:rPr>
          <w:lang w:val="sk-SK"/>
        </w:rPr>
        <w:t>entakapón</w:t>
      </w:r>
      <w:proofErr w:type="spellEnd"/>
      <w:r w:rsidRPr="00821ADF">
        <w:rPr>
          <w:lang w:val="sk-SK"/>
        </w:rPr>
        <w:t xml:space="preserve"> 200 mg spolu so stanovenými dávkami </w:t>
      </w:r>
      <w:proofErr w:type="spellStart"/>
      <w:r w:rsidRPr="00821ADF">
        <w:rPr>
          <w:lang w:val="sk-SK"/>
        </w:rPr>
        <w:t>levodopy</w:t>
      </w:r>
      <w:proofErr w:type="spellEnd"/>
      <w:r w:rsidRPr="00821ADF">
        <w:rPr>
          <w:lang w:val="sk-SK"/>
        </w:rPr>
        <w:t xml:space="preserve"> (LD)/ inhibítora </w:t>
      </w:r>
      <w:proofErr w:type="spellStart"/>
      <w:r w:rsidRPr="00821ADF">
        <w:rPr>
          <w:lang w:val="sk-SK"/>
        </w:rPr>
        <w:t>dekarboxylázy</w:t>
      </w:r>
      <w:proofErr w:type="spellEnd"/>
      <w:r w:rsidRPr="00821ADF">
        <w:rPr>
          <w:lang w:val="sk-SK"/>
        </w:rPr>
        <w:t xml:space="preserve"> (227 pacientov) a boli liečení počas 18</w:t>
      </w:r>
      <w:r w:rsidR="00B94D60">
        <w:rPr>
          <w:lang w:val="sk-SK"/>
        </w:rPr>
        <w:t> </w:t>
      </w:r>
      <w:r w:rsidRPr="00821ADF">
        <w:rPr>
          <w:lang w:val="sk-SK"/>
        </w:rPr>
        <w:t xml:space="preserve">týždňov. V </w:t>
      </w:r>
      <w:proofErr w:type="spellStart"/>
      <w:r w:rsidRPr="00821ADF">
        <w:rPr>
          <w:lang w:val="sk-SK"/>
        </w:rPr>
        <w:t>randomizovanej</w:t>
      </w:r>
      <w:proofErr w:type="spellEnd"/>
      <w:r w:rsidRPr="00821ADF">
        <w:rPr>
          <w:lang w:val="sk-SK"/>
        </w:rPr>
        <w:t xml:space="preserve"> štúdii III bolo pacientom podané </w:t>
      </w:r>
      <w:proofErr w:type="spellStart"/>
      <w:r w:rsidRPr="00821ADF">
        <w:rPr>
          <w:lang w:val="sk-SK"/>
        </w:rPr>
        <w:t>placebo</w:t>
      </w:r>
      <w:proofErr w:type="spellEnd"/>
      <w:r w:rsidRPr="00821ADF">
        <w:rPr>
          <w:lang w:val="sk-SK"/>
        </w:rPr>
        <w:t xml:space="preserve"> (159 pacientov), 0,5 mg </w:t>
      </w:r>
      <w:proofErr w:type="spellStart"/>
      <w:r w:rsidR="00301BD2">
        <w:rPr>
          <w:lang w:val="sk-SK"/>
        </w:rPr>
        <w:t>razagilín</w:t>
      </w:r>
      <w:r w:rsidRPr="00821ADF">
        <w:rPr>
          <w:lang w:val="sk-SK"/>
        </w:rPr>
        <w:t>u</w:t>
      </w:r>
      <w:proofErr w:type="spellEnd"/>
      <w:r w:rsidRPr="00821ADF">
        <w:rPr>
          <w:lang w:val="sk-SK"/>
        </w:rPr>
        <w:t xml:space="preserve"> denne (164 pacientov) alebo 1 mg </w:t>
      </w:r>
      <w:proofErr w:type="spellStart"/>
      <w:r w:rsidR="00301BD2">
        <w:rPr>
          <w:lang w:val="sk-SK"/>
        </w:rPr>
        <w:t>razagilín</w:t>
      </w:r>
      <w:r w:rsidRPr="00821ADF">
        <w:rPr>
          <w:lang w:val="sk-SK"/>
        </w:rPr>
        <w:t>u</w:t>
      </w:r>
      <w:proofErr w:type="spellEnd"/>
      <w:r w:rsidRPr="00821ADF">
        <w:rPr>
          <w:lang w:val="sk-SK"/>
        </w:rPr>
        <w:t xml:space="preserve"> denne (149 pacientov) a boli liečení počas 26 týždňov. V oboch štúdiách bola hlavným kritériom účinnosti zmena priemerného počtu hodín strávených v „OFF“ stave v priebehu dňa medzi začiatkom a ukončením terapie (stanovená z domácich „24-</w:t>
      </w:r>
      <w:r w:rsidR="00743910">
        <w:rPr>
          <w:lang w:val="sk-SK"/>
        </w:rPr>
        <w:t>hodinových“ denníkov vedených 3 </w:t>
      </w:r>
      <w:r w:rsidRPr="00821ADF">
        <w:rPr>
          <w:lang w:val="sk-SK"/>
        </w:rPr>
        <w:t>dni pred každou návštevou lekára). V štúdii II, priemerný roz</w:t>
      </w:r>
      <w:r w:rsidR="00743910">
        <w:rPr>
          <w:lang w:val="sk-SK"/>
        </w:rPr>
        <w:t>diel v počte hodín času „OFF“ v </w:t>
      </w:r>
      <w:r w:rsidRPr="00821ADF">
        <w:rPr>
          <w:lang w:val="sk-SK"/>
        </w:rPr>
        <w:t xml:space="preserve">porovnaní s </w:t>
      </w:r>
      <w:proofErr w:type="spellStart"/>
      <w:r w:rsidRPr="00821ADF">
        <w:rPr>
          <w:lang w:val="sk-SK"/>
        </w:rPr>
        <w:t>placebom</w:t>
      </w:r>
      <w:proofErr w:type="spellEnd"/>
      <w:r w:rsidRPr="00821ADF">
        <w:rPr>
          <w:lang w:val="sk-SK"/>
        </w:rPr>
        <w:t xml:space="preserve"> bol -0,78 h, 95 % CI [-1,18; -0,39], p=0,0001. Celkový priemerný denný pokles času „OFF“ bol podobný v skupine, ktorej bol podávaný </w:t>
      </w:r>
      <w:proofErr w:type="spellStart"/>
      <w:r w:rsidRPr="00821ADF">
        <w:rPr>
          <w:lang w:val="sk-SK"/>
        </w:rPr>
        <w:t>entakapón</w:t>
      </w:r>
      <w:proofErr w:type="spellEnd"/>
      <w:r w:rsidRPr="00821ADF">
        <w:rPr>
          <w:lang w:val="sk-SK"/>
        </w:rPr>
        <w:t xml:space="preserve"> (-0,80 h, 95 % CI</w:t>
      </w:r>
      <w:r w:rsidR="00743910">
        <w:rPr>
          <w:lang w:val="sk-SK"/>
        </w:rPr>
        <w:t xml:space="preserve"> [</w:t>
      </w:r>
      <w:r w:rsidR="00743910">
        <w:rPr>
          <w:lang w:val="sk-SK"/>
        </w:rPr>
        <w:noBreakHyphen/>
      </w:r>
      <w:r w:rsidRPr="00821ADF">
        <w:rPr>
          <w:lang w:val="sk-SK"/>
        </w:rPr>
        <w:t xml:space="preserve">1,20; -0,41], p&lt;0,0001) a v skupine, ktorej bol podávaný </w:t>
      </w:r>
      <w:proofErr w:type="spellStart"/>
      <w:r w:rsidR="00301BD2">
        <w:rPr>
          <w:lang w:val="sk-SK"/>
        </w:rPr>
        <w:t>razagilín</w:t>
      </w:r>
      <w:proofErr w:type="spellEnd"/>
      <w:r w:rsidRPr="00821ADF">
        <w:rPr>
          <w:lang w:val="sk-SK"/>
        </w:rPr>
        <w:t xml:space="preserve"> v dávke 1 mg.</w:t>
      </w:r>
    </w:p>
    <w:p w:rsidR="00C15776" w:rsidRDefault="0026280D" w:rsidP="0026280D">
      <w:pPr>
        <w:pStyle w:val="Normlndobloku"/>
        <w:rPr>
          <w:lang w:val="sk-SK"/>
        </w:rPr>
      </w:pPr>
      <w:r w:rsidRPr="00821ADF">
        <w:rPr>
          <w:lang w:val="sk-SK"/>
        </w:rPr>
        <w:t xml:space="preserve">V štúdii III, priemerný rozdiel v porovnaní s </w:t>
      </w:r>
      <w:proofErr w:type="spellStart"/>
      <w:r w:rsidRPr="00821ADF">
        <w:rPr>
          <w:lang w:val="sk-SK"/>
        </w:rPr>
        <w:t>placebom</w:t>
      </w:r>
      <w:proofErr w:type="spellEnd"/>
      <w:r w:rsidRPr="00821ADF">
        <w:rPr>
          <w:lang w:val="sk-SK"/>
        </w:rPr>
        <w:t xml:space="preserve"> bol -0,94 h, 95 % </w:t>
      </w:r>
      <w:r w:rsidR="0017719F">
        <w:rPr>
          <w:lang w:val="sk-SK"/>
        </w:rPr>
        <w:t>CI</w:t>
      </w:r>
      <w:r w:rsidR="007F5F0D" w:rsidRPr="00821ADF">
        <w:rPr>
          <w:lang w:val="sk-SK"/>
        </w:rPr>
        <w:t xml:space="preserve"> </w:t>
      </w:r>
      <w:r w:rsidRPr="00821ADF">
        <w:rPr>
          <w:lang w:val="sk-SK"/>
        </w:rPr>
        <w:t xml:space="preserve">[-1,36; -0,51], p&lt;0,0001. Štatisticky významné zlepšenie v porovnaní s </w:t>
      </w:r>
      <w:proofErr w:type="spellStart"/>
      <w:r w:rsidRPr="00821ADF">
        <w:rPr>
          <w:lang w:val="sk-SK"/>
        </w:rPr>
        <w:t>placebom</w:t>
      </w:r>
      <w:proofErr w:type="spellEnd"/>
      <w:r w:rsidRPr="00821ADF">
        <w:rPr>
          <w:lang w:val="sk-SK"/>
        </w:rPr>
        <w:t xml:space="preserve"> sa preukázalo aj</w:t>
      </w:r>
      <w:r w:rsidR="00743910">
        <w:rPr>
          <w:lang w:val="sk-SK"/>
        </w:rPr>
        <w:t xml:space="preserve"> v skupine s </w:t>
      </w:r>
      <w:r w:rsidRPr="00821ADF">
        <w:rPr>
          <w:lang w:val="sk-SK"/>
        </w:rPr>
        <w:t xml:space="preserve">dávkou 0,5 mg </w:t>
      </w:r>
      <w:proofErr w:type="spellStart"/>
      <w:r w:rsidR="00301BD2">
        <w:rPr>
          <w:lang w:val="sk-SK"/>
        </w:rPr>
        <w:t>razagilín</w:t>
      </w:r>
      <w:r w:rsidRPr="00821ADF">
        <w:rPr>
          <w:lang w:val="sk-SK"/>
        </w:rPr>
        <w:t>u</w:t>
      </w:r>
      <w:proofErr w:type="spellEnd"/>
      <w:r w:rsidRPr="00821ADF">
        <w:rPr>
          <w:lang w:val="sk-SK"/>
        </w:rPr>
        <w:t xml:space="preserve">, hoci rozsah zlepšenia bol menší. Význam týchto výsledkov pre dosiahnutie primárneho konečného </w:t>
      </w:r>
      <w:r w:rsidR="00B94D60" w:rsidRPr="00821ADF">
        <w:rPr>
          <w:lang w:val="sk-SK"/>
        </w:rPr>
        <w:t>ukazovateľa účinnosti</w:t>
      </w:r>
      <w:r w:rsidRPr="00821ADF">
        <w:rPr>
          <w:lang w:val="sk-SK"/>
        </w:rPr>
        <w:t xml:space="preserve"> bol potvrdený skupinou dodatočných štatistických modelov a bol dokázaný v troch skupinových analýzach (</w:t>
      </w:r>
      <w:proofErr w:type="spellStart"/>
      <w:r w:rsidRPr="00821ADF">
        <w:rPr>
          <w:lang w:val="sk-SK"/>
        </w:rPr>
        <w:t>Intention-to-treat</w:t>
      </w:r>
      <w:proofErr w:type="spellEnd"/>
      <w:r w:rsidRPr="00821ADF">
        <w:rPr>
          <w:lang w:val="sk-SK"/>
        </w:rPr>
        <w:t xml:space="preserve"> (ITT), na protokol a na ukončené prípady). Sekundárne kritériá účinnosti zahŕňali celkové zhodnotenie zlepšenia stavu vyšetrujúcim, škálou Denných Aktivít (</w:t>
      </w:r>
      <w:proofErr w:type="spellStart"/>
      <w:r w:rsidRPr="00821ADF">
        <w:rPr>
          <w:lang w:val="sk-SK"/>
        </w:rPr>
        <w:t>Activities</w:t>
      </w:r>
      <w:proofErr w:type="spellEnd"/>
      <w:r w:rsidRPr="00821ADF">
        <w:rPr>
          <w:lang w:val="sk-SK"/>
        </w:rPr>
        <w:t xml:space="preserve"> </w:t>
      </w:r>
      <w:proofErr w:type="spellStart"/>
      <w:r w:rsidRPr="00821ADF">
        <w:rPr>
          <w:lang w:val="sk-SK"/>
        </w:rPr>
        <w:t>of</w:t>
      </w:r>
      <w:proofErr w:type="spellEnd"/>
      <w:r w:rsidRPr="00821ADF">
        <w:rPr>
          <w:lang w:val="sk-SK"/>
        </w:rPr>
        <w:t xml:space="preserve"> </w:t>
      </w:r>
      <w:proofErr w:type="spellStart"/>
      <w:r w:rsidRPr="00821ADF">
        <w:rPr>
          <w:lang w:val="sk-SK"/>
        </w:rPr>
        <w:t>Daily</w:t>
      </w:r>
      <w:proofErr w:type="spellEnd"/>
      <w:r w:rsidRPr="00821ADF">
        <w:rPr>
          <w:lang w:val="sk-SK"/>
        </w:rPr>
        <w:t xml:space="preserve"> </w:t>
      </w:r>
      <w:proofErr w:type="spellStart"/>
      <w:r w:rsidRPr="00821ADF">
        <w:rPr>
          <w:lang w:val="sk-SK"/>
        </w:rPr>
        <w:t>Living</w:t>
      </w:r>
      <w:proofErr w:type="spellEnd"/>
      <w:r w:rsidRPr="00821ADF">
        <w:rPr>
          <w:lang w:val="sk-SK"/>
        </w:rPr>
        <w:t xml:space="preserve">, ADL) v čase OFF a motorickou UPDRS v čase ON. </w:t>
      </w:r>
      <w:proofErr w:type="spellStart"/>
      <w:r w:rsidR="00301BD2">
        <w:rPr>
          <w:lang w:val="sk-SK"/>
        </w:rPr>
        <w:t>Razagilín</w:t>
      </w:r>
      <w:proofErr w:type="spellEnd"/>
      <w:r w:rsidRPr="00821ADF">
        <w:rPr>
          <w:lang w:val="sk-SK"/>
        </w:rPr>
        <w:t xml:space="preserve"> vykazova</w:t>
      </w:r>
      <w:r w:rsidR="00743910">
        <w:rPr>
          <w:lang w:val="sk-SK"/>
        </w:rPr>
        <w:t>l štatisticky významný prínos v </w:t>
      </w:r>
      <w:r w:rsidRPr="00821ADF">
        <w:rPr>
          <w:lang w:val="sk-SK"/>
        </w:rPr>
        <w:t xml:space="preserve">porovnaní s </w:t>
      </w:r>
      <w:proofErr w:type="spellStart"/>
      <w:r w:rsidRPr="00821ADF">
        <w:rPr>
          <w:lang w:val="sk-SK"/>
        </w:rPr>
        <w:t>placebom</w:t>
      </w:r>
      <w:proofErr w:type="spellEnd"/>
      <w:r w:rsidRPr="00821ADF">
        <w:rPr>
          <w:lang w:val="sk-SK"/>
        </w:rPr>
        <w:t>.</w:t>
      </w:r>
    </w:p>
    <w:p w:rsidR="0026280D" w:rsidRPr="00821ADF" w:rsidRDefault="0026280D" w:rsidP="0026280D">
      <w:pPr>
        <w:pStyle w:val="Styl2"/>
        <w:numPr>
          <w:ilvl w:val="1"/>
          <w:numId w:val="3"/>
        </w:numPr>
        <w:spacing w:before="120" w:after="120"/>
        <w:ind w:left="357" w:hanging="357"/>
        <w:rPr>
          <w:lang w:val="sk-SK"/>
        </w:rPr>
      </w:pPr>
      <w:proofErr w:type="spellStart"/>
      <w:r w:rsidRPr="00821ADF">
        <w:rPr>
          <w:lang w:val="sk-SK"/>
        </w:rPr>
        <w:t>Farmakokinetické</w:t>
      </w:r>
      <w:proofErr w:type="spellEnd"/>
      <w:r w:rsidRPr="00821ADF">
        <w:rPr>
          <w:lang w:val="sk-SK"/>
        </w:rPr>
        <w:t xml:space="preserve"> vlastnosti</w:t>
      </w:r>
    </w:p>
    <w:p w:rsidR="0026280D" w:rsidRPr="00821ADF" w:rsidRDefault="0026280D" w:rsidP="0026280D">
      <w:pPr>
        <w:pStyle w:val="Normlndobloku"/>
        <w:rPr>
          <w:u w:val="single"/>
          <w:lang w:val="sk-SK"/>
        </w:rPr>
      </w:pPr>
      <w:r w:rsidRPr="00821ADF">
        <w:rPr>
          <w:u w:val="single"/>
          <w:lang w:val="sk-SK"/>
        </w:rPr>
        <w:t>Absorpcia</w:t>
      </w:r>
    </w:p>
    <w:p w:rsidR="00C15776" w:rsidRDefault="00301BD2" w:rsidP="0026280D">
      <w:pPr>
        <w:pStyle w:val="Normlndobloku"/>
        <w:rPr>
          <w:lang w:val="sk-SK"/>
        </w:rPr>
      </w:pPr>
      <w:proofErr w:type="spellStart"/>
      <w:r>
        <w:rPr>
          <w:lang w:val="sk-SK"/>
        </w:rPr>
        <w:t>Razagilín</w:t>
      </w:r>
      <w:proofErr w:type="spellEnd"/>
      <w:r w:rsidR="0026280D" w:rsidRPr="00821ADF">
        <w:rPr>
          <w:lang w:val="sk-SK"/>
        </w:rPr>
        <w:t xml:space="preserve"> sa vstrebáva rýchlo a dosahuje maximálnu plazmatickú koncentráciu (</w:t>
      </w:r>
      <w:proofErr w:type="spellStart"/>
      <w:r w:rsidR="0026280D" w:rsidRPr="00821ADF">
        <w:rPr>
          <w:lang w:val="sk-SK"/>
        </w:rPr>
        <w:t>C</w:t>
      </w:r>
      <w:r w:rsidR="0026280D" w:rsidRPr="00821ADF">
        <w:rPr>
          <w:vertAlign w:val="subscript"/>
          <w:lang w:val="sk-SK"/>
        </w:rPr>
        <w:t>max</w:t>
      </w:r>
      <w:proofErr w:type="spellEnd"/>
      <w:r w:rsidR="0026280D" w:rsidRPr="00821ADF">
        <w:rPr>
          <w:lang w:val="sk-SK"/>
        </w:rPr>
        <w:t>) za približne 0,5 hodiny. Absolútna bio</w:t>
      </w:r>
      <w:r w:rsidR="006B4074">
        <w:rPr>
          <w:lang w:val="sk-SK"/>
        </w:rPr>
        <w:t xml:space="preserve">logická </w:t>
      </w:r>
      <w:r w:rsidR="0026280D" w:rsidRPr="00821ADF">
        <w:rPr>
          <w:lang w:val="sk-SK"/>
        </w:rPr>
        <w:t xml:space="preserve">dostupnosť jednorazovej dávky </w:t>
      </w:r>
      <w:proofErr w:type="spellStart"/>
      <w:r>
        <w:rPr>
          <w:lang w:val="sk-SK"/>
        </w:rPr>
        <w:t>razagilín</w:t>
      </w:r>
      <w:r w:rsidR="0026280D" w:rsidRPr="00821ADF">
        <w:rPr>
          <w:lang w:val="sk-SK"/>
        </w:rPr>
        <w:t>u</w:t>
      </w:r>
      <w:proofErr w:type="spellEnd"/>
      <w:r w:rsidR="0026280D" w:rsidRPr="00821ADF">
        <w:rPr>
          <w:lang w:val="sk-SK"/>
        </w:rPr>
        <w:t xml:space="preserve"> je </w:t>
      </w:r>
      <w:r w:rsidR="006B4074">
        <w:rPr>
          <w:lang w:val="sk-SK"/>
        </w:rPr>
        <w:t>približne</w:t>
      </w:r>
      <w:r w:rsidR="006B4074" w:rsidRPr="00821ADF">
        <w:rPr>
          <w:lang w:val="sk-SK"/>
        </w:rPr>
        <w:t xml:space="preserve"> </w:t>
      </w:r>
      <w:r w:rsidR="0026280D" w:rsidRPr="00821ADF">
        <w:rPr>
          <w:lang w:val="sk-SK"/>
        </w:rPr>
        <w:t xml:space="preserve">36 %. Jedlo nemá vplyv na </w:t>
      </w:r>
      <w:proofErr w:type="spellStart"/>
      <w:r w:rsidR="0026280D" w:rsidRPr="00821ADF">
        <w:rPr>
          <w:lang w:val="sk-SK"/>
        </w:rPr>
        <w:t>t</w:t>
      </w:r>
      <w:r w:rsidR="0026280D" w:rsidRPr="00821ADF">
        <w:rPr>
          <w:vertAlign w:val="subscript"/>
          <w:lang w:val="sk-SK"/>
        </w:rPr>
        <w:t>max</w:t>
      </w:r>
      <w:proofErr w:type="spellEnd"/>
      <w:r w:rsidR="0026280D" w:rsidRPr="00821ADF">
        <w:rPr>
          <w:lang w:val="sk-SK"/>
        </w:rPr>
        <w:t xml:space="preserve"> </w:t>
      </w:r>
      <w:proofErr w:type="spellStart"/>
      <w:r>
        <w:rPr>
          <w:lang w:val="sk-SK"/>
        </w:rPr>
        <w:t>razagilín</w:t>
      </w:r>
      <w:r w:rsidR="0026280D" w:rsidRPr="00821ADF">
        <w:rPr>
          <w:lang w:val="sk-SK"/>
        </w:rPr>
        <w:t>u</w:t>
      </w:r>
      <w:proofErr w:type="spellEnd"/>
      <w:r w:rsidR="0026280D" w:rsidRPr="00821ADF">
        <w:rPr>
          <w:lang w:val="sk-SK"/>
        </w:rPr>
        <w:t xml:space="preserve">, aj keď </w:t>
      </w:r>
      <w:proofErr w:type="spellStart"/>
      <w:r w:rsidR="0026280D" w:rsidRPr="00821ADF">
        <w:rPr>
          <w:lang w:val="sk-SK"/>
        </w:rPr>
        <w:t>C</w:t>
      </w:r>
      <w:r w:rsidR="0026280D" w:rsidRPr="00821ADF">
        <w:rPr>
          <w:vertAlign w:val="subscript"/>
          <w:lang w:val="sk-SK"/>
        </w:rPr>
        <w:t>max</w:t>
      </w:r>
      <w:proofErr w:type="spellEnd"/>
      <w:r w:rsidR="0026280D" w:rsidRPr="00821ADF">
        <w:rPr>
          <w:lang w:val="sk-SK"/>
        </w:rPr>
        <w:t xml:space="preserve"> a expozícia (AUC) boli znížené o približne 60 % a 20 % v tomto </w:t>
      </w:r>
      <w:r w:rsidR="0026280D" w:rsidRPr="00821ADF">
        <w:rPr>
          <w:lang w:val="sk-SK"/>
        </w:rPr>
        <w:lastRenderedPageBreak/>
        <w:t xml:space="preserve">poradí, keď bol liek podaný s jedlom s vysokým obsahom tuku. Pretože AUC nie je výrazne ovplyvnené jedlom, </w:t>
      </w:r>
      <w:proofErr w:type="spellStart"/>
      <w:r>
        <w:rPr>
          <w:lang w:val="sk-SK"/>
        </w:rPr>
        <w:t>razagilín</w:t>
      </w:r>
      <w:proofErr w:type="spellEnd"/>
      <w:r w:rsidR="0026280D" w:rsidRPr="00821ADF">
        <w:rPr>
          <w:lang w:val="sk-SK"/>
        </w:rPr>
        <w:t xml:space="preserve"> sa môže podávať s jedlom aj bez jedla.</w:t>
      </w:r>
    </w:p>
    <w:p w:rsidR="0026280D" w:rsidRPr="00821ADF" w:rsidRDefault="0026280D" w:rsidP="0026280D">
      <w:pPr>
        <w:pStyle w:val="Normlndobloku"/>
        <w:rPr>
          <w:lang w:val="sk-SK"/>
        </w:rPr>
      </w:pPr>
      <w:r w:rsidRPr="00821ADF">
        <w:rPr>
          <w:u w:val="single"/>
          <w:lang w:val="sk-SK"/>
        </w:rPr>
        <w:t>Distribúcia</w:t>
      </w:r>
    </w:p>
    <w:p w:rsidR="00C15776" w:rsidRDefault="0026280D" w:rsidP="0026280D">
      <w:pPr>
        <w:pStyle w:val="Normlndobloku"/>
        <w:rPr>
          <w:lang w:val="sk-SK"/>
        </w:rPr>
      </w:pPr>
      <w:r w:rsidRPr="00821ADF">
        <w:rPr>
          <w:lang w:val="sk-SK"/>
        </w:rPr>
        <w:t xml:space="preserve">Priemerný objem distribúcie po podaní jednorazovej intravenóznej dávky </w:t>
      </w:r>
      <w:proofErr w:type="spellStart"/>
      <w:r w:rsidR="00301BD2">
        <w:rPr>
          <w:lang w:val="sk-SK"/>
        </w:rPr>
        <w:t>razagilín</w:t>
      </w:r>
      <w:r w:rsidRPr="00821ADF">
        <w:rPr>
          <w:lang w:val="sk-SK"/>
        </w:rPr>
        <w:t>u</w:t>
      </w:r>
      <w:proofErr w:type="spellEnd"/>
      <w:r w:rsidRPr="00821ADF">
        <w:rPr>
          <w:lang w:val="sk-SK"/>
        </w:rPr>
        <w:t xml:space="preserve"> je 243 l. Väzba </w:t>
      </w:r>
      <w:r w:rsidR="006B4074">
        <w:rPr>
          <w:lang w:val="sk-SK"/>
        </w:rPr>
        <w:t xml:space="preserve">na </w:t>
      </w:r>
      <w:r w:rsidR="006B4074" w:rsidRPr="00821ADF">
        <w:rPr>
          <w:lang w:val="sk-SK"/>
        </w:rPr>
        <w:t>plazmatick</w:t>
      </w:r>
      <w:r w:rsidR="006B4074">
        <w:rPr>
          <w:lang w:val="sk-SK"/>
        </w:rPr>
        <w:t>é</w:t>
      </w:r>
      <w:r w:rsidR="006B4074" w:rsidRPr="00821ADF">
        <w:rPr>
          <w:lang w:val="sk-SK"/>
        </w:rPr>
        <w:t xml:space="preserve"> proteín</w:t>
      </w:r>
      <w:r w:rsidR="006B4074">
        <w:rPr>
          <w:lang w:val="sk-SK"/>
        </w:rPr>
        <w:t>y</w:t>
      </w:r>
      <w:r w:rsidR="006B4074" w:rsidRPr="00821ADF">
        <w:rPr>
          <w:lang w:val="sk-SK"/>
        </w:rPr>
        <w:t xml:space="preserve"> </w:t>
      </w:r>
      <w:r w:rsidRPr="00821ADF">
        <w:rPr>
          <w:lang w:val="sk-SK"/>
        </w:rPr>
        <w:t xml:space="preserve">po podaní jednorazovej perorálnej dávky 14C </w:t>
      </w:r>
      <w:proofErr w:type="spellStart"/>
      <w:r w:rsidR="00301BD2">
        <w:rPr>
          <w:lang w:val="sk-SK"/>
        </w:rPr>
        <w:t>razagilín</w:t>
      </w:r>
      <w:r w:rsidRPr="00821ADF">
        <w:rPr>
          <w:lang w:val="sk-SK"/>
        </w:rPr>
        <w:t>u</w:t>
      </w:r>
      <w:proofErr w:type="spellEnd"/>
      <w:r w:rsidRPr="00821ADF">
        <w:rPr>
          <w:lang w:val="sk-SK"/>
        </w:rPr>
        <w:t xml:space="preserve"> je približne 60 až 70 %.</w:t>
      </w:r>
    </w:p>
    <w:p w:rsidR="0026280D" w:rsidRPr="00821ADF" w:rsidRDefault="0026280D" w:rsidP="0026280D">
      <w:pPr>
        <w:pStyle w:val="Normlndobloku"/>
        <w:rPr>
          <w:lang w:val="sk-SK"/>
        </w:rPr>
      </w:pPr>
      <w:r w:rsidRPr="00821ADF">
        <w:rPr>
          <w:u w:val="single"/>
          <w:lang w:val="sk-SK"/>
        </w:rPr>
        <w:t>Metabolizmus</w:t>
      </w:r>
    </w:p>
    <w:p w:rsidR="00C15776" w:rsidRDefault="00301BD2" w:rsidP="0026280D">
      <w:pPr>
        <w:pStyle w:val="Normlndobloku"/>
        <w:rPr>
          <w:lang w:val="sk-SK"/>
        </w:rPr>
      </w:pPr>
      <w:proofErr w:type="spellStart"/>
      <w:r>
        <w:rPr>
          <w:lang w:val="sk-SK"/>
        </w:rPr>
        <w:t>Razagilín</w:t>
      </w:r>
      <w:proofErr w:type="spellEnd"/>
      <w:r w:rsidR="0026280D" w:rsidRPr="00821ADF">
        <w:rPr>
          <w:lang w:val="sk-SK"/>
        </w:rPr>
        <w:t xml:space="preserve"> sa pred vylúčením skoro úplne </w:t>
      </w:r>
      <w:proofErr w:type="spellStart"/>
      <w:r w:rsidR="0026280D" w:rsidRPr="00821ADF">
        <w:rPr>
          <w:lang w:val="sk-SK"/>
        </w:rPr>
        <w:t>biotransformuje</w:t>
      </w:r>
      <w:proofErr w:type="spellEnd"/>
      <w:r w:rsidR="0026280D" w:rsidRPr="00821ADF">
        <w:rPr>
          <w:lang w:val="sk-SK"/>
        </w:rPr>
        <w:t xml:space="preserve"> v pečeni. </w:t>
      </w:r>
      <w:proofErr w:type="spellStart"/>
      <w:r>
        <w:rPr>
          <w:lang w:val="sk-SK"/>
        </w:rPr>
        <w:t>Razagilín</w:t>
      </w:r>
      <w:proofErr w:type="spellEnd"/>
      <w:r w:rsidR="0026280D" w:rsidRPr="00821ADF">
        <w:rPr>
          <w:lang w:val="sk-SK"/>
        </w:rPr>
        <w:t xml:space="preserve"> sa metabolizuje dvoma hlavnými cestami: </w:t>
      </w:r>
      <w:proofErr w:type="spellStart"/>
      <w:r w:rsidR="0026280D" w:rsidRPr="00821ADF">
        <w:rPr>
          <w:lang w:val="sk-SK"/>
        </w:rPr>
        <w:t>N-dealkyláciou</w:t>
      </w:r>
      <w:proofErr w:type="spellEnd"/>
      <w:r w:rsidR="0026280D" w:rsidRPr="00821ADF">
        <w:rPr>
          <w:lang w:val="sk-SK"/>
        </w:rPr>
        <w:t xml:space="preserve"> a/alebo </w:t>
      </w:r>
      <w:proofErr w:type="spellStart"/>
      <w:r w:rsidR="0026280D" w:rsidRPr="00821ADF">
        <w:rPr>
          <w:lang w:val="sk-SK"/>
        </w:rPr>
        <w:t>hydroxyláci</w:t>
      </w:r>
      <w:r w:rsidR="00743910">
        <w:rPr>
          <w:lang w:val="sk-SK"/>
        </w:rPr>
        <w:t>ou</w:t>
      </w:r>
      <w:proofErr w:type="spellEnd"/>
      <w:r w:rsidR="00743910">
        <w:rPr>
          <w:lang w:val="sk-SK"/>
        </w:rPr>
        <w:t xml:space="preserve"> so vznikom: 1</w:t>
      </w:r>
      <w:r w:rsidR="00743910">
        <w:rPr>
          <w:lang w:val="sk-SK"/>
        </w:rPr>
        <w:softHyphen/>
        <w:t>aminoindanu, 3</w:t>
      </w:r>
      <w:r w:rsidR="00743910">
        <w:rPr>
          <w:lang w:val="sk-SK"/>
        </w:rPr>
        <w:noBreakHyphen/>
      </w:r>
      <w:r w:rsidR="0026280D" w:rsidRPr="00821ADF">
        <w:rPr>
          <w:lang w:val="sk-SK"/>
        </w:rPr>
        <w:t xml:space="preserve">hydroxy-N-propargyl-1 </w:t>
      </w:r>
      <w:proofErr w:type="spellStart"/>
      <w:r w:rsidR="0026280D" w:rsidRPr="00821ADF">
        <w:rPr>
          <w:lang w:val="sk-SK"/>
        </w:rPr>
        <w:t>aminoindanu</w:t>
      </w:r>
      <w:proofErr w:type="spellEnd"/>
      <w:r w:rsidR="0026280D" w:rsidRPr="00821ADF">
        <w:rPr>
          <w:lang w:val="sk-SK"/>
        </w:rPr>
        <w:t xml:space="preserve"> a 3-hydroxy-1-aminoindanu. </w:t>
      </w:r>
      <w:r w:rsidR="0026280D" w:rsidRPr="007345DB">
        <w:rPr>
          <w:i/>
          <w:lang w:val="sk-SK"/>
        </w:rPr>
        <w:t xml:space="preserve">In </w:t>
      </w:r>
      <w:proofErr w:type="spellStart"/>
      <w:r w:rsidR="0026280D" w:rsidRPr="007345DB">
        <w:rPr>
          <w:i/>
          <w:lang w:val="sk-SK"/>
        </w:rPr>
        <w:t>vitro</w:t>
      </w:r>
      <w:proofErr w:type="spellEnd"/>
      <w:r w:rsidR="0026280D" w:rsidRPr="00821ADF">
        <w:rPr>
          <w:lang w:val="sk-SK"/>
        </w:rPr>
        <w:t xml:space="preserve"> experimenty dokazujú, že obe metabolické cesty </w:t>
      </w:r>
      <w:proofErr w:type="spellStart"/>
      <w:r>
        <w:rPr>
          <w:lang w:val="sk-SK"/>
        </w:rPr>
        <w:t>razagilín</w:t>
      </w:r>
      <w:r w:rsidR="0026280D" w:rsidRPr="00821ADF">
        <w:rPr>
          <w:lang w:val="sk-SK"/>
        </w:rPr>
        <w:t>u</w:t>
      </w:r>
      <w:proofErr w:type="spellEnd"/>
      <w:r w:rsidR="0026280D" w:rsidRPr="00821ADF">
        <w:rPr>
          <w:lang w:val="sk-SK"/>
        </w:rPr>
        <w:t xml:space="preserve"> závisia od systému </w:t>
      </w:r>
      <w:proofErr w:type="spellStart"/>
      <w:r w:rsidR="0026280D" w:rsidRPr="00821ADF">
        <w:rPr>
          <w:lang w:val="sk-SK"/>
        </w:rPr>
        <w:t>cytochrómu</w:t>
      </w:r>
      <w:proofErr w:type="spellEnd"/>
      <w:r w:rsidR="0026280D" w:rsidRPr="00821ADF">
        <w:rPr>
          <w:lang w:val="sk-SK"/>
        </w:rPr>
        <w:t xml:space="preserve"> P 450, pričom najdôležitejšiu úlohu v metabolizme </w:t>
      </w:r>
      <w:proofErr w:type="spellStart"/>
      <w:r>
        <w:rPr>
          <w:lang w:val="sk-SK"/>
        </w:rPr>
        <w:t>razagilín</w:t>
      </w:r>
      <w:r w:rsidR="0026280D" w:rsidRPr="00821ADF">
        <w:rPr>
          <w:lang w:val="sk-SK"/>
        </w:rPr>
        <w:t>u</w:t>
      </w:r>
      <w:proofErr w:type="spellEnd"/>
      <w:r w:rsidR="0026280D" w:rsidRPr="00821ADF">
        <w:rPr>
          <w:lang w:val="sk-SK"/>
        </w:rPr>
        <w:t xml:space="preserve"> zohráva </w:t>
      </w:r>
      <w:proofErr w:type="spellStart"/>
      <w:r w:rsidR="0026280D" w:rsidRPr="00821ADF">
        <w:rPr>
          <w:lang w:val="sk-SK"/>
        </w:rPr>
        <w:t>izoenzým</w:t>
      </w:r>
      <w:proofErr w:type="spellEnd"/>
      <w:r w:rsidR="0026280D" w:rsidRPr="00821ADF">
        <w:rPr>
          <w:lang w:val="sk-SK"/>
        </w:rPr>
        <w:t xml:space="preserve"> CYP1A2. Konjugácia </w:t>
      </w:r>
      <w:proofErr w:type="spellStart"/>
      <w:r>
        <w:rPr>
          <w:lang w:val="sk-SK"/>
        </w:rPr>
        <w:t>razagilín</w:t>
      </w:r>
      <w:r w:rsidR="0026280D" w:rsidRPr="00821ADF">
        <w:rPr>
          <w:lang w:val="sk-SK"/>
        </w:rPr>
        <w:t>u</w:t>
      </w:r>
      <w:proofErr w:type="spellEnd"/>
      <w:r w:rsidR="0026280D" w:rsidRPr="00821ADF">
        <w:rPr>
          <w:lang w:val="sk-SK"/>
        </w:rPr>
        <w:t xml:space="preserve"> a jeho </w:t>
      </w:r>
      <w:proofErr w:type="spellStart"/>
      <w:r w:rsidR="0026280D" w:rsidRPr="00821ADF">
        <w:rPr>
          <w:lang w:val="sk-SK"/>
        </w:rPr>
        <w:t>metabolitov</w:t>
      </w:r>
      <w:proofErr w:type="spellEnd"/>
      <w:r w:rsidR="0026280D" w:rsidRPr="00821ADF">
        <w:rPr>
          <w:lang w:val="sk-SK"/>
        </w:rPr>
        <w:t xml:space="preserve"> je takisto dôležitá cesta eliminácie so vznikom </w:t>
      </w:r>
      <w:proofErr w:type="spellStart"/>
      <w:r w:rsidR="0026280D" w:rsidRPr="00821ADF">
        <w:rPr>
          <w:lang w:val="sk-SK"/>
        </w:rPr>
        <w:t>glukuronidov</w:t>
      </w:r>
      <w:proofErr w:type="spellEnd"/>
      <w:r w:rsidR="0026280D" w:rsidRPr="00821ADF">
        <w:rPr>
          <w:lang w:val="sk-SK"/>
        </w:rPr>
        <w:t>.</w:t>
      </w:r>
    </w:p>
    <w:p w:rsidR="0026280D" w:rsidRPr="00821ADF" w:rsidRDefault="004B3CF6" w:rsidP="0026280D">
      <w:pPr>
        <w:pStyle w:val="Normlndobloku"/>
        <w:rPr>
          <w:u w:val="single"/>
          <w:lang w:val="sk-SK"/>
        </w:rPr>
      </w:pPr>
      <w:r>
        <w:rPr>
          <w:u w:val="single"/>
          <w:lang w:val="sk-SK"/>
        </w:rPr>
        <w:t>Exkrécia</w:t>
      </w:r>
    </w:p>
    <w:p w:rsidR="00C15776" w:rsidRDefault="0026280D" w:rsidP="0026280D">
      <w:pPr>
        <w:pStyle w:val="Normlndobloku"/>
        <w:rPr>
          <w:lang w:val="sk-SK"/>
        </w:rPr>
      </w:pPr>
      <w:r w:rsidRPr="00821ADF">
        <w:rPr>
          <w:lang w:val="sk-SK"/>
        </w:rPr>
        <w:t xml:space="preserve">Perorálne podaný </w:t>
      </w:r>
      <w:r w:rsidRPr="00821ADF">
        <w:rPr>
          <w:vertAlign w:val="superscript"/>
          <w:lang w:val="sk-SK"/>
        </w:rPr>
        <w:t>14</w:t>
      </w:r>
      <w:r w:rsidRPr="00821ADF">
        <w:rPr>
          <w:lang w:val="sk-SK"/>
        </w:rPr>
        <w:t xml:space="preserve">C </w:t>
      </w:r>
      <w:proofErr w:type="spellStart"/>
      <w:r w:rsidR="00301BD2">
        <w:rPr>
          <w:lang w:val="sk-SK"/>
        </w:rPr>
        <w:t>razagilín</w:t>
      </w:r>
      <w:proofErr w:type="spellEnd"/>
      <w:r w:rsidRPr="00821ADF">
        <w:rPr>
          <w:lang w:val="sk-SK"/>
        </w:rPr>
        <w:t xml:space="preserve"> sa eliminuje hlavne močom (62,</w:t>
      </w:r>
      <w:r w:rsidR="00743910">
        <w:rPr>
          <w:lang w:val="sk-SK"/>
        </w:rPr>
        <w:t>6 %), sekundárne stolicou (21,8 </w:t>
      </w:r>
      <w:r w:rsidRPr="00821ADF">
        <w:rPr>
          <w:lang w:val="sk-SK"/>
        </w:rPr>
        <w:t xml:space="preserve">%) a celková eliminácia predstavuje 84,4 % dávky v priebehu 38 dní. Menej ako 1 % </w:t>
      </w:r>
      <w:proofErr w:type="spellStart"/>
      <w:r w:rsidR="00301BD2">
        <w:rPr>
          <w:lang w:val="sk-SK"/>
        </w:rPr>
        <w:t>razagilín</w:t>
      </w:r>
      <w:r w:rsidRPr="00821ADF">
        <w:rPr>
          <w:lang w:val="sk-SK"/>
        </w:rPr>
        <w:t>u</w:t>
      </w:r>
      <w:proofErr w:type="spellEnd"/>
      <w:r w:rsidRPr="00821ADF">
        <w:rPr>
          <w:lang w:val="sk-SK"/>
        </w:rPr>
        <w:t xml:space="preserve"> sa vylúči močom v nezmenenej forme.</w:t>
      </w:r>
    </w:p>
    <w:p w:rsidR="0026280D" w:rsidRPr="00821ADF" w:rsidRDefault="0026280D" w:rsidP="0026280D">
      <w:pPr>
        <w:pStyle w:val="Normlndobloku"/>
        <w:rPr>
          <w:lang w:val="sk-SK"/>
        </w:rPr>
      </w:pPr>
      <w:proofErr w:type="spellStart"/>
      <w:r w:rsidRPr="00821ADF">
        <w:rPr>
          <w:u w:val="single"/>
          <w:lang w:val="sk-SK"/>
        </w:rPr>
        <w:t>Linearita</w:t>
      </w:r>
      <w:proofErr w:type="spellEnd"/>
      <w:r w:rsidRPr="00821ADF">
        <w:rPr>
          <w:u w:val="single"/>
          <w:lang w:val="sk-SK"/>
        </w:rPr>
        <w:t>/</w:t>
      </w:r>
      <w:proofErr w:type="spellStart"/>
      <w:r w:rsidRPr="00821ADF">
        <w:rPr>
          <w:u w:val="single"/>
          <w:lang w:val="sk-SK"/>
        </w:rPr>
        <w:t>nelinearita</w:t>
      </w:r>
      <w:proofErr w:type="spellEnd"/>
    </w:p>
    <w:p w:rsidR="00C15776" w:rsidRDefault="0026280D" w:rsidP="0026280D">
      <w:pPr>
        <w:pStyle w:val="Normlndobloku"/>
        <w:rPr>
          <w:lang w:val="sk-SK"/>
        </w:rPr>
      </w:pPr>
      <w:proofErr w:type="spellStart"/>
      <w:r w:rsidRPr="00821ADF">
        <w:rPr>
          <w:lang w:val="sk-SK"/>
        </w:rPr>
        <w:t>Farmakokinetika</w:t>
      </w:r>
      <w:proofErr w:type="spellEnd"/>
      <w:r w:rsidRPr="00821ADF">
        <w:rPr>
          <w:lang w:val="sk-SK"/>
        </w:rPr>
        <w:t xml:space="preserve"> </w:t>
      </w:r>
      <w:proofErr w:type="spellStart"/>
      <w:r w:rsidR="00301BD2">
        <w:rPr>
          <w:lang w:val="sk-SK"/>
        </w:rPr>
        <w:t>razagilín</w:t>
      </w:r>
      <w:r w:rsidRPr="00821ADF">
        <w:rPr>
          <w:lang w:val="sk-SK"/>
        </w:rPr>
        <w:t>u</w:t>
      </w:r>
      <w:proofErr w:type="spellEnd"/>
      <w:r w:rsidRPr="00821ADF">
        <w:rPr>
          <w:lang w:val="sk-SK"/>
        </w:rPr>
        <w:t xml:space="preserve"> j</w:t>
      </w:r>
      <w:r w:rsidR="00C914C9">
        <w:rPr>
          <w:lang w:val="sk-SK"/>
        </w:rPr>
        <w:t>e lineárna v rozmedzí dávky 0,5 – 2 mg. Polčas rozpadu je 0,6 – </w:t>
      </w:r>
      <w:r w:rsidRPr="00821ADF">
        <w:rPr>
          <w:lang w:val="sk-SK"/>
        </w:rPr>
        <w:t>2 hodiny.</w:t>
      </w:r>
    </w:p>
    <w:p w:rsidR="00C15776" w:rsidRDefault="0026280D" w:rsidP="0026280D">
      <w:pPr>
        <w:pStyle w:val="Normlndobloku"/>
        <w:rPr>
          <w:lang w:val="sk-SK"/>
        </w:rPr>
      </w:pPr>
      <w:r w:rsidRPr="00821ADF">
        <w:rPr>
          <w:u w:val="single"/>
          <w:lang w:val="sk-SK"/>
        </w:rPr>
        <w:t>Charakteristika podľa ochorení pacientov</w:t>
      </w:r>
    </w:p>
    <w:p w:rsidR="00C15776" w:rsidRDefault="0026280D" w:rsidP="0026280D">
      <w:pPr>
        <w:pStyle w:val="Normlndobloku"/>
        <w:rPr>
          <w:lang w:val="sk-SK"/>
        </w:rPr>
      </w:pPr>
      <w:r w:rsidRPr="00821ADF">
        <w:rPr>
          <w:lang w:val="sk-SK"/>
        </w:rPr>
        <w:t xml:space="preserve">Pacienti s </w:t>
      </w:r>
      <w:r w:rsidR="006B4074" w:rsidRPr="006B4074">
        <w:rPr>
          <w:lang w:val="sk-SK"/>
        </w:rPr>
        <w:t>poruchou</w:t>
      </w:r>
      <w:r w:rsidRPr="00821ADF">
        <w:rPr>
          <w:lang w:val="sk-SK"/>
        </w:rPr>
        <w:t xml:space="preserve"> </w:t>
      </w:r>
      <w:r w:rsidR="006B4074" w:rsidRPr="00821ADF">
        <w:rPr>
          <w:lang w:val="sk-SK"/>
        </w:rPr>
        <w:t>funkci</w:t>
      </w:r>
      <w:r w:rsidR="006B4074">
        <w:rPr>
          <w:lang w:val="sk-SK"/>
        </w:rPr>
        <w:t>e</w:t>
      </w:r>
      <w:r w:rsidR="006B4074" w:rsidRPr="00821ADF">
        <w:rPr>
          <w:lang w:val="sk-SK"/>
        </w:rPr>
        <w:t xml:space="preserve"> </w:t>
      </w:r>
      <w:r w:rsidRPr="00821ADF">
        <w:rPr>
          <w:lang w:val="sk-SK"/>
        </w:rPr>
        <w:t xml:space="preserve">pečene: u pacientov s </w:t>
      </w:r>
      <w:r w:rsidR="006B4074" w:rsidRPr="00821ADF">
        <w:rPr>
          <w:lang w:val="sk-SK"/>
        </w:rPr>
        <w:t>miern</w:t>
      </w:r>
      <w:r w:rsidR="006B4074">
        <w:rPr>
          <w:lang w:val="sk-SK"/>
        </w:rPr>
        <w:t>ou</w:t>
      </w:r>
      <w:r w:rsidR="006B4074" w:rsidRPr="00821ADF">
        <w:rPr>
          <w:lang w:val="sk-SK"/>
        </w:rPr>
        <w:t xml:space="preserve"> po</w:t>
      </w:r>
      <w:r w:rsidR="006B4074">
        <w:rPr>
          <w:lang w:val="sk-SK"/>
        </w:rPr>
        <w:t>ruchou</w:t>
      </w:r>
      <w:r w:rsidR="006B4074" w:rsidRPr="00821ADF">
        <w:rPr>
          <w:lang w:val="sk-SK"/>
        </w:rPr>
        <w:t xml:space="preserve"> </w:t>
      </w:r>
      <w:r w:rsidRPr="00821ADF">
        <w:rPr>
          <w:lang w:val="sk-SK"/>
        </w:rPr>
        <w:t xml:space="preserve">funkcie pečene sa AUC zvýšilo o 80 % a </w:t>
      </w:r>
      <w:proofErr w:type="spellStart"/>
      <w:r w:rsidRPr="00821ADF">
        <w:rPr>
          <w:lang w:val="sk-SK"/>
        </w:rPr>
        <w:t>C</w:t>
      </w:r>
      <w:r w:rsidRPr="00821ADF">
        <w:rPr>
          <w:vertAlign w:val="subscript"/>
          <w:lang w:val="sk-SK"/>
        </w:rPr>
        <w:t>max</w:t>
      </w:r>
      <w:proofErr w:type="spellEnd"/>
      <w:r w:rsidRPr="00821ADF">
        <w:rPr>
          <w:vertAlign w:val="subscript"/>
          <w:lang w:val="sk-SK"/>
        </w:rPr>
        <w:t xml:space="preserve"> </w:t>
      </w:r>
      <w:r w:rsidRPr="00821ADF">
        <w:rPr>
          <w:lang w:val="sk-SK"/>
        </w:rPr>
        <w:t xml:space="preserve">o 38 %. U pacientov so stredne </w:t>
      </w:r>
      <w:r w:rsidR="006B4074" w:rsidRPr="00821ADF">
        <w:rPr>
          <w:lang w:val="sk-SK"/>
        </w:rPr>
        <w:t>ťažk</w:t>
      </w:r>
      <w:r w:rsidR="006B4074">
        <w:rPr>
          <w:lang w:val="sk-SK"/>
        </w:rPr>
        <w:t>ou</w:t>
      </w:r>
      <w:r w:rsidR="006B4074" w:rsidRPr="00821ADF">
        <w:rPr>
          <w:lang w:val="sk-SK"/>
        </w:rPr>
        <w:t xml:space="preserve"> po</w:t>
      </w:r>
      <w:r w:rsidR="006B4074">
        <w:rPr>
          <w:lang w:val="sk-SK"/>
        </w:rPr>
        <w:t>ruchou</w:t>
      </w:r>
      <w:r w:rsidR="006B4074" w:rsidRPr="00821ADF">
        <w:rPr>
          <w:lang w:val="sk-SK"/>
        </w:rPr>
        <w:t xml:space="preserve"> </w:t>
      </w:r>
      <w:r w:rsidRPr="00821ADF">
        <w:rPr>
          <w:lang w:val="sk-SK"/>
        </w:rPr>
        <w:t xml:space="preserve">funkcie pečene sa AUC zvýšilo o 568 % a </w:t>
      </w:r>
      <w:proofErr w:type="spellStart"/>
      <w:r w:rsidRPr="00821ADF">
        <w:rPr>
          <w:lang w:val="sk-SK"/>
        </w:rPr>
        <w:t>C</w:t>
      </w:r>
      <w:r w:rsidRPr="00821ADF">
        <w:rPr>
          <w:vertAlign w:val="subscript"/>
          <w:lang w:val="sk-SK"/>
        </w:rPr>
        <w:t>max</w:t>
      </w:r>
      <w:proofErr w:type="spellEnd"/>
      <w:r w:rsidRPr="00821ADF">
        <w:rPr>
          <w:lang w:val="sk-SK"/>
        </w:rPr>
        <w:t xml:space="preserve"> o 83 % (pozri časť 4.4).</w:t>
      </w:r>
    </w:p>
    <w:p w:rsidR="00C15776" w:rsidRDefault="0026280D" w:rsidP="0026280D">
      <w:pPr>
        <w:pStyle w:val="Normlndobloku"/>
        <w:rPr>
          <w:lang w:val="sk-SK"/>
        </w:rPr>
      </w:pPr>
      <w:r w:rsidRPr="00821ADF">
        <w:rPr>
          <w:lang w:val="sk-SK"/>
        </w:rPr>
        <w:t xml:space="preserve">Pacienti s </w:t>
      </w:r>
      <w:r w:rsidR="006B4074" w:rsidRPr="00821ADF">
        <w:rPr>
          <w:lang w:val="sk-SK"/>
        </w:rPr>
        <w:t>po</w:t>
      </w:r>
      <w:r w:rsidR="006B4074">
        <w:rPr>
          <w:lang w:val="sk-SK"/>
        </w:rPr>
        <w:t>ruchou</w:t>
      </w:r>
      <w:r w:rsidR="006B4074" w:rsidRPr="00821ADF">
        <w:rPr>
          <w:lang w:val="sk-SK"/>
        </w:rPr>
        <w:t xml:space="preserve"> </w:t>
      </w:r>
      <w:r w:rsidRPr="00821ADF">
        <w:rPr>
          <w:lang w:val="sk-SK"/>
        </w:rPr>
        <w:t xml:space="preserve">funkcie obličiek: </w:t>
      </w:r>
      <w:proofErr w:type="spellStart"/>
      <w:r w:rsidRPr="00821ADF">
        <w:rPr>
          <w:lang w:val="sk-SK"/>
        </w:rPr>
        <w:t>farmakokinetické</w:t>
      </w:r>
      <w:proofErr w:type="spellEnd"/>
      <w:r w:rsidRPr="00821ADF">
        <w:rPr>
          <w:lang w:val="sk-SK"/>
        </w:rPr>
        <w:t xml:space="preserve"> vlas</w:t>
      </w:r>
      <w:r w:rsidR="00743910">
        <w:rPr>
          <w:lang w:val="sk-SK"/>
        </w:rPr>
        <w:t xml:space="preserve">tnosti </w:t>
      </w:r>
      <w:proofErr w:type="spellStart"/>
      <w:r w:rsidR="00301BD2">
        <w:rPr>
          <w:lang w:val="sk-SK"/>
        </w:rPr>
        <w:t>razagilín</w:t>
      </w:r>
      <w:r w:rsidR="00743910">
        <w:rPr>
          <w:lang w:val="sk-SK"/>
        </w:rPr>
        <w:t>u</w:t>
      </w:r>
      <w:proofErr w:type="spellEnd"/>
      <w:r w:rsidR="00743910">
        <w:rPr>
          <w:lang w:val="sk-SK"/>
        </w:rPr>
        <w:t xml:space="preserve"> u pacientov s </w:t>
      </w:r>
      <w:r w:rsidR="006B4074" w:rsidRPr="00821ADF">
        <w:rPr>
          <w:lang w:val="sk-SK"/>
        </w:rPr>
        <w:t>miern</w:t>
      </w:r>
      <w:r w:rsidR="006B4074">
        <w:rPr>
          <w:lang w:val="sk-SK"/>
        </w:rPr>
        <w:t>ou</w:t>
      </w:r>
      <w:r w:rsidR="006B4074" w:rsidRPr="00821ADF">
        <w:rPr>
          <w:lang w:val="sk-SK"/>
        </w:rPr>
        <w:t xml:space="preserve"> </w:t>
      </w:r>
      <w:r w:rsidRPr="00821ADF">
        <w:rPr>
          <w:lang w:val="sk-SK"/>
        </w:rPr>
        <w:t>(</w:t>
      </w:r>
      <w:proofErr w:type="spellStart"/>
      <w:r w:rsidRPr="00821ADF">
        <w:rPr>
          <w:lang w:val="sk-SK"/>
        </w:rPr>
        <w:t>CLcr</w:t>
      </w:r>
      <w:proofErr w:type="spellEnd"/>
      <w:r w:rsidRPr="00821ADF">
        <w:rPr>
          <w:lang w:val="sk-SK"/>
        </w:rPr>
        <w:t xml:space="preserve"> 50</w:t>
      </w:r>
      <w:r w:rsidR="00C914C9">
        <w:rPr>
          <w:lang w:val="sk-SK"/>
        </w:rPr>
        <w:t> – </w:t>
      </w:r>
      <w:r w:rsidRPr="00821ADF">
        <w:rPr>
          <w:lang w:val="sk-SK"/>
        </w:rPr>
        <w:t>80 ml</w:t>
      </w:r>
      <w:r w:rsidR="00C914C9">
        <w:rPr>
          <w:lang w:val="sk-SK"/>
        </w:rPr>
        <w:t xml:space="preserve">/min) a stredne </w:t>
      </w:r>
      <w:r w:rsidR="006B4074">
        <w:rPr>
          <w:lang w:val="sk-SK"/>
        </w:rPr>
        <w:t xml:space="preserve">ťažkou </w:t>
      </w:r>
      <w:r w:rsidR="00C914C9">
        <w:rPr>
          <w:lang w:val="sk-SK"/>
        </w:rPr>
        <w:t>(</w:t>
      </w:r>
      <w:proofErr w:type="spellStart"/>
      <w:r w:rsidR="00C914C9">
        <w:rPr>
          <w:lang w:val="sk-SK"/>
        </w:rPr>
        <w:t>CLcr</w:t>
      </w:r>
      <w:proofErr w:type="spellEnd"/>
      <w:r w:rsidR="00C914C9">
        <w:rPr>
          <w:lang w:val="sk-SK"/>
        </w:rPr>
        <w:t xml:space="preserve"> 30 – </w:t>
      </w:r>
      <w:r w:rsidRPr="00821ADF">
        <w:rPr>
          <w:lang w:val="sk-SK"/>
        </w:rPr>
        <w:t xml:space="preserve">49 ml/min) </w:t>
      </w:r>
      <w:r w:rsidR="006B4074" w:rsidRPr="00821ADF">
        <w:rPr>
          <w:lang w:val="sk-SK"/>
        </w:rPr>
        <w:t>po</w:t>
      </w:r>
      <w:r w:rsidR="006B4074">
        <w:rPr>
          <w:lang w:val="sk-SK"/>
        </w:rPr>
        <w:t>ruchou</w:t>
      </w:r>
      <w:r w:rsidR="006B4074" w:rsidRPr="00821ADF">
        <w:rPr>
          <w:lang w:val="sk-SK"/>
        </w:rPr>
        <w:t xml:space="preserve"> </w:t>
      </w:r>
      <w:r w:rsidRPr="00821ADF">
        <w:rPr>
          <w:lang w:val="sk-SK"/>
        </w:rPr>
        <w:t>funkcie obličiek boli podobné ako u zdravých osôb.</w:t>
      </w:r>
    </w:p>
    <w:p w:rsidR="0026280D" w:rsidRPr="00821ADF" w:rsidRDefault="0026280D" w:rsidP="0026280D">
      <w:pPr>
        <w:pStyle w:val="Styl2"/>
        <w:numPr>
          <w:ilvl w:val="1"/>
          <w:numId w:val="3"/>
        </w:numPr>
        <w:spacing w:before="120" w:after="120"/>
        <w:ind w:left="357" w:hanging="357"/>
        <w:rPr>
          <w:lang w:val="sk-SK"/>
        </w:rPr>
      </w:pPr>
      <w:r w:rsidRPr="00821ADF">
        <w:rPr>
          <w:lang w:val="sk-SK"/>
        </w:rPr>
        <w:t>Predklinické údaje o bezpečnosti</w:t>
      </w:r>
    </w:p>
    <w:p w:rsidR="00C15776" w:rsidRDefault="0026280D" w:rsidP="0026280D">
      <w:pPr>
        <w:pStyle w:val="Normlndobloku"/>
        <w:rPr>
          <w:lang w:val="sk-SK"/>
        </w:rPr>
      </w:pPr>
      <w:r w:rsidRPr="00821ADF">
        <w:rPr>
          <w:lang w:val="sk-SK"/>
        </w:rPr>
        <w:t>Predklinické údaje získané na základe obvyklých farmakologických štúdií bezpečnosti, toxicity po opakovanom pod</w:t>
      </w:r>
      <w:r w:rsidR="006B4074">
        <w:rPr>
          <w:lang w:val="sk-SK"/>
        </w:rPr>
        <w:t>áv</w:t>
      </w:r>
      <w:r w:rsidRPr="00821ADF">
        <w:rPr>
          <w:lang w:val="sk-SK"/>
        </w:rPr>
        <w:t>aní a reprodukčnej toxicity neodhalili žiadne osobitné riziko pre ľudí.</w:t>
      </w:r>
    </w:p>
    <w:p w:rsidR="00C15776" w:rsidRDefault="00301BD2" w:rsidP="0026280D">
      <w:pPr>
        <w:pStyle w:val="Normlndobloku"/>
        <w:rPr>
          <w:lang w:val="sk-SK"/>
        </w:rPr>
      </w:pPr>
      <w:proofErr w:type="spellStart"/>
      <w:r>
        <w:rPr>
          <w:lang w:val="sk-SK"/>
        </w:rPr>
        <w:t>Razagilín</w:t>
      </w:r>
      <w:proofErr w:type="spellEnd"/>
      <w:r w:rsidR="0026280D" w:rsidRPr="00821ADF">
        <w:rPr>
          <w:lang w:val="sk-SK"/>
        </w:rPr>
        <w:t xml:space="preserve"> nepreukazoval </w:t>
      </w:r>
      <w:proofErr w:type="spellStart"/>
      <w:r w:rsidR="0026280D" w:rsidRPr="00821ADF">
        <w:rPr>
          <w:lang w:val="sk-SK"/>
        </w:rPr>
        <w:t>genotoxický</w:t>
      </w:r>
      <w:proofErr w:type="spellEnd"/>
      <w:r w:rsidR="0026280D" w:rsidRPr="00821ADF">
        <w:rPr>
          <w:lang w:val="sk-SK"/>
        </w:rPr>
        <w:t xml:space="preserve"> potenciál </w:t>
      </w:r>
      <w:r w:rsidR="0026280D" w:rsidRPr="00821ADF">
        <w:rPr>
          <w:i/>
          <w:lang w:val="sk-SK"/>
        </w:rPr>
        <w:t xml:space="preserve">in </w:t>
      </w:r>
      <w:proofErr w:type="spellStart"/>
      <w:r w:rsidR="0026280D" w:rsidRPr="00821ADF">
        <w:rPr>
          <w:i/>
          <w:lang w:val="sk-SK"/>
        </w:rPr>
        <w:t>vivo</w:t>
      </w:r>
      <w:proofErr w:type="spellEnd"/>
      <w:r w:rsidR="0026280D" w:rsidRPr="00821ADF">
        <w:rPr>
          <w:lang w:val="sk-SK"/>
        </w:rPr>
        <w:t xml:space="preserve"> a vo viacerých </w:t>
      </w:r>
      <w:r w:rsidR="0026280D" w:rsidRPr="00821ADF">
        <w:rPr>
          <w:i/>
          <w:lang w:val="sk-SK"/>
        </w:rPr>
        <w:t xml:space="preserve">in </w:t>
      </w:r>
      <w:proofErr w:type="spellStart"/>
      <w:r w:rsidR="0026280D" w:rsidRPr="00821ADF">
        <w:rPr>
          <w:i/>
          <w:lang w:val="sk-SK"/>
        </w:rPr>
        <w:t>vitro</w:t>
      </w:r>
      <w:proofErr w:type="spellEnd"/>
      <w:r w:rsidR="0026280D" w:rsidRPr="00821ADF">
        <w:rPr>
          <w:lang w:val="sk-SK"/>
        </w:rPr>
        <w:t xml:space="preserve"> systémoch používajúcich baktérie alebo </w:t>
      </w:r>
      <w:proofErr w:type="spellStart"/>
      <w:r w:rsidR="0026280D" w:rsidRPr="00821ADF">
        <w:rPr>
          <w:lang w:val="sk-SK"/>
        </w:rPr>
        <w:t>hepatocyty</w:t>
      </w:r>
      <w:proofErr w:type="spellEnd"/>
      <w:r w:rsidR="0026280D" w:rsidRPr="00821ADF">
        <w:rPr>
          <w:lang w:val="sk-SK"/>
        </w:rPr>
        <w:t xml:space="preserve">. Pri metabolickej aktivácii </w:t>
      </w:r>
      <w:proofErr w:type="spellStart"/>
      <w:r>
        <w:rPr>
          <w:lang w:val="sk-SK"/>
        </w:rPr>
        <w:t>razagilín</w:t>
      </w:r>
      <w:proofErr w:type="spellEnd"/>
      <w:r w:rsidR="0026280D" w:rsidRPr="00821ADF">
        <w:rPr>
          <w:lang w:val="sk-SK"/>
        </w:rPr>
        <w:t xml:space="preserve"> indukoval nárast </w:t>
      </w:r>
      <w:proofErr w:type="spellStart"/>
      <w:r w:rsidR="0026280D" w:rsidRPr="00821ADF">
        <w:rPr>
          <w:lang w:val="sk-SK"/>
        </w:rPr>
        <w:t>chromozomálnych</w:t>
      </w:r>
      <w:proofErr w:type="spellEnd"/>
      <w:r w:rsidR="0026280D" w:rsidRPr="00821ADF">
        <w:rPr>
          <w:lang w:val="sk-SK"/>
        </w:rPr>
        <w:t xml:space="preserve"> aberácii pri koncentráciách s nadmernou </w:t>
      </w:r>
      <w:proofErr w:type="spellStart"/>
      <w:r w:rsidR="0026280D" w:rsidRPr="00821ADF">
        <w:rPr>
          <w:lang w:val="sk-SK"/>
        </w:rPr>
        <w:t>cytotoxicitou</w:t>
      </w:r>
      <w:proofErr w:type="spellEnd"/>
      <w:r w:rsidR="0026280D" w:rsidRPr="00821ADF">
        <w:rPr>
          <w:lang w:val="sk-SK"/>
        </w:rPr>
        <w:t>, ktoré sú nedosiahnuteľné pri klinickom použití.</w:t>
      </w:r>
    </w:p>
    <w:p w:rsidR="00C15776" w:rsidRDefault="0026280D" w:rsidP="0026280D">
      <w:pPr>
        <w:pStyle w:val="Normlndobloku"/>
        <w:rPr>
          <w:lang w:val="sk-SK"/>
        </w:rPr>
      </w:pPr>
      <w:r w:rsidRPr="00821ADF">
        <w:rPr>
          <w:lang w:val="sk-SK"/>
        </w:rPr>
        <w:t xml:space="preserve">Pri systémovej expozícii u potkanov </w:t>
      </w:r>
      <w:proofErr w:type="spellStart"/>
      <w:r w:rsidR="00301BD2">
        <w:rPr>
          <w:lang w:val="sk-SK"/>
        </w:rPr>
        <w:t>razagilín</w:t>
      </w:r>
      <w:proofErr w:type="spellEnd"/>
      <w:r w:rsidR="00F46C74">
        <w:rPr>
          <w:lang w:val="sk-SK"/>
        </w:rPr>
        <w:t xml:space="preserve"> nebol karcinogénny pri 84 – </w:t>
      </w:r>
      <w:r w:rsidRPr="00821ADF">
        <w:rPr>
          <w:lang w:val="sk-SK"/>
        </w:rPr>
        <w:t xml:space="preserve">339-násobkoch očakávanej plazmatickej expozície u ľudí v dávke 1 mg/deň. U myší bol pozorovaný zvýšený výskyt kombinovaného bronchiálneho/alveolárneho </w:t>
      </w:r>
      <w:proofErr w:type="spellStart"/>
      <w:r w:rsidRPr="00821ADF">
        <w:rPr>
          <w:lang w:val="sk-SK"/>
        </w:rPr>
        <w:t>adenómu</w:t>
      </w:r>
      <w:proofErr w:type="spellEnd"/>
      <w:r w:rsidRPr="00821ADF">
        <w:rPr>
          <w:lang w:val="sk-SK"/>
        </w:rPr>
        <w:t xml:space="preserve"> a/alebo karcinómu pr</w:t>
      </w:r>
      <w:r w:rsidR="00F46C74">
        <w:rPr>
          <w:lang w:val="sk-SK"/>
        </w:rPr>
        <w:t>i systémovej expozícii pri 144 – </w:t>
      </w:r>
      <w:r w:rsidRPr="00821ADF">
        <w:rPr>
          <w:lang w:val="sk-SK"/>
        </w:rPr>
        <w:t>213-násobkoch očakávanej plazmatickej expozície u ľudí v dávke 1 mg/deň.</w:t>
      </w:r>
    </w:p>
    <w:p w:rsidR="0026280D" w:rsidRPr="00821ADF" w:rsidRDefault="0026280D" w:rsidP="0026280D">
      <w:pPr>
        <w:pStyle w:val="Styl1"/>
        <w:numPr>
          <w:ilvl w:val="0"/>
          <w:numId w:val="3"/>
        </w:numPr>
        <w:spacing w:before="480" w:after="120"/>
        <w:ind w:left="357" w:hanging="357"/>
        <w:rPr>
          <w:lang w:val="sk-SK"/>
        </w:rPr>
      </w:pPr>
      <w:r w:rsidRPr="00821ADF">
        <w:rPr>
          <w:lang w:val="sk-SK"/>
        </w:rPr>
        <w:t>FARMACEUTICKÉ INFORMÁCIE</w:t>
      </w:r>
    </w:p>
    <w:p w:rsidR="0026280D" w:rsidRPr="00821ADF" w:rsidRDefault="0026280D" w:rsidP="0026280D">
      <w:pPr>
        <w:pStyle w:val="Styl2"/>
        <w:numPr>
          <w:ilvl w:val="1"/>
          <w:numId w:val="3"/>
        </w:numPr>
        <w:spacing w:before="120" w:after="120"/>
        <w:ind w:left="357" w:hanging="357"/>
        <w:rPr>
          <w:lang w:val="sk-SK"/>
        </w:rPr>
      </w:pPr>
      <w:r w:rsidRPr="00821ADF">
        <w:rPr>
          <w:lang w:val="sk-SK"/>
        </w:rPr>
        <w:t>Zoznam pomocných látok</w:t>
      </w:r>
    </w:p>
    <w:p w:rsidR="0026280D" w:rsidRPr="00821ADF" w:rsidRDefault="0026280D" w:rsidP="0026280D">
      <w:pPr>
        <w:pStyle w:val="Normlndobloku"/>
        <w:rPr>
          <w:lang w:val="sk-SK"/>
        </w:rPr>
      </w:pPr>
      <w:r w:rsidRPr="00821ADF">
        <w:rPr>
          <w:lang w:val="sk-SK"/>
        </w:rPr>
        <w:t>Mikrokryštalická celulóza</w:t>
      </w:r>
    </w:p>
    <w:p w:rsidR="0026280D" w:rsidRPr="00821ADF" w:rsidRDefault="0026280D" w:rsidP="0026280D">
      <w:pPr>
        <w:pStyle w:val="Normlndobloku"/>
        <w:rPr>
          <w:lang w:val="sk-SK"/>
        </w:rPr>
      </w:pPr>
      <w:r w:rsidRPr="00821ADF">
        <w:rPr>
          <w:lang w:val="sk-SK"/>
        </w:rPr>
        <w:t>Kukuričný škrob</w:t>
      </w:r>
    </w:p>
    <w:p w:rsidR="0026280D" w:rsidRPr="00821ADF" w:rsidRDefault="0026280D" w:rsidP="0026280D">
      <w:pPr>
        <w:pStyle w:val="Normlndobloku"/>
        <w:rPr>
          <w:lang w:val="sk-SK"/>
        </w:rPr>
      </w:pPr>
      <w:proofErr w:type="spellStart"/>
      <w:r w:rsidRPr="00821ADF">
        <w:rPr>
          <w:lang w:val="sk-SK"/>
        </w:rPr>
        <w:t>Predželatínovaný</w:t>
      </w:r>
      <w:proofErr w:type="spellEnd"/>
      <w:r w:rsidRPr="00821ADF">
        <w:rPr>
          <w:lang w:val="sk-SK"/>
        </w:rPr>
        <w:t xml:space="preserve"> kukuričný škrob</w:t>
      </w:r>
    </w:p>
    <w:p w:rsidR="0026280D" w:rsidRPr="00821ADF" w:rsidRDefault="0026280D" w:rsidP="0026280D">
      <w:pPr>
        <w:pStyle w:val="Normlndobloku"/>
        <w:rPr>
          <w:lang w:val="sk-SK"/>
        </w:rPr>
      </w:pPr>
      <w:r w:rsidRPr="00821ADF">
        <w:rPr>
          <w:lang w:val="sk-SK"/>
        </w:rPr>
        <w:lastRenderedPageBreak/>
        <w:t>Mastenec</w:t>
      </w:r>
    </w:p>
    <w:p w:rsidR="0026280D" w:rsidRPr="00821ADF" w:rsidRDefault="00B56B63" w:rsidP="0026280D">
      <w:pPr>
        <w:pStyle w:val="Normlndobloku"/>
        <w:rPr>
          <w:lang w:val="sk-SK"/>
        </w:rPr>
      </w:pPr>
      <w:proofErr w:type="spellStart"/>
      <w:r>
        <w:rPr>
          <w:lang w:val="sk-SK"/>
        </w:rPr>
        <w:t>Stearylfumaran</w:t>
      </w:r>
      <w:proofErr w:type="spellEnd"/>
      <w:r w:rsidR="0026280D" w:rsidRPr="00821ADF">
        <w:rPr>
          <w:lang w:val="sk-SK"/>
        </w:rPr>
        <w:t xml:space="preserve"> sodný</w:t>
      </w:r>
    </w:p>
    <w:p w:rsidR="0026280D" w:rsidRPr="00821ADF" w:rsidRDefault="0026280D" w:rsidP="0026280D">
      <w:pPr>
        <w:pStyle w:val="Styl2"/>
        <w:numPr>
          <w:ilvl w:val="1"/>
          <w:numId w:val="3"/>
        </w:numPr>
        <w:spacing w:before="120" w:after="120"/>
        <w:ind w:left="357" w:hanging="357"/>
        <w:rPr>
          <w:lang w:val="sk-SK"/>
        </w:rPr>
      </w:pPr>
      <w:r w:rsidRPr="00821ADF">
        <w:rPr>
          <w:lang w:val="sk-SK"/>
        </w:rPr>
        <w:t>Inkompatibility</w:t>
      </w:r>
    </w:p>
    <w:p w:rsidR="0026280D" w:rsidRPr="00821ADF" w:rsidRDefault="0026280D" w:rsidP="0026280D">
      <w:pPr>
        <w:pStyle w:val="Normlndobloku"/>
        <w:rPr>
          <w:lang w:val="sk-SK"/>
        </w:rPr>
      </w:pPr>
      <w:r w:rsidRPr="00821ADF">
        <w:rPr>
          <w:lang w:val="sk-SK"/>
        </w:rPr>
        <w:t>Neaplikovateľné.</w:t>
      </w:r>
    </w:p>
    <w:p w:rsidR="0026280D" w:rsidRPr="00821ADF" w:rsidRDefault="0026280D" w:rsidP="0026280D">
      <w:pPr>
        <w:pStyle w:val="Styl2"/>
        <w:numPr>
          <w:ilvl w:val="1"/>
          <w:numId w:val="3"/>
        </w:numPr>
        <w:spacing w:before="120" w:after="120"/>
        <w:ind w:left="357" w:hanging="357"/>
        <w:rPr>
          <w:lang w:val="sk-SK"/>
        </w:rPr>
      </w:pPr>
      <w:r w:rsidRPr="00821ADF">
        <w:rPr>
          <w:lang w:val="sk-SK"/>
        </w:rPr>
        <w:t>Čas použiteľnosti</w:t>
      </w:r>
    </w:p>
    <w:p w:rsidR="0026280D" w:rsidRPr="00821ADF" w:rsidRDefault="0026280D" w:rsidP="0026280D">
      <w:pPr>
        <w:pStyle w:val="Normlndobloku"/>
        <w:rPr>
          <w:lang w:val="sk-SK"/>
        </w:rPr>
      </w:pPr>
      <w:r w:rsidRPr="00821ADF">
        <w:rPr>
          <w:lang w:val="sk-SK"/>
        </w:rPr>
        <w:t>3 roky</w:t>
      </w:r>
    </w:p>
    <w:p w:rsidR="0026280D" w:rsidRPr="00821ADF" w:rsidRDefault="0026280D" w:rsidP="0026280D">
      <w:pPr>
        <w:pStyle w:val="Styl2"/>
        <w:numPr>
          <w:ilvl w:val="1"/>
          <w:numId w:val="3"/>
        </w:numPr>
        <w:spacing w:before="120" w:after="120"/>
        <w:ind w:left="357" w:hanging="357"/>
        <w:rPr>
          <w:lang w:val="sk-SK"/>
        </w:rPr>
      </w:pPr>
      <w:r w:rsidRPr="00821ADF">
        <w:rPr>
          <w:lang w:val="sk-SK"/>
        </w:rPr>
        <w:t>Špeciálne upozornenia na uchovávanie</w:t>
      </w:r>
    </w:p>
    <w:p w:rsidR="0026280D" w:rsidRPr="00821ADF" w:rsidRDefault="0026280D" w:rsidP="0026280D">
      <w:pPr>
        <w:pStyle w:val="Normlndobloku"/>
        <w:rPr>
          <w:lang w:val="sk-SK"/>
        </w:rPr>
      </w:pPr>
      <w:r w:rsidRPr="00821ADF">
        <w:rPr>
          <w:lang w:val="sk-SK"/>
        </w:rPr>
        <w:t>Tento liek nevyžaduje žiadne zvláštne podmienky na uchovávanie.</w:t>
      </w:r>
    </w:p>
    <w:p w:rsidR="0026280D" w:rsidRPr="00821ADF" w:rsidRDefault="0026280D" w:rsidP="0026280D">
      <w:pPr>
        <w:pStyle w:val="Styl2"/>
        <w:numPr>
          <w:ilvl w:val="1"/>
          <w:numId w:val="3"/>
        </w:numPr>
        <w:spacing w:before="120" w:after="120"/>
        <w:ind w:left="357" w:hanging="357"/>
        <w:rPr>
          <w:lang w:val="sk-SK"/>
        </w:rPr>
      </w:pPr>
      <w:r w:rsidRPr="00821ADF">
        <w:rPr>
          <w:lang w:val="sk-SK"/>
        </w:rPr>
        <w:t>Druh obalu a obsah balenia</w:t>
      </w:r>
    </w:p>
    <w:p w:rsidR="0026280D" w:rsidRPr="00821ADF" w:rsidRDefault="0026280D" w:rsidP="0026280D">
      <w:pPr>
        <w:pStyle w:val="Normlndobloku"/>
        <w:rPr>
          <w:lang w:val="sk-SK"/>
        </w:rPr>
      </w:pPr>
      <w:proofErr w:type="spellStart"/>
      <w:r w:rsidRPr="00821ADF">
        <w:rPr>
          <w:lang w:val="sk-SK"/>
        </w:rPr>
        <w:t>Al</w:t>
      </w:r>
      <w:proofErr w:type="spellEnd"/>
      <w:r w:rsidRPr="00821ADF">
        <w:rPr>
          <w:lang w:val="sk-SK"/>
        </w:rPr>
        <w:t>/</w:t>
      </w:r>
      <w:proofErr w:type="spellStart"/>
      <w:r w:rsidRPr="00821ADF">
        <w:rPr>
          <w:lang w:val="sk-SK"/>
        </w:rPr>
        <w:t>Al</w:t>
      </w:r>
      <w:proofErr w:type="spellEnd"/>
      <w:r w:rsidRPr="00821ADF">
        <w:rPr>
          <w:lang w:val="sk-SK"/>
        </w:rPr>
        <w:t xml:space="preserve"> </w:t>
      </w:r>
      <w:proofErr w:type="spellStart"/>
      <w:r w:rsidRPr="00821ADF">
        <w:rPr>
          <w:lang w:val="sk-SK"/>
        </w:rPr>
        <w:t>blister</w:t>
      </w:r>
      <w:proofErr w:type="spellEnd"/>
      <w:r w:rsidRPr="00821ADF">
        <w:rPr>
          <w:lang w:val="sk-SK"/>
        </w:rPr>
        <w:t>, priehľadný PVC/PE/</w:t>
      </w:r>
      <w:proofErr w:type="spellStart"/>
      <w:r w:rsidRPr="00821ADF">
        <w:rPr>
          <w:lang w:val="sk-SK"/>
        </w:rPr>
        <w:t>PVdC</w:t>
      </w:r>
      <w:proofErr w:type="spellEnd"/>
      <w:r w:rsidRPr="00821ADF">
        <w:rPr>
          <w:lang w:val="sk-SK"/>
        </w:rPr>
        <w:t>/</w:t>
      </w:r>
      <w:proofErr w:type="spellStart"/>
      <w:r w:rsidRPr="00821ADF">
        <w:rPr>
          <w:lang w:val="sk-SK"/>
        </w:rPr>
        <w:t>Al</w:t>
      </w:r>
      <w:proofErr w:type="spellEnd"/>
      <w:r w:rsidRPr="00821ADF">
        <w:rPr>
          <w:lang w:val="sk-SK"/>
        </w:rPr>
        <w:t xml:space="preserve"> </w:t>
      </w:r>
      <w:proofErr w:type="spellStart"/>
      <w:r w:rsidRPr="00821ADF">
        <w:rPr>
          <w:lang w:val="sk-SK"/>
        </w:rPr>
        <w:t>blister</w:t>
      </w:r>
      <w:proofErr w:type="spellEnd"/>
    </w:p>
    <w:p w:rsidR="0026280D" w:rsidRPr="00821ADF" w:rsidRDefault="0026280D" w:rsidP="0026280D">
      <w:pPr>
        <w:pStyle w:val="Normlndobloku"/>
        <w:rPr>
          <w:lang w:val="sk-SK"/>
        </w:rPr>
      </w:pPr>
      <w:r w:rsidRPr="00821ADF">
        <w:rPr>
          <w:lang w:val="sk-SK"/>
        </w:rPr>
        <w:t>Veľkosť balenia: škatuľky po 7, 10, 28, 30, 60, a 100 tabliet</w:t>
      </w:r>
    </w:p>
    <w:p w:rsidR="0026280D" w:rsidRPr="00821ADF" w:rsidRDefault="0026280D" w:rsidP="0026280D">
      <w:pPr>
        <w:pStyle w:val="Normlndobloku"/>
        <w:rPr>
          <w:lang w:val="sk-SK"/>
        </w:rPr>
      </w:pPr>
      <w:r w:rsidRPr="00821ADF">
        <w:rPr>
          <w:lang w:val="sk-SK"/>
        </w:rPr>
        <w:t>HDPE fľaša s PP detským bezpečnostným uzáverom obsahujúcim pohlcovač vlhkosti (</w:t>
      </w:r>
      <w:proofErr w:type="spellStart"/>
      <w:r w:rsidRPr="00821ADF">
        <w:rPr>
          <w:lang w:val="sk-SK"/>
        </w:rPr>
        <w:t>silikagél</w:t>
      </w:r>
      <w:proofErr w:type="spellEnd"/>
      <w:r w:rsidRPr="00821ADF">
        <w:rPr>
          <w:lang w:val="sk-SK"/>
        </w:rPr>
        <w:t>)</w:t>
      </w:r>
    </w:p>
    <w:p w:rsidR="0026280D" w:rsidRPr="00821ADF" w:rsidRDefault="0026280D" w:rsidP="0026280D">
      <w:pPr>
        <w:pStyle w:val="Normlndobloku"/>
        <w:rPr>
          <w:lang w:val="sk-SK"/>
        </w:rPr>
      </w:pPr>
      <w:r w:rsidRPr="00821ADF">
        <w:rPr>
          <w:lang w:val="sk-SK"/>
        </w:rPr>
        <w:t>Veľkosť balenia: 30 tabliet.</w:t>
      </w:r>
    </w:p>
    <w:p w:rsidR="0026280D" w:rsidRPr="00821ADF" w:rsidRDefault="0026280D" w:rsidP="0026280D">
      <w:pPr>
        <w:pStyle w:val="Normlndobloku"/>
        <w:rPr>
          <w:lang w:val="sk-SK"/>
        </w:rPr>
      </w:pPr>
      <w:r w:rsidRPr="00821ADF">
        <w:rPr>
          <w:lang w:val="sk-SK"/>
        </w:rPr>
        <w:t>Na trh nemusia byť uvedené všetky veľkosti balenia.</w:t>
      </w:r>
    </w:p>
    <w:p w:rsidR="0026280D" w:rsidRPr="00821ADF" w:rsidRDefault="0026280D" w:rsidP="0026280D">
      <w:pPr>
        <w:pStyle w:val="Styl2"/>
        <w:numPr>
          <w:ilvl w:val="1"/>
          <w:numId w:val="3"/>
        </w:numPr>
        <w:spacing w:before="120" w:after="120"/>
        <w:ind w:left="357" w:hanging="357"/>
        <w:rPr>
          <w:lang w:val="sk-SK"/>
        </w:rPr>
      </w:pPr>
      <w:r w:rsidRPr="00821ADF">
        <w:rPr>
          <w:lang w:val="sk-SK"/>
        </w:rPr>
        <w:t>Špeciálne opatrenia na likvidáciu</w:t>
      </w:r>
    </w:p>
    <w:p w:rsidR="0026280D" w:rsidRPr="00821ADF" w:rsidRDefault="0026280D" w:rsidP="0026280D">
      <w:pPr>
        <w:pStyle w:val="Normlndobloku"/>
        <w:rPr>
          <w:lang w:val="sk-SK"/>
        </w:rPr>
      </w:pPr>
      <w:r w:rsidRPr="00821ADF">
        <w:rPr>
          <w:lang w:val="sk-SK"/>
        </w:rPr>
        <w:t>Žiadne zvláštne požiadavky na likvidáciu.</w:t>
      </w:r>
    </w:p>
    <w:p w:rsidR="0026280D" w:rsidRPr="00821ADF" w:rsidRDefault="0026280D" w:rsidP="0026280D">
      <w:pPr>
        <w:pStyle w:val="Styl1"/>
        <w:numPr>
          <w:ilvl w:val="0"/>
          <w:numId w:val="3"/>
        </w:numPr>
        <w:spacing w:before="480" w:after="120"/>
        <w:ind w:left="357" w:hanging="357"/>
        <w:rPr>
          <w:lang w:val="sk-SK"/>
        </w:rPr>
      </w:pPr>
      <w:r w:rsidRPr="00821ADF">
        <w:rPr>
          <w:lang w:val="sk-SK"/>
        </w:rPr>
        <w:t>DRŽITEĽ ROZHODNUTIA O REGISTRÁCII</w:t>
      </w:r>
    </w:p>
    <w:p w:rsidR="0026280D" w:rsidRPr="00821ADF" w:rsidRDefault="0026280D" w:rsidP="0026280D">
      <w:pPr>
        <w:pStyle w:val="Normlndobloku"/>
        <w:rPr>
          <w:lang w:val="sk-SK"/>
        </w:rPr>
      </w:pPr>
      <w:r w:rsidRPr="00821ADF">
        <w:rPr>
          <w:lang w:val="sk-SK"/>
        </w:rPr>
        <w:t xml:space="preserve">MEDOCHEMIE Ltd., 1-10 </w:t>
      </w:r>
      <w:proofErr w:type="spellStart"/>
      <w:r w:rsidRPr="00821ADF">
        <w:rPr>
          <w:lang w:val="sk-SK"/>
        </w:rPr>
        <w:t>Constantinoupoleos</w:t>
      </w:r>
      <w:proofErr w:type="spellEnd"/>
      <w:r w:rsidRPr="00821ADF">
        <w:rPr>
          <w:lang w:val="sk-SK"/>
        </w:rPr>
        <w:t xml:space="preserve"> </w:t>
      </w:r>
      <w:proofErr w:type="spellStart"/>
      <w:r w:rsidRPr="00821ADF">
        <w:rPr>
          <w:lang w:val="sk-SK"/>
        </w:rPr>
        <w:t>street</w:t>
      </w:r>
      <w:proofErr w:type="spellEnd"/>
      <w:r w:rsidRPr="00821ADF">
        <w:rPr>
          <w:lang w:val="sk-SK"/>
        </w:rPr>
        <w:t xml:space="preserve">, 3011 </w:t>
      </w:r>
      <w:proofErr w:type="spellStart"/>
      <w:r w:rsidRPr="00821ADF">
        <w:rPr>
          <w:lang w:val="sk-SK"/>
        </w:rPr>
        <w:t>Limassol</w:t>
      </w:r>
      <w:proofErr w:type="spellEnd"/>
      <w:r w:rsidRPr="00821ADF">
        <w:rPr>
          <w:lang w:val="sk-SK"/>
        </w:rPr>
        <w:t>, Cyprus</w:t>
      </w:r>
    </w:p>
    <w:p w:rsidR="0026280D" w:rsidRPr="00821ADF" w:rsidRDefault="0026280D" w:rsidP="0026280D">
      <w:pPr>
        <w:pStyle w:val="Styl1"/>
        <w:numPr>
          <w:ilvl w:val="0"/>
          <w:numId w:val="3"/>
        </w:numPr>
        <w:spacing w:before="480" w:after="120"/>
        <w:ind w:left="357" w:hanging="357"/>
        <w:rPr>
          <w:lang w:val="sk-SK"/>
        </w:rPr>
      </w:pPr>
      <w:r w:rsidRPr="00821ADF">
        <w:rPr>
          <w:lang w:val="sk-SK"/>
        </w:rPr>
        <w:t>REGISTRAČNÉ ČÍSLO</w:t>
      </w:r>
    </w:p>
    <w:p w:rsidR="0026280D" w:rsidRPr="00821ADF" w:rsidRDefault="00D01548" w:rsidP="0026280D">
      <w:pPr>
        <w:pStyle w:val="Normlndobloku"/>
        <w:rPr>
          <w:lang w:val="sk-SK"/>
        </w:rPr>
      </w:pPr>
      <w:r w:rsidRPr="00D01548">
        <w:rPr>
          <w:lang w:val="sk-SK"/>
        </w:rPr>
        <w:t>27/0494/15-S</w:t>
      </w:r>
    </w:p>
    <w:p w:rsidR="0026280D" w:rsidRPr="00821ADF" w:rsidRDefault="0026280D" w:rsidP="0026280D">
      <w:pPr>
        <w:pStyle w:val="Styl1"/>
        <w:numPr>
          <w:ilvl w:val="0"/>
          <w:numId w:val="3"/>
        </w:numPr>
        <w:spacing w:before="480" w:after="120"/>
        <w:ind w:left="357" w:hanging="357"/>
        <w:rPr>
          <w:lang w:val="sk-SK"/>
        </w:rPr>
      </w:pPr>
      <w:r w:rsidRPr="00821ADF">
        <w:rPr>
          <w:lang w:val="sk-SK"/>
        </w:rPr>
        <w:t>DÁTUM PRVEJ REGISTRÁCIE</w:t>
      </w:r>
    </w:p>
    <w:p w:rsidR="0026280D" w:rsidRPr="00821ADF" w:rsidRDefault="0026280D" w:rsidP="0026280D">
      <w:pPr>
        <w:pStyle w:val="Normlndobloku"/>
        <w:rPr>
          <w:lang w:val="sk-SK"/>
        </w:rPr>
      </w:pPr>
      <w:r w:rsidRPr="00821ADF">
        <w:rPr>
          <w:lang w:val="sk-SK"/>
        </w:rPr>
        <w:t xml:space="preserve">Dátum prvej registrácie: </w:t>
      </w:r>
    </w:p>
    <w:p w:rsidR="0026280D" w:rsidRPr="00821ADF" w:rsidRDefault="0026280D" w:rsidP="0026280D">
      <w:pPr>
        <w:pStyle w:val="Normlndobloku"/>
        <w:rPr>
          <w:lang w:val="sk-SK"/>
        </w:rPr>
      </w:pPr>
      <w:r w:rsidRPr="00821ADF">
        <w:rPr>
          <w:lang w:val="sk-SK"/>
        </w:rPr>
        <w:t>Dátum posledného predĺženia registrácie:</w:t>
      </w:r>
    </w:p>
    <w:p w:rsidR="0026280D" w:rsidRPr="00821ADF" w:rsidRDefault="0026280D" w:rsidP="0026280D">
      <w:pPr>
        <w:pStyle w:val="Styl1"/>
        <w:numPr>
          <w:ilvl w:val="0"/>
          <w:numId w:val="3"/>
        </w:numPr>
        <w:spacing w:before="480" w:after="120"/>
        <w:ind w:left="357" w:hanging="357"/>
        <w:rPr>
          <w:lang w:val="sk-SK"/>
        </w:rPr>
      </w:pPr>
      <w:r w:rsidRPr="00821ADF">
        <w:rPr>
          <w:lang w:val="sk-SK"/>
        </w:rPr>
        <w:t>DÁTUM REVÍZIE TEXTU</w:t>
      </w:r>
    </w:p>
    <w:p w:rsidR="0026280D" w:rsidRPr="00821ADF" w:rsidRDefault="00A0612C" w:rsidP="0026280D">
      <w:pPr>
        <w:pStyle w:val="Normlndobloku"/>
        <w:rPr>
          <w:lang w:val="sk-SK"/>
        </w:rPr>
      </w:pPr>
      <w:r>
        <w:rPr>
          <w:lang w:val="sk-SK"/>
        </w:rPr>
        <w:t>Január</w:t>
      </w:r>
      <w:r w:rsidR="00D01548">
        <w:rPr>
          <w:lang w:val="sk-SK"/>
        </w:rPr>
        <w:t xml:space="preserve"> 201</w:t>
      </w:r>
      <w:r w:rsidR="00DF457F">
        <w:rPr>
          <w:lang w:val="sk-SK"/>
        </w:rPr>
        <w:t>6</w:t>
      </w:r>
    </w:p>
    <w:p w:rsidR="001A7EF1" w:rsidRPr="00821ADF" w:rsidRDefault="001A7EF1">
      <w:pPr>
        <w:rPr>
          <w:lang w:val="sk-SK"/>
        </w:rPr>
      </w:pPr>
    </w:p>
    <w:sectPr w:rsidR="001A7EF1" w:rsidRPr="00821ADF" w:rsidSect="00D54CDD"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417" w:right="1417" w:bottom="1417" w:left="1417" w:header="709" w:footer="709" w:gutter="0"/>
      <w:cols w:space="708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075F" w:rsidRDefault="0007075F">
      <w:r>
        <w:separator/>
      </w:r>
    </w:p>
  </w:endnote>
  <w:endnote w:type="continuationSeparator" w:id="0">
    <w:p w:rsidR="0007075F" w:rsidRDefault="000707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7" w:usb1="08070000" w:usb2="00000010" w:usb3="00000000" w:csb0="00020003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Times-New-Roman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Times-New-Roman,Italic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Times-New-Roman,Bold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4CDD" w:rsidRDefault="004A1DBA" w:rsidP="00D54CDD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 w:rsidR="00D54CDD"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D54CDD" w:rsidRDefault="00D54CDD" w:rsidP="00D54CDD">
    <w:pPr>
      <w:pStyle w:val="Pt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4CDD" w:rsidRPr="00BA12C4" w:rsidRDefault="004A1DBA" w:rsidP="00D54CDD">
    <w:pPr>
      <w:pStyle w:val="Pta"/>
      <w:jc w:val="center"/>
      <w:rPr>
        <w:szCs w:val="22"/>
      </w:rPr>
    </w:pPr>
    <w:r w:rsidRPr="00BA12C4">
      <w:rPr>
        <w:szCs w:val="22"/>
      </w:rPr>
      <w:fldChar w:fldCharType="begin"/>
    </w:r>
    <w:r w:rsidR="00D54CDD" w:rsidRPr="00BA12C4">
      <w:rPr>
        <w:szCs w:val="22"/>
      </w:rPr>
      <w:instrText>PAGE</w:instrText>
    </w:r>
    <w:r w:rsidRPr="00BA12C4">
      <w:rPr>
        <w:szCs w:val="22"/>
      </w:rPr>
      <w:fldChar w:fldCharType="separate"/>
    </w:r>
    <w:r w:rsidR="00DF457F">
      <w:rPr>
        <w:noProof/>
        <w:szCs w:val="22"/>
      </w:rPr>
      <w:t>9</w:t>
    </w:r>
    <w:r w:rsidRPr="00BA12C4">
      <w:rPr>
        <w:szCs w:val="22"/>
      </w:rPr>
      <w:fldChar w:fldCharType="end"/>
    </w:r>
    <w:r w:rsidR="00D54CDD" w:rsidRPr="00BA12C4">
      <w:rPr>
        <w:szCs w:val="22"/>
      </w:rPr>
      <w:t>/</w:t>
    </w:r>
    <w:r w:rsidRPr="00BA12C4">
      <w:rPr>
        <w:szCs w:val="22"/>
      </w:rPr>
      <w:fldChar w:fldCharType="begin"/>
    </w:r>
    <w:r w:rsidR="00D54CDD" w:rsidRPr="00BA12C4">
      <w:rPr>
        <w:szCs w:val="22"/>
      </w:rPr>
      <w:instrText>NUMPAGES</w:instrText>
    </w:r>
    <w:r w:rsidRPr="00BA12C4">
      <w:rPr>
        <w:szCs w:val="22"/>
      </w:rPr>
      <w:fldChar w:fldCharType="separate"/>
    </w:r>
    <w:r w:rsidR="00DF457F">
      <w:rPr>
        <w:noProof/>
        <w:szCs w:val="22"/>
      </w:rPr>
      <w:t>9</w:t>
    </w:r>
    <w:r w:rsidRPr="00BA12C4">
      <w:rPr>
        <w:szCs w:val="22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4CDD" w:rsidRPr="00BA12C4" w:rsidRDefault="004A1DBA" w:rsidP="00D54CDD">
    <w:pPr>
      <w:pStyle w:val="Pta"/>
      <w:jc w:val="center"/>
      <w:rPr>
        <w:szCs w:val="22"/>
      </w:rPr>
    </w:pPr>
    <w:r w:rsidRPr="00BA12C4">
      <w:rPr>
        <w:szCs w:val="22"/>
      </w:rPr>
      <w:fldChar w:fldCharType="begin"/>
    </w:r>
    <w:r w:rsidR="00D54CDD" w:rsidRPr="00BA12C4">
      <w:rPr>
        <w:szCs w:val="22"/>
      </w:rPr>
      <w:instrText>PAGE</w:instrText>
    </w:r>
    <w:r w:rsidRPr="00BA12C4">
      <w:rPr>
        <w:szCs w:val="22"/>
      </w:rPr>
      <w:fldChar w:fldCharType="separate"/>
    </w:r>
    <w:r w:rsidR="00DF457F">
      <w:rPr>
        <w:noProof/>
        <w:szCs w:val="22"/>
      </w:rPr>
      <w:t>1</w:t>
    </w:r>
    <w:r w:rsidRPr="00BA12C4">
      <w:rPr>
        <w:szCs w:val="22"/>
      </w:rPr>
      <w:fldChar w:fldCharType="end"/>
    </w:r>
    <w:r w:rsidR="00D54CDD" w:rsidRPr="00BA12C4">
      <w:rPr>
        <w:szCs w:val="22"/>
      </w:rPr>
      <w:t>/</w:t>
    </w:r>
    <w:r w:rsidRPr="00BA12C4">
      <w:rPr>
        <w:szCs w:val="22"/>
      </w:rPr>
      <w:fldChar w:fldCharType="begin"/>
    </w:r>
    <w:r w:rsidR="00D54CDD" w:rsidRPr="00BA12C4">
      <w:rPr>
        <w:szCs w:val="22"/>
      </w:rPr>
      <w:instrText>NUMPAGES</w:instrText>
    </w:r>
    <w:r w:rsidRPr="00BA12C4">
      <w:rPr>
        <w:szCs w:val="22"/>
      </w:rPr>
      <w:fldChar w:fldCharType="separate"/>
    </w:r>
    <w:r w:rsidR="00DF457F">
      <w:rPr>
        <w:noProof/>
        <w:szCs w:val="22"/>
      </w:rPr>
      <w:t>1</w:t>
    </w:r>
    <w:r w:rsidRPr="00BA12C4">
      <w:rPr>
        <w:szCs w:val="22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075F" w:rsidRDefault="0007075F">
      <w:r>
        <w:separator/>
      </w:r>
    </w:p>
  </w:footnote>
  <w:footnote w:type="continuationSeparator" w:id="0">
    <w:p w:rsidR="0007075F" w:rsidRDefault="0007075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4CDD" w:rsidRPr="0017401B" w:rsidRDefault="00D54CDD" w:rsidP="00D54CDD">
    <w:pPr>
      <w:outlineLvl w:val="0"/>
      <w:rPr>
        <w:noProof/>
        <w:sz w:val="18"/>
        <w:szCs w:val="18"/>
        <w:lang w:val="sk-SK" w:eastAsia="en-GB"/>
      </w:rPr>
    </w:pPr>
    <w:r w:rsidRPr="00601450">
      <w:rPr>
        <w:noProof/>
        <w:sz w:val="18"/>
        <w:szCs w:val="18"/>
        <w:lang w:val="sk-SK" w:eastAsia="en-GB"/>
      </w:rPr>
      <w:t>Schválený text</w:t>
    </w:r>
    <w:r w:rsidRPr="00601450">
      <w:rPr>
        <w:sz w:val="18"/>
        <w:szCs w:val="18"/>
        <w:lang w:val="sk-SK"/>
      </w:rPr>
      <w:t xml:space="preserve"> k</w:t>
    </w:r>
    <w:r w:rsidRPr="00601450">
      <w:rPr>
        <w:noProof/>
        <w:sz w:val="18"/>
        <w:szCs w:val="18"/>
        <w:lang w:val="sk-SK" w:eastAsia="en-GB"/>
      </w:rPr>
      <w:t xml:space="preserve"> r</w:t>
    </w:r>
    <w:r w:rsidRPr="00601450">
      <w:rPr>
        <w:sz w:val="18"/>
        <w:szCs w:val="18"/>
        <w:lang w:val="sk-SK"/>
      </w:rPr>
      <w:t>ozhodnutiu o </w:t>
    </w:r>
    <w:r w:rsidRPr="0017401B">
      <w:rPr>
        <w:noProof/>
        <w:sz w:val="18"/>
        <w:szCs w:val="18"/>
        <w:lang w:val="sk-SK" w:eastAsia="en-GB"/>
      </w:rPr>
      <w:t>registrácii</w:t>
    </w:r>
    <w:r w:rsidRPr="00601450">
      <w:rPr>
        <w:sz w:val="18"/>
        <w:szCs w:val="18"/>
        <w:lang w:val="sk-SK"/>
      </w:rPr>
      <w:t xml:space="preserve">, </w:t>
    </w:r>
    <w:proofErr w:type="spellStart"/>
    <w:r w:rsidRPr="00601450">
      <w:rPr>
        <w:sz w:val="18"/>
        <w:szCs w:val="18"/>
        <w:lang w:val="sk-SK"/>
      </w:rPr>
      <w:t>evid.č</w:t>
    </w:r>
    <w:proofErr w:type="spellEnd"/>
    <w:r w:rsidRPr="00601450">
      <w:rPr>
        <w:sz w:val="18"/>
        <w:szCs w:val="18"/>
        <w:lang w:val="sk-SK"/>
      </w:rPr>
      <w:t>.:</w:t>
    </w:r>
    <w:r w:rsidRPr="00301BD2">
      <w:t xml:space="preserve"> </w:t>
    </w:r>
    <w:r w:rsidRPr="00301BD2">
      <w:rPr>
        <w:sz w:val="18"/>
        <w:szCs w:val="18"/>
        <w:lang w:val="sk-SK"/>
      </w:rPr>
      <w:t>2015/01373-REG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4C7DB5"/>
    <w:multiLevelType w:val="hybridMultilevel"/>
    <w:tmpl w:val="51126F88"/>
    <w:lvl w:ilvl="0" w:tplc="2CE85030">
      <w:start w:val="1"/>
      <w:numFmt w:val="bullet"/>
      <w:pStyle w:val="Normlndoblokusodrkami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EF0F49"/>
    <w:multiLevelType w:val="multilevel"/>
    <w:tmpl w:val="9670B2CC"/>
    <w:lvl w:ilvl="0">
      <w:start w:val="1"/>
      <w:numFmt w:val="bullet"/>
      <w:lvlText w:val="o"/>
      <w:lvlJc w:val="left"/>
      <w:pPr>
        <w:ind w:left="720" w:hanging="360"/>
      </w:pPr>
      <w:rPr>
        <w:rFonts w:ascii="Times New Roman" w:hAnsi="Times New Roman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7086226"/>
    <w:multiLevelType w:val="hybridMultilevel"/>
    <w:tmpl w:val="C2F02C7A"/>
    <w:lvl w:ilvl="0" w:tplc="9288F23A">
      <w:start w:val="1"/>
      <w:numFmt w:val="bullet"/>
      <w:pStyle w:val="Odrky2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AAD4AA7"/>
    <w:multiLevelType w:val="multilevel"/>
    <w:tmpl w:val="92AA18E2"/>
    <w:lvl w:ilvl="0">
      <w:start w:val="1"/>
      <w:numFmt w:val="decimal"/>
      <w:pStyle w:val="Styl1PI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Styl2"/>
      <w:lvlText w:val="%1.%2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3"/>
  </w:num>
  <w:num w:numId="5">
    <w:abstractNumId w:val="0"/>
  </w:num>
  <w:num w:numId="6">
    <w:abstractNumId w:val="2"/>
  </w:num>
  <w:num w:numId="7">
    <w:abstractNumId w:val="3"/>
  </w:num>
  <w:num w:numId="8">
    <w:abstractNumId w:val="3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102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6280D"/>
    <w:rsid w:val="0007075F"/>
    <w:rsid w:val="0017719F"/>
    <w:rsid w:val="001858BD"/>
    <w:rsid w:val="001A7EF1"/>
    <w:rsid w:val="001D7112"/>
    <w:rsid w:val="00205B0C"/>
    <w:rsid w:val="0026280D"/>
    <w:rsid w:val="00301BD2"/>
    <w:rsid w:val="003119E1"/>
    <w:rsid w:val="003305A9"/>
    <w:rsid w:val="003331CE"/>
    <w:rsid w:val="003C7503"/>
    <w:rsid w:val="003D09C3"/>
    <w:rsid w:val="003E7519"/>
    <w:rsid w:val="003F00EC"/>
    <w:rsid w:val="00427E12"/>
    <w:rsid w:val="00473F41"/>
    <w:rsid w:val="00496A71"/>
    <w:rsid w:val="004A1DBA"/>
    <w:rsid w:val="004B3CF6"/>
    <w:rsid w:val="00587EE3"/>
    <w:rsid w:val="005900C4"/>
    <w:rsid w:val="00600618"/>
    <w:rsid w:val="00604B1D"/>
    <w:rsid w:val="00623DA1"/>
    <w:rsid w:val="006B4074"/>
    <w:rsid w:val="007345DB"/>
    <w:rsid w:val="00743910"/>
    <w:rsid w:val="007608C3"/>
    <w:rsid w:val="0077319A"/>
    <w:rsid w:val="00782DCE"/>
    <w:rsid w:val="00784AF1"/>
    <w:rsid w:val="0079061C"/>
    <w:rsid w:val="007D1923"/>
    <w:rsid w:val="007F5F0D"/>
    <w:rsid w:val="00821ADF"/>
    <w:rsid w:val="008E243E"/>
    <w:rsid w:val="0090752E"/>
    <w:rsid w:val="00937441"/>
    <w:rsid w:val="00997BBC"/>
    <w:rsid w:val="009D7C0A"/>
    <w:rsid w:val="00A00529"/>
    <w:rsid w:val="00A0612C"/>
    <w:rsid w:val="00A26F45"/>
    <w:rsid w:val="00A554E0"/>
    <w:rsid w:val="00B000F2"/>
    <w:rsid w:val="00B56B63"/>
    <w:rsid w:val="00B94D60"/>
    <w:rsid w:val="00C15776"/>
    <w:rsid w:val="00C24D61"/>
    <w:rsid w:val="00C635F6"/>
    <w:rsid w:val="00C914C9"/>
    <w:rsid w:val="00CE7DAF"/>
    <w:rsid w:val="00D01548"/>
    <w:rsid w:val="00D54CDD"/>
    <w:rsid w:val="00D72B76"/>
    <w:rsid w:val="00DF457F"/>
    <w:rsid w:val="00E827F3"/>
    <w:rsid w:val="00F46C74"/>
    <w:rsid w:val="00F62D26"/>
    <w:rsid w:val="00F937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Calibr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94D60"/>
    <w:pPr>
      <w:spacing w:after="0" w:line="240" w:lineRule="auto"/>
    </w:pPr>
    <w:rPr>
      <w:rFonts w:ascii="Times New Roman" w:eastAsia="Times New Roman" w:hAnsi="Times New Roman" w:cs="Times New Roman"/>
      <w:szCs w:val="24"/>
      <w:lang w:val="el-GR" w:eastAsia="el-GR"/>
    </w:rPr>
  </w:style>
  <w:style w:type="paragraph" w:styleId="Nadpis1">
    <w:name w:val="heading 1"/>
    <w:basedOn w:val="Normlny"/>
    <w:next w:val="Normlny"/>
    <w:link w:val="Nadpis1Char"/>
    <w:qFormat/>
    <w:rsid w:val="001858BD"/>
    <w:pPr>
      <w:keepNext/>
      <w:jc w:val="center"/>
      <w:outlineLvl w:val="0"/>
    </w:pPr>
    <w:rPr>
      <w:rFonts w:ascii="Arial" w:hAnsi="Arial"/>
      <w:b/>
      <w:sz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atn">
    <w:name w:val="atn"/>
    <w:rsid w:val="009D7C0A"/>
  </w:style>
  <w:style w:type="paragraph" w:customStyle="1" w:styleId="Bacil">
    <w:name w:val="Bacil"/>
    <w:basedOn w:val="Normlny"/>
    <w:autoRedefine/>
    <w:qFormat/>
    <w:rsid w:val="001858BD"/>
    <w:pPr>
      <w:spacing w:after="120"/>
    </w:pPr>
    <w:rPr>
      <w:i/>
    </w:rPr>
  </w:style>
  <w:style w:type="paragraph" w:customStyle="1" w:styleId="Default">
    <w:name w:val="Default"/>
    <w:rsid w:val="001858B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character" w:styleId="Hypertextovprepojenie">
    <w:name w:val="Hyperlink"/>
    <w:rsid w:val="001858BD"/>
    <w:rPr>
      <w:color w:val="0000FF"/>
      <w:u w:val="single"/>
    </w:rPr>
  </w:style>
  <w:style w:type="character" w:customStyle="1" w:styleId="Nadpis1Char">
    <w:name w:val="Nadpis 1 Char"/>
    <w:basedOn w:val="Predvolenpsmoodseku"/>
    <w:link w:val="Nadpis1"/>
    <w:rsid w:val="001858BD"/>
    <w:rPr>
      <w:rFonts w:ascii="Arial" w:hAnsi="Arial" w:cs="Times New Roman"/>
      <w:b/>
      <w:sz w:val="28"/>
    </w:rPr>
  </w:style>
  <w:style w:type="paragraph" w:customStyle="1" w:styleId="Normlndobloku">
    <w:name w:val="Normální do bloku"/>
    <w:basedOn w:val="Normlny"/>
    <w:link w:val="NormlndoblokuChar"/>
    <w:autoRedefine/>
    <w:rsid w:val="001858BD"/>
    <w:pPr>
      <w:suppressAutoHyphens/>
      <w:spacing w:after="120"/>
      <w:jc w:val="both"/>
    </w:pPr>
    <w:rPr>
      <w:rFonts w:ascii="TimesNewRoman" w:hAnsi="TimesNewRoman"/>
    </w:rPr>
  </w:style>
  <w:style w:type="character" w:customStyle="1" w:styleId="NormlndoblokuChar">
    <w:name w:val="Normální do bloku Char"/>
    <w:link w:val="Normlndobloku"/>
    <w:locked/>
    <w:rsid w:val="001858BD"/>
    <w:rPr>
      <w:rFonts w:ascii="TimesNewRoman" w:eastAsia="Times New Roman" w:hAnsi="TimesNewRoman" w:cs="Times New Roman"/>
      <w:szCs w:val="24"/>
    </w:rPr>
  </w:style>
  <w:style w:type="paragraph" w:customStyle="1" w:styleId="Tabulkynormlndoblokuzarovnndoleva">
    <w:name w:val="Tabulky = normální do bloku + zarovnání doleva"/>
    <w:basedOn w:val="Normlndobloku"/>
    <w:autoRedefine/>
    <w:rsid w:val="001858BD"/>
    <w:pPr>
      <w:jc w:val="left"/>
    </w:pPr>
    <w:rPr>
      <w:rFonts w:eastAsia="Calibri"/>
      <w:szCs w:val="20"/>
    </w:rPr>
  </w:style>
  <w:style w:type="paragraph" w:customStyle="1" w:styleId="Nadpisuvnittabulky">
    <w:name w:val="Nadpis uvnitř tabulky"/>
    <w:basedOn w:val="Tabulkynormlndoblokuzarovnndoleva"/>
    <w:autoRedefine/>
    <w:qFormat/>
    <w:rsid w:val="001858BD"/>
    <w:pPr>
      <w:spacing w:before="120"/>
    </w:pPr>
    <w:rPr>
      <w:b/>
    </w:rPr>
  </w:style>
  <w:style w:type="paragraph" w:styleId="Nzov">
    <w:name w:val="Title"/>
    <w:basedOn w:val="Normlny"/>
    <w:link w:val="NzovChar"/>
    <w:qFormat/>
    <w:rsid w:val="001858BD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NzovChar">
    <w:name w:val="Názov Char"/>
    <w:basedOn w:val="Predvolenpsmoodseku"/>
    <w:link w:val="Nzov"/>
    <w:rsid w:val="001858BD"/>
    <w:rPr>
      <w:rFonts w:ascii="Arial" w:hAnsi="Arial" w:cs="Arial"/>
      <w:b/>
      <w:bCs/>
      <w:kern w:val="28"/>
      <w:sz w:val="32"/>
      <w:szCs w:val="32"/>
    </w:rPr>
  </w:style>
  <w:style w:type="paragraph" w:customStyle="1" w:styleId="Normlndoblokusodrkami">
    <w:name w:val="Normální do bloku s odrážkami"/>
    <w:basedOn w:val="Normlndobloku"/>
    <w:next w:val="Normlndobloku"/>
    <w:autoRedefine/>
    <w:qFormat/>
    <w:rsid w:val="001858BD"/>
    <w:pPr>
      <w:numPr>
        <w:numId w:val="5"/>
      </w:numPr>
    </w:pPr>
    <w:rPr>
      <w:noProof/>
    </w:rPr>
  </w:style>
  <w:style w:type="character" w:styleId="Odkaznakomentr">
    <w:name w:val="annotation reference"/>
    <w:basedOn w:val="Predvolenpsmoodseku"/>
    <w:uiPriority w:val="99"/>
    <w:semiHidden/>
    <w:unhideWhenUsed/>
    <w:rsid w:val="001858BD"/>
    <w:rPr>
      <w:sz w:val="16"/>
      <w:szCs w:val="16"/>
    </w:rPr>
  </w:style>
  <w:style w:type="paragraph" w:customStyle="1" w:styleId="Odrky2">
    <w:name w:val="Odrážky 2"/>
    <w:basedOn w:val="Normlndoblokusodrkami"/>
    <w:autoRedefine/>
    <w:qFormat/>
    <w:rsid w:val="001858BD"/>
    <w:pPr>
      <w:numPr>
        <w:numId w:val="6"/>
      </w:numPr>
    </w:p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858BD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858BD"/>
    <w:rPr>
      <w:rFonts w:ascii="Times New Roman" w:hAnsi="Times New Roman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1858BD"/>
    <w:pPr>
      <w:spacing w:after="200"/>
    </w:pPr>
    <w:rPr>
      <w:rFonts w:ascii="Calibri" w:hAnsi="Calibri"/>
      <w:b/>
      <w:bCs/>
      <w:lang w:val="en-GB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858BD"/>
    <w:rPr>
      <w:rFonts w:ascii="Calibri" w:hAnsi="Calibri" w:cs="Times New Roman"/>
      <w:b/>
      <w:bCs/>
      <w:sz w:val="20"/>
      <w:szCs w:val="20"/>
      <w:lang w:val="en-GB"/>
    </w:rPr>
  </w:style>
  <w:style w:type="paragraph" w:customStyle="1" w:styleId="SPCaPILhlavika">
    <w:name w:val="SPC a PIL hlavička"/>
    <w:basedOn w:val="Normlny"/>
    <w:autoRedefine/>
    <w:qFormat/>
    <w:rsid w:val="00B94D60"/>
    <w:pPr>
      <w:spacing w:before="240" w:after="120"/>
      <w:jc w:val="center"/>
    </w:pPr>
    <w:rPr>
      <w:b/>
      <w:szCs w:val="20"/>
    </w:rPr>
  </w:style>
  <w:style w:type="paragraph" w:customStyle="1" w:styleId="SPCnadpis">
    <w:name w:val="SPC nadpis"/>
    <w:basedOn w:val="Nadpis1"/>
    <w:rsid w:val="001858BD"/>
    <w:pPr>
      <w:keepNext w:val="0"/>
      <w:keepLines/>
      <w:spacing w:before="480" w:after="120"/>
      <w:ind w:left="357" w:hanging="357"/>
      <w:jc w:val="left"/>
    </w:pPr>
    <w:rPr>
      <w:rFonts w:ascii="Times New Roman" w:hAnsi="Times New Roman"/>
      <w:bCs/>
      <w:color w:val="365F91"/>
      <w:sz w:val="22"/>
      <w:szCs w:val="28"/>
      <w:lang w:val="en-US"/>
    </w:rPr>
  </w:style>
  <w:style w:type="paragraph" w:customStyle="1" w:styleId="Styl1">
    <w:name w:val="Styl1"/>
    <w:basedOn w:val="Normlny"/>
    <w:link w:val="Styl1Char"/>
    <w:autoRedefine/>
    <w:rsid w:val="00CE7DAF"/>
    <w:pPr>
      <w:keepNext/>
      <w:spacing w:before="360" w:after="240"/>
    </w:pPr>
    <w:rPr>
      <w:b/>
      <w:bCs/>
      <w:caps/>
    </w:rPr>
  </w:style>
  <w:style w:type="paragraph" w:customStyle="1" w:styleId="Styl2">
    <w:name w:val="Styl2"/>
    <w:basedOn w:val="Normlny"/>
    <w:autoRedefine/>
    <w:rsid w:val="001858BD"/>
    <w:pPr>
      <w:keepNext/>
      <w:numPr>
        <w:ilvl w:val="1"/>
        <w:numId w:val="8"/>
      </w:numPr>
      <w:spacing w:before="240" w:after="160"/>
    </w:pPr>
    <w:rPr>
      <w:b/>
      <w:bCs/>
    </w:rPr>
  </w:style>
  <w:style w:type="paragraph" w:customStyle="1" w:styleId="Styl2PIL">
    <w:name w:val="Styl2 PIL"/>
    <w:basedOn w:val="Normlny"/>
    <w:autoRedefine/>
    <w:rsid w:val="001858BD"/>
    <w:pPr>
      <w:keepNext/>
      <w:spacing w:before="240" w:after="120"/>
    </w:pPr>
    <w:rPr>
      <w:b/>
      <w:bCs/>
    </w:rPr>
  </w:style>
  <w:style w:type="paragraph" w:customStyle="1" w:styleId="Styl2SPC">
    <w:name w:val="Styl2 SPC"/>
    <w:basedOn w:val="Normlny"/>
    <w:autoRedefine/>
    <w:rsid w:val="001858BD"/>
    <w:pPr>
      <w:keepNext/>
      <w:spacing w:before="240" w:after="120"/>
    </w:pPr>
    <w:rPr>
      <w:b/>
      <w:bCs/>
    </w:rPr>
  </w:style>
  <w:style w:type="paragraph" w:customStyle="1" w:styleId="Styl2-2">
    <w:name w:val="Styl2-2"/>
    <w:basedOn w:val="Styl2"/>
    <w:next w:val="Normlndobloku"/>
    <w:autoRedefine/>
    <w:qFormat/>
    <w:rsid w:val="001858BD"/>
    <w:pPr>
      <w:numPr>
        <w:numId w:val="0"/>
      </w:numPr>
      <w:tabs>
        <w:tab w:val="left" w:pos="720"/>
      </w:tabs>
    </w:pPr>
    <w:rPr>
      <w:lang w:val="en-GB"/>
    </w:rPr>
  </w:style>
  <w:style w:type="paragraph" w:customStyle="1" w:styleId="Styl3">
    <w:name w:val="Styl3"/>
    <w:basedOn w:val="Normlndobloku"/>
    <w:link w:val="Styl3Char"/>
    <w:rsid w:val="001858BD"/>
    <w:pPr>
      <w:tabs>
        <w:tab w:val="left" w:pos="6946"/>
      </w:tabs>
      <w:suppressAutoHyphens w:val="0"/>
      <w:spacing w:before="240"/>
    </w:pPr>
    <w:rPr>
      <w:rFonts w:ascii="Times New Roman" w:hAnsi="Times New Roman"/>
      <w:u w:val="single"/>
      <w:lang w:eastAsia="cs-CZ"/>
    </w:rPr>
  </w:style>
  <w:style w:type="character" w:customStyle="1" w:styleId="Styl3Char">
    <w:name w:val="Styl3 Char"/>
    <w:link w:val="Styl3"/>
    <w:locked/>
    <w:rsid w:val="001858BD"/>
    <w:rPr>
      <w:rFonts w:ascii="Times New Roman" w:eastAsia="Times New Roman" w:hAnsi="Times New Roman" w:cs="Times New Roman"/>
      <w:szCs w:val="24"/>
      <w:u w:val="single"/>
      <w:lang w:eastAsia="cs-CZ"/>
    </w:rPr>
  </w:style>
  <w:style w:type="paragraph" w:customStyle="1" w:styleId="Styl4">
    <w:name w:val="Styl4"/>
    <w:basedOn w:val="Normlndobloku"/>
    <w:autoRedefine/>
    <w:qFormat/>
    <w:rsid w:val="001858BD"/>
    <w:rPr>
      <w:rFonts w:eastAsia="Calibri"/>
      <w:i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858B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858BD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1858BD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1858BD"/>
    <w:rPr>
      <w:rFonts w:ascii="Times New Roman" w:hAnsi="Times New Roman" w:cs="Times New Roman"/>
    </w:rPr>
  </w:style>
  <w:style w:type="paragraph" w:styleId="Pta">
    <w:name w:val="footer"/>
    <w:basedOn w:val="Normlny"/>
    <w:link w:val="PtaChar"/>
    <w:unhideWhenUsed/>
    <w:rsid w:val="001858BD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rsid w:val="001858BD"/>
    <w:rPr>
      <w:rFonts w:ascii="Times New Roman" w:hAnsi="Times New Roman" w:cs="Times New Roman"/>
    </w:rPr>
  </w:style>
  <w:style w:type="paragraph" w:customStyle="1" w:styleId="Styl1PIL">
    <w:name w:val="Styl1 PIL"/>
    <w:basedOn w:val="Normlny"/>
    <w:autoRedefine/>
    <w:rsid w:val="001858BD"/>
    <w:pPr>
      <w:keepNext/>
      <w:numPr>
        <w:numId w:val="8"/>
      </w:numPr>
      <w:spacing w:before="360" w:after="240"/>
    </w:pPr>
    <w:rPr>
      <w:b/>
      <w:bCs/>
    </w:rPr>
  </w:style>
  <w:style w:type="paragraph" w:styleId="AdresaHTML">
    <w:name w:val="HTML Address"/>
    <w:basedOn w:val="Normlny"/>
    <w:link w:val="AdresaHTMLChar"/>
    <w:uiPriority w:val="99"/>
    <w:unhideWhenUsed/>
    <w:rsid w:val="009D7C0A"/>
    <w:rPr>
      <w:i/>
      <w:iCs/>
    </w:rPr>
  </w:style>
  <w:style w:type="character" w:customStyle="1" w:styleId="AdresaHTMLChar">
    <w:name w:val="Adresa HTML Char"/>
    <w:link w:val="AdresaHTML"/>
    <w:uiPriority w:val="99"/>
    <w:rsid w:val="009D7C0A"/>
    <w:rPr>
      <w:rFonts w:ascii="Times New Roman" w:eastAsia="Times New Roman" w:hAnsi="Times New Roman" w:cs="Times New Roman"/>
      <w:i/>
      <w:iCs/>
      <w:sz w:val="24"/>
      <w:szCs w:val="24"/>
    </w:rPr>
  </w:style>
  <w:style w:type="character" w:styleId="slostrany">
    <w:name w:val="page number"/>
    <w:basedOn w:val="Predvolenpsmoodseku"/>
    <w:rsid w:val="0026280D"/>
  </w:style>
  <w:style w:type="character" w:customStyle="1" w:styleId="Styl1Char">
    <w:name w:val="Styl1 Char"/>
    <w:link w:val="Styl1"/>
    <w:rsid w:val="0026280D"/>
    <w:rPr>
      <w:rFonts w:ascii="Times New Roman" w:eastAsia="Times New Roman" w:hAnsi="Times New Roman" w:cs="Times New Roman"/>
      <w:b/>
      <w:bCs/>
      <w:caps/>
      <w:szCs w:val="24"/>
    </w:rPr>
  </w:style>
  <w:style w:type="table" w:styleId="Mriekatabuky">
    <w:name w:val="Table Grid"/>
    <w:basedOn w:val="Normlnatabuka"/>
    <w:uiPriority w:val="59"/>
    <w:rsid w:val="002628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k-SK" w:eastAsia="cs-CZ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zia">
    <w:name w:val="Revision"/>
    <w:hidden/>
    <w:uiPriority w:val="99"/>
    <w:semiHidden/>
    <w:rsid w:val="00B56B63"/>
    <w:pPr>
      <w:spacing w:after="0" w:line="240" w:lineRule="auto"/>
    </w:pPr>
    <w:rPr>
      <w:rFonts w:ascii="Times New Roman" w:eastAsia="Times New Roman" w:hAnsi="Times New Roman" w:cs="Times New Roman"/>
      <w:szCs w:val="24"/>
      <w:lang w:val="el-GR"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94D60"/>
    <w:pPr>
      <w:spacing w:after="0" w:line="240" w:lineRule="auto"/>
    </w:pPr>
    <w:rPr>
      <w:rFonts w:ascii="Times New Roman" w:eastAsia="Times New Roman" w:hAnsi="Times New Roman" w:cs="Times New Roman"/>
      <w:szCs w:val="24"/>
      <w:lang w:val="el-GR" w:eastAsia="el-GR"/>
    </w:rPr>
  </w:style>
  <w:style w:type="paragraph" w:styleId="Nadpis1">
    <w:name w:val="heading 1"/>
    <w:basedOn w:val="Normlny"/>
    <w:next w:val="Normlny"/>
    <w:link w:val="Nadpis1Char"/>
    <w:qFormat/>
    <w:rsid w:val="001858BD"/>
    <w:pPr>
      <w:keepNext/>
      <w:jc w:val="center"/>
      <w:outlineLvl w:val="0"/>
    </w:pPr>
    <w:rPr>
      <w:rFonts w:ascii="Arial" w:hAnsi="Arial"/>
      <w:b/>
      <w:sz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atn">
    <w:name w:val="atn"/>
    <w:rsid w:val="009D7C0A"/>
  </w:style>
  <w:style w:type="paragraph" w:customStyle="1" w:styleId="Bacil">
    <w:name w:val="Bacil"/>
    <w:basedOn w:val="Normlny"/>
    <w:autoRedefine/>
    <w:qFormat/>
    <w:rsid w:val="001858BD"/>
    <w:pPr>
      <w:spacing w:after="120"/>
    </w:pPr>
    <w:rPr>
      <w:i/>
    </w:rPr>
  </w:style>
  <w:style w:type="paragraph" w:customStyle="1" w:styleId="Default">
    <w:name w:val="Default"/>
    <w:rsid w:val="001858B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character" w:styleId="Hypertextovprepojenie">
    <w:name w:val="Hyperlink"/>
    <w:rsid w:val="001858BD"/>
    <w:rPr>
      <w:color w:val="0000FF"/>
      <w:u w:val="single"/>
    </w:rPr>
  </w:style>
  <w:style w:type="character" w:customStyle="1" w:styleId="Nadpis1Char">
    <w:name w:val="Nadpis 1 Char"/>
    <w:basedOn w:val="Predvolenpsmoodseku"/>
    <w:link w:val="Nadpis1"/>
    <w:rsid w:val="001858BD"/>
    <w:rPr>
      <w:rFonts w:ascii="Arial" w:hAnsi="Arial" w:cs="Times New Roman"/>
      <w:b/>
      <w:sz w:val="28"/>
    </w:rPr>
  </w:style>
  <w:style w:type="paragraph" w:customStyle="1" w:styleId="Normlndobloku">
    <w:name w:val="Normální do bloku"/>
    <w:basedOn w:val="Normlny"/>
    <w:link w:val="NormlndoblokuChar"/>
    <w:autoRedefine/>
    <w:rsid w:val="001858BD"/>
    <w:pPr>
      <w:suppressAutoHyphens/>
      <w:spacing w:after="120"/>
      <w:jc w:val="both"/>
    </w:pPr>
    <w:rPr>
      <w:rFonts w:ascii="TimesNewRoman" w:hAnsi="TimesNewRoman"/>
      <w:lang w:val="x-none"/>
    </w:rPr>
  </w:style>
  <w:style w:type="character" w:customStyle="1" w:styleId="NormlndoblokuChar">
    <w:name w:val="Normální do bloku Char"/>
    <w:link w:val="Normlndobloku"/>
    <w:locked/>
    <w:rsid w:val="001858BD"/>
    <w:rPr>
      <w:rFonts w:ascii="TimesNewRoman" w:eastAsia="Times New Roman" w:hAnsi="TimesNewRoman" w:cs="Times New Roman"/>
      <w:szCs w:val="24"/>
      <w:lang w:val="x-none"/>
    </w:rPr>
  </w:style>
  <w:style w:type="paragraph" w:customStyle="1" w:styleId="Tabulkynormlndoblokuzarovnndoleva">
    <w:name w:val="Tabulky = normální do bloku + zarovnání doleva"/>
    <w:basedOn w:val="Normlndobloku"/>
    <w:autoRedefine/>
    <w:rsid w:val="001858BD"/>
    <w:pPr>
      <w:jc w:val="left"/>
    </w:pPr>
    <w:rPr>
      <w:rFonts w:eastAsia="Calibri"/>
      <w:szCs w:val="20"/>
    </w:rPr>
  </w:style>
  <w:style w:type="paragraph" w:customStyle="1" w:styleId="Nadpisuvnittabulky">
    <w:name w:val="Nadpis uvnitř tabulky"/>
    <w:basedOn w:val="Tabulkynormlndoblokuzarovnndoleva"/>
    <w:autoRedefine/>
    <w:qFormat/>
    <w:rsid w:val="001858BD"/>
    <w:pPr>
      <w:spacing w:before="120"/>
    </w:pPr>
    <w:rPr>
      <w:b/>
    </w:rPr>
  </w:style>
  <w:style w:type="paragraph" w:styleId="Nzov">
    <w:name w:val="Title"/>
    <w:basedOn w:val="Normlny"/>
    <w:link w:val="NzovChar"/>
    <w:qFormat/>
    <w:rsid w:val="001858BD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NzovChar">
    <w:name w:val="Názov Char"/>
    <w:basedOn w:val="Predvolenpsmoodseku"/>
    <w:link w:val="Nzov"/>
    <w:rsid w:val="001858BD"/>
    <w:rPr>
      <w:rFonts w:ascii="Arial" w:hAnsi="Arial" w:cs="Arial"/>
      <w:b/>
      <w:bCs/>
      <w:kern w:val="28"/>
      <w:sz w:val="32"/>
      <w:szCs w:val="32"/>
    </w:rPr>
  </w:style>
  <w:style w:type="paragraph" w:customStyle="1" w:styleId="Normlndoblokusodrkami">
    <w:name w:val="Normální do bloku s odrážkami"/>
    <w:basedOn w:val="Normlndobloku"/>
    <w:next w:val="Normlndobloku"/>
    <w:autoRedefine/>
    <w:qFormat/>
    <w:rsid w:val="001858BD"/>
    <w:pPr>
      <w:numPr>
        <w:numId w:val="5"/>
      </w:numPr>
    </w:pPr>
    <w:rPr>
      <w:noProof/>
    </w:rPr>
  </w:style>
  <w:style w:type="character" w:styleId="Odkaznakomentr">
    <w:name w:val="annotation reference"/>
    <w:basedOn w:val="Predvolenpsmoodseku"/>
    <w:uiPriority w:val="99"/>
    <w:semiHidden/>
    <w:unhideWhenUsed/>
    <w:rsid w:val="001858BD"/>
    <w:rPr>
      <w:sz w:val="16"/>
      <w:szCs w:val="16"/>
    </w:rPr>
  </w:style>
  <w:style w:type="paragraph" w:customStyle="1" w:styleId="Odrky2">
    <w:name w:val="Odrážky 2"/>
    <w:basedOn w:val="Normlndoblokusodrkami"/>
    <w:autoRedefine/>
    <w:qFormat/>
    <w:rsid w:val="001858BD"/>
    <w:pPr>
      <w:numPr>
        <w:numId w:val="6"/>
      </w:numPr>
    </w:p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858BD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858BD"/>
    <w:rPr>
      <w:rFonts w:ascii="Times New Roman" w:hAnsi="Times New Roman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1858BD"/>
    <w:pPr>
      <w:spacing w:after="200"/>
    </w:pPr>
    <w:rPr>
      <w:rFonts w:ascii="Calibri" w:hAnsi="Calibri"/>
      <w:b/>
      <w:bCs/>
      <w:lang w:val="en-GB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858BD"/>
    <w:rPr>
      <w:rFonts w:ascii="Calibri" w:hAnsi="Calibri" w:cs="Times New Roman"/>
      <w:b/>
      <w:bCs/>
      <w:sz w:val="20"/>
      <w:szCs w:val="20"/>
      <w:lang w:val="en-GB"/>
    </w:rPr>
  </w:style>
  <w:style w:type="paragraph" w:customStyle="1" w:styleId="SPCaPILhlavika">
    <w:name w:val="SPC a PIL hlavička"/>
    <w:basedOn w:val="Normlny"/>
    <w:autoRedefine/>
    <w:qFormat/>
    <w:rsid w:val="00B94D60"/>
    <w:pPr>
      <w:spacing w:before="240" w:after="120"/>
      <w:jc w:val="center"/>
    </w:pPr>
    <w:rPr>
      <w:b/>
      <w:szCs w:val="20"/>
    </w:rPr>
  </w:style>
  <w:style w:type="paragraph" w:customStyle="1" w:styleId="SPCnadpis">
    <w:name w:val="SPC nadpis"/>
    <w:basedOn w:val="Nadpis1"/>
    <w:rsid w:val="001858BD"/>
    <w:pPr>
      <w:keepNext w:val="0"/>
      <w:keepLines/>
      <w:spacing w:before="480" w:after="120"/>
      <w:ind w:left="357" w:hanging="357"/>
      <w:jc w:val="left"/>
    </w:pPr>
    <w:rPr>
      <w:rFonts w:ascii="Times New Roman" w:hAnsi="Times New Roman"/>
      <w:bCs/>
      <w:color w:val="365F91"/>
      <w:sz w:val="22"/>
      <w:szCs w:val="28"/>
      <w:lang w:val="en-US"/>
    </w:rPr>
  </w:style>
  <w:style w:type="paragraph" w:customStyle="1" w:styleId="Styl1">
    <w:name w:val="Styl1"/>
    <w:basedOn w:val="Normlny"/>
    <w:link w:val="Styl1Char"/>
    <w:autoRedefine/>
    <w:rsid w:val="00CE7DAF"/>
    <w:pPr>
      <w:keepNext/>
      <w:spacing w:before="360" w:after="240"/>
    </w:pPr>
    <w:rPr>
      <w:b/>
      <w:bCs/>
      <w:caps/>
    </w:rPr>
  </w:style>
  <w:style w:type="paragraph" w:customStyle="1" w:styleId="Styl2">
    <w:name w:val="Styl2"/>
    <w:basedOn w:val="Normlny"/>
    <w:autoRedefine/>
    <w:rsid w:val="001858BD"/>
    <w:pPr>
      <w:keepNext/>
      <w:numPr>
        <w:ilvl w:val="1"/>
        <w:numId w:val="8"/>
      </w:numPr>
      <w:spacing w:before="240" w:after="160"/>
    </w:pPr>
    <w:rPr>
      <w:b/>
      <w:bCs/>
    </w:rPr>
  </w:style>
  <w:style w:type="paragraph" w:customStyle="1" w:styleId="Styl2PIL">
    <w:name w:val="Styl2 PIL"/>
    <w:basedOn w:val="Normlny"/>
    <w:autoRedefine/>
    <w:rsid w:val="001858BD"/>
    <w:pPr>
      <w:keepNext/>
      <w:spacing w:before="240" w:after="120"/>
    </w:pPr>
    <w:rPr>
      <w:b/>
      <w:bCs/>
    </w:rPr>
  </w:style>
  <w:style w:type="paragraph" w:customStyle="1" w:styleId="Styl2SPC">
    <w:name w:val="Styl2 SPC"/>
    <w:basedOn w:val="Normlny"/>
    <w:autoRedefine/>
    <w:rsid w:val="001858BD"/>
    <w:pPr>
      <w:keepNext/>
      <w:spacing w:before="240" w:after="120"/>
    </w:pPr>
    <w:rPr>
      <w:b/>
      <w:bCs/>
    </w:rPr>
  </w:style>
  <w:style w:type="paragraph" w:customStyle="1" w:styleId="Styl2-2">
    <w:name w:val="Styl2-2"/>
    <w:basedOn w:val="Styl2"/>
    <w:next w:val="Normlndobloku"/>
    <w:autoRedefine/>
    <w:qFormat/>
    <w:rsid w:val="001858BD"/>
    <w:pPr>
      <w:numPr>
        <w:numId w:val="0"/>
      </w:numPr>
      <w:tabs>
        <w:tab w:val="left" w:pos="720"/>
      </w:tabs>
    </w:pPr>
    <w:rPr>
      <w:lang w:val="en-GB"/>
    </w:rPr>
  </w:style>
  <w:style w:type="paragraph" w:customStyle="1" w:styleId="Styl3">
    <w:name w:val="Styl3"/>
    <w:basedOn w:val="Normlndobloku"/>
    <w:link w:val="Styl3Char"/>
    <w:rsid w:val="001858BD"/>
    <w:pPr>
      <w:tabs>
        <w:tab w:val="left" w:pos="6946"/>
      </w:tabs>
      <w:suppressAutoHyphens w:val="0"/>
      <w:spacing w:before="240"/>
    </w:pPr>
    <w:rPr>
      <w:rFonts w:ascii="Times New Roman" w:hAnsi="Times New Roman"/>
      <w:u w:val="single"/>
      <w:lang w:eastAsia="cs-CZ"/>
    </w:rPr>
  </w:style>
  <w:style w:type="character" w:customStyle="1" w:styleId="Styl3Char">
    <w:name w:val="Styl3 Char"/>
    <w:link w:val="Styl3"/>
    <w:locked/>
    <w:rsid w:val="001858BD"/>
    <w:rPr>
      <w:rFonts w:ascii="Times New Roman" w:eastAsia="Times New Roman" w:hAnsi="Times New Roman" w:cs="Times New Roman"/>
      <w:szCs w:val="24"/>
      <w:u w:val="single"/>
      <w:lang w:val="x-none" w:eastAsia="cs-CZ"/>
    </w:rPr>
  </w:style>
  <w:style w:type="paragraph" w:customStyle="1" w:styleId="Styl4">
    <w:name w:val="Styl4"/>
    <w:basedOn w:val="Normlndobloku"/>
    <w:autoRedefine/>
    <w:qFormat/>
    <w:rsid w:val="001858BD"/>
    <w:rPr>
      <w:rFonts w:eastAsia="Calibri"/>
      <w:i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858B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858BD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1858BD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1858BD"/>
    <w:rPr>
      <w:rFonts w:ascii="Times New Roman" w:hAnsi="Times New Roman" w:cs="Times New Roman"/>
    </w:rPr>
  </w:style>
  <w:style w:type="paragraph" w:styleId="Pta">
    <w:name w:val="footer"/>
    <w:basedOn w:val="Normlny"/>
    <w:link w:val="PtaChar"/>
    <w:unhideWhenUsed/>
    <w:rsid w:val="001858BD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rsid w:val="001858BD"/>
    <w:rPr>
      <w:rFonts w:ascii="Times New Roman" w:hAnsi="Times New Roman" w:cs="Times New Roman"/>
    </w:rPr>
  </w:style>
  <w:style w:type="paragraph" w:customStyle="1" w:styleId="Styl1PIL">
    <w:name w:val="Styl1 PIL"/>
    <w:basedOn w:val="Normlny"/>
    <w:autoRedefine/>
    <w:rsid w:val="001858BD"/>
    <w:pPr>
      <w:keepNext/>
      <w:numPr>
        <w:numId w:val="8"/>
      </w:numPr>
      <w:spacing w:before="360" w:after="240"/>
    </w:pPr>
    <w:rPr>
      <w:b/>
      <w:bCs/>
    </w:rPr>
  </w:style>
  <w:style w:type="paragraph" w:styleId="AdresaHTML">
    <w:name w:val="HTML Address"/>
    <w:basedOn w:val="Normlny"/>
    <w:link w:val="AdresaHTMLChar"/>
    <w:uiPriority w:val="99"/>
    <w:unhideWhenUsed/>
    <w:rsid w:val="009D7C0A"/>
    <w:rPr>
      <w:i/>
      <w:iCs/>
      <w:lang w:val="x-none" w:eastAsia="x-none"/>
    </w:rPr>
  </w:style>
  <w:style w:type="character" w:customStyle="1" w:styleId="AdresaHTMLChar">
    <w:name w:val="Adresa HTML Char"/>
    <w:link w:val="AdresaHTML"/>
    <w:uiPriority w:val="99"/>
    <w:rsid w:val="009D7C0A"/>
    <w:rPr>
      <w:rFonts w:ascii="Times New Roman" w:eastAsia="Times New Roman" w:hAnsi="Times New Roman" w:cs="Times New Roman"/>
      <w:i/>
      <w:iCs/>
      <w:sz w:val="24"/>
      <w:szCs w:val="24"/>
      <w:lang w:val="x-none" w:eastAsia="x-none"/>
    </w:rPr>
  </w:style>
  <w:style w:type="character" w:styleId="slostrany">
    <w:name w:val="page number"/>
    <w:basedOn w:val="Predvolenpsmoodseku"/>
    <w:rsid w:val="0026280D"/>
  </w:style>
  <w:style w:type="character" w:customStyle="1" w:styleId="Styl1Char">
    <w:name w:val="Styl1 Char"/>
    <w:link w:val="Styl1"/>
    <w:rsid w:val="0026280D"/>
    <w:rPr>
      <w:rFonts w:ascii="Times New Roman" w:eastAsia="Times New Roman" w:hAnsi="Times New Roman" w:cs="Times New Roman"/>
      <w:b/>
      <w:bCs/>
      <w:caps/>
      <w:szCs w:val="24"/>
    </w:rPr>
  </w:style>
  <w:style w:type="table" w:styleId="Mriekatabuky">
    <w:name w:val="Table Grid"/>
    <w:basedOn w:val="Normlnatabuka"/>
    <w:uiPriority w:val="59"/>
    <w:rsid w:val="002628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k-SK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zia">
    <w:name w:val="Revision"/>
    <w:hidden/>
    <w:uiPriority w:val="99"/>
    <w:semiHidden/>
    <w:rsid w:val="00B56B63"/>
    <w:pPr>
      <w:spacing w:after="0" w:line="240" w:lineRule="auto"/>
    </w:pPr>
    <w:rPr>
      <w:rFonts w:ascii="Times New Roman" w:eastAsia="Times New Roman" w:hAnsi="Times New Roman" w:cs="Times New Roman"/>
      <w:szCs w:val="24"/>
      <w:lang w:val="el-GR"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A392A8-E4DE-47EA-968D-C7CCF41C77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9</Pages>
  <Words>3658</Words>
  <Characters>20851</Characters>
  <Application>Microsoft Office Word</Application>
  <DocSecurity>0</DocSecurity>
  <Lines>173</Lines>
  <Paragraphs>48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Medochemie, Ltd.</Company>
  <LinksUpToDate>false</LinksUpToDate>
  <CharactersWithSpaces>24461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Blanka Kváčová</dc:creator>
  <cp:lastModifiedBy> </cp:lastModifiedBy>
  <cp:revision>4</cp:revision>
  <dcterms:created xsi:type="dcterms:W3CDTF">2016-01-19T10:11:00Z</dcterms:created>
  <dcterms:modified xsi:type="dcterms:W3CDTF">2016-01-25T13:16:00Z</dcterms:modified>
</cp:coreProperties>
</file>