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93" w:rsidRPr="002C1513" w:rsidRDefault="00000093" w:rsidP="00000093">
      <w:pPr>
        <w:tabs>
          <w:tab w:val="left" w:pos="-1440"/>
          <w:tab w:val="left" w:pos="-720"/>
        </w:tabs>
        <w:jc w:val="center"/>
        <w:rPr>
          <w:szCs w:val="22"/>
        </w:rPr>
      </w:pPr>
      <w:r w:rsidRPr="002C1513">
        <w:rPr>
          <w:b/>
          <w:szCs w:val="22"/>
        </w:rPr>
        <w:t>SÚHRN CHARAKTERISTICKÝCH VLASTNOSTÍ LIEKU</w:t>
      </w:r>
    </w:p>
    <w:p w:rsidR="00D533CF" w:rsidRPr="002C1513" w:rsidRDefault="00D533CF" w:rsidP="00527DED">
      <w:pPr>
        <w:rPr>
          <w:b/>
          <w:szCs w:val="22"/>
        </w:rPr>
      </w:pPr>
    </w:p>
    <w:p w:rsidR="000D0C89" w:rsidRPr="002C1513" w:rsidRDefault="000D0C89" w:rsidP="00527DED">
      <w:pPr>
        <w:ind w:left="0" w:firstLine="0"/>
        <w:rPr>
          <w:b/>
          <w:szCs w:val="22"/>
        </w:rPr>
      </w:pPr>
    </w:p>
    <w:p w:rsidR="00FF6BE0" w:rsidRPr="002C1513" w:rsidRDefault="00FF6BE0" w:rsidP="00D62768">
      <w:pPr>
        <w:tabs>
          <w:tab w:val="left" w:pos="567"/>
        </w:tabs>
        <w:ind w:left="0" w:firstLine="0"/>
        <w:rPr>
          <w:szCs w:val="22"/>
        </w:rPr>
      </w:pPr>
      <w:r w:rsidRPr="002C1513">
        <w:rPr>
          <w:b/>
          <w:szCs w:val="22"/>
        </w:rPr>
        <w:t>1.</w:t>
      </w:r>
      <w:r w:rsidRPr="002C1513">
        <w:rPr>
          <w:b/>
          <w:szCs w:val="22"/>
        </w:rPr>
        <w:tab/>
        <w:t>NÁZOV LIEK</w:t>
      </w:r>
      <w:r w:rsidR="00810BCC" w:rsidRPr="002C1513">
        <w:rPr>
          <w:b/>
          <w:szCs w:val="22"/>
        </w:rPr>
        <w:t>U</w:t>
      </w:r>
    </w:p>
    <w:p w:rsidR="00FF6BE0" w:rsidRPr="002C1513" w:rsidRDefault="00FF6BE0" w:rsidP="00527DED">
      <w:pPr>
        <w:ind w:left="0" w:firstLine="0"/>
        <w:rPr>
          <w:szCs w:val="22"/>
        </w:rPr>
      </w:pPr>
    </w:p>
    <w:p w:rsidR="00451912" w:rsidRPr="002C1513" w:rsidRDefault="00451912" w:rsidP="00451912">
      <w:pPr>
        <w:keepNext/>
        <w:ind w:left="0" w:firstLine="0"/>
        <w:rPr>
          <w:szCs w:val="22"/>
        </w:rPr>
      </w:pPr>
      <w:r w:rsidRPr="002C1513">
        <w:rPr>
          <w:szCs w:val="22"/>
        </w:rPr>
        <w:t>Duloxetin Sandoz 30 mg</w:t>
      </w:r>
    </w:p>
    <w:p w:rsidR="00451912" w:rsidRPr="002C1513" w:rsidRDefault="00451912" w:rsidP="00451912">
      <w:pPr>
        <w:keepNext/>
        <w:ind w:left="0" w:firstLine="0"/>
        <w:rPr>
          <w:szCs w:val="22"/>
        </w:rPr>
      </w:pPr>
      <w:r w:rsidRPr="002C1513">
        <w:rPr>
          <w:szCs w:val="22"/>
          <w:highlight w:val="lightGray"/>
        </w:rPr>
        <w:t>Duloxetin Sandoz 60 mg</w:t>
      </w:r>
    </w:p>
    <w:p w:rsidR="00451912" w:rsidRPr="002C1513" w:rsidRDefault="00451912" w:rsidP="00451912">
      <w:pPr>
        <w:keepNext/>
        <w:ind w:left="0" w:firstLine="0"/>
        <w:rPr>
          <w:szCs w:val="22"/>
        </w:rPr>
      </w:pPr>
      <w:r w:rsidRPr="002C1513">
        <w:rPr>
          <w:szCs w:val="22"/>
        </w:rPr>
        <w:t>tvrdé gastrorezistentné kapsuly</w:t>
      </w:r>
    </w:p>
    <w:p w:rsidR="00685635" w:rsidRPr="002C1513" w:rsidRDefault="00685635" w:rsidP="00451912">
      <w:pPr>
        <w:ind w:left="0" w:firstLine="0"/>
        <w:rPr>
          <w:iCs/>
          <w:szCs w:val="22"/>
        </w:rPr>
      </w:pPr>
    </w:p>
    <w:p w:rsidR="00FF6BE0" w:rsidRPr="002C1513" w:rsidRDefault="00FF6BE0" w:rsidP="00527DED">
      <w:pPr>
        <w:ind w:left="0" w:firstLine="0"/>
        <w:rPr>
          <w:szCs w:val="22"/>
        </w:rPr>
      </w:pPr>
    </w:p>
    <w:p w:rsidR="00FF6BE0" w:rsidRPr="002C1513" w:rsidRDefault="00FF6BE0" w:rsidP="00D62768">
      <w:pPr>
        <w:tabs>
          <w:tab w:val="left" w:pos="567"/>
        </w:tabs>
        <w:ind w:left="0" w:firstLine="0"/>
        <w:rPr>
          <w:szCs w:val="22"/>
        </w:rPr>
      </w:pPr>
      <w:r w:rsidRPr="002C1513">
        <w:rPr>
          <w:b/>
          <w:szCs w:val="22"/>
        </w:rPr>
        <w:t>2.</w:t>
      </w:r>
      <w:r w:rsidRPr="002C1513">
        <w:rPr>
          <w:b/>
          <w:szCs w:val="22"/>
        </w:rPr>
        <w:tab/>
        <w:t>KVALITATÍVNE A KVANTITATÍVNE ZLOŽENIE</w:t>
      </w:r>
    </w:p>
    <w:p w:rsidR="00FF6BE0" w:rsidRPr="002C1513" w:rsidRDefault="00FF6BE0" w:rsidP="00527DED">
      <w:pPr>
        <w:ind w:left="0" w:firstLine="0"/>
        <w:rPr>
          <w:szCs w:val="22"/>
        </w:rPr>
      </w:pPr>
    </w:p>
    <w:p w:rsidR="004B6AEB" w:rsidRPr="002C1513" w:rsidRDefault="004B6AEB" w:rsidP="004B6AEB">
      <w:pPr>
        <w:keepNext/>
        <w:ind w:left="0" w:firstLine="0"/>
        <w:rPr>
          <w:szCs w:val="22"/>
        </w:rPr>
      </w:pPr>
      <w:r w:rsidRPr="002C1513">
        <w:rPr>
          <w:szCs w:val="22"/>
        </w:rPr>
        <w:t>Duloxetin Sandoz 30 mg</w:t>
      </w:r>
    </w:p>
    <w:p w:rsidR="004B6AEB" w:rsidRPr="002C1513" w:rsidRDefault="004B6AEB" w:rsidP="004B6AEB">
      <w:pPr>
        <w:keepNext/>
        <w:tabs>
          <w:tab w:val="left" w:pos="567"/>
        </w:tabs>
        <w:ind w:left="0" w:firstLine="0"/>
        <w:rPr>
          <w:bCs/>
          <w:szCs w:val="22"/>
        </w:rPr>
      </w:pPr>
      <w:r w:rsidRPr="002C1513">
        <w:rPr>
          <w:bCs/>
          <w:szCs w:val="22"/>
        </w:rPr>
        <w:t>Každá kapsula obsahuje 30 mg duloxetínu (vo forme chloridu)</w:t>
      </w:r>
      <w:r w:rsidRPr="002C1513">
        <w:rPr>
          <w:szCs w:val="22"/>
        </w:rPr>
        <w:t xml:space="preserve">. </w:t>
      </w:r>
      <w:r w:rsidRPr="002C1513">
        <w:rPr>
          <w:bCs/>
          <w:szCs w:val="22"/>
        </w:rPr>
        <w:t xml:space="preserve"> </w:t>
      </w:r>
    </w:p>
    <w:p w:rsidR="004B6AEB" w:rsidRPr="002C1513" w:rsidRDefault="004B6AEB" w:rsidP="004B6AEB">
      <w:pPr>
        <w:pStyle w:val="Default"/>
        <w:rPr>
          <w:sz w:val="22"/>
          <w:szCs w:val="22"/>
        </w:rPr>
      </w:pPr>
    </w:p>
    <w:p w:rsidR="004B6AEB" w:rsidRPr="002C1513" w:rsidRDefault="004B6AEB" w:rsidP="004B6AEB">
      <w:pPr>
        <w:pStyle w:val="Default"/>
        <w:rPr>
          <w:sz w:val="22"/>
          <w:szCs w:val="22"/>
        </w:rPr>
      </w:pPr>
      <w:r w:rsidRPr="002C1513">
        <w:rPr>
          <w:sz w:val="22"/>
          <w:szCs w:val="22"/>
        </w:rPr>
        <w:t xml:space="preserve">Pomocné látky so známym účinkom: </w:t>
      </w:r>
    </w:p>
    <w:p w:rsidR="004B6AEB" w:rsidRPr="002C1513" w:rsidRDefault="004B6AEB" w:rsidP="004B6AEB">
      <w:pPr>
        <w:keepNext/>
        <w:ind w:left="0" w:firstLine="0"/>
        <w:rPr>
          <w:szCs w:val="22"/>
        </w:rPr>
      </w:pPr>
      <w:r w:rsidRPr="002C1513">
        <w:rPr>
          <w:szCs w:val="22"/>
        </w:rPr>
        <w:t xml:space="preserve">Každá kapsula obsahuje 1,95 mg laktózy (vo forme monohydrátu) a 0,167 mg červene Allura (E129). </w:t>
      </w:r>
    </w:p>
    <w:p w:rsidR="004B6AEB" w:rsidRPr="002C1513" w:rsidRDefault="004B6AEB" w:rsidP="004B6AEB">
      <w:pPr>
        <w:keepNext/>
        <w:ind w:left="0" w:firstLine="0"/>
        <w:rPr>
          <w:szCs w:val="22"/>
          <w:highlight w:val="lightGray"/>
        </w:rPr>
      </w:pPr>
    </w:p>
    <w:p w:rsidR="004B6AEB" w:rsidRPr="002C1513" w:rsidRDefault="004B6AEB" w:rsidP="004B6AEB">
      <w:pPr>
        <w:keepNext/>
        <w:ind w:left="0" w:firstLine="0"/>
        <w:rPr>
          <w:szCs w:val="22"/>
        </w:rPr>
      </w:pPr>
      <w:r w:rsidRPr="002C1513">
        <w:rPr>
          <w:szCs w:val="22"/>
          <w:highlight w:val="lightGray"/>
        </w:rPr>
        <w:t>Duloxetin Sandoz 60 mg</w:t>
      </w:r>
    </w:p>
    <w:p w:rsidR="004B6AEB" w:rsidRPr="002C1513" w:rsidRDefault="004B6AEB" w:rsidP="004B6AEB">
      <w:pPr>
        <w:keepNext/>
        <w:tabs>
          <w:tab w:val="left" w:pos="567"/>
        </w:tabs>
        <w:ind w:left="0" w:firstLine="0"/>
        <w:rPr>
          <w:bCs/>
          <w:szCs w:val="22"/>
        </w:rPr>
      </w:pPr>
      <w:r w:rsidRPr="002C1513">
        <w:rPr>
          <w:bCs/>
          <w:szCs w:val="22"/>
          <w:highlight w:val="lightGray"/>
        </w:rPr>
        <w:t>Každá kapsula obsahuje 60 mg duloxetínu (vo forme chloridu)</w:t>
      </w:r>
      <w:r w:rsidRPr="002C1513">
        <w:rPr>
          <w:szCs w:val="22"/>
          <w:highlight w:val="lightGray"/>
        </w:rPr>
        <w:t>.</w:t>
      </w:r>
      <w:r w:rsidRPr="002C1513">
        <w:rPr>
          <w:szCs w:val="22"/>
        </w:rPr>
        <w:t xml:space="preserve"> </w:t>
      </w:r>
      <w:r w:rsidRPr="002C1513">
        <w:rPr>
          <w:bCs/>
          <w:szCs w:val="22"/>
        </w:rPr>
        <w:t xml:space="preserve"> </w:t>
      </w:r>
    </w:p>
    <w:p w:rsidR="004B6AEB" w:rsidRPr="002C1513" w:rsidRDefault="004B6AEB" w:rsidP="004B6AEB">
      <w:pPr>
        <w:pStyle w:val="Default"/>
        <w:rPr>
          <w:sz w:val="22"/>
          <w:szCs w:val="22"/>
        </w:rPr>
      </w:pPr>
    </w:p>
    <w:p w:rsidR="004B6AEB" w:rsidRPr="002C1513" w:rsidRDefault="004B6AEB" w:rsidP="004B6AEB">
      <w:pPr>
        <w:pStyle w:val="Default"/>
        <w:rPr>
          <w:sz w:val="22"/>
          <w:szCs w:val="22"/>
          <w:highlight w:val="lightGray"/>
        </w:rPr>
      </w:pPr>
      <w:r w:rsidRPr="002C1513">
        <w:rPr>
          <w:sz w:val="22"/>
          <w:szCs w:val="22"/>
          <w:highlight w:val="lightGray"/>
        </w:rPr>
        <w:t xml:space="preserve">Pomocné látky so známym účinkom: </w:t>
      </w:r>
    </w:p>
    <w:p w:rsidR="004B6AEB" w:rsidRPr="002C1513" w:rsidRDefault="004B6AEB" w:rsidP="004B6AEB">
      <w:pPr>
        <w:keepNext/>
        <w:ind w:left="0" w:firstLine="0"/>
        <w:rPr>
          <w:szCs w:val="22"/>
        </w:rPr>
      </w:pPr>
      <w:r w:rsidRPr="002C1513">
        <w:rPr>
          <w:szCs w:val="22"/>
          <w:highlight w:val="lightGray"/>
        </w:rPr>
        <w:t>Každá kapsula obsahuje 3,9 mg laktózy (vo forme monohydrátu), 0,152 mg oranžovej žltej FCF (E110) a 0,390 mg červene Allura (E129).</w:t>
      </w:r>
      <w:r w:rsidRPr="002C1513">
        <w:rPr>
          <w:szCs w:val="22"/>
        </w:rPr>
        <w:t xml:space="preserve"> </w:t>
      </w:r>
    </w:p>
    <w:p w:rsidR="00C82C0A" w:rsidRPr="002C1513" w:rsidRDefault="00C82C0A" w:rsidP="00527DED">
      <w:pPr>
        <w:tabs>
          <w:tab w:val="left" w:pos="567"/>
        </w:tabs>
        <w:spacing w:line="260" w:lineRule="exact"/>
        <w:ind w:left="0" w:firstLine="0"/>
        <w:rPr>
          <w:szCs w:val="22"/>
          <w:lang w:eastAsia="en-US"/>
        </w:rPr>
      </w:pPr>
    </w:p>
    <w:p w:rsidR="00FF6BE0" w:rsidRPr="002C1513" w:rsidRDefault="00FF6BE0" w:rsidP="00527DED">
      <w:pPr>
        <w:tabs>
          <w:tab w:val="left" w:pos="567"/>
        </w:tabs>
        <w:spacing w:line="260" w:lineRule="exact"/>
        <w:ind w:left="0" w:firstLine="0"/>
        <w:rPr>
          <w:szCs w:val="22"/>
          <w:lang w:eastAsia="en-US"/>
        </w:rPr>
      </w:pPr>
      <w:r w:rsidRPr="002C1513">
        <w:rPr>
          <w:szCs w:val="22"/>
          <w:lang w:eastAsia="en-US"/>
        </w:rPr>
        <w:t>Úplný zoznam pomocných látok, pozri časť 6.1.</w:t>
      </w:r>
    </w:p>
    <w:p w:rsidR="00685635" w:rsidRPr="002C1513" w:rsidRDefault="00685635" w:rsidP="00527DED">
      <w:pPr>
        <w:ind w:left="0" w:firstLine="0"/>
        <w:rPr>
          <w:szCs w:val="22"/>
        </w:rPr>
      </w:pPr>
    </w:p>
    <w:p w:rsidR="00920419" w:rsidRPr="002C1513" w:rsidRDefault="00920419" w:rsidP="00527DED">
      <w:pPr>
        <w:ind w:left="0" w:firstLine="0"/>
        <w:rPr>
          <w:szCs w:val="22"/>
        </w:rPr>
      </w:pPr>
    </w:p>
    <w:p w:rsidR="00FF6BE0" w:rsidRPr="002C1513" w:rsidRDefault="00FF6BE0" w:rsidP="00D62768">
      <w:pPr>
        <w:tabs>
          <w:tab w:val="left" w:pos="567"/>
        </w:tabs>
        <w:ind w:left="0" w:firstLine="0"/>
        <w:rPr>
          <w:caps/>
          <w:szCs w:val="22"/>
        </w:rPr>
      </w:pPr>
      <w:r w:rsidRPr="002C1513">
        <w:rPr>
          <w:b/>
          <w:szCs w:val="22"/>
        </w:rPr>
        <w:t>3.</w:t>
      </w:r>
      <w:r w:rsidRPr="002C1513">
        <w:rPr>
          <w:b/>
          <w:szCs w:val="22"/>
        </w:rPr>
        <w:tab/>
        <w:t>LIEKOVÁ FORMA</w:t>
      </w:r>
    </w:p>
    <w:p w:rsidR="004B6AEB" w:rsidRPr="002C1513" w:rsidRDefault="004B6AEB" w:rsidP="004B6AEB">
      <w:pPr>
        <w:keepNext/>
        <w:ind w:left="0" w:firstLine="0"/>
        <w:rPr>
          <w:szCs w:val="22"/>
        </w:rPr>
      </w:pPr>
    </w:p>
    <w:p w:rsidR="004B6AEB" w:rsidRPr="002C1513" w:rsidRDefault="004B6AEB" w:rsidP="004B6AEB">
      <w:pPr>
        <w:keepNext/>
        <w:ind w:left="0" w:firstLine="0"/>
        <w:rPr>
          <w:szCs w:val="22"/>
        </w:rPr>
      </w:pPr>
      <w:r w:rsidRPr="002C1513">
        <w:rPr>
          <w:szCs w:val="22"/>
        </w:rPr>
        <w:t>Tvrdá gastrorezistentná kapsula</w:t>
      </w:r>
    </w:p>
    <w:p w:rsidR="00C25D7B" w:rsidRPr="002C1513" w:rsidRDefault="00C25D7B" w:rsidP="00527DED">
      <w:pPr>
        <w:ind w:left="0" w:firstLine="0"/>
        <w:rPr>
          <w:szCs w:val="22"/>
        </w:rPr>
      </w:pPr>
    </w:p>
    <w:p w:rsidR="004B6AEB" w:rsidRPr="002C1513" w:rsidRDefault="004B6AEB" w:rsidP="004B6AEB">
      <w:pPr>
        <w:keepNext/>
        <w:ind w:left="0" w:firstLine="0"/>
        <w:rPr>
          <w:bCs/>
          <w:szCs w:val="22"/>
        </w:rPr>
      </w:pPr>
      <w:r w:rsidRPr="002C1513">
        <w:rPr>
          <w:bCs/>
          <w:szCs w:val="22"/>
        </w:rPr>
        <w:t xml:space="preserve">Duloxetin Sandoz 30 mg </w:t>
      </w:r>
    </w:p>
    <w:p w:rsidR="004B6AEB" w:rsidRPr="002C1513" w:rsidRDefault="00173BED" w:rsidP="004B6AEB">
      <w:pPr>
        <w:keepNext/>
        <w:ind w:left="0" w:firstLine="0"/>
        <w:rPr>
          <w:bCs/>
          <w:szCs w:val="22"/>
        </w:rPr>
      </w:pPr>
      <w:r w:rsidRPr="002C1513">
        <w:rPr>
          <w:bCs/>
          <w:szCs w:val="22"/>
        </w:rPr>
        <w:t>Kapsula veľkosti 2 s nepriehľadným</w:t>
      </w:r>
      <w:r w:rsidR="004B6AEB" w:rsidRPr="002C1513">
        <w:rPr>
          <w:bCs/>
          <w:szCs w:val="22"/>
        </w:rPr>
        <w:t xml:space="preserve"> </w:t>
      </w:r>
      <w:r w:rsidRPr="002C1513">
        <w:rPr>
          <w:bCs/>
          <w:szCs w:val="22"/>
        </w:rPr>
        <w:t>bielym</w:t>
      </w:r>
      <w:r w:rsidR="004B6AEB" w:rsidRPr="002C1513">
        <w:rPr>
          <w:bCs/>
          <w:szCs w:val="22"/>
        </w:rPr>
        <w:t xml:space="preserve"> telo</w:t>
      </w:r>
      <w:r w:rsidRPr="002C1513">
        <w:rPr>
          <w:bCs/>
          <w:szCs w:val="22"/>
        </w:rPr>
        <w:t>m</w:t>
      </w:r>
      <w:r w:rsidR="004B6AEB" w:rsidRPr="002C1513">
        <w:rPr>
          <w:bCs/>
          <w:szCs w:val="22"/>
        </w:rPr>
        <w:t xml:space="preserve"> s číslom „30“ v</w:t>
      </w:r>
      <w:r w:rsidR="00261081" w:rsidRPr="002C1513">
        <w:rPr>
          <w:bCs/>
          <w:szCs w:val="22"/>
        </w:rPr>
        <w:t>ytlačeným tmavomodrým farbivom</w:t>
      </w:r>
      <w:r w:rsidR="004B6AEB" w:rsidRPr="002C1513">
        <w:rPr>
          <w:bCs/>
          <w:szCs w:val="22"/>
        </w:rPr>
        <w:t xml:space="preserve"> a nepriehľadný</w:t>
      </w:r>
      <w:r w:rsidRPr="002C1513">
        <w:rPr>
          <w:bCs/>
          <w:szCs w:val="22"/>
        </w:rPr>
        <w:t>m</w:t>
      </w:r>
      <w:r w:rsidR="004B6AEB" w:rsidRPr="002C1513">
        <w:rPr>
          <w:bCs/>
          <w:szCs w:val="22"/>
        </w:rPr>
        <w:t xml:space="preserve"> tnavomodrý</w:t>
      </w:r>
      <w:r w:rsidRPr="002C1513">
        <w:rPr>
          <w:bCs/>
          <w:szCs w:val="22"/>
        </w:rPr>
        <w:t>m</w:t>
      </w:r>
      <w:r w:rsidR="004B6AEB" w:rsidRPr="002C1513">
        <w:rPr>
          <w:bCs/>
          <w:szCs w:val="22"/>
        </w:rPr>
        <w:t xml:space="preserve"> vrchnák</w:t>
      </w:r>
      <w:r w:rsidRPr="002C1513">
        <w:rPr>
          <w:bCs/>
          <w:szCs w:val="22"/>
        </w:rPr>
        <w:t>om</w:t>
      </w:r>
      <w:r w:rsidR="004B6AEB" w:rsidRPr="002C1513">
        <w:rPr>
          <w:bCs/>
          <w:szCs w:val="22"/>
        </w:rPr>
        <w:t>, obsahu</w:t>
      </w:r>
      <w:r w:rsidRPr="002C1513">
        <w:rPr>
          <w:bCs/>
          <w:szCs w:val="22"/>
        </w:rPr>
        <w:t>júca</w:t>
      </w:r>
      <w:r w:rsidR="004B6AEB" w:rsidRPr="002C1513">
        <w:rPr>
          <w:bCs/>
          <w:szCs w:val="22"/>
        </w:rPr>
        <w:t xml:space="preserve"> 4 biele až sivobiele okrúhle obojstranne vypuklé tablety</w:t>
      </w:r>
      <w:r w:rsidRPr="002C1513">
        <w:rPr>
          <w:bCs/>
          <w:szCs w:val="22"/>
        </w:rPr>
        <w:t>.</w:t>
      </w:r>
      <w:r w:rsidR="004B6AEB" w:rsidRPr="002C1513">
        <w:rPr>
          <w:bCs/>
          <w:szCs w:val="22"/>
        </w:rPr>
        <w:t xml:space="preserve"> </w:t>
      </w:r>
    </w:p>
    <w:p w:rsidR="00173BED" w:rsidRPr="002C1513" w:rsidRDefault="00173BED" w:rsidP="004B6AEB">
      <w:pPr>
        <w:keepNext/>
        <w:ind w:left="0" w:firstLine="0"/>
        <w:rPr>
          <w:bCs/>
          <w:szCs w:val="22"/>
        </w:rPr>
      </w:pPr>
    </w:p>
    <w:p w:rsidR="00173BED" w:rsidRPr="002C1513" w:rsidRDefault="004B6AEB" w:rsidP="004B6AEB">
      <w:pPr>
        <w:keepNext/>
        <w:ind w:left="0" w:firstLine="0"/>
        <w:rPr>
          <w:bCs/>
          <w:szCs w:val="22"/>
          <w:highlight w:val="lightGray"/>
        </w:rPr>
      </w:pPr>
      <w:r w:rsidRPr="002C1513">
        <w:rPr>
          <w:bCs/>
          <w:szCs w:val="22"/>
          <w:highlight w:val="lightGray"/>
        </w:rPr>
        <w:t>Duloxetin Sandoz 60</w:t>
      </w:r>
      <w:r w:rsidR="002C1513">
        <w:rPr>
          <w:bCs/>
          <w:szCs w:val="22"/>
          <w:highlight w:val="lightGray"/>
        </w:rPr>
        <w:t xml:space="preserve"> mg</w:t>
      </w:r>
      <w:r w:rsidRPr="002C1513">
        <w:rPr>
          <w:bCs/>
          <w:szCs w:val="22"/>
          <w:highlight w:val="lightGray"/>
        </w:rPr>
        <w:t xml:space="preserve"> </w:t>
      </w:r>
    </w:p>
    <w:p w:rsidR="004B6AEB" w:rsidRPr="002C1513" w:rsidRDefault="00173BED" w:rsidP="004B6AEB">
      <w:pPr>
        <w:keepNext/>
        <w:ind w:left="0" w:firstLine="0"/>
        <w:rPr>
          <w:bCs/>
          <w:szCs w:val="22"/>
        </w:rPr>
      </w:pPr>
      <w:r w:rsidRPr="002C1513">
        <w:rPr>
          <w:bCs/>
          <w:szCs w:val="22"/>
          <w:highlight w:val="lightGray"/>
        </w:rPr>
        <w:t>Kapsula veľkosti 0E s nepriehľadným žltozeleným telom</w:t>
      </w:r>
      <w:r w:rsidR="004B6AEB" w:rsidRPr="002C1513">
        <w:rPr>
          <w:bCs/>
          <w:szCs w:val="22"/>
          <w:highlight w:val="lightGray"/>
        </w:rPr>
        <w:t xml:space="preserve"> </w:t>
      </w:r>
      <w:r w:rsidRPr="002C1513">
        <w:rPr>
          <w:bCs/>
          <w:szCs w:val="22"/>
          <w:highlight w:val="lightGray"/>
        </w:rPr>
        <w:t>s číslom „60“ v</w:t>
      </w:r>
      <w:r w:rsidR="00261081" w:rsidRPr="002C1513">
        <w:rPr>
          <w:bCs/>
          <w:szCs w:val="22"/>
          <w:highlight w:val="lightGray"/>
        </w:rPr>
        <w:t>ytlačeným tmavomodrým farbivom</w:t>
      </w:r>
      <w:r w:rsidRPr="002C1513">
        <w:rPr>
          <w:bCs/>
          <w:szCs w:val="22"/>
          <w:highlight w:val="lightGray"/>
        </w:rPr>
        <w:t xml:space="preserve"> a </w:t>
      </w:r>
      <w:r w:rsidR="004B6AEB" w:rsidRPr="002C1513">
        <w:rPr>
          <w:bCs/>
          <w:szCs w:val="22"/>
          <w:highlight w:val="lightGray"/>
        </w:rPr>
        <w:t>nepriehľadný</w:t>
      </w:r>
      <w:r w:rsidRPr="002C1513">
        <w:rPr>
          <w:bCs/>
          <w:szCs w:val="22"/>
          <w:highlight w:val="lightGray"/>
        </w:rPr>
        <w:t>m</w:t>
      </w:r>
      <w:r w:rsidR="004B6AEB" w:rsidRPr="002C1513">
        <w:rPr>
          <w:bCs/>
          <w:szCs w:val="22"/>
          <w:highlight w:val="lightGray"/>
        </w:rPr>
        <w:t xml:space="preserve"> tnavomodrý</w:t>
      </w:r>
      <w:r w:rsidRPr="002C1513">
        <w:rPr>
          <w:bCs/>
          <w:szCs w:val="22"/>
          <w:highlight w:val="lightGray"/>
        </w:rPr>
        <w:t>m</w:t>
      </w:r>
      <w:r w:rsidR="004B6AEB" w:rsidRPr="002C1513">
        <w:rPr>
          <w:bCs/>
          <w:szCs w:val="22"/>
          <w:highlight w:val="lightGray"/>
        </w:rPr>
        <w:t xml:space="preserve"> vrchnák</w:t>
      </w:r>
      <w:r w:rsidRPr="002C1513">
        <w:rPr>
          <w:bCs/>
          <w:szCs w:val="22"/>
          <w:highlight w:val="lightGray"/>
        </w:rPr>
        <w:t>om</w:t>
      </w:r>
      <w:r w:rsidR="004B6AEB" w:rsidRPr="002C1513">
        <w:rPr>
          <w:bCs/>
          <w:szCs w:val="22"/>
          <w:highlight w:val="lightGray"/>
        </w:rPr>
        <w:t>, obsahujú</w:t>
      </w:r>
      <w:r w:rsidRPr="002C1513">
        <w:rPr>
          <w:bCs/>
          <w:szCs w:val="22"/>
          <w:highlight w:val="lightGray"/>
        </w:rPr>
        <w:t>ca</w:t>
      </w:r>
      <w:r w:rsidR="004B6AEB" w:rsidRPr="002C1513">
        <w:rPr>
          <w:bCs/>
          <w:szCs w:val="22"/>
          <w:highlight w:val="lightGray"/>
        </w:rPr>
        <w:t xml:space="preserve"> 8 bielych až sivobielych okrúhlych obojstranne vypuklých tabliet.</w:t>
      </w:r>
    </w:p>
    <w:p w:rsidR="00207689" w:rsidRPr="002C1513" w:rsidRDefault="00207689" w:rsidP="00527DED">
      <w:pPr>
        <w:ind w:left="0" w:firstLine="0"/>
        <w:rPr>
          <w:szCs w:val="22"/>
        </w:rPr>
      </w:pPr>
    </w:p>
    <w:p w:rsidR="00DE48BB" w:rsidRPr="002C1513" w:rsidRDefault="00DE48BB" w:rsidP="00527DED">
      <w:pPr>
        <w:ind w:left="0" w:firstLine="0"/>
        <w:rPr>
          <w:szCs w:val="22"/>
        </w:rPr>
      </w:pPr>
    </w:p>
    <w:p w:rsidR="00FF6BE0" w:rsidRPr="002C1513" w:rsidRDefault="00FF6BE0" w:rsidP="00D62768">
      <w:pPr>
        <w:tabs>
          <w:tab w:val="left" w:pos="567"/>
        </w:tabs>
        <w:ind w:left="0" w:firstLine="0"/>
        <w:rPr>
          <w:caps/>
          <w:szCs w:val="22"/>
        </w:rPr>
      </w:pPr>
      <w:r w:rsidRPr="002C1513">
        <w:rPr>
          <w:b/>
          <w:caps/>
          <w:szCs w:val="22"/>
        </w:rPr>
        <w:t>4.</w:t>
      </w:r>
      <w:r w:rsidRPr="002C1513">
        <w:rPr>
          <w:b/>
          <w:caps/>
          <w:szCs w:val="22"/>
        </w:rPr>
        <w:tab/>
        <w:t>KLINICKÉ ÚDAJE</w:t>
      </w:r>
    </w:p>
    <w:p w:rsidR="00FF6BE0" w:rsidRPr="002C1513" w:rsidRDefault="00FF6BE0" w:rsidP="00527DED">
      <w:pPr>
        <w:ind w:left="0" w:firstLine="0"/>
        <w:rPr>
          <w:szCs w:val="22"/>
        </w:rPr>
      </w:pPr>
    </w:p>
    <w:p w:rsidR="00FF6BE0" w:rsidRPr="002C1513" w:rsidRDefault="00FF6BE0" w:rsidP="00D62768">
      <w:pPr>
        <w:numPr>
          <w:ilvl w:val="1"/>
          <w:numId w:val="8"/>
        </w:numPr>
        <w:ind w:left="567" w:hanging="567"/>
        <w:rPr>
          <w:szCs w:val="22"/>
        </w:rPr>
      </w:pPr>
      <w:r w:rsidRPr="002C1513">
        <w:rPr>
          <w:b/>
          <w:szCs w:val="22"/>
        </w:rPr>
        <w:t>Terapeutické indikácie</w:t>
      </w:r>
    </w:p>
    <w:p w:rsidR="00FF6BE0" w:rsidRPr="002C1513" w:rsidRDefault="00FF6BE0" w:rsidP="00527DED">
      <w:pPr>
        <w:ind w:left="0" w:firstLine="0"/>
        <w:rPr>
          <w:szCs w:val="22"/>
        </w:rPr>
      </w:pPr>
    </w:p>
    <w:p w:rsidR="00173BED" w:rsidRPr="002C1513" w:rsidRDefault="00173BED" w:rsidP="00173BED">
      <w:pPr>
        <w:pStyle w:val="Default"/>
        <w:rPr>
          <w:sz w:val="22"/>
          <w:szCs w:val="22"/>
        </w:rPr>
      </w:pPr>
      <w:r w:rsidRPr="002C1513">
        <w:rPr>
          <w:sz w:val="22"/>
          <w:szCs w:val="22"/>
        </w:rPr>
        <w:t xml:space="preserve">Liečba veľkej depresívnej poruchy. </w:t>
      </w:r>
    </w:p>
    <w:p w:rsidR="00173BED" w:rsidRPr="002C1513" w:rsidRDefault="00173BED" w:rsidP="00173BED">
      <w:pPr>
        <w:pStyle w:val="Default"/>
        <w:rPr>
          <w:sz w:val="22"/>
          <w:szCs w:val="22"/>
        </w:rPr>
      </w:pPr>
      <w:r w:rsidRPr="002C1513">
        <w:rPr>
          <w:sz w:val="22"/>
          <w:szCs w:val="22"/>
        </w:rPr>
        <w:t xml:space="preserve">Liečba diabetickej periférnej neuropatickej bolesti. </w:t>
      </w:r>
    </w:p>
    <w:p w:rsidR="00173BED" w:rsidRPr="002C1513" w:rsidRDefault="00173BED" w:rsidP="00173BED">
      <w:pPr>
        <w:pStyle w:val="Default"/>
        <w:rPr>
          <w:sz w:val="22"/>
          <w:szCs w:val="22"/>
        </w:rPr>
      </w:pPr>
      <w:r w:rsidRPr="002C1513">
        <w:rPr>
          <w:sz w:val="22"/>
          <w:szCs w:val="22"/>
        </w:rPr>
        <w:t xml:space="preserve">Liečba generalizovanej úzkostnej poruchy. </w:t>
      </w:r>
    </w:p>
    <w:p w:rsidR="00173BED" w:rsidRPr="002C1513" w:rsidRDefault="00173BED" w:rsidP="00173BED">
      <w:pPr>
        <w:pStyle w:val="Default"/>
        <w:rPr>
          <w:sz w:val="22"/>
          <w:szCs w:val="22"/>
        </w:rPr>
      </w:pPr>
    </w:p>
    <w:p w:rsidR="00173BED" w:rsidRPr="002C1513" w:rsidRDefault="00173BED" w:rsidP="00173BED">
      <w:pPr>
        <w:pStyle w:val="Default"/>
        <w:rPr>
          <w:sz w:val="22"/>
          <w:szCs w:val="22"/>
        </w:rPr>
      </w:pPr>
      <w:r w:rsidRPr="002C1513">
        <w:rPr>
          <w:bCs/>
          <w:sz w:val="22"/>
          <w:szCs w:val="22"/>
        </w:rPr>
        <w:t>Duloxetin Sandoz</w:t>
      </w:r>
      <w:r w:rsidRPr="002C1513">
        <w:rPr>
          <w:bCs/>
          <w:szCs w:val="22"/>
        </w:rPr>
        <w:t xml:space="preserve"> </w:t>
      </w:r>
      <w:r w:rsidRPr="002C1513">
        <w:rPr>
          <w:sz w:val="22"/>
          <w:szCs w:val="22"/>
        </w:rPr>
        <w:t xml:space="preserve">je indikovaný </w:t>
      </w:r>
      <w:r w:rsidR="00EA2A19" w:rsidRPr="002C1513">
        <w:rPr>
          <w:sz w:val="22"/>
          <w:szCs w:val="22"/>
        </w:rPr>
        <w:t>dospelý</w:t>
      </w:r>
      <w:r w:rsidR="00EA2A19">
        <w:rPr>
          <w:sz w:val="22"/>
          <w:szCs w:val="22"/>
        </w:rPr>
        <w:t>m</w:t>
      </w:r>
      <w:r w:rsidRPr="002C1513">
        <w:rPr>
          <w:sz w:val="22"/>
          <w:szCs w:val="22"/>
        </w:rPr>
        <w:t xml:space="preserve">. </w:t>
      </w:r>
    </w:p>
    <w:p w:rsidR="00173BED" w:rsidRPr="002C1513" w:rsidRDefault="00173BED" w:rsidP="00173BED">
      <w:pPr>
        <w:ind w:left="0" w:firstLine="0"/>
        <w:rPr>
          <w:szCs w:val="22"/>
        </w:rPr>
      </w:pPr>
      <w:r w:rsidRPr="002C1513">
        <w:rPr>
          <w:szCs w:val="22"/>
        </w:rPr>
        <w:t>Ďalšie informácie nájdete v časti 5.1.</w:t>
      </w:r>
    </w:p>
    <w:p w:rsidR="00173BED" w:rsidRPr="002C1513" w:rsidRDefault="00173BED" w:rsidP="00173BED">
      <w:pPr>
        <w:ind w:left="0" w:firstLine="0"/>
        <w:rPr>
          <w:szCs w:val="22"/>
        </w:rPr>
      </w:pPr>
    </w:p>
    <w:p w:rsidR="00FF6BE0" w:rsidRPr="002C1513" w:rsidRDefault="00FF6BE0" w:rsidP="00D62768">
      <w:pPr>
        <w:numPr>
          <w:ilvl w:val="1"/>
          <w:numId w:val="8"/>
        </w:numPr>
        <w:ind w:left="567" w:hanging="567"/>
        <w:rPr>
          <w:b/>
          <w:szCs w:val="22"/>
        </w:rPr>
      </w:pPr>
      <w:r w:rsidRPr="002C1513">
        <w:rPr>
          <w:b/>
          <w:szCs w:val="22"/>
        </w:rPr>
        <w:t>Dávkovanie a spôsob podávania</w:t>
      </w:r>
    </w:p>
    <w:p w:rsidR="00667DBF" w:rsidRPr="002C1513" w:rsidRDefault="00667DBF" w:rsidP="00667DBF">
      <w:pPr>
        <w:ind w:left="0" w:firstLine="0"/>
        <w:rPr>
          <w:szCs w:val="22"/>
        </w:rPr>
      </w:pPr>
    </w:p>
    <w:p w:rsidR="002A4801" w:rsidRPr="002C1513" w:rsidRDefault="002A4801" w:rsidP="002A4801">
      <w:pPr>
        <w:autoSpaceDE w:val="0"/>
        <w:autoSpaceDN w:val="0"/>
        <w:adjustRightInd w:val="0"/>
        <w:ind w:left="0" w:firstLine="0"/>
        <w:rPr>
          <w:szCs w:val="22"/>
          <w:u w:val="single"/>
          <w:lang w:eastAsia="en-US"/>
        </w:rPr>
      </w:pPr>
      <w:r w:rsidRPr="002C1513">
        <w:rPr>
          <w:szCs w:val="22"/>
          <w:u w:val="single"/>
          <w:lang w:eastAsia="en-US"/>
        </w:rPr>
        <w:t>Dávkovanie</w:t>
      </w:r>
    </w:p>
    <w:p w:rsidR="00D42E0A" w:rsidRPr="002C1513" w:rsidRDefault="00D42E0A" w:rsidP="00D42E0A">
      <w:pPr>
        <w:pStyle w:val="Default"/>
        <w:keepNext/>
        <w:rPr>
          <w:i/>
          <w:iCs/>
          <w:sz w:val="22"/>
          <w:szCs w:val="22"/>
        </w:rPr>
      </w:pPr>
      <w:r w:rsidRPr="002C1513">
        <w:rPr>
          <w:i/>
          <w:iCs/>
          <w:sz w:val="22"/>
          <w:szCs w:val="22"/>
        </w:rPr>
        <w:lastRenderedPageBreak/>
        <w:t xml:space="preserve">Veľká depresívna porucha </w:t>
      </w:r>
    </w:p>
    <w:p w:rsidR="00D42E0A" w:rsidRPr="002C1513" w:rsidRDefault="00D42E0A" w:rsidP="00D42E0A">
      <w:pPr>
        <w:pStyle w:val="Default"/>
        <w:keepNext/>
        <w:rPr>
          <w:sz w:val="22"/>
          <w:szCs w:val="22"/>
        </w:rPr>
      </w:pPr>
      <w:r w:rsidRPr="002C1513">
        <w:rPr>
          <w:sz w:val="22"/>
          <w:szCs w:val="22"/>
        </w:rPr>
        <w:t xml:space="preserve">Počiatočná a odporúčaná udržiavacia dávka je 60 mg jedenkrát denne s jedlom alebo bez jedla. V klinických štúdiách boli z hľadiska bezpečnosti hodnotené podané dávky vyššie ako 60 mg jedenkrát denne až po maximálnu dávku 120 mg denne. Klinický dôkaz o tom, že by pacienti nereagujúci na počiatočnú odporúčanú dávku mohli profitovať zo vzostupnej titrácie dávky však neexistuje. </w:t>
      </w:r>
    </w:p>
    <w:p w:rsidR="00D42E0A" w:rsidRPr="002C1513" w:rsidRDefault="00D42E0A" w:rsidP="00D42E0A">
      <w:pPr>
        <w:pStyle w:val="Default"/>
        <w:keepNext/>
        <w:rPr>
          <w:sz w:val="22"/>
          <w:szCs w:val="22"/>
        </w:rPr>
      </w:pPr>
    </w:p>
    <w:p w:rsidR="00D42E0A" w:rsidRPr="002C1513" w:rsidRDefault="00D42E0A" w:rsidP="00D42E0A">
      <w:pPr>
        <w:pStyle w:val="Default"/>
        <w:keepNext/>
        <w:rPr>
          <w:sz w:val="22"/>
          <w:szCs w:val="22"/>
        </w:rPr>
      </w:pPr>
      <w:r w:rsidRPr="002C1513">
        <w:rPr>
          <w:sz w:val="22"/>
          <w:szCs w:val="22"/>
        </w:rPr>
        <w:t xml:space="preserve">Odpoveď na liečbu sa spravidla objaví po 2-4 týždňoch liečby. </w:t>
      </w:r>
    </w:p>
    <w:p w:rsidR="00D42E0A" w:rsidRPr="002C1513" w:rsidRDefault="00D42E0A" w:rsidP="00D42E0A">
      <w:pPr>
        <w:pStyle w:val="Default"/>
        <w:keepNext/>
        <w:rPr>
          <w:sz w:val="22"/>
          <w:szCs w:val="22"/>
        </w:rPr>
      </w:pPr>
    </w:p>
    <w:p w:rsidR="00D42E0A" w:rsidRPr="002C1513" w:rsidRDefault="00D42E0A" w:rsidP="00D42E0A">
      <w:pPr>
        <w:pStyle w:val="Default"/>
        <w:keepNext/>
        <w:rPr>
          <w:sz w:val="22"/>
          <w:szCs w:val="22"/>
        </w:rPr>
      </w:pPr>
      <w:r w:rsidRPr="002C1513">
        <w:rPr>
          <w:sz w:val="22"/>
          <w:szCs w:val="22"/>
        </w:rPr>
        <w:t xml:space="preserve">Po konsolidácii antidepresívnej odpovede na liečbu sa odporúča v liečbe pokračovať ešte niekoľko mesiacov, aby sa zabránilo relapsu. U pacientov odpovedajúcich na liečbu duloxetínom a s históriou opakujúcich sa epizód </w:t>
      </w:r>
      <w:r w:rsidR="00EA2A19">
        <w:rPr>
          <w:sz w:val="22"/>
          <w:szCs w:val="22"/>
        </w:rPr>
        <w:t xml:space="preserve">veľkej depresie </w:t>
      </w:r>
      <w:r w:rsidR="0095562B">
        <w:rPr>
          <w:sz w:val="22"/>
          <w:szCs w:val="22"/>
        </w:rPr>
        <w:t xml:space="preserve"> sa môže</w:t>
      </w:r>
      <w:r w:rsidR="0095562B" w:rsidRPr="002C1513">
        <w:rPr>
          <w:sz w:val="22"/>
          <w:szCs w:val="22"/>
        </w:rPr>
        <w:t xml:space="preserve"> </w:t>
      </w:r>
      <w:r w:rsidRPr="002C1513">
        <w:rPr>
          <w:sz w:val="22"/>
          <w:szCs w:val="22"/>
        </w:rPr>
        <w:t xml:space="preserve">zvážiť </w:t>
      </w:r>
      <w:r w:rsidR="0095562B" w:rsidRPr="002C1513">
        <w:rPr>
          <w:sz w:val="22"/>
          <w:szCs w:val="22"/>
        </w:rPr>
        <w:t>ďalši</w:t>
      </w:r>
      <w:r w:rsidR="0095562B">
        <w:rPr>
          <w:sz w:val="22"/>
          <w:szCs w:val="22"/>
        </w:rPr>
        <w:t>a</w:t>
      </w:r>
      <w:r w:rsidR="0095562B" w:rsidRPr="002C1513">
        <w:rPr>
          <w:sz w:val="22"/>
          <w:szCs w:val="22"/>
        </w:rPr>
        <w:t xml:space="preserve"> dlhodob</w:t>
      </w:r>
      <w:r w:rsidR="0095562B">
        <w:rPr>
          <w:sz w:val="22"/>
          <w:szCs w:val="22"/>
        </w:rPr>
        <w:t>á</w:t>
      </w:r>
      <w:r w:rsidR="0095562B" w:rsidRPr="002C1513">
        <w:rPr>
          <w:sz w:val="22"/>
          <w:szCs w:val="22"/>
        </w:rPr>
        <w:t xml:space="preserve"> liečb</w:t>
      </w:r>
      <w:r w:rsidR="0095562B">
        <w:rPr>
          <w:sz w:val="22"/>
          <w:szCs w:val="22"/>
        </w:rPr>
        <w:t>a</w:t>
      </w:r>
      <w:r w:rsidR="0095562B" w:rsidRPr="002C1513">
        <w:rPr>
          <w:sz w:val="22"/>
          <w:szCs w:val="22"/>
        </w:rPr>
        <w:t xml:space="preserve"> </w:t>
      </w:r>
      <w:r w:rsidRPr="002C1513">
        <w:rPr>
          <w:sz w:val="22"/>
          <w:szCs w:val="22"/>
        </w:rPr>
        <w:t xml:space="preserve">s dávkou 60 až 120 mg/deň. </w:t>
      </w:r>
    </w:p>
    <w:p w:rsidR="00D42E0A" w:rsidRPr="002C1513" w:rsidRDefault="00D42E0A" w:rsidP="00D42E0A">
      <w:pPr>
        <w:pStyle w:val="Default"/>
        <w:keepNext/>
        <w:rPr>
          <w:i/>
          <w:iCs/>
          <w:sz w:val="22"/>
          <w:szCs w:val="22"/>
        </w:rPr>
      </w:pPr>
    </w:p>
    <w:p w:rsidR="00D42E0A" w:rsidRPr="002C1513" w:rsidRDefault="00D42E0A" w:rsidP="00D42E0A">
      <w:pPr>
        <w:pStyle w:val="Default"/>
        <w:keepNext/>
        <w:rPr>
          <w:sz w:val="22"/>
          <w:szCs w:val="22"/>
        </w:rPr>
      </w:pPr>
      <w:r w:rsidRPr="002C1513">
        <w:rPr>
          <w:i/>
          <w:iCs/>
          <w:sz w:val="22"/>
          <w:szCs w:val="22"/>
        </w:rPr>
        <w:t xml:space="preserve">Generalizovaná úzkostná porucha </w:t>
      </w:r>
    </w:p>
    <w:p w:rsidR="00D42E0A" w:rsidRPr="002C1513" w:rsidRDefault="00D42E0A" w:rsidP="00D42E0A">
      <w:pPr>
        <w:pStyle w:val="Default"/>
        <w:keepNext/>
        <w:rPr>
          <w:sz w:val="22"/>
          <w:szCs w:val="22"/>
        </w:rPr>
      </w:pPr>
      <w:r w:rsidRPr="002C1513">
        <w:rPr>
          <w:sz w:val="22"/>
          <w:szCs w:val="22"/>
        </w:rPr>
        <w:t xml:space="preserve">Odporúčaná počiatočná dávka u pacientov s generalizovanou úzkostnou poruchou je 30 mg jedenkrát denne s jedlom alebo bez jedla. U pacientov bez dostatočnej odpovede sa má dávka zvýšiť na 60 mg, čo je zvyčajná udržiavacia dávka u väčšiny pacientov. </w:t>
      </w:r>
    </w:p>
    <w:p w:rsidR="00D42E0A" w:rsidRPr="002C1513" w:rsidRDefault="00D42E0A" w:rsidP="00D42E0A">
      <w:pPr>
        <w:pStyle w:val="Default"/>
        <w:keepNext/>
        <w:rPr>
          <w:sz w:val="22"/>
          <w:szCs w:val="22"/>
        </w:rPr>
      </w:pPr>
    </w:p>
    <w:p w:rsidR="00D42E0A" w:rsidRPr="002C1513" w:rsidRDefault="00D42E0A" w:rsidP="00D42E0A">
      <w:pPr>
        <w:pStyle w:val="Default"/>
        <w:keepNext/>
        <w:rPr>
          <w:sz w:val="22"/>
          <w:szCs w:val="22"/>
        </w:rPr>
      </w:pPr>
      <w:r w:rsidRPr="002C1513">
        <w:rPr>
          <w:sz w:val="22"/>
          <w:szCs w:val="22"/>
        </w:rPr>
        <w:t xml:space="preserve">U pacientov, ktorí trpia tiež veľkou depresívnou poruchou, počiatočná a udržiavacia dávka je 60 mg jedenkrát denne (prosím pozri tiež vyššie odporúčanie dávkovania). </w:t>
      </w:r>
    </w:p>
    <w:p w:rsidR="002A4801" w:rsidRPr="002C1513" w:rsidRDefault="002A4801" w:rsidP="002A4801">
      <w:pPr>
        <w:ind w:left="0" w:firstLine="0"/>
        <w:rPr>
          <w:szCs w:val="22"/>
        </w:rPr>
      </w:pPr>
    </w:p>
    <w:p w:rsidR="00D42E0A" w:rsidRPr="002C1513" w:rsidRDefault="00D42E0A" w:rsidP="00D42E0A">
      <w:pPr>
        <w:pStyle w:val="Default"/>
        <w:rPr>
          <w:sz w:val="22"/>
          <w:szCs w:val="22"/>
        </w:rPr>
      </w:pPr>
      <w:r w:rsidRPr="002C1513">
        <w:rPr>
          <w:sz w:val="22"/>
          <w:szCs w:val="22"/>
        </w:rPr>
        <w:t xml:space="preserve">Preukázalo sa, že dávky až do 120 mg denne sú účinné a v klinických štúdiách boli hodnotené aj z hľadiska bezpečnosti. U pacientov s nedostatočnou odpoveďou na </w:t>
      </w:r>
      <w:r w:rsidR="00414FCB">
        <w:rPr>
          <w:sz w:val="22"/>
          <w:szCs w:val="22"/>
        </w:rPr>
        <w:t xml:space="preserve">dávku </w:t>
      </w:r>
      <w:r w:rsidRPr="002C1513">
        <w:rPr>
          <w:sz w:val="22"/>
          <w:szCs w:val="22"/>
        </w:rPr>
        <w:t xml:space="preserve">60 mg sa môže zvážiť zvýšenie dávky až na 90 mg alebo 120 mg. Dávka sa má zvyšovať podľa klinickej odpovede a znášanlivosti. </w:t>
      </w:r>
    </w:p>
    <w:p w:rsidR="00D42E0A" w:rsidRPr="002C1513" w:rsidRDefault="00D42E0A" w:rsidP="00D42E0A">
      <w:pPr>
        <w:pStyle w:val="Default"/>
        <w:rPr>
          <w:sz w:val="22"/>
          <w:szCs w:val="22"/>
        </w:rPr>
      </w:pPr>
    </w:p>
    <w:p w:rsidR="00D42E0A" w:rsidRPr="002C1513" w:rsidRDefault="00D42E0A" w:rsidP="00D42E0A">
      <w:pPr>
        <w:pStyle w:val="Default"/>
        <w:rPr>
          <w:sz w:val="22"/>
          <w:szCs w:val="22"/>
        </w:rPr>
      </w:pPr>
      <w:r w:rsidRPr="002C1513">
        <w:rPr>
          <w:sz w:val="22"/>
          <w:szCs w:val="22"/>
        </w:rPr>
        <w:t xml:space="preserve">Po konsolidácii odpovede na liečbu sa odporúča v liečbe pokračovať ešte niekoľko mesiacov, aby sa zabránilo relapsu. </w:t>
      </w:r>
    </w:p>
    <w:p w:rsidR="00D42E0A" w:rsidRPr="002C1513" w:rsidRDefault="00D42E0A" w:rsidP="00D42E0A">
      <w:pPr>
        <w:pStyle w:val="Default"/>
        <w:rPr>
          <w:i/>
          <w:iCs/>
          <w:sz w:val="22"/>
          <w:szCs w:val="22"/>
        </w:rPr>
      </w:pPr>
    </w:p>
    <w:p w:rsidR="00D42E0A" w:rsidRPr="002C1513" w:rsidRDefault="00D42E0A" w:rsidP="00D42E0A">
      <w:pPr>
        <w:pStyle w:val="Default"/>
        <w:rPr>
          <w:sz w:val="22"/>
          <w:szCs w:val="22"/>
        </w:rPr>
      </w:pPr>
      <w:r w:rsidRPr="002C1513">
        <w:rPr>
          <w:i/>
          <w:iCs/>
          <w:sz w:val="22"/>
          <w:szCs w:val="22"/>
        </w:rPr>
        <w:t xml:space="preserve">Diabetická periférna neuropatická bolesť </w:t>
      </w:r>
    </w:p>
    <w:p w:rsidR="00D42E0A" w:rsidRPr="002C1513" w:rsidRDefault="00D42E0A" w:rsidP="00D42E0A">
      <w:pPr>
        <w:pStyle w:val="Default"/>
        <w:rPr>
          <w:sz w:val="22"/>
          <w:szCs w:val="22"/>
        </w:rPr>
      </w:pPr>
      <w:r w:rsidRPr="002C1513">
        <w:rPr>
          <w:sz w:val="22"/>
          <w:szCs w:val="22"/>
        </w:rPr>
        <w:t xml:space="preserve">Počiatočná a odporúčaná udržiavacia dávka je 60 mg jedenkrát denne s jedlom alebo bez jedla. V klinických štúdiách boli z hľadiska bezpečnosti hodnotené dávky vyššie ako 60 mg jedenkrát denne až po maximálnu dávku 120 mg denne podané v rovnomerne rozdelených dávkach. Plazmatická koncentrácia duloxetínu preukazuje veľkú interindividuálnu variabilitu (pozri časť 5.2). V dôsledku toho môže niektorým pacientom, ktorí nedostatočne reagujú na dávku 60 mg, vyššia dávka prospieť. </w:t>
      </w:r>
    </w:p>
    <w:p w:rsidR="00D42E0A" w:rsidRPr="002C1513" w:rsidRDefault="00D42E0A" w:rsidP="00D42E0A">
      <w:pPr>
        <w:pStyle w:val="Default"/>
        <w:rPr>
          <w:sz w:val="22"/>
          <w:szCs w:val="22"/>
        </w:rPr>
      </w:pPr>
    </w:p>
    <w:p w:rsidR="00D42E0A" w:rsidRPr="002C1513" w:rsidRDefault="00D42E0A" w:rsidP="00D42E0A">
      <w:pPr>
        <w:pStyle w:val="Default"/>
        <w:rPr>
          <w:sz w:val="22"/>
          <w:szCs w:val="22"/>
        </w:rPr>
      </w:pPr>
      <w:r w:rsidRPr="002C1513">
        <w:rPr>
          <w:sz w:val="22"/>
          <w:szCs w:val="22"/>
        </w:rPr>
        <w:t xml:space="preserve">Odpoveď na liečbu sa má vyhodnocovať po dvoch mesiacoch liečby. U pacientov s nedostatočnou počiatočnou odpoveďou je dodatočná odpoveď po uplynutí tejto doby nepravdepodobná. </w:t>
      </w:r>
    </w:p>
    <w:p w:rsidR="00D42E0A" w:rsidRPr="002C1513" w:rsidRDefault="00D42E0A" w:rsidP="00D42E0A">
      <w:pPr>
        <w:pStyle w:val="Default"/>
        <w:rPr>
          <w:sz w:val="22"/>
          <w:szCs w:val="22"/>
        </w:rPr>
      </w:pPr>
    </w:p>
    <w:p w:rsidR="00D42E0A" w:rsidRPr="002C1513" w:rsidRDefault="00D42E0A" w:rsidP="00D42E0A">
      <w:pPr>
        <w:pStyle w:val="Default"/>
        <w:rPr>
          <w:sz w:val="22"/>
          <w:szCs w:val="22"/>
        </w:rPr>
      </w:pPr>
      <w:r w:rsidRPr="002C1513">
        <w:rPr>
          <w:sz w:val="22"/>
          <w:szCs w:val="22"/>
        </w:rPr>
        <w:t xml:space="preserve">Prínos liečby je potrebné pravidelne prehodnocovať (minimálne každé tri mesiace) (pozri časť 5.1). </w:t>
      </w:r>
    </w:p>
    <w:p w:rsidR="00D42E0A" w:rsidRPr="002C1513" w:rsidRDefault="00D42E0A" w:rsidP="00D42E0A">
      <w:pPr>
        <w:pStyle w:val="Default"/>
        <w:rPr>
          <w:i/>
          <w:iCs/>
          <w:sz w:val="22"/>
          <w:szCs w:val="22"/>
        </w:rPr>
      </w:pPr>
    </w:p>
    <w:p w:rsidR="00D42E0A" w:rsidRPr="002C1513" w:rsidRDefault="00D42E0A" w:rsidP="00D42E0A">
      <w:pPr>
        <w:pStyle w:val="Default"/>
        <w:rPr>
          <w:sz w:val="22"/>
          <w:szCs w:val="22"/>
        </w:rPr>
      </w:pPr>
      <w:r w:rsidRPr="002C1513">
        <w:rPr>
          <w:i/>
          <w:iCs/>
          <w:sz w:val="22"/>
          <w:szCs w:val="22"/>
        </w:rPr>
        <w:t xml:space="preserve">Osobitné skupiny </w:t>
      </w:r>
    </w:p>
    <w:p w:rsidR="00D42E0A" w:rsidRPr="002C1513" w:rsidRDefault="00D42E0A" w:rsidP="00D42E0A">
      <w:pPr>
        <w:pStyle w:val="Default"/>
        <w:rPr>
          <w:i/>
          <w:iCs/>
          <w:sz w:val="22"/>
          <w:szCs w:val="22"/>
        </w:rPr>
      </w:pPr>
    </w:p>
    <w:p w:rsidR="00D42E0A" w:rsidRPr="002C1513" w:rsidRDefault="00D42E0A" w:rsidP="00D42E0A">
      <w:pPr>
        <w:pStyle w:val="Default"/>
        <w:rPr>
          <w:sz w:val="22"/>
          <w:szCs w:val="22"/>
        </w:rPr>
      </w:pPr>
      <w:r w:rsidRPr="002C1513">
        <w:rPr>
          <w:i/>
          <w:iCs/>
          <w:sz w:val="22"/>
          <w:szCs w:val="22"/>
        </w:rPr>
        <w:t xml:space="preserve">Starší pacienti </w:t>
      </w:r>
    </w:p>
    <w:p w:rsidR="00D42E0A" w:rsidRPr="002C1513" w:rsidRDefault="00D42E0A" w:rsidP="00D42E0A">
      <w:pPr>
        <w:pStyle w:val="Default"/>
        <w:rPr>
          <w:sz w:val="22"/>
          <w:szCs w:val="22"/>
        </w:rPr>
      </w:pPr>
      <w:r w:rsidRPr="002C1513">
        <w:rPr>
          <w:sz w:val="22"/>
          <w:szCs w:val="22"/>
        </w:rPr>
        <w:t xml:space="preserve">Vyšší vek sám o sebe nie je dôvodom pre úpravu dávky. </w:t>
      </w:r>
      <w:r w:rsidR="001520B5" w:rsidRPr="002C1513">
        <w:rPr>
          <w:sz w:val="22"/>
          <w:szCs w:val="22"/>
        </w:rPr>
        <w:t>Avšak, ako pri akomkoľvek lieku, k</w:t>
      </w:r>
      <w:r w:rsidRPr="002C1513">
        <w:rPr>
          <w:sz w:val="22"/>
          <w:szCs w:val="22"/>
        </w:rPr>
        <w:t xml:space="preserve"> liečbe starší</w:t>
      </w:r>
      <w:r w:rsidR="001520B5" w:rsidRPr="002C1513">
        <w:rPr>
          <w:sz w:val="22"/>
          <w:szCs w:val="22"/>
        </w:rPr>
        <w:t xml:space="preserve">ch pacientov je </w:t>
      </w:r>
      <w:r w:rsidRPr="002C1513">
        <w:rPr>
          <w:sz w:val="22"/>
          <w:szCs w:val="22"/>
        </w:rPr>
        <w:t>potrebné pristupovať opatrne, najmä pri dá</w:t>
      </w:r>
      <w:r w:rsidR="001520B5" w:rsidRPr="002C1513">
        <w:rPr>
          <w:sz w:val="22"/>
          <w:szCs w:val="22"/>
        </w:rPr>
        <w:t>vke duloxetínu</w:t>
      </w:r>
      <w:r w:rsidRPr="002C1513">
        <w:rPr>
          <w:sz w:val="22"/>
          <w:szCs w:val="22"/>
        </w:rPr>
        <w:t xml:space="preserve"> 120 mg denne pri liečbe veľkej depresívnej poruchy alebo generalizovanej úzkostnej poruchy, kde sú údaje obmedzené (pozri časti 4.4 a 5.2). </w:t>
      </w:r>
    </w:p>
    <w:p w:rsidR="001520B5" w:rsidRPr="002C1513" w:rsidRDefault="001520B5" w:rsidP="00D42E0A">
      <w:pPr>
        <w:pStyle w:val="Default"/>
        <w:rPr>
          <w:i/>
          <w:iCs/>
          <w:sz w:val="22"/>
          <w:szCs w:val="22"/>
        </w:rPr>
      </w:pPr>
    </w:p>
    <w:p w:rsidR="00D42E0A" w:rsidRPr="002C1513" w:rsidRDefault="00D42E0A" w:rsidP="00D42E0A">
      <w:pPr>
        <w:pStyle w:val="Default"/>
        <w:rPr>
          <w:sz w:val="22"/>
          <w:szCs w:val="22"/>
        </w:rPr>
      </w:pPr>
      <w:r w:rsidRPr="002C1513">
        <w:rPr>
          <w:i/>
          <w:iCs/>
          <w:sz w:val="22"/>
          <w:szCs w:val="22"/>
        </w:rPr>
        <w:t xml:space="preserve">Porucha funkcie pečene </w:t>
      </w:r>
    </w:p>
    <w:p w:rsidR="00D42E0A" w:rsidRPr="002C1513" w:rsidRDefault="001520B5" w:rsidP="00D42E0A">
      <w:pPr>
        <w:ind w:left="0" w:firstLine="0"/>
        <w:rPr>
          <w:szCs w:val="22"/>
        </w:rPr>
      </w:pPr>
      <w:r w:rsidRPr="002C1513">
        <w:rPr>
          <w:szCs w:val="22"/>
        </w:rPr>
        <w:t>Duloxetín</w:t>
      </w:r>
      <w:r w:rsidR="00D42E0A" w:rsidRPr="002C1513">
        <w:rPr>
          <w:szCs w:val="22"/>
        </w:rPr>
        <w:t xml:space="preserve"> sa nesmie používať u pacientov, ktorí trpia ochorením pečene </w:t>
      </w:r>
      <w:r w:rsidRPr="002C1513">
        <w:rPr>
          <w:szCs w:val="22"/>
        </w:rPr>
        <w:t>vedúcim k poruche jej funkcie</w:t>
      </w:r>
      <w:r w:rsidR="00D42E0A" w:rsidRPr="002C1513">
        <w:rPr>
          <w:szCs w:val="22"/>
        </w:rPr>
        <w:t xml:space="preserve"> (pozri časti 4.3 a 5.2).</w:t>
      </w:r>
    </w:p>
    <w:p w:rsidR="00926903" w:rsidRPr="002C1513" w:rsidRDefault="00926903" w:rsidP="00D42E0A">
      <w:pPr>
        <w:ind w:left="0" w:firstLine="0"/>
        <w:rPr>
          <w:szCs w:val="22"/>
        </w:rPr>
      </w:pPr>
    </w:p>
    <w:p w:rsidR="00926903" w:rsidRPr="002C1513" w:rsidRDefault="00926903" w:rsidP="00926903">
      <w:pPr>
        <w:pStyle w:val="Default"/>
        <w:rPr>
          <w:sz w:val="22"/>
          <w:szCs w:val="22"/>
        </w:rPr>
      </w:pPr>
      <w:r w:rsidRPr="002C1513">
        <w:rPr>
          <w:i/>
          <w:iCs/>
          <w:sz w:val="22"/>
          <w:szCs w:val="22"/>
        </w:rPr>
        <w:t xml:space="preserve">Porucha funkcie obličiek </w:t>
      </w:r>
    </w:p>
    <w:p w:rsidR="00926903" w:rsidRPr="002C1513" w:rsidRDefault="00926903" w:rsidP="00926903">
      <w:pPr>
        <w:pStyle w:val="Default"/>
        <w:rPr>
          <w:sz w:val="22"/>
          <w:szCs w:val="22"/>
        </w:rPr>
      </w:pPr>
      <w:r w:rsidRPr="002C1513">
        <w:rPr>
          <w:sz w:val="22"/>
          <w:szCs w:val="22"/>
        </w:rPr>
        <w:t xml:space="preserve">U pacientov s miernym alebo stredne závažným poškodením obličiek (klírens kreatinínu 30 až 80 ml/min) nie je nutné upravovať dávku. Duloxetín nesmú užívať pacienti so závažnou poruchou funkcie obličiek (klírens kreatinínu &lt; 30 ml/min, pozri časť 4.3). </w:t>
      </w:r>
    </w:p>
    <w:p w:rsidR="00926903" w:rsidRPr="002C1513" w:rsidRDefault="00926903" w:rsidP="00926903">
      <w:pPr>
        <w:pStyle w:val="Default"/>
        <w:rPr>
          <w:i/>
          <w:iCs/>
          <w:sz w:val="22"/>
          <w:szCs w:val="22"/>
        </w:rPr>
      </w:pPr>
    </w:p>
    <w:p w:rsidR="00926903" w:rsidRPr="002C1513" w:rsidRDefault="00926903" w:rsidP="00926903">
      <w:pPr>
        <w:pStyle w:val="Default"/>
        <w:rPr>
          <w:sz w:val="22"/>
          <w:szCs w:val="22"/>
        </w:rPr>
      </w:pPr>
      <w:r w:rsidRPr="002C1513">
        <w:rPr>
          <w:i/>
          <w:iCs/>
          <w:sz w:val="22"/>
          <w:szCs w:val="22"/>
        </w:rPr>
        <w:t xml:space="preserve">Pediatrická populácia </w:t>
      </w:r>
    </w:p>
    <w:p w:rsidR="00926903" w:rsidRPr="002C1513" w:rsidRDefault="00926903" w:rsidP="00926903">
      <w:pPr>
        <w:pStyle w:val="Default"/>
        <w:rPr>
          <w:sz w:val="22"/>
          <w:szCs w:val="22"/>
        </w:rPr>
      </w:pPr>
      <w:r w:rsidRPr="002C1513">
        <w:rPr>
          <w:sz w:val="22"/>
          <w:szCs w:val="22"/>
        </w:rPr>
        <w:t xml:space="preserve">Duloxetín sa nemá používať u detí a dospievajúcich mladších ako 18 rokov na liečbu veľkej depresívnej poruchy z dôvodu obáv o bezpečnosť a účinnosť (pozri časti 4.4, 4.8 a 5.1). </w:t>
      </w:r>
    </w:p>
    <w:p w:rsidR="00926903" w:rsidRPr="002C1513" w:rsidRDefault="00926903" w:rsidP="00926903">
      <w:pPr>
        <w:pStyle w:val="Default"/>
        <w:rPr>
          <w:sz w:val="22"/>
          <w:szCs w:val="22"/>
        </w:rPr>
      </w:pPr>
    </w:p>
    <w:p w:rsidR="00926903" w:rsidRPr="002C1513" w:rsidRDefault="00926903" w:rsidP="00926903">
      <w:pPr>
        <w:pStyle w:val="Default"/>
        <w:rPr>
          <w:sz w:val="22"/>
          <w:szCs w:val="22"/>
        </w:rPr>
      </w:pPr>
      <w:r w:rsidRPr="002C1513">
        <w:rPr>
          <w:sz w:val="22"/>
          <w:szCs w:val="22"/>
        </w:rPr>
        <w:t xml:space="preserve">Bezpečnosť a účinnosť duloxetínu na liečbu generalizovanej úzkostnej poruchy u pediatrických pacientov vo veku 7-17 rokov neboli stanovené. Aktuálne dostupné údaje sú uvedené v častiach 4.8, 5.1 a 5.2. </w:t>
      </w:r>
    </w:p>
    <w:p w:rsidR="00926903" w:rsidRPr="002C1513" w:rsidRDefault="00926903" w:rsidP="00926903">
      <w:pPr>
        <w:pStyle w:val="Default"/>
        <w:rPr>
          <w:sz w:val="22"/>
          <w:szCs w:val="22"/>
        </w:rPr>
      </w:pPr>
    </w:p>
    <w:p w:rsidR="00926903" w:rsidRPr="002C1513" w:rsidRDefault="00926903" w:rsidP="00926903">
      <w:pPr>
        <w:pStyle w:val="Default"/>
        <w:rPr>
          <w:sz w:val="22"/>
          <w:szCs w:val="22"/>
        </w:rPr>
      </w:pPr>
      <w:r w:rsidRPr="002C1513">
        <w:rPr>
          <w:sz w:val="22"/>
          <w:szCs w:val="22"/>
        </w:rPr>
        <w:t xml:space="preserve">Bezpečnosť a účinnosť duloxetínu na liečbu diabetickej periférnej neuropatickej bolesti sa neskúmali. K dispozícii nie sú žiadne údaje. </w:t>
      </w:r>
    </w:p>
    <w:p w:rsidR="00926903" w:rsidRPr="002C1513" w:rsidRDefault="00926903" w:rsidP="00926903">
      <w:pPr>
        <w:pStyle w:val="Default"/>
        <w:rPr>
          <w:i/>
          <w:iCs/>
          <w:sz w:val="22"/>
          <w:szCs w:val="22"/>
        </w:rPr>
      </w:pPr>
    </w:p>
    <w:p w:rsidR="00926903" w:rsidRPr="002C1513" w:rsidRDefault="00926903" w:rsidP="00926903">
      <w:pPr>
        <w:pStyle w:val="Default"/>
        <w:rPr>
          <w:sz w:val="22"/>
          <w:szCs w:val="22"/>
        </w:rPr>
      </w:pPr>
      <w:r w:rsidRPr="002C1513">
        <w:rPr>
          <w:i/>
          <w:iCs/>
          <w:sz w:val="22"/>
          <w:szCs w:val="22"/>
        </w:rPr>
        <w:t xml:space="preserve">Ukončenie liečby </w:t>
      </w:r>
    </w:p>
    <w:p w:rsidR="00926903" w:rsidRPr="002C1513" w:rsidRDefault="00926903" w:rsidP="00926903">
      <w:pPr>
        <w:pStyle w:val="Default"/>
        <w:rPr>
          <w:sz w:val="22"/>
          <w:szCs w:val="22"/>
        </w:rPr>
      </w:pPr>
      <w:r w:rsidRPr="002C1513">
        <w:rPr>
          <w:sz w:val="22"/>
          <w:szCs w:val="22"/>
        </w:rPr>
        <w:t xml:space="preserve">Je potrebné vyhnúť sa náhlemu vysadeniu. Pri ukončovaní liečby duloxetínom sa má dávka znižovať postupne aspoň počas jedného až dvoch týždňov, aby sa znížilo riziko symptómov z vysadenia (pozri časti 4.4 a 4.8). Ak sa po znížení dávky alebo po vysadení liečby objavia neznesiteľné príznaky z vysadenia, je potrebné zvážiť podávanie predtým predpísanej dávky. Neskôr môže lekár pokračovať v znižovaní dávky, ale oveľa postupnejšie. </w:t>
      </w:r>
    </w:p>
    <w:p w:rsidR="00926903" w:rsidRPr="002C1513" w:rsidRDefault="00926903" w:rsidP="00926903">
      <w:pPr>
        <w:pStyle w:val="Default"/>
        <w:rPr>
          <w:i/>
          <w:iCs/>
          <w:sz w:val="22"/>
          <w:szCs w:val="22"/>
        </w:rPr>
      </w:pPr>
    </w:p>
    <w:p w:rsidR="00926903" w:rsidRPr="002C1513" w:rsidRDefault="00926903" w:rsidP="00926903">
      <w:pPr>
        <w:pStyle w:val="Default"/>
        <w:rPr>
          <w:sz w:val="22"/>
          <w:szCs w:val="22"/>
        </w:rPr>
      </w:pPr>
      <w:r w:rsidRPr="002C1513">
        <w:rPr>
          <w:iCs/>
          <w:sz w:val="22"/>
          <w:szCs w:val="22"/>
        </w:rPr>
        <w:t xml:space="preserve">Spôsob podávania </w:t>
      </w:r>
    </w:p>
    <w:p w:rsidR="00926903" w:rsidRPr="002C1513" w:rsidRDefault="00926903" w:rsidP="00926903">
      <w:pPr>
        <w:ind w:left="0" w:firstLine="0"/>
        <w:rPr>
          <w:szCs w:val="22"/>
        </w:rPr>
      </w:pPr>
      <w:r w:rsidRPr="002C1513">
        <w:rPr>
          <w:szCs w:val="22"/>
        </w:rPr>
        <w:t>Na perorálne použitie.</w:t>
      </w:r>
    </w:p>
    <w:p w:rsidR="00D42E0A" w:rsidRPr="002C1513" w:rsidRDefault="00D42E0A" w:rsidP="00D42E0A">
      <w:pPr>
        <w:ind w:left="0" w:firstLine="0"/>
        <w:rPr>
          <w:szCs w:val="22"/>
        </w:rPr>
      </w:pPr>
    </w:p>
    <w:p w:rsidR="00BF3E18" w:rsidRPr="002C1513" w:rsidRDefault="00FF6BE0" w:rsidP="00195B16">
      <w:pPr>
        <w:numPr>
          <w:ilvl w:val="1"/>
          <w:numId w:val="6"/>
        </w:numPr>
        <w:rPr>
          <w:b/>
          <w:szCs w:val="22"/>
        </w:rPr>
      </w:pPr>
      <w:r w:rsidRPr="002C1513">
        <w:rPr>
          <w:b/>
          <w:szCs w:val="22"/>
        </w:rPr>
        <w:t xml:space="preserve">Kontraindikácie </w:t>
      </w:r>
    </w:p>
    <w:p w:rsidR="00BF3E18" w:rsidRPr="002C1513" w:rsidRDefault="00BF3E18" w:rsidP="00BF3E18">
      <w:pPr>
        <w:ind w:left="0" w:firstLine="0"/>
        <w:rPr>
          <w:szCs w:val="22"/>
        </w:rPr>
      </w:pPr>
    </w:p>
    <w:p w:rsidR="002E42EC" w:rsidRPr="002C1513" w:rsidRDefault="002E42EC" w:rsidP="002E42EC">
      <w:pPr>
        <w:autoSpaceDE w:val="0"/>
        <w:autoSpaceDN w:val="0"/>
        <w:adjustRightInd w:val="0"/>
        <w:ind w:left="0" w:firstLine="0"/>
        <w:rPr>
          <w:szCs w:val="22"/>
          <w:lang w:eastAsia="en-US"/>
        </w:rPr>
      </w:pPr>
      <w:r w:rsidRPr="002C1513">
        <w:rPr>
          <w:szCs w:val="22"/>
          <w:lang w:eastAsia="en-US"/>
        </w:rPr>
        <w:t xml:space="preserve">Precitlivenosť na liečivo alebo na ktorúkoľvek z pomocných látok </w:t>
      </w:r>
      <w:r w:rsidRPr="002C1513">
        <w:rPr>
          <w:szCs w:val="22"/>
        </w:rPr>
        <w:t>uvedených v časti 6.1.</w:t>
      </w:r>
      <w:r w:rsidRPr="002C1513">
        <w:rPr>
          <w:szCs w:val="22"/>
          <w:lang w:eastAsia="en-US"/>
        </w:rPr>
        <w:t xml:space="preserve"> </w:t>
      </w:r>
    </w:p>
    <w:p w:rsidR="00926903" w:rsidRPr="002C1513" w:rsidRDefault="00926903" w:rsidP="002E42EC">
      <w:pPr>
        <w:autoSpaceDE w:val="0"/>
        <w:autoSpaceDN w:val="0"/>
        <w:adjustRightInd w:val="0"/>
        <w:ind w:left="0" w:firstLine="0"/>
        <w:rPr>
          <w:szCs w:val="22"/>
          <w:lang w:eastAsia="en-US"/>
        </w:rPr>
      </w:pPr>
    </w:p>
    <w:p w:rsidR="00926903" w:rsidRPr="002C1513" w:rsidRDefault="00926903" w:rsidP="00926903">
      <w:pPr>
        <w:pStyle w:val="Default"/>
        <w:rPr>
          <w:sz w:val="22"/>
          <w:szCs w:val="22"/>
        </w:rPr>
      </w:pPr>
      <w:r w:rsidRPr="002C1513">
        <w:rPr>
          <w:sz w:val="22"/>
          <w:szCs w:val="22"/>
        </w:rPr>
        <w:t xml:space="preserve">Súbežné podávanie duloxetínu s neselektívnymi ireverzibilnými inhibítormi monoaminooxidázy (IMAO) je kontraindikované (pozri časť 4.5). </w:t>
      </w:r>
    </w:p>
    <w:p w:rsidR="00926903" w:rsidRPr="002C1513" w:rsidRDefault="00926903" w:rsidP="00926903">
      <w:pPr>
        <w:pStyle w:val="Default"/>
        <w:rPr>
          <w:sz w:val="22"/>
          <w:szCs w:val="22"/>
        </w:rPr>
      </w:pPr>
    </w:p>
    <w:p w:rsidR="00926903" w:rsidRPr="002C1513" w:rsidRDefault="00926903" w:rsidP="00926903">
      <w:pPr>
        <w:pStyle w:val="Default"/>
        <w:rPr>
          <w:sz w:val="22"/>
          <w:szCs w:val="22"/>
        </w:rPr>
      </w:pPr>
      <w:r w:rsidRPr="002C1513">
        <w:rPr>
          <w:sz w:val="22"/>
          <w:szCs w:val="22"/>
        </w:rPr>
        <w:t xml:space="preserve">Ochorenie pečene s následkom poruchy funkcie pečene (pozri časť 5.2). </w:t>
      </w:r>
    </w:p>
    <w:p w:rsidR="00926903" w:rsidRPr="002C1513" w:rsidRDefault="00926903" w:rsidP="00926903">
      <w:pPr>
        <w:pStyle w:val="Default"/>
        <w:rPr>
          <w:sz w:val="22"/>
          <w:szCs w:val="22"/>
        </w:rPr>
      </w:pPr>
    </w:p>
    <w:p w:rsidR="00926903" w:rsidRPr="002C1513" w:rsidRDefault="00926903" w:rsidP="00926903">
      <w:pPr>
        <w:pStyle w:val="Default"/>
        <w:rPr>
          <w:sz w:val="22"/>
          <w:szCs w:val="22"/>
        </w:rPr>
      </w:pPr>
      <w:r w:rsidRPr="002C1513">
        <w:rPr>
          <w:sz w:val="22"/>
          <w:szCs w:val="22"/>
        </w:rPr>
        <w:t xml:space="preserve">Duloxetín sa nemá používať v kombinácii s fluvoxamínom, ciprofloxacínom či enoxacínom (t.j. silnými inhibítormi CYP1A2), pretože táto kombinácia vedie k zvýšeným plazmatickým koncentráciám duloxetínu (pozri časť 4.5). </w:t>
      </w:r>
    </w:p>
    <w:p w:rsidR="00926903" w:rsidRPr="002C1513" w:rsidRDefault="00926903" w:rsidP="00926903">
      <w:pPr>
        <w:pStyle w:val="Default"/>
        <w:rPr>
          <w:sz w:val="22"/>
          <w:szCs w:val="22"/>
        </w:rPr>
      </w:pPr>
    </w:p>
    <w:p w:rsidR="00926903" w:rsidRPr="002C1513" w:rsidRDefault="00926903" w:rsidP="00926903">
      <w:pPr>
        <w:pStyle w:val="Default"/>
        <w:rPr>
          <w:sz w:val="22"/>
          <w:szCs w:val="22"/>
        </w:rPr>
      </w:pPr>
      <w:r w:rsidRPr="002C1513">
        <w:rPr>
          <w:sz w:val="22"/>
          <w:szCs w:val="22"/>
        </w:rPr>
        <w:t xml:space="preserve">Závažná porucha funkcie obličiek (klírens kreatinínu &lt; 30 ml/min) (pozri časť 4.4). </w:t>
      </w:r>
    </w:p>
    <w:p w:rsidR="00926903" w:rsidRPr="002C1513" w:rsidRDefault="00926903" w:rsidP="00926903">
      <w:pPr>
        <w:pStyle w:val="Default"/>
        <w:rPr>
          <w:sz w:val="22"/>
          <w:szCs w:val="22"/>
        </w:rPr>
      </w:pPr>
    </w:p>
    <w:p w:rsidR="00C459B5" w:rsidRPr="002C1513" w:rsidRDefault="00926903" w:rsidP="00926903">
      <w:pPr>
        <w:pStyle w:val="Zkladntext"/>
        <w:rPr>
          <w:szCs w:val="22"/>
        </w:rPr>
      </w:pPr>
      <w:r w:rsidRPr="002C1513">
        <w:rPr>
          <w:szCs w:val="22"/>
        </w:rPr>
        <w:t>Začatie liečby liekom duloxetínom je kontraindikované u pacientov s nekontrolovanou hypertenziou, pretože by mohlo vystaviť pacientov potenciálnemu riziku vzniku hypertenznej krízy (pozri časti 4.4 a 4.8).</w:t>
      </w:r>
    </w:p>
    <w:p w:rsidR="00926903" w:rsidRPr="002C1513" w:rsidRDefault="00926903" w:rsidP="00926903">
      <w:pPr>
        <w:pStyle w:val="Zkladntext"/>
        <w:rPr>
          <w:szCs w:val="22"/>
        </w:rPr>
      </w:pPr>
    </w:p>
    <w:p w:rsidR="00FF6BE0" w:rsidRPr="002C1513" w:rsidRDefault="00FF6BE0" w:rsidP="00527DED">
      <w:pPr>
        <w:rPr>
          <w:b/>
          <w:szCs w:val="22"/>
        </w:rPr>
      </w:pPr>
      <w:r w:rsidRPr="002C1513">
        <w:rPr>
          <w:b/>
          <w:szCs w:val="22"/>
        </w:rPr>
        <w:t>4.4</w:t>
      </w:r>
      <w:r w:rsidRPr="002C1513">
        <w:rPr>
          <w:b/>
          <w:szCs w:val="22"/>
        </w:rPr>
        <w:tab/>
        <w:t>Osobitné upozornenia a opatrenia pri používaní</w:t>
      </w:r>
    </w:p>
    <w:p w:rsidR="00B945AE" w:rsidRPr="002C1513" w:rsidRDefault="00B945AE" w:rsidP="00527DED">
      <w:pPr>
        <w:ind w:left="0" w:firstLine="0"/>
        <w:rPr>
          <w:szCs w:val="22"/>
        </w:rPr>
      </w:pPr>
    </w:p>
    <w:p w:rsidR="00EB478A" w:rsidRPr="002C1513" w:rsidRDefault="00EB478A" w:rsidP="00EB478A">
      <w:pPr>
        <w:pStyle w:val="Default"/>
        <w:rPr>
          <w:sz w:val="22"/>
          <w:szCs w:val="22"/>
        </w:rPr>
      </w:pPr>
      <w:r w:rsidRPr="002C1513">
        <w:rPr>
          <w:i/>
          <w:iCs/>
          <w:sz w:val="22"/>
          <w:szCs w:val="22"/>
        </w:rPr>
        <w:t xml:space="preserve">Mánia a záchvaty </w:t>
      </w:r>
    </w:p>
    <w:p w:rsidR="00EB478A" w:rsidRPr="002C1513" w:rsidRDefault="00C96ECB" w:rsidP="00EB478A">
      <w:pPr>
        <w:pStyle w:val="Default"/>
        <w:rPr>
          <w:sz w:val="22"/>
          <w:szCs w:val="22"/>
        </w:rPr>
      </w:pPr>
      <w:r w:rsidRPr="002C1513">
        <w:rPr>
          <w:sz w:val="22"/>
          <w:szCs w:val="22"/>
        </w:rPr>
        <w:t>Duloxetín</w:t>
      </w:r>
      <w:r w:rsidR="00EB478A" w:rsidRPr="002C1513">
        <w:rPr>
          <w:sz w:val="22"/>
          <w:szCs w:val="22"/>
        </w:rPr>
        <w:t xml:space="preserve"> sa má s opatrnosťou používať u pacientov, ktorí majú v anamnéze mániu alebo diagnózu bipolárnej poruchy a/alebo záchvaty. </w:t>
      </w:r>
    </w:p>
    <w:p w:rsidR="00C96ECB" w:rsidRPr="002C1513" w:rsidRDefault="00C96ECB" w:rsidP="00EB478A">
      <w:pPr>
        <w:pStyle w:val="Default"/>
        <w:rPr>
          <w:i/>
          <w:iCs/>
          <w:sz w:val="22"/>
          <w:szCs w:val="22"/>
        </w:rPr>
      </w:pPr>
    </w:p>
    <w:p w:rsidR="00EB478A" w:rsidRPr="002C1513" w:rsidRDefault="00EB478A" w:rsidP="00EB478A">
      <w:pPr>
        <w:pStyle w:val="Default"/>
        <w:rPr>
          <w:sz w:val="22"/>
          <w:szCs w:val="22"/>
        </w:rPr>
      </w:pPr>
      <w:r w:rsidRPr="002C1513">
        <w:rPr>
          <w:i/>
          <w:iCs/>
          <w:sz w:val="22"/>
          <w:szCs w:val="22"/>
        </w:rPr>
        <w:t xml:space="preserve">Mydriáza </w:t>
      </w:r>
    </w:p>
    <w:p w:rsidR="00EB478A" w:rsidRPr="002C1513" w:rsidRDefault="00EB478A" w:rsidP="00EB478A">
      <w:pPr>
        <w:pStyle w:val="Default"/>
        <w:rPr>
          <w:sz w:val="22"/>
          <w:szCs w:val="22"/>
        </w:rPr>
      </w:pPr>
      <w:r w:rsidRPr="002C1513">
        <w:rPr>
          <w:sz w:val="22"/>
          <w:szCs w:val="22"/>
        </w:rPr>
        <w:t>Mydriáza sa udáva v spojitosti s duloxetínom, preto je potrebné postupovať opatrne pri predpis</w:t>
      </w:r>
      <w:r w:rsidR="00C96ECB" w:rsidRPr="002C1513">
        <w:rPr>
          <w:sz w:val="22"/>
          <w:szCs w:val="22"/>
        </w:rPr>
        <w:t>ovaní duloxetínu</w:t>
      </w:r>
      <w:r w:rsidRPr="002C1513">
        <w:rPr>
          <w:sz w:val="22"/>
          <w:szCs w:val="22"/>
        </w:rPr>
        <w:t xml:space="preserve"> pacientom so zvýšeným vnútroočným tlakom alebo pacientom, u ktorých je riziko vzniku akútneho glaukómu s úzkym uhlom. </w:t>
      </w:r>
    </w:p>
    <w:p w:rsidR="00C96ECB" w:rsidRPr="002C1513" w:rsidRDefault="00C96ECB" w:rsidP="00EB478A">
      <w:pPr>
        <w:pStyle w:val="Default"/>
        <w:rPr>
          <w:i/>
          <w:iCs/>
          <w:sz w:val="22"/>
          <w:szCs w:val="22"/>
        </w:rPr>
      </w:pPr>
    </w:p>
    <w:p w:rsidR="00EB478A" w:rsidRPr="002C1513" w:rsidRDefault="00EB478A" w:rsidP="00EB478A">
      <w:pPr>
        <w:pStyle w:val="Default"/>
        <w:rPr>
          <w:sz w:val="22"/>
          <w:szCs w:val="22"/>
        </w:rPr>
      </w:pPr>
      <w:r w:rsidRPr="002C1513">
        <w:rPr>
          <w:i/>
          <w:iCs/>
          <w:sz w:val="22"/>
          <w:szCs w:val="22"/>
        </w:rPr>
        <w:t xml:space="preserve">Tlak krvi a srdcová frekvencia </w:t>
      </w:r>
    </w:p>
    <w:p w:rsidR="00EB478A" w:rsidRPr="002C1513" w:rsidRDefault="00EB478A" w:rsidP="00EB478A">
      <w:pPr>
        <w:pStyle w:val="Default"/>
        <w:rPr>
          <w:sz w:val="22"/>
          <w:szCs w:val="22"/>
        </w:rPr>
      </w:pPr>
      <w:r w:rsidRPr="002C1513">
        <w:rPr>
          <w:sz w:val="22"/>
          <w:szCs w:val="22"/>
        </w:rPr>
        <w:t>U niektorých pacientov bolo užívanie duloxetínu spojené so zvýšeným krvným tlakom a klinicky významnou hypertenziou. Môže to súvisieť s noradrenergickým pôsobením duloxetínu. V súvislosti s duloxetínom boli zaznamenané prípady hypertenznej</w:t>
      </w:r>
      <w:r w:rsidR="00C96ECB" w:rsidRPr="002C1513">
        <w:rPr>
          <w:sz w:val="22"/>
          <w:szCs w:val="22"/>
        </w:rPr>
        <w:t xml:space="preserve"> krízy, hlavne u pacientov s už </w:t>
      </w:r>
      <w:r w:rsidRPr="002C1513">
        <w:rPr>
          <w:sz w:val="22"/>
          <w:szCs w:val="22"/>
        </w:rPr>
        <w:t xml:space="preserve">existujúcou hypertenziou. Preto sa u pacientov so známou hypertenziou a/alebo iným ochorením srdca odporúča </w:t>
      </w:r>
      <w:r w:rsidRPr="002C1513">
        <w:rPr>
          <w:sz w:val="22"/>
          <w:szCs w:val="22"/>
        </w:rPr>
        <w:lastRenderedPageBreak/>
        <w:t xml:space="preserve">monitorovanie krvného tlaku, najmä počas prvého mesiaca liečby. Pacientom, ktorých zdravotný stav by sa mohol zhoršiť zvýšením srdcovej frekvencie alebo zvýšením krvného tlaku, sa má duloxetín podávať opatrne. Opatrnosť je tiež potrebná, keď sa duloxetín podáva s liekmi, ktoré môžu narušiť jeho metabolizmus (pozri časť 4.5). U pacientov, u ktorých sa vyskytlo trvalé zvýšenie krvného tlaku počas užívania duloxetínu, je potrebné zvážiť buď zníženie dávky alebo postupné vysadenie duloxetínu (pozri časť 4.8). U pacientov s nekontrolovanou hypertenziou sa nemá začať liečba duloxetínom (pozri časť 4.3). </w:t>
      </w:r>
    </w:p>
    <w:p w:rsidR="00C96ECB" w:rsidRPr="002C1513" w:rsidRDefault="00C96ECB" w:rsidP="00EB478A">
      <w:pPr>
        <w:pStyle w:val="Default"/>
        <w:rPr>
          <w:sz w:val="22"/>
          <w:szCs w:val="22"/>
        </w:rPr>
      </w:pPr>
    </w:p>
    <w:p w:rsidR="00EB478A" w:rsidRPr="002C1513" w:rsidRDefault="00EB478A" w:rsidP="00EB478A">
      <w:pPr>
        <w:pStyle w:val="Default"/>
        <w:rPr>
          <w:sz w:val="22"/>
          <w:szCs w:val="22"/>
        </w:rPr>
      </w:pPr>
      <w:r w:rsidRPr="002C1513">
        <w:rPr>
          <w:i/>
          <w:iCs/>
          <w:sz w:val="22"/>
          <w:szCs w:val="22"/>
        </w:rPr>
        <w:t xml:space="preserve">Porucha funkcie obličiek </w:t>
      </w:r>
    </w:p>
    <w:p w:rsidR="00EB478A" w:rsidRPr="002C1513" w:rsidRDefault="00EB478A" w:rsidP="00EB478A">
      <w:pPr>
        <w:pStyle w:val="Default"/>
        <w:rPr>
          <w:sz w:val="22"/>
          <w:szCs w:val="22"/>
        </w:rPr>
      </w:pPr>
      <w:r w:rsidRPr="002C1513">
        <w:rPr>
          <w:sz w:val="22"/>
          <w:szCs w:val="22"/>
        </w:rPr>
        <w:t>U pacientov so závaž</w:t>
      </w:r>
      <w:r w:rsidR="00C96ECB" w:rsidRPr="002C1513">
        <w:rPr>
          <w:sz w:val="22"/>
          <w:szCs w:val="22"/>
        </w:rPr>
        <w:t>nou poruchou funkcie</w:t>
      </w:r>
      <w:r w:rsidRPr="002C1513">
        <w:rPr>
          <w:sz w:val="22"/>
          <w:szCs w:val="22"/>
        </w:rPr>
        <w:t xml:space="preserve"> obličiek na hemodialýze (klírens kreatinínu &lt;30 ml/min) dochádza k zvýš</w:t>
      </w:r>
      <w:r w:rsidR="00C96ECB" w:rsidRPr="002C1513">
        <w:rPr>
          <w:sz w:val="22"/>
          <w:szCs w:val="22"/>
        </w:rPr>
        <w:t>eným plazmatickým koncentráciám</w:t>
      </w:r>
      <w:r w:rsidRPr="002C1513">
        <w:rPr>
          <w:sz w:val="22"/>
          <w:szCs w:val="22"/>
        </w:rPr>
        <w:t xml:space="preserve"> duloxetínu. Informácie o pacientoch so závaž</w:t>
      </w:r>
      <w:r w:rsidR="00C96ECB" w:rsidRPr="002C1513">
        <w:rPr>
          <w:sz w:val="22"/>
          <w:szCs w:val="22"/>
        </w:rPr>
        <w:t>nou poruchou funkcie</w:t>
      </w:r>
      <w:r w:rsidRPr="002C1513">
        <w:rPr>
          <w:sz w:val="22"/>
          <w:szCs w:val="22"/>
        </w:rPr>
        <w:t xml:space="preserve"> obličiek pozri v časti 4.3. I</w:t>
      </w:r>
      <w:r w:rsidR="00C96ECB" w:rsidRPr="002C1513">
        <w:rPr>
          <w:sz w:val="22"/>
          <w:szCs w:val="22"/>
        </w:rPr>
        <w:t>nformácie o pacientoch s miernou</w:t>
      </w:r>
      <w:r w:rsidRPr="002C1513">
        <w:rPr>
          <w:sz w:val="22"/>
          <w:szCs w:val="22"/>
        </w:rPr>
        <w:t xml:space="preserve"> alebo stredne závaž</w:t>
      </w:r>
      <w:r w:rsidR="00C96ECB" w:rsidRPr="002C1513">
        <w:rPr>
          <w:sz w:val="22"/>
          <w:szCs w:val="22"/>
        </w:rPr>
        <w:t>nou poruchou funkcie</w:t>
      </w:r>
      <w:r w:rsidRPr="002C1513">
        <w:rPr>
          <w:sz w:val="22"/>
          <w:szCs w:val="22"/>
        </w:rPr>
        <w:t xml:space="preserve"> obličiek pozri v časti 4.2. </w:t>
      </w:r>
    </w:p>
    <w:p w:rsidR="00C96ECB" w:rsidRPr="002C1513" w:rsidRDefault="00C96ECB" w:rsidP="00EB478A">
      <w:pPr>
        <w:pStyle w:val="Default"/>
        <w:rPr>
          <w:sz w:val="22"/>
          <w:szCs w:val="22"/>
        </w:rPr>
      </w:pPr>
    </w:p>
    <w:p w:rsidR="00EB478A" w:rsidRPr="002C1513" w:rsidRDefault="00EB478A" w:rsidP="00EB478A">
      <w:pPr>
        <w:pStyle w:val="Default"/>
        <w:rPr>
          <w:sz w:val="22"/>
          <w:szCs w:val="22"/>
        </w:rPr>
      </w:pPr>
      <w:r w:rsidRPr="002C1513">
        <w:rPr>
          <w:i/>
          <w:iCs/>
          <w:sz w:val="22"/>
          <w:szCs w:val="22"/>
        </w:rPr>
        <w:t xml:space="preserve">Sérotonínový syndróm </w:t>
      </w:r>
    </w:p>
    <w:p w:rsidR="00EB478A" w:rsidRPr="002C1513" w:rsidRDefault="00EB478A" w:rsidP="00EB478A">
      <w:pPr>
        <w:pStyle w:val="Default"/>
        <w:rPr>
          <w:sz w:val="22"/>
          <w:szCs w:val="22"/>
        </w:rPr>
      </w:pPr>
      <w:r w:rsidRPr="002C1513">
        <w:rPr>
          <w:sz w:val="22"/>
          <w:szCs w:val="22"/>
        </w:rPr>
        <w:t xml:space="preserve">Tak ako pri ostatných </w:t>
      </w:r>
      <w:r w:rsidR="00E21799" w:rsidRPr="002C1513">
        <w:rPr>
          <w:sz w:val="22"/>
          <w:szCs w:val="22"/>
        </w:rPr>
        <w:t>sérotonerg</w:t>
      </w:r>
      <w:r w:rsidR="00E21799">
        <w:rPr>
          <w:sz w:val="22"/>
          <w:szCs w:val="22"/>
        </w:rPr>
        <w:t>n</w:t>
      </w:r>
      <w:r w:rsidR="00E21799" w:rsidRPr="002C1513">
        <w:rPr>
          <w:sz w:val="22"/>
          <w:szCs w:val="22"/>
        </w:rPr>
        <w:t xml:space="preserve">ých </w:t>
      </w:r>
      <w:r w:rsidRPr="002C1513">
        <w:rPr>
          <w:sz w:val="22"/>
          <w:szCs w:val="22"/>
        </w:rPr>
        <w:t>látkach, môže sa pri liečbe duloxetínom vyskytnúť sérotonínový syndróm. ktorý je potenciálne život ohr</w:t>
      </w:r>
      <w:r w:rsidR="006F3C5C" w:rsidRPr="002C1513">
        <w:rPr>
          <w:sz w:val="22"/>
          <w:szCs w:val="22"/>
        </w:rPr>
        <w:t>ozujúcim stavom, najmä pri súbež</w:t>
      </w:r>
      <w:r w:rsidRPr="002C1513">
        <w:rPr>
          <w:sz w:val="22"/>
          <w:szCs w:val="22"/>
        </w:rPr>
        <w:t xml:space="preserve">nom podávaní iných sérotonínových látok (vrátane SSRI, SNRI, tricyklických antidepresív alebo triptánov), látok, ktoré upravujú metabolizmus sérotonínu ako napr. IMAO alebo antipsychotiká či ďalšie dopamínové antagonisty, ktoré môžu mať vplyv na sérotonergický neurotransmiterový systém (pozri časti 4.3 a 4.5). </w:t>
      </w:r>
    </w:p>
    <w:p w:rsidR="006F3C5C" w:rsidRPr="002C1513" w:rsidRDefault="006F3C5C" w:rsidP="00EB478A">
      <w:pPr>
        <w:pStyle w:val="Default"/>
        <w:rPr>
          <w:sz w:val="22"/>
          <w:szCs w:val="22"/>
        </w:rPr>
      </w:pPr>
    </w:p>
    <w:p w:rsidR="00EB478A" w:rsidRPr="002C1513" w:rsidRDefault="00EB478A" w:rsidP="00EB478A">
      <w:pPr>
        <w:pStyle w:val="Default"/>
        <w:rPr>
          <w:sz w:val="22"/>
          <w:szCs w:val="22"/>
        </w:rPr>
      </w:pPr>
      <w:r w:rsidRPr="002C1513">
        <w:rPr>
          <w:sz w:val="22"/>
          <w:szCs w:val="22"/>
        </w:rPr>
        <w:t>Symptómy sérotonínového syndrómu môžu zahŕňať zmeny psychického stavu (n</w:t>
      </w:r>
      <w:r w:rsidR="006F3C5C" w:rsidRPr="002C1513">
        <w:rPr>
          <w:sz w:val="22"/>
          <w:szCs w:val="22"/>
        </w:rPr>
        <w:t>apr. agitáciu, halucinácie, bezvedomie</w:t>
      </w:r>
      <w:r w:rsidRPr="002C1513">
        <w:rPr>
          <w:sz w:val="22"/>
          <w:szCs w:val="22"/>
        </w:rPr>
        <w:t>), autonómnu nestabilitu (napr. tachykardiu, labilný krvný tlak, hypertermiu),</w:t>
      </w:r>
      <w:r w:rsidRPr="002C1513">
        <w:rPr>
          <w:szCs w:val="22"/>
        </w:rPr>
        <w:t xml:space="preserve"> </w:t>
      </w:r>
      <w:r w:rsidRPr="002C1513">
        <w:rPr>
          <w:sz w:val="22"/>
          <w:szCs w:val="22"/>
        </w:rPr>
        <w:t xml:space="preserve">neuromuskulárne aberácie (napr. hyperreflexiu, nekoordináciu) a/alebo gastrointestinálne symptómy (napr. nauzea, vracanie, hnačka). </w:t>
      </w:r>
    </w:p>
    <w:p w:rsidR="006F3C5C" w:rsidRPr="002C1513" w:rsidRDefault="006F3C5C" w:rsidP="00EB478A">
      <w:pPr>
        <w:pStyle w:val="Default"/>
        <w:rPr>
          <w:sz w:val="22"/>
          <w:szCs w:val="22"/>
        </w:rPr>
      </w:pPr>
    </w:p>
    <w:p w:rsidR="00EB478A" w:rsidRPr="002C1513" w:rsidRDefault="006F3C5C" w:rsidP="00EB478A">
      <w:pPr>
        <w:pStyle w:val="Default"/>
        <w:rPr>
          <w:sz w:val="22"/>
          <w:szCs w:val="22"/>
        </w:rPr>
      </w:pPr>
      <w:r w:rsidRPr="002C1513">
        <w:rPr>
          <w:sz w:val="22"/>
          <w:szCs w:val="22"/>
        </w:rPr>
        <w:t>Ak je súbež</w:t>
      </w:r>
      <w:r w:rsidR="00EB478A" w:rsidRPr="002C1513">
        <w:rPr>
          <w:sz w:val="22"/>
          <w:szCs w:val="22"/>
        </w:rPr>
        <w:t xml:space="preserve">né podávanie duloxetínu a iných </w:t>
      </w:r>
      <w:r w:rsidR="00E21799" w:rsidRPr="002C1513">
        <w:rPr>
          <w:sz w:val="22"/>
          <w:szCs w:val="22"/>
        </w:rPr>
        <w:t>sérotonerg</w:t>
      </w:r>
      <w:r w:rsidR="00E21799">
        <w:rPr>
          <w:sz w:val="22"/>
          <w:szCs w:val="22"/>
        </w:rPr>
        <w:t>n</w:t>
      </w:r>
      <w:r w:rsidR="00E21799" w:rsidRPr="002C1513">
        <w:rPr>
          <w:sz w:val="22"/>
          <w:szCs w:val="22"/>
        </w:rPr>
        <w:t xml:space="preserve">ých </w:t>
      </w:r>
      <w:r w:rsidR="00EB478A" w:rsidRPr="002C1513">
        <w:rPr>
          <w:sz w:val="22"/>
          <w:szCs w:val="22"/>
        </w:rPr>
        <w:t xml:space="preserve">látok, ktoré môžu ovplyvniť </w:t>
      </w:r>
      <w:r w:rsidR="00E21799" w:rsidRPr="002C1513">
        <w:rPr>
          <w:sz w:val="22"/>
          <w:szCs w:val="22"/>
        </w:rPr>
        <w:t>sérotonerg</w:t>
      </w:r>
      <w:r w:rsidR="00E21799">
        <w:rPr>
          <w:sz w:val="22"/>
          <w:szCs w:val="22"/>
        </w:rPr>
        <w:t>n</w:t>
      </w:r>
      <w:r w:rsidR="00E21799" w:rsidRPr="002C1513">
        <w:rPr>
          <w:sz w:val="22"/>
          <w:szCs w:val="22"/>
        </w:rPr>
        <w:t xml:space="preserve">é </w:t>
      </w:r>
      <w:r w:rsidR="00EB478A" w:rsidRPr="002C1513">
        <w:rPr>
          <w:sz w:val="22"/>
          <w:szCs w:val="22"/>
        </w:rPr>
        <w:t xml:space="preserve">a/alebo </w:t>
      </w:r>
      <w:r w:rsidR="00E21799" w:rsidRPr="002C1513">
        <w:rPr>
          <w:sz w:val="22"/>
          <w:szCs w:val="22"/>
        </w:rPr>
        <w:t>dopaminerg</w:t>
      </w:r>
      <w:r w:rsidR="00E21799">
        <w:rPr>
          <w:sz w:val="22"/>
          <w:szCs w:val="22"/>
        </w:rPr>
        <w:t>n</w:t>
      </w:r>
      <w:r w:rsidR="00E21799" w:rsidRPr="002C1513">
        <w:rPr>
          <w:sz w:val="22"/>
          <w:szCs w:val="22"/>
        </w:rPr>
        <w:t xml:space="preserve">é </w:t>
      </w:r>
      <w:r w:rsidR="00EB478A" w:rsidRPr="002C1513">
        <w:rPr>
          <w:sz w:val="22"/>
          <w:szCs w:val="22"/>
        </w:rPr>
        <w:t xml:space="preserve">neurotransmiterové systémy, klinicky opodstatnené, odporúča sa dôkladné sledovanie pacienta, najmä na začiatku liečby a pri zvyšovaní dávok. </w:t>
      </w:r>
    </w:p>
    <w:p w:rsidR="006F3C5C" w:rsidRPr="002C1513" w:rsidRDefault="006F3C5C" w:rsidP="00EB478A">
      <w:pPr>
        <w:pStyle w:val="Default"/>
        <w:rPr>
          <w:i/>
          <w:iCs/>
          <w:sz w:val="22"/>
          <w:szCs w:val="22"/>
        </w:rPr>
      </w:pPr>
    </w:p>
    <w:p w:rsidR="00EB478A" w:rsidRPr="002C1513" w:rsidRDefault="00EB478A" w:rsidP="00EB478A">
      <w:pPr>
        <w:pStyle w:val="Default"/>
        <w:rPr>
          <w:sz w:val="22"/>
          <w:szCs w:val="22"/>
        </w:rPr>
      </w:pPr>
      <w:r w:rsidRPr="002C1513">
        <w:rPr>
          <w:i/>
          <w:iCs/>
          <w:sz w:val="22"/>
          <w:szCs w:val="22"/>
        </w:rPr>
        <w:t xml:space="preserve">Ľubovník bodkovaný </w:t>
      </w:r>
    </w:p>
    <w:p w:rsidR="00EB478A" w:rsidRPr="002C1513" w:rsidRDefault="00EB478A" w:rsidP="00EB478A">
      <w:pPr>
        <w:pStyle w:val="Default"/>
        <w:rPr>
          <w:sz w:val="22"/>
          <w:szCs w:val="22"/>
        </w:rPr>
      </w:pPr>
      <w:r w:rsidRPr="002C1513">
        <w:rPr>
          <w:sz w:val="22"/>
          <w:szCs w:val="22"/>
        </w:rPr>
        <w:t>Nežiaduce reakcie sa môžu častej</w:t>
      </w:r>
      <w:r w:rsidR="006F3C5C" w:rsidRPr="002C1513">
        <w:rPr>
          <w:sz w:val="22"/>
          <w:szCs w:val="22"/>
        </w:rPr>
        <w:t>šie vyskytovať v priebehu súbežného užívania duloxetínu a rastlinných</w:t>
      </w:r>
      <w:r w:rsidRPr="002C1513">
        <w:rPr>
          <w:sz w:val="22"/>
          <w:szCs w:val="22"/>
        </w:rPr>
        <w:t xml:space="preserve"> prípravkov obsahujúcich ľubovník bodkovaný (</w:t>
      </w:r>
      <w:r w:rsidRPr="002C1513">
        <w:rPr>
          <w:i/>
          <w:sz w:val="22"/>
          <w:szCs w:val="22"/>
        </w:rPr>
        <w:t>Hypericum perforatum</w:t>
      </w:r>
      <w:r w:rsidRPr="002C1513">
        <w:rPr>
          <w:sz w:val="22"/>
          <w:szCs w:val="22"/>
        </w:rPr>
        <w:t xml:space="preserve">). </w:t>
      </w:r>
    </w:p>
    <w:p w:rsidR="006F3C5C" w:rsidRPr="002C1513" w:rsidRDefault="006F3C5C" w:rsidP="00EB478A">
      <w:pPr>
        <w:pStyle w:val="Default"/>
        <w:rPr>
          <w:i/>
          <w:iCs/>
          <w:sz w:val="22"/>
          <w:szCs w:val="22"/>
        </w:rPr>
      </w:pPr>
    </w:p>
    <w:p w:rsidR="00EB478A" w:rsidRPr="002C1513" w:rsidRDefault="00EB478A" w:rsidP="00EB478A">
      <w:pPr>
        <w:pStyle w:val="Default"/>
        <w:rPr>
          <w:sz w:val="22"/>
          <w:szCs w:val="22"/>
        </w:rPr>
      </w:pPr>
      <w:r w:rsidRPr="002C1513">
        <w:rPr>
          <w:i/>
          <w:iCs/>
          <w:sz w:val="22"/>
          <w:szCs w:val="22"/>
        </w:rPr>
        <w:t xml:space="preserve">Samovražda </w:t>
      </w:r>
    </w:p>
    <w:p w:rsidR="00EB478A" w:rsidRPr="002C1513" w:rsidRDefault="00EB478A" w:rsidP="00EB478A">
      <w:pPr>
        <w:pStyle w:val="Default"/>
        <w:rPr>
          <w:sz w:val="22"/>
          <w:szCs w:val="22"/>
        </w:rPr>
      </w:pPr>
      <w:r w:rsidRPr="002C1513">
        <w:rPr>
          <w:i/>
          <w:iCs/>
          <w:sz w:val="22"/>
          <w:szCs w:val="22"/>
        </w:rPr>
        <w:t xml:space="preserve">Veľká depresívna porucha a generalizovaná úzkostná porucha </w:t>
      </w:r>
    </w:p>
    <w:p w:rsidR="00EB478A" w:rsidRPr="002C1513" w:rsidRDefault="00EB478A" w:rsidP="00EB478A">
      <w:pPr>
        <w:pStyle w:val="Default"/>
        <w:rPr>
          <w:sz w:val="22"/>
          <w:szCs w:val="22"/>
        </w:rPr>
      </w:pPr>
      <w:r w:rsidRPr="002C1513">
        <w:rPr>
          <w:sz w:val="22"/>
          <w:szCs w:val="22"/>
        </w:rPr>
        <w:t>Depresiu spre</w:t>
      </w:r>
      <w:r w:rsidR="009C26E8" w:rsidRPr="002C1513">
        <w:rPr>
          <w:sz w:val="22"/>
          <w:szCs w:val="22"/>
        </w:rPr>
        <w:t>vádza vyššie riziko samovražedných</w:t>
      </w:r>
      <w:r w:rsidRPr="002C1513">
        <w:rPr>
          <w:sz w:val="22"/>
          <w:szCs w:val="22"/>
        </w:rPr>
        <w:t xml:space="preserve"> myšlienok, sebapoškodzovania a samovraždy (udalosti spojené so samovraždou). Toto riziko pretrváva, až kým sa nedostaví signifikantná remisia. Keďže zlepšenie nemusí nastať v priebehu prvých niekoľkých alebo viacerých týždňov liečby, pacient má byť starostlivo sledovaný, až kým sa toto zlepšenie nedostaví. Je všeobecná klinická skúsenosť, že v skorých fázach zotavovania môže riziko samovraždy vzrásť. </w:t>
      </w:r>
    </w:p>
    <w:p w:rsidR="009C26E8" w:rsidRPr="002C1513" w:rsidRDefault="009C26E8" w:rsidP="00EB478A">
      <w:pPr>
        <w:pStyle w:val="Default"/>
        <w:rPr>
          <w:sz w:val="22"/>
          <w:szCs w:val="22"/>
        </w:rPr>
      </w:pPr>
    </w:p>
    <w:p w:rsidR="009C26E8" w:rsidRPr="002C1513" w:rsidRDefault="00EB478A" w:rsidP="00EB478A">
      <w:pPr>
        <w:pStyle w:val="Default"/>
        <w:rPr>
          <w:sz w:val="22"/>
          <w:szCs w:val="22"/>
        </w:rPr>
      </w:pPr>
      <w:r w:rsidRPr="002C1513">
        <w:rPr>
          <w:sz w:val="22"/>
          <w:szCs w:val="22"/>
        </w:rPr>
        <w:t>Aj ostatné psychické poruch</w:t>
      </w:r>
      <w:r w:rsidR="009C26E8" w:rsidRPr="002C1513">
        <w:rPr>
          <w:sz w:val="22"/>
          <w:szCs w:val="22"/>
        </w:rPr>
        <w:t>y, na liečbu ktorých sa duloxetín</w:t>
      </w:r>
      <w:r w:rsidRPr="002C1513">
        <w:rPr>
          <w:sz w:val="22"/>
          <w:szCs w:val="22"/>
        </w:rPr>
        <w:t xml:space="preserve"> predpisuje, môžu byť spojené so zvýšeným rizikom udalostí spojených so samovraždou. Navyše tieto poruchy môžu byť komorbidné s veľkou depresívnou poruchou. Pri liečbe pacientov s ostatnými psychickými poruchami sa majú preto sledovať rovnaké opatrenia ako pri liečbe pacientov s veľkou depresívnou poruchou.</w:t>
      </w:r>
    </w:p>
    <w:p w:rsidR="00EB478A" w:rsidRPr="002C1513" w:rsidRDefault="00EB478A" w:rsidP="00EB478A">
      <w:pPr>
        <w:pStyle w:val="Default"/>
        <w:rPr>
          <w:sz w:val="22"/>
          <w:szCs w:val="22"/>
        </w:rPr>
      </w:pPr>
      <w:r w:rsidRPr="002C1513">
        <w:rPr>
          <w:sz w:val="22"/>
          <w:szCs w:val="22"/>
        </w:rPr>
        <w:t xml:space="preserve"> </w:t>
      </w:r>
    </w:p>
    <w:p w:rsidR="00EB478A" w:rsidRPr="002C1513" w:rsidRDefault="00EB478A" w:rsidP="00EB478A">
      <w:pPr>
        <w:pStyle w:val="Default"/>
        <w:rPr>
          <w:sz w:val="22"/>
          <w:szCs w:val="22"/>
        </w:rPr>
      </w:pPr>
      <w:r w:rsidRPr="002C1513">
        <w:rPr>
          <w:sz w:val="22"/>
          <w:szCs w:val="22"/>
        </w:rPr>
        <w:t xml:space="preserve">Pacienti s anamnézou udalostí spojených so samovraždou alebo tí, ktorí vykazovali významnú mieru suicidálnych myšlienok pred začatím liečby majú vyššie riziko výskytu suicidálnych myšlienok alebo suicidálneho správania a majú byť počas liečby starostlivo sledovaní. Metaanalýza placebom kontrolovaných klinických štúdií s antidepresívami u psychiatrických ochorení ukázala zvýšené riziko suicidálneho správania u antidepresív v porovnaní s placebom u pacientov mladších ako 25 rokov. </w:t>
      </w:r>
    </w:p>
    <w:p w:rsidR="009C26E8" w:rsidRPr="002C1513" w:rsidRDefault="009C26E8" w:rsidP="00EB478A">
      <w:pPr>
        <w:pStyle w:val="Default"/>
        <w:rPr>
          <w:sz w:val="22"/>
          <w:szCs w:val="22"/>
        </w:rPr>
      </w:pPr>
    </w:p>
    <w:p w:rsidR="00EB478A" w:rsidRPr="002C1513" w:rsidRDefault="00EB478A" w:rsidP="00EB478A">
      <w:pPr>
        <w:pStyle w:val="Default"/>
        <w:rPr>
          <w:sz w:val="22"/>
          <w:szCs w:val="22"/>
        </w:rPr>
      </w:pPr>
      <w:r w:rsidRPr="002C1513">
        <w:rPr>
          <w:sz w:val="22"/>
          <w:szCs w:val="22"/>
        </w:rPr>
        <w:t xml:space="preserve">V priebehu liečby duloxetínom alebo krátko po ukončení tejto liečby boli zaznamenané prípady výskytu suicidálnych myšlienok a suicidálneho správania (pozri časť 4.8). </w:t>
      </w:r>
    </w:p>
    <w:p w:rsidR="009C26E8" w:rsidRPr="002C1513" w:rsidRDefault="009C26E8" w:rsidP="00EB478A">
      <w:pPr>
        <w:pStyle w:val="Default"/>
        <w:rPr>
          <w:sz w:val="22"/>
          <w:szCs w:val="22"/>
        </w:rPr>
      </w:pPr>
    </w:p>
    <w:p w:rsidR="00EB478A" w:rsidRPr="002C1513" w:rsidRDefault="00EB478A" w:rsidP="00EB478A">
      <w:pPr>
        <w:pStyle w:val="Default"/>
        <w:rPr>
          <w:sz w:val="22"/>
          <w:szCs w:val="22"/>
        </w:rPr>
      </w:pPr>
      <w:r w:rsidRPr="002C1513">
        <w:rPr>
          <w:sz w:val="22"/>
          <w:szCs w:val="22"/>
        </w:rPr>
        <w:lastRenderedPageBreak/>
        <w:t xml:space="preserve">U pacientov a najmä u tých s vysokým rizikom, </w:t>
      </w:r>
      <w:r w:rsidR="00414FCB" w:rsidRPr="002C1513">
        <w:rPr>
          <w:sz w:val="22"/>
          <w:szCs w:val="22"/>
        </w:rPr>
        <w:t>m</w:t>
      </w:r>
      <w:r w:rsidR="00414FCB">
        <w:rPr>
          <w:sz w:val="22"/>
          <w:szCs w:val="22"/>
        </w:rPr>
        <w:t>á</w:t>
      </w:r>
      <w:r w:rsidR="00414FCB" w:rsidRPr="002C1513">
        <w:rPr>
          <w:sz w:val="22"/>
          <w:szCs w:val="22"/>
        </w:rPr>
        <w:t xml:space="preserve"> </w:t>
      </w:r>
      <w:r w:rsidRPr="002C1513">
        <w:rPr>
          <w:sz w:val="22"/>
          <w:szCs w:val="22"/>
        </w:rPr>
        <w:t xml:space="preserve">liekovú terapiu sprevádzať starostlivý dohľad, hlavne počas počiatočnej liečby a po zmenách dávky. Pacienti (a opatrovníci pacientov) majú byť upozornení na potrebu sledovať akékoľvek klinické zhoršenie, suicidálne správanie alebo myšlienky a nezvyčajné zmeny správania a na potrebu okamžitého vyhľadania lekárskej pomoci, ak sú tieto príznaky prítomné. </w:t>
      </w:r>
    </w:p>
    <w:p w:rsidR="00FB2465" w:rsidRPr="002C1513" w:rsidRDefault="00FB2465" w:rsidP="00EB478A">
      <w:pPr>
        <w:pStyle w:val="Default"/>
        <w:rPr>
          <w:i/>
          <w:iCs/>
          <w:sz w:val="22"/>
          <w:szCs w:val="22"/>
        </w:rPr>
      </w:pPr>
    </w:p>
    <w:p w:rsidR="00EB478A" w:rsidRPr="002C1513" w:rsidRDefault="00EB478A" w:rsidP="00EB478A">
      <w:pPr>
        <w:pStyle w:val="Default"/>
        <w:rPr>
          <w:sz w:val="22"/>
          <w:szCs w:val="22"/>
        </w:rPr>
      </w:pPr>
      <w:r w:rsidRPr="002C1513">
        <w:rPr>
          <w:i/>
          <w:iCs/>
          <w:sz w:val="22"/>
          <w:szCs w:val="22"/>
        </w:rPr>
        <w:t xml:space="preserve">Diabetická periférna neuropatická bolesť </w:t>
      </w:r>
    </w:p>
    <w:p w:rsidR="00EB478A" w:rsidRPr="002C1513" w:rsidRDefault="00EB478A" w:rsidP="00EB478A">
      <w:pPr>
        <w:pStyle w:val="Default"/>
        <w:rPr>
          <w:sz w:val="22"/>
          <w:szCs w:val="22"/>
        </w:rPr>
      </w:pPr>
      <w:r w:rsidRPr="002C1513">
        <w:rPr>
          <w:sz w:val="22"/>
          <w:szCs w:val="22"/>
        </w:rPr>
        <w:t xml:space="preserve">Rovnako ako u iných liekov s podobným farmakologickým účinkom (antidepresíva) boli v priebehu liečby duloxetínom alebo krátko po ukončení tejto liečby zaznamenané prípady výskytu suicidálnych predstáv a suicidálneho správania. Čo sa týka rizikových faktorov pre suicidalitu pri depresii, pozri vyššie. Lekári majú povzbudiť svojich pacientov, aby kedykoľvek uviedli akékoľvek rušivé myšlienky alebo pocity, ktoré sa u nich vyskytnú. </w:t>
      </w:r>
    </w:p>
    <w:p w:rsidR="00FB2465" w:rsidRPr="002C1513" w:rsidRDefault="00FB2465" w:rsidP="00EB478A">
      <w:pPr>
        <w:pStyle w:val="Default"/>
        <w:rPr>
          <w:i/>
          <w:iCs/>
          <w:sz w:val="22"/>
          <w:szCs w:val="22"/>
        </w:rPr>
      </w:pPr>
    </w:p>
    <w:p w:rsidR="00FB2465" w:rsidRPr="002C1513" w:rsidRDefault="00FB2465" w:rsidP="00EB478A">
      <w:pPr>
        <w:pStyle w:val="Default"/>
        <w:rPr>
          <w:i/>
          <w:iCs/>
          <w:sz w:val="22"/>
          <w:szCs w:val="22"/>
        </w:rPr>
      </w:pPr>
      <w:r w:rsidRPr="002C1513">
        <w:rPr>
          <w:i/>
          <w:iCs/>
          <w:sz w:val="22"/>
          <w:szCs w:val="22"/>
        </w:rPr>
        <w:t>Krvácanie</w:t>
      </w:r>
    </w:p>
    <w:p w:rsidR="00FB2465" w:rsidRPr="002C1513" w:rsidRDefault="00FB2465" w:rsidP="00FB2465">
      <w:pPr>
        <w:pStyle w:val="Default"/>
        <w:rPr>
          <w:sz w:val="22"/>
          <w:szCs w:val="22"/>
        </w:rPr>
      </w:pPr>
      <w:r w:rsidRPr="002C1513">
        <w:rPr>
          <w:sz w:val="22"/>
          <w:szCs w:val="22"/>
        </w:rPr>
        <w:t xml:space="preserve">V súvislosti s inhibítormi spätného vychytávania sérotonínu (SSRI) a selektívnymi inhibítormi spätného vychytávania sérotonínu/noradrenalínu (SNRI), vrátane duloxetínu, boli zaznamenané prípady abnormalít spojených s krvácaním, ako sú ekchymóza, purpura a gastrointestinálne krvácanie. U pacientov užívajúcich antikoagulanciá a/alebo lieky, o ktorých je známe, že ovplyvňujú funkciu krvných doštičiek (napr.: nesteroidné protizápalové lieky (NSAID) alebo kyselina acetylsalicylová (ASA)) a u pacientov náchylných na krvácanie sa odporúča postupovať s opatrnosťou. </w:t>
      </w:r>
    </w:p>
    <w:p w:rsidR="00FB2465" w:rsidRPr="002C1513" w:rsidRDefault="00FB2465" w:rsidP="00FB2465">
      <w:pPr>
        <w:pStyle w:val="Default"/>
        <w:rPr>
          <w:i/>
          <w:iCs/>
          <w:sz w:val="22"/>
          <w:szCs w:val="22"/>
        </w:rPr>
      </w:pPr>
    </w:p>
    <w:p w:rsidR="00FB2465" w:rsidRPr="002C1513" w:rsidRDefault="00FB2465" w:rsidP="00FB2465">
      <w:pPr>
        <w:pStyle w:val="Default"/>
        <w:rPr>
          <w:sz w:val="22"/>
          <w:szCs w:val="22"/>
        </w:rPr>
      </w:pPr>
      <w:r w:rsidRPr="002C1513">
        <w:rPr>
          <w:i/>
          <w:iCs/>
          <w:sz w:val="22"/>
          <w:szCs w:val="22"/>
        </w:rPr>
        <w:t xml:space="preserve">Hyponatriémia </w:t>
      </w:r>
    </w:p>
    <w:p w:rsidR="00FB2465" w:rsidRPr="002C1513" w:rsidRDefault="00FB2465" w:rsidP="00FB2465">
      <w:pPr>
        <w:pStyle w:val="Default"/>
        <w:rPr>
          <w:sz w:val="22"/>
          <w:szCs w:val="22"/>
        </w:rPr>
      </w:pPr>
      <w:r w:rsidRPr="002C1513">
        <w:rPr>
          <w:sz w:val="22"/>
          <w:szCs w:val="22"/>
        </w:rPr>
        <w:t xml:space="preserve">Pri podávaní duloxetínu bola hlásená hyponatriémia, vrátane prípadov, kedy sérová koncentrácia sodíka bola nižšia ako 110 mmol/l. Hyponatriémia môže byť spôsobená syndrómom neadekvátnej sekrécie antidiuretického hormónu (syndrome of inappropriate anti-diuretic hormone, SIADH). Najviac prípadov hyponatriémie bolo hlásených u starších pacientov, boli spojené </w:t>
      </w:r>
      <w:r w:rsidR="00414FCB">
        <w:rPr>
          <w:sz w:val="22"/>
          <w:szCs w:val="22"/>
        </w:rPr>
        <w:t>najmä</w:t>
      </w:r>
      <w:r w:rsidR="00414FCB" w:rsidRPr="002C1513">
        <w:rPr>
          <w:sz w:val="22"/>
          <w:szCs w:val="22"/>
        </w:rPr>
        <w:t xml:space="preserve"> </w:t>
      </w:r>
      <w:r w:rsidRPr="002C1513">
        <w:rPr>
          <w:sz w:val="22"/>
          <w:szCs w:val="22"/>
        </w:rPr>
        <w:t xml:space="preserve">nedávnou anamnézou alebo s predispozičnými podmienkami k poruche rovnováhy tekutín. U pacientov so zvýšeným rizikom vzniku hyponatriémie ako sú starší pacienti, pacienti s cirhózou alebo dehydratovaní pacienti alebo pacienti liečení diuretikami je potrebná opatrnosť. </w:t>
      </w:r>
    </w:p>
    <w:p w:rsidR="00FB2465" w:rsidRPr="002C1513" w:rsidRDefault="00FB2465" w:rsidP="00FB2465">
      <w:pPr>
        <w:pStyle w:val="Default"/>
        <w:rPr>
          <w:i/>
          <w:iCs/>
          <w:sz w:val="22"/>
          <w:szCs w:val="22"/>
        </w:rPr>
      </w:pPr>
    </w:p>
    <w:p w:rsidR="00FB2465" w:rsidRPr="002C1513" w:rsidRDefault="00FB2465" w:rsidP="00FB2465">
      <w:pPr>
        <w:pStyle w:val="Default"/>
        <w:rPr>
          <w:sz w:val="22"/>
          <w:szCs w:val="22"/>
        </w:rPr>
      </w:pPr>
      <w:r w:rsidRPr="002C1513">
        <w:rPr>
          <w:i/>
          <w:iCs/>
          <w:sz w:val="22"/>
          <w:szCs w:val="22"/>
        </w:rPr>
        <w:t xml:space="preserve">Ukončenie liečby </w:t>
      </w:r>
    </w:p>
    <w:p w:rsidR="00FB2465" w:rsidRPr="002C1513" w:rsidRDefault="00FB2465" w:rsidP="00FB2465">
      <w:pPr>
        <w:pStyle w:val="Default"/>
        <w:rPr>
          <w:sz w:val="22"/>
          <w:szCs w:val="22"/>
        </w:rPr>
      </w:pPr>
      <w:r w:rsidRPr="002C1513">
        <w:rPr>
          <w:sz w:val="22"/>
          <w:szCs w:val="22"/>
        </w:rPr>
        <w:t>Pri prerušení liečby je výskyt príznakov z vysadenia častý, hlavne ak je vysadenie náhle (pozri časť 4.8). V klinických štúdiách sa nežiaduce účinky pri náhlom vysadení liečby vyskytovali približne u 45 % pacientov liečený</w:t>
      </w:r>
      <w:r w:rsidR="00597456" w:rsidRPr="002C1513">
        <w:rPr>
          <w:sz w:val="22"/>
          <w:szCs w:val="22"/>
        </w:rPr>
        <w:t>ch duloxetínom</w:t>
      </w:r>
      <w:r w:rsidRPr="002C1513">
        <w:rPr>
          <w:sz w:val="22"/>
          <w:szCs w:val="22"/>
        </w:rPr>
        <w:t xml:space="preserve"> a u 23% pacientov užívajúcich placebo. Riziko príznakov z vysadenia pozorovaných u SSRI a SRNI môže závisieť od niekoľkých faktorov, vrátane dĺžky liečby, dávky a rýchlosti znižovania dávky. Najčastejšie hlásené reakcie sú uvedené v časti 4.8. Zvyčajne sú symptómy slabé alebo mierne, avšak u niektorých pacientov môžu mať závažnejší charakter. Obyčajne sa objavia v priebehu prvých </w:t>
      </w:r>
      <w:r w:rsidR="00414FCB">
        <w:rPr>
          <w:sz w:val="22"/>
          <w:szCs w:val="22"/>
        </w:rPr>
        <w:t>pár</w:t>
      </w:r>
      <w:r w:rsidR="00414FCB" w:rsidRPr="002C1513">
        <w:rPr>
          <w:sz w:val="22"/>
          <w:szCs w:val="22"/>
        </w:rPr>
        <w:t xml:space="preserve"> </w:t>
      </w:r>
      <w:r w:rsidRPr="002C1513">
        <w:rPr>
          <w:sz w:val="22"/>
          <w:szCs w:val="22"/>
        </w:rPr>
        <w:t>dní vysadzovania lieč</w:t>
      </w:r>
      <w:r w:rsidR="00597456" w:rsidRPr="002C1513">
        <w:rPr>
          <w:sz w:val="22"/>
          <w:szCs w:val="22"/>
        </w:rPr>
        <w:t>by, ale veľmi zriedkavo</w:t>
      </w:r>
      <w:r w:rsidRPr="002C1513">
        <w:rPr>
          <w:sz w:val="22"/>
          <w:szCs w:val="22"/>
        </w:rPr>
        <w:t xml:space="preserve"> boli hlásené takéto príznaky u pacientov, ktorí nedopatrením vynechali dávku. Zvyčajne tieto príznaky vymiznú bez liečby, obyčajne v priebehu 2 týždňov, hoci u niektorých osôb to môže trvať dlhšie (2 – 3 mesiace alebo viac). Preto sa pri vysadzovaní liečby odporúča postupné znižovanie dávky duloxetínu počas minimálne 2 týždňov, podľa potreby pacienta (pozri časť 4.2). </w:t>
      </w:r>
    </w:p>
    <w:p w:rsidR="00597456" w:rsidRPr="002C1513" w:rsidRDefault="00597456" w:rsidP="00FB2465">
      <w:pPr>
        <w:pStyle w:val="Default"/>
        <w:rPr>
          <w:sz w:val="22"/>
          <w:szCs w:val="22"/>
        </w:rPr>
      </w:pPr>
    </w:p>
    <w:p w:rsidR="00FB2465" w:rsidRPr="002C1513" w:rsidRDefault="00FB2465" w:rsidP="00FB2465">
      <w:pPr>
        <w:pStyle w:val="Default"/>
        <w:rPr>
          <w:sz w:val="22"/>
          <w:szCs w:val="22"/>
        </w:rPr>
      </w:pPr>
      <w:r w:rsidRPr="002C1513">
        <w:rPr>
          <w:i/>
          <w:iCs/>
          <w:sz w:val="22"/>
          <w:szCs w:val="22"/>
        </w:rPr>
        <w:t xml:space="preserve">Starší pacienti </w:t>
      </w:r>
    </w:p>
    <w:p w:rsidR="00FB2465" w:rsidRPr="002C1513" w:rsidRDefault="00FB2465" w:rsidP="00FB2465">
      <w:pPr>
        <w:pStyle w:val="Default"/>
        <w:rPr>
          <w:sz w:val="22"/>
          <w:szCs w:val="22"/>
        </w:rPr>
      </w:pPr>
      <w:r w:rsidRPr="002C1513">
        <w:rPr>
          <w:sz w:val="22"/>
          <w:szCs w:val="22"/>
        </w:rPr>
        <w:t>Údaje o použití</w:t>
      </w:r>
      <w:r w:rsidR="00597456" w:rsidRPr="002C1513">
        <w:rPr>
          <w:sz w:val="22"/>
          <w:szCs w:val="22"/>
        </w:rPr>
        <w:t xml:space="preserve"> 120 mg duloxetínu</w:t>
      </w:r>
      <w:r w:rsidRPr="002C1513">
        <w:rPr>
          <w:sz w:val="22"/>
          <w:szCs w:val="22"/>
        </w:rPr>
        <w:t xml:space="preserve"> u starších pacientov s veľkou depresívnou poruchou a generalizovanou úzkostnou poruchou sú obmedzené. Preto je pri liečbe starších pacientov s maximálnou dávkou potrebná zvýšená opatrnosť (pozri časti 4.2 a 5.2). </w:t>
      </w:r>
    </w:p>
    <w:p w:rsidR="00597456" w:rsidRPr="002C1513" w:rsidRDefault="00597456" w:rsidP="00FB2465">
      <w:pPr>
        <w:pStyle w:val="Default"/>
        <w:rPr>
          <w:i/>
          <w:iCs/>
          <w:sz w:val="22"/>
          <w:szCs w:val="22"/>
        </w:rPr>
      </w:pPr>
    </w:p>
    <w:p w:rsidR="00FB2465" w:rsidRPr="002C1513" w:rsidRDefault="00FB2465" w:rsidP="00FB2465">
      <w:pPr>
        <w:pStyle w:val="Default"/>
        <w:rPr>
          <w:sz w:val="22"/>
          <w:szCs w:val="22"/>
        </w:rPr>
      </w:pPr>
      <w:r w:rsidRPr="002C1513">
        <w:rPr>
          <w:i/>
          <w:iCs/>
          <w:sz w:val="22"/>
          <w:szCs w:val="22"/>
        </w:rPr>
        <w:t xml:space="preserve">Akatízia/psychomotorický nepokoj </w:t>
      </w:r>
    </w:p>
    <w:p w:rsidR="00FB2465" w:rsidRPr="002C1513" w:rsidRDefault="00FB2465" w:rsidP="00FB2465">
      <w:pPr>
        <w:pStyle w:val="Default"/>
        <w:rPr>
          <w:sz w:val="22"/>
          <w:szCs w:val="22"/>
        </w:rPr>
      </w:pPr>
      <w:r w:rsidRPr="002C1513">
        <w:rPr>
          <w:sz w:val="22"/>
          <w:szCs w:val="22"/>
        </w:rPr>
        <w:t xml:space="preserve">Užívanie duloxetínu je spájané so vznikom akatízie, ktorá sa prejavuje subjektívne nepríjemným alebo trýznivým nepokojom a potrebou pohybovať sa, často sprevádzané neschopnosťou pokojne sedieť alebo stáť. Najväčšia pravdepodobnosť jej výskytu je v priebehu prvých týždňov liečby. Na pacientov, u ktorých sa vyskytnú tieto príznaky, by mohlo mať zvýšenie dávky negatívny dopad. </w:t>
      </w:r>
    </w:p>
    <w:p w:rsidR="00597456" w:rsidRPr="002C1513" w:rsidRDefault="00597456" w:rsidP="00FB2465">
      <w:pPr>
        <w:pStyle w:val="Default"/>
        <w:rPr>
          <w:i/>
          <w:iCs/>
          <w:sz w:val="22"/>
          <w:szCs w:val="22"/>
        </w:rPr>
      </w:pPr>
    </w:p>
    <w:p w:rsidR="00FB2465" w:rsidRPr="002C1513" w:rsidRDefault="00FB2465" w:rsidP="00FB2465">
      <w:pPr>
        <w:pStyle w:val="Default"/>
        <w:rPr>
          <w:sz w:val="22"/>
          <w:szCs w:val="22"/>
        </w:rPr>
      </w:pPr>
      <w:r w:rsidRPr="002C1513">
        <w:rPr>
          <w:i/>
          <w:iCs/>
          <w:sz w:val="22"/>
          <w:szCs w:val="22"/>
        </w:rPr>
        <w:t xml:space="preserve">Lieky obsahujúce duloxetín </w:t>
      </w:r>
    </w:p>
    <w:p w:rsidR="00FB2465" w:rsidRPr="002C1513" w:rsidRDefault="00FB2465" w:rsidP="00FB2465">
      <w:pPr>
        <w:pStyle w:val="Default"/>
        <w:rPr>
          <w:sz w:val="22"/>
          <w:szCs w:val="22"/>
        </w:rPr>
      </w:pPr>
      <w:r w:rsidRPr="002C1513">
        <w:rPr>
          <w:sz w:val="22"/>
          <w:szCs w:val="22"/>
        </w:rPr>
        <w:lastRenderedPageBreak/>
        <w:t xml:space="preserve">Duloxetín sa používa pod rôznymi obchodnými názvami vo viacerých indikáciách (liečba diabetickej neuropatickej bolesti, veľkej depresívnej poruchy, generalizovanej úzkostnej poruchy a stresovej inkontinencie moču). Je nutné vyvarovať sa používania viac ako jedného z týchto produktov súčasne. </w:t>
      </w:r>
    </w:p>
    <w:p w:rsidR="00597456" w:rsidRPr="002C1513" w:rsidRDefault="00597456" w:rsidP="00FB2465">
      <w:pPr>
        <w:pStyle w:val="Default"/>
        <w:rPr>
          <w:i/>
          <w:iCs/>
          <w:sz w:val="22"/>
          <w:szCs w:val="22"/>
        </w:rPr>
      </w:pPr>
    </w:p>
    <w:p w:rsidR="00FB2465" w:rsidRPr="002C1513" w:rsidRDefault="00FB2465" w:rsidP="00FB2465">
      <w:pPr>
        <w:pStyle w:val="Default"/>
        <w:rPr>
          <w:sz w:val="22"/>
          <w:szCs w:val="22"/>
        </w:rPr>
      </w:pPr>
      <w:r w:rsidRPr="002C1513">
        <w:rPr>
          <w:i/>
          <w:iCs/>
          <w:sz w:val="22"/>
          <w:szCs w:val="22"/>
        </w:rPr>
        <w:t xml:space="preserve">Hepatitída/zvýšené hepatálne enzýmy </w:t>
      </w:r>
    </w:p>
    <w:p w:rsidR="00FB2465" w:rsidRPr="002C1513" w:rsidRDefault="00FB2465" w:rsidP="00FB2465">
      <w:pPr>
        <w:pStyle w:val="Default"/>
        <w:rPr>
          <w:sz w:val="22"/>
          <w:szCs w:val="22"/>
        </w:rPr>
      </w:pPr>
      <w:r w:rsidRPr="002C1513">
        <w:rPr>
          <w:sz w:val="22"/>
          <w:szCs w:val="22"/>
        </w:rPr>
        <w:t xml:space="preserve">Pri podávaní duloxetínu boli hlásené prípady poškodenia pečene, vrátane závažných nárastov hladín hepatálnych enzýmov (&gt;10 násobok hornej hranice normy), hepatitídy a žltačky (pozri časť 4.8). Väčšina z nich sa objavila počas prvých mesiacov liečby. Charakter poškodenia pečene bol prevažne hepatocelulárny. Duloxetín sa má užívať s opatrnosťou u pacientov liečených inými liekmi, ktoré sú spájané s poškodením pečene. </w:t>
      </w:r>
    </w:p>
    <w:p w:rsidR="00597456" w:rsidRPr="002C1513" w:rsidRDefault="00597456" w:rsidP="00FB2465">
      <w:pPr>
        <w:pStyle w:val="Default"/>
        <w:rPr>
          <w:i/>
          <w:iCs/>
          <w:sz w:val="22"/>
          <w:szCs w:val="22"/>
        </w:rPr>
      </w:pPr>
    </w:p>
    <w:p w:rsidR="00FB2465" w:rsidRPr="002C1513" w:rsidRDefault="00597456" w:rsidP="00FB2465">
      <w:pPr>
        <w:pStyle w:val="Default"/>
        <w:rPr>
          <w:i/>
          <w:iCs/>
          <w:sz w:val="22"/>
          <w:szCs w:val="22"/>
        </w:rPr>
      </w:pPr>
      <w:r w:rsidRPr="002C1513">
        <w:rPr>
          <w:i/>
          <w:iCs/>
          <w:sz w:val="22"/>
          <w:szCs w:val="22"/>
        </w:rPr>
        <w:t>Duloxetin Sandoz 30 mg a 60 mg obsahuje laktózu.</w:t>
      </w:r>
      <w:r w:rsidR="00FB2465" w:rsidRPr="002C1513">
        <w:rPr>
          <w:i/>
          <w:iCs/>
          <w:sz w:val="22"/>
          <w:szCs w:val="22"/>
        </w:rPr>
        <w:t xml:space="preserve"> </w:t>
      </w:r>
    </w:p>
    <w:p w:rsidR="00597456" w:rsidRPr="002C1513" w:rsidRDefault="00597456" w:rsidP="00FB2465">
      <w:pPr>
        <w:pStyle w:val="Default"/>
        <w:rPr>
          <w:iCs/>
          <w:sz w:val="22"/>
          <w:szCs w:val="22"/>
        </w:rPr>
      </w:pPr>
      <w:r w:rsidRPr="002C1513">
        <w:rPr>
          <w:iCs/>
          <w:sz w:val="22"/>
          <w:szCs w:val="22"/>
        </w:rPr>
        <w:t>Pacienti so zriedkavými dedičnými problémami galaktózovej intolerancie, lapónskeho deficitu laktázy alebo glukózo-galaktózovej malabsorpcie nesmú užívať tento liek.</w:t>
      </w:r>
    </w:p>
    <w:p w:rsidR="00F362A4" w:rsidRPr="002C1513" w:rsidRDefault="00F362A4" w:rsidP="00F362A4">
      <w:pPr>
        <w:keepNext/>
        <w:ind w:left="0" w:firstLine="0"/>
        <w:rPr>
          <w:color w:val="000000"/>
        </w:rPr>
      </w:pPr>
      <w:r w:rsidRPr="002C1513">
        <w:rPr>
          <w:i/>
          <w:iCs/>
          <w:szCs w:val="22"/>
        </w:rPr>
        <w:t xml:space="preserve">Duloxetin Sandoz 30 mg a 60 mg obsahuje </w:t>
      </w:r>
      <w:r w:rsidRPr="002C1513">
        <w:rPr>
          <w:i/>
          <w:color w:val="000000"/>
        </w:rPr>
        <w:t>červeň Allura (E129)</w:t>
      </w:r>
      <w:r w:rsidRPr="002C1513">
        <w:rPr>
          <w:color w:val="000000"/>
        </w:rPr>
        <w:t>, ktorá môže vyvolať alergické reakcie.</w:t>
      </w:r>
    </w:p>
    <w:p w:rsidR="00F362A4" w:rsidRPr="00832501" w:rsidRDefault="00F362A4" w:rsidP="00F362A4">
      <w:pPr>
        <w:pStyle w:val="Default"/>
        <w:rPr>
          <w:sz w:val="22"/>
          <w:szCs w:val="22"/>
        </w:rPr>
      </w:pPr>
      <w:r w:rsidRPr="00832501">
        <w:rPr>
          <w:i/>
          <w:iCs/>
          <w:sz w:val="22"/>
          <w:szCs w:val="22"/>
        </w:rPr>
        <w:t xml:space="preserve">Duloxetin Sandoz 60 mg obsahuje </w:t>
      </w:r>
      <w:r w:rsidRPr="00832501">
        <w:rPr>
          <w:bCs/>
          <w:i/>
          <w:sz w:val="22"/>
          <w:szCs w:val="22"/>
        </w:rPr>
        <w:t>oranžovú žltú FCF (E110)</w:t>
      </w:r>
      <w:r w:rsidRPr="00832501">
        <w:rPr>
          <w:bCs/>
          <w:sz w:val="22"/>
          <w:szCs w:val="22"/>
        </w:rPr>
        <w:t xml:space="preserve">, ktorá </w:t>
      </w:r>
      <w:r w:rsidRPr="00832501">
        <w:rPr>
          <w:sz w:val="22"/>
          <w:szCs w:val="22"/>
        </w:rPr>
        <w:t>môže vyvolať alergické reakcie.</w:t>
      </w:r>
    </w:p>
    <w:p w:rsidR="00FB2465" w:rsidRPr="002C1513" w:rsidRDefault="00FB2465" w:rsidP="00EB478A">
      <w:pPr>
        <w:pStyle w:val="Default"/>
        <w:rPr>
          <w:i/>
          <w:iCs/>
          <w:sz w:val="22"/>
          <w:szCs w:val="22"/>
        </w:rPr>
      </w:pPr>
    </w:p>
    <w:p w:rsidR="00EB478A" w:rsidRPr="002C1513" w:rsidRDefault="00EB478A" w:rsidP="00EB478A">
      <w:pPr>
        <w:pStyle w:val="Default"/>
        <w:rPr>
          <w:sz w:val="22"/>
          <w:szCs w:val="22"/>
        </w:rPr>
      </w:pPr>
      <w:r w:rsidRPr="002C1513">
        <w:rPr>
          <w:i/>
          <w:iCs/>
          <w:sz w:val="22"/>
          <w:szCs w:val="22"/>
        </w:rPr>
        <w:t xml:space="preserve">Podávanie deťom a dospievajúcim mladším ako 18 rokov </w:t>
      </w:r>
    </w:p>
    <w:p w:rsidR="00EB478A" w:rsidRPr="002C1513" w:rsidRDefault="00F362A4" w:rsidP="00EB478A">
      <w:pPr>
        <w:pStyle w:val="Default"/>
        <w:rPr>
          <w:sz w:val="22"/>
          <w:szCs w:val="22"/>
        </w:rPr>
      </w:pPr>
      <w:r w:rsidRPr="002C1513">
        <w:rPr>
          <w:sz w:val="22"/>
          <w:szCs w:val="22"/>
        </w:rPr>
        <w:t>Duloxetín</w:t>
      </w:r>
      <w:r w:rsidR="00EB478A" w:rsidRPr="002C1513">
        <w:rPr>
          <w:sz w:val="22"/>
          <w:szCs w:val="22"/>
        </w:rPr>
        <w:t xml:space="preserve"> sa nemá užívať na liečbu detí a dospievajúcich mladších ako 18 rokov. V klinických štúdiách bolo u detí a dospievajúcich liečených antidepresívami častejšie pozorované suicidálne správanie (suicidálne pokusy a suicidálne myšlienky) a hostilita (prevažne agresi</w:t>
      </w:r>
      <w:r w:rsidRPr="002C1513">
        <w:rPr>
          <w:sz w:val="22"/>
          <w:szCs w:val="22"/>
        </w:rPr>
        <w:t>vit</w:t>
      </w:r>
      <w:r w:rsidR="00EB478A" w:rsidRPr="002C1513">
        <w:rPr>
          <w:sz w:val="22"/>
          <w:szCs w:val="22"/>
        </w:rPr>
        <w:t xml:space="preserve">a, protichodné správanie a zlosť) v porovnaní s tými, ktorým bolo podávané placebo. Ak sa rozhodnutie o liečbe založené na objektívnej potrebe predsa len urobí, musí byť pacient starostlivo sledovaný kvôli výskytu samovražedných symptómov (pozri časť 5.1). Navyše chýbajú údaje o bezpečnosti dlhodobého podávania u detí a dospievajúcich týkajúce sa rastu, dospievania a kognitívneho a behaviorálneho vývoja (pozri časť 4.8). </w:t>
      </w:r>
    </w:p>
    <w:p w:rsidR="004E5A93" w:rsidRPr="002C1513" w:rsidRDefault="004E5A93" w:rsidP="002605CE">
      <w:pPr>
        <w:ind w:left="0" w:firstLine="0"/>
        <w:rPr>
          <w:b/>
          <w:szCs w:val="22"/>
        </w:rPr>
      </w:pPr>
    </w:p>
    <w:p w:rsidR="00FF6BE0" w:rsidRPr="002C1513" w:rsidRDefault="00FF6BE0" w:rsidP="004E5A93">
      <w:pPr>
        <w:rPr>
          <w:b/>
          <w:szCs w:val="22"/>
        </w:rPr>
      </w:pPr>
      <w:r w:rsidRPr="002C1513">
        <w:rPr>
          <w:b/>
          <w:szCs w:val="22"/>
        </w:rPr>
        <w:t>4.5</w:t>
      </w:r>
      <w:r w:rsidRPr="002C1513">
        <w:rPr>
          <w:b/>
          <w:szCs w:val="22"/>
        </w:rPr>
        <w:tab/>
        <w:t>Liekové a iné interakcie</w:t>
      </w:r>
    </w:p>
    <w:p w:rsidR="00F70C8E" w:rsidRPr="002C1513" w:rsidRDefault="00F70C8E" w:rsidP="00527DED">
      <w:pPr>
        <w:autoSpaceDE w:val="0"/>
        <w:autoSpaceDN w:val="0"/>
        <w:adjustRightInd w:val="0"/>
        <w:ind w:left="0" w:firstLine="0"/>
        <w:rPr>
          <w:szCs w:val="22"/>
          <w:u w:val="single"/>
        </w:rPr>
      </w:pPr>
    </w:p>
    <w:p w:rsidR="002605CE" w:rsidRPr="002C1513" w:rsidRDefault="002605CE" w:rsidP="002605CE">
      <w:pPr>
        <w:pStyle w:val="Default"/>
        <w:rPr>
          <w:sz w:val="22"/>
          <w:szCs w:val="22"/>
        </w:rPr>
      </w:pPr>
      <w:r w:rsidRPr="002C1513">
        <w:rPr>
          <w:i/>
          <w:iCs/>
          <w:sz w:val="22"/>
          <w:szCs w:val="22"/>
        </w:rPr>
        <w:t>Inhibítory monoaminooxidázy (IMAO)</w:t>
      </w:r>
      <w:r w:rsidRPr="002C1513">
        <w:rPr>
          <w:sz w:val="22"/>
          <w:szCs w:val="22"/>
        </w:rPr>
        <w:t xml:space="preserve">: z dôvodu rizika vzniku sérotonínového syndrómu sa duloxetín nemá používať v kombinácii s neselektívnymi ireverzibilnými inhibítormi monoaminooxidázy (IMAO) alebo minimálne 14 dní od ukončenia liečby IMAO. Vychádzajúc z biologického polčasu duloxetínu, liečbu s IMAO je možné začať najskôr 5 dní po vysadení duloxetínu (pozri časť 4.3). </w:t>
      </w:r>
    </w:p>
    <w:p w:rsidR="002605CE" w:rsidRPr="002C1513" w:rsidRDefault="002605CE" w:rsidP="002605CE">
      <w:pPr>
        <w:pStyle w:val="Default"/>
        <w:rPr>
          <w:sz w:val="22"/>
          <w:szCs w:val="22"/>
        </w:rPr>
      </w:pPr>
    </w:p>
    <w:p w:rsidR="002605CE" w:rsidRPr="002C1513" w:rsidRDefault="002605CE" w:rsidP="002605CE">
      <w:pPr>
        <w:pStyle w:val="Default"/>
        <w:rPr>
          <w:sz w:val="22"/>
          <w:szCs w:val="22"/>
        </w:rPr>
      </w:pPr>
      <w:r w:rsidRPr="002C1513">
        <w:rPr>
          <w:sz w:val="22"/>
          <w:szCs w:val="22"/>
        </w:rPr>
        <w:t xml:space="preserve">Súbežné užívanie duloxetínu so selektívnymi reverzibilnými IMAO, ako je moklobemid, sa neodporúča (pozri časť 4.4). Antibiotikum linezolid je reverzibilným neselektívnym IMAO a nemá sa podávať pacientom užívajúcim duloxetín (pozri časť 4.4). </w:t>
      </w:r>
    </w:p>
    <w:p w:rsidR="002605CE" w:rsidRPr="002C1513" w:rsidRDefault="002605CE" w:rsidP="002605CE">
      <w:pPr>
        <w:pStyle w:val="Default"/>
        <w:rPr>
          <w:i/>
          <w:iCs/>
          <w:sz w:val="22"/>
          <w:szCs w:val="22"/>
        </w:rPr>
      </w:pPr>
    </w:p>
    <w:p w:rsidR="002605CE" w:rsidRPr="002C1513" w:rsidRDefault="002605CE" w:rsidP="002605CE">
      <w:pPr>
        <w:pStyle w:val="Default"/>
        <w:rPr>
          <w:sz w:val="22"/>
          <w:szCs w:val="22"/>
        </w:rPr>
      </w:pPr>
      <w:r w:rsidRPr="002C1513">
        <w:rPr>
          <w:i/>
          <w:iCs/>
          <w:sz w:val="22"/>
          <w:szCs w:val="22"/>
        </w:rPr>
        <w:t>Inhibítory CYP1A2</w:t>
      </w:r>
      <w:r w:rsidRPr="002C1513">
        <w:rPr>
          <w:sz w:val="22"/>
          <w:szCs w:val="22"/>
        </w:rPr>
        <w:t>: keďže CYP1A2 sa zúčastňuje na metabolizme duloxetínu, súbežné užívanie duloxetínu spolu so silnými inhibítormi CYP1A2 pravdepodobne vedie k zvýšeným koncentráciám duloxetínu. Fluvoxamín (100 mg jedenkrát denne) ako silný inhibítor CYP1A2, znížil zdanlivý plazmatický klírens duloxetínu o približne 77 %, pričom 6-násobne vzrástla AUC</w:t>
      </w:r>
      <w:r w:rsidRPr="002C1513">
        <w:rPr>
          <w:sz w:val="14"/>
          <w:szCs w:val="14"/>
        </w:rPr>
        <w:t xml:space="preserve">o-t </w:t>
      </w:r>
      <w:r w:rsidRPr="002C1513">
        <w:rPr>
          <w:sz w:val="22"/>
          <w:szCs w:val="22"/>
        </w:rPr>
        <w:t xml:space="preserve">. Duloxetín sa preto nemá podávať v kombinácii so silnými inhibítormi CYP1A2 typu fluvoxamínu (pozri časť 4.3). </w:t>
      </w:r>
    </w:p>
    <w:p w:rsidR="002605CE" w:rsidRPr="002C1513" w:rsidRDefault="002605CE" w:rsidP="002605CE">
      <w:pPr>
        <w:pStyle w:val="Default"/>
        <w:rPr>
          <w:i/>
          <w:iCs/>
          <w:sz w:val="22"/>
          <w:szCs w:val="22"/>
        </w:rPr>
      </w:pPr>
    </w:p>
    <w:p w:rsidR="002605CE" w:rsidRPr="002C1513" w:rsidRDefault="002605CE" w:rsidP="002605CE">
      <w:pPr>
        <w:pStyle w:val="Default"/>
        <w:rPr>
          <w:sz w:val="22"/>
          <w:szCs w:val="22"/>
        </w:rPr>
      </w:pPr>
      <w:r w:rsidRPr="002C1513">
        <w:rPr>
          <w:i/>
          <w:iCs/>
          <w:sz w:val="22"/>
          <w:szCs w:val="22"/>
        </w:rPr>
        <w:t>Lieky s vplyvom na CNS</w:t>
      </w:r>
      <w:r w:rsidRPr="002C1513">
        <w:rPr>
          <w:sz w:val="22"/>
          <w:szCs w:val="22"/>
        </w:rPr>
        <w:t xml:space="preserve">: riziko užívania duloxetínu v kombinácii s inými liekmi s vplyvom na CNS nebolo systematicky hodnotené, okrem prípadov opísaných v tejto časti. V dôsledku toho sa pri užívaní duloxetínu v kombinácii s inými centrálne pôsobiacimi liekmi alebo látkami, vrátane alkoholu a liekov so sedatívnym účinkom (napr. benzodiazepíny, morfínomimetiká, antipsychotiká, fenobarbital, sedatívne antihistaminiká) odporúča postupovať s opatrnosťou. </w:t>
      </w:r>
    </w:p>
    <w:p w:rsidR="002605CE" w:rsidRPr="002C1513" w:rsidRDefault="002605CE" w:rsidP="002605CE">
      <w:pPr>
        <w:pStyle w:val="Default"/>
        <w:rPr>
          <w:i/>
          <w:iCs/>
          <w:sz w:val="22"/>
          <w:szCs w:val="22"/>
        </w:rPr>
      </w:pPr>
    </w:p>
    <w:p w:rsidR="002605CE" w:rsidRPr="002C1513" w:rsidRDefault="002605CE" w:rsidP="002605CE">
      <w:pPr>
        <w:pStyle w:val="Default"/>
        <w:rPr>
          <w:sz w:val="22"/>
          <w:szCs w:val="22"/>
        </w:rPr>
      </w:pPr>
      <w:r w:rsidRPr="002C1513">
        <w:rPr>
          <w:i/>
          <w:iCs/>
          <w:sz w:val="22"/>
          <w:szCs w:val="22"/>
        </w:rPr>
        <w:t>Sérotonergné látky</w:t>
      </w:r>
      <w:r w:rsidRPr="002C1513">
        <w:rPr>
          <w:sz w:val="22"/>
          <w:szCs w:val="22"/>
        </w:rPr>
        <w:t>: sérotonínový syndróm bol v zriedkavých prípadoch zaznamenaný u pacientov, ktorí užívali selektívne inhibítory spätného vychytávania sérotonínu (SSRI/SNRI) spolu s látkami, ktoré majú sérotonergné účinky. Opatrnosť sa odporúča v prípade, ak sa duloxetín užíva súbežne so sérotonergnými látkami akými sú SSRI, SNRI a tricyklické antidepresíva ako klomipramín alebo amitriptylín, IMAO, akými sú moklobemid alebo linezolid, s ľubovníkom bodkovaným (</w:t>
      </w:r>
      <w:r w:rsidRPr="002C1513">
        <w:rPr>
          <w:i/>
          <w:sz w:val="22"/>
          <w:szCs w:val="22"/>
        </w:rPr>
        <w:t>Hypericum perforatum</w:t>
      </w:r>
      <w:r w:rsidRPr="002C1513">
        <w:rPr>
          <w:sz w:val="22"/>
          <w:szCs w:val="22"/>
        </w:rPr>
        <w:t xml:space="preserve">) či triptánmi, tramadolom, petidínom a tryptofánom (pozri časť 4.4). </w:t>
      </w:r>
    </w:p>
    <w:p w:rsidR="00B145E9" w:rsidRPr="002C1513" w:rsidRDefault="00B145E9" w:rsidP="002605CE">
      <w:pPr>
        <w:pStyle w:val="Default"/>
        <w:rPr>
          <w:i/>
          <w:iCs/>
          <w:sz w:val="22"/>
          <w:szCs w:val="22"/>
        </w:rPr>
      </w:pPr>
    </w:p>
    <w:p w:rsidR="002605CE" w:rsidRPr="002C1513" w:rsidRDefault="002605CE" w:rsidP="002605CE">
      <w:pPr>
        <w:pStyle w:val="Default"/>
        <w:rPr>
          <w:sz w:val="22"/>
          <w:szCs w:val="22"/>
        </w:rPr>
      </w:pPr>
      <w:r w:rsidRPr="002C1513">
        <w:rPr>
          <w:i/>
          <w:iCs/>
          <w:sz w:val="22"/>
          <w:szCs w:val="22"/>
        </w:rPr>
        <w:t xml:space="preserve">Účinok duloxetínu na iné lieky </w:t>
      </w:r>
    </w:p>
    <w:p w:rsidR="002605CE" w:rsidRPr="002C1513" w:rsidRDefault="002605CE" w:rsidP="002605CE">
      <w:pPr>
        <w:pStyle w:val="Default"/>
        <w:rPr>
          <w:sz w:val="22"/>
          <w:szCs w:val="22"/>
        </w:rPr>
      </w:pPr>
      <w:r w:rsidRPr="002C1513">
        <w:rPr>
          <w:i/>
          <w:iCs/>
          <w:sz w:val="22"/>
          <w:szCs w:val="22"/>
        </w:rPr>
        <w:t>Lieky metabolizované CYP1A2</w:t>
      </w:r>
      <w:r w:rsidR="00B145E9" w:rsidRPr="002C1513">
        <w:rPr>
          <w:sz w:val="22"/>
          <w:szCs w:val="22"/>
        </w:rPr>
        <w:t>: súbež</w:t>
      </w:r>
      <w:r w:rsidRPr="002C1513">
        <w:rPr>
          <w:sz w:val="22"/>
          <w:szCs w:val="22"/>
        </w:rPr>
        <w:t xml:space="preserve">né podávanie duloxetínu (60 mg dvakrát denne) nemalo významný vplyv na farmakokinetiku teofylínu, ktorý je substrátom CYP1A2. </w:t>
      </w:r>
    </w:p>
    <w:p w:rsidR="00B145E9" w:rsidRPr="002C1513" w:rsidRDefault="00B145E9" w:rsidP="002605CE">
      <w:pPr>
        <w:pStyle w:val="Default"/>
        <w:rPr>
          <w:i/>
          <w:iCs/>
          <w:sz w:val="22"/>
          <w:szCs w:val="22"/>
        </w:rPr>
      </w:pPr>
    </w:p>
    <w:p w:rsidR="002605CE" w:rsidRPr="002C1513" w:rsidRDefault="002605CE" w:rsidP="002605CE">
      <w:pPr>
        <w:pStyle w:val="Default"/>
        <w:rPr>
          <w:sz w:val="22"/>
          <w:szCs w:val="22"/>
        </w:rPr>
      </w:pPr>
      <w:r w:rsidRPr="002C1513">
        <w:rPr>
          <w:i/>
          <w:iCs/>
          <w:sz w:val="22"/>
          <w:szCs w:val="22"/>
        </w:rPr>
        <w:t>Lieky metabolizované CYP2D6</w:t>
      </w:r>
      <w:r w:rsidRPr="002C1513">
        <w:rPr>
          <w:sz w:val="22"/>
          <w:szCs w:val="22"/>
        </w:rPr>
        <w:t>: duloxetín je mierny inhibítor CYP2D6. Keď sa duloxetín v dávke</w:t>
      </w:r>
      <w:r w:rsidR="00B145E9" w:rsidRPr="002C1513">
        <w:rPr>
          <w:sz w:val="22"/>
          <w:szCs w:val="22"/>
        </w:rPr>
        <w:t xml:space="preserve"> 60 mg dvakrát denne podal súbež</w:t>
      </w:r>
      <w:r w:rsidRPr="002C1513">
        <w:rPr>
          <w:sz w:val="22"/>
          <w:szCs w:val="22"/>
        </w:rPr>
        <w:t>ne s jednorazovou dávkou dezipramínu (substrát CYP2D6), AUC dezipramí</w:t>
      </w:r>
      <w:r w:rsidR="00B145E9" w:rsidRPr="002C1513">
        <w:rPr>
          <w:sz w:val="22"/>
          <w:szCs w:val="22"/>
        </w:rPr>
        <w:t>nu sa trojnásobne zvýšila. Súbež</w:t>
      </w:r>
      <w:r w:rsidRPr="002C1513">
        <w:rPr>
          <w:sz w:val="22"/>
          <w:szCs w:val="22"/>
        </w:rPr>
        <w:t>né podávanie duloxetínu (40 mg dvakrát denne) zvyšuje AUC tolterodínu (2 mg dvakrát denne) v rovnovážnom stave o</w:t>
      </w:r>
      <w:r w:rsidR="00D53997" w:rsidRPr="002C1513">
        <w:rPr>
          <w:sz w:val="22"/>
          <w:szCs w:val="22"/>
        </w:rPr>
        <w:t> </w:t>
      </w:r>
      <w:r w:rsidRPr="002C1513">
        <w:rPr>
          <w:sz w:val="22"/>
          <w:szCs w:val="22"/>
        </w:rPr>
        <w:t>71</w:t>
      </w:r>
      <w:r w:rsidR="00D53997" w:rsidRPr="002C1513">
        <w:rPr>
          <w:sz w:val="22"/>
          <w:szCs w:val="22"/>
        </w:rPr>
        <w:t xml:space="preserve"> </w:t>
      </w:r>
      <w:r w:rsidRPr="002C1513">
        <w:rPr>
          <w:sz w:val="22"/>
          <w:szCs w:val="22"/>
        </w:rPr>
        <w:t xml:space="preserve">%, nijako však neovplyvnilo farmakokinetiku jeho aktívneho 5-hydroxy metabolitu; úprava dávkovania </w:t>
      </w:r>
      <w:r w:rsidR="00414FCB">
        <w:rPr>
          <w:sz w:val="22"/>
          <w:szCs w:val="22"/>
        </w:rPr>
        <w:t>nie je potrebná</w:t>
      </w:r>
      <w:r w:rsidRPr="002C1513">
        <w:rPr>
          <w:sz w:val="22"/>
          <w:szCs w:val="22"/>
        </w:rPr>
        <w:t>. Opatrnosť sa však od</w:t>
      </w:r>
      <w:r w:rsidR="00B145E9" w:rsidRPr="002C1513">
        <w:rPr>
          <w:sz w:val="22"/>
          <w:szCs w:val="22"/>
        </w:rPr>
        <w:t>porúča v prípade, že sa duloxetín podáva súbež</w:t>
      </w:r>
      <w:r w:rsidRPr="002C1513">
        <w:rPr>
          <w:sz w:val="22"/>
          <w:szCs w:val="22"/>
        </w:rPr>
        <w:t xml:space="preserve">ne s liekmi, ktoré sú metabolizované prevažne izoenzýmom CYP2D6 (risperidón, tricyklické antidepresíva [TCAs] ako sú nortriptylín, amitriptylín a imipramín), najmä ak tieto majú úzky terapeutický index (ako je flekainid, propafenón a metoprolol). </w:t>
      </w:r>
    </w:p>
    <w:p w:rsidR="00B145E9" w:rsidRPr="002C1513" w:rsidRDefault="00B145E9" w:rsidP="002605CE">
      <w:pPr>
        <w:pStyle w:val="Default"/>
        <w:rPr>
          <w:i/>
          <w:iCs/>
          <w:sz w:val="22"/>
          <w:szCs w:val="22"/>
        </w:rPr>
      </w:pPr>
    </w:p>
    <w:p w:rsidR="002605CE" w:rsidRPr="002C1513" w:rsidRDefault="002605CE" w:rsidP="002605CE">
      <w:pPr>
        <w:pStyle w:val="Default"/>
        <w:rPr>
          <w:sz w:val="22"/>
          <w:szCs w:val="22"/>
        </w:rPr>
      </w:pPr>
      <w:r w:rsidRPr="002C1513">
        <w:rPr>
          <w:i/>
          <w:iCs/>
          <w:sz w:val="22"/>
          <w:szCs w:val="22"/>
        </w:rPr>
        <w:t>Perorálne kontraceptíva a iné steroidové látky</w:t>
      </w:r>
      <w:r w:rsidRPr="002C1513">
        <w:rPr>
          <w:sz w:val="22"/>
          <w:szCs w:val="22"/>
        </w:rPr>
        <w:t xml:space="preserve">: výsledky štúdií </w:t>
      </w:r>
      <w:r w:rsidRPr="002C1513">
        <w:rPr>
          <w:i/>
          <w:iCs/>
          <w:sz w:val="22"/>
          <w:szCs w:val="22"/>
        </w:rPr>
        <w:t xml:space="preserve">in vitro </w:t>
      </w:r>
      <w:r w:rsidRPr="002C1513">
        <w:rPr>
          <w:sz w:val="22"/>
          <w:szCs w:val="22"/>
        </w:rPr>
        <w:t xml:space="preserve">preukázali, že duloxetín neindukuje katalytickú aktivitu izoenzýmov CYP3A. Špecifické </w:t>
      </w:r>
      <w:r w:rsidRPr="002C1513">
        <w:rPr>
          <w:i/>
          <w:iCs/>
          <w:sz w:val="22"/>
          <w:szCs w:val="22"/>
        </w:rPr>
        <w:t xml:space="preserve">in vivo </w:t>
      </w:r>
      <w:r w:rsidRPr="002C1513">
        <w:rPr>
          <w:sz w:val="22"/>
          <w:szCs w:val="22"/>
        </w:rPr>
        <w:t>liekové interakčné štúdie</w:t>
      </w:r>
      <w:r w:rsidR="00B145E9" w:rsidRPr="002C1513">
        <w:rPr>
          <w:sz w:val="22"/>
          <w:szCs w:val="22"/>
        </w:rPr>
        <w:t xml:space="preserve"> neboli vykonané</w:t>
      </w:r>
      <w:r w:rsidRPr="002C1513">
        <w:rPr>
          <w:sz w:val="22"/>
          <w:szCs w:val="22"/>
        </w:rPr>
        <w:t xml:space="preserve">. </w:t>
      </w:r>
    </w:p>
    <w:p w:rsidR="00B145E9" w:rsidRPr="002C1513" w:rsidRDefault="00B145E9" w:rsidP="002605CE">
      <w:pPr>
        <w:pStyle w:val="Default"/>
        <w:rPr>
          <w:sz w:val="22"/>
          <w:szCs w:val="22"/>
        </w:rPr>
      </w:pPr>
    </w:p>
    <w:p w:rsidR="002605CE" w:rsidRPr="002C1513" w:rsidRDefault="002605CE" w:rsidP="002605CE">
      <w:pPr>
        <w:autoSpaceDE w:val="0"/>
        <w:autoSpaceDN w:val="0"/>
        <w:adjustRightInd w:val="0"/>
        <w:ind w:left="0" w:firstLine="0"/>
        <w:rPr>
          <w:szCs w:val="22"/>
          <w:u w:val="single"/>
        </w:rPr>
      </w:pPr>
      <w:r w:rsidRPr="002C1513">
        <w:rPr>
          <w:i/>
          <w:iCs/>
          <w:szCs w:val="22"/>
        </w:rPr>
        <w:t xml:space="preserve">Antikoagulanciá a antiagreganciá: </w:t>
      </w:r>
      <w:r w:rsidRPr="002C1513">
        <w:rPr>
          <w:szCs w:val="22"/>
        </w:rPr>
        <w:t>Opatrnosť je potrebná, keď sa duloxetín kombinuje s perorálnymi antikoagulanciami alebo antiagreganciami kvôli možnému zvýšeniu rizika krvácania, ktoré sa pripisuje farmakodynamickej interakcii. Okrem toho sa zaznamenali zvýšené hodnoty INR u pacientov lieče</w:t>
      </w:r>
      <w:r w:rsidR="00B145E9" w:rsidRPr="002C1513">
        <w:rPr>
          <w:szCs w:val="22"/>
        </w:rPr>
        <w:t>ných warfarínom, ktorým sa súbež</w:t>
      </w:r>
      <w:r w:rsidRPr="002C1513">
        <w:rPr>
          <w:szCs w:val="22"/>
        </w:rPr>
        <w:t>ne podával dul</w:t>
      </w:r>
      <w:r w:rsidR="00B145E9" w:rsidRPr="002C1513">
        <w:rPr>
          <w:szCs w:val="22"/>
        </w:rPr>
        <w:t>oxetín. Avšak súbež</w:t>
      </w:r>
      <w:r w:rsidRPr="002C1513">
        <w:rPr>
          <w:szCs w:val="22"/>
        </w:rPr>
        <w:t xml:space="preserve">né podávanie duloxetínu s warfarínom zdravým dobrovoľníkom </w:t>
      </w:r>
      <w:r w:rsidR="00414FCB">
        <w:rPr>
          <w:szCs w:val="22"/>
        </w:rPr>
        <w:t>(za ustálených podmienok)</w:t>
      </w:r>
      <w:r w:rsidRPr="002C1513">
        <w:rPr>
          <w:szCs w:val="22"/>
        </w:rPr>
        <w:t xml:space="preserve"> v rámci farmakologického klinického skúšania nemalo za následok klinicky významné zmeny INR oproti počiatočným hodnotám ani zmeny farmakokinetiky R- alebo S- warfarínu.</w:t>
      </w:r>
    </w:p>
    <w:p w:rsidR="0017551D" w:rsidRPr="002C1513" w:rsidRDefault="0017551D" w:rsidP="00527DED">
      <w:pPr>
        <w:rPr>
          <w:b/>
          <w:szCs w:val="22"/>
        </w:rPr>
      </w:pPr>
    </w:p>
    <w:p w:rsidR="00D53997" w:rsidRPr="002C1513" w:rsidRDefault="00D53997" w:rsidP="00D53997">
      <w:pPr>
        <w:pStyle w:val="Default"/>
        <w:rPr>
          <w:sz w:val="22"/>
          <w:szCs w:val="22"/>
        </w:rPr>
      </w:pPr>
      <w:r w:rsidRPr="002C1513">
        <w:rPr>
          <w:i/>
          <w:iCs/>
          <w:sz w:val="22"/>
          <w:szCs w:val="22"/>
        </w:rPr>
        <w:t xml:space="preserve">Účinok iných liekov na duloxetín </w:t>
      </w:r>
    </w:p>
    <w:p w:rsidR="00D53997" w:rsidRPr="002C1513" w:rsidRDefault="00D53997" w:rsidP="00D53997">
      <w:pPr>
        <w:pStyle w:val="Default"/>
        <w:rPr>
          <w:sz w:val="22"/>
          <w:szCs w:val="22"/>
        </w:rPr>
      </w:pPr>
      <w:r w:rsidRPr="002C1513">
        <w:rPr>
          <w:i/>
          <w:iCs/>
          <w:sz w:val="22"/>
          <w:szCs w:val="22"/>
        </w:rPr>
        <w:t>Antacidá a antagonisti H2 receptorov</w:t>
      </w:r>
      <w:r w:rsidRPr="002C1513">
        <w:rPr>
          <w:sz w:val="22"/>
          <w:szCs w:val="22"/>
        </w:rPr>
        <w:t xml:space="preserve">: súbežné podávanie duloxetínu a antacíd obsahujúcich hliník a horčík alebo duloxetínu s famotidínom nijako významne neovplyvnilo rýchlosť či rozsah absorpcie duloxetínu po podaní dávky 40 mg perorálne. </w:t>
      </w:r>
    </w:p>
    <w:p w:rsidR="00D53997" w:rsidRPr="002C1513" w:rsidRDefault="00D53997" w:rsidP="00D53997">
      <w:pPr>
        <w:ind w:left="0" w:firstLine="0"/>
        <w:rPr>
          <w:i/>
          <w:iCs/>
          <w:szCs w:val="22"/>
        </w:rPr>
      </w:pPr>
    </w:p>
    <w:p w:rsidR="00D53997" w:rsidRPr="002C1513" w:rsidRDefault="00D53997" w:rsidP="00D53997">
      <w:pPr>
        <w:ind w:left="0" w:firstLine="0"/>
        <w:rPr>
          <w:szCs w:val="22"/>
        </w:rPr>
      </w:pPr>
      <w:r w:rsidRPr="002C1513">
        <w:rPr>
          <w:i/>
          <w:iCs/>
          <w:szCs w:val="22"/>
        </w:rPr>
        <w:t xml:space="preserve">Induktory CYP1A2: </w:t>
      </w:r>
      <w:r w:rsidRPr="002C1513">
        <w:rPr>
          <w:szCs w:val="22"/>
        </w:rPr>
        <w:t>populačné farmakokinetické analýzy preukázali, že fajčiari majú takmer o 50 % nižšie plazmatické koncentrácie duloxetínu ako nefajčiari.</w:t>
      </w:r>
    </w:p>
    <w:p w:rsidR="00D53997" w:rsidRPr="002C1513" w:rsidRDefault="00D53997" w:rsidP="00D53997">
      <w:pPr>
        <w:rPr>
          <w:b/>
          <w:szCs w:val="22"/>
        </w:rPr>
      </w:pPr>
    </w:p>
    <w:p w:rsidR="00990F68" w:rsidRPr="002C1513" w:rsidRDefault="00990F68" w:rsidP="00527DED">
      <w:pPr>
        <w:rPr>
          <w:b/>
          <w:szCs w:val="22"/>
        </w:rPr>
      </w:pPr>
      <w:r w:rsidRPr="002C1513">
        <w:rPr>
          <w:b/>
          <w:szCs w:val="22"/>
        </w:rPr>
        <w:t xml:space="preserve">4.6 </w:t>
      </w:r>
      <w:r w:rsidR="00636C42" w:rsidRPr="002C1513">
        <w:rPr>
          <w:b/>
          <w:szCs w:val="22"/>
        </w:rPr>
        <w:tab/>
      </w:r>
      <w:r w:rsidRPr="002C1513">
        <w:rPr>
          <w:b/>
          <w:szCs w:val="22"/>
        </w:rPr>
        <w:t>Fertilita, gravidita a laktácia</w:t>
      </w:r>
    </w:p>
    <w:p w:rsidR="00CD0D8F" w:rsidRPr="002C1513" w:rsidRDefault="00CD0D8F" w:rsidP="00527DED">
      <w:pPr>
        <w:rPr>
          <w:szCs w:val="22"/>
          <w:u w:val="single"/>
        </w:rPr>
      </w:pPr>
    </w:p>
    <w:p w:rsidR="00D53997" w:rsidRPr="002C1513" w:rsidRDefault="00D53997" w:rsidP="00D53997">
      <w:pPr>
        <w:pStyle w:val="Default"/>
        <w:rPr>
          <w:sz w:val="22"/>
          <w:szCs w:val="22"/>
        </w:rPr>
      </w:pPr>
      <w:r w:rsidRPr="002C1513">
        <w:rPr>
          <w:i/>
          <w:iCs/>
          <w:sz w:val="22"/>
          <w:szCs w:val="22"/>
        </w:rPr>
        <w:t xml:space="preserve">Fertilita </w:t>
      </w:r>
    </w:p>
    <w:p w:rsidR="00D53997" w:rsidRPr="002C1513" w:rsidRDefault="00D53997" w:rsidP="00D53997">
      <w:pPr>
        <w:pStyle w:val="Default"/>
        <w:rPr>
          <w:sz w:val="22"/>
          <w:szCs w:val="22"/>
        </w:rPr>
      </w:pPr>
      <w:r w:rsidRPr="002C1513">
        <w:rPr>
          <w:sz w:val="22"/>
          <w:szCs w:val="22"/>
        </w:rPr>
        <w:t xml:space="preserve">Duloxetín nemal vplyv na mužskú fertilitu a u žien bol vplyv evidentný iba pri dávkach </w:t>
      </w:r>
      <w:r w:rsidR="00414FCB">
        <w:rPr>
          <w:sz w:val="22"/>
          <w:szCs w:val="22"/>
        </w:rPr>
        <w:t>toxických pre matku</w:t>
      </w:r>
      <w:r w:rsidRPr="002C1513">
        <w:rPr>
          <w:sz w:val="22"/>
          <w:szCs w:val="22"/>
        </w:rPr>
        <w:t xml:space="preserve">. </w:t>
      </w:r>
    </w:p>
    <w:p w:rsidR="00D53997" w:rsidRPr="002C1513" w:rsidRDefault="00D53997" w:rsidP="00D53997">
      <w:pPr>
        <w:pStyle w:val="Default"/>
        <w:rPr>
          <w:i/>
          <w:iCs/>
          <w:sz w:val="22"/>
          <w:szCs w:val="22"/>
        </w:rPr>
      </w:pPr>
    </w:p>
    <w:p w:rsidR="00D53997" w:rsidRPr="002C1513" w:rsidRDefault="00D53997" w:rsidP="00D53997">
      <w:pPr>
        <w:pStyle w:val="Default"/>
        <w:rPr>
          <w:sz w:val="22"/>
          <w:szCs w:val="22"/>
        </w:rPr>
      </w:pPr>
      <w:r w:rsidRPr="002C1513">
        <w:rPr>
          <w:i/>
          <w:iCs/>
          <w:sz w:val="22"/>
          <w:szCs w:val="22"/>
        </w:rPr>
        <w:t xml:space="preserve">Gravidita </w:t>
      </w:r>
    </w:p>
    <w:p w:rsidR="00D53997" w:rsidRPr="002C1513" w:rsidRDefault="00D53997" w:rsidP="00D53997">
      <w:pPr>
        <w:pStyle w:val="Default"/>
        <w:rPr>
          <w:sz w:val="22"/>
          <w:szCs w:val="22"/>
        </w:rPr>
      </w:pPr>
      <w:r w:rsidRPr="002C1513">
        <w:rPr>
          <w:sz w:val="22"/>
          <w:szCs w:val="22"/>
        </w:rPr>
        <w:t xml:space="preserve">Nie sú k dispozícii dostatočné údaje o použití duloxetínu u gravidných žien. Štúdie na zvieratách preukázali reprodukčnú toxicitu pri hladinách systémovej expozície (AUC) duloxetínu nižších ako je maximálna klinická expozícia (pozri časť 5.3). </w:t>
      </w:r>
    </w:p>
    <w:p w:rsidR="00D53997" w:rsidRPr="002C1513" w:rsidRDefault="00D53997" w:rsidP="00D53997">
      <w:pPr>
        <w:pStyle w:val="Default"/>
        <w:rPr>
          <w:sz w:val="22"/>
          <w:szCs w:val="22"/>
        </w:rPr>
      </w:pPr>
    </w:p>
    <w:p w:rsidR="00D53997" w:rsidRPr="002C1513" w:rsidRDefault="00D53997" w:rsidP="00D53997">
      <w:pPr>
        <w:pStyle w:val="Default"/>
        <w:rPr>
          <w:sz w:val="22"/>
          <w:szCs w:val="22"/>
        </w:rPr>
      </w:pPr>
      <w:r w:rsidRPr="002C1513">
        <w:rPr>
          <w:sz w:val="22"/>
          <w:szCs w:val="22"/>
        </w:rPr>
        <w:t xml:space="preserve">Nie je známe potenciálne riziko u ľudí. </w:t>
      </w:r>
    </w:p>
    <w:p w:rsidR="00D53997" w:rsidRPr="002C1513" w:rsidRDefault="00D53997" w:rsidP="00D53997">
      <w:pPr>
        <w:pStyle w:val="Default"/>
        <w:rPr>
          <w:sz w:val="22"/>
          <w:szCs w:val="22"/>
        </w:rPr>
      </w:pPr>
    </w:p>
    <w:p w:rsidR="00D53997" w:rsidRPr="002C1513" w:rsidRDefault="00D53997" w:rsidP="00D53997">
      <w:pPr>
        <w:pStyle w:val="Default"/>
        <w:rPr>
          <w:sz w:val="22"/>
          <w:szCs w:val="22"/>
        </w:rPr>
      </w:pPr>
      <w:r w:rsidRPr="002C1513">
        <w:rPr>
          <w:sz w:val="22"/>
          <w:szCs w:val="22"/>
        </w:rPr>
        <w:t xml:space="preserve">Epidemiologické údaje naznačujú, že používanie SSRI počas gravidity, zvlášť v pokročilom štádiu gravidity, môže zvýšiť riziko perzistentnej pľúcnej hypertenzie u novorodencov (PPHN). Hoci žiadna štúdia nesledovala súvislosť medzi PPHN a liečbou SNRI, toto potenciálne riziko sa nedá vylúčiť pri duloxetíne, berúc do úvahy podobný mechanizmus účinku (inhibícia spätného vychytávania sérotonínu). </w:t>
      </w:r>
    </w:p>
    <w:p w:rsidR="00D53997" w:rsidRPr="002C1513" w:rsidRDefault="00D53997" w:rsidP="00D53997">
      <w:pPr>
        <w:pStyle w:val="Default"/>
        <w:rPr>
          <w:sz w:val="22"/>
          <w:szCs w:val="22"/>
        </w:rPr>
      </w:pPr>
      <w:r w:rsidRPr="002C1513">
        <w:rPr>
          <w:sz w:val="22"/>
          <w:szCs w:val="22"/>
        </w:rPr>
        <w:t>Ako aj u iných sérotonergných liekov, ak matka užívala krátko pred pôrodom duloxetín, u novorodenca sa môžu vyskytnúť príznaky z vysadenia. Symptómy z vysadenia pozorované pri duloxetíne môžu zahŕňať hypotóniu, tras, nepokoj, problé</w:t>
      </w:r>
      <w:r w:rsidR="00351BE7" w:rsidRPr="002C1513">
        <w:rPr>
          <w:sz w:val="22"/>
          <w:szCs w:val="22"/>
        </w:rPr>
        <w:t>my kŕmením</w:t>
      </w:r>
      <w:r w:rsidRPr="002C1513">
        <w:rPr>
          <w:sz w:val="22"/>
          <w:szCs w:val="22"/>
        </w:rPr>
        <w:t xml:space="preserve">, ťažkosti s dýchaním a kŕče. Väčšina prípadov sa vyskytla buď pri pôrode alebo niekoľko dní po pôrode. </w:t>
      </w:r>
    </w:p>
    <w:p w:rsidR="00D53997" w:rsidRPr="002C1513" w:rsidRDefault="00351BE7" w:rsidP="00D53997">
      <w:pPr>
        <w:pStyle w:val="Default"/>
        <w:rPr>
          <w:sz w:val="22"/>
          <w:szCs w:val="22"/>
        </w:rPr>
      </w:pPr>
      <w:r w:rsidRPr="002C1513">
        <w:rPr>
          <w:sz w:val="22"/>
          <w:szCs w:val="22"/>
        </w:rPr>
        <w:lastRenderedPageBreak/>
        <w:t>Duloxetín</w:t>
      </w:r>
      <w:r w:rsidR="00D53997" w:rsidRPr="002C1513">
        <w:rPr>
          <w:sz w:val="22"/>
          <w:szCs w:val="22"/>
        </w:rPr>
        <w:t xml:space="preserve"> sa má užívať v priebehu gravidity len vtedy, ak jej potenciálny prínos prevýši možné riziko pre plod. Ženy, ktoré otehotnejú</w:t>
      </w:r>
      <w:r w:rsidRPr="002C1513">
        <w:rPr>
          <w:sz w:val="22"/>
          <w:szCs w:val="22"/>
        </w:rPr>
        <w:t xml:space="preserve"> alebo plánujú</w:t>
      </w:r>
      <w:r w:rsidR="00D53997" w:rsidRPr="002C1513">
        <w:rPr>
          <w:sz w:val="22"/>
          <w:szCs w:val="22"/>
        </w:rPr>
        <w:t xml:space="preserve"> otehotnieť v priebehu liečby, je potrebné informovať, aby na to upozornili svojho lekára. </w:t>
      </w:r>
    </w:p>
    <w:p w:rsidR="00D53997" w:rsidRPr="002C1513" w:rsidRDefault="00D53997" w:rsidP="00D53997">
      <w:pPr>
        <w:pStyle w:val="Default"/>
        <w:rPr>
          <w:i/>
          <w:iCs/>
          <w:sz w:val="22"/>
          <w:szCs w:val="22"/>
        </w:rPr>
      </w:pPr>
    </w:p>
    <w:p w:rsidR="00D53997" w:rsidRPr="002C1513" w:rsidRDefault="00D53997" w:rsidP="00D53997">
      <w:pPr>
        <w:pStyle w:val="Default"/>
        <w:rPr>
          <w:sz w:val="22"/>
          <w:szCs w:val="22"/>
        </w:rPr>
      </w:pPr>
      <w:r w:rsidRPr="002C1513">
        <w:rPr>
          <w:i/>
          <w:iCs/>
          <w:sz w:val="22"/>
          <w:szCs w:val="22"/>
        </w:rPr>
        <w:t xml:space="preserve">Dojčenie </w:t>
      </w:r>
    </w:p>
    <w:p w:rsidR="002648DE" w:rsidRPr="002C1513" w:rsidRDefault="00D53997" w:rsidP="00D53997">
      <w:pPr>
        <w:tabs>
          <w:tab w:val="left" w:pos="0"/>
        </w:tabs>
        <w:ind w:left="0" w:firstLine="0"/>
        <w:rPr>
          <w:szCs w:val="22"/>
        </w:rPr>
      </w:pPr>
      <w:r w:rsidRPr="002C1513">
        <w:rPr>
          <w:szCs w:val="22"/>
        </w:rPr>
        <w:t xml:space="preserve">Duloxetín je veľmi málo vylučovaný do </w:t>
      </w:r>
      <w:r w:rsidR="00351BE7" w:rsidRPr="002C1513">
        <w:rPr>
          <w:szCs w:val="22"/>
        </w:rPr>
        <w:t xml:space="preserve">ľudského </w:t>
      </w:r>
      <w:r w:rsidRPr="002C1513">
        <w:rPr>
          <w:szCs w:val="22"/>
        </w:rPr>
        <w:t xml:space="preserve">materského mlieka vychádzajúc zo štúdie so 6 </w:t>
      </w:r>
      <w:r w:rsidR="00414FCB">
        <w:rPr>
          <w:szCs w:val="22"/>
        </w:rPr>
        <w:t>laktujúcimi</w:t>
      </w:r>
      <w:r w:rsidR="00414FCB" w:rsidRPr="002C1513">
        <w:rPr>
          <w:szCs w:val="22"/>
        </w:rPr>
        <w:t xml:space="preserve"> </w:t>
      </w:r>
      <w:r w:rsidRPr="002C1513">
        <w:rPr>
          <w:szCs w:val="22"/>
        </w:rPr>
        <w:t>ženami, ktoré nedojčili svoje deti. Odhadovaná denná dávka u dojčaťa v mg/kg je približne 0,14</w:t>
      </w:r>
      <w:r w:rsidR="00351BE7" w:rsidRPr="002C1513">
        <w:rPr>
          <w:szCs w:val="22"/>
        </w:rPr>
        <w:t xml:space="preserve"> </w:t>
      </w:r>
      <w:r w:rsidRPr="002C1513">
        <w:rPr>
          <w:szCs w:val="22"/>
        </w:rPr>
        <w:t>% dávky podanej matke (pozri časť 5.2). Keďže nie je známa bezpečnosť podávania duloxetínu u dojčiat, uží</w:t>
      </w:r>
      <w:r w:rsidR="00351BE7" w:rsidRPr="002C1513">
        <w:rPr>
          <w:szCs w:val="22"/>
        </w:rPr>
        <w:t>vanie Duloxetinu Sandoz</w:t>
      </w:r>
      <w:r w:rsidRPr="002C1513">
        <w:rPr>
          <w:szCs w:val="22"/>
        </w:rPr>
        <w:t xml:space="preserve"> sa počas dojčenia neodporúča.</w:t>
      </w:r>
    </w:p>
    <w:p w:rsidR="00D53997" w:rsidRPr="002C1513" w:rsidRDefault="00D53997" w:rsidP="00D53997">
      <w:pPr>
        <w:tabs>
          <w:tab w:val="left" w:pos="0"/>
        </w:tabs>
        <w:ind w:left="0" w:firstLine="0"/>
        <w:rPr>
          <w:szCs w:val="22"/>
        </w:rPr>
      </w:pPr>
    </w:p>
    <w:p w:rsidR="00990F68" w:rsidRPr="002C1513" w:rsidRDefault="00990F68" w:rsidP="00527DED">
      <w:pPr>
        <w:rPr>
          <w:b/>
          <w:szCs w:val="22"/>
        </w:rPr>
      </w:pPr>
      <w:r w:rsidRPr="002C1513">
        <w:rPr>
          <w:b/>
          <w:szCs w:val="22"/>
        </w:rPr>
        <w:t xml:space="preserve">4.7 </w:t>
      </w:r>
      <w:r w:rsidR="00636C42" w:rsidRPr="002C1513">
        <w:rPr>
          <w:b/>
          <w:szCs w:val="22"/>
        </w:rPr>
        <w:tab/>
      </w:r>
      <w:r w:rsidRPr="002C1513">
        <w:rPr>
          <w:b/>
          <w:szCs w:val="22"/>
        </w:rPr>
        <w:t>Ovplyvnenie schopnosti viesť vozidlá a obsluhovať stroje</w:t>
      </w:r>
    </w:p>
    <w:p w:rsidR="0099633E" w:rsidRPr="002C1513" w:rsidRDefault="0099633E" w:rsidP="00527DED">
      <w:pPr>
        <w:rPr>
          <w:b/>
          <w:szCs w:val="22"/>
        </w:rPr>
      </w:pPr>
    </w:p>
    <w:p w:rsidR="00D53997" w:rsidRPr="002C1513" w:rsidRDefault="00D53997" w:rsidP="00D53997">
      <w:pPr>
        <w:ind w:left="0" w:firstLine="0"/>
        <w:rPr>
          <w:b/>
          <w:szCs w:val="22"/>
        </w:rPr>
      </w:pPr>
      <w:r w:rsidRPr="002C1513">
        <w:rPr>
          <w:szCs w:val="22"/>
        </w:rPr>
        <w:t>Neuskutočnili sa žiadne štúdie o účinkoch na schopnosť viesť vozidlá a obsluhovať</w:t>
      </w:r>
      <w:r w:rsidR="00351BE7" w:rsidRPr="002C1513">
        <w:rPr>
          <w:szCs w:val="22"/>
        </w:rPr>
        <w:t xml:space="preserve"> stroje. Duloxetín </w:t>
      </w:r>
      <w:r w:rsidRPr="002C1513">
        <w:rPr>
          <w:szCs w:val="22"/>
        </w:rPr>
        <w:t xml:space="preserve">môže súvisieť s útlmom </w:t>
      </w:r>
      <w:r w:rsidR="00351BE7" w:rsidRPr="002C1513">
        <w:rPr>
          <w:szCs w:val="22"/>
        </w:rPr>
        <w:t>a závratom. Pacienti majú byť poučení</w:t>
      </w:r>
      <w:r w:rsidRPr="002C1513">
        <w:rPr>
          <w:szCs w:val="22"/>
        </w:rPr>
        <w:t>, že v prípade, ak sa u nich objaví útlm alebo závrat, majú sa vyvarovať potenciálne nebezpeč</w:t>
      </w:r>
      <w:r w:rsidR="00351BE7" w:rsidRPr="002C1513">
        <w:rPr>
          <w:szCs w:val="22"/>
        </w:rPr>
        <w:t>ných činností</w:t>
      </w:r>
      <w:r w:rsidRPr="002C1513">
        <w:rPr>
          <w:szCs w:val="22"/>
        </w:rPr>
        <w:t>, akými sú vedenie vozidiel alebo obsluha strojov.</w:t>
      </w:r>
    </w:p>
    <w:p w:rsidR="00D53997" w:rsidRPr="002C1513" w:rsidRDefault="00D53997" w:rsidP="00527DED">
      <w:pPr>
        <w:rPr>
          <w:b/>
          <w:szCs w:val="22"/>
        </w:rPr>
      </w:pPr>
    </w:p>
    <w:p w:rsidR="00990F68" w:rsidRPr="002C1513" w:rsidRDefault="00990F68" w:rsidP="00527DED">
      <w:pPr>
        <w:rPr>
          <w:b/>
          <w:szCs w:val="22"/>
        </w:rPr>
      </w:pPr>
      <w:r w:rsidRPr="002C1513">
        <w:rPr>
          <w:b/>
          <w:szCs w:val="22"/>
        </w:rPr>
        <w:t xml:space="preserve">4.8 </w:t>
      </w:r>
      <w:r w:rsidR="00636C42" w:rsidRPr="002C1513">
        <w:rPr>
          <w:b/>
          <w:szCs w:val="22"/>
        </w:rPr>
        <w:tab/>
      </w:r>
      <w:r w:rsidRPr="002C1513">
        <w:rPr>
          <w:b/>
          <w:szCs w:val="22"/>
        </w:rPr>
        <w:t xml:space="preserve">Nežiaduce účinky </w:t>
      </w:r>
    </w:p>
    <w:p w:rsidR="00C466F2" w:rsidRPr="002C1513" w:rsidRDefault="00C466F2" w:rsidP="00C466F2">
      <w:pPr>
        <w:pStyle w:val="Default"/>
        <w:rPr>
          <w:i/>
          <w:iCs/>
          <w:sz w:val="22"/>
          <w:szCs w:val="22"/>
        </w:rPr>
      </w:pPr>
    </w:p>
    <w:p w:rsidR="00C466F2" w:rsidRPr="002C1513" w:rsidRDefault="00C466F2" w:rsidP="00C466F2">
      <w:pPr>
        <w:pStyle w:val="Default"/>
        <w:rPr>
          <w:sz w:val="22"/>
          <w:szCs w:val="22"/>
        </w:rPr>
      </w:pPr>
      <w:r w:rsidRPr="002C1513">
        <w:rPr>
          <w:i/>
          <w:iCs/>
          <w:sz w:val="22"/>
          <w:szCs w:val="22"/>
        </w:rPr>
        <w:t xml:space="preserve">a. Zhrnutie bezpečnostného profilu </w:t>
      </w:r>
    </w:p>
    <w:p w:rsidR="00C531CB" w:rsidRPr="002C1513" w:rsidRDefault="00C466F2" w:rsidP="00C466F2">
      <w:pPr>
        <w:tabs>
          <w:tab w:val="left" w:pos="567"/>
        </w:tabs>
        <w:spacing w:line="260" w:lineRule="exact"/>
        <w:ind w:left="0" w:firstLine="0"/>
        <w:rPr>
          <w:szCs w:val="22"/>
          <w:u w:val="single"/>
        </w:rPr>
      </w:pPr>
      <w:r w:rsidRPr="002C1513">
        <w:rPr>
          <w:szCs w:val="22"/>
        </w:rPr>
        <w:t>Najčastejšie hlásené nežiaduce reakcie u pacientov liečených duloxetínom boli nauzea, bolesť hlavy, sucho v ústach, somnolencia a závrat. Väčšinou však boli tieto časté nežiaduce reakcie len mierne či stredne závažné, objavili sa krátko po začiatku terapie a väčšinou mali tendenciu odznieť, aj keď liečba pokračovala.</w:t>
      </w:r>
    </w:p>
    <w:p w:rsidR="00C466F2" w:rsidRPr="002C1513" w:rsidRDefault="00C466F2" w:rsidP="00C466F2">
      <w:pPr>
        <w:pStyle w:val="Default"/>
        <w:rPr>
          <w:i/>
          <w:iCs/>
          <w:sz w:val="22"/>
          <w:szCs w:val="22"/>
        </w:rPr>
      </w:pPr>
    </w:p>
    <w:p w:rsidR="00C466F2" w:rsidRPr="002C1513" w:rsidRDefault="00C466F2" w:rsidP="00C466F2">
      <w:pPr>
        <w:pStyle w:val="Default"/>
        <w:rPr>
          <w:sz w:val="22"/>
          <w:szCs w:val="22"/>
        </w:rPr>
      </w:pPr>
      <w:r w:rsidRPr="002C1513">
        <w:rPr>
          <w:i/>
          <w:iCs/>
          <w:sz w:val="22"/>
          <w:szCs w:val="22"/>
        </w:rPr>
        <w:t>b. Tabuľkové zhrnutie nežiaducich reakcií</w:t>
      </w:r>
    </w:p>
    <w:p w:rsidR="00C466F2" w:rsidRPr="002C1513" w:rsidRDefault="00C466F2" w:rsidP="00C466F2">
      <w:pPr>
        <w:pStyle w:val="Default"/>
        <w:rPr>
          <w:sz w:val="22"/>
          <w:szCs w:val="22"/>
        </w:rPr>
      </w:pPr>
      <w:r w:rsidRPr="002C1513">
        <w:rPr>
          <w:sz w:val="22"/>
          <w:szCs w:val="22"/>
        </w:rPr>
        <w:t xml:space="preserve">Tabuľka 1 uvádza výskyt nežiaducich reakcií zaznamenaný zo spontánnych hlásení a v placebom kontrolovaných klinických štúdiách. </w:t>
      </w:r>
    </w:p>
    <w:p w:rsidR="00C466F2" w:rsidRPr="002C1513" w:rsidRDefault="00C466F2" w:rsidP="00C466F2">
      <w:pPr>
        <w:pStyle w:val="Default"/>
        <w:rPr>
          <w:i/>
          <w:iCs/>
          <w:sz w:val="22"/>
          <w:szCs w:val="22"/>
        </w:rPr>
      </w:pPr>
    </w:p>
    <w:p w:rsidR="00C466F2" w:rsidRPr="002C1513" w:rsidRDefault="00C466F2" w:rsidP="00C466F2">
      <w:pPr>
        <w:pStyle w:val="Default"/>
        <w:rPr>
          <w:sz w:val="22"/>
          <w:szCs w:val="22"/>
        </w:rPr>
      </w:pPr>
      <w:r w:rsidRPr="002C1513">
        <w:rPr>
          <w:i/>
          <w:iCs/>
          <w:sz w:val="22"/>
          <w:szCs w:val="22"/>
        </w:rPr>
        <w:t xml:space="preserve">Tabuľka 1: Nežiaduce reakcie </w:t>
      </w:r>
    </w:p>
    <w:p w:rsidR="00C466F2" w:rsidRPr="002C1513" w:rsidRDefault="00C466F2" w:rsidP="00C466F2">
      <w:pPr>
        <w:pStyle w:val="Default"/>
        <w:rPr>
          <w:sz w:val="22"/>
          <w:szCs w:val="22"/>
        </w:rPr>
      </w:pPr>
      <w:r w:rsidRPr="002C1513">
        <w:rPr>
          <w:sz w:val="22"/>
          <w:szCs w:val="22"/>
        </w:rPr>
        <w:t xml:space="preserve">Frekvencia je definovaná nasledovne: veľmi časté (≥1/10), časté (≥1/100 až &lt;1/10), menej časté </w:t>
      </w:r>
    </w:p>
    <w:p w:rsidR="00C466F2" w:rsidRPr="002C1513" w:rsidRDefault="00C466F2" w:rsidP="00C466F2">
      <w:pPr>
        <w:pStyle w:val="Default"/>
        <w:rPr>
          <w:sz w:val="22"/>
          <w:szCs w:val="22"/>
        </w:rPr>
      </w:pPr>
      <w:r w:rsidRPr="002C1513">
        <w:rPr>
          <w:sz w:val="22"/>
          <w:szCs w:val="22"/>
        </w:rPr>
        <w:t xml:space="preserve">(≥1/1 000 až &lt;1/100), zriedkavé (≥ 1/10 000 až &lt; 1/1 000), veľmi zriedkavé (&lt;1/10 000). </w:t>
      </w:r>
    </w:p>
    <w:p w:rsidR="00C466F2" w:rsidRPr="002C1513" w:rsidRDefault="00C466F2" w:rsidP="00C466F2">
      <w:pPr>
        <w:tabs>
          <w:tab w:val="left" w:pos="567"/>
        </w:tabs>
        <w:spacing w:line="260" w:lineRule="exact"/>
        <w:ind w:left="0" w:firstLine="0"/>
        <w:rPr>
          <w:szCs w:val="22"/>
        </w:rPr>
      </w:pPr>
    </w:p>
    <w:p w:rsidR="00C466F2" w:rsidRPr="002C1513" w:rsidRDefault="00C466F2" w:rsidP="00C466F2">
      <w:pPr>
        <w:tabs>
          <w:tab w:val="left" w:pos="567"/>
        </w:tabs>
        <w:spacing w:line="260" w:lineRule="exact"/>
        <w:ind w:left="0" w:firstLine="0"/>
        <w:rPr>
          <w:szCs w:val="22"/>
          <w:u w:val="single"/>
        </w:rPr>
      </w:pPr>
      <w:r w:rsidRPr="002C1513">
        <w:rPr>
          <w:szCs w:val="22"/>
        </w:rPr>
        <w:t>V rámci jednotlivých skupín frekvencií sú nežiaduce účinky usporiadané v poradí klesajúcej závažnosti.</w:t>
      </w:r>
    </w:p>
    <w:p w:rsidR="00684ACF" w:rsidRPr="002C1513" w:rsidRDefault="00684ACF" w:rsidP="00527DED">
      <w:pPr>
        <w:tabs>
          <w:tab w:val="left" w:pos="567"/>
        </w:tabs>
        <w:spacing w:line="260" w:lineRule="exact"/>
        <w:ind w:left="0" w:firstLine="0"/>
        <w:rPr>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1736"/>
        <w:gridCol w:w="1903"/>
        <w:gridCol w:w="1988"/>
        <w:gridCol w:w="1708"/>
      </w:tblGrid>
      <w:tr w:rsidR="00B7408C" w:rsidRPr="002C1513" w:rsidTr="00F53BEA">
        <w:tc>
          <w:tcPr>
            <w:tcW w:w="2026" w:type="dxa"/>
            <w:shd w:val="clear" w:color="auto" w:fill="auto"/>
          </w:tcPr>
          <w:p w:rsidR="00B7408C" w:rsidRPr="002C1513" w:rsidRDefault="00B7408C" w:rsidP="00D83A31">
            <w:pPr>
              <w:tabs>
                <w:tab w:val="left" w:pos="567"/>
              </w:tabs>
              <w:spacing w:line="260" w:lineRule="exact"/>
              <w:ind w:left="0" w:firstLine="0"/>
              <w:rPr>
                <w:szCs w:val="22"/>
                <w:u w:val="single"/>
              </w:rPr>
            </w:pPr>
            <w:r w:rsidRPr="002C1513">
              <w:rPr>
                <w:b/>
                <w:bCs/>
                <w:szCs w:val="22"/>
              </w:rPr>
              <w:t>Veľmi časté</w:t>
            </w:r>
          </w:p>
        </w:tc>
        <w:tc>
          <w:tcPr>
            <w:tcW w:w="1769" w:type="dxa"/>
            <w:shd w:val="clear" w:color="auto" w:fill="auto"/>
          </w:tcPr>
          <w:p w:rsidR="00B7408C" w:rsidRPr="002C1513" w:rsidRDefault="00B7408C" w:rsidP="00D83A31">
            <w:pPr>
              <w:tabs>
                <w:tab w:val="left" w:pos="567"/>
              </w:tabs>
              <w:spacing w:line="260" w:lineRule="exact"/>
              <w:ind w:left="0" w:firstLine="0"/>
              <w:rPr>
                <w:szCs w:val="22"/>
                <w:u w:val="single"/>
              </w:rPr>
            </w:pPr>
            <w:r w:rsidRPr="002C1513">
              <w:rPr>
                <w:b/>
                <w:bCs/>
                <w:szCs w:val="22"/>
              </w:rPr>
              <w:t>Časté</w:t>
            </w:r>
          </w:p>
        </w:tc>
        <w:tc>
          <w:tcPr>
            <w:tcW w:w="1903" w:type="dxa"/>
            <w:shd w:val="clear" w:color="auto" w:fill="auto"/>
          </w:tcPr>
          <w:p w:rsidR="00B7408C" w:rsidRPr="002C1513" w:rsidRDefault="00B7408C" w:rsidP="00D83A31">
            <w:pPr>
              <w:tabs>
                <w:tab w:val="left" w:pos="567"/>
              </w:tabs>
              <w:spacing w:line="260" w:lineRule="exact"/>
              <w:ind w:left="0" w:firstLine="0"/>
              <w:rPr>
                <w:szCs w:val="22"/>
                <w:u w:val="single"/>
              </w:rPr>
            </w:pPr>
            <w:r w:rsidRPr="002C1513">
              <w:rPr>
                <w:b/>
                <w:bCs/>
                <w:szCs w:val="22"/>
              </w:rPr>
              <w:t>Menej časté</w:t>
            </w:r>
          </w:p>
        </w:tc>
        <w:tc>
          <w:tcPr>
            <w:tcW w:w="1841" w:type="dxa"/>
            <w:shd w:val="clear" w:color="auto" w:fill="auto"/>
          </w:tcPr>
          <w:p w:rsidR="00B7408C" w:rsidRPr="002C1513" w:rsidRDefault="00B7408C" w:rsidP="00D83A31">
            <w:pPr>
              <w:tabs>
                <w:tab w:val="left" w:pos="567"/>
              </w:tabs>
              <w:spacing w:line="260" w:lineRule="exact"/>
              <w:ind w:left="0" w:firstLine="0"/>
              <w:rPr>
                <w:szCs w:val="22"/>
                <w:u w:val="single"/>
              </w:rPr>
            </w:pPr>
            <w:r w:rsidRPr="002C1513">
              <w:rPr>
                <w:b/>
                <w:bCs/>
                <w:szCs w:val="22"/>
              </w:rPr>
              <w:t>Zriedkavé</w:t>
            </w:r>
          </w:p>
        </w:tc>
        <w:tc>
          <w:tcPr>
            <w:tcW w:w="1747" w:type="dxa"/>
            <w:shd w:val="clear" w:color="auto" w:fill="auto"/>
          </w:tcPr>
          <w:p w:rsidR="00B7408C" w:rsidRPr="002C1513" w:rsidRDefault="00B7408C" w:rsidP="00D83A31">
            <w:pPr>
              <w:tabs>
                <w:tab w:val="left" w:pos="567"/>
              </w:tabs>
              <w:spacing w:line="260" w:lineRule="exact"/>
              <w:ind w:left="0" w:firstLine="0"/>
              <w:rPr>
                <w:szCs w:val="22"/>
                <w:u w:val="single"/>
              </w:rPr>
            </w:pPr>
            <w:r w:rsidRPr="002C1513">
              <w:rPr>
                <w:b/>
                <w:bCs/>
                <w:szCs w:val="22"/>
              </w:rPr>
              <w:t>Veľmi zriedkavé</w:t>
            </w:r>
          </w:p>
        </w:tc>
      </w:tr>
      <w:tr w:rsidR="00B7408C" w:rsidRPr="002C1513" w:rsidTr="00D83A31">
        <w:tc>
          <w:tcPr>
            <w:tcW w:w="9286" w:type="dxa"/>
            <w:gridSpan w:val="5"/>
            <w:shd w:val="clear" w:color="auto" w:fill="auto"/>
          </w:tcPr>
          <w:p w:rsidR="00B7408C" w:rsidRPr="002C1513" w:rsidRDefault="00B7408C" w:rsidP="00D83A31">
            <w:pPr>
              <w:tabs>
                <w:tab w:val="left" w:pos="567"/>
              </w:tabs>
              <w:spacing w:line="260" w:lineRule="exact"/>
              <w:ind w:left="0" w:firstLine="0"/>
              <w:rPr>
                <w:szCs w:val="22"/>
                <w:u w:val="single"/>
              </w:rPr>
            </w:pPr>
            <w:r w:rsidRPr="002C1513">
              <w:rPr>
                <w:i/>
                <w:iCs/>
                <w:szCs w:val="22"/>
              </w:rPr>
              <w:t>Infekcie a nákazy</w:t>
            </w:r>
          </w:p>
        </w:tc>
      </w:tr>
      <w:tr w:rsidR="00B7408C" w:rsidRPr="002C1513" w:rsidTr="00F53BEA">
        <w:tc>
          <w:tcPr>
            <w:tcW w:w="2026" w:type="dxa"/>
            <w:shd w:val="clear" w:color="auto" w:fill="auto"/>
          </w:tcPr>
          <w:p w:rsidR="00B7408C" w:rsidRPr="002C1513" w:rsidRDefault="00B7408C" w:rsidP="00D83A31">
            <w:pPr>
              <w:tabs>
                <w:tab w:val="left" w:pos="567"/>
              </w:tabs>
              <w:spacing w:line="260" w:lineRule="exact"/>
              <w:ind w:left="0" w:firstLine="0"/>
              <w:rPr>
                <w:szCs w:val="22"/>
                <w:u w:val="single"/>
              </w:rPr>
            </w:pPr>
          </w:p>
        </w:tc>
        <w:tc>
          <w:tcPr>
            <w:tcW w:w="1769" w:type="dxa"/>
            <w:shd w:val="clear" w:color="auto" w:fill="auto"/>
          </w:tcPr>
          <w:p w:rsidR="00B7408C" w:rsidRPr="002C1513" w:rsidRDefault="00B7408C" w:rsidP="00D83A31">
            <w:pPr>
              <w:tabs>
                <w:tab w:val="left" w:pos="567"/>
              </w:tabs>
              <w:spacing w:line="260" w:lineRule="exact"/>
              <w:ind w:left="0" w:firstLine="0"/>
              <w:rPr>
                <w:szCs w:val="22"/>
                <w:u w:val="single"/>
              </w:rPr>
            </w:pPr>
          </w:p>
        </w:tc>
        <w:tc>
          <w:tcPr>
            <w:tcW w:w="1903" w:type="dxa"/>
            <w:shd w:val="clear" w:color="auto" w:fill="auto"/>
          </w:tcPr>
          <w:p w:rsidR="00B7408C" w:rsidRPr="002C1513" w:rsidRDefault="00B7408C" w:rsidP="00D83A31">
            <w:pPr>
              <w:tabs>
                <w:tab w:val="left" w:pos="567"/>
              </w:tabs>
              <w:spacing w:line="260" w:lineRule="exact"/>
              <w:ind w:left="0" w:firstLine="0"/>
              <w:rPr>
                <w:szCs w:val="22"/>
                <w:u w:val="single"/>
              </w:rPr>
            </w:pPr>
            <w:r w:rsidRPr="002C1513">
              <w:rPr>
                <w:szCs w:val="22"/>
              </w:rPr>
              <w:t>Laryngitída</w:t>
            </w:r>
          </w:p>
        </w:tc>
        <w:tc>
          <w:tcPr>
            <w:tcW w:w="1841" w:type="dxa"/>
            <w:shd w:val="clear" w:color="auto" w:fill="auto"/>
          </w:tcPr>
          <w:p w:rsidR="00B7408C" w:rsidRPr="002C1513" w:rsidRDefault="00B7408C" w:rsidP="00D83A31">
            <w:pPr>
              <w:tabs>
                <w:tab w:val="left" w:pos="567"/>
              </w:tabs>
              <w:spacing w:line="260" w:lineRule="exact"/>
              <w:ind w:left="0" w:firstLine="0"/>
              <w:rPr>
                <w:szCs w:val="22"/>
                <w:u w:val="single"/>
              </w:rPr>
            </w:pPr>
          </w:p>
        </w:tc>
        <w:tc>
          <w:tcPr>
            <w:tcW w:w="1747" w:type="dxa"/>
            <w:shd w:val="clear" w:color="auto" w:fill="auto"/>
          </w:tcPr>
          <w:p w:rsidR="00B7408C" w:rsidRPr="002C1513" w:rsidRDefault="00B7408C" w:rsidP="00D83A31">
            <w:pPr>
              <w:tabs>
                <w:tab w:val="left" w:pos="567"/>
              </w:tabs>
              <w:spacing w:line="260" w:lineRule="exact"/>
              <w:ind w:left="0" w:firstLine="0"/>
              <w:rPr>
                <w:szCs w:val="22"/>
                <w:u w:val="single"/>
              </w:rPr>
            </w:pPr>
          </w:p>
        </w:tc>
      </w:tr>
      <w:tr w:rsidR="00B7408C" w:rsidRPr="002C1513" w:rsidTr="00D83A31">
        <w:tc>
          <w:tcPr>
            <w:tcW w:w="9286" w:type="dxa"/>
            <w:gridSpan w:val="5"/>
            <w:shd w:val="clear" w:color="auto" w:fill="auto"/>
          </w:tcPr>
          <w:p w:rsidR="00B7408C" w:rsidRPr="002C1513" w:rsidRDefault="00B7408C" w:rsidP="00D83A31">
            <w:pPr>
              <w:tabs>
                <w:tab w:val="left" w:pos="567"/>
              </w:tabs>
              <w:spacing w:line="260" w:lineRule="exact"/>
              <w:ind w:left="0" w:firstLine="0"/>
              <w:rPr>
                <w:szCs w:val="22"/>
                <w:u w:val="single"/>
              </w:rPr>
            </w:pPr>
            <w:r w:rsidRPr="002C1513">
              <w:rPr>
                <w:i/>
                <w:iCs/>
                <w:szCs w:val="22"/>
              </w:rPr>
              <w:t>Poruchy imunitného systému</w:t>
            </w:r>
          </w:p>
        </w:tc>
      </w:tr>
      <w:tr w:rsidR="00B7408C" w:rsidRPr="002C1513" w:rsidTr="00F53BEA">
        <w:tc>
          <w:tcPr>
            <w:tcW w:w="2026" w:type="dxa"/>
            <w:shd w:val="clear" w:color="auto" w:fill="auto"/>
          </w:tcPr>
          <w:p w:rsidR="00B7408C" w:rsidRPr="002C1513" w:rsidRDefault="00B7408C" w:rsidP="00D83A31">
            <w:pPr>
              <w:tabs>
                <w:tab w:val="left" w:pos="567"/>
              </w:tabs>
              <w:spacing w:line="260" w:lineRule="exact"/>
              <w:ind w:left="0" w:firstLine="0"/>
              <w:rPr>
                <w:szCs w:val="22"/>
                <w:u w:val="single"/>
              </w:rPr>
            </w:pPr>
          </w:p>
        </w:tc>
        <w:tc>
          <w:tcPr>
            <w:tcW w:w="1769" w:type="dxa"/>
            <w:shd w:val="clear" w:color="auto" w:fill="auto"/>
          </w:tcPr>
          <w:p w:rsidR="00B7408C" w:rsidRPr="002C1513" w:rsidRDefault="00B7408C" w:rsidP="00D83A31">
            <w:pPr>
              <w:tabs>
                <w:tab w:val="left" w:pos="567"/>
              </w:tabs>
              <w:spacing w:line="260" w:lineRule="exact"/>
              <w:ind w:left="0" w:firstLine="0"/>
              <w:rPr>
                <w:szCs w:val="22"/>
                <w:u w:val="single"/>
              </w:rPr>
            </w:pPr>
          </w:p>
        </w:tc>
        <w:tc>
          <w:tcPr>
            <w:tcW w:w="1903" w:type="dxa"/>
            <w:shd w:val="clear" w:color="auto" w:fill="auto"/>
          </w:tcPr>
          <w:p w:rsidR="00B7408C" w:rsidRPr="002C1513" w:rsidRDefault="00B7408C" w:rsidP="00D83A31">
            <w:pPr>
              <w:tabs>
                <w:tab w:val="left" w:pos="567"/>
              </w:tabs>
              <w:spacing w:line="260" w:lineRule="exact"/>
              <w:ind w:left="0" w:firstLine="0"/>
              <w:rPr>
                <w:szCs w:val="22"/>
                <w:u w:val="single"/>
              </w:rPr>
            </w:pPr>
          </w:p>
        </w:tc>
        <w:tc>
          <w:tcPr>
            <w:tcW w:w="1841" w:type="dxa"/>
            <w:shd w:val="clear" w:color="auto" w:fill="auto"/>
          </w:tcPr>
          <w:p w:rsidR="00B7408C" w:rsidRPr="002C1513" w:rsidRDefault="00B7408C" w:rsidP="00D83A31">
            <w:pPr>
              <w:tabs>
                <w:tab w:val="left" w:pos="567"/>
              </w:tabs>
              <w:spacing w:line="260" w:lineRule="exact"/>
              <w:ind w:left="0" w:firstLine="0"/>
              <w:rPr>
                <w:szCs w:val="22"/>
                <w:u w:val="single"/>
              </w:rPr>
            </w:pPr>
            <w:r w:rsidRPr="002C1513">
              <w:rPr>
                <w:szCs w:val="22"/>
              </w:rPr>
              <w:t>Anafylaktická reakcia Hypersenzitivita</w:t>
            </w:r>
          </w:p>
        </w:tc>
        <w:tc>
          <w:tcPr>
            <w:tcW w:w="1747" w:type="dxa"/>
            <w:shd w:val="clear" w:color="auto" w:fill="auto"/>
          </w:tcPr>
          <w:p w:rsidR="00B7408C" w:rsidRPr="002C1513" w:rsidRDefault="00B7408C" w:rsidP="00D83A31">
            <w:pPr>
              <w:tabs>
                <w:tab w:val="left" w:pos="567"/>
              </w:tabs>
              <w:spacing w:line="260" w:lineRule="exact"/>
              <w:ind w:left="0" w:firstLine="0"/>
              <w:rPr>
                <w:szCs w:val="22"/>
                <w:u w:val="single"/>
              </w:rPr>
            </w:pPr>
          </w:p>
        </w:tc>
      </w:tr>
      <w:tr w:rsidR="00B7408C" w:rsidRPr="002C1513" w:rsidTr="00D83A31">
        <w:tc>
          <w:tcPr>
            <w:tcW w:w="9286" w:type="dxa"/>
            <w:gridSpan w:val="5"/>
            <w:shd w:val="clear" w:color="auto" w:fill="auto"/>
          </w:tcPr>
          <w:p w:rsidR="00B7408C" w:rsidRPr="002C1513" w:rsidRDefault="00B7408C" w:rsidP="00D83A31">
            <w:pPr>
              <w:tabs>
                <w:tab w:val="left" w:pos="567"/>
              </w:tabs>
              <w:spacing w:line="260" w:lineRule="exact"/>
              <w:ind w:left="0" w:firstLine="0"/>
              <w:rPr>
                <w:szCs w:val="22"/>
                <w:u w:val="single"/>
              </w:rPr>
            </w:pPr>
            <w:r w:rsidRPr="002C1513">
              <w:rPr>
                <w:i/>
                <w:iCs/>
                <w:szCs w:val="22"/>
              </w:rPr>
              <w:t>Poruchy endokrinného systému</w:t>
            </w:r>
          </w:p>
        </w:tc>
      </w:tr>
      <w:tr w:rsidR="00B7408C" w:rsidRPr="002C1513" w:rsidTr="00F53BEA">
        <w:tc>
          <w:tcPr>
            <w:tcW w:w="2026" w:type="dxa"/>
            <w:shd w:val="clear" w:color="auto" w:fill="auto"/>
          </w:tcPr>
          <w:p w:rsidR="00B7408C" w:rsidRPr="002C1513" w:rsidRDefault="00B7408C" w:rsidP="00D83A31">
            <w:pPr>
              <w:tabs>
                <w:tab w:val="left" w:pos="567"/>
              </w:tabs>
              <w:spacing w:line="260" w:lineRule="exact"/>
              <w:ind w:left="0" w:firstLine="0"/>
              <w:rPr>
                <w:szCs w:val="22"/>
                <w:u w:val="single"/>
              </w:rPr>
            </w:pPr>
          </w:p>
        </w:tc>
        <w:tc>
          <w:tcPr>
            <w:tcW w:w="1769" w:type="dxa"/>
            <w:shd w:val="clear" w:color="auto" w:fill="auto"/>
          </w:tcPr>
          <w:p w:rsidR="00B7408C" w:rsidRPr="002C1513" w:rsidRDefault="00B7408C" w:rsidP="00D83A31">
            <w:pPr>
              <w:tabs>
                <w:tab w:val="left" w:pos="567"/>
              </w:tabs>
              <w:spacing w:line="260" w:lineRule="exact"/>
              <w:ind w:left="0" w:firstLine="0"/>
              <w:rPr>
                <w:szCs w:val="22"/>
                <w:u w:val="single"/>
              </w:rPr>
            </w:pPr>
          </w:p>
        </w:tc>
        <w:tc>
          <w:tcPr>
            <w:tcW w:w="1903" w:type="dxa"/>
            <w:shd w:val="clear" w:color="auto" w:fill="auto"/>
          </w:tcPr>
          <w:p w:rsidR="00B7408C" w:rsidRPr="002C1513" w:rsidRDefault="00B7408C" w:rsidP="00D83A31">
            <w:pPr>
              <w:tabs>
                <w:tab w:val="left" w:pos="567"/>
              </w:tabs>
              <w:spacing w:line="260" w:lineRule="exact"/>
              <w:ind w:left="0" w:firstLine="0"/>
              <w:rPr>
                <w:szCs w:val="22"/>
                <w:u w:val="single"/>
              </w:rPr>
            </w:pPr>
          </w:p>
        </w:tc>
        <w:tc>
          <w:tcPr>
            <w:tcW w:w="1841" w:type="dxa"/>
            <w:shd w:val="clear" w:color="auto" w:fill="auto"/>
          </w:tcPr>
          <w:p w:rsidR="00B7408C" w:rsidRPr="002C1513" w:rsidRDefault="00B7408C" w:rsidP="00D83A31">
            <w:pPr>
              <w:tabs>
                <w:tab w:val="left" w:pos="567"/>
              </w:tabs>
              <w:spacing w:line="260" w:lineRule="exact"/>
              <w:ind w:left="0" w:firstLine="0"/>
              <w:rPr>
                <w:szCs w:val="22"/>
                <w:u w:val="single"/>
              </w:rPr>
            </w:pPr>
            <w:r w:rsidRPr="002C1513">
              <w:rPr>
                <w:szCs w:val="22"/>
              </w:rPr>
              <w:t>Hypotyreóza</w:t>
            </w:r>
          </w:p>
        </w:tc>
        <w:tc>
          <w:tcPr>
            <w:tcW w:w="1747" w:type="dxa"/>
            <w:shd w:val="clear" w:color="auto" w:fill="auto"/>
          </w:tcPr>
          <w:p w:rsidR="00B7408C" w:rsidRPr="002C1513" w:rsidRDefault="00B7408C" w:rsidP="00D83A31">
            <w:pPr>
              <w:tabs>
                <w:tab w:val="left" w:pos="567"/>
              </w:tabs>
              <w:spacing w:line="260" w:lineRule="exact"/>
              <w:ind w:left="0" w:firstLine="0"/>
              <w:rPr>
                <w:szCs w:val="22"/>
                <w:u w:val="single"/>
              </w:rPr>
            </w:pPr>
          </w:p>
        </w:tc>
      </w:tr>
      <w:tr w:rsidR="00B7408C" w:rsidRPr="002C1513" w:rsidTr="00D83A31">
        <w:tc>
          <w:tcPr>
            <w:tcW w:w="9286" w:type="dxa"/>
            <w:gridSpan w:val="5"/>
            <w:shd w:val="clear" w:color="auto" w:fill="auto"/>
          </w:tcPr>
          <w:p w:rsidR="00B7408C" w:rsidRPr="002C1513" w:rsidRDefault="00B7408C" w:rsidP="00D83A31">
            <w:pPr>
              <w:tabs>
                <w:tab w:val="left" w:pos="567"/>
              </w:tabs>
              <w:spacing w:line="260" w:lineRule="exact"/>
              <w:ind w:left="0" w:firstLine="0"/>
              <w:rPr>
                <w:szCs w:val="22"/>
                <w:u w:val="single"/>
              </w:rPr>
            </w:pPr>
            <w:r w:rsidRPr="002C1513">
              <w:rPr>
                <w:i/>
                <w:iCs/>
                <w:szCs w:val="22"/>
              </w:rPr>
              <w:t>Poruchy metabolizmu a výživy</w:t>
            </w:r>
          </w:p>
        </w:tc>
      </w:tr>
      <w:tr w:rsidR="00B7408C" w:rsidRPr="002C1513" w:rsidTr="00F53BEA">
        <w:tc>
          <w:tcPr>
            <w:tcW w:w="2026" w:type="dxa"/>
            <w:shd w:val="clear" w:color="auto" w:fill="auto"/>
          </w:tcPr>
          <w:p w:rsidR="00B7408C" w:rsidRPr="002C1513" w:rsidRDefault="00B7408C" w:rsidP="00D83A31">
            <w:pPr>
              <w:tabs>
                <w:tab w:val="left" w:pos="567"/>
              </w:tabs>
              <w:spacing w:line="260" w:lineRule="exact"/>
              <w:ind w:left="0" w:firstLine="0"/>
              <w:rPr>
                <w:szCs w:val="22"/>
                <w:u w:val="single"/>
              </w:rPr>
            </w:pPr>
          </w:p>
        </w:tc>
        <w:tc>
          <w:tcPr>
            <w:tcW w:w="1769" w:type="dxa"/>
            <w:shd w:val="clear" w:color="auto" w:fill="auto"/>
          </w:tcPr>
          <w:p w:rsidR="00B7408C" w:rsidRPr="002C1513" w:rsidRDefault="00B7408C" w:rsidP="00D83A31">
            <w:pPr>
              <w:tabs>
                <w:tab w:val="left" w:pos="567"/>
              </w:tabs>
              <w:spacing w:line="260" w:lineRule="exact"/>
              <w:ind w:left="0" w:firstLine="0"/>
              <w:rPr>
                <w:szCs w:val="22"/>
                <w:u w:val="single"/>
              </w:rPr>
            </w:pPr>
            <w:r w:rsidRPr="002C1513">
              <w:rPr>
                <w:szCs w:val="22"/>
              </w:rPr>
              <w:t>Znížená chuť do jedla</w:t>
            </w:r>
          </w:p>
        </w:tc>
        <w:tc>
          <w:tcPr>
            <w:tcW w:w="1903" w:type="dxa"/>
            <w:shd w:val="clear" w:color="auto" w:fill="auto"/>
          </w:tcPr>
          <w:p w:rsidR="00B7408C" w:rsidRPr="002C1513" w:rsidRDefault="00B7408C" w:rsidP="00D83A31">
            <w:pPr>
              <w:tabs>
                <w:tab w:val="left" w:pos="567"/>
              </w:tabs>
              <w:spacing w:line="260" w:lineRule="exact"/>
              <w:ind w:left="0" w:firstLine="0"/>
              <w:rPr>
                <w:szCs w:val="22"/>
                <w:u w:val="single"/>
              </w:rPr>
            </w:pPr>
            <w:r w:rsidRPr="002C1513">
              <w:rPr>
                <w:szCs w:val="22"/>
              </w:rPr>
              <w:t>Hyperglykémia (hlásená hlavne u pacientov s diabetom)</w:t>
            </w:r>
          </w:p>
        </w:tc>
        <w:tc>
          <w:tcPr>
            <w:tcW w:w="1841" w:type="dxa"/>
            <w:shd w:val="clear" w:color="auto" w:fill="auto"/>
          </w:tcPr>
          <w:p w:rsidR="00B7408C" w:rsidRPr="002C1513" w:rsidRDefault="00B7408C" w:rsidP="00B7408C">
            <w:pPr>
              <w:pStyle w:val="Default"/>
              <w:rPr>
                <w:sz w:val="22"/>
                <w:szCs w:val="22"/>
              </w:rPr>
            </w:pPr>
            <w:r w:rsidRPr="002C1513">
              <w:rPr>
                <w:sz w:val="22"/>
                <w:szCs w:val="22"/>
              </w:rPr>
              <w:t xml:space="preserve">Dehydratácia </w:t>
            </w:r>
          </w:p>
          <w:p w:rsidR="00B7408C" w:rsidRPr="002C1513" w:rsidRDefault="00B7408C" w:rsidP="00B7408C">
            <w:pPr>
              <w:pStyle w:val="Default"/>
              <w:rPr>
                <w:sz w:val="22"/>
                <w:szCs w:val="22"/>
              </w:rPr>
            </w:pPr>
            <w:r w:rsidRPr="002C1513">
              <w:rPr>
                <w:sz w:val="22"/>
                <w:szCs w:val="22"/>
              </w:rPr>
              <w:t xml:space="preserve">Hyponatriémia </w:t>
            </w:r>
          </w:p>
          <w:p w:rsidR="00B7408C" w:rsidRPr="002C1513" w:rsidRDefault="00B7408C" w:rsidP="00D83A31">
            <w:pPr>
              <w:tabs>
                <w:tab w:val="left" w:pos="567"/>
              </w:tabs>
              <w:spacing w:line="260" w:lineRule="exact"/>
              <w:ind w:left="0" w:firstLine="0"/>
              <w:rPr>
                <w:szCs w:val="22"/>
                <w:u w:val="single"/>
              </w:rPr>
            </w:pPr>
            <w:r w:rsidRPr="002C1513">
              <w:rPr>
                <w:szCs w:val="22"/>
              </w:rPr>
              <w:t>SIADH</w:t>
            </w:r>
            <w:r w:rsidRPr="002C1513">
              <w:rPr>
                <w:szCs w:val="22"/>
                <w:vertAlign w:val="superscript"/>
              </w:rPr>
              <w:t>6</w:t>
            </w:r>
          </w:p>
        </w:tc>
        <w:tc>
          <w:tcPr>
            <w:tcW w:w="1747" w:type="dxa"/>
            <w:shd w:val="clear" w:color="auto" w:fill="auto"/>
          </w:tcPr>
          <w:p w:rsidR="00B7408C" w:rsidRPr="002C1513" w:rsidRDefault="00B7408C" w:rsidP="00D83A31">
            <w:pPr>
              <w:tabs>
                <w:tab w:val="left" w:pos="567"/>
              </w:tabs>
              <w:spacing w:line="260" w:lineRule="exact"/>
              <w:ind w:left="0" w:firstLine="0"/>
              <w:rPr>
                <w:szCs w:val="22"/>
                <w:u w:val="single"/>
              </w:rPr>
            </w:pPr>
          </w:p>
        </w:tc>
      </w:tr>
      <w:tr w:rsidR="00B7408C" w:rsidRPr="002C1513" w:rsidTr="00D83A31">
        <w:tc>
          <w:tcPr>
            <w:tcW w:w="9286" w:type="dxa"/>
            <w:gridSpan w:val="5"/>
            <w:shd w:val="clear" w:color="auto" w:fill="auto"/>
          </w:tcPr>
          <w:p w:rsidR="00B7408C" w:rsidRPr="002C1513" w:rsidRDefault="00B7408C" w:rsidP="00D83A31">
            <w:pPr>
              <w:tabs>
                <w:tab w:val="left" w:pos="567"/>
              </w:tabs>
              <w:spacing w:line="260" w:lineRule="exact"/>
              <w:ind w:left="0" w:firstLine="0"/>
              <w:rPr>
                <w:szCs w:val="22"/>
                <w:u w:val="single"/>
              </w:rPr>
            </w:pPr>
            <w:r w:rsidRPr="002C1513">
              <w:rPr>
                <w:i/>
                <w:iCs/>
                <w:szCs w:val="22"/>
              </w:rPr>
              <w:t>Psychické poruchy</w:t>
            </w:r>
          </w:p>
        </w:tc>
      </w:tr>
      <w:tr w:rsidR="00B7408C" w:rsidRPr="002C1513" w:rsidTr="00F53BEA">
        <w:tc>
          <w:tcPr>
            <w:tcW w:w="2026" w:type="dxa"/>
            <w:shd w:val="clear" w:color="auto" w:fill="auto"/>
          </w:tcPr>
          <w:p w:rsidR="00B7408C" w:rsidRPr="002C1513" w:rsidRDefault="00B7408C" w:rsidP="00D83A31">
            <w:pPr>
              <w:tabs>
                <w:tab w:val="left" w:pos="567"/>
              </w:tabs>
              <w:spacing w:line="260" w:lineRule="exact"/>
              <w:ind w:left="0" w:firstLine="0"/>
              <w:rPr>
                <w:szCs w:val="22"/>
                <w:u w:val="single"/>
              </w:rPr>
            </w:pPr>
          </w:p>
        </w:tc>
        <w:tc>
          <w:tcPr>
            <w:tcW w:w="1769" w:type="dxa"/>
            <w:shd w:val="clear" w:color="auto" w:fill="auto"/>
          </w:tcPr>
          <w:p w:rsidR="00B7408C" w:rsidRPr="002C1513" w:rsidRDefault="00B7408C" w:rsidP="00B7408C">
            <w:pPr>
              <w:pStyle w:val="Default"/>
              <w:rPr>
                <w:sz w:val="22"/>
                <w:szCs w:val="22"/>
              </w:rPr>
            </w:pPr>
            <w:r w:rsidRPr="002C1513">
              <w:rPr>
                <w:sz w:val="22"/>
                <w:szCs w:val="22"/>
              </w:rPr>
              <w:t xml:space="preserve">Nespavosť </w:t>
            </w:r>
          </w:p>
          <w:p w:rsidR="00B7408C" w:rsidRPr="002C1513" w:rsidRDefault="00B7408C" w:rsidP="00B7408C">
            <w:pPr>
              <w:pStyle w:val="Default"/>
              <w:rPr>
                <w:sz w:val="22"/>
                <w:szCs w:val="22"/>
              </w:rPr>
            </w:pPr>
            <w:r w:rsidRPr="002C1513">
              <w:rPr>
                <w:sz w:val="22"/>
                <w:szCs w:val="22"/>
              </w:rPr>
              <w:t xml:space="preserve">Agitácia </w:t>
            </w:r>
          </w:p>
          <w:p w:rsidR="00B7408C" w:rsidRPr="002C1513" w:rsidRDefault="00B7408C" w:rsidP="00B7408C">
            <w:pPr>
              <w:pStyle w:val="Default"/>
              <w:rPr>
                <w:sz w:val="22"/>
                <w:szCs w:val="22"/>
              </w:rPr>
            </w:pPr>
            <w:r w:rsidRPr="002C1513">
              <w:rPr>
                <w:sz w:val="22"/>
                <w:szCs w:val="22"/>
              </w:rPr>
              <w:t xml:space="preserve">Pokles libida </w:t>
            </w:r>
          </w:p>
          <w:p w:rsidR="000471C4" w:rsidRPr="002C1513" w:rsidRDefault="00B7408C" w:rsidP="00B7408C">
            <w:pPr>
              <w:pStyle w:val="Default"/>
              <w:rPr>
                <w:sz w:val="22"/>
                <w:szCs w:val="22"/>
              </w:rPr>
            </w:pPr>
            <w:r w:rsidRPr="002C1513">
              <w:rPr>
                <w:sz w:val="22"/>
                <w:szCs w:val="22"/>
              </w:rPr>
              <w:t xml:space="preserve">Úzkosť </w:t>
            </w:r>
          </w:p>
          <w:p w:rsidR="00B7408C" w:rsidRPr="002C1513" w:rsidRDefault="000471C4" w:rsidP="00B7408C">
            <w:pPr>
              <w:pStyle w:val="Default"/>
              <w:rPr>
                <w:sz w:val="22"/>
                <w:szCs w:val="22"/>
              </w:rPr>
            </w:pPr>
            <w:r w:rsidRPr="002C1513">
              <w:rPr>
                <w:sz w:val="22"/>
                <w:szCs w:val="22"/>
              </w:rPr>
              <w:lastRenderedPageBreak/>
              <w:t>Porucha orgazmu</w:t>
            </w:r>
            <w:r w:rsidR="00B7408C" w:rsidRPr="002C1513">
              <w:rPr>
                <w:sz w:val="22"/>
                <w:szCs w:val="22"/>
              </w:rPr>
              <w:t xml:space="preserve"> </w:t>
            </w:r>
          </w:p>
          <w:p w:rsidR="00B7408C" w:rsidRPr="002C1513" w:rsidRDefault="000471C4" w:rsidP="00D83A31">
            <w:pPr>
              <w:tabs>
                <w:tab w:val="left" w:pos="567"/>
              </w:tabs>
              <w:spacing w:line="260" w:lineRule="exact"/>
              <w:ind w:left="0" w:firstLine="0"/>
              <w:rPr>
                <w:szCs w:val="22"/>
                <w:u w:val="single"/>
              </w:rPr>
            </w:pPr>
            <w:r w:rsidRPr="002C1513">
              <w:rPr>
                <w:szCs w:val="22"/>
              </w:rPr>
              <w:t>Nezvyčajné</w:t>
            </w:r>
            <w:r w:rsidR="00B7408C" w:rsidRPr="002C1513">
              <w:rPr>
                <w:szCs w:val="22"/>
              </w:rPr>
              <w:t xml:space="preserve"> sny</w:t>
            </w:r>
          </w:p>
        </w:tc>
        <w:tc>
          <w:tcPr>
            <w:tcW w:w="1903" w:type="dxa"/>
            <w:shd w:val="clear" w:color="auto" w:fill="auto"/>
          </w:tcPr>
          <w:p w:rsidR="00B7408C" w:rsidRPr="002C1513" w:rsidRDefault="00B7408C" w:rsidP="00B7408C">
            <w:pPr>
              <w:pStyle w:val="Default"/>
              <w:rPr>
                <w:sz w:val="22"/>
                <w:szCs w:val="22"/>
              </w:rPr>
            </w:pPr>
            <w:r w:rsidRPr="002C1513">
              <w:rPr>
                <w:sz w:val="22"/>
                <w:szCs w:val="22"/>
              </w:rPr>
              <w:lastRenderedPageBreak/>
              <w:t xml:space="preserve">Suicidálne </w:t>
            </w:r>
          </w:p>
          <w:p w:rsidR="00B7408C" w:rsidRPr="002C1513" w:rsidRDefault="000471C4" w:rsidP="00B7408C">
            <w:pPr>
              <w:pStyle w:val="Default"/>
              <w:rPr>
                <w:sz w:val="22"/>
                <w:szCs w:val="22"/>
              </w:rPr>
            </w:pPr>
            <w:r w:rsidRPr="002C1513">
              <w:rPr>
                <w:sz w:val="22"/>
                <w:szCs w:val="22"/>
              </w:rPr>
              <w:t>m</w:t>
            </w:r>
            <w:r w:rsidR="00B7408C" w:rsidRPr="002C1513">
              <w:rPr>
                <w:sz w:val="22"/>
                <w:szCs w:val="22"/>
              </w:rPr>
              <w:t>yšlienky</w:t>
            </w:r>
            <w:r w:rsidRPr="002C1513">
              <w:rPr>
                <w:sz w:val="22"/>
                <w:szCs w:val="22"/>
                <w:vertAlign w:val="superscript"/>
              </w:rPr>
              <w:t>5, 7</w:t>
            </w:r>
          </w:p>
          <w:p w:rsidR="00B7408C" w:rsidRPr="002C1513" w:rsidRDefault="00B7408C" w:rsidP="00B7408C">
            <w:pPr>
              <w:pStyle w:val="Default"/>
              <w:rPr>
                <w:sz w:val="22"/>
                <w:szCs w:val="22"/>
              </w:rPr>
            </w:pPr>
            <w:r w:rsidRPr="002C1513">
              <w:rPr>
                <w:sz w:val="22"/>
                <w:szCs w:val="22"/>
              </w:rPr>
              <w:t xml:space="preserve">Porucha spánku </w:t>
            </w:r>
          </w:p>
          <w:p w:rsidR="00B7408C" w:rsidRPr="002C1513" w:rsidRDefault="00B7408C" w:rsidP="00B7408C">
            <w:pPr>
              <w:pStyle w:val="Default"/>
              <w:rPr>
                <w:sz w:val="22"/>
                <w:szCs w:val="22"/>
              </w:rPr>
            </w:pPr>
            <w:r w:rsidRPr="002C1513">
              <w:rPr>
                <w:sz w:val="22"/>
                <w:szCs w:val="22"/>
              </w:rPr>
              <w:t xml:space="preserve">Škrípanie zubami </w:t>
            </w:r>
          </w:p>
          <w:p w:rsidR="00B7408C" w:rsidRPr="002C1513" w:rsidRDefault="00B7408C" w:rsidP="00B7408C">
            <w:pPr>
              <w:pStyle w:val="Default"/>
              <w:rPr>
                <w:sz w:val="22"/>
                <w:szCs w:val="22"/>
              </w:rPr>
            </w:pPr>
            <w:r w:rsidRPr="002C1513">
              <w:rPr>
                <w:sz w:val="22"/>
                <w:szCs w:val="22"/>
              </w:rPr>
              <w:lastRenderedPageBreak/>
              <w:t xml:space="preserve">Dezorientácia </w:t>
            </w:r>
          </w:p>
          <w:p w:rsidR="00B7408C" w:rsidRPr="002C1513" w:rsidRDefault="00B7408C" w:rsidP="00D83A31">
            <w:pPr>
              <w:tabs>
                <w:tab w:val="left" w:pos="567"/>
              </w:tabs>
              <w:spacing w:line="260" w:lineRule="exact"/>
              <w:ind w:left="0" w:firstLine="0"/>
              <w:rPr>
                <w:szCs w:val="22"/>
                <w:u w:val="single"/>
              </w:rPr>
            </w:pPr>
            <w:r w:rsidRPr="002C1513">
              <w:rPr>
                <w:szCs w:val="22"/>
              </w:rPr>
              <w:t>Apatia</w:t>
            </w:r>
          </w:p>
        </w:tc>
        <w:tc>
          <w:tcPr>
            <w:tcW w:w="1841" w:type="dxa"/>
            <w:shd w:val="clear" w:color="auto" w:fill="auto"/>
          </w:tcPr>
          <w:p w:rsidR="000471C4" w:rsidRPr="002C1513" w:rsidRDefault="000471C4" w:rsidP="000471C4">
            <w:pPr>
              <w:pStyle w:val="Default"/>
              <w:rPr>
                <w:sz w:val="22"/>
                <w:szCs w:val="22"/>
              </w:rPr>
            </w:pPr>
            <w:r w:rsidRPr="002C1513">
              <w:rPr>
                <w:sz w:val="22"/>
                <w:szCs w:val="22"/>
              </w:rPr>
              <w:lastRenderedPageBreak/>
              <w:t>Suicidálne správanie</w:t>
            </w:r>
            <w:r w:rsidRPr="002C1513">
              <w:rPr>
                <w:sz w:val="14"/>
                <w:szCs w:val="14"/>
              </w:rPr>
              <w:t xml:space="preserve"> </w:t>
            </w:r>
            <w:r w:rsidRPr="002C1513">
              <w:rPr>
                <w:sz w:val="22"/>
                <w:szCs w:val="22"/>
                <w:vertAlign w:val="superscript"/>
              </w:rPr>
              <w:t>5, 7</w:t>
            </w:r>
          </w:p>
          <w:p w:rsidR="000471C4" w:rsidRPr="002C1513" w:rsidRDefault="000471C4" w:rsidP="000471C4">
            <w:pPr>
              <w:pStyle w:val="Default"/>
              <w:rPr>
                <w:sz w:val="22"/>
                <w:szCs w:val="22"/>
              </w:rPr>
            </w:pPr>
            <w:r w:rsidRPr="002C1513">
              <w:rPr>
                <w:sz w:val="22"/>
                <w:szCs w:val="22"/>
              </w:rPr>
              <w:t xml:space="preserve">Mánia </w:t>
            </w:r>
          </w:p>
          <w:p w:rsidR="000471C4" w:rsidRPr="002C1513" w:rsidRDefault="000471C4" w:rsidP="000471C4">
            <w:pPr>
              <w:pStyle w:val="Default"/>
              <w:rPr>
                <w:sz w:val="22"/>
                <w:szCs w:val="22"/>
              </w:rPr>
            </w:pPr>
            <w:r w:rsidRPr="002C1513">
              <w:rPr>
                <w:sz w:val="22"/>
                <w:szCs w:val="22"/>
              </w:rPr>
              <w:t xml:space="preserve">Halucinácie </w:t>
            </w:r>
          </w:p>
          <w:p w:rsidR="00B7408C" w:rsidRPr="002C1513" w:rsidRDefault="000471C4" w:rsidP="00D83A31">
            <w:pPr>
              <w:tabs>
                <w:tab w:val="left" w:pos="567"/>
              </w:tabs>
              <w:spacing w:line="260" w:lineRule="exact"/>
              <w:ind w:left="0" w:firstLine="0"/>
              <w:rPr>
                <w:szCs w:val="22"/>
                <w:u w:val="single"/>
              </w:rPr>
            </w:pPr>
            <w:r w:rsidRPr="002C1513">
              <w:rPr>
                <w:szCs w:val="22"/>
              </w:rPr>
              <w:lastRenderedPageBreak/>
              <w:t>Agresivita a hnev</w:t>
            </w:r>
            <w:r w:rsidRPr="002C1513">
              <w:rPr>
                <w:szCs w:val="22"/>
                <w:vertAlign w:val="superscript"/>
              </w:rPr>
              <w:t>4</w:t>
            </w:r>
          </w:p>
        </w:tc>
        <w:tc>
          <w:tcPr>
            <w:tcW w:w="1747" w:type="dxa"/>
            <w:shd w:val="clear" w:color="auto" w:fill="auto"/>
          </w:tcPr>
          <w:p w:rsidR="00B7408C" w:rsidRPr="002C1513" w:rsidRDefault="00B7408C" w:rsidP="00D83A31">
            <w:pPr>
              <w:tabs>
                <w:tab w:val="left" w:pos="567"/>
              </w:tabs>
              <w:spacing w:line="260" w:lineRule="exact"/>
              <w:ind w:left="0" w:firstLine="0"/>
              <w:rPr>
                <w:szCs w:val="22"/>
                <w:u w:val="single"/>
              </w:rPr>
            </w:pPr>
          </w:p>
        </w:tc>
      </w:tr>
      <w:tr w:rsidR="000471C4" w:rsidRPr="002C1513" w:rsidTr="00D83A31">
        <w:tc>
          <w:tcPr>
            <w:tcW w:w="9286" w:type="dxa"/>
            <w:gridSpan w:val="5"/>
            <w:shd w:val="clear" w:color="auto" w:fill="auto"/>
          </w:tcPr>
          <w:p w:rsidR="000471C4" w:rsidRPr="002C1513" w:rsidRDefault="000471C4" w:rsidP="00D83A31">
            <w:pPr>
              <w:tabs>
                <w:tab w:val="left" w:pos="567"/>
              </w:tabs>
              <w:spacing w:line="260" w:lineRule="exact"/>
              <w:ind w:left="0" w:firstLine="0"/>
              <w:rPr>
                <w:szCs w:val="22"/>
                <w:u w:val="single"/>
              </w:rPr>
            </w:pPr>
            <w:r w:rsidRPr="002C1513">
              <w:rPr>
                <w:i/>
                <w:iCs/>
                <w:szCs w:val="22"/>
              </w:rPr>
              <w:lastRenderedPageBreak/>
              <w:t>Poruchy nervového systému</w:t>
            </w:r>
          </w:p>
        </w:tc>
      </w:tr>
      <w:tr w:rsidR="00B7408C" w:rsidRPr="002C1513" w:rsidTr="00F53BEA">
        <w:tc>
          <w:tcPr>
            <w:tcW w:w="2026" w:type="dxa"/>
            <w:shd w:val="clear" w:color="auto" w:fill="auto"/>
          </w:tcPr>
          <w:p w:rsidR="000471C4" w:rsidRPr="002C1513" w:rsidRDefault="000471C4" w:rsidP="000471C4">
            <w:pPr>
              <w:pStyle w:val="Default"/>
              <w:rPr>
                <w:sz w:val="22"/>
                <w:szCs w:val="22"/>
              </w:rPr>
            </w:pPr>
            <w:r w:rsidRPr="002C1513">
              <w:rPr>
                <w:sz w:val="22"/>
                <w:szCs w:val="22"/>
              </w:rPr>
              <w:t xml:space="preserve">Bolesť hlavy </w:t>
            </w:r>
          </w:p>
          <w:p w:rsidR="00B7408C" w:rsidRPr="002C1513" w:rsidRDefault="000471C4" w:rsidP="00D83A31">
            <w:pPr>
              <w:tabs>
                <w:tab w:val="left" w:pos="567"/>
              </w:tabs>
              <w:spacing w:line="260" w:lineRule="exact"/>
              <w:ind w:left="0" w:firstLine="0"/>
              <w:rPr>
                <w:szCs w:val="22"/>
                <w:u w:val="single"/>
              </w:rPr>
            </w:pPr>
            <w:r w:rsidRPr="002C1513">
              <w:rPr>
                <w:szCs w:val="22"/>
              </w:rPr>
              <w:t>Spavosť</w:t>
            </w:r>
          </w:p>
        </w:tc>
        <w:tc>
          <w:tcPr>
            <w:tcW w:w="1769" w:type="dxa"/>
            <w:shd w:val="clear" w:color="auto" w:fill="auto"/>
          </w:tcPr>
          <w:p w:rsidR="000471C4" w:rsidRPr="002C1513" w:rsidRDefault="000471C4" w:rsidP="000471C4">
            <w:pPr>
              <w:pStyle w:val="Default"/>
              <w:rPr>
                <w:sz w:val="22"/>
                <w:szCs w:val="22"/>
              </w:rPr>
            </w:pPr>
            <w:r w:rsidRPr="002C1513">
              <w:rPr>
                <w:sz w:val="22"/>
                <w:szCs w:val="22"/>
              </w:rPr>
              <w:t xml:space="preserve">Závrat </w:t>
            </w:r>
          </w:p>
          <w:p w:rsidR="000471C4" w:rsidRPr="002C1513" w:rsidRDefault="000471C4" w:rsidP="000471C4">
            <w:pPr>
              <w:pStyle w:val="Default"/>
              <w:rPr>
                <w:sz w:val="22"/>
                <w:szCs w:val="22"/>
              </w:rPr>
            </w:pPr>
            <w:r w:rsidRPr="002C1513">
              <w:rPr>
                <w:sz w:val="22"/>
                <w:szCs w:val="22"/>
              </w:rPr>
              <w:t xml:space="preserve">Letargia </w:t>
            </w:r>
          </w:p>
          <w:p w:rsidR="000471C4" w:rsidRPr="002C1513" w:rsidRDefault="000471C4" w:rsidP="000471C4">
            <w:pPr>
              <w:pStyle w:val="Default"/>
              <w:rPr>
                <w:sz w:val="22"/>
                <w:szCs w:val="22"/>
              </w:rPr>
            </w:pPr>
            <w:r w:rsidRPr="002C1513">
              <w:rPr>
                <w:sz w:val="22"/>
                <w:szCs w:val="22"/>
              </w:rPr>
              <w:t xml:space="preserve">Tras </w:t>
            </w:r>
          </w:p>
          <w:p w:rsidR="00B7408C" w:rsidRPr="002C1513" w:rsidRDefault="000471C4" w:rsidP="00D83A31">
            <w:pPr>
              <w:tabs>
                <w:tab w:val="left" w:pos="567"/>
              </w:tabs>
              <w:spacing w:line="260" w:lineRule="exact"/>
              <w:ind w:left="0" w:firstLine="0"/>
              <w:rPr>
                <w:szCs w:val="22"/>
                <w:u w:val="single"/>
              </w:rPr>
            </w:pPr>
            <w:r w:rsidRPr="002C1513">
              <w:rPr>
                <w:szCs w:val="22"/>
              </w:rPr>
              <w:t>Parestézia</w:t>
            </w:r>
          </w:p>
        </w:tc>
        <w:tc>
          <w:tcPr>
            <w:tcW w:w="1903" w:type="dxa"/>
            <w:shd w:val="clear" w:color="auto" w:fill="auto"/>
          </w:tcPr>
          <w:p w:rsidR="000471C4" w:rsidRPr="002C1513" w:rsidRDefault="000471C4" w:rsidP="000471C4">
            <w:pPr>
              <w:pStyle w:val="Default"/>
              <w:rPr>
                <w:sz w:val="22"/>
                <w:szCs w:val="22"/>
              </w:rPr>
            </w:pPr>
            <w:r w:rsidRPr="002C1513">
              <w:rPr>
                <w:sz w:val="22"/>
                <w:szCs w:val="22"/>
              </w:rPr>
              <w:t xml:space="preserve">Myoklónia </w:t>
            </w:r>
          </w:p>
          <w:p w:rsidR="000471C4" w:rsidRPr="002C1513" w:rsidRDefault="000471C4" w:rsidP="000471C4">
            <w:pPr>
              <w:pStyle w:val="Default"/>
              <w:rPr>
                <w:sz w:val="14"/>
                <w:szCs w:val="14"/>
              </w:rPr>
            </w:pPr>
            <w:r w:rsidRPr="002C1513">
              <w:rPr>
                <w:sz w:val="22"/>
                <w:szCs w:val="22"/>
              </w:rPr>
              <w:t>Akatízia</w:t>
            </w:r>
            <w:r w:rsidRPr="002C1513">
              <w:rPr>
                <w:sz w:val="22"/>
                <w:szCs w:val="22"/>
                <w:vertAlign w:val="superscript"/>
              </w:rPr>
              <w:t>7</w:t>
            </w:r>
            <w:r w:rsidRPr="002C1513">
              <w:rPr>
                <w:sz w:val="14"/>
                <w:szCs w:val="14"/>
              </w:rPr>
              <w:t xml:space="preserve"> </w:t>
            </w:r>
          </w:p>
          <w:p w:rsidR="000471C4" w:rsidRPr="002C1513" w:rsidRDefault="000471C4" w:rsidP="000471C4">
            <w:pPr>
              <w:pStyle w:val="Default"/>
              <w:rPr>
                <w:sz w:val="22"/>
                <w:szCs w:val="22"/>
              </w:rPr>
            </w:pPr>
            <w:r w:rsidRPr="002C1513">
              <w:rPr>
                <w:sz w:val="22"/>
                <w:szCs w:val="22"/>
              </w:rPr>
              <w:t xml:space="preserve">Nervozita </w:t>
            </w:r>
          </w:p>
          <w:p w:rsidR="000471C4" w:rsidRPr="002C1513" w:rsidRDefault="000471C4" w:rsidP="000471C4">
            <w:pPr>
              <w:pStyle w:val="Default"/>
              <w:rPr>
                <w:sz w:val="22"/>
                <w:szCs w:val="22"/>
              </w:rPr>
            </w:pPr>
            <w:r w:rsidRPr="002C1513">
              <w:rPr>
                <w:sz w:val="22"/>
                <w:szCs w:val="22"/>
              </w:rPr>
              <w:t xml:space="preserve">Porucha pozornosti </w:t>
            </w:r>
          </w:p>
          <w:p w:rsidR="000471C4" w:rsidRPr="002C1513" w:rsidRDefault="000471C4" w:rsidP="000471C4">
            <w:pPr>
              <w:pStyle w:val="Default"/>
              <w:rPr>
                <w:sz w:val="22"/>
                <w:szCs w:val="22"/>
              </w:rPr>
            </w:pPr>
            <w:r w:rsidRPr="002C1513">
              <w:rPr>
                <w:sz w:val="22"/>
                <w:szCs w:val="22"/>
              </w:rPr>
              <w:t xml:space="preserve">Porucha chuti </w:t>
            </w:r>
          </w:p>
          <w:p w:rsidR="000471C4" w:rsidRPr="002C1513" w:rsidRDefault="000471C4" w:rsidP="000471C4">
            <w:pPr>
              <w:pStyle w:val="Default"/>
              <w:rPr>
                <w:sz w:val="22"/>
                <w:szCs w:val="22"/>
              </w:rPr>
            </w:pPr>
            <w:r w:rsidRPr="002C1513">
              <w:rPr>
                <w:sz w:val="22"/>
                <w:szCs w:val="22"/>
              </w:rPr>
              <w:t xml:space="preserve">Dyskinéza </w:t>
            </w:r>
          </w:p>
          <w:p w:rsidR="000471C4" w:rsidRPr="002C1513" w:rsidRDefault="000471C4" w:rsidP="000471C4">
            <w:pPr>
              <w:pStyle w:val="Default"/>
              <w:rPr>
                <w:sz w:val="22"/>
                <w:szCs w:val="22"/>
              </w:rPr>
            </w:pPr>
            <w:r w:rsidRPr="002C1513">
              <w:rPr>
                <w:sz w:val="22"/>
                <w:szCs w:val="22"/>
              </w:rPr>
              <w:t xml:space="preserve">Syndróm nepokojných nôh </w:t>
            </w:r>
          </w:p>
          <w:p w:rsidR="00B7408C" w:rsidRPr="002C1513" w:rsidRDefault="000471C4" w:rsidP="00D83A31">
            <w:pPr>
              <w:tabs>
                <w:tab w:val="left" w:pos="567"/>
              </w:tabs>
              <w:spacing w:line="260" w:lineRule="exact"/>
              <w:ind w:left="0" w:firstLine="0"/>
              <w:rPr>
                <w:szCs w:val="22"/>
                <w:u w:val="single"/>
              </w:rPr>
            </w:pPr>
            <w:r w:rsidRPr="002C1513">
              <w:rPr>
                <w:szCs w:val="22"/>
              </w:rPr>
              <w:t>Znížená kvalita spánku</w:t>
            </w:r>
          </w:p>
        </w:tc>
        <w:tc>
          <w:tcPr>
            <w:tcW w:w="1841" w:type="dxa"/>
            <w:shd w:val="clear" w:color="auto" w:fill="auto"/>
          </w:tcPr>
          <w:p w:rsidR="000471C4" w:rsidRPr="002C1513" w:rsidRDefault="000471C4" w:rsidP="000471C4">
            <w:pPr>
              <w:pStyle w:val="Default"/>
              <w:rPr>
                <w:sz w:val="14"/>
                <w:szCs w:val="14"/>
              </w:rPr>
            </w:pPr>
            <w:r w:rsidRPr="002C1513">
              <w:rPr>
                <w:sz w:val="22"/>
                <w:szCs w:val="22"/>
              </w:rPr>
              <w:t>Sérotonínový syndróm</w:t>
            </w:r>
            <w:r w:rsidR="00F05265" w:rsidRPr="002C1513">
              <w:rPr>
                <w:sz w:val="22"/>
                <w:szCs w:val="22"/>
                <w:vertAlign w:val="superscript"/>
              </w:rPr>
              <w:t>6</w:t>
            </w:r>
          </w:p>
          <w:p w:rsidR="000471C4" w:rsidRPr="002C1513" w:rsidRDefault="000471C4" w:rsidP="000471C4">
            <w:pPr>
              <w:pStyle w:val="Default"/>
              <w:rPr>
                <w:sz w:val="14"/>
                <w:szCs w:val="14"/>
              </w:rPr>
            </w:pPr>
            <w:r w:rsidRPr="002C1513">
              <w:rPr>
                <w:sz w:val="22"/>
                <w:szCs w:val="22"/>
              </w:rPr>
              <w:t>Kŕč</w:t>
            </w:r>
            <w:r w:rsidRPr="002C1513">
              <w:rPr>
                <w:sz w:val="22"/>
                <w:szCs w:val="22"/>
                <w:vertAlign w:val="superscript"/>
              </w:rPr>
              <w:t>1</w:t>
            </w:r>
            <w:r w:rsidRPr="002C1513">
              <w:rPr>
                <w:sz w:val="14"/>
                <w:szCs w:val="14"/>
              </w:rPr>
              <w:t xml:space="preserve"> </w:t>
            </w:r>
          </w:p>
          <w:p w:rsidR="000471C4" w:rsidRPr="002C1513" w:rsidRDefault="000471C4" w:rsidP="000471C4">
            <w:pPr>
              <w:pStyle w:val="Default"/>
              <w:rPr>
                <w:sz w:val="14"/>
                <w:szCs w:val="14"/>
              </w:rPr>
            </w:pPr>
            <w:r w:rsidRPr="002C1513">
              <w:rPr>
                <w:sz w:val="22"/>
                <w:szCs w:val="22"/>
              </w:rPr>
              <w:t>Psychomotorický nepokoj</w:t>
            </w:r>
            <w:r w:rsidRPr="002C1513">
              <w:rPr>
                <w:sz w:val="22"/>
                <w:szCs w:val="22"/>
                <w:vertAlign w:val="superscript"/>
              </w:rPr>
              <w:t xml:space="preserve">6 </w:t>
            </w:r>
          </w:p>
          <w:p w:rsidR="00B7408C" w:rsidRPr="002C1513" w:rsidRDefault="000471C4" w:rsidP="00D83A31">
            <w:pPr>
              <w:tabs>
                <w:tab w:val="left" w:pos="567"/>
              </w:tabs>
              <w:spacing w:line="260" w:lineRule="exact"/>
              <w:ind w:left="0" w:firstLine="0"/>
              <w:rPr>
                <w:szCs w:val="22"/>
                <w:u w:val="single"/>
              </w:rPr>
            </w:pPr>
            <w:r w:rsidRPr="002C1513">
              <w:rPr>
                <w:szCs w:val="22"/>
              </w:rPr>
              <w:t>Extrapyramídové symptómy</w:t>
            </w:r>
            <w:r w:rsidRPr="002C1513">
              <w:rPr>
                <w:szCs w:val="22"/>
                <w:vertAlign w:val="superscript"/>
              </w:rPr>
              <w:t>6</w:t>
            </w:r>
          </w:p>
        </w:tc>
        <w:tc>
          <w:tcPr>
            <w:tcW w:w="1747" w:type="dxa"/>
            <w:shd w:val="clear" w:color="auto" w:fill="auto"/>
          </w:tcPr>
          <w:p w:rsidR="00B7408C" w:rsidRPr="002C1513" w:rsidRDefault="00B7408C" w:rsidP="00D83A31">
            <w:pPr>
              <w:tabs>
                <w:tab w:val="left" w:pos="567"/>
              </w:tabs>
              <w:spacing w:line="260" w:lineRule="exact"/>
              <w:ind w:left="0" w:firstLine="0"/>
              <w:rPr>
                <w:szCs w:val="22"/>
                <w:u w:val="single"/>
              </w:rPr>
            </w:pPr>
          </w:p>
        </w:tc>
      </w:tr>
      <w:tr w:rsidR="000471C4" w:rsidRPr="002C1513" w:rsidTr="00D83A31">
        <w:tc>
          <w:tcPr>
            <w:tcW w:w="9286" w:type="dxa"/>
            <w:gridSpan w:val="5"/>
            <w:shd w:val="clear" w:color="auto" w:fill="auto"/>
          </w:tcPr>
          <w:p w:rsidR="000471C4" w:rsidRPr="002C1513" w:rsidRDefault="000471C4" w:rsidP="00D83A31">
            <w:pPr>
              <w:tabs>
                <w:tab w:val="left" w:pos="567"/>
              </w:tabs>
              <w:spacing w:line="260" w:lineRule="exact"/>
              <w:ind w:left="0" w:firstLine="0"/>
              <w:rPr>
                <w:szCs w:val="22"/>
                <w:u w:val="single"/>
              </w:rPr>
            </w:pPr>
            <w:r w:rsidRPr="002C1513">
              <w:rPr>
                <w:i/>
                <w:iCs/>
                <w:szCs w:val="22"/>
              </w:rPr>
              <w:t>Poruchy oka</w:t>
            </w:r>
          </w:p>
        </w:tc>
      </w:tr>
      <w:tr w:rsidR="00B7408C" w:rsidRPr="002C1513" w:rsidTr="00F53BEA">
        <w:tc>
          <w:tcPr>
            <w:tcW w:w="2026" w:type="dxa"/>
            <w:shd w:val="clear" w:color="auto" w:fill="auto"/>
          </w:tcPr>
          <w:p w:rsidR="00B7408C" w:rsidRPr="002C1513" w:rsidRDefault="00B7408C" w:rsidP="00D83A31">
            <w:pPr>
              <w:tabs>
                <w:tab w:val="left" w:pos="567"/>
              </w:tabs>
              <w:spacing w:line="260" w:lineRule="exact"/>
              <w:ind w:left="0" w:firstLine="0"/>
              <w:rPr>
                <w:szCs w:val="22"/>
                <w:u w:val="single"/>
              </w:rPr>
            </w:pPr>
          </w:p>
        </w:tc>
        <w:tc>
          <w:tcPr>
            <w:tcW w:w="1769" w:type="dxa"/>
            <w:shd w:val="clear" w:color="auto" w:fill="auto"/>
          </w:tcPr>
          <w:p w:rsidR="00B7408C" w:rsidRPr="002C1513" w:rsidRDefault="000471C4" w:rsidP="00D83A31">
            <w:pPr>
              <w:tabs>
                <w:tab w:val="left" w:pos="567"/>
              </w:tabs>
              <w:spacing w:line="260" w:lineRule="exact"/>
              <w:ind w:left="0" w:firstLine="0"/>
              <w:rPr>
                <w:szCs w:val="22"/>
                <w:u w:val="single"/>
              </w:rPr>
            </w:pPr>
            <w:r w:rsidRPr="002C1513">
              <w:rPr>
                <w:szCs w:val="22"/>
              </w:rPr>
              <w:t>Neostré videnie</w:t>
            </w:r>
          </w:p>
        </w:tc>
        <w:tc>
          <w:tcPr>
            <w:tcW w:w="1903" w:type="dxa"/>
            <w:shd w:val="clear" w:color="auto" w:fill="auto"/>
          </w:tcPr>
          <w:p w:rsidR="000471C4" w:rsidRPr="002C1513" w:rsidRDefault="000471C4" w:rsidP="000471C4">
            <w:pPr>
              <w:pStyle w:val="Default"/>
              <w:rPr>
                <w:sz w:val="22"/>
                <w:szCs w:val="22"/>
              </w:rPr>
            </w:pPr>
            <w:r w:rsidRPr="002C1513">
              <w:rPr>
                <w:sz w:val="22"/>
                <w:szCs w:val="22"/>
              </w:rPr>
              <w:t xml:space="preserve">Mydriáza </w:t>
            </w:r>
          </w:p>
          <w:p w:rsidR="00B7408C" w:rsidRPr="002C1513" w:rsidRDefault="000471C4" w:rsidP="00D83A31">
            <w:pPr>
              <w:tabs>
                <w:tab w:val="left" w:pos="567"/>
              </w:tabs>
              <w:spacing w:line="260" w:lineRule="exact"/>
              <w:ind w:left="0" w:firstLine="0"/>
              <w:rPr>
                <w:szCs w:val="22"/>
                <w:u w:val="single"/>
              </w:rPr>
            </w:pPr>
            <w:r w:rsidRPr="002C1513">
              <w:rPr>
                <w:szCs w:val="22"/>
              </w:rPr>
              <w:t>Zhoršenie zraku</w:t>
            </w:r>
          </w:p>
        </w:tc>
        <w:tc>
          <w:tcPr>
            <w:tcW w:w="1841" w:type="dxa"/>
            <w:shd w:val="clear" w:color="auto" w:fill="auto"/>
          </w:tcPr>
          <w:p w:rsidR="00B7408C" w:rsidRPr="002C1513" w:rsidRDefault="000471C4" w:rsidP="00D83A31">
            <w:pPr>
              <w:tabs>
                <w:tab w:val="left" w:pos="567"/>
              </w:tabs>
              <w:spacing w:line="260" w:lineRule="exact"/>
              <w:ind w:left="0" w:firstLine="0"/>
              <w:rPr>
                <w:szCs w:val="22"/>
                <w:u w:val="single"/>
              </w:rPr>
            </w:pPr>
            <w:r w:rsidRPr="002C1513">
              <w:rPr>
                <w:szCs w:val="22"/>
              </w:rPr>
              <w:t>Glaukóm</w:t>
            </w:r>
          </w:p>
        </w:tc>
        <w:tc>
          <w:tcPr>
            <w:tcW w:w="1747" w:type="dxa"/>
            <w:shd w:val="clear" w:color="auto" w:fill="auto"/>
          </w:tcPr>
          <w:p w:rsidR="00B7408C" w:rsidRPr="002C1513" w:rsidRDefault="00B7408C" w:rsidP="00D83A31">
            <w:pPr>
              <w:tabs>
                <w:tab w:val="left" w:pos="567"/>
              </w:tabs>
              <w:spacing w:line="260" w:lineRule="exact"/>
              <w:ind w:left="0" w:firstLine="0"/>
              <w:rPr>
                <w:szCs w:val="22"/>
                <w:u w:val="single"/>
              </w:rPr>
            </w:pPr>
          </w:p>
        </w:tc>
      </w:tr>
      <w:tr w:rsidR="000471C4" w:rsidRPr="002C1513" w:rsidTr="00D83A31">
        <w:tc>
          <w:tcPr>
            <w:tcW w:w="9286" w:type="dxa"/>
            <w:gridSpan w:val="5"/>
            <w:shd w:val="clear" w:color="auto" w:fill="auto"/>
          </w:tcPr>
          <w:p w:rsidR="000471C4" w:rsidRPr="002C1513" w:rsidRDefault="000471C4" w:rsidP="00D83A31">
            <w:pPr>
              <w:tabs>
                <w:tab w:val="left" w:pos="567"/>
              </w:tabs>
              <w:spacing w:line="260" w:lineRule="exact"/>
              <w:ind w:left="0" w:firstLine="0"/>
              <w:rPr>
                <w:szCs w:val="22"/>
                <w:u w:val="single"/>
              </w:rPr>
            </w:pPr>
            <w:r w:rsidRPr="002C1513">
              <w:rPr>
                <w:i/>
                <w:iCs/>
                <w:szCs w:val="22"/>
              </w:rPr>
              <w:t>Poruchy ucha a labyrintu</w:t>
            </w:r>
          </w:p>
        </w:tc>
      </w:tr>
      <w:tr w:rsidR="00B7408C" w:rsidRPr="002C1513" w:rsidTr="00F53BEA">
        <w:tc>
          <w:tcPr>
            <w:tcW w:w="2026" w:type="dxa"/>
            <w:shd w:val="clear" w:color="auto" w:fill="auto"/>
          </w:tcPr>
          <w:p w:rsidR="00B7408C" w:rsidRPr="002C1513" w:rsidRDefault="00B7408C" w:rsidP="00D83A31">
            <w:pPr>
              <w:tabs>
                <w:tab w:val="left" w:pos="567"/>
              </w:tabs>
              <w:spacing w:line="260" w:lineRule="exact"/>
              <w:ind w:left="0" w:firstLine="0"/>
              <w:rPr>
                <w:szCs w:val="22"/>
                <w:u w:val="single"/>
              </w:rPr>
            </w:pPr>
          </w:p>
        </w:tc>
        <w:tc>
          <w:tcPr>
            <w:tcW w:w="1769" w:type="dxa"/>
            <w:shd w:val="clear" w:color="auto" w:fill="auto"/>
          </w:tcPr>
          <w:p w:rsidR="00B7408C" w:rsidRPr="002C1513" w:rsidRDefault="000471C4" w:rsidP="00D83A31">
            <w:pPr>
              <w:tabs>
                <w:tab w:val="left" w:pos="567"/>
              </w:tabs>
              <w:spacing w:line="260" w:lineRule="exact"/>
              <w:ind w:left="0" w:firstLine="0"/>
              <w:rPr>
                <w:szCs w:val="22"/>
                <w:u w:val="single"/>
              </w:rPr>
            </w:pPr>
            <w:r w:rsidRPr="002C1513">
              <w:rPr>
                <w:szCs w:val="22"/>
              </w:rPr>
              <w:t>Tin</w:t>
            </w:r>
            <w:r w:rsidR="00F05265" w:rsidRPr="002C1513">
              <w:rPr>
                <w:szCs w:val="22"/>
              </w:rPr>
              <w:t>n</w:t>
            </w:r>
            <w:r w:rsidRPr="002C1513">
              <w:rPr>
                <w:szCs w:val="22"/>
              </w:rPr>
              <w:t>itus</w:t>
            </w:r>
            <w:r w:rsidRPr="002C1513">
              <w:rPr>
                <w:szCs w:val="22"/>
                <w:vertAlign w:val="superscript"/>
              </w:rPr>
              <w:t>1</w:t>
            </w:r>
          </w:p>
        </w:tc>
        <w:tc>
          <w:tcPr>
            <w:tcW w:w="1903" w:type="dxa"/>
            <w:shd w:val="clear" w:color="auto" w:fill="auto"/>
          </w:tcPr>
          <w:p w:rsidR="000471C4" w:rsidRPr="002C1513" w:rsidRDefault="000471C4" w:rsidP="000471C4">
            <w:pPr>
              <w:pStyle w:val="Default"/>
              <w:rPr>
                <w:sz w:val="22"/>
                <w:szCs w:val="22"/>
              </w:rPr>
            </w:pPr>
            <w:r w:rsidRPr="002C1513">
              <w:rPr>
                <w:sz w:val="22"/>
                <w:szCs w:val="22"/>
              </w:rPr>
              <w:t xml:space="preserve">Vertigo </w:t>
            </w:r>
          </w:p>
          <w:p w:rsidR="00B7408C" w:rsidRPr="002C1513" w:rsidRDefault="000471C4" w:rsidP="00D83A31">
            <w:pPr>
              <w:tabs>
                <w:tab w:val="left" w:pos="567"/>
              </w:tabs>
              <w:spacing w:line="260" w:lineRule="exact"/>
              <w:ind w:left="0" w:firstLine="0"/>
              <w:rPr>
                <w:szCs w:val="22"/>
                <w:u w:val="single"/>
              </w:rPr>
            </w:pPr>
            <w:r w:rsidRPr="002C1513">
              <w:rPr>
                <w:szCs w:val="22"/>
              </w:rPr>
              <w:t>Bolesť ucha</w:t>
            </w:r>
          </w:p>
        </w:tc>
        <w:tc>
          <w:tcPr>
            <w:tcW w:w="1841" w:type="dxa"/>
            <w:shd w:val="clear" w:color="auto" w:fill="auto"/>
          </w:tcPr>
          <w:p w:rsidR="00B7408C" w:rsidRPr="002C1513" w:rsidRDefault="00B7408C" w:rsidP="00D83A31">
            <w:pPr>
              <w:tabs>
                <w:tab w:val="left" w:pos="567"/>
              </w:tabs>
              <w:spacing w:line="260" w:lineRule="exact"/>
              <w:ind w:left="0" w:firstLine="0"/>
              <w:rPr>
                <w:szCs w:val="22"/>
                <w:u w:val="single"/>
              </w:rPr>
            </w:pPr>
          </w:p>
        </w:tc>
        <w:tc>
          <w:tcPr>
            <w:tcW w:w="1747" w:type="dxa"/>
            <w:shd w:val="clear" w:color="auto" w:fill="auto"/>
          </w:tcPr>
          <w:p w:rsidR="00B7408C" w:rsidRPr="002C1513" w:rsidRDefault="00B7408C" w:rsidP="00D83A31">
            <w:pPr>
              <w:tabs>
                <w:tab w:val="left" w:pos="567"/>
              </w:tabs>
              <w:spacing w:line="260" w:lineRule="exact"/>
              <w:ind w:left="0" w:firstLine="0"/>
              <w:rPr>
                <w:szCs w:val="22"/>
                <w:u w:val="single"/>
              </w:rPr>
            </w:pPr>
          </w:p>
        </w:tc>
      </w:tr>
      <w:tr w:rsidR="00F53BEA" w:rsidRPr="002C1513" w:rsidTr="00FA7149">
        <w:tc>
          <w:tcPr>
            <w:tcW w:w="9286" w:type="dxa"/>
            <w:gridSpan w:val="5"/>
            <w:shd w:val="clear" w:color="auto" w:fill="auto"/>
          </w:tcPr>
          <w:p w:rsidR="00F53BEA" w:rsidRPr="002C1513" w:rsidRDefault="00F53BEA" w:rsidP="00D83A31">
            <w:pPr>
              <w:tabs>
                <w:tab w:val="left" w:pos="567"/>
              </w:tabs>
              <w:spacing w:line="260" w:lineRule="exact"/>
              <w:ind w:left="0" w:firstLine="0"/>
              <w:rPr>
                <w:szCs w:val="22"/>
                <w:u w:val="single"/>
              </w:rPr>
            </w:pPr>
            <w:r w:rsidRPr="002C1513">
              <w:rPr>
                <w:i/>
                <w:iCs/>
                <w:szCs w:val="22"/>
              </w:rPr>
              <w:t>Poruchy srdca a srdcovej činnosti</w:t>
            </w:r>
          </w:p>
        </w:tc>
      </w:tr>
      <w:tr w:rsidR="00B7408C" w:rsidRPr="002C1513" w:rsidTr="00F53BEA">
        <w:tc>
          <w:tcPr>
            <w:tcW w:w="2026" w:type="dxa"/>
            <w:shd w:val="clear" w:color="auto" w:fill="auto"/>
          </w:tcPr>
          <w:p w:rsidR="00B7408C" w:rsidRPr="002C1513" w:rsidRDefault="00B7408C" w:rsidP="00D83A31">
            <w:pPr>
              <w:tabs>
                <w:tab w:val="left" w:pos="567"/>
              </w:tabs>
              <w:spacing w:line="260" w:lineRule="exact"/>
              <w:ind w:left="0" w:firstLine="0"/>
              <w:rPr>
                <w:szCs w:val="22"/>
                <w:u w:val="single"/>
              </w:rPr>
            </w:pPr>
          </w:p>
        </w:tc>
        <w:tc>
          <w:tcPr>
            <w:tcW w:w="1769" w:type="dxa"/>
            <w:shd w:val="clear" w:color="auto" w:fill="auto"/>
          </w:tcPr>
          <w:p w:rsidR="00B7408C" w:rsidRPr="002C1513" w:rsidRDefault="00F53BEA" w:rsidP="00D83A31">
            <w:pPr>
              <w:tabs>
                <w:tab w:val="left" w:pos="567"/>
              </w:tabs>
              <w:spacing w:line="260" w:lineRule="exact"/>
              <w:ind w:left="0" w:firstLine="0"/>
              <w:rPr>
                <w:szCs w:val="22"/>
                <w:u w:val="single"/>
              </w:rPr>
            </w:pPr>
            <w:r w:rsidRPr="002C1513">
              <w:rPr>
                <w:szCs w:val="22"/>
              </w:rPr>
              <w:t>Palpitácie</w:t>
            </w:r>
          </w:p>
        </w:tc>
        <w:tc>
          <w:tcPr>
            <w:tcW w:w="1903" w:type="dxa"/>
            <w:shd w:val="clear" w:color="auto" w:fill="auto"/>
          </w:tcPr>
          <w:p w:rsidR="00F53BEA" w:rsidRPr="002C1513" w:rsidRDefault="00F53BEA" w:rsidP="00F53BEA">
            <w:pPr>
              <w:pStyle w:val="Default"/>
              <w:rPr>
                <w:sz w:val="22"/>
                <w:szCs w:val="22"/>
              </w:rPr>
            </w:pPr>
            <w:r w:rsidRPr="002C1513">
              <w:rPr>
                <w:sz w:val="22"/>
                <w:szCs w:val="22"/>
              </w:rPr>
              <w:t xml:space="preserve">Tachykardia </w:t>
            </w:r>
          </w:p>
          <w:p w:rsidR="00F53BEA" w:rsidRPr="002C1513" w:rsidRDefault="00F53BEA" w:rsidP="00F53BEA">
            <w:pPr>
              <w:pStyle w:val="Default"/>
              <w:rPr>
                <w:sz w:val="22"/>
                <w:szCs w:val="22"/>
              </w:rPr>
            </w:pPr>
            <w:r w:rsidRPr="002C1513">
              <w:rPr>
                <w:sz w:val="22"/>
                <w:szCs w:val="22"/>
              </w:rPr>
              <w:t xml:space="preserve">Supraventrikulárna arytmia, </w:t>
            </w:r>
          </w:p>
          <w:p w:rsidR="00B7408C" w:rsidRPr="002C1513" w:rsidRDefault="00F53BEA" w:rsidP="00F53BEA">
            <w:pPr>
              <w:tabs>
                <w:tab w:val="left" w:pos="567"/>
              </w:tabs>
              <w:spacing w:line="260" w:lineRule="exact"/>
              <w:ind w:left="0" w:firstLine="0"/>
              <w:rPr>
                <w:szCs w:val="22"/>
                <w:u w:val="single"/>
              </w:rPr>
            </w:pPr>
            <w:r w:rsidRPr="002C1513">
              <w:rPr>
                <w:szCs w:val="22"/>
              </w:rPr>
              <w:t>hlavne atriálna fibrilácia</w:t>
            </w:r>
          </w:p>
        </w:tc>
        <w:tc>
          <w:tcPr>
            <w:tcW w:w="1841" w:type="dxa"/>
            <w:shd w:val="clear" w:color="auto" w:fill="auto"/>
          </w:tcPr>
          <w:p w:rsidR="00B7408C" w:rsidRPr="002C1513" w:rsidRDefault="00B7408C" w:rsidP="00D83A31">
            <w:pPr>
              <w:tabs>
                <w:tab w:val="left" w:pos="567"/>
              </w:tabs>
              <w:spacing w:line="260" w:lineRule="exact"/>
              <w:ind w:left="0" w:firstLine="0"/>
              <w:rPr>
                <w:szCs w:val="22"/>
                <w:u w:val="single"/>
              </w:rPr>
            </w:pPr>
          </w:p>
        </w:tc>
        <w:tc>
          <w:tcPr>
            <w:tcW w:w="1747" w:type="dxa"/>
            <w:shd w:val="clear" w:color="auto" w:fill="auto"/>
          </w:tcPr>
          <w:p w:rsidR="00B7408C" w:rsidRPr="002C1513" w:rsidRDefault="00B7408C" w:rsidP="00D83A31">
            <w:pPr>
              <w:tabs>
                <w:tab w:val="left" w:pos="567"/>
              </w:tabs>
              <w:spacing w:line="260" w:lineRule="exact"/>
              <w:ind w:left="0" w:firstLine="0"/>
              <w:rPr>
                <w:szCs w:val="22"/>
                <w:u w:val="single"/>
              </w:rPr>
            </w:pPr>
          </w:p>
        </w:tc>
      </w:tr>
      <w:tr w:rsidR="00F53BEA" w:rsidRPr="002C1513" w:rsidTr="00FA7149">
        <w:tc>
          <w:tcPr>
            <w:tcW w:w="9286" w:type="dxa"/>
            <w:gridSpan w:val="5"/>
            <w:shd w:val="clear" w:color="auto" w:fill="auto"/>
          </w:tcPr>
          <w:p w:rsidR="00F53BEA" w:rsidRPr="002C1513" w:rsidRDefault="00F53BEA" w:rsidP="00D83A31">
            <w:pPr>
              <w:tabs>
                <w:tab w:val="left" w:pos="567"/>
              </w:tabs>
              <w:spacing w:line="260" w:lineRule="exact"/>
              <w:ind w:left="0" w:firstLine="0"/>
              <w:rPr>
                <w:szCs w:val="22"/>
                <w:u w:val="single"/>
              </w:rPr>
            </w:pPr>
            <w:r w:rsidRPr="002C1513">
              <w:rPr>
                <w:i/>
                <w:iCs/>
                <w:szCs w:val="22"/>
              </w:rPr>
              <w:t>Poruchy ciev</w:t>
            </w:r>
          </w:p>
        </w:tc>
      </w:tr>
      <w:tr w:rsidR="00B7408C" w:rsidRPr="002C1513" w:rsidTr="00F53BEA">
        <w:tc>
          <w:tcPr>
            <w:tcW w:w="2026" w:type="dxa"/>
            <w:shd w:val="clear" w:color="auto" w:fill="auto"/>
          </w:tcPr>
          <w:p w:rsidR="00B7408C" w:rsidRPr="002C1513" w:rsidRDefault="00B7408C" w:rsidP="00D83A31">
            <w:pPr>
              <w:tabs>
                <w:tab w:val="left" w:pos="567"/>
              </w:tabs>
              <w:spacing w:line="260" w:lineRule="exact"/>
              <w:ind w:left="0" w:firstLine="0"/>
              <w:rPr>
                <w:szCs w:val="22"/>
                <w:u w:val="single"/>
              </w:rPr>
            </w:pPr>
          </w:p>
        </w:tc>
        <w:tc>
          <w:tcPr>
            <w:tcW w:w="1769" w:type="dxa"/>
            <w:shd w:val="clear" w:color="auto" w:fill="auto"/>
          </w:tcPr>
          <w:p w:rsidR="00F53BEA" w:rsidRPr="002C1513" w:rsidRDefault="00F53BEA" w:rsidP="00F53BEA">
            <w:pPr>
              <w:pStyle w:val="Default"/>
              <w:rPr>
                <w:sz w:val="14"/>
                <w:szCs w:val="14"/>
              </w:rPr>
            </w:pPr>
            <w:r w:rsidRPr="002C1513">
              <w:rPr>
                <w:sz w:val="22"/>
                <w:szCs w:val="22"/>
              </w:rPr>
              <w:t>Zvýšenie krvného tlaku</w:t>
            </w:r>
            <w:r w:rsidRPr="002C1513">
              <w:rPr>
                <w:sz w:val="22"/>
                <w:szCs w:val="22"/>
                <w:vertAlign w:val="superscript"/>
              </w:rPr>
              <w:t>3</w:t>
            </w:r>
            <w:r w:rsidRPr="002C1513">
              <w:rPr>
                <w:sz w:val="14"/>
                <w:szCs w:val="14"/>
              </w:rPr>
              <w:t xml:space="preserve"> </w:t>
            </w:r>
          </w:p>
          <w:p w:rsidR="00B7408C" w:rsidRPr="002C1513" w:rsidRDefault="00F53BEA" w:rsidP="00F53BEA">
            <w:pPr>
              <w:tabs>
                <w:tab w:val="left" w:pos="567"/>
              </w:tabs>
              <w:spacing w:line="260" w:lineRule="exact"/>
              <w:ind w:left="0" w:firstLine="0"/>
              <w:rPr>
                <w:szCs w:val="22"/>
                <w:u w:val="single"/>
              </w:rPr>
            </w:pPr>
            <w:r w:rsidRPr="002C1513">
              <w:rPr>
                <w:szCs w:val="22"/>
              </w:rPr>
              <w:t>Sčervenanie</w:t>
            </w:r>
          </w:p>
        </w:tc>
        <w:tc>
          <w:tcPr>
            <w:tcW w:w="1903" w:type="dxa"/>
            <w:shd w:val="clear" w:color="auto" w:fill="auto"/>
          </w:tcPr>
          <w:p w:rsidR="00F53BEA" w:rsidRPr="002C1513" w:rsidRDefault="00F53BEA" w:rsidP="00F53BEA">
            <w:pPr>
              <w:pStyle w:val="Default"/>
              <w:rPr>
                <w:sz w:val="22"/>
                <w:szCs w:val="22"/>
              </w:rPr>
            </w:pPr>
            <w:r w:rsidRPr="002C1513">
              <w:rPr>
                <w:sz w:val="22"/>
                <w:szCs w:val="22"/>
              </w:rPr>
              <w:t>Synkopa</w:t>
            </w:r>
            <w:r w:rsidRPr="002C1513">
              <w:rPr>
                <w:sz w:val="22"/>
                <w:szCs w:val="22"/>
                <w:vertAlign w:val="superscript"/>
              </w:rPr>
              <w:t>2</w:t>
            </w:r>
            <w:r w:rsidRPr="002C1513">
              <w:rPr>
                <w:sz w:val="22"/>
                <w:szCs w:val="22"/>
              </w:rPr>
              <w:t xml:space="preserve"> </w:t>
            </w:r>
          </w:p>
          <w:p w:rsidR="00F53BEA" w:rsidRPr="002C1513" w:rsidRDefault="00F53BEA" w:rsidP="00F53BEA">
            <w:pPr>
              <w:pStyle w:val="Default"/>
              <w:rPr>
                <w:sz w:val="14"/>
                <w:szCs w:val="14"/>
              </w:rPr>
            </w:pPr>
            <w:r w:rsidRPr="002C1513">
              <w:rPr>
                <w:sz w:val="22"/>
                <w:szCs w:val="22"/>
              </w:rPr>
              <w:t>Hypertenzia</w:t>
            </w:r>
            <w:r w:rsidRPr="002C1513">
              <w:rPr>
                <w:sz w:val="22"/>
                <w:szCs w:val="22"/>
                <w:vertAlign w:val="superscript"/>
              </w:rPr>
              <w:t>3, 7</w:t>
            </w:r>
            <w:r w:rsidRPr="002C1513">
              <w:rPr>
                <w:sz w:val="14"/>
                <w:szCs w:val="14"/>
              </w:rPr>
              <w:t xml:space="preserve"> </w:t>
            </w:r>
          </w:p>
          <w:p w:rsidR="00F53BEA" w:rsidRPr="002C1513" w:rsidRDefault="00F53BEA" w:rsidP="00F53BEA">
            <w:pPr>
              <w:pStyle w:val="Default"/>
              <w:rPr>
                <w:sz w:val="14"/>
                <w:szCs w:val="14"/>
              </w:rPr>
            </w:pPr>
            <w:r w:rsidRPr="002C1513">
              <w:rPr>
                <w:sz w:val="22"/>
                <w:szCs w:val="22"/>
              </w:rPr>
              <w:t>Ortostatická hypotenzia</w:t>
            </w:r>
            <w:r w:rsidRPr="002C1513">
              <w:rPr>
                <w:sz w:val="22"/>
                <w:szCs w:val="22"/>
                <w:vertAlign w:val="superscript"/>
              </w:rPr>
              <w:t xml:space="preserve">2 </w:t>
            </w:r>
          </w:p>
          <w:p w:rsidR="00B7408C" w:rsidRPr="002C1513" w:rsidRDefault="00F53BEA" w:rsidP="00F53BEA">
            <w:pPr>
              <w:tabs>
                <w:tab w:val="left" w:pos="567"/>
              </w:tabs>
              <w:spacing w:line="260" w:lineRule="exact"/>
              <w:ind w:left="0" w:firstLine="0"/>
              <w:rPr>
                <w:szCs w:val="22"/>
                <w:u w:val="single"/>
              </w:rPr>
            </w:pPr>
            <w:r w:rsidRPr="002C1513">
              <w:rPr>
                <w:szCs w:val="22"/>
              </w:rPr>
              <w:t>Chlad periférnej časti končatín</w:t>
            </w:r>
          </w:p>
        </w:tc>
        <w:tc>
          <w:tcPr>
            <w:tcW w:w="1841" w:type="dxa"/>
            <w:shd w:val="clear" w:color="auto" w:fill="auto"/>
          </w:tcPr>
          <w:p w:rsidR="00CF24D5" w:rsidRPr="002C1513" w:rsidRDefault="00F53BEA" w:rsidP="00D83A31">
            <w:pPr>
              <w:tabs>
                <w:tab w:val="left" w:pos="567"/>
              </w:tabs>
              <w:spacing w:line="260" w:lineRule="exact"/>
              <w:ind w:left="0" w:firstLine="0"/>
              <w:rPr>
                <w:szCs w:val="22"/>
              </w:rPr>
            </w:pPr>
            <w:r w:rsidRPr="002C1513">
              <w:rPr>
                <w:szCs w:val="22"/>
              </w:rPr>
              <w:t xml:space="preserve">Hypertenzná </w:t>
            </w:r>
          </w:p>
          <w:p w:rsidR="00B7408C" w:rsidRPr="002C1513" w:rsidRDefault="00F53BEA" w:rsidP="00D83A31">
            <w:pPr>
              <w:tabs>
                <w:tab w:val="left" w:pos="567"/>
              </w:tabs>
              <w:spacing w:line="260" w:lineRule="exact"/>
              <w:ind w:left="0" w:firstLine="0"/>
              <w:rPr>
                <w:szCs w:val="22"/>
                <w:u w:val="single"/>
              </w:rPr>
            </w:pPr>
            <w:r w:rsidRPr="002C1513">
              <w:rPr>
                <w:szCs w:val="22"/>
              </w:rPr>
              <w:t>kríza</w:t>
            </w:r>
            <w:r w:rsidRPr="002C1513">
              <w:rPr>
                <w:szCs w:val="22"/>
                <w:vertAlign w:val="superscript"/>
              </w:rPr>
              <w:t>3, 6</w:t>
            </w:r>
          </w:p>
        </w:tc>
        <w:tc>
          <w:tcPr>
            <w:tcW w:w="1747" w:type="dxa"/>
            <w:shd w:val="clear" w:color="auto" w:fill="auto"/>
          </w:tcPr>
          <w:p w:rsidR="00B7408C" w:rsidRPr="002C1513" w:rsidRDefault="00B7408C" w:rsidP="00D83A31">
            <w:pPr>
              <w:tabs>
                <w:tab w:val="left" w:pos="567"/>
              </w:tabs>
              <w:spacing w:line="260" w:lineRule="exact"/>
              <w:ind w:left="0" w:firstLine="0"/>
              <w:rPr>
                <w:szCs w:val="22"/>
                <w:u w:val="single"/>
              </w:rPr>
            </w:pPr>
          </w:p>
        </w:tc>
      </w:tr>
      <w:tr w:rsidR="00F53BEA" w:rsidRPr="002C1513" w:rsidTr="00FA7149">
        <w:tc>
          <w:tcPr>
            <w:tcW w:w="9286" w:type="dxa"/>
            <w:gridSpan w:val="5"/>
            <w:shd w:val="clear" w:color="auto" w:fill="auto"/>
          </w:tcPr>
          <w:p w:rsidR="00F53BEA" w:rsidRPr="002C1513" w:rsidRDefault="00F53BEA" w:rsidP="00D83A31">
            <w:pPr>
              <w:tabs>
                <w:tab w:val="left" w:pos="567"/>
              </w:tabs>
              <w:spacing w:line="260" w:lineRule="exact"/>
              <w:ind w:left="0" w:firstLine="0"/>
              <w:rPr>
                <w:szCs w:val="22"/>
                <w:u w:val="single"/>
              </w:rPr>
            </w:pPr>
            <w:r w:rsidRPr="002C1513">
              <w:rPr>
                <w:i/>
                <w:iCs/>
                <w:szCs w:val="22"/>
              </w:rPr>
              <w:t>Poruchy dýchacej sústavy, hrudníka a mediastína</w:t>
            </w:r>
          </w:p>
        </w:tc>
      </w:tr>
      <w:tr w:rsidR="00B7408C" w:rsidRPr="002C1513" w:rsidTr="00F53BEA">
        <w:tc>
          <w:tcPr>
            <w:tcW w:w="2026" w:type="dxa"/>
            <w:shd w:val="clear" w:color="auto" w:fill="auto"/>
          </w:tcPr>
          <w:p w:rsidR="00B7408C" w:rsidRPr="002C1513" w:rsidRDefault="00B7408C" w:rsidP="00D83A31">
            <w:pPr>
              <w:tabs>
                <w:tab w:val="left" w:pos="567"/>
              </w:tabs>
              <w:spacing w:line="260" w:lineRule="exact"/>
              <w:ind w:left="0" w:firstLine="0"/>
              <w:rPr>
                <w:szCs w:val="22"/>
                <w:u w:val="single"/>
              </w:rPr>
            </w:pPr>
          </w:p>
        </w:tc>
        <w:tc>
          <w:tcPr>
            <w:tcW w:w="1769" w:type="dxa"/>
            <w:shd w:val="clear" w:color="auto" w:fill="auto"/>
          </w:tcPr>
          <w:p w:rsidR="00B7408C" w:rsidRPr="002C1513" w:rsidRDefault="00F53BEA" w:rsidP="00D83A31">
            <w:pPr>
              <w:tabs>
                <w:tab w:val="left" w:pos="567"/>
              </w:tabs>
              <w:spacing w:line="260" w:lineRule="exact"/>
              <w:ind w:left="0" w:firstLine="0"/>
              <w:rPr>
                <w:szCs w:val="22"/>
                <w:u w:val="single"/>
              </w:rPr>
            </w:pPr>
            <w:r w:rsidRPr="002C1513">
              <w:rPr>
                <w:szCs w:val="22"/>
              </w:rPr>
              <w:t>Zívanie</w:t>
            </w:r>
          </w:p>
        </w:tc>
        <w:tc>
          <w:tcPr>
            <w:tcW w:w="1903" w:type="dxa"/>
            <w:shd w:val="clear" w:color="auto" w:fill="auto"/>
          </w:tcPr>
          <w:p w:rsidR="00F53BEA" w:rsidRPr="002C1513" w:rsidRDefault="00F53BEA" w:rsidP="00F53BEA">
            <w:pPr>
              <w:pStyle w:val="Default"/>
              <w:rPr>
                <w:sz w:val="22"/>
                <w:szCs w:val="22"/>
              </w:rPr>
            </w:pPr>
            <w:r w:rsidRPr="002C1513">
              <w:rPr>
                <w:sz w:val="22"/>
                <w:szCs w:val="22"/>
              </w:rPr>
              <w:t xml:space="preserve">Zvieranie hrdla </w:t>
            </w:r>
          </w:p>
          <w:p w:rsidR="00B7408C" w:rsidRPr="002C1513" w:rsidRDefault="00F53BEA" w:rsidP="00F53BEA">
            <w:pPr>
              <w:tabs>
                <w:tab w:val="left" w:pos="567"/>
              </w:tabs>
              <w:spacing w:line="260" w:lineRule="exact"/>
              <w:ind w:left="0" w:firstLine="0"/>
              <w:rPr>
                <w:szCs w:val="22"/>
                <w:u w:val="single"/>
              </w:rPr>
            </w:pPr>
            <w:r w:rsidRPr="002C1513">
              <w:rPr>
                <w:szCs w:val="22"/>
              </w:rPr>
              <w:t>Epistaxa</w:t>
            </w:r>
          </w:p>
        </w:tc>
        <w:tc>
          <w:tcPr>
            <w:tcW w:w="1841" w:type="dxa"/>
            <w:shd w:val="clear" w:color="auto" w:fill="auto"/>
          </w:tcPr>
          <w:p w:rsidR="00B7408C" w:rsidRPr="002C1513" w:rsidRDefault="00B7408C" w:rsidP="00D83A31">
            <w:pPr>
              <w:tabs>
                <w:tab w:val="left" w:pos="567"/>
              </w:tabs>
              <w:spacing w:line="260" w:lineRule="exact"/>
              <w:ind w:left="0" w:firstLine="0"/>
              <w:rPr>
                <w:szCs w:val="22"/>
                <w:u w:val="single"/>
              </w:rPr>
            </w:pPr>
          </w:p>
        </w:tc>
        <w:tc>
          <w:tcPr>
            <w:tcW w:w="1747" w:type="dxa"/>
            <w:shd w:val="clear" w:color="auto" w:fill="auto"/>
          </w:tcPr>
          <w:p w:rsidR="00B7408C" w:rsidRPr="002C1513" w:rsidRDefault="00B7408C" w:rsidP="00D83A31">
            <w:pPr>
              <w:tabs>
                <w:tab w:val="left" w:pos="567"/>
              </w:tabs>
              <w:spacing w:line="260" w:lineRule="exact"/>
              <w:ind w:left="0" w:firstLine="0"/>
              <w:rPr>
                <w:szCs w:val="22"/>
                <w:u w:val="single"/>
              </w:rPr>
            </w:pPr>
          </w:p>
        </w:tc>
      </w:tr>
      <w:tr w:rsidR="00F53BEA" w:rsidRPr="002C1513" w:rsidTr="00FA7149">
        <w:tc>
          <w:tcPr>
            <w:tcW w:w="9286" w:type="dxa"/>
            <w:gridSpan w:val="5"/>
            <w:shd w:val="clear" w:color="auto" w:fill="auto"/>
          </w:tcPr>
          <w:p w:rsidR="00F53BEA" w:rsidRPr="002C1513" w:rsidRDefault="00F53BEA" w:rsidP="00D83A31">
            <w:pPr>
              <w:tabs>
                <w:tab w:val="left" w:pos="567"/>
              </w:tabs>
              <w:spacing w:line="260" w:lineRule="exact"/>
              <w:ind w:left="0" w:firstLine="0"/>
              <w:rPr>
                <w:szCs w:val="22"/>
                <w:u w:val="single"/>
              </w:rPr>
            </w:pPr>
            <w:r w:rsidRPr="002C1513">
              <w:rPr>
                <w:i/>
                <w:iCs/>
                <w:szCs w:val="22"/>
              </w:rPr>
              <w:t>Poruchy gastrointestinálneho traktu</w:t>
            </w:r>
          </w:p>
        </w:tc>
      </w:tr>
      <w:tr w:rsidR="00B7408C" w:rsidRPr="002C1513" w:rsidTr="00F53BEA">
        <w:tc>
          <w:tcPr>
            <w:tcW w:w="2026" w:type="dxa"/>
            <w:shd w:val="clear" w:color="auto" w:fill="auto"/>
          </w:tcPr>
          <w:p w:rsidR="00F53BEA" w:rsidRPr="002C1513" w:rsidRDefault="00F53BEA" w:rsidP="00F53BEA">
            <w:pPr>
              <w:pStyle w:val="Default"/>
              <w:rPr>
                <w:sz w:val="22"/>
                <w:szCs w:val="22"/>
              </w:rPr>
            </w:pPr>
            <w:r w:rsidRPr="002C1513">
              <w:rPr>
                <w:sz w:val="22"/>
                <w:szCs w:val="22"/>
              </w:rPr>
              <w:t xml:space="preserve">Nauzea </w:t>
            </w:r>
          </w:p>
          <w:p w:rsidR="00B7408C" w:rsidRPr="002C1513" w:rsidRDefault="00F53BEA" w:rsidP="00F53BEA">
            <w:pPr>
              <w:tabs>
                <w:tab w:val="left" w:pos="567"/>
              </w:tabs>
              <w:spacing w:line="260" w:lineRule="exact"/>
              <w:ind w:left="0" w:firstLine="0"/>
              <w:rPr>
                <w:szCs w:val="22"/>
                <w:u w:val="single"/>
              </w:rPr>
            </w:pPr>
            <w:r w:rsidRPr="002C1513">
              <w:rPr>
                <w:szCs w:val="22"/>
              </w:rPr>
              <w:t>Sucho v ústach</w:t>
            </w:r>
          </w:p>
        </w:tc>
        <w:tc>
          <w:tcPr>
            <w:tcW w:w="1769" w:type="dxa"/>
            <w:shd w:val="clear" w:color="auto" w:fill="auto"/>
          </w:tcPr>
          <w:p w:rsidR="00F53BEA" w:rsidRPr="002C1513" w:rsidRDefault="00F53BEA" w:rsidP="00F53BEA">
            <w:pPr>
              <w:pStyle w:val="Default"/>
              <w:rPr>
                <w:sz w:val="22"/>
                <w:szCs w:val="22"/>
              </w:rPr>
            </w:pPr>
            <w:r w:rsidRPr="002C1513">
              <w:rPr>
                <w:sz w:val="22"/>
                <w:szCs w:val="22"/>
              </w:rPr>
              <w:t xml:space="preserve">Zápcha </w:t>
            </w:r>
          </w:p>
          <w:p w:rsidR="00F53BEA" w:rsidRPr="002C1513" w:rsidRDefault="00F53BEA" w:rsidP="00F53BEA">
            <w:pPr>
              <w:pStyle w:val="Default"/>
              <w:rPr>
                <w:sz w:val="22"/>
                <w:szCs w:val="22"/>
              </w:rPr>
            </w:pPr>
            <w:r w:rsidRPr="002C1513">
              <w:rPr>
                <w:sz w:val="22"/>
                <w:szCs w:val="22"/>
              </w:rPr>
              <w:t xml:space="preserve">Hnačka </w:t>
            </w:r>
          </w:p>
          <w:p w:rsidR="00F53BEA" w:rsidRPr="002C1513" w:rsidRDefault="00F53BEA" w:rsidP="00F53BEA">
            <w:pPr>
              <w:pStyle w:val="Default"/>
              <w:rPr>
                <w:sz w:val="22"/>
                <w:szCs w:val="22"/>
              </w:rPr>
            </w:pPr>
            <w:r w:rsidRPr="002C1513">
              <w:rPr>
                <w:sz w:val="22"/>
                <w:szCs w:val="22"/>
              </w:rPr>
              <w:t xml:space="preserve">Bolesť brucha </w:t>
            </w:r>
          </w:p>
          <w:p w:rsidR="00F53BEA" w:rsidRPr="002C1513" w:rsidRDefault="00F53BEA" w:rsidP="00F53BEA">
            <w:pPr>
              <w:pStyle w:val="Default"/>
              <w:rPr>
                <w:sz w:val="22"/>
                <w:szCs w:val="22"/>
              </w:rPr>
            </w:pPr>
            <w:r w:rsidRPr="002C1513">
              <w:rPr>
                <w:sz w:val="22"/>
                <w:szCs w:val="22"/>
              </w:rPr>
              <w:t xml:space="preserve">Vracanie </w:t>
            </w:r>
          </w:p>
          <w:p w:rsidR="00F53BEA" w:rsidRPr="002C1513" w:rsidRDefault="00F53BEA" w:rsidP="00F53BEA">
            <w:pPr>
              <w:pStyle w:val="Default"/>
              <w:rPr>
                <w:sz w:val="22"/>
                <w:szCs w:val="22"/>
              </w:rPr>
            </w:pPr>
            <w:r w:rsidRPr="002C1513">
              <w:rPr>
                <w:sz w:val="22"/>
                <w:szCs w:val="22"/>
              </w:rPr>
              <w:t xml:space="preserve">Dyspepsia </w:t>
            </w:r>
          </w:p>
          <w:p w:rsidR="00B7408C" w:rsidRPr="002C1513" w:rsidRDefault="00F53BEA" w:rsidP="00F53BEA">
            <w:pPr>
              <w:tabs>
                <w:tab w:val="left" w:pos="567"/>
              </w:tabs>
              <w:spacing w:line="260" w:lineRule="exact"/>
              <w:ind w:left="0" w:firstLine="0"/>
              <w:rPr>
                <w:szCs w:val="22"/>
                <w:u w:val="single"/>
              </w:rPr>
            </w:pPr>
            <w:r w:rsidRPr="002C1513">
              <w:rPr>
                <w:szCs w:val="22"/>
              </w:rPr>
              <w:t>Plynatosť</w:t>
            </w:r>
          </w:p>
        </w:tc>
        <w:tc>
          <w:tcPr>
            <w:tcW w:w="1903" w:type="dxa"/>
            <w:shd w:val="clear" w:color="auto" w:fill="auto"/>
          </w:tcPr>
          <w:p w:rsidR="00F53BEA" w:rsidRPr="002C1513" w:rsidRDefault="00F53BEA" w:rsidP="00F53BEA">
            <w:pPr>
              <w:pStyle w:val="Default"/>
              <w:rPr>
                <w:sz w:val="22"/>
                <w:szCs w:val="22"/>
              </w:rPr>
            </w:pPr>
            <w:r w:rsidRPr="002C1513">
              <w:rPr>
                <w:sz w:val="22"/>
                <w:szCs w:val="22"/>
              </w:rPr>
              <w:t>Gastrointestinálne krvácanie</w:t>
            </w:r>
            <w:r w:rsidRPr="002C1513">
              <w:rPr>
                <w:sz w:val="22"/>
                <w:szCs w:val="22"/>
                <w:vertAlign w:val="superscript"/>
              </w:rPr>
              <w:t>7</w:t>
            </w:r>
            <w:r w:rsidRPr="002C1513">
              <w:rPr>
                <w:sz w:val="14"/>
                <w:szCs w:val="14"/>
              </w:rPr>
              <w:t xml:space="preserve"> </w:t>
            </w:r>
            <w:r w:rsidRPr="002C1513">
              <w:rPr>
                <w:sz w:val="22"/>
                <w:szCs w:val="22"/>
              </w:rPr>
              <w:t xml:space="preserve">Gastroenteritída </w:t>
            </w:r>
          </w:p>
          <w:p w:rsidR="00F53BEA" w:rsidRPr="002C1513" w:rsidRDefault="00F53BEA" w:rsidP="00F53BEA">
            <w:pPr>
              <w:pStyle w:val="Default"/>
              <w:rPr>
                <w:sz w:val="22"/>
                <w:szCs w:val="22"/>
              </w:rPr>
            </w:pPr>
            <w:r w:rsidRPr="002C1513">
              <w:rPr>
                <w:sz w:val="22"/>
                <w:szCs w:val="22"/>
              </w:rPr>
              <w:t xml:space="preserve">Grganie </w:t>
            </w:r>
          </w:p>
          <w:p w:rsidR="00F53BEA" w:rsidRPr="002C1513" w:rsidRDefault="00F53BEA" w:rsidP="00F53BEA">
            <w:pPr>
              <w:pStyle w:val="Default"/>
              <w:rPr>
                <w:sz w:val="22"/>
                <w:szCs w:val="22"/>
              </w:rPr>
            </w:pPr>
            <w:r w:rsidRPr="002C1513">
              <w:rPr>
                <w:sz w:val="22"/>
                <w:szCs w:val="22"/>
              </w:rPr>
              <w:t xml:space="preserve">Gastritída </w:t>
            </w:r>
          </w:p>
          <w:p w:rsidR="00B7408C" w:rsidRPr="002C1513" w:rsidRDefault="00F53BEA" w:rsidP="00F53BEA">
            <w:pPr>
              <w:tabs>
                <w:tab w:val="left" w:pos="567"/>
              </w:tabs>
              <w:spacing w:line="260" w:lineRule="exact"/>
              <w:ind w:left="0" w:firstLine="0"/>
              <w:rPr>
                <w:szCs w:val="22"/>
                <w:u w:val="single"/>
              </w:rPr>
            </w:pPr>
            <w:r w:rsidRPr="002C1513">
              <w:rPr>
                <w:szCs w:val="22"/>
              </w:rPr>
              <w:t>Dysfágia</w:t>
            </w:r>
          </w:p>
        </w:tc>
        <w:tc>
          <w:tcPr>
            <w:tcW w:w="1841" w:type="dxa"/>
            <w:shd w:val="clear" w:color="auto" w:fill="auto"/>
          </w:tcPr>
          <w:p w:rsidR="00F53BEA" w:rsidRPr="002C1513" w:rsidRDefault="00F53BEA" w:rsidP="00F53BEA">
            <w:pPr>
              <w:pStyle w:val="Default"/>
              <w:rPr>
                <w:sz w:val="22"/>
                <w:szCs w:val="22"/>
              </w:rPr>
            </w:pPr>
            <w:r w:rsidRPr="002C1513">
              <w:rPr>
                <w:sz w:val="22"/>
                <w:szCs w:val="22"/>
              </w:rPr>
              <w:t xml:space="preserve">Stomatitída </w:t>
            </w:r>
          </w:p>
          <w:p w:rsidR="00F53BEA" w:rsidRPr="002C1513" w:rsidRDefault="00F53BEA" w:rsidP="00F53BEA">
            <w:pPr>
              <w:pStyle w:val="Default"/>
              <w:rPr>
                <w:sz w:val="22"/>
                <w:szCs w:val="22"/>
              </w:rPr>
            </w:pPr>
            <w:r w:rsidRPr="002C1513">
              <w:rPr>
                <w:sz w:val="22"/>
                <w:szCs w:val="22"/>
              </w:rPr>
              <w:t xml:space="preserve">Hematochézia </w:t>
            </w:r>
          </w:p>
          <w:p w:rsidR="00F53BEA" w:rsidRPr="002C1513" w:rsidRDefault="00F53BEA" w:rsidP="00F53BEA">
            <w:pPr>
              <w:pStyle w:val="Default"/>
              <w:rPr>
                <w:sz w:val="22"/>
                <w:szCs w:val="22"/>
              </w:rPr>
            </w:pPr>
            <w:r w:rsidRPr="002C1513">
              <w:rPr>
                <w:sz w:val="22"/>
                <w:szCs w:val="22"/>
              </w:rPr>
              <w:t xml:space="preserve">Zápach z úst </w:t>
            </w:r>
          </w:p>
          <w:p w:rsidR="00B7408C" w:rsidRPr="002C1513" w:rsidRDefault="00F53BEA" w:rsidP="00F53BEA">
            <w:pPr>
              <w:tabs>
                <w:tab w:val="left" w:pos="567"/>
              </w:tabs>
              <w:spacing w:line="260" w:lineRule="exact"/>
              <w:ind w:left="0" w:firstLine="0"/>
              <w:rPr>
                <w:szCs w:val="22"/>
                <w:u w:val="single"/>
              </w:rPr>
            </w:pPr>
            <w:r w:rsidRPr="002C1513">
              <w:rPr>
                <w:szCs w:val="22"/>
              </w:rPr>
              <w:t>Mikroskopická kolitída</w:t>
            </w:r>
            <w:r w:rsidRPr="002C1513">
              <w:rPr>
                <w:szCs w:val="22"/>
                <w:vertAlign w:val="superscript"/>
              </w:rPr>
              <w:t>9</w:t>
            </w:r>
          </w:p>
        </w:tc>
        <w:tc>
          <w:tcPr>
            <w:tcW w:w="1747" w:type="dxa"/>
            <w:shd w:val="clear" w:color="auto" w:fill="auto"/>
          </w:tcPr>
          <w:p w:rsidR="00B7408C" w:rsidRPr="002C1513" w:rsidRDefault="00B7408C" w:rsidP="00D83A31">
            <w:pPr>
              <w:tabs>
                <w:tab w:val="left" w:pos="567"/>
              </w:tabs>
              <w:spacing w:line="260" w:lineRule="exact"/>
              <w:ind w:left="0" w:firstLine="0"/>
              <w:rPr>
                <w:szCs w:val="22"/>
                <w:u w:val="single"/>
              </w:rPr>
            </w:pPr>
          </w:p>
        </w:tc>
      </w:tr>
      <w:tr w:rsidR="00F53BEA" w:rsidRPr="002C1513" w:rsidTr="00FA7149">
        <w:tc>
          <w:tcPr>
            <w:tcW w:w="9286" w:type="dxa"/>
            <w:gridSpan w:val="5"/>
            <w:shd w:val="clear" w:color="auto" w:fill="auto"/>
          </w:tcPr>
          <w:p w:rsidR="00F53BEA" w:rsidRPr="002C1513" w:rsidRDefault="00F53BEA" w:rsidP="00D83A31">
            <w:pPr>
              <w:tabs>
                <w:tab w:val="left" w:pos="567"/>
              </w:tabs>
              <w:spacing w:line="260" w:lineRule="exact"/>
              <w:ind w:left="0" w:firstLine="0"/>
              <w:rPr>
                <w:szCs w:val="22"/>
                <w:u w:val="single"/>
              </w:rPr>
            </w:pPr>
            <w:r w:rsidRPr="002C1513">
              <w:rPr>
                <w:i/>
                <w:iCs/>
                <w:szCs w:val="22"/>
              </w:rPr>
              <w:t>Poruchy pečene a žlčových ciest</w:t>
            </w:r>
          </w:p>
        </w:tc>
      </w:tr>
      <w:tr w:rsidR="00B7408C" w:rsidRPr="002C1513" w:rsidTr="00F53BEA">
        <w:tc>
          <w:tcPr>
            <w:tcW w:w="2026" w:type="dxa"/>
            <w:shd w:val="clear" w:color="auto" w:fill="auto"/>
          </w:tcPr>
          <w:p w:rsidR="00B7408C" w:rsidRPr="002C1513" w:rsidRDefault="00B7408C" w:rsidP="00D83A31">
            <w:pPr>
              <w:tabs>
                <w:tab w:val="left" w:pos="567"/>
              </w:tabs>
              <w:spacing w:line="260" w:lineRule="exact"/>
              <w:ind w:left="0" w:firstLine="0"/>
              <w:rPr>
                <w:szCs w:val="22"/>
                <w:u w:val="single"/>
              </w:rPr>
            </w:pPr>
          </w:p>
        </w:tc>
        <w:tc>
          <w:tcPr>
            <w:tcW w:w="1769" w:type="dxa"/>
            <w:shd w:val="clear" w:color="auto" w:fill="auto"/>
          </w:tcPr>
          <w:p w:rsidR="00B7408C" w:rsidRPr="002C1513" w:rsidRDefault="00B7408C" w:rsidP="00D83A31">
            <w:pPr>
              <w:tabs>
                <w:tab w:val="left" w:pos="567"/>
              </w:tabs>
              <w:spacing w:line="260" w:lineRule="exact"/>
              <w:ind w:left="0" w:firstLine="0"/>
              <w:rPr>
                <w:szCs w:val="22"/>
                <w:u w:val="single"/>
              </w:rPr>
            </w:pPr>
          </w:p>
        </w:tc>
        <w:tc>
          <w:tcPr>
            <w:tcW w:w="1903" w:type="dxa"/>
            <w:shd w:val="clear" w:color="auto" w:fill="auto"/>
          </w:tcPr>
          <w:p w:rsidR="00F53BEA" w:rsidRPr="002C1513" w:rsidRDefault="00F53BEA" w:rsidP="00F53BEA">
            <w:pPr>
              <w:pStyle w:val="Default"/>
              <w:rPr>
                <w:sz w:val="22"/>
                <w:szCs w:val="22"/>
              </w:rPr>
            </w:pPr>
            <w:r w:rsidRPr="002C1513">
              <w:rPr>
                <w:sz w:val="22"/>
                <w:szCs w:val="22"/>
              </w:rPr>
              <w:t>Hepatitída</w:t>
            </w:r>
            <w:r w:rsidRPr="002C1513">
              <w:rPr>
                <w:sz w:val="22"/>
                <w:szCs w:val="22"/>
                <w:vertAlign w:val="superscript"/>
              </w:rPr>
              <w:t xml:space="preserve">3 </w:t>
            </w:r>
          </w:p>
          <w:p w:rsidR="00F53BEA" w:rsidRPr="002C1513" w:rsidRDefault="00F53BEA" w:rsidP="00F53BEA">
            <w:pPr>
              <w:pStyle w:val="Default"/>
              <w:rPr>
                <w:sz w:val="22"/>
                <w:szCs w:val="22"/>
              </w:rPr>
            </w:pPr>
            <w:r w:rsidRPr="002C1513">
              <w:rPr>
                <w:sz w:val="22"/>
                <w:szCs w:val="22"/>
              </w:rPr>
              <w:t xml:space="preserve">Zvýšené hladiny pečeňových enzýmov (ALT, AST, alkalická fosfatáza) </w:t>
            </w:r>
          </w:p>
          <w:p w:rsidR="00B7408C" w:rsidRPr="002C1513" w:rsidRDefault="00F53BEA" w:rsidP="00F53BEA">
            <w:pPr>
              <w:tabs>
                <w:tab w:val="left" w:pos="567"/>
              </w:tabs>
              <w:spacing w:line="260" w:lineRule="exact"/>
              <w:ind w:left="0" w:firstLine="0"/>
              <w:rPr>
                <w:szCs w:val="22"/>
                <w:u w:val="single"/>
              </w:rPr>
            </w:pPr>
            <w:r w:rsidRPr="002C1513">
              <w:rPr>
                <w:szCs w:val="22"/>
              </w:rPr>
              <w:t>Akútne poškodenie pečene</w:t>
            </w:r>
          </w:p>
        </w:tc>
        <w:tc>
          <w:tcPr>
            <w:tcW w:w="1841" w:type="dxa"/>
            <w:shd w:val="clear" w:color="auto" w:fill="auto"/>
          </w:tcPr>
          <w:p w:rsidR="00F53BEA" w:rsidRPr="002C1513" w:rsidRDefault="00F53BEA" w:rsidP="00F53BEA">
            <w:pPr>
              <w:pStyle w:val="Default"/>
              <w:rPr>
                <w:sz w:val="22"/>
                <w:szCs w:val="22"/>
              </w:rPr>
            </w:pPr>
            <w:r w:rsidRPr="002C1513">
              <w:rPr>
                <w:sz w:val="22"/>
                <w:szCs w:val="22"/>
              </w:rPr>
              <w:t>Zlyhanie pečene</w:t>
            </w:r>
            <w:r w:rsidRPr="002C1513">
              <w:rPr>
                <w:sz w:val="22"/>
                <w:szCs w:val="22"/>
                <w:vertAlign w:val="superscript"/>
              </w:rPr>
              <w:t>6</w:t>
            </w:r>
            <w:r w:rsidRPr="002C1513">
              <w:rPr>
                <w:sz w:val="22"/>
                <w:szCs w:val="22"/>
              </w:rPr>
              <w:t xml:space="preserve"> </w:t>
            </w:r>
          </w:p>
          <w:p w:rsidR="00B7408C" w:rsidRPr="002C1513" w:rsidRDefault="00F53BEA" w:rsidP="00F53BEA">
            <w:pPr>
              <w:tabs>
                <w:tab w:val="left" w:pos="567"/>
              </w:tabs>
              <w:spacing w:line="260" w:lineRule="exact"/>
              <w:ind w:left="0" w:firstLine="0"/>
              <w:rPr>
                <w:szCs w:val="22"/>
                <w:u w:val="single"/>
              </w:rPr>
            </w:pPr>
            <w:r w:rsidRPr="002C1513">
              <w:rPr>
                <w:szCs w:val="22"/>
              </w:rPr>
              <w:t>Žltačka</w:t>
            </w:r>
            <w:r w:rsidRPr="002C1513">
              <w:rPr>
                <w:szCs w:val="22"/>
                <w:vertAlign w:val="superscript"/>
              </w:rPr>
              <w:t>6</w:t>
            </w:r>
          </w:p>
        </w:tc>
        <w:tc>
          <w:tcPr>
            <w:tcW w:w="1747" w:type="dxa"/>
            <w:shd w:val="clear" w:color="auto" w:fill="auto"/>
          </w:tcPr>
          <w:p w:rsidR="00B7408C" w:rsidRPr="002C1513" w:rsidRDefault="00B7408C" w:rsidP="00D83A31">
            <w:pPr>
              <w:tabs>
                <w:tab w:val="left" w:pos="567"/>
              </w:tabs>
              <w:spacing w:line="260" w:lineRule="exact"/>
              <w:ind w:left="0" w:firstLine="0"/>
              <w:rPr>
                <w:szCs w:val="22"/>
                <w:u w:val="single"/>
              </w:rPr>
            </w:pPr>
          </w:p>
        </w:tc>
      </w:tr>
      <w:tr w:rsidR="00F53BEA" w:rsidRPr="002C1513" w:rsidTr="00FA7149">
        <w:tc>
          <w:tcPr>
            <w:tcW w:w="9286" w:type="dxa"/>
            <w:gridSpan w:val="5"/>
            <w:shd w:val="clear" w:color="auto" w:fill="auto"/>
          </w:tcPr>
          <w:p w:rsidR="00F53BEA" w:rsidRPr="002C1513" w:rsidRDefault="00F53BEA" w:rsidP="00D83A31">
            <w:pPr>
              <w:tabs>
                <w:tab w:val="left" w:pos="567"/>
              </w:tabs>
              <w:spacing w:line="260" w:lineRule="exact"/>
              <w:ind w:left="0" w:firstLine="0"/>
              <w:rPr>
                <w:szCs w:val="22"/>
                <w:u w:val="single"/>
              </w:rPr>
            </w:pPr>
            <w:r w:rsidRPr="002C1513">
              <w:rPr>
                <w:i/>
                <w:iCs/>
                <w:szCs w:val="22"/>
              </w:rPr>
              <w:t>Poruchy kože a podkožného tkaniva</w:t>
            </w:r>
          </w:p>
        </w:tc>
      </w:tr>
      <w:tr w:rsidR="00B7408C" w:rsidRPr="002C1513" w:rsidTr="00F53BEA">
        <w:tc>
          <w:tcPr>
            <w:tcW w:w="2026" w:type="dxa"/>
            <w:shd w:val="clear" w:color="auto" w:fill="auto"/>
          </w:tcPr>
          <w:p w:rsidR="00B7408C" w:rsidRPr="002C1513" w:rsidRDefault="00B7408C" w:rsidP="00D83A31">
            <w:pPr>
              <w:tabs>
                <w:tab w:val="left" w:pos="567"/>
              </w:tabs>
              <w:spacing w:line="260" w:lineRule="exact"/>
              <w:ind w:left="0" w:firstLine="0"/>
              <w:rPr>
                <w:szCs w:val="22"/>
                <w:u w:val="single"/>
              </w:rPr>
            </w:pPr>
          </w:p>
        </w:tc>
        <w:tc>
          <w:tcPr>
            <w:tcW w:w="1769" w:type="dxa"/>
            <w:shd w:val="clear" w:color="auto" w:fill="auto"/>
          </w:tcPr>
          <w:p w:rsidR="00B05528" w:rsidRPr="002C1513" w:rsidRDefault="00B05528" w:rsidP="00B05528">
            <w:pPr>
              <w:pStyle w:val="Default"/>
              <w:rPr>
                <w:sz w:val="22"/>
                <w:szCs w:val="22"/>
              </w:rPr>
            </w:pPr>
            <w:r w:rsidRPr="002C1513">
              <w:rPr>
                <w:sz w:val="22"/>
                <w:szCs w:val="22"/>
              </w:rPr>
              <w:t xml:space="preserve">Zvýšené potenie </w:t>
            </w:r>
          </w:p>
          <w:p w:rsidR="00B7408C" w:rsidRPr="002C1513" w:rsidRDefault="00B05528" w:rsidP="00B05528">
            <w:pPr>
              <w:tabs>
                <w:tab w:val="left" w:pos="567"/>
              </w:tabs>
              <w:spacing w:line="260" w:lineRule="exact"/>
              <w:ind w:left="0" w:firstLine="0"/>
              <w:rPr>
                <w:szCs w:val="22"/>
                <w:u w:val="single"/>
              </w:rPr>
            </w:pPr>
            <w:r w:rsidRPr="002C1513">
              <w:rPr>
                <w:szCs w:val="22"/>
              </w:rPr>
              <w:lastRenderedPageBreak/>
              <w:t>Vyrážka</w:t>
            </w:r>
          </w:p>
        </w:tc>
        <w:tc>
          <w:tcPr>
            <w:tcW w:w="1903" w:type="dxa"/>
            <w:shd w:val="clear" w:color="auto" w:fill="auto"/>
          </w:tcPr>
          <w:p w:rsidR="00B05528" w:rsidRPr="002C1513" w:rsidRDefault="00B05528" w:rsidP="00B05528">
            <w:pPr>
              <w:pStyle w:val="Default"/>
              <w:rPr>
                <w:sz w:val="22"/>
                <w:szCs w:val="22"/>
              </w:rPr>
            </w:pPr>
            <w:r w:rsidRPr="002C1513">
              <w:rPr>
                <w:sz w:val="22"/>
                <w:szCs w:val="22"/>
              </w:rPr>
              <w:lastRenderedPageBreak/>
              <w:t xml:space="preserve">Nočné potenie </w:t>
            </w:r>
          </w:p>
          <w:p w:rsidR="00B05528" w:rsidRPr="002C1513" w:rsidRDefault="00B05528" w:rsidP="00B05528">
            <w:pPr>
              <w:pStyle w:val="Default"/>
              <w:rPr>
                <w:sz w:val="22"/>
                <w:szCs w:val="22"/>
              </w:rPr>
            </w:pPr>
            <w:r w:rsidRPr="002C1513">
              <w:rPr>
                <w:sz w:val="22"/>
                <w:szCs w:val="22"/>
              </w:rPr>
              <w:lastRenderedPageBreak/>
              <w:t xml:space="preserve">Urtikária </w:t>
            </w:r>
          </w:p>
          <w:p w:rsidR="00B05528" w:rsidRPr="002C1513" w:rsidRDefault="00B05528" w:rsidP="00B05528">
            <w:pPr>
              <w:pStyle w:val="Default"/>
              <w:rPr>
                <w:sz w:val="22"/>
                <w:szCs w:val="22"/>
              </w:rPr>
            </w:pPr>
            <w:r w:rsidRPr="002C1513">
              <w:rPr>
                <w:sz w:val="22"/>
                <w:szCs w:val="22"/>
              </w:rPr>
              <w:t xml:space="preserve">Kontaktná dermatitída </w:t>
            </w:r>
          </w:p>
          <w:p w:rsidR="00B05528" w:rsidRPr="002C1513" w:rsidRDefault="00B05528" w:rsidP="00B05528">
            <w:pPr>
              <w:pStyle w:val="Default"/>
              <w:rPr>
                <w:sz w:val="22"/>
                <w:szCs w:val="22"/>
              </w:rPr>
            </w:pPr>
            <w:r w:rsidRPr="002C1513">
              <w:rPr>
                <w:sz w:val="22"/>
                <w:szCs w:val="22"/>
              </w:rPr>
              <w:t xml:space="preserve">Studený pot </w:t>
            </w:r>
          </w:p>
          <w:p w:rsidR="00B05528" w:rsidRPr="002C1513" w:rsidRDefault="00B05528" w:rsidP="00B05528">
            <w:pPr>
              <w:pStyle w:val="Default"/>
              <w:rPr>
                <w:sz w:val="22"/>
                <w:szCs w:val="22"/>
              </w:rPr>
            </w:pPr>
            <w:r w:rsidRPr="002C1513">
              <w:rPr>
                <w:sz w:val="22"/>
                <w:szCs w:val="22"/>
              </w:rPr>
              <w:t xml:space="preserve">Fotosenzitívne reakcie </w:t>
            </w:r>
          </w:p>
          <w:p w:rsidR="00B7408C" w:rsidRPr="002C1513" w:rsidRDefault="00B05528" w:rsidP="00B05528">
            <w:pPr>
              <w:tabs>
                <w:tab w:val="left" w:pos="567"/>
              </w:tabs>
              <w:spacing w:line="260" w:lineRule="exact"/>
              <w:ind w:left="0" w:firstLine="0"/>
              <w:rPr>
                <w:szCs w:val="22"/>
                <w:u w:val="single"/>
              </w:rPr>
            </w:pPr>
            <w:r w:rsidRPr="002C1513">
              <w:rPr>
                <w:szCs w:val="22"/>
              </w:rPr>
              <w:t>Zvýšený sklon k tvorbe modrín</w:t>
            </w:r>
          </w:p>
        </w:tc>
        <w:tc>
          <w:tcPr>
            <w:tcW w:w="1841" w:type="dxa"/>
            <w:shd w:val="clear" w:color="auto" w:fill="auto"/>
          </w:tcPr>
          <w:p w:rsidR="00B7408C" w:rsidRPr="002C1513" w:rsidRDefault="00B05528" w:rsidP="00D83A31">
            <w:pPr>
              <w:tabs>
                <w:tab w:val="left" w:pos="567"/>
              </w:tabs>
              <w:spacing w:line="260" w:lineRule="exact"/>
              <w:ind w:left="0" w:firstLine="0"/>
              <w:rPr>
                <w:szCs w:val="22"/>
                <w:u w:val="single"/>
              </w:rPr>
            </w:pPr>
            <w:r w:rsidRPr="002C1513">
              <w:rPr>
                <w:szCs w:val="22"/>
              </w:rPr>
              <w:lastRenderedPageBreak/>
              <w:t>Stevensov-</w:t>
            </w:r>
            <w:r w:rsidRPr="002C1513">
              <w:rPr>
                <w:szCs w:val="22"/>
              </w:rPr>
              <w:lastRenderedPageBreak/>
              <w:t>Johnsonov syndróm</w:t>
            </w:r>
            <w:r w:rsidRPr="002C1513">
              <w:rPr>
                <w:szCs w:val="22"/>
                <w:vertAlign w:val="superscript"/>
              </w:rPr>
              <w:t xml:space="preserve">6 </w:t>
            </w:r>
            <w:r w:rsidRPr="002C1513">
              <w:rPr>
                <w:szCs w:val="22"/>
              </w:rPr>
              <w:t>Angioneurotický edém</w:t>
            </w:r>
            <w:r w:rsidRPr="002C1513">
              <w:rPr>
                <w:szCs w:val="22"/>
                <w:vertAlign w:val="superscript"/>
              </w:rPr>
              <w:t>6</w:t>
            </w:r>
          </w:p>
        </w:tc>
        <w:tc>
          <w:tcPr>
            <w:tcW w:w="1747" w:type="dxa"/>
            <w:shd w:val="clear" w:color="auto" w:fill="auto"/>
          </w:tcPr>
          <w:p w:rsidR="00B7408C" w:rsidRPr="002C1513" w:rsidRDefault="00B05528" w:rsidP="00D83A31">
            <w:pPr>
              <w:tabs>
                <w:tab w:val="left" w:pos="567"/>
              </w:tabs>
              <w:spacing w:line="260" w:lineRule="exact"/>
              <w:ind w:left="0" w:firstLine="0"/>
              <w:rPr>
                <w:szCs w:val="22"/>
                <w:u w:val="single"/>
              </w:rPr>
            </w:pPr>
            <w:r w:rsidRPr="002C1513">
              <w:rPr>
                <w:szCs w:val="22"/>
              </w:rPr>
              <w:lastRenderedPageBreak/>
              <w:t xml:space="preserve">Kožná </w:t>
            </w:r>
            <w:r w:rsidRPr="002C1513">
              <w:rPr>
                <w:szCs w:val="22"/>
              </w:rPr>
              <w:lastRenderedPageBreak/>
              <w:t>vaskulitída</w:t>
            </w:r>
          </w:p>
        </w:tc>
      </w:tr>
      <w:tr w:rsidR="00B05528" w:rsidRPr="002C1513" w:rsidTr="00FA7149">
        <w:tc>
          <w:tcPr>
            <w:tcW w:w="9286" w:type="dxa"/>
            <w:gridSpan w:val="5"/>
            <w:shd w:val="clear" w:color="auto" w:fill="auto"/>
          </w:tcPr>
          <w:p w:rsidR="00B05528" w:rsidRPr="002C1513" w:rsidRDefault="00B05528" w:rsidP="00D83A31">
            <w:pPr>
              <w:tabs>
                <w:tab w:val="left" w:pos="567"/>
              </w:tabs>
              <w:spacing w:line="260" w:lineRule="exact"/>
              <w:ind w:left="0" w:firstLine="0"/>
              <w:rPr>
                <w:szCs w:val="22"/>
                <w:u w:val="single"/>
              </w:rPr>
            </w:pPr>
            <w:r w:rsidRPr="002C1513">
              <w:rPr>
                <w:i/>
                <w:iCs/>
                <w:szCs w:val="22"/>
              </w:rPr>
              <w:lastRenderedPageBreak/>
              <w:t>Poruchy kostrovej a svalovej sústavy a spojivového tkaniva</w:t>
            </w:r>
          </w:p>
        </w:tc>
      </w:tr>
      <w:tr w:rsidR="00B7408C" w:rsidRPr="002C1513" w:rsidTr="00F53BEA">
        <w:tc>
          <w:tcPr>
            <w:tcW w:w="2026" w:type="dxa"/>
            <w:shd w:val="clear" w:color="auto" w:fill="auto"/>
          </w:tcPr>
          <w:p w:rsidR="00B7408C" w:rsidRPr="002C1513" w:rsidRDefault="00B7408C" w:rsidP="00D83A31">
            <w:pPr>
              <w:tabs>
                <w:tab w:val="left" w:pos="567"/>
              </w:tabs>
              <w:spacing w:line="260" w:lineRule="exact"/>
              <w:ind w:left="0" w:firstLine="0"/>
              <w:rPr>
                <w:szCs w:val="22"/>
                <w:u w:val="single"/>
              </w:rPr>
            </w:pPr>
          </w:p>
        </w:tc>
        <w:tc>
          <w:tcPr>
            <w:tcW w:w="1769" w:type="dxa"/>
            <w:shd w:val="clear" w:color="auto" w:fill="auto"/>
          </w:tcPr>
          <w:p w:rsidR="00B05528" w:rsidRPr="002C1513" w:rsidRDefault="00B05528" w:rsidP="00B05528">
            <w:pPr>
              <w:pStyle w:val="Default"/>
              <w:rPr>
                <w:sz w:val="22"/>
                <w:szCs w:val="22"/>
              </w:rPr>
            </w:pPr>
            <w:r w:rsidRPr="002C1513">
              <w:rPr>
                <w:sz w:val="22"/>
                <w:szCs w:val="22"/>
              </w:rPr>
              <w:t xml:space="preserve">Bolesť svalov a kostí </w:t>
            </w:r>
          </w:p>
          <w:p w:rsidR="00B7408C" w:rsidRPr="002C1513" w:rsidRDefault="00B05528" w:rsidP="00B05528">
            <w:pPr>
              <w:tabs>
                <w:tab w:val="left" w:pos="567"/>
              </w:tabs>
              <w:spacing w:line="260" w:lineRule="exact"/>
              <w:ind w:left="0" w:firstLine="0"/>
              <w:rPr>
                <w:szCs w:val="22"/>
                <w:u w:val="single"/>
              </w:rPr>
            </w:pPr>
            <w:r w:rsidRPr="002C1513">
              <w:rPr>
                <w:szCs w:val="22"/>
              </w:rPr>
              <w:t>Svalový kŕč</w:t>
            </w:r>
          </w:p>
        </w:tc>
        <w:tc>
          <w:tcPr>
            <w:tcW w:w="1903" w:type="dxa"/>
            <w:shd w:val="clear" w:color="auto" w:fill="auto"/>
          </w:tcPr>
          <w:p w:rsidR="00B05528" w:rsidRPr="002C1513" w:rsidRDefault="00B05528" w:rsidP="00B05528">
            <w:pPr>
              <w:pStyle w:val="Default"/>
              <w:rPr>
                <w:sz w:val="22"/>
                <w:szCs w:val="22"/>
              </w:rPr>
            </w:pPr>
            <w:r w:rsidRPr="002C1513">
              <w:rPr>
                <w:sz w:val="22"/>
                <w:szCs w:val="22"/>
              </w:rPr>
              <w:t xml:space="preserve">Napätie svalov </w:t>
            </w:r>
          </w:p>
          <w:p w:rsidR="00B7408C" w:rsidRPr="002C1513" w:rsidRDefault="00B05528" w:rsidP="00B05528">
            <w:pPr>
              <w:tabs>
                <w:tab w:val="left" w:pos="567"/>
              </w:tabs>
              <w:spacing w:line="260" w:lineRule="exact"/>
              <w:ind w:left="0" w:firstLine="0"/>
              <w:rPr>
                <w:szCs w:val="22"/>
                <w:u w:val="single"/>
              </w:rPr>
            </w:pPr>
            <w:r w:rsidRPr="002C1513">
              <w:rPr>
                <w:szCs w:val="22"/>
              </w:rPr>
              <w:t>Zášklby svalov</w:t>
            </w:r>
          </w:p>
        </w:tc>
        <w:tc>
          <w:tcPr>
            <w:tcW w:w="1841" w:type="dxa"/>
            <w:shd w:val="clear" w:color="auto" w:fill="auto"/>
          </w:tcPr>
          <w:p w:rsidR="00B7408C" w:rsidRPr="002C1513" w:rsidRDefault="00B05528" w:rsidP="00D83A31">
            <w:pPr>
              <w:tabs>
                <w:tab w:val="left" w:pos="567"/>
              </w:tabs>
              <w:spacing w:line="260" w:lineRule="exact"/>
              <w:ind w:left="0" w:firstLine="0"/>
              <w:rPr>
                <w:szCs w:val="22"/>
                <w:u w:val="single"/>
              </w:rPr>
            </w:pPr>
            <w:r w:rsidRPr="002C1513">
              <w:rPr>
                <w:szCs w:val="22"/>
              </w:rPr>
              <w:t>Trizmus</w:t>
            </w:r>
          </w:p>
        </w:tc>
        <w:tc>
          <w:tcPr>
            <w:tcW w:w="1747" w:type="dxa"/>
            <w:shd w:val="clear" w:color="auto" w:fill="auto"/>
          </w:tcPr>
          <w:p w:rsidR="00B7408C" w:rsidRPr="002C1513" w:rsidRDefault="00B7408C" w:rsidP="00D83A31">
            <w:pPr>
              <w:tabs>
                <w:tab w:val="left" w:pos="567"/>
              </w:tabs>
              <w:spacing w:line="260" w:lineRule="exact"/>
              <w:ind w:left="0" w:firstLine="0"/>
              <w:rPr>
                <w:szCs w:val="22"/>
                <w:u w:val="single"/>
              </w:rPr>
            </w:pPr>
          </w:p>
        </w:tc>
      </w:tr>
      <w:tr w:rsidR="00D419A9" w:rsidRPr="002C1513" w:rsidTr="00FA7149">
        <w:tc>
          <w:tcPr>
            <w:tcW w:w="9286" w:type="dxa"/>
            <w:gridSpan w:val="5"/>
            <w:shd w:val="clear" w:color="auto" w:fill="auto"/>
          </w:tcPr>
          <w:p w:rsidR="00D419A9" w:rsidRPr="002C1513" w:rsidRDefault="00D419A9" w:rsidP="00D83A31">
            <w:pPr>
              <w:tabs>
                <w:tab w:val="left" w:pos="567"/>
              </w:tabs>
              <w:spacing w:line="260" w:lineRule="exact"/>
              <w:ind w:left="0" w:firstLine="0"/>
              <w:rPr>
                <w:szCs w:val="22"/>
                <w:u w:val="single"/>
              </w:rPr>
            </w:pPr>
            <w:r w:rsidRPr="002C1513">
              <w:rPr>
                <w:i/>
                <w:iCs/>
                <w:szCs w:val="22"/>
              </w:rPr>
              <w:t>Poruchy obličiek a močových ciest</w:t>
            </w:r>
          </w:p>
        </w:tc>
      </w:tr>
      <w:tr w:rsidR="00B7408C" w:rsidRPr="002C1513" w:rsidTr="00F53BEA">
        <w:tc>
          <w:tcPr>
            <w:tcW w:w="2026" w:type="dxa"/>
            <w:shd w:val="clear" w:color="auto" w:fill="auto"/>
          </w:tcPr>
          <w:p w:rsidR="00B7408C" w:rsidRPr="002C1513" w:rsidRDefault="00B7408C" w:rsidP="00D83A31">
            <w:pPr>
              <w:tabs>
                <w:tab w:val="left" w:pos="567"/>
              </w:tabs>
              <w:spacing w:line="260" w:lineRule="exact"/>
              <w:ind w:left="0" w:firstLine="0"/>
              <w:rPr>
                <w:szCs w:val="22"/>
                <w:u w:val="single"/>
              </w:rPr>
            </w:pPr>
          </w:p>
        </w:tc>
        <w:tc>
          <w:tcPr>
            <w:tcW w:w="1769" w:type="dxa"/>
            <w:shd w:val="clear" w:color="auto" w:fill="auto"/>
          </w:tcPr>
          <w:p w:rsidR="00D419A9" w:rsidRPr="002C1513" w:rsidRDefault="00D419A9" w:rsidP="00D419A9">
            <w:pPr>
              <w:pStyle w:val="Default"/>
              <w:rPr>
                <w:sz w:val="22"/>
                <w:szCs w:val="22"/>
              </w:rPr>
            </w:pPr>
            <w:r w:rsidRPr="002C1513">
              <w:rPr>
                <w:sz w:val="22"/>
                <w:szCs w:val="22"/>
              </w:rPr>
              <w:t xml:space="preserve">Dyzúria </w:t>
            </w:r>
          </w:p>
          <w:p w:rsidR="00B7408C" w:rsidRPr="002C1513" w:rsidRDefault="00D419A9" w:rsidP="00D419A9">
            <w:pPr>
              <w:tabs>
                <w:tab w:val="left" w:pos="567"/>
              </w:tabs>
              <w:spacing w:line="260" w:lineRule="exact"/>
              <w:ind w:left="0" w:firstLine="0"/>
              <w:rPr>
                <w:szCs w:val="22"/>
                <w:u w:val="single"/>
              </w:rPr>
            </w:pPr>
            <w:r w:rsidRPr="002C1513">
              <w:rPr>
                <w:szCs w:val="22"/>
              </w:rPr>
              <w:t>Polakizúria</w:t>
            </w:r>
          </w:p>
        </w:tc>
        <w:tc>
          <w:tcPr>
            <w:tcW w:w="1903" w:type="dxa"/>
            <w:shd w:val="clear" w:color="auto" w:fill="auto"/>
          </w:tcPr>
          <w:p w:rsidR="00D419A9" w:rsidRPr="002C1513" w:rsidRDefault="00D419A9" w:rsidP="00D419A9">
            <w:pPr>
              <w:pStyle w:val="Default"/>
              <w:rPr>
                <w:sz w:val="22"/>
                <w:szCs w:val="22"/>
              </w:rPr>
            </w:pPr>
            <w:r w:rsidRPr="002C1513">
              <w:rPr>
                <w:sz w:val="22"/>
                <w:szCs w:val="22"/>
              </w:rPr>
              <w:t xml:space="preserve">Zadržiavanie moču </w:t>
            </w:r>
          </w:p>
          <w:p w:rsidR="00D419A9" w:rsidRPr="002C1513" w:rsidRDefault="00D419A9" w:rsidP="00D419A9">
            <w:pPr>
              <w:pStyle w:val="Default"/>
              <w:rPr>
                <w:sz w:val="22"/>
                <w:szCs w:val="22"/>
              </w:rPr>
            </w:pPr>
            <w:r w:rsidRPr="002C1513">
              <w:rPr>
                <w:sz w:val="22"/>
                <w:szCs w:val="22"/>
              </w:rPr>
              <w:t xml:space="preserve">Močenie s oneskoreným štartom </w:t>
            </w:r>
          </w:p>
          <w:p w:rsidR="00D419A9" w:rsidRPr="002C1513" w:rsidRDefault="00D419A9" w:rsidP="00D419A9">
            <w:pPr>
              <w:pStyle w:val="Default"/>
              <w:rPr>
                <w:sz w:val="22"/>
                <w:szCs w:val="22"/>
              </w:rPr>
            </w:pPr>
            <w:r w:rsidRPr="002C1513">
              <w:rPr>
                <w:sz w:val="22"/>
                <w:szCs w:val="22"/>
              </w:rPr>
              <w:t xml:space="preserve">Noktúria </w:t>
            </w:r>
          </w:p>
          <w:p w:rsidR="00D419A9" w:rsidRPr="002C1513" w:rsidRDefault="00D419A9" w:rsidP="00D419A9">
            <w:pPr>
              <w:pStyle w:val="Default"/>
              <w:rPr>
                <w:sz w:val="22"/>
                <w:szCs w:val="22"/>
              </w:rPr>
            </w:pPr>
            <w:r w:rsidRPr="002C1513">
              <w:rPr>
                <w:sz w:val="22"/>
                <w:szCs w:val="22"/>
              </w:rPr>
              <w:t xml:space="preserve">Polyúria </w:t>
            </w:r>
          </w:p>
          <w:p w:rsidR="00B7408C" w:rsidRPr="002C1513" w:rsidRDefault="00D419A9" w:rsidP="00D419A9">
            <w:pPr>
              <w:tabs>
                <w:tab w:val="left" w:pos="567"/>
              </w:tabs>
              <w:spacing w:line="260" w:lineRule="exact"/>
              <w:ind w:left="0" w:firstLine="0"/>
              <w:rPr>
                <w:szCs w:val="22"/>
                <w:u w:val="single"/>
              </w:rPr>
            </w:pPr>
            <w:r w:rsidRPr="002C1513">
              <w:rPr>
                <w:szCs w:val="22"/>
              </w:rPr>
              <w:t>Slabý prúd moču</w:t>
            </w:r>
          </w:p>
        </w:tc>
        <w:tc>
          <w:tcPr>
            <w:tcW w:w="1841" w:type="dxa"/>
            <w:shd w:val="clear" w:color="auto" w:fill="auto"/>
          </w:tcPr>
          <w:p w:rsidR="00B7408C" w:rsidRPr="002C1513" w:rsidRDefault="00CF24D5" w:rsidP="00D83A31">
            <w:pPr>
              <w:tabs>
                <w:tab w:val="left" w:pos="567"/>
              </w:tabs>
              <w:spacing w:line="260" w:lineRule="exact"/>
              <w:ind w:left="0" w:firstLine="0"/>
              <w:rPr>
                <w:szCs w:val="22"/>
                <w:u w:val="single"/>
              </w:rPr>
            </w:pPr>
            <w:r w:rsidRPr="002C1513">
              <w:rPr>
                <w:szCs w:val="22"/>
              </w:rPr>
              <w:t>Nezvyčajný</w:t>
            </w:r>
            <w:r w:rsidR="00D419A9" w:rsidRPr="002C1513">
              <w:rPr>
                <w:szCs w:val="22"/>
              </w:rPr>
              <w:t xml:space="preserve"> zápach moču</w:t>
            </w:r>
          </w:p>
        </w:tc>
        <w:tc>
          <w:tcPr>
            <w:tcW w:w="1747" w:type="dxa"/>
            <w:shd w:val="clear" w:color="auto" w:fill="auto"/>
          </w:tcPr>
          <w:p w:rsidR="00B7408C" w:rsidRPr="002C1513" w:rsidRDefault="00B7408C" w:rsidP="00D83A31">
            <w:pPr>
              <w:tabs>
                <w:tab w:val="left" w:pos="567"/>
              </w:tabs>
              <w:spacing w:line="260" w:lineRule="exact"/>
              <w:ind w:left="0" w:firstLine="0"/>
              <w:rPr>
                <w:szCs w:val="22"/>
                <w:u w:val="single"/>
              </w:rPr>
            </w:pPr>
          </w:p>
        </w:tc>
      </w:tr>
      <w:tr w:rsidR="00D419A9" w:rsidRPr="002C1513" w:rsidTr="00FA7149">
        <w:tc>
          <w:tcPr>
            <w:tcW w:w="9286" w:type="dxa"/>
            <w:gridSpan w:val="5"/>
            <w:shd w:val="clear" w:color="auto" w:fill="auto"/>
          </w:tcPr>
          <w:p w:rsidR="00D419A9" w:rsidRPr="002C1513" w:rsidRDefault="00D419A9" w:rsidP="00D83A31">
            <w:pPr>
              <w:tabs>
                <w:tab w:val="left" w:pos="567"/>
              </w:tabs>
              <w:spacing w:line="260" w:lineRule="exact"/>
              <w:ind w:left="0" w:firstLine="0"/>
              <w:rPr>
                <w:szCs w:val="22"/>
                <w:u w:val="single"/>
              </w:rPr>
            </w:pPr>
            <w:r w:rsidRPr="002C1513">
              <w:rPr>
                <w:i/>
                <w:iCs/>
                <w:szCs w:val="22"/>
              </w:rPr>
              <w:t>Poruchy reprodukčného systému a prsníkov</w:t>
            </w:r>
          </w:p>
        </w:tc>
      </w:tr>
      <w:tr w:rsidR="00B7408C" w:rsidRPr="002C1513" w:rsidTr="00F53BEA">
        <w:tc>
          <w:tcPr>
            <w:tcW w:w="2026" w:type="dxa"/>
            <w:shd w:val="clear" w:color="auto" w:fill="auto"/>
          </w:tcPr>
          <w:p w:rsidR="00B7408C" w:rsidRPr="002C1513" w:rsidRDefault="00B7408C" w:rsidP="00D83A31">
            <w:pPr>
              <w:tabs>
                <w:tab w:val="left" w:pos="567"/>
              </w:tabs>
              <w:spacing w:line="260" w:lineRule="exact"/>
              <w:ind w:left="0" w:firstLine="0"/>
              <w:rPr>
                <w:szCs w:val="22"/>
                <w:u w:val="single"/>
              </w:rPr>
            </w:pPr>
          </w:p>
        </w:tc>
        <w:tc>
          <w:tcPr>
            <w:tcW w:w="1769" w:type="dxa"/>
            <w:shd w:val="clear" w:color="auto" w:fill="auto"/>
          </w:tcPr>
          <w:p w:rsidR="00D419A9" w:rsidRPr="002C1513" w:rsidRDefault="00D419A9" w:rsidP="00D419A9">
            <w:pPr>
              <w:pStyle w:val="Default"/>
              <w:rPr>
                <w:sz w:val="22"/>
                <w:szCs w:val="22"/>
              </w:rPr>
            </w:pPr>
            <w:r w:rsidRPr="002C1513">
              <w:rPr>
                <w:sz w:val="22"/>
                <w:szCs w:val="22"/>
              </w:rPr>
              <w:t xml:space="preserve">Erektilná dysfunkcia </w:t>
            </w:r>
          </w:p>
          <w:p w:rsidR="00D419A9" w:rsidRPr="002C1513" w:rsidRDefault="00D419A9" w:rsidP="00D419A9">
            <w:pPr>
              <w:pStyle w:val="Default"/>
              <w:rPr>
                <w:sz w:val="22"/>
                <w:szCs w:val="22"/>
              </w:rPr>
            </w:pPr>
            <w:r w:rsidRPr="002C1513">
              <w:rPr>
                <w:sz w:val="22"/>
                <w:szCs w:val="22"/>
              </w:rPr>
              <w:t xml:space="preserve">Porucha ejakulácie </w:t>
            </w:r>
          </w:p>
          <w:p w:rsidR="00B7408C" w:rsidRPr="002C1513" w:rsidRDefault="00D419A9" w:rsidP="00D419A9">
            <w:pPr>
              <w:tabs>
                <w:tab w:val="left" w:pos="567"/>
              </w:tabs>
              <w:spacing w:line="260" w:lineRule="exact"/>
              <w:ind w:left="0" w:firstLine="0"/>
              <w:rPr>
                <w:szCs w:val="22"/>
                <w:u w:val="single"/>
              </w:rPr>
            </w:pPr>
            <w:r w:rsidRPr="002C1513">
              <w:rPr>
                <w:szCs w:val="22"/>
              </w:rPr>
              <w:t>Oneskorená ejakulácia</w:t>
            </w:r>
          </w:p>
        </w:tc>
        <w:tc>
          <w:tcPr>
            <w:tcW w:w="1903" w:type="dxa"/>
            <w:shd w:val="clear" w:color="auto" w:fill="auto"/>
          </w:tcPr>
          <w:p w:rsidR="00D419A9" w:rsidRPr="002C1513" w:rsidRDefault="00D419A9" w:rsidP="00D419A9">
            <w:pPr>
              <w:pStyle w:val="Default"/>
              <w:rPr>
                <w:sz w:val="22"/>
                <w:szCs w:val="22"/>
              </w:rPr>
            </w:pPr>
            <w:r w:rsidRPr="002C1513">
              <w:rPr>
                <w:sz w:val="22"/>
                <w:szCs w:val="22"/>
              </w:rPr>
              <w:t xml:space="preserve">Gynekologické krvácanie </w:t>
            </w:r>
          </w:p>
          <w:p w:rsidR="00D419A9" w:rsidRPr="002C1513" w:rsidRDefault="00D419A9" w:rsidP="00D419A9">
            <w:pPr>
              <w:pStyle w:val="Default"/>
              <w:rPr>
                <w:sz w:val="22"/>
                <w:szCs w:val="22"/>
              </w:rPr>
            </w:pPr>
            <w:r w:rsidRPr="002C1513">
              <w:rPr>
                <w:sz w:val="22"/>
                <w:szCs w:val="22"/>
              </w:rPr>
              <w:t xml:space="preserve">Poruchy menštruácie </w:t>
            </w:r>
          </w:p>
          <w:p w:rsidR="00D419A9" w:rsidRPr="002C1513" w:rsidRDefault="00D419A9" w:rsidP="00D419A9">
            <w:pPr>
              <w:pStyle w:val="Default"/>
              <w:rPr>
                <w:sz w:val="22"/>
                <w:szCs w:val="22"/>
              </w:rPr>
            </w:pPr>
            <w:r w:rsidRPr="002C1513">
              <w:rPr>
                <w:sz w:val="22"/>
                <w:szCs w:val="22"/>
              </w:rPr>
              <w:t xml:space="preserve">Sexuálna dysfunkcia </w:t>
            </w:r>
          </w:p>
          <w:p w:rsidR="00B7408C" w:rsidRPr="002C1513" w:rsidRDefault="00D419A9" w:rsidP="00D419A9">
            <w:pPr>
              <w:tabs>
                <w:tab w:val="left" w:pos="567"/>
              </w:tabs>
              <w:spacing w:line="260" w:lineRule="exact"/>
              <w:ind w:left="0" w:firstLine="0"/>
              <w:rPr>
                <w:szCs w:val="22"/>
                <w:u w:val="single"/>
              </w:rPr>
            </w:pPr>
            <w:r w:rsidRPr="002C1513">
              <w:rPr>
                <w:szCs w:val="22"/>
              </w:rPr>
              <w:t>Testikulárna bolesť</w:t>
            </w:r>
          </w:p>
        </w:tc>
        <w:tc>
          <w:tcPr>
            <w:tcW w:w="1841" w:type="dxa"/>
            <w:shd w:val="clear" w:color="auto" w:fill="auto"/>
          </w:tcPr>
          <w:p w:rsidR="00D419A9" w:rsidRPr="002C1513" w:rsidRDefault="00D419A9" w:rsidP="00D419A9">
            <w:pPr>
              <w:pStyle w:val="Default"/>
              <w:rPr>
                <w:sz w:val="22"/>
                <w:szCs w:val="22"/>
              </w:rPr>
            </w:pPr>
            <w:r w:rsidRPr="002C1513">
              <w:rPr>
                <w:sz w:val="22"/>
                <w:szCs w:val="22"/>
              </w:rPr>
              <w:t xml:space="preserve">Menopauzálne symptómy </w:t>
            </w:r>
          </w:p>
          <w:p w:rsidR="00B7408C" w:rsidRPr="002C1513" w:rsidRDefault="00CF24D5" w:rsidP="00D419A9">
            <w:pPr>
              <w:tabs>
                <w:tab w:val="left" w:pos="567"/>
              </w:tabs>
              <w:spacing w:line="260" w:lineRule="exact"/>
              <w:ind w:left="0" w:firstLine="0"/>
              <w:rPr>
                <w:szCs w:val="22"/>
                <w:u w:val="single"/>
              </w:rPr>
            </w:pPr>
            <w:r w:rsidRPr="002C1513">
              <w:rPr>
                <w:szCs w:val="22"/>
              </w:rPr>
              <w:t>Galaktorea Hyperpro</w:t>
            </w:r>
            <w:r w:rsidR="00D419A9" w:rsidRPr="002C1513">
              <w:rPr>
                <w:szCs w:val="22"/>
              </w:rPr>
              <w:t>laktinémia</w:t>
            </w:r>
          </w:p>
        </w:tc>
        <w:tc>
          <w:tcPr>
            <w:tcW w:w="1747" w:type="dxa"/>
            <w:shd w:val="clear" w:color="auto" w:fill="auto"/>
          </w:tcPr>
          <w:p w:rsidR="00B7408C" w:rsidRPr="002C1513" w:rsidRDefault="00B7408C" w:rsidP="00D83A31">
            <w:pPr>
              <w:tabs>
                <w:tab w:val="left" w:pos="567"/>
              </w:tabs>
              <w:spacing w:line="260" w:lineRule="exact"/>
              <w:ind w:left="0" w:firstLine="0"/>
              <w:rPr>
                <w:szCs w:val="22"/>
                <w:u w:val="single"/>
              </w:rPr>
            </w:pPr>
          </w:p>
        </w:tc>
      </w:tr>
      <w:tr w:rsidR="00D419A9" w:rsidRPr="002C1513" w:rsidTr="00FA7149">
        <w:tc>
          <w:tcPr>
            <w:tcW w:w="9286" w:type="dxa"/>
            <w:gridSpan w:val="5"/>
            <w:shd w:val="clear" w:color="auto" w:fill="auto"/>
          </w:tcPr>
          <w:p w:rsidR="00D419A9" w:rsidRPr="002C1513" w:rsidRDefault="00D419A9" w:rsidP="00D83A31">
            <w:pPr>
              <w:tabs>
                <w:tab w:val="left" w:pos="567"/>
              </w:tabs>
              <w:spacing w:line="260" w:lineRule="exact"/>
              <w:ind w:left="0" w:firstLine="0"/>
              <w:rPr>
                <w:szCs w:val="22"/>
                <w:u w:val="single"/>
              </w:rPr>
            </w:pPr>
            <w:r w:rsidRPr="002C1513">
              <w:rPr>
                <w:i/>
                <w:iCs/>
                <w:szCs w:val="22"/>
              </w:rPr>
              <w:t>Celkové poruchy a reakcie v mieste podania</w:t>
            </w:r>
          </w:p>
        </w:tc>
      </w:tr>
      <w:tr w:rsidR="00B7408C" w:rsidRPr="002C1513" w:rsidTr="00F53BEA">
        <w:tc>
          <w:tcPr>
            <w:tcW w:w="2026" w:type="dxa"/>
            <w:shd w:val="clear" w:color="auto" w:fill="auto"/>
          </w:tcPr>
          <w:p w:rsidR="00B7408C" w:rsidRPr="002C1513" w:rsidRDefault="00B7408C" w:rsidP="00D83A31">
            <w:pPr>
              <w:tabs>
                <w:tab w:val="left" w:pos="567"/>
              </w:tabs>
              <w:spacing w:line="260" w:lineRule="exact"/>
              <w:ind w:left="0" w:firstLine="0"/>
              <w:rPr>
                <w:szCs w:val="22"/>
                <w:u w:val="single"/>
              </w:rPr>
            </w:pPr>
          </w:p>
        </w:tc>
        <w:tc>
          <w:tcPr>
            <w:tcW w:w="1769" w:type="dxa"/>
            <w:shd w:val="clear" w:color="auto" w:fill="auto"/>
          </w:tcPr>
          <w:p w:rsidR="00D419A9" w:rsidRPr="002C1513" w:rsidRDefault="00D419A9" w:rsidP="00D419A9">
            <w:pPr>
              <w:pStyle w:val="Default"/>
              <w:rPr>
                <w:sz w:val="22"/>
                <w:szCs w:val="22"/>
              </w:rPr>
            </w:pPr>
            <w:r w:rsidRPr="002C1513">
              <w:rPr>
                <w:sz w:val="22"/>
                <w:szCs w:val="22"/>
              </w:rPr>
              <w:t>Pády</w:t>
            </w:r>
            <w:r w:rsidRPr="002C1513">
              <w:rPr>
                <w:sz w:val="22"/>
                <w:szCs w:val="22"/>
                <w:vertAlign w:val="superscript"/>
              </w:rPr>
              <w:t>8</w:t>
            </w:r>
            <w:r w:rsidRPr="002C1513">
              <w:rPr>
                <w:sz w:val="22"/>
                <w:szCs w:val="22"/>
              </w:rPr>
              <w:t xml:space="preserve"> </w:t>
            </w:r>
          </w:p>
          <w:p w:rsidR="00B7408C" w:rsidRPr="002C1513" w:rsidRDefault="00D419A9" w:rsidP="00D419A9">
            <w:pPr>
              <w:tabs>
                <w:tab w:val="left" w:pos="567"/>
              </w:tabs>
              <w:spacing w:line="260" w:lineRule="exact"/>
              <w:ind w:left="0" w:firstLine="0"/>
              <w:rPr>
                <w:szCs w:val="22"/>
                <w:u w:val="single"/>
              </w:rPr>
            </w:pPr>
            <w:r w:rsidRPr="002C1513">
              <w:rPr>
                <w:szCs w:val="22"/>
              </w:rPr>
              <w:t>Únava</w:t>
            </w:r>
          </w:p>
        </w:tc>
        <w:tc>
          <w:tcPr>
            <w:tcW w:w="1903" w:type="dxa"/>
            <w:shd w:val="clear" w:color="auto" w:fill="auto"/>
          </w:tcPr>
          <w:p w:rsidR="00D419A9" w:rsidRPr="002C1513" w:rsidRDefault="00D419A9" w:rsidP="00D419A9">
            <w:pPr>
              <w:pStyle w:val="Default"/>
              <w:rPr>
                <w:sz w:val="14"/>
                <w:szCs w:val="14"/>
              </w:rPr>
            </w:pPr>
            <w:r w:rsidRPr="002C1513">
              <w:rPr>
                <w:sz w:val="22"/>
                <w:szCs w:val="22"/>
              </w:rPr>
              <w:t>Bolesť v hrudi</w:t>
            </w:r>
            <w:r w:rsidRPr="002C1513">
              <w:rPr>
                <w:sz w:val="22"/>
                <w:szCs w:val="22"/>
                <w:vertAlign w:val="superscript"/>
              </w:rPr>
              <w:t>7</w:t>
            </w:r>
            <w:r w:rsidRPr="002C1513">
              <w:rPr>
                <w:sz w:val="14"/>
                <w:szCs w:val="14"/>
              </w:rPr>
              <w:t xml:space="preserve"> </w:t>
            </w:r>
          </w:p>
          <w:p w:rsidR="00D419A9" w:rsidRPr="002C1513" w:rsidRDefault="00D419A9" w:rsidP="00D419A9">
            <w:pPr>
              <w:pStyle w:val="Default"/>
              <w:rPr>
                <w:sz w:val="22"/>
                <w:szCs w:val="22"/>
              </w:rPr>
            </w:pPr>
            <w:r w:rsidRPr="002C1513">
              <w:rPr>
                <w:sz w:val="22"/>
                <w:szCs w:val="22"/>
              </w:rPr>
              <w:t xml:space="preserve">Neobvyklé pocity </w:t>
            </w:r>
          </w:p>
          <w:p w:rsidR="00D419A9" w:rsidRPr="002C1513" w:rsidRDefault="00D419A9" w:rsidP="00D419A9">
            <w:pPr>
              <w:pStyle w:val="Default"/>
              <w:rPr>
                <w:sz w:val="22"/>
                <w:szCs w:val="22"/>
              </w:rPr>
            </w:pPr>
            <w:r w:rsidRPr="002C1513">
              <w:rPr>
                <w:sz w:val="22"/>
                <w:szCs w:val="22"/>
              </w:rPr>
              <w:t xml:space="preserve">Pocit chladu </w:t>
            </w:r>
          </w:p>
          <w:p w:rsidR="00D419A9" w:rsidRPr="002C1513" w:rsidRDefault="00D419A9" w:rsidP="00D419A9">
            <w:pPr>
              <w:pStyle w:val="Default"/>
              <w:rPr>
                <w:sz w:val="22"/>
                <w:szCs w:val="22"/>
              </w:rPr>
            </w:pPr>
            <w:r w:rsidRPr="002C1513">
              <w:rPr>
                <w:sz w:val="22"/>
                <w:szCs w:val="22"/>
              </w:rPr>
              <w:t xml:space="preserve">Smäd </w:t>
            </w:r>
          </w:p>
          <w:p w:rsidR="00D419A9" w:rsidRPr="002C1513" w:rsidRDefault="00D419A9" w:rsidP="00D419A9">
            <w:pPr>
              <w:pStyle w:val="Default"/>
              <w:rPr>
                <w:sz w:val="22"/>
                <w:szCs w:val="22"/>
              </w:rPr>
            </w:pPr>
            <w:r w:rsidRPr="002C1513">
              <w:rPr>
                <w:sz w:val="22"/>
                <w:szCs w:val="22"/>
              </w:rPr>
              <w:t xml:space="preserve">Zimnica </w:t>
            </w:r>
          </w:p>
          <w:p w:rsidR="00D419A9" w:rsidRPr="002C1513" w:rsidRDefault="00D419A9" w:rsidP="00D419A9">
            <w:pPr>
              <w:pStyle w:val="Default"/>
              <w:rPr>
                <w:sz w:val="22"/>
                <w:szCs w:val="22"/>
              </w:rPr>
            </w:pPr>
            <w:r w:rsidRPr="002C1513">
              <w:rPr>
                <w:sz w:val="22"/>
                <w:szCs w:val="22"/>
              </w:rPr>
              <w:t xml:space="preserve">Malátnosť </w:t>
            </w:r>
          </w:p>
          <w:p w:rsidR="00D419A9" w:rsidRPr="002C1513" w:rsidRDefault="00D419A9" w:rsidP="00D419A9">
            <w:pPr>
              <w:pStyle w:val="Default"/>
              <w:rPr>
                <w:sz w:val="22"/>
                <w:szCs w:val="22"/>
              </w:rPr>
            </w:pPr>
            <w:r w:rsidRPr="002C1513">
              <w:rPr>
                <w:sz w:val="22"/>
                <w:szCs w:val="22"/>
              </w:rPr>
              <w:t xml:space="preserve">Pocit tepla </w:t>
            </w:r>
          </w:p>
          <w:p w:rsidR="00B7408C" w:rsidRPr="002C1513" w:rsidRDefault="00D419A9" w:rsidP="00D419A9">
            <w:pPr>
              <w:tabs>
                <w:tab w:val="left" w:pos="567"/>
              </w:tabs>
              <w:spacing w:line="260" w:lineRule="exact"/>
              <w:ind w:left="0" w:firstLine="0"/>
              <w:rPr>
                <w:szCs w:val="22"/>
                <w:u w:val="single"/>
              </w:rPr>
            </w:pPr>
            <w:r w:rsidRPr="002C1513">
              <w:rPr>
                <w:szCs w:val="22"/>
              </w:rPr>
              <w:t>Porucha chôdze</w:t>
            </w:r>
          </w:p>
        </w:tc>
        <w:tc>
          <w:tcPr>
            <w:tcW w:w="1841" w:type="dxa"/>
            <w:shd w:val="clear" w:color="auto" w:fill="auto"/>
          </w:tcPr>
          <w:p w:rsidR="00B7408C" w:rsidRPr="002C1513" w:rsidRDefault="00B7408C" w:rsidP="00D83A31">
            <w:pPr>
              <w:tabs>
                <w:tab w:val="left" w:pos="567"/>
              </w:tabs>
              <w:spacing w:line="260" w:lineRule="exact"/>
              <w:ind w:left="0" w:firstLine="0"/>
              <w:rPr>
                <w:szCs w:val="22"/>
                <w:u w:val="single"/>
              </w:rPr>
            </w:pPr>
          </w:p>
        </w:tc>
        <w:tc>
          <w:tcPr>
            <w:tcW w:w="1747" w:type="dxa"/>
            <w:shd w:val="clear" w:color="auto" w:fill="auto"/>
          </w:tcPr>
          <w:p w:rsidR="00B7408C" w:rsidRPr="002C1513" w:rsidRDefault="00B7408C" w:rsidP="00D83A31">
            <w:pPr>
              <w:tabs>
                <w:tab w:val="left" w:pos="567"/>
              </w:tabs>
              <w:spacing w:line="260" w:lineRule="exact"/>
              <w:ind w:left="0" w:firstLine="0"/>
              <w:rPr>
                <w:szCs w:val="22"/>
                <w:u w:val="single"/>
              </w:rPr>
            </w:pPr>
          </w:p>
        </w:tc>
      </w:tr>
      <w:tr w:rsidR="00D419A9" w:rsidRPr="002C1513" w:rsidTr="00FA7149">
        <w:tc>
          <w:tcPr>
            <w:tcW w:w="9286" w:type="dxa"/>
            <w:gridSpan w:val="5"/>
            <w:shd w:val="clear" w:color="auto" w:fill="auto"/>
          </w:tcPr>
          <w:p w:rsidR="00D419A9" w:rsidRPr="002C1513" w:rsidRDefault="00D419A9" w:rsidP="00D83A31">
            <w:pPr>
              <w:tabs>
                <w:tab w:val="left" w:pos="567"/>
              </w:tabs>
              <w:spacing w:line="260" w:lineRule="exact"/>
              <w:ind w:left="0" w:firstLine="0"/>
              <w:rPr>
                <w:szCs w:val="22"/>
                <w:u w:val="single"/>
              </w:rPr>
            </w:pPr>
            <w:r w:rsidRPr="002C1513">
              <w:rPr>
                <w:i/>
                <w:iCs/>
                <w:szCs w:val="22"/>
              </w:rPr>
              <w:t>Laboratórne a funkčné vyšetrenia</w:t>
            </w:r>
          </w:p>
        </w:tc>
      </w:tr>
      <w:tr w:rsidR="00B7408C" w:rsidRPr="002C1513" w:rsidTr="00F53BEA">
        <w:tc>
          <w:tcPr>
            <w:tcW w:w="2026" w:type="dxa"/>
            <w:shd w:val="clear" w:color="auto" w:fill="auto"/>
          </w:tcPr>
          <w:p w:rsidR="00B7408C" w:rsidRPr="002C1513" w:rsidRDefault="00B7408C" w:rsidP="00D83A31">
            <w:pPr>
              <w:tabs>
                <w:tab w:val="left" w:pos="567"/>
              </w:tabs>
              <w:spacing w:line="260" w:lineRule="exact"/>
              <w:ind w:left="0" w:firstLine="0"/>
              <w:rPr>
                <w:szCs w:val="22"/>
                <w:u w:val="single"/>
              </w:rPr>
            </w:pPr>
          </w:p>
        </w:tc>
        <w:tc>
          <w:tcPr>
            <w:tcW w:w="1769" w:type="dxa"/>
            <w:shd w:val="clear" w:color="auto" w:fill="auto"/>
          </w:tcPr>
          <w:p w:rsidR="00B7408C" w:rsidRPr="002C1513" w:rsidRDefault="00D419A9" w:rsidP="00D83A31">
            <w:pPr>
              <w:tabs>
                <w:tab w:val="left" w:pos="567"/>
              </w:tabs>
              <w:spacing w:line="260" w:lineRule="exact"/>
              <w:ind w:left="0" w:firstLine="0"/>
              <w:rPr>
                <w:szCs w:val="22"/>
                <w:u w:val="single"/>
              </w:rPr>
            </w:pPr>
            <w:r w:rsidRPr="002C1513">
              <w:rPr>
                <w:szCs w:val="22"/>
              </w:rPr>
              <w:t>Pokles hmotnosti</w:t>
            </w:r>
          </w:p>
        </w:tc>
        <w:tc>
          <w:tcPr>
            <w:tcW w:w="1903" w:type="dxa"/>
            <w:shd w:val="clear" w:color="auto" w:fill="auto"/>
          </w:tcPr>
          <w:p w:rsidR="00D419A9" w:rsidRPr="002C1513" w:rsidRDefault="00D419A9" w:rsidP="00D419A9">
            <w:pPr>
              <w:pStyle w:val="Default"/>
              <w:rPr>
                <w:sz w:val="22"/>
                <w:szCs w:val="22"/>
              </w:rPr>
            </w:pPr>
            <w:r w:rsidRPr="002C1513">
              <w:rPr>
                <w:sz w:val="22"/>
                <w:szCs w:val="22"/>
              </w:rPr>
              <w:t xml:space="preserve">Nárast hmotnosti </w:t>
            </w:r>
          </w:p>
          <w:p w:rsidR="00D419A9" w:rsidRPr="002C1513" w:rsidRDefault="00D419A9" w:rsidP="00D419A9">
            <w:pPr>
              <w:pStyle w:val="Default"/>
              <w:rPr>
                <w:sz w:val="22"/>
                <w:szCs w:val="22"/>
              </w:rPr>
            </w:pPr>
            <w:r w:rsidRPr="002C1513">
              <w:rPr>
                <w:sz w:val="22"/>
                <w:szCs w:val="22"/>
              </w:rPr>
              <w:t xml:space="preserve">Zvýšená hladina kreatinínfosfoki-názy v krvi </w:t>
            </w:r>
          </w:p>
          <w:p w:rsidR="00B7408C" w:rsidRPr="002C1513" w:rsidRDefault="00D419A9" w:rsidP="00D419A9">
            <w:pPr>
              <w:tabs>
                <w:tab w:val="left" w:pos="567"/>
              </w:tabs>
              <w:spacing w:line="260" w:lineRule="exact"/>
              <w:ind w:left="0" w:firstLine="0"/>
              <w:rPr>
                <w:szCs w:val="22"/>
                <w:u w:val="single"/>
              </w:rPr>
            </w:pPr>
            <w:r w:rsidRPr="002C1513">
              <w:rPr>
                <w:szCs w:val="22"/>
              </w:rPr>
              <w:t>Zvýšená hladina draslíka v krvi</w:t>
            </w:r>
          </w:p>
        </w:tc>
        <w:tc>
          <w:tcPr>
            <w:tcW w:w="1841" w:type="dxa"/>
            <w:shd w:val="clear" w:color="auto" w:fill="auto"/>
          </w:tcPr>
          <w:p w:rsidR="00B7408C" w:rsidRPr="002C1513" w:rsidRDefault="00D419A9" w:rsidP="00D83A31">
            <w:pPr>
              <w:tabs>
                <w:tab w:val="left" w:pos="567"/>
              </w:tabs>
              <w:spacing w:line="260" w:lineRule="exact"/>
              <w:ind w:left="0" w:firstLine="0"/>
              <w:rPr>
                <w:szCs w:val="22"/>
                <w:u w:val="single"/>
              </w:rPr>
            </w:pPr>
            <w:r w:rsidRPr="002C1513">
              <w:rPr>
                <w:szCs w:val="22"/>
              </w:rPr>
              <w:t>Zvýšená hladina cholesterolu v krvi</w:t>
            </w:r>
          </w:p>
        </w:tc>
        <w:tc>
          <w:tcPr>
            <w:tcW w:w="1747" w:type="dxa"/>
            <w:shd w:val="clear" w:color="auto" w:fill="auto"/>
          </w:tcPr>
          <w:p w:rsidR="00B7408C" w:rsidRPr="002C1513" w:rsidRDefault="00B7408C" w:rsidP="00D83A31">
            <w:pPr>
              <w:tabs>
                <w:tab w:val="left" w:pos="567"/>
              </w:tabs>
              <w:spacing w:line="260" w:lineRule="exact"/>
              <w:ind w:left="0" w:firstLine="0"/>
              <w:rPr>
                <w:szCs w:val="22"/>
                <w:u w:val="single"/>
              </w:rPr>
            </w:pPr>
          </w:p>
        </w:tc>
      </w:tr>
    </w:tbl>
    <w:p w:rsidR="00D419A9" w:rsidRPr="002C1513" w:rsidRDefault="00D419A9" w:rsidP="000B0B4B">
      <w:pPr>
        <w:ind w:left="0" w:firstLine="0"/>
        <w:rPr>
          <w:szCs w:val="22"/>
          <w:u w:val="single"/>
        </w:rPr>
      </w:pPr>
    </w:p>
    <w:p w:rsidR="00CF24D5" w:rsidRPr="002C1513" w:rsidRDefault="00CF24D5" w:rsidP="00CF24D5">
      <w:pPr>
        <w:pStyle w:val="Default"/>
        <w:rPr>
          <w:sz w:val="22"/>
          <w:szCs w:val="22"/>
        </w:rPr>
      </w:pPr>
      <w:r w:rsidRPr="002C1513">
        <w:rPr>
          <w:sz w:val="22"/>
          <w:szCs w:val="22"/>
          <w:vertAlign w:val="superscript"/>
        </w:rPr>
        <w:t>1</w:t>
      </w:r>
      <w:r w:rsidRPr="002C1513">
        <w:rPr>
          <w:sz w:val="22"/>
          <w:szCs w:val="22"/>
        </w:rPr>
        <w:t xml:space="preserve"> Boli hlásené tiež prípady kŕčov a tinnitu po skončení liečby. </w:t>
      </w:r>
    </w:p>
    <w:p w:rsidR="00CF24D5" w:rsidRPr="002C1513" w:rsidRDefault="00CF24D5" w:rsidP="00CF24D5">
      <w:pPr>
        <w:pStyle w:val="Default"/>
        <w:rPr>
          <w:sz w:val="22"/>
          <w:szCs w:val="22"/>
        </w:rPr>
      </w:pPr>
      <w:r w:rsidRPr="002C1513">
        <w:rPr>
          <w:sz w:val="22"/>
          <w:szCs w:val="22"/>
          <w:vertAlign w:val="superscript"/>
        </w:rPr>
        <w:t>2</w:t>
      </w:r>
      <w:r w:rsidRPr="002C1513">
        <w:rPr>
          <w:sz w:val="22"/>
          <w:szCs w:val="22"/>
        </w:rPr>
        <w:t xml:space="preserve"> Boli hlásené prípady ortostatickej hypotenzie a synkopy hlavne na začiatku liečby. </w:t>
      </w:r>
    </w:p>
    <w:p w:rsidR="00CF24D5" w:rsidRPr="002C1513" w:rsidRDefault="00CF24D5" w:rsidP="00CF24D5">
      <w:pPr>
        <w:pStyle w:val="Default"/>
        <w:rPr>
          <w:sz w:val="22"/>
          <w:szCs w:val="22"/>
        </w:rPr>
      </w:pPr>
      <w:r w:rsidRPr="002C1513">
        <w:rPr>
          <w:sz w:val="22"/>
          <w:szCs w:val="22"/>
          <w:vertAlign w:val="superscript"/>
        </w:rPr>
        <w:t>3</w:t>
      </w:r>
      <w:r w:rsidRPr="002C1513">
        <w:rPr>
          <w:sz w:val="22"/>
          <w:szCs w:val="22"/>
        </w:rPr>
        <w:t xml:space="preserve"> Pozri časť 4.4. </w:t>
      </w:r>
    </w:p>
    <w:p w:rsidR="00CF24D5" w:rsidRPr="002C1513" w:rsidRDefault="00CF24D5" w:rsidP="00CF24D5">
      <w:pPr>
        <w:pStyle w:val="Default"/>
        <w:rPr>
          <w:sz w:val="22"/>
          <w:szCs w:val="22"/>
        </w:rPr>
      </w:pPr>
      <w:r w:rsidRPr="002C1513">
        <w:rPr>
          <w:sz w:val="22"/>
          <w:szCs w:val="22"/>
          <w:vertAlign w:val="superscript"/>
        </w:rPr>
        <w:t>4</w:t>
      </w:r>
      <w:r w:rsidRPr="002C1513">
        <w:rPr>
          <w:sz w:val="22"/>
          <w:szCs w:val="22"/>
        </w:rPr>
        <w:t xml:space="preserve"> Boli hlásené prípady agresivity a hnevu hlavne na začiatku liečby alebo po skončení liečby. </w:t>
      </w:r>
    </w:p>
    <w:p w:rsidR="00CF24D5" w:rsidRPr="002C1513" w:rsidRDefault="00CF24D5" w:rsidP="00CF24D5">
      <w:pPr>
        <w:pStyle w:val="Default"/>
        <w:rPr>
          <w:sz w:val="22"/>
          <w:szCs w:val="22"/>
        </w:rPr>
      </w:pPr>
      <w:r w:rsidRPr="002C1513">
        <w:rPr>
          <w:sz w:val="22"/>
          <w:szCs w:val="22"/>
          <w:vertAlign w:val="superscript"/>
        </w:rPr>
        <w:t>5</w:t>
      </w:r>
      <w:r w:rsidRPr="002C1513">
        <w:rPr>
          <w:sz w:val="22"/>
          <w:szCs w:val="22"/>
        </w:rPr>
        <w:t xml:space="preserve"> Boli hlásené prípady samovražedných myšlienok a samovražedného správania počas liečby duloxetínom alebo v krátkom čase po skončení liečby (pozri časť 4.4). </w:t>
      </w:r>
    </w:p>
    <w:p w:rsidR="00CF24D5" w:rsidRPr="002C1513" w:rsidRDefault="00CF24D5" w:rsidP="00CF24D5">
      <w:pPr>
        <w:pStyle w:val="Default"/>
        <w:rPr>
          <w:sz w:val="22"/>
          <w:szCs w:val="22"/>
        </w:rPr>
      </w:pPr>
      <w:r w:rsidRPr="002C1513">
        <w:rPr>
          <w:sz w:val="22"/>
          <w:szCs w:val="22"/>
          <w:vertAlign w:val="superscript"/>
        </w:rPr>
        <w:t xml:space="preserve">6 </w:t>
      </w:r>
      <w:r w:rsidRPr="002C1513">
        <w:rPr>
          <w:sz w:val="22"/>
          <w:szCs w:val="22"/>
        </w:rPr>
        <w:t xml:space="preserve">Odhadovaná frekvencia nežiaducich reakcií na základe sledovania po uvedení lieku na trh: nepozorované v placebom kontrolovaných klinických skúšaniach. </w:t>
      </w:r>
    </w:p>
    <w:p w:rsidR="00CF24D5" w:rsidRPr="002C1513" w:rsidRDefault="00CF24D5" w:rsidP="00CF24D5">
      <w:pPr>
        <w:pStyle w:val="Default"/>
        <w:rPr>
          <w:sz w:val="22"/>
          <w:szCs w:val="22"/>
        </w:rPr>
      </w:pPr>
      <w:r w:rsidRPr="002C1513">
        <w:rPr>
          <w:sz w:val="22"/>
          <w:szCs w:val="22"/>
          <w:vertAlign w:val="superscript"/>
        </w:rPr>
        <w:t>7</w:t>
      </w:r>
      <w:r w:rsidRPr="002C1513">
        <w:rPr>
          <w:sz w:val="22"/>
          <w:szCs w:val="22"/>
        </w:rPr>
        <w:t xml:space="preserve"> Nie je štatisticky významný rozdiel oproti placebu. </w:t>
      </w:r>
    </w:p>
    <w:p w:rsidR="00CF24D5" w:rsidRPr="002C1513" w:rsidRDefault="00CF24D5" w:rsidP="00CF24D5">
      <w:pPr>
        <w:pStyle w:val="Default"/>
        <w:rPr>
          <w:sz w:val="22"/>
          <w:szCs w:val="22"/>
        </w:rPr>
      </w:pPr>
      <w:r w:rsidRPr="002C1513">
        <w:rPr>
          <w:sz w:val="22"/>
          <w:szCs w:val="22"/>
          <w:vertAlign w:val="superscript"/>
        </w:rPr>
        <w:lastRenderedPageBreak/>
        <w:t xml:space="preserve">8 </w:t>
      </w:r>
      <w:r w:rsidRPr="002C1513">
        <w:rPr>
          <w:sz w:val="22"/>
          <w:szCs w:val="22"/>
        </w:rPr>
        <w:t xml:space="preserve">Pády boli častejšie u starších pacientov (≥ 65 rokov). </w:t>
      </w:r>
    </w:p>
    <w:p w:rsidR="00CF24D5" w:rsidRPr="002C1513" w:rsidRDefault="00CF24D5" w:rsidP="00CF24D5">
      <w:pPr>
        <w:pStyle w:val="Default"/>
        <w:rPr>
          <w:sz w:val="22"/>
          <w:szCs w:val="22"/>
        </w:rPr>
      </w:pPr>
      <w:r w:rsidRPr="002C1513">
        <w:rPr>
          <w:sz w:val="22"/>
          <w:szCs w:val="22"/>
          <w:vertAlign w:val="superscript"/>
        </w:rPr>
        <w:t>9</w:t>
      </w:r>
      <w:r w:rsidRPr="002C1513">
        <w:rPr>
          <w:sz w:val="22"/>
          <w:szCs w:val="22"/>
        </w:rPr>
        <w:t xml:space="preserve"> Odhadovaná frekvencia na základe údajov zo všetkých klinických skúšaní. </w:t>
      </w:r>
    </w:p>
    <w:p w:rsidR="00CF24D5" w:rsidRPr="002C1513" w:rsidRDefault="00CF24D5" w:rsidP="00CF24D5">
      <w:pPr>
        <w:pStyle w:val="Default"/>
        <w:rPr>
          <w:i/>
          <w:iCs/>
          <w:sz w:val="22"/>
          <w:szCs w:val="22"/>
        </w:rPr>
      </w:pPr>
    </w:p>
    <w:p w:rsidR="00CF24D5" w:rsidRPr="002C1513" w:rsidRDefault="00CF24D5" w:rsidP="00CF24D5">
      <w:pPr>
        <w:pStyle w:val="Default"/>
        <w:rPr>
          <w:sz w:val="22"/>
          <w:szCs w:val="22"/>
        </w:rPr>
      </w:pPr>
      <w:r w:rsidRPr="002C1513">
        <w:rPr>
          <w:i/>
          <w:iCs/>
          <w:sz w:val="22"/>
          <w:szCs w:val="22"/>
        </w:rPr>
        <w:t xml:space="preserve">c. Opis vybraných nežiaducich reakcií </w:t>
      </w:r>
    </w:p>
    <w:p w:rsidR="00CF24D5" w:rsidRPr="002C1513" w:rsidRDefault="00CF24D5" w:rsidP="00CF24D5">
      <w:pPr>
        <w:pStyle w:val="Default"/>
        <w:rPr>
          <w:sz w:val="22"/>
          <w:szCs w:val="22"/>
        </w:rPr>
      </w:pPr>
      <w:r w:rsidRPr="002C1513">
        <w:rPr>
          <w:sz w:val="22"/>
          <w:szCs w:val="22"/>
        </w:rPr>
        <w:t>Vysadenie duloxetínu (hlavne náhle) vedie často k vzniku príznakov z vysadenia. Najčastejšie sú hlásené tieto reakcie: závrat, senzorické poruchy (vrátane parestézie alebo vnemov ako pri elektrickom šoku, najmä v hlave), poruchy spánku (vrátane insomnie a intenzívnych snov), únava, ospalosť, agitovanosť alebo úzkosť, nauzea a/alebo vracanie, tras, bolesť hlavy, myalgia, podráždenosť, hnačka a zvýšené potenie</w:t>
      </w:r>
      <w:r w:rsidR="009162B8">
        <w:rPr>
          <w:sz w:val="22"/>
          <w:szCs w:val="22"/>
        </w:rPr>
        <w:t xml:space="preserve"> a vertigo</w:t>
      </w:r>
      <w:r w:rsidRPr="002C1513">
        <w:rPr>
          <w:sz w:val="22"/>
          <w:szCs w:val="22"/>
        </w:rPr>
        <w:t xml:space="preserve">. </w:t>
      </w:r>
    </w:p>
    <w:p w:rsidR="00CF24D5" w:rsidRPr="002C1513" w:rsidRDefault="00CF24D5" w:rsidP="00CF24D5">
      <w:pPr>
        <w:ind w:left="0" w:firstLine="0"/>
        <w:rPr>
          <w:szCs w:val="22"/>
        </w:rPr>
      </w:pPr>
    </w:p>
    <w:p w:rsidR="00CF24D5" w:rsidRPr="002C1513" w:rsidRDefault="00CF24D5" w:rsidP="00CF24D5">
      <w:pPr>
        <w:ind w:left="0" w:firstLine="0"/>
        <w:rPr>
          <w:szCs w:val="22"/>
        </w:rPr>
      </w:pPr>
      <w:r w:rsidRPr="002C1513">
        <w:rPr>
          <w:szCs w:val="22"/>
        </w:rPr>
        <w:t>Zvyčajne sú tieto reakcie, v prípade SSRI a SNRI, mierne až stredne závažné a samé odznejú, avšak u niektorých pacientov môžu byť závažné a/alebo dlhšieho trvania. Preto sa odporúča, ak nie je liečba duloxetínom ďalej potrebná, postupné vysadenie liečby znižovaním dávky (pozri časti 4.2 a 4.4).</w:t>
      </w:r>
    </w:p>
    <w:p w:rsidR="0097452B" w:rsidRPr="002C1513" w:rsidRDefault="0097452B" w:rsidP="00CF24D5">
      <w:pPr>
        <w:ind w:left="0" w:firstLine="0"/>
        <w:rPr>
          <w:szCs w:val="22"/>
        </w:rPr>
      </w:pPr>
    </w:p>
    <w:p w:rsidR="0097452B" w:rsidRPr="002C1513" w:rsidRDefault="0097452B" w:rsidP="0097452B">
      <w:pPr>
        <w:pStyle w:val="Default"/>
        <w:rPr>
          <w:sz w:val="22"/>
          <w:szCs w:val="22"/>
        </w:rPr>
      </w:pPr>
      <w:r w:rsidRPr="002C1513">
        <w:rPr>
          <w:sz w:val="22"/>
          <w:szCs w:val="22"/>
        </w:rPr>
        <w:t>V 12-týždňovej akútnej fáze troch klinických štúdií s duloxetínom u pacientov trpiacich diabetickou neuropatickou bolesťou došlo u pacientov liečených duloxetínom k miernemu, avšak štatisticky významnému zvýšeniu hladiny glukózy v krvi nalačno. Hodnoty HbA</w:t>
      </w:r>
      <w:r w:rsidRPr="002C1513">
        <w:rPr>
          <w:sz w:val="14"/>
          <w:szCs w:val="14"/>
        </w:rPr>
        <w:t xml:space="preserve">1c </w:t>
      </w:r>
      <w:r w:rsidRPr="002C1513">
        <w:rPr>
          <w:sz w:val="22"/>
          <w:szCs w:val="22"/>
        </w:rPr>
        <w:t>boli stabilné aj u pacientov liečených duloxetínom aj u pacientov s placebom. V následnej fáze týchto štúdií, ktorá trvala až 52 týždňov, sa objavilo v oboch skupinách pacientov zvýšenie hodnoty HbA</w:t>
      </w:r>
      <w:r w:rsidRPr="002C1513">
        <w:rPr>
          <w:sz w:val="14"/>
          <w:szCs w:val="14"/>
        </w:rPr>
        <w:t>1c</w:t>
      </w:r>
      <w:r w:rsidRPr="002C1513">
        <w:rPr>
          <w:sz w:val="22"/>
          <w:szCs w:val="22"/>
        </w:rPr>
        <w:t xml:space="preserve">, pričom priemerné zvýšenie bolo o 0,3 % vyššie v skupine pacientov liečených duloxetínom. Zaznamenalo sa tiež mierne zvýšenie glukózy v krvi nalačno a celkového cholesterolu u pacientov liečených duloxetínom, pričom tieto laboratórne testy v kontrolnej skupine ukázali mierny pokles. </w:t>
      </w:r>
    </w:p>
    <w:p w:rsidR="0097452B" w:rsidRPr="002C1513" w:rsidRDefault="0097452B" w:rsidP="0097452B">
      <w:pPr>
        <w:pStyle w:val="Default"/>
        <w:rPr>
          <w:sz w:val="22"/>
          <w:szCs w:val="22"/>
        </w:rPr>
      </w:pPr>
    </w:p>
    <w:p w:rsidR="0097452B" w:rsidRPr="002C1513" w:rsidRDefault="0097452B" w:rsidP="0097452B">
      <w:pPr>
        <w:pStyle w:val="Default"/>
        <w:rPr>
          <w:sz w:val="22"/>
          <w:szCs w:val="22"/>
        </w:rPr>
      </w:pPr>
      <w:r w:rsidRPr="002C1513">
        <w:rPr>
          <w:sz w:val="22"/>
          <w:szCs w:val="22"/>
        </w:rPr>
        <w:t xml:space="preserve">QT interval korigovaný podľa srdcovej frekvencie sa u pacientov liečených duloxetínom nelíšil od toho zisteného u placebom liečených pacientov. V rámci porovnania pacientov liečených duloxetínom a pacientov liečených placebom pri meraniach QT, PR, QRS, a QTcB žiadne klinicky významné rozdiely zistené neboli. </w:t>
      </w:r>
    </w:p>
    <w:p w:rsidR="0097452B" w:rsidRPr="002C1513" w:rsidRDefault="0097452B" w:rsidP="0097452B">
      <w:pPr>
        <w:pStyle w:val="Default"/>
        <w:rPr>
          <w:sz w:val="22"/>
          <w:szCs w:val="22"/>
        </w:rPr>
      </w:pPr>
    </w:p>
    <w:p w:rsidR="0097452B" w:rsidRPr="002C1513" w:rsidRDefault="0097452B" w:rsidP="0097452B">
      <w:pPr>
        <w:pStyle w:val="Default"/>
        <w:rPr>
          <w:sz w:val="22"/>
          <w:szCs w:val="22"/>
        </w:rPr>
      </w:pPr>
      <w:r w:rsidRPr="002C1513">
        <w:rPr>
          <w:i/>
          <w:iCs/>
          <w:sz w:val="22"/>
          <w:szCs w:val="22"/>
        </w:rPr>
        <w:t xml:space="preserve">d. Pediatrická populácia </w:t>
      </w:r>
    </w:p>
    <w:p w:rsidR="0097452B" w:rsidRPr="002C1513" w:rsidRDefault="0097452B" w:rsidP="0097452B">
      <w:pPr>
        <w:pStyle w:val="Default"/>
        <w:rPr>
          <w:sz w:val="22"/>
          <w:szCs w:val="22"/>
        </w:rPr>
      </w:pPr>
      <w:r w:rsidRPr="002C1513">
        <w:rPr>
          <w:sz w:val="22"/>
          <w:szCs w:val="22"/>
        </w:rPr>
        <w:t xml:space="preserve">V klinických štúdiách bolo duloxetínom liečených celkovo 509 pediatrických pacietov s veľkou depresívnou poruchou vo veku 7 až 17 rokov a 241 pediatrických pacientov s generalizovanou úzkostnou poruchou vo veku 7 až 17 rokov. Vo všeobecnosti bol profil nežiaducich reakcií u detí a dospievajúcich podobný tomu u dospelých. </w:t>
      </w:r>
    </w:p>
    <w:p w:rsidR="0097452B" w:rsidRPr="002C1513" w:rsidRDefault="0097452B" w:rsidP="0097452B">
      <w:pPr>
        <w:pStyle w:val="Default"/>
        <w:rPr>
          <w:sz w:val="22"/>
          <w:szCs w:val="22"/>
        </w:rPr>
      </w:pPr>
    </w:p>
    <w:p w:rsidR="0097452B" w:rsidRPr="002C1513" w:rsidRDefault="00414FCB" w:rsidP="0097452B">
      <w:pPr>
        <w:pStyle w:val="Default"/>
        <w:rPr>
          <w:sz w:val="22"/>
          <w:szCs w:val="22"/>
        </w:rPr>
      </w:pPr>
      <w:r>
        <w:rPr>
          <w:sz w:val="22"/>
          <w:szCs w:val="22"/>
        </w:rPr>
        <w:t> Celkovo u</w:t>
      </w:r>
      <w:r w:rsidR="0097452B" w:rsidRPr="002C1513">
        <w:rPr>
          <w:sz w:val="22"/>
          <w:szCs w:val="22"/>
        </w:rPr>
        <w:t xml:space="preserve"> 467 pediatrických pacientoch pôvodne randomizovaných na duloxetín v klinických štúdiách došlo k zníženiu hmotnosti v priemere o 0,1 kg počas 10 týždňov v porovnaní s nárastom v priemere o 0,9 kg u 353 pacientov užívajúcich placebo. Následne, počas 4- až 6-mesačnej predĺženej fázy mali pacienti v priemere tendenciu k návratu k svojmu pôvodnému percentilu hmotnosti očakávanému na základe populačných údajov o veku a pohlaví rovesníkov . </w:t>
      </w:r>
    </w:p>
    <w:p w:rsidR="0097452B" w:rsidRPr="002C1513" w:rsidRDefault="0097452B" w:rsidP="0097452B">
      <w:pPr>
        <w:ind w:left="0" w:firstLine="0"/>
        <w:rPr>
          <w:szCs w:val="22"/>
        </w:rPr>
      </w:pPr>
    </w:p>
    <w:p w:rsidR="0097452B" w:rsidRPr="002C1513" w:rsidRDefault="0097452B" w:rsidP="0097452B">
      <w:pPr>
        <w:ind w:left="0" w:firstLine="0"/>
        <w:rPr>
          <w:szCs w:val="22"/>
          <w:u w:val="single"/>
        </w:rPr>
      </w:pPr>
      <w:r w:rsidRPr="002C1513">
        <w:rPr>
          <w:szCs w:val="22"/>
        </w:rPr>
        <w:t>V klinických štúdiách v trvaní najviac 9 mesiacov bol u pediatrických pacientov liečených duloxetínom v percentilovom grafe telesnej výšky pozorovaný celkový priemerný pokles o 1 % (pokles o 2 % u detí (7-11 rokov) a nárast o 0,3 % u dospievajúcich (12-17 rokov)) (pozri časť 4.4).</w:t>
      </w:r>
    </w:p>
    <w:p w:rsidR="00CF24D5" w:rsidRPr="002C1513" w:rsidRDefault="00CF24D5" w:rsidP="000B0B4B">
      <w:pPr>
        <w:ind w:left="0" w:firstLine="0"/>
        <w:rPr>
          <w:szCs w:val="22"/>
          <w:u w:val="single"/>
        </w:rPr>
      </w:pPr>
    </w:p>
    <w:p w:rsidR="000B0B4B" w:rsidRPr="002C1513" w:rsidRDefault="000B0B4B" w:rsidP="000B0B4B">
      <w:pPr>
        <w:ind w:left="0" w:firstLine="0"/>
        <w:rPr>
          <w:szCs w:val="22"/>
          <w:u w:val="single"/>
        </w:rPr>
      </w:pPr>
      <w:r w:rsidRPr="002C1513">
        <w:rPr>
          <w:szCs w:val="22"/>
          <w:u w:val="single"/>
        </w:rPr>
        <w:t>Hlásenie podozrení na nežiaduce reakcie</w:t>
      </w:r>
    </w:p>
    <w:p w:rsidR="000B0B4B" w:rsidRPr="002C1513" w:rsidRDefault="000B0B4B" w:rsidP="000B0B4B">
      <w:pPr>
        <w:ind w:left="0" w:firstLine="0"/>
        <w:rPr>
          <w:szCs w:val="22"/>
        </w:rPr>
      </w:pPr>
      <w:r w:rsidRPr="002C1513">
        <w:rPr>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prostredníctvom </w:t>
      </w:r>
      <w:r w:rsidRPr="002C1513">
        <w:rPr>
          <w:szCs w:val="22"/>
          <w:highlight w:val="lightGray"/>
        </w:rPr>
        <w:t>národného systému hlásenia uvedeného v </w:t>
      </w:r>
      <w:hyperlink r:id="rId8" w:history="1">
        <w:r w:rsidRPr="002C1513">
          <w:rPr>
            <w:rStyle w:val="Hypertextovprepojenie"/>
            <w:szCs w:val="22"/>
            <w:highlight w:val="lightGray"/>
          </w:rPr>
          <w:t>Prílohe V</w:t>
        </w:r>
      </w:hyperlink>
      <w:r w:rsidRPr="002C1513">
        <w:rPr>
          <w:szCs w:val="22"/>
          <w:highlight w:val="lightGray"/>
        </w:rPr>
        <w:t>.</w:t>
      </w:r>
    </w:p>
    <w:p w:rsidR="009D3920" w:rsidRPr="002C1513" w:rsidRDefault="009D3920" w:rsidP="00527DED">
      <w:pPr>
        <w:ind w:left="0" w:firstLine="0"/>
        <w:rPr>
          <w:b/>
          <w:szCs w:val="22"/>
        </w:rPr>
      </w:pPr>
    </w:p>
    <w:p w:rsidR="00FF6BE0" w:rsidRPr="002C1513" w:rsidRDefault="00FF6BE0" w:rsidP="00527DED">
      <w:pPr>
        <w:rPr>
          <w:szCs w:val="22"/>
        </w:rPr>
      </w:pPr>
      <w:r w:rsidRPr="002C1513">
        <w:rPr>
          <w:b/>
          <w:szCs w:val="22"/>
        </w:rPr>
        <w:t>4.9</w:t>
      </w:r>
      <w:r w:rsidRPr="002C1513">
        <w:rPr>
          <w:b/>
          <w:szCs w:val="22"/>
        </w:rPr>
        <w:tab/>
        <w:t>Predávkovanie</w:t>
      </w:r>
    </w:p>
    <w:p w:rsidR="0097452B" w:rsidRPr="002C1513" w:rsidRDefault="0097452B" w:rsidP="0097452B">
      <w:pPr>
        <w:pStyle w:val="Default"/>
        <w:rPr>
          <w:sz w:val="22"/>
          <w:szCs w:val="22"/>
        </w:rPr>
      </w:pPr>
    </w:p>
    <w:p w:rsidR="0097452B" w:rsidRPr="002C1513" w:rsidRDefault="0097452B" w:rsidP="0097452B">
      <w:pPr>
        <w:pStyle w:val="Default"/>
        <w:rPr>
          <w:sz w:val="22"/>
          <w:szCs w:val="22"/>
        </w:rPr>
      </w:pPr>
      <w:r w:rsidRPr="002C1513">
        <w:rPr>
          <w:sz w:val="22"/>
          <w:szCs w:val="22"/>
        </w:rPr>
        <w:t xml:space="preserve">Zaznamenali prípady predávkovania duloxetínom samotným alebo v kombinácii s inými liekmi, v dávke 5 400 mg. Vyskytlo sa i niekoľko prípadov úmrtia, najmä pri predávkovaní kombináciou liekov, ale aj pri predávkovaní samotným duloxetínom v dávke približne 1000 mg. Prejavy a symptómy predávkovania (samotným duloxetínom alebo v kombinácii s inými liekmi) zahŕňajú somnolenciu, bezvedomie, sérotonínový syndróm, záchvaty, vracanie a tachykardiu. </w:t>
      </w:r>
    </w:p>
    <w:p w:rsidR="0097452B" w:rsidRPr="002C1513" w:rsidRDefault="0097452B" w:rsidP="0097452B">
      <w:pPr>
        <w:ind w:left="0" w:firstLine="0"/>
        <w:rPr>
          <w:szCs w:val="22"/>
        </w:rPr>
      </w:pPr>
    </w:p>
    <w:p w:rsidR="00DD64E1" w:rsidRPr="002C1513" w:rsidRDefault="0097452B" w:rsidP="0097452B">
      <w:pPr>
        <w:ind w:left="0" w:firstLine="0"/>
        <w:rPr>
          <w:szCs w:val="22"/>
        </w:rPr>
      </w:pPr>
      <w:r w:rsidRPr="002C1513">
        <w:rPr>
          <w:szCs w:val="22"/>
        </w:rPr>
        <w:t>Nie je známe žiadne špecifické antidotum duloxetínu, ale ak sa vyskytne sérotonínový syndróm, má sa zvážiť špecifická liečba (ako je cyproheptadín a/alebo kontrola teploty). Je potrebné zabezpečiť priechodnosť dýchacích ciest. Zároveň sa odporúča monitorovať funkciu srdca ako aj všetky vitálne funkcie, spolu s náležitými symptomatickými a podpornými opatreniami. Výplach žalúdka sa môže indikovať, ak je prevedený ihneď po požití alebo u symptomatických pacientov. Aktívne uhlie môže byť prospešné na obmedzenie absorpcie. Duloxetín má rozsiahly objem distribúcie a je málo pravdepodobné, že by forsírovaná diuréza, hemoperfúzia či výmenná perfúzia mohli byť v tomto prípade prospešné.</w:t>
      </w:r>
    </w:p>
    <w:p w:rsidR="007B0633" w:rsidRPr="002C1513" w:rsidRDefault="007B0633" w:rsidP="00527DED">
      <w:pPr>
        <w:rPr>
          <w:b/>
          <w:szCs w:val="22"/>
        </w:rPr>
      </w:pPr>
    </w:p>
    <w:p w:rsidR="0097452B" w:rsidRPr="002C1513" w:rsidRDefault="0097452B" w:rsidP="00527DED">
      <w:pPr>
        <w:rPr>
          <w:b/>
          <w:szCs w:val="22"/>
        </w:rPr>
      </w:pPr>
    </w:p>
    <w:p w:rsidR="00FF6BE0" w:rsidRPr="002C1513" w:rsidRDefault="00FF6BE0" w:rsidP="00527DED">
      <w:pPr>
        <w:rPr>
          <w:szCs w:val="22"/>
        </w:rPr>
      </w:pPr>
      <w:r w:rsidRPr="002C1513">
        <w:rPr>
          <w:b/>
          <w:szCs w:val="22"/>
        </w:rPr>
        <w:t>5.</w:t>
      </w:r>
      <w:r w:rsidRPr="002C1513">
        <w:rPr>
          <w:b/>
          <w:szCs w:val="22"/>
        </w:rPr>
        <w:tab/>
        <w:t>FARMAKOLOGICKÉ VLASTNOSTI</w:t>
      </w:r>
    </w:p>
    <w:p w:rsidR="00FF6BE0" w:rsidRPr="002C1513" w:rsidRDefault="00FF6BE0" w:rsidP="00527DED">
      <w:pPr>
        <w:rPr>
          <w:bCs/>
          <w:szCs w:val="22"/>
        </w:rPr>
      </w:pPr>
    </w:p>
    <w:p w:rsidR="00AE4E01" w:rsidRPr="002C1513" w:rsidRDefault="00AE4E01" w:rsidP="00527DED">
      <w:pPr>
        <w:rPr>
          <w:szCs w:val="22"/>
        </w:rPr>
      </w:pPr>
      <w:r w:rsidRPr="002C1513">
        <w:rPr>
          <w:b/>
          <w:szCs w:val="22"/>
        </w:rPr>
        <w:t>5.1</w:t>
      </w:r>
      <w:r w:rsidRPr="002C1513">
        <w:rPr>
          <w:b/>
          <w:szCs w:val="22"/>
        </w:rPr>
        <w:tab/>
        <w:t>Farmakodynamické vlastnosti</w:t>
      </w:r>
    </w:p>
    <w:p w:rsidR="00AE4E01" w:rsidRPr="002C1513" w:rsidRDefault="00AE4E01" w:rsidP="00527DED">
      <w:pPr>
        <w:rPr>
          <w:szCs w:val="22"/>
        </w:rPr>
      </w:pPr>
    </w:p>
    <w:p w:rsidR="00952B3E" w:rsidRPr="002C1513" w:rsidRDefault="00AE4E01" w:rsidP="00665AB2">
      <w:pPr>
        <w:autoSpaceDE w:val="0"/>
        <w:autoSpaceDN w:val="0"/>
        <w:adjustRightInd w:val="0"/>
        <w:ind w:left="0" w:firstLine="0"/>
        <w:rPr>
          <w:szCs w:val="22"/>
          <w:lang w:eastAsia="en-US"/>
        </w:rPr>
      </w:pPr>
      <w:r w:rsidRPr="002C1513">
        <w:rPr>
          <w:szCs w:val="22"/>
          <w:lang w:eastAsia="ja-JP"/>
        </w:rPr>
        <w:t>Farmakoterapeutická skupina:</w:t>
      </w:r>
      <w:r w:rsidR="00231034" w:rsidRPr="002C1513">
        <w:rPr>
          <w:szCs w:val="22"/>
          <w:lang w:eastAsia="ja-JP"/>
        </w:rPr>
        <w:t xml:space="preserve"> </w:t>
      </w:r>
      <w:r w:rsidR="00665AB2" w:rsidRPr="002C1513">
        <w:rPr>
          <w:szCs w:val="22"/>
        </w:rPr>
        <w:t>Iné antidepresíva, ATC kód: N06AX21.</w:t>
      </w:r>
    </w:p>
    <w:p w:rsidR="00952B3E" w:rsidRPr="002C1513" w:rsidRDefault="00952B3E" w:rsidP="00952B3E">
      <w:pPr>
        <w:autoSpaceDE w:val="0"/>
        <w:autoSpaceDN w:val="0"/>
        <w:adjustRightInd w:val="0"/>
        <w:ind w:left="0" w:firstLine="0"/>
        <w:rPr>
          <w:i/>
          <w:iCs/>
          <w:szCs w:val="22"/>
          <w:lang w:eastAsia="en-US"/>
        </w:rPr>
      </w:pPr>
    </w:p>
    <w:p w:rsidR="00665AB2" w:rsidRPr="002C1513" w:rsidRDefault="00665AB2" w:rsidP="00665AB2">
      <w:pPr>
        <w:pStyle w:val="Default"/>
        <w:rPr>
          <w:sz w:val="22"/>
          <w:szCs w:val="22"/>
        </w:rPr>
      </w:pPr>
      <w:r w:rsidRPr="002C1513">
        <w:rPr>
          <w:i/>
          <w:iCs/>
          <w:sz w:val="22"/>
          <w:szCs w:val="22"/>
        </w:rPr>
        <w:t xml:space="preserve">Mechanizmus účinku </w:t>
      </w:r>
    </w:p>
    <w:p w:rsidR="00665AB2" w:rsidRPr="002C1513" w:rsidRDefault="00665AB2" w:rsidP="00665AB2">
      <w:pPr>
        <w:pStyle w:val="Default"/>
        <w:rPr>
          <w:sz w:val="22"/>
          <w:szCs w:val="22"/>
        </w:rPr>
      </w:pPr>
      <w:r w:rsidRPr="002C1513">
        <w:rPr>
          <w:sz w:val="22"/>
          <w:szCs w:val="22"/>
        </w:rPr>
        <w:t xml:space="preserve">Duloxetín je kombinovaný inhibítor spätného vychytávania sérotonínu (5-HT) a noradrenalínu (NA). Slabo inhibuje spätné vychytávanie dopamínu, bez významnej afinity k histamínovým, </w:t>
      </w:r>
      <w:r w:rsidR="00E949C8" w:rsidRPr="002C1513">
        <w:rPr>
          <w:sz w:val="22"/>
          <w:szCs w:val="22"/>
        </w:rPr>
        <w:t>dopaminerg</w:t>
      </w:r>
      <w:r w:rsidR="00E949C8">
        <w:rPr>
          <w:sz w:val="22"/>
          <w:szCs w:val="22"/>
        </w:rPr>
        <w:t>n</w:t>
      </w:r>
      <w:r w:rsidR="00E949C8" w:rsidRPr="002C1513">
        <w:rPr>
          <w:sz w:val="22"/>
          <w:szCs w:val="22"/>
        </w:rPr>
        <w:t>ým</w:t>
      </w:r>
      <w:r w:rsidRPr="002C1513">
        <w:rPr>
          <w:sz w:val="22"/>
          <w:szCs w:val="22"/>
        </w:rPr>
        <w:t xml:space="preserve">, </w:t>
      </w:r>
      <w:r w:rsidR="00E949C8" w:rsidRPr="002C1513">
        <w:rPr>
          <w:sz w:val="22"/>
          <w:szCs w:val="22"/>
        </w:rPr>
        <w:t>cholinerg</w:t>
      </w:r>
      <w:r w:rsidR="00E949C8">
        <w:rPr>
          <w:sz w:val="22"/>
          <w:szCs w:val="22"/>
        </w:rPr>
        <w:t>n</w:t>
      </w:r>
      <w:r w:rsidR="00E949C8" w:rsidRPr="002C1513">
        <w:rPr>
          <w:sz w:val="22"/>
          <w:szCs w:val="22"/>
        </w:rPr>
        <w:t xml:space="preserve">ým </w:t>
      </w:r>
      <w:r w:rsidRPr="002C1513">
        <w:rPr>
          <w:sz w:val="22"/>
          <w:szCs w:val="22"/>
        </w:rPr>
        <w:t xml:space="preserve">a </w:t>
      </w:r>
      <w:r w:rsidR="00E949C8" w:rsidRPr="002C1513">
        <w:rPr>
          <w:sz w:val="22"/>
          <w:szCs w:val="22"/>
        </w:rPr>
        <w:t>adrener</w:t>
      </w:r>
      <w:r w:rsidR="00E949C8">
        <w:rPr>
          <w:sz w:val="22"/>
          <w:szCs w:val="22"/>
        </w:rPr>
        <w:t>n</w:t>
      </w:r>
      <w:r w:rsidR="00E949C8" w:rsidRPr="002C1513">
        <w:rPr>
          <w:sz w:val="22"/>
          <w:szCs w:val="22"/>
        </w:rPr>
        <w:t xml:space="preserve">ým </w:t>
      </w:r>
      <w:r w:rsidRPr="002C1513">
        <w:rPr>
          <w:sz w:val="22"/>
          <w:szCs w:val="22"/>
        </w:rPr>
        <w:t xml:space="preserve">receptorom. V závislosti od dávky zvyšuje duloxetín extracelulárne hladiny sérotonínu a noradrenalínu v rozličných častiach mozgu zvierat. </w:t>
      </w:r>
    </w:p>
    <w:p w:rsidR="00665AB2" w:rsidRPr="002C1513" w:rsidRDefault="00665AB2" w:rsidP="00665AB2">
      <w:pPr>
        <w:pStyle w:val="Default"/>
        <w:rPr>
          <w:i/>
          <w:iCs/>
          <w:sz w:val="22"/>
          <w:szCs w:val="22"/>
        </w:rPr>
      </w:pPr>
    </w:p>
    <w:p w:rsidR="00665AB2" w:rsidRPr="002C1513" w:rsidRDefault="00665AB2" w:rsidP="00665AB2">
      <w:pPr>
        <w:pStyle w:val="Default"/>
        <w:rPr>
          <w:sz w:val="22"/>
          <w:szCs w:val="22"/>
        </w:rPr>
      </w:pPr>
      <w:r w:rsidRPr="002C1513">
        <w:rPr>
          <w:i/>
          <w:iCs/>
          <w:sz w:val="22"/>
          <w:szCs w:val="22"/>
        </w:rPr>
        <w:t xml:space="preserve">Farmakodynamické účinky </w:t>
      </w:r>
    </w:p>
    <w:p w:rsidR="00665AB2" w:rsidRPr="002C1513" w:rsidRDefault="00665AB2" w:rsidP="00665AB2">
      <w:pPr>
        <w:pStyle w:val="Default"/>
        <w:rPr>
          <w:sz w:val="22"/>
          <w:szCs w:val="22"/>
        </w:rPr>
      </w:pPr>
      <w:r w:rsidRPr="002C1513">
        <w:rPr>
          <w:sz w:val="22"/>
          <w:szCs w:val="22"/>
        </w:rPr>
        <w:t xml:space="preserve">V predklinických modeloch neuropatickej a zápalovej bolesti duloxetín normalizoval prah bolesti a v rámci modelu perzistujúcej bolesti zmierňoval bolestivé reagovanie. Predpokladá sa, že inhibičný účinok duloxetínu na bolesť je dôsledkom potenciácie zostupných bolesť inhibujúcich dráh v centrálnom nervovom systéme. </w:t>
      </w:r>
    </w:p>
    <w:p w:rsidR="00665AB2" w:rsidRPr="002C1513" w:rsidRDefault="00665AB2" w:rsidP="00665AB2">
      <w:pPr>
        <w:pStyle w:val="Default"/>
        <w:rPr>
          <w:i/>
          <w:iCs/>
          <w:sz w:val="22"/>
          <w:szCs w:val="22"/>
        </w:rPr>
      </w:pPr>
    </w:p>
    <w:p w:rsidR="00665AB2" w:rsidRPr="002C1513" w:rsidRDefault="00665AB2" w:rsidP="00665AB2">
      <w:pPr>
        <w:pStyle w:val="Default"/>
        <w:rPr>
          <w:sz w:val="22"/>
          <w:szCs w:val="22"/>
        </w:rPr>
      </w:pPr>
      <w:r w:rsidRPr="002C1513">
        <w:rPr>
          <w:i/>
          <w:iCs/>
          <w:sz w:val="22"/>
          <w:szCs w:val="22"/>
        </w:rPr>
        <w:t xml:space="preserve">Klinická účinnosť a bezpečnosť </w:t>
      </w:r>
    </w:p>
    <w:p w:rsidR="00665AB2" w:rsidRPr="002C1513" w:rsidRDefault="00665AB2" w:rsidP="00665AB2">
      <w:pPr>
        <w:pStyle w:val="Default"/>
        <w:rPr>
          <w:sz w:val="22"/>
          <w:szCs w:val="22"/>
        </w:rPr>
      </w:pPr>
      <w:r w:rsidRPr="002C1513">
        <w:rPr>
          <w:i/>
          <w:iCs/>
          <w:sz w:val="22"/>
          <w:szCs w:val="22"/>
        </w:rPr>
        <w:t xml:space="preserve">Veľká depresívna porucha: </w:t>
      </w:r>
    </w:p>
    <w:p w:rsidR="00665AB2" w:rsidRPr="002C1513" w:rsidRDefault="00EB070F" w:rsidP="00665AB2">
      <w:pPr>
        <w:pStyle w:val="Default"/>
        <w:rPr>
          <w:sz w:val="22"/>
          <w:szCs w:val="22"/>
        </w:rPr>
      </w:pPr>
      <w:r w:rsidRPr="002C1513">
        <w:rPr>
          <w:sz w:val="22"/>
          <w:szCs w:val="22"/>
        </w:rPr>
        <w:t>Duloxetín bol</w:t>
      </w:r>
      <w:r w:rsidR="00665AB2" w:rsidRPr="002C1513">
        <w:rPr>
          <w:sz w:val="22"/>
          <w:szCs w:val="22"/>
        </w:rPr>
        <w:t xml:space="preserve"> skúman</w:t>
      </w:r>
      <w:r w:rsidRPr="002C1513">
        <w:rPr>
          <w:sz w:val="22"/>
          <w:szCs w:val="22"/>
        </w:rPr>
        <w:t>ý</w:t>
      </w:r>
      <w:r w:rsidR="00665AB2" w:rsidRPr="002C1513">
        <w:rPr>
          <w:sz w:val="22"/>
          <w:szCs w:val="22"/>
        </w:rPr>
        <w:t xml:space="preserve"> v klinickom programe, do ktorého bolo zaradených 3 158 pacientov (1 285 pacientskych rokov expozície), ktorí spĺňali kritériá DSM-IV pre veľkú depresívnu poruchu. Účinnosť</w:t>
      </w:r>
      <w:r w:rsidRPr="002C1513">
        <w:rPr>
          <w:sz w:val="22"/>
          <w:szCs w:val="22"/>
        </w:rPr>
        <w:t xml:space="preserve"> duloxetínu</w:t>
      </w:r>
      <w:r w:rsidR="00665AB2" w:rsidRPr="002C1513">
        <w:rPr>
          <w:sz w:val="22"/>
          <w:szCs w:val="22"/>
        </w:rPr>
        <w:t xml:space="preserve"> pri odporúčanej dávke 60 mg jedenkrát denne bola preukázaná v troch z troch randomizovaných, dvojito zaslepených, placebom kontrolovaných akútnych (krátkodobých) štúdií s pevne stanovenou dávkou u dospelých ambulantných pacientov s veľkou depresívnou poruchou. Celkovo sa účinnosť</w:t>
      </w:r>
      <w:r w:rsidRPr="002C1513">
        <w:rPr>
          <w:sz w:val="22"/>
          <w:szCs w:val="22"/>
        </w:rPr>
        <w:t xml:space="preserve"> duloxetínu</w:t>
      </w:r>
      <w:r w:rsidR="00665AB2" w:rsidRPr="002C1513">
        <w:rPr>
          <w:sz w:val="22"/>
          <w:szCs w:val="22"/>
        </w:rPr>
        <w:t xml:space="preserve"> preukázala pri denných dávkach v rozmedzí od 60 do 120 mg v celkovo piatich zo siedmich randomizovaných, dvojito zaslepených, placebom kontrolovaných akútnych (krátkodobých) štúdií s pevne stanovenou dávkou u dospelých ambulantných pacientov s veľkou depresívnou poruchou. </w:t>
      </w:r>
    </w:p>
    <w:p w:rsidR="00EB070F" w:rsidRPr="002C1513" w:rsidRDefault="00EB070F" w:rsidP="00665AB2">
      <w:pPr>
        <w:pStyle w:val="Default"/>
        <w:rPr>
          <w:sz w:val="22"/>
          <w:szCs w:val="22"/>
        </w:rPr>
      </w:pPr>
    </w:p>
    <w:p w:rsidR="00665AB2" w:rsidRPr="002C1513" w:rsidRDefault="00EB070F" w:rsidP="00665AB2">
      <w:pPr>
        <w:pStyle w:val="Default"/>
        <w:rPr>
          <w:sz w:val="22"/>
          <w:szCs w:val="22"/>
        </w:rPr>
      </w:pPr>
      <w:r w:rsidRPr="002C1513">
        <w:rPr>
          <w:sz w:val="22"/>
          <w:szCs w:val="22"/>
        </w:rPr>
        <w:t>Duloxetín</w:t>
      </w:r>
      <w:r w:rsidR="00665AB2" w:rsidRPr="002C1513">
        <w:rPr>
          <w:sz w:val="22"/>
          <w:szCs w:val="22"/>
        </w:rPr>
        <w:t xml:space="preserve"> preuká</w:t>
      </w:r>
      <w:r w:rsidRPr="002C1513">
        <w:rPr>
          <w:sz w:val="22"/>
          <w:szCs w:val="22"/>
        </w:rPr>
        <w:t>zal</w:t>
      </w:r>
      <w:r w:rsidR="00665AB2" w:rsidRPr="002C1513">
        <w:rPr>
          <w:sz w:val="22"/>
          <w:szCs w:val="22"/>
        </w:rPr>
        <w:t xml:space="preserve"> štatistickú prevahu nad placebom pri meraní zlepšenia celkového skóre 17-bodovej Hamiltonovej škály na posudzovanie depresie (HAM-D) (vrátane emočných aj somatických symptómov depresie). Miera odpovede na liečbu a remisie bola taktiež štatisti</w:t>
      </w:r>
      <w:r w:rsidR="00FF1DD1" w:rsidRPr="002C1513">
        <w:rPr>
          <w:sz w:val="22"/>
          <w:szCs w:val="22"/>
        </w:rPr>
        <w:t>cky významne vyššia pri duloxetíne</w:t>
      </w:r>
      <w:r w:rsidR="00665AB2" w:rsidRPr="002C1513">
        <w:rPr>
          <w:sz w:val="22"/>
          <w:szCs w:val="22"/>
        </w:rPr>
        <w:t xml:space="preserve"> ako pri placebe. Iba malá časť pacientov zahrnutých do pilotných klinických štúdií mala </w:t>
      </w:r>
      <w:r w:rsidR="00414FCB">
        <w:rPr>
          <w:sz w:val="22"/>
          <w:szCs w:val="22"/>
        </w:rPr>
        <w:t>ťažkú</w:t>
      </w:r>
      <w:r w:rsidR="0095562B">
        <w:rPr>
          <w:sz w:val="22"/>
          <w:szCs w:val="22"/>
        </w:rPr>
        <w:t xml:space="preserve"> </w:t>
      </w:r>
      <w:r w:rsidR="00665AB2" w:rsidRPr="002C1513">
        <w:rPr>
          <w:sz w:val="22"/>
          <w:szCs w:val="22"/>
        </w:rPr>
        <w:t xml:space="preserve">depresiu (vstupné skóre HAM-D &gt;25). </w:t>
      </w:r>
    </w:p>
    <w:p w:rsidR="00EB070F" w:rsidRPr="002C1513" w:rsidRDefault="00EB070F" w:rsidP="00665AB2">
      <w:pPr>
        <w:pStyle w:val="Default"/>
        <w:rPr>
          <w:sz w:val="22"/>
          <w:szCs w:val="22"/>
        </w:rPr>
      </w:pPr>
    </w:p>
    <w:p w:rsidR="00665AB2" w:rsidRPr="002C1513" w:rsidRDefault="00665AB2" w:rsidP="00665AB2">
      <w:pPr>
        <w:pStyle w:val="Default"/>
        <w:rPr>
          <w:sz w:val="22"/>
          <w:szCs w:val="22"/>
        </w:rPr>
      </w:pPr>
      <w:r w:rsidRPr="002C1513">
        <w:rPr>
          <w:sz w:val="22"/>
          <w:szCs w:val="22"/>
        </w:rPr>
        <w:t>V štúdii zameranej na prevenciu relapsu boli pacienti reagujúci na 12-týždňovú otvorenú akútnu lieč</w:t>
      </w:r>
      <w:r w:rsidR="00EB070F" w:rsidRPr="002C1513">
        <w:rPr>
          <w:sz w:val="22"/>
          <w:szCs w:val="22"/>
        </w:rPr>
        <w:t>bu duloxetínom</w:t>
      </w:r>
      <w:r w:rsidRPr="002C1513">
        <w:rPr>
          <w:sz w:val="22"/>
          <w:szCs w:val="22"/>
        </w:rPr>
        <w:t xml:space="preserve"> v dávke 60 mg jedenkrát denne randomizovaní k uží</w:t>
      </w:r>
      <w:r w:rsidR="00EB070F" w:rsidRPr="002C1513">
        <w:rPr>
          <w:sz w:val="22"/>
          <w:szCs w:val="22"/>
        </w:rPr>
        <w:t>vaniu duloxetínu</w:t>
      </w:r>
      <w:r w:rsidRPr="002C1513">
        <w:rPr>
          <w:sz w:val="22"/>
          <w:szCs w:val="22"/>
        </w:rPr>
        <w:t xml:space="preserve"> 60 mg jedenkrát denne alebo užívaniu placeba po ďalší</w:t>
      </w:r>
      <w:r w:rsidR="00EB070F" w:rsidRPr="002C1513">
        <w:rPr>
          <w:sz w:val="22"/>
          <w:szCs w:val="22"/>
        </w:rPr>
        <w:t>ch 6-mesiacov. Duloxetín</w:t>
      </w:r>
      <w:r w:rsidRPr="002C1513">
        <w:rPr>
          <w:sz w:val="22"/>
          <w:szCs w:val="22"/>
        </w:rPr>
        <w:t xml:space="preserve"> v dávke 60 mg jedenkrát denne preuká</w:t>
      </w:r>
      <w:r w:rsidR="00EB070F" w:rsidRPr="002C1513">
        <w:rPr>
          <w:sz w:val="22"/>
          <w:szCs w:val="22"/>
        </w:rPr>
        <w:t>zal</w:t>
      </w:r>
      <w:r w:rsidRPr="002C1513">
        <w:rPr>
          <w:sz w:val="22"/>
          <w:szCs w:val="22"/>
        </w:rPr>
        <w:t xml:space="preserve"> štatisticky signifikantnú prevahu nad placebom (p=0,004) v hodnotení hlavného cieľa štúdie, prevencie relapsu depresie, hodnoteného časom do relapsu. Incidencia relapsu počas nasledovného 6-mesačného dvojito zaslepeného obdobia bola 17</w:t>
      </w:r>
      <w:r w:rsidR="00EB070F" w:rsidRPr="002C1513">
        <w:rPr>
          <w:sz w:val="22"/>
          <w:szCs w:val="22"/>
        </w:rPr>
        <w:t xml:space="preserve"> </w:t>
      </w:r>
      <w:r w:rsidRPr="002C1513">
        <w:rPr>
          <w:sz w:val="22"/>
          <w:szCs w:val="22"/>
        </w:rPr>
        <w:t xml:space="preserve">% </w:t>
      </w:r>
      <w:r w:rsidR="009215D7" w:rsidRPr="002C1513">
        <w:rPr>
          <w:sz w:val="22"/>
          <w:szCs w:val="22"/>
        </w:rPr>
        <w:t>pre</w:t>
      </w:r>
      <w:r w:rsidRPr="002C1513">
        <w:rPr>
          <w:sz w:val="22"/>
          <w:szCs w:val="22"/>
        </w:rPr>
        <w:t xml:space="preserve"> duloxetí</w:t>
      </w:r>
      <w:r w:rsidR="009215D7" w:rsidRPr="002C1513">
        <w:rPr>
          <w:sz w:val="22"/>
          <w:szCs w:val="22"/>
        </w:rPr>
        <w:t xml:space="preserve">n </w:t>
      </w:r>
      <w:r w:rsidR="00EB070F" w:rsidRPr="002C1513">
        <w:rPr>
          <w:sz w:val="22"/>
          <w:szCs w:val="22"/>
        </w:rPr>
        <w:t xml:space="preserve">a 29 % </w:t>
      </w:r>
      <w:r w:rsidR="009215D7" w:rsidRPr="002C1513">
        <w:rPr>
          <w:sz w:val="22"/>
          <w:szCs w:val="22"/>
        </w:rPr>
        <w:t>pre</w:t>
      </w:r>
      <w:r w:rsidR="00EB070F" w:rsidRPr="002C1513">
        <w:rPr>
          <w:sz w:val="22"/>
          <w:szCs w:val="22"/>
        </w:rPr>
        <w:t xml:space="preserve"> </w:t>
      </w:r>
      <w:r w:rsidR="009215D7" w:rsidRPr="002C1513">
        <w:rPr>
          <w:sz w:val="22"/>
          <w:szCs w:val="22"/>
        </w:rPr>
        <w:t>placebo</w:t>
      </w:r>
      <w:r w:rsidRPr="002C1513">
        <w:rPr>
          <w:sz w:val="22"/>
          <w:szCs w:val="22"/>
        </w:rPr>
        <w:t xml:space="preserve">. </w:t>
      </w:r>
    </w:p>
    <w:p w:rsidR="00EB070F" w:rsidRPr="002C1513" w:rsidRDefault="00EB070F" w:rsidP="00665AB2">
      <w:pPr>
        <w:pStyle w:val="Default"/>
        <w:rPr>
          <w:sz w:val="22"/>
          <w:szCs w:val="22"/>
        </w:rPr>
      </w:pPr>
    </w:p>
    <w:p w:rsidR="00665AB2" w:rsidRPr="002C1513" w:rsidRDefault="00665AB2" w:rsidP="00665AB2">
      <w:pPr>
        <w:pStyle w:val="Default"/>
        <w:rPr>
          <w:sz w:val="22"/>
          <w:szCs w:val="22"/>
        </w:rPr>
      </w:pPr>
      <w:r w:rsidRPr="002C1513">
        <w:rPr>
          <w:sz w:val="22"/>
          <w:szCs w:val="22"/>
        </w:rPr>
        <w:t xml:space="preserve">Počas 52 týždennej placebom kontrolovanej dvojito zaslepenej štúdie mali pacienti s rekurentnou veľkou depresívnou poruchou liečení duloxetínom v porovnaní s pacientmi </w:t>
      </w:r>
      <w:r w:rsidR="0054690E">
        <w:rPr>
          <w:sz w:val="22"/>
          <w:szCs w:val="22"/>
        </w:rPr>
        <w:t>užívajúcimi</w:t>
      </w:r>
      <w:r w:rsidR="0054690E" w:rsidRPr="002C1513">
        <w:rPr>
          <w:sz w:val="22"/>
          <w:szCs w:val="22"/>
        </w:rPr>
        <w:t xml:space="preserve"> </w:t>
      </w:r>
      <w:r w:rsidRPr="002C1513">
        <w:rPr>
          <w:sz w:val="22"/>
          <w:szCs w:val="22"/>
        </w:rPr>
        <w:t xml:space="preserve">placebo podstatne dlhšie (p &lt; 0,001) obdobie bez príznakov. Všetci pacienti odpovedali na duloxetín počas </w:t>
      </w:r>
      <w:r w:rsidRPr="002C1513">
        <w:rPr>
          <w:sz w:val="22"/>
          <w:szCs w:val="22"/>
        </w:rPr>
        <w:lastRenderedPageBreak/>
        <w:t xml:space="preserve">predošlej otvorenej (open-label) liečby s dávkou 60 až 120 mg/deň počas 28 až 34 týždňov. V priebehu 52 týždennej placebom kontrolovanej dvojito zaslepenej liečby sa vrátili príznaky depresie 14,4 % pacientov liečených duloxetínom a 33,1 % pacientov liečených placebom (p &lt; 0,001). </w:t>
      </w:r>
    </w:p>
    <w:p w:rsidR="00EB070F" w:rsidRPr="002C1513" w:rsidRDefault="00EB070F" w:rsidP="00665AB2">
      <w:pPr>
        <w:pStyle w:val="Default"/>
        <w:rPr>
          <w:sz w:val="22"/>
          <w:szCs w:val="22"/>
        </w:rPr>
      </w:pPr>
    </w:p>
    <w:p w:rsidR="00665AB2" w:rsidRPr="002C1513" w:rsidRDefault="00665AB2" w:rsidP="00665AB2">
      <w:pPr>
        <w:autoSpaceDE w:val="0"/>
        <w:autoSpaceDN w:val="0"/>
        <w:adjustRightInd w:val="0"/>
        <w:ind w:left="0" w:firstLine="0"/>
        <w:rPr>
          <w:szCs w:val="22"/>
        </w:rPr>
      </w:pPr>
      <w:r w:rsidRPr="002C1513">
        <w:rPr>
          <w:szCs w:val="22"/>
        </w:rPr>
        <w:t>Úč</w:t>
      </w:r>
      <w:r w:rsidR="00EB070F" w:rsidRPr="002C1513">
        <w:rPr>
          <w:szCs w:val="22"/>
        </w:rPr>
        <w:t>inok duloxetínu 60 mg jedenkrát</w:t>
      </w:r>
      <w:r w:rsidRPr="002C1513">
        <w:rPr>
          <w:szCs w:val="22"/>
        </w:rPr>
        <w:t xml:space="preserve"> denne u starších depresívnych pacientov (≥ 65 rokov) bol konkrétne hodnotený v štúdii, ktorá preukázala štatisticky významný rozdiel v redukcii HAMD17 skóre u pacientov liečených duloxetínom v porovnaní s</w:t>
      </w:r>
      <w:r w:rsidR="00EB070F" w:rsidRPr="002C1513">
        <w:rPr>
          <w:szCs w:val="22"/>
        </w:rPr>
        <w:t xml:space="preserve"> placebom. </w:t>
      </w:r>
      <w:r w:rsidR="0054690E" w:rsidRPr="002C1513">
        <w:rPr>
          <w:szCs w:val="22"/>
        </w:rPr>
        <w:t>Tolera</w:t>
      </w:r>
      <w:r w:rsidR="0054690E">
        <w:rPr>
          <w:szCs w:val="22"/>
        </w:rPr>
        <w:t>ncia</w:t>
      </w:r>
      <w:r w:rsidR="0054690E" w:rsidRPr="002C1513">
        <w:rPr>
          <w:szCs w:val="22"/>
        </w:rPr>
        <w:t xml:space="preserve"> </w:t>
      </w:r>
      <w:r w:rsidR="00EB070F" w:rsidRPr="002C1513">
        <w:rPr>
          <w:szCs w:val="22"/>
        </w:rPr>
        <w:t>duloxetínu 60 mg jedenkrát</w:t>
      </w:r>
      <w:r w:rsidRPr="002C1513">
        <w:rPr>
          <w:szCs w:val="22"/>
        </w:rPr>
        <w:t xml:space="preserve"> denne u starších pacientov bola porovnateľná s tou pozorovanou u mladších pacientov. Avšak, údaje o starších pacientoch vystavených maximálnej dávke (120 mg denne) sú obmedzené a preto sa pri liečbe tejto populácie odporúča opatrnosť.</w:t>
      </w:r>
    </w:p>
    <w:p w:rsidR="009215D7" w:rsidRPr="002C1513" w:rsidRDefault="009215D7" w:rsidP="00665AB2">
      <w:pPr>
        <w:autoSpaceDE w:val="0"/>
        <w:autoSpaceDN w:val="0"/>
        <w:adjustRightInd w:val="0"/>
        <w:ind w:left="0" w:firstLine="0"/>
        <w:rPr>
          <w:i/>
          <w:iCs/>
          <w:szCs w:val="22"/>
        </w:rPr>
      </w:pPr>
    </w:p>
    <w:p w:rsidR="00EB070F" w:rsidRPr="002C1513" w:rsidRDefault="009215D7" w:rsidP="00665AB2">
      <w:pPr>
        <w:autoSpaceDE w:val="0"/>
        <w:autoSpaceDN w:val="0"/>
        <w:adjustRightInd w:val="0"/>
        <w:ind w:left="0" w:firstLine="0"/>
        <w:rPr>
          <w:szCs w:val="22"/>
        </w:rPr>
      </w:pPr>
      <w:r w:rsidRPr="002C1513">
        <w:rPr>
          <w:i/>
          <w:iCs/>
          <w:szCs w:val="22"/>
        </w:rPr>
        <w:t>Generalizovaná úzkostná porucha:</w:t>
      </w:r>
    </w:p>
    <w:p w:rsidR="00EB070F" w:rsidRPr="002C1513" w:rsidRDefault="009215D7" w:rsidP="00EB070F">
      <w:pPr>
        <w:pStyle w:val="Default"/>
        <w:rPr>
          <w:sz w:val="22"/>
          <w:szCs w:val="22"/>
        </w:rPr>
      </w:pPr>
      <w:r w:rsidRPr="002C1513">
        <w:rPr>
          <w:sz w:val="22"/>
          <w:szCs w:val="22"/>
        </w:rPr>
        <w:t>Duloxetín</w:t>
      </w:r>
      <w:r w:rsidR="00EB070F" w:rsidRPr="002C1513">
        <w:rPr>
          <w:sz w:val="22"/>
          <w:szCs w:val="22"/>
        </w:rPr>
        <w:t xml:space="preserve"> preuká</w:t>
      </w:r>
      <w:r w:rsidRPr="002C1513">
        <w:rPr>
          <w:sz w:val="22"/>
          <w:szCs w:val="22"/>
        </w:rPr>
        <w:t>zal</w:t>
      </w:r>
      <w:r w:rsidR="00EB070F" w:rsidRPr="002C1513">
        <w:rPr>
          <w:sz w:val="22"/>
          <w:szCs w:val="22"/>
        </w:rPr>
        <w:t xml:space="preserve"> štatisticky významnú prevahu nad placebom v piatich z piatich štúdií vrátane štyroch randomizovaných, dvojito zaslepených, placebom kontrolovaných akútnych štúdií a štúdie na prevenciu relapsu u dospelých pacientov s generalizovanou úzkostnou poruchou. </w:t>
      </w:r>
    </w:p>
    <w:p w:rsidR="009215D7" w:rsidRPr="002C1513" w:rsidRDefault="009215D7" w:rsidP="00EB070F">
      <w:pPr>
        <w:pStyle w:val="Default"/>
        <w:rPr>
          <w:sz w:val="22"/>
          <w:szCs w:val="22"/>
        </w:rPr>
      </w:pPr>
    </w:p>
    <w:p w:rsidR="00EB070F" w:rsidRPr="002C1513" w:rsidRDefault="009215D7" w:rsidP="00EB070F">
      <w:pPr>
        <w:pStyle w:val="Default"/>
        <w:rPr>
          <w:sz w:val="22"/>
          <w:szCs w:val="22"/>
        </w:rPr>
      </w:pPr>
      <w:r w:rsidRPr="002C1513">
        <w:rPr>
          <w:sz w:val="22"/>
          <w:szCs w:val="22"/>
        </w:rPr>
        <w:t>Duloxetín</w:t>
      </w:r>
      <w:r w:rsidR="00EB070F" w:rsidRPr="002C1513">
        <w:rPr>
          <w:sz w:val="22"/>
          <w:szCs w:val="22"/>
        </w:rPr>
        <w:t xml:space="preserve"> preuká</w:t>
      </w:r>
      <w:r w:rsidRPr="002C1513">
        <w:rPr>
          <w:sz w:val="22"/>
          <w:szCs w:val="22"/>
        </w:rPr>
        <w:t>zal</w:t>
      </w:r>
      <w:r w:rsidR="00EB070F" w:rsidRPr="002C1513">
        <w:rPr>
          <w:sz w:val="22"/>
          <w:szCs w:val="22"/>
        </w:rPr>
        <w:t xml:space="preserve"> štatisticky významnú prevahu nad placebom meranú zlepšením celkového skóre na Hamiltonovej škále na posudzovanie úzkosti (Hamilton Anxiety Scale, HAM-A) a celkového skóre funkčného poškodenia na Sheehanovej škále (Sheehan Disability Scale, SDS). Miera odpovede na liečbu a remisie bola taktiež vyšš</w:t>
      </w:r>
      <w:r w:rsidRPr="002C1513">
        <w:rPr>
          <w:sz w:val="22"/>
          <w:szCs w:val="22"/>
        </w:rPr>
        <w:t>ia pri duloxetíne ako pri placebe. Duloxetín</w:t>
      </w:r>
      <w:r w:rsidR="00EB070F" w:rsidRPr="002C1513">
        <w:rPr>
          <w:sz w:val="22"/>
          <w:szCs w:val="22"/>
        </w:rPr>
        <w:t xml:space="preserve"> preuká</w:t>
      </w:r>
      <w:r w:rsidRPr="002C1513">
        <w:rPr>
          <w:sz w:val="22"/>
          <w:szCs w:val="22"/>
        </w:rPr>
        <w:t>zal</w:t>
      </w:r>
      <w:r w:rsidR="00EB070F" w:rsidRPr="002C1513">
        <w:rPr>
          <w:sz w:val="22"/>
          <w:szCs w:val="22"/>
        </w:rPr>
        <w:t xml:space="preserve"> porovnateľnú účinnosť s venlafaxínom, čo sa týka zlepšení celkového skóre HAM-A. </w:t>
      </w:r>
    </w:p>
    <w:p w:rsidR="009215D7" w:rsidRPr="002C1513" w:rsidRDefault="009215D7" w:rsidP="00EB070F">
      <w:pPr>
        <w:pStyle w:val="Default"/>
        <w:rPr>
          <w:sz w:val="22"/>
          <w:szCs w:val="22"/>
        </w:rPr>
      </w:pPr>
    </w:p>
    <w:p w:rsidR="009215D7" w:rsidRPr="002C1513" w:rsidRDefault="00EB070F" w:rsidP="00EB070F">
      <w:pPr>
        <w:pStyle w:val="Default"/>
        <w:rPr>
          <w:sz w:val="22"/>
          <w:szCs w:val="22"/>
        </w:rPr>
      </w:pPr>
      <w:r w:rsidRPr="002C1513">
        <w:rPr>
          <w:sz w:val="22"/>
          <w:szCs w:val="22"/>
        </w:rPr>
        <w:t>V štúdii zameranej na prevenciu relapsu boli pacienti s odpoveďou na 6-mesačnú otvorenú akútnu lieč</w:t>
      </w:r>
      <w:r w:rsidR="009215D7" w:rsidRPr="002C1513">
        <w:rPr>
          <w:sz w:val="22"/>
          <w:szCs w:val="22"/>
        </w:rPr>
        <w:t>bu duloxetínom</w:t>
      </w:r>
      <w:r w:rsidRPr="002C1513">
        <w:rPr>
          <w:sz w:val="22"/>
          <w:szCs w:val="22"/>
        </w:rPr>
        <w:t xml:space="preserve"> randomizovaní k uží</w:t>
      </w:r>
      <w:r w:rsidR="009215D7" w:rsidRPr="002C1513">
        <w:rPr>
          <w:sz w:val="22"/>
          <w:szCs w:val="22"/>
        </w:rPr>
        <w:t>vaniu duloxetínu</w:t>
      </w:r>
      <w:r w:rsidRPr="002C1513">
        <w:rPr>
          <w:sz w:val="22"/>
          <w:szCs w:val="22"/>
        </w:rPr>
        <w:t xml:space="preserve"> alebo placeba počas ďalší</w:t>
      </w:r>
      <w:r w:rsidR="009215D7" w:rsidRPr="002C1513">
        <w:rPr>
          <w:sz w:val="22"/>
          <w:szCs w:val="22"/>
        </w:rPr>
        <w:t>ch 6 mesiacov.</w:t>
      </w:r>
    </w:p>
    <w:p w:rsidR="00EB070F" w:rsidRPr="002C1513" w:rsidRDefault="009215D7" w:rsidP="00EB070F">
      <w:pPr>
        <w:pStyle w:val="Default"/>
        <w:rPr>
          <w:sz w:val="22"/>
          <w:szCs w:val="22"/>
        </w:rPr>
      </w:pPr>
      <w:r w:rsidRPr="002C1513">
        <w:rPr>
          <w:sz w:val="22"/>
          <w:szCs w:val="22"/>
        </w:rPr>
        <w:t>Duloxetín</w:t>
      </w:r>
      <w:r w:rsidR="00EB070F" w:rsidRPr="002C1513">
        <w:rPr>
          <w:sz w:val="22"/>
          <w:szCs w:val="22"/>
        </w:rPr>
        <w:t xml:space="preserve"> v dávke 60 mg až 120 mg jedenkrát denne preuká</w:t>
      </w:r>
      <w:r w:rsidRPr="002C1513">
        <w:rPr>
          <w:sz w:val="22"/>
          <w:szCs w:val="22"/>
        </w:rPr>
        <w:t>zal</w:t>
      </w:r>
      <w:r w:rsidR="00EB070F" w:rsidRPr="002C1513">
        <w:rPr>
          <w:sz w:val="22"/>
          <w:szCs w:val="22"/>
        </w:rPr>
        <w:t xml:space="preserve"> štatisticky významnú prevahu nad placebom (p&lt; 0,001) v prevencii relapsu, ktorá bola hodnotená časom do relapsu. Incidencia relapsu počas nasledujúceho 6-mesačného dvojito zaslepenéh</w:t>
      </w:r>
      <w:r w:rsidRPr="002C1513">
        <w:rPr>
          <w:sz w:val="22"/>
          <w:szCs w:val="22"/>
        </w:rPr>
        <w:t>o obdobia bola 14 % pre duloxetín</w:t>
      </w:r>
      <w:r w:rsidR="00EB070F" w:rsidRPr="002C1513">
        <w:rPr>
          <w:sz w:val="22"/>
          <w:szCs w:val="22"/>
        </w:rPr>
        <w:t xml:space="preserve"> a 42 % pre placebo. </w:t>
      </w:r>
    </w:p>
    <w:p w:rsidR="009215D7" w:rsidRPr="002C1513" w:rsidRDefault="009215D7" w:rsidP="00EB070F">
      <w:pPr>
        <w:pStyle w:val="Default"/>
        <w:rPr>
          <w:sz w:val="22"/>
          <w:szCs w:val="22"/>
        </w:rPr>
      </w:pPr>
    </w:p>
    <w:p w:rsidR="00EB070F" w:rsidRPr="002C1513" w:rsidRDefault="00EB070F" w:rsidP="00EB070F">
      <w:pPr>
        <w:pStyle w:val="Default"/>
        <w:rPr>
          <w:sz w:val="22"/>
          <w:szCs w:val="22"/>
        </w:rPr>
      </w:pPr>
      <w:r w:rsidRPr="002C1513">
        <w:rPr>
          <w:sz w:val="22"/>
          <w:szCs w:val="22"/>
        </w:rPr>
        <w:t>V klinickom skúšaní sa vyhodnotila účinnosť</w:t>
      </w:r>
      <w:r w:rsidR="009215D7" w:rsidRPr="002C1513">
        <w:rPr>
          <w:sz w:val="22"/>
          <w:szCs w:val="22"/>
        </w:rPr>
        <w:t xml:space="preserve"> duloxetínu</w:t>
      </w:r>
      <w:r w:rsidRPr="002C1513">
        <w:rPr>
          <w:sz w:val="22"/>
          <w:szCs w:val="22"/>
        </w:rPr>
        <w:t xml:space="preserve"> 30-120 mg (vo flexibilnom dávkovaní</w:t>
      </w:r>
      <w:r w:rsidR="009215D7" w:rsidRPr="002C1513">
        <w:rPr>
          <w:sz w:val="22"/>
          <w:szCs w:val="22"/>
        </w:rPr>
        <w:t>) jedenkrát</w:t>
      </w:r>
      <w:r w:rsidRPr="002C1513">
        <w:rPr>
          <w:sz w:val="22"/>
          <w:szCs w:val="22"/>
        </w:rPr>
        <w:t xml:space="preserve"> denne u starších pacientov (&gt;65 rokov) s generalizovanou úzkostnou poruchou a preukázala štatisticky signifikantné zlepšenie celkového HAM-A skóre u pacientov liečených duloxetínom oproti pacientom liečeným placebom. Účinnosť a bezpečnosť</w:t>
      </w:r>
      <w:r w:rsidR="00046CFC" w:rsidRPr="002C1513">
        <w:rPr>
          <w:sz w:val="22"/>
          <w:szCs w:val="22"/>
        </w:rPr>
        <w:t xml:space="preserve"> duloxetínu 30-120 mg jedenkrát</w:t>
      </w:r>
      <w:r w:rsidRPr="002C1513">
        <w:rPr>
          <w:sz w:val="22"/>
          <w:szCs w:val="22"/>
        </w:rPr>
        <w:t xml:space="preserve"> denne u starších pacientov s generalizovanou úzkostnou poruchou boli podobné ako v štúdiách s mladšími dospelými pacientmi. Avšak údaje o starších pacientoch vystavených maximálnej dávke (120 mg denne) sú obmedzené, a preto sa odporúča ku liečbe starších pacientov touto dávkou pristupovať s opatrnosťou. </w:t>
      </w:r>
    </w:p>
    <w:p w:rsidR="009215D7" w:rsidRPr="002C1513" w:rsidRDefault="009215D7" w:rsidP="00EB070F">
      <w:pPr>
        <w:pStyle w:val="Default"/>
        <w:rPr>
          <w:i/>
          <w:iCs/>
          <w:sz w:val="22"/>
          <w:szCs w:val="22"/>
        </w:rPr>
      </w:pPr>
    </w:p>
    <w:p w:rsidR="00EB070F" w:rsidRPr="002C1513" w:rsidRDefault="00EB070F" w:rsidP="00EB070F">
      <w:pPr>
        <w:pStyle w:val="Default"/>
        <w:rPr>
          <w:sz w:val="22"/>
          <w:szCs w:val="22"/>
        </w:rPr>
      </w:pPr>
      <w:r w:rsidRPr="002C1513">
        <w:rPr>
          <w:i/>
          <w:iCs/>
          <w:sz w:val="22"/>
          <w:szCs w:val="22"/>
        </w:rPr>
        <w:t xml:space="preserve">Diabetická periférna neuropatická bolesť: </w:t>
      </w:r>
    </w:p>
    <w:p w:rsidR="00EB070F" w:rsidRPr="002C1513" w:rsidRDefault="001F773A" w:rsidP="00EB070F">
      <w:pPr>
        <w:pStyle w:val="Default"/>
        <w:rPr>
          <w:sz w:val="22"/>
          <w:szCs w:val="22"/>
        </w:rPr>
      </w:pPr>
      <w:r w:rsidRPr="002C1513">
        <w:rPr>
          <w:sz w:val="22"/>
          <w:szCs w:val="22"/>
        </w:rPr>
        <w:t>Účinnosť duloxetínu</w:t>
      </w:r>
      <w:r w:rsidR="00EB070F" w:rsidRPr="002C1513">
        <w:rPr>
          <w:sz w:val="22"/>
          <w:szCs w:val="22"/>
        </w:rPr>
        <w:t xml:space="preserve"> v liečbe diabetickej neuropatickej bolesti bola preukázaná v dvoch randomizovaných, 12 týždňov trvajúcich, dvojito zaslepených, placebom kontrolovaných štúdiách s pevne stanovenou dávkou u dospelých (22 až 88 rokov), ktorí minimálne 6 mesiacov trpia diabetickou neuropatickou bolesťou. Pacienti, ktorí spĺňali diagnostické kritériá pre veľkú depresívnu poruchu boli z týchto výskumných štúdií vylúčení. Primárnym parametrom bola týždenná stredná hodnota 24-hodinovej priemernej bolesti, ktorú pacienti hodnotili na 11 bodovej Likertovej škále pričom si záznamy zapisovali do denníka. </w:t>
      </w:r>
    </w:p>
    <w:p w:rsidR="001F773A" w:rsidRPr="002C1513" w:rsidRDefault="001F773A" w:rsidP="00EB070F">
      <w:pPr>
        <w:pStyle w:val="Default"/>
        <w:rPr>
          <w:sz w:val="22"/>
          <w:szCs w:val="22"/>
        </w:rPr>
      </w:pPr>
    </w:p>
    <w:p w:rsidR="00EB070F" w:rsidRPr="002C1513" w:rsidRDefault="001F773A" w:rsidP="00EB070F">
      <w:pPr>
        <w:pStyle w:val="Default"/>
        <w:rPr>
          <w:sz w:val="22"/>
          <w:szCs w:val="22"/>
        </w:rPr>
      </w:pPr>
      <w:r w:rsidRPr="002C1513">
        <w:rPr>
          <w:sz w:val="22"/>
          <w:szCs w:val="22"/>
        </w:rPr>
        <w:t>V oboch štúdiách duloxetín v dávke 60 mg jedenkrát</w:t>
      </w:r>
      <w:r w:rsidR="00EB070F" w:rsidRPr="002C1513">
        <w:rPr>
          <w:sz w:val="22"/>
          <w:szCs w:val="22"/>
        </w:rPr>
        <w:t xml:space="preserve"> denne a 6</w:t>
      </w:r>
      <w:r w:rsidRPr="002C1513">
        <w:rPr>
          <w:sz w:val="22"/>
          <w:szCs w:val="22"/>
        </w:rPr>
        <w:t>0 mg dvakrát denne viedol</w:t>
      </w:r>
      <w:r w:rsidR="00EB070F" w:rsidRPr="002C1513">
        <w:rPr>
          <w:sz w:val="22"/>
          <w:szCs w:val="22"/>
        </w:rPr>
        <w:t>, v porovnaní s placebom, k signifikantnému zmierneniu bolesti. U niektorých pacientov bol tento efekt zjavný už v priebehu prvého týždňa liečby. Rozdiel priemerného zlepšenia pri porovnaní oboch uvedených aktívnych ramien liečby nebol významný. Redukciu bolesti o minimálne 30 % uviedlo približne 65</w:t>
      </w:r>
      <w:r w:rsidRPr="002C1513">
        <w:rPr>
          <w:sz w:val="22"/>
          <w:szCs w:val="22"/>
        </w:rPr>
        <w:t xml:space="preserve"> </w:t>
      </w:r>
      <w:r w:rsidR="00EB070F" w:rsidRPr="002C1513">
        <w:rPr>
          <w:sz w:val="22"/>
          <w:szCs w:val="22"/>
        </w:rPr>
        <w:t>% pacientov liečených duloxetínom v porovnaní so 40 % pacientov liečených placebom. Počty zodpovedajúce aspoň 50 % redukcii bolesti boli 50 % a 26 %. Hodnoty klinickej odpovede (zmiernenie bolesti o 50 % a viac) boli analyzované s ohľadom na to, či pacient v priebehu liečby trpel spavosťou alebo nie. Z pacientov, ktorí netrpeli spavosťou bola klinická odpoveď zaznamenaná u 47 % pacientov užívajúcich duloxetín a u 27 % pacientov užívajúcich placebo. Podiel klinickej odpovede u pacientov, ktorí zaznamenali problémy so spavosťou bol 60</w:t>
      </w:r>
      <w:r w:rsidRPr="002C1513">
        <w:rPr>
          <w:sz w:val="22"/>
          <w:szCs w:val="22"/>
        </w:rPr>
        <w:t xml:space="preserve"> </w:t>
      </w:r>
      <w:r w:rsidR="00EB070F" w:rsidRPr="002C1513">
        <w:rPr>
          <w:sz w:val="22"/>
          <w:szCs w:val="22"/>
        </w:rPr>
        <w:t>% pri duloxetíne a</w:t>
      </w:r>
      <w:r w:rsidRPr="002C1513">
        <w:rPr>
          <w:sz w:val="22"/>
          <w:szCs w:val="22"/>
        </w:rPr>
        <w:t> </w:t>
      </w:r>
      <w:r w:rsidR="00EB070F" w:rsidRPr="002C1513">
        <w:rPr>
          <w:sz w:val="22"/>
          <w:szCs w:val="22"/>
        </w:rPr>
        <w:t>30</w:t>
      </w:r>
      <w:r w:rsidRPr="002C1513">
        <w:rPr>
          <w:sz w:val="22"/>
          <w:szCs w:val="22"/>
        </w:rPr>
        <w:t xml:space="preserve"> </w:t>
      </w:r>
      <w:r w:rsidR="00EB070F" w:rsidRPr="002C1513">
        <w:rPr>
          <w:sz w:val="22"/>
          <w:szCs w:val="22"/>
        </w:rPr>
        <w:t xml:space="preserve">% pri placebe. U </w:t>
      </w:r>
      <w:r w:rsidR="00EB070F" w:rsidRPr="002C1513">
        <w:rPr>
          <w:sz w:val="22"/>
          <w:szCs w:val="22"/>
        </w:rPr>
        <w:lastRenderedPageBreak/>
        <w:t xml:space="preserve">pacientov, ktorí v priebehu 60 dní nezaznamenali zmiernenie bolesti ani o 30 % bolo takéto zlepšenie v priebehu ďalšej liečby nepravdepodobné. </w:t>
      </w:r>
    </w:p>
    <w:p w:rsidR="001F773A" w:rsidRPr="002C1513" w:rsidRDefault="001F773A" w:rsidP="00EB070F">
      <w:pPr>
        <w:pStyle w:val="Default"/>
        <w:rPr>
          <w:sz w:val="22"/>
          <w:szCs w:val="22"/>
        </w:rPr>
      </w:pPr>
    </w:p>
    <w:p w:rsidR="00EB070F" w:rsidRPr="002C1513" w:rsidRDefault="00EB070F" w:rsidP="00EB070F">
      <w:pPr>
        <w:pStyle w:val="Default"/>
        <w:rPr>
          <w:sz w:val="22"/>
          <w:szCs w:val="22"/>
        </w:rPr>
      </w:pPr>
      <w:r w:rsidRPr="002C1513">
        <w:rPr>
          <w:sz w:val="22"/>
          <w:szCs w:val="22"/>
        </w:rPr>
        <w:t>V dlhodobej otvorenej nekontrolovanej štúdii pretrvávalo zmenšenie bolesti u pacientov odpovedajúcic</w:t>
      </w:r>
      <w:r w:rsidR="001F773A" w:rsidRPr="002C1513">
        <w:rPr>
          <w:sz w:val="22"/>
          <w:szCs w:val="22"/>
        </w:rPr>
        <w:t>h na 8-týždennú liečbu duloxetínom 60 mg jedenkrát</w:t>
      </w:r>
      <w:r w:rsidRPr="002C1513">
        <w:rPr>
          <w:sz w:val="22"/>
          <w:szCs w:val="22"/>
        </w:rPr>
        <w:t xml:space="preserve"> denne počas nasledujúcich 6 mesiacov, podľa merania zmeny skóre položky „24-hodinová priemerná bolesť“ na škále Brief Pain Inventory (BPI). </w:t>
      </w:r>
    </w:p>
    <w:p w:rsidR="00787894" w:rsidRPr="002C1513" w:rsidRDefault="00787894" w:rsidP="00EB070F">
      <w:pPr>
        <w:pStyle w:val="Default"/>
        <w:rPr>
          <w:sz w:val="22"/>
          <w:szCs w:val="22"/>
        </w:rPr>
      </w:pPr>
    </w:p>
    <w:p w:rsidR="00EB070F" w:rsidRPr="002C1513" w:rsidRDefault="00EB070F" w:rsidP="00EB070F">
      <w:pPr>
        <w:pStyle w:val="Default"/>
        <w:rPr>
          <w:sz w:val="22"/>
          <w:szCs w:val="22"/>
        </w:rPr>
      </w:pPr>
      <w:r w:rsidRPr="002C1513">
        <w:rPr>
          <w:i/>
          <w:iCs/>
          <w:sz w:val="22"/>
          <w:szCs w:val="22"/>
        </w:rPr>
        <w:t xml:space="preserve">Pediatrická populácia </w:t>
      </w:r>
    </w:p>
    <w:p w:rsidR="00787894" w:rsidRPr="002C1513" w:rsidRDefault="00EB070F" w:rsidP="00EB070F">
      <w:pPr>
        <w:autoSpaceDE w:val="0"/>
        <w:autoSpaceDN w:val="0"/>
        <w:adjustRightInd w:val="0"/>
        <w:ind w:left="0" w:firstLine="0"/>
        <w:rPr>
          <w:szCs w:val="22"/>
        </w:rPr>
      </w:pPr>
      <w:r w:rsidRPr="002C1513">
        <w:rPr>
          <w:szCs w:val="22"/>
        </w:rPr>
        <w:t xml:space="preserve">Neboli vykonané štúdie s duloxetínom u pacientov mladších ako 7 rokov. </w:t>
      </w:r>
    </w:p>
    <w:p w:rsidR="00787894" w:rsidRPr="002C1513" w:rsidRDefault="00787894" w:rsidP="00EB070F">
      <w:pPr>
        <w:autoSpaceDE w:val="0"/>
        <w:autoSpaceDN w:val="0"/>
        <w:adjustRightInd w:val="0"/>
        <w:ind w:left="0" w:firstLine="0"/>
        <w:rPr>
          <w:szCs w:val="22"/>
        </w:rPr>
      </w:pPr>
    </w:p>
    <w:p w:rsidR="00787894" w:rsidRPr="002C1513" w:rsidRDefault="00EB070F" w:rsidP="00787894">
      <w:pPr>
        <w:pStyle w:val="Default"/>
        <w:rPr>
          <w:sz w:val="22"/>
          <w:szCs w:val="22"/>
        </w:rPr>
      </w:pPr>
      <w:r w:rsidRPr="002C1513">
        <w:rPr>
          <w:szCs w:val="22"/>
        </w:rPr>
        <w:t>Boli vykonané dve randomizované dvojito zaslepené paralelné klinické štúdie s 800 pediatrickými pacientmi s</w:t>
      </w:r>
      <w:r w:rsidR="00787894" w:rsidRPr="002C1513">
        <w:rPr>
          <w:szCs w:val="22"/>
        </w:rPr>
        <w:t> </w:t>
      </w:r>
      <w:r w:rsidRPr="002C1513">
        <w:rPr>
          <w:szCs w:val="22"/>
        </w:rPr>
        <w:t>veľkou</w:t>
      </w:r>
      <w:r w:rsidR="00787894" w:rsidRPr="002C1513">
        <w:rPr>
          <w:szCs w:val="22"/>
        </w:rPr>
        <w:t xml:space="preserve"> </w:t>
      </w:r>
      <w:r w:rsidR="00787894" w:rsidRPr="002C1513">
        <w:rPr>
          <w:sz w:val="22"/>
          <w:szCs w:val="22"/>
        </w:rPr>
        <w:t xml:space="preserve">depresívnou poruchou vo veku 7-17 rokov (pozri časť 4.2). Tieto dve štúdie zahŕňali 10-týždňovú placebom a aktívnou látkou (fluoxetínom) kontrolovanú fázu, po ktorej nasledovala 6-mesačná fáza aktívne kontrolovanej pokračovacej liečby. Ani duloxetín (30 – 120 mg) ani aktívne kontrolované rameno (fluoxetín 20 - 40 mg) sa štatisticky neodlíšili od placeba v zmene celkového skóre CDRS-R (Children´s Depression Rating Scale-Revised) od začiatku až do konca. Ukončenie skúšania z dôvodu nežiaducich účinkov, najmä kvôli nauzei, bol vyšší u pacientov užívajúcich duloxetín ako u tých, čo užívali fluoxetín. Počas 10-týždňovej liečebnej časti akútnej liečby bolo hlásené suicidálne správanie (duloxetín 0/333 [0 %], fluoxetín 2/225 [0.9 %], placebo 1/220 [0,5 %]). Počas celého 36-týždňového trvania štúdie, 6 z 333 pacientov pôvodne randomizovaných na duloxetín a 3 z 225 pôvodne randomizovaných na fluoxetín zaznamenali suicidálne správanie (incidencia upravená podľa expozície 0,039 udalostí na pacientský rok u duloxetínu a 0,026 u fluoxetínu). Navyše jeden pacient, ktorý prešiel z placeba na duloxetín zakúsil suicidálne správanie v čase, keď užíval duloxetín. </w:t>
      </w:r>
    </w:p>
    <w:p w:rsidR="00787894" w:rsidRPr="002C1513" w:rsidRDefault="00787894" w:rsidP="00787894">
      <w:pPr>
        <w:pStyle w:val="Default"/>
        <w:rPr>
          <w:sz w:val="22"/>
          <w:szCs w:val="22"/>
        </w:rPr>
      </w:pPr>
    </w:p>
    <w:p w:rsidR="00787894" w:rsidRPr="002C1513" w:rsidRDefault="00787894" w:rsidP="00787894">
      <w:pPr>
        <w:pStyle w:val="Default"/>
        <w:rPr>
          <w:sz w:val="22"/>
          <w:szCs w:val="22"/>
        </w:rPr>
      </w:pPr>
      <w:r w:rsidRPr="002C1513">
        <w:rPr>
          <w:sz w:val="22"/>
          <w:szCs w:val="22"/>
        </w:rPr>
        <w:t xml:space="preserve">Randomizovaného, dvojito zaslepeného, placebom kontrolovaného klinického skúšania sa zúčastnilo 272 pacientov vo veku 7-17 rokov s generalizovanou úzkostnou poruchou (GAD). Klinické skúšanie zahŕňalo 10-týždňovú placebom kontrolovanú akútnu fázu, po ktorej nasledovala 18-týždňová predĺžená fáza. V tomto klinickom skúšaní bol použitý flexibilný dávkovací režim, aby bolo umožnené pomalé zvyšovanie dávky z 30 mg jedenkrát denne na vyššie dávky (najviac 120 mg jedenkrát denne). Liečba duloxetínom ukázala po 10 týždňoch liečby štatisticky výrazne vyššie zlepšenie príznakov GAD, pri meraní pomocou skóre závažnosti PARS pre GAD (priemerný rozdiel medzi duloxetínom a placebom bol 2,7 bodov [95 % CI 1,3-4,0]) po 10 týždňoch liečby. Pretrvanie účinku nebolo hodnotené. Počas 10-týždňovej fázy akútnej liečby sa neukázal žiaden štatisticky významný rozdiel v prerušení liečby z dôvodu nežiaducich reakcií medzi skupinami s duloxetínom a placebom. U dvoch pacientov, ktorí prešli po akútnej liečbe z placeba na duloxetín, sa počas užívania duloxetínu v predĺženej fáze vyskytlo samovražedné správanie. Závery vzhľadom na celkový pomer prínosu a rizika neboli pre túto vekovú skupinu stanovené (pozri tiež časti 4.2 a 4.8). </w:t>
      </w:r>
    </w:p>
    <w:p w:rsidR="00787894" w:rsidRPr="002C1513" w:rsidRDefault="00787894" w:rsidP="00787894">
      <w:pPr>
        <w:pStyle w:val="Default"/>
        <w:rPr>
          <w:sz w:val="22"/>
          <w:szCs w:val="22"/>
        </w:rPr>
      </w:pPr>
    </w:p>
    <w:p w:rsidR="00EB070F" w:rsidRPr="002C1513" w:rsidRDefault="00787894" w:rsidP="00787894">
      <w:pPr>
        <w:autoSpaceDE w:val="0"/>
        <w:autoSpaceDN w:val="0"/>
        <w:adjustRightInd w:val="0"/>
        <w:ind w:left="0" w:firstLine="0"/>
        <w:rPr>
          <w:iCs/>
          <w:szCs w:val="22"/>
          <w:lang w:eastAsia="en-US"/>
        </w:rPr>
      </w:pPr>
      <w:r w:rsidRPr="002C1513">
        <w:rPr>
          <w:szCs w:val="22"/>
        </w:rPr>
        <w:t>Európska lieková agentúra udelila výnimku z povinnosti predložiť výsledky štúdií s referenčným liekom obsahujúcim duloxetín s ohľadom na všetky vekové podskupiny detí a dospievajúcich v liečbe veľkej depresívnej poruchy, diabetickej neuropatickej bolesti a generalizovanej úzkostnej poruchy. Pozri časť 4.2 pre informáciu o pediatrickom použití.</w:t>
      </w:r>
    </w:p>
    <w:p w:rsidR="00952B3E" w:rsidRPr="002C1513" w:rsidRDefault="00952B3E" w:rsidP="00D62768">
      <w:pPr>
        <w:tabs>
          <w:tab w:val="left" w:pos="567"/>
        </w:tabs>
        <w:ind w:left="0" w:firstLine="0"/>
        <w:rPr>
          <w:b/>
          <w:szCs w:val="22"/>
        </w:rPr>
      </w:pPr>
    </w:p>
    <w:p w:rsidR="00EE6E61" w:rsidRPr="002C1513" w:rsidRDefault="00EE6E61" w:rsidP="00D62768">
      <w:pPr>
        <w:tabs>
          <w:tab w:val="left" w:pos="567"/>
        </w:tabs>
        <w:ind w:left="0" w:firstLine="0"/>
        <w:rPr>
          <w:b/>
          <w:szCs w:val="22"/>
        </w:rPr>
      </w:pPr>
      <w:r w:rsidRPr="002C1513">
        <w:rPr>
          <w:b/>
          <w:szCs w:val="22"/>
        </w:rPr>
        <w:t xml:space="preserve">5.2 </w:t>
      </w:r>
      <w:r w:rsidR="00512679" w:rsidRPr="002C1513">
        <w:rPr>
          <w:b/>
          <w:szCs w:val="22"/>
        </w:rPr>
        <w:tab/>
      </w:r>
      <w:r w:rsidRPr="002C1513">
        <w:rPr>
          <w:b/>
          <w:szCs w:val="22"/>
        </w:rPr>
        <w:t>Farmakokinetické vlastnosti</w:t>
      </w:r>
    </w:p>
    <w:p w:rsidR="00F04DBA" w:rsidRPr="002C1513" w:rsidRDefault="00F04DBA" w:rsidP="00F04DBA">
      <w:pPr>
        <w:pStyle w:val="Default"/>
        <w:rPr>
          <w:sz w:val="22"/>
          <w:szCs w:val="22"/>
        </w:rPr>
      </w:pPr>
    </w:p>
    <w:p w:rsidR="00F04DBA" w:rsidRPr="002C1513" w:rsidRDefault="00F04DBA" w:rsidP="00F04DBA">
      <w:pPr>
        <w:pStyle w:val="Default"/>
        <w:rPr>
          <w:sz w:val="22"/>
          <w:szCs w:val="22"/>
        </w:rPr>
      </w:pPr>
      <w:r w:rsidRPr="002C1513">
        <w:rPr>
          <w:sz w:val="22"/>
          <w:szCs w:val="22"/>
        </w:rPr>
        <w:t xml:space="preserve">Duloxetín sa podáva ako samostatný enantiomér. Duloxetín sa extenzívne metabolizuje prostredníctvom oxidatívnych enzýmov (CYP1A2 a polymorfný CYP2D6) s následnou konjugáciou. Farmakokinetika duloxetínu preukazuje veľkú interindividuálnu variabilitu (všeobecne 50–60 %), čiastočne v súvislosti s pohlavím, vekom, fajčiarskymi návykmi a </w:t>
      </w:r>
      <w:r w:rsidR="005A125A">
        <w:rPr>
          <w:sz w:val="22"/>
          <w:szCs w:val="22"/>
        </w:rPr>
        <w:t>typom</w:t>
      </w:r>
      <w:r w:rsidR="005A125A" w:rsidRPr="002C1513">
        <w:rPr>
          <w:sz w:val="22"/>
          <w:szCs w:val="22"/>
        </w:rPr>
        <w:t xml:space="preserve"> </w:t>
      </w:r>
      <w:r w:rsidRPr="002C1513">
        <w:rPr>
          <w:sz w:val="22"/>
          <w:szCs w:val="22"/>
        </w:rPr>
        <w:t xml:space="preserve">metabolizéra CYP2D6. </w:t>
      </w:r>
    </w:p>
    <w:p w:rsidR="002F2198" w:rsidRPr="002C1513" w:rsidRDefault="002F2198" w:rsidP="00F04DBA">
      <w:pPr>
        <w:pStyle w:val="Default"/>
        <w:rPr>
          <w:sz w:val="22"/>
          <w:szCs w:val="22"/>
        </w:rPr>
      </w:pPr>
    </w:p>
    <w:p w:rsidR="00F04DBA" w:rsidRPr="002C1513" w:rsidRDefault="00F04DBA" w:rsidP="00F04DBA">
      <w:pPr>
        <w:pStyle w:val="Default"/>
        <w:rPr>
          <w:sz w:val="22"/>
          <w:szCs w:val="22"/>
        </w:rPr>
      </w:pPr>
      <w:r w:rsidRPr="002C1513">
        <w:rPr>
          <w:i/>
          <w:iCs/>
          <w:sz w:val="22"/>
          <w:szCs w:val="22"/>
        </w:rPr>
        <w:t xml:space="preserve">Absorpcia: </w:t>
      </w:r>
      <w:r w:rsidRPr="002C1513">
        <w:rPr>
          <w:sz w:val="22"/>
          <w:szCs w:val="22"/>
        </w:rPr>
        <w:t>Duloxetín sa po perorálnom podaní dobre vstrebáva, pričom k C</w:t>
      </w:r>
      <w:r w:rsidRPr="002C1513">
        <w:rPr>
          <w:sz w:val="14"/>
          <w:szCs w:val="14"/>
        </w:rPr>
        <w:t xml:space="preserve">max </w:t>
      </w:r>
      <w:r w:rsidRPr="002C1513">
        <w:rPr>
          <w:sz w:val="22"/>
          <w:szCs w:val="22"/>
        </w:rPr>
        <w:t xml:space="preserve">dochádza 6 hodín po podaní dávky. Absolútna perorálna biologická dostupnosť duloxetínu je 32 % až 80 % (priemer 50 %). Potrava predlžuje čas potrebný na dosiahnutie najvyššej koncentrácie zo 6 na 10 hodín a okrajovo zmenšuje rozsah absorpcie (približne 11 %). Tieto zmeny nemajú žiadnu klinickú významnosť. </w:t>
      </w:r>
    </w:p>
    <w:p w:rsidR="00DA1296" w:rsidRDefault="00DA1296" w:rsidP="00F04DBA">
      <w:pPr>
        <w:pStyle w:val="Default"/>
        <w:rPr>
          <w:i/>
          <w:iCs/>
          <w:sz w:val="22"/>
          <w:szCs w:val="22"/>
        </w:rPr>
      </w:pPr>
    </w:p>
    <w:p w:rsidR="00F04DBA" w:rsidRPr="002C1513" w:rsidRDefault="00F04DBA" w:rsidP="00F04DBA">
      <w:pPr>
        <w:pStyle w:val="Default"/>
        <w:rPr>
          <w:sz w:val="22"/>
          <w:szCs w:val="22"/>
        </w:rPr>
      </w:pPr>
      <w:r w:rsidRPr="002C1513">
        <w:rPr>
          <w:i/>
          <w:iCs/>
          <w:sz w:val="22"/>
          <w:szCs w:val="22"/>
        </w:rPr>
        <w:t xml:space="preserve">Distribúcia: </w:t>
      </w:r>
      <w:r w:rsidRPr="002C1513">
        <w:rPr>
          <w:sz w:val="22"/>
          <w:szCs w:val="22"/>
        </w:rPr>
        <w:t xml:space="preserve">Duloxetín sa priemerne v 96 % viaže na proteíny v ľudskej plazme. Duloxetín sa viaže tak na albumín ako aj na </w:t>
      </w:r>
      <w:r w:rsidR="00DA1296" w:rsidRPr="002C1513">
        <w:rPr>
          <w:sz w:val="22"/>
          <w:szCs w:val="22"/>
        </w:rPr>
        <w:t xml:space="preserve">kyslý </w:t>
      </w:r>
      <w:r w:rsidRPr="002C1513">
        <w:rPr>
          <w:sz w:val="22"/>
          <w:szCs w:val="22"/>
        </w:rPr>
        <w:t>alfa-1 glykoproteín. Väzba na proteíny nie je ovplyvnená po</w:t>
      </w:r>
      <w:r w:rsidR="002F2198" w:rsidRPr="002C1513">
        <w:rPr>
          <w:sz w:val="22"/>
          <w:szCs w:val="22"/>
        </w:rPr>
        <w:t>ruchou</w:t>
      </w:r>
      <w:r w:rsidRPr="002C1513">
        <w:rPr>
          <w:sz w:val="22"/>
          <w:szCs w:val="22"/>
        </w:rPr>
        <w:t xml:space="preserve"> funkcie obličiek či pečene. </w:t>
      </w:r>
    </w:p>
    <w:p w:rsidR="002F2198" w:rsidRPr="002C1513" w:rsidRDefault="002F2198" w:rsidP="00F04DBA">
      <w:pPr>
        <w:autoSpaceDE w:val="0"/>
        <w:autoSpaceDN w:val="0"/>
        <w:adjustRightInd w:val="0"/>
        <w:ind w:left="0" w:firstLine="0"/>
        <w:rPr>
          <w:i/>
          <w:iCs/>
          <w:szCs w:val="22"/>
        </w:rPr>
      </w:pPr>
    </w:p>
    <w:p w:rsidR="00B33E74" w:rsidRPr="002C1513" w:rsidRDefault="00F04DBA" w:rsidP="00F04DBA">
      <w:pPr>
        <w:autoSpaceDE w:val="0"/>
        <w:autoSpaceDN w:val="0"/>
        <w:adjustRightInd w:val="0"/>
        <w:ind w:left="0" w:firstLine="0"/>
        <w:rPr>
          <w:i/>
          <w:iCs/>
          <w:szCs w:val="22"/>
          <w:lang w:eastAsia="en-US"/>
        </w:rPr>
      </w:pPr>
      <w:r w:rsidRPr="002C1513">
        <w:rPr>
          <w:i/>
          <w:iCs/>
          <w:szCs w:val="22"/>
        </w:rPr>
        <w:t xml:space="preserve">Biotransformácia: </w:t>
      </w:r>
      <w:r w:rsidRPr="002C1513">
        <w:rPr>
          <w:szCs w:val="22"/>
        </w:rPr>
        <w:t xml:space="preserve">Duloxetín sa extenzívne metabolizuje a jeho metabolity sa vylučujú predovšetkým močom. Obidva cytochrómy P450–2D6 ako aj 1A2 katalyzujú tvorbu dvoch hlavných metabolitov, glukuronidového konjugátu 4-hydroxyduloxetínu a sulfátového konjugátu 5-hydroxy 6-metoxyduloxetínu. Vychádzajúc zo štúdií </w:t>
      </w:r>
      <w:r w:rsidRPr="002C1513">
        <w:rPr>
          <w:i/>
          <w:iCs/>
          <w:szCs w:val="22"/>
        </w:rPr>
        <w:t>in vitro</w:t>
      </w:r>
      <w:r w:rsidRPr="002C1513">
        <w:rPr>
          <w:szCs w:val="22"/>
        </w:rPr>
        <w:t>, cirkulujúce metabolity duloxetínu sú považované za farmakologicky neaktívne. Farmakokinetika duloxetínu u pacientov, ktorí sú slabými metabolizérmi CYP2D6, nebola špecificky sledovaná. Obmedzené údaje naznačujú, že plazmatické hladiny duloxetínu sú u týchto pacientov vyššie.</w:t>
      </w:r>
    </w:p>
    <w:p w:rsidR="00127CA4" w:rsidRPr="002C1513" w:rsidRDefault="00127CA4" w:rsidP="00127CA4">
      <w:pPr>
        <w:autoSpaceDE w:val="0"/>
        <w:autoSpaceDN w:val="0"/>
        <w:adjustRightInd w:val="0"/>
        <w:ind w:left="0" w:firstLine="0"/>
        <w:rPr>
          <w:i/>
          <w:iCs/>
          <w:szCs w:val="22"/>
          <w:lang w:eastAsia="ja-JP"/>
        </w:rPr>
      </w:pPr>
    </w:p>
    <w:p w:rsidR="00F04DBA" w:rsidRPr="002C1513" w:rsidRDefault="00F04DBA" w:rsidP="00F04DBA">
      <w:pPr>
        <w:pStyle w:val="Default"/>
        <w:rPr>
          <w:sz w:val="22"/>
          <w:szCs w:val="22"/>
        </w:rPr>
      </w:pPr>
      <w:r w:rsidRPr="002C1513">
        <w:rPr>
          <w:i/>
          <w:iCs/>
          <w:sz w:val="22"/>
          <w:szCs w:val="22"/>
        </w:rPr>
        <w:t xml:space="preserve">Eliminácia: </w:t>
      </w:r>
      <w:r w:rsidRPr="002C1513">
        <w:rPr>
          <w:sz w:val="22"/>
          <w:szCs w:val="22"/>
        </w:rPr>
        <w:t xml:space="preserve">Polčas eliminácie duloxetínu sa pohybuje v rozmedzí od 8 do 17 hodín (priemerne 12 hodín). Plazmatický klírens po intravenóznej aplikácii dávky sa pohybuje v rozpätí 22 l/h až 46 l/h (priemerne 36 l/h). Zdanlivý plazmatický klírens duloxetínu po perorálnom podaní sa pohybuje od 33 to 261 l/h (priemer 101 l/h). </w:t>
      </w:r>
    </w:p>
    <w:p w:rsidR="002F2198" w:rsidRPr="002C1513" w:rsidRDefault="002F2198" w:rsidP="00F04DBA">
      <w:pPr>
        <w:pStyle w:val="Default"/>
        <w:rPr>
          <w:i/>
          <w:iCs/>
          <w:sz w:val="22"/>
          <w:szCs w:val="22"/>
        </w:rPr>
      </w:pPr>
    </w:p>
    <w:p w:rsidR="00F04DBA" w:rsidRPr="002C1513" w:rsidRDefault="00F04DBA" w:rsidP="00F04DBA">
      <w:pPr>
        <w:pStyle w:val="Default"/>
        <w:rPr>
          <w:sz w:val="22"/>
          <w:szCs w:val="22"/>
        </w:rPr>
      </w:pPr>
      <w:r w:rsidRPr="002C1513">
        <w:rPr>
          <w:i/>
          <w:iCs/>
          <w:sz w:val="22"/>
          <w:szCs w:val="22"/>
        </w:rPr>
        <w:t xml:space="preserve">Špeciálne skupiny pacientov: </w:t>
      </w:r>
    </w:p>
    <w:p w:rsidR="00F04DBA" w:rsidRPr="002C1513" w:rsidRDefault="00F04DBA" w:rsidP="00F04DBA">
      <w:pPr>
        <w:pStyle w:val="Default"/>
        <w:rPr>
          <w:sz w:val="22"/>
          <w:szCs w:val="22"/>
        </w:rPr>
      </w:pPr>
      <w:r w:rsidRPr="002C1513">
        <w:rPr>
          <w:i/>
          <w:iCs/>
          <w:sz w:val="22"/>
          <w:szCs w:val="22"/>
        </w:rPr>
        <w:t xml:space="preserve">Pohlavie: </w:t>
      </w:r>
      <w:r w:rsidRPr="002C1513">
        <w:rPr>
          <w:sz w:val="22"/>
          <w:szCs w:val="22"/>
        </w:rPr>
        <w:t>medzi mužmi a ženami boli zistené farmakokinetické rozdiely (zdanlivý plazmatický klírens je u žien asi o</w:t>
      </w:r>
      <w:r w:rsidR="002F2198" w:rsidRPr="002C1513">
        <w:rPr>
          <w:sz w:val="22"/>
          <w:szCs w:val="22"/>
        </w:rPr>
        <w:t> </w:t>
      </w:r>
      <w:r w:rsidRPr="002C1513">
        <w:rPr>
          <w:sz w:val="22"/>
          <w:szCs w:val="22"/>
        </w:rPr>
        <w:t>50</w:t>
      </w:r>
      <w:r w:rsidR="002F2198" w:rsidRPr="002C1513">
        <w:rPr>
          <w:sz w:val="22"/>
          <w:szCs w:val="22"/>
        </w:rPr>
        <w:t xml:space="preserve"> </w:t>
      </w:r>
      <w:r w:rsidRPr="002C1513">
        <w:rPr>
          <w:sz w:val="22"/>
          <w:szCs w:val="22"/>
        </w:rPr>
        <w:t xml:space="preserve">% nižší). Vychádzajúc z prekrývania sa rozmedzia klírensu, farmakokinetické rozdiely na základe pohlavia </w:t>
      </w:r>
      <w:r w:rsidR="005A125A">
        <w:rPr>
          <w:sz w:val="22"/>
          <w:szCs w:val="22"/>
        </w:rPr>
        <w:t>nie sú dostatočným dôvodom</w:t>
      </w:r>
      <w:r w:rsidR="005A125A" w:rsidRPr="002C1513">
        <w:rPr>
          <w:sz w:val="22"/>
          <w:szCs w:val="22"/>
        </w:rPr>
        <w:t xml:space="preserve"> </w:t>
      </w:r>
      <w:r w:rsidRPr="002C1513">
        <w:rPr>
          <w:sz w:val="22"/>
          <w:szCs w:val="22"/>
        </w:rPr>
        <w:t xml:space="preserve">k odporúčaniu užívania nižších dávok u pacientok. </w:t>
      </w:r>
    </w:p>
    <w:p w:rsidR="002F2198" w:rsidRPr="002C1513" w:rsidRDefault="002F2198" w:rsidP="00F04DBA">
      <w:pPr>
        <w:pStyle w:val="Default"/>
        <w:rPr>
          <w:i/>
          <w:iCs/>
          <w:sz w:val="22"/>
          <w:szCs w:val="22"/>
        </w:rPr>
      </w:pPr>
    </w:p>
    <w:p w:rsidR="00F04DBA" w:rsidRPr="002C1513" w:rsidRDefault="00F04DBA" w:rsidP="00F04DBA">
      <w:pPr>
        <w:pStyle w:val="Default"/>
        <w:rPr>
          <w:sz w:val="22"/>
          <w:szCs w:val="22"/>
        </w:rPr>
      </w:pPr>
      <w:r w:rsidRPr="002C1513">
        <w:rPr>
          <w:i/>
          <w:iCs/>
          <w:sz w:val="22"/>
          <w:szCs w:val="22"/>
        </w:rPr>
        <w:t>Vek</w:t>
      </w:r>
      <w:r w:rsidRPr="002C1513">
        <w:rPr>
          <w:sz w:val="22"/>
          <w:szCs w:val="22"/>
        </w:rPr>
        <w:t>: farmakokinetické rozdiely boli zistené medzi mladšími a staršími ženami (≥</w:t>
      </w:r>
      <w:r w:rsidR="002F2198" w:rsidRPr="002C1513">
        <w:rPr>
          <w:sz w:val="22"/>
          <w:szCs w:val="22"/>
        </w:rPr>
        <w:t xml:space="preserve"> </w:t>
      </w:r>
      <w:r w:rsidRPr="002C1513">
        <w:rPr>
          <w:sz w:val="22"/>
          <w:szCs w:val="22"/>
        </w:rPr>
        <w:t xml:space="preserve">65 rokov) (u starších pacientok sa zvyšuje AUC asi o 25 % a polčas vylučovania je asi o 25 % dlhší), magnitúda týchto zmien však nie je dostatočná na to, aby oprávňovala úpravu dávkovania. Všeobecne sa odporúča opatrnosť pri liečbe starších </w:t>
      </w:r>
      <w:r w:rsidR="005A125A">
        <w:rPr>
          <w:sz w:val="22"/>
          <w:szCs w:val="22"/>
        </w:rPr>
        <w:t>pacientov</w:t>
      </w:r>
      <w:r w:rsidRPr="002C1513">
        <w:rPr>
          <w:sz w:val="22"/>
          <w:szCs w:val="22"/>
        </w:rPr>
        <w:t xml:space="preserve">(pozri časti 4.2 a 4.4). </w:t>
      </w:r>
    </w:p>
    <w:p w:rsidR="002F2198" w:rsidRPr="002C1513" w:rsidRDefault="002F2198" w:rsidP="00F04DBA">
      <w:pPr>
        <w:pStyle w:val="Default"/>
        <w:rPr>
          <w:i/>
          <w:iCs/>
          <w:sz w:val="22"/>
          <w:szCs w:val="22"/>
        </w:rPr>
      </w:pPr>
    </w:p>
    <w:p w:rsidR="00F04DBA" w:rsidRPr="002C1513" w:rsidRDefault="00F04DBA" w:rsidP="00F04DBA">
      <w:pPr>
        <w:pStyle w:val="Default"/>
        <w:rPr>
          <w:sz w:val="22"/>
          <w:szCs w:val="22"/>
        </w:rPr>
      </w:pPr>
      <w:r w:rsidRPr="002C1513">
        <w:rPr>
          <w:i/>
          <w:iCs/>
          <w:sz w:val="22"/>
          <w:szCs w:val="22"/>
        </w:rPr>
        <w:t>Porucha funkcie obličiek</w:t>
      </w:r>
      <w:r w:rsidRPr="002C1513">
        <w:rPr>
          <w:sz w:val="22"/>
          <w:szCs w:val="22"/>
        </w:rPr>
        <w:t>: pacienti s obličkovým ochorením v konečnej fáze (End Stage Renal Disease - ESRD) podrobujúci sa dialýze mali oproti zdravým jedincom dvakrát vyššie hodnoty C</w:t>
      </w:r>
      <w:r w:rsidRPr="002C1513">
        <w:rPr>
          <w:sz w:val="14"/>
          <w:szCs w:val="14"/>
        </w:rPr>
        <w:t xml:space="preserve">max </w:t>
      </w:r>
      <w:r w:rsidRPr="002C1513">
        <w:rPr>
          <w:sz w:val="22"/>
          <w:szCs w:val="22"/>
        </w:rPr>
        <w:t xml:space="preserve">a AUC duloxetínu. Farmakokinetické údaje o </w:t>
      </w:r>
      <w:r w:rsidR="002F2198" w:rsidRPr="002C1513">
        <w:rPr>
          <w:sz w:val="22"/>
          <w:szCs w:val="22"/>
        </w:rPr>
        <w:t>duloxetíne u pacientov s miernou</w:t>
      </w:r>
      <w:r w:rsidRPr="002C1513">
        <w:rPr>
          <w:sz w:val="22"/>
          <w:szCs w:val="22"/>
        </w:rPr>
        <w:t xml:space="preserve"> alebo stredne závaž</w:t>
      </w:r>
      <w:r w:rsidR="002F2198" w:rsidRPr="002C1513">
        <w:rPr>
          <w:sz w:val="22"/>
          <w:szCs w:val="22"/>
        </w:rPr>
        <w:t>nou poruchou</w:t>
      </w:r>
      <w:r w:rsidRPr="002C1513">
        <w:rPr>
          <w:sz w:val="22"/>
          <w:szCs w:val="22"/>
        </w:rPr>
        <w:t xml:space="preserve"> funkcie obličiek sú obmedzené. </w:t>
      </w:r>
    </w:p>
    <w:p w:rsidR="002F2198" w:rsidRPr="002C1513" w:rsidRDefault="002F2198" w:rsidP="00F04DBA">
      <w:pPr>
        <w:pStyle w:val="Default"/>
        <w:rPr>
          <w:sz w:val="22"/>
          <w:szCs w:val="22"/>
        </w:rPr>
      </w:pPr>
    </w:p>
    <w:p w:rsidR="00F04DBA" w:rsidRPr="002C1513" w:rsidRDefault="00F04DBA" w:rsidP="00F04DBA">
      <w:pPr>
        <w:pStyle w:val="Default"/>
        <w:rPr>
          <w:sz w:val="22"/>
          <w:szCs w:val="22"/>
        </w:rPr>
      </w:pPr>
      <w:r w:rsidRPr="002C1513">
        <w:rPr>
          <w:i/>
          <w:iCs/>
          <w:sz w:val="22"/>
          <w:szCs w:val="22"/>
        </w:rPr>
        <w:t>Porucha funkcie pečene</w:t>
      </w:r>
      <w:r w:rsidRPr="002C1513">
        <w:rPr>
          <w:sz w:val="22"/>
          <w:szCs w:val="22"/>
        </w:rPr>
        <w:t>: stredne závažné poškodenie pečene (Child</w:t>
      </w:r>
      <w:r w:rsidR="002F2198" w:rsidRPr="002C1513">
        <w:rPr>
          <w:sz w:val="22"/>
          <w:szCs w:val="22"/>
        </w:rPr>
        <w:t>ova-</w:t>
      </w:r>
      <w:r w:rsidRPr="002C1513">
        <w:rPr>
          <w:sz w:val="22"/>
          <w:szCs w:val="22"/>
        </w:rPr>
        <w:t>Pugh</w:t>
      </w:r>
      <w:r w:rsidR="002F2198" w:rsidRPr="002C1513">
        <w:rPr>
          <w:sz w:val="22"/>
          <w:szCs w:val="22"/>
        </w:rPr>
        <w:t>ova</w:t>
      </w:r>
      <w:r w:rsidRPr="002C1513">
        <w:rPr>
          <w:sz w:val="22"/>
          <w:szCs w:val="22"/>
        </w:rPr>
        <w:t xml:space="preserve"> trieda B) malo vplyv na farmakokinetiku duloxetínu. V porovnaní so zdravými jedincami, u pacientov so stredne závaž</w:t>
      </w:r>
      <w:r w:rsidR="002F2198" w:rsidRPr="002C1513">
        <w:rPr>
          <w:sz w:val="22"/>
          <w:szCs w:val="22"/>
        </w:rPr>
        <w:t>nou</w:t>
      </w:r>
      <w:r w:rsidRPr="002C1513">
        <w:rPr>
          <w:sz w:val="22"/>
          <w:szCs w:val="22"/>
        </w:rPr>
        <w:t xml:space="preserve"> po</w:t>
      </w:r>
      <w:r w:rsidR="002F2198" w:rsidRPr="002C1513">
        <w:rPr>
          <w:sz w:val="22"/>
          <w:szCs w:val="22"/>
        </w:rPr>
        <w:t>ruchou funkcie</w:t>
      </w:r>
      <w:r w:rsidRPr="002C1513">
        <w:rPr>
          <w:sz w:val="22"/>
          <w:szCs w:val="22"/>
        </w:rPr>
        <w:t xml:space="preserve"> pečene bol zdanlivý plazmatický klírens duloxetínu o</w:t>
      </w:r>
      <w:r w:rsidR="002F2198" w:rsidRPr="002C1513">
        <w:rPr>
          <w:sz w:val="22"/>
          <w:szCs w:val="22"/>
        </w:rPr>
        <w:t> </w:t>
      </w:r>
      <w:r w:rsidRPr="002C1513">
        <w:rPr>
          <w:sz w:val="22"/>
          <w:szCs w:val="22"/>
        </w:rPr>
        <w:t>79</w:t>
      </w:r>
      <w:r w:rsidR="002F2198" w:rsidRPr="002C1513">
        <w:rPr>
          <w:sz w:val="22"/>
          <w:szCs w:val="22"/>
        </w:rPr>
        <w:t xml:space="preserve"> </w:t>
      </w:r>
      <w:r w:rsidRPr="002C1513">
        <w:rPr>
          <w:sz w:val="22"/>
          <w:szCs w:val="22"/>
        </w:rPr>
        <w:t xml:space="preserve">% nižší, zdanlivý terminálny polčas 2,3 krát dlhší a AUC 3,7 krát vyššie. Farmakokinetika duloxetínu a jeho metabolitov u pacientov s miernou alebo závažnou nedostatočnosťou pečene nebola sledovaná. </w:t>
      </w:r>
    </w:p>
    <w:p w:rsidR="002F2198" w:rsidRPr="002C1513" w:rsidRDefault="002F2198" w:rsidP="00F04DBA">
      <w:pPr>
        <w:pStyle w:val="Default"/>
        <w:rPr>
          <w:sz w:val="22"/>
          <w:szCs w:val="22"/>
        </w:rPr>
      </w:pPr>
    </w:p>
    <w:p w:rsidR="00F04DBA" w:rsidRPr="002C1513" w:rsidRDefault="00F04DBA" w:rsidP="00F04DBA">
      <w:pPr>
        <w:pStyle w:val="Default"/>
        <w:rPr>
          <w:sz w:val="22"/>
          <w:szCs w:val="22"/>
        </w:rPr>
      </w:pPr>
      <w:r w:rsidRPr="002C1513">
        <w:rPr>
          <w:i/>
          <w:iCs/>
          <w:sz w:val="22"/>
          <w:szCs w:val="22"/>
        </w:rPr>
        <w:t xml:space="preserve">Dojčiace matky: </w:t>
      </w:r>
      <w:r w:rsidRPr="002C1513">
        <w:rPr>
          <w:sz w:val="22"/>
          <w:szCs w:val="22"/>
        </w:rPr>
        <w:t>Dispozícia duloxetínu bola skúmaná u 6 dojčiacich žien, ktoré boli minimálne 12 týždňov po pôrode. Duloxetín je detekovateľný v materskom mlieku a rovnovážne koncentrácie v materskom mlieku tvoria asi jednu štvrtinu plazmatickej koncentrácie. Množstvo duloxetínu v materskom mlieku je približne 7 μg/deň</w:t>
      </w:r>
      <w:r w:rsidR="002F2198" w:rsidRPr="002C1513">
        <w:rPr>
          <w:sz w:val="22"/>
          <w:szCs w:val="22"/>
        </w:rPr>
        <w:t xml:space="preserve"> pri dávkovaní 40 mg dvakrát</w:t>
      </w:r>
      <w:r w:rsidRPr="002C1513">
        <w:rPr>
          <w:sz w:val="22"/>
          <w:szCs w:val="22"/>
        </w:rPr>
        <w:t xml:space="preserve"> denne. Laktácia neovplyvňovala farmakokinetiku duloxetínu. </w:t>
      </w:r>
    </w:p>
    <w:p w:rsidR="002F2198" w:rsidRPr="002C1513" w:rsidRDefault="002F2198" w:rsidP="00F04DBA">
      <w:pPr>
        <w:pStyle w:val="Default"/>
        <w:rPr>
          <w:sz w:val="22"/>
          <w:szCs w:val="22"/>
        </w:rPr>
      </w:pPr>
    </w:p>
    <w:p w:rsidR="00F04DBA" w:rsidRPr="002C1513" w:rsidRDefault="00F04DBA" w:rsidP="00F04DBA">
      <w:pPr>
        <w:autoSpaceDE w:val="0"/>
        <w:autoSpaceDN w:val="0"/>
        <w:adjustRightInd w:val="0"/>
        <w:ind w:left="0" w:firstLine="0"/>
        <w:rPr>
          <w:i/>
          <w:iCs/>
          <w:szCs w:val="22"/>
          <w:lang w:eastAsia="ja-JP"/>
        </w:rPr>
      </w:pPr>
      <w:r w:rsidRPr="002C1513">
        <w:rPr>
          <w:i/>
          <w:iCs/>
          <w:szCs w:val="22"/>
        </w:rPr>
        <w:t xml:space="preserve">Pediatrická populácia: </w:t>
      </w:r>
      <w:r w:rsidRPr="002C1513">
        <w:rPr>
          <w:szCs w:val="22"/>
        </w:rPr>
        <w:t>Farmakokinetika duloxetínu u pediatrických pacientov vo veku 7 až 17 rokov s veľkou depresívnou poruchou po perorálnom podaní dávok 20 až</w:t>
      </w:r>
      <w:r w:rsidR="002F2198" w:rsidRPr="002C1513">
        <w:rPr>
          <w:szCs w:val="22"/>
        </w:rPr>
        <w:t xml:space="preserve"> 120 mg jedenkrát</w:t>
      </w:r>
      <w:r w:rsidRPr="002C1513">
        <w:rPr>
          <w:szCs w:val="22"/>
        </w:rPr>
        <w:t xml:space="preserve"> denne bola charakterizovaná pomocou analýz modelovania populácie založených na údajoch z 3 štúdií. </w:t>
      </w:r>
      <w:r w:rsidR="005A125A" w:rsidRPr="005A125A">
        <w:rPr>
          <w:szCs w:val="22"/>
          <w:lang w:val="en-GB"/>
        </w:rPr>
        <w:t xml:space="preserve">Rovnovážne plazmatické koncentrácie duloxetínu odhadnuté na základe tohoto modelu u pediatrických pacientov boli väčšinou v koncentračnom rozsahu pozorovanom u dospelých pacientov. </w:t>
      </w:r>
    </w:p>
    <w:p w:rsidR="0091273F" w:rsidRDefault="0091273F" w:rsidP="00D62768">
      <w:pPr>
        <w:tabs>
          <w:tab w:val="left" w:pos="567"/>
        </w:tabs>
        <w:ind w:left="0" w:firstLine="0"/>
        <w:rPr>
          <w:b/>
          <w:szCs w:val="22"/>
        </w:rPr>
      </w:pPr>
    </w:p>
    <w:p w:rsidR="00EE6E61" w:rsidRPr="002C1513" w:rsidRDefault="00EE6E61" w:rsidP="00D62768">
      <w:pPr>
        <w:tabs>
          <w:tab w:val="left" w:pos="567"/>
        </w:tabs>
        <w:ind w:left="0" w:firstLine="0"/>
        <w:rPr>
          <w:b/>
          <w:szCs w:val="22"/>
        </w:rPr>
      </w:pPr>
      <w:r w:rsidRPr="002C1513">
        <w:rPr>
          <w:b/>
          <w:szCs w:val="22"/>
        </w:rPr>
        <w:t xml:space="preserve">5.3 </w:t>
      </w:r>
      <w:r w:rsidR="00636C42" w:rsidRPr="002C1513">
        <w:rPr>
          <w:b/>
          <w:szCs w:val="22"/>
        </w:rPr>
        <w:tab/>
      </w:r>
      <w:r w:rsidRPr="002C1513">
        <w:rPr>
          <w:b/>
          <w:szCs w:val="22"/>
        </w:rPr>
        <w:t>Predklinické údaje o bezpečnosti</w:t>
      </w:r>
    </w:p>
    <w:p w:rsidR="00C1079D" w:rsidRPr="002C1513" w:rsidRDefault="00C1079D" w:rsidP="00527DED">
      <w:pPr>
        <w:ind w:left="0" w:firstLine="0"/>
        <w:rPr>
          <w:szCs w:val="22"/>
        </w:rPr>
      </w:pPr>
    </w:p>
    <w:p w:rsidR="00F04DBA" w:rsidRPr="002C1513" w:rsidRDefault="00F04DBA" w:rsidP="00F04DBA">
      <w:pPr>
        <w:pStyle w:val="Default"/>
        <w:rPr>
          <w:sz w:val="22"/>
          <w:szCs w:val="22"/>
        </w:rPr>
      </w:pPr>
      <w:r w:rsidRPr="002C1513">
        <w:rPr>
          <w:sz w:val="22"/>
          <w:szCs w:val="22"/>
        </w:rPr>
        <w:t xml:space="preserve">V štandardnej sérii testov duloxetín nebol genotoxický a u potkanov nebol karcinogénny. </w:t>
      </w:r>
    </w:p>
    <w:p w:rsidR="00F04DBA" w:rsidRPr="002C1513" w:rsidRDefault="00F04DBA" w:rsidP="00F04DBA">
      <w:pPr>
        <w:ind w:left="0" w:firstLine="0"/>
        <w:rPr>
          <w:szCs w:val="22"/>
        </w:rPr>
      </w:pPr>
      <w:r w:rsidRPr="002C1513">
        <w:rPr>
          <w:szCs w:val="22"/>
        </w:rPr>
        <w:t xml:space="preserve">V štúdii karcinogenity na potkanoch boli v pečeni spozorované multijadrové bunky bez prítomnosti iných histopatologických zmien. Mechanizmus, ktorý to spôsobuje, ani klinická závažnosť, nie sú </w:t>
      </w:r>
      <w:r w:rsidRPr="002C1513">
        <w:rPr>
          <w:szCs w:val="22"/>
        </w:rPr>
        <w:lastRenderedPageBreak/>
        <w:t xml:space="preserve">známe. U samičiek myší, ktoré dostávali duloxetín počas 2 rokov, bola iba pri vysokej dávke </w:t>
      </w:r>
      <w:r w:rsidR="002F2198" w:rsidRPr="002C1513">
        <w:rPr>
          <w:szCs w:val="22"/>
        </w:rPr>
        <w:t xml:space="preserve">(144 mg/kg/deň) </w:t>
      </w:r>
      <w:r w:rsidRPr="002C1513">
        <w:rPr>
          <w:szCs w:val="22"/>
        </w:rPr>
        <w:t>zvýšená incidencia hepatocelulárnych adenómov a karcinómov, tieto však boli považované za sekundárne následky indukcie mikrozomálnych hepatálnych enzýmov. Nie je známe, či sú tieto údaje získané pozorovaním myší, relevantné pre ľudí. Samičky potkanov, ktoré dostávali duloxetín (45 mg/kg/deň) pred a poč</w:t>
      </w:r>
      <w:r w:rsidR="002F2198" w:rsidRPr="002C1513">
        <w:rPr>
          <w:szCs w:val="22"/>
        </w:rPr>
        <w:t>as párenia a na za</w:t>
      </w:r>
      <w:r w:rsidRPr="002C1513">
        <w:rPr>
          <w:szCs w:val="22"/>
        </w:rPr>
        <w:t>čiatku gravidity, mali pokles príjmu materskej potravy a telesnej hmotnosti, poruchy estrálneho cyklu, pokles indexu živonarodeného a žijúceho potomstva a retardáciu rastu potomstva pri úrovniach systémovej expozície, ktoré podľa odhadu dosahovali väčšinou úroveň maximálnej klinickej expozície (AUC). V štúdii embryotoxicity u králikov bola pri úrovniach systémovej expozície pod maximálnou klinickou expozíciou (AUC) pozorovaná vyššia incidencia kardiovaskulárnych a skeletálnych malformácií. V inej štúdii, ktorá skúmala vyššiu dávku inej soli duloxetínu, žiadne malformácie pozorované neboli. V rámci štúdií prenatálnej/postnatálnej toxicity na potkanoch duloxetín indukoval nežiaduce účinky v správaní mláďat pri expozíciách nižších ako je maximálna klinická expozícia (AUC).</w:t>
      </w:r>
    </w:p>
    <w:p w:rsidR="00F04DBA" w:rsidRPr="002C1513" w:rsidRDefault="00F04DBA" w:rsidP="00F04DBA">
      <w:pPr>
        <w:ind w:left="0" w:firstLine="0"/>
        <w:rPr>
          <w:szCs w:val="22"/>
        </w:rPr>
      </w:pPr>
    </w:p>
    <w:p w:rsidR="00F04DBA" w:rsidRPr="002C1513" w:rsidRDefault="00F04DBA" w:rsidP="00F04DBA">
      <w:pPr>
        <w:ind w:left="0" w:firstLine="0"/>
        <w:rPr>
          <w:szCs w:val="22"/>
        </w:rPr>
      </w:pPr>
      <w:r w:rsidRPr="002C1513">
        <w:rPr>
          <w:szCs w:val="22"/>
        </w:rPr>
        <w:t>Štúdie s mláďatami potkanov ukázali prechodné účinky v neurobehaviorálnej oblasti, taktiež signifikantné zníženie telesnej hmotnosti a príjmu potravy, indukciu hepatálnych enzýmov a hepatocelulárnu vakuolizáciu pri dávkach 45</w:t>
      </w:r>
      <w:r w:rsidR="002F2198" w:rsidRPr="002C1513">
        <w:rPr>
          <w:szCs w:val="22"/>
        </w:rPr>
        <w:t xml:space="preserve"> </w:t>
      </w:r>
      <w:r w:rsidRPr="002C1513">
        <w:rPr>
          <w:szCs w:val="22"/>
        </w:rPr>
        <w:t>mg/kg/deň. Všeobecný profil toxicity duloxetínu u mláďat potkanov bol podobný s tým u dospelých potkanov. Výška dávky, ktorá nevyvoláva nežiaduce účinky, bola stanovená na 20 mg/kg/deň.</w:t>
      </w:r>
    </w:p>
    <w:p w:rsidR="00127CA4" w:rsidRPr="002C1513" w:rsidRDefault="00127CA4" w:rsidP="00127CA4">
      <w:pPr>
        <w:ind w:left="0" w:firstLine="0"/>
        <w:rPr>
          <w:b/>
          <w:szCs w:val="22"/>
        </w:rPr>
      </w:pPr>
    </w:p>
    <w:p w:rsidR="00F04DBA" w:rsidRPr="002C1513" w:rsidRDefault="00F04DBA" w:rsidP="00127CA4">
      <w:pPr>
        <w:ind w:left="0" w:firstLine="0"/>
        <w:rPr>
          <w:b/>
          <w:szCs w:val="22"/>
        </w:rPr>
      </w:pPr>
    </w:p>
    <w:p w:rsidR="00FF6BE0" w:rsidRPr="002C1513" w:rsidRDefault="00FF6BE0" w:rsidP="00D62768">
      <w:pPr>
        <w:tabs>
          <w:tab w:val="left" w:pos="567"/>
        </w:tabs>
        <w:ind w:left="0" w:firstLine="0"/>
        <w:rPr>
          <w:b/>
          <w:szCs w:val="22"/>
        </w:rPr>
      </w:pPr>
      <w:r w:rsidRPr="002C1513">
        <w:rPr>
          <w:b/>
          <w:szCs w:val="22"/>
        </w:rPr>
        <w:t>6.</w:t>
      </w:r>
      <w:r w:rsidRPr="002C1513">
        <w:rPr>
          <w:b/>
          <w:szCs w:val="22"/>
        </w:rPr>
        <w:tab/>
        <w:t>FARMACEUTICKÉ INFORMÁCIE</w:t>
      </w:r>
    </w:p>
    <w:p w:rsidR="00FF6BE0" w:rsidRPr="002C1513" w:rsidRDefault="00FF6BE0" w:rsidP="00527DED">
      <w:pPr>
        <w:ind w:left="0" w:firstLine="0"/>
        <w:rPr>
          <w:szCs w:val="22"/>
        </w:rPr>
      </w:pPr>
    </w:p>
    <w:p w:rsidR="00FF6BE0" w:rsidRPr="002C1513" w:rsidRDefault="00FF6BE0" w:rsidP="00D62768">
      <w:pPr>
        <w:tabs>
          <w:tab w:val="left" w:pos="567"/>
        </w:tabs>
        <w:ind w:left="0" w:firstLine="0"/>
        <w:rPr>
          <w:szCs w:val="22"/>
        </w:rPr>
      </w:pPr>
      <w:r w:rsidRPr="002C1513">
        <w:rPr>
          <w:b/>
          <w:szCs w:val="22"/>
        </w:rPr>
        <w:t>6.1</w:t>
      </w:r>
      <w:r w:rsidRPr="002C1513">
        <w:rPr>
          <w:b/>
          <w:szCs w:val="22"/>
        </w:rPr>
        <w:tab/>
        <w:t>Zoznam pomocných látok</w:t>
      </w:r>
    </w:p>
    <w:p w:rsidR="00FC5D63" w:rsidRPr="002C1513" w:rsidRDefault="00FC5D63" w:rsidP="00527DED">
      <w:pPr>
        <w:ind w:left="0" w:firstLine="0"/>
        <w:rPr>
          <w:b/>
          <w:szCs w:val="22"/>
        </w:rPr>
      </w:pPr>
    </w:p>
    <w:p w:rsidR="003D5FE8" w:rsidRPr="002C1513" w:rsidRDefault="003D5FE8" w:rsidP="00527DED">
      <w:pPr>
        <w:ind w:left="0" w:firstLine="0"/>
        <w:rPr>
          <w:b/>
          <w:szCs w:val="22"/>
        </w:rPr>
      </w:pPr>
      <w:r w:rsidRPr="002C1513">
        <w:rPr>
          <w:b/>
          <w:szCs w:val="22"/>
        </w:rPr>
        <w:t>Obsah kapsuly:</w:t>
      </w:r>
    </w:p>
    <w:p w:rsidR="003D5FE8" w:rsidRPr="002C1513" w:rsidRDefault="0095562B" w:rsidP="003D5FE8">
      <w:pPr>
        <w:keepNext/>
        <w:tabs>
          <w:tab w:val="left" w:pos="0"/>
        </w:tabs>
        <w:ind w:left="0" w:firstLine="0"/>
        <w:rPr>
          <w:szCs w:val="22"/>
        </w:rPr>
      </w:pPr>
      <w:r>
        <w:rPr>
          <w:szCs w:val="22"/>
        </w:rPr>
        <w:t>P</w:t>
      </w:r>
      <w:r w:rsidRPr="0095562B">
        <w:rPr>
          <w:szCs w:val="22"/>
        </w:rPr>
        <w:t xml:space="preserve">redželatínovaný </w:t>
      </w:r>
      <w:r w:rsidR="003D5FE8" w:rsidRPr="002C1513">
        <w:rPr>
          <w:szCs w:val="22"/>
        </w:rPr>
        <w:t xml:space="preserve"> škrob (kukuričný) </w:t>
      </w:r>
    </w:p>
    <w:p w:rsidR="003D5FE8" w:rsidRPr="002C1513" w:rsidRDefault="003D5FE8" w:rsidP="003D5FE8">
      <w:pPr>
        <w:keepNext/>
        <w:tabs>
          <w:tab w:val="left" w:pos="0"/>
        </w:tabs>
        <w:ind w:left="0" w:firstLine="0"/>
        <w:rPr>
          <w:szCs w:val="22"/>
        </w:rPr>
      </w:pPr>
      <w:r w:rsidRPr="002C1513">
        <w:rPr>
          <w:szCs w:val="22"/>
        </w:rPr>
        <w:t>Mikrokryštalická celulóza</w:t>
      </w:r>
    </w:p>
    <w:p w:rsidR="003D5FE8" w:rsidRPr="002C1513" w:rsidRDefault="003D5FE8" w:rsidP="003D5FE8">
      <w:pPr>
        <w:keepNext/>
        <w:tabs>
          <w:tab w:val="left" w:pos="0"/>
        </w:tabs>
        <w:ind w:left="0" w:firstLine="0"/>
        <w:rPr>
          <w:szCs w:val="22"/>
        </w:rPr>
      </w:pPr>
      <w:r w:rsidRPr="002C1513">
        <w:rPr>
          <w:szCs w:val="22"/>
        </w:rPr>
        <w:t>Povidón K 30</w:t>
      </w:r>
    </w:p>
    <w:p w:rsidR="003D5FE8" w:rsidRPr="002C1513" w:rsidRDefault="003D5FE8" w:rsidP="003D5FE8">
      <w:pPr>
        <w:keepNext/>
        <w:tabs>
          <w:tab w:val="left" w:pos="0"/>
        </w:tabs>
        <w:ind w:left="0" w:firstLine="0"/>
        <w:rPr>
          <w:szCs w:val="22"/>
        </w:rPr>
      </w:pPr>
      <w:r w:rsidRPr="002C1513">
        <w:rPr>
          <w:szCs w:val="22"/>
        </w:rPr>
        <w:t>Mastenec</w:t>
      </w:r>
    </w:p>
    <w:p w:rsidR="003D5FE8" w:rsidRPr="002C1513" w:rsidRDefault="003D5FE8" w:rsidP="003D5FE8">
      <w:pPr>
        <w:keepNext/>
        <w:tabs>
          <w:tab w:val="left" w:pos="0"/>
        </w:tabs>
        <w:ind w:left="0" w:firstLine="0"/>
        <w:rPr>
          <w:szCs w:val="22"/>
        </w:rPr>
      </w:pPr>
      <w:r w:rsidRPr="002C1513">
        <w:rPr>
          <w:szCs w:val="22"/>
        </w:rPr>
        <w:t>Magnéziumstearát</w:t>
      </w:r>
    </w:p>
    <w:p w:rsidR="003D5FE8" w:rsidRPr="002C1513" w:rsidRDefault="003D5FE8" w:rsidP="003D5FE8">
      <w:pPr>
        <w:keepNext/>
        <w:tabs>
          <w:tab w:val="left" w:pos="0"/>
        </w:tabs>
        <w:ind w:left="0" w:firstLine="0"/>
        <w:rPr>
          <w:szCs w:val="22"/>
        </w:rPr>
      </w:pPr>
      <w:r w:rsidRPr="002C1513">
        <w:rPr>
          <w:szCs w:val="22"/>
        </w:rPr>
        <w:t xml:space="preserve">Nátriumsteraylfumarát </w:t>
      </w:r>
    </w:p>
    <w:p w:rsidR="003D5FE8" w:rsidRPr="002C1513" w:rsidRDefault="003D5FE8" w:rsidP="003D5FE8">
      <w:pPr>
        <w:keepNext/>
        <w:tabs>
          <w:tab w:val="left" w:pos="0"/>
        </w:tabs>
        <w:ind w:left="0" w:firstLine="0"/>
        <w:rPr>
          <w:szCs w:val="22"/>
        </w:rPr>
      </w:pPr>
      <w:r w:rsidRPr="002C1513">
        <w:rPr>
          <w:szCs w:val="22"/>
        </w:rPr>
        <w:t xml:space="preserve">Acetosukcinát hypromelózy (3cP) </w:t>
      </w:r>
    </w:p>
    <w:p w:rsidR="003D5FE8" w:rsidRPr="002C1513" w:rsidRDefault="003D5FE8" w:rsidP="003D5FE8">
      <w:pPr>
        <w:keepNext/>
        <w:tabs>
          <w:tab w:val="left" w:pos="0"/>
        </w:tabs>
        <w:ind w:left="0" w:firstLine="0"/>
        <w:rPr>
          <w:szCs w:val="22"/>
        </w:rPr>
      </w:pPr>
      <w:r w:rsidRPr="002C1513">
        <w:rPr>
          <w:szCs w:val="22"/>
        </w:rPr>
        <w:t xml:space="preserve">Oxid titaničitý (E171) </w:t>
      </w:r>
    </w:p>
    <w:p w:rsidR="003D5FE8" w:rsidRPr="002C1513" w:rsidRDefault="003D5FE8" w:rsidP="003D5FE8">
      <w:pPr>
        <w:keepNext/>
        <w:tabs>
          <w:tab w:val="left" w:pos="0"/>
        </w:tabs>
        <w:ind w:left="0" w:firstLine="0"/>
        <w:rPr>
          <w:szCs w:val="22"/>
        </w:rPr>
      </w:pPr>
      <w:r w:rsidRPr="002C1513">
        <w:rPr>
          <w:szCs w:val="22"/>
        </w:rPr>
        <w:t>Monohydrát laktózy</w:t>
      </w:r>
    </w:p>
    <w:p w:rsidR="003D5FE8" w:rsidRPr="002C1513" w:rsidRDefault="003D5FE8" w:rsidP="003D5FE8">
      <w:pPr>
        <w:keepNext/>
        <w:tabs>
          <w:tab w:val="left" w:pos="0"/>
        </w:tabs>
        <w:ind w:left="0" w:firstLine="0"/>
        <w:rPr>
          <w:szCs w:val="22"/>
        </w:rPr>
      </w:pPr>
      <w:r w:rsidRPr="002C1513">
        <w:rPr>
          <w:szCs w:val="22"/>
        </w:rPr>
        <w:t xml:space="preserve">Hypromelóza </w:t>
      </w:r>
    </w:p>
    <w:p w:rsidR="003D5FE8" w:rsidRPr="002C1513" w:rsidRDefault="003D5FE8" w:rsidP="003D5FE8">
      <w:pPr>
        <w:keepNext/>
        <w:tabs>
          <w:tab w:val="left" w:pos="0"/>
        </w:tabs>
        <w:ind w:left="0" w:firstLine="0"/>
        <w:rPr>
          <w:szCs w:val="22"/>
        </w:rPr>
      </w:pPr>
      <w:r w:rsidRPr="002C1513">
        <w:rPr>
          <w:szCs w:val="22"/>
        </w:rPr>
        <w:t>Makrogol 4000</w:t>
      </w:r>
    </w:p>
    <w:p w:rsidR="003D5FE8" w:rsidRPr="002C1513" w:rsidRDefault="003D5FE8" w:rsidP="003D5FE8">
      <w:pPr>
        <w:keepNext/>
        <w:tabs>
          <w:tab w:val="left" w:pos="0"/>
        </w:tabs>
        <w:ind w:left="0" w:firstLine="0"/>
        <w:rPr>
          <w:szCs w:val="22"/>
        </w:rPr>
      </w:pPr>
    </w:p>
    <w:p w:rsidR="003D5FE8" w:rsidRPr="002C1513" w:rsidRDefault="003D5FE8" w:rsidP="003D5FE8">
      <w:pPr>
        <w:keepNext/>
        <w:tabs>
          <w:tab w:val="left" w:pos="0"/>
        </w:tabs>
        <w:ind w:left="0" w:firstLine="0"/>
        <w:rPr>
          <w:b/>
          <w:szCs w:val="22"/>
        </w:rPr>
      </w:pPr>
      <w:r w:rsidRPr="002C1513">
        <w:rPr>
          <w:b/>
          <w:szCs w:val="22"/>
        </w:rPr>
        <w:t xml:space="preserve">Kapsula: </w:t>
      </w:r>
    </w:p>
    <w:p w:rsidR="003D5FE8" w:rsidRPr="002C1513" w:rsidRDefault="003D5FE8" w:rsidP="003D5FE8">
      <w:pPr>
        <w:keepNext/>
        <w:tabs>
          <w:tab w:val="left" w:pos="0"/>
        </w:tabs>
        <w:ind w:left="0" w:firstLine="0"/>
        <w:rPr>
          <w:szCs w:val="22"/>
        </w:rPr>
      </w:pPr>
      <w:r w:rsidRPr="002C1513">
        <w:rPr>
          <w:szCs w:val="22"/>
        </w:rPr>
        <w:t>Želatína</w:t>
      </w:r>
    </w:p>
    <w:p w:rsidR="003D5FE8" w:rsidRPr="002C1513" w:rsidRDefault="003D5FE8" w:rsidP="003D5FE8">
      <w:pPr>
        <w:keepNext/>
        <w:tabs>
          <w:tab w:val="left" w:pos="0"/>
        </w:tabs>
        <w:ind w:left="0" w:firstLine="0"/>
        <w:rPr>
          <w:szCs w:val="22"/>
        </w:rPr>
      </w:pPr>
      <w:r w:rsidRPr="002C1513">
        <w:rPr>
          <w:szCs w:val="22"/>
        </w:rPr>
        <w:t>Oxid titaničitý (E171)</w:t>
      </w:r>
    </w:p>
    <w:p w:rsidR="003D5FE8" w:rsidRPr="002C1513" w:rsidRDefault="003D5FE8" w:rsidP="003D5FE8">
      <w:pPr>
        <w:keepNext/>
        <w:tabs>
          <w:tab w:val="left" w:pos="0"/>
        </w:tabs>
        <w:ind w:left="0" w:firstLine="0"/>
        <w:rPr>
          <w:szCs w:val="22"/>
        </w:rPr>
      </w:pPr>
      <w:r w:rsidRPr="002C1513">
        <w:rPr>
          <w:szCs w:val="22"/>
        </w:rPr>
        <w:t xml:space="preserve">Briliantová modrá FCF (E133) </w:t>
      </w:r>
    </w:p>
    <w:p w:rsidR="003D5FE8" w:rsidRPr="002C1513" w:rsidRDefault="003D5FE8" w:rsidP="003D5FE8">
      <w:pPr>
        <w:keepNext/>
        <w:tabs>
          <w:tab w:val="left" w:pos="0"/>
        </w:tabs>
        <w:ind w:left="0" w:firstLine="0"/>
        <w:rPr>
          <w:color w:val="000000"/>
        </w:rPr>
      </w:pPr>
      <w:r w:rsidRPr="002C1513">
        <w:rPr>
          <w:color w:val="000000"/>
        </w:rPr>
        <w:t>Červeň Allura (E129)</w:t>
      </w:r>
    </w:p>
    <w:p w:rsidR="003D5FE8" w:rsidRPr="002C1513" w:rsidRDefault="003D5FE8" w:rsidP="003D5FE8">
      <w:pPr>
        <w:keepNext/>
        <w:tabs>
          <w:tab w:val="left" w:pos="0"/>
        </w:tabs>
        <w:ind w:left="0" w:firstLine="0"/>
        <w:rPr>
          <w:color w:val="000000"/>
        </w:rPr>
      </w:pPr>
    </w:p>
    <w:p w:rsidR="003D5FE8" w:rsidRPr="002C1513" w:rsidRDefault="003D5FE8" w:rsidP="003D5FE8">
      <w:pPr>
        <w:keepNext/>
        <w:tabs>
          <w:tab w:val="left" w:pos="0"/>
        </w:tabs>
        <w:ind w:left="0" w:firstLine="0"/>
        <w:rPr>
          <w:color w:val="000000"/>
        </w:rPr>
      </w:pPr>
      <w:r w:rsidRPr="002C1513">
        <w:rPr>
          <w:color w:val="000000"/>
        </w:rPr>
        <w:t>chinolínová žltá (E104) (len 60 mg)</w:t>
      </w:r>
    </w:p>
    <w:p w:rsidR="003D5FE8" w:rsidRPr="002C1513" w:rsidRDefault="003D5FE8" w:rsidP="003D5FE8">
      <w:pPr>
        <w:keepNext/>
        <w:tabs>
          <w:tab w:val="left" w:pos="0"/>
        </w:tabs>
        <w:ind w:left="0" w:firstLine="0"/>
        <w:rPr>
          <w:color w:val="000000"/>
        </w:rPr>
      </w:pPr>
      <w:r w:rsidRPr="002C1513">
        <w:rPr>
          <w:bCs/>
          <w:color w:val="000000"/>
        </w:rPr>
        <w:t>oranžová žltá FCF (E110)</w:t>
      </w:r>
      <w:r w:rsidRPr="002C1513">
        <w:rPr>
          <w:szCs w:val="22"/>
        </w:rPr>
        <w:t xml:space="preserve"> </w:t>
      </w:r>
      <w:r w:rsidRPr="002C1513">
        <w:rPr>
          <w:color w:val="000000"/>
        </w:rPr>
        <w:t>(len 60 mg)</w:t>
      </w:r>
    </w:p>
    <w:p w:rsidR="003D5FE8" w:rsidRPr="002C1513" w:rsidRDefault="003D5FE8" w:rsidP="003D5FE8">
      <w:pPr>
        <w:keepNext/>
        <w:tabs>
          <w:tab w:val="left" w:pos="0"/>
        </w:tabs>
        <w:ind w:left="0" w:firstLine="0"/>
        <w:rPr>
          <w:color w:val="000000"/>
        </w:rPr>
      </w:pPr>
    </w:p>
    <w:p w:rsidR="003D5FE8" w:rsidRPr="002C1513" w:rsidRDefault="00261081" w:rsidP="003D5FE8">
      <w:pPr>
        <w:keepNext/>
        <w:tabs>
          <w:tab w:val="left" w:pos="0"/>
        </w:tabs>
        <w:ind w:left="0" w:firstLine="0"/>
        <w:rPr>
          <w:b/>
          <w:color w:val="000000"/>
        </w:rPr>
      </w:pPr>
      <w:r w:rsidRPr="002C1513">
        <w:rPr>
          <w:b/>
          <w:color w:val="000000"/>
        </w:rPr>
        <w:t>Potlačové farbivo</w:t>
      </w:r>
      <w:r w:rsidR="003D5FE8" w:rsidRPr="002C1513">
        <w:rPr>
          <w:b/>
          <w:color w:val="000000"/>
        </w:rPr>
        <w:t xml:space="preserve">: </w:t>
      </w:r>
    </w:p>
    <w:p w:rsidR="00FA451D" w:rsidRPr="002C1513" w:rsidRDefault="00FA451D" w:rsidP="003D5FE8">
      <w:pPr>
        <w:keepNext/>
        <w:tabs>
          <w:tab w:val="left" w:pos="0"/>
        </w:tabs>
        <w:ind w:left="0" w:firstLine="0"/>
        <w:rPr>
          <w:color w:val="000000"/>
        </w:rPr>
      </w:pPr>
      <w:r w:rsidRPr="002C1513">
        <w:rPr>
          <w:color w:val="000000"/>
        </w:rPr>
        <w:t>Š</w:t>
      </w:r>
      <w:r w:rsidR="003D5FE8" w:rsidRPr="002C1513">
        <w:rPr>
          <w:color w:val="000000"/>
        </w:rPr>
        <w:t>elak</w:t>
      </w:r>
    </w:p>
    <w:p w:rsidR="00FA451D" w:rsidRPr="002C1513" w:rsidRDefault="00FA451D" w:rsidP="003D5FE8">
      <w:pPr>
        <w:keepNext/>
        <w:tabs>
          <w:tab w:val="left" w:pos="0"/>
        </w:tabs>
        <w:ind w:left="0" w:firstLine="0"/>
        <w:rPr>
          <w:color w:val="000000"/>
        </w:rPr>
      </w:pPr>
      <w:r w:rsidRPr="002C1513">
        <w:rPr>
          <w:color w:val="000000"/>
        </w:rPr>
        <w:t>H</w:t>
      </w:r>
      <w:r w:rsidR="003D5FE8" w:rsidRPr="002C1513">
        <w:rPr>
          <w:color w:val="000000"/>
        </w:rPr>
        <w:t>linitý lak indigokarmínu (E132)</w:t>
      </w:r>
    </w:p>
    <w:p w:rsidR="00FA451D" w:rsidRPr="002C1513" w:rsidRDefault="00FA451D" w:rsidP="003D5FE8">
      <w:pPr>
        <w:keepNext/>
        <w:tabs>
          <w:tab w:val="left" w:pos="0"/>
        </w:tabs>
        <w:ind w:left="0" w:firstLine="0"/>
        <w:rPr>
          <w:szCs w:val="22"/>
        </w:rPr>
      </w:pPr>
      <w:r w:rsidRPr="002C1513">
        <w:rPr>
          <w:szCs w:val="22"/>
        </w:rPr>
        <w:t>Oxid titaničitý (E171)</w:t>
      </w:r>
    </w:p>
    <w:p w:rsidR="003D5FE8" w:rsidRPr="002C1513" w:rsidRDefault="00FA451D" w:rsidP="003D5FE8">
      <w:pPr>
        <w:keepNext/>
        <w:tabs>
          <w:tab w:val="left" w:pos="0"/>
        </w:tabs>
        <w:ind w:left="0" w:firstLine="0"/>
        <w:rPr>
          <w:szCs w:val="22"/>
        </w:rPr>
      </w:pPr>
      <w:r w:rsidRPr="002C1513">
        <w:rPr>
          <w:szCs w:val="22"/>
        </w:rPr>
        <w:t>Propylénglykol (E1520)</w:t>
      </w:r>
    </w:p>
    <w:p w:rsidR="00FC5D63" w:rsidRPr="002C1513" w:rsidRDefault="00FC5D63" w:rsidP="00527DED">
      <w:pPr>
        <w:ind w:left="0" w:firstLine="0"/>
        <w:rPr>
          <w:szCs w:val="22"/>
          <w:u w:val="single"/>
        </w:rPr>
      </w:pPr>
    </w:p>
    <w:p w:rsidR="00FF6BE0" w:rsidRPr="002C1513" w:rsidRDefault="00FF6BE0" w:rsidP="00D62768">
      <w:pPr>
        <w:tabs>
          <w:tab w:val="left" w:pos="567"/>
        </w:tabs>
        <w:ind w:left="0" w:firstLine="0"/>
        <w:rPr>
          <w:szCs w:val="22"/>
        </w:rPr>
      </w:pPr>
      <w:r w:rsidRPr="002C1513">
        <w:rPr>
          <w:b/>
          <w:szCs w:val="22"/>
        </w:rPr>
        <w:t>6.2</w:t>
      </w:r>
      <w:r w:rsidRPr="002C1513">
        <w:rPr>
          <w:b/>
          <w:szCs w:val="22"/>
        </w:rPr>
        <w:tab/>
        <w:t>Inkompatibility</w:t>
      </w:r>
    </w:p>
    <w:p w:rsidR="00FF6BE0" w:rsidRPr="002C1513" w:rsidRDefault="00FF6BE0" w:rsidP="00527DED">
      <w:pPr>
        <w:ind w:left="0" w:firstLine="0"/>
        <w:rPr>
          <w:szCs w:val="22"/>
        </w:rPr>
      </w:pPr>
    </w:p>
    <w:p w:rsidR="00AB6A79" w:rsidRPr="002C1513" w:rsidRDefault="00AB6A79" w:rsidP="00527DED">
      <w:pPr>
        <w:ind w:left="0" w:firstLine="0"/>
        <w:rPr>
          <w:szCs w:val="22"/>
        </w:rPr>
      </w:pPr>
      <w:r w:rsidRPr="002C1513">
        <w:rPr>
          <w:szCs w:val="22"/>
        </w:rPr>
        <w:t>Neaplikovateľné.</w:t>
      </w:r>
    </w:p>
    <w:p w:rsidR="00AB6A79" w:rsidRPr="002C1513" w:rsidRDefault="00AB6A79" w:rsidP="00912532">
      <w:pPr>
        <w:ind w:left="0" w:firstLine="0"/>
        <w:rPr>
          <w:b/>
          <w:szCs w:val="22"/>
        </w:rPr>
      </w:pPr>
    </w:p>
    <w:p w:rsidR="00FF6BE0" w:rsidRPr="002C1513" w:rsidRDefault="00FF6BE0" w:rsidP="00D62768">
      <w:pPr>
        <w:tabs>
          <w:tab w:val="left" w:pos="567"/>
        </w:tabs>
        <w:ind w:left="0" w:firstLine="0"/>
        <w:rPr>
          <w:szCs w:val="22"/>
        </w:rPr>
      </w:pPr>
      <w:r w:rsidRPr="002C1513">
        <w:rPr>
          <w:b/>
          <w:szCs w:val="22"/>
        </w:rPr>
        <w:lastRenderedPageBreak/>
        <w:t>6.3</w:t>
      </w:r>
      <w:r w:rsidRPr="002C1513">
        <w:rPr>
          <w:b/>
          <w:szCs w:val="22"/>
        </w:rPr>
        <w:tab/>
        <w:t>Čas použiteľnosti</w:t>
      </w:r>
    </w:p>
    <w:p w:rsidR="004D3E2F" w:rsidRPr="002C1513" w:rsidRDefault="004D3E2F" w:rsidP="00FA521C">
      <w:pPr>
        <w:tabs>
          <w:tab w:val="left" w:pos="567"/>
        </w:tabs>
        <w:rPr>
          <w:szCs w:val="22"/>
        </w:rPr>
      </w:pPr>
    </w:p>
    <w:p w:rsidR="007735BF" w:rsidRPr="002C1513" w:rsidRDefault="007735BF" w:rsidP="00FA521C">
      <w:pPr>
        <w:pStyle w:val="Zkladntext3"/>
        <w:tabs>
          <w:tab w:val="left" w:pos="0"/>
        </w:tabs>
        <w:spacing w:after="0"/>
        <w:ind w:left="0" w:firstLine="0"/>
        <w:rPr>
          <w:sz w:val="22"/>
          <w:szCs w:val="22"/>
        </w:rPr>
      </w:pPr>
      <w:r w:rsidRPr="002C1513">
        <w:rPr>
          <w:sz w:val="22"/>
          <w:szCs w:val="22"/>
        </w:rPr>
        <w:t>2 roky</w:t>
      </w:r>
    </w:p>
    <w:p w:rsidR="00AB6A79" w:rsidRPr="002C1513" w:rsidRDefault="007735BF" w:rsidP="00FA521C">
      <w:pPr>
        <w:pStyle w:val="Zkladntext3"/>
        <w:tabs>
          <w:tab w:val="left" w:pos="0"/>
        </w:tabs>
        <w:spacing w:after="0"/>
        <w:ind w:left="0" w:firstLine="0"/>
        <w:rPr>
          <w:sz w:val="22"/>
          <w:szCs w:val="22"/>
        </w:rPr>
      </w:pPr>
      <w:r w:rsidRPr="002C1513">
        <w:rPr>
          <w:sz w:val="22"/>
          <w:szCs w:val="22"/>
        </w:rPr>
        <w:t>HDPE fľaše: čas použiteľnosti po prvom otvorení je 30 dní</w:t>
      </w:r>
      <w:r w:rsidR="00FA451D" w:rsidRPr="002C1513">
        <w:rPr>
          <w:sz w:val="22"/>
          <w:szCs w:val="22"/>
        </w:rPr>
        <w:t>.</w:t>
      </w:r>
      <w:r w:rsidRPr="002C1513">
        <w:rPr>
          <w:sz w:val="22"/>
          <w:szCs w:val="22"/>
        </w:rPr>
        <w:t xml:space="preserve"> </w:t>
      </w:r>
    </w:p>
    <w:p w:rsidR="00912532" w:rsidRPr="002C1513" w:rsidRDefault="00912532" w:rsidP="00912532">
      <w:pPr>
        <w:ind w:left="0" w:firstLine="0"/>
        <w:rPr>
          <w:b/>
          <w:szCs w:val="22"/>
        </w:rPr>
      </w:pPr>
    </w:p>
    <w:p w:rsidR="00FF6BE0" w:rsidRPr="002C1513" w:rsidRDefault="00FF6BE0" w:rsidP="00D62768">
      <w:pPr>
        <w:tabs>
          <w:tab w:val="left" w:pos="567"/>
        </w:tabs>
        <w:ind w:left="0" w:firstLine="0"/>
        <w:rPr>
          <w:szCs w:val="22"/>
        </w:rPr>
      </w:pPr>
      <w:r w:rsidRPr="002C1513">
        <w:rPr>
          <w:b/>
          <w:szCs w:val="22"/>
        </w:rPr>
        <w:t>6.4</w:t>
      </w:r>
      <w:r w:rsidRPr="002C1513">
        <w:rPr>
          <w:b/>
          <w:szCs w:val="22"/>
        </w:rPr>
        <w:tab/>
        <w:t>Špeciálne upozornenia na uchovávanie</w:t>
      </w:r>
    </w:p>
    <w:p w:rsidR="001D3BCE" w:rsidRPr="002C1513" w:rsidRDefault="001D3BCE" w:rsidP="00912532">
      <w:pPr>
        <w:autoSpaceDE w:val="0"/>
        <w:autoSpaceDN w:val="0"/>
        <w:adjustRightInd w:val="0"/>
        <w:ind w:left="0" w:firstLine="0"/>
        <w:rPr>
          <w:szCs w:val="22"/>
          <w:lang w:eastAsia="en-US"/>
        </w:rPr>
      </w:pPr>
    </w:p>
    <w:p w:rsidR="007735BF" w:rsidRPr="002C1513" w:rsidRDefault="007735BF" w:rsidP="007735BF">
      <w:pPr>
        <w:ind w:left="0" w:firstLine="0"/>
        <w:rPr>
          <w:szCs w:val="22"/>
        </w:rPr>
      </w:pPr>
      <w:r w:rsidRPr="002C1513">
        <w:rPr>
          <w:szCs w:val="22"/>
        </w:rPr>
        <w:t>Uchovávajte pri teplote neprevyšujúcej 30 °C.</w:t>
      </w:r>
    </w:p>
    <w:p w:rsidR="007735BF" w:rsidRPr="002C1513" w:rsidRDefault="007735BF" w:rsidP="00527DED">
      <w:pPr>
        <w:rPr>
          <w:b/>
          <w:szCs w:val="22"/>
        </w:rPr>
      </w:pPr>
    </w:p>
    <w:p w:rsidR="00FF6BE0" w:rsidRPr="002C1513" w:rsidRDefault="00FF6BE0" w:rsidP="00527DED">
      <w:pPr>
        <w:rPr>
          <w:szCs w:val="22"/>
        </w:rPr>
      </w:pPr>
      <w:r w:rsidRPr="002C1513">
        <w:rPr>
          <w:b/>
          <w:szCs w:val="22"/>
        </w:rPr>
        <w:t>6.5</w:t>
      </w:r>
      <w:r w:rsidRPr="002C1513">
        <w:rPr>
          <w:b/>
          <w:szCs w:val="22"/>
        </w:rPr>
        <w:tab/>
        <w:t>Druh obalu a obsah balenia</w:t>
      </w:r>
      <w:r w:rsidRPr="002C1513">
        <w:rPr>
          <w:b/>
          <w:color w:val="0000FF"/>
          <w:szCs w:val="22"/>
        </w:rPr>
        <w:t xml:space="preserve"> </w:t>
      </w:r>
    </w:p>
    <w:p w:rsidR="00317161" w:rsidRPr="002C1513" w:rsidRDefault="00317161" w:rsidP="00527DED">
      <w:pPr>
        <w:ind w:left="0" w:firstLine="0"/>
        <w:rPr>
          <w:szCs w:val="22"/>
        </w:rPr>
      </w:pPr>
    </w:p>
    <w:p w:rsidR="007735BF" w:rsidRPr="002C1513" w:rsidRDefault="007735BF" w:rsidP="007735BF">
      <w:pPr>
        <w:keepNext/>
        <w:ind w:left="0" w:firstLine="0"/>
        <w:rPr>
          <w:szCs w:val="22"/>
        </w:rPr>
      </w:pPr>
      <w:r w:rsidRPr="002C1513">
        <w:rPr>
          <w:szCs w:val="22"/>
        </w:rPr>
        <w:t xml:space="preserve">PVC/PE/PCTFE//Al blister </w:t>
      </w:r>
    </w:p>
    <w:p w:rsidR="007735BF" w:rsidRPr="002C1513" w:rsidRDefault="007735BF" w:rsidP="007735BF">
      <w:pPr>
        <w:keepNext/>
        <w:ind w:left="0" w:firstLine="0"/>
        <w:rPr>
          <w:szCs w:val="22"/>
        </w:rPr>
      </w:pPr>
      <w:r w:rsidRPr="002C1513">
        <w:rPr>
          <w:szCs w:val="22"/>
        </w:rPr>
        <w:t xml:space="preserve">PA/Al/PVC//Al blister </w:t>
      </w:r>
    </w:p>
    <w:p w:rsidR="007735BF" w:rsidRPr="002C1513" w:rsidRDefault="007735BF" w:rsidP="007735BF">
      <w:pPr>
        <w:keepNext/>
        <w:rPr>
          <w:szCs w:val="22"/>
        </w:rPr>
      </w:pPr>
    </w:p>
    <w:p w:rsidR="007735BF" w:rsidRPr="002C1513" w:rsidRDefault="007735BF" w:rsidP="007735BF">
      <w:pPr>
        <w:keepNext/>
        <w:rPr>
          <w:szCs w:val="22"/>
        </w:rPr>
      </w:pPr>
      <w:r w:rsidRPr="002C1513">
        <w:rPr>
          <w:szCs w:val="22"/>
        </w:rPr>
        <w:t>Veľkosti balenia: 7, 14, 28, 30, 50, 56, 84, 98 kapsúl</w:t>
      </w:r>
    </w:p>
    <w:p w:rsidR="00FA451D" w:rsidRPr="002C1513" w:rsidRDefault="00FA451D" w:rsidP="007735BF">
      <w:pPr>
        <w:keepNext/>
        <w:rPr>
          <w:szCs w:val="22"/>
        </w:rPr>
      </w:pPr>
    </w:p>
    <w:p w:rsidR="00FA451D" w:rsidRPr="002C1513" w:rsidRDefault="00FA451D" w:rsidP="007735BF">
      <w:pPr>
        <w:keepNext/>
        <w:rPr>
          <w:szCs w:val="22"/>
        </w:rPr>
      </w:pPr>
      <w:r w:rsidRPr="002C1513">
        <w:rPr>
          <w:szCs w:val="22"/>
        </w:rPr>
        <w:t>HDPE fľaše</w:t>
      </w:r>
      <w:r w:rsidR="00455EB3" w:rsidRPr="00455EB3">
        <w:rPr>
          <w:bCs/>
          <w:iCs/>
          <w:szCs w:val="22"/>
          <w:lang w:val="en-US" w:eastAsia="el-GR"/>
        </w:rPr>
        <w:t xml:space="preserve"> </w:t>
      </w:r>
      <w:r w:rsidR="00455EB3" w:rsidRPr="00455EB3">
        <w:rPr>
          <w:bCs/>
          <w:iCs/>
          <w:szCs w:val="22"/>
          <w:lang w:val="en-US"/>
        </w:rPr>
        <w:t>with child resistant PP screw cap</w:t>
      </w:r>
      <w:r w:rsidRPr="002C1513">
        <w:rPr>
          <w:szCs w:val="22"/>
        </w:rPr>
        <w:t>: 30 kapsúl</w:t>
      </w:r>
    </w:p>
    <w:p w:rsidR="00AB6A79" w:rsidRPr="002C1513" w:rsidRDefault="00AB6A79" w:rsidP="00527DED">
      <w:pPr>
        <w:rPr>
          <w:szCs w:val="22"/>
        </w:rPr>
      </w:pPr>
    </w:p>
    <w:p w:rsidR="00FF6BE0" w:rsidRPr="002C1513" w:rsidRDefault="00CB02ED" w:rsidP="00527DED">
      <w:pPr>
        <w:rPr>
          <w:szCs w:val="22"/>
        </w:rPr>
      </w:pPr>
      <w:r w:rsidRPr="002C1513">
        <w:rPr>
          <w:szCs w:val="22"/>
        </w:rPr>
        <w:t>Na trh nemusia byť uvedené</w:t>
      </w:r>
      <w:r w:rsidR="00FF6BE0" w:rsidRPr="002C1513">
        <w:rPr>
          <w:szCs w:val="22"/>
        </w:rPr>
        <w:t xml:space="preserve"> všetky veľkosti balenia</w:t>
      </w:r>
      <w:r w:rsidRPr="002C1513">
        <w:rPr>
          <w:szCs w:val="22"/>
        </w:rPr>
        <w:t>.</w:t>
      </w:r>
      <w:r w:rsidR="00FF6BE0" w:rsidRPr="002C1513">
        <w:rPr>
          <w:szCs w:val="22"/>
        </w:rPr>
        <w:t xml:space="preserve"> </w:t>
      </w:r>
    </w:p>
    <w:p w:rsidR="00FF6BE0" w:rsidRPr="002C1513" w:rsidRDefault="00FF6BE0" w:rsidP="00527DED">
      <w:pPr>
        <w:ind w:firstLine="0"/>
        <w:rPr>
          <w:szCs w:val="22"/>
        </w:rPr>
      </w:pPr>
    </w:p>
    <w:p w:rsidR="00FF6BE0" w:rsidRPr="002C1513" w:rsidRDefault="00FF6BE0" w:rsidP="00527DED">
      <w:pPr>
        <w:rPr>
          <w:b/>
          <w:bCs/>
          <w:szCs w:val="22"/>
        </w:rPr>
      </w:pPr>
      <w:r w:rsidRPr="002C1513">
        <w:rPr>
          <w:b/>
          <w:szCs w:val="22"/>
        </w:rPr>
        <w:t>6.6</w:t>
      </w:r>
      <w:r w:rsidRPr="002C1513">
        <w:rPr>
          <w:b/>
          <w:szCs w:val="22"/>
        </w:rPr>
        <w:tab/>
      </w:r>
      <w:r w:rsidRPr="002C1513">
        <w:rPr>
          <w:b/>
          <w:bCs/>
          <w:szCs w:val="22"/>
        </w:rPr>
        <w:t>Špeciálne opatrenia na likvidáciu</w:t>
      </w:r>
    </w:p>
    <w:p w:rsidR="00FF6BE0" w:rsidRPr="002C1513" w:rsidRDefault="00FF6BE0" w:rsidP="00527DED">
      <w:pPr>
        <w:ind w:firstLine="0"/>
        <w:rPr>
          <w:b/>
          <w:bCs/>
          <w:szCs w:val="22"/>
        </w:rPr>
      </w:pPr>
    </w:p>
    <w:p w:rsidR="00D83D06" w:rsidRPr="002C1513" w:rsidRDefault="005403D6" w:rsidP="005403D6">
      <w:pPr>
        <w:ind w:left="0" w:firstLine="0"/>
        <w:rPr>
          <w:szCs w:val="22"/>
        </w:rPr>
      </w:pPr>
      <w:r w:rsidRPr="002C1513">
        <w:rPr>
          <w:szCs w:val="22"/>
        </w:rPr>
        <w:t>Všetok nepoužitý liek alebo odpad vzniknutý z lieku sa má zlikvidovať v súlade s národnými požiadavkami</w:t>
      </w:r>
      <w:r w:rsidR="00AB6A79" w:rsidRPr="002C1513">
        <w:rPr>
          <w:szCs w:val="22"/>
        </w:rPr>
        <w:t>.</w:t>
      </w:r>
    </w:p>
    <w:p w:rsidR="00AB6A79" w:rsidRPr="002C1513" w:rsidRDefault="00AB6A79" w:rsidP="00AB6A79">
      <w:pPr>
        <w:rPr>
          <w:szCs w:val="22"/>
        </w:rPr>
      </w:pPr>
    </w:p>
    <w:p w:rsidR="00AB6A79" w:rsidRPr="002C1513" w:rsidRDefault="00AB6A79" w:rsidP="00AB6A79">
      <w:pPr>
        <w:rPr>
          <w:szCs w:val="22"/>
        </w:rPr>
      </w:pPr>
    </w:p>
    <w:p w:rsidR="00FF6BE0" w:rsidRPr="002C1513" w:rsidRDefault="00FF6BE0" w:rsidP="00527DED">
      <w:pPr>
        <w:rPr>
          <w:b/>
          <w:szCs w:val="22"/>
        </w:rPr>
      </w:pPr>
      <w:r w:rsidRPr="002C1513">
        <w:rPr>
          <w:b/>
          <w:szCs w:val="22"/>
        </w:rPr>
        <w:t>7.</w:t>
      </w:r>
      <w:r w:rsidRPr="002C1513">
        <w:rPr>
          <w:b/>
          <w:szCs w:val="22"/>
        </w:rPr>
        <w:tab/>
        <w:t>DRŽITEĽ ROZHODNUTIA O REGISTRÁCII</w:t>
      </w:r>
    </w:p>
    <w:p w:rsidR="00FF6BE0" w:rsidRPr="002C1513" w:rsidRDefault="00FF6BE0" w:rsidP="00527DED">
      <w:pPr>
        <w:ind w:firstLine="0"/>
        <w:rPr>
          <w:szCs w:val="22"/>
        </w:rPr>
      </w:pPr>
    </w:p>
    <w:p w:rsidR="001A5201" w:rsidRPr="002C1513" w:rsidRDefault="001A5201" w:rsidP="00527DED">
      <w:pPr>
        <w:rPr>
          <w:szCs w:val="22"/>
        </w:rPr>
      </w:pPr>
      <w:smartTag w:uri="urn:schemas-microsoft-com:office:smarttags" w:element="PersonName">
        <w:r w:rsidRPr="002C1513">
          <w:rPr>
            <w:szCs w:val="22"/>
          </w:rPr>
          <w:t>Sandoz</w:t>
        </w:r>
      </w:smartTag>
      <w:r w:rsidRPr="002C1513">
        <w:rPr>
          <w:szCs w:val="22"/>
        </w:rPr>
        <w:t xml:space="preserve"> Pharmaceuticals d.d.</w:t>
      </w:r>
    </w:p>
    <w:p w:rsidR="001A5201" w:rsidRPr="002C1513" w:rsidRDefault="001A5201" w:rsidP="00527DED">
      <w:pPr>
        <w:rPr>
          <w:szCs w:val="22"/>
        </w:rPr>
      </w:pPr>
      <w:r w:rsidRPr="002C1513">
        <w:rPr>
          <w:szCs w:val="22"/>
        </w:rPr>
        <w:t>Verovškova 57</w:t>
      </w:r>
    </w:p>
    <w:p w:rsidR="001A5201" w:rsidRPr="002C1513" w:rsidRDefault="001A5201" w:rsidP="00527DED">
      <w:pPr>
        <w:rPr>
          <w:szCs w:val="22"/>
        </w:rPr>
      </w:pPr>
      <w:r w:rsidRPr="002C1513">
        <w:rPr>
          <w:szCs w:val="22"/>
        </w:rPr>
        <w:t>1000 Ľubľana</w:t>
      </w:r>
    </w:p>
    <w:p w:rsidR="001A5201" w:rsidRPr="002C1513" w:rsidRDefault="001A5201" w:rsidP="00527DED">
      <w:pPr>
        <w:rPr>
          <w:szCs w:val="22"/>
        </w:rPr>
      </w:pPr>
      <w:r w:rsidRPr="002C1513">
        <w:rPr>
          <w:szCs w:val="22"/>
        </w:rPr>
        <w:t>Slovinsko</w:t>
      </w:r>
    </w:p>
    <w:p w:rsidR="00685635" w:rsidRPr="002C1513" w:rsidRDefault="00685635" w:rsidP="00527DED">
      <w:pPr>
        <w:ind w:left="0" w:firstLine="0"/>
        <w:rPr>
          <w:szCs w:val="22"/>
        </w:rPr>
      </w:pPr>
    </w:p>
    <w:p w:rsidR="00E4055F" w:rsidRPr="002C1513" w:rsidRDefault="00E4055F" w:rsidP="00527DED">
      <w:pPr>
        <w:ind w:left="0" w:firstLine="0"/>
        <w:rPr>
          <w:szCs w:val="22"/>
        </w:rPr>
      </w:pPr>
    </w:p>
    <w:p w:rsidR="00FF6BE0" w:rsidRPr="002C1513" w:rsidRDefault="00FF6BE0" w:rsidP="00527DED">
      <w:pPr>
        <w:rPr>
          <w:b/>
          <w:szCs w:val="22"/>
        </w:rPr>
      </w:pPr>
      <w:r w:rsidRPr="002C1513">
        <w:rPr>
          <w:b/>
          <w:szCs w:val="22"/>
        </w:rPr>
        <w:t>8.</w:t>
      </w:r>
      <w:r w:rsidRPr="002C1513">
        <w:rPr>
          <w:b/>
          <w:szCs w:val="22"/>
        </w:rPr>
        <w:tab/>
      </w:r>
      <w:r w:rsidR="00B87797" w:rsidRPr="002C1513">
        <w:rPr>
          <w:b/>
          <w:szCs w:val="22"/>
        </w:rPr>
        <w:t>REGISTRAČNÉ ČÍSLO</w:t>
      </w:r>
    </w:p>
    <w:p w:rsidR="00610650" w:rsidRPr="002C1513" w:rsidRDefault="00610650" w:rsidP="00D62768">
      <w:pPr>
        <w:ind w:left="0" w:firstLine="0"/>
        <w:rPr>
          <w:szCs w:val="22"/>
        </w:rPr>
      </w:pPr>
    </w:p>
    <w:p w:rsidR="00455EB3" w:rsidRPr="002C1513" w:rsidRDefault="00455EB3" w:rsidP="00455EB3">
      <w:pPr>
        <w:keepNext/>
        <w:ind w:left="0" w:firstLine="0"/>
        <w:rPr>
          <w:szCs w:val="22"/>
        </w:rPr>
      </w:pPr>
      <w:r w:rsidRPr="002C1513">
        <w:rPr>
          <w:szCs w:val="22"/>
        </w:rPr>
        <w:t>Duloxetin Sandoz 30 mg</w:t>
      </w:r>
      <w:r>
        <w:rPr>
          <w:szCs w:val="22"/>
        </w:rPr>
        <w:t>:</w:t>
      </w:r>
      <w:r w:rsidRPr="00455EB3">
        <w:t xml:space="preserve"> </w:t>
      </w:r>
      <w:r w:rsidRPr="00455EB3">
        <w:rPr>
          <w:szCs w:val="22"/>
        </w:rPr>
        <w:t>30/0047/16-S</w:t>
      </w:r>
    </w:p>
    <w:p w:rsidR="00455EB3" w:rsidRPr="002C1513" w:rsidRDefault="00455EB3" w:rsidP="00455EB3">
      <w:pPr>
        <w:keepNext/>
        <w:ind w:left="0" w:firstLine="0"/>
        <w:rPr>
          <w:szCs w:val="22"/>
        </w:rPr>
      </w:pPr>
      <w:r w:rsidRPr="002C1513">
        <w:rPr>
          <w:szCs w:val="22"/>
          <w:highlight w:val="lightGray"/>
        </w:rPr>
        <w:t>Duloxetin Sandoz 60 mg</w:t>
      </w:r>
      <w:r>
        <w:rPr>
          <w:szCs w:val="22"/>
        </w:rPr>
        <w:t>:</w:t>
      </w:r>
      <w:r w:rsidRPr="00455EB3">
        <w:t xml:space="preserve"> </w:t>
      </w:r>
      <w:r w:rsidRPr="00455EB3">
        <w:rPr>
          <w:szCs w:val="22"/>
        </w:rPr>
        <w:t>30/004</w:t>
      </w:r>
      <w:r>
        <w:rPr>
          <w:szCs w:val="22"/>
        </w:rPr>
        <w:t>8</w:t>
      </w:r>
      <w:r w:rsidRPr="00455EB3">
        <w:rPr>
          <w:szCs w:val="22"/>
        </w:rPr>
        <w:t>/16-S</w:t>
      </w:r>
    </w:p>
    <w:p w:rsidR="00B0092D" w:rsidRPr="002C1513" w:rsidRDefault="00B0092D" w:rsidP="0094751F">
      <w:pPr>
        <w:ind w:left="0" w:firstLine="0"/>
        <w:rPr>
          <w:szCs w:val="22"/>
        </w:rPr>
      </w:pPr>
    </w:p>
    <w:p w:rsidR="0059589D" w:rsidRPr="002C1513" w:rsidRDefault="0059589D" w:rsidP="0094751F">
      <w:pPr>
        <w:ind w:left="0" w:firstLine="0"/>
        <w:rPr>
          <w:szCs w:val="22"/>
        </w:rPr>
      </w:pPr>
    </w:p>
    <w:p w:rsidR="00FF6BE0" w:rsidRPr="002C1513" w:rsidRDefault="00CF47DE" w:rsidP="00527DED">
      <w:pPr>
        <w:rPr>
          <w:b/>
          <w:szCs w:val="22"/>
        </w:rPr>
      </w:pPr>
      <w:r w:rsidRPr="002C1513">
        <w:rPr>
          <w:b/>
          <w:szCs w:val="22"/>
        </w:rPr>
        <w:t>9.</w:t>
      </w:r>
      <w:r w:rsidRPr="002C1513">
        <w:rPr>
          <w:b/>
          <w:szCs w:val="22"/>
        </w:rPr>
        <w:tab/>
        <w:t>DÁTUM PRVEJ REGISTRÁCIE/</w:t>
      </w:r>
      <w:r w:rsidR="00FF6BE0" w:rsidRPr="002C1513">
        <w:rPr>
          <w:b/>
          <w:szCs w:val="22"/>
        </w:rPr>
        <w:t>PREDĹŽENIA REGISTRÁCIE</w:t>
      </w:r>
    </w:p>
    <w:p w:rsidR="00A87F2F" w:rsidRPr="002C1513" w:rsidRDefault="00A87F2F" w:rsidP="00527DED">
      <w:pPr>
        <w:ind w:firstLine="0"/>
        <w:rPr>
          <w:szCs w:val="22"/>
        </w:rPr>
      </w:pPr>
    </w:p>
    <w:p w:rsidR="00A87F2F" w:rsidRPr="002C1513" w:rsidRDefault="00A87F2F" w:rsidP="00527DED">
      <w:pPr>
        <w:ind w:left="0" w:firstLine="0"/>
        <w:rPr>
          <w:szCs w:val="22"/>
        </w:rPr>
      </w:pPr>
      <w:r w:rsidRPr="002C1513">
        <w:rPr>
          <w:szCs w:val="22"/>
        </w:rPr>
        <w:t>Dátum prvej registrácie:</w:t>
      </w:r>
    </w:p>
    <w:p w:rsidR="00370B8F" w:rsidRPr="002C1513" w:rsidRDefault="00370B8F" w:rsidP="00527DED">
      <w:pPr>
        <w:rPr>
          <w:szCs w:val="22"/>
        </w:rPr>
      </w:pPr>
    </w:p>
    <w:p w:rsidR="00685635" w:rsidRPr="002C1513" w:rsidRDefault="00685635" w:rsidP="00527DED">
      <w:pPr>
        <w:rPr>
          <w:szCs w:val="22"/>
        </w:rPr>
      </w:pPr>
    </w:p>
    <w:p w:rsidR="00FF6BE0" w:rsidRPr="002C1513" w:rsidRDefault="00FF6BE0" w:rsidP="00527DED">
      <w:pPr>
        <w:rPr>
          <w:b/>
          <w:szCs w:val="22"/>
        </w:rPr>
      </w:pPr>
      <w:r w:rsidRPr="002C1513">
        <w:rPr>
          <w:b/>
          <w:szCs w:val="22"/>
        </w:rPr>
        <w:t>10.</w:t>
      </w:r>
      <w:r w:rsidRPr="002C1513">
        <w:rPr>
          <w:b/>
          <w:szCs w:val="22"/>
        </w:rPr>
        <w:tab/>
        <w:t>DÁTUM REVÍZIE TEXTU</w:t>
      </w:r>
    </w:p>
    <w:p w:rsidR="00A66463" w:rsidRPr="002C1513" w:rsidRDefault="00A66463" w:rsidP="00527DED">
      <w:pPr>
        <w:ind w:left="0" w:firstLine="0"/>
        <w:rPr>
          <w:szCs w:val="22"/>
        </w:rPr>
      </w:pPr>
    </w:p>
    <w:p w:rsidR="000E7A7C" w:rsidRPr="002C1513" w:rsidRDefault="000E7A7C" w:rsidP="00527DED">
      <w:pPr>
        <w:ind w:left="0" w:firstLine="0"/>
        <w:rPr>
          <w:szCs w:val="22"/>
        </w:rPr>
      </w:pPr>
      <w:r w:rsidRPr="002C1513">
        <w:rPr>
          <w:szCs w:val="22"/>
        </w:rPr>
        <w:t>Január 2016</w:t>
      </w:r>
    </w:p>
    <w:sectPr w:rsidR="000E7A7C" w:rsidRPr="002C1513" w:rsidSect="009F4888">
      <w:footerReference w:type="default" r:id="rId9"/>
      <w:headerReference w:type="first" r:id="rId10"/>
      <w:pgSz w:w="11906" w:h="16838" w:code="9"/>
      <w:pgMar w:top="1134" w:right="1418" w:bottom="1134" w:left="1418" w:header="737" w:footer="73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3C50" w:rsidRDefault="00053C50" w:rsidP="00087FC8">
      <w:r>
        <w:separator/>
      </w:r>
    </w:p>
  </w:endnote>
  <w:endnote w:type="continuationSeparator" w:id="0">
    <w:p w:rsidR="00053C50" w:rsidRDefault="00053C50" w:rsidP="00087F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149" w:rsidRDefault="00A47AAB">
    <w:pPr>
      <w:pStyle w:val="Pta"/>
      <w:jc w:val="center"/>
    </w:pPr>
    <w:fldSimple w:instr=" PAGE   \* MERGEFORMAT ">
      <w:r w:rsidR="0091273F">
        <w:rPr>
          <w:noProof/>
        </w:rPr>
        <w:t>15</w:t>
      </w:r>
    </w:fldSimple>
  </w:p>
  <w:p w:rsidR="00FA7149" w:rsidRDefault="00FA7149">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3C50" w:rsidRDefault="00053C50" w:rsidP="00087FC8">
      <w:r>
        <w:separator/>
      </w:r>
    </w:p>
  </w:footnote>
  <w:footnote w:type="continuationSeparator" w:id="0">
    <w:p w:rsidR="00053C50" w:rsidRDefault="00053C50" w:rsidP="00087F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149" w:rsidRPr="0026341F" w:rsidRDefault="00FA7149" w:rsidP="00451912">
    <w:pPr>
      <w:rPr>
        <w:b/>
        <w:szCs w:val="22"/>
      </w:rPr>
    </w:pPr>
    <w:r w:rsidRPr="00274219">
      <w:rPr>
        <w:sz w:val="18"/>
        <w:szCs w:val="18"/>
      </w:rPr>
      <w:t>Schválený text k rozhodnutiu o registrá</w:t>
    </w:r>
    <w:r>
      <w:rPr>
        <w:sz w:val="18"/>
        <w:szCs w:val="18"/>
      </w:rPr>
      <w:t>cii</w:t>
    </w:r>
    <w:r w:rsidRPr="00477D8B">
      <w:rPr>
        <w:sz w:val="18"/>
        <w:szCs w:val="18"/>
      </w:rPr>
      <w:t xml:space="preserve">, </w:t>
    </w:r>
    <w:r w:rsidRPr="00A87F5E">
      <w:rPr>
        <w:sz w:val="18"/>
        <w:szCs w:val="18"/>
      </w:rPr>
      <w:t>ev. č.:</w:t>
    </w:r>
    <w:r w:rsidRPr="00274219">
      <w:rPr>
        <w:sz w:val="18"/>
        <w:szCs w:val="18"/>
      </w:rPr>
      <w:t xml:space="preserve"> </w:t>
    </w:r>
    <w:r w:rsidRPr="002F2659">
      <w:rPr>
        <w:sz w:val="18"/>
        <w:szCs w:val="18"/>
      </w:rPr>
      <w:t>2015/0</w:t>
    </w:r>
    <w:r>
      <w:rPr>
        <w:sz w:val="18"/>
        <w:szCs w:val="18"/>
      </w:rPr>
      <w:t>3681-REG, 2015/03682-REG</w:t>
    </w:r>
  </w:p>
  <w:p w:rsidR="00FA7149" w:rsidRDefault="00FA7149">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C01BE"/>
    <w:multiLevelType w:val="hybridMultilevel"/>
    <w:tmpl w:val="690AFED6"/>
    <w:lvl w:ilvl="0" w:tplc="378C545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B25784"/>
    <w:multiLevelType w:val="hybridMultilevel"/>
    <w:tmpl w:val="62442AAA"/>
    <w:lvl w:ilvl="0" w:tplc="5644F1AE">
      <w:start w:val="4"/>
      <w:numFmt w:val="bullet"/>
      <w:lvlText w:val="-"/>
      <w:lvlJc w:val="left"/>
      <w:pPr>
        <w:ind w:left="1211" w:hanging="360"/>
      </w:pPr>
      <w:rPr>
        <w:rFonts w:ascii="Times New Roman" w:eastAsia="Times New Roman" w:hAnsi="Times New Roman" w:cs="Times New Roman" w:hint="default"/>
        <w:b w:val="0"/>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
    <w:nsid w:val="18245674"/>
    <w:multiLevelType w:val="hybridMultilevel"/>
    <w:tmpl w:val="8280C72A"/>
    <w:lvl w:ilvl="0" w:tplc="A1107CA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1F5848"/>
    <w:multiLevelType w:val="hybridMultilevel"/>
    <w:tmpl w:val="0C92AEA0"/>
    <w:lvl w:ilvl="0" w:tplc="45E24A76">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92D70B6"/>
    <w:multiLevelType w:val="hybridMultilevel"/>
    <w:tmpl w:val="2E20E080"/>
    <w:lvl w:ilvl="0" w:tplc="71CE90B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CB4B75"/>
    <w:multiLevelType w:val="hybridMultilevel"/>
    <w:tmpl w:val="5F84B0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377FAD"/>
    <w:multiLevelType w:val="hybridMultilevel"/>
    <w:tmpl w:val="B40A7106"/>
    <w:lvl w:ilvl="0" w:tplc="60C62898">
      <w:start w:val="1"/>
      <w:numFmt w:val="bullet"/>
      <w:lvlText w:val=""/>
      <w:lvlJc w:val="left"/>
      <w:pPr>
        <w:tabs>
          <w:tab w:val="num" w:pos="720"/>
        </w:tabs>
        <w:ind w:left="720" w:hanging="360"/>
      </w:pPr>
      <w:rPr>
        <w:rFonts w:ascii="Symbol" w:hAnsi="Symbol" w:hint="default"/>
        <w:sz w:val="20"/>
      </w:rPr>
    </w:lvl>
    <w:lvl w:ilvl="1" w:tplc="041B0003">
      <w:start w:val="1"/>
      <w:numFmt w:val="bullet"/>
      <w:lvlText w:val="o"/>
      <w:lvlJc w:val="left"/>
      <w:pPr>
        <w:tabs>
          <w:tab w:val="num" w:pos="1440"/>
        </w:tabs>
        <w:ind w:left="1440" w:hanging="360"/>
      </w:pPr>
      <w:rPr>
        <w:rFonts w:ascii="Courier New" w:hAnsi="Courier New"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7">
    <w:nsid w:val="4A1977A7"/>
    <w:multiLevelType w:val="hybridMultilevel"/>
    <w:tmpl w:val="811EC208"/>
    <w:lvl w:ilvl="0" w:tplc="B87C14F6">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nsid w:val="6530210E"/>
    <w:multiLevelType w:val="multilevel"/>
    <w:tmpl w:val="07DC003C"/>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
    <w:nsid w:val="6B9B753A"/>
    <w:multiLevelType w:val="multilevel"/>
    <w:tmpl w:val="F600E44C"/>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nsid w:val="6BC242E5"/>
    <w:multiLevelType w:val="hybridMultilevel"/>
    <w:tmpl w:val="B40A7106"/>
    <w:lvl w:ilvl="0" w:tplc="99DAD17A">
      <w:start w:val="4"/>
      <w:numFmt w:val="bullet"/>
      <w:lvlText w:val="-"/>
      <w:lvlJc w:val="left"/>
      <w:pPr>
        <w:tabs>
          <w:tab w:val="num" w:pos="720"/>
        </w:tabs>
        <w:ind w:left="720" w:hanging="360"/>
      </w:pPr>
      <w:rPr>
        <w:rFonts w:ascii="Times New Roman" w:eastAsia="Times New Roman" w:hAnsi="Times New Roman" w:cs="Times New Roman" w:hint="default"/>
      </w:rPr>
    </w:lvl>
    <w:lvl w:ilvl="1" w:tplc="041B0003">
      <w:start w:val="1"/>
      <w:numFmt w:val="bullet"/>
      <w:lvlText w:val="o"/>
      <w:lvlJc w:val="left"/>
      <w:pPr>
        <w:tabs>
          <w:tab w:val="num" w:pos="1440"/>
        </w:tabs>
        <w:ind w:left="1440" w:hanging="360"/>
      </w:pPr>
      <w:rPr>
        <w:rFonts w:ascii="Courier New" w:hAnsi="Courier New"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1">
    <w:nsid w:val="75F45E18"/>
    <w:multiLevelType w:val="multilevel"/>
    <w:tmpl w:val="07DC003C"/>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3"/>
  </w:num>
  <w:num w:numId="2">
    <w:abstractNumId w:val="0"/>
  </w:num>
  <w:num w:numId="3">
    <w:abstractNumId w:val="5"/>
  </w:num>
  <w:num w:numId="4">
    <w:abstractNumId w:val="6"/>
  </w:num>
  <w:num w:numId="5">
    <w:abstractNumId w:val="10"/>
  </w:num>
  <w:num w:numId="6">
    <w:abstractNumId w:val="9"/>
  </w:num>
  <w:num w:numId="7">
    <w:abstractNumId w:val="2"/>
  </w:num>
  <w:num w:numId="8">
    <w:abstractNumId w:val="11"/>
  </w:num>
  <w:num w:numId="9">
    <w:abstractNumId w:val="4"/>
  </w:num>
  <w:num w:numId="10">
    <w:abstractNumId w:val="1"/>
  </w:num>
  <w:num w:numId="11">
    <w:abstractNumId w:val="8"/>
  </w:num>
  <w:num w:numId="12">
    <w:abstractNumId w:val="6"/>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stylePaneFormatFilter w:val="3F01"/>
  <w:trackRevisions/>
  <w:doNotTrackMoves/>
  <w:defaultTabStop w:val="720"/>
  <w:hyphenationZone w:val="425"/>
  <w:drawingGridHorizontalSpacing w:val="11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20270"/>
    <w:rsid w:val="00000093"/>
    <w:rsid w:val="00003C21"/>
    <w:rsid w:val="000156FC"/>
    <w:rsid w:val="0001779A"/>
    <w:rsid w:val="00017E0D"/>
    <w:rsid w:val="00023215"/>
    <w:rsid w:val="00024698"/>
    <w:rsid w:val="00025474"/>
    <w:rsid w:val="00026EAF"/>
    <w:rsid w:val="00031395"/>
    <w:rsid w:val="000351A9"/>
    <w:rsid w:val="00041661"/>
    <w:rsid w:val="00042BF5"/>
    <w:rsid w:val="00045312"/>
    <w:rsid w:val="00046CFC"/>
    <w:rsid w:val="000471C4"/>
    <w:rsid w:val="00050031"/>
    <w:rsid w:val="00050BEA"/>
    <w:rsid w:val="00052C71"/>
    <w:rsid w:val="000532A2"/>
    <w:rsid w:val="00053C50"/>
    <w:rsid w:val="0005403C"/>
    <w:rsid w:val="00057DC0"/>
    <w:rsid w:val="00065A28"/>
    <w:rsid w:val="00065CDB"/>
    <w:rsid w:val="000760A2"/>
    <w:rsid w:val="0008045A"/>
    <w:rsid w:val="00084492"/>
    <w:rsid w:val="000861F7"/>
    <w:rsid w:val="00086EF4"/>
    <w:rsid w:val="00087FC8"/>
    <w:rsid w:val="00097B70"/>
    <w:rsid w:val="000A125B"/>
    <w:rsid w:val="000A4E72"/>
    <w:rsid w:val="000B0821"/>
    <w:rsid w:val="000B0B4B"/>
    <w:rsid w:val="000B2BAF"/>
    <w:rsid w:val="000B3632"/>
    <w:rsid w:val="000B3F0D"/>
    <w:rsid w:val="000B4046"/>
    <w:rsid w:val="000B61C0"/>
    <w:rsid w:val="000C2C45"/>
    <w:rsid w:val="000C42D6"/>
    <w:rsid w:val="000C5A5E"/>
    <w:rsid w:val="000C5ABA"/>
    <w:rsid w:val="000C636C"/>
    <w:rsid w:val="000D0440"/>
    <w:rsid w:val="000D0C89"/>
    <w:rsid w:val="000D422E"/>
    <w:rsid w:val="000D507C"/>
    <w:rsid w:val="000D6ED5"/>
    <w:rsid w:val="000E4BB1"/>
    <w:rsid w:val="000E65B7"/>
    <w:rsid w:val="000E7563"/>
    <w:rsid w:val="000E7A7C"/>
    <w:rsid w:val="000F3433"/>
    <w:rsid w:val="000F4A38"/>
    <w:rsid w:val="001001BF"/>
    <w:rsid w:val="0010561A"/>
    <w:rsid w:val="00105F53"/>
    <w:rsid w:val="00106836"/>
    <w:rsid w:val="001130AF"/>
    <w:rsid w:val="00113684"/>
    <w:rsid w:val="00113D7B"/>
    <w:rsid w:val="001140A4"/>
    <w:rsid w:val="00120BEF"/>
    <w:rsid w:val="00127CA4"/>
    <w:rsid w:val="0013390D"/>
    <w:rsid w:val="00142118"/>
    <w:rsid w:val="00144679"/>
    <w:rsid w:val="00144B7A"/>
    <w:rsid w:val="00144C79"/>
    <w:rsid w:val="001520B5"/>
    <w:rsid w:val="00153247"/>
    <w:rsid w:val="00154361"/>
    <w:rsid w:val="0015474D"/>
    <w:rsid w:val="00155876"/>
    <w:rsid w:val="00155938"/>
    <w:rsid w:val="00172B0D"/>
    <w:rsid w:val="00173BED"/>
    <w:rsid w:val="00173FF1"/>
    <w:rsid w:val="0017551D"/>
    <w:rsid w:val="00183099"/>
    <w:rsid w:val="00184FCB"/>
    <w:rsid w:val="0018565C"/>
    <w:rsid w:val="00185BA0"/>
    <w:rsid w:val="0018624C"/>
    <w:rsid w:val="00194410"/>
    <w:rsid w:val="00195B16"/>
    <w:rsid w:val="001A4D4E"/>
    <w:rsid w:val="001A5201"/>
    <w:rsid w:val="001A55FF"/>
    <w:rsid w:val="001B2963"/>
    <w:rsid w:val="001C4807"/>
    <w:rsid w:val="001C597D"/>
    <w:rsid w:val="001C5F50"/>
    <w:rsid w:val="001D3BCE"/>
    <w:rsid w:val="001D65FF"/>
    <w:rsid w:val="001D7FCD"/>
    <w:rsid w:val="001E27AE"/>
    <w:rsid w:val="001E2CE0"/>
    <w:rsid w:val="001F2987"/>
    <w:rsid w:val="001F3B2D"/>
    <w:rsid w:val="001F41A0"/>
    <w:rsid w:val="001F773A"/>
    <w:rsid w:val="00204031"/>
    <w:rsid w:val="002066CC"/>
    <w:rsid w:val="00207689"/>
    <w:rsid w:val="00215A75"/>
    <w:rsid w:val="00216A95"/>
    <w:rsid w:val="00216DA6"/>
    <w:rsid w:val="0022350C"/>
    <w:rsid w:val="00226C01"/>
    <w:rsid w:val="00231034"/>
    <w:rsid w:val="00234ED5"/>
    <w:rsid w:val="002445D7"/>
    <w:rsid w:val="00254151"/>
    <w:rsid w:val="002577CF"/>
    <w:rsid w:val="002605CE"/>
    <w:rsid w:val="00261081"/>
    <w:rsid w:val="0026341F"/>
    <w:rsid w:val="002648DE"/>
    <w:rsid w:val="00264A0B"/>
    <w:rsid w:val="00274219"/>
    <w:rsid w:val="00274E46"/>
    <w:rsid w:val="00284C7B"/>
    <w:rsid w:val="0028659D"/>
    <w:rsid w:val="00295E91"/>
    <w:rsid w:val="002A01D8"/>
    <w:rsid w:val="002A2C05"/>
    <w:rsid w:val="002A4801"/>
    <w:rsid w:val="002A663F"/>
    <w:rsid w:val="002A6E0A"/>
    <w:rsid w:val="002B1848"/>
    <w:rsid w:val="002C03DC"/>
    <w:rsid w:val="002C1513"/>
    <w:rsid w:val="002C4214"/>
    <w:rsid w:val="002D193A"/>
    <w:rsid w:val="002E28E0"/>
    <w:rsid w:val="002E42EC"/>
    <w:rsid w:val="002E7A2E"/>
    <w:rsid w:val="002F0192"/>
    <w:rsid w:val="002F17B5"/>
    <w:rsid w:val="002F2198"/>
    <w:rsid w:val="002F63AC"/>
    <w:rsid w:val="00305619"/>
    <w:rsid w:val="0031503B"/>
    <w:rsid w:val="00317161"/>
    <w:rsid w:val="0032250D"/>
    <w:rsid w:val="00335131"/>
    <w:rsid w:val="00350A32"/>
    <w:rsid w:val="00351BE7"/>
    <w:rsid w:val="00354AE9"/>
    <w:rsid w:val="00355699"/>
    <w:rsid w:val="00357316"/>
    <w:rsid w:val="00361536"/>
    <w:rsid w:val="00363FEB"/>
    <w:rsid w:val="0036450F"/>
    <w:rsid w:val="00366753"/>
    <w:rsid w:val="00370B8F"/>
    <w:rsid w:val="003753D1"/>
    <w:rsid w:val="003800D4"/>
    <w:rsid w:val="00380979"/>
    <w:rsid w:val="0038456F"/>
    <w:rsid w:val="00387ED6"/>
    <w:rsid w:val="00393F88"/>
    <w:rsid w:val="00397D85"/>
    <w:rsid w:val="003A12C1"/>
    <w:rsid w:val="003A4C6B"/>
    <w:rsid w:val="003A65F1"/>
    <w:rsid w:val="003A6CB0"/>
    <w:rsid w:val="003B25AF"/>
    <w:rsid w:val="003B2892"/>
    <w:rsid w:val="003B57B3"/>
    <w:rsid w:val="003B5A18"/>
    <w:rsid w:val="003B6A9D"/>
    <w:rsid w:val="003C1D32"/>
    <w:rsid w:val="003C299E"/>
    <w:rsid w:val="003C4515"/>
    <w:rsid w:val="003C7A5A"/>
    <w:rsid w:val="003D0A2D"/>
    <w:rsid w:val="003D4F19"/>
    <w:rsid w:val="003D5FE8"/>
    <w:rsid w:val="003D6F43"/>
    <w:rsid w:val="003E11B0"/>
    <w:rsid w:val="003E4D95"/>
    <w:rsid w:val="003E6B38"/>
    <w:rsid w:val="003F03AB"/>
    <w:rsid w:val="003F112C"/>
    <w:rsid w:val="003F32C2"/>
    <w:rsid w:val="003F388B"/>
    <w:rsid w:val="003F55A9"/>
    <w:rsid w:val="003F5B66"/>
    <w:rsid w:val="004022F5"/>
    <w:rsid w:val="00414FCB"/>
    <w:rsid w:val="00420270"/>
    <w:rsid w:val="0042449F"/>
    <w:rsid w:val="00424FBE"/>
    <w:rsid w:val="004345EA"/>
    <w:rsid w:val="004413C4"/>
    <w:rsid w:val="00445FE7"/>
    <w:rsid w:val="00451912"/>
    <w:rsid w:val="00451B56"/>
    <w:rsid w:val="004536E5"/>
    <w:rsid w:val="00455EB3"/>
    <w:rsid w:val="004621AB"/>
    <w:rsid w:val="00462938"/>
    <w:rsid w:val="00462AEE"/>
    <w:rsid w:val="00463306"/>
    <w:rsid w:val="004654CB"/>
    <w:rsid w:val="0046591C"/>
    <w:rsid w:val="004667FA"/>
    <w:rsid w:val="0047086D"/>
    <w:rsid w:val="004735BB"/>
    <w:rsid w:val="00475E64"/>
    <w:rsid w:val="00477D8B"/>
    <w:rsid w:val="004863BF"/>
    <w:rsid w:val="00487F64"/>
    <w:rsid w:val="00495D63"/>
    <w:rsid w:val="00497C3B"/>
    <w:rsid w:val="00497EB1"/>
    <w:rsid w:val="004A13EC"/>
    <w:rsid w:val="004A1E6D"/>
    <w:rsid w:val="004A3BDB"/>
    <w:rsid w:val="004A58B7"/>
    <w:rsid w:val="004B1A11"/>
    <w:rsid w:val="004B2417"/>
    <w:rsid w:val="004B6AEB"/>
    <w:rsid w:val="004C1D7E"/>
    <w:rsid w:val="004C6EF8"/>
    <w:rsid w:val="004C718A"/>
    <w:rsid w:val="004D01AE"/>
    <w:rsid w:val="004D3E2F"/>
    <w:rsid w:val="004D7AAB"/>
    <w:rsid w:val="004E27A0"/>
    <w:rsid w:val="004E58CE"/>
    <w:rsid w:val="004E5A93"/>
    <w:rsid w:val="004F1E81"/>
    <w:rsid w:val="004F41CC"/>
    <w:rsid w:val="004F7081"/>
    <w:rsid w:val="00500C0B"/>
    <w:rsid w:val="00501F06"/>
    <w:rsid w:val="00505729"/>
    <w:rsid w:val="00512679"/>
    <w:rsid w:val="005148EE"/>
    <w:rsid w:val="005221E0"/>
    <w:rsid w:val="005258CF"/>
    <w:rsid w:val="00527DED"/>
    <w:rsid w:val="00527F53"/>
    <w:rsid w:val="00530592"/>
    <w:rsid w:val="00536511"/>
    <w:rsid w:val="005403D6"/>
    <w:rsid w:val="00542B8B"/>
    <w:rsid w:val="00542F79"/>
    <w:rsid w:val="0054690E"/>
    <w:rsid w:val="00546CD2"/>
    <w:rsid w:val="005506C9"/>
    <w:rsid w:val="00550CEB"/>
    <w:rsid w:val="005523D8"/>
    <w:rsid w:val="00555D28"/>
    <w:rsid w:val="0056483E"/>
    <w:rsid w:val="00566D8E"/>
    <w:rsid w:val="00582AE5"/>
    <w:rsid w:val="00582D90"/>
    <w:rsid w:val="00586FD5"/>
    <w:rsid w:val="00592B8A"/>
    <w:rsid w:val="005942E1"/>
    <w:rsid w:val="005952B7"/>
    <w:rsid w:val="005952F5"/>
    <w:rsid w:val="0059589D"/>
    <w:rsid w:val="00595BDB"/>
    <w:rsid w:val="00597456"/>
    <w:rsid w:val="00597F99"/>
    <w:rsid w:val="005A125A"/>
    <w:rsid w:val="005A154B"/>
    <w:rsid w:val="005B3307"/>
    <w:rsid w:val="005B5F93"/>
    <w:rsid w:val="005C05E6"/>
    <w:rsid w:val="005C2D3A"/>
    <w:rsid w:val="005C43FB"/>
    <w:rsid w:val="005C5CD2"/>
    <w:rsid w:val="005C76BA"/>
    <w:rsid w:val="005D42AF"/>
    <w:rsid w:val="005D7DDE"/>
    <w:rsid w:val="005D7FF4"/>
    <w:rsid w:val="005E0A4F"/>
    <w:rsid w:val="005E1AFE"/>
    <w:rsid w:val="005E30B5"/>
    <w:rsid w:val="005E7116"/>
    <w:rsid w:val="005F1219"/>
    <w:rsid w:val="005F16BC"/>
    <w:rsid w:val="005F3F8D"/>
    <w:rsid w:val="006015FD"/>
    <w:rsid w:val="00605A04"/>
    <w:rsid w:val="00607FA4"/>
    <w:rsid w:val="00610578"/>
    <w:rsid w:val="00610650"/>
    <w:rsid w:val="006124AE"/>
    <w:rsid w:val="006134AD"/>
    <w:rsid w:val="00614701"/>
    <w:rsid w:val="00615F91"/>
    <w:rsid w:val="00616BAC"/>
    <w:rsid w:val="006217F9"/>
    <w:rsid w:val="0063111C"/>
    <w:rsid w:val="00636C42"/>
    <w:rsid w:val="00642A26"/>
    <w:rsid w:val="00643331"/>
    <w:rsid w:val="00647AFA"/>
    <w:rsid w:val="00660F45"/>
    <w:rsid w:val="00665AB2"/>
    <w:rsid w:val="00667062"/>
    <w:rsid w:val="006675BC"/>
    <w:rsid w:val="00667DBF"/>
    <w:rsid w:val="006703B2"/>
    <w:rsid w:val="00673FAE"/>
    <w:rsid w:val="006755F2"/>
    <w:rsid w:val="00676009"/>
    <w:rsid w:val="00676CF2"/>
    <w:rsid w:val="00676E91"/>
    <w:rsid w:val="0068042A"/>
    <w:rsid w:val="006811DD"/>
    <w:rsid w:val="00684ACF"/>
    <w:rsid w:val="00685635"/>
    <w:rsid w:val="0068577B"/>
    <w:rsid w:val="006863FF"/>
    <w:rsid w:val="00691FB1"/>
    <w:rsid w:val="00694A5F"/>
    <w:rsid w:val="00695B9E"/>
    <w:rsid w:val="006A164A"/>
    <w:rsid w:val="006A24D9"/>
    <w:rsid w:val="006A37D6"/>
    <w:rsid w:val="006A434E"/>
    <w:rsid w:val="006B1BC4"/>
    <w:rsid w:val="006B5BF2"/>
    <w:rsid w:val="006B6E21"/>
    <w:rsid w:val="006B7136"/>
    <w:rsid w:val="006C04D0"/>
    <w:rsid w:val="006C0794"/>
    <w:rsid w:val="006C3A89"/>
    <w:rsid w:val="006C6348"/>
    <w:rsid w:val="006C7277"/>
    <w:rsid w:val="006C7292"/>
    <w:rsid w:val="006D2018"/>
    <w:rsid w:val="006D6BBD"/>
    <w:rsid w:val="006D70C4"/>
    <w:rsid w:val="006D7A3E"/>
    <w:rsid w:val="006E258A"/>
    <w:rsid w:val="006E2C2E"/>
    <w:rsid w:val="006E33A9"/>
    <w:rsid w:val="006E6E10"/>
    <w:rsid w:val="006F311A"/>
    <w:rsid w:val="006F3C5C"/>
    <w:rsid w:val="006F4D4B"/>
    <w:rsid w:val="007008BD"/>
    <w:rsid w:val="00702191"/>
    <w:rsid w:val="00703F0F"/>
    <w:rsid w:val="0070556B"/>
    <w:rsid w:val="00717430"/>
    <w:rsid w:val="00720EF7"/>
    <w:rsid w:val="007271E2"/>
    <w:rsid w:val="00730431"/>
    <w:rsid w:val="007310E4"/>
    <w:rsid w:val="00733F04"/>
    <w:rsid w:val="00734386"/>
    <w:rsid w:val="00734920"/>
    <w:rsid w:val="0073629E"/>
    <w:rsid w:val="0073630A"/>
    <w:rsid w:val="00737A09"/>
    <w:rsid w:val="007408D3"/>
    <w:rsid w:val="00740B0B"/>
    <w:rsid w:val="00747DAA"/>
    <w:rsid w:val="007562EB"/>
    <w:rsid w:val="007574B3"/>
    <w:rsid w:val="00765292"/>
    <w:rsid w:val="00772011"/>
    <w:rsid w:val="0077229A"/>
    <w:rsid w:val="00772487"/>
    <w:rsid w:val="007735BF"/>
    <w:rsid w:val="007769D0"/>
    <w:rsid w:val="00777D9C"/>
    <w:rsid w:val="00780760"/>
    <w:rsid w:val="00783B26"/>
    <w:rsid w:val="00786C18"/>
    <w:rsid w:val="00787894"/>
    <w:rsid w:val="00791CAF"/>
    <w:rsid w:val="00792056"/>
    <w:rsid w:val="00792AA2"/>
    <w:rsid w:val="007964F4"/>
    <w:rsid w:val="00796A66"/>
    <w:rsid w:val="007A1203"/>
    <w:rsid w:val="007A1793"/>
    <w:rsid w:val="007A732C"/>
    <w:rsid w:val="007B053F"/>
    <w:rsid w:val="007B0633"/>
    <w:rsid w:val="007B2415"/>
    <w:rsid w:val="007B4424"/>
    <w:rsid w:val="007B4514"/>
    <w:rsid w:val="007B5F71"/>
    <w:rsid w:val="007B7733"/>
    <w:rsid w:val="007C0808"/>
    <w:rsid w:val="007C11C8"/>
    <w:rsid w:val="007C2793"/>
    <w:rsid w:val="007C5691"/>
    <w:rsid w:val="007D2110"/>
    <w:rsid w:val="007D41A5"/>
    <w:rsid w:val="007D5C88"/>
    <w:rsid w:val="007D64E1"/>
    <w:rsid w:val="007D69AF"/>
    <w:rsid w:val="007E5256"/>
    <w:rsid w:val="00803FE3"/>
    <w:rsid w:val="00804E5F"/>
    <w:rsid w:val="00806C9E"/>
    <w:rsid w:val="00810ABE"/>
    <w:rsid w:val="00810BCC"/>
    <w:rsid w:val="0081580B"/>
    <w:rsid w:val="00817BF7"/>
    <w:rsid w:val="0082242D"/>
    <w:rsid w:val="00832317"/>
    <w:rsid w:val="00832501"/>
    <w:rsid w:val="008355C7"/>
    <w:rsid w:val="008477DA"/>
    <w:rsid w:val="008552ED"/>
    <w:rsid w:val="00855FD2"/>
    <w:rsid w:val="00861E89"/>
    <w:rsid w:val="00864610"/>
    <w:rsid w:val="0087067F"/>
    <w:rsid w:val="00871BA0"/>
    <w:rsid w:val="00871E65"/>
    <w:rsid w:val="00873830"/>
    <w:rsid w:val="00877484"/>
    <w:rsid w:val="008922FB"/>
    <w:rsid w:val="00892D07"/>
    <w:rsid w:val="00893563"/>
    <w:rsid w:val="00894980"/>
    <w:rsid w:val="008A6476"/>
    <w:rsid w:val="008B535F"/>
    <w:rsid w:val="008B5655"/>
    <w:rsid w:val="008B6707"/>
    <w:rsid w:val="008C1E56"/>
    <w:rsid w:val="008C4B34"/>
    <w:rsid w:val="008C4B7A"/>
    <w:rsid w:val="008D0FF8"/>
    <w:rsid w:val="008D2225"/>
    <w:rsid w:val="008D2A98"/>
    <w:rsid w:val="008E05AF"/>
    <w:rsid w:val="008E24BC"/>
    <w:rsid w:val="008E2AF2"/>
    <w:rsid w:val="008E3188"/>
    <w:rsid w:val="008E47FE"/>
    <w:rsid w:val="008E5A25"/>
    <w:rsid w:val="008F0A80"/>
    <w:rsid w:val="008F1B44"/>
    <w:rsid w:val="008F4BD5"/>
    <w:rsid w:val="008F7F70"/>
    <w:rsid w:val="0090359D"/>
    <w:rsid w:val="00904B6F"/>
    <w:rsid w:val="00910776"/>
    <w:rsid w:val="0091085B"/>
    <w:rsid w:val="00911046"/>
    <w:rsid w:val="00912532"/>
    <w:rsid w:val="0091273F"/>
    <w:rsid w:val="009162B8"/>
    <w:rsid w:val="00920419"/>
    <w:rsid w:val="009215D7"/>
    <w:rsid w:val="00921722"/>
    <w:rsid w:val="00926903"/>
    <w:rsid w:val="00927DFF"/>
    <w:rsid w:val="00931DC6"/>
    <w:rsid w:val="00934F87"/>
    <w:rsid w:val="009365C5"/>
    <w:rsid w:val="00940A5D"/>
    <w:rsid w:val="009419A3"/>
    <w:rsid w:val="009430BB"/>
    <w:rsid w:val="00945AAF"/>
    <w:rsid w:val="009472AF"/>
    <w:rsid w:val="0094744E"/>
    <w:rsid w:val="0094751F"/>
    <w:rsid w:val="00951F28"/>
    <w:rsid w:val="009528CD"/>
    <w:rsid w:val="00952B3E"/>
    <w:rsid w:val="0095562B"/>
    <w:rsid w:val="009560AC"/>
    <w:rsid w:val="00961106"/>
    <w:rsid w:val="009708A6"/>
    <w:rsid w:val="0097452B"/>
    <w:rsid w:val="00975E98"/>
    <w:rsid w:val="009810E9"/>
    <w:rsid w:val="00981814"/>
    <w:rsid w:val="00984680"/>
    <w:rsid w:val="009875FD"/>
    <w:rsid w:val="00990658"/>
    <w:rsid w:val="00990F68"/>
    <w:rsid w:val="009932CE"/>
    <w:rsid w:val="0099431A"/>
    <w:rsid w:val="009952AB"/>
    <w:rsid w:val="0099633E"/>
    <w:rsid w:val="009A0EA2"/>
    <w:rsid w:val="009A5334"/>
    <w:rsid w:val="009A58E5"/>
    <w:rsid w:val="009A5B58"/>
    <w:rsid w:val="009A7134"/>
    <w:rsid w:val="009A7C19"/>
    <w:rsid w:val="009B0F24"/>
    <w:rsid w:val="009B31BC"/>
    <w:rsid w:val="009B4EC8"/>
    <w:rsid w:val="009B6C53"/>
    <w:rsid w:val="009C2508"/>
    <w:rsid w:val="009C26E8"/>
    <w:rsid w:val="009C392D"/>
    <w:rsid w:val="009C61B2"/>
    <w:rsid w:val="009C6D51"/>
    <w:rsid w:val="009C6D74"/>
    <w:rsid w:val="009D3920"/>
    <w:rsid w:val="009E359D"/>
    <w:rsid w:val="009E37FC"/>
    <w:rsid w:val="009E7F96"/>
    <w:rsid w:val="009F263C"/>
    <w:rsid w:val="009F4888"/>
    <w:rsid w:val="00A040C6"/>
    <w:rsid w:val="00A05D0F"/>
    <w:rsid w:val="00A0788E"/>
    <w:rsid w:val="00A117F3"/>
    <w:rsid w:val="00A15133"/>
    <w:rsid w:val="00A25D96"/>
    <w:rsid w:val="00A41739"/>
    <w:rsid w:val="00A43F30"/>
    <w:rsid w:val="00A45667"/>
    <w:rsid w:val="00A4587E"/>
    <w:rsid w:val="00A4782C"/>
    <w:rsid w:val="00A47AAB"/>
    <w:rsid w:val="00A47E1E"/>
    <w:rsid w:val="00A515A2"/>
    <w:rsid w:val="00A5600C"/>
    <w:rsid w:val="00A576C4"/>
    <w:rsid w:val="00A57E09"/>
    <w:rsid w:val="00A61D0D"/>
    <w:rsid w:val="00A62C56"/>
    <w:rsid w:val="00A63A1F"/>
    <w:rsid w:val="00A63BA7"/>
    <w:rsid w:val="00A66463"/>
    <w:rsid w:val="00A7017F"/>
    <w:rsid w:val="00A86E31"/>
    <w:rsid w:val="00A87F2F"/>
    <w:rsid w:val="00A9118B"/>
    <w:rsid w:val="00AA12FF"/>
    <w:rsid w:val="00AA3069"/>
    <w:rsid w:val="00AA457A"/>
    <w:rsid w:val="00AA47B7"/>
    <w:rsid w:val="00AA4815"/>
    <w:rsid w:val="00AA497D"/>
    <w:rsid w:val="00AA50FD"/>
    <w:rsid w:val="00AA6F42"/>
    <w:rsid w:val="00AB2049"/>
    <w:rsid w:val="00AB23C7"/>
    <w:rsid w:val="00AB4459"/>
    <w:rsid w:val="00AB53CC"/>
    <w:rsid w:val="00AB54D9"/>
    <w:rsid w:val="00AB5646"/>
    <w:rsid w:val="00AB6A79"/>
    <w:rsid w:val="00AC38F9"/>
    <w:rsid w:val="00AC3CDB"/>
    <w:rsid w:val="00AC5D34"/>
    <w:rsid w:val="00AC7722"/>
    <w:rsid w:val="00AE287B"/>
    <w:rsid w:val="00AE3464"/>
    <w:rsid w:val="00AE4E01"/>
    <w:rsid w:val="00AE7276"/>
    <w:rsid w:val="00AF35C3"/>
    <w:rsid w:val="00AF7E58"/>
    <w:rsid w:val="00B0092D"/>
    <w:rsid w:val="00B04245"/>
    <w:rsid w:val="00B04CD2"/>
    <w:rsid w:val="00B05528"/>
    <w:rsid w:val="00B059CE"/>
    <w:rsid w:val="00B0613F"/>
    <w:rsid w:val="00B0747F"/>
    <w:rsid w:val="00B145E9"/>
    <w:rsid w:val="00B17B41"/>
    <w:rsid w:val="00B204EA"/>
    <w:rsid w:val="00B223E1"/>
    <w:rsid w:val="00B22DFA"/>
    <w:rsid w:val="00B32BD7"/>
    <w:rsid w:val="00B33E74"/>
    <w:rsid w:val="00B35B2A"/>
    <w:rsid w:val="00B362EE"/>
    <w:rsid w:val="00B37468"/>
    <w:rsid w:val="00B4050A"/>
    <w:rsid w:val="00B41923"/>
    <w:rsid w:val="00B461CD"/>
    <w:rsid w:val="00B46EF2"/>
    <w:rsid w:val="00B55B48"/>
    <w:rsid w:val="00B56BFE"/>
    <w:rsid w:val="00B57063"/>
    <w:rsid w:val="00B72C2F"/>
    <w:rsid w:val="00B73271"/>
    <w:rsid w:val="00B7408C"/>
    <w:rsid w:val="00B74FFA"/>
    <w:rsid w:val="00B75BBF"/>
    <w:rsid w:val="00B80E09"/>
    <w:rsid w:val="00B86A28"/>
    <w:rsid w:val="00B87797"/>
    <w:rsid w:val="00B9401A"/>
    <w:rsid w:val="00B945AE"/>
    <w:rsid w:val="00B9602C"/>
    <w:rsid w:val="00B978B8"/>
    <w:rsid w:val="00BA14FD"/>
    <w:rsid w:val="00BA2208"/>
    <w:rsid w:val="00BA2AD6"/>
    <w:rsid w:val="00BA42B6"/>
    <w:rsid w:val="00BA5D0E"/>
    <w:rsid w:val="00BB0F98"/>
    <w:rsid w:val="00BB4BF1"/>
    <w:rsid w:val="00BB4EA5"/>
    <w:rsid w:val="00BB74A3"/>
    <w:rsid w:val="00BC653A"/>
    <w:rsid w:val="00BC73CF"/>
    <w:rsid w:val="00BD1CBA"/>
    <w:rsid w:val="00BD1F68"/>
    <w:rsid w:val="00BD21B9"/>
    <w:rsid w:val="00BD29A8"/>
    <w:rsid w:val="00BD4A74"/>
    <w:rsid w:val="00BE1989"/>
    <w:rsid w:val="00BE318D"/>
    <w:rsid w:val="00BE4209"/>
    <w:rsid w:val="00BE4E9B"/>
    <w:rsid w:val="00BF09BE"/>
    <w:rsid w:val="00BF2CF8"/>
    <w:rsid w:val="00BF3E18"/>
    <w:rsid w:val="00BF5E1C"/>
    <w:rsid w:val="00BF70F6"/>
    <w:rsid w:val="00C03160"/>
    <w:rsid w:val="00C06293"/>
    <w:rsid w:val="00C100E1"/>
    <w:rsid w:val="00C1079D"/>
    <w:rsid w:val="00C163AA"/>
    <w:rsid w:val="00C17E87"/>
    <w:rsid w:val="00C23BCE"/>
    <w:rsid w:val="00C25D7B"/>
    <w:rsid w:val="00C3027F"/>
    <w:rsid w:val="00C4108C"/>
    <w:rsid w:val="00C459B5"/>
    <w:rsid w:val="00C466F2"/>
    <w:rsid w:val="00C4778A"/>
    <w:rsid w:val="00C531CB"/>
    <w:rsid w:val="00C62B27"/>
    <w:rsid w:val="00C62BA4"/>
    <w:rsid w:val="00C6419A"/>
    <w:rsid w:val="00C702BA"/>
    <w:rsid w:val="00C73292"/>
    <w:rsid w:val="00C73810"/>
    <w:rsid w:val="00C76849"/>
    <w:rsid w:val="00C8105A"/>
    <w:rsid w:val="00C82C0A"/>
    <w:rsid w:val="00C85DAB"/>
    <w:rsid w:val="00C870EE"/>
    <w:rsid w:val="00C87F49"/>
    <w:rsid w:val="00C96ECB"/>
    <w:rsid w:val="00CA049D"/>
    <w:rsid w:val="00CA3214"/>
    <w:rsid w:val="00CA3302"/>
    <w:rsid w:val="00CA519E"/>
    <w:rsid w:val="00CB02ED"/>
    <w:rsid w:val="00CB0F1F"/>
    <w:rsid w:val="00CB1270"/>
    <w:rsid w:val="00CB2B73"/>
    <w:rsid w:val="00CB5A6D"/>
    <w:rsid w:val="00CB77D3"/>
    <w:rsid w:val="00CC01F7"/>
    <w:rsid w:val="00CD0D8F"/>
    <w:rsid w:val="00CD14EE"/>
    <w:rsid w:val="00CD16B7"/>
    <w:rsid w:val="00CD610F"/>
    <w:rsid w:val="00CE091A"/>
    <w:rsid w:val="00CF24D5"/>
    <w:rsid w:val="00CF47DE"/>
    <w:rsid w:val="00CF6190"/>
    <w:rsid w:val="00CF7750"/>
    <w:rsid w:val="00D00486"/>
    <w:rsid w:val="00D004EB"/>
    <w:rsid w:val="00D05C48"/>
    <w:rsid w:val="00D121CA"/>
    <w:rsid w:val="00D217AB"/>
    <w:rsid w:val="00D233EB"/>
    <w:rsid w:val="00D25A76"/>
    <w:rsid w:val="00D3088F"/>
    <w:rsid w:val="00D31EDE"/>
    <w:rsid w:val="00D419A9"/>
    <w:rsid w:val="00D42E0A"/>
    <w:rsid w:val="00D43659"/>
    <w:rsid w:val="00D43F72"/>
    <w:rsid w:val="00D4661E"/>
    <w:rsid w:val="00D46837"/>
    <w:rsid w:val="00D47C85"/>
    <w:rsid w:val="00D51436"/>
    <w:rsid w:val="00D516CA"/>
    <w:rsid w:val="00D5325B"/>
    <w:rsid w:val="00D533CF"/>
    <w:rsid w:val="00D53942"/>
    <w:rsid w:val="00D53997"/>
    <w:rsid w:val="00D544D3"/>
    <w:rsid w:val="00D55E63"/>
    <w:rsid w:val="00D62768"/>
    <w:rsid w:val="00D63B2C"/>
    <w:rsid w:val="00D700D4"/>
    <w:rsid w:val="00D76886"/>
    <w:rsid w:val="00D77E14"/>
    <w:rsid w:val="00D8139E"/>
    <w:rsid w:val="00D834E2"/>
    <w:rsid w:val="00D83A31"/>
    <w:rsid w:val="00D83D06"/>
    <w:rsid w:val="00D8492B"/>
    <w:rsid w:val="00D864BD"/>
    <w:rsid w:val="00D97DF9"/>
    <w:rsid w:val="00D97EA3"/>
    <w:rsid w:val="00DA1296"/>
    <w:rsid w:val="00DA3D49"/>
    <w:rsid w:val="00DA4476"/>
    <w:rsid w:val="00DB1A62"/>
    <w:rsid w:val="00DB35E3"/>
    <w:rsid w:val="00DB62E5"/>
    <w:rsid w:val="00DB7D71"/>
    <w:rsid w:val="00DC7F5A"/>
    <w:rsid w:val="00DD22AA"/>
    <w:rsid w:val="00DD64E1"/>
    <w:rsid w:val="00DE0E96"/>
    <w:rsid w:val="00DE2DE1"/>
    <w:rsid w:val="00DE48BB"/>
    <w:rsid w:val="00DE5338"/>
    <w:rsid w:val="00DF07A9"/>
    <w:rsid w:val="00DF4475"/>
    <w:rsid w:val="00E01C08"/>
    <w:rsid w:val="00E1157D"/>
    <w:rsid w:val="00E15050"/>
    <w:rsid w:val="00E15B67"/>
    <w:rsid w:val="00E15E7D"/>
    <w:rsid w:val="00E17BDD"/>
    <w:rsid w:val="00E20651"/>
    <w:rsid w:val="00E21799"/>
    <w:rsid w:val="00E220BD"/>
    <w:rsid w:val="00E227DC"/>
    <w:rsid w:val="00E231FF"/>
    <w:rsid w:val="00E32D14"/>
    <w:rsid w:val="00E3311C"/>
    <w:rsid w:val="00E374D3"/>
    <w:rsid w:val="00E4055F"/>
    <w:rsid w:val="00E41D1F"/>
    <w:rsid w:val="00E5054E"/>
    <w:rsid w:val="00E569BF"/>
    <w:rsid w:val="00E66205"/>
    <w:rsid w:val="00E71535"/>
    <w:rsid w:val="00E77BC1"/>
    <w:rsid w:val="00E949C8"/>
    <w:rsid w:val="00EA2A19"/>
    <w:rsid w:val="00EA5065"/>
    <w:rsid w:val="00EA7506"/>
    <w:rsid w:val="00EB070F"/>
    <w:rsid w:val="00EB45A3"/>
    <w:rsid w:val="00EB478A"/>
    <w:rsid w:val="00EC07D3"/>
    <w:rsid w:val="00EC1913"/>
    <w:rsid w:val="00EC1C47"/>
    <w:rsid w:val="00EC4EA1"/>
    <w:rsid w:val="00EC74EE"/>
    <w:rsid w:val="00EC7797"/>
    <w:rsid w:val="00ED4F8C"/>
    <w:rsid w:val="00EE16C5"/>
    <w:rsid w:val="00EE6E61"/>
    <w:rsid w:val="00EF61FA"/>
    <w:rsid w:val="00F02CA9"/>
    <w:rsid w:val="00F04DBA"/>
    <w:rsid w:val="00F05265"/>
    <w:rsid w:val="00F1068B"/>
    <w:rsid w:val="00F16A2A"/>
    <w:rsid w:val="00F177F1"/>
    <w:rsid w:val="00F30D51"/>
    <w:rsid w:val="00F34CCC"/>
    <w:rsid w:val="00F362A4"/>
    <w:rsid w:val="00F375CB"/>
    <w:rsid w:val="00F400D9"/>
    <w:rsid w:val="00F4143C"/>
    <w:rsid w:val="00F41D6A"/>
    <w:rsid w:val="00F426D1"/>
    <w:rsid w:val="00F47225"/>
    <w:rsid w:val="00F53BEA"/>
    <w:rsid w:val="00F56190"/>
    <w:rsid w:val="00F56BCF"/>
    <w:rsid w:val="00F66F9E"/>
    <w:rsid w:val="00F67358"/>
    <w:rsid w:val="00F70C8E"/>
    <w:rsid w:val="00F72769"/>
    <w:rsid w:val="00F84758"/>
    <w:rsid w:val="00F85583"/>
    <w:rsid w:val="00F85D70"/>
    <w:rsid w:val="00F91CCF"/>
    <w:rsid w:val="00F95AC8"/>
    <w:rsid w:val="00F97D7C"/>
    <w:rsid w:val="00FA32A9"/>
    <w:rsid w:val="00FA451D"/>
    <w:rsid w:val="00FA47F4"/>
    <w:rsid w:val="00FA521C"/>
    <w:rsid w:val="00FA626B"/>
    <w:rsid w:val="00FA7149"/>
    <w:rsid w:val="00FB2465"/>
    <w:rsid w:val="00FC130F"/>
    <w:rsid w:val="00FC22BC"/>
    <w:rsid w:val="00FC5D63"/>
    <w:rsid w:val="00FD09B2"/>
    <w:rsid w:val="00FD1C92"/>
    <w:rsid w:val="00FD5138"/>
    <w:rsid w:val="00FD7AFC"/>
    <w:rsid w:val="00FE5B90"/>
    <w:rsid w:val="00FF1DD1"/>
    <w:rsid w:val="00FF5802"/>
    <w:rsid w:val="00FF65E5"/>
    <w:rsid w:val="00FF6BE0"/>
  </w:rsids>
  <m:mathPr>
    <m:mathFont m:val="Cambria Math"/>
    <m:brkBin m:val="before"/>
    <m:brkBinSub m:val="--"/>
    <m:smallFrac m:val="off"/>
    <m:dispDef/>
    <m:lMargin m:val="0"/>
    <m:rMargin m:val="0"/>
    <m:defJc m:val="centerGroup"/>
    <m:wrapIndent m:val="1440"/>
    <m:intLim m:val="subSup"/>
    <m:naryLim m:val="undOvr"/>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F6BE0"/>
    <w:pPr>
      <w:ind w:left="567" w:hanging="567"/>
    </w:pPr>
    <w:rPr>
      <w:sz w:val="22"/>
      <w:szCs w:val="24"/>
    </w:rPr>
  </w:style>
  <w:style w:type="paragraph" w:styleId="Nadpis1">
    <w:name w:val="heading 1"/>
    <w:basedOn w:val="Normlny"/>
    <w:next w:val="Normlny"/>
    <w:link w:val="Nadpis1Char"/>
    <w:qFormat/>
    <w:rsid w:val="005506C9"/>
    <w:pPr>
      <w:keepNext/>
      <w:ind w:left="0" w:firstLine="0"/>
      <w:outlineLvl w:val="0"/>
    </w:pPr>
    <w:rPr>
      <w:b/>
      <w:bCs/>
      <w:i/>
      <w:iCs/>
      <w:sz w:val="24"/>
      <w:u w:val="single"/>
    </w:rPr>
  </w:style>
  <w:style w:type="paragraph" w:styleId="Nadpis3">
    <w:name w:val="heading 3"/>
    <w:basedOn w:val="Normlny"/>
    <w:next w:val="Normlny"/>
    <w:link w:val="Nadpis3Char"/>
    <w:uiPriority w:val="9"/>
    <w:qFormat/>
    <w:rsid w:val="00566D8E"/>
    <w:pPr>
      <w:keepNext/>
      <w:spacing w:before="240" w:after="60"/>
      <w:outlineLvl w:val="2"/>
    </w:pPr>
    <w:rPr>
      <w:rFonts w:ascii="Cambria" w:eastAsia="SimSun" w:hAnsi="Cambria"/>
      <w:b/>
      <w:bCs/>
      <w:sz w:val="26"/>
      <w:szCs w:val="26"/>
    </w:rPr>
  </w:style>
  <w:style w:type="paragraph" w:styleId="Nadpis4">
    <w:name w:val="heading 4"/>
    <w:basedOn w:val="Normlny"/>
    <w:next w:val="Normlny"/>
    <w:link w:val="Nadpis4Char"/>
    <w:uiPriority w:val="9"/>
    <w:qFormat/>
    <w:rsid w:val="001E2CE0"/>
    <w:pPr>
      <w:keepNext/>
      <w:spacing w:before="240" w:after="60"/>
      <w:outlineLvl w:val="3"/>
    </w:pPr>
    <w:rPr>
      <w:rFonts w:ascii="Calibri" w:eastAsia="SimSun" w:hAnsi="Calibri"/>
      <w:b/>
      <w:bCs/>
      <w:sz w:val="28"/>
      <w:szCs w:val="28"/>
    </w:rPr>
  </w:style>
  <w:style w:type="paragraph" w:styleId="Nadpis5">
    <w:name w:val="heading 5"/>
    <w:basedOn w:val="Normlny"/>
    <w:next w:val="Normlny"/>
    <w:link w:val="Nadpis5Char"/>
    <w:uiPriority w:val="9"/>
    <w:qFormat/>
    <w:rsid w:val="001E2CE0"/>
    <w:pPr>
      <w:spacing w:before="240" w:after="60"/>
      <w:outlineLvl w:val="4"/>
    </w:pPr>
    <w:rPr>
      <w:rFonts w:ascii="Calibri" w:eastAsia="SimSun" w:hAnsi="Calibri"/>
      <w:b/>
      <w:bCs/>
      <w:i/>
      <w:iCs/>
      <w:sz w:val="26"/>
      <w:szCs w:val="26"/>
    </w:rPr>
  </w:style>
  <w:style w:type="paragraph" w:styleId="Nadpis6">
    <w:name w:val="heading 6"/>
    <w:basedOn w:val="Normlny"/>
    <w:next w:val="Normlny"/>
    <w:link w:val="Nadpis6Char"/>
    <w:uiPriority w:val="9"/>
    <w:qFormat/>
    <w:rsid w:val="001E2CE0"/>
    <w:pPr>
      <w:spacing w:before="240" w:after="60"/>
      <w:outlineLvl w:val="5"/>
    </w:pPr>
    <w:rPr>
      <w:rFonts w:ascii="Calibri" w:eastAsia="SimSun" w:hAnsi="Calibri"/>
      <w:b/>
      <w:bCs/>
      <w:szCs w:val="22"/>
    </w:rPr>
  </w:style>
  <w:style w:type="paragraph" w:styleId="Nadpis8">
    <w:name w:val="heading 8"/>
    <w:basedOn w:val="Normlny"/>
    <w:next w:val="Normlny"/>
    <w:link w:val="Nadpis8Char"/>
    <w:uiPriority w:val="9"/>
    <w:qFormat/>
    <w:rsid w:val="001E2CE0"/>
    <w:pPr>
      <w:spacing w:before="240" w:after="60"/>
      <w:outlineLvl w:val="7"/>
    </w:pPr>
    <w:rPr>
      <w:rFonts w:ascii="Calibri" w:eastAsia="SimSun" w:hAnsi="Calibri"/>
      <w:i/>
      <w:iCs/>
      <w:sz w:val="24"/>
    </w:rPr>
  </w:style>
  <w:style w:type="paragraph" w:styleId="Nadpis9">
    <w:name w:val="heading 9"/>
    <w:basedOn w:val="Normlny"/>
    <w:next w:val="Normlny"/>
    <w:link w:val="Nadpis9Char"/>
    <w:uiPriority w:val="9"/>
    <w:qFormat/>
    <w:rsid w:val="001E2CE0"/>
    <w:pPr>
      <w:spacing w:before="240" w:after="60"/>
      <w:outlineLvl w:val="8"/>
    </w:pPr>
    <w:rPr>
      <w:rFonts w:ascii="Cambria" w:eastAsia="SimSun" w:hAnsi="Cambria"/>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FF6BE0"/>
    <w:rPr>
      <w:color w:val="0000FF"/>
      <w:u w:val="single"/>
    </w:rPr>
  </w:style>
  <w:style w:type="paragraph" w:styleId="Zkladntext">
    <w:name w:val="Body Text"/>
    <w:basedOn w:val="Normlny"/>
    <w:rsid w:val="00FF6BE0"/>
    <w:pPr>
      <w:ind w:left="0" w:firstLine="0"/>
    </w:pPr>
  </w:style>
  <w:style w:type="paragraph" w:customStyle="1" w:styleId="EMEAEnBodyText">
    <w:name w:val="EMEA En Body Text"/>
    <w:basedOn w:val="Normlny"/>
    <w:rsid w:val="00FF6BE0"/>
    <w:pPr>
      <w:spacing w:before="120" w:after="120"/>
      <w:ind w:left="0" w:firstLine="0"/>
      <w:jc w:val="both"/>
    </w:pPr>
    <w:rPr>
      <w:szCs w:val="20"/>
      <w:lang w:val="en-US" w:eastAsia="en-US"/>
    </w:rPr>
  </w:style>
  <w:style w:type="character" w:styleId="Odkaznakomentr">
    <w:name w:val="annotation reference"/>
    <w:semiHidden/>
    <w:rsid w:val="00D217AB"/>
    <w:rPr>
      <w:sz w:val="16"/>
      <w:szCs w:val="16"/>
    </w:rPr>
  </w:style>
  <w:style w:type="paragraph" w:styleId="Textkomentra">
    <w:name w:val="annotation text"/>
    <w:basedOn w:val="Normlny"/>
    <w:semiHidden/>
    <w:rsid w:val="00D217AB"/>
    <w:rPr>
      <w:sz w:val="20"/>
      <w:szCs w:val="20"/>
    </w:rPr>
  </w:style>
  <w:style w:type="paragraph" w:styleId="Predmetkomentra">
    <w:name w:val="annotation subject"/>
    <w:basedOn w:val="Textkomentra"/>
    <w:next w:val="Textkomentra"/>
    <w:semiHidden/>
    <w:rsid w:val="00D217AB"/>
    <w:rPr>
      <w:b/>
      <w:bCs/>
    </w:rPr>
  </w:style>
  <w:style w:type="paragraph" w:styleId="Textbubliny">
    <w:name w:val="Balloon Text"/>
    <w:basedOn w:val="Normlny"/>
    <w:semiHidden/>
    <w:rsid w:val="00D217AB"/>
    <w:rPr>
      <w:rFonts w:ascii="Tahoma" w:hAnsi="Tahoma" w:cs="Tahoma"/>
      <w:sz w:val="16"/>
      <w:szCs w:val="16"/>
    </w:rPr>
  </w:style>
  <w:style w:type="paragraph" w:styleId="Hlavika">
    <w:name w:val="header"/>
    <w:basedOn w:val="Normlny"/>
    <w:link w:val="HlavikaChar"/>
    <w:rsid w:val="000F4A38"/>
    <w:pPr>
      <w:suppressLineNumbers/>
      <w:tabs>
        <w:tab w:val="center" w:pos="7086"/>
        <w:tab w:val="right" w:pos="11905"/>
      </w:tabs>
      <w:suppressAutoHyphens/>
    </w:pPr>
    <w:rPr>
      <w:lang w:eastAsia="ar-SA"/>
    </w:rPr>
  </w:style>
  <w:style w:type="character" w:customStyle="1" w:styleId="HlavikaChar">
    <w:name w:val="Hlavička Char"/>
    <w:link w:val="Hlavika"/>
    <w:rsid w:val="000F4A38"/>
    <w:rPr>
      <w:sz w:val="22"/>
      <w:szCs w:val="24"/>
      <w:lang w:val="sk-SK" w:eastAsia="ar-SA"/>
    </w:rPr>
  </w:style>
  <w:style w:type="paragraph" w:styleId="Pta">
    <w:name w:val="footer"/>
    <w:basedOn w:val="Normlny"/>
    <w:link w:val="PtaChar"/>
    <w:uiPriority w:val="99"/>
    <w:unhideWhenUsed/>
    <w:rsid w:val="00087FC8"/>
    <w:pPr>
      <w:tabs>
        <w:tab w:val="center" w:pos="4703"/>
        <w:tab w:val="right" w:pos="9406"/>
      </w:tabs>
    </w:pPr>
  </w:style>
  <w:style w:type="character" w:customStyle="1" w:styleId="PtaChar">
    <w:name w:val="Päta Char"/>
    <w:link w:val="Pta"/>
    <w:uiPriority w:val="99"/>
    <w:rsid w:val="00087FC8"/>
    <w:rPr>
      <w:sz w:val="22"/>
      <w:szCs w:val="24"/>
      <w:lang w:val="sk-SK" w:eastAsia="sk-SK"/>
    </w:rPr>
  </w:style>
  <w:style w:type="table" w:styleId="Mriekatabuky">
    <w:name w:val="Table Grid"/>
    <w:basedOn w:val="Normlnatabuka"/>
    <w:uiPriority w:val="59"/>
    <w:rsid w:val="00737A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kladntext3">
    <w:name w:val="Body Text 3"/>
    <w:basedOn w:val="Normlny"/>
    <w:link w:val="Zkladntext3Char"/>
    <w:uiPriority w:val="99"/>
    <w:unhideWhenUsed/>
    <w:rsid w:val="005506C9"/>
    <w:pPr>
      <w:spacing w:after="120"/>
    </w:pPr>
    <w:rPr>
      <w:sz w:val="16"/>
      <w:szCs w:val="16"/>
    </w:rPr>
  </w:style>
  <w:style w:type="character" w:customStyle="1" w:styleId="Zkladntext3Char">
    <w:name w:val="Základný text 3 Char"/>
    <w:link w:val="Zkladntext3"/>
    <w:uiPriority w:val="99"/>
    <w:rsid w:val="005506C9"/>
    <w:rPr>
      <w:sz w:val="16"/>
      <w:szCs w:val="16"/>
      <w:lang w:val="sk-SK" w:eastAsia="sk-SK"/>
    </w:rPr>
  </w:style>
  <w:style w:type="character" w:customStyle="1" w:styleId="Nadpis1Char">
    <w:name w:val="Nadpis 1 Char"/>
    <w:link w:val="Nadpis1"/>
    <w:rsid w:val="005506C9"/>
    <w:rPr>
      <w:b/>
      <w:bCs/>
      <w:i/>
      <w:iCs/>
      <w:sz w:val="24"/>
      <w:szCs w:val="24"/>
      <w:u w:val="single"/>
      <w:lang w:val="sk-SK" w:eastAsia="sk-SK"/>
    </w:rPr>
  </w:style>
  <w:style w:type="character" w:customStyle="1" w:styleId="Nadpis4Char">
    <w:name w:val="Nadpis 4 Char"/>
    <w:link w:val="Nadpis4"/>
    <w:uiPriority w:val="9"/>
    <w:semiHidden/>
    <w:rsid w:val="001E2CE0"/>
    <w:rPr>
      <w:rFonts w:ascii="Calibri" w:eastAsia="SimSun" w:hAnsi="Calibri" w:cs="Times New Roman"/>
      <w:b/>
      <w:bCs/>
      <w:sz w:val="28"/>
      <w:szCs w:val="28"/>
      <w:lang w:val="sk-SK" w:eastAsia="sk-SK"/>
    </w:rPr>
  </w:style>
  <w:style w:type="character" w:customStyle="1" w:styleId="Nadpis5Char">
    <w:name w:val="Nadpis 5 Char"/>
    <w:link w:val="Nadpis5"/>
    <w:uiPriority w:val="9"/>
    <w:semiHidden/>
    <w:rsid w:val="001E2CE0"/>
    <w:rPr>
      <w:rFonts w:ascii="Calibri" w:eastAsia="SimSun" w:hAnsi="Calibri" w:cs="Times New Roman"/>
      <w:b/>
      <w:bCs/>
      <w:i/>
      <w:iCs/>
      <w:sz w:val="26"/>
      <w:szCs w:val="26"/>
      <w:lang w:val="sk-SK" w:eastAsia="sk-SK"/>
    </w:rPr>
  </w:style>
  <w:style w:type="character" w:customStyle="1" w:styleId="Nadpis6Char">
    <w:name w:val="Nadpis 6 Char"/>
    <w:link w:val="Nadpis6"/>
    <w:uiPriority w:val="9"/>
    <w:semiHidden/>
    <w:rsid w:val="001E2CE0"/>
    <w:rPr>
      <w:rFonts w:ascii="Calibri" w:eastAsia="SimSun" w:hAnsi="Calibri" w:cs="Times New Roman"/>
      <w:b/>
      <w:bCs/>
      <w:sz w:val="22"/>
      <w:szCs w:val="22"/>
      <w:lang w:val="sk-SK" w:eastAsia="sk-SK"/>
    </w:rPr>
  </w:style>
  <w:style w:type="character" w:customStyle="1" w:styleId="Nadpis8Char">
    <w:name w:val="Nadpis 8 Char"/>
    <w:link w:val="Nadpis8"/>
    <w:uiPriority w:val="9"/>
    <w:semiHidden/>
    <w:rsid w:val="001E2CE0"/>
    <w:rPr>
      <w:rFonts w:ascii="Calibri" w:eastAsia="SimSun" w:hAnsi="Calibri" w:cs="Times New Roman"/>
      <w:i/>
      <w:iCs/>
      <w:sz w:val="24"/>
      <w:szCs w:val="24"/>
      <w:lang w:val="sk-SK" w:eastAsia="sk-SK"/>
    </w:rPr>
  </w:style>
  <w:style w:type="character" w:customStyle="1" w:styleId="Nadpis9Char">
    <w:name w:val="Nadpis 9 Char"/>
    <w:link w:val="Nadpis9"/>
    <w:uiPriority w:val="9"/>
    <w:semiHidden/>
    <w:rsid w:val="001E2CE0"/>
    <w:rPr>
      <w:rFonts w:ascii="Cambria" w:eastAsia="SimSun" w:hAnsi="Cambria" w:cs="Times New Roman"/>
      <w:sz w:val="22"/>
      <w:szCs w:val="22"/>
      <w:lang w:val="sk-SK" w:eastAsia="sk-SK"/>
    </w:rPr>
  </w:style>
  <w:style w:type="paragraph" w:customStyle="1" w:styleId="Normlny0">
    <w:name w:val="Normlny"/>
    <w:rsid w:val="00D834E2"/>
    <w:pPr>
      <w:suppressAutoHyphens/>
      <w:autoSpaceDE w:val="0"/>
    </w:pPr>
    <w:rPr>
      <w:rFonts w:ascii="Arial" w:hAnsi="Arial"/>
      <w:sz w:val="24"/>
      <w:lang w:val="en-US"/>
    </w:rPr>
  </w:style>
  <w:style w:type="character" w:customStyle="1" w:styleId="Nadpis3Char">
    <w:name w:val="Nadpis 3 Char"/>
    <w:link w:val="Nadpis3"/>
    <w:uiPriority w:val="9"/>
    <w:semiHidden/>
    <w:rsid w:val="00566D8E"/>
    <w:rPr>
      <w:rFonts w:ascii="Cambria" w:eastAsia="SimSun" w:hAnsi="Cambria" w:cs="Times New Roman"/>
      <w:b/>
      <w:bCs/>
      <w:sz w:val="26"/>
      <w:szCs w:val="26"/>
      <w:lang w:val="sk-SK" w:eastAsia="sk-SK"/>
    </w:rPr>
  </w:style>
  <w:style w:type="character" w:styleId="PouitHypertextovPrepojenie">
    <w:name w:val="FollowedHyperlink"/>
    <w:uiPriority w:val="99"/>
    <w:semiHidden/>
    <w:unhideWhenUsed/>
    <w:rsid w:val="00264A0B"/>
    <w:rPr>
      <w:color w:val="800080"/>
      <w:u w:val="single"/>
    </w:rPr>
  </w:style>
  <w:style w:type="character" w:styleId="Siln">
    <w:name w:val="Strong"/>
    <w:qFormat/>
    <w:rsid w:val="009C6D51"/>
    <w:rPr>
      <w:b/>
      <w:bCs/>
    </w:rPr>
  </w:style>
  <w:style w:type="character" w:customStyle="1" w:styleId="CharacterStyle5">
    <w:name w:val="Character Style 5"/>
    <w:rsid w:val="00AB53CC"/>
    <w:rPr>
      <w:sz w:val="24"/>
      <w:szCs w:val="24"/>
    </w:rPr>
  </w:style>
  <w:style w:type="paragraph" w:customStyle="1" w:styleId="Default">
    <w:name w:val="Default"/>
    <w:rsid w:val="008E3188"/>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360976891">
      <w:bodyDiv w:val="1"/>
      <w:marLeft w:val="0"/>
      <w:marRight w:val="0"/>
      <w:marTop w:val="0"/>
      <w:marBottom w:val="0"/>
      <w:divBdr>
        <w:top w:val="none" w:sz="0" w:space="0" w:color="auto"/>
        <w:left w:val="none" w:sz="0" w:space="0" w:color="auto"/>
        <w:bottom w:val="none" w:sz="0" w:space="0" w:color="auto"/>
        <w:right w:val="none" w:sz="0" w:space="0" w:color="auto"/>
      </w:divBdr>
    </w:div>
    <w:div w:id="567766076">
      <w:bodyDiv w:val="1"/>
      <w:marLeft w:val="0"/>
      <w:marRight w:val="0"/>
      <w:marTop w:val="0"/>
      <w:marBottom w:val="0"/>
      <w:divBdr>
        <w:top w:val="none" w:sz="0" w:space="0" w:color="auto"/>
        <w:left w:val="none" w:sz="0" w:space="0" w:color="auto"/>
        <w:bottom w:val="none" w:sz="0" w:space="0" w:color="auto"/>
        <w:right w:val="none" w:sz="0" w:space="0" w:color="auto"/>
      </w:divBdr>
    </w:div>
    <w:div w:id="606080419">
      <w:bodyDiv w:val="1"/>
      <w:marLeft w:val="0"/>
      <w:marRight w:val="0"/>
      <w:marTop w:val="0"/>
      <w:marBottom w:val="0"/>
      <w:divBdr>
        <w:top w:val="none" w:sz="0" w:space="0" w:color="auto"/>
        <w:left w:val="none" w:sz="0" w:space="0" w:color="auto"/>
        <w:bottom w:val="none" w:sz="0" w:space="0" w:color="auto"/>
        <w:right w:val="none" w:sz="0" w:space="0" w:color="auto"/>
      </w:divBdr>
    </w:div>
    <w:div w:id="1272012517">
      <w:bodyDiv w:val="1"/>
      <w:marLeft w:val="0"/>
      <w:marRight w:val="0"/>
      <w:marTop w:val="0"/>
      <w:marBottom w:val="0"/>
      <w:divBdr>
        <w:top w:val="none" w:sz="0" w:space="0" w:color="auto"/>
        <w:left w:val="none" w:sz="0" w:space="0" w:color="auto"/>
        <w:bottom w:val="none" w:sz="0" w:space="0" w:color="auto"/>
        <w:right w:val="none" w:sz="0" w:space="0" w:color="auto"/>
      </w:divBdr>
    </w:div>
    <w:div w:id="1365518204">
      <w:bodyDiv w:val="1"/>
      <w:marLeft w:val="0"/>
      <w:marRight w:val="0"/>
      <w:marTop w:val="0"/>
      <w:marBottom w:val="0"/>
      <w:divBdr>
        <w:top w:val="none" w:sz="0" w:space="0" w:color="auto"/>
        <w:left w:val="none" w:sz="0" w:space="0" w:color="auto"/>
        <w:bottom w:val="none" w:sz="0" w:space="0" w:color="auto"/>
        <w:right w:val="none" w:sz="0" w:space="0" w:color="auto"/>
      </w:divBdr>
    </w:div>
    <w:div w:id="1537424393">
      <w:bodyDiv w:val="1"/>
      <w:marLeft w:val="0"/>
      <w:marRight w:val="0"/>
      <w:marTop w:val="0"/>
      <w:marBottom w:val="0"/>
      <w:divBdr>
        <w:top w:val="none" w:sz="0" w:space="0" w:color="auto"/>
        <w:left w:val="none" w:sz="0" w:space="0" w:color="auto"/>
        <w:bottom w:val="none" w:sz="0" w:space="0" w:color="auto"/>
        <w:right w:val="none" w:sz="0" w:space="0" w:color="auto"/>
      </w:divBdr>
    </w:div>
    <w:div w:id="1641349164">
      <w:bodyDiv w:val="1"/>
      <w:marLeft w:val="0"/>
      <w:marRight w:val="0"/>
      <w:marTop w:val="0"/>
      <w:marBottom w:val="0"/>
      <w:divBdr>
        <w:top w:val="none" w:sz="0" w:space="0" w:color="auto"/>
        <w:left w:val="none" w:sz="0" w:space="0" w:color="auto"/>
        <w:bottom w:val="none" w:sz="0" w:space="0" w:color="auto"/>
        <w:right w:val="none" w:sz="0" w:space="0" w:color="auto"/>
      </w:divBdr>
    </w:div>
    <w:div w:id="1652709342">
      <w:bodyDiv w:val="1"/>
      <w:marLeft w:val="0"/>
      <w:marRight w:val="0"/>
      <w:marTop w:val="0"/>
      <w:marBottom w:val="0"/>
      <w:divBdr>
        <w:top w:val="none" w:sz="0" w:space="0" w:color="auto"/>
        <w:left w:val="none" w:sz="0" w:space="0" w:color="auto"/>
        <w:bottom w:val="none" w:sz="0" w:space="0" w:color="auto"/>
        <w:right w:val="none" w:sz="0" w:space="0" w:color="auto"/>
      </w:divBdr>
    </w:div>
    <w:div w:id="1769694766">
      <w:bodyDiv w:val="1"/>
      <w:marLeft w:val="0"/>
      <w:marRight w:val="0"/>
      <w:marTop w:val="0"/>
      <w:marBottom w:val="0"/>
      <w:divBdr>
        <w:top w:val="none" w:sz="0" w:space="0" w:color="auto"/>
        <w:left w:val="none" w:sz="0" w:space="0" w:color="auto"/>
        <w:bottom w:val="none" w:sz="0" w:space="0" w:color="auto"/>
        <w:right w:val="none" w:sz="0" w:space="0" w:color="auto"/>
      </w:divBdr>
    </w:div>
    <w:div w:id="1817605172">
      <w:bodyDiv w:val="1"/>
      <w:marLeft w:val="0"/>
      <w:marRight w:val="0"/>
      <w:marTop w:val="0"/>
      <w:marBottom w:val="0"/>
      <w:divBdr>
        <w:top w:val="none" w:sz="0" w:space="0" w:color="auto"/>
        <w:left w:val="none" w:sz="0" w:space="0" w:color="auto"/>
        <w:bottom w:val="none" w:sz="0" w:space="0" w:color="auto"/>
        <w:right w:val="none" w:sz="0" w:space="0" w:color="auto"/>
      </w:divBdr>
    </w:div>
    <w:div w:id="1968048644">
      <w:bodyDiv w:val="1"/>
      <w:marLeft w:val="0"/>
      <w:marRight w:val="0"/>
      <w:marTop w:val="0"/>
      <w:marBottom w:val="0"/>
      <w:divBdr>
        <w:top w:val="none" w:sz="0" w:space="0" w:color="auto"/>
        <w:left w:val="none" w:sz="0" w:space="0" w:color="auto"/>
        <w:bottom w:val="none" w:sz="0" w:space="0" w:color="auto"/>
        <w:right w:val="none" w:sz="0" w:space="0" w:color="auto"/>
      </w:divBdr>
    </w:div>
    <w:div w:id="196884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BE384-E9B7-44CD-9811-21252170F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7640</Words>
  <Characters>43554</Characters>
  <Application>Microsoft Office Word</Application>
  <DocSecurity>0</DocSecurity>
  <Lines>362</Lines>
  <Paragraphs>102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1</vt:lpstr>
      <vt:lpstr>1</vt:lpstr>
    </vt:vector>
  </TitlesOfParts>
  <Company>Novartis</Company>
  <LinksUpToDate>false</LinksUpToDate>
  <CharactersWithSpaces>51092</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VYBOCSI1</dc:creator>
  <cp:keywords/>
  <cp:lastModifiedBy> </cp:lastModifiedBy>
  <cp:revision>3</cp:revision>
  <cp:lastPrinted>2013-09-11T08:04:00Z</cp:lastPrinted>
  <dcterms:created xsi:type="dcterms:W3CDTF">2016-01-20T05:29:00Z</dcterms:created>
  <dcterms:modified xsi:type="dcterms:W3CDTF">2016-01-20T06:50:00Z</dcterms:modified>
</cp:coreProperties>
</file>