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2EB" w:rsidRPr="006E1548" w:rsidRDefault="000322EB" w:rsidP="000322EB">
      <w:pPr>
        <w:tabs>
          <w:tab w:val="clear" w:pos="567"/>
        </w:tabs>
        <w:spacing w:line="240" w:lineRule="auto"/>
        <w:jc w:val="center"/>
        <w:rPr>
          <w:b/>
          <w:szCs w:val="22"/>
          <w:lang w:val="sk-SK"/>
        </w:rPr>
      </w:pPr>
      <w:r w:rsidRPr="006E1548">
        <w:rPr>
          <w:b/>
          <w:caps/>
          <w:noProof/>
          <w:szCs w:val="22"/>
          <w:lang w:val="sk-SK"/>
        </w:rPr>
        <w:t>Súhrn charakteristických vlastností lieku</w:t>
      </w:r>
    </w:p>
    <w:p w:rsidR="000322EB" w:rsidRPr="006E1548" w:rsidRDefault="000322EB" w:rsidP="000322EB">
      <w:pPr>
        <w:jc w:val="both"/>
        <w:rPr>
          <w:b/>
          <w:szCs w:val="22"/>
          <w:lang w:val="sk-SK"/>
        </w:rPr>
      </w:pPr>
    </w:p>
    <w:p w:rsidR="000322EB" w:rsidRPr="006E1548" w:rsidRDefault="000322EB" w:rsidP="000322EB">
      <w:pPr>
        <w:jc w:val="both"/>
        <w:rPr>
          <w:b/>
          <w:szCs w:val="22"/>
          <w:lang w:val="sk-SK"/>
        </w:rPr>
      </w:pPr>
    </w:p>
    <w:p w:rsidR="000322EB" w:rsidRPr="006E1548" w:rsidRDefault="000322EB" w:rsidP="000322EB">
      <w:pPr>
        <w:jc w:val="both"/>
        <w:rPr>
          <w:szCs w:val="22"/>
          <w:lang w:val="sk-SK"/>
        </w:rPr>
      </w:pPr>
      <w:r w:rsidRPr="006E1548">
        <w:rPr>
          <w:b/>
          <w:szCs w:val="22"/>
          <w:lang w:val="sk-SK"/>
        </w:rPr>
        <w:t>1.</w:t>
      </w:r>
      <w:r w:rsidRPr="006E1548">
        <w:rPr>
          <w:b/>
          <w:szCs w:val="22"/>
          <w:lang w:val="sk-SK"/>
        </w:rPr>
        <w:tab/>
        <w:t>NÁZOV LIEKU</w:t>
      </w:r>
    </w:p>
    <w:p w:rsidR="000322EB" w:rsidRPr="006E1548" w:rsidRDefault="000322EB" w:rsidP="000322EB">
      <w:pPr>
        <w:tabs>
          <w:tab w:val="clear" w:pos="567"/>
        </w:tabs>
        <w:spacing w:line="240" w:lineRule="auto"/>
        <w:ind w:left="567" w:hanging="567"/>
        <w:rPr>
          <w:szCs w:val="22"/>
          <w:lang w:val="sk-SK"/>
        </w:rPr>
      </w:pPr>
    </w:p>
    <w:p w:rsidR="000322EB" w:rsidRPr="006E1548" w:rsidRDefault="00706764" w:rsidP="000322EB">
      <w:pPr>
        <w:rPr>
          <w:szCs w:val="22"/>
          <w:lang w:val="sk-SK"/>
        </w:rPr>
      </w:pPr>
      <w:r w:rsidRPr="006E1548">
        <w:rPr>
          <w:szCs w:val="22"/>
          <w:lang w:val="sk-SK"/>
        </w:rPr>
        <w:t>Prestilol</w:t>
      </w:r>
      <w:r w:rsidR="000322EB" w:rsidRPr="006E1548">
        <w:rPr>
          <w:szCs w:val="22"/>
          <w:lang w:val="sk-SK"/>
        </w:rPr>
        <w:t xml:space="preserve"> </w:t>
      </w:r>
      <w:r w:rsidR="00463771" w:rsidRPr="006E1548">
        <w:rPr>
          <w:szCs w:val="22"/>
          <w:lang w:val="sk-SK"/>
        </w:rPr>
        <w:t>10</w:t>
      </w:r>
      <w:r w:rsidR="000E2570" w:rsidRPr="006E1548">
        <w:rPr>
          <w:szCs w:val="22"/>
          <w:lang w:val="sk-SK"/>
        </w:rPr>
        <w:t xml:space="preserve"> </w:t>
      </w:r>
      <w:r w:rsidR="000322EB" w:rsidRPr="006E1548">
        <w:rPr>
          <w:szCs w:val="22"/>
          <w:lang w:val="sk-SK"/>
        </w:rPr>
        <w:t>mg</w:t>
      </w:r>
      <w:r w:rsidR="00463771" w:rsidRPr="006E1548">
        <w:rPr>
          <w:szCs w:val="22"/>
          <w:lang w:val="sk-SK"/>
        </w:rPr>
        <w:t>/</w:t>
      </w:r>
      <w:r w:rsidR="00FB31A6" w:rsidRPr="006E1548">
        <w:rPr>
          <w:szCs w:val="22"/>
          <w:lang w:val="sk-SK"/>
        </w:rPr>
        <w:t>10</w:t>
      </w:r>
      <w:r w:rsidR="000E2570" w:rsidRPr="006E1548">
        <w:rPr>
          <w:szCs w:val="22"/>
          <w:lang w:val="sk-SK"/>
        </w:rPr>
        <w:t xml:space="preserve"> mg</w:t>
      </w:r>
    </w:p>
    <w:p w:rsidR="000322EB" w:rsidRPr="006E1548" w:rsidRDefault="000322EB" w:rsidP="000322EB">
      <w:pPr>
        <w:rPr>
          <w:szCs w:val="22"/>
          <w:lang w:val="sk-SK"/>
        </w:rPr>
      </w:pPr>
      <w:r w:rsidRPr="006E1548">
        <w:rPr>
          <w:szCs w:val="22"/>
          <w:lang w:val="sk-SK"/>
        </w:rPr>
        <w:t>filmom obalené tablety</w:t>
      </w:r>
    </w:p>
    <w:p w:rsidR="000322EB" w:rsidRPr="006E1548" w:rsidRDefault="000322EB" w:rsidP="000322EB">
      <w:pPr>
        <w:rPr>
          <w:szCs w:val="22"/>
          <w:lang w:val="sk-SK"/>
        </w:rPr>
      </w:pPr>
    </w:p>
    <w:p w:rsidR="000322EB" w:rsidRPr="006E1548" w:rsidRDefault="000322EB" w:rsidP="000322EB">
      <w:pPr>
        <w:rPr>
          <w:szCs w:val="22"/>
          <w:lang w:val="sk-SK"/>
        </w:rPr>
      </w:pPr>
    </w:p>
    <w:p w:rsidR="000322EB" w:rsidRPr="006E1548" w:rsidRDefault="000322EB" w:rsidP="000322EB">
      <w:pPr>
        <w:rPr>
          <w:szCs w:val="22"/>
          <w:lang w:val="sk-SK"/>
        </w:rPr>
      </w:pPr>
      <w:r w:rsidRPr="006E1548">
        <w:rPr>
          <w:b/>
          <w:szCs w:val="22"/>
          <w:lang w:val="sk-SK"/>
        </w:rPr>
        <w:t>2.</w:t>
      </w:r>
      <w:r w:rsidRPr="006E1548">
        <w:rPr>
          <w:b/>
          <w:szCs w:val="22"/>
          <w:lang w:val="sk-SK"/>
        </w:rPr>
        <w:tab/>
        <w:t>KVALITATÍVNE A KVANTITATÍVNE ZLOŽENIE</w:t>
      </w:r>
    </w:p>
    <w:p w:rsidR="000322EB" w:rsidRPr="006E1548" w:rsidRDefault="000322EB" w:rsidP="000322EB">
      <w:pPr>
        <w:tabs>
          <w:tab w:val="clear" w:pos="567"/>
        </w:tabs>
        <w:spacing w:line="240" w:lineRule="auto"/>
        <w:rPr>
          <w:i/>
          <w:szCs w:val="22"/>
          <w:lang w:val="sk-SK"/>
        </w:rPr>
      </w:pPr>
    </w:p>
    <w:p w:rsidR="00F51449" w:rsidRPr="006E1548" w:rsidRDefault="000E2570" w:rsidP="00D71B2D">
      <w:pPr>
        <w:rPr>
          <w:szCs w:val="22"/>
          <w:lang w:val="sk-SK"/>
        </w:rPr>
      </w:pPr>
      <w:r w:rsidRPr="006E1548">
        <w:rPr>
          <w:szCs w:val="22"/>
          <w:lang w:val="sk-SK"/>
        </w:rPr>
        <w:t>Jedna</w:t>
      </w:r>
      <w:r w:rsidR="000322EB" w:rsidRPr="006E1548">
        <w:rPr>
          <w:szCs w:val="22"/>
          <w:lang w:val="sk-SK"/>
        </w:rPr>
        <w:t xml:space="preserve"> filmom obalená tabl</w:t>
      </w:r>
      <w:r w:rsidRPr="006E1548">
        <w:rPr>
          <w:szCs w:val="22"/>
          <w:lang w:val="sk-SK"/>
        </w:rPr>
        <w:t xml:space="preserve">eta obsahuje </w:t>
      </w:r>
      <w:r w:rsidR="00463771" w:rsidRPr="006E1548">
        <w:rPr>
          <w:szCs w:val="22"/>
          <w:lang w:val="sk-SK"/>
        </w:rPr>
        <w:t>10</w:t>
      </w:r>
      <w:r w:rsidR="00D71B2D" w:rsidRPr="006E1548">
        <w:rPr>
          <w:szCs w:val="22"/>
          <w:lang w:val="sk-SK"/>
        </w:rPr>
        <w:t xml:space="preserve"> mg bisoprololiumfumará</w:t>
      </w:r>
      <w:r w:rsidR="00276D52" w:rsidRPr="006E1548">
        <w:rPr>
          <w:szCs w:val="22"/>
          <w:lang w:val="sk-SK"/>
        </w:rPr>
        <w:t xml:space="preserve">tu (množstvo zodpovedajúce </w:t>
      </w:r>
      <w:r w:rsidR="00463771" w:rsidRPr="006E1548">
        <w:rPr>
          <w:szCs w:val="22"/>
          <w:lang w:val="sk-SK"/>
        </w:rPr>
        <w:t>8,49</w:t>
      </w:r>
      <w:r w:rsidR="00276D52" w:rsidRPr="006E1548">
        <w:rPr>
          <w:szCs w:val="22"/>
          <w:lang w:val="sk-SK"/>
        </w:rPr>
        <w:t> </w:t>
      </w:r>
      <w:r w:rsidR="00D71B2D" w:rsidRPr="006E1548">
        <w:rPr>
          <w:szCs w:val="22"/>
          <w:lang w:val="sk-SK"/>
        </w:rPr>
        <w:t xml:space="preserve">mg bisoprololu) a </w:t>
      </w:r>
      <w:r w:rsidR="00FB31A6" w:rsidRPr="006E1548">
        <w:rPr>
          <w:szCs w:val="22"/>
          <w:lang w:val="sk-SK"/>
        </w:rPr>
        <w:t>10</w:t>
      </w:r>
      <w:r w:rsidR="00D71B2D" w:rsidRPr="006E1548">
        <w:rPr>
          <w:szCs w:val="22"/>
          <w:lang w:val="sk-SK"/>
        </w:rPr>
        <w:t xml:space="preserve"> mg perindoprilu arginínu (množstvo zodpovedajúce </w:t>
      </w:r>
      <w:r w:rsidR="00FB31A6" w:rsidRPr="006E1548">
        <w:rPr>
          <w:szCs w:val="22"/>
          <w:lang w:val="sk-SK"/>
        </w:rPr>
        <w:t>6,790</w:t>
      </w:r>
      <w:r w:rsidR="00D71B2D" w:rsidRPr="006E1548">
        <w:rPr>
          <w:szCs w:val="22"/>
          <w:lang w:val="sk-SK"/>
        </w:rPr>
        <w:t xml:space="preserve"> mg perindoprilu).</w:t>
      </w:r>
    </w:p>
    <w:p w:rsidR="00F51449" w:rsidRPr="006E1548" w:rsidRDefault="00F51449" w:rsidP="000322EB">
      <w:pPr>
        <w:rPr>
          <w:szCs w:val="22"/>
          <w:lang w:val="sk-SK"/>
        </w:rPr>
      </w:pPr>
    </w:p>
    <w:p w:rsidR="000322EB" w:rsidRPr="006E1548" w:rsidRDefault="000322EB" w:rsidP="000322EB">
      <w:pPr>
        <w:rPr>
          <w:szCs w:val="22"/>
          <w:lang w:val="sk-SK"/>
        </w:rPr>
      </w:pPr>
      <w:r w:rsidRPr="006E1548">
        <w:rPr>
          <w:szCs w:val="22"/>
          <w:lang w:val="sk-SK"/>
        </w:rPr>
        <w:t>Úplný zoznam pomocných látok, pozri časť 6.1.</w:t>
      </w:r>
    </w:p>
    <w:p w:rsidR="000322EB" w:rsidRPr="006E1548" w:rsidRDefault="000322EB" w:rsidP="000322EB">
      <w:pPr>
        <w:rPr>
          <w:szCs w:val="22"/>
          <w:lang w:val="sk-SK"/>
        </w:rPr>
      </w:pPr>
    </w:p>
    <w:p w:rsidR="000322EB" w:rsidRPr="006E1548" w:rsidRDefault="000322EB" w:rsidP="000322EB">
      <w:pPr>
        <w:tabs>
          <w:tab w:val="clear" w:pos="567"/>
        </w:tabs>
        <w:spacing w:line="240" w:lineRule="auto"/>
        <w:rPr>
          <w:szCs w:val="22"/>
          <w:lang w:val="sk-SK"/>
        </w:rPr>
      </w:pPr>
    </w:p>
    <w:p w:rsidR="000322EB" w:rsidRPr="006E1548" w:rsidRDefault="000322EB" w:rsidP="000322EB">
      <w:pPr>
        <w:rPr>
          <w:caps/>
          <w:szCs w:val="22"/>
          <w:lang w:val="sk-SK"/>
        </w:rPr>
      </w:pPr>
      <w:r w:rsidRPr="006E1548">
        <w:rPr>
          <w:b/>
          <w:szCs w:val="22"/>
          <w:lang w:val="sk-SK"/>
        </w:rPr>
        <w:t>3.</w:t>
      </w:r>
      <w:r w:rsidRPr="006E1548">
        <w:rPr>
          <w:b/>
          <w:szCs w:val="22"/>
          <w:lang w:val="sk-SK"/>
        </w:rPr>
        <w:tab/>
        <w:t>LIEKOVÁ FORMA</w:t>
      </w:r>
    </w:p>
    <w:p w:rsidR="000322EB" w:rsidRPr="006E1548" w:rsidRDefault="000322EB" w:rsidP="000322EB">
      <w:pPr>
        <w:tabs>
          <w:tab w:val="clear" w:pos="567"/>
        </w:tabs>
        <w:spacing w:line="240" w:lineRule="auto"/>
        <w:rPr>
          <w:szCs w:val="22"/>
          <w:lang w:val="sk-SK"/>
        </w:rPr>
      </w:pPr>
    </w:p>
    <w:p w:rsidR="000322EB" w:rsidRPr="006E1548" w:rsidRDefault="000322EB" w:rsidP="000322EB">
      <w:pPr>
        <w:rPr>
          <w:szCs w:val="22"/>
          <w:lang w:val="sk-SK"/>
        </w:rPr>
      </w:pPr>
      <w:r w:rsidRPr="006E1548">
        <w:rPr>
          <w:szCs w:val="22"/>
          <w:lang w:val="sk-SK"/>
        </w:rPr>
        <w:t>Filmom obalená tableta.</w:t>
      </w:r>
    </w:p>
    <w:p w:rsidR="000322EB" w:rsidRPr="006E1548" w:rsidRDefault="000322EB" w:rsidP="000322EB">
      <w:pPr>
        <w:rPr>
          <w:szCs w:val="22"/>
          <w:lang w:val="sk-SK"/>
        </w:rPr>
      </w:pPr>
    </w:p>
    <w:p w:rsidR="000322EB" w:rsidRPr="006E1548" w:rsidRDefault="00AD7879" w:rsidP="000322EB">
      <w:pPr>
        <w:rPr>
          <w:szCs w:val="22"/>
          <w:lang w:val="sk-SK"/>
        </w:rPr>
      </w:pPr>
      <w:r w:rsidRPr="006E1548">
        <w:rPr>
          <w:szCs w:val="22"/>
          <w:lang w:val="sk-SK"/>
        </w:rPr>
        <w:t>Ružovo</w:t>
      </w:r>
      <w:r w:rsidR="00001353" w:rsidRPr="006E1548">
        <w:rPr>
          <w:szCs w:val="22"/>
          <w:lang w:val="sk-SK"/>
        </w:rPr>
        <w:t>-</w:t>
      </w:r>
      <w:r w:rsidR="00D71B2D" w:rsidRPr="006E1548">
        <w:rPr>
          <w:szCs w:val="22"/>
          <w:lang w:val="sk-SK"/>
        </w:rPr>
        <w:t xml:space="preserve">béžová </w:t>
      </w:r>
      <w:r w:rsidR="00246758" w:rsidRPr="006E1548">
        <w:rPr>
          <w:szCs w:val="22"/>
          <w:lang w:val="sk-SK"/>
        </w:rPr>
        <w:t>podlhovastá</w:t>
      </w:r>
      <w:r w:rsidR="00D71B2D" w:rsidRPr="006E1548">
        <w:rPr>
          <w:szCs w:val="22"/>
          <w:lang w:val="sk-SK"/>
        </w:rPr>
        <w:t xml:space="preserve"> dvoj</w:t>
      </w:r>
      <w:r w:rsidR="001D26D5" w:rsidRPr="006E1548">
        <w:rPr>
          <w:szCs w:val="22"/>
          <w:lang w:val="sk-SK"/>
        </w:rPr>
        <w:t>vrstvová filmom obalená tableta, 10 mm dlhá a 5,7 mm široká s</w:t>
      </w:r>
      <w:r w:rsidR="00D71B2D" w:rsidRPr="006E1548">
        <w:rPr>
          <w:szCs w:val="22"/>
          <w:lang w:val="sk-SK"/>
        </w:rPr>
        <w:t xml:space="preserve"> vyrazeným </w:t>
      </w:r>
      <w:r w:rsidR="000322EB" w:rsidRPr="006E1548">
        <w:rPr>
          <w:noProof/>
          <w:position w:val="-12"/>
          <w:szCs w:val="22"/>
          <w:lang w:val="sk-SK" w:eastAsia="sk-SK"/>
        </w:rPr>
        <w:drawing>
          <wp:inline distT="0" distB="0" distL="0" distR="0" wp14:anchorId="4369DDF0" wp14:editId="4F740891">
            <wp:extent cx="276225" cy="209550"/>
            <wp:effectExtent l="0" t="0" r="9525"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0322EB" w:rsidRPr="006E1548">
        <w:rPr>
          <w:szCs w:val="22"/>
          <w:lang w:val="sk-SK"/>
        </w:rPr>
        <w:t xml:space="preserve"> na </w:t>
      </w:r>
      <w:r w:rsidR="00463771" w:rsidRPr="006E1548">
        <w:rPr>
          <w:szCs w:val="22"/>
          <w:lang w:val="sk-SK"/>
        </w:rPr>
        <w:t>jednej strane a 10/</w:t>
      </w:r>
      <w:r w:rsidR="001D26D5" w:rsidRPr="006E1548">
        <w:rPr>
          <w:szCs w:val="22"/>
          <w:lang w:val="sk-SK"/>
        </w:rPr>
        <w:t>10</w:t>
      </w:r>
      <w:r w:rsidR="00D71B2D" w:rsidRPr="006E1548">
        <w:rPr>
          <w:szCs w:val="22"/>
          <w:lang w:val="sk-SK"/>
        </w:rPr>
        <w:t xml:space="preserve"> na</w:t>
      </w:r>
      <w:r w:rsidR="003A3371" w:rsidRPr="006E1548">
        <w:rPr>
          <w:szCs w:val="22"/>
          <w:lang w:val="sk-SK"/>
        </w:rPr>
        <w:t xml:space="preserve"> </w:t>
      </w:r>
      <w:r w:rsidR="000322EB" w:rsidRPr="006E1548">
        <w:rPr>
          <w:szCs w:val="22"/>
          <w:lang w:val="sk-SK"/>
        </w:rPr>
        <w:t>druhej strane.</w:t>
      </w:r>
    </w:p>
    <w:p w:rsidR="00D71B2D" w:rsidRPr="006E1548" w:rsidRDefault="00D71B2D" w:rsidP="000322EB">
      <w:pPr>
        <w:rPr>
          <w:szCs w:val="22"/>
          <w:lang w:val="sk-SK"/>
        </w:rPr>
      </w:pPr>
    </w:p>
    <w:p w:rsidR="000322EB" w:rsidRPr="006E1548" w:rsidRDefault="000322EB" w:rsidP="000322EB">
      <w:pPr>
        <w:tabs>
          <w:tab w:val="clear" w:pos="567"/>
        </w:tabs>
        <w:spacing w:line="240" w:lineRule="auto"/>
        <w:rPr>
          <w:szCs w:val="22"/>
          <w:lang w:val="sk-SK"/>
        </w:rPr>
      </w:pPr>
    </w:p>
    <w:p w:rsidR="000322EB" w:rsidRPr="006E1548" w:rsidRDefault="000322EB" w:rsidP="000322EB">
      <w:pPr>
        <w:rPr>
          <w:caps/>
          <w:szCs w:val="22"/>
          <w:lang w:val="sk-SK"/>
        </w:rPr>
      </w:pPr>
      <w:r w:rsidRPr="006E1548">
        <w:rPr>
          <w:b/>
          <w:caps/>
          <w:szCs w:val="22"/>
          <w:lang w:val="sk-SK"/>
        </w:rPr>
        <w:t>4.</w:t>
      </w:r>
      <w:r w:rsidRPr="006E1548">
        <w:rPr>
          <w:b/>
          <w:caps/>
          <w:szCs w:val="22"/>
          <w:lang w:val="sk-SK"/>
        </w:rPr>
        <w:tab/>
        <w:t>KLINICKÉ ÚDAJE</w:t>
      </w:r>
    </w:p>
    <w:p w:rsidR="000322EB" w:rsidRPr="006E1548" w:rsidRDefault="000322EB" w:rsidP="000322EB">
      <w:pPr>
        <w:tabs>
          <w:tab w:val="clear" w:pos="567"/>
        </w:tabs>
        <w:spacing w:line="240" w:lineRule="auto"/>
        <w:rPr>
          <w:szCs w:val="22"/>
          <w:lang w:val="sk-SK"/>
        </w:rPr>
      </w:pPr>
    </w:p>
    <w:p w:rsidR="000322EB" w:rsidRPr="006E1548" w:rsidRDefault="000322EB" w:rsidP="000322EB">
      <w:pPr>
        <w:rPr>
          <w:szCs w:val="22"/>
          <w:lang w:val="sk-SK"/>
        </w:rPr>
      </w:pPr>
      <w:r w:rsidRPr="006E1548">
        <w:rPr>
          <w:b/>
          <w:szCs w:val="22"/>
          <w:lang w:val="sk-SK"/>
        </w:rPr>
        <w:t>4.1</w:t>
      </w:r>
      <w:r w:rsidRPr="006E1548">
        <w:rPr>
          <w:b/>
          <w:szCs w:val="22"/>
          <w:lang w:val="sk-SK"/>
        </w:rPr>
        <w:tab/>
        <w:t>Terapeutické indikácie</w:t>
      </w:r>
    </w:p>
    <w:p w:rsidR="00F46833" w:rsidRPr="006E1548" w:rsidRDefault="00F46833" w:rsidP="000322EB">
      <w:pPr>
        <w:rPr>
          <w:szCs w:val="22"/>
          <w:lang w:val="sk-SK"/>
        </w:rPr>
      </w:pPr>
    </w:p>
    <w:p w:rsidR="00843F13" w:rsidRPr="006E1548" w:rsidRDefault="00843F13" w:rsidP="00843F13">
      <w:pPr>
        <w:rPr>
          <w:szCs w:val="22"/>
          <w:lang w:val="sk-SK"/>
        </w:rPr>
      </w:pPr>
      <w:r w:rsidRPr="006E1548">
        <w:rPr>
          <w:szCs w:val="22"/>
          <w:lang w:val="sk-SK"/>
        </w:rPr>
        <w:t>Prestilol je indikovaný ako substitučná liečba na liečbu hypertenzie a/alebo stabilnej ischemickej choroby srdca (</w:t>
      </w:r>
      <w:r w:rsidR="001E1EAA" w:rsidRPr="006E1548">
        <w:rPr>
          <w:szCs w:val="22"/>
          <w:lang w:val="sk-SK"/>
        </w:rPr>
        <w:t xml:space="preserve">u </w:t>
      </w:r>
      <w:r w:rsidRPr="006E1548">
        <w:rPr>
          <w:szCs w:val="22"/>
          <w:lang w:val="sk-SK"/>
        </w:rPr>
        <w:t>paciento</w:t>
      </w:r>
      <w:r w:rsidR="001E1EAA" w:rsidRPr="006E1548">
        <w:rPr>
          <w:szCs w:val="22"/>
          <w:lang w:val="sk-SK"/>
        </w:rPr>
        <w:t>v</w:t>
      </w:r>
      <w:r w:rsidRPr="006E1548">
        <w:rPr>
          <w:szCs w:val="22"/>
          <w:lang w:val="sk-SK"/>
        </w:rPr>
        <w:t xml:space="preserve"> s anamnézou infarktu myokardu a/alebo revaskularizáciou) </w:t>
      </w:r>
      <w:r w:rsidR="001E1EAA" w:rsidRPr="006E1548">
        <w:rPr>
          <w:szCs w:val="22"/>
          <w:lang w:val="sk-SK"/>
        </w:rPr>
        <w:t xml:space="preserve">u </w:t>
      </w:r>
      <w:r w:rsidRPr="006E1548">
        <w:rPr>
          <w:szCs w:val="22"/>
          <w:lang w:val="sk-SK"/>
        </w:rPr>
        <w:t>dospelý</w:t>
      </w:r>
      <w:r w:rsidR="001E1EAA" w:rsidRPr="006E1548">
        <w:rPr>
          <w:szCs w:val="22"/>
          <w:lang w:val="sk-SK"/>
        </w:rPr>
        <w:t>ch</w:t>
      </w:r>
      <w:r w:rsidRPr="006E1548">
        <w:rPr>
          <w:szCs w:val="22"/>
          <w:lang w:val="sk-SK"/>
        </w:rPr>
        <w:t xml:space="preserve"> paciento</w:t>
      </w:r>
      <w:r w:rsidR="001E1EAA" w:rsidRPr="006E1548">
        <w:rPr>
          <w:szCs w:val="22"/>
          <w:lang w:val="sk-SK"/>
        </w:rPr>
        <w:t>v</w:t>
      </w:r>
      <w:r w:rsidRPr="006E1548">
        <w:rPr>
          <w:szCs w:val="22"/>
          <w:lang w:val="sk-SK"/>
        </w:rPr>
        <w:t xml:space="preserve"> </w:t>
      </w:r>
      <w:r w:rsidR="00F22DDB" w:rsidRPr="006E1548">
        <w:rPr>
          <w:szCs w:val="22"/>
          <w:lang w:val="sk-SK"/>
        </w:rPr>
        <w:t>adekvátne</w:t>
      </w:r>
      <w:r w:rsidRPr="006E1548">
        <w:rPr>
          <w:szCs w:val="22"/>
          <w:lang w:val="sk-SK"/>
        </w:rPr>
        <w:t xml:space="preserve"> kontrolovaný</w:t>
      </w:r>
      <w:r w:rsidR="00C056FF" w:rsidRPr="006E1548">
        <w:rPr>
          <w:szCs w:val="22"/>
          <w:lang w:val="sk-SK"/>
        </w:rPr>
        <w:t>ch</w:t>
      </w:r>
      <w:r w:rsidRPr="006E1548">
        <w:rPr>
          <w:szCs w:val="22"/>
          <w:lang w:val="sk-SK"/>
        </w:rPr>
        <w:t xml:space="preserve"> bisoprololom a perindoprilom podávaných súbežne v rovnakých dávkach.</w:t>
      </w:r>
    </w:p>
    <w:p w:rsidR="000322EB" w:rsidRPr="006E1548" w:rsidRDefault="000322EB" w:rsidP="000322EB">
      <w:pPr>
        <w:tabs>
          <w:tab w:val="clear" w:pos="567"/>
        </w:tabs>
        <w:spacing w:line="240" w:lineRule="auto"/>
        <w:rPr>
          <w:szCs w:val="22"/>
          <w:lang w:val="sk-SK"/>
        </w:rPr>
      </w:pPr>
    </w:p>
    <w:p w:rsidR="000322EB" w:rsidRPr="006E1548" w:rsidRDefault="000322EB" w:rsidP="000322EB">
      <w:pPr>
        <w:rPr>
          <w:szCs w:val="22"/>
          <w:lang w:val="sk-SK"/>
        </w:rPr>
      </w:pPr>
      <w:r w:rsidRPr="006E1548">
        <w:rPr>
          <w:b/>
          <w:szCs w:val="22"/>
          <w:lang w:val="sk-SK"/>
        </w:rPr>
        <w:t>4.2</w:t>
      </w:r>
      <w:r w:rsidRPr="006E1548">
        <w:rPr>
          <w:b/>
          <w:szCs w:val="22"/>
          <w:lang w:val="sk-SK"/>
        </w:rPr>
        <w:tab/>
        <w:t>Dávkovanie a spôsob podávania</w:t>
      </w:r>
    </w:p>
    <w:p w:rsidR="000322EB" w:rsidRPr="006E1548" w:rsidRDefault="000322EB" w:rsidP="000322EB">
      <w:pPr>
        <w:rPr>
          <w:szCs w:val="22"/>
          <w:lang w:val="sk-SK"/>
        </w:rPr>
      </w:pPr>
    </w:p>
    <w:p w:rsidR="000322EB" w:rsidRPr="006E1548" w:rsidRDefault="00CD0DB0" w:rsidP="000322EB">
      <w:pPr>
        <w:rPr>
          <w:bCs/>
          <w:szCs w:val="22"/>
          <w:u w:val="single"/>
          <w:lang w:val="sk-SK"/>
        </w:rPr>
      </w:pPr>
      <w:r w:rsidRPr="006E1548">
        <w:rPr>
          <w:bCs/>
          <w:szCs w:val="22"/>
          <w:u w:val="single"/>
          <w:lang w:val="sk-SK"/>
        </w:rPr>
        <w:t>Dávkovanie</w:t>
      </w:r>
    </w:p>
    <w:p w:rsidR="000322EB" w:rsidRPr="006E1548" w:rsidRDefault="000322EB" w:rsidP="000322EB">
      <w:pPr>
        <w:rPr>
          <w:bCs/>
          <w:szCs w:val="22"/>
          <w:lang w:val="sk-SK"/>
        </w:rPr>
      </w:pPr>
    </w:p>
    <w:p w:rsidR="000322EB" w:rsidRPr="006E1548" w:rsidRDefault="00D9528C" w:rsidP="000322EB">
      <w:pPr>
        <w:rPr>
          <w:bCs/>
          <w:szCs w:val="22"/>
          <w:lang w:val="sk-SK"/>
        </w:rPr>
      </w:pPr>
      <w:r w:rsidRPr="006E1548">
        <w:rPr>
          <w:bCs/>
          <w:szCs w:val="22"/>
          <w:lang w:val="sk-SK"/>
        </w:rPr>
        <w:t>Obvyklé</w:t>
      </w:r>
      <w:r w:rsidR="004F0BCE" w:rsidRPr="006E1548">
        <w:rPr>
          <w:bCs/>
          <w:szCs w:val="22"/>
          <w:lang w:val="sk-SK"/>
        </w:rPr>
        <w:t xml:space="preserve"> dávk</w:t>
      </w:r>
      <w:r w:rsidRPr="006E1548">
        <w:rPr>
          <w:bCs/>
          <w:szCs w:val="22"/>
          <w:lang w:val="sk-SK"/>
        </w:rPr>
        <w:t>ovanie je jedna tableta jedenkrát denne</w:t>
      </w:r>
      <w:r w:rsidR="000322EB" w:rsidRPr="006E1548">
        <w:rPr>
          <w:bCs/>
          <w:szCs w:val="22"/>
          <w:lang w:val="sk-SK"/>
        </w:rPr>
        <w:t>.</w:t>
      </w:r>
    </w:p>
    <w:p w:rsidR="000322EB" w:rsidRPr="006E1548" w:rsidRDefault="007D44ED" w:rsidP="000322EB">
      <w:pPr>
        <w:rPr>
          <w:szCs w:val="22"/>
          <w:lang w:val="sk-SK"/>
        </w:rPr>
      </w:pPr>
      <w:r w:rsidRPr="006E1548">
        <w:rPr>
          <w:szCs w:val="22"/>
          <w:lang w:val="sk-SK"/>
        </w:rPr>
        <w:t>Pacienti majú byť stabilizovaní s bisoprololom a</w:t>
      </w:r>
      <w:r w:rsidR="001D54E9" w:rsidRPr="006E1548">
        <w:rPr>
          <w:szCs w:val="22"/>
          <w:lang w:val="sk-SK"/>
        </w:rPr>
        <w:t> </w:t>
      </w:r>
      <w:r w:rsidRPr="006E1548">
        <w:rPr>
          <w:szCs w:val="22"/>
          <w:lang w:val="sk-SK"/>
        </w:rPr>
        <w:t>perindopri</w:t>
      </w:r>
      <w:r w:rsidR="001D54E9" w:rsidRPr="006E1548">
        <w:rPr>
          <w:szCs w:val="22"/>
          <w:lang w:val="sk-SK"/>
        </w:rPr>
        <w:t>lom v rovnakých dávkach najmenej 4 týždne. Kombinácia fixnej dávky nie je vhodná na začiatočnú liečbu.</w:t>
      </w:r>
    </w:p>
    <w:p w:rsidR="00D9528C" w:rsidRPr="006E1548" w:rsidRDefault="00D9528C" w:rsidP="000322EB">
      <w:pPr>
        <w:rPr>
          <w:szCs w:val="22"/>
          <w:lang w:val="sk-SK"/>
        </w:rPr>
      </w:pPr>
    </w:p>
    <w:p w:rsidR="00D9528C" w:rsidRPr="006E1548" w:rsidRDefault="00D9528C" w:rsidP="000322EB">
      <w:pPr>
        <w:rPr>
          <w:szCs w:val="22"/>
          <w:lang w:val="sk-SK"/>
        </w:rPr>
      </w:pPr>
      <w:r w:rsidRPr="006E1548">
        <w:rPr>
          <w:szCs w:val="22"/>
          <w:lang w:val="sk-SK"/>
        </w:rPr>
        <w:t>Ak sa vyžaduje zmena dávkovania</w:t>
      </w:r>
      <w:r w:rsidR="00E6744F" w:rsidRPr="006E1548">
        <w:rPr>
          <w:szCs w:val="22"/>
          <w:lang w:val="sk-SK"/>
        </w:rPr>
        <w:t>, titrácia sa má vykonať s jednotlivými zložkami.</w:t>
      </w:r>
    </w:p>
    <w:p w:rsidR="000322EB" w:rsidRPr="006E1548" w:rsidRDefault="000322EB" w:rsidP="000322EB">
      <w:pPr>
        <w:rPr>
          <w:szCs w:val="22"/>
          <w:lang w:val="sk-SK"/>
        </w:rPr>
      </w:pPr>
    </w:p>
    <w:p w:rsidR="001D54E9" w:rsidRPr="006E1548" w:rsidRDefault="001D54E9" w:rsidP="000322EB">
      <w:pPr>
        <w:rPr>
          <w:iCs/>
          <w:szCs w:val="22"/>
          <w:u w:val="single"/>
          <w:lang w:val="sk-SK"/>
        </w:rPr>
      </w:pPr>
      <w:r w:rsidRPr="006E1548">
        <w:rPr>
          <w:iCs/>
          <w:szCs w:val="22"/>
          <w:u w:val="single"/>
          <w:lang w:val="sk-SK"/>
        </w:rPr>
        <w:t>Osobitné populácie</w:t>
      </w:r>
    </w:p>
    <w:p w:rsidR="001D54E9" w:rsidRPr="006E1548" w:rsidRDefault="001D54E9" w:rsidP="000322EB">
      <w:pPr>
        <w:rPr>
          <w:i/>
          <w:iCs/>
          <w:szCs w:val="22"/>
          <w:lang w:val="sk-SK"/>
        </w:rPr>
      </w:pPr>
    </w:p>
    <w:p w:rsidR="000322EB" w:rsidRPr="006E1548" w:rsidRDefault="001D54E9" w:rsidP="000322EB">
      <w:pPr>
        <w:rPr>
          <w:i/>
          <w:iCs/>
          <w:szCs w:val="22"/>
          <w:lang w:val="sk-SK"/>
        </w:rPr>
      </w:pPr>
      <w:r w:rsidRPr="006E1548">
        <w:rPr>
          <w:i/>
          <w:iCs/>
          <w:szCs w:val="22"/>
          <w:lang w:val="sk-SK"/>
        </w:rPr>
        <w:t>P</w:t>
      </w:r>
      <w:r w:rsidR="000322EB" w:rsidRPr="006E1548">
        <w:rPr>
          <w:i/>
          <w:iCs/>
          <w:szCs w:val="22"/>
          <w:lang w:val="sk-SK"/>
        </w:rPr>
        <w:t>oruch</w:t>
      </w:r>
      <w:r w:rsidRPr="006E1548">
        <w:rPr>
          <w:i/>
          <w:iCs/>
          <w:szCs w:val="22"/>
          <w:lang w:val="sk-SK"/>
        </w:rPr>
        <w:t>a</w:t>
      </w:r>
      <w:r w:rsidR="000322EB" w:rsidRPr="006E1548">
        <w:rPr>
          <w:i/>
          <w:iCs/>
          <w:szCs w:val="22"/>
          <w:lang w:val="sk-SK"/>
        </w:rPr>
        <w:t xml:space="preserve"> funkcie obličiek</w:t>
      </w:r>
      <w:r w:rsidRPr="006E1548">
        <w:rPr>
          <w:i/>
          <w:iCs/>
          <w:szCs w:val="22"/>
          <w:lang w:val="sk-SK"/>
        </w:rPr>
        <w:t xml:space="preserve"> (pozri časti</w:t>
      </w:r>
      <w:r w:rsidR="00CD0DB0" w:rsidRPr="006E1548">
        <w:rPr>
          <w:i/>
          <w:iCs/>
          <w:szCs w:val="22"/>
          <w:lang w:val="sk-SK"/>
        </w:rPr>
        <w:t xml:space="preserve"> 4.4</w:t>
      </w:r>
      <w:r w:rsidRPr="006E1548">
        <w:rPr>
          <w:i/>
          <w:iCs/>
          <w:szCs w:val="22"/>
          <w:lang w:val="sk-SK"/>
        </w:rPr>
        <w:t xml:space="preserve"> a </w:t>
      </w:r>
      <w:r w:rsidR="002B42BE" w:rsidRPr="006E1548">
        <w:rPr>
          <w:i/>
          <w:iCs/>
          <w:szCs w:val="22"/>
          <w:lang w:val="sk-SK"/>
        </w:rPr>
        <w:t>5</w:t>
      </w:r>
      <w:r w:rsidRPr="006E1548">
        <w:rPr>
          <w:i/>
          <w:iCs/>
          <w:szCs w:val="22"/>
          <w:lang w:val="sk-SK"/>
        </w:rPr>
        <w:t>.2</w:t>
      </w:r>
      <w:r w:rsidR="00CD0DB0" w:rsidRPr="006E1548">
        <w:rPr>
          <w:i/>
          <w:iCs/>
          <w:szCs w:val="22"/>
          <w:lang w:val="sk-SK"/>
        </w:rPr>
        <w:t>)</w:t>
      </w:r>
    </w:p>
    <w:p w:rsidR="00C1054D" w:rsidRPr="006E1548" w:rsidRDefault="00843F13" w:rsidP="00843F13">
      <w:pPr>
        <w:rPr>
          <w:szCs w:val="22"/>
          <w:lang w:val="sk-SK"/>
        </w:rPr>
      </w:pPr>
      <w:r w:rsidRPr="006E1548">
        <w:rPr>
          <w:iCs/>
          <w:szCs w:val="22"/>
          <w:lang w:val="sk-SK"/>
        </w:rPr>
        <w:t xml:space="preserve">Prestilol nie je vhodný pre </w:t>
      </w:r>
      <w:r w:rsidR="001D54E9" w:rsidRPr="006E1548">
        <w:rPr>
          <w:iCs/>
          <w:szCs w:val="22"/>
          <w:lang w:val="sk-SK"/>
        </w:rPr>
        <w:t>pacien</w:t>
      </w:r>
      <w:r w:rsidRPr="006E1548">
        <w:rPr>
          <w:iCs/>
          <w:szCs w:val="22"/>
          <w:lang w:val="sk-SK"/>
        </w:rPr>
        <w:t xml:space="preserve">tov s poruchou funkcie obličiek. U týchto pacientov sa odporúča individuálna </w:t>
      </w:r>
      <w:r w:rsidRPr="006E1548">
        <w:rPr>
          <w:szCs w:val="22"/>
          <w:lang w:val="sk-SK"/>
        </w:rPr>
        <w:t>titrácia dávky s jednotlivými zložkami.</w:t>
      </w:r>
    </w:p>
    <w:p w:rsidR="00FD329C" w:rsidRPr="006E1548" w:rsidRDefault="00FD329C" w:rsidP="00CD0DB0">
      <w:pPr>
        <w:rPr>
          <w:i/>
          <w:szCs w:val="22"/>
          <w:lang w:val="sk-SK"/>
        </w:rPr>
      </w:pPr>
    </w:p>
    <w:p w:rsidR="00C1054D" w:rsidRPr="006E1548" w:rsidRDefault="00C1054D" w:rsidP="00C1054D">
      <w:pPr>
        <w:rPr>
          <w:i/>
          <w:szCs w:val="22"/>
          <w:lang w:val="sk-SK"/>
        </w:rPr>
      </w:pPr>
      <w:r w:rsidRPr="006E1548">
        <w:rPr>
          <w:i/>
          <w:iCs/>
          <w:szCs w:val="22"/>
          <w:lang w:val="sk-SK"/>
        </w:rPr>
        <w:t>Porucha funkcie pečene (pozri časti 4.4 a 5.2)</w:t>
      </w:r>
    </w:p>
    <w:p w:rsidR="00C1054D" w:rsidRPr="006E1548" w:rsidRDefault="00C1054D" w:rsidP="00C1054D">
      <w:pPr>
        <w:rPr>
          <w:szCs w:val="22"/>
          <w:lang w:val="sk-SK"/>
        </w:rPr>
      </w:pPr>
      <w:r w:rsidRPr="006E1548">
        <w:rPr>
          <w:szCs w:val="22"/>
          <w:lang w:val="sk-SK"/>
        </w:rPr>
        <w:t>U</w:t>
      </w:r>
      <w:r w:rsidR="004E3357" w:rsidRPr="006E1548">
        <w:rPr>
          <w:szCs w:val="22"/>
          <w:lang w:val="sk-SK"/>
        </w:rPr>
        <w:t> pacientov s poruchou funkcie pečene nie je potrebná úprava dávkovania.</w:t>
      </w:r>
    </w:p>
    <w:p w:rsidR="00FD329C" w:rsidRPr="006E1548" w:rsidRDefault="00FD329C" w:rsidP="00CD0DB0">
      <w:pPr>
        <w:rPr>
          <w:i/>
          <w:szCs w:val="22"/>
          <w:lang w:val="sk-SK"/>
        </w:rPr>
      </w:pPr>
    </w:p>
    <w:p w:rsidR="00CD0DB0" w:rsidRPr="006E1548" w:rsidRDefault="00CD0DB0" w:rsidP="00CD0DB0">
      <w:pPr>
        <w:rPr>
          <w:i/>
          <w:szCs w:val="22"/>
          <w:lang w:val="sk-SK"/>
        </w:rPr>
      </w:pPr>
      <w:r w:rsidRPr="006E1548">
        <w:rPr>
          <w:i/>
          <w:szCs w:val="22"/>
          <w:lang w:val="sk-SK"/>
        </w:rPr>
        <w:t>Starší ľudia (pozri časti 4.4 a 5.2)</w:t>
      </w:r>
    </w:p>
    <w:p w:rsidR="000322EB" w:rsidRPr="006E1548" w:rsidRDefault="004E3357" w:rsidP="000322EB">
      <w:pPr>
        <w:rPr>
          <w:szCs w:val="22"/>
          <w:lang w:val="sk-SK"/>
        </w:rPr>
      </w:pPr>
      <w:r w:rsidRPr="006E1548">
        <w:rPr>
          <w:szCs w:val="22"/>
          <w:lang w:val="sk-SK"/>
        </w:rPr>
        <w:lastRenderedPageBreak/>
        <w:t>Prestilol sa má podávať podľa funkcie obličiek.</w:t>
      </w:r>
    </w:p>
    <w:p w:rsidR="000322EB" w:rsidRPr="006E1548" w:rsidRDefault="000322EB" w:rsidP="000322EB">
      <w:pPr>
        <w:rPr>
          <w:szCs w:val="22"/>
          <w:lang w:val="sk-SK"/>
        </w:rPr>
      </w:pPr>
    </w:p>
    <w:p w:rsidR="000322EB" w:rsidRPr="006E1548" w:rsidRDefault="000322EB" w:rsidP="000322EB">
      <w:pPr>
        <w:rPr>
          <w:i/>
          <w:szCs w:val="22"/>
          <w:lang w:val="sk-SK"/>
        </w:rPr>
      </w:pPr>
      <w:r w:rsidRPr="006E1548">
        <w:rPr>
          <w:i/>
          <w:szCs w:val="22"/>
          <w:lang w:val="sk-SK"/>
        </w:rPr>
        <w:t>Pediatrická populácia</w:t>
      </w:r>
    </w:p>
    <w:p w:rsidR="000322EB" w:rsidRPr="006E1548" w:rsidRDefault="000322EB" w:rsidP="000322EB">
      <w:pPr>
        <w:rPr>
          <w:szCs w:val="22"/>
          <w:lang w:val="sk-SK"/>
        </w:rPr>
      </w:pPr>
      <w:r w:rsidRPr="006E1548">
        <w:rPr>
          <w:szCs w:val="22"/>
          <w:lang w:val="sk-SK"/>
        </w:rPr>
        <w:t>Bezpečnosť a</w:t>
      </w:r>
      <w:r w:rsidR="00E23041" w:rsidRPr="006E1548">
        <w:rPr>
          <w:szCs w:val="22"/>
          <w:lang w:val="sk-SK"/>
        </w:rPr>
        <w:t> </w:t>
      </w:r>
      <w:r w:rsidRPr="006E1548">
        <w:rPr>
          <w:szCs w:val="22"/>
          <w:lang w:val="sk-SK"/>
        </w:rPr>
        <w:t>úči</w:t>
      </w:r>
      <w:r w:rsidR="004F0BCE" w:rsidRPr="006E1548">
        <w:rPr>
          <w:szCs w:val="22"/>
          <w:lang w:val="sk-SK"/>
        </w:rPr>
        <w:t xml:space="preserve">nnosť </w:t>
      </w:r>
      <w:r w:rsidR="004E3357" w:rsidRPr="006E1548">
        <w:rPr>
          <w:szCs w:val="22"/>
          <w:lang w:val="sk-SK"/>
        </w:rPr>
        <w:t>Prestilolu</w:t>
      </w:r>
      <w:r w:rsidRPr="006E1548">
        <w:rPr>
          <w:szCs w:val="22"/>
          <w:lang w:val="sk-SK"/>
        </w:rPr>
        <w:t xml:space="preserve"> u detí a dospievajúcich neboli stanovené. K dispozícii nie sú žiadne údaje.</w:t>
      </w:r>
      <w:r w:rsidR="00C257E1" w:rsidRPr="006E1548">
        <w:rPr>
          <w:szCs w:val="22"/>
          <w:lang w:val="sk-SK"/>
        </w:rPr>
        <w:t xml:space="preserve"> P</w:t>
      </w:r>
      <w:r w:rsidR="00AD60AA" w:rsidRPr="006E1548">
        <w:rPr>
          <w:szCs w:val="22"/>
          <w:lang w:val="sk-SK"/>
        </w:rPr>
        <w:t xml:space="preserve">oužitie u detí a dospievajúcich </w:t>
      </w:r>
      <w:r w:rsidR="00C257E1" w:rsidRPr="006E1548">
        <w:rPr>
          <w:szCs w:val="22"/>
          <w:lang w:val="sk-SK"/>
        </w:rPr>
        <w:t xml:space="preserve">sa preto </w:t>
      </w:r>
      <w:r w:rsidR="00AD60AA" w:rsidRPr="006E1548">
        <w:rPr>
          <w:szCs w:val="22"/>
          <w:lang w:val="sk-SK"/>
        </w:rPr>
        <w:t>neodporúča.</w:t>
      </w:r>
    </w:p>
    <w:p w:rsidR="000322EB" w:rsidRPr="006E1548" w:rsidRDefault="000322EB" w:rsidP="000322EB">
      <w:pPr>
        <w:rPr>
          <w:szCs w:val="22"/>
          <w:lang w:val="sk-SK"/>
        </w:rPr>
      </w:pPr>
    </w:p>
    <w:p w:rsidR="000322EB" w:rsidRPr="006E1548" w:rsidRDefault="000322EB" w:rsidP="000322EB">
      <w:pPr>
        <w:rPr>
          <w:szCs w:val="22"/>
          <w:u w:val="single"/>
          <w:lang w:val="sk-SK"/>
        </w:rPr>
      </w:pPr>
      <w:r w:rsidRPr="006E1548">
        <w:rPr>
          <w:szCs w:val="22"/>
          <w:u w:val="single"/>
          <w:lang w:val="sk-SK"/>
        </w:rPr>
        <w:t>Spôsob podávania</w:t>
      </w:r>
    </w:p>
    <w:p w:rsidR="004E3357" w:rsidRPr="006E1548" w:rsidRDefault="004E3357" w:rsidP="000322EB">
      <w:pPr>
        <w:rPr>
          <w:szCs w:val="22"/>
          <w:lang w:val="sk-SK"/>
        </w:rPr>
      </w:pPr>
    </w:p>
    <w:p w:rsidR="00AD60AA" w:rsidRPr="006E1548" w:rsidRDefault="004E3357" w:rsidP="000322EB">
      <w:pPr>
        <w:rPr>
          <w:szCs w:val="22"/>
          <w:lang w:val="sk-SK"/>
        </w:rPr>
      </w:pPr>
      <w:r w:rsidRPr="006E1548">
        <w:rPr>
          <w:szCs w:val="22"/>
          <w:lang w:val="sk-SK"/>
        </w:rPr>
        <w:t>Prestilol</w:t>
      </w:r>
      <w:r w:rsidR="00226D79" w:rsidRPr="006E1548">
        <w:rPr>
          <w:szCs w:val="22"/>
          <w:lang w:val="sk-SK"/>
        </w:rPr>
        <w:t xml:space="preserve"> sa má užívať ako jednotlivá dávka jedenkrát denne ráno pred jedlom.</w:t>
      </w:r>
    </w:p>
    <w:p w:rsidR="000322EB" w:rsidRPr="006E1548" w:rsidRDefault="000322EB" w:rsidP="000322EB">
      <w:pPr>
        <w:rPr>
          <w:szCs w:val="22"/>
          <w:lang w:val="sk-SK"/>
        </w:rPr>
      </w:pPr>
    </w:p>
    <w:p w:rsidR="000322EB" w:rsidRPr="006E1548" w:rsidRDefault="000322EB" w:rsidP="000322EB">
      <w:pPr>
        <w:rPr>
          <w:szCs w:val="22"/>
          <w:lang w:val="sk-SK"/>
        </w:rPr>
      </w:pPr>
      <w:r w:rsidRPr="006E1548">
        <w:rPr>
          <w:b/>
          <w:szCs w:val="22"/>
          <w:lang w:val="sk-SK"/>
        </w:rPr>
        <w:t>4.3</w:t>
      </w:r>
      <w:r w:rsidRPr="006E1548">
        <w:rPr>
          <w:b/>
          <w:szCs w:val="22"/>
          <w:lang w:val="sk-SK"/>
        </w:rPr>
        <w:tab/>
        <w:t xml:space="preserve">Kontraindikácie </w:t>
      </w:r>
    </w:p>
    <w:p w:rsidR="000322EB" w:rsidRPr="006E1548" w:rsidRDefault="000322EB" w:rsidP="000322EB">
      <w:pPr>
        <w:tabs>
          <w:tab w:val="clear" w:pos="567"/>
        </w:tabs>
        <w:spacing w:line="240" w:lineRule="auto"/>
        <w:ind w:left="567" w:hanging="567"/>
        <w:rPr>
          <w:szCs w:val="22"/>
          <w:lang w:val="sk-SK"/>
        </w:rPr>
      </w:pPr>
    </w:p>
    <w:p w:rsidR="00226D79" w:rsidRPr="006E1548" w:rsidRDefault="000322EB" w:rsidP="000322EB">
      <w:pPr>
        <w:numPr>
          <w:ilvl w:val="0"/>
          <w:numId w:val="3"/>
        </w:numPr>
        <w:tabs>
          <w:tab w:val="clear" w:pos="567"/>
        </w:tabs>
        <w:rPr>
          <w:szCs w:val="22"/>
          <w:lang w:val="sk-SK"/>
        </w:rPr>
      </w:pPr>
      <w:r w:rsidRPr="006E1548">
        <w:rPr>
          <w:szCs w:val="22"/>
          <w:lang w:val="sk-SK"/>
        </w:rPr>
        <w:t xml:space="preserve">Precitlivenosť na liečivo alebo </w:t>
      </w:r>
      <w:r w:rsidR="00125386" w:rsidRPr="006E1548">
        <w:rPr>
          <w:szCs w:val="22"/>
          <w:lang w:val="sk-SK"/>
        </w:rPr>
        <w:t xml:space="preserve">na ktorúkoľvek z pomocných látok uvedených v časti 6.1, alebo </w:t>
      </w:r>
      <w:r w:rsidRPr="006E1548">
        <w:rPr>
          <w:szCs w:val="22"/>
          <w:lang w:val="sk-SK"/>
        </w:rPr>
        <w:t xml:space="preserve">na </w:t>
      </w:r>
      <w:r w:rsidR="00226D79" w:rsidRPr="006E1548">
        <w:rPr>
          <w:szCs w:val="22"/>
          <w:lang w:val="sk-SK"/>
        </w:rPr>
        <w:t xml:space="preserve">ktorýkoľvek iný inhibítor </w:t>
      </w:r>
      <w:r w:rsidR="00125386" w:rsidRPr="006E1548">
        <w:rPr>
          <w:szCs w:val="22"/>
          <w:lang w:val="sk-SK"/>
        </w:rPr>
        <w:t>angiotenzín kovertujúceho enzýmu (</w:t>
      </w:r>
      <w:r w:rsidR="00226D79" w:rsidRPr="006E1548">
        <w:rPr>
          <w:szCs w:val="22"/>
          <w:lang w:val="sk-SK"/>
        </w:rPr>
        <w:t>ACE</w:t>
      </w:r>
      <w:r w:rsidR="00125386" w:rsidRPr="006E1548">
        <w:rPr>
          <w:szCs w:val="22"/>
          <w:lang w:val="sk-SK"/>
        </w:rPr>
        <w:t>)</w:t>
      </w:r>
    </w:p>
    <w:p w:rsidR="00EB589E" w:rsidRPr="006E1548" w:rsidRDefault="00EB589E" w:rsidP="000322EB">
      <w:pPr>
        <w:numPr>
          <w:ilvl w:val="0"/>
          <w:numId w:val="3"/>
        </w:numPr>
        <w:tabs>
          <w:tab w:val="clear" w:pos="567"/>
        </w:tabs>
        <w:rPr>
          <w:szCs w:val="22"/>
          <w:lang w:val="sk-SK"/>
        </w:rPr>
      </w:pPr>
      <w:r w:rsidRPr="006E1548">
        <w:rPr>
          <w:szCs w:val="22"/>
          <w:lang w:val="sk-SK"/>
        </w:rPr>
        <w:t>Akútne srdcové zlyhanie alebo počas epizód dekompenzácie srdcového zlyhania vyžadujúc</w:t>
      </w:r>
      <w:r w:rsidR="00AA6753" w:rsidRPr="006E1548">
        <w:rPr>
          <w:szCs w:val="22"/>
          <w:lang w:val="sk-SK"/>
        </w:rPr>
        <w:t>ich</w:t>
      </w:r>
      <w:r w:rsidRPr="006E1548">
        <w:rPr>
          <w:szCs w:val="22"/>
          <w:lang w:val="sk-SK"/>
        </w:rPr>
        <w:t xml:space="preserve"> </w:t>
      </w:r>
      <w:r w:rsidRPr="006E1548">
        <w:rPr>
          <w:i/>
          <w:szCs w:val="22"/>
          <w:lang w:val="sk-SK"/>
        </w:rPr>
        <w:t xml:space="preserve">i.v. </w:t>
      </w:r>
      <w:r w:rsidRPr="006E1548">
        <w:rPr>
          <w:szCs w:val="22"/>
          <w:lang w:val="sk-SK"/>
        </w:rPr>
        <w:t>inotropnú liečbu</w:t>
      </w:r>
    </w:p>
    <w:p w:rsidR="00EB589E" w:rsidRPr="006E1548" w:rsidRDefault="00EB589E" w:rsidP="000322EB">
      <w:pPr>
        <w:numPr>
          <w:ilvl w:val="0"/>
          <w:numId w:val="3"/>
        </w:numPr>
        <w:tabs>
          <w:tab w:val="clear" w:pos="567"/>
        </w:tabs>
        <w:rPr>
          <w:szCs w:val="22"/>
          <w:lang w:val="sk-SK"/>
        </w:rPr>
      </w:pPr>
      <w:r w:rsidRPr="006E1548">
        <w:rPr>
          <w:szCs w:val="22"/>
          <w:lang w:val="sk-SK"/>
        </w:rPr>
        <w:t>Kardiogénny šok</w:t>
      </w:r>
    </w:p>
    <w:p w:rsidR="00EB589E" w:rsidRPr="006E1548" w:rsidRDefault="00EB589E" w:rsidP="000322EB">
      <w:pPr>
        <w:numPr>
          <w:ilvl w:val="0"/>
          <w:numId w:val="3"/>
        </w:numPr>
        <w:tabs>
          <w:tab w:val="clear" w:pos="567"/>
        </w:tabs>
        <w:rPr>
          <w:szCs w:val="22"/>
          <w:lang w:val="sk-SK"/>
        </w:rPr>
      </w:pPr>
      <w:r w:rsidRPr="006E1548">
        <w:rPr>
          <w:iCs/>
          <w:lang w:val="sk-SK"/>
        </w:rPr>
        <w:t>AV blokáda druhého alebo tretieho stupňa (bez kardiostimulátora)</w:t>
      </w:r>
    </w:p>
    <w:p w:rsidR="00EB589E" w:rsidRPr="006E1548" w:rsidRDefault="00EB589E" w:rsidP="000322EB">
      <w:pPr>
        <w:numPr>
          <w:ilvl w:val="0"/>
          <w:numId w:val="3"/>
        </w:numPr>
        <w:tabs>
          <w:tab w:val="clear" w:pos="567"/>
        </w:tabs>
        <w:rPr>
          <w:szCs w:val="22"/>
          <w:lang w:val="sk-SK"/>
        </w:rPr>
      </w:pPr>
      <w:r w:rsidRPr="006E1548">
        <w:rPr>
          <w:iCs/>
          <w:lang w:val="sk-SK"/>
        </w:rPr>
        <w:t>Syndróm chorého sínusu</w:t>
      </w:r>
    </w:p>
    <w:p w:rsidR="00EB589E" w:rsidRPr="006E1548" w:rsidRDefault="00EB589E" w:rsidP="000322EB">
      <w:pPr>
        <w:numPr>
          <w:ilvl w:val="0"/>
          <w:numId w:val="3"/>
        </w:numPr>
        <w:tabs>
          <w:tab w:val="clear" w:pos="567"/>
        </w:tabs>
        <w:rPr>
          <w:szCs w:val="22"/>
          <w:lang w:val="sk-SK"/>
        </w:rPr>
      </w:pPr>
      <w:r w:rsidRPr="006E1548">
        <w:rPr>
          <w:iCs/>
          <w:lang w:val="sk-SK"/>
        </w:rPr>
        <w:t>Sinoatriálna blokáda</w:t>
      </w:r>
    </w:p>
    <w:p w:rsidR="00EB589E" w:rsidRPr="006E1548" w:rsidRDefault="00EB589E" w:rsidP="000322EB">
      <w:pPr>
        <w:numPr>
          <w:ilvl w:val="0"/>
          <w:numId w:val="3"/>
        </w:numPr>
        <w:tabs>
          <w:tab w:val="clear" w:pos="567"/>
        </w:tabs>
        <w:rPr>
          <w:szCs w:val="22"/>
          <w:lang w:val="sk-SK"/>
        </w:rPr>
      </w:pPr>
      <w:r w:rsidRPr="006E1548">
        <w:rPr>
          <w:iCs/>
          <w:lang w:val="sk-SK"/>
        </w:rPr>
        <w:t>Symptomatická bradykardia</w:t>
      </w:r>
    </w:p>
    <w:p w:rsidR="00EB589E" w:rsidRPr="006E1548" w:rsidRDefault="00EB589E" w:rsidP="000322EB">
      <w:pPr>
        <w:numPr>
          <w:ilvl w:val="0"/>
          <w:numId w:val="3"/>
        </w:numPr>
        <w:tabs>
          <w:tab w:val="clear" w:pos="567"/>
        </w:tabs>
        <w:rPr>
          <w:szCs w:val="22"/>
          <w:lang w:val="sk-SK"/>
        </w:rPr>
      </w:pPr>
      <w:r w:rsidRPr="006E1548">
        <w:rPr>
          <w:iCs/>
          <w:lang w:val="sk-SK"/>
        </w:rPr>
        <w:t>Symptomatická hypotenzia</w:t>
      </w:r>
    </w:p>
    <w:p w:rsidR="00EB589E" w:rsidRPr="006E1548" w:rsidRDefault="00EB589E" w:rsidP="000322EB">
      <w:pPr>
        <w:numPr>
          <w:ilvl w:val="0"/>
          <w:numId w:val="3"/>
        </w:numPr>
        <w:tabs>
          <w:tab w:val="clear" w:pos="567"/>
        </w:tabs>
        <w:rPr>
          <w:szCs w:val="22"/>
          <w:lang w:val="sk-SK"/>
        </w:rPr>
      </w:pPr>
      <w:r w:rsidRPr="006E1548">
        <w:rPr>
          <w:szCs w:val="22"/>
          <w:lang w:val="sk-SK"/>
        </w:rPr>
        <w:t xml:space="preserve">Ťažká bronchiálna astma alebo ťažká </w:t>
      </w:r>
      <w:r w:rsidR="00DD62DB" w:rsidRPr="006E1548">
        <w:rPr>
          <w:szCs w:val="22"/>
          <w:lang w:val="sk-SK"/>
        </w:rPr>
        <w:t xml:space="preserve">chronická </w:t>
      </w:r>
      <w:r w:rsidRPr="006E1548">
        <w:rPr>
          <w:szCs w:val="22"/>
          <w:lang w:val="sk-SK"/>
        </w:rPr>
        <w:t>obštrukčná choroba pľúc</w:t>
      </w:r>
    </w:p>
    <w:p w:rsidR="00EB589E" w:rsidRPr="006E1548" w:rsidRDefault="00EB589E" w:rsidP="000322EB">
      <w:pPr>
        <w:numPr>
          <w:ilvl w:val="0"/>
          <w:numId w:val="3"/>
        </w:numPr>
        <w:tabs>
          <w:tab w:val="clear" w:pos="567"/>
        </w:tabs>
        <w:rPr>
          <w:szCs w:val="22"/>
          <w:lang w:val="sk-SK"/>
        </w:rPr>
      </w:pPr>
      <w:r w:rsidRPr="006E1548">
        <w:rPr>
          <w:szCs w:val="22"/>
          <w:lang w:val="sk-SK"/>
        </w:rPr>
        <w:t>Ťažk</w:t>
      </w:r>
      <w:r w:rsidR="00DD62DB" w:rsidRPr="006E1548">
        <w:rPr>
          <w:szCs w:val="22"/>
          <w:lang w:val="sk-SK"/>
        </w:rPr>
        <w:t>é</w:t>
      </w:r>
      <w:r w:rsidRPr="006E1548">
        <w:rPr>
          <w:szCs w:val="22"/>
          <w:lang w:val="sk-SK"/>
        </w:rPr>
        <w:t xml:space="preserve"> form</w:t>
      </w:r>
      <w:r w:rsidR="00DD62DB" w:rsidRPr="006E1548">
        <w:rPr>
          <w:szCs w:val="22"/>
          <w:lang w:val="sk-SK"/>
        </w:rPr>
        <w:t>y</w:t>
      </w:r>
      <w:r w:rsidRPr="006E1548">
        <w:rPr>
          <w:szCs w:val="22"/>
          <w:lang w:val="sk-SK"/>
        </w:rPr>
        <w:t xml:space="preserve"> okluzívneho ochorenia periférnych ciev</w:t>
      </w:r>
      <w:r w:rsidR="00DC2ACE" w:rsidRPr="006E1548">
        <w:rPr>
          <w:szCs w:val="22"/>
          <w:lang w:val="sk-SK"/>
        </w:rPr>
        <w:t xml:space="preserve"> alebo ťažk</w:t>
      </w:r>
      <w:r w:rsidR="00DD62DB" w:rsidRPr="006E1548">
        <w:rPr>
          <w:szCs w:val="22"/>
          <w:lang w:val="sk-SK"/>
        </w:rPr>
        <w:t>é</w:t>
      </w:r>
      <w:r w:rsidR="00DC2ACE" w:rsidRPr="006E1548">
        <w:rPr>
          <w:szCs w:val="22"/>
          <w:lang w:val="sk-SK"/>
        </w:rPr>
        <w:t xml:space="preserve"> form</w:t>
      </w:r>
      <w:r w:rsidR="00DD62DB" w:rsidRPr="006E1548">
        <w:rPr>
          <w:szCs w:val="22"/>
          <w:lang w:val="sk-SK"/>
        </w:rPr>
        <w:t>y</w:t>
      </w:r>
      <w:r w:rsidR="00DC2ACE" w:rsidRPr="006E1548">
        <w:rPr>
          <w:szCs w:val="22"/>
          <w:lang w:val="sk-SK"/>
        </w:rPr>
        <w:t xml:space="preserve"> Raynaudovho syndrómu</w:t>
      </w:r>
    </w:p>
    <w:p w:rsidR="00DC2ACE" w:rsidRPr="006E1548" w:rsidRDefault="00DC2ACE" w:rsidP="000322EB">
      <w:pPr>
        <w:numPr>
          <w:ilvl w:val="0"/>
          <w:numId w:val="3"/>
        </w:numPr>
        <w:tabs>
          <w:tab w:val="clear" w:pos="567"/>
        </w:tabs>
        <w:rPr>
          <w:szCs w:val="22"/>
          <w:lang w:val="sk-SK"/>
        </w:rPr>
      </w:pPr>
      <w:r w:rsidRPr="006E1548">
        <w:rPr>
          <w:szCs w:val="22"/>
          <w:lang w:val="sk-SK"/>
        </w:rPr>
        <w:t>Neliečený feochromocytóm (pozri časť 4.4)</w:t>
      </w:r>
    </w:p>
    <w:p w:rsidR="00DC2ACE" w:rsidRPr="006E1548" w:rsidRDefault="00DC2ACE" w:rsidP="000322EB">
      <w:pPr>
        <w:numPr>
          <w:ilvl w:val="0"/>
          <w:numId w:val="3"/>
        </w:numPr>
        <w:tabs>
          <w:tab w:val="clear" w:pos="567"/>
        </w:tabs>
        <w:rPr>
          <w:szCs w:val="22"/>
          <w:lang w:val="sk-SK"/>
        </w:rPr>
      </w:pPr>
      <w:r w:rsidRPr="006E1548">
        <w:rPr>
          <w:szCs w:val="22"/>
          <w:lang w:val="sk-SK"/>
        </w:rPr>
        <w:t>Metabolická acidóza</w:t>
      </w:r>
    </w:p>
    <w:p w:rsidR="00DC2ACE" w:rsidRPr="006E1548" w:rsidRDefault="00DC2ACE" w:rsidP="000322EB">
      <w:pPr>
        <w:numPr>
          <w:ilvl w:val="0"/>
          <w:numId w:val="3"/>
        </w:numPr>
        <w:tabs>
          <w:tab w:val="clear" w:pos="567"/>
        </w:tabs>
        <w:rPr>
          <w:szCs w:val="22"/>
          <w:lang w:val="sk-SK"/>
        </w:rPr>
      </w:pPr>
      <w:r w:rsidRPr="006E1548">
        <w:rPr>
          <w:szCs w:val="22"/>
          <w:lang w:val="sk-SK"/>
        </w:rPr>
        <w:t>Anamnéza angioedému súvisiaceho s predchádzajúcou liečbou inhibítorom ACE</w:t>
      </w:r>
    </w:p>
    <w:p w:rsidR="00DC2ACE" w:rsidRPr="006E1548" w:rsidRDefault="00DC2ACE" w:rsidP="000322EB">
      <w:pPr>
        <w:numPr>
          <w:ilvl w:val="0"/>
          <w:numId w:val="3"/>
        </w:numPr>
        <w:tabs>
          <w:tab w:val="clear" w:pos="567"/>
        </w:tabs>
        <w:rPr>
          <w:szCs w:val="22"/>
          <w:lang w:val="sk-SK"/>
        </w:rPr>
      </w:pPr>
      <w:r w:rsidRPr="006E1548">
        <w:rPr>
          <w:szCs w:val="22"/>
          <w:lang w:val="sk-SK"/>
        </w:rPr>
        <w:t>Dedičný alebo idiopatický angioedém</w:t>
      </w:r>
    </w:p>
    <w:p w:rsidR="00DC2ACE" w:rsidRPr="006E1548" w:rsidRDefault="00DC2ACE" w:rsidP="000322EB">
      <w:pPr>
        <w:numPr>
          <w:ilvl w:val="0"/>
          <w:numId w:val="3"/>
        </w:numPr>
        <w:tabs>
          <w:tab w:val="clear" w:pos="567"/>
        </w:tabs>
        <w:rPr>
          <w:szCs w:val="22"/>
          <w:lang w:val="sk-SK"/>
        </w:rPr>
      </w:pPr>
      <w:r w:rsidRPr="006E1548">
        <w:rPr>
          <w:szCs w:val="22"/>
          <w:lang w:val="sk-SK"/>
        </w:rPr>
        <w:t xml:space="preserve">Druhý a tretí trimester </w:t>
      </w:r>
      <w:r w:rsidR="00DD62DB" w:rsidRPr="006E1548">
        <w:rPr>
          <w:szCs w:val="22"/>
          <w:lang w:val="sk-SK"/>
        </w:rPr>
        <w:t>g</w:t>
      </w:r>
      <w:r w:rsidRPr="006E1548">
        <w:rPr>
          <w:szCs w:val="22"/>
          <w:lang w:val="sk-SK"/>
        </w:rPr>
        <w:t>ravidity (pozri časti 4.4 a 4.6)</w:t>
      </w:r>
    </w:p>
    <w:p w:rsidR="005730D7" w:rsidRPr="006E1548" w:rsidRDefault="005730D7" w:rsidP="00DC2ACE">
      <w:pPr>
        <w:numPr>
          <w:ilvl w:val="0"/>
          <w:numId w:val="3"/>
        </w:numPr>
        <w:tabs>
          <w:tab w:val="clear" w:pos="567"/>
        </w:tabs>
        <w:rPr>
          <w:szCs w:val="22"/>
          <w:lang w:val="sk-SK"/>
        </w:rPr>
      </w:pPr>
      <w:r w:rsidRPr="006E1548">
        <w:rPr>
          <w:szCs w:val="22"/>
          <w:lang w:val="sk-SK"/>
        </w:rPr>
        <w:t xml:space="preserve">Súbežné použitie </w:t>
      </w:r>
      <w:r w:rsidR="00DC2ACE" w:rsidRPr="006E1548">
        <w:rPr>
          <w:szCs w:val="22"/>
          <w:lang w:val="sk-SK"/>
        </w:rPr>
        <w:t xml:space="preserve">Prestilolu </w:t>
      </w:r>
      <w:r w:rsidRPr="006E1548">
        <w:rPr>
          <w:szCs w:val="22"/>
          <w:lang w:val="sk-SK"/>
        </w:rPr>
        <w:t>s liekmi obsahujúcimi aliskiren u pacientov s diabetom mellitus alebo poruchou funkcie obličiek (GFR</w:t>
      </w:r>
      <w:r w:rsidR="00DC2ACE" w:rsidRPr="006E1548">
        <w:rPr>
          <w:szCs w:val="22"/>
          <w:lang w:val="sk-SK"/>
        </w:rPr>
        <w:t xml:space="preserve"> &lt; </w:t>
      </w:r>
      <w:r w:rsidRPr="006E1548">
        <w:rPr>
          <w:szCs w:val="22"/>
          <w:lang w:val="sk-SK"/>
        </w:rPr>
        <w:t>60 ml/min/1,73 m</w:t>
      </w:r>
      <w:r w:rsidRPr="006E1548">
        <w:rPr>
          <w:szCs w:val="22"/>
          <w:vertAlign w:val="superscript"/>
          <w:lang w:val="sk-SK"/>
        </w:rPr>
        <w:t>2</w:t>
      </w:r>
      <w:r w:rsidRPr="006E1548">
        <w:rPr>
          <w:szCs w:val="22"/>
          <w:lang w:val="sk-SK"/>
        </w:rPr>
        <w:t xml:space="preserve">) (pozri časti </w:t>
      </w:r>
      <w:r w:rsidR="00DC2ACE" w:rsidRPr="006E1548">
        <w:rPr>
          <w:szCs w:val="22"/>
          <w:lang w:val="sk-SK"/>
        </w:rPr>
        <w:t xml:space="preserve">4.4., </w:t>
      </w:r>
      <w:r w:rsidRPr="006E1548">
        <w:rPr>
          <w:szCs w:val="22"/>
          <w:lang w:val="sk-SK"/>
        </w:rPr>
        <w:t>4.5 a 5.1)</w:t>
      </w:r>
      <w:r w:rsidR="006E30CA" w:rsidRPr="006E1548">
        <w:rPr>
          <w:szCs w:val="22"/>
          <w:lang w:val="sk-SK"/>
        </w:rPr>
        <w:t>.</w:t>
      </w:r>
    </w:p>
    <w:p w:rsidR="006E30CA" w:rsidRPr="006E1548" w:rsidRDefault="006E30CA" w:rsidP="000322EB">
      <w:pPr>
        <w:rPr>
          <w:szCs w:val="22"/>
          <w:lang w:val="sk-SK"/>
        </w:rPr>
      </w:pPr>
    </w:p>
    <w:p w:rsidR="000322EB" w:rsidRPr="006E1548" w:rsidRDefault="000322EB" w:rsidP="000322EB">
      <w:pPr>
        <w:rPr>
          <w:szCs w:val="22"/>
          <w:lang w:val="sk-SK"/>
        </w:rPr>
      </w:pPr>
      <w:r w:rsidRPr="006E1548">
        <w:rPr>
          <w:b/>
          <w:szCs w:val="22"/>
          <w:lang w:val="sk-SK"/>
        </w:rPr>
        <w:t>4.4</w:t>
      </w:r>
      <w:r w:rsidRPr="006E1548">
        <w:rPr>
          <w:b/>
          <w:szCs w:val="22"/>
          <w:lang w:val="sk-SK"/>
        </w:rPr>
        <w:tab/>
        <w:t>Osobitné upozornenia a opatrenia pri používaní</w:t>
      </w:r>
    </w:p>
    <w:p w:rsidR="000322EB" w:rsidRPr="006E1548" w:rsidRDefault="000322EB" w:rsidP="000322EB">
      <w:pPr>
        <w:rPr>
          <w:szCs w:val="22"/>
          <w:lang w:val="sk-SK"/>
        </w:rPr>
      </w:pPr>
    </w:p>
    <w:p w:rsidR="000322EB" w:rsidRPr="006E1548" w:rsidRDefault="009A0DD3" w:rsidP="000322EB">
      <w:pPr>
        <w:rPr>
          <w:b/>
          <w:i/>
          <w:szCs w:val="22"/>
          <w:lang w:val="sk-SK"/>
        </w:rPr>
      </w:pPr>
      <w:r w:rsidRPr="006E1548">
        <w:rPr>
          <w:b/>
          <w:i/>
          <w:szCs w:val="22"/>
          <w:lang w:val="sk-SK"/>
        </w:rPr>
        <w:t>Všetky upozornenia a opatrenia pri používaní súvisiace s každou zložkou sú aplikovateľné na Prestilol.</w:t>
      </w:r>
    </w:p>
    <w:p w:rsidR="006E30CA" w:rsidRPr="006E1548" w:rsidRDefault="006E30CA" w:rsidP="000322EB">
      <w:pPr>
        <w:rPr>
          <w:szCs w:val="22"/>
          <w:lang w:val="sk-SK"/>
        </w:rPr>
      </w:pPr>
    </w:p>
    <w:p w:rsidR="009A0DD3" w:rsidRPr="006E1548" w:rsidRDefault="009A0DD3" w:rsidP="009A0DD3">
      <w:pPr>
        <w:spacing w:line="240" w:lineRule="auto"/>
        <w:rPr>
          <w:szCs w:val="22"/>
          <w:u w:val="single"/>
          <w:lang w:val="sk-SK"/>
        </w:rPr>
      </w:pPr>
      <w:r w:rsidRPr="006E1548">
        <w:rPr>
          <w:szCs w:val="22"/>
          <w:u w:val="single"/>
          <w:lang w:val="sk-SK"/>
        </w:rPr>
        <w:t>Hypotenzia:</w:t>
      </w:r>
    </w:p>
    <w:p w:rsidR="009A0DD3" w:rsidRPr="006E1548" w:rsidRDefault="009A0DD3" w:rsidP="009A0DD3">
      <w:pPr>
        <w:tabs>
          <w:tab w:val="left" w:pos="3261"/>
        </w:tabs>
        <w:spacing w:line="240" w:lineRule="auto"/>
        <w:rPr>
          <w:szCs w:val="22"/>
          <w:lang w:val="sk-SK"/>
        </w:rPr>
      </w:pPr>
      <w:r w:rsidRPr="006E1548">
        <w:rPr>
          <w:szCs w:val="22"/>
          <w:lang w:val="sk-SK"/>
        </w:rPr>
        <w:t>Inhibítory ACE môžu spôsobiť pokles krvného tlaku. Symptomatická hypotenzia je zriedkavá u pacientov s hypertenziou bez komplikácií a je väčšia pravdepodobnosť výskytu u pacientov s hypovolémiou, napr. spôsobenou liečbou diuretikami, obmedzením príjmu soli v potrave, dialýzou, hnačkou alebo vracaním, alebo u tých, ktorí majú závažnú renín-dependentnú hypertenziu (pozri časti 4.5 a 4.8). U pacientov so symptomatickým srdcovým zlyhávaním, so sprievodnou renálnou insuficienciou alebo bez nej, bola pozorovaná symptomatická hypotenzia. Najväčšia pravdepodobnosť výskytu je u pacientov s ťažšími stupňami srdcového zlyh</w:t>
      </w:r>
      <w:r w:rsidR="00736376" w:rsidRPr="006E1548">
        <w:rPr>
          <w:szCs w:val="22"/>
          <w:lang w:val="sk-SK"/>
        </w:rPr>
        <w:t>áv</w:t>
      </w:r>
      <w:r w:rsidRPr="006E1548">
        <w:rPr>
          <w:szCs w:val="22"/>
          <w:lang w:val="sk-SK"/>
        </w:rPr>
        <w:t>a</w:t>
      </w:r>
      <w:r w:rsidR="00736376" w:rsidRPr="006E1548">
        <w:rPr>
          <w:szCs w:val="22"/>
          <w:lang w:val="sk-SK"/>
        </w:rPr>
        <w:t>nia</w:t>
      </w:r>
      <w:r w:rsidRPr="006E1548">
        <w:rPr>
          <w:szCs w:val="22"/>
          <w:lang w:val="sk-SK"/>
        </w:rPr>
        <w:t>, teda pacientov liečených vysokými dávkami kľučkových diuretík, u pacientov s hyponatriémiou alebo s poruchou funkcie obličiek. U pacientov so zvýšeným rizikom symptomatickej hypotenzie sa má začiatok liečby a úprava dávky starostlivo monitorovať</w:t>
      </w:r>
      <w:r w:rsidR="00EA476D" w:rsidRPr="006E1548">
        <w:rPr>
          <w:szCs w:val="22"/>
          <w:lang w:val="sk-SK"/>
        </w:rPr>
        <w:t>.</w:t>
      </w:r>
      <w:r w:rsidRPr="006E1548">
        <w:rPr>
          <w:szCs w:val="22"/>
          <w:lang w:val="sk-SK"/>
        </w:rPr>
        <w:t xml:space="preserve"> Podobné opatrenia platia pre pacientov</w:t>
      </w:r>
      <w:r w:rsidR="00EA476D" w:rsidRPr="006E1548">
        <w:rPr>
          <w:szCs w:val="22"/>
          <w:lang w:val="sk-SK"/>
        </w:rPr>
        <w:t xml:space="preserve"> s</w:t>
      </w:r>
      <w:r w:rsidRPr="006E1548">
        <w:rPr>
          <w:szCs w:val="22"/>
          <w:lang w:val="sk-SK"/>
        </w:rPr>
        <w:t xml:space="preserve"> ischemickou chorobou srdca alebo cerebrovaskulárnym ochorením, u ktorých by výrazný pokles krvného tlaku mohol viesť k infarktu myokardu alebo cievnej mozgovej príhode.</w:t>
      </w:r>
    </w:p>
    <w:p w:rsidR="009A0DD3" w:rsidRPr="006E1548" w:rsidRDefault="009A0DD3" w:rsidP="009A0DD3">
      <w:pPr>
        <w:spacing w:line="240" w:lineRule="auto"/>
        <w:rPr>
          <w:szCs w:val="22"/>
          <w:lang w:val="sk-SK"/>
        </w:rPr>
      </w:pPr>
      <w:r w:rsidRPr="006E1548">
        <w:rPr>
          <w:szCs w:val="22"/>
          <w:lang w:val="sk-SK"/>
        </w:rPr>
        <w:t xml:space="preserve">Ak nastane hypotenzia, pacient sa má uložiť do polohy ležmo, a ak je to nutné, má dostať intravenóznu infúziu roztoku chloridu sodného 9 mg/ml (0,9%). Prechodná hypotenzná odpoveď nie </w:t>
      </w:r>
      <w:r w:rsidRPr="006E1548">
        <w:rPr>
          <w:szCs w:val="22"/>
          <w:lang w:val="sk-SK"/>
        </w:rPr>
        <w:lastRenderedPageBreak/>
        <w:t>je kontraindikáciou na podávanie ďalších dávok, ktoré je možné podať zvyčajne bez ťažkostí, keď sa krvný tlak zvýši po zväčšení objemu</w:t>
      </w:r>
      <w:r w:rsidRPr="006E1548">
        <w:rPr>
          <w:bCs/>
          <w:iCs/>
          <w:szCs w:val="22"/>
          <w:lang w:val="sk-SK"/>
        </w:rPr>
        <w:t>.</w:t>
      </w:r>
    </w:p>
    <w:p w:rsidR="009A0DD3" w:rsidRPr="006E1548" w:rsidRDefault="009A0DD3" w:rsidP="009A0DD3">
      <w:pPr>
        <w:spacing w:line="240" w:lineRule="auto"/>
        <w:rPr>
          <w:szCs w:val="22"/>
          <w:lang w:val="sk-SK"/>
        </w:rPr>
      </w:pPr>
      <w:r w:rsidRPr="006E1548">
        <w:rPr>
          <w:szCs w:val="22"/>
          <w:lang w:val="sk-SK"/>
        </w:rPr>
        <w:t>U niektorých pacientov s kongestívnym srdcovým zlyhávaním, ktorí majú normálny alebo nízky krvný tlak, môže dôjsť pri liečbe perindoprilom</w:t>
      </w:r>
      <w:r w:rsidRPr="006E1548">
        <w:rPr>
          <w:szCs w:val="22"/>
          <w:vertAlign w:val="superscript"/>
          <w:lang w:val="sk-SK"/>
        </w:rPr>
        <w:t xml:space="preserve"> </w:t>
      </w:r>
      <w:r w:rsidRPr="006E1548">
        <w:rPr>
          <w:szCs w:val="22"/>
          <w:lang w:val="sk-SK"/>
        </w:rPr>
        <w:t xml:space="preserve">k ďalšiemu zníženiu celkového krvného tlaku. Takýto účinok sa dá očakávať a zvyčajne nie je dôvodom na ukončenie liečby. Ak sa hypotenzia stane symptomatickou, môže byť potrebné zníženie dávky alebo </w:t>
      </w:r>
      <w:r w:rsidR="00001353" w:rsidRPr="006E1548">
        <w:rPr>
          <w:szCs w:val="22"/>
          <w:lang w:val="sk-SK"/>
        </w:rPr>
        <w:t xml:space="preserve">postupné </w:t>
      </w:r>
      <w:r w:rsidRPr="006E1548">
        <w:rPr>
          <w:szCs w:val="22"/>
          <w:lang w:val="sk-SK"/>
        </w:rPr>
        <w:t>vysadenie liečby</w:t>
      </w:r>
      <w:r w:rsidR="000A5D04" w:rsidRPr="006E1548">
        <w:rPr>
          <w:szCs w:val="22"/>
          <w:lang w:val="sk-SK"/>
        </w:rPr>
        <w:t xml:space="preserve"> za použitia jednotlivých zložiek</w:t>
      </w:r>
      <w:r w:rsidRPr="006E1548">
        <w:rPr>
          <w:szCs w:val="22"/>
          <w:lang w:val="sk-SK"/>
        </w:rPr>
        <w:t>.</w:t>
      </w:r>
    </w:p>
    <w:p w:rsidR="009A0DD3" w:rsidRPr="006E1548" w:rsidRDefault="009A0DD3" w:rsidP="000322EB">
      <w:pPr>
        <w:rPr>
          <w:i/>
          <w:szCs w:val="22"/>
          <w:lang w:val="sk-SK"/>
        </w:rPr>
      </w:pPr>
    </w:p>
    <w:p w:rsidR="00CB5A0A" w:rsidRPr="006E1548" w:rsidRDefault="00CB5A0A" w:rsidP="00CB5A0A">
      <w:pPr>
        <w:spacing w:line="240" w:lineRule="auto"/>
        <w:rPr>
          <w:bCs/>
          <w:iCs/>
          <w:szCs w:val="22"/>
          <w:u w:val="single"/>
          <w:lang w:val="sk-SK"/>
        </w:rPr>
      </w:pPr>
      <w:r w:rsidRPr="006E1548">
        <w:rPr>
          <w:bCs/>
          <w:iCs/>
          <w:szCs w:val="22"/>
          <w:u w:val="single"/>
          <w:lang w:val="sk-SK"/>
        </w:rPr>
        <w:t>Precitlivenosť/Angioedém:</w:t>
      </w:r>
    </w:p>
    <w:p w:rsidR="00CB5A0A" w:rsidRPr="006E1548" w:rsidRDefault="00CB5A0A" w:rsidP="00CB5A0A">
      <w:pPr>
        <w:spacing w:line="240" w:lineRule="auto"/>
        <w:rPr>
          <w:szCs w:val="22"/>
          <w:lang w:val="sk-SK"/>
        </w:rPr>
      </w:pPr>
      <w:r w:rsidRPr="006E1548">
        <w:rPr>
          <w:szCs w:val="22"/>
          <w:lang w:val="sk-SK"/>
        </w:rPr>
        <w:t>U</w:t>
      </w:r>
      <w:r w:rsidR="00140D58" w:rsidRPr="006E1548">
        <w:rPr>
          <w:szCs w:val="22"/>
          <w:lang w:val="sk-SK"/>
        </w:rPr>
        <w:t> </w:t>
      </w:r>
      <w:r w:rsidRPr="006E1548">
        <w:rPr>
          <w:szCs w:val="22"/>
          <w:lang w:val="sk-SK"/>
        </w:rPr>
        <w:t>pacientov liečených inhibítormi ACE vrátane perindoprilu boli zriedkavo hlásené prípady angioedému tváre, končatín, pier, slizníc, jazyka, hlasiviek a/alebo hrtana (pozri časť 4.8). To sa môže vyskytnúť kedykoľvek počas liečby</w:t>
      </w:r>
      <w:r w:rsidRPr="006E1548">
        <w:rPr>
          <w:bCs/>
          <w:iCs/>
          <w:szCs w:val="22"/>
          <w:lang w:val="sk-SK"/>
        </w:rPr>
        <w:t xml:space="preserve">. </w:t>
      </w:r>
      <w:r w:rsidRPr="006E1548">
        <w:rPr>
          <w:szCs w:val="22"/>
          <w:lang w:val="sk-SK"/>
        </w:rPr>
        <w:t xml:space="preserve">V takýchto prípadoch </w:t>
      </w:r>
      <w:r w:rsidR="0066033C" w:rsidRPr="006E1548">
        <w:rPr>
          <w:szCs w:val="22"/>
          <w:lang w:val="sk-SK"/>
        </w:rPr>
        <w:t xml:space="preserve">sa </w:t>
      </w:r>
      <w:r w:rsidRPr="006E1548">
        <w:rPr>
          <w:szCs w:val="22"/>
          <w:lang w:val="sk-SK"/>
        </w:rPr>
        <w:t xml:space="preserve">má </w:t>
      </w:r>
      <w:r w:rsidR="0066033C" w:rsidRPr="006E1548">
        <w:rPr>
          <w:szCs w:val="22"/>
          <w:lang w:val="sk-SK"/>
        </w:rPr>
        <w:t>Prestilol</w:t>
      </w:r>
      <w:r w:rsidRPr="006E1548">
        <w:rPr>
          <w:szCs w:val="22"/>
          <w:lang w:val="sk-SK"/>
        </w:rPr>
        <w:t xml:space="preserve"> okamžite vysad</w:t>
      </w:r>
      <w:r w:rsidR="0066033C" w:rsidRPr="006E1548">
        <w:rPr>
          <w:szCs w:val="22"/>
          <w:lang w:val="sk-SK"/>
        </w:rPr>
        <w:t xml:space="preserve">iť. V liečbe betablokátorom sa musí pokračovať. Začať sa má primerané monitorovanie, ktoré má prebiehať </w:t>
      </w:r>
      <w:r w:rsidRPr="006E1548">
        <w:rPr>
          <w:szCs w:val="22"/>
          <w:lang w:val="sk-SK"/>
        </w:rPr>
        <w:t xml:space="preserve">až do úplného vymiznutia </w:t>
      </w:r>
      <w:r w:rsidR="005E15E2" w:rsidRPr="006E1548">
        <w:rPr>
          <w:szCs w:val="22"/>
          <w:lang w:val="sk-SK"/>
        </w:rPr>
        <w:t>príznakov</w:t>
      </w:r>
      <w:r w:rsidRPr="006E1548">
        <w:rPr>
          <w:szCs w:val="22"/>
          <w:lang w:val="sk-SK"/>
        </w:rPr>
        <w:t xml:space="preserve">. V prípadoch, </w:t>
      </w:r>
      <w:r w:rsidR="00B701E1" w:rsidRPr="006E1548">
        <w:rPr>
          <w:szCs w:val="22"/>
          <w:lang w:val="sk-SK"/>
        </w:rPr>
        <w:t xml:space="preserve">v ktorých </w:t>
      </w:r>
      <w:r w:rsidRPr="006E1548">
        <w:rPr>
          <w:szCs w:val="22"/>
          <w:lang w:val="sk-SK"/>
        </w:rPr>
        <w:t xml:space="preserve">sa opuch obmedzil na oblasť tváre a pier, sa stav zvyčajne upravil bez liečby, hoci antihistaminiká boli pri zmierňovaní </w:t>
      </w:r>
      <w:r w:rsidR="005E15E2" w:rsidRPr="006E1548">
        <w:rPr>
          <w:szCs w:val="22"/>
          <w:lang w:val="sk-SK"/>
        </w:rPr>
        <w:t xml:space="preserve">príznakov </w:t>
      </w:r>
      <w:r w:rsidRPr="006E1548">
        <w:rPr>
          <w:szCs w:val="22"/>
          <w:lang w:val="sk-SK"/>
        </w:rPr>
        <w:t>užitočné.</w:t>
      </w:r>
    </w:p>
    <w:p w:rsidR="00CB5A0A" w:rsidRPr="006E1548" w:rsidRDefault="00CB5A0A" w:rsidP="00CB5A0A">
      <w:pPr>
        <w:spacing w:line="240" w:lineRule="auto"/>
        <w:rPr>
          <w:szCs w:val="22"/>
          <w:lang w:val="sk-SK"/>
        </w:rPr>
      </w:pPr>
      <w:r w:rsidRPr="006E1548">
        <w:rPr>
          <w:szCs w:val="22"/>
          <w:lang w:val="sk-SK"/>
        </w:rPr>
        <w:t xml:space="preserve">Angioedém spojený s edémom hrtana môže byť fatálny. V prípadoch, kedy je postihnutý jazyk, hlasivky alebo hrtan, čo môže spôsobiť obštrukciu dýchacích ciest, sa má okamžite poskytnúť pohotovostná liečba. Tá môže zahŕňať podanie adrenalínu a/alebo zabezpečenie priechodnosti dýchacích ciest. Pacient má byť pod starostlivým lekárskym dohľadom do úplného a trvalého vymiznutia </w:t>
      </w:r>
      <w:r w:rsidR="005E15E2" w:rsidRPr="006E1548">
        <w:rPr>
          <w:szCs w:val="22"/>
          <w:lang w:val="sk-SK"/>
        </w:rPr>
        <w:t>príznakov</w:t>
      </w:r>
      <w:r w:rsidRPr="006E1548">
        <w:rPr>
          <w:szCs w:val="22"/>
          <w:lang w:val="sk-SK"/>
        </w:rPr>
        <w:t>.</w:t>
      </w:r>
    </w:p>
    <w:p w:rsidR="00CB5A0A" w:rsidRPr="006E1548" w:rsidRDefault="00CB5A0A" w:rsidP="00CB5A0A">
      <w:pPr>
        <w:spacing w:line="240" w:lineRule="auto"/>
        <w:rPr>
          <w:szCs w:val="22"/>
          <w:lang w:val="sk-SK"/>
        </w:rPr>
      </w:pPr>
      <w:r w:rsidRPr="006E1548">
        <w:rPr>
          <w:szCs w:val="22"/>
          <w:lang w:val="sk-SK"/>
        </w:rPr>
        <w:t xml:space="preserve">U pacientov s anamnézou angioedému nesúvisiaceho s liečbou inhibítormi ACE môže byť riziko angioedému počas užívania </w:t>
      </w:r>
      <w:r w:rsidR="00600B87" w:rsidRPr="006E1548">
        <w:rPr>
          <w:szCs w:val="22"/>
          <w:lang w:val="sk-SK"/>
        </w:rPr>
        <w:t>inhibítora ACE</w:t>
      </w:r>
      <w:r w:rsidRPr="006E1548">
        <w:rPr>
          <w:szCs w:val="22"/>
          <w:lang w:val="sk-SK"/>
        </w:rPr>
        <w:t xml:space="preserve"> zvýšené (pozri časť 4.3).</w:t>
      </w:r>
    </w:p>
    <w:p w:rsidR="00CB5A0A" w:rsidRPr="006E1548" w:rsidRDefault="00CB5A0A" w:rsidP="00CB5A0A">
      <w:pPr>
        <w:spacing w:line="240" w:lineRule="auto"/>
        <w:rPr>
          <w:szCs w:val="22"/>
          <w:lang w:val="sk-SK"/>
        </w:rPr>
      </w:pPr>
      <w:r w:rsidRPr="006E1548">
        <w:rPr>
          <w:bCs/>
          <w:szCs w:val="22"/>
          <w:lang w:val="sk-SK"/>
        </w:rPr>
        <w:t>U pacientov liečených inhibítormi ACE bol zriedkavo hlásený črevný angioedém. Títo pacienti mali bolesť brucha (s alebo bez nauzey alebo vracania); v niektorých prípadoch bez predchádzajúceho angioedému tváre, pričom hladiny C-1 esterázy boli v norme. Angioedém bol diagnostikovaný prostredníctvom vyšetrení zahŕňajúcich CT brucha alebo ultrazvuk, alebo pri chirurgickom zákroku a </w:t>
      </w:r>
      <w:r w:rsidR="005E15E2" w:rsidRPr="006E1548">
        <w:rPr>
          <w:bCs/>
          <w:szCs w:val="22"/>
          <w:lang w:val="sk-SK"/>
        </w:rPr>
        <w:t>príznaky</w:t>
      </w:r>
      <w:r w:rsidRPr="006E1548">
        <w:rPr>
          <w:bCs/>
          <w:szCs w:val="22"/>
          <w:lang w:val="sk-SK"/>
        </w:rPr>
        <w:t xml:space="preserve"> ustúpili po zastavení podávania inhibítorov ACE. Črevný angioedém má byť zahrnutý do diferenciálnej diagnózy pacientov užívajúcich inhibítory ACE s bolesťou brucha.</w:t>
      </w:r>
    </w:p>
    <w:p w:rsidR="009A0DD3" w:rsidRPr="006E1548" w:rsidRDefault="009A0DD3" w:rsidP="000322EB">
      <w:pPr>
        <w:rPr>
          <w:i/>
          <w:szCs w:val="22"/>
          <w:lang w:val="sk-SK"/>
        </w:rPr>
      </w:pPr>
    </w:p>
    <w:p w:rsidR="00600B87" w:rsidRPr="006E1548" w:rsidRDefault="00600B87" w:rsidP="000322EB">
      <w:pPr>
        <w:rPr>
          <w:szCs w:val="22"/>
          <w:u w:val="single"/>
          <w:lang w:val="sk-SK"/>
        </w:rPr>
      </w:pPr>
      <w:r w:rsidRPr="006E1548">
        <w:rPr>
          <w:szCs w:val="22"/>
          <w:u w:val="single"/>
          <w:lang w:val="sk-SK"/>
        </w:rPr>
        <w:t>Hepatálne zlyhanie</w:t>
      </w:r>
      <w:r w:rsidR="0053206B" w:rsidRPr="006E1548">
        <w:rPr>
          <w:szCs w:val="22"/>
          <w:u w:val="single"/>
          <w:lang w:val="sk-SK"/>
        </w:rPr>
        <w:t>:</w:t>
      </w:r>
    </w:p>
    <w:p w:rsidR="00600B87" w:rsidRPr="006E1548" w:rsidRDefault="00600B87" w:rsidP="000322EB">
      <w:pPr>
        <w:rPr>
          <w:szCs w:val="22"/>
          <w:lang w:val="sk-SK"/>
        </w:rPr>
      </w:pPr>
      <w:r w:rsidRPr="006E1548">
        <w:rPr>
          <w:szCs w:val="22"/>
          <w:lang w:val="sk-SK"/>
        </w:rPr>
        <w:t xml:space="preserve">Inhibítory ACE boli zriedkavo spojené so vznikom syndrómu, ktorý začína cholestatickou žltačkou a progreduje do fulminantnej hepatálnej nekrózy a (niekedy) úmrtia. Mechanizmus tohto syndrómu nie je známy. Pacienti užívajúci </w:t>
      </w:r>
      <w:r w:rsidR="0053206B" w:rsidRPr="006E1548">
        <w:rPr>
          <w:szCs w:val="22"/>
          <w:lang w:val="sk-SK"/>
        </w:rPr>
        <w:t>inhibítory ACE</w:t>
      </w:r>
      <w:r w:rsidRPr="006E1548">
        <w:rPr>
          <w:szCs w:val="22"/>
          <w:lang w:val="sk-SK"/>
        </w:rPr>
        <w:t xml:space="preserve">, u ktorých sa rozvinie žltačka alebo výrazné zvýšenie hepatálnych enzýmov, majú ukončiť užívanie </w:t>
      </w:r>
      <w:r w:rsidR="0053206B" w:rsidRPr="006E1548">
        <w:rPr>
          <w:szCs w:val="22"/>
          <w:lang w:val="sk-SK"/>
        </w:rPr>
        <w:t>inhibítora ACE</w:t>
      </w:r>
      <w:r w:rsidRPr="006E1548">
        <w:rPr>
          <w:szCs w:val="22"/>
          <w:lang w:val="sk-SK"/>
        </w:rPr>
        <w:t xml:space="preserve"> a majú zostať pod náležitým lekárskym dohľadom (pozri časť 4.8)</w:t>
      </w:r>
      <w:r w:rsidR="0053206B" w:rsidRPr="006E1548">
        <w:rPr>
          <w:szCs w:val="22"/>
          <w:lang w:val="sk-SK"/>
        </w:rPr>
        <w:t>.</w:t>
      </w:r>
    </w:p>
    <w:p w:rsidR="009A0DD3" w:rsidRPr="006E1548" w:rsidRDefault="009A0DD3" w:rsidP="000322EB">
      <w:pPr>
        <w:rPr>
          <w:i/>
          <w:szCs w:val="22"/>
          <w:lang w:val="sk-SK"/>
        </w:rPr>
      </w:pPr>
    </w:p>
    <w:p w:rsidR="0053206B" w:rsidRPr="006E1548" w:rsidRDefault="0053206B" w:rsidP="0053206B">
      <w:pPr>
        <w:spacing w:line="240" w:lineRule="auto"/>
        <w:rPr>
          <w:bCs/>
          <w:iCs/>
          <w:szCs w:val="22"/>
          <w:u w:val="single"/>
          <w:lang w:val="sk-SK"/>
        </w:rPr>
      </w:pPr>
      <w:r w:rsidRPr="006E1548">
        <w:rPr>
          <w:bCs/>
          <w:iCs/>
          <w:szCs w:val="22"/>
          <w:u w:val="single"/>
          <w:lang w:val="sk-SK"/>
        </w:rPr>
        <w:t>Rasa:</w:t>
      </w:r>
    </w:p>
    <w:p w:rsidR="0053206B" w:rsidRPr="006E1548" w:rsidRDefault="0053206B" w:rsidP="0053206B">
      <w:pPr>
        <w:spacing w:line="240" w:lineRule="auto"/>
        <w:rPr>
          <w:bCs/>
          <w:iCs/>
          <w:szCs w:val="22"/>
          <w:lang w:val="sk-SK"/>
        </w:rPr>
      </w:pPr>
      <w:r w:rsidRPr="006E1548">
        <w:rPr>
          <w:szCs w:val="22"/>
          <w:lang w:val="sk-SK"/>
        </w:rPr>
        <w:t xml:space="preserve">Inhibítory ACE spôsobujú vyššie percento angioedému u pacientov čiernej rasy </w:t>
      </w:r>
      <w:r w:rsidR="00B701E1" w:rsidRPr="006E1548">
        <w:rPr>
          <w:szCs w:val="22"/>
          <w:lang w:val="sk-SK"/>
        </w:rPr>
        <w:t>ako</w:t>
      </w:r>
      <w:r w:rsidRPr="006E1548">
        <w:rPr>
          <w:szCs w:val="22"/>
          <w:lang w:val="sk-SK"/>
        </w:rPr>
        <w:t xml:space="preserve"> u pacientov iných rás.</w:t>
      </w:r>
    </w:p>
    <w:p w:rsidR="0053206B" w:rsidRPr="006E1548" w:rsidRDefault="0053206B" w:rsidP="0053206B">
      <w:pPr>
        <w:spacing w:line="240" w:lineRule="auto"/>
        <w:rPr>
          <w:bCs/>
          <w:iCs/>
          <w:szCs w:val="22"/>
          <w:lang w:val="sk-SK"/>
        </w:rPr>
      </w:pPr>
      <w:r w:rsidRPr="006E1548">
        <w:rPr>
          <w:szCs w:val="22"/>
          <w:lang w:val="sk-SK"/>
        </w:rPr>
        <w:t>Podobne ako iné inhibítory ACE, môže byť perindopril menej účinný v znižovaní krvného tlaku u pacientov čiernej rasy v porovnaní s inými rasami, možno z dôvodu vyššej prevalencie stavov s nízkou hladinou renínu v hypertenznej černošskej populácii.</w:t>
      </w:r>
    </w:p>
    <w:p w:rsidR="0053206B" w:rsidRPr="006E1548" w:rsidRDefault="0053206B" w:rsidP="0053206B">
      <w:pPr>
        <w:spacing w:line="240" w:lineRule="auto"/>
        <w:rPr>
          <w:szCs w:val="22"/>
          <w:u w:val="single"/>
          <w:lang w:val="sk-SK"/>
        </w:rPr>
      </w:pPr>
    </w:p>
    <w:p w:rsidR="0053206B" w:rsidRPr="006E1548" w:rsidRDefault="0053206B" w:rsidP="0053206B">
      <w:pPr>
        <w:spacing w:line="240" w:lineRule="auto"/>
        <w:rPr>
          <w:szCs w:val="22"/>
          <w:u w:val="single"/>
          <w:lang w:val="sk-SK"/>
        </w:rPr>
      </w:pPr>
      <w:r w:rsidRPr="006E1548">
        <w:rPr>
          <w:szCs w:val="22"/>
          <w:u w:val="single"/>
          <w:lang w:val="sk-SK"/>
        </w:rPr>
        <w:t>Kašeľ:</w:t>
      </w:r>
    </w:p>
    <w:p w:rsidR="0053206B" w:rsidRPr="006E1548" w:rsidRDefault="0053206B" w:rsidP="0053206B">
      <w:pPr>
        <w:spacing w:line="240" w:lineRule="auto"/>
        <w:rPr>
          <w:szCs w:val="22"/>
          <w:lang w:val="sk-SK"/>
        </w:rPr>
      </w:pPr>
      <w:r w:rsidRPr="006E1548">
        <w:rPr>
          <w:szCs w:val="22"/>
          <w:lang w:val="sk-SK"/>
        </w:rPr>
        <w:t>Pri používaní inhibítorov ACE bol hlásený kašeľ. Tento kašeľ je zvyčajne neproduktívny, pretrvávajúci a ustupuje po ukončení liečby. Kašeľ vyvolaný inhibítorom ACE sa má brať do úvahy ako súčasť diferenciálnej diagnostiky kašľa.</w:t>
      </w:r>
    </w:p>
    <w:p w:rsidR="0053206B" w:rsidRPr="006E1548" w:rsidRDefault="0053206B" w:rsidP="000322EB">
      <w:pPr>
        <w:rPr>
          <w:i/>
          <w:szCs w:val="22"/>
          <w:lang w:val="sk-SK"/>
        </w:rPr>
      </w:pPr>
    </w:p>
    <w:p w:rsidR="0053206B" w:rsidRPr="006E1548" w:rsidRDefault="0053206B" w:rsidP="0053206B">
      <w:pPr>
        <w:spacing w:line="240" w:lineRule="auto"/>
        <w:rPr>
          <w:szCs w:val="22"/>
          <w:u w:val="single"/>
          <w:lang w:val="sk-SK"/>
        </w:rPr>
      </w:pPr>
      <w:r w:rsidRPr="006E1548">
        <w:rPr>
          <w:szCs w:val="22"/>
          <w:u w:val="single"/>
          <w:lang w:val="sk-SK"/>
        </w:rPr>
        <w:t>Hyperkaliémia:</w:t>
      </w:r>
    </w:p>
    <w:p w:rsidR="0053206B" w:rsidRPr="006E1548" w:rsidRDefault="0053206B" w:rsidP="0053206B">
      <w:pPr>
        <w:spacing w:line="240" w:lineRule="auto"/>
        <w:rPr>
          <w:szCs w:val="22"/>
          <w:lang w:val="sk-SK"/>
        </w:rPr>
      </w:pPr>
      <w:r w:rsidRPr="006E1548">
        <w:rPr>
          <w:szCs w:val="22"/>
          <w:lang w:val="sk-SK"/>
        </w:rPr>
        <w:t>Zvýšenie hladín draslíka v sére bolo pozorované u niektorých pacientov liečených inhibítormi ACE vrátane perindoprilu. Medzi rizikové faktory vývinu hy</w:t>
      </w:r>
      <w:r w:rsidRPr="006E1548">
        <w:rPr>
          <w:bCs/>
          <w:iCs/>
          <w:szCs w:val="22"/>
          <w:lang w:val="sk-SK"/>
        </w:rPr>
        <w:t xml:space="preserve">perkaliémie patria renálna insuficiencia, zhoršenie funkcie obličiek, vek (&gt; 70 rokov), diabetes mellitus, pridružené udalosti, obzvlášť dehydratácia, akútna srdcová dekompenzácia, metabolická acidóza a súbežné užívanie </w:t>
      </w:r>
      <w:r w:rsidRPr="006E1548">
        <w:rPr>
          <w:szCs w:val="22"/>
          <w:lang w:val="sk-SK"/>
        </w:rPr>
        <w:t xml:space="preserve">draslík šetriacich diuretík (napr. spironolaktón, eplerenón, triamterén alebo amilorid), doplnkov draslíka alebo soľných náhrad s obsahom draslíka; alebo pacienti užívajúci iné lieky spojené so zvýšením hladín </w:t>
      </w:r>
      <w:r w:rsidRPr="006E1548">
        <w:rPr>
          <w:szCs w:val="22"/>
          <w:lang w:val="sk-SK"/>
        </w:rPr>
        <w:lastRenderedPageBreak/>
        <w:t>draslíka v sére (napr. heparín). Použitie doplnkov draslíka, draslík šetriacich diuretík alebo soľných náhrad s obsahom draslíka môže hlavne u pacientov s poruchou funkcie obličiek viesť k významnému nárastu draslíka v sére</w:t>
      </w:r>
      <w:r w:rsidRPr="006E1548">
        <w:rPr>
          <w:bCs/>
          <w:iCs/>
          <w:szCs w:val="22"/>
          <w:lang w:val="sk-SK"/>
        </w:rPr>
        <w:t xml:space="preserve">. Hyperkaliémia môže spôsobiť vážne, niekedy fatálne arytmie. </w:t>
      </w:r>
      <w:r w:rsidRPr="006E1548">
        <w:rPr>
          <w:szCs w:val="22"/>
          <w:lang w:val="sk-SK"/>
        </w:rPr>
        <w:t>Ak sa súbežné použitie vyššie uvedených látok považuje za potrebné, majú sa užívať s opatrnosťou a s častým sledovaním hladiny draslíka v sére (pozri časť 4.5).</w:t>
      </w:r>
    </w:p>
    <w:p w:rsidR="0053206B" w:rsidRPr="006E1548" w:rsidRDefault="0053206B" w:rsidP="000322EB">
      <w:pPr>
        <w:rPr>
          <w:i/>
          <w:szCs w:val="22"/>
          <w:lang w:val="sk-SK"/>
        </w:rPr>
      </w:pPr>
    </w:p>
    <w:p w:rsidR="0053206B" w:rsidRPr="006E1548" w:rsidRDefault="0053206B" w:rsidP="0053206B">
      <w:pPr>
        <w:spacing w:line="240" w:lineRule="auto"/>
        <w:rPr>
          <w:bCs/>
          <w:iCs/>
          <w:szCs w:val="22"/>
          <w:u w:val="single"/>
          <w:lang w:val="sk-SK"/>
        </w:rPr>
      </w:pPr>
      <w:r w:rsidRPr="006E1548">
        <w:rPr>
          <w:bCs/>
          <w:iCs/>
          <w:szCs w:val="22"/>
          <w:u w:val="single"/>
          <w:lang w:val="sk-SK"/>
        </w:rPr>
        <w:t>Kombinácia s lítiom:</w:t>
      </w:r>
    </w:p>
    <w:p w:rsidR="0053206B" w:rsidRPr="006E1548" w:rsidRDefault="0053206B" w:rsidP="0053206B">
      <w:pPr>
        <w:spacing w:line="240" w:lineRule="auto"/>
        <w:rPr>
          <w:szCs w:val="22"/>
          <w:lang w:val="sk-SK"/>
        </w:rPr>
      </w:pPr>
      <w:r w:rsidRPr="006E1548">
        <w:rPr>
          <w:szCs w:val="22"/>
          <w:lang w:val="sk-SK"/>
        </w:rPr>
        <w:t>Kombinácia lítia a perindoprilu sa všeobecne neodporúča (pozri časť 4.5).</w:t>
      </w:r>
    </w:p>
    <w:p w:rsidR="008C35DB" w:rsidRPr="006E1548" w:rsidRDefault="008C35DB" w:rsidP="0053206B">
      <w:pPr>
        <w:spacing w:line="240" w:lineRule="auto"/>
        <w:rPr>
          <w:szCs w:val="22"/>
          <w:lang w:val="sk-SK"/>
        </w:rPr>
      </w:pPr>
    </w:p>
    <w:p w:rsidR="008C35DB" w:rsidRPr="006E1548" w:rsidRDefault="008C35DB" w:rsidP="0053206B">
      <w:pPr>
        <w:spacing w:line="240" w:lineRule="auto"/>
        <w:rPr>
          <w:bCs/>
          <w:szCs w:val="22"/>
          <w:u w:val="single"/>
          <w:lang w:val="sk-SK"/>
        </w:rPr>
      </w:pPr>
      <w:r w:rsidRPr="006E1548">
        <w:rPr>
          <w:bCs/>
          <w:szCs w:val="22"/>
          <w:u w:val="single"/>
          <w:lang w:val="sk-SK"/>
        </w:rPr>
        <w:t>Kombinácia s draslík šetriacimi liekmi, doplnkami draslíka alebo soľnými náhrad</w:t>
      </w:r>
      <w:r w:rsidR="00001353" w:rsidRPr="006E1548">
        <w:rPr>
          <w:bCs/>
          <w:szCs w:val="22"/>
          <w:u w:val="single"/>
          <w:lang w:val="sk-SK"/>
        </w:rPr>
        <w:t>ami</w:t>
      </w:r>
      <w:r w:rsidRPr="006E1548">
        <w:rPr>
          <w:bCs/>
          <w:szCs w:val="22"/>
          <w:u w:val="single"/>
          <w:lang w:val="sk-SK"/>
        </w:rPr>
        <w:t xml:space="preserve"> s obsahom draslíka:</w:t>
      </w:r>
    </w:p>
    <w:p w:rsidR="008C35DB" w:rsidRPr="006E1548" w:rsidRDefault="008C35DB" w:rsidP="0053206B">
      <w:pPr>
        <w:spacing w:line="240" w:lineRule="auto"/>
        <w:rPr>
          <w:szCs w:val="22"/>
          <w:lang w:val="sk-SK"/>
        </w:rPr>
      </w:pPr>
      <w:r w:rsidRPr="006E1548">
        <w:rPr>
          <w:szCs w:val="22"/>
          <w:lang w:val="sk-SK"/>
        </w:rPr>
        <w:t>Všeobecne sa kombinácia perindoprilu a draslík šetriacich liekov, doplnkov draslíka alebo soľných náhrad s obsahom draslíka neodporúča (pozri časť 4.5).</w:t>
      </w:r>
    </w:p>
    <w:p w:rsidR="0053206B" w:rsidRPr="006E1548" w:rsidRDefault="0053206B" w:rsidP="0053206B">
      <w:pPr>
        <w:spacing w:line="240" w:lineRule="auto"/>
        <w:rPr>
          <w:szCs w:val="22"/>
          <w:lang w:val="sk-SK"/>
        </w:rPr>
      </w:pPr>
    </w:p>
    <w:p w:rsidR="0053206B" w:rsidRPr="006E1548" w:rsidRDefault="0053206B" w:rsidP="00183C84">
      <w:pPr>
        <w:spacing w:line="240" w:lineRule="auto"/>
        <w:rPr>
          <w:bCs/>
          <w:iCs/>
          <w:szCs w:val="22"/>
          <w:u w:val="single"/>
          <w:lang w:val="sk-SK"/>
        </w:rPr>
      </w:pPr>
      <w:r w:rsidRPr="006E1548">
        <w:rPr>
          <w:bCs/>
          <w:iCs/>
          <w:szCs w:val="22"/>
          <w:u w:val="single"/>
          <w:lang w:val="sk-SK"/>
        </w:rPr>
        <w:t>Duálna inhibícia systému renín-angiotenzín-aldosterón (RAAS)</w:t>
      </w:r>
      <w:r w:rsidR="008C35DB" w:rsidRPr="006E1548">
        <w:rPr>
          <w:bCs/>
          <w:iCs/>
          <w:szCs w:val="22"/>
          <w:u w:val="single"/>
          <w:lang w:val="sk-SK"/>
        </w:rPr>
        <w:t>:</w:t>
      </w:r>
    </w:p>
    <w:p w:rsidR="0053206B" w:rsidRPr="006E1548" w:rsidRDefault="0053206B" w:rsidP="00183C84">
      <w:pPr>
        <w:spacing w:line="240" w:lineRule="auto"/>
        <w:rPr>
          <w:bCs/>
          <w:iCs/>
          <w:szCs w:val="22"/>
          <w:lang w:val="sk-SK"/>
        </w:rPr>
      </w:pPr>
      <w:r w:rsidRPr="006E1548">
        <w:rPr>
          <w:bCs/>
          <w:iCs/>
          <w:szCs w:val="22"/>
          <w:lang w:val="sk-SK"/>
        </w:rPr>
        <w:t>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p>
    <w:p w:rsidR="0053206B" w:rsidRPr="006E1548" w:rsidRDefault="0053206B" w:rsidP="0053206B">
      <w:pPr>
        <w:spacing w:line="240" w:lineRule="auto"/>
        <w:rPr>
          <w:szCs w:val="22"/>
          <w:lang w:val="sk-SK"/>
        </w:rPr>
      </w:pPr>
      <w:r w:rsidRPr="006E1548">
        <w:rPr>
          <w:szCs w:val="22"/>
          <w:lang w:val="sk-SK"/>
        </w:rPr>
        <w:t>Ak sa liečba duálnou inhibíciou považuje za absolútne nevyhnutnú, má sa podať iba pod dohľadom odborníka a u pacienta sa má často a dôsledne kontrolovať funkcia obličiek, elektrolyty a krvný tlak.</w:t>
      </w:r>
    </w:p>
    <w:p w:rsidR="0053206B" w:rsidRPr="006E1548" w:rsidRDefault="0053206B" w:rsidP="0053206B">
      <w:pPr>
        <w:spacing w:line="240" w:lineRule="auto"/>
        <w:rPr>
          <w:szCs w:val="22"/>
          <w:lang w:val="sk-SK"/>
        </w:rPr>
      </w:pPr>
      <w:r w:rsidRPr="006E1548">
        <w:rPr>
          <w:szCs w:val="22"/>
          <w:lang w:val="sk-SK"/>
        </w:rPr>
        <w:t>Inhibítory ACE a blokátory receptorov angiotenzínu II sa nemajú súbežne používať u pacientov s diabetickou nefropatiou.</w:t>
      </w:r>
    </w:p>
    <w:p w:rsidR="0053206B" w:rsidRPr="006E1548" w:rsidRDefault="0053206B" w:rsidP="000322EB">
      <w:pPr>
        <w:rPr>
          <w:i/>
          <w:szCs w:val="22"/>
          <w:lang w:val="sk-SK"/>
        </w:rPr>
      </w:pPr>
    </w:p>
    <w:p w:rsidR="0053206B" w:rsidRPr="006E1548" w:rsidRDefault="000534BE" w:rsidP="000322EB">
      <w:pPr>
        <w:rPr>
          <w:szCs w:val="22"/>
          <w:lang w:val="sk-SK"/>
        </w:rPr>
      </w:pPr>
      <w:r w:rsidRPr="006E1548">
        <w:rPr>
          <w:szCs w:val="22"/>
          <w:u w:val="single"/>
          <w:lang w:val="sk-SK"/>
        </w:rPr>
        <w:t>Kombinácia s antagonistami kalcia, antiarytmikami I. triedy a centrálne pôsobiacimi antihypertenzívami:</w:t>
      </w:r>
    </w:p>
    <w:p w:rsidR="000534BE" w:rsidRPr="006E1548" w:rsidRDefault="000534BE" w:rsidP="000322EB">
      <w:pPr>
        <w:rPr>
          <w:szCs w:val="22"/>
          <w:lang w:val="sk-SK"/>
        </w:rPr>
      </w:pPr>
      <w:r w:rsidRPr="006E1548">
        <w:rPr>
          <w:szCs w:val="22"/>
          <w:lang w:val="sk-SK"/>
        </w:rPr>
        <w:t>Kombinácia bisoprololu s antag</w:t>
      </w:r>
      <w:r w:rsidR="00EB5798" w:rsidRPr="006E1548">
        <w:rPr>
          <w:szCs w:val="22"/>
          <w:lang w:val="sk-SK"/>
        </w:rPr>
        <w:t>o</w:t>
      </w:r>
      <w:r w:rsidRPr="006E1548">
        <w:rPr>
          <w:szCs w:val="22"/>
          <w:lang w:val="sk-SK"/>
        </w:rPr>
        <w:t>nistami kalcia typu verapamil alebo diltiazem</w:t>
      </w:r>
      <w:r w:rsidR="00B65690" w:rsidRPr="006E1548">
        <w:rPr>
          <w:szCs w:val="22"/>
          <w:lang w:val="sk-SK"/>
        </w:rPr>
        <w:t>, antiarytmikami I. triedy a centrálne pôsobiacimi antihypertenzívami sa všeobecne neodporúča (pozri časť 4.5).</w:t>
      </w:r>
    </w:p>
    <w:p w:rsidR="00EB5798" w:rsidRPr="006E1548" w:rsidRDefault="00EB5798" w:rsidP="000322EB">
      <w:pPr>
        <w:rPr>
          <w:szCs w:val="22"/>
          <w:lang w:val="sk-SK"/>
        </w:rPr>
      </w:pPr>
    </w:p>
    <w:p w:rsidR="00EB5798" w:rsidRPr="006E1548" w:rsidRDefault="00EB5798" w:rsidP="000322EB">
      <w:pPr>
        <w:rPr>
          <w:szCs w:val="22"/>
          <w:u w:val="single"/>
          <w:lang w:val="sk-SK"/>
        </w:rPr>
      </w:pPr>
      <w:r w:rsidRPr="006E1548">
        <w:rPr>
          <w:szCs w:val="22"/>
          <w:u w:val="single"/>
          <w:lang w:val="sk-SK"/>
        </w:rPr>
        <w:t>Zastavenie liečby:</w:t>
      </w:r>
    </w:p>
    <w:p w:rsidR="00EB5798" w:rsidRPr="006E1548" w:rsidRDefault="00EB5798" w:rsidP="000322EB">
      <w:pPr>
        <w:rPr>
          <w:szCs w:val="22"/>
          <w:lang w:val="sk-SK"/>
        </w:rPr>
      </w:pPr>
      <w:r w:rsidRPr="006E1548">
        <w:rPr>
          <w:szCs w:val="22"/>
          <w:lang w:val="sk-SK"/>
        </w:rPr>
        <w:t>Náhlemu zastaveniu liečby betablokátorom sa má vyhnúť najmä u pacientov s ischemic</w:t>
      </w:r>
      <w:r w:rsidR="006D4C20" w:rsidRPr="006E1548">
        <w:rPr>
          <w:szCs w:val="22"/>
          <w:lang w:val="sk-SK"/>
        </w:rPr>
        <w:t>k</w:t>
      </w:r>
      <w:r w:rsidRPr="006E1548">
        <w:rPr>
          <w:szCs w:val="22"/>
          <w:lang w:val="sk-SK"/>
        </w:rPr>
        <w:t>ou chorobou srdca</w:t>
      </w:r>
      <w:r w:rsidR="006D4C20" w:rsidRPr="006E1548">
        <w:rPr>
          <w:szCs w:val="22"/>
          <w:lang w:val="sk-SK"/>
        </w:rPr>
        <w:t xml:space="preserve">, </w:t>
      </w:r>
      <w:r w:rsidR="00B65690" w:rsidRPr="006E1548">
        <w:rPr>
          <w:szCs w:val="22"/>
          <w:lang w:val="sk-SK"/>
        </w:rPr>
        <w:t>pretože to</w:t>
      </w:r>
      <w:r w:rsidR="006D4C20" w:rsidRPr="006E1548">
        <w:rPr>
          <w:szCs w:val="22"/>
          <w:lang w:val="sk-SK"/>
        </w:rPr>
        <w:t xml:space="preserve"> môže viesť k prechodnému zhoršeniu stavu srdca.</w:t>
      </w:r>
      <w:r w:rsidR="00B65690" w:rsidRPr="006E1548">
        <w:rPr>
          <w:szCs w:val="22"/>
          <w:lang w:val="sk-SK"/>
        </w:rPr>
        <w:t xml:space="preserve"> </w:t>
      </w:r>
      <w:r w:rsidR="006D4C20" w:rsidRPr="006E1548">
        <w:rPr>
          <w:szCs w:val="22"/>
          <w:lang w:val="sk-SK"/>
        </w:rPr>
        <w:t xml:space="preserve">Dávkovanie sa má znižovať postupne za použitia jednotlivých zložiek, ideálne počas obdobia dvoch týždňov, počas ktorého sa v prípade potreby má v rovnakom čase začať </w:t>
      </w:r>
      <w:r w:rsidR="005E15E2" w:rsidRPr="006E1548">
        <w:rPr>
          <w:szCs w:val="22"/>
          <w:lang w:val="sk-SK"/>
        </w:rPr>
        <w:t>substitučná liečba.</w:t>
      </w:r>
    </w:p>
    <w:p w:rsidR="005E15E2" w:rsidRPr="006E1548" w:rsidRDefault="005E15E2" w:rsidP="000322EB">
      <w:pPr>
        <w:rPr>
          <w:szCs w:val="22"/>
          <w:lang w:val="sk-SK"/>
        </w:rPr>
      </w:pPr>
    </w:p>
    <w:p w:rsidR="005E15E2" w:rsidRPr="006E1548" w:rsidRDefault="005E15E2" w:rsidP="000322EB">
      <w:pPr>
        <w:rPr>
          <w:szCs w:val="22"/>
          <w:u w:val="single"/>
          <w:lang w:val="sk-SK"/>
        </w:rPr>
      </w:pPr>
      <w:r w:rsidRPr="006E1548">
        <w:rPr>
          <w:szCs w:val="22"/>
          <w:u w:val="single"/>
          <w:lang w:val="sk-SK"/>
        </w:rPr>
        <w:t>Bradykardia:</w:t>
      </w:r>
    </w:p>
    <w:p w:rsidR="005E15E2" w:rsidRPr="006E1548" w:rsidRDefault="005E15E2" w:rsidP="000322EB">
      <w:pPr>
        <w:rPr>
          <w:szCs w:val="22"/>
          <w:lang w:val="sk-SK"/>
        </w:rPr>
      </w:pPr>
      <w:r w:rsidRPr="006E1548">
        <w:rPr>
          <w:szCs w:val="22"/>
          <w:lang w:val="sk-SK"/>
        </w:rPr>
        <w:t>Ak sa počas liečby pokojová srdcová frekvencia znižuje pod 50-55 úderov za minútu a pacient má príznaky súvisiace s bradykardiou, tak sa má dávka Prestilolu titrovať nadol za použitia jednotlivých zložiek s primeranou dávkou bisoprololu.</w:t>
      </w:r>
    </w:p>
    <w:p w:rsidR="005E15E2" w:rsidRPr="006E1548" w:rsidRDefault="005E15E2" w:rsidP="000322EB">
      <w:pPr>
        <w:rPr>
          <w:szCs w:val="22"/>
          <w:lang w:val="sk-SK"/>
        </w:rPr>
      </w:pPr>
    </w:p>
    <w:p w:rsidR="005E15E2" w:rsidRPr="006E1548" w:rsidRDefault="005E15E2" w:rsidP="000322EB">
      <w:pPr>
        <w:rPr>
          <w:szCs w:val="22"/>
          <w:lang w:val="sk-SK"/>
        </w:rPr>
      </w:pPr>
      <w:r w:rsidRPr="006E1548">
        <w:rPr>
          <w:szCs w:val="22"/>
          <w:u w:val="single"/>
          <w:lang w:val="sk-SK"/>
        </w:rPr>
        <w:t>AV blokáda prvého stupňa:</w:t>
      </w:r>
    </w:p>
    <w:p w:rsidR="005E15E2" w:rsidRPr="006E1548" w:rsidRDefault="005E15E2" w:rsidP="000322EB">
      <w:pPr>
        <w:rPr>
          <w:szCs w:val="22"/>
          <w:lang w:val="sk-SK"/>
        </w:rPr>
      </w:pPr>
      <w:r w:rsidRPr="006E1548">
        <w:rPr>
          <w:szCs w:val="22"/>
          <w:lang w:val="sk-SK"/>
        </w:rPr>
        <w:t>Vzhľadom na ich negatívne dromotropný účinok sa majú betablokátory podávať s opatrnosťou pacientom s AV blokádou prvého stupňa.</w:t>
      </w:r>
    </w:p>
    <w:p w:rsidR="00DA44C4" w:rsidRPr="006E1548" w:rsidRDefault="00DA44C4" w:rsidP="000322EB">
      <w:pPr>
        <w:rPr>
          <w:szCs w:val="22"/>
          <w:lang w:val="sk-SK"/>
        </w:rPr>
      </w:pPr>
    </w:p>
    <w:p w:rsidR="00247676" w:rsidRPr="006E1548" w:rsidRDefault="00247676" w:rsidP="00247676">
      <w:pPr>
        <w:spacing w:line="240" w:lineRule="auto"/>
        <w:rPr>
          <w:bCs/>
          <w:iCs/>
          <w:szCs w:val="22"/>
          <w:u w:val="single"/>
          <w:lang w:val="sk-SK"/>
        </w:rPr>
      </w:pPr>
      <w:r w:rsidRPr="006E1548">
        <w:rPr>
          <w:bCs/>
          <w:iCs/>
          <w:szCs w:val="22"/>
          <w:u w:val="single"/>
          <w:lang w:val="sk-SK"/>
        </w:rPr>
        <w:t>Stenóza aortálnej a mitrálnej chlopne/hypertrofická kardiomyopatia:</w:t>
      </w:r>
    </w:p>
    <w:p w:rsidR="00247676" w:rsidRPr="006E1548" w:rsidRDefault="00247676" w:rsidP="00247676">
      <w:pPr>
        <w:spacing w:line="240" w:lineRule="auto"/>
        <w:rPr>
          <w:szCs w:val="22"/>
          <w:lang w:val="sk-SK"/>
        </w:rPr>
      </w:pPr>
      <w:r w:rsidRPr="006E1548">
        <w:rPr>
          <w:szCs w:val="22"/>
          <w:lang w:val="sk-SK"/>
        </w:rPr>
        <w:t>Rovnako ako iné inhibítory ACE sa má perindopril podávať s opatrnosťou pacientom so stenózou mitrálnej chlopne a obštrukciou prietoku ľavej komory</w:t>
      </w:r>
      <w:r w:rsidR="00001353" w:rsidRPr="006E1548">
        <w:rPr>
          <w:szCs w:val="22"/>
          <w:lang w:val="sk-SK"/>
        </w:rPr>
        <w:t>,</w:t>
      </w:r>
      <w:r w:rsidRPr="006E1548">
        <w:rPr>
          <w:szCs w:val="22"/>
          <w:lang w:val="sk-SK"/>
        </w:rPr>
        <w:t xml:space="preserve"> ako je aortálna stenóza alebo hypertrofická kardiomyopatia.</w:t>
      </w:r>
    </w:p>
    <w:p w:rsidR="00DA44C4" w:rsidRPr="006E1548" w:rsidRDefault="00DA44C4" w:rsidP="000322EB">
      <w:pPr>
        <w:rPr>
          <w:szCs w:val="22"/>
          <w:lang w:val="sk-SK"/>
        </w:rPr>
      </w:pPr>
    </w:p>
    <w:p w:rsidR="002D7721" w:rsidRPr="006E1548" w:rsidRDefault="002D7721" w:rsidP="000322EB">
      <w:pPr>
        <w:rPr>
          <w:szCs w:val="22"/>
          <w:u w:val="single"/>
          <w:lang w:val="sk-SK"/>
        </w:rPr>
      </w:pPr>
      <w:r w:rsidRPr="006E1548">
        <w:rPr>
          <w:szCs w:val="22"/>
          <w:u w:val="single"/>
          <w:lang w:val="sk-SK"/>
        </w:rPr>
        <w:t>Prinzmetalova angina:</w:t>
      </w:r>
    </w:p>
    <w:p w:rsidR="002D7721" w:rsidRPr="006E1548" w:rsidRDefault="002D7721" w:rsidP="000322EB">
      <w:pPr>
        <w:rPr>
          <w:szCs w:val="22"/>
          <w:lang w:val="sk-SK"/>
        </w:rPr>
      </w:pPr>
      <w:r w:rsidRPr="006E1548">
        <w:rPr>
          <w:szCs w:val="22"/>
          <w:lang w:val="sk-SK"/>
        </w:rPr>
        <w:t>Betablokátory môžu zvýšiť počet a trvanie epizód anginy u pacientov s Prinzmetalovou anginou. Použitie selektívnych blokátorov beta-1 adrenergných receptorov je možné pri miernych prípadoch a iba v kombinácii s </w:t>
      </w:r>
      <w:r w:rsidR="00AF3976" w:rsidRPr="006E1548">
        <w:rPr>
          <w:szCs w:val="22"/>
          <w:lang w:val="sk-SK"/>
        </w:rPr>
        <w:t>vazodilatanciam</w:t>
      </w:r>
      <w:r w:rsidRPr="006E1548">
        <w:rPr>
          <w:szCs w:val="22"/>
          <w:lang w:val="sk-SK"/>
        </w:rPr>
        <w:t>i.</w:t>
      </w:r>
    </w:p>
    <w:p w:rsidR="00AF3976" w:rsidRPr="006E1548" w:rsidRDefault="00AF3976" w:rsidP="00AF3976">
      <w:pPr>
        <w:spacing w:line="240" w:lineRule="auto"/>
        <w:rPr>
          <w:bCs/>
          <w:szCs w:val="22"/>
          <w:u w:val="single"/>
          <w:lang w:val="sk-SK"/>
        </w:rPr>
      </w:pPr>
    </w:p>
    <w:p w:rsidR="00AF3976" w:rsidRPr="006E1548" w:rsidRDefault="00AF3976" w:rsidP="00AF3976">
      <w:pPr>
        <w:spacing w:line="240" w:lineRule="auto"/>
        <w:rPr>
          <w:bCs/>
          <w:iCs/>
          <w:szCs w:val="22"/>
          <w:u w:val="single"/>
          <w:lang w:val="sk-SK"/>
        </w:rPr>
      </w:pPr>
      <w:r w:rsidRPr="006E1548">
        <w:rPr>
          <w:bCs/>
          <w:szCs w:val="22"/>
          <w:u w:val="single"/>
          <w:lang w:val="sk-SK"/>
        </w:rPr>
        <w:lastRenderedPageBreak/>
        <w:t>Porucha funkcie obličiek</w:t>
      </w:r>
      <w:r w:rsidRPr="006E1548">
        <w:rPr>
          <w:bCs/>
          <w:iCs/>
          <w:szCs w:val="22"/>
          <w:u w:val="single"/>
          <w:lang w:val="sk-SK"/>
        </w:rPr>
        <w:t>:</w:t>
      </w:r>
    </w:p>
    <w:p w:rsidR="00AF3976" w:rsidRPr="006E1548" w:rsidRDefault="00AF3976" w:rsidP="00AF3976">
      <w:pPr>
        <w:spacing w:line="240" w:lineRule="auto"/>
        <w:rPr>
          <w:szCs w:val="22"/>
          <w:lang w:val="sk-SK"/>
        </w:rPr>
      </w:pPr>
      <w:r w:rsidRPr="006E1548">
        <w:rPr>
          <w:szCs w:val="22"/>
          <w:lang w:val="sk-SK"/>
        </w:rPr>
        <w:t>V prípade poruchy funkcie obličiek sa má denná dávka Prestilolu upraviť podľa klírensu kreatinínu (pozri časť 4.2). U týchto pacientov je rutinné monitorovanie draslíka a kreatinínu súčasťou bežnej lekárskej praxe (pozri časť 4.8).</w:t>
      </w:r>
    </w:p>
    <w:p w:rsidR="00AF3976" w:rsidRPr="006E1548" w:rsidRDefault="00AF3976" w:rsidP="00AF3976">
      <w:pPr>
        <w:spacing w:line="240" w:lineRule="auto"/>
        <w:rPr>
          <w:szCs w:val="22"/>
          <w:lang w:val="sk-SK"/>
        </w:rPr>
      </w:pPr>
      <w:r w:rsidRPr="006E1548">
        <w:rPr>
          <w:szCs w:val="22"/>
          <w:lang w:val="sk-SK"/>
        </w:rPr>
        <w:t>U pacientov so symptomatickým srdcovým zlyhávaním môže viesť hypotenzia navodená po začatí liečby inhibítormi ACE k ďalšej poruche funkcie obličiek. V takejto situácii bolo hlásené akútne, zvyčajne reverzibilné renálne zlyhanie.</w:t>
      </w:r>
    </w:p>
    <w:p w:rsidR="00AF3976" w:rsidRPr="006E1548" w:rsidRDefault="00AF3976" w:rsidP="00AF3976">
      <w:pPr>
        <w:spacing w:line="240" w:lineRule="auto"/>
        <w:rPr>
          <w:szCs w:val="22"/>
          <w:lang w:val="sk-SK"/>
        </w:rPr>
      </w:pPr>
      <w:r w:rsidRPr="006E1548">
        <w:rPr>
          <w:szCs w:val="22"/>
          <w:lang w:val="sk-SK"/>
        </w:rPr>
        <w:t>U niektorých pacientov s bilaterálnou stenózou renálnej artérie alebo stenózou artérie solitérnej obličky, ktorí boli liečení inhibítormi ACE, boli pozorované zvýšenia urey v krvi a sérového kreatinínu, ktoré boli zvyčajne reverzibilné po ukončení liečby. Je to pravdepodobné najmä u pacientov s renálnou insuficienciou. Ak je prítomná aj renovaskulárna hypertenzia, tak je zvýšené</w:t>
      </w:r>
      <w:r w:rsidR="00C75790" w:rsidRPr="006E1548">
        <w:rPr>
          <w:szCs w:val="22"/>
          <w:lang w:val="sk-SK"/>
        </w:rPr>
        <w:t xml:space="preserve"> riziko</w:t>
      </w:r>
      <w:r w:rsidRPr="006E1548">
        <w:rPr>
          <w:szCs w:val="22"/>
          <w:lang w:val="sk-SK"/>
        </w:rPr>
        <w:t xml:space="preserve"> ťažkej hypotenzie a renálnej insuficiencie.</w:t>
      </w:r>
      <w:r w:rsidR="00184DCE" w:rsidRPr="006E1548">
        <w:rPr>
          <w:szCs w:val="22"/>
          <w:lang w:val="sk-SK"/>
        </w:rPr>
        <w:t xml:space="preserve"> U týchto pacientov sa má liečba začať pod starostlivým lekárskym dohľadom s nízkymi dávkami a starostlivou titráciou dávky. Vzhľadom na to, že diuretiká môžu byť prispievajúcim faktorom k vyššie uvedenému, má sa liečba nimi ukončiť a funkcia obličiek sa má sledovať počas prvých týždňov liečby.</w:t>
      </w:r>
    </w:p>
    <w:p w:rsidR="00AF3976" w:rsidRPr="006E1548" w:rsidRDefault="00AF3976" w:rsidP="00AF3976">
      <w:pPr>
        <w:spacing w:line="240" w:lineRule="auto"/>
        <w:rPr>
          <w:bCs/>
          <w:iCs/>
          <w:szCs w:val="22"/>
          <w:lang w:val="sk-SK"/>
        </w:rPr>
      </w:pPr>
      <w:r w:rsidRPr="006E1548">
        <w:rPr>
          <w:szCs w:val="22"/>
          <w:lang w:val="sk-SK"/>
        </w:rPr>
        <w:t xml:space="preserve">U niektorých hypertonikov bez zjavného preexistujúceho renovaskulárneho ochorenia došlo k zvýšeniu hladín urey v krvi a sérového kreatinínu, ktoré bolo zvyčajne mierne a prechodné, najmä ak </w:t>
      </w:r>
      <w:r w:rsidR="00184DCE" w:rsidRPr="006E1548">
        <w:rPr>
          <w:szCs w:val="22"/>
          <w:lang w:val="sk-SK"/>
        </w:rPr>
        <w:t>sa</w:t>
      </w:r>
      <w:r w:rsidRPr="006E1548">
        <w:rPr>
          <w:szCs w:val="22"/>
          <w:lang w:val="sk-SK"/>
        </w:rPr>
        <w:t xml:space="preserve"> perindopril podáva</w:t>
      </w:r>
      <w:r w:rsidR="00184DCE" w:rsidRPr="006E1548">
        <w:rPr>
          <w:szCs w:val="22"/>
          <w:lang w:val="sk-SK"/>
        </w:rPr>
        <w:t>l</w:t>
      </w:r>
      <w:r w:rsidRPr="006E1548">
        <w:rPr>
          <w:szCs w:val="22"/>
          <w:lang w:val="sk-SK"/>
        </w:rPr>
        <w:t xml:space="preserve"> súbežne s diuretikom. K tomu môže dôjsť s väčšou pravdepodobnosťou u pacientov s preexistujúcou poruchou funkcie obličiek. Môže byť potrebné znížiť dávku a/alebo vysadiť diuretikum a/alebo </w:t>
      </w:r>
      <w:r w:rsidR="00184DCE" w:rsidRPr="006E1548">
        <w:rPr>
          <w:szCs w:val="22"/>
          <w:lang w:val="sk-SK"/>
        </w:rPr>
        <w:t>perindopril</w:t>
      </w:r>
      <w:r w:rsidRPr="006E1548">
        <w:rPr>
          <w:bCs/>
          <w:iCs/>
          <w:szCs w:val="22"/>
          <w:lang w:val="sk-SK"/>
        </w:rPr>
        <w:t>.</w:t>
      </w:r>
    </w:p>
    <w:p w:rsidR="00AF3976" w:rsidRPr="006E1548" w:rsidRDefault="00AF3976" w:rsidP="000322EB">
      <w:pPr>
        <w:rPr>
          <w:szCs w:val="22"/>
          <w:lang w:val="sk-SK"/>
        </w:rPr>
      </w:pPr>
    </w:p>
    <w:p w:rsidR="005F5D28" w:rsidRPr="006E1548" w:rsidRDefault="005F5D28" w:rsidP="005F5D28">
      <w:pPr>
        <w:spacing w:line="240" w:lineRule="auto"/>
        <w:rPr>
          <w:bCs/>
          <w:szCs w:val="22"/>
          <w:u w:val="single"/>
          <w:lang w:val="sk-SK"/>
        </w:rPr>
      </w:pPr>
      <w:r w:rsidRPr="006E1548">
        <w:rPr>
          <w:bCs/>
          <w:szCs w:val="22"/>
          <w:u w:val="single"/>
          <w:lang w:val="sk-SK"/>
        </w:rPr>
        <w:t>Transplantácia obličky:</w:t>
      </w:r>
    </w:p>
    <w:p w:rsidR="005F5D28" w:rsidRPr="006E1548" w:rsidRDefault="005F5D28" w:rsidP="005F5D28">
      <w:pPr>
        <w:spacing w:line="240" w:lineRule="auto"/>
        <w:rPr>
          <w:bCs/>
          <w:iCs/>
          <w:szCs w:val="22"/>
          <w:lang w:val="sk-SK"/>
        </w:rPr>
      </w:pPr>
      <w:r w:rsidRPr="006E1548">
        <w:rPr>
          <w:szCs w:val="22"/>
          <w:lang w:val="sk-SK"/>
        </w:rPr>
        <w:t>Nie sú skúsenosti s podávaním perindoprilu arginínu pacientom po nedávnej transplantácii obličky</w:t>
      </w:r>
      <w:r w:rsidRPr="006E1548">
        <w:rPr>
          <w:bCs/>
          <w:iCs/>
          <w:szCs w:val="22"/>
          <w:lang w:val="sk-SK"/>
        </w:rPr>
        <w:t>.</w:t>
      </w:r>
    </w:p>
    <w:p w:rsidR="00AF3976" w:rsidRPr="006E1548" w:rsidRDefault="00AF3976" w:rsidP="000322EB">
      <w:pPr>
        <w:rPr>
          <w:szCs w:val="22"/>
          <w:lang w:val="sk-SK"/>
        </w:rPr>
      </w:pPr>
    </w:p>
    <w:p w:rsidR="005F5D28" w:rsidRPr="006E1548" w:rsidRDefault="005F5D28" w:rsidP="005F5D28">
      <w:pPr>
        <w:spacing w:line="240" w:lineRule="auto"/>
        <w:rPr>
          <w:bCs/>
          <w:iCs/>
          <w:szCs w:val="22"/>
          <w:u w:val="single"/>
          <w:lang w:val="sk-SK"/>
        </w:rPr>
      </w:pPr>
      <w:r w:rsidRPr="006E1548">
        <w:rPr>
          <w:bCs/>
          <w:szCs w:val="22"/>
          <w:u w:val="single"/>
          <w:lang w:val="sk-SK"/>
        </w:rPr>
        <w:t>Hemodialyzovaní pacienti</w:t>
      </w:r>
      <w:r w:rsidRPr="006E1548">
        <w:rPr>
          <w:bCs/>
          <w:iCs/>
          <w:szCs w:val="22"/>
          <w:u w:val="single"/>
          <w:lang w:val="sk-SK"/>
        </w:rPr>
        <w:t>:</w:t>
      </w:r>
    </w:p>
    <w:p w:rsidR="005F5D28" w:rsidRPr="006E1548" w:rsidRDefault="005F5D28" w:rsidP="005F5D28">
      <w:pPr>
        <w:spacing w:line="240" w:lineRule="auto"/>
        <w:rPr>
          <w:szCs w:val="22"/>
          <w:lang w:val="sk-SK"/>
        </w:rPr>
      </w:pPr>
      <w:r w:rsidRPr="006E1548">
        <w:rPr>
          <w:szCs w:val="22"/>
          <w:lang w:val="sk-SK"/>
        </w:rPr>
        <w:t>U pacientov dialyzovaných pomocou vysokopriepustných membrán a súbežne liečených inhibítorom ACE boli hlásené anafylaktoidné reakcie. U týchto pacientov sa má zvážiť použitie iného typu dialyzačnej membrány alebo inej skupiny antihypertenzív.</w:t>
      </w:r>
    </w:p>
    <w:p w:rsidR="005F5D28" w:rsidRPr="006E1548" w:rsidRDefault="005F5D28" w:rsidP="005F5D28">
      <w:pPr>
        <w:spacing w:line="240" w:lineRule="auto"/>
        <w:rPr>
          <w:bCs/>
          <w:iCs/>
          <w:szCs w:val="22"/>
          <w:lang w:val="sk-SK"/>
        </w:rPr>
      </w:pPr>
    </w:p>
    <w:p w:rsidR="005F5D28" w:rsidRPr="006E1548" w:rsidRDefault="005F5D28" w:rsidP="005F5D28">
      <w:pPr>
        <w:spacing w:line="240" w:lineRule="auto"/>
        <w:rPr>
          <w:bCs/>
          <w:iCs/>
          <w:szCs w:val="22"/>
          <w:u w:val="single"/>
          <w:lang w:val="sk-SK"/>
        </w:rPr>
      </w:pPr>
      <w:r w:rsidRPr="006E1548">
        <w:rPr>
          <w:bCs/>
          <w:iCs/>
          <w:szCs w:val="22"/>
          <w:u w:val="single"/>
          <w:lang w:val="sk-SK"/>
        </w:rPr>
        <w:t>Anafylaktoidné reakcie počas aferézy lipoproteínov s nízkou hustotou (LDL):</w:t>
      </w:r>
    </w:p>
    <w:p w:rsidR="005F5D28" w:rsidRPr="006E1548" w:rsidRDefault="005F5D28" w:rsidP="005F5D28">
      <w:pPr>
        <w:spacing w:line="240" w:lineRule="auto"/>
        <w:rPr>
          <w:szCs w:val="22"/>
          <w:lang w:val="sk-SK"/>
        </w:rPr>
      </w:pPr>
      <w:r w:rsidRPr="006E1548">
        <w:rPr>
          <w:szCs w:val="22"/>
          <w:lang w:val="sk-SK"/>
        </w:rPr>
        <w:t>Zriedkavo sa u pacientov užívajúcich inhibítory ACE počas aferézy lipoproteínov s nízkou hustotou (LDL) síranom dextránu vyskytli život ohrozujúce anafylaktoidné reakcie. Týmto reakciám sa predišlo dočasným vysadením liečby inhibítormi ACE pred každou aferézou.</w:t>
      </w:r>
    </w:p>
    <w:p w:rsidR="005F5D28" w:rsidRPr="006E1548" w:rsidRDefault="005F5D28" w:rsidP="005F5D28">
      <w:pPr>
        <w:spacing w:line="240" w:lineRule="auto"/>
        <w:rPr>
          <w:bCs/>
          <w:iCs/>
          <w:szCs w:val="22"/>
          <w:u w:val="single"/>
          <w:lang w:val="sk-SK"/>
        </w:rPr>
      </w:pPr>
    </w:p>
    <w:p w:rsidR="005F5D28" w:rsidRPr="006E1548" w:rsidRDefault="005F5D28" w:rsidP="005F5D28">
      <w:pPr>
        <w:spacing w:line="240" w:lineRule="auto"/>
        <w:rPr>
          <w:bCs/>
          <w:iCs/>
          <w:szCs w:val="22"/>
          <w:u w:val="single"/>
          <w:lang w:val="sk-SK"/>
        </w:rPr>
      </w:pPr>
      <w:r w:rsidRPr="006E1548">
        <w:rPr>
          <w:bCs/>
          <w:iCs/>
          <w:szCs w:val="22"/>
          <w:u w:val="single"/>
          <w:lang w:val="sk-SK"/>
        </w:rPr>
        <w:t>Anafylaktoidné reakcie počas desenzibilizácie:</w:t>
      </w:r>
    </w:p>
    <w:p w:rsidR="005F5D28" w:rsidRPr="006E1548" w:rsidRDefault="005F5D28" w:rsidP="005F5D28">
      <w:pPr>
        <w:spacing w:line="240" w:lineRule="auto"/>
        <w:rPr>
          <w:szCs w:val="22"/>
          <w:lang w:val="sk-SK"/>
        </w:rPr>
      </w:pPr>
      <w:r w:rsidRPr="006E1548">
        <w:rPr>
          <w:szCs w:val="22"/>
          <w:lang w:val="sk-SK"/>
        </w:rPr>
        <w:t>U pacientov užívajúcich inhibítory ACE</w:t>
      </w:r>
      <w:r w:rsidR="001F22FE" w:rsidRPr="006E1548">
        <w:rPr>
          <w:szCs w:val="22"/>
          <w:lang w:val="sk-SK"/>
        </w:rPr>
        <w:t xml:space="preserve"> počas desenzibilizačnej l</w:t>
      </w:r>
      <w:r w:rsidRPr="006E1548">
        <w:rPr>
          <w:szCs w:val="22"/>
          <w:lang w:val="sk-SK"/>
        </w:rPr>
        <w:t>ie</w:t>
      </w:r>
      <w:r w:rsidR="001F22FE" w:rsidRPr="006E1548">
        <w:rPr>
          <w:szCs w:val="22"/>
          <w:lang w:val="sk-SK"/>
        </w:rPr>
        <w:t>čby</w:t>
      </w:r>
      <w:r w:rsidRPr="006E1548">
        <w:rPr>
          <w:szCs w:val="22"/>
          <w:lang w:val="sk-SK"/>
        </w:rPr>
        <w:t xml:space="preserve"> (napr. hymenoptera venom) boli zaznamenané anafylaktoidné reakcie.</w:t>
      </w:r>
      <w:r w:rsidR="008B4E69" w:rsidRPr="006E1548">
        <w:rPr>
          <w:szCs w:val="22"/>
          <w:lang w:val="sk-SK"/>
        </w:rPr>
        <w:t xml:space="preserve"> </w:t>
      </w:r>
      <w:r w:rsidRPr="006E1548">
        <w:rPr>
          <w:szCs w:val="22"/>
          <w:lang w:val="sk-SK"/>
        </w:rPr>
        <w:t>U týchto pacientov sa takýmto reakciám predišlo dočasným vysadením inhibítorov ACE, ale pri náhodnej opätovnej expozícii sa tieto reakcie objavili znova.</w:t>
      </w:r>
    </w:p>
    <w:p w:rsidR="001F22FE" w:rsidRPr="006E1548" w:rsidRDefault="001F22FE" w:rsidP="005F5D28">
      <w:pPr>
        <w:spacing w:line="240" w:lineRule="auto"/>
        <w:rPr>
          <w:szCs w:val="22"/>
          <w:lang w:val="sk-SK"/>
        </w:rPr>
      </w:pPr>
      <w:r w:rsidRPr="006E1548">
        <w:rPr>
          <w:szCs w:val="22"/>
          <w:lang w:val="sk-SK"/>
        </w:rPr>
        <w:t xml:space="preserve">Tak ako iné betablokátory, bisoprolol môže zvýšiť citlivosť </w:t>
      </w:r>
      <w:r w:rsidR="0006668C" w:rsidRPr="006E1548">
        <w:rPr>
          <w:szCs w:val="22"/>
          <w:lang w:val="sk-SK"/>
        </w:rPr>
        <w:t>na</w:t>
      </w:r>
      <w:r w:rsidRPr="006E1548">
        <w:rPr>
          <w:szCs w:val="22"/>
          <w:lang w:val="sk-SK"/>
        </w:rPr>
        <w:t xml:space="preserve"> alergén</w:t>
      </w:r>
      <w:r w:rsidR="0006668C" w:rsidRPr="006E1548">
        <w:rPr>
          <w:szCs w:val="22"/>
          <w:lang w:val="sk-SK"/>
        </w:rPr>
        <w:t>y</w:t>
      </w:r>
      <w:r w:rsidRPr="006E1548">
        <w:rPr>
          <w:szCs w:val="22"/>
          <w:lang w:val="sk-SK"/>
        </w:rPr>
        <w:t xml:space="preserve">, </w:t>
      </w:r>
      <w:r w:rsidR="0006668C" w:rsidRPr="006E1548">
        <w:rPr>
          <w:szCs w:val="22"/>
          <w:lang w:val="sk-SK"/>
        </w:rPr>
        <w:t xml:space="preserve">ako </w:t>
      </w:r>
      <w:r w:rsidRPr="006E1548">
        <w:rPr>
          <w:szCs w:val="22"/>
          <w:lang w:val="sk-SK"/>
        </w:rPr>
        <w:t>aj závažnosť anafylaktických reakcií.</w:t>
      </w:r>
      <w:r w:rsidR="00DD4862" w:rsidRPr="006E1548">
        <w:rPr>
          <w:szCs w:val="22"/>
          <w:lang w:val="sk-SK"/>
        </w:rPr>
        <w:t xml:space="preserve"> Liečba adrenalínom nepreukázala vždy očakávaný liečebný účinok.</w:t>
      </w:r>
    </w:p>
    <w:p w:rsidR="005F5D28" w:rsidRPr="006E1548" w:rsidRDefault="005F5D28" w:rsidP="005F5D28">
      <w:pPr>
        <w:spacing w:line="240" w:lineRule="auto"/>
        <w:rPr>
          <w:bCs/>
          <w:iCs/>
          <w:szCs w:val="22"/>
          <w:u w:val="single"/>
          <w:lang w:val="sk-SK"/>
        </w:rPr>
      </w:pPr>
    </w:p>
    <w:p w:rsidR="005F5D28" w:rsidRPr="006E1548" w:rsidRDefault="005F5D28" w:rsidP="005F5D28">
      <w:pPr>
        <w:spacing w:line="240" w:lineRule="auto"/>
        <w:rPr>
          <w:bCs/>
          <w:iCs/>
          <w:szCs w:val="22"/>
          <w:u w:val="single"/>
          <w:lang w:val="sk-SK"/>
        </w:rPr>
      </w:pPr>
      <w:r w:rsidRPr="006E1548">
        <w:rPr>
          <w:bCs/>
          <w:iCs/>
          <w:szCs w:val="22"/>
          <w:u w:val="single"/>
          <w:lang w:val="sk-SK"/>
        </w:rPr>
        <w:t>Neutropénia/Agranulocytóza/Trombocytopénia/Anémia:</w:t>
      </w:r>
    </w:p>
    <w:p w:rsidR="000534BE" w:rsidRPr="006E1548" w:rsidRDefault="005F5D28" w:rsidP="005F5D28">
      <w:pPr>
        <w:spacing w:line="240" w:lineRule="auto"/>
        <w:rPr>
          <w:szCs w:val="22"/>
          <w:lang w:val="sk-SK"/>
        </w:rPr>
      </w:pPr>
      <w:r w:rsidRPr="006E1548">
        <w:rPr>
          <w:szCs w:val="22"/>
          <w:lang w:val="sk-SK"/>
        </w:rPr>
        <w:t xml:space="preserve">U pacientov užívajúcich inhibítory ACE boli hlásené neutropénia/agranulocytóza, trombocytopénia a anémia. U pacientov s normálnou funkciou obličiek a bez ďalších komplikujúcich faktorov sa neutropénia vyskytuje zriedkavo. </w:t>
      </w:r>
      <w:r w:rsidR="00DD4862" w:rsidRPr="006E1548">
        <w:rPr>
          <w:szCs w:val="22"/>
          <w:lang w:val="sk-SK"/>
        </w:rPr>
        <w:t xml:space="preserve">Perindopril </w:t>
      </w:r>
      <w:r w:rsidRPr="006E1548">
        <w:rPr>
          <w:szCs w:val="22"/>
          <w:lang w:val="sk-SK"/>
        </w:rPr>
        <w:t xml:space="preserve">sa má používať s najvyššou opatrnosťou u pacientov s kolagénovým vaskulárnym ochorením, imunosupresívnou liečbou, </w:t>
      </w:r>
      <w:r w:rsidR="00DD4862" w:rsidRPr="006E1548">
        <w:rPr>
          <w:szCs w:val="22"/>
          <w:lang w:val="sk-SK"/>
        </w:rPr>
        <w:t xml:space="preserve">liečbou </w:t>
      </w:r>
      <w:r w:rsidRPr="006E1548">
        <w:rPr>
          <w:szCs w:val="22"/>
          <w:lang w:val="sk-SK"/>
        </w:rPr>
        <w:t xml:space="preserve">alopurinolom alebo prokaínamidom, alebo pri kombinácii týchto komplikujúcich faktorov, najmä ak má pacient preexistujúcu poruchu funkcie obličiek. U niektorých týchto pacientov sa vyvinuli závažné infekcie, ktoré v niekoľkých prípadoch neodpovedali na intenzívnu antibiotickú liečbu. Ak sa </w:t>
      </w:r>
      <w:r w:rsidR="00DD4862" w:rsidRPr="006E1548">
        <w:rPr>
          <w:szCs w:val="22"/>
          <w:lang w:val="sk-SK"/>
        </w:rPr>
        <w:t>perindopril</w:t>
      </w:r>
      <w:r w:rsidRPr="006E1548">
        <w:rPr>
          <w:szCs w:val="22"/>
          <w:lang w:val="sk-SK"/>
        </w:rPr>
        <w:t xml:space="preserve"> používa u takýchto pacientov, odporúča sa pravidelne monitorovať počet leukocytov a pacienti sa majú poučiť, aby oznámili akýkoľvek </w:t>
      </w:r>
      <w:r w:rsidR="008B4E69" w:rsidRPr="006E1548">
        <w:rPr>
          <w:szCs w:val="22"/>
          <w:lang w:val="sk-SK"/>
        </w:rPr>
        <w:t>prejav</w:t>
      </w:r>
      <w:r w:rsidRPr="006E1548">
        <w:rPr>
          <w:szCs w:val="22"/>
          <w:lang w:val="sk-SK"/>
        </w:rPr>
        <w:t xml:space="preserve"> infekcie (napr. bolesť v krku, horúčka).</w:t>
      </w:r>
    </w:p>
    <w:p w:rsidR="005F5D28" w:rsidRPr="006E1548" w:rsidRDefault="005F5D28" w:rsidP="000322EB">
      <w:pPr>
        <w:rPr>
          <w:szCs w:val="22"/>
          <w:lang w:val="sk-SK" w:eastAsia="sk-SK"/>
        </w:rPr>
      </w:pPr>
    </w:p>
    <w:p w:rsidR="005F5D28" w:rsidRPr="006E1548" w:rsidRDefault="00DD4862" w:rsidP="000322EB">
      <w:pPr>
        <w:rPr>
          <w:szCs w:val="22"/>
          <w:u w:val="single"/>
          <w:lang w:val="sk-SK" w:eastAsia="sk-SK"/>
        </w:rPr>
      </w:pPr>
      <w:r w:rsidRPr="006E1548">
        <w:rPr>
          <w:szCs w:val="22"/>
          <w:u w:val="single"/>
          <w:lang w:val="sk-SK" w:eastAsia="sk-SK"/>
        </w:rPr>
        <w:t>Bronchospazmus (</w:t>
      </w:r>
      <w:r w:rsidR="00773A24" w:rsidRPr="006E1548">
        <w:rPr>
          <w:szCs w:val="22"/>
          <w:u w:val="single"/>
          <w:lang w:val="sk-SK" w:eastAsia="sk-SK"/>
        </w:rPr>
        <w:t>bronchiálna astma, obštrukčná choroba dýchacích ciest):</w:t>
      </w:r>
    </w:p>
    <w:p w:rsidR="00773A24" w:rsidRPr="006E1548" w:rsidRDefault="00773A24" w:rsidP="000322EB">
      <w:pPr>
        <w:rPr>
          <w:szCs w:val="22"/>
          <w:lang w:val="sk-SK" w:eastAsia="sk-SK"/>
        </w:rPr>
      </w:pPr>
      <w:r w:rsidRPr="006E1548">
        <w:rPr>
          <w:szCs w:val="22"/>
          <w:lang w:val="sk-SK" w:eastAsia="sk-SK"/>
        </w:rPr>
        <w:t xml:space="preserve">Pri bronchiálnej astme alebo pri iných chronických obštrukčných </w:t>
      </w:r>
      <w:r w:rsidR="00347239" w:rsidRPr="006E1548">
        <w:rPr>
          <w:szCs w:val="22"/>
          <w:lang w:val="sk-SK" w:eastAsia="sk-SK"/>
        </w:rPr>
        <w:t>o</w:t>
      </w:r>
      <w:r w:rsidRPr="006E1548">
        <w:rPr>
          <w:szCs w:val="22"/>
          <w:lang w:val="sk-SK" w:eastAsia="sk-SK"/>
        </w:rPr>
        <w:t>chor</w:t>
      </w:r>
      <w:r w:rsidR="00347239" w:rsidRPr="006E1548">
        <w:rPr>
          <w:szCs w:val="22"/>
          <w:lang w:val="sk-SK" w:eastAsia="sk-SK"/>
        </w:rPr>
        <w:t xml:space="preserve">eniach pľúc, ktoré môžu vyvolávať podobné príznaky sa má súbežne podávať bronchodilatačná liečba. U pacientov s astmou sa </w:t>
      </w:r>
      <w:r w:rsidR="00347239" w:rsidRPr="006E1548">
        <w:rPr>
          <w:szCs w:val="22"/>
          <w:lang w:val="sk-SK" w:eastAsia="sk-SK"/>
        </w:rPr>
        <w:lastRenderedPageBreak/>
        <w:t>môže pri používaní betablokátorov príležitostne objaviť zvýšenie odporu dýchacích ciest, a preto sa možno bude musieť zvýšiť dávka beta-2 stimulancií.</w:t>
      </w:r>
    </w:p>
    <w:p w:rsidR="005F5D28" w:rsidRPr="006E1548" w:rsidRDefault="005F5D28" w:rsidP="000322EB">
      <w:pPr>
        <w:rPr>
          <w:szCs w:val="22"/>
          <w:lang w:val="sk-SK" w:eastAsia="sk-SK"/>
        </w:rPr>
      </w:pPr>
    </w:p>
    <w:p w:rsidR="005F5D28" w:rsidRPr="006E1548" w:rsidRDefault="00403131" w:rsidP="000322EB">
      <w:pPr>
        <w:rPr>
          <w:szCs w:val="22"/>
          <w:u w:val="single"/>
          <w:lang w:val="sk-SK" w:eastAsia="sk-SK"/>
        </w:rPr>
      </w:pPr>
      <w:r w:rsidRPr="006E1548">
        <w:rPr>
          <w:szCs w:val="22"/>
          <w:u w:val="single"/>
          <w:lang w:val="sk-SK" w:eastAsia="sk-SK"/>
        </w:rPr>
        <w:t>Diabetickí pacienti</w:t>
      </w:r>
      <w:r w:rsidR="0006668C" w:rsidRPr="006E1548">
        <w:rPr>
          <w:szCs w:val="22"/>
          <w:u w:val="single"/>
          <w:lang w:val="sk-SK" w:eastAsia="sk-SK"/>
        </w:rPr>
        <w:t>:</w:t>
      </w:r>
    </w:p>
    <w:p w:rsidR="00403131" w:rsidRPr="006E1548" w:rsidRDefault="0006668C" w:rsidP="000322EB">
      <w:pPr>
        <w:rPr>
          <w:szCs w:val="22"/>
          <w:lang w:val="sk-SK" w:eastAsia="sk-SK"/>
        </w:rPr>
      </w:pPr>
      <w:r w:rsidRPr="006E1548">
        <w:rPr>
          <w:szCs w:val="22"/>
          <w:lang w:val="sk-SK" w:eastAsia="sk-SK"/>
        </w:rPr>
        <w:t>U pacientov s diabetom mellitus a veľkou fluktuáciou hodnoty glykémie sa pri používaní Prestilolu odporúča opatrnosť.</w:t>
      </w:r>
      <w:r w:rsidR="008B4E69" w:rsidRPr="006E1548">
        <w:rPr>
          <w:szCs w:val="22"/>
          <w:lang w:val="sk-SK" w:eastAsia="sk-SK"/>
        </w:rPr>
        <w:t xml:space="preserve"> Betablokátory môžu maskovať príznaky hypoglykémie.</w:t>
      </w:r>
    </w:p>
    <w:p w:rsidR="0006668C" w:rsidRPr="006E1548" w:rsidRDefault="0006668C" w:rsidP="000322EB">
      <w:pPr>
        <w:rPr>
          <w:szCs w:val="22"/>
          <w:lang w:val="sk-SK" w:eastAsia="sk-SK"/>
        </w:rPr>
      </w:pPr>
    </w:p>
    <w:p w:rsidR="0006668C" w:rsidRPr="006E1548" w:rsidRDefault="0006668C" w:rsidP="000322EB">
      <w:pPr>
        <w:rPr>
          <w:szCs w:val="22"/>
          <w:u w:val="single"/>
          <w:lang w:val="sk-SK" w:eastAsia="sk-SK"/>
        </w:rPr>
      </w:pPr>
      <w:r w:rsidRPr="006E1548">
        <w:rPr>
          <w:szCs w:val="22"/>
          <w:u w:val="single"/>
          <w:lang w:val="sk-SK" w:eastAsia="sk-SK"/>
        </w:rPr>
        <w:t>Striktný pôst:</w:t>
      </w:r>
    </w:p>
    <w:p w:rsidR="0006668C" w:rsidRPr="006E1548" w:rsidRDefault="0006668C" w:rsidP="0006668C">
      <w:pPr>
        <w:rPr>
          <w:szCs w:val="22"/>
          <w:lang w:val="sk-SK" w:eastAsia="sk-SK"/>
        </w:rPr>
      </w:pPr>
      <w:r w:rsidRPr="006E1548">
        <w:rPr>
          <w:szCs w:val="22"/>
          <w:lang w:val="sk-SK" w:eastAsia="sk-SK"/>
        </w:rPr>
        <w:t>U pacientov so striktným pôstom sa odporúča opatrnosť.</w:t>
      </w:r>
    </w:p>
    <w:p w:rsidR="0006668C" w:rsidRPr="006E1548" w:rsidRDefault="0006668C" w:rsidP="000322EB">
      <w:pPr>
        <w:rPr>
          <w:szCs w:val="22"/>
          <w:lang w:val="sk-SK" w:eastAsia="sk-SK"/>
        </w:rPr>
      </w:pPr>
    </w:p>
    <w:p w:rsidR="005F5D28" w:rsidRPr="006E1548" w:rsidRDefault="0006668C" w:rsidP="000322EB">
      <w:pPr>
        <w:rPr>
          <w:szCs w:val="22"/>
          <w:u w:val="single"/>
          <w:lang w:val="sk-SK" w:eastAsia="sk-SK"/>
        </w:rPr>
      </w:pPr>
      <w:r w:rsidRPr="006E1548">
        <w:rPr>
          <w:szCs w:val="22"/>
          <w:u w:val="single"/>
          <w:lang w:val="sk-SK"/>
        </w:rPr>
        <w:t>Okluzívne ochorenie periférnych ciev</w:t>
      </w:r>
      <w:r w:rsidR="0007175F" w:rsidRPr="006E1548">
        <w:rPr>
          <w:szCs w:val="22"/>
          <w:u w:val="single"/>
          <w:lang w:val="sk-SK"/>
        </w:rPr>
        <w:t>:</w:t>
      </w:r>
    </w:p>
    <w:p w:rsidR="005F5D28" w:rsidRPr="006E1548" w:rsidRDefault="0007175F" w:rsidP="000322EB">
      <w:pPr>
        <w:rPr>
          <w:szCs w:val="22"/>
          <w:lang w:val="sk-SK" w:eastAsia="sk-SK"/>
        </w:rPr>
      </w:pPr>
      <w:r w:rsidRPr="006E1548">
        <w:rPr>
          <w:szCs w:val="22"/>
          <w:lang w:val="sk-SK" w:eastAsia="sk-SK"/>
        </w:rPr>
        <w:t>Pri betablokátoroch sa môže objaviť z</w:t>
      </w:r>
      <w:r w:rsidR="0006668C" w:rsidRPr="006E1548">
        <w:rPr>
          <w:szCs w:val="22"/>
          <w:lang w:val="sk-SK" w:eastAsia="sk-SK"/>
        </w:rPr>
        <w:t xml:space="preserve">horšenie </w:t>
      </w:r>
      <w:r w:rsidRPr="006E1548">
        <w:rPr>
          <w:szCs w:val="22"/>
          <w:lang w:val="sk-SK" w:eastAsia="sk-SK"/>
        </w:rPr>
        <w:t>príznakov najmä na začiatku liečby.</w:t>
      </w:r>
    </w:p>
    <w:p w:rsidR="0007175F" w:rsidRPr="006E1548" w:rsidRDefault="0007175F" w:rsidP="000322EB">
      <w:pPr>
        <w:rPr>
          <w:szCs w:val="22"/>
          <w:lang w:val="sk-SK" w:eastAsia="sk-SK"/>
        </w:rPr>
      </w:pPr>
    </w:p>
    <w:p w:rsidR="0007175F" w:rsidRPr="006E1548" w:rsidRDefault="0007175F" w:rsidP="000322EB">
      <w:pPr>
        <w:rPr>
          <w:szCs w:val="22"/>
          <w:u w:val="single"/>
          <w:lang w:val="sk-SK" w:eastAsia="sk-SK"/>
        </w:rPr>
      </w:pPr>
      <w:r w:rsidRPr="006E1548">
        <w:rPr>
          <w:szCs w:val="22"/>
          <w:u w:val="single"/>
          <w:lang w:val="sk-SK" w:eastAsia="sk-SK"/>
        </w:rPr>
        <w:t>Anestézia:</w:t>
      </w:r>
    </w:p>
    <w:p w:rsidR="005F5D28" w:rsidRPr="006E1548" w:rsidRDefault="0007175F" w:rsidP="000322EB">
      <w:pPr>
        <w:rPr>
          <w:szCs w:val="22"/>
          <w:lang w:val="sk-SK" w:eastAsia="sk-SK"/>
        </w:rPr>
      </w:pPr>
      <w:r w:rsidRPr="006E1548">
        <w:rPr>
          <w:szCs w:val="22"/>
          <w:lang w:val="sk-SK" w:eastAsia="sk-SK"/>
        </w:rPr>
        <w:t xml:space="preserve">U pacientov podstupujúcich celkovú anestéziu betablokáda znižuje výskyt arytmií a ischémie myokardu počas </w:t>
      </w:r>
      <w:r w:rsidR="00C255EB" w:rsidRPr="006E1548">
        <w:rPr>
          <w:szCs w:val="22"/>
          <w:lang w:val="sk-SK" w:eastAsia="sk-SK"/>
        </w:rPr>
        <w:t>indukcie</w:t>
      </w:r>
      <w:r w:rsidRPr="006E1548">
        <w:rPr>
          <w:szCs w:val="22"/>
          <w:lang w:val="sk-SK" w:eastAsia="sk-SK"/>
        </w:rPr>
        <w:t xml:space="preserve"> a intubácie a</w:t>
      </w:r>
      <w:r w:rsidR="00C255EB" w:rsidRPr="006E1548">
        <w:rPr>
          <w:szCs w:val="22"/>
          <w:lang w:val="sk-SK" w:eastAsia="sk-SK"/>
        </w:rPr>
        <w:t xml:space="preserve"> v </w:t>
      </w:r>
      <w:r w:rsidRPr="006E1548">
        <w:rPr>
          <w:szCs w:val="22"/>
          <w:lang w:val="sk-SK" w:eastAsia="sk-SK"/>
        </w:rPr>
        <w:t>pooperačn</w:t>
      </w:r>
      <w:r w:rsidR="00C255EB" w:rsidRPr="006E1548">
        <w:rPr>
          <w:szCs w:val="22"/>
          <w:lang w:val="sk-SK" w:eastAsia="sk-SK"/>
        </w:rPr>
        <w:t>om</w:t>
      </w:r>
      <w:r w:rsidRPr="006E1548">
        <w:rPr>
          <w:szCs w:val="22"/>
          <w:lang w:val="sk-SK" w:eastAsia="sk-SK"/>
        </w:rPr>
        <w:t xml:space="preserve"> obdob</w:t>
      </w:r>
      <w:r w:rsidR="00C255EB" w:rsidRPr="006E1548">
        <w:rPr>
          <w:szCs w:val="22"/>
          <w:lang w:val="sk-SK" w:eastAsia="sk-SK"/>
        </w:rPr>
        <w:t>í</w:t>
      </w:r>
      <w:r w:rsidRPr="006E1548">
        <w:rPr>
          <w:szCs w:val="22"/>
          <w:lang w:val="sk-SK" w:eastAsia="sk-SK"/>
        </w:rPr>
        <w:t>.</w:t>
      </w:r>
      <w:r w:rsidR="00C255EB" w:rsidRPr="006E1548">
        <w:rPr>
          <w:szCs w:val="22"/>
          <w:lang w:val="sk-SK" w:eastAsia="sk-SK"/>
        </w:rPr>
        <w:t xml:space="preserve"> </w:t>
      </w:r>
      <w:r w:rsidR="006F06F5" w:rsidRPr="006E1548">
        <w:rPr>
          <w:szCs w:val="22"/>
          <w:lang w:val="sk-SK" w:eastAsia="sk-SK"/>
        </w:rPr>
        <w:t xml:space="preserve">Bežne sa odporúča </w:t>
      </w:r>
      <w:r w:rsidR="00C255EB" w:rsidRPr="006E1548">
        <w:rPr>
          <w:szCs w:val="22"/>
          <w:lang w:val="sk-SK" w:eastAsia="sk-SK"/>
        </w:rPr>
        <w:t xml:space="preserve">udržiavanie betablokády peri-operatívne. </w:t>
      </w:r>
      <w:r w:rsidR="006E1548" w:rsidRPr="006E1548">
        <w:rPr>
          <w:szCs w:val="22"/>
          <w:lang w:val="sk-SK" w:eastAsia="sk-SK"/>
        </w:rPr>
        <w:t>Anestéziológ</w:t>
      </w:r>
      <w:r w:rsidR="00C255EB" w:rsidRPr="006E1548">
        <w:rPr>
          <w:szCs w:val="22"/>
          <w:lang w:val="sk-SK" w:eastAsia="sk-SK"/>
        </w:rPr>
        <w:t xml:space="preserve"> musí </w:t>
      </w:r>
      <w:r w:rsidR="006F06F5" w:rsidRPr="006E1548">
        <w:rPr>
          <w:szCs w:val="22"/>
          <w:lang w:val="sk-SK" w:eastAsia="sk-SK"/>
        </w:rPr>
        <w:t>vedieť o</w:t>
      </w:r>
      <w:r w:rsidR="00C255EB" w:rsidRPr="006E1548">
        <w:rPr>
          <w:szCs w:val="22"/>
          <w:lang w:val="sk-SK" w:eastAsia="sk-SK"/>
        </w:rPr>
        <w:t xml:space="preserve"> betablokád</w:t>
      </w:r>
      <w:r w:rsidR="006F06F5" w:rsidRPr="006E1548">
        <w:rPr>
          <w:szCs w:val="22"/>
          <w:lang w:val="sk-SK" w:eastAsia="sk-SK"/>
        </w:rPr>
        <w:t>e</w:t>
      </w:r>
      <w:r w:rsidR="00C255EB" w:rsidRPr="006E1548">
        <w:rPr>
          <w:szCs w:val="22"/>
          <w:lang w:val="sk-SK" w:eastAsia="sk-SK"/>
        </w:rPr>
        <w:t xml:space="preserve"> kvôli potenciálu interakcií s inými liekmi vedúcimi k bradykardii, oslabeniu reflexnej tachykardie a zníženiu reflexnej schopnosti kompenzovať stratu krvi. Ak je potrebné liečbu betablokátorom pred operáciou vysadiť, má sa to vykonať postupne</w:t>
      </w:r>
      <w:r w:rsidR="00311B95" w:rsidRPr="006E1548">
        <w:rPr>
          <w:szCs w:val="22"/>
          <w:lang w:val="sk-SK" w:eastAsia="sk-SK"/>
        </w:rPr>
        <w:t xml:space="preserve"> a ukončiť približne 48 hodín pred anestéziou.</w:t>
      </w:r>
    </w:p>
    <w:p w:rsidR="005F5D28" w:rsidRPr="006E1548" w:rsidRDefault="00162E4B" w:rsidP="000322EB">
      <w:pPr>
        <w:rPr>
          <w:szCs w:val="22"/>
          <w:lang w:val="sk-SK" w:eastAsia="sk-SK"/>
        </w:rPr>
      </w:pPr>
      <w:r w:rsidRPr="006E1548">
        <w:rPr>
          <w:szCs w:val="22"/>
          <w:lang w:val="sk-SK"/>
        </w:rPr>
        <w:t>U pacientov podstupujúcich väčší chirurgický zákrok alebo počas anestézie látkami, ktoré vyvolávajú hypotenziu, môže perindopril blokovať sekundárnu tvorbu angiotenzínu II po kompenzačnom uvoľnení renínu. Liečba sa má vysadiť jeden deň pred chirurgickým zákrokom. Ak sa vyskytne hypotenzia, ktorá je považovaná za dôsledok tohto mechanizmu, je možné ju korigovať zvýšením cirkulujúceho objemu.</w:t>
      </w:r>
    </w:p>
    <w:p w:rsidR="005F5D28" w:rsidRPr="006E1548" w:rsidRDefault="005F5D28" w:rsidP="000322EB">
      <w:pPr>
        <w:rPr>
          <w:szCs w:val="22"/>
          <w:lang w:val="sk-SK" w:eastAsia="sk-SK"/>
        </w:rPr>
      </w:pPr>
    </w:p>
    <w:p w:rsidR="005F5D28" w:rsidRPr="006E1548" w:rsidRDefault="00162E4B" w:rsidP="000322EB">
      <w:pPr>
        <w:rPr>
          <w:szCs w:val="22"/>
          <w:u w:val="single"/>
          <w:lang w:val="sk-SK" w:eastAsia="sk-SK"/>
        </w:rPr>
      </w:pPr>
      <w:r w:rsidRPr="006E1548">
        <w:rPr>
          <w:szCs w:val="22"/>
          <w:u w:val="single"/>
          <w:lang w:val="sk-SK" w:eastAsia="sk-SK"/>
        </w:rPr>
        <w:t>Psoriáza</w:t>
      </w:r>
      <w:r w:rsidR="006162F5" w:rsidRPr="006E1548">
        <w:rPr>
          <w:szCs w:val="22"/>
          <w:u w:val="single"/>
          <w:lang w:val="sk-SK" w:eastAsia="sk-SK"/>
        </w:rPr>
        <w:t>:</w:t>
      </w:r>
    </w:p>
    <w:p w:rsidR="00162E4B" w:rsidRPr="006E1548" w:rsidRDefault="00162E4B" w:rsidP="000322EB">
      <w:pPr>
        <w:rPr>
          <w:szCs w:val="22"/>
          <w:lang w:val="sk-SK" w:eastAsia="sk-SK"/>
        </w:rPr>
      </w:pPr>
      <w:r w:rsidRPr="006E1548">
        <w:rPr>
          <w:szCs w:val="22"/>
          <w:lang w:val="sk-SK" w:eastAsia="sk-SK"/>
        </w:rPr>
        <w:t xml:space="preserve">Pacientom so psoriázou alebo anamnézou psoriázy sa majú betablokátory podávať len po starostlivom zvážení prínosov </w:t>
      </w:r>
      <w:r w:rsidR="006162F5" w:rsidRPr="006E1548">
        <w:rPr>
          <w:szCs w:val="22"/>
          <w:lang w:val="sk-SK" w:eastAsia="sk-SK"/>
        </w:rPr>
        <w:t xml:space="preserve">oproti </w:t>
      </w:r>
      <w:r w:rsidRPr="006E1548">
        <w:rPr>
          <w:szCs w:val="22"/>
          <w:lang w:val="sk-SK" w:eastAsia="sk-SK"/>
        </w:rPr>
        <w:t>riz</w:t>
      </w:r>
      <w:r w:rsidR="006162F5" w:rsidRPr="006E1548">
        <w:rPr>
          <w:szCs w:val="22"/>
          <w:lang w:val="sk-SK" w:eastAsia="sk-SK"/>
        </w:rPr>
        <w:t>i</w:t>
      </w:r>
      <w:r w:rsidRPr="006E1548">
        <w:rPr>
          <w:szCs w:val="22"/>
          <w:lang w:val="sk-SK" w:eastAsia="sk-SK"/>
        </w:rPr>
        <w:t>k</w:t>
      </w:r>
      <w:r w:rsidR="006162F5" w:rsidRPr="006E1548">
        <w:rPr>
          <w:szCs w:val="22"/>
          <w:lang w:val="sk-SK" w:eastAsia="sk-SK"/>
        </w:rPr>
        <w:t>ám</w:t>
      </w:r>
      <w:r w:rsidRPr="006E1548">
        <w:rPr>
          <w:szCs w:val="22"/>
          <w:lang w:val="sk-SK" w:eastAsia="sk-SK"/>
        </w:rPr>
        <w:t>.</w:t>
      </w:r>
    </w:p>
    <w:p w:rsidR="00162E4B" w:rsidRPr="006E1548" w:rsidRDefault="00162E4B" w:rsidP="000322EB">
      <w:pPr>
        <w:rPr>
          <w:szCs w:val="22"/>
          <w:lang w:val="sk-SK" w:eastAsia="sk-SK"/>
        </w:rPr>
      </w:pPr>
    </w:p>
    <w:p w:rsidR="00162E4B" w:rsidRPr="006E1548" w:rsidRDefault="00162E4B" w:rsidP="000322EB">
      <w:pPr>
        <w:rPr>
          <w:szCs w:val="22"/>
          <w:u w:val="single"/>
          <w:lang w:val="sk-SK" w:eastAsia="sk-SK"/>
        </w:rPr>
      </w:pPr>
      <w:r w:rsidRPr="006E1548">
        <w:rPr>
          <w:szCs w:val="22"/>
          <w:u w:val="single"/>
          <w:lang w:val="sk-SK" w:eastAsia="sk-SK"/>
        </w:rPr>
        <w:t>Feochromocytóm</w:t>
      </w:r>
      <w:r w:rsidR="006162F5" w:rsidRPr="006E1548">
        <w:rPr>
          <w:szCs w:val="22"/>
          <w:u w:val="single"/>
          <w:lang w:val="sk-SK" w:eastAsia="sk-SK"/>
        </w:rPr>
        <w:t>:</w:t>
      </w:r>
    </w:p>
    <w:p w:rsidR="00162E4B" w:rsidRPr="006E1548" w:rsidRDefault="00991C15" w:rsidP="000322EB">
      <w:pPr>
        <w:rPr>
          <w:szCs w:val="22"/>
          <w:lang w:val="sk-SK" w:eastAsia="sk-SK"/>
        </w:rPr>
      </w:pPr>
      <w:r w:rsidRPr="006E1548">
        <w:rPr>
          <w:szCs w:val="22"/>
          <w:lang w:val="sk-SK" w:eastAsia="sk-SK"/>
        </w:rPr>
        <w:t>U paciento</w:t>
      </w:r>
      <w:r w:rsidR="00B701E1" w:rsidRPr="006E1548">
        <w:rPr>
          <w:szCs w:val="22"/>
          <w:lang w:val="sk-SK" w:eastAsia="sk-SK"/>
        </w:rPr>
        <w:t>v</w:t>
      </w:r>
      <w:r w:rsidRPr="006E1548">
        <w:rPr>
          <w:szCs w:val="22"/>
          <w:lang w:val="sk-SK" w:eastAsia="sk-SK"/>
        </w:rPr>
        <w:t xml:space="preserve"> so známym feochromocytómom alebo podozrením naň, sa má bisoprolol podávať v kombinácii s blokátorom alfareceptora.</w:t>
      </w:r>
    </w:p>
    <w:p w:rsidR="00162E4B" w:rsidRPr="006E1548" w:rsidRDefault="00162E4B" w:rsidP="000322EB">
      <w:pPr>
        <w:rPr>
          <w:szCs w:val="22"/>
          <w:lang w:val="sk-SK" w:eastAsia="sk-SK"/>
        </w:rPr>
      </w:pPr>
    </w:p>
    <w:p w:rsidR="006162F5" w:rsidRPr="006E1548" w:rsidRDefault="006162F5" w:rsidP="006162F5">
      <w:pPr>
        <w:rPr>
          <w:u w:val="single"/>
          <w:lang w:val="sk-SK"/>
        </w:rPr>
      </w:pPr>
      <w:r w:rsidRPr="006E1548">
        <w:rPr>
          <w:u w:val="single"/>
          <w:lang w:val="sk-SK"/>
        </w:rPr>
        <w:t>Tyreotoxikóza:</w:t>
      </w:r>
    </w:p>
    <w:p w:rsidR="006162F5" w:rsidRPr="006E1548" w:rsidRDefault="006162F5" w:rsidP="006162F5">
      <w:pPr>
        <w:rPr>
          <w:i/>
          <w:lang w:val="sk-SK"/>
        </w:rPr>
      </w:pPr>
      <w:r w:rsidRPr="006E1548">
        <w:rPr>
          <w:lang w:val="sk-SK"/>
        </w:rPr>
        <w:t>Pri liečbe bisoprololom sa môžu maskovať príznaky tyreotoxikózy.</w:t>
      </w:r>
    </w:p>
    <w:p w:rsidR="006162F5" w:rsidRPr="006E1548" w:rsidRDefault="006162F5" w:rsidP="006162F5">
      <w:pPr>
        <w:rPr>
          <w:lang w:val="sk-SK"/>
        </w:rPr>
      </w:pPr>
    </w:p>
    <w:p w:rsidR="00991C15" w:rsidRPr="006E1548" w:rsidRDefault="006162F5" w:rsidP="000322EB">
      <w:pPr>
        <w:rPr>
          <w:szCs w:val="22"/>
          <w:u w:val="single"/>
          <w:lang w:val="sk-SK" w:eastAsia="sk-SK"/>
        </w:rPr>
      </w:pPr>
      <w:r w:rsidRPr="006E1548">
        <w:rPr>
          <w:szCs w:val="22"/>
          <w:u w:val="single"/>
          <w:lang w:val="sk-SK" w:eastAsia="sk-SK"/>
        </w:rPr>
        <w:t>Gravidita:</w:t>
      </w:r>
    </w:p>
    <w:p w:rsidR="00991C15" w:rsidRPr="006E1548" w:rsidRDefault="006162F5" w:rsidP="000322EB">
      <w:pPr>
        <w:rPr>
          <w:szCs w:val="22"/>
          <w:lang w:val="sk-SK" w:eastAsia="sk-SK"/>
        </w:rPr>
      </w:pPr>
      <w:r w:rsidRPr="006E1548">
        <w:rPr>
          <w:szCs w:val="22"/>
          <w:lang w:val="sk-SK"/>
        </w:rPr>
        <w:t xml:space="preserve">Pokiaľ </w:t>
      </w:r>
      <w:r w:rsidR="00C54EDD" w:rsidRPr="006E1548">
        <w:rPr>
          <w:szCs w:val="22"/>
          <w:lang w:val="sk-SK"/>
        </w:rPr>
        <w:t>nie je</w:t>
      </w:r>
      <w:r w:rsidRPr="006E1548">
        <w:rPr>
          <w:szCs w:val="22"/>
          <w:lang w:val="sk-SK"/>
        </w:rPr>
        <w:t xml:space="preserve"> pokračovanie v liečbe inhibítorom ACE považ</w:t>
      </w:r>
      <w:r w:rsidR="00C54EDD" w:rsidRPr="006E1548">
        <w:rPr>
          <w:szCs w:val="22"/>
          <w:lang w:val="sk-SK"/>
        </w:rPr>
        <w:t>ované</w:t>
      </w:r>
      <w:r w:rsidRPr="006E1548">
        <w:rPr>
          <w:szCs w:val="22"/>
          <w:lang w:val="sk-SK"/>
        </w:rPr>
        <w:t xml:space="preserve"> za nevyhnutné, pacientky, ktoré plánujú otehotnieť, majú prejsť na alternatívnu antihypertenznú liečbu, ktorá má stanovený </w:t>
      </w:r>
      <w:r w:rsidR="006F06F5" w:rsidRPr="006E1548">
        <w:rPr>
          <w:szCs w:val="22"/>
          <w:lang w:val="sk-SK"/>
        </w:rPr>
        <w:t xml:space="preserve">bezpečnostný </w:t>
      </w:r>
      <w:r w:rsidRPr="006E1548">
        <w:rPr>
          <w:szCs w:val="22"/>
          <w:lang w:val="sk-SK"/>
        </w:rPr>
        <w:t>profil pre použitie v gravidite. V prípade diagnostikovanej gravidity sa má okamžite prerušiť liečba inhibítormi ACE a ak je to vhodné, má sa začať alternatívna liečba (pozri časti 4.3 a 4.6).</w:t>
      </w:r>
    </w:p>
    <w:p w:rsidR="00991C15" w:rsidRPr="006E1548" w:rsidRDefault="00991C15" w:rsidP="000322EB">
      <w:pPr>
        <w:rPr>
          <w:szCs w:val="22"/>
          <w:lang w:val="sk-SK" w:eastAsia="sk-SK"/>
        </w:rPr>
      </w:pPr>
    </w:p>
    <w:p w:rsidR="008174D7" w:rsidRPr="006E1548" w:rsidRDefault="00C54EDD" w:rsidP="000322EB">
      <w:pPr>
        <w:rPr>
          <w:szCs w:val="22"/>
          <w:lang w:val="sk-SK" w:eastAsia="sk-SK"/>
        </w:rPr>
      </w:pPr>
      <w:r w:rsidRPr="006E1548">
        <w:rPr>
          <w:szCs w:val="22"/>
          <w:u w:val="single"/>
          <w:lang w:val="sk-SK" w:eastAsia="sk-SK"/>
        </w:rPr>
        <w:t>Srdcové zlyhávanie:</w:t>
      </w:r>
    </w:p>
    <w:p w:rsidR="00C54EDD" w:rsidRPr="006E1548" w:rsidRDefault="00C54EDD" w:rsidP="000322EB">
      <w:pPr>
        <w:rPr>
          <w:szCs w:val="22"/>
          <w:lang w:val="sk-SK" w:eastAsia="sk-SK"/>
        </w:rPr>
      </w:pPr>
      <w:r w:rsidRPr="006E1548">
        <w:rPr>
          <w:szCs w:val="22"/>
          <w:lang w:val="sk-SK" w:eastAsia="sk-SK"/>
        </w:rPr>
        <w:t xml:space="preserve">U pacientov s nasledujúcimi ochoreniami a stavmi nie sú žiadne terapeutické skúsenosti s liečbou </w:t>
      </w:r>
      <w:r w:rsidR="006F06F5" w:rsidRPr="006E1548">
        <w:rPr>
          <w:szCs w:val="22"/>
          <w:lang w:val="sk-SK" w:eastAsia="sk-SK"/>
        </w:rPr>
        <w:t xml:space="preserve">srdcového zlyhávania </w:t>
      </w:r>
      <w:r w:rsidRPr="006E1548">
        <w:rPr>
          <w:szCs w:val="22"/>
          <w:lang w:val="sk-SK" w:eastAsia="sk-SK"/>
        </w:rPr>
        <w:t>bisoprololom:</w:t>
      </w:r>
    </w:p>
    <w:p w:rsidR="00425AB6" w:rsidRPr="006E1548" w:rsidRDefault="00C54EDD" w:rsidP="00C54EDD">
      <w:pPr>
        <w:pStyle w:val="Odsekzoznamu"/>
        <w:numPr>
          <w:ilvl w:val="0"/>
          <w:numId w:val="44"/>
        </w:numPr>
        <w:rPr>
          <w:szCs w:val="22"/>
          <w:lang w:val="sk-SK"/>
        </w:rPr>
      </w:pPr>
      <w:r w:rsidRPr="006E1548">
        <w:rPr>
          <w:szCs w:val="22"/>
          <w:lang w:val="sk-SK"/>
        </w:rPr>
        <w:t>inzulíndependentný diabetes mellitus (typ 1),</w:t>
      </w:r>
    </w:p>
    <w:p w:rsidR="00C54EDD" w:rsidRPr="006E1548" w:rsidRDefault="00C54EDD" w:rsidP="00C54EDD">
      <w:pPr>
        <w:pStyle w:val="Odsekzoznamu"/>
        <w:numPr>
          <w:ilvl w:val="0"/>
          <w:numId w:val="44"/>
        </w:numPr>
        <w:rPr>
          <w:szCs w:val="22"/>
          <w:lang w:val="sk-SK"/>
        </w:rPr>
      </w:pPr>
      <w:r w:rsidRPr="006E1548">
        <w:rPr>
          <w:szCs w:val="22"/>
          <w:lang w:val="sk-SK"/>
        </w:rPr>
        <w:t>ťažká porucha funkcie obličiek,</w:t>
      </w:r>
    </w:p>
    <w:p w:rsidR="00C54EDD" w:rsidRPr="006E1548" w:rsidRDefault="00C54EDD" w:rsidP="00C54EDD">
      <w:pPr>
        <w:pStyle w:val="Odsekzoznamu"/>
        <w:numPr>
          <w:ilvl w:val="0"/>
          <w:numId w:val="44"/>
        </w:numPr>
        <w:rPr>
          <w:szCs w:val="22"/>
          <w:lang w:val="sk-SK"/>
        </w:rPr>
      </w:pPr>
      <w:r w:rsidRPr="006E1548">
        <w:rPr>
          <w:szCs w:val="22"/>
          <w:lang w:val="sk-SK"/>
        </w:rPr>
        <w:t>ťažká porucha funkcie pečene,</w:t>
      </w:r>
    </w:p>
    <w:p w:rsidR="00C54EDD" w:rsidRPr="006E1548" w:rsidRDefault="00EE64C8" w:rsidP="00EE64C8">
      <w:pPr>
        <w:pStyle w:val="Odsekzoznamu"/>
        <w:numPr>
          <w:ilvl w:val="0"/>
          <w:numId w:val="44"/>
        </w:numPr>
        <w:rPr>
          <w:szCs w:val="22"/>
          <w:lang w:val="sk-SK"/>
        </w:rPr>
      </w:pPr>
      <w:r w:rsidRPr="006E1548">
        <w:rPr>
          <w:szCs w:val="22"/>
          <w:lang w:val="sk-SK"/>
        </w:rPr>
        <w:t>reštrikčná kardiomyopatia,</w:t>
      </w:r>
    </w:p>
    <w:p w:rsidR="00EE64C8" w:rsidRPr="006E1548" w:rsidRDefault="00EE64C8" w:rsidP="00EE64C8">
      <w:pPr>
        <w:pStyle w:val="Odsekzoznamu"/>
        <w:numPr>
          <w:ilvl w:val="0"/>
          <w:numId w:val="44"/>
        </w:numPr>
        <w:rPr>
          <w:szCs w:val="22"/>
          <w:lang w:val="sk-SK"/>
        </w:rPr>
      </w:pPr>
      <w:proofErr w:type="spellStart"/>
      <w:r w:rsidRPr="006E1548">
        <w:rPr>
          <w:szCs w:val="22"/>
          <w:lang w:val="sk-SK"/>
        </w:rPr>
        <w:t>kongenitálna</w:t>
      </w:r>
      <w:proofErr w:type="spellEnd"/>
      <w:r w:rsidRPr="006E1548">
        <w:rPr>
          <w:szCs w:val="22"/>
          <w:lang w:val="sk-SK"/>
        </w:rPr>
        <w:t xml:space="preserve"> choroba srdca,</w:t>
      </w:r>
    </w:p>
    <w:p w:rsidR="00EE64C8" w:rsidRPr="006E1548" w:rsidRDefault="00EE64C8" w:rsidP="00EE64C8">
      <w:pPr>
        <w:pStyle w:val="Odsekzoznamu"/>
        <w:numPr>
          <w:ilvl w:val="0"/>
          <w:numId w:val="44"/>
        </w:numPr>
        <w:rPr>
          <w:szCs w:val="22"/>
          <w:lang w:val="sk-SK"/>
        </w:rPr>
      </w:pPr>
      <w:r w:rsidRPr="006E1548">
        <w:rPr>
          <w:szCs w:val="22"/>
          <w:lang w:val="sk-SK"/>
        </w:rPr>
        <w:t>hemodynamicky významné organické ochorenie chlopní,</w:t>
      </w:r>
    </w:p>
    <w:p w:rsidR="00EE64C8" w:rsidRPr="006E1548" w:rsidRDefault="00EE64C8" w:rsidP="00EE64C8">
      <w:pPr>
        <w:pStyle w:val="Odsekzoznamu"/>
        <w:numPr>
          <w:ilvl w:val="0"/>
          <w:numId w:val="44"/>
        </w:numPr>
        <w:rPr>
          <w:szCs w:val="22"/>
          <w:lang w:val="sk-SK"/>
        </w:rPr>
      </w:pPr>
      <w:r w:rsidRPr="006E1548">
        <w:rPr>
          <w:szCs w:val="22"/>
          <w:lang w:val="sk-SK"/>
        </w:rPr>
        <w:lastRenderedPageBreak/>
        <w:t>infarkt myokardu v priebehu posledných 3 mesiacov.</w:t>
      </w:r>
    </w:p>
    <w:p w:rsidR="00E673EC" w:rsidRPr="006E1548" w:rsidRDefault="00E673EC" w:rsidP="000322EB">
      <w:pPr>
        <w:rPr>
          <w:szCs w:val="22"/>
          <w:u w:val="single"/>
          <w:lang w:val="sk-SK"/>
        </w:rPr>
      </w:pPr>
    </w:p>
    <w:p w:rsidR="000322EB" w:rsidRPr="006E1548" w:rsidRDefault="000322EB" w:rsidP="000322EB">
      <w:pPr>
        <w:rPr>
          <w:szCs w:val="22"/>
          <w:lang w:val="sk-SK"/>
        </w:rPr>
      </w:pPr>
      <w:r w:rsidRPr="006E1548">
        <w:rPr>
          <w:b/>
          <w:szCs w:val="22"/>
          <w:lang w:val="sk-SK"/>
        </w:rPr>
        <w:t>4.5</w:t>
      </w:r>
      <w:r w:rsidRPr="006E1548">
        <w:rPr>
          <w:b/>
          <w:szCs w:val="22"/>
          <w:lang w:val="sk-SK"/>
        </w:rPr>
        <w:tab/>
        <w:t>Liekové a iné interakcie</w:t>
      </w:r>
    </w:p>
    <w:p w:rsidR="000322EB" w:rsidRPr="006E1548" w:rsidRDefault="000322EB" w:rsidP="000322EB">
      <w:pPr>
        <w:rPr>
          <w:szCs w:val="22"/>
          <w:lang w:val="sk-SK"/>
        </w:rPr>
      </w:pPr>
    </w:p>
    <w:p w:rsidR="00EE64C8" w:rsidRPr="006E1548" w:rsidRDefault="00EE64C8" w:rsidP="00EE64C8">
      <w:pPr>
        <w:rPr>
          <w:lang w:val="sk-SK"/>
        </w:rPr>
      </w:pPr>
      <w:r w:rsidRPr="006E1548">
        <w:rPr>
          <w:lang w:val="sk-SK"/>
        </w:rPr>
        <w:t xml:space="preserve">V interakčnej štúdii, ktorá sa </w:t>
      </w:r>
      <w:r w:rsidR="00CE7535" w:rsidRPr="006E1548">
        <w:rPr>
          <w:lang w:val="sk-SK"/>
        </w:rPr>
        <w:t>vykonala</w:t>
      </w:r>
      <w:r w:rsidRPr="006E1548">
        <w:rPr>
          <w:lang w:val="sk-SK"/>
        </w:rPr>
        <w:t xml:space="preserve"> u zdravých dobrovoľníkov neboli pozorované žiadne interakcie medzi bisoprololom a </w:t>
      </w:r>
      <w:r w:rsidR="0081655B" w:rsidRPr="006E1548">
        <w:rPr>
          <w:lang w:val="sk-SK"/>
        </w:rPr>
        <w:t>perindoprilom</w:t>
      </w:r>
      <w:r w:rsidRPr="006E1548">
        <w:rPr>
          <w:lang w:val="sk-SK"/>
        </w:rPr>
        <w:t xml:space="preserve">. </w:t>
      </w:r>
      <w:r w:rsidR="0081655B" w:rsidRPr="006E1548">
        <w:rPr>
          <w:lang w:val="sk-SK"/>
        </w:rPr>
        <w:t xml:space="preserve">Nižšie sú uvedené len známe </w:t>
      </w:r>
      <w:r w:rsidR="006E1548" w:rsidRPr="006E1548">
        <w:rPr>
          <w:lang w:val="sk-SK"/>
        </w:rPr>
        <w:t>informácie</w:t>
      </w:r>
      <w:r w:rsidR="0081655B" w:rsidRPr="006E1548">
        <w:rPr>
          <w:lang w:val="sk-SK"/>
        </w:rPr>
        <w:t xml:space="preserve"> o </w:t>
      </w:r>
      <w:r w:rsidRPr="006E1548">
        <w:rPr>
          <w:lang w:val="sk-SK"/>
        </w:rPr>
        <w:t>interakci</w:t>
      </w:r>
      <w:r w:rsidR="0081655B" w:rsidRPr="006E1548">
        <w:rPr>
          <w:lang w:val="sk-SK"/>
        </w:rPr>
        <w:t>ách</w:t>
      </w:r>
      <w:r w:rsidRPr="006E1548">
        <w:rPr>
          <w:lang w:val="sk-SK"/>
        </w:rPr>
        <w:t xml:space="preserve"> s inými liekmi</w:t>
      </w:r>
      <w:r w:rsidR="0081655B" w:rsidRPr="006E1548">
        <w:rPr>
          <w:lang w:val="sk-SK"/>
        </w:rPr>
        <w:t xml:space="preserve"> </w:t>
      </w:r>
      <w:r w:rsidRPr="006E1548">
        <w:rPr>
          <w:lang w:val="sk-SK"/>
        </w:rPr>
        <w:t>pre jednotlivé liečivá.</w:t>
      </w:r>
    </w:p>
    <w:p w:rsidR="0081655B" w:rsidRPr="006E1548" w:rsidRDefault="0081655B" w:rsidP="00EE64C8">
      <w:pPr>
        <w:rPr>
          <w:lang w:val="sk-SK"/>
        </w:rPr>
      </w:pPr>
    </w:p>
    <w:p w:rsidR="0081655B" w:rsidRPr="006E1548" w:rsidRDefault="0081655B" w:rsidP="0081655B">
      <w:pPr>
        <w:spacing w:line="240" w:lineRule="auto"/>
        <w:rPr>
          <w:szCs w:val="22"/>
          <w:lang w:val="sk-SK"/>
        </w:rPr>
      </w:pPr>
      <w:r w:rsidRPr="006E1548">
        <w:rPr>
          <w:i/>
          <w:szCs w:val="22"/>
          <w:lang w:val="sk-SK"/>
        </w:rPr>
        <w:t>Lieky indukujúce hyperkaliémiu:</w:t>
      </w:r>
    </w:p>
    <w:p w:rsidR="0081655B" w:rsidRPr="006E1548" w:rsidRDefault="0081655B" w:rsidP="0081655B">
      <w:pPr>
        <w:spacing w:line="240" w:lineRule="auto"/>
        <w:rPr>
          <w:szCs w:val="22"/>
          <w:lang w:val="sk-SK"/>
        </w:rPr>
      </w:pPr>
      <w:r w:rsidRPr="006E1548">
        <w:rPr>
          <w:szCs w:val="22"/>
          <w:lang w:val="sk-SK"/>
        </w:rPr>
        <w:t xml:space="preserve">Niektoré lieky alebo terapeutické skupiny môžu zvýšiť výskyt hyperkaliémie: aliskiren, soli draslíka, draslík šetriace diuretiká, inhibítory ACE, antagonisty receptorov angiotenzínu II, NSA, heparíny, imunosupresíva ako </w:t>
      </w:r>
      <w:r w:rsidR="00CE7535" w:rsidRPr="006E1548">
        <w:rPr>
          <w:szCs w:val="22"/>
          <w:lang w:val="sk-SK"/>
        </w:rPr>
        <w:t xml:space="preserve">je </w:t>
      </w:r>
      <w:r w:rsidRPr="006E1548">
        <w:rPr>
          <w:szCs w:val="22"/>
          <w:lang w:val="sk-SK"/>
        </w:rPr>
        <w:t>cyklosporín alebo takrolimus, trimetoprim. Kombinácia týchto liekov zvyšuje riziko hyperkaliémie.</w:t>
      </w:r>
    </w:p>
    <w:p w:rsidR="0081655B" w:rsidRPr="006E1548" w:rsidRDefault="0081655B" w:rsidP="00EE64C8">
      <w:pPr>
        <w:rPr>
          <w:lang w:val="sk-SK"/>
        </w:rPr>
      </w:pPr>
    </w:p>
    <w:p w:rsidR="00EE64C8" w:rsidRPr="006E1548" w:rsidRDefault="0081655B" w:rsidP="000322EB">
      <w:pPr>
        <w:rPr>
          <w:b/>
          <w:szCs w:val="22"/>
          <w:u w:val="single"/>
          <w:lang w:val="sk-SK"/>
        </w:rPr>
      </w:pPr>
      <w:r w:rsidRPr="006E1548">
        <w:rPr>
          <w:b/>
          <w:i/>
          <w:iCs/>
          <w:szCs w:val="22"/>
          <w:u w:val="single"/>
          <w:lang w:val="sk-SK" w:eastAsia="sk-SK"/>
        </w:rPr>
        <w:t>Kontraindikované súbežné použitie (pozri časť 4.3)</w:t>
      </w:r>
    </w:p>
    <w:p w:rsidR="00EE64C8" w:rsidRPr="006E1548" w:rsidRDefault="00EE64C8" w:rsidP="000322EB">
      <w:pPr>
        <w:rPr>
          <w:szCs w:val="22"/>
          <w:lang w:val="sk-SK"/>
        </w:rPr>
      </w:pPr>
    </w:p>
    <w:p w:rsidR="00191736" w:rsidRPr="006E1548" w:rsidRDefault="00191736" w:rsidP="000322EB">
      <w:pPr>
        <w:rPr>
          <w:i/>
          <w:szCs w:val="22"/>
          <w:lang w:val="sk-SK"/>
        </w:rPr>
      </w:pPr>
      <w:r w:rsidRPr="006E1548">
        <w:rPr>
          <w:i/>
          <w:szCs w:val="22"/>
          <w:lang w:val="sk-SK"/>
        </w:rPr>
        <w:t>Aliskiren:</w:t>
      </w:r>
    </w:p>
    <w:p w:rsidR="00191736" w:rsidRPr="006E1548" w:rsidRDefault="00190674" w:rsidP="000322EB">
      <w:pPr>
        <w:rPr>
          <w:rFonts w:eastAsia="Calibri"/>
          <w:szCs w:val="22"/>
          <w:lang w:val="sk-SK"/>
        </w:rPr>
      </w:pPr>
      <w:r w:rsidRPr="006E1548">
        <w:rPr>
          <w:rFonts w:eastAsia="Calibri"/>
          <w:szCs w:val="22"/>
          <w:lang w:val="sk-SK"/>
        </w:rPr>
        <w:t>U diabetických pacientov alebo u pacientov s porucho</w:t>
      </w:r>
      <w:r w:rsidR="00501707" w:rsidRPr="006E1548">
        <w:rPr>
          <w:rFonts w:eastAsia="Calibri"/>
          <w:szCs w:val="22"/>
          <w:lang w:val="sk-SK"/>
        </w:rPr>
        <w:t>u</w:t>
      </w:r>
      <w:r w:rsidRPr="006E1548">
        <w:rPr>
          <w:rFonts w:eastAsia="Calibri"/>
          <w:szCs w:val="22"/>
          <w:lang w:val="sk-SK"/>
        </w:rPr>
        <w:t xml:space="preserve"> funkcie obličiek je súbežná liečba Prestilolom a aliskirenom kontraindikovaná vzhľadom na </w:t>
      </w:r>
      <w:r w:rsidR="006137E9" w:rsidRPr="006E1548">
        <w:rPr>
          <w:rFonts w:eastAsia="Calibri"/>
          <w:szCs w:val="22"/>
          <w:lang w:val="sk-SK"/>
        </w:rPr>
        <w:t xml:space="preserve">zvýšenie </w:t>
      </w:r>
      <w:r w:rsidRPr="006E1548">
        <w:rPr>
          <w:rFonts w:eastAsia="Calibri"/>
          <w:szCs w:val="22"/>
          <w:lang w:val="sk-SK"/>
        </w:rPr>
        <w:t>rizik</w:t>
      </w:r>
      <w:r w:rsidR="006137E9" w:rsidRPr="006E1548">
        <w:rPr>
          <w:rFonts w:eastAsia="Calibri"/>
          <w:szCs w:val="22"/>
          <w:lang w:val="sk-SK"/>
        </w:rPr>
        <w:t>a</w:t>
      </w:r>
      <w:r w:rsidRPr="006E1548">
        <w:rPr>
          <w:rFonts w:eastAsia="Calibri"/>
          <w:szCs w:val="22"/>
          <w:lang w:val="sk-SK"/>
        </w:rPr>
        <w:t xml:space="preserve"> </w:t>
      </w:r>
      <w:r w:rsidR="00191736" w:rsidRPr="006E1548">
        <w:rPr>
          <w:rFonts w:eastAsia="Calibri"/>
          <w:szCs w:val="22"/>
          <w:lang w:val="sk-SK"/>
        </w:rPr>
        <w:t>hyperkaliémie, zhoršenia funkcie obličiek a</w:t>
      </w:r>
      <w:r w:rsidR="006137E9" w:rsidRPr="006E1548">
        <w:rPr>
          <w:rFonts w:eastAsia="Calibri"/>
          <w:szCs w:val="22"/>
          <w:lang w:val="sk-SK"/>
        </w:rPr>
        <w:t> </w:t>
      </w:r>
      <w:r w:rsidR="00191736" w:rsidRPr="006E1548">
        <w:rPr>
          <w:rFonts w:eastAsia="Calibri"/>
          <w:szCs w:val="22"/>
          <w:lang w:val="sk-SK"/>
        </w:rPr>
        <w:t>kardiovaskulárnej morbidity a</w:t>
      </w:r>
      <w:r w:rsidR="007516DC" w:rsidRPr="006E1548">
        <w:rPr>
          <w:rFonts w:eastAsia="Calibri"/>
          <w:szCs w:val="22"/>
          <w:lang w:val="sk-SK"/>
        </w:rPr>
        <w:t> </w:t>
      </w:r>
      <w:r w:rsidR="00191736" w:rsidRPr="006E1548">
        <w:rPr>
          <w:rFonts w:eastAsia="Calibri"/>
          <w:szCs w:val="22"/>
          <w:lang w:val="sk-SK"/>
        </w:rPr>
        <w:t>mortality</w:t>
      </w:r>
      <w:r w:rsidR="007516DC" w:rsidRPr="006E1548">
        <w:rPr>
          <w:rFonts w:eastAsia="Calibri"/>
          <w:szCs w:val="22"/>
          <w:lang w:val="sk-SK"/>
        </w:rPr>
        <w:t>.</w:t>
      </w:r>
    </w:p>
    <w:p w:rsidR="00191736" w:rsidRPr="006E1548" w:rsidRDefault="00191736" w:rsidP="000322EB">
      <w:pPr>
        <w:rPr>
          <w:rFonts w:eastAsia="Calibri"/>
          <w:szCs w:val="22"/>
          <w:lang w:val="sk-SK"/>
        </w:rPr>
      </w:pPr>
    </w:p>
    <w:p w:rsidR="008C35DB" w:rsidRPr="006E1548" w:rsidRDefault="008C35DB" w:rsidP="000322EB">
      <w:pPr>
        <w:rPr>
          <w:rFonts w:eastAsia="Calibri"/>
          <w:i/>
          <w:szCs w:val="22"/>
          <w:lang w:val="sk-SK"/>
        </w:rPr>
      </w:pPr>
      <w:r w:rsidRPr="006E1548">
        <w:rPr>
          <w:b/>
          <w:i/>
          <w:iCs/>
          <w:szCs w:val="22"/>
          <w:u w:val="single"/>
          <w:lang w:val="sk-SK"/>
        </w:rPr>
        <w:t>Súbežné použitie, ktoré sa neodporúča</w:t>
      </w:r>
    </w:p>
    <w:p w:rsidR="008C35DB" w:rsidRPr="006E1548" w:rsidRDefault="008C35DB" w:rsidP="000322EB">
      <w:pPr>
        <w:rPr>
          <w:rFonts w:eastAsia="Calibri"/>
          <w:i/>
          <w:szCs w:val="22"/>
          <w:lang w:val="sk-SK"/>
        </w:rPr>
      </w:pPr>
    </w:p>
    <w:p w:rsidR="008C35DB" w:rsidRPr="006E1548" w:rsidRDefault="003A4A87" w:rsidP="000322EB">
      <w:pPr>
        <w:rPr>
          <w:rFonts w:eastAsia="Calibri"/>
          <w:b/>
          <w:szCs w:val="22"/>
          <w:lang w:val="sk-SK"/>
        </w:rPr>
      </w:pPr>
      <w:r w:rsidRPr="006E1548">
        <w:rPr>
          <w:rFonts w:eastAsia="Calibri"/>
          <w:b/>
          <w:szCs w:val="22"/>
          <w:lang w:val="sk-SK"/>
        </w:rPr>
        <w:t>Súvisiace s bisoprololom</w:t>
      </w:r>
    </w:p>
    <w:p w:rsidR="008C35DB" w:rsidRPr="006E1548" w:rsidRDefault="008C35DB" w:rsidP="000322EB">
      <w:pPr>
        <w:rPr>
          <w:rFonts w:eastAsia="Calibri"/>
          <w:i/>
          <w:szCs w:val="22"/>
          <w:lang w:val="sk-SK"/>
        </w:rPr>
      </w:pPr>
    </w:p>
    <w:p w:rsidR="008C35DB" w:rsidRPr="006E1548" w:rsidRDefault="003A4A87" w:rsidP="000322EB">
      <w:pPr>
        <w:rPr>
          <w:rFonts w:eastAsia="Calibri"/>
          <w:i/>
          <w:szCs w:val="22"/>
          <w:lang w:val="sk-SK"/>
        </w:rPr>
      </w:pPr>
      <w:r w:rsidRPr="006E1548">
        <w:rPr>
          <w:rFonts w:eastAsia="Calibri"/>
          <w:i/>
          <w:szCs w:val="22"/>
          <w:lang w:val="sk-SK"/>
        </w:rPr>
        <w:t>Centrálne pôsobiace antihypertenzíva ako je klonidín a iné (napr. metyldopa, moxonidín, rilmenidín):</w:t>
      </w:r>
    </w:p>
    <w:p w:rsidR="008C35DB" w:rsidRPr="006E1548" w:rsidRDefault="00B337AA" w:rsidP="000322EB">
      <w:pPr>
        <w:rPr>
          <w:rFonts w:eastAsia="Calibri"/>
          <w:szCs w:val="22"/>
          <w:lang w:val="sk-SK"/>
        </w:rPr>
      </w:pPr>
      <w:r w:rsidRPr="006E1548">
        <w:rPr>
          <w:rFonts w:eastAsia="Calibri"/>
          <w:szCs w:val="22"/>
          <w:lang w:val="sk-SK"/>
        </w:rPr>
        <w:t>Súbežné použitie centrálne pôsobiacich antihypertenzív môže zhoršiť srdcové zlyhávanie znížením</w:t>
      </w:r>
      <w:r w:rsidR="0096640F" w:rsidRPr="006E1548">
        <w:rPr>
          <w:rFonts w:eastAsia="Calibri"/>
          <w:szCs w:val="22"/>
          <w:lang w:val="sk-SK"/>
        </w:rPr>
        <w:t xml:space="preserve"> centrálneho tonusu sympatika (znížená srdcová frekvencia a srdcový výdaj, </w:t>
      </w:r>
      <w:r w:rsidR="00555D08" w:rsidRPr="006E1548">
        <w:rPr>
          <w:rFonts w:eastAsia="Calibri"/>
          <w:szCs w:val="22"/>
          <w:lang w:val="sk-SK"/>
        </w:rPr>
        <w:t>vazodilatácia). Náhle vysadenie, hlavne pred titráciou liečby betablokátorom</w:t>
      </w:r>
      <w:r w:rsidR="00CE7535" w:rsidRPr="006E1548">
        <w:rPr>
          <w:rFonts w:eastAsia="Calibri"/>
          <w:szCs w:val="22"/>
          <w:lang w:val="sk-SK"/>
        </w:rPr>
        <w:t xml:space="preserve"> nadol</w:t>
      </w:r>
      <w:r w:rsidR="00555D08" w:rsidRPr="006E1548">
        <w:rPr>
          <w:rFonts w:eastAsia="Calibri"/>
          <w:szCs w:val="22"/>
          <w:lang w:val="sk-SK"/>
        </w:rPr>
        <w:t xml:space="preserve">, môže zvýšiť riziko </w:t>
      </w:r>
      <w:r w:rsidR="00555D08" w:rsidRPr="006E1548">
        <w:rPr>
          <w:rFonts w:eastAsia="Calibri"/>
          <w:i/>
          <w:szCs w:val="22"/>
          <w:lang w:val="sk-SK"/>
        </w:rPr>
        <w:t>rebound</w:t>
      </w:r>
      <w:r w:rsidR="00555D08" w:rsidRPr="006E1548">
        <w:rPr>
          <w:rFonts w:eastAsia="Calibri"/>
          <w:szCs w:val="22"/>
          <w:lang w:val="sk-SK"/>
        </w:rPr>
        <w:t xml:space="preserve"> hypertenzie</w:t>
      </w:r>
      <w:r w:rsidR="004E0C8E" w:rsidRPr="006E1548">
        <w:rPr>
          <w:rFonts w:eastAsia="Calibri"/>
          <w:szCs w:val="22"/>
          <w:lang w:val="sk-SK"/>
        </w:rPr>
        <w:t>.</w:t>
      </w:r>
    </w:p>
    <w:p w:rsidR="004E0C8E" w:rsidRPr="006E1548" w:rsidRDefault="004E0C8E" w:rsidP="000322EB">
      <w:pPr>
        <w:rPr>
          <w:rFonts w:eastAsia="Calibri"/>
          <w:szCs w:val="22"/>
          <w:lang w:val="sk-SK"/>
        </w:rPr>
      </w:pPr>
    </w:p>
    <w:p w:rsidR="004E0C8E" w:rsidRPr="006E1548" w:rsidRDefault="004E0C8E" w:rsidP="000322EB">
      <w:pPr>
        <w:rPr>
          <w:rFonts w:eastAsia="Calibri"/>
          <w:i/>
          <w:szCs w:val="22"/>
          <w:lang w:val="sk-SK"/>
        </w:rPr>
      </w:pPr>
      <w:r w:rsidRPr="006E1548">
        <w:rPr>
          <w:rFonts w:eastAsia="Calibri"/>
          <w:i/>
          <w:szCs w:val="22"/>
          <w:lang w:val="sk-SK"/>
        </w:rPr>
        <w:t>Antiarytmiká I. triedy (napr. chinidín, dizopyramid; lidokaín, fenytoín; flekainid, propafenón):</w:t>
      </w:r>
    </w:p>
    <w:p w:rsidR="004E0C8E" w:rsidRPr="006E1548" w:rsidRDefault="004E0C8E" w:rsidP="000322EB">
      <w:pPr>
        <w:rPr>
          <w:rFonts w:eastAsia="Calibri"/>
          <w:szCs w:val="22"/>
          <w:lang w:val="sk-SK"/>
        </w:rPr>
      </w:pPr>
      <w:r w:rsidRPr="006E1548">
        <w:rPr>
          <w:rFonts w:eastAsia="Calibri"/>
          <w:szCs w:val="22"/>
          <w:lang w:val="sk-SK"/>
        </w:rPr>
        <w:t>Účinok na dobu atrioventrikulárneho vedenia sa môže zosilniť a negatívne inotropný účinok sa môže zvýšiť.</w:t>
      </w:r>
    </w:p>
    <w:p w:rsidR="008C35DB" w:rsidRPr="006E1548" w:rsidRDefault="008C35DB" w:rsidP="000322EB">
      <w:pPr>
        <w:rPr>
          <w:rFonts w:eastAsia="Calibri"/>
          <w:i/>
          <w:szCs w:val="22"/>
          <w:lang w:val="sk-SK"/>
        </w:rPr>
      </w:pPr>
    </w:p>
    <w:p w:rsidR="008C35DB" w:rsidRPr="006E1548" w:rsidRDefault="004E0C8E" w:rsidP="000322EB">
      <w:pPr>
        <w:rPr>
          <w:rFonts w:eastAsia="Calibri"/>
          <w:i/>
          <w:szCs w:val="22"/>
          <w:lang w:val="sk-SK"/>
        </w:rPr>
      </w:pPr>
      <w:r w:rsidRPr="006E1548">
        <w:rPr>
          <w:rFonts w:eastAsia="Calibri"/>
          <w:i/>
          <w:szCs w:val="22"/>
          <w:lang w:val="sk-SK"/>
        </w:rPr>
        <w:t>Antagonisty kalcia typu verapamil a v menšej miere typu diltiazem:</w:t>
      </w:r>
    </w:p>
    <w:p w:rsidR="004E0C8E" w:rsidRPr="006E1548" w:rsidRDefault="004E0C8E" w:rsidP="000322EB">
      <w:pPr>
        <w:rPr>
          <w:rFonts w:eastAsia="Calibri"/>
          <w:szCs w:val="22"/>
          <w:lang w:val="sk-SK"/>
        </w:rPr>
      </w:pPr>
      <w:r w:rsidRPr="006E1548">
        <w:rPr>
          <w:rFonts w:eastAsia="Calibri"/>
          <w:szCs w:val="22"/>
          <w:lang w:val="sk-SK"/>
        </w:rPr>
        <w:t>Negatívny vplyv na kontraktilitu a atrioventrikulárne vedenie. Intravenózne podanie verapamilu pacientom na liečbe betablokátorom môže viesť k</w:t>
      </w:r>
      <w:r w:rsidR="00DE3239" w:rsidRPr="006E1548">
        <w:rPr>
          <w:rFonts w:eastAsia="Calibri"/>
          <w:szCs w:val="22"/>
          <w:lang w:val="sk-SK"/>
        </w:rPr>
        <w:t> </w:t>
      </w:r>
      <w:r w:rsidR="00F15E6D" w:rsidRPr="006E1548">
        <w:rPr>
          <w:rFonts w:eastAsia="Calibri"/>
          <w:szCs w:val="22"/>
          <w:lang w:val="sk-SK"/>
        </w:rPr>
        <w:t>závažnej hypertenzii</w:t>
      </w:r>
      <w:r w:rsidR="00FE5741" w:rsidRPr="006E1548">
        <w:rPr>
          <w:rFonts w:eastAsia="Calibri"/>
          <w:szCs w:val="22"/>
          <w:lang w:val="sk-SK"/>
        </w:rPr>
        <w:t xml:space="preserve"> a </w:t>
      </w:r>
      <w:proofErr w:type="spellStart"/>
      <w:r w:rsidR="006E1548" w:rsidRPr="006E1548">
        <w:rPr>
          <w:rFonts w:eastAsia="Calibri"/>
          <w:szCs w:val="22"/>
          <w:lang w:val="sk-SK"/>
        </w:rPr>
        <w:t>atrioventrikulárnej</w:t>
      </w:r>
      <w:proofErr w:type="spellEnd"/>
      <w:r w:rsidR="00FE5741" w:rsidRPr="006E1548">
        <w:rPr>
          <w:rFonts w:eastAsia="Calibri"/>
          <w:szCs w:val="22"/>
          <w:lang w:val="sk-SK"/>
        </w:rPr>
        <w:t xml:space="preserve"> blokáde.</w:t>
      </w:r>
    </w:p>
    <w:p w:rsidR="008C35DB" w:rsidRPr="006E1548" w:rsidRDefault="008C35DB" w:rsidP="000322EB">
      <w:pPr>
        <w:rPr>
          <w:rFonts w:eastAsia="Calibri"/>
          <w:i/>
          <w:szCs w:val="22"/>
          <w:lang w:val="sk-SK"/>
        </w:rPr>
      </w:pPr>
    </w:p>
    <w:p w:rsidR="003408CA" w:rsidRPr="006E1548" w:rsidRDefault="003408CA" w:rsidP="000322EB">
      <w:pPr>
        <w:rPr>
          <w:rFonts w:eastAsia="Calibri"/>
          <w:b/>
          <w:szCs w:val="22"/>
          <w:lang w:val="sk-SK"/>
        </w:rPr>
      </w:pPr>
      <w:r w:rsidRPr="006E1548">
        <w:rPr>
          <w:rFonts w:eastAsia="Calibri"/>
          <w:b/>
          <w:szCs w:val="22"/>
          <w:lang w:val="sk-SK"/>
        </w:rPr>
        <w:t>Súvisiace s</w:t>
      </w:r>
      <w:r w:rsidR="006137E9" w:rsidRPr="006E1548">
        <w:rPr>
          <w:rFonts w:eastAsia="Calibri"/>
          <w:b/>
          <w:szCs w:val="22"/>
          <w:lang w:val="sk-SK"/>
        </w:rPr>
        <w:t> perindoprilom</w:t>
      </w:r>
    </w:p>
    <w:p w:rsidR="006137E9" w:rsidRPr="006E1548" w:rsidRDefault="006137E9" w:rsidP="000322EB">
      <w:pPr>
        <w:rPr>
          <w:rFonts w:eastAsia="Calibri"/>
          <w:i/>
          <w:szCs w:val="22"/>
          <w:lang w:val="sk-SK"/>
        </w:rPr>
      </w:pPr>
    </w:p>
    <w:p w:rsidR="003408CA" w:rsidRPr="006E1548" w:rsidRDefault="003408CA" w:rsidP="000322EB">
      <w:pPr>
        <w:rPr>
          <w:i/>
          <w:szCs w:val="22"/>
          <w:lang w:val="sk-SK"/>
        </w:rPr>
      </w:pPr>
      <w:r w:rsidRPr="006E1548">
        <w:rPr>
          <w:i/>
          <w:szCs w:val="22"/>
          <w:lang w:val="sk-SK"/>
        </w:rPr>
        <w:t>Aliskiren:</w:t>
      </w:r>
    </w:p>
    <w:p w:rsidR="003408CA" w:rsidRPr="006E1548" w:rsidRDefault="006137E9" w:rsidP="000322EB">
      <w:pPr>
        <w:rPr>
          <w:rFonts w:eastAsia="Calibri"/>
          <w:szCs w:val="22"/>
          <w:lang w:val="sk-SK"/>
        </w:rPr>
      </w:pPr>
      <w:r w:rsidRPr="006E1548">
        <w:rPr>
          <w:rFonts w:eastAsia="Calibri"/>
          <w:szCs w:val="22"/>
          <w:lang w:val="sk-SK"/>
        </w:rPr>
        <w:t>U </w:t>
      </w:r>
      <w:r w:rsidR="00C44BD6" w:rsidRPr="006E1548">
        <w:rPr>
          <w:rFonts w:eastAsia="Calibri"/>
          <w:szCs w:val="22"/>
          <w:lang w:val="sk-SK"/>
        </w:rPr>
        <w:t>iných pacientov</w:t>
      </w:r>
      <w:r w:rsidR="00001353" w:rsidRPr="006E1548">
        <w:rPr>
          <w:rFonts w:eastAsia="Calibri"/>
          <w:szCs w:val="22"/>
          <w:lang w:val="sk-SK"/>
        </w:rPr>
        <w:t>,</w:t>
      </w:r>
      <w:r w:rsidRPr="006E1548">
        <w:rPr>
          <w:rFonts w:eastAsia="Calibri"/>
          <w:szCs w:val="22"/>
          <w:lang w:val="sk-SK"/>
        </w:rPr>
        <w:t xml:space="preserve"> ako sú diabetickí pacienti alebo pacienti s poruchou funkcie obličiek</w:t>
      </w:r>
      <w:r w:rsidR="00001353" w:rsidRPr="006E1548">
        <w:rPr>
          <w:rFonts w:eastAsia="Calibri"/>
          <w:szCs w:val="22"/>
          <w:lang w:val="sk-SK"/>
        </w:rPr>
        <w:t>,</w:t>
      </w:r>
      <w:r w:rsidRPr="006E1548">
        <w:rPr>
          <w:rFonts w:eastAsia="Calibri"/>
          <w:szCs w:val="22"/>
          <w:lang w:val="sk-SK"/>
        </w:rPr>
        <w:t xml:space="preserve"> je zvýšenie rizika hyperkaliémie, zhoršenia funkcie obličiek a kardiovaskulárnej morbidity a mortality.</w:t>
      </w:r>
    </w:p>
    <w:p w:rsidR="006137E9" w:rsidRPr="006E1548" w:rsidRDefault="006137E9" w:rsidP="000322EB">
      <w:pPr>
        <w:rPr>
          <w:rFonts w:eastAsia="Calibri"/>
          <w:i/>
          <w:szCs w:val="22"/>
          <w:lang w:val="sk-SK"/>
        </w:rPr>
      </w:pPr>
    </w:p>
    <w:p w:rsidR="00191736" w:rsidRPr="006E1548" w:rsidRDefault="007516DC" w:rsidP="000322EB">
      <w:pPr>
        <w:rPr>
          <w:rFonts w:eastAsia="Calibri"/>
          <w:i/>
          <w:szCs w:val="22"/>
          <w:lang w:val="sk-SK"/>
        </w:rPr>
      </w:pPr>
      <w:r w:rsidRPr="006E1548">
        <w:rPr>
          <w:rFonts w:eastAsia="Calibri"/>
          <w:i/>
          <w:szCs w:val="22"/>
          <w:lang w:val="sk-SK"/>
        </w:rPr>
        <w:t>Súbežná liečba inhibítorom ACE a blokátorom receptora angioten</w:t>
      </w:r>
      <w:r w:rsidR="00641F39" w:rsidRPr="006E1548">
        <w:rPr>
          <w:rFonts w:eastAsia="Calibri"/>
          <w:i/>
          <w:szCs w:val="22"/>
          <w:lang w:val="sk-SK"/>
        </w:rPr>
        <w:t>z</w:t>
      </w:r>
      <w:r w:rsidRPr="006E1548">
        <w:rPr>
          <w:rFonts w:eastAsia="Calibri"/>
          <w:i/>
          <w:szCs w:val="22"/>
          <w:lang w:val="sk-SK"/>
        </w:rPr>
        <w:t>ínu</w:t>
      </w:r>
      <w:r w:rsidR="00817452" w:rsidRPr="006E1548">
        <w:rPr>
          <w:rFonts w:eastAsia="Calibri"/>
          <w:i/>
          <w:szCs w:val="22"/>
          <w:lang w:val="sk-SK"/>
        </w:rPr>
        <w:t>:</w:t>
      </w:r>
    </w:p>
    <w:p w:rsidR="00191736" w:rsidRPr="006E1548" w:rsidRDefault="007516DC" w:rsidP="000322EB">
      <w:pPr>
        <w:rPr>
          <w:szCs w:val="22"/>
          <w:lang w:val="sk-SK"/>
        </w:rPr>
      </w:pPr>
      <w:r w:rsidRPr="006E1548">
        <w:rPr>
          <w:szCs w:val="22"/>
          <w:lang w:val="sk-SK"/>
        </w:rPr>
        <w:t>Údaje z klinických skúšaní preukázali, že duálna inhibícia systému renín-angiotenzín-aldosterón (RAAS) kombinovaným použitím inhibítorov ACE, blokátorov receptorov angiotenzínu II alebo aliskirenu sa spája s vyššou f</w:t>
      </w:r>
      <w:r w:rsidR="00C44BD6" w:rsidRPr="006E1548">
        <w:rPr>
          <w:szCs w:val="22"/>
          <w:lang w:val="sk-SK"/>
        </w:rPr>
        <w:t>rekvenciou nežiaducich udalostí</w:t>
      </w:r>
      <w:r w:rsidRPr="006E1548">
        <w:rPr>
          <w:szCs w:val="22"/>
          <w:lang w:val="sk-SK"/>
        </w:rPr>
        <w:t xml:space="preserve"> ako je hypotenzia, hyperkaliémia a znížená funkcia obličiek (vrátane akútneho zlyhania obličiek) v porovnaní s použitím látky ovplyvňujúcej RAAS v monoterapii (pozri časti 4.3, 4.4 a 5.1).</w:t>
      </w:r>
    </w:p>
    <w:p w:rsidR="007516DC" w:rsidRPr="006E1548" w:rsidRDefault="00537FB8" w:rsidP="000322EB">
      <w:pPr>
        <w:rPr>
          <w:rFonts w:eastAsia="Calibri"/>
          <w:szCs w:val="22"/>
          <w:lang w:val="sk-SK"/>
        </w:rPr>
      </w:pPr>
      <w:r w:rsidRPr="006E1548">
        <w:rPr>
          <w:rFonts w:eastAsia="Calibri"/>
          <w:szCs w:val="22"/>
          <w:lang w:val="sk-SK"/>
        </w:rPr>
        <w:t xml:space="preserve">V literatúre </w:t>
      </w:r>
      <w:r w:rsidR="00817452" w:rsidRPr="006E1548">
        <w:rPr>
          <w:rFonts w:eastAsia="Calibri"/>
          <w:szCs w:val="22"/>
          <w:lang w:val="sk-SK"/>
        </w:rPr>
        <w:t>sa zaznamenalo</w:t>
      </w:r>
      <w:r w:rsidRPr="006E1548">
        <w:rPr>
          <w:rFonts w:eastAsia="Calibri"/>
          <w:szCs w:val="22"/>
          <w:lang w:val="sk-SK"/>
        </w:rPr>
        <w:t xml:space="preserve">, že u pacientov </w:t>
      </w:r>
      <w:r w:rsidR="00817452" w:rsidRPr="006E1548">
        <w:rPr>
          <w:rFonts w:eastAsia="Calibri"/>
          <w:szCs w:val="22"/>
          <w:lang w:val="sk-SK"/>
        </w:rPr>
        <w:t xml:space="preserve">s preukázaným </w:t>
      </w:r>
      <w:r w:rsidRPr="006E1548">
        <w:rPr>
          <w:rFonts w:eastAsia="Calibri"/>
          <w:szCs w:val="22"/>
          <w:lang w:val="sk-SK"/>
        </w:rPr>
        <w:t>ateroskler</w:t>
      </w:r>
      <w:r w:rsidR="00817452" w:rsidRPr="006E1548">
        <w:rPr>
          <w:rFonts w:eastAsia="Calibri"/>
          <w:szCs w:val="22"/>
          <w:lang w:val="sk-SK"/>
        </w:rPr>
        <w:t>otickým ochorením</w:t>
      </w:r>
      <w:r w:rsidR="009F2C59" w:rsidRPr="006E1548">
        <w:rPr>
          <w:rFonts w:eastAsia="Calibri"/>
          <w:szCs w:val="22"/>
          <w:lang w:val="sk-SK"/>
        </w:rPr>
        <w:t xml:space="preserve">, srdcovým zlyhávaním alebo diabetom s poškodením cieľového orgánu je súbežná liečba inhibítorom ACE </w:t>
      </w:r>
      <w:r w:rsidR="009F2C59" w:rsidRPr="006E1548">
        <w:rPr>
          <w:rFonts w:eastAsia="Calibri"/>
          <w:szCs w:val="22"/>
          <w:lang w:val="sk-SK"/>
        </w:rPr>
        <w:lastRenderedPageBreak/>
        <w:t>a blokátorom receptora angiotenzínu spojená s vyššou frekvenciou hypotenzie, synkopy, hyperkaliémie a zhoršenia funkcie obličiek (vrátane akútneho zlyhania obličiek) v porovnaní s použitím látky pôsobiacej na systém renín-angiotenzín-aldosterón v monoterapii. Duálna inhibícia (napr. kombináciou inhibítora ACE s antagonistom receptora angiotenzínu II</w:t>
      </w:r>
      <w:r w:rsidR="00C44BD6" w:rsidRPr="006E1548">
        <w:rPr>
          <w:rFonts w:eastAsia="Calibri"/>
          <w:szCs w:val="22"/>
          <w:lang w:val="sk-SK"/>
        </w:rPr>
        <w:t>)</w:t>
      </w:r>
      <w:r w:rsidR="009F2C59" w:rsidRPr="006E1548">
        <w:rPr>
          <w:rFonts w:eastAsia="Calibri"/>
          <w:szCs w:val="22"/>
          <w:lang w:val="sk-SK"/>
        </w:rPr>
        <w:t xml:space="preserve"> sa má obmedziť na </w:t>
      </w:r>
      <w:r w:rsidR="00817452" w:rsidRPr="006E1548">
        <w:rPr>
          <w:rFonts w:eastAsia="Calibri"/>
          <w:szCs w:val="22"/>
          <w:lang w:val="sk-SK"/>
        </w:rPr>
        <w:t>individuálne definované prípady so starostlivým monitorovaním funkcie obličiek, hladín draslíka a krvného tlaku.</w:t>
      </w:r>
    </w:p>
    <w:p w:rsidR="00191736" w:rsidRPr="006E1548" w:rsidRDefault="00191736" w:rsidP="000322EB">
      <w:pPr>
        <w:rPr>
          <w:rFonts w:eastAsia="Calibri"/>
          <w:szCs w:val="22"/>
          <w:lang w:val="sk-SK"/>
        </w:rPr>
      </w:pPr>
    </w:p>
    <w:p w:rsidR="00EE64C8" w:rsidRPr="006E1548" w:rsidRDefault="00817452" w:rsidP="000322EB">
      <w:pPr>
        <w:rPr>
          <w:i/>
          <w:szCs w:val="22"/>
          <w:lang w:val="sk-SK"/>
        </w:rPr>
      </w:pPr>
      <w:r w:rsidRPr="006E1548">
        <w:rPr>
          <w:i/>
          <w:szCs w:val="22"/>
          <w:lang w:val="sk-SK"/>
        </w:rPr>
        <w:t>Estramustín:</w:t>
      </w:r>
    </w:p>
    <w:p w:rsidR="00EE64C8" w:rsidRPr="006E1548" w:rsidRDefault="00817452" w:rsidP="000322EB">
      <w:pPr>
        <w:rPr>
          <w:rFonts w:eastAsia="Calibri"/>
          <w:bCs/>
          <w:szCs w:val="22"/>
          <w:lang w:val="sk-SK"/>
        </w:rPr>
      </w:pPr>
      <w:r w:rsidRPr="006E1548">
        <w:rPr>
          <w:rFonts w:eastAsia="Calibri"/>
          <w:bCs/>
          <w:szCs w:val="22"/>
          <w:lang w:val="sk-SK"/>
        </w:rPr>
        <w:t>Riziko zvýšenia nežiaducich účinkov ako je angioneurotický edém (angioedém).</w:t>
      </w:r>
    </w:p>
    <w:p w:rsidR="00817452" w:rsidRPr="006E1548" w:rsidRDefault="00817452" w:rsidP="000322EB">
      <w:pPr>
        <w:rPr>
          <w:rFonts w:eastAsia="Calibri"/>
          <w:bCs/>
          <w:szCs w:val="22"/>
          <w:lang w:val="sk-SK"/>
        </w:rPr>
      </w:pPr>
    </w:p>
    <w:p w:rsidR="00817452" w:rsidRPr="006E1548" w:rsidRDefault="00817452" w:rsidP="000322EB">
      <w:pPr>
        <w:rPr>
          <w:i/>
          <w:szCs w:val="22"/>
          <w:lang w:val="sk-SK"/>
        </w:rPr>
      </w:pPr>
      <w:r w:rsidRPr="006E1548">
        <w:rPr>
          <w:rFonts w:eastAsia="Calibri"/>
          <w:i/>
          <w:szCs w:val="22"/>
          <w:lang w:val="sk-SK"/>
        </w:rPr>
        <w:t>Draslík šetriace diuretiká (napr. triamterén, amilorid...), draslík (soli):</w:t>
      </w:r>
    </w:p>
    <w:p w:rsidR="00817452" w:rsidRPr="006E1548" w:rsidRDefault="00817452" w:rsidP="000322EB">
      <w:pPr>
        <w:rPr>
          <w:rFonts w:eastAsia="Calibri"/>
          <w:szCs w:val="22"/>
          <w:lang w:val="sk-SK"/>
        </w:rPr>
      </w:pPr>
      <w:r w:rsidRPr="006E1548">
        <w:rPr>
          <w:rFonts w:eastAsia="Calibri"/>
          <w:szCs w:val="22"/>
          <w:lang w:val="sk-SK"/>
        </w:rPr>
        <w:t>Hyperkaliémia (potenciálne smrteľná), najmä v spojení s poruchou funkcie obličiek (aditívne hyperkaliemické účinky).</w:t>
      </w:r>
    </w:p>
    <w:p w:rsidR="00817452" w:rsidRPr="006E1548" w:rsidRDefault="00817452" w:rsidP="000322EB">
      <w:pPr>
        <w:rPr>
          <w:rFonts w:eastAsia="Calibri"/>
          <w:szCs w:val="22"/>
          <w:lang w:val="sk-SK"/>
        </w:rPr>
      </w:pPr>
    </w:p>
    <w:p w:rsidR="00EE64C8" w:rsidRPr="006E1548" w:rsidRDefault="00817452" w:rsidP="000322EB">
      <w:pPr>
        <w:rPr>
          <w:rFonts w:eastAsia="Calibri"/>
          <w:szCs w:val="22"/>
          <w:lang w:val="sk-SK"/>
        </w:rPr>
      </w:pPr>
      <w:r w:rsidRPr="006E1548">
        <w:rPr>
          <w:rFonts w:eastAsia="Calibri"/>
          <w:szCs w:val="22"/>
          <w:lang w:val="sk-SK"/>
        </w:rPr>
        <w:t>Kombinácia perindoprilu s vyššie uvedenými</w:t>
      </w:r>
      <w:r w:rsidR="00C44BD6" w:rsidRPr="006E1548">
        <w:rPr>
          <w:rFonts w:eastAsia="Calibri"/>
          <w:szCs w:val="22"/>
          <w:lang w:val="sk-SK"/>
        </w:rPr>
        <w:t xml:space="preserve"> </w:t>
      </w:r>
      <w:r w:rsidRPr="006E1548">
        <w:rPr>
          <w:rFonts w:eastAsia="Calibri"/>
          <w:szCs w:val="22"/>
          <w:lang w:val="sk-SK"/>
        </w:rPr>
        <w:t>liekmi sa neodporúča (pozri časť 4.4). Avšak</w:t>
      </w:r>
      <w:r w:rsidR="00001353" w:rsidRPr="006E1548">
        <w:rPr>
          <w:rFonts w:eastAsia="Calibri"/>
          <w:szCs w:val="22"/>
          <w:lang w:val="sk-SK"/>
        </w:rPr>
        <w:t>,</w:t>
      </w:r>
      <w:r w:rsidRPr="006E1548">
        <w:rPr>
          <w:rFonts w:eastAsia="Calibri"/>
          <w:szCs w:val="22"/>
          <w:lang w:val="sk-SK"/>
        </w:rPr>
        <w:t xml:space="preserve"> ak je súbežná liečba indikovaná, tak sa majú používať s opatrnosťou a s častým monitorovaním draslíka v sére. Pre použitie spironolaktónu</w:t>
      </w:r>
      <w:r w:rsidR="00C44BD6" w:rsidRPr="006E1548">
        <w:rPr>
          <w:rFonts w:eastAsia="Calibri"/>
          <w:szCs w:val="22"/>
          <w:lang w:val="sk-SK"/>
        </w:rPr>
        <w:t xml:space="preserve"> pri srdcovom zlyhávaní</w:t>
      </w:r>
      <w:r w:rsidRPr="006E1548">
        <w:rPr>
          <w:rFonts w:eastAsia="Calibri"/>
          <w:szCs w:val="22"/>
          <w:lang w:val="sk-SK"/>
        </w:rPr>
        <w:t xml:space="preserve"> pozri nižšie.</w:t>
      </w:r>
    </w:p>
    <w:p w:rsidR="00E34C4C" w:rsidRPr="006E1548" w:rsidRDefault="00E34C4C" w:rsidP="000322EB">
      <w:pPr>
        <w:rPr>
          <w:rFonts w:eastAsia="Calibri"/>
          <w:szCs w:val="22"/>
          <w:lang w:val="sk-SK"/>
        </w:rPr>
      </w:pPr>
    </w:p>
    <w:p w:rsidR="00E34C4C" w:rsidRPr="006E1548" w:rsidRDefault="00E34C4C" w:rsidP="000322EB">
      <w:pPr>
        <w:rPr>
          <w:rFonts w:eastAsia="Calibri"/>
          <w:i/>
          <w:szCs w:val="22"/>
          <w:lang w:val="sk-SK"/>
        </w:rPr>
      </w:pPr>
      <w:r w:rsidRPr="006E1548">
        <w:rPr>
          <w:rFonts w:eastAsia="Calibri"/>
          <w:i/>
          <w:szCs w:val="22"/>
          <w:lang w:val="sk-SK"/>
        </w:rPr>
        <w:t>Lítium:</w:t>
      </w:r>
    </w:p>
    <w:p w:rsidR="00E34C4C" w:rsidRPr="006E1548" w:rsidRDefault="00E34C4C" w:rsidP="000322EB">
      <w:pPr>
        <w:rPr>
          <w:rFonts w:eastAsia="Calibri"/>
          <w:szCs w:val="22"/>
          <w:lang w:val="sk-SK"/>
        </w:rPr>
      </w:pPr>
      <w:r w:rsidRPr="006E1548">
        <w:rPr>
          <w:rFonts w:eastAsia="Calibri"/>
          <w:szCs w:val="22"/>
          <w:lang w:val="sk-SK"/>
        </w:rPr>
        <w:t>Počas súbežného podávania lítia s inhibítormi ACE bol</w:t>
      </w:r>
      <w:r w:rsidR="0062191A" w:rsidRPr="006E1548">
        <w:rPr>
          <w:rFonts w:eastAsia="Calibri"/>
          <w:szCs w:val="22"/>
          <w:lang w:val="sk-SK"/>
        </w:rPr>
        <w:t>i</w:t>
      </w:r>
      <w:r w:rsidRPr="006E1548">
        <w:rPr>
          <w:rFonts w:eastAsia="Calibri"/>
          <w:szCs w:val="22"/>
          <w:lang w:val="sk-SK"/>
        </w:rPr>
        <w:t xml:space="preserve"> hlásené </w:t>
      </w:r>
      <w:r w:rsidR="00A02D99" w:rsidRPr="006E1548">
        <w:rPr>
          <w:rFonts w:eastAsia="Calibri"/>
          <w:szCs w:val="22"/>
          <w:lang w:val="sk-SK"/>
        </w:rPr>
        <w:t xml:space="preserve">prípady </w:t>
      </w:r>
      <w:r w:rsidRPr="006E1548">
        <w:rPr>
          <w:rFonts w:eastAsia="Calibri"/>
          <w:szCs w:val="22"/>
          <w:lang w:val="sk-SK"/>
        </w:rPr>
        <w:t>reverzibilné</w:t>
      </w:r>
      <w:r w:rsidR="00A02D99" w:rsidRPr="006E1548">
        <w:rPr>
          <w:rFonts w:eastAsia="Calibri"/>
          <w:szCs w:val="22"/>
          <w:lang w:val="sk-SK"/>
        </w:rPr>
        <w:t>ho</w:t>
      </w:r>
      <w:r w:rsidRPr="006E1548">
        <w:rPr>
          <w:rFonts w:eastAsia="Calibri"/>
          <w:szCs w:val="22"/>
          <w:lang w:val="sk-SK"/>
        </w:rPr>
        <w:t xml:space="preserve"> zvýšeni</w:t>
      </w:r>
      <w:r w:rsidR="0062191A" w:rsidRPr="006E1548">
        <w:rPr>
          <w:rFonts w:eastAsia="Calibri"/>
          <w:szCs w:val="22"/>
          <w:lang w:val="sk-SK"/>
        </w:rPr>
        <w:t xml:space="preserve">a </w:t>
      </w:r>
      <w:r w:rsidRPr="006E1548">
        <w:rPr>
          <w:rFonts w:eastAsia="Calibri"/>
          <w:szCs w:val="22"/>
          <w:lang w:val="sk-SK"/>
        </w:rPr>
        <w:t xml:space="preserve">sérových koncentrácií lítia a jeho toxicity. Použitie </w:t>
      </w:r>
      <w:r w:rsidR="00FB7392" w:rsidRPr="006E1548">
        <w:rPr>
          <w:rFonts w:eastAsia="Calibri"/>
          <w:szCs w:val="22"/>
          <w:lang w:val="sk-SK"/>
        </w:rPr>
        <w:t>perindoprilu</w:t>
      </w:r>
      <w:r w:rsidRPr="006E1548">
        <w:rPr>
          <w:rFonts w:eastAsia="Calibri"/>
          <w:szCs w:val="22"/>
          <w:lang w:val="sk-SK"/>
        </w:rPr>
        <w:t xml:space="preserve"> s lítiom sa neodporúča, ale ak sa potvrdí, že táto kombinácia je nutná, má sa starostlivo monitorovať hladina lítia v sére (pozri časť 4.4).</w:t>
      </w:r>
    </w:p>
    <w:p w:rsidR="00451911" w:rsidRPr="006E1548" w:rsidRDefault="00451911" w:rsidP="000322EB">
      <w:pPr>
        <w:rPr>
          <w:rFonts w:eastAsia="Calibri"/>
          <w:szCs w:val="22"/>
          <w:lang w:val="sk-SK"/>
        </w:rPr>
      </w:pPr>
    </w:p>
    <w:p w:rsidR="00451911" w:rsidRPr="006E1548" w:rsidRDefault="00451911" w:rsidP="000322EB">
      <w:pPr>
        <w:rPr>
          <w:rFonts w:eastAsia="Calibri"/>
          <w:b/>
          <w:szCs w:val="22"/>
          <w:u w:val="single"/>
          <w:lang w:val="sk-SK"/>
        </w:rPr>
      </w:pPr>
      <w:r w:rsidRPr="006E1548">
        <w:rPr>
          <w:b/>
          <w:i/>
          <w:iCs/>
          <w:szCs w:val="22"/>
          <w:u w:val="single"/>
          <w:lang w:val="sk-SK"/>
        </w:rPr>
        <w:t>Súbežné použitie, ktoré vyžaduje osobitnú starostlivosť</w:t>
      </w:r>
    </w:p>
    <w:p w:rsidR="00451911" w:rsidRPr="006E1548" w:rsidRDefault="00451911" w:rsidP="000322EB">
      <w:pPr>
        <w:rPr>
          <w:rFonts w:eastAsia="Calibri"/>
          <w:szCs w:val="22"/>
          <w:lang w:val="sk-SK"/>
        </w:rPr>
      </w:pPr>
    </w:p>
    <w:p w:rsidR="0054284D" w:rsidRPr="006E1548" w:rsidRDefault="0054284D" w:rsidP="000322EB">
      <w:pPr>
        <w:rPr>
          <w:rFonts w:eastAsia="Calibri"/>
          <w:b/>
          <w:szCs w:val="22"/>
          <w:lang w:val="sk-SK"/>
        </w:rPr>
      </w:pPr>
      <w:r w:rsidRPr="006E1548">
        <w:rPr>
          <w:rFonts w:eastAsia="Calibri"/>
          <w:b/>
          <w:szCs w:val="22"/>
          <w:lang w:val="sk-SK"/>
        </w:rPr>
        <w:t>Súvisiace s bisoprololom a perindoprilom</w:t>
      </w:r>
    </w:p>
    <w:p w:rsidR="0054284D" w:rsidRPr="006E1548" w:rsidRDefault="0054284D" w:rsidP="000322EB">
      <w:pPr>
        <w:rPr>
          <w:rFonts w:eastAsia="Calibri"/>
          <w:szCs w:val="22"/>
          <w:lang w:val="sk-SK"/>
        </w:rPr>
      </w:pPr>
    </w:p>
    <w:p w:rsidR="00451911" w:rsidRPr="006E1548" w:rsidRDefault="00D73733" w:rsidP="000322EB">
      <w:pPr>
        <w:rPr>
          <w:rFonts w:eastAsia="Calibri"/>
          <w:i/>
          <w:szCs w:val="22"/>
          <w:lang w:val="sk-SK"/>
        </w:rPr>
      </w:pPr>
      <w:r w:rsidRPr="006E1548">
        <w:rPr>
          <w:bCs/>
          <w:i/>
          <w:szCs w:val="22"/>
          <w:lang w:val="sk-SK"/>
        </w:rPr>
        <w:t>Antidiabetiká (inzulín, perorálne hypoglykemiká):</w:t>
      </w:r>
    </w:p>
    <w:p w:rsidR="00D73733" w:rsidRPr="006E1548" w:rsidRDefault="00D73733" w:rsidP="000322EB">
      <w:pPr>
        <w:rPr>
          <w:szCs w:val="22"/>
          <w:lang w:val="sk-SK"/>
        </w:rPr>
      </w:pPr>
      <w:r w:rsidRPr="006E1548">
        <w:rPr>
          <w:szCs w:val="22"/>
          <w:lang w:val="sk-SK"/>
        </w:rPr>
        <w:t>Epidemiologické štúdie naznačili, že súbežné podávanie inhibítorov ACE a antidiabetík (inzulíny, perorálne hypoglykemiká) môže spôsobiť zvýšenie účinku na zníženie glykémie v krvi s rizikom hypoglykémie. Zdá sa, že tento jav sa pravdepodobnejšie vyskytuje počas prvých týždňov kombinovanej liečby a u pacient</w:t>
      </w:r>
      <w:r w:rsidR="00C664E9" w:rsidRPr="006E1548">
        <w:rPr>
          <w:szCs w:val="22"/>
          <w:lang w:val="sk-SK"/>
        </w:rPr>
        <w:t>ov s poruchou funkcie obličiek.</w:t>
      </w:r>
    </w:p>
    <w:p w:rsidR="00D73733" w:rsidRPr="006E1548" w:rsidRDefault="00D73733" w:rsidP="000322EB">
      <w:pPr>
        <w:rPr>
          <w:szCs w:val="22"/>
          <w:lang w:val="sk-SK"/>
        </w:rPr>
      </w:pPr>
      <w:r w:rsidRPr="006E1548">
        <w:rPr>
          <w:szCs w:val="22"/>
          <w:lang w:val="sk-SK"/>
        </w:rPr>
        <w:t>Súbežné podávanie bisoprololu s inzulínom a perorálnymi antidiabetikami môže zvýšiť účin</w:t>
      </w:r>
      <w:r w:rsidR="00AB10AD" w:rsidRPr="006E1548">
        <w:rPr>
          <w:szCs w:val="22"/>
          <w:lang w:val="sk-SK"/>
        </w:rPr>
        <w:t>ok</w:t>
      </w:r>
      <w:r w:rsidR="003270E6" w:rsidRPr="006E1548">
        <w:rPr>
          <w:szCs w:val="22"/>
          <w:lang w:val="sk-SK"/>
        </w:rPr>
        <w:t xml:space="preserve"> na zníženie glykémie. B</w:t>
      </w:r>
      <w:r w:rsidRPr="006E1548">
        <w:rPr>
          <w:szCs w:val="22"/>
          <w:lang w:val="sk-SK"/>
        </w:rPr>
        <w:t>lokáda betaadrenoreceptorov môže maskovať príznaky hypoglykémie.</w:t>
      </w:r>
    </w:p>
    <w:p w:rsidR="00D73733" w:rsidRPr="006E1548" w:rsidRDefault="00D73733" w:rsidP="000322EB">
      <w:pPr>
        <w:rPr>
          <w:szCs w:val="22"/>
          <w:lang w:val="sk-SK"/>
        </w:rPr>
      </w:pPr>
    </w:p>
    <w:p w:rsidR="00D73733" w:rsidRPr="006E1548" w:rsidRDefault="00D73733" w:rsidP="000322EB">
      <w:pPr>
        <w:rPr>
          <w:i/>
          <w:szCs w:val="22"/>
          <w:lang w:val="sk-SK"/>
        </w:rPr>
      </w:pPr>
      <w:r w:rsidRPr="006E1548">
        <w:rPr>
          <w:i/>
          <w:szCs w:val="22"/>
          <w:lang w:val="sk-SK"/>
        </w:rPr>
        <w:t>Nesteroidné protizápalové lieky (NSA) (vrátane kyseliny acetylsalicylovej ≥ 3 g/deň):</w:t>
      </w:r>
    </w:p>
    <w:p w:rsidR="00D73733" w:rsidRPr="006E1548" w:rsidRDefault="00D73733" w:rsidP="00D73733">
      <w:pPr>
        <w:spacing w:line="240" w:lineRule="auto"/>
        <w:jc w:val="both"/>
        <w:rPr>
          <w:szCs w:val="22"/>
          <w:lang w:val="sk-SK"/>
        </w:rPr>
      </w:pPr>
      <w:r w:rsidRPr="006E1548">
        <w:rPr>
          <w:szCs w:val="22"/>
          <w:lang w:val="sk-SK"/>
        </w:rPr>
        <w:t>Podanie Prestilolu súbežne s nesteroidnými protizápalovými liekmi (t. j. kyselina acetylsalicylová v protizápalových dávkovacích režimoch, inhibítory</w:t>
      </w:r>
      <w:r w:rsidR="00650FB7" w:rsidRPr="006E1548">
        <w:rPr>
          <w:szCs w:val="22"/>
          <w:lang w:val="sk-SK"/>
        </w:rPr>
        <w:t xml:space="preserve"> COX-2</w:t>
      </w:r>
      <w:r w:rsidRPr="006E1548">
        <w:rPr>
          <w:szCs w:val="22"/>
          <w:lang w:val="sk-SK"/>
        </w:rPr>
        <w:t xml:space="preserve"> a neselektívne NSA) môže zoslabiť antihypertenzívny účinok bisoprololu a perindoprilu.</w:t>
      </w:r>
    </w:p>
    <w:p w:rsidR="00D73733" w:rsidRPr="006E1548" w:rsidRDefault="00996662" w:rsidP="00D73733">
      <w:pPr>
        <w:rPr>
          <w:szCs w:val="22"/>
          <w:lang w:val="sk-SK"/>
        </w:rPr>
      </w:pPr>
      <w:r w:rsidRPr="006E1548">
        <w:rPr>
          <w:szCs w:val="22"/>
          <w:lang w:val="sk-SK"/>
        </w:rPr>
        <w:t>Okrem toho</w:t>
      </w:r>
      <w:r w:rsidR="00D73733" w:rsidRPr="006E1548">
        <w:rPr>
          <w:szCs w:val="22"/>
          <w:lang w:val="sk-SK"/>
        </w:rPr>
        <w:t xml:space="preserve">, súbežné užívanie inhibítorov ACE a NSA môže viesť k zvýšenému riziku zhoršenia funkcií obličiek vrátane možného akútneho zlyhania obličiek a k zvýšeniu draslíka v sére, </w:t>
      </w:r>
      <w:r w:rsidR="00650FB7" w:rsidRPr="006E1548">
        <w:rPr>
          <w:szCs w:val="22"/>
          <w:lang w:val="sk-SK"/>
        </w:rPr>
        <w:t>hlavne</w:t>
      </w:r>
      <w:r w:rsidR="00D73733" w:rsidRPr="006E1548">
        <w:rPr>
          <w:szCs w:val="22"/>
          <w:lang w:val="sk-SK"/>
        </w:rPr>
        <w:t xml:space="preserve"> u pacientov s preexistujúcou slabou funkciou obličiek. Kombinácia sa má podávať s opatrnosťou, </w:t>
      </w:r>
      <w:r w:rsidR="00650FB7" w:rsidRPr="006E1548">
        <w:rPr>
          <w:szCs w:val="22"/>
          <w:lang w:val="sk-SK"/>
        </w:rPr>
        <w:t>hlavne</w:t>
      </w:r>
      <w:r w:rsidR="00D73733" w:rsidRPr="006E1548">
        <w:rPr>
          <w:szCs w:val="22"/>
          <w:lang w:val="sk-SK"/>
        </w:rPr>
        <w:t xml:space="preserve"> u starších ľudí. Pacienti sa majú primerane hydratova</w:t>
      </w:r>
      <w:r w:rsidR="003970DD" w:rsidRPr="006E1548">
        <w:rPr>
          <w:szCs w:val="22"/>
          <w:lang w:val="sk-SK"/>
        </w:rPr>
        <w:t>ť</w:t>
      </w:r>
      <w:r w:rsidR="00D73733" w:rsidRPr="006E1548">
        <w:rPr>
          <w:szCs w:val="22"/>
          <w:lang w:val="sk-SK"/>
        </w:rPr>
        <w:t xml:space="preserve"> a má sa zvážiť </w:t>
      </w:r>
      <w:r w:rsidR="003970DD" w:rsidRPr="006E1548">
        <w:rPr>
          <w:szCs w:val="22"/>
          <w:lang w:val="sk-SK"/>
        </w:rPr>
        <w:t>sledovanie</w:t>
      </w:r>
      <w:r w:rsidR="00D73733" w:rsidRPr="006E1548">
        <w:rPr>
          <w:szCs w:val="22"/>
          <w:lang w:val="sk-SK"/>
        </w:rPr>
        <w:t xml:space="preserve"> funkcií obličiek po začatí súbežnej liečby a potom v pravidelných intervaloch</w:t>
      </w:r>
      <w:r w:rsidR="003970DD" w:rsidRPr="006E1548">
        <w:rPr>
          <w:szCs w:val="22"/>
          <w:lang w:val="sk-SK"/>
        </w:rPr>
        <w:t>.</w:t>
      </w:r>
    </w:p>
    <w:p w:rsidR="003970DD" w:rsidRPr="006E1548" w:rsidRDefault="003970DD" w:rsidP="00D73733">
      <w:pPr>
        <w:rPr>
          <w:szCs w:val="22"/>
          <w:lang w:val="sk-SK"/>
        </w:rPr>
      </w:pPr>
    </w:p>
    <w:p w:rsidR="003970DD" w:rsidRPr="006E1548" w:rsidRDefault="003970DD" w:rsidP="00D73733">
      <w:pPr>
        <w:rPr>
          <w:i/>
          <w:szCs w:val="22"/>
          <w:lang w:val="sk-SK"/>
        </w:rPr>
      </w:pPr>
      <w:r w:rsidRPr="006E1548">
        <w:rPr>
          <w:i/>
          <w:szCs w:val="22"/>
          <w:lang w:val="sk-SK"/>
        </w:rPr>
        <w:t>Antihypertenzíva a vazodilatanciá:</w:t>
      </w:r>
    </w:p>
    <w:p w:rsidR="003970DD" w:rsidRPr="006E1548" w:rsidRDefault="003970DD" w:rsidP="00D73733">
      <w:pPr>
        <w:rPr>
          <w:szCs w:val="22"/>
          <w:lang w:val="sk-SK"/>
        </w:rPr>
      </w:pPr>
      <w:r w:rsidRPr="006E1548">
        <w:rPr>
          <w:rFonts w:eastAsia="Calibri"/>
          <w:szCs w:val="22"/>
          <w:lang w:val="sk-SK"/>
        </w:rPr>
        <w:t>Súbežné použitie s antihypertenzívami, vazodilatanciami (ako je</w:t>
      </w:r>
      <w:r w:rsidR="00AA57A1" w:rsidRPr="006E1548">
        <w:rPr>
          <w:rFonts w:eastAsia="Calibri"/>
          <w:szCs w:val="22"/>
          <w:lang w:val="sk-SK"/>
        </w:rPr>
        <w:t xml:space="preserve"> </w:t>
      </w:r>
      <w:r w:rsidRPr="006E1548">
        <w:rPr>
          <w:rFonts w:eastAsia="Calibri"/>
          <w:szCs w:val="22"/>
          <w:lang w:val="sk-SK"/>
        </w:rPr>
        <w:t>nitroglycerín, iné nitráty alebo iné vazodilatanciá) alebo s inými liekmi, ktoré majú potenciál znižovať krvný tlak (napr. tricyklické antidepresíva, barbituráty, fenotiazíny) môže zvýšiť riziko hypotenzných účinkov perindoprilu a bisoprololu.</w:t>
      </w:r>
    </w:p>
    <w:p w:rsidR="00D73733" w:rsidRPr="006E1548" w:rsidRDefault="00D73733" w:rsidP="000322EB">
      <w:pPr>
        <w:rPr>
          <w:szCs w:val="22"/>
          <w:lang w:val="sk-SK"/>
        </w:rPr>
      </w:pPr>
    </w:p>
    <w:p w:rsidR="00D73733" w:rsidRPr="006E1548" w:rsidRDefault="003970DD" w:rsidP="003970DD">
      <w:pPr>
        <w:spacing w:line="240" w:lineRule="auto"/>
        <w:jc w:val="both"/>
        <w:rPr>
          <w:i/>
          <w:szCs w:val="22"/>
          <w:lang w:val="sk-SK"/>
        </w:rPr>
      </w:pPr>
      <w:r w:rsidRPr="006E1548">
        <w:rPr>
          <w:i/>
          <w:szCs w:val="22"/>
          <w:lang w:val="sk-SK"/>
        </w:rPr>
        <w:t>Tricyklické antidepresíva/Antipsychotiká/Anestetiká:</w:t>
      </w:r>
    </w:p>
    <w:p w:rsidR="003970DD" w:rsidRPr="006E1548" w:rsidRDefault="003970DD" w:rsidP="003970DD">
      <w:pPr>
        <w:spacing w:line="240" w:lineRule="auto"/>
        <w:jc w:val="both"/>
        <w:rPr>
          <w:szCs w:val="22"/>
          <w:lang w:val="sk-SK"/>
        </w:rPr>
      </w:pPr>
      <w:r w:rsidRPr="006E1548">
        <w:rPr>
          <w:szCs w:val="22"/>
          <w:lang w:val="sk-SK"/>
        </w:rPr>
        <w:t>Súbežné užívanie inhibítorov ACE s určitými anestetikami, tricyklickými antidepresívami a antipsychotikami môže viesť k ďalšiemu zníženiu krvného tlaku.</w:t>
      </w:r>
    </w:p>
    <w:p w:rsidR="003970DD" w:rsidRPr="006E1548" w:rsidRDefault="003970DD" w:rsidP="000322EB">
      <w:pPr>
        <w:rPr>
          <w:szCs w:val="22"/>
          <w:lang w:val="sk-SK"/>
        </w:rPr>
      </w:pPr>
      <w:r w:rsidRPr="006E1548">
        <w:rPr>
          <w:szCs w:val="22"/>
          <w:lang w:val="sk-SK"/>
        </w:rPr>
        <w:lastRenderedPageBreak/>
        <w:t>Súbežné užívanie bisoprololu s anestetikami môže viesť k zníženej reflexnej tachykardii a</w:t>
      </w:r>
      <w:r w:rsidR="0065017C" w:rsidRPr="006E1548">
        <w:rPr>
          <w:szCs w:val="22"/>
          <w:lang w:val="sk-SK"/>
        </w:rPr>
        <w:t xml:space="preserve"> k </w:t>
      </w:r>
      <w:r w:rsidRPr="006E1548">
        <w:rPr>
          <w:szCs w:val="22"/>
          <w:lang w:val="sk-SK"/>
        </w:rPr>
        <w:t>zvýšenému riziku hypotenzie.</w:t>
      </w:r>
    </w:p>
    <w:p w:rsidR="003970DD" w:rsidRPr="006E1548" w:rsidRDefault="003970DD" w:rsidP="000322EB">
      <w:pPr>
        <w:rPr>
          <w:szCs w:val="22"/>
          <w:lang w:val="sk-SK"/>
        </w:rPr>
      </w:pPr>
    </w:p>
    <w:p w:rsidR="0065017C" w:rsidRPr="006E1548" w:rsidRDefault="0065017C" w:rsidP="000322EB">
      <w:pPr>
        <w:rPr>
          <w:i/>
          <w:szCs w:val="22"/>
          <w:lang w:val="sk-SK"/>
        </w:rPr>
      </w:pPr>
      <w:r w:rsidRPr="006E1548">
        <w:rPr>
          <w:i/>
          <w:szCs w:val="22"/>
          <w:lang w:val="sk-SK"/>
        </w:rPr>
        <w:t>Sympatomimetiká:</w:t>
      </w:r>
    </w:p>
    <w:p w:rsidR="003970DD" w:rsidRPr="006E1548" w:rsidRDefault="00C6348D" w:rsidP="000322EB">
      <w:pPr>
        <w:rPr>
          <w:szCs w:val="22"/>
          <w:lang w:val="sk-SK"/>
        </w:rPr>
      </w:pPr>
      <w:r w:rsidRPr="006E1548">
        <w:rPr>
          <w:szCs w:val="22"/>
          <w:lang w:val="sk-SK"/>
        </w:rPr>
        <w:t>Betasympatomimetiká (napr. i</w:t>
      </w:r>
      <w:r w:rsidR="0065017C" w:rsidRPr="006E1548">
        <w:rPr>
          <w:szCs w:val="22"/>
          <w:lang w:val="sk-SK"/>
        </w:rPr>
        <w:t>zoprenalín, dobutamín): kombinácia s bisoprololom môže znížiť účinky oboch látok.</w:t>
      </w:r>
    </w:p>
    <w:p w:rsidR="003970DD" w:rsidRPr="006E1548" w:rsidRDefault="0065017C" w:rsidP="000322EB">
      <w:pPr>
        <w:rPr>
          <w:szCs w:val="22"/>
          <w:lang w:val="sk-SK"/>
        </w:rPr>
      </w:pPr>
      <w:r w:rsidRPr="006E1548">
        <w:rPr>
          <w:szCs w:val="22"/>
          <w:lang w:val="sk-SK"/>
        </w:rPr>
        <w:t>Sympatomimetiká, k</w:t>
      </w:r>
      <w:r w:rsidR="004243C4" w:rsidRPr="006E1548">
        <w:rPr>
          <w:szCs w:val="22"/>
          <w:lang w:val="sk-SK"/>
        </w:rPr>
        <w:t>toré aktivujú beta- ako aj alfa</w:t>
      </w:r>
      <w:r w:rsidRPr="006E1548">
        <w:rPr>
          <w:szCs w:val="22"/>
          <w:lang w:val="sk-SK"/>
        </w:rPr>
        <w:t xml:space="preserve">adrenoreceptory (napr. noradrenalín, adrenalín): kombinácia s bisoprololom môže odhaliť vazokonstrikčné účinky </w:t>
      </w:r>
      <w:r w:rsidR="00AA46C5" w:rsidRPr="006E1548">
        <w:rPr>
          <w:szCs w:val="22"/>
          <w:lang w:val="sk-SK"/>
        </w:rPr>
        <w:t>týchto látok</w:t>
      </w:r>
      <w:r w:rsidRPr="006E1548">
        <w:rPr>
          <w:szCs w:val="22"/>
          <w:lang w:val="sk-SK"/>
        </w:rPr>
        <w:t xml:space="preserve"> sprostredkované alfaadrenoreceptormi, vedúce k zvýšeniu krvného tlaku a zhoršeniu </w:t>
      </w:r>
      <w:r w:rsidR="00AA46C5" w:rsidRPr="006E1548">
        <w:rPr>
          <w:szCs w:val="22"/>
          <w:lang w:val="sk-SK"/>
        </w:rPr>
        <w:t>intermitentnej klaudikácie. Také interakcie sa považujú za pravdepodobnejšie u neselektívnych betablokátorov.</w:t>
      </w:r>
    </w:p>
    <w:p w:rsidR="003970DD" w:rsidRPr="006E1548" w:rsidRDefault="00BC2FFC" w:rsidP="000322EB">
      <w:pPr>
        <w:rPr>
          <w:szCs w:val="22"/>
          <w:lang w:val="sk-SK"/>
        </w:rPr>
      </w:pPr>
      <w:r w:rsidRPr="006E1548">
        <w:rPr>
          <w:szCs w:val="22"/>
          <w:lang w:val="sk-SK"/>
        </w:rPr>
        <w:t>Sympatomimetiká môžu znižovať antihypertenzívne účinky inhibítorov ACE.</w:t>
      </w:r>
    </w:p>
    <w:p w:rsidR="003970DD" w:rsidRPr="006E1548" w:rsidRDefault="003970DD" w:rsidP="000322EB">
      <w:pPr>
        <w:rPr>
          <w:szCs w:val="22"/>
          <w:lang w:val="sk-SK"/>
        </w:rPr>
      </w:pPr>
    </w:p>
    <w:p w:rsidR="003970DD" w:rsidRPr="006E1548" w:rsidRDefault="0054284D" w:rsidP="000322EB">
      <w:pPr>
        <w:rPr>
          <w:b/>
          <w:szCs w:val="22"/>
          <w:lang w:val="sk-SK"/>
        </w:rPr>
      </w:pPr>
      <w:r w:rsidRPr="006E1548">
        <w:rPr>
          <w:b/>
          <w:szCs w:val="22"/>
          <w:lang w:val="sk-SK"/>
        </w:rPr>
        <w:t>Súvisiace s bisoprololom</w:t>
      </w:r>
    </w:p>
    <w:p w:rsidR="003970DD" w:rsidRPr="006E1548" w:rsidRDefault="003970DD" w:rsidP="000322EB">
      <w:pPr>
        <w:rPr>
          <w:szCs w:val="22"/>
          <w:lang w:val="sk-SK"/>
        </w:rPr>
      </w:pPr>
    </w:p>
    <w:p w:rsidR="003970DD" w:rsidRPr="006E1548" w:rsidRDefault="0054284D" w:rsidP="000322EB">
      <w:pPr>
        <w:rPr>
          <w:i/>
          <w:szCs w:val="22"/>
          <w:lang w:val="sk-SK"/>
        </w:rPr>
      </w:pPr>
      <w:r w:rsidRPr="006E1548">
        <w:rPr>
          <w:i/>
          <w:szCs w:val="22"/>
          <w:lang w:val="sk-SK"/>
        </w:rPr>
        <w:t>Antagonisty kalcia dihydropyridínového typu ako je felodipín a amlodipín:</w:t>
      </w:r>
    </w:p>
    <w:p w:rsidR="0054284D" w:rsidRPr="006E1548" w:rsidRDefault="0054284D" w:rsidP="000322EB">
      <w:pPr>
        <w:rPr>
          <w:szCs w:val="22"/>
          <w:lang w:val="sk-SK"/>
        </w:rPr>
      </w:pPr>
      <w:r w:rsidRPr="006E1548">
        <w:rPr>
          <w:szCs w:val="22"/>
          <w:lang w:val="sk-SK"/>
        </w:rPr>
        <w:t>Súbežné užívanie môže zvýšiť riziko hypotenzie</w:t>
      </w:r>
      <w:r w:rsidR="00D802F1" w:rsidRPr="006E1548">
        <w:rPr>
          <w:szCs w:val="22"/>
          <w:lang w:val="sk-SK"/>
        </w:rPr>
        <w:t xml:space="preserve"> </w:t>
      </w:r>
      <w:r w:rsidRPr="006E1548">
        <w:rPr>
          <w:szCs w:val="22"/>
          <w:lang w:val="sk-SK"/>
        </w:rPr>
        <w:t>a</w:t>
      </w:r>
      <w:r w:rsidR="00D802F1" w:rsidRPr="006E1548">
        <w:rPr>
          <w:szCs w:val="22"/>
          <w:lang w:val="sk-SK"/>
        </w:rPr>
        <w:t> </w:t>
      </w:r>
      <w:r w:rsidRPr="006E1548">
        <w:rPr>
          <w:szCs w:val="22"/>
          <w:lang w:val="sk-SK"/>
        </w:rPr>
        <w:t xml:space="preserve">u pacientov so srdcovým zlyhávaním sa nemôže vylúčiť </w:t>
      </w:r>
      <w:r w:rsidR="00C6348D" w:rsidRPr="006E1548">
        <w:rPr>
          <w:szCs w:val="22"/>
          <w:lang w:val="sk-SK"/>
        </w:rPr>
        <w:t xml:space="preserve">zvýšenie rizika </w:t>
      </w:r>
      <w:r w:rsidRPr="006E1548">
        <w:rPr>
          <w:szCs w:val="22"/>
          <w:lang w:val="sk-SK"/>
        </w:rPr>
        <w:t>ďalšie</w:t>
      </w:r>
      <w:r w:rsidR="00C6348D" w:rsidRPr="006E1548">
        <w:rPr>
          <w:szCs w:val="22"/>
          <w:lang w:val="sk-SK"/>
        </w:rPr>
        <w:t>ho</w:t>
      </w:r>
      <w:r w:rsidRPr="006E1548">
        <w:rPr>
          <w:szCs w:val="22"/>
          <w:lang w:val="sk-SK"/>
        </w:rPr>
        <w:t xml:space="preserve"> zhorše</w:t>
      </w:r>
      <w:r w:rsidR="00C6348D" w:rsidRPr="006E1548">
        <w:rPr>
          <w:szCs w:val="22"/>
          <w:lang w:val="sk-SK"/>
        </w:rPr>
        <w:t>nia</w:t>
      </w:r>
      <w:r w:rsidRPr="006E1548">
        <w:rPr>
          <w:szCs w:val="22"/>
          <w:lang w:val="sk-SK"/>
        </w:rPr>
        <w:t xml:space="preserve"> funkcie ventrikulárnej pumpy.</w:t>
      </w:r>
    </w:p>
    <w:p w:rsidR="003970DD" w:rsidRPr="006E1548" w:rsidRDefault="003970DD" w:rsidP="000322EB">
      <w:pPr>
        <w:rPr>
          <w:szCs w:val="22"/>
          <w:lang w:val="sk-SK"/>
        </w:rPr>
      </w:pPr>
    </w:p>
    <w:p w:rsidR="00D802F1" w:rsidRPr="006E1548" w:rsidRDefault="00D802F1" w:rsidP="000322EB">
      <w:pPr>
        <w:rPr>
          <w:i/>
          <w:szCs w:val="22"/>
          <w:lang w:val="sk-SK"/>
        </w:rPr>
      </w:pPr>
      <w:r w:rsidRPr="006E1548">
        <w:rPr>
          <w:i/>
          <w:szCs w:val="22"/>
          <w:lang w:val="sk-SK"/>
        </w:rPr>
        <w:t>Antiarytmiká III. triedy (napr. amiodarón):</w:t>
      </w:r>
    </w:p>
    <w:p w:rsidR="00D802F1" w:rsidRPr="006E1548" w:rsidRDefault="00312ED2" w:rsidP="000322EB">
      <w:pPr>
        <w:rPr>
          <w:i/>
          <w:szCs w:val="22"/>
          <w:lang w:val="sk-SK"/>
        </w:rPr>
      </w:pPr>
      <w:r w:rsidRPr="006E1548">
        <w:rPr>
          <w:rFonts w:eastAsia="Calibri"/>
          <w:szCs w:val="22"/>
          <w:lang w:val="sk-SK"/>
        </w:rPr>
        <w:t>Účinok na dobu atrioventrikulárneho vedenia sa môže zosilniť.</w:t>
      </w:r>
    </w:p>
    <w:p w:rsidR="00D802F1" w:rsidRPr="006E1548" w:rsidRDefault="00D802F1" w:rsidP="000322EB">
      <w:pPr>
        <w:rPr>
          <w:i/>
          <w:szCs w:val="22"/>
          <w:lang w:val="sk-SK"/>
        </w:rPr>
      </w:pPr>
    </w:p>
    <w:p w:rsidR="00D802F1" w:rsidRPr="006E1548" w:rsidRDefault="00312ED2" w:rsidP="000322EB">
      <w:pPr>
        <w:rPr>
          <w:i/>
          <w:szCs w:val="22"/>
          <w:lang w:val="sk-SK"/>
        </w:rPr>
      </w:pPr>
      <w:r w:rsidRPr="006E1548">
        <w:rPr>
          <w:i/>
          <w:szCs w:val="22"/>
          <w:lang w:val="sk-SK"/>
        </w:rPr>
        <w:t>Parasympatomimetiká:</w:t>
      </w:r>
    </w:p>
    <w:p w:rsidR="00312ED2" w:rsidRPr="006E1548" w:rsidRDefault="00312ED2" w:rsidP="000322EB">
      <w:pPr>
        <w:rPr>
          <w:i/>
          <w:szCs w:val="22"/>
          <w:lang w:val="sk-SK"/>
        </w:rPr>
      </w:pPr>
      <w:r w:rsidRPr="006E1548">
        <w:rPr>
          <w:rFonts w:eastAsia="Calibri"/>
          <w:szCs w:val="22"/>
          <w:lang w:val="sk-SK"/>
        </w:rPr>
        <w:t>Súbežné užívanie môže zvýšiť dobu atrioventrikulárneho vedenia a riziko bradykardie.</w:t>
      </w:r>
    </w:p>
    <w:p w:rsidR="00D802F1" w:rsidRPr="006E1548" w:rsidRDefault="00D802F1" w:rsidP="000322EB">
      <w:pPr>
        <w:rPr>
          <w:i/>
          <w:szCs w:val="22"/>
          <w:lang w:val="sk-SK"/>
        </w:rPr>
      </w:pPr>
    </w:p>
    <w:p w:rsidR="00D802F1" w:rsidRPr="006E1548" w:rsidRDefault="00312ED2" w:rsidP="000322EB">
      <w:pPr>
        <w:rPr>
          <w:i/>
          <w:szCs w:val="22"/>
          <w:lang w:val="sk-SK"/>
        </w:rPr>
      </w:pPr>
      <w:r w:rsidRPr="006E1548">
        <w:rPr>
          <w:i/>
          <w:szCs w:val="22"/>
          <w:lang w:val="sk-SK"/>
        </w:rPr>
        <w:t>Topické betablokátory (napr. očné kvapky na liečbu glaukómu):</w:t>
      </w:r>
    </w:p>
    <w:p w:rsidR="00312ED2" w:rsidRPr="006E1548" w:rsidRDefault="003F3412" w:rsidP="000322EB">
      <w:pPr>
        <w:rPr>
          <w:szCs w:val="22"/>
          <w:lang w:val="sk-SK"/>
        </w:rPr>
      </w:pPr>
      <w:r w:rsidRPr="006E1548">
        <w:rPr>
          <w:szCs w:val="22"/>
          <w:lang w:val="sk-SK"/>
        </w:rPr>
        <w:t>Súbežné použitie môže prispieť k systémovým účinkom bisoprololu.</w:t>
      </w:r>
    </w:p>
    <w:p w:rsidR="00312ED2" w:rsidRPr="006E1548" w:rsidRDefault="00312ED2" w:rsidP="000322EB">
      <w:pPr>
        <w:rPr>
          <w:i/>
          <w:szCs w:val="22"/>
          <w:lang w:val="sk-SK"/>
        </w:rPr>
      </w:pPr>
    </w:p>
    <w:p w:rsidR="00312ED2" w:rsidRPr="006E1548" w:rsidRDefault="0062429D" w:rsidP="000322EB">
      <w:pPr>
        <w:rPr>
          <w:i/>
          <w:szCs w:val="22"/>
          <w:lang w:val="sk-SK"/>
        </w:rPr>
      </w:pPr>
      <w:r w:rsidRPr="006E1548">
        <w:rPr>
          <w:i/>
          <w:szCs w:val="22"/>
          <w:lang w:val="sk-SK"/>
        </w:rPr>
        <w:t>Srdcové glykozidy:</w:t>
      </w:r>
    </w:p>
    <w:p w:rsidR="0062429D" w:rsidRPr="006E1548" w:rsidRDefault="0062429D" w:rsidP="000322EB">
      <w:pPr>
        <w:rPr>
          <w:rFonts w:eastAsia="Calibri"/>
          <w:szCs w:val="22"/>
          <w:lang w:val="sk-SK"/>
        </w:rPr>
      </w:pPr>
      <w:r w:rsidRPr="006E1548">
        <w:rPr>
          <w:szCs w:val="22"/>
          <w:lang w:val="sk-SK"/>
        </w:rPr>
        <w:t xml:space="preserve">Zníženie srdcovej frekvencie, </w:t>
      </w:r>
      <w:r w:rsidRPr="006E1548">
        <w:rPr>
          <w:rFonts w:eastAsia="Calibri"/>
          <w:szCs w:val="22"/>
          <w:lang w:val="sk-SK"/>
        </w:rPr>
        <w:t>zvýšenie doby atrioventrikulárneho vedenia.</w:t>
      </w:r>
    </w:p>
    <w:p w:rsidR="0062429D" w:rsidRPr="006E1548" w:rsidRDefault="0062429D" w:rsidP="000322EB">
      <w:pPr>
        <w:rPr>
          <w:rFonts w:eastAsia="Calibri"/>
          <w:szCs w:val="22"/>
          <w:lang w:val="sk-SK"/>
        </w:rPr>
      </w:pPr>
    </w:p>
    <w:p w:rsidR="0062429D" w:rsidRPr="006E1548" w:rsidRDefault="0062429D" w:rsidP="000322EB">
      <w:pPr>
        <w:rPr>
          <w:rFonts w:eastAsia="Calibri"/>
          <w:b/>
          <w:szCs w:val="22"/>
          <w:lang w:val="sk-SK"/>
        </w:rPr>
      </w:pPr>
      <w:r w:rsidRPr="006E1548">
        <w:rPr>
          <w:rFonts w:eastAsia="Calibri"/>
          <w:b/>
          <w:szCs w:val="22"/>
          <w:lang w:val="sk-SK"/>
        </w:rPr>
        <w:t>Súvisiace s perindoprilom:</w:t>
      </w:r>
    </w:p>
    <w:p w:rsidR="0062429D" w:rsidRPr="006E1548" w:rsidRDefault="0062429D" w:rsidP="000322EB">
      <w:pPr>
        <w:rPr>
          <w:rFonts w:eastAsia="Calibri"/>
          <w:i/>
          <w:szCs w:val="22"/>
          <w:lang w:val="sk-SK"/>
        </w:rPr>
      </w:pPr>
    </w:p>
    <w:p w:rsidR="0062429D" w:rsidRPr="006E1548" w:rsidRDefault="0062429D" w:rsidP="000322EB">
      <w:pPr>
        <w:rPr>
          <w:rFonts w:eastAsia="Calibri"/>
          <w:i/>
          <w:szCs w:val="22"/>
          <w:lang w:val="sk-SK"/>
        </w:rPr>
      </w:pPr>
      <w:r w:rsidRPr="006E1548">
        <w:rPr>
          <w:rFonts w:eastAsia="Calibri"/>
          <w:i/>
          <w:szCs w:val="22"/>
          <w:lang w:val="sk-SK"/>
        </w:rPr>
        <w:t>Baklofén:</w:t>
      </w:r>
    </w:p>
    <w:p w:rsidR="0062429D" w:rsidRPr="006E1548" w:rsidRDefault="0062429D" w:rsidP="000322EB">
      <w:pPr>
        <w:rPr>
          <w:rFonts w:eastAsia="Calibri"/>
          <w:szCs w:val="22"/>
          <w:lang w:val="sk-SK"/>
        </w:rPr>
      </w:pPr>
      <w:r w:rsidRPr="006E1548">
        <w:rPr>
          <w:rFonts w:eastAsia="Calibri"/>
          <w:szCs w:val="22"/>
          <w:lang w:val="sk-SK"/>
        </w:rPr>
        <w:t xml:space="preserve">Zvýšený antihypertenzívny účinok. </w:t>
      </w:r>
      <w:r w:rsidRPr="006E1548">
        <w:rPr>
          <w:szCs w:val="22"/>
          <w:lang w:val="sk-SK"/>
        </w:rPr>
        <w:t>Monitorovanie krvného tlaku a v prípade potreby úprava dávky antihypertenzíva.</w:t>
      </w:r>
    </w:p>
    <w:p w:rsidR="0062429D" w:rsidRPr="006E1548" w:rsidRDefault="0062429D" w:rsidP="000322EB">
      <w:pPr>
        <w:rPr>
          <w:szCs w:val="22"/>
          <w:lang w:val="sk-SK"/>
        </w:rPr>
      </w:pPr>
    </w:p>
    <w:p w:rsidR="003F3412" w:rsidRPr="006E1548" w:rsidRDefault="00C32BD8" w:rsidP="000322EB">
      <w:pPr>
        <w:rPr>
          <w:i/>
          <w:lang w:val="sk-SK" w:eastAsia="sk-SK"/>
        </w:rPr>
      </w:pPr>
      <w:r w:rsidRPr="006E1548">
        <w:rPr>
          <w:i/>
          <w:lang w:val="sk-SK" w:eastAsia="sk-SK"/>
        </w:rPr>
        <w:t>Diuretiká nešetriace draslík:</w:t>
      </w:r>
    </w:p>
    <w:p w:rsidR="00C32BD8" w:rsidRPr="006E1548" w:rsidRDefault="00C32BD8" w:rsidP="00C32BD8">
      <w:pPr>
        <w:spacing w:line="240" w:lineRule="auto"/>
        <w:rPr>
          <w:lang w:val="sk-SK" w:eastAsia="sk-SK"/>
        </w:rPr>
      </w:pPr>
      <w:r w:rsidRPr="006E1548">
        <w:rPr>
          <w:lang w:val="sk-SK" w:eastAsia="sk-SK"/>
        </w:rPr>
        <w:t>U pacientov užívajúcich diuretiká a najmä u tých, ktorí majú depléciu objemu a/alebo solí, môže dôjsť k nadmernému poklesu krvného tlaku po začatí liečby inhibítorom ACE. Možnosť hypotenzných účinkov sa môže znížiť vysadením diuretika, zvýšením objemu alebo príjmu solí pred začatím liečby s nízkymi a</w:t>
      </w:r>
      <w:r w:rsidR="00FA2887" w:rsidRPr="006E1548">
        <w:rPr>
          <w:lang w:val="sk-SK" w:eastAsia="sk-SK"/>
        </w:rPr>
        <w:t> postupne zvyšujúc</w:t>
      </w:r>
      <w:r w:rsidR="00145F1C" w:rsidRPr="006E1548">
        <w:rPr>
          <w:lang w:val="sk-SK" w:eastAsia="sk-SK"/>
        </w:rPr>
        <w:t>i</w:t>
      </w:r>
      <w:r w:rsidR="00FA2887" w:rsidRPr="006E1548">
        <w:rPr>
          <w:lang w:val="sk-SK" w:eastAsia="sk-SK"/>
        </w:rPr>
        <w:t>mi dávkami perindoprilu</w:t>
      </w:r>
      <w:r w:rsidRPr="006E1548">
        <w:rPr>
          <w:lang w:val="sk-SK" w:eastAsia="sk-SK"/>
        </w:rPr>
        <w:t>.</w:t>
      </w:r>
    </w:p>
    <w:p w:rsidR="00C32BD8" w:rsidRPr="006E1548" w:rsidRDefault="00C32BD8" w:rsidP="00C32BD8">
      <w:pPr>
        <w:spacing w:line="240" w:lineRule="auto"/>
        <w:rPr>
          <w:lang w:val="sk-SK" w:eastAsia="sk-SK"/>
        </w:rPr>
      </w:pPr>
      <w:r w:rsidRPr="006E1548">
        <w:rPr>
          <w:lang w:val="sk-SK" w:eastAsia="sk-SK"/>
        </w:rPr>
        <w:t xml:space="preserve">Pri arteriálnej hypertenzii, keď predchádzajúca liečba diuretikom mohla spôsobiť depléciu solí/objemu, sa musí </w:t>
      </w:r>
      <w:r w:rsidR="00F9290E" w:rsidRPr="006E1548">
        <w:rPr>
          <w:lang w:val="sk-SK" w:eastAsia="sk-SK"/>
        </w:rPr>
        <w:t xml:space="preserve">buď </w:t>
      </w:r>
      <w:r w:rsidRPr="006E1548">
        <w:rPr>
          <w:lang w:val="sk-SK" w:eastAsia="sk-SK"/>
        </w:rPr>
        <w:t xml:space="preserve">pred začatím liečby </w:t>
      </w:r>
      <w:r w:rsidR="00FA2887" w:rsidRPr="006E1548">
        <w:rPr>
          <w:lang w:val="sk-SK" w:eastAsia="sk-SK"/>
        </w:rPr>
        <w:t>inh</w:t>
      </w:r>
      <w:r w:rsidR="00001353" w:rsidRPr="006E1548">
        <w:rPr>
          <w:lang w:val="sk-SK" w:eastAsia="sk-SK"/>
        </w:rPr>
        <w:t>i</w:t>
      </w:r>
      <w:r w:rsidR="00FA2887" w:rsidRPr="006E1548">
        <w:rPr>
          <w:lang w:val="sk-SK" w:eastAsia="sk-SK"/>
        </w:rPr>
        <w:t>b</w:t>
      </w:r>
      <w:r w:rsidR="00001353" w:rsidRPr="006E1548">
        <w:rPr>
          <w:lang w:val="sk-SK" w:eastAsia="sk-SK"/>
        </w:rPr>
        <w:t>í</w:t>
      </w:r>
      <w:r w:rsidR="00FA2887" w:rsidRPr="006E1548">
        <w:rPr>
          <w:lang w:val="sk-SK" w:eastAsia="sk-SK"/>
        </w:rPr>
        <w:t xml:space="preserve">torom </w:t>
      </w:r>
      <w:proofErr w:type="spellStart"/>
      <w:r w:rsidR="00FA2887" w:rsidRPr="006E1548">
        <w:rPr>
          <w:lang w:val="sk-SK" w:eastAsia="sk-SK"/>
        </w:rPr>
        <w:t>ACE</w:t>
      </w:r>
      <w:proofErr w:type="spellEnd"/>
      <w:r w:rsidRPr="006E1548">
        <w:rPr>
          <w:lang w:val="sk-SK" w:eastAsia="sk-SK"/>
        </w:rPr>
        <w:t xml:space="preserve"> vysadiť diuretikum, v takom prípade sa potom môže znovu použiť diuretikum nešetriace draslík</w:t>
      </w:r>
      <w:r w:rsidR="00F9290E" w:rsidRPr="006E1548">
        <w:rPr>
          <w:lang w:val="sk-SK" w:eastAsia="sk-SK"/>
        </w:rPr>
        <w:t>,</w:t>
      </w:r>
      <w:r w:rsidR="00FA2887" w:rsidRPr="006E1548">
        <w:rPr>
          <w:lang w:val="sk-SK" w:eastAsia="sk-SK"/>
        </w:rPr>
        <w:t xml:space="preserve"> alebo sa liečba inhibítorom ACE musí začať na nízkej dávke a postupne zvyšovať</w:t>
      </w:r>
      <w:r w:rsidRPr="006E1548">
        <w:rPr>
          <w:lang w:val="sk-SK" w:eastAsia="sk-SK"/>
        </w:rPr>
        <w:t>.</w:t>
      </w:r>
    </w:p>
    <w:p w:rsidR="00656ECA" w:rsidRPr="006E1548" w:rsidRDefault="00656ECA" w:rsidP="00C32BD8">
      <w:pPr>
        <w:spacing w:line="240" w:lineRule="auto"/>
        <w:rPr>
          <w:lang w:val="sk-SK" w:eastAsia="sk-SK"/>
        </w:rPr>
      </w:pPr>
      <w:r w:rsidRPr="006E1548">
        <w:rPr>
          <w:lang w:val="sk-SK" w:eastAsia="sk-SK"/>
        </w:rPr>
        <w:t xml:space="preserve">Pri kongestívnom srdcovom zlyhávaní </w:t>
      </w:r>
      <w:r w:rsidR="00F9290E" w:rsidRPr="006E1548">
        <w:rPr>
          <w:lang w:val="sk-SK" w:eastAsia="sk-SK"/>
        </w:rPr>
        <w:t xml:space="preserve">liečenom diuretikami </w:t>
      </w:r>
      <w:r w:rsidRPr="006E1548">
        <w:rPr>
          <w:lang w:val="sk-SK" w:eastAsia="sk-SK"/>
        </w:rPr>
        <w:t>sa má liečba inhibítorom ACE začať na veľmi nízkych dávkach, prípadne po znížení dávky pridruženého diuretika nešetriaceho draslík.</w:t>
      </w:r>
    </w:p>
    <w:p w:rsidR="00656ECA" w:rsidRPr="006E1548" w:rsidRDefault="00656ECA" w:rsidP="00C32BD8">
      <w:pPr>
        <w:spacing w:line="240" w:lineRule="auto"/>
        <w:rPr>
          <w:lang w:val="sk-SK" w:eastAsia="sk-SK"/>
        </w:rPr>
      </w:pPr>
      <w:r w:rsidRPr="006E1548">
        <w:rPr>
          <w:lang w:val="sk-SK" w:eastAsia="sk-SK"/>
        </w:rPr>
        <w:t>Vo všetkých prípadoch sa počas niekoľkých prvých týždňo</w:t>
      </w:r>
      <w:r w:rsidR="004018C5" w:rsidRPr="006E1548">
        <w:rPr>
          <w:lang w:val="sk-SK" w:eastAsia="sk-SK"/>
        </w:rPr>
        <w:t>v</w:t>
      </w:r>
      <w:r w:rsidRPr="006E1548">
        <w:rPr>
          <w:lang w:val="sk-SK" w:eastAsia="sk-SK"/>
        </w:rPr>
        <w:t xml:space="preserve"> liečby inhibítorom ACE musí monitorovať funkcia obličiek (hladina kreatinínu)</w:t>
      </w:r>
      <w:r w:rsidR="0048546F" w:rsidRPr="006E1548">
        <w:rPr>
          <w:lang w:val="sk-SK" w:eastAsia="sk-SK"/>
        </w:rPr>
        <w:t>.</w:t>
      </w:r>
    </w:p>
    <w:p w:rsidR="00656ECA" w:rsidRPr="006E1548" w:rsidRDefault="00656ECA" w:rsidP="00C32BD8">
      <w:pPr>
        <w:spacing w:line="240" w:lineRule="auto"/>
        <w:rPr>
          <w:lang w:val="sk-SK" w:eastAsia="sk-SK"/>
        </w:rPr>
      </w:pPr>
    </w:p>
    <w:p w:rsidR="0048546F" w:rsidRPr="006E1548" w:rsidRDefault="0048546F" w:rsidP="00C32BD8">
      <w:pPr>
        <w:spacing w:line="240" w:lineRule="auto"/>
        <w:rPr>
          <w:i/>
          <w:lang w:val="sk-SK" w:eastAsia="sk-SK"/>
        </w:rPr>
      </w:pPr>
      <w:r w:rsidRPr="006E1548">
        <w:rPr>
          <w:i/>
          <w:lang w:val="sk-SK" w:eastAsia="sk-SK"/>
        </w:rPr>
        <w:t>Draslík šetriace diuretiká (eplerenón, spironolaktón):</w:t>
      </w:r>
    </w:p>
    <w:p w:rsidR="0048546F" w:rsidRPr="006E1548" w:rsidRDefault="0048546F" w:rsidP="00C32BD8">
      <w:pPr>
        <w:spacing w:line="240" w:lineRule="auto"/>
        <w:rPr>
          <w:lang w:val="sk-SK" w:eastAsia="sk-SK"/>
        </w:rPr>
      </w:pPr>
      <w:r w:rsidRPr="006E1548">
        <w:rPr>
          <w:lang w:val="sk-SK" w:eastAsia="sk-SK"/>
        </w:rPr>
        <w:t>Eplerenón a spironolaktón v dávkach medzi 12,5 mg až 50 mg denne a nízke dávky inhibítorov ACE:</w:t>
      </w:r>
    </w:p>
    <w:p w:rsidR="0048546F" w:rsidRPr="006E1548" w:rsidRDefault="0048546F" w:rsidP="0048546F">
      <w:pPr>
        <w:spacing w:line="240" w:lineRule="auto"/>
        <w:rPr>
          <w:lang w:val="sk-SK" w:eastAsia="sk-SK"/>
        </w:rPr>
      </w:pPr>
      <w:r w:rsidRPr="006E1548">
        <w:rPr>
          <w:lang w:val="sk-SK" w:eastAsia="sk-SK"/>
        </w:rPr>
        <w:lastRenderedPageBreak/>
        <w:t>Pri liečbe srdcového zlyhávania triedy II-IV (NYHA) s ejekčnou frakciou &lt; 40 % a predtým liečbou inhibítormi ACE a </w:t>
      </w:r>
      <w:r w:rsidR="00F9290E" w:rsidRPr="006E1548">
        <w:rPr>
          <w:lang w:val="sk-SK" w:eastAsia="sk-SK"/>
        </w:rPr>
        <w:t>kľ</w:t>
      </w:r>
      <w:r w:rsidRPr="006E1548">
        <w:rPr>
          <w:lang w:val="sk-SK" w:eastAsia="sk-SK"/>
        </w:rPr>
        <w:t>učkovými diuretikami je riziko hyperkaliémie, potenciálne smrteľnej, najmä v prípade nedodržania preskripčných odporúčaní týkajúcich sa tejto kombinácie.</w:t>
      </w:r>
    </w:p>
    <w:p w:rsidR="0048546F" w:rsidRPr="006E1548" w:rsidRDefault="0048546F" w:rsidP="0048546F">
      <w:pPr>
        <w:spacing w:line="240" w:lineRule="auto"/>
        <w:rPr>
          <w:lang w:val="sk-SK" w:eastAsia="sk-SK"/>
        </w:rPr>
      </w:pPr>
      <w:r w:rsidRPr="006E1548">
        <w:rPr>
          <w:lang w:val="sk-SK" w:eastAsia="sk-SK"/>
        </w:rPr>
        <w:t>Pred začatím liečby touto kombináciou skontrolujte absenciu hyperkaliémie a poruchy funkcie obličiek.</w:t>
      </w:r>
    </w:p>
    <w:p w:rsidR="0048546F" w:rsidRPr="006E1548" w:rsidRDefault="0048546F" w:rsidP="0048546F">
      <w:pPr>
        <w:spacing w:line="240" w:lineRule="auto"/>
        <w:rPr>
          <w:lang w:val="sk-SK" w:eastAsia="sk-SK"/>
        </w:rPr>
      </w:pPr>
      <w:r w:rsidRPr="006E1548">
        <w:rPr>
          <w:lang w:val="sk-SK" w:eastAsia="sk-SK"/>
        </w:rPr>
        <w:t>Dôkladné monitorovanie kaliémie a kreatininémie sa odporúča v prvom mesiaci liečby raz týždenne na začiatku liečby a potom raz za mesiac.</w:t>
      </w:r>
    </w:p>
    <w:p w:rsidR="0048546F" w:rsidRPr="006E1548" w:rsidRDefault="0048546F" w:rsidP="00C32BD8">
      <w:pPr>
        <w:spacing w:line="240" w:lineRule="auto"/>
        <w:rPr>
          <w:lang w:val="sk-SK" w:eastAsia="sk-SK"/>
        </w:rPr>
      </w:pPr>
    </w:p>
    <w:p w:rsidR="0048546F" w:rsidRPr="006E1548" w:rsidRDefault="0048546F" w:rsidP="00C32BD8">
      <w:pPr>
        <w:spacing w:line="240" w:lineRule="auto"/>
        <w:rPr>
          <w:b/>
          <w:u w:val="single"/>
          <w:lang w:val="sk-SK" w:eastAsia="sk-SK"/>
        </w:rPr>
      </w:pPr>
      <w:r w:rsidRPr="006E1548">
        <w:rPr>
          <w:b/>
          <w:i/>
          <w:iCs/>
          <w:szCs w:val="22"/>
          <w:u w:val="single"/>
          <w:lang w:val="sk-SK"/>
        </w:rPr>
        <w:t>Súbežné použitie, ktoré treba vziať do úvahy</w:t>
      </w:r>
    </w:p>
    <w:p w:rsidR="0048546F" w:rsidRPr="006E1548" w:rsidRDefault="0048546F" w:rsidP="00C32BD8">
      <w:pPr>
        <w:spacing w:line="240" w:lineRule="auto"/>
        <w:rPr>
          <w:lang w:val="sk-SK" w:eastAsia="sk-SK"/>
        </w:rPr>
      </w:pPr>
    </w:p>
    <w:p w:rsidR="0048546F" w:rsidRPr="006E1548" w:rsidRDefault="0048546F" w:rsidP="00C32BD8">
      <w:pPr>
        <w:spacing w:line="240" w:lineRule="auto"/>
        <w:rPr>
          <w:b/>
          <w:lang w:val="sk-SK" w:eastAsia="sk-SK"/>
        </w:rPr>
      </w:pPr>
      <w:r w:rsidRPr="006E1548">
        <w:rPr>
          <w:b/>
          <w:lang w:val="sk-SK" w:eastAsia="sk-SK"/>
        </w:rPr>
        <w:t>Súvisiace s bisoprololom</w:t>
      </w:r>
    </w:p>
    <w:p w:rsidR="00656ECA" w:rsidRPr="006E1548" w:rsidRDefault="00656ECA" w:rsidP="00C32BD8">
      <w:pPr>
        <w:spacing w:line="240" w:lineRule="auto"/>
        <w:rPr>
          <w:lang w:val="sk-SK" w:eastAsia="sk-SK"/>
        </w:rPr>
      </w:pPr>
    </w:p>
    <w:p w:rsidR="00C32BD8" w:rsidRPr="006E1548" w:rsidRDefault="0048546F" w:rsidP="000322EB">
      <w:pPr>
        <w:rPr>
          <w:i/>
          <w:lang w:val="sk-SK" w:eastAsia="sk-SK"/>
        </w:rPr>
      </w:pPr>
      <w:r w:rsidRPr="006E1548">
        <w:rPr>
          <w:i/>
          <w:lang w:val="sk-SK" w:eastAsia="sk-SK"/>
        </w:rPr>
        <w:t>Meflochín:</w:t>
      </w:r>
    </w:p>
    <w:p w:rsidR="00C32BD8" w:rsidRPr="006E1548" w:rsidRDefault="0048546F" w:rsidP="000322EB">
      <w:pPr>
        <w:rPr>
          <w:lang w:val="sk-SK" w:eastAsia="sk-SK"/>
        </w:rPr>
      </w:pPr>
      <w:r w:rsidRPr="006E1548">
        <w:rPr>
          <w:lang w:val="sk-SK" w:eastAsia="sk-SK"/>
        </w:rPr>
        <w:t>Zvýšené riziko bradykardie.</w:t>
      </w:r>
    </w:p>
    <w:p w:rsidR="001E434A" w:rsidRPr="006E1548" w:rsidRDefault="001E434A" w:rsidP="000322EB">
      <w:pPr>
        <w:rPr>
          <w:lang w:val="sk-SK" w:eastAsia="sk-SK"/>
        </w:rPr>
      </w:pPr>
    </w:p>
    <w:p w:rsidR="001E434A" w:rsidRPr="006E1548" w:rsidRDefault="001E434A" w:rsidP="000322EB">
      <w:pPr>
        <w:rPr>
          <w:i/>
          <w:lang w:val="sk-SK" w:eastAsia="sk-SK"/>
        </w:rPr>
      </w:pPr>
      <w:r w:rsidRPr="006E1548">
        <w:rPr>
          <w:i/>
          <w:lang w:val="sk-SK" w:eastAsia="sk-SK"/>
        </w:rPr>
        <w:t>Inhibítory monoaminooxidázy (okrem inhibítorov MAO-B):</w:t>
      </w:r>
    </w:p>
    <w:p w:rsidR="001E434A" w:rsidRPr="006E1548" w:rsidRDefault="001E434A" w:rsidP="000322EB">
      <w:pPr>
        <w:rPr>
          <w:lang w:val="sk-SK" w:eastAsia="sk-SK"/>
        </w:rPr>
      </w:pPr>
      <w:r w:rsidRPr="006E1548">
        <w:rPr>
          <w:lang w:val="sk-SK" w:eastAsia="sk-SK"/>
        </w:rPr>
        <w:t>Zosilnený hypotenzný účinok betablokátorov, ale tiež riziko hypertenznej krízy.</w:t>
      </w:r>
    </w:p>
    <w:p w:rsidR="001E434A" w:rsidRPr="006E1548" w:rsidRDefault="001E434A" w:rsidP="000322EB">
      <w:pPr>
        <w:rPr>
          <w:lang w:val="sk-SK" w:eastAsia="sk-SK"/>
        </w:rPr>
      </w:pPr>
    </w:p>
    <w:p w:rsidR="001E434A" w:rsidRPr="006E1548" w:rsidRDefault="001E434A" w:rsidP="001E434A">
      <w:pPr>
        <w:spacing w:line="240" w:lineRule="auto"/>
        <w:rPr>
          <w:b/>
          <w:lang w:val="sk-SK" w:eastAsia="sk-SK"/>
        </w:rPr>
      </w:pPr>
      <w:r w:rsidRPr="006E1548">
        <w:rPr>
          <w:b/>
          <w:lang w:val="sk-SK" w:eastAsia="sk-SK"/>
        </w:rPr>
        <w:t>Súvisiace s perindoprilom</w:t>
      </w:r>
    </w:p>
    <w:p w:rsidR="001E434A" w:rsidRPr="006E1548" w:rsidRDefault="001E434A" w:rsidP="000322EB">
      <w:pPr>
        <w:rPr>
          <w:lang w:val="sk-SK" w:eastAsia="sk-SK"/>
        </w:rPr>
      </w:pPr>
    </w:p>
    <w:p w:rsidR="00813FC2" w:rsidRPr="006E1548" w:rsidRDefault="001E434A" w:rsidP="000322EB">
      <w:pPr>
        <w:rPr>
          <w:i/>
          <w:lang w:val="sk-SK" w:eastAsia="sk-SK"/>
        </w:rPr>
      </w:pPr>
      <w:r w:rsidRPr="006E1548">
        <w:rPr>
          <w:i/>
          <w:lang w:val="sk-SK" w:eastAsia="sk-SK"/>
        </w:rPr>
        <w:t>Gliptíny (linagliptín, saxagliptín, sitagliptín, vildagliptín):</w:t>
      </w:r>
    </w:p>
    <w:p w:rsidR="001E434A" w:rsidRPr="006E1548" w:rsidRDefault="001E434A" w:rsidP="000322EB">
      <w:pPr>
        <w:rPr>
          <w:lang w:val="sk-SK" w:eastAsia="sk-SK"/>
        </w:rPr>
      </w:pPr>
      <w:r w:rsidRPr="006E1548">
        <w:rPr>
          <w:lang w:val="sk-SK" w:eastAsia="sk-SK"/>
        </w:rPr>
        <w:t>Zvýšené riziko angioedému, vzhľadom na gliptínmi zníženú a</w:t>
      </w:r>
      <w:r w:rsidR="00932A68" w:rsidRPr="006E1548">
        <w:rPr>
          <w:lang w:val="sk-SK" w:eastAsia="sk-SK"/>
        </w:rPr>
        <w:t xml:space="preserve">ktivitu dipeptidylpeptidázy IV </w:t>
      </w:r>
      <w:r w:rsidRPr="006E1548">
        <w:rPr>
          <w:lang w:val="sk-SK" w:eastAsia="sk-SK"/>
        </w:rPr>
        <w:t>(DPP-IV)</w:t>
      </w:r>
      <w:r w:rsidR="00932A68" w:rsidRPr="006E1548">
        <w:rPr>
          <w:lang w:val="sk-SK" w:eastAsia="sk-SK"/>
        </w:rPr>
        <w:t xml:space="preserve"> </w:t>
      </w:r>
      <w:r w:rsidR="003E6857" w:rsidRPr="006E1548">
        <w:rPr>
          <w:lang w:val="sk-SK" w:eastAsia="sk-SK"/>
        </w:rPr>
        <w:t xml:space="preserve">u pacientov súbežne liečených </w:t>
      </w:r>
      <w:r w:rsidR="00932A68" w:rsidRPr="006E1548">
        <w:rPr>
          <w:lang w:val="sk-SK" w:eastAsia="sk-SK"/>
        </w:rPr>
        <w:t>inhibítorom ACE.</w:t>
      </w:r>
    </w:p>
    <w:p w:rsidR="001E434A" w:rsidRPr="006E1548" w:rsidRDefault="001E434A" w:rsidP="000322EB">
      <w:pPr>
        <w:rPr>
          <w:lang w:val="sk-SK" w:eastAsia="sk-SK"/>
        </w:rPr>
      </w:pPr>
    </w:p>
    <w:p w:rsidR="00932A68" w:rsidRPr="006E1548" w:rsidRDefault="00932A68" w:rsidP="000322EB">
      <w:pPr>
        <w:rPr>
          <w:i/>
          <w:lang w:val="sk-SK" w:eastAsia="sk-SK"/>
        </w:rPr>
      </w:pPr>
      <w:r w:rsidRPr="006E1548">
        <w:rPr>
          <w:i/>
          <w:lang w:val="sk-SK" w:eastAsia="sk-SK"/>
        </w:rPr>
        <w:t>Zlato:</w:t>
      </w:r>
    </w:p>
    <w:p w:rsidR="00932A68" w:rsidRPr="006E1548" w:rsidRDefault="00932A68" w:rsidP="000322EB">
      <w:pPr>
        <w:rPr>
          <w:lang w:val="sk-SK" w:eastAsia="sk-SK"/>
        </w:rPr>
      </w:pPr>
      <w:r w:rsidRPr="006E1548">
        <w:rPr>
          <w:rFonts w:eastAsia="Calibri"/>
          <w:szCs w:val="22"/>
          <w:lang w:val="sk-SK"/>
        </w:rPr>
        <w:t>Nitritoidné reakcie (</w:t>
      </w:r>
      <w:r w:rsidR="004372C3" w:rsidRPr="006E1548">
        <w:rPr>
          <w:rFonts w:eastAsia="Calibri"/>
          <w:szCs w:val="22"/>
          <w:lang w:val="sk-SK"/>
        </w:rPr>
        <w:t>príznaky</w:t>
      </w:r>
      <w:r w:rsidRPr="006E1548">
        <w:rPr>
          <w:rFonts w:eastAsia="Calibri"/>
          <w:szCs w:val="22"/>
          <w:lang w:val="sk-SK"/>
        </w:rPr>
        <w:t xml:space="preserve"> zahŕňajú sčervenanie tváre, nauzeu, vracanie a hypotenziu) boli hlásené zriedkavo u pacientov liečených injekčným zlatom (nátriumaurotiomalát) a súbežne </w:t>
      </w:r>
      <w:r w:rsidR="006D578C" w:rsidRPr="006E1548">
        <w:rPr>
          <w:rFonts w:eastAsia="Calibri"/>
          <w:szCs w:val="22"/>
          <w:lang w:val="sk-SK"/>
        </w:rPr>
        <w:t xml:space="preserve">liečbou </w:t>
      </w:r>
      <w:r w:rsidRPr="006E1548">
        <w:rPr>
          <w:rFonts w:eastAsia="Calibri"/>
          <w:szCs w:val="22"/>
          <w:lang w:val="sk-SK"/>
        </w:rPr>
        <w:t>inhibítorom ACE vrátane perindoprilu.</w:t>
      </w:r>
    </w:p>
    <w:p w:rsidR="00586480" w:rsidRPr="006E1548" w:rsidRDefault="00586480" w:rsidP="00586480">
      <w:pPr>
        <w:rPr>
          <w:szCs w:val="22"/>
          <w:lang w:val="sk-SK"/>
        </w:rPr>
      </w:pPr>
    </w:p>
    <w:p w:rsidR="000322EB" w:rsidRPr="006E1548" w:rsidRDefault="000322EB" w:rsidP="000322EB">
      <w:pPr>
        <w:rPr>
          <w:szCs w:val="22"/>
          <w:lang w:val="sk-SK"/>
        </w:rPr>
      </w:pPr>
      <w:r w:rsidRPr="006E1548">
        <w:rPr>
          <w:b/>
          <w:szCs w:val="22"/>
          <w:lang w:val="sk-SK"/>
        </w:rPr>
        <w:t>4.6</w:t>
      </w:r>
      <w:r w:rsidRPr="006E1548">
        <w:rPr>
          <w:b/>
          <w:szCs w:val="22"/>
          <w:lang w:val="sk-SK"/>
        </w:rPr>
        <w:tab/>
        <w:t>Fertilita, gravidita a laktácia</w:t>
      </w:r>
    </w:p>
    <w:p w:rsidR="000322EB" w:rsidRPr="006E1548" w:rsidRDefault="000322EB" w:rsidP="000322EB">
      <w:pPr>
        <w:rPr>
          <w:szCs w:val="22"/>
          <w:lang w:val="sk-SK"/>
        </w:rPr>
      </w:pPr>
    </w:p>
    <w:p w:rsidR="006D578C" w:rsidRPr="006E1548" w:rsidRDefault="006D578C" w:rsidP="006D578C">
      <w:pPr>
        <w:rPr>
          <w:szCs w:val="22"/>
          <w:u w:val="single"/>
          <w:lang w:val="sk-SK"/>
        </w:rPr>
      </w:pPr>
      <w:r w:rsidRPr="006E1548">
        <w:rPr>
          <w:szCs w:val="22"/>
          <w:u w:val="single"/>
          <w:lang w:val="sk-SK"/>
        </w:rPr>
        <w:t>Gravidita:</w:t>
      </w:r>
    </w:p>
    <w:p w:rsidR="006D578C" w:rsidRPr="006E1548" w:rsidRDefault="006D578C" w:rsidP="006D578C">
      <w:pPr>
        <w:rPr>
          <w:szCs w:val="22"/>
          <w:lang w:val="sk-SK"/>
        </w:rPr>
      </w:pPr>
    </w:p>
    <w:p w:rsidR="006D578C" w:rsidRPr="006E1548" w:rsidRDefault="006D578C" w:rsidP="006D578C">
      <w:pPr>
        <w:spacing w:line="240" w:lineRule="auto"/>
        <w:rPr>
          <w:bCs/>
          <w:szCs w:val="22"/>
          <w:lang w:val="sk-SK"/>
        </w:rPr>
      </w:pPr>
      <w:r w:rsidRPr="006E1548">
        <w:rPr>
          <w:bCs/>
          <w:szCs w:val="22"/>
          <w:lang w:val="sk-SK"/>
        </w:rPr>
        <w:t>Na základe existujúcich údajov o monokomponentoch sa Prestilol počas prvého trimestra gravidity neodporúča a je kontraindikovaný počas druhého a tretieho trimestra gravidity.</w:t>
      </w:r>
    </w:p>
    <w:p w:rsidR="006D578C" w:rsidRPr="006E1548" w:rsidRDefault="006D578C" w:rsidP="006D578C">
      <w:pPr>
        <w:spacing w:line="240" w:lineRule="auto"/>
        <w:rPr>
          <w:bCs/>
          <w:szCs w:val="22"/>
          <w:u w:val="single"/>
          <w:lang w:val="sk-SK"/>
        </w:rPr>
      </w:pPr>
    </w:p>
    <w:p w:rsidR="006D578C" w:rsidRPr="006E1548" w:rsidRDefault="006D578C" w:rsidP="006D578C">
      <w:pPr>
        <w:spacing w:line="240" w:lineRule="auto"/>
        <w:rPr>
          <w:b/>
          <w:bCs/>
          <w:i/>
          <w:szCs w:val="22"/>
          <w:lang w:val="sk-SK"/>
        </w:rPr>
      </w:pPr>
      <w:r w:rsidRPr="006E1548">
        <w:rPr>
          <w:b/>
          <w:bCs/>
          <w:i/>
          <w:szCs w:val="22"/>
          <w:lang w:val="sk-SK"/>
        </w:rPr>
        <w:t>Bisoprolol</w:t>
      </w:r>
    </w:p>
    <w:p w:rsidR="00F21440" w:rsidRPr="006E1548" w:rsidRDefault="00F21440" w:rsidP="006D578C">
      <w:pPr>
        <w:spacing w:line="240" w:lineRule="auto"/>
        <w:rPr>
          <w:b/>
          <w:bCs/>
          <w:i/>
          <w:szCs w:val="22"/>
          <w:lang w:val="sk-SK"/>
        </w:rPr>
      </w:pPr>
    </w:p>
    <w:p w:rsidR="006D578C" w:rsidRPr="006E1548" w:rsidRDefault="006D578C" w:rsidP="006D578C">
      <w:pPr>
        <w:spacing w:line="240" w:lineRule="auto"/>
        <w:rPr>
          <w:bCs/>
          <w:szCs w:val="22"/>
          <w:lang w:val="sk-SK"/>
        </w:rPr>
      </w:pPr>
      <w:r w:rsidRPr="006E1548">
        <w:rPr>
          <w:bCs/>
          <w:szCs w:val="22"/>
          <w:lang w:val="sk-SK"/>
        </w:rPr>
        <w:t xml:space="preserve">Bisoprolol má farmakologické účinky, ktoré môžu </w:t>
      </w:r>
      <w:r w:rsidR="006B5192" w:rsidRPr="006E1548">
        <w:rPr>
          <w:bCs/>
          <w:szCs w:val="22"/>
          <w:lang w:val="sk-SK"/>
        </w:rPr>
        <w:t xml:space="preserve">mať škodlivé </w:t>
      </w:r>
      <w:r w:rsidR="00A60628">
        <w:rPr>
          <w:bCs/>
          <w:szCs w:val="22"/>
          <w:lang w:val="sk-SK"/>
        </w:rPr>
        <w:t>účinky</w:t>
      </w:r>
      <w:r w:rsidR="006B5192" w:rsidRPr="006E1548">
        <w:rPr>
          <w:bCs/>
          <w:szCs w:val="22"/>
          <w:lang w:val="sk-SK"/>
        </w:rPr>
        <w:t xml:space="preserve"> na graviditu a/alebo plod/novorodenca (zniž</w:t>
      </w:r>
      <w:r w:rsidR="008B5E23" w:rsidRPr="006E1548">
        <w:rPr>
          <w:bCs/>
          <w:szCs w:val="22"/>
          <w:lang w:val="sk-SK"/>
        </w:rPr>
        <w:t>uje</w:t>
      </w:r>
      <w:r w:rsidR="006B5192" w:rsidRPr="006E1548">
        <w:rPr>
          <w:bCs/>
          <w:szCs w:val="22"/>
          <w:lang w:val="sk-SK"/>
        </w:rPr>
        <w:t xml:space="preserve"> placentárnu perfúziu</w:t>
      </w:r>
      <w:r w:rsidR="008B5E23" w:rsidRPr="006E1548">
        <w:rPr>
          <w:bCs/>
          <w:szCs w:val="22"/>
          <w:lang w:val="sk-SK"/>
        </w:rPr>
        <w:t>, čo sa spája so spomalením rastu, intrauterinnou smrťou, potratom alebo predčasným pôrodom a u plodu a novorodenca sa môžu vyskytnúť nežiaduce účinky</w:t>
      </w:r>
      <w:r w:rsidR="00BA607E" w:rsidRPr="006E1548">
        <w:rPr>
          <w:bCs/>
          <w:szCs w:val="22"/>
          <w:lang w:val="sk-SK"/>
        </w:rPr>
        <w:t xml:space="preserve"> </w:t>
      </w:r>
      <w:r w:rsidR="008B5E23" w:rsidRPr="006E1548">
        <w:rPr>
          <w:bCs/>
          <w:szCs w:val="22"/>
          <w:lang w:val="sk-SK"/>
        </w:rPr>
        <w:t>(napr. hypoglykémia a bradykardia)).</w:t>
      </w:r>
      <w:r w:rsidR="00A21CB7" w:rsidRPr="006E1548">
        <w:rPr>
          <w:bCs/>
          <w:szCs w:val="22"/>
          <w:lang w:val="sk-SK"/>
        </w:rPr>
        <w:t xml:space="preserve"> Ak je liečba blokátor</w:t>
      </w:r>
      <w:r w:rsidR="00BA607E" w:rsidRPr="006E1548">
        <w:rPr>
          <w:bCs/>
          <w:szCs w:val="22"/>
          <w:lang w:val="sk-SK"/>
        </w:rPr>
        <w:t>mi</w:t>
      </w:r>
      <w:r w:rsidR="00A21CB7" w:rsidRPr="006E1548">
        <w:rPr>
          <w:bCs/>
          <w:szCs w:val="22"/>
          <w:lang w:val="sk-SK"/>
        </w:rPr>
        <w:t xml:space="preserve"> </w:t>
      </w:r>
      <w:r w:rsidR="00BA607E" w:rsidRPr="006E1548">
        <w:rPr>
          <w:bCs/>
          <w:szCs w:val="22"/>
          <w:lang w:val="sk-SK"/>
        </w:rPr>
        <w:t>betaadreno</w:t>
      </w:r>
      <w:r w:rsidR="00001353" w:rsidRPr="006E1548">
        <w:rPr>
          <w:bCs/>
          <w:szCs w:val="22"/>
          <w:lang w:val="sk-SK"/>
        </w:rPr>
        <w:t>re</w:t>
      </w:r>
      <w:r w:rsidR="00BA607E" w:rsidRPr="006E1548">
        <w:rPr>
          <w:bCs/>
          <w:szCs w:val="22"/>
          <w:lang w:val="sk-SK"/>
        </w:rPr>
        <w:t xml:space="preserve">ceptorov </w:t>
      </w:r>
      <w:r w:rsidR="00A21CB7" w:rsidRPr="006E1548">
        <w:rPr>
          <w:bCs/>
          <w:szCs w:val="22"/>
          <w:lang w:val="sk-SK"/>
        </w:rPr>
        <w:t>nevyhnutná, tak sú vhodnejšie beta-1 selektívne blokátory adrenoreceptorov.</w:t>
      </w:r>
    </w:p>
    <w:p w:rsidR="00A21CB7" w:rsidRPr="006E1548" w:rsidRDefault="00A21CB7" w:rsidP="006D578C">
      <w:pPr>
        <w:spacing w:line="240" w:lineRule="auto"/>
        <w:rPr>
          <w:bCs/>
          <w:szCs w:val="22"/>
          <w:lang w:val="sk-SK"/>
        </w:rPr>
      </w:pPr>
      <w:r w:rsidRPr="006E1548">
        <w:rPr>
          <w:bCs/>
          <w:szCs w:val="22"/>
          <w:lang w:val="sk-SK"/>
        </w:rPr>
        <w:t xml:space="preserve">Pokiaľ to nie je </w:t>
      </w:r>
      <w:r w:rsidR="00BA607E" w:rsidRPr="006E1548">
        <w:rPr>
          <w:bCs/>
          <w:szCs w:val="22"/>
          <w:lang w:val="sk-SK"/>
        </w:rPr>
        <w:t xml:space="preserve">jednoznačne </w:t>
      </w:r>
      <w:r w:rsidRPr="006E1548">
        <w:rPr>
          <w:bCs/>
          <w:szCs w:val="22"/>
          <w:lang w:val="sk-SK"/>
        </w:rPr>
        <w:t>nevyhnutné, tak sa bisoprolol nemá používať počas gravidity. Ak sa liečba bisoprololom považuje za nevyhnutnú, tak sa má monitorovať uteroplacentárny prietok krvi a rast plodu. V prípade škodlivých účinkov na graviditu a</w:t>
      </w:r>
      <w:r w:rsidR="00BA607E" w:rsidRPr="006E1548">
        <w:rPr>
          <w:bCs/>
          <w:szCs w:val="22"/>
          <w:lang w:val="sk-SK"/>
        </w:rPr>
        <w:t xml:space="preserve">lebo </w:t>
      </w:r>
      <w:r w:rsidRPr="006E1548">
        <w:rPr>
          <w:bCs/>
          <w:szCs w:val="22"/>
          <w:lang w:val="sk-SK"/>
        </w:rPr>
        <w:t>plod sa má zvážiť alternatívna liečba.</w:t>
      </w:r>
      <w:r w:rsidR="00F21440" w:rsidRPr="006E1548">
        <w:rPr>
          <w:bCs/>
          <w:szCs w:val="22"/>
          <w:lang w:val="sk-SK"/>
        </w:rPr>
        <w:t xml:space="preserve"> Novorodenec sa musí starostlivo monitorovať.</w:t>
      </w:r>
    </w:p>
    <w:p w:rsidR="00F21440" w:rsidRPr="006E1548" w:rsidRDefault="00BA607E" w:rsidP="006D578C">
      <w:pPr>
        <w:spacing w:line="240" w:lineRule="auto"/>
        <w:rPr>
          <w:bCs/>
          <w:szCs w:val="22"/>
          <w:lang w:val="sk-SK"/>
        </w:rPr>
      </w:pPr>
      <w:r w:rsidRPr="006E1548">
        <w:rPr>
          <w:bCs/>
          <w:szCs w:val="22"/>
          <w:lang w:val="sk-SK"/>
        </w:rPr>
        <w:t>Príznak</w:t>
      </w:r>
      <w:r w:rsidR="00F21440" w:rsidRPr="006E1548">
        <w:rPr>
          <w:bCs/>
          <w:szCs w:val="22"/>
          <w:lang w:val="sk-SK"/>
        </w:rPr>
        <w:t>y hypoglykémie a bradykardie sa vo všeobecnosti očakávajú počas p</w:t>
      </w:r>
      <w:r w:rsidR="004D7890" w:rsidRPr="006E1548">
        <w:rPr>
          <w:bCs/>
          <w:szCs w:val="22"/>
          <w:lang w:val="sk-SK"/>
        </w:rPr>
        <w:t>r</w:t>
      </w:r>
      <w:r w:rsidR="00F21440" w:rsidRPr="006E1548">
        <w:rPr>
          <w:bCs/>
          <w:szCs w:val="22"/>
          <w:lang w:val="sk-SK"/>
        </w:rPr>
        <w:t>vých troch dní.</w:t>
      </w:r>
    </w:p>
    <w:p w:rsidR="00F21440" w:rsidRPr="006E1548" w:rsidRDefault="00F21440" w:rsidP="006D578C">
      <w:pPr>
        <w:spacing w:line="240" w:lineRule="auto"/>
        <w:rPr>
          <w:bCs/>
          <w:szCs w:val="22"/>
          <w:lang w:val="sk-SK"/>
        </w:rPr>
      </w:pPr>
    </w:p>
    <w:p w:rsidR="00F21440" w:rsidRPr="006E1548" w:rsidRDefault="00F21440" w:rsidP="006D578C">
      <w:pPr>
        <w:spacing w:line="240" w:lineRule="auto"/>
        <w:rPr>
          <w:b/>
          <w:bCs/>
          <w:i/>
          <w:szCs w:val="22"/>
          <w:lang w:val="sk-SK"/>
        </w:rPr>
      </w:pPr>
      <w:r w:rsidRPr="006E1548">
        <w:rPr>
          <w:b/>
          <w:bCs/>
          <w:i/>
          <w:szCs w:val="22"/>
          <w:lang w:val="sk-SK"/>
        </w:rPr>
        <w:t>Perindopril</w:t>
      </w:r>
    </w:p>
    <w:p w:rsidR="00A21CB7" w:rsidRPr="006E1548" w:rsidRDefault="00A21CB7" w:rsidP="006D578C">
      <w:pPr>
        <w:spacing w:line="240" w:lineRule="auto"/>
        <w:rPr>
          <w:bCs/>
          <w:szCs w:val="22"/>
          <w:lang w:val="sk-SK"/>
        </w:rPr>
      </w:pPr>
    </w:p>
    <w:p w:rsidR="004D7890" w:rsidRPr="006E1548" w:rsidRDefault="004D7890" w:rsidP="004D7890">
      <w:pPr>
        <w:spacing w:line="240" w:lineRule="auto"/>
        <w:rPr>
          <w:szCs w:val="22"/>
          <w:lang w:val="sk-SK"/>
        </w:rPr>
      </w:pPr>
      <w:r w:rsidRPr="006E1548">
        <w:rPr>
          <w:szCs w:val="22"/>
          <w:lang w:val="sk-SK"/>
        </w:rPr>
        <w:t xml:space="preserve">Epidemiologický dôkaz týkajúci sa rizika teratogenity po expozícii inhibítorom ACE počas prvého trimestra gravidity nebol presvedčivý; malé zvýšenie rizika však nemožno vylúčiť. Pokiaľ nie je pokračovanie v liečbe inhibítorom ACE považované za nevyhnutné, pacientky, ktoré plánujú </w:t>
      </w:r>
      <w:r w:rsidRPr="006E1548">
        <w:rPr>
          <w:szCs w:val="22"/>
          <w:lang w:val="sk-SK"/>
        </w:rPr>
        <w:lastRenderedPageBreak/>
        <w:t xml:space="preserve">otehotnieť, majú prejsť na alternatívnu antihypertenznú liečbu, ktorá má stanovený </w:t>
      </w:r>
      <w:r w:rsidR="00BA607E" w:rsidRPr="006E1548">
        <w:rPr>
          <w:szCs w:val="22"/>
          <w:lang w:val="sk-SK"/>
        </w:rPr>
        <w:t xml:space="preserve">bezpečnostný </w:t>
      </w:r>
      <w:r w:rsidRPr="006E1548">
        <w:rPr>
          <w:szCs w:val="22"/>
          <w:lang w:val="sk-SK"/>
        </w:rPr>
        <w:t xml:space="preserve">profil pre použitie v gravidite. V prípade diagnostikovanej gravidity sa má okamžite prerušiť liečba inhibítormi ACE a ak je to vhodné, </w:t>
      </w:r>
      <w:r w:rsidR="00FE74A1" w:rsidRPr="006E1548">
        <w:rPr>
          <w:szCs w:val="22"/>
          <w:lang w:val="sk-SK"/>
        </w:rPr>
        <w:t>má sa začať alternatívna liečba.</w:t>
      </w:r>
    </w:p>
    <w:p w:rsidR="004D7890" w:rsidRPr="006E1548" w:rsidRDefault="004D7890" w:rsidP="004D7890">
      <w:pPr>
        <w:spacing w:line="240" w:lineRule="auto"/>
        <w:rPr>
          <w:szCs w:val="22"/>
          <w:lang w:val="sk-SK"/>
        </w:rPr>
      </w:pPr>
      <w:r w:rsidRPr="006E1548">
        <w:rPr>
          <w:szCs w:val="22"/>
          <w:lang w:val="sk-SK"/>
        </w:rPr>
        <w:t xml:space="preserve">Je známe, že expozícia liečbe inhibítorom ACE počas druhého a tretieho </w:t>
      </w:r>
      <w:proofErr w:type="spellStart"/>
      <w:r w:rsidRPr="006E1548">
        <w:rPr>
          <w:szCs w:val="22"/>
          <w:lang w:val="sk-SK"/>
        </w:rPr>
        <w:t>trimestra</w:t>
      </w:r>
      <w:proofErr w:type="spellEnd"/>
      <w:r w:rsidRPr="006E1548">
        <w:rPr>
          <w:szCs w:val="22"/>
          <w:lang w:val="sk-SK"/>
        </w:rPr>
        <w:t xml:space="preserve"> vyvoláva humánnu </w:t>
      </w:r>
      <w:proofErr w:type="spellStart"/>
      <w:r w:rsidRPr="006E1548">
        <w:rPr>
          <w:szCs w:val="22"/>
          <w:lang w:val="sk-SK"/>
        </w:rPr>
        <w:t>fetotoxicitu</w:t>
      </w:r>
      <w:proofErr w:type="spellEnd"/>
      <w:r w:rsidRPr="006E1548">
        <w:rPr>
          <w:szCs w:val="22"/>
          <w:lang w:val="sk-SK"/>
        </w:rPr>
        <w:t xml:space="preserve"> (znížen</w:t>
      </w:r>
      <w:r w:rsidR="00001353" w:rsidRPr="006E1548">
        <w:rPr>
          <w:szCs w:val="22"/>
          <w:lang w:val="sk-SK"/>
        </w:rPr>
        <w:t>á</w:t>
      </w:r>
      <w:r w:rsidRPr="006E1548">
        <w:rPr>
          <w:szCs w:val="22"/>
          <w:lang w:val="sk-SK"/>
        </w:rPr>
        <w:t xml:space="preserve"> funkci</w:t>
      </w:r>
      <w:r w:rsidR="00001353" w:rsidRPr="006E1548">
        <w:rPr>
          <w:szCs w:val="22"/>
          <w:lang w:val="sk-SK"/>
        </w:rPr>
        <w:t>a</w:t>
      </w:r>
      <w:r w:rsidRPr="006E1548">
        <w:rPr>
          <w:szCs w:val="22"/>
          <w:lang w:val="sk-SK"/>
        </w:rPr>
        <w:t xml:space="preserve"> obličiek, </w:t>
      </w:r>
      <w:proofErr w:type="spellStart"/>
      <w:r w:rsidRPr="006E1548">
        <w:rPr>
          <w:szCs w:val="22"/>
          <w:lang w:val="sk-SK"/>
        </w:rPr>
        <w:t>oligohydramnión</w:t>
      </w:r>
      <w:proofErr w:type="spellEnd"/>
      <w:r w:rsidRPr="006E1548">
        <w:rPr>
          <w:szCs w:val="22"/>
          <w:lang w:val="sk-SK"/>
        </w:rPr>
        <w:t>, spomalenie osifikácie lebky) a neonatálnu toxicitu (zlyhanie funkcie obličiek, hypotenzia, hyperkaliémia) (pozri časť 5.3). Ak by došlo k expozícii inhibítorom ACE od druhého trimestra gravidity, odporúča sa vykonať ultrazvukovú kontrolu funkci</w:t>
      </w:r>
      <w:r w:rsidR="00001353" w:rsidRPr="006E1548">
        <w:rPr>
          <w:szCs w:val="22"/>
          <w:lang w:val="sk-SK"/>
        </w:rPr>
        <w:t>e</w:t>
      </w:r>
      <w:r w:rsidRPr="006E1548">
        <w:rPr>
          <w:szCs w:val="22"/>
          <w:lang w:val="sk-SK"/>
        </w:rPr>
        <w:t xml:space="preserve"> obličiek a lebky. U dojčiat, ktorých matky užívali inhibítory ACE, sa má starostlivo sledovať hypotenzia (pozri tiež časti 4.3 a 4.4).</w:t>
      </w:r>
    </w:p>
    <w:p w:rsidR="006D578C" w:rsidRPr="006E1548" w:rsidRDefault="006D578C" w:rsidP="006D578C">
      <w:pPr>
        <w:spacing w:line="240" w:lineRule="auto"/>
        <w:rPr>
          <w:bCs/>
          <w:szCs w:val="22"/>
          <w:u w:val="single"/>
          <w:lang w:val="sk-SK"/>
        </w:rPr>
      </w:pPr>
    </w:p>
    <w:p w:rsidR="00FE74A1" w:rsidRPr="006E1548" w:rsidRDefault="00FE74A1" w:rsidP="00FE74A1">
      <w:pPr>
        <w:rPr>
          <w:szCs w:val="22"/>
          <w:u w:val="single"/>
          <w:lang w:val="sk-SK"/>
        </w:rPr>
      </w:pPr>
      <w:r w:rsidRPr="006E1548">
        <w:rPr>
          <w:szCs w:val="22"/>
          <w:u w:val="single"/>
          <w:lang w:val="sk-SK"/>
        </w:rPr>
        <w:t>Dojčenie:</w:t>
      </w:r>
    </w:p>
    <w:p w:rsidR="006D578C" w:rsidRPr="006E1548" w:rsidRDefault="00FE74A1" w:rsidP="006D578C">
      <w:pPr>
        <w:spacing w:line="240" w:lineRule="auto"/>
        <w:rPr>
          <w:bCs/>
          <w:szCs w:val="22"/>
          <w:lang w:val="sk-SK"/>
        </w:rPr>
      </w:pPr>
      <w:r w:rsidRPr="006E1548">
        <w:rPr>
          <w:bCs/>
          <w:szCs w:val="22"/>
          <w:lang w:val="sk-SK"/>
        </w:rPr>
        <w:t>Prestilol sa neodporúča počas dojčenia.</w:t>
      </w:r>
    </w:p>
    <w:p w:rsidR="006D578C" w:rsidRPr="006E1548" w:rsidRDefault="006D578C" w:rsidP="006D578C">
      <w:pPr>
        <w:spacing w:line="240" w:lineRule="auto"/>
        <w:rPr>
          <w:bCs/>
          <w:szCs w:val="22"/>
          <w:u w:val="single"/>
          <w:lang w:val="sk-SK"/>
        </w:rPr>
      </w:pPr>
    </w:p>
    <w:p w:rsidR="00FE74A1" w:rsidRPr="006E1548" w:rsidRDefault="00FE74A1" w:rsidP="006D578C">
      <w:pPr>
        <w:spacing w:line="240" w:lineRule="auto"/>
        <w:rPr>
          <w:bCs/>
          <w:szCs w:val="22"/>
          <w:lang w:val="sk-SK"/>
        </w:rPr>
      </w:pPr>
      <w:r w:rsidRPr="006E1548">
        <w:rPr>
          <w:bCs/>
          <w:szCs w:val="22"/>
          <w:lang w:val="sk-SK"/>
        </w:rPr>
        <w:t>Nie je známe</w:t>
      </w:r>
      <w:r w:rsidR="00001353" w:rsidRPr="006E1548">
        <w:rPr>
          <w:bCs/>
          <w:szCs w:val="22"/>
          <w:lang w:val="sk-SK"/>
        </w:rPr>
        <w:t>,</w:t>
      </w:r>
      <w:r w:rsidRPr="006E1548">
        <w:rPr>
          <w:bCs/>
          <w:szCs w:val="22"/>
          <w:lang w:val="sk-SK"/>
        </w:rPr>
        <w:t xml:space="preserve"> či sa bisoprolol vylučuje do materského mlieka. Preto sa podávanie bisoprololu počas dojčenia neodporúča.</w:t>
      </w:r>
    </w:p>
    <w:p w:rsidR="006B06C5" w:rsidRPr="006E1548" w:rsidRDefault="006B06C5" w:rsidP="006B06C5">
      <w:pPr>
        <w:spacing w:line="240" w:lineRule="auto"/>
        <w:rPr>
          <w:szCs w:val="22"/>
          <w:lang w:val="sk-SK"/>
        </w:rPr>
      </w:pPr>
      <w:r w:rsidRPr="006E1548">
        <w:rPr>
          <w:szCs w:val="22"/>
          <w:lang w:val="sk-SK"/>
        </w:rPr>
        <w:t xml:space="preserve">Pretože nie sú dostupné žiadne informácie týkajúce sa užívania perindoprilu počas dojčenia, perindopril sa neodporúča a uprednostňuje sa alternatívna liečba s lepšie stanoveným </w:t>
      </w:r>
      <w:r w:rsidR="00BA607E" w:rsidRPr="006E1548">
        <w:rPr>
          <w:szCs w:val="22"/>
          <w:lang w:val="sk-SK"/>
        </w:rPr>
        <w:t xml:space="preserve">bezpečnostným </w:t>
      </w:r>
      <w:r w:rsidRPr="006E1548">
        <w:rPr>
          <w:szCs w:val="22"/>
          <w:lang w:val="sk-SK"/>
        </w:rPr>
        <w:t>profilom počas dojčenia, najmä počas dojčenia novorodenca alebo predčasne narodeného dieťaťa.</w:t>
      </w:r>
    </w:p>
    <w:p w:rsidR="006B06C5" w:rsidRPr="006E1548" w:rsidRDefault="006B06C5" w:rsidP="006B06C5">
      <w:pPr>
        <w:rPr>
          <w:szCs w:val="22"/>
          <w:lang w:val="sk-SK"/>
        </w:rPr>
      </w:pPr>
    </w:p>
    <w:p w:rsidR="006B06C5" w:rsidRPr="006E1548" w:rsidRDefault="006B06C5" w:rsidP="006B06C5">
      <w:pPr>
        <w:rPr>
          <w:szCs w:val="22"/>
          <w:lang w:val="sk-SK"/>
        </w:rPr>
      </w:pPr>
      <w:r w:rsidRPr="006E1548">
        <w:rPr>
          <w:szCs w:val="22"/>
          <w:u w:val="single"/>
          <w:lang w:val="sk-SK"/>
        </w:rPr>
        <w:t>Fertilita:</w:t>
      </w:r>
    </w:p>
    <w:p w:rsidR="006B06C5" w:rsidRPr="006E1548" w:rsidRDefault="006B06C5" w:rsidP="006B06C5">
      <w:pPr>
        <w:spacing w:line="240" w:lineRule="auto"/>
        <w:rPr>
          <w:szCs w:val="22"/>
          <w:lang w:val="sk-SK"/>
        </w:rPr>
      </w:pPr>
      <w:r w:rsidRPr="006E1548">
        <w:rPr>
          <w:szCs w:val="22"/>
          <w:lang w:val="sk-SK"/>
        </w:rPr>
        <w:t>K dispozícii nie sú žiadne klinické údaje o vplyve na fertilitu pri použití Prestilolu.</w:t>
      </w:r>
    </w:p>
    <w:p w:rsidR="006B06C5" w:rsidRPr="006E1548" w:rsidRDefault="006B06C5" w:rsidP="006D578C">
      <w:pPr>
        <w:spacing w:line="240" w:lineRule="auto"/>
        <w:rPr>
          <w:bCs/>
          <w:szCs w:val="22"/>
          <w:u w:val="single"/>
          <w:lang w:val="sk-SK"/>
        </w:rPr>
      </w:pPr>
    </w:p>
    <w:p w:rsidR="000F4A9B" w:rsidRPr="006E1548" w:rsidRDefault="000F4A9B" w:rsidP="000F4A9B">
      <w:pPr>
        <w:rPr>
          <w:szCs w:val="22"/>
          <w:lang w:val="sk-SK"/>
        </w:rPr>
      </w:pPr>
      <w:r w:rsidRPr="006E1548">
        <w:rPr>
          <w:b/>
          <w:szCs w:val="22"/>
          <w:lang w:val="sk-SK"/>
        </w:rPr>
        <w:t>4.7</w:t>
      </w:r>
      <w:r w:rsidRPr="006E1548">
        <w:rPr>
          <w:b/>
          <w:szCs w:val="22"/>
          <w:lang w:val="sk-SK"/>
        </w:rPr>
        <w:tab/>
        <w:t>Ovplyvnenie schopnosti viesť vozidlá a obsluhovať stroje</w:t>
      </w:r>
    </w:p>
    <w:p w:rsidR="000F4A9B" w:rsidRPr="006E1548" w:rsidRDefault="000F4A9B" w:rsidP="000F4A9B">
      <w:pPr>
        <w:tabs>
          <w:tab w:val="clear" w:pos="567"/>
        </w:tabs>
        <w:spacing w:line="240" w:lineRule="auto"/>
        <w:rPr>
          <w:szCs w:val="22"/>
          <w:lang w:val="sk-SK"/>
        </w:rPr>
      </w:pPr>
    </w:p>
    <w:p w:rsidR="006B06C5" w:rsidRPr="006E1548" w:rsidRDefault="006B06C5" w:rsidP="000F4A9B">
      <w:pPr>
        <w:rPr>
          <w:szCs w:val="22"/>
          <w:lang w:val="sk-SK"/>
        </w:rPr>
      </w:pPr>
      <w:r w:rsidRPr="006E1548">
        <w:rPr>
          <w:szCs w:val="22"/>
          <w:lang w:val="sk-SK"/>
        </w:rPr>
        <w:t>Prestilol nemá žiadny priamy vplyv na schopnosť viesť vozidlá a obsluhovať stroje, ale u niektorých pacientov sa môžu vyskytnúť ojedinelé reakcie súvisiace s nízkym krvným tlak</w:t>
      </w:r>
      <w:r w:rsidR="005B00BA" w:rsidRPr="006E1548">
        <w:rPr>
          <w:szCs w:val="22"/>
          <w:lang w:val="sk-SK"/>
        </w:rPr>
        <w:t>om, obzvlášť na začiatku liečby alebo</w:t>
      </w:r>
      <w:r w:rsidRPr="006E1548">
        <w:rPr>
          <w:szCs w:val="22"/>
          <w:lang w:val="sk-SK"/>
        </w:rPr>
        <w:t xml:space="preserve"> pri zmene lieku, ako aj v spojení s alkoholom.</w:t>
      </w:r>
    </w:p>
    <w:p w:rsidR="006B06C5" w:rsidRPr="006E1548" w:rsidRDefault="00C11726" w:rsidP="000F4A9B">
      <w:pPr>
        <w:rPr>
          <w:szCs w:val="22"/>
          <w:lang w:val="sk-SK"/>
        </w:rPr>
      </w:pPr>
      <w:r w:rsidRPr="006E1548">
        <w:rPr>
          <w:szCs w:val="22"/>
          <w:lang w:val="sk-SK"/>
        </w:rPr>
        <w:t>Následkom toho môže byť schopnosť viesť vozidlá a obsluhovať stroje znížená.</w:t>
      </w:r>
    </w:p>
    <w:p w:rsidR="00D23C09" w:rsidRPr="006E1548" w:rsidRDefault="00D23C09" w:rsidP="000F4A9B">
      <w:pPr>
        <w:rPr>
          <w:szCs w:val="22"/>
          <w:lang w:val="sk-SK"/>
        </w:rPr>
      </w:pPr>
    </w:p>
    <w:p w:rsidR="000F4A9B" w:rsidRPr="006E1548" w:rsidRDefault="000F4A9B" w:rsidP="000F4A9B">
      <w:pPr>
        <w:rPr>
          <w:b/>
          <w:szCs w:val="22"/>
          <w:lang w:val="sk-SK"/>
        </w:rPr>
      </w:pPr>
      <w:r w:rsidRPr="006E1548">
        <w:rPr>
          <w:b/>
          <w:szCs w:val="22"/>
          <w:lang w:val="sk-SK"/>
        </w:rPr>
        <w:t>4.8</w:t>
      </w:r>
      <w:r w:rsidRPr="006E1548">
        <w:rPr>
          <w:b/>
          <w:szCs w:val="22"/>
          <w:lang w:val="sk-SK"/>
        </w:rPr>
        <w:tab/>
        <w:t>Nežiaduce účinky</w:t>
      </w:r>
    </w:p>
    <w:p w:rsidR="000F4A9B" w:rsidRPr="006E1548" w:rsidRDefault="000F4A9B" w:rsidP="000F4A9B">
      <w:pPr>
        <w:rPr>
          <w:szCs w:val="22"/>
          <w:u w:val="single"/>
          <w:lang w:val="sk-SK"/>
        </w:rPr>
      </w:pPr>
    </w:p>
    <w:p w:rsidR="000F4A9B" w:rsidRPr="006E1548" w:rsidRDefault="000F4A9B" w:rsidP="000F4A9B">
      <w:pPr>
        <w:rPr>
          <w:szCs w:val="22"/>
          <w:u w:val="single"/>
          <w:lang w:val="sk-SK"/>
        </w:rPr>
      </w:pPr>
      <w:r w:rsidRPr="006E1548">
        <w:rPr>
          <w:szCs w:val="22"/>
          <w:u w:val="single"/>
          <w:lang w:val="sk-SK"/>
        </w:rPr>
        <w:t>Súhrn bezpečnostného profilu</w:t>
      </w:r>
      <w:r w:rsidR="005B00BA" w:rsidRPr="006E1548">
        <w:rPr>
          <w:szCs w:val="22"/>
          <w:u w:val="single"/>
          <w:lang w:val="sk-SK"/>
        </w:rPr>
        <w:t>:</w:t>
      </w:r>
    </w:p>
    <w:p w:rsidR="00C11726" w:rsidRPr="006E1548" w:rsidRDefault="000F4A9B" w:rsidP="000F4A9B">
      <w:pPr>
        <w:rPr>
          <w:szCs w:val="22"/>
          <w:lang w:val="sk-SK"/>
        </w:rPr>
      </w:pPr>
      <w:r w:rsidRPr="006E1548">
        <w:rPr>
          <w:szCs w:val="22"/>
          <w:lang w:val="sk-SK"/>
        </w:rPr>
        <w:t xml:space="preserve">Najčastejšie nežiaduce reakcie </w:t>
      </w:r>
      <w:r w:rsidR="00C11726" w:rsidRPr="006E1548">
        <w:rPr>
          <w:szCs w:val="22"/>
          <w:lang w:val="sk-SK"/>
        </w:rPr>
        <w:t>bisoprololu zahŕňajú bolesť hlavy, závrat, zhoršenie srdcového zlyhávania, hypotenziu, studené končatiny, nauzeu, vracanie, bolesť brucha, hnačku, zápchu, asténiu a únavu.</w:t>
      </w:r>
    </w:p>
    <w:p w:rsidR="00C11726" w:rsidRPr="006E1548" w:rsidRDefault="00C11726" w:rsidP="000F4A9B">
      <w:pPr>
        <w:rPr>
          <w:szCs w:val="22"/>
          <w:lang w:val="sk-SK"/>
        </w:rPr>
      </w:pPr>
      <w:r w:rsidRPr="006E1548">
        <w:rPr>
          <w:szCs w:val="22"/>
          <w:lang w:val="sk-SK"/>
        </w:rPr>
        <w:t>Najčastejšie hlásené nežiaduce reakcie v klinických skúšaniach</w:t>
      </w:r>
      <w:r w:rsidR="006E1548" w:rsidRPr="006E1548">
        <w:rPr>
          <w:szCs w:val="22"/>
          <w:lang w:val="sk-SK"/>
        </w:rPr>
        <w:t xml:space="preserve"> a pozorované pri</w:t>
      </w:r>
      <w:r w:rsidRPr="006E1548">
        <w:rPr>
          <w:szCs w:val="22"/>
          <w:lang w:val="sk-SK"/>
        </w:rPr>
        <w:t xml:space="preserve"> </w:t>
      </w:r>
      <w:proofErr w:type="spellStart"/>
      <w:r w:rsidRPr="006E1548">
        <w:rPr>
          <w:szCs w:val="22"/>
          <w:lang w:val="sk-SK"/>
        </w:rPr>
        <w:t>perindopril</w:t>
      </w:r>
      <w:r w:rsidR="006E1548" w:rsidRPr="006E1548">
        <w:rPr>
          <w:szCs w:val="22"/>
          <w:lang w:val="sk-SK"/>
        </w:rPr>
        <w:t>e</w:t>
      </w:r>
      <w:proofErr w:type="spellEnd"/>
      <w:r w:rsidRPr="006E1548">
        <w:rPr>
          <w:szCs w:val="22"/>
          <w:lang w:val="sk-SK"/>
        </w:rPr>
        <w:t xml:space="preserve"> zahŕňajú bolesť hlavy, závrat, vertigo, parestéziu, poruchu</w:t>
      </w:r>
      <w:r w:rsidR="00145F1C" w:rsidRPr="006E1548">
        <w:rPr>
          <w:szCs w:val="22"/>
          <w:lang w:val="sk-SK"/>
        </w:rPr>
        <w:t xml:space="preserve"> zraku</w:t>
      </w:r>
      <w:r w:rsidRPr="006E1548">
        <w:rPr>
          <w:szCs w:val="22"/>
          <w:lang w:val="sk-SK"/>
        </w:rPr>
        <w:t>, tinnitus, hypotenziu, kašeľ, dyspnoe, nauzeu, vracanie, bolesť brucha, hnačku, zápchu, dysgeúziu, dyspepsiu, vyrážku, pruritus, svalové kŕče a asténiu.</w:t>
      </w:r>
    </w:p>
    <w:p w:rsidR="000F4A9B" w:rsidRPr="006E1548" w:rsidRDefault="000F4A9B" w:rsidP="000F4A9B">
      <w:pPr>
        <w:rPr>
          <w:szCs w:val="22"/>
          <w:lang w:val="sk-SK"/>
        </w:rPr>
      </w:pPr>
    </w:p>
    <w:p w:rsidR="000F4A9B" w:rsidRPr="006E1548" w:rsidRDefault="000F4A9B" w:rsidP="000F4A9B">
      <w:pPr>
        <w:rPr>
          <w:szCs w:val="22"/>
          <w:u w:val="single"/>
          <w:lang w:val="sk-SK"/>
        </w:rPr>
      </w:pPr>
      <w:r w:rsidRPr="006E1548">
        <w:rPr>
          <w:szCs w:val="22"/>
          <w:u w:val="single"/>
          <w:lang w:val="sk-SK"/>
        </w:rPr>
        <w:t>Tabuľkový zoznam nežiaducich reakcií</w:t>
      </w:r>
      <w:r w:rsidR="005B00BA" w:rsidRPr="006E1548">
        <w:rPr>
          <w:szCs w:val="22"/>
          <w:u w:val="single"/>
          <w:lang w:val="sk-SK"/>
        </w:rPr>
        <w:t>:</w:t>
      </w:r>
    </w:p>
    <w:p w:rsidR="000F4A9B" w:rsidRPr="006E1548" w:rsidRDefault="000F4A9B" w:rsidP="000F4A9B">
      <w:pPr>
        <w:rPr>
          <w:szCs w:val="22"/>
          <w:lang w:val="sk-SK"/>
        </w:rPr>
      </w:pPr>
      <w:r w:rsidRPr="006E1548">
        <w:rPr>
          <w:szCs w:val="22"/>
          <w:lang w:val="sk-SK"/>
        </w:rPr>
        <w:t xml:space="preserve">Počas </w:t>
      </w:r>
      <w:r w:rsidR="00C11726" w:rsidRPr="006E1548">
        <w:rPr>
          <w:szCs w:val="22"/>
          <w:u w:val="single"/>
          <w:lang w:val="sk-SK"/>
        </w:rPr>
        <w:t xml:space="preserve">klinických štúdií a/alebo </w:t>
      </w:r>
      <w:proofErr w:type="spellStart"/>
      <w:r w:rsidR="00C11726" w:rsidRPr="006E1548">
        <w:rPr>
          <w:szCs w:val="22"/>
          <w:u w:val="single"/>
          <w:lang w:val="sk-SK"/>
        </w:rPr>
        <w:t>postmarketingového</w:t>
      </w:r>
      <w:proofErr w:type="spellEnd"/>
      <w:r w:rsidR="00C11726" w:rsidRPr="006E1548">
        <w:rPr>
          <w:szCs w:val="22"/>
          <w:u w:val="single"/>
          <w:lang w:val="sk-SK"/>
        </w:rPr>
        <w:t xml:space="preserve"> použitia</w:t>
      </w:r>
      <w:r w:rsidR="00C11726" w:rsidRPr="006E1548">
        <w:rPr>
          <w:szCs w:val="22"/>
          <w:lang w:val="sk-SK"/>
        </w:rPr>
        <w:t xml:space="preserve"> </w:t>
      </w:r>
      <w:r w:rsidR="00D6621A" w:rsidRPr="006E1548">
        <w:rPr>
          <w:szCs w:val="22"/>
          <w:lang w:val="sk-SK"/>
        </w:rPr>
        <w:t xml:space="preserve">sa </w:t>
      </w:r>
      <w:r w:rsidR="006E1548" w:rsidRPr="006E1548">
        <w:rPr>
          <w:szCs w:val="22"/>
          <w:lang w:val="sk-SK"/>
        </w:rPr>
        <w:t>pri</w:t>
      </w:r>
      <w:r w:rsidR="00D6621A" w:rsidRPr="006E1548">
        <w:rPr>
          <w:szCs w:val="22"/>
          <w:lang w:val="sk-SK"/>
        </w:rPr>
        <w:t> </w:t>
      </w:r>
      <w:proofErr w:type="spellStart"/>
      <w:r w:rsidR="00D6621A" w:rsidRPr="006E1548">
        <w:rPr>
          <w:szCs w:val="22"/>
          <w:lang w:val="sk-SK"/>
        </w:rPr>
        <w:t>bisoprolol</w:t>
      </w:r>
      <w:r w:rsidR="006E1548" w:rsidRPr="006E1548">
        <w:rPr>
          <w:szCs w:val="22"/>
          <w:lang w:val="sk-SK"/>
        </w:rPr>
        <w:t>e</w:t>
      </w:r>
      <w:proofErr w:type="spellEnd"/>
      <w:r w:rsidR="00D6621A" w:rsidRPr="006E1548">
        <w:rPr>
          <w:szCs w:val="22"/>
          <w:lang w:val="sk-SK"/>
        </w:rPr>
        <w:t xml:space="preserve"> alebo </w:t>
      </w:r>
      <w:proofErr w:type="spellStart"/>
      <w:r w:rsidR="00D6621A" w:rsidRPr="006E1548">
        <w:rPr>
          <w:szCs w:val="22"/>
          <w:lang w:val="sk-SK"/>
        </w:rPr>
        <w:t>perindopril</w:t>
      </w:r>
      <w:r w:rsidR="006E1548" w:rsidRPr="006E1548">
        <w:rPr>
          <w:szCs w:val="22"/>
          <w:lang w:val="sk-SK"/>
        </w:rPr>
        <w:t>e</w:t>
      </w:r>
      <w:proofErr w:type="spellEnd"/>
      <w:r w:rsidR="00D6621A" w:rsidRPr="006E1548">
        <w:rPr>
          <w:szCs w:val="22"/>
          <w:lang w:val="sk-SK"/>
        </w:rPr>
        <w:t xml:space="preserve"> podávaných samostatne pozorovali nasledujúce nežiaduce účinky</w:t>
      </w:r>
      <w:r w:rsidRPr="006E1548">
        <w:rPr>
          <w:noProof/>
          <w:szCs w:val="22"/>
          <w:lang w:val="sk-SK" w:eastAsia="sk-SK"/>
        </w:rPr>
        <w:t xml:space="preserve">, ktoré sú </w:t>
      </w:r>
      <w:r w:rsidRPr="006E1548">
        <w:rPr>
          <w:szCs w:val="22"/>
          <w:lang w:val="sk-SK" w:eastAsia="sk-SK"/>
        </w:rPr>
        <w:t>zorad</w:t>
      </w:r>
      <w:r w:rsidR="005B00BA" w:rsidRPr="006E1548">
        <w:rPr>
          <w:szCs w:val="22"/>
          <w:lang w:val="sk-SK" w:eastAsia="sk-SK"/>
        </w:rPr>
        <w:t>ené v súlade s </w:t>
      </w:r>
      <w:r w:rsidRPr="006E1548">
        <w:rPr>
          <w:szCs w:val="22"/>
          <w:lang w:val="sk-SK" w:eastAsia="sk-SK"/>
        </w:rPr>
        <w:t xml:space="preserve">terminológiou </w:t>
      </w:r>
      <w:r w:rsidR="005A55B6" w:rsidRPr="006E1548">
        <w:rPr>
          <w:szCs w:val="22"/>
          <w:lang w:val="sk-SK" w:eastAsia="sk-SK"/>
        </w:rPr>
        <w:t>MedDRA</w:t>
      </w:r>
      <w:r w:rsidR="005A55B6" w:rsidRPr="006E1548" w:rsidDel="005A55B6">
        <w:rPr>
          <w:szCs w:val="22"/>
          <w:lang w:val="sk-SK" w:eastAsia="sk-SK"/>
        </w:rPr>
        <w:t xml:space="preserve"> </w:t>
      </w:r>
      <w:r w:rsidR="005A55B6" w:rsidRPr="006E1548">
        <w:rPr>
          <w:szCs w:val="22"/>
          <w:lang w:val="sk-SK" w:eastAsia="sk-SK"/>
        </w:rPr>
        <w:t xml:space="preserve">vzhľadom na telesné </w:t>
      </w:r>
      <w:r w:rsidRPr="006E1548">
        <w:rPr>
          <w:szCs w:val="22"/>
          <w:lang w:val="sk-SK" w:eastAsia="sk-SK"/>
        </w:rPr>
        <w:t>sústav</w:t>
      </w:r>
      <w:r w:rsidR="005A55B6" w:rsidRPr="006E1548">
        <w:rPr>
          <w:szCs w:val="22"/>
          <w:lang w:val="sk-SK" w:eastAsia="sk-SK"/>
        </w:rPr>
        <w:t>y</w:t>
      </w:r>
      <w:r w:rsidRPr="006E1548">
        <w:rPr>
          <w:szCs w:val="22"/>
          <w:lang w:val="sk-SK" w:eastAsia="sk-SK"/>
        </w:rPr>
        <w:t xml:space="preserve"> a frekvenci</w:t>
      </w:r>
      <w:r w:rsidR="005A55B6" w:rsidRPr="006E1548">
        <w:rPr>
          <w:szCs w:val="22"/>
          <w:lang w:val="sk-SK" w:eastAsia="sk-SK"/>
        </w:rPr>
        <w:t>u</w:t>
      </w:r>
      <w:r w:rsidRPr="006E1548">
        <w:rPr>
          <w:szCs w:val="22"/>
          <w:lang w:val="sk-SK" w:eastAsia="sk-SK"/>
        </w:rPr>
        <w:t xml:space="preserve"> výskytu podľa nasledujúcej konvencie</w:t>
      </w:r>
      <w:r w:rsidR="005B00BA" w:rsidRPr="006E1548">
        <w:rPr>
          <w:szCs w:val="22"/>
          <w:lang w:val="sk-SK"/>
        </w:rPr>
        <w:t>:</w:t>
      </w:r>
    </w:p>
    <w:p w:rsidR="000F4A9B" w:rsidRPr="006E1548" w:rsidRDefault="000F4A9B" w:rsidP="000F4A9B">
      <w:pPr>
        <w:rPr>
          <w:szCs w:val="22"/>
          <w:lang w:val="sk-SK"/>
        </w:rPr>
      </w:pPr>
      <w:r w:rsidRPr="006E1548">
        <w:rPr>
          <w:szCs w:val="22"/>
          <w:lang w:val="sk-SK"/>
        </w:rPr>
        <w:t>veľmi časté (≥</w:t>
      </w:r>
      <w:r w:rsidR="005B00BA" w:rsidRPr="006E1548">
        <w:rPr>
          <w:szCs w:val="22"/>
          <w:lang w:val="sk-SK"/>
        </w:rPr>
        <w:t xml:space="preserve"> </w:t>
      </w:r>
      <w:r w:rsidRPr="006E1548">
        <w:rPr>
          <w:szCs w:val="22"/>
          <w:lang w:val="sk-SK"/>
        </w:rPr>
        <w:t>1/10); časté (≥</w:t>
      </w:r>
      <w:r w:rsidR="005B00BA" w:rsidRPr="006E1548">
        <w:rPr>
          <w:szCs w:val="22"/>
          <w:lang w:val="sk-SK"/>
        </w:rPr>
        <w:t xml:space="preserve"> </w:t>
      </w:r>
      <w:r w:rsidRPr="006E1548">
        <w:rPr>
          <w:szCs w:val="22"/>
          <w:lang w:val="sk-SK"/>
        </w:rPr>
        <w:t>1/100 až &lt;</w:t>
      </w:r>
      <w:r w:rsidR="005B00BA" w:rsidRPr="006E1548">
        <w:rPr>
          <w:szCs w:val="22"/>
          <w:lang w:val="sk-SK"/>
        </w:rPr>
        <w:t xml:space="preserve"> </w:t>
      </w:r>
      <w:r w:rsidRPr="006E1548">
        <w:rPr>
          <w:szCs w:val="22"/>
          <w:lang w:val="sk-SK"/>
        </w:rPr>
        <w:t>1/10); menej časté (≥</w:t>
      </w:r>
      <w:r w:rsidR="005B00BA" w:rsidRPr="006E1548">
        <w:rPr>
          <w:szCs w:val="22"/>
          <w:lang w:val="sk-SK"/>
        </w:rPr>
        <w:t xml:space="preserve"> </w:t>
      </w:r>
      <w:r w:rsidRPr="006E1548">
        <w:rPr>
          <w:szCs w:val="22"/>
          <w:lang w:val="sk-SK"/>
        </w:rPr>
        <w:t>1/1 000 až &lt;</w:t>
      </w:r>
      <w:r w:rsidR="005B00BA" w:rsidRPr="006E1548">
        <w:rPr>
          <w:szCs w:val="22"/>
          <w:lang w:val="sk-SK"/>
        </w:rPr>
        <w:t xml:space="preserve"> 1/100); zriedkavé </w:t>
      </w:r>
      <w:r w:rsidRPr="006E1548">
        <w:rPr>
          <w:szCs w:val="22"/>
          <w:lang w:val="sk-SK"/>
        </w:rPr>
        <w:t>(≥</w:t>
      </w:r>
      <w:r w:rsidR="005B00BA" w:rsidRPr="006E1548">
        <w:rPr>
          <w:szCs w:val="22"/>
          <w:lang w:val="sk-SK"/>
        </w:rPr>
        <w:t> </w:t>
      </w:r>
      <w:r w:rsidRPr="006E1548">
        <w:rPr>
          <w:szCs w:val="22"/>
          <w:lang w:val="sk-SK"/>
        </w:rPr>
        <w:t>1/10 000 až &lt;1/1 000); veľmi zriedkavé (&lt;</w:t>
      </w:r>
      <w:r w:rsidR="005B00BA" w:rsidRPr="006E1548">
        <w:rPr>
          <w:szCs w:val="22"/>
          <w:lang w:val="sk-SK"/>
        </w:rPr>
        <w:t xml:space="preserve"> </w:t>
      </w:r>
      <w:r w:rsidRPr="006E1548">
        <w:rPr>
          <w:szCs w:val="22"/>
          <w:lang w:val="sk-SK"/>
        </w:rPr>
        <w:t>1/10 000)</w:t>
      </w:r>
      <w:r w:rsidR="005A55B6" w:rsidRPr="006E1548">
        <w:rPr>
          <w:szCs w:val="22"/>
          <w:lang w:val="sk-SK"/>
        </w:rPr>
        <w:t>;</w:t>
      </w:r>
      <w:r w:rsidRPr="006E1548">
        <w:rPr>
          <w:szCs w:val="22"/>
          <w:lang w:val="sk-SK"/>
        </w:rPr>
        <w:t xml:space="preserve"> neznáme (z dostupných údajov).</w:t>
      </w:r>
    </w:p>
    <w:p w:rsidR="000F4A9B" w:rsidRPr="006E1548" w:rsidRDefault="000F4A9B" w:rsidP="000F4A9B">
      <w:pPr>
        <w:tabs>
          <w:tab w:val="clear" w:pos="567"/>
        </w:tabs>
        <w:rPr>
          <w:szCs w:val="22"/>
          <w:lang w:val="sk-SK"/>
        </w:rPr>
      </w:pPr>
    </w:p>
    <w:p w:rsidR="005D02FF" w:rsidRPr="006E1548" w:rsidRDefault="005D02FF" w:rsidP="000F4A9B">
      <w:pPr>
        <w:tabs>
          <w:tab w:val="left" w:pos="-142"/>
          <w:tab w:val="left" w:pos="284"/>
        </w:tabs>
        <w:spacing w:line="240" w:lineRule="auto"/>
        <w:rPr>
          <w:noProof/>
          <w:szCs w:val="22"/>
          <w:lang w:val="sk-SK" w:eastAsia="sk-SK"/>
        </w:rPr>
      </w:pPr>
    </w:p>
    <w:tbl>
      <w:tblPr>
        <w:tblW w:w="10140" w:type="dxa"/>
        <w:jc w:val="center"/>
        <w:tblCellMar>
          <w:left w:w="70" w:type="dxa"/>
          <w:right w:w="70" w:type="dxa"/>
        </w:tblCellMar>
        <w:tblLook w:val="04A0" w:firstRow="1" w:lastRow="0" w:firstColumn="1" w:lastColumn="0" w:noHBand="0" w:noVBand="1"/>
      </w:tblPr>
      <w:tblGrid>
        <w:gridCol w:w="2140"/>
        <w:gridCol w:w="4760"/>
        <w:gridCol w:w="1520"/>
        <w:gridCol w:w="1720"/>
      </w:tblGrid>
      <w:tr w:rsidR="005D02FF" w:rsidRPr="006E1548" w:rsidTr="00655318">
        <w:trPr>
          <w:trHeight w:val="20"/>
          <w:jc w:val="center"/>
        </w:trPr>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jc w:val="center"/>
              <w:rPr>
                <w:b/>
                <w:bCs/>
                <w:szCs w:val="22"/>
                <w:lang w:val="sk-SK" w:eastAsia="fr-FR"/>
              </w:rPr>
            </w:pPr>
            <w:r w:rsidRPr="006E1548">
              <w:rPr>
                <w:b/>
                <w:bCs/>
                <w:iCs/>
                <w:szCs w:val="22"/>
                <w:lang w:val="sk-SK" w:eastAsia="sk-SK"/>
              </w:rPr>
              <w:t>Trieda orgánových systémov podľa MedDRA</w:t>
            </w:r>
          </w:p>
        </w:tc>
        <w:tc>
          <w:tcPr>
            <w:tcW w:w="47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b/>
                <w:bCs/>
                <w:szCs w:val="22"/>
                <w:lang w:val="sk-SK" w:eastAsia="fr-FR"/>
              </w:rPr>
            </w:pPr>
            <w:r w:rsidRPr="006E1548">
              <w:rPr>
                <w:b/>
                <w:bCs/>
                <w:iCs/>
                <w:szCs w:val="22"/>
                <w:lang w:val="sk-SK" w:eastAsia="sk-SK"/>
              </w:rPr>
              <w:t>Nežiaduce účinky</w:t>
            </w:r>
          </w:p>
        </w:tc>
        <w:tc>
          <w:tcPr>
            <w:tcW w:w="3240" w:type="dxa"/>
            <w:gridSpan w:val="2"/>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b/>
                <w:bCs/>
                <w:szCs w:val="22"/>
                <w:lang w:val="sk-SK" w:eastAsia="fr-FR"/>
              </w:rPr>
            </w:pPr>
            <w:r w:rsidRPr="006E1548">
              <w:rPr>
                <w:b/>
                <w:szCs w:val="22"/>
                <w:lang w:val="sk-SK"/>
              </w:rPr>
              <w:t>Frekvencia</w:t>
            </w:r>
          </w:p>
        </w:tc>
      </w:tr>
      <w:tr w:rsidR="005D02FF" w:rsidRPr="006E1548" w:rsidTr="00655318">
        <w:trPr>
          <w:trHeight w:val="20"/>
          <w:jc w:val="center"/>
        </w:trPr>
        <w:tc>
          <w:tcPr>
            <w:tcW w:w="2140" w:type="dxa"/>
            <w:vMerge/>
            <w:tcBorders>
              <w:top w:val="single" w:sz="4" w:space="0" w:color="auto"/>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jc w:val="center"/>
              <w:rPr>
                <w:b/>
                <w:bCs/>
                <w:szCs w:val="22"/>
                <w:lang w:val="sk-SK" w:eastAsia="fr-FR"/>
              </w:rPr>
            </w:pPr>
          </w:p>
        </w:tc>
        <w:tc>
          <w:tcPr>
            <w:tcW w:w="4760" w:type="dxa"/>
            <w:vMerge/>
            <w:tcBorders>
              <w:top w:val="single" w:sz="4" w:space="0" w:color="auto"/>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jc w:val="center"/>
              <w:rPr>
                <w:b/>
                <w:bCs/>
                <w:szCs w:val="22"/>
                <w:lang w:val="sk-SK" w:eastAsia="fr-FR"/>
              </w:rPr>
            </w:pP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b/>
                <w:bCs/>
                <w:szCs w:val="22"/>
                <w:lang w:val="sk-SK" w:eastAsia="fr-FR"/>
              </w:rPr>
            </w:pPr>
            <w:r w:rsidRPr="006E1548">
              <w:rPr>
                <w:b/>
                <w:bCs/>
                <w:szCs w:val="22"/>
                <w:lang w:val="sk-SK" w:eastAsia="fr-FR"/>
              </w:rPr>
              <w:t>Bisoprolol</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b/>
                <w:bCs/>
                <w:szCs w:val="22"/>
                <w:lang w:val="sk-SK" w:eastAsia="fr-FR"/>
              </w:rPr>
            </w:pPr>
            <w:r w:rsidRPr="006E1548">
              <w:rPr>
                <w:b/>
                <w:bCs/>
                <w:szCs w:val="22"/>
                <w:lang w:val="sk-SK" w:eastAsia="fr-FR"/>
              </w:rPr>
              <w:t>Perindopril</w:t>
            </w:r>
          </w:p>
        </w:tc>
      </w:tr>
      <w:tr w:rsidR="005D02FF" w:rsidRPr="006E1548" w:rsidTr="00655318">
        <w:trPr>
          <w:trHeight w:val="20"/>
          <w:jc w:val="center"/>
        </w:trPr>
        <w:tc>
          <w:tcPr>
            <w:tcW w:w="2140" w:type="dxa"/>
            <w:tcBorders>
              <w:top w:val="nil"/>
              <w:left w:val="single" w:sz="4" w:space="0" w:color="auto"/>
              <w:bottom w:val="single" w:sz="4" w:space="0" w:color="auto"/>
              <w:right w:val="single" w:sz="4" w:space="0" w:color="auto"/>
            </w:tcBorders>
            <w:shd w:val="clear" w:color="auto" w:fill="auto"/>
            <w:vAlign w:val="center"/>
          </w:tcPr>
          <w:p w:rsidR="005D02FF" w:rsidRPr="006E1548" w:rsidRDefault="005D02FF" w:rsidP="00655318">
            <w:pPr>
              <w:spacing w:before="60" w:after="60" w:line="240" w:lineRule="auto"/>
              <w:rPr>
                <w:b/>
                <w:bCs/>
                <w:szCs w:val="22"/>
                <w:lang w:val="sk-SK" w:eastAsia="fr-FR"/>
              </w:rPr>
            </w:pPr>
            <w:r w:rsidRPr="006E1548">
              <w:rPr>
                <w:b/>
                <w:bCs/>
                <w:szCs w:val="22"/>
                <w:lang w:val="sk-SK"/>
              </w:rPr>
              <w:t>Infekcie a nákazy</w:t>
            </w:r>
          </w:p>
        </w:tc>
        <w:tc>
          <w:tcPr>
            <w:tcW w:w="4760" w:type="dxa"/>
            <w:tcBorders>
              <w:top w:val="nil"/>
              <w:left w:val="nil"/>
              <w:bottom w:val="single" w:sz="4" w:space="0" w:color="auto"/>
              <w:right w:val="single" w:sz="4" w:space="0" w:color="auto"/>
            </w:tcBorders>
            <w:shd w:val="clear" w:color="auto" w:fill="auto"/>
            <w:vAlign w:val="center"/>
          </w:tcPr>
          <w:p w:rsidR="005D02FF" w:rsidRPr="006E1548" w:rsidRDefault="005D02FF" w:rsidP="00655318">
            <w:pPr>
              <w:tabs>
                <w:tab w:val="clear" w:pos="567"/>
              </w:tabs>
              <w:spacing w:before="60" w:after="60" w:line="240" w:lineRule="auto"/>
              <w:rPr>
                <w:color w:val="000000"/>
                <w:szCs w:val="22"/>
                <w:lang w:val="sk-SK"/>
              </w:rPr>
            </w:pPr>
            <w:r w:rsidRPr="006E1548">
              <w:rPr>
                <w:bCs/>
                <w:szCs w:val="22"/>
                <w:lang w:val="sk-SK" w:eastAsia="fr-FR"/>
              </w:rPr>
              <w:t>Rinitída</w:t>
            </w:r>
          </w:p>
        </w:tc>
        <w:tc>
          <w:tcPr>
            <w:tcW w:w="15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color w:val="000000"/>
                <w:szCs w:val="22"/>
                <w:lang w:val="sk-SK"/>
              </w:rPr>
            </w:pPr>
            <w:r w:rsidRPr="006E1548">
              <w:rPr>
                <w:bCs/>
                <w:szCs w:val="22"/>
                <w:lang w:val="sk-SK" w:eastAsia="fr-FR"/>
              </w:rPr>
              <w:t>Veľmi zriedkavé</w:t>
            </w:r>
          </w:p>
        </w:tc>
      </w:tr>
      <w:tr w:rsidR="005D02FF" w:rsidRPr="006E1548" w:rsidTr="00655318">
        <w:trPr>
          <w:trHeight w:val="20"/>
          <w:jc w:val="center"/>
        </w:trPr>
        <w:tc>
          <w:tcPr>
            <w:tcW w:w="2140" w:type="dxa"/>
            <w:vMerge w:val="restart"/>
            <w:tcBorders>
              <w:top w:val="single" w:sz="4" w:space="0" w:color="auto"/>
              <w:left w:val="single" w:sz="4" w:space="0" w:color="auto"/>
              <w:right w:val="single" w:sz="4" w:space="0" w:color="auto"/>
            </w:tcBorders>
            <w:shd w:val="clear" w:color="auto" w:fill="auto"/>
            <w:vAlign w:val="center"/>
            <w:hideMark/>
          </w:tcPr>
          <w:p w:rsidR="005D02FF" w:rsidRPr="006E1548" w:rsidRDefault="005D02FF" w:rsidP="00655318">
            <w:pPr>
              <w:spacing w:before="60" w:after="60" w:line="240" w:lineRule="auto"/>
              <w:rPr>
                <w:b/>
                <w:bCs/>
                <w:szCs w:val="22"/>
                <w:lang w:val="sk-SK" w:eastAsia="fr-FR"/>
              </w:rPr>
            </w:pPr>
            <w:r w:rsidRPr="006E1548">
              <w:rPr>
                <w:b/>
                <w:bCs/>
                <w:iCs/>
                <w:lang w:val="sk-SK" w:eastAsia="sk-SK"/>
              </w:rPr>
              <w:lastRenderedPageBreak/>
              <w:t>Poruchy krvi a lymfatického systému</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color w:val="000000"/>
                <w:szCs w:val="22"/>
                <w:lang w:val="sk-SK"/>
              </w:rPr>
              <w:t>Eozinofília</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p>
        </w:tc>
      </w:tr>
      <w:tr w:rsidR="005D02FF" w:rsidRPr="006E1548" w:rsidTr="00655318">
        <w:trPr>
          <w:trHeight w:val="20"/>
          <w:jc w:val="center"/>
        </w:trPr>
        <w:tc>
          <w:tcPr>
            <w:tcW w:w="2140" w:type="dxa"/>
            <w:vMerge/>
            <w:tcBorders>
              <w:left w:val="single" w:sz="4" w:space="0" w:color="auto"/>
              <w:right w:val="single" w:sz="4" w:space="0" w:color="auto"/>
            </w:tcBorders>
            <w:shd w:val="clear" w:color="auto" w:fill="auto"/>
            <w:vAlign w:val="center"/>
            <w:hideMark/>
          </w:tcPr>
          <w:p w:rsidR="005D02FF" w:rsidRPr="006E1548" w:rsidRDefault="005D02FF" w:rsidP="00655318">
            <w:pPr>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Agranulocytóza (pozri časť 4.4)</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r>
      <w:tr w:rsidR="005D02FF" w:rsidRPr="006E1548" w:rsidTr="00655318">
        <w:trPr>
          <w:trHeight w:val="20"/>
          <w:jc w:val="center"/>
        </w:trPr>
        <w:tc>
          <w:tcPr>
            <w:tcW w:w="2140" w:type="dxa"/>
            <w:vMerge/>
            <w:tcBorders>
              <w:left w:val="single" w:sz="4" w:space="0" w:color="auto"/>
              <w:right w:val="single" w:sz="4" w:space="0" w:color="auto"/>
            </w:tcBorders>
            <w:shd w:val="clear" w:color="auto" w:fill="auto"/>
            <w:vAlign w:val="center"/>
          </w:tcPr>
          <w:p w:rsidR="005D02FF" w:rsidRPr="006E1548" w:rsidRDefault="005D02FF" w:rsidP="00655318">
            <w:pPr>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Pancytopénia</w:t>
            </w:r>
          </w:p>
        </w:tc>
        <w:tc>
          <w:tcPr>
            <w:tcW w:w="15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r>
      <w:tr w:rsidR="005D02FF" w:rsidRPr="006E1548" w:rsidTr="00655318">
        <w:trPr>
          <w:trHeight w:val="20"/>
          <w:jc w:val="center"/>
        </w:trPr>
        <w:tc>
          <w:tcPr>
            <w:tcW w:w="2140" w:type="dxa"/>
            <w:vMerge/>
            <w:tcBorders>
              <w:left w:val="single" w:sz="4" w:space="0" w:color="auto"/>
              <w:right w:val="single" w:sz="4" w:space="0" w:color="auto"/>
            </w:tcBorders>
            <w:shd w:val="clear" w:color="auto" w:fill="auto"/>
            <w:vAlign w:val="center"/>
            <w:hideMark/>
          </w:tcPr>
          <w:p w:rsidR="005D02FF" w:rsidRPr="006E1548" w:rsidRDefault="005D02FF" w:rsidP="00655318">
            <w:pPr>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Leukopénia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r>
      <w:tr w:rsidR="005D02FF" w:rsidRPr="006E1548" w:rsidTr="00655318">
        <w:trPr>
          <w:trHeight w:val="20"/>
          <w:jc w:val="center"/>
        </w:trPr>
        <w:tc>
          <w:tcPr>
            <w:tcW w:w="2140" w:type="dxa"/>
            <w:vMerge/>
            <w:tcBorders>
              <w:left w:val="single" w:sz="4" w:space="0" w:color="auto"/>
              <w:right w:val="single" w:sz="4" w:space="0" w:color="auto"/>
            </w:tcBorders>
            <w:shd w:val="clear" w:color="auto" w:fill="auto"/>
            <w:vAlign w:val="center"/>
          </w:tcPr>
          <w:p w:rsidR="005D02FF" w:rsidRPr="006E1548" w:rsidRDefault="005D02FF" w:rsidP="00655318">
            <w:pPr>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Neutropénia (pozri časť 4.4)</w:t>
            </w:r>
          </w:p>
        </w:tc>
        <w:tc>
          <w:tcPr>
            <w:tcW w:w="15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r>
      <w:tr w:rsidR="005D02FF" w:rsidRPr="006E1548" w:rsidTr="00655318">
        <w:trPr>
          <w:trHeight w:val="20"/>
          <w:jc w:val="center"/>
        </w:trPr>
        <w:tc>
          <w:tcPr>
            <w:tcW w:w="2140" w:type="dxa"/>
            <w:vMerge/>
            <w:tcBorders>
              <w:left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145F1C">
            <w:pPr>
              <w:tabs>
                <w:tab w:val="clear" w:pos="567"/>
              </w:tabs>
              <w:spacing w:before="60" w:after="60" w:line="240" w:lineRule="auto"/>
              <w:rPr>
                <w:szCs w:val="22"/>
                <w:lang w:val="sk-SK" w:eastAsia="fr-FR"/>
              </w:rPr>
            </w:pPr>
            <w:r w:rsidRPr="006E1548">
              <w:rPr>
                <w:szCs w:val="22"/>
                <w:lang w:val="sk-SK" w:eastAsia="fr-FR"/>
              </w:rPr>
              <w:t>Trombocytopénia (pozri časť 4.4)</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r>
      <w:tr w:rsidR="005D02FF" w:rsidRPr="006E1548" w:rsidTr="00655318">
        <w:trPr>
          <w:trHeight w:val="20"/>
          <w:jc w:val="center"/>
        </w:trPr>
        <w:tc>
          <w:tcPr>
            <w:tcW w:w="2140" w:type="dxa"/>
            <w:vMerge/>
            <w:tcBorders>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bCs/>
                <w:iCs/>
                <w:szCs w:val="22"/>
                <w:lang w:val="sk-SK" w:eastAsia="sk-SK"/>
              </w:rPr>
              <w:t>Hemolytická anémia u pacientov s vrodenou deficienciou G-6PDH</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r>
      <w:tr w:rsidR="005D02FF" w:rsidRPr="006E1548" w:rsidTr="00655318">
        <w:trPr>
          <w:trHeight w:val="20"/>
          <w:jc w:val="center"/>
        </w:trPr>
        <w:tc>
          <w:tcPr>
            <w:tcW w:w="2140" w:type="dxa"/>
            <w:vMerge w:val="restart"/>
            <w:tcBorders>
              <w:top w:val="nil"/>
              <w:left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r w:rsidRPr="006E1548">
              <w:rPr>
                <w:b/>
                <w:bCs/>
                <w:iCs/>
                <w:lang w:val="sk-SK" w:eastAsia="sk-SK"/>
              </w:rPr>
              <w:t>Poruchy metabolizmu a výživy</w:t>
            </w: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Hypoglykémia (pozri časti 4.4 a 4.5)</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p>
        </w:tc>
      </w:tr>
      <w:tr w:rsidR="005D02FF" w:rsidRPr="006E1548" w:rsidTr="00655318">
        <w:trPr>
          <w:trHeight w:val="20"/>
          <w:jc w:val="center"/>
        </w:trPr>
        <w:tc>
          <w:tcPr>
            <w:tcW w:w="2140" w:type="dxa"/>
            <w:vMerge/>
            <w:tcBorders>
              <w:left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color w:val="000000"/>
                <w:szCs w:val="22"/>
                <w:lang w:val="sk-SK"/>
              </w:rPr>
              <w:t xml:space="preserve">Hyperkaliémia, </w:t>
            </w:r>
            <w:r w:rsidRPr="006E1548">
              <w:rPr>
                <w:szCs w:val="22"/>
                <w:lang w:val="sk-SK"/>
              </w:rPr>
              <w:t>reverzibilná po ukončení liečby</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p>
        </w:tc>
      </w:tr>
      <w:tr w:rsidR="005D02FF" w:rsidRPr="006E1548" w:rsidTr="00655318">
        <w:trPr>
          <w:trHeight w:val="20"/>
          <w:jc w:val="center"/>
        </w:trPr>
        <w:tc>
          <w:tcPr>
            <w:tcW w:w="2140" w:type="dxa"/>
            <w:vMerge/>
            <w:tcBorders>
              <w:left w:val="single" w:sz="4" w:space="0" w:color="auto"/>
              <w:bottom w:val="single" w:sz="4" w:space="0" w:color="000000"/>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color w:val="000000"/>
                <w:szCs w:val="22"/>
                <w:lang w:val="sk-SK"/>
              </w:rPr>
              <w:t>Hyponatriémia</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p>
        </w:tc>
      </w:tr>
      <w:tr w:rsidR="005D02FF" w:rsidRPr="006E1548" w:rsidTr="00655318">
        <w:trPr>
          <w:trHeight w:val="20"/>
          <w:jc w:val="center"/>
        </w:trPr>
        <w:tc>
          <w:tcPr>
            <w:tcW w:w="2140" w:type="dxa"/>
            <w:vMerge w:val="restart"/>
            <w:tcBorders>
              <w:top w:val="single" w:sz="4" w:space="0" w:color="auto"/>
              <w:left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r w:rsidRPr="006E1548">
              <w:rPr>
                <w:b/>
                <w:bCs/>
                <w:iCs/>
                <w:lang w:val="sk-SK" w:eastAsia="sk-SK"/>
              </w:rPr>
              <w:t>Psychické poruchy</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Zmeny nálad</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Menej časté</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Porucha spánku</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Menej 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Menej časté</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Depresia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Menej 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Nočné mory, halucinácie</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r>
      <w:tr w:rsidR="005D02FF" w:rsidRPr="006E1548" w:rsidTr="00655318">
        <w:trPr>
          <w:trHeight w:val="20"/>
          <w:jc w:val="center"/>
        </w:trPr>
        <w:tc>
          <w:tcPr>
            <w:tcW w:w="2140" w:type="dxa"/>
            <w:vMerge/>
            <w:tcBorders>
              <w:left w:val="single" w:sz="4" w:space="0" w:color="auto"/>
              <w:bottom w:val="single" w:sz="4" w:space="0" w:color="000000"/>
              <w:right w:val="single" w:sz="4" w:space="0" w:color="auto"/>
            </w:tcBorders>
            <w:vAlign w:val="center"/>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Zmätenosť</w:t>
            </w:r>
          </w:p>
        </w:tc>
        <w:tc>
          <w:tcPr>
            <w:tcW w:w="15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r>
      <w:tr w:rsidR="005D02FF" w:rsidRPr="006E1548" w:rsidTr="00655318">
        <w:trPr>
          <w:trHeight w:val="20"/>
          <w:jc w:val="center"/>
        </w:trPr>
        <w:tc>
          <w:tcPr>
            <w:tcW w:w="2140" w:type="dxa"/>
            <w:vMerge w:val="restart"/>
            <w:tcBorders>
              <w:top w:val="nil"/>
              <w:left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r w:rsidRPr="006E1548">
              <w:rPr>
                <w:b/>
                <w:bCs/>
                <w:iCs/>
                <w:lang w:val="sk-SK" w:eastAsia="sk-SK"/>
              </w:rPr>
              <w:t>Poruchy nervového systému</w:t>
            </w: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Bolesť hlavy**</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Závrat**</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Vertigo</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left w:val="single" w:sz="4" w:space="0" w:color="auto"/>
              <w:right w:val="single" w:sz="4" w:space="0" w:color="auto"/>
            </w:tcBorders>
            <w:vAlign w:val="center"/>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Dysgeúzia</w:t>
            </w:r>
          </w:p>
        </w:tc>
        <w:tc>
          <w:tcPr>
            <w:tcW w:w="15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Parestézia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 xml:space="preserve">Somnolencia </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Synkopa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p>
        </w:tc>
      </w:tr>
      <w:tr w:rsidR="005D02FF" w:rsidRPr="006E1548" w:rsidTr="00655318">
        <w:trPr>
          <w:trHeight w:val="20"/>
          <w:jc w:val="center"/>
        </w:trPr>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r w:rsidRPr="006E1548">
              <w:rPr>
                <w:b/>
                <w:bCs/>
                <w:iCs/>
                <w:lang w:val="sk-SK" w:eastAsia="sk-SK"/>
              </w:rPr>
              <w:t>Poruchy oka</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B96C02" w:rsidP="00655318">
            <w:pPr>
              <w:tabs>
                <w:tab w:val="clear" w:pos="567"/>
              </w:tabs>
              <w:spacing w:before="60" w:after="60" w:line="240" w:lineRule="auto"/>
              <w:rPr>
                <w:szCs w:val="22"/>
                <w:lang w:val="sk-SK" w:eastAsia="fr-FR"/>
              </w:rPr>
            </w:pPr>
            <w:r w:rsidRPr="006E1548">
              <w:rPr>
                <w:szCs w:val="22"/>
                <w:lang w:val="sk-SK" w:eastAsia="fr-FR"/>
              </w:rPr>
              <w:t>P</w:t>
            </w:r>
            <w:r w:rsidR="005D02FF" w:rsidRPr="006E1548">
              <w:rPr>
                <w:szCs w:val="22"/>
                <w:lang w:val="sk-SK" w:eastAsia="fr-FR"/>
              </w:rPr>
              <w:t>oruchy</w:t>
            </w:r>
            <w:r w:rsidRPr="006E1548">
              <w:rPr>
                <w:szCs w:val="22"/>
                <w:lang w:val="sk-SK" w:eastAsia="fr-FR"/>
              </w:rPr>
              <w:t xml:space="preserve"> zraku</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Znížená tvorba sĺz (treba zvážiť</w:t>
            </w:r>
            <w:r w:rsidR="00145F1C" w:rsidRPr="006E1548">
              <w:rPr>
                <w:szCs w:val="22"/>
                <w:lang w:val="sk-SK" w:eastAsia="fr-FR"/>
              </w:rPr>
              <w:t>,</w:t>
            </w:r>
            <w:r w:rsidRPr="006E1548">
              <w:rPr>
                <w:szCs w:val="22"/>
                <w:lang w:val="sk-SK" w:eastAsia="fr-FR"/>
              </w:rPr>
              <w:t xml:space="preserve"> ak pacient používa kontaktné šošovky)</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r>
      <w:tr w:rsidR="005D02FF" w:rsidRPr="006E1548" w:rsidTr="00655318">
        <w:trPr>
          <w:trHeight w:val="20"/>
          <w:jc w:val="center"/>
        </w:trPr>
        <w:tc>
          <w:tcPr>
            <w:tcW w:w="2140" w:type="dxa"/>
            <w:vMerge/>
            <w:tcBorders>
              <w:top w:val="single" w:sz="4" w:space="0" w:color="auto"/>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Konjunktivitída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r>
      <w:tr w:rsidR="005D02FF" w:rsidRPr="006E1548" w:rsidTr="00655318">
        <w:trPr>
          <w:trHeight w:val="20"/>
          <w:jc w:val="center"/>
        </w:trPr>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r w:rsidRPr="006E1548">
              <w:rPr>
                <w:b/>
                <w:bCs/>
                <w:iCs/>
                <w:lang w:val="sk-SK" w:eastAsia="sk-SK"/>
              </w:rPr>
              <w:t>Poruchy ucha a labyrintu</w:t>
            </w: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145F1C">
            <w:pPr>
              <w:tabs>
                <w:tab w:val="clear" w:pos="567"/>
              </w:tabs>
              <w:spacing w:before="60" w:after="60" w:line="240" w:lineRule="auto"/>
              <w:rPr>
                <w:szCs w:val="22"/>
                <w:lang w:val="sk-SK" w:eastAsia="fr-FR"/>
              </w:rPr>
            </w:pPr>
            <w:r w:rsidRPr="006E1548">
              <w:rPr>
                <w:szCs w:val="22"/>
                <w:lang w:val="sk-SK" w:eastAsia="fr-FR"/>
              </w:rPr>
              <w:t>Tinnitus</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Poruchy sluchu</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r>
      <w:tr w:rsidR="005D02FF" w:rsidRPr="006E1548" w:rsidTr="00655318">
        <w:trPr>
          <w:trHeight w:val="20"/>
          <w:jc w:val="center"/>
        </w:trPr>
        <w:tc>
          <w:tcPr>
            <w:tcW w:w="2140" w:type="dxa"/>
            <w:vMerge w:val="restart"/>
            <w:tcBorders>
              <w:top w:val="single" w:sz="4" w:space="0" w:color="auto"/>
              <w:left w:val="single" w:sz="4" w:space="0" w:color="auto"/>
              <w:right w:val="single" w:sz="4" w:space="0" w:color="auto"/>
            </w:tcBorders>
            <w:shd w:val="clear" w:color="auto" w:fill="auto"/>
            <w:vAlign w:val="center"/>
            <w:hideMark/>
          </w:tcPr>
          <w:p w:rsidR="005D02FF" w:rsidRPr="006E1548" w:rsidRDefault="005D02FF" w:rsidP="00655318">
            <w:pPr>
              <w:spacing w:before="60" w:after="60" w:line="240" w:lineRule="auto"/>
              <w:rPr>
                <w:b/>
                <w:bCs/>
                <w:szCs w:val="22"/>
                <w:lang w:val="sk-SK" w:eastAsia="fr-FR"/>
              </w:rPr>
            </w:pPr>
            <w:r w:rsidRPr="006E1548">
              <w:rPr>
                <w:b/>
                <w:bCs/>
                <w:iCs/>
                <w:lang w:val="sk-SK" w:eastAsia="sk-SK"/>
              </w:rPr>
              <w:t>Poruchy srdca a srdcovej činnosti</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Palpitácie</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p>
        </w:tc>
      </w:tr>
      <w:tr w:rsidR="005D02FF" w:rsidRPr="006E1548" w:rsidTr="00655318">
        <w:trPr>
          <w:trHeight w:val="20"/>
          <w:jc w:val="center"/>
        </w:trPr>
        <w:tc>
          <w:tcPr>
            <w:tcW w:w="2140" w:type="dxa"/>
            <w:vMerge/>
            <w:tcBorders>
              <w:left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color w:val="000000"/>
                <w:szCs w:val="22"/>
                <w:lang w:val="sk-SK"/>
              </w:rPr>
              <w:t>Tachykardia</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p>
        </w:tc>
      </w:tr>
      <w:tr w:rsidR="005D02FF" w:rsidRPr="006E1548" w:rsidTr="00655318">
        <w:trPr>
          <w:trHeight w:val="20"/>
          <w:jc w:val="center"/>
        </w:trPr>
        <w:tc>
          <w:tcPr>
            <w:tcW w:w="2140" w:type="dxa"/>
            <w:vMerge/>
            <w:tcBorders>
              <w:left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Bradykardia</w:t>
            </w:r>
          </w:p>
        </w:tc>
        <w:tc>
          <w:tcPr>
            <w:tcW w:w="1520" w:type="dxa"/>
            <w:tcBorders>
              <w:top w:val="single" w:sz="4" w:space="0" w:color="auto"/>
              <w:left w:val="nil"/>
              <w:bottom w:val="single" w:sz="4" w:space="0" w:color="auto"/>
              <w:right w:val="single" w:sz="4" w:space="0" w:color="auto"/>
            </w:tcBorders>
            <w:shd w:val="clear" w:color="auto" w:fill="auto"/>
            <w:noWrap/>
            <w:vAlign w:val="center"/>
          </w:tcPr>
          <w:p w:rsidR="005D02FF" w:rsidRPr="006E1548" w:rsidRDefault="005B00BA" w:rsidP="005B00BA">
            <w:pPr>
              <w:tabs>
                <w:tab w:val="clear" w:pos="567"/>
              </w:tabs>
              <w:spacing w:before="60" w:after="60" w:line="240" w:lineRule="auto"/>
              <w:jc w:val="center"/>
              <w:rPr>
                <w:szCs w:val="22"/>
                <w:lang w:val="sk-SK" w:eastAsia="fr-FR"/>
              </w:rPr>
            </w:pPr>
            <w:r w:rsidRPr="006E1548">
              <w:rPr>
                <w:szCs w:val="22"/>
                <w:lang w:val="sk-SK" w:eastAsia="fr-FR"/>
              </w:rPr>
              <w:t>Veľmi</w:t>
            </w:r>
            <w:r w:rsidR="005D02FF" w:rsidRPr="006E1548">
              <w:rPr>
                <w:szCs w:val="22"/>
                <w:lang w:val="sk-SK" w:eastAsia="fr-FR"/>
              </w:rPr>
              <w:t xml:space="preserve"> </w:t>
            </w:r>
            <w:r w:rsidRPr="006E1548">
              <w:rPr>
                <w:szCs w:val="22"/>
                <w:lang w:val="sk-SK" w:eastAsia="fr-FR"/>
              </w:rPr>
              <w:t>č</w:t>
            </w:r>
            <w:r w:rsidR="005D02FF" w:rsidRPr="006E1548">
              <w:rPr>
                <w:szCs w:val="22"/>
                <w:lang w:val="sk-SK" w:eastAsia="fr-FR"/>
              </w:rPr>
              <w:t>asté</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Zhoršenie srdcového zlyhávania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Poruchy AV vedenia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Menej 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 xml:space="preserve">Arytmia </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 xml:space="preserve">Angina pectoris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r>
      <w:tr w:rsidR="005D02FF" w:rsidRPr="006E1548" w:rsidTr="00655318">
        <w:trPr>
          <w:trHeight w:val="20"/>
          <w:jc w:val="center"/>
        </w:trPr>
        <w:tc>
          <w:tcPr>
            <w:tcW w:w="2140" w:type="dxa"/>
            <w:vMerge/>
            <w:tcBorders>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bCs/>
                <w:iCs/>
                <w:lang w:val="sk-SK" w:eastAsia="sk-SK"/>
              </w:rPr>
              <w:t xml:space="preserve">Infarkt myokardu </w:t>
            </w:r>
            <w:r w:rsidRPr="006E1548">
              <w:rPr>
                <w:lang w:val="sk-SK" w:eastAsia="sk-SK"/>
              </w:rPr>
              <w:t>pravdepodobne sekundárny v dôsledku nadmernej hypotenzie u vysokorizikových pacientov</w:t>
            </w:r>
            <w:r w:rsidRPr="006E1548">
              <w:rPr>
                <w:bCs/>
                <w:iCs/>
                <w:lang w:val="sk-SK" w:eastAsia="sk-SK"/>
              </w:rPr>
              <w:t xml:space="preserve"> (pozri časť 4.4)</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r>
      <w:tr w:rsidR="005D02FF" w:rsidRPr="006E1548" w:rsidTr="00655318">
        <w:trPr>
          <w:trHeight w:val="20"/>
          <w:jc w:val="center"/>
        </w:trPr>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r w:rsidRPr="006E1548">
              <w:rPr>
                <w:b/>
                <w:bCs/>
                <w:iCs/>
                <w:lang w:val="sk-SK" w:eastAsia="sk-SK"/>
              </w:rPr>
              <w:t>Poruchy ciev</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 xml:space="preserve">Hypotenzia </w:t>
            </w:r>
            <w:r w:rsidRPr="006E1548">
              <w:rPr>
                <w:bCs/>
                <w:iCs/>
                <w:lang w:val="sk-SK" w:eastAsia="sk-SK"/>
              </w:rPr>
              <w:t>a účinky súvisiace s hypotenziou</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Pocit chladu alebo zníženej citlivosti v končatinách</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Ortostatická hypotenzia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Menej 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Vaskulitída</w:t>
            </w:r>
          </w:p>
        </w:tc>
        <w:tc>
          <w:tcPr>
            <w:tcW w:w="15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bCs/>
                <w:iCs/>
                <w:lang w:val="sk-SK" w:eastAsia="sk-SK"/>
              </w:rPr>
              <w:t>Cievna mozgová príhoda, pravdepodobne sekundárna v dôsledku nadmernej hypotenzie u vysokorizikových pacientov (pozri časť 4.4)</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r>
      <w:tr w:rsidR="005D02FF" w:rsidRPr="006E1548" w:rsidTr="00655318">
        <w:trPr>
          <w:trHeight w:val="20"/>
          <w:jc w:val="center"/>
        </w:trPr>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r w:rsidRPr="006E1548">
              <w:rPr>
                <w:b/>
                <w:bCs/>
                <w:iCs/>
                <w:lang w:val="sk-SK" w:eastAsia="sk-SK"/>
              </w:rPr>
              <w:t>Poruchy dýchacej sústavy, hrudníka a mediastína</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Kašeľ</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Dyspnoe</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 xml:space="preserve">Bronchospazmus </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Menej 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Menej 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Eozinofilná pneumónia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r>
      <w:tr w:rsidR="005D02FF" w:rsidRPr="006E1548" w:rsidTr="00655318">
        <w:trPr>
          <w:trHeight w:val="20"/>
          <w:jc w:val="center"/>
        </w:trPr>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r w:rsidRPr="006E1548">
              <w:rPr>
                <w:b/>
                <w:bCs/>
                <w:iCs/>
                <w:lang w:val="sk-SK" w:eastAsia="sk-SK"/>
              </w:rPr>
              <w:t>Poruchy gastrointestinálneho traktu</w:t>
            </w: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Bolesť brucha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Zápcha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Hnačka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Nauzea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Vracanie</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Dyspepsia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Sucho v ústach</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Menej 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Pankreatitída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r>
      <w:tr w:rsidR="005D02FF" w:rsidRPr="006E1548" w:rsidTr="00655318">
        <w:trPr>
          <w:trHeight w:val="2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r w:rsidRPr="006E1548">
              <w:rPr>
                <w:b/>
                <w:bCs/>
                <w:iCs/>
                <w:lang w:val="sk-SK" w:eastAsia="sk-SK"/>
              </w:rPr>
              <w:t>Poruchy pečene a žlčových ciest</w:t>
            </w: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rPr>
              <w:t>Hepatitída buď cytolytická alebo cholestatická (pozri časť 4.4)</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r>
      <w:tr w:rsidR="005D02FF" w:rsidRPr="006E1548" w:rsidTr="00655318">
        <w:trPr>
          <w:trHeight w:val="20"/>
          <w:jc w:val="center"/>
        </w:trPr>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r w:rsidRPr="006E1548">
              <w:rPr>
                <w:b/>
                <w:bCs/>
                <w:iCs/>
                <w:lang w:val="sk-SK" w:eastAsia="sk-SK"/>
              </w:rPr>
              <w:t>Poruchy kože a podkožného tkaniva</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Vyrážka</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Pruritus</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Angioedém tváre, končatín, pier, slizníc, jazyka, hlasiviek a/alebo hrtana (pozri časť 4.4)</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Menej 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 xml:space="preserve">Urtikária </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Menej 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rPr>
              <w:t>Fotosenzitívne reakcie</w:t>
            </w:r>
          </w:p>
        </w:tc>
        <w:tc>
          <w:tcPr>
            <w:tcW w:w="15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6E1548" w:rsidRDefault="005D02FF" w:rsidP="00655318">
            <w:pPr>
              <w:tabs>
                <w:tab w:val="clear" w:pos="567"/>
              </w:tabs>
              <w:spacing w:before="60" w:after="60" w:line="240" w:lineRule="auto"/>
              <w:rPr>
                <w:szCs w:val="22"/>
                <w:lang w:val="sk-SK" w:eastAsia="fr-FR"/>
              </w:rPr>
            </w:pPr>
            <w:r w:rsidRPr="006E1548">
              <w:rPr>
                <w:color w:val="000000"/>
                <w:szCs w:val="22"/>
                <w:lang w:val="sk-SK"/>
              </w:rPr>
              <w:t>Pemfigoid</w:t>
            </w:r>
          </w:p>
        </w:tc>
        <w:tc>
          <w:tcPr>
            <w:tcW w:w="15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r w:rsidRPr="006E1548">
              <w:rPr>
                <w:bCs/>
                <w:iCs/>
                <w:color w:val="000000"/>
                <w:szCs w:val="22"/>
                <w:lang w:val="sk-SK"/>
              </w:rPr>
              <w:t>*</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6E1548" w:rsidRDefault="0001687F" w:rsidP="0001687F">
            <w:pPr>
              <w:tabs>
                <w:tab w:val="clear" w:pos="567"/>
              </w:tabs>
              <w:spacing w:before="60" w:after="60" w:line="240" w:lineRule="auto"/>
              <w:rPr>
                <w:szCs w:val="22"/>
                <w:lang w:val="sk-SK" w:eastAsia="fr-FR"/>
              </w:rPr>
            </w:pPr>
            <w:r w:rsidRPr="006E1548">
              <w:rPr>
                <w:color w:val="000000"/>
                <w:szCs w:val="22"/>
                <w:lang w:val="sk-SK"/>
              </w:rPr>
              <w:t>Hyperhidróza</w:t>
            </w:r>
          </w:p>
        </w:tc>
        <w:tc>
          <w:tcPr>
            <w:tcW w:w="15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Hypersenzitívne reakcie (svrbenie, sčervenanie</w:t>
            </w:r>
            <w:r w:rsidR="00C94BA9" w:rsidRPr="006E1548">
              <w:rPr>
                <w:szCs w:val="22"/>
                <w:lang w:val="sk-SK" w:eastAsia="fr-FR"/>
              </w:rPr>
              <w:t xml:space="preserve"> pokožky</w:t>
            </w:r>
            <w:r w:rsidRPr="006E1548">
              <w:rPr>
                <w:szCs w:val="22"/>
                <w:lang w:val="sk-SK" w:eastAsia="fr-FR"/>
              </w:rPr>
              <w:t>, vyrážka)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Multiformný erytém</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Alopécia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Betablokátory môžu vyvolať ale</w:t>
            </w:r>
            <w:r w:rsidR="00C94BA9" w:rsidRPr="006E1548">
              <w:rPr>
                <w:szCs w:val="22"/>
                <w:lang w:val="sk-SK" w:eastAsia="fr-FR"/>
              </w:rPr>
              <w:t>b</w:t>
            </w:r>
            <w:r w:rsidRPr="006E1548">
              <w:rPr>
                <w:szCs w:val="22"/>
                <w:lang w:val="sk-SK" w:eastAsia="fr-FR"/>
              </w:rPr>
              <w:t>o zhoršiť psoriázu alebo vyvolať vyrážku podobnú psoriáze</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r>
      <w:tr w:rsidR="005D02FF" w:rsidRPr="006E1548" w:rsidTr="00655318">
        <w:trPr>
          <w:trHeight w:val="20"/>
          <w:jc w:val="center"/>
        </w:trPr>
        <w:tc>
          <w:tcPr>
            <w:tcW w:w="2140" w:type="dxa"/>
            <w:vMerge w:val="restart"/>
            <w:tcBorders>
              <w:top w:val="nil"/>
              <w:left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r w:rsidRPr="006E1548">
              <w:rPr>
                <w:b/>
                <w:bCs/>
                <w:iCs/>
                <w:lang w:val="sk-SK" w:eastAsia="sk-SK"/>
              </w:rPr>
              <w:lastRenderedPageBreak/>
              <w:t>Poruchy kostrovej a svalovej sústavy a spojivového tkaniva</w:t>
            </w: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Svalové kŕče</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Menej 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Svalová slabosť</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Menej 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r>
      <w:tr w:rsidR="005D02FF" w:rsidRPr="006E1548" w:rsidTr="00655318">
        <w:trPr>
          <w:trHeight w:val="20"/>
          <w:jc w:val="center"/>
        </w:trPr>
        <w:tc>
          <w:tcPr>
            <w:tcW w:w="2140" w:type="dxa"/>
            <w:vMerge/>
            <w:tcBorders>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color w:val="000000"/>
                <w:szCs w:val="22"/>
                <w:lang w:val="sk-SK"/>
              </w:rPr>
            </w:pPr>
            <w:r w:rsidRPr="006E1548">
              <w:rPr>
                <w:color w:val="000000"/>
                <w:szCs w:val="22"/>
                <w:lang w:val="sk-SK"/>
              </w:rPr>
              <w:t>Artralgia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color w:val="000000"/>
                <w:szCs w:val="22"/>
                <w:lang w:val="sk-SK"/>
              </w:rPr>
            </w:pPr>
            <w:r w:rsidRPr="006E1548">
              <w:rPr>
                <w:color w:val="000000"/>
                <w:szCs w:val="22"/>
                <w:lang w:val="sk-SK"/>
              </w:rPr>
              <w:t>Menej časté</w:t>
            </w:r>
            <w:r w:rsidRPr="006E1548">
              <w:rPr>
                <w:bCs/>
                <w:iCs/>
                <w:color w:val="000000"/>
                <w:szCs w:val="22"/>
                <w:lang w:val="sk-SK"/>
              </w:rPr>
              <w:t>*</w:t>
            </w:r>
          </w:p>
        </w:tc>
      </w:tr>
      <w:tr w:rsidR="005D02FF" w:rsidRPr="006E1548" w:rsidTr="00655318">
        <w:trPr>
          <w:trHeight w:val="20"/>
          <w:jc w:val="center"/>
        </w:trPr>
        <w:tc>
          <w:tcPr>
            <w:tcW w:w="2140" w:type="dxa"/>
            <w:vMerge/>
            <w:tcBorders>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color w:val="000000"/>
                <w:szCs w:val="22"/>
                <w:lang w:val="sk-SK"/>
              </w:rPr>
              <w:t>Myalgia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r w:rsidRPr="006E1548">
              <w:rPr>
                <w:bCs/>
                <w:iCs/>
                <w:color w:val="000000"/>
                <w:szCs w:val="22"/>
                <w:lang w:val="sk-SK"/>
              </w:rPr>
              <w:t>*</w:t>
            </w:r>
          </w:p>
        </w:tc>
      </w:tr>
      <w:tr w:rsidR="005D02FF" w:rsidRPr="006E1548" w:rsidTr="00655318">
        <w:trPr>
          <w:trHeight w:val="20"/>
          <w:jc w:val="center"/>
        </w:trPr>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r w:rsidRPr="006E1548">
              <w:rPr>
                <w:b/>
                <w:bCs/>
                <w:iCs/>
                <w:lang w:val="sk-SK" w:eastAsia="sk-SK"/>
              </w:rPr>
              <w:t>Poruchy obličiek a močových ciest</w:t>
            </w: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Renálna insuficiencia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Menej 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rPr>
              <w:t>Akútne zlyhanie obličiek</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Veľmi zriedkavé</w:t>
            </w:r>
          </w:p>
        </w:tc>
      </w:tr>
      <w:tr w:rsidR="005D02FF" w:rsidRPr="006E1548" w:rsidTr="00655318">
        <w:trPr>
          <w:trHeight w:val="20"/>
          <w:jc w:val="center"/>
        </w:trPr>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r w:rsidRPr="006E1548">
              <w:rPr>
                <w:b/>
                <w:bCs/>
                <w:iCs/>
                <w:lang w:val="sk-SK" w:eastAsia="sk-SK"/>
              </w:rPr>
              <w:t>Poruchy reprodukčného systému a prsníkov</w:t>
            </w: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rPr>
              <w:t>Erektilná dysfunkcia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Menej časté</w:t>
            </w:r>
          </w:p>
        </w:tc>
      </w:tr>
      <w:tr w:rsidR="005D02FF" w:rsidRPr="006E1548"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Poruchy potencie</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r>
      <w:tr w:rsidR="005D02FF" w:rsidRPr="006E1548" w:rsidTr="00655318">
        <w:trPr>
          <w:trHeight w:val="20"/>
          <w:jc w:val="center"/>
        </w:trPr>
        <w:tc>
          <w:tcPr>
            <w:tcW w:w="2140" w:type="dxa"/>
            <w:vMerge w:val="restart"/>
            <w:tcBorders>
              <w:top w:val="single" w:sz="4" w:space="0" w:color="auto"/>
              <w:left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r w:rsidRPr="006E1548">
              <w:rPr>
                <w:b/>
                <w:bCs/>
                <w:iCs/>
                <w:lang w:val="sk-SK" w:eastAsia="sk-SK"/>
              </w:rPr>
              <w:t>Celkové poruchy a reakcie v mieste podania</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Asténia</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eastAsia="fr-FR"/>
              </w:rPr>
              <w:t>Únava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color w:val="000000"/>
                <w:szCs w:val="22"/>
                <w:lang w:val="sk-SK"/>
              </w:rPr>
              <w:t>Bolesť na hrudi</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r w:rsidRPr="006E1548">
              <w:rPr>
                <w:bCs/>
                <w:iCs/>
                <w:color w:val="000000"/>
                <w:szCs w:val="22"/>
                <w:lang w:val="sk-SK"/>
              </w:rPr>
              <w:t>*</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color w:val="000000"/>
                <w:szCs w:val="22"/>
                <w:lang w:val="sk-SK"/>
              </w:rPr>
              <w:t>Celková nevoľnosť</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r w:rsidRPr="006E1548">
              <w:rPr>
                <w:bCs/>
                <w:iCs/>
                <w:color w:val="000000"/>
                <w:szCs w:val="22"/>
                <w:lang w:val="sk-SK"/>
              </w:rPr>
              <w:t>*</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color w:val="000000"/>
                <w:szCs w:val="22"/>
                <w:lang w:val="sk-SK"/>
              </w:rPr>
              <w:t>Periférny edém</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r w:rsidRPr="006E1548">
              <w:rPr>
                <w:bCs/>
                <w:iCs/>
                <w:color w:val="000000"/>
                <w:szCs w:val="22"/>
                <w:lang w:val="sk-SK"/>
              </w:rPr>
              <w:t>*</w:t>
            </w:r>
          </w:p>
        </w:tc>
      </w:tr>
      <w:tr w:rsidR="005D02FF" w:rsidRPr="006E1548" w:rsidTr="00655318">
        <w:trPr>
          <w:trHeight w:val="20"/>
          <w:jc w:val="center"/>
        </w:trPr>
        <w:tc>
          <w:tcPr>
            <w:tcW w:w="2140" w:type="dxa"/>
            <w:vMerge/>
            <w:tcBorders>
              <w:left w:val="single" w:sz="4" w:space="0" w:color="auto"/>
              <w:bottom w:val="single" w:sz="4" w:space="0" w:color="000000"/>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color w:val="000000"/>
                <w:szCs w:val="22"/>
                <w:lang w:val="sk-SK"/>
              </w:rPr>
              <w:t>Pyrexia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r w:rsidRPr="006E1548">
              <w:rPr>
                <w:bCs/>
                <w:iCs/>
                <w:color w:val="000000"/>
                <w:szCs w:val="22"/>
                <w:lang w:val="sk-SK"/>
              </w:rPr>
              <w:t>*</w:t>
            </w:r>
          </w:p>
        </w:tc>
      </w:tr>
      <w:tr w:rsidR="005D02FF" w:rsidRPr="006E1548" w:rsidTr="00655318">
        <w:trPr>
          <w:trHeight w:val="20"/>
          <w:jc w:val="center"/>
        </w:trPr>
        <w:tc>
          <w:tcPr>
            <w:tcW w:w="2140" w:type="dxa"/>
            <w:vMerge w:val="restart"/>
            <w:tcBorders>
              <w:top w:val="single" w:sz="4" w:space="0" w:color="auto"/>
              <w:left w:val="single" w:sz="4" w:space="0" w:color="auto"/>
              <w:right w:val="single" w:sz="4" w:space="0" w:color="auto"/>
            </w:tcBorders>
            <w:shd w:val="clear" w:color="auto" w:fill="auto"/>
            <w:vAlign w:val="center"/>
            <w:hideMark/>
          </w:tcPr>
          <w:p w:rsidR="005D02FF" w:rsidRPr="006E1548" w:rsidRDefault="005D02FF" w:rsidP="00655318">
            <w:pPr>
              <w:spacing w:before="60" w:after="60" w:line="240" w:lineRule="auto"/>
              <w:rPr>
                <w:b/>
                <w:bCs/>
                <w:szCs w:val="22"/>
                <w:lang w:val="sk-SK" w:eastAsia="fr-FR"/>
              </w:rPr>
            </w:pPr>
            <w:r w:rsidRPr="006E1548">
              <w:rPr>
                <w:b/>
                <w:bCs/>
                <w:iCs/>
                <w:lang w:val="sk-SK" w:eastAsia="sk-SK"/>
              </w:rPr>
              <w:t>Laboratórne a funkčné vyšetrenia</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5D02FF" w:rsidP="00C94BA9">
            <w:pPr>
              <w:tabs>
                <w:tab w:val="clear" w:pos="567"/>
              </w:tabs>
              <w:spacing w:before="60" w:after="60" w:line="240" w:lineRule="auto"/>
              <w:rPr>
                <w:color w:val="000000"/>
                <w:szCs w:val="22"/>
                <w:lang w:val="sk-SK"/>
              </w:rPr>
            </w:pPr>
            <w:r w:rsidRPr="006E1548">
              <w:rPr>
                <w:szCs w:val="22"/>
                <w:lang w:val="sk-SK"/>
              </w:rPr>
              <w:t>Zvýšen</w:t>
            </w:r>
            <w:r w:rsidR="00C94BA9" w:rsidRPr="006E1548">
              <w:rPr>
                <w:szCs w:val="22"/>
                <w:lang w:val="sk-SK"/>
              </w:rPr>
              <w:t>ie</w:t>
            </w:r>
            <w:r w:rsidRPr="006E1548">
              <w:rPr>
                <w:szCs w:val="22"/>
                <w:lang w:val="sk-SK"/>
              </w:rPr>
              <w:t xml:space="preserve"> urey v krvi</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r w:rsidRPr="006E1548">
              <w:rPr>
                <w:bCs/>
                <w:iCs/>
                <w:color w:val="000000"/>
                <w:szCs w:val="22"/>
                <w:lang w:val="sk-SK"/>
              </w:rPr>
              <w:t>*</w:t>
            </w:r>
          </w:p>
        </w:tc>
      </w:tr>
      <w:tr w:rsidR="005D02FF" w:rsidRPr="006E1548" w:rsidTr="00655318">
        <w:trPr>
          <w:trHeight w:val="20"/>
          <w:jc w:val="center"/>
        </w:trPr>
        <w:tc>
          <w:tcPr>
            <w:tcW w:w="2140" w:type="dxa"/>
            <w:vMerge/>
            <w:tcBorders>
              <w:left w:val="single" w:sz="4" w:space="0" w:color="auto"/>
              <w:right w:val="single" w:sz="4" w:space="0" w:color="auto"/>
            </w:tcBorders>
            <w:shd w:val="clear" w:color="auto" w:fill="auto"/>
            <w:vAlign w:val="center"/>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tcPr>
          <w:p w:rsidR="005D02FF" w:rsidRPr="006E1548" w:rsidRDefault="005D02FF" w:rsidP="00C94BA9">
            <w:pPr>
              <w:tabs>
                <w:tab w:val="clear" w:pos="567"/>
              </w:tabs>
              <w:spacing w:before="60" w:after="60" w:line="240" w:lineRule="auto"/>
              <w:rPr>
                <w:color w:val="000000"/>
                <w:szCs w:val="22"/>
                <w:lang w:val="sk-SK"/>
              </w:rPr>
            </w:pPr>
            <w:r w:rsidRPr="006E1548">
              <w:rPr>
                <w:szCs w:val="22"/>
                <w:lang w:val="sk-SK"/>
              </w:rPr>
              <w:t>Zvýšen</w:t>
            </w:r>
            <w:r w:rsidR="00C94BA9" w:rsidRPr="006E1548">
              <w:rPr>
                <w:szCs w:val="22"/>
                <w:lang w:val="sk-SK"/>
              </w:rPr>
              <w:t>ie</w:t>
            </w:r>
            <w:r w:rsidRPr="006E1548">
              <w:rPr>
                <w:szCs w:val="22"/>
                <w:lang w:val="sk-SK"/>
              </w:rPr>
              <w:t xml:space="preserve"> kreatinínu v krvi</w:t>
            </w:r>
          </w:p>
        </w:tc>
        <w:tc>
          <w:tcPr>
            <w:tcW w:w="1520" w:type="dxa"/>
            <w:tcBorders>
              <w:top w:val="single" w:sz="4" w:space="0" w:color="auto"/>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color w:val="000000"/>
                <w:szCs w:val="22"/>
                <w:lang w:val="sk-SK"/>
              </w:rPr>
              <w:t>Menej časté</w:t>
            </w:r>
            <w:r w:rsidRPr="006E1548">
              <w:rPr>
                <w:bCs/>
                <w:iCs/>
                <w:color w:val="000000"/>
                <w:szCs w:val="22"/>
                <w:lang w:val="sk-SK"/>
              </w:rPr>
              <w:t>*</w:t>
            </w:r>
          </w:p>
        </w:tc>
      </w:tr>
      <w:tr w:rsidR="005D02FF" w:rsidRPr="006E1548" w:rsidTr="00655318">
        <w:trPr>
          <w:trHeight w:val="20"/>
          <w:jc w:val="center"/>
        </w:trPr>
        <w:tc>
          <w:tcPr>
            <w:tcW w:w="2140" w:type="dxa"/>
            <w:vMerge/>
            <w:tcBorders>
              <w:left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szCs w:val="22"/>
                <w:lang w:val="sk-SK" w:eastAsia="fr-FR"/>
              </w:rPr>
            </w:pPr>
            <w:r w:rsidRPr="006E1548">
              <w:rPr>
                <w:szCs w:val="22"/>
                <w:lang w:val="sk-SK"/>
              </w:rPr>
              <w:t>Zvýšenie pečeňových enzýmov</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Zriedkavé</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Zriedkavé</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C94BA9">
            <w:pPr>
              <w:tabs>
                <w:tab w:val="clear" w:pos="567"/>
              </w:tabs>
              <w:spacing w:before="60" w:after="60" w:line="240" w:lineRule="auto"/>
              <w:rPr>
                <w:szCs w:val="22"/>
                <w:lang w:val="sk-SK" w:eastAsia="fr-FR"/>
              </w:rPr>
            </w:pPr>
            <w:r w:rsidRPr="006E1548">
              <w:rPr>
                <w:szCs w:val="22"/>
                <w:lang w:val="sk-SK"/>
              </w:rPr>
              <w:t>Zvýšen</w:t>
            </w:r>
            <w:r w:rsidR="00C94BA9" w:rsidRPr="006E1548">
              <w:rPr>
                <w:szCs w:val="22"/>
                <w:lang w:val="sk-SK"/>
              </w:rPr>
              <w:t>ie</w:t>
            </w:r>
            <w:r w:rsidRPr="006E1548">
              <w:rPr>
                <w:szCs w:val="22"/>
                <w:lang w:val="sk-SK"/>
              </w:rPr>
              <w:t xml:space="preserve"> bilirubínu v krvi</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Zriedkavé</w:t>
            </w:r>
          </w:p>
        </w:tc>
      </w:tr>
      <w:tr w:rsidR="005D02FF" w:rsidRPr="006E1548" w:rsidTr="00655318">
        <w:trPr>
          <w:trHeight w:val="20"/>
          <w:jc w:val="center"/>
        </w:trPr>
        <w:tc>
          <w:tcPr>
            <w:tcW w:w="2140" w:type="dxa"/>
            <w:vMerge/>
            <w:tcBorders>
              <w:left w:val="single" w:sz="4" w:space="0" w:color="auto"/>
              <w:right w:val="single" w:sz="4" w:space="0" w:color="auto"/>
            </w:tcBorders>
            <w:vAlign w:val="center"/>
            <w:hideMark/>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6E1548" w:rsidRDefault="005D02FF" w:rsidP="00C94BA9">
            <w:pPr>
              <w:tabs>
                <w:tab w:val="clear" w:pos="567"/>
              </w:tabs>
              <w:spacing w:before="60" w:after="60" w:line="240" w:lineRule="auto"/>
              <w:rPr>
                <w:szCs w:val="22"/>
                <w:lang w:val="sk-SK" w:eastAsia="fr-FR"/>
              </w:rPr>
            </w:pPr>
            <w:r w:rsidRPr="006E1548">
              <w:rPr>
                <w:szCs w:val="22"/>
                <w:lang w:val="sk-SK"/>
              </w:rPr>
              <w:t>Zvýšen</w:t>
            </w:r>
            <w:r w:rsidR="00C94BA9" w:rsidRPr="006E1548">
              <w:rPr>
                <w:szCs w:val="22"/>
                <w:lang w:val="sk-SK"/>
              </w:rPr>
              <w:t>ie</w:t>
            </w:r>
            <w:r w:rsidRPr="006E1548">
              <w:rPr>
                <w:szCs w:val="22"/>
                <w:lang w:val="sk-SK"/>
              </w:rPr>
              <w:t xml:space="preserve"> t</w:t>
            </w:r>
            <w:r w:rsidR="00145F1C" w:rsidRPr="006E1548">
              <w:rPr>
                <w:szCs w:val="22"/>
                <w:lang w:val="sk-SK"/>
              </w:rPr>
              <w:t>r</w:t>
            </w:r>
            <w:r w:rsidRPr="006E1548">
              <w:rPr>
                <w:szCs w:val="22"/>
                <w:lang w:val="sk-SK"/>
              </w:rPr>
              <w:t>iacylglycerolov</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r>
      <w:tr w:rsidR="005D02FF" w:rsidRPr="006E1548" w:rsidTr="00655318">
        <w:trPr>
          <w:trHeight w:val="20"/>
          <w:jc w:val="center"/>
        </w:trPr>
        <w:tc>
          <w:tcPr>
            <w:tcW w:w="2140" w:type="dxa"/>
            <w:vMerge/>
            <w:tcBorders>
              <w:left w:val="single" w:sz="4" w:space="0" w:color="auto"/>
              <w:bottom w:val="single" w:sz="4" w:space="0" w:color="auto"/>
              <w:right w:val="single" w:sz="4" w:space="0" w:color="auto"/>
            </w:tcBorders>
            <w:vAlign w:val="center"/>
          </w:tcPr>
          <w:p w:rsidR="005D02FF" w:rsidRPr="006E1548"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6E1548" w:rsidRDefault="005D02FF" w:rsidP="00C94BA9">
            <w:pPr>
              <w:tabs>
                <w:tab w:val="clear" w:pos="567"/>
              </w:tabs>
              <w:spacing w:before="60" w:after="60" w:line="240" w:lineRule="auto"/>
              <w:rPr>
                <w:color w:val="000000"/>
                <w:szCs w:val="22"/>
                <w:lang w:val="sk-SK"/>
              </w:rPr>
            </w:pPr>
            <w:r w:rsidRPr="006E1548">
              <w:rPr>
                <w:color w:val="000000"/>
                <w:szCs w:val="22"/>
                <w:lang w:val="sk-SK"/>
              </w:rPr>
              <w:t>Znížen</w:t>
            </w:r>
            <w:r w:rsidR="00C94BA9" w:rsidRPr="006E1548">
              <w:rPr>
                <w:color w:val="000000"/>
                <w:szCs w:val="22"/>
                <w:lang w:val="sk-SK"/>
              </w:rPr>
              <w:t>i</w:t>
            </w:r>
            <w:r w:rsidRPr="006E1548">
              <w:rPr>
                <w:color w:val="000000"/>
                <w:szCs w:val="22"/>
                <w:lang w:val="sk-SK"/>
              </w:rPr>
              <w:t>e hemoglobínu a zníženie hematokritu (pozri časť 4.4)</w:t>
            </w:r>
          </w:p>
        </w:tc>
        <w:tc>
          <w:tcPr>
            <w:tcW w:w="15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szCs w:val="22"/>
                <w:lang w:val="sk-SK" w:eastAsia="fr-FR"/>
              </w:rPr>
            </w:pPr>
            <w:r w:rsidRPr="006E1548">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6E1548" w:rsidRDefault="005D02FF" w:rsidP="00655318">
            <w:pPr>
              <w:tabs>
                <w:tab w:val="clear" w:pos="567"/>
              </w:tabs>
              <w:spacing w:before="60" w:after="60" w:line="240" w:lineRule="auto"/>
              <w:jc w:val="center"/>
              <w:rPr>
                <w:color w:val="000000"/>
                <w:szCs w:val="22"/>
                <w:lang w:val="sk-SK"/>
              </w:rPr>
            </w:pPr>
            <w:r w:rsidRPr="006E1548">
              <w:rPr>
                <w:color w:val="000000"/>
                <w:szCs w:val="22"/>
                <w:lang w:val="sk-SK"/>
              </w:rPr>
              <w:t>Veľmi zriedkavé</w:t>
            </w:r>
          </w:p>
        </w:tc>
      </w:tr>
      <w:tr w:rsidR="005D02FF" w:rsidRPr="006E1548" w:rsidTr="00655318">
        <w:trPr>
          <w:trHeight w:val="20"/>
          <w:jc w:val="center"/>
        </w:trPr>
        <w:tc>
          <w:tcPr>
            <w:tcW w:w="2140" w:type="dxa"/>
            <w:tcBorders>
              <w:top w:val="single" w:sz="4" w:space="0" w:color="auto"/>
              <w:left w:val="single" w:sz="4" w:space="0" w:color="auto"/>
              <w:bottom w:val="single" w:sz="4" w:space="0" w:color="auto"/>
              <w:right w:val="single" w:sz="4" w:space="0" w:color="auto"/>
            </w:tcBorders>
            <w:vAlign w:val="center"/>
            <w:hideMark/>
          </w:tcPr>
          <w:p w:rsidR="005D02FF" w:rsidRPr="006E1548" w:rsidRDefault="005D02FF" w:rsidP="00655318">
            <w:pPr>
              <w:spacing w:before="60" w:after="60" w:line="240" w:lineRule="auto"/>
              <w:rPr>
                <w:b/>
                <w:bCs/>
                <w:szCs w:val="22"/>
                <w:lang w:val="sk-SK" w:eastAsia="fr-FR"/>
              </w:rPr>
            </w:pPr>
            <w:r w:rsidRPr="006E1548">
              <w:rPr>
                <w:b/>
                <w:bCs/>
                <w:szCs w:val="22"/>
                <w:lang w:val="sk-SK"/>
              </w:rPr>
              <w:t>Úrazy, otravy a komplikácie liečebného postupu</w:t>
            </w:r>
          </w:p>
        </w:tc>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02FF" w:rsidRPr="006E1548" w:rsidRDefault="005D02FF" w:rsidP="00655318">
            <w:pPr>
              <w:tabs>
                <w:tab w:val="clear" w:pos="567"/>
              </w:tabs>
              <w:spacing w:before="60" w:after="60" w:line="240" w:lineRule="auto"/>
              <w:rPr>
                <w:color w:val="000000"/>
                <w:szCs w:val="22"/>
                <w:lang w:val="sk-SK"/>
              </w:rPr>
            </w:pPr>
            <w:r w:rsidRPr="006E1548">
              <w:rPr>
                <w:color w:val="000000"/>
                <w:szCs w:val="22"/>
                <w:lang w:val="sk-SK"/>
              </w:rPr>
              <w:t>Pád</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02FF" w:rsidRPr="006E1548" w:rsidRDefault="005D02FF" w:rsidP="00655318">
            <w:pPr>
              <w:spacing w:before="60" w:after="60" w:line="240" w:lineRule="auto"/>
              <w:jc w:val="center"/>
              <w:rPr>
                <w:b/>
                <w:bCs/>
                <w:szCs w:val="22"/>
                <w:lang w:val="sk-SK" w:eastAsia="fr-FR"/>
              </w:rPr>
            </w:pPr>
            <w:r w:rsidRPr="006E1548">
              <w:rPr>
                <w:b/>
                <w:bCs/>
                <w:szCs w:val="22"/>
                <w:lang w:val="sk-SK" w:eastAsia="fr-FR"/>
              </w:rPr>
              <w:t>-</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02FF" w:rsidRPr="006E1548" w:rsidRDefault="005D02FF" w:rsidP="00655318">
            <w:pPr>
              <w:spacing w:before="60" w:after="60" w:line="240" w:lineRule="auto"/>
              <w:jc w:val="center"/>
              <w:rPr>
                <w:b/>
                <w:bCs/>
                <w:szCs w:val="22"/>
                <w:lang w:val="sk-SK" w:eastAsia="fr-FR"/>
              </w:rPr>
            </w:pPr>
            <w:r w:rsidRPr="006E1548">
              <w:rPr>
                <w:color w:val="000000"/>
                <w:szCs w:val="22"/>
                <w:lang w:val="sk-SK"/>
              </w:rPr>
              <w:t>Menej časté</w:t>
            </w:r>
            <w:r w:rsidRPr="006E1548">
              <w:rPr>
                <w:bCs/>
                <w:iCs/>
                <w:color w:val="000000"/>
                <w:szCs w:val="22"/>
                <w:lang w:val="sk-SK"/>
              </w:rPr>
              <w:t>*</w:t>
            </w:r>
          </w:p>
        </w:tc>
      </w:tr>
    </w:tbl>
    <w:p w:rsidR="000F4A9B" w:rsidRPr="006E1548" w:rsidRDefault="007C0AB2" w:rsidP="000F4A9B">
      <w:pPr>
        <w:tabs>
          <w:tab w:val="left" w:pos="-142"/>
          <w:tab w:val="left" w:pos="284"/>
        </w:tabs>
        <w:spacing w:line="240" w:lineRule="auto"/>
        <w:rPr>
          <w:i/>
          <w:noProof/>
          <w:szCs w:val="22"/>
          <w:lang w:val="sk-SK" w:eastAsia="sk-SK"/>
        </w:rPr>
      </w:pPr>
      <w:r w:rsidRPr="006E1548">
        <w:rPr>
          <w:i/>
          <w:noProof/>
          <w:szCs w:val="22"/>
          <w:lang w:val="sk-SK" w:eastAsia="sk-SK"/>
        </w:rPr>
        <w:t>*</w:t>
      </w:r>
      <w:r w:rsidRPr="006E1548">
        <w:rPr>
          <w:i/>
          <w:noProof/>
          <w:szCs w:val="22"/>
          <w:lang w:val="sk-SK" w:eastAsia="sk-SK"/>
        </w:rPr>
        <w:tab/>
      </w:r>
      <w:r w:rsidR="000F4A9B" w:rsidRPr="006E1548">
        <w:rPr>
          <w:i/>
          <w:noProof/>
          <w:szCs w:val="22"/>
          <w:lang w:val="sk-SK" w:eastAsia="sk-SK"/>
        </w:rPr>
        <w:t>Frekvencia vypočítaná z klinických skúšaní pre nežiaduce účinky zistené zo spontánnych hlásení</w:t>
      </w:r>
    </w:p>
    <w:p w:rsidR="008E7A2E" w:rsidRPr="006E1548" w:rsidRDefault="008E7A2E" w:rsidP="000F4A9B">
      <w:pPr>
        <w:tabs>
          <w:tab w:val="left" w:pos="-142"/>
          <w:tab w:val="left" w:pos="284"/>
        </w:tabs>
        <w:spacing w:line="240" w:lineRule="auto"/>
        <w:rPr>
          <w:i/>
          <w:noProof/>
          <w:szCs w:val="22"/>
          <w:lang w:val="sk-SK" w:eastAsia="sk-SK"/>
        </w:rPr>
      </w:pPr>
      <w:r w:rsidRPr="006E1548">
        <w:rPr>
          <w:i/>
          <w:noProof/>
          <w:szCs w:val="22"/>
          <w:lang w:val="sk-SK" w:eastAsia="sk-SK"/>
        </w:rPr>
        <w:t>**</w:t>
      </w:r>
      <w:r w:rsidR="007C0AB2" w:rsidRPr="006E1548">
        <w:rPr>
          <w:i/>
          <w:noProof/>
          <w:szCs w:val="22"/>
          <w:lang w:val="sk-SK" w:eastAsia="sk-SK"/>
        </w:rPr>
        <w:tab/>
        <w:t>Tieto príznaky sa objavujú najmä na začiatku liečby. Vo všeobecnosti sú mierne a často vymiznú do 1-2 týždňov.</w:t>
      </w:r>
    </w:p>
    <w:p w:rsidR="000F4A9B" w:rsidRPr="006E1548" w:rsidRDefault="000F4A9B" w:rsidP="000F4A9B">
      <w:pPr>
        <w:spacing w:line="240" w:lineRule="auto"/>
        <w:rPr>
          <w:szCs w:val="22"/>
          <w:lang w:val="sk-SK"/>
        </w:rPr>
      </w:pPr>
    </w:p>
    <w:p w:rsidR="000F4A9B" w:rsidRPr="006E1548" w:rsidRDefault="000F4A9B" w:rsidP="000F4A9B">
      <w:pPr>
        <w:tabs>
          <w:tab w:val="left" w:pos="284"/>
        </w:tabs>
        <w:rPr>
          <w:szCs w:val="22"/>
          <w:u w:val="single"/>
          <w:lang w:val="sk-SK"/>
        </w:rPr>
      </w:pPr>
      <w:r w:rsidRPr="006E1548">
        <w:rPr>
          <w:szCs w:val="22"/>
          <w:u w:val="single"/>
          <w:lang w:val="sk-SK"/>
        </w:rPr>
        <w:t>Hlásenie podozrení na nežiaduce reakcie</w:t>
      </w:r>
    </w:p>
    <w:p w:rsidR="000F4A9B" w:rsidRPr="006E1548" w:rsidRDefault="000F4A9B" w:rsidP="000F4A9B">
      <w:pPr>
        <w:tabs>
          <w:tab w:val="left" w:pos="284"/>
        </w:tabs>
        <w:rPr>
          <w:szCs w:val="22"/>
          <w:lang w:val="sk-SK"/>
        </w:rPr>
      </w:pPr>
      <w:r w:rsidRPr="006E1548">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prostredníctvom </w:t>
      </w:r>
      <w:r w:rsidRPr="006E1548">
        <w:rPr>
          <w:szCs w:val="22"/>
          <w:highlight w:val="lightGray"/>
          <w:lang w:val="sk-SK"/>
        </w:rPr>
        <w:t>národného systému hlásenia uvedeného v </w:t>
      </w:r>
      <w:hyperlink r:id="rId10" w:history="1">
        <w:r w:rsidRPr="006E1548">
          <w:rPr>
            <w:color w:val="0000FF"/>
            <w:szCs w:val="22"/>
            <w:highlight w:val="lightGray"/>
            <w:u w:val="single"/>
            <w:lang w:val="sk-SK"/>
          </w:rPr>
          <w:t>Prílohe V</w:t>
        </w:r>
      </w:hyperlink>
      <w:r w:rsidRPr="006E1548">
        <w:rPr>
          <w:szCs w:val="22"/>
          <w:lang w:val="sk-SK"/>
        </w:rPr>
        <w:t>.</w:t>
      </w:r>
    </w:p>
    <w:p w:rsidR="00C94BA9" w:rsidRPr="006E1548" w:rsidRDefault="00C94BA9" w:rsidP="000F4A9B">
      <w:pPr>
        <w:tabs>
          <w:tab w:val="left" w:pos="284"/>
        </w:tabs>
        <w:rPr>
          <w:szCs w:val="22"/>
          <w:lang w:val="sk-SK"/>
        </w:rPr>
      </w:pPr>
    </w:p>
    <w:p w:rsidR="000F4A9B" w:rsidRPr="006E1548" w:rsidRDefault="000F4A9B" w:rsidP="000F4A9B">
      <w:pPr>
        <w:rPr>
          <w:szCs w:val="22"/>
          <w:lang w:val="sk-SK"/>
        </w:rPr>
      </w:pPr>
      <w:r w:rsidRPr="006E1548">
        <w:rPr>
          <w:b/>
          <w:szCs w:val="22"/>
          <w:lang w:val="sk-SK"/>
        </w:rPr>
        <w:t>4.9</w:t>
      </w:r>
      <w:r w:rsidRPr="006E1548">
        <w:rPr>
          <w:b/>
          <w:szCs w:val="22"/>
          <w:lang w:val="sk-SK"/>
        </w:rPr>
        <w:tab/>
        <w:t>Predávkovanie</w:t>
      </w:r>
    </w:p>
    <w:p w:rsidR="000F4A9B" w:rsidRPr="006E1548" w:rsidRDefault="000F4A9B" w:rsidP="000F4A9B">
      <w:pPr>
        <w:tabs>
          <w:tab w:val="clear" w:pos="567"/>
        </w:tabs>
        <w:rPr>
          <w:szCs w:val="22"/>
          <w:lang w:val="sk-SK"/>
        </w:rPr>
      </w:pPr>
    </w:p>
    <w:p w:rsidR="000F4A9B" w:rsidRPr="006E1548" w:rsidRDefault="000F4A9B" w:rsidP="000F4A9B">
      <w:pPr>
        <w:tabs>
          <w:tab w:val="clear" w:pos="567"/>
        </w:tabs>
        <w:rPr>
          <w:szCs w:val="22"/>
          <w:lang w:val="sk-SK"/>
        </w:rPr>
      </w:pPr>
      <w:r w:rsidRPr="006E1548">
        <w:rPr>
          <w:szCs w:val="22"/>
          <w:lang w:val="sk-SK"/>
        </w:rPr>
        <w:t xml:space="preserve">Nie sú žiadne informácie o predávkovaní </w:t>
      </w:r>
      <w:r w:rsidR="00045B76" w:rsidRPr="006E1548">
        <w:rPr>
          <w:szCs w:val="22"/>
          <w:lang w:val="sk-SK"/>
        </w:rPr>
        <w:t>Prestilolom</w:t>
      </w:r>
      <w:r w:rsidRPr="006E1548">
        <w:rPr>
          <w:szCs w:val="22"/>
          <w:lang w:val="sk-SK"/>
        </w:rPr>
        <w:t xml:space="preserve"> u ľudí.</w:t>
      </w:r>
    </w:p>
    <w:p w:rsidR="000F4A9B" w:rsidRPr="006E1548" w:rsidRDefault="000F4A9B" w:rsidP="000F4A9B">
      <w:pPr>
        <w:tabs>
          <w:tab w:val="clear" w:pos="567"/>
        </w:tabs>
        <w:rPr>
          <w:szCs w:val="22"/>
          <w:lang w:val="sk-SK"/>
        </w:rPr>
      </w:pPr>
    </w:p>
    <w:p w:rsidR="00860C6F" w:rsidRPr="006E1548" w:rsidRDefault="00655318" w:rsidP="000F4A9B">
      <w:pPr>
        <w:rPr>
          <w:b/>
          <w:i/>
          <w:szCs w:val="22"/>
          <w:lang w:val="sk-SK"/>
        </w:rPr>
      </w:pPr>
      <w:r w:rsidRPr="006E1548">
        <w:rPr>
          <w:b/>
          <w:i/>
          <w:szCs w:val="22"/>
          <w:lang w:val="sk-SK"/>
        </w:rPr>
        <w:t>Bisoprolol</w:t>
      </w:r>
    </w:p>
    <w:p w:rsidR="00860C6F" w:rsidRPr="006E1548" w:rsidRDefault="00860C6F" w:rsidP="000F4A9B">
      <w:pPr>
        <w:rPr>
          <w:szCs w:val="22"/>
          <w:lang w:val="sk-SK"/>
        </w:rPr>
      </w:pPr>
    </w:p>
    <w:p w:rsidR="00860C6F" w:rsidRPr="006E1548" w:rsidRDefault="00655318" w:rsidP="000F4A9B">
      <w:pPr>
        <w:rPr>
          <w:szCs w:val="22"/>
          <w:u w:val="single"/>
          <w:lang w:val="sk-SK"/>
        </w:rPr>
      </w:pPr>
      <w:r w:rsidRPr="006E1548">
        <w:rPr>
          <w:szCs w:val="22"/>
          <w:u w:val="single"/>
          <w:lang w:val="sk-SK"/>
        </w:rPr>
        <w:t>Príznaky:</w:t>
      </w:r>
    </w:p>
    <w:p w:rsidR="00860C6F" w:rsidRPr="006E1548" w:rsidRDefault="00655318" w:rsidP="00860C6F">
      <w:pPr>
        <w:rPr>
          <w:szCs w:val="22"/>
          <w:lang w:val="sk-SK"/>
        </w:rPr>
      </w:pPr>
      <w:r w:rsidRPr="006E1548">
        <w:rPr>
          <w:szCs w:val="22"/>
          <w:lang w:val="sk-SK"/>
        </w:rPr>
        <w:t>Vo všeobecnosti najčastejšie prejavy, ktoré sa môžu očakávať pri predávkovaní betablokátorom</w:t>
      </w:r>
      <w:r w:rsidR="00001353" w:rsidRPr="006E1548">
        <w:rPr>
          <w:szCs w:val="22"/>
          <w:lang w:val="sk-SK"/>
        </w:rPr>
        <w:t>,</w:t>
      </w:r>
      <w:r w:rsidRPr="006E1548">
        <w:rPr>
          <w:szCs w:val="22"/>
          <w:lang w:val="sk-SK"/>
        </w:rPr>
        <w:t xml:space="preserve"> sú bradykardia, hypotenzia, bronchospazmus, akútna srdcová insuficiencia a hypoglykémia. </w:t>
      </w:r>
      <w:r w:rsidRPr="006E1548">
        <w:rPr>
          <w:szCs w:val="22"/>
          <w:lang w:val="sk-SK"/>
        </w:rPr>
        <w:lastRenderedPageBreak/>
        <w:t xml:space="preserve">U bisoprololu bolo doteraz hlásených niekoľko prípadov predávkovania (maximum: 2000 mg) u pacientov trpiacich hypertenziou a/alebo </w:t>
      </w:r>
      <w:r w:rsidR="00212C9A" w:rsidRPr="006E1548">
        <w:rPr>
          <w:szCs w:val="22"/>
          <w:lang w:val="sk-SK"/>
        </w:rPr>
        <w:t xml:space="preserve">ischemickou </w:t>
      </w:r>
      <w:r w:rsidRPr="006E1548">
        <w:rPr>
          <w:szCs w:val="22"/>
          <w:lang w:val="sk-SK"/>
        </w:rPr>
        <w:t>chorobou srdca</w:t>
      </w:r>
      <w:r w:rsidR="00212C9A" w:rsidRPr="006E1548">
        <w:rPr>
          <w:szCs w:val="22"/>
          <w:lang w:val="sk-SK"/>
        </w:rPr>
        <w:t>, predstavujúce bradykardiu a/alebo hypotenziu; všetci pacienti sa uzdravili. Existuje široká interindividuálna variabilita v citlivosti na jednor</w:t>
      </w:r>
      <w:r w:rsidR="00145F1C" w:rsidRPr="006E1548">
        <w:rPr>
          <w:szCs w:val="22"/>
          <w:lang w:val="sk-SK"/>
        </w:rPr>
        <w:t>a</w:t>
      </w:r>
      <w:r w:rsidR="00212C9A" w:rsidRPr="006E1548">
        <w:rPr>
          <w:szCs w:val="22"/>
          <w:lang w:val="sk-SK"/>
        </w:rPr>
        <w:t>zovú vysokú dávku bisoprololu a pacienti so srdcovým zlyhávaním sú prav</w:t>
      </w:r>
      <w:r w:rsidR="00C94BA9" w:rsidRPr="006E1548">
        <w:rPr>
          <w:szCs w:val="22"/>
          <w:lang w:val="sk-SK"/>
        </w:rPr>
        <w:t>d</w:t>
      </w:r>
      <w:r w:rsidR="00D4274B" w:rsidRPr="006E1548">
        <w:rPr>
          <w:szCs w:val="22"/>
          <w:lang w:val="sk-SK"/>
        </w:rPr>
        <w:t>epodobne veľmi citliví.</w:t>
      </w:r>
    </w:p>
    <w:p w:rsidR="00EE2A51" w:rsidRPr="006E1548" w:rsidRDefault="00EE2A51" w:rsidP="00860C6F">
      <w:pPr>
        <w:rPr>
          <w:szCs w:val="22"/>
          <w:lang w:val="sk-SK"/>
        </w:rPr>
      </w:pPr>
    </w:p>
    <w:p w:rsidR="00EE2A51" w:rsidRPr="006E1548" w:rsidRDefault="00EE2A51" w:rsidP="00EE2A51">
      <w:pPr>
        <w:rPr>
          <w:szCs w:val="22"/>
          <w:u w:val="single"/>
          <w:lang w:val="sk-SK"/>
        </w:rPr>
      </w:pPr>
      <w:r w:rsidRPr="006E1548">
        <w:rPr>
          <w:szCs w:val="22"/>
          <w:u w:val="single"/>
          <w:lang w:val="sk-SK"/>
        </w:rPr>
        <w:t>Liečba:</w:t>
      </w:r>
    </w:p>
    <w:p w:rsidR="00EE2A51" w:rsidRPr="006E1548" w:rsidRDefault="00887B43" w:rsidP="00860C6F">
      <w:pPr>
        <w:rPr>
          <w:szCs w:val="22"/>
          <w:lang w:val="sk-SK"/>
        </w:rPr>
      </w:pPr>
      <w:r w:rsidRPr="006E1548">
        <w:rPr>
          <w:szCs w:val="22"/>
          <w:lang w:val="sk-SK"/>
        </w:rPr>
        <w:t>Pokiaľ dôjde k predávkovaniu, tak sa má liečba bisoprololom ukončiť a má sa poskytnúť podporná a symptomatická liečba. Obmedzené údaje naznačujú, že bisoprolol je ťažko dialyzovateľný. Na základe očakávaných farmakologických účinkov a odporúčaní pre iné betablokátory sa majú zvážiť nasledujúce všeobecné opatrenia, ak je to klinicky oprávnené</w:t>
      </w:r>
      <w:r w:rsidR="0001687F" w:rsidRPr="006E1548">
        <w:rPr>
          <w:szCs w:val="22"/>
          <w:lang w:val="sk-SK"/>
        </w:rPr>
        <w:t>.</w:t>
      </w:r>
    </w:p>
    <w:p w:rsidR="00887B43" w:rsidRPr="006E1548" w:rsidRDefault="00B52EA7" w:rsidP="00860C6F">
      <w:pPr>
        <w:rPr>
          <w:szCs w:val="22"/>
          <w:lang w:val="sk-SK"/>
        </w:rPr>
      </w:pPr>
      <w:r w:rsidRPr="006E1548">
        <w:rPr>
          <w:i/>
          <w:szCs w:val="22"/>
          <w:lang w:val="sk-SK"/>
        </w:rPr>
        <w:t>Bradykardia:</w:t>
      </w:r>
      <w:r w:rsidRPr="006E1548">
        <w:rPr>
          <w:szCs w:val="22"/>
          <w:lang w:val="sk-SK"/>
        </w:rPr>
        <w:t xml:space="preserve"> Podať intravenózne atropín. Ak je odozva nedostatočná, tak sa môže opatrne podať i</w:t>
      </w:r>
      <w:r w:rsidR="00145F1C" w:rsidRPr="006E1548">
        <w:rPr>
          <w:szCs w:val="22"/>
          <w:lang w:val="sk-SK"/>
        </w:rPr>
        <w:t>z</w:t>
      </w:r>
      <w:r w:rsidRPr="006E1548">
        <w:rPr>
          <w:szCs w:val="22"/>
          <w:lang w:val="sk-SK"/>
        </w:rPr>
        <w:t>oprenalín alebo iná látka s pozitívne chro</w:t>
      </w:r>
      <w:r w:rsidR="004E3FB5" w:rsidRPr="006E1548">
        <w:rPr>
          <w:szCs w:val="22"/>
          <w:lang w:val="sk-SK"/>
        </w:rPr>
        <w:t>n</w:t>
      </w:r>
      <w:r w:rsidRPr="006E1548">
        <w:rPr>
          <w:szCs w:val="22"/>
          <w:lang w:val="sk-SK"/>
        </w:rPr>
        <w:t>otropnými vlastnosťami. Za určitých okolností môže byť nevyhnutné</w:t>
      </w:r>
      <w:r w:rsidR="00DE7658" w:rsidRPr="006E1548">
        <w:rPr>
          <w:szCs w:val="22"/>
          <w:lang w:val="sk-SK"/>
        </w:rPr>
        <w:t xml:space="preserve"> </w:t>
      </w:r>
      <w:r w:rsidRPr="006E1548">
        <w:rPr>
          <w:szCs w:val="22"/>
          <w:lang w:val="sk-SK"/>
        </w:rPr>
        <w:t>transvenózne zavedenie kardiostimulátora.</w:t>
      </w:r>
    </w:p>
    <w:p w:rsidR="00DE7658" w:rsidRPr="006E1548" w:rsidRDefault="00DE7658" w:rsidP="00860C6F">
      <w:pPr>
        <w:rPr>
          <w:szCs w:val="22"/>
          <w:lang w:val="sk-SK"/>
        </w:rPr>
      </w:pPr>
      <w:r w:rsidRPr="006E1548">
        <w:rPr>
          <w:i/>
          <w:szCs w:val="22"/>
          <w:lang w:val="sk-SK"/>
        </w:rPr>
        <w:t>Hypotenzia:</w:t>
      </w:r>
      <w:r w:rsidRPr="006E1548">
        <w:rPr>
          <w:szCs w:val="22"/>
          <w:lang w:val="sk-SK"/>
        </w:rPr>
        <w:t xml:space="preserve"> Majú sa intravenózne podať tekutiny a vazopresoriká. Užitočný môže byť intravenózny glukagón.</w:t>
      </w:r>
    </w:p>
    <w:p w:rsidR="00DE7658" w:rsidRPr="006E1548" w:rsidRDefault="00DE7658" w:rsidP="00860C6F">
      <w:pPr>
        <w:rPr>
          <w:szCs w:val="22"/>
          <w:lang w:val="sk-SK"/>
        </w:rPr>
      </w:pPr>
      <w:r w:rsidRPr="006E1548">
        <w:rPr>
          <w:i/>
          <w:szCs w:val="22"/>
          <w:lang w:val="sk-SK"/>
        </w:rPr>
        <w:t>AV blokáda (druhého alebo tretieho stupňa):</w:t>
      </w:r>
      <w:r w:rsidRPr="006E1548">
        <w:rPr>
          <w:szCs w:val="22"/>
          <w:lang w:val="sk-SK"/>
        </w:rPr>
        <w:t xml:space="preserve"> Pacienti sa majú starostlivo monitorovať a liečiť infúziou izoprenalínu alebo transvenóznym zavedením kardiostimulátora.</w:t>
      </w:r>
    </w:p>
    <w:p w:rsidR="00DE7658" w:rsidRPr="006E1548" w:rsidRDefault="00DE7658" w:rsidP="00860C6F">
      <w:pPr>
        <w:rPr>
          <w:szCs w:val="22"/>
          <w:lang w:val="sk-SK"/>
        </w:rPr>
      </w:pPr>
      <w:r w:rsidRPr="006E1548">
        <w:rPr>
          <w:i/>
          <w:szCs w:val="22"/>
          <w:lang w:val="sk-SK"/>
        </w:rPr>
        <w:t>Akútne zhoršenie srdcového zlyhania:</w:t>
      </w:r>
      <w:r w:rsidRPr="006E1548">
        <w:rPr>
          <w:szCs w:val="22"/>
          <w:lang w:val="sk-SK"/>
        </w:rPr>
        <w:t xml:space="preserve"> Podať i.v. diuretiká, inotropné látky, vazodilatačné látky.</w:t>
      </w:r>
    </w:p>
    <w:p w:rsidR="00DE7658" w:rsidRPr="006E1548" w:rsidRDefault="00DE7658" w:rsidP="00860C6F">
      <w:pPr>
        <w:rPr>
          <w:szCs w:val="22"/>
          <w:lang w:val="sk-SK"/>
        </w:rPr>
      </w:pPr>
      <w:r w:rsidRPr="006E1548">
        <w:rPr>
          <w:i/>
          <w:szCs w:val="22"/>
          <w:lang w:val="sk-SK"/>
        </w:rPr>
        <w:t>Bronchospazmus:</w:t>
      </w:r>
      <w:r w:rsidRPr="006E1548">
        <w:rPr>
          <w:szCs w:val="22"/>
          <w:lang w:val="sk-SK"/>
        </w:rPr>
        <w:t xml:space="preserve"> Podať bronchodilatačnú liečbu ako je izoprenalín, beta-2 sympatomimetiká</w:t>
      </w:r>
      <w:r w:rsidR="00C43136" w:rsidRPr="006E1548">
        <w:rPr>
          <w:szCs w:val="22"/>
          <w:lang w:val="sk-SK"/>
        </w:rPr>
        <w:t xml:space="preserve"> a/alebo aminofylín.</w:t>
      </w:r>
    </w:p>
    <w:p w:rsidR="00C43136" w:rsidRPr="006E1548" w:rsidRDefault="00C43136" w:rsidP="00860C6F">
      <w:pPr>
        <w:rPr>
          <w:szCs w:val="22"/>
          <w:lang w:val="sk-SK"/>
        </w:rPr>
      </w:pPr>
      <w:r w:rsidRPr="006E1548">
        <w:rPr>
          <w:i/>
          <w:szCs w:val="22"/>
          <w:lang w:val="sk-SK"/>
        </w:rPr>
        <w:t>Hypoglykémia:</w:t>
      </w:r>
      <w:r w:rsidRPr="006E1548">
        <w:rPr>
          <w:szCs w:val="22"/>
          <w:lang w:val="sk-SK"/>
        </w:rPr>
        <w:t xml:space="preserve"> Podať i.v. glukózu.</w:t>
      </w:r>
    </w:p>
    <w:p w:rsidR="00860C6F" w:rsidRPr="006E1548" w:rsidRDefault="00860C6F" w:rsidP="000F4A9B">
      <w:pPr>
        <w:rPr>
          <w:szCs w:val="22"/>
          <w:lang w:val="sk-SK"/>
        </w:rPr>
      </w:pPr>
    </w:p>
    <w:p w:rsidR="00860C6F" w:rsidRPr="006E1548" w:rsidRDefault="00860C6F" w:rsidP="000F4A9B">
      <w:pPr>
        <w:rPr>
          <w:i/>
          <w:szCs w:val="22"/>
          <w:lang w:val="sk-SK"/>
        </w:rPr>
      </w:pPr>
      <w:r w:rsidRPr="006E1548">
        <w:rPr>
          <w:b/>
          <w:i/>
          <w:szCs w:val="22"/>
          <w:lang w:val="sk-SK"/>
        </w:rPr>
        <w:t>Perindopril:</w:t>
      </w:r>
    </w:p>
    <w:p w:rsidR="00860C6F" w:rsidRPr="006E1548" w:rsidRDefault="00860C6F" w:rsidP="000F4A9B">
      <w:pPr>
        <w:rPr>
          <w:i/>
          <w:szCs w:val="22"/>
          <w:lang w:val="sk-SK"/>
        </w:rPr>
      </w:pPr>
    </w:p>
    <w:p w:rsidR="00860C6F" w:rsidRPr="006E1548" w:rsidRDefault="00C43136" w:rsidP="000F4A9B">
      <w:pPr>
        <w:rPr>
          <w:szCs w:val="22"/>
          <w:u w:val="single"/>
          <w:lang w:val="sk-SK"/>
        </w:rPr>
      </w:pPr>
      <w:r w:rsidRPr="006E1548">
        <w:rPr>
          <w:szCs w:val="22"/>
          <w:u w:val="single"/>
          <w:lang w:val="sk-SK"/>
        </w:rPr>
        <w:t>Príznaky</w:t>
      </w:r>
      <w:r w:rsidR="00860C6F" w:rsidRPr="006E1548">
        <w:rPr>
          <w:szCs w:val="22"/>
          <w:u w:val="single"/>
          <w:lang w:val="sk-SK"/>
        </w:rPr>
        <w:t>:</w:t>
      </w:r>
    </w:p>
    <w:p w:rsidR="00860C6F" w:rsidRPr="006E1548" w:rsidRDefault="00C43136" w:rsidP="000F4A9B">
      <w:pPr>
        <w:rPr>
          <w:szCs w:val="22"/>
          <w:u w:val="single"/>
          <w:lang w:val="sk-SK"/>
        </w:rPr>
      </w:pPr>
      <w:r w:rsidRPr="006E1548">
        <w:rPr>
          <w:lang w:val="sk-SK" w:eastAsia="sk-SK"/>
        </w:rPr>
        <w:t>O predávkovaní u ľudí sú dostupné obmedzené údaje. Príznak</w:t>
      </w:r>
      <w:r w:rsidR="00860C6F" w:rsidRPr="006E1548">
        <w:rPr>
          <w:lang w:val="sk-SK" w:eastAsia="sk-SK"/>
        </w:rPr>
        <w:t>y spojené s predávkovaním inhibítormi ACE môžu zahŕňať hypotenziu, obehový šok, poruchy elektrolytov, renálne zlyhanie, hyperventiláciu, tachykardiu, palpitácie, bradykardiu, závrat, úzkosť a kašeľ.</w:t>
      </w:r>
    </w:p>
    <w:p w:rsidR="00860C6F" w:rsidRPr="006E1548" w:rsidRDefault="00860C6F" w:rsidP="000F4A9B">
      <w:pPr>
        <w:rPr>
          <w:i/>
          <w:szCs w:val="22"/>
          <w:lang w:val="sk-SK"/>
        </w:rPr>
      </w:pPr>
    </w:p>
    <w:p w:rsidR="00860C6F" w:rsidRPr="006E1548" w:rsidRDefault="00860C6F" w:rsidP="000F4A9B">
      <w:pPr>
        <w:rPr>
          <w:szCs w:val="22"/>
          <w:u w:val="single"/>
          <w:lang w:val="sk-SK"/>
        </w:rPr>
      </w:pPr>
      <w:r w:rsidRPr="006E1548">
        <w:rPr>
          <w:szCs w:val="22"/>
          <w:u w:val="single"/>
          <w:lang w:val="sk-SK"/>
        </w:rPr>
        <w:t>Liečba:</w:t>
      </w:r>
    </w:p>
    <w:p w:rsidR="00860C6F" w:rsidRPr="006E1548" w:rsidRDefault="00423F22" w:rsidP="00860C6F">
      <w:pPr>
        <w:tabs>
          <w:tab w:val="left" w:pos="-142"/>
          <w:tab w:val="left" w:pos="284"/>
        </w:tabs>
        <w:spacing w:line="240" w:lineRule="auto"/>
        <w:rPr>
          <w:lang w:val="sk-SK" w:eastAsia="sk-SK"/>
        </w:rPr>
      </w:pPr>
      <w:r w:rsidRPr="006E1548">
        <w:rPr>
          <w:lang w:val="sk-SK" w:eastAsia="sk-SK"/>
        </w:rPr>
        <w:t>Odporúčaná</w:t>
      </w:r>
      <w:r w:rsidR="00860C6F" w:rsidRPr="006E1548">
        <w:rPr>
          <w:lang w:val="sk-SK" w:eastAsia="sk-SK"/>
        </w:rPr>
        <w:t xml:space="preserve"> </w:t>
      </w:r>
      <w:r w:rsidRPr="006E1548">
        <w:rPr>
          <w:lang w:val="sk-SK" w:eastAsia="sk-SK"/>
        </w:rPr>
        <w:t xml:space="preserve">liečba </w:t>
      </w:r>
      <w:r w:rsidR="00860C6F" w:rsidRPr="006E1548">
        <w:rPr>
          <w:lang w:val="sk-SK" w:eastAsia="sk-SK"/>
        </w:rPr>
        <w:t xml:space="preserve">predávkovania je intravenózna infúzia </w:t>
      </w:r>
      <w:r w:rsidRPr="006E1548">
        <w:rPr>
          <w:lang w:val="sk-SK" w:eastAsia="sk-SK"/>
        </w:rPr>
        <w:t>roztoku chloridu sodného 9 mg/ml (0,9%)</w:t>
      </w:r>
      <w:r w:rsidR="00860C6F" w:rsidRPr="006E1548">
        <w:rPr>
          <w:lang w:val="sk-SK" w:eastAsia="sk-SK"/>
        </w:rPr>
        <w:t xml:space="preserve">. Ak nastane hypotenzia, pacient </w:t>
      </w:r>
      <w:r w:rsidRPr="006E1548">
        <w:rPr>
          <w:lang w:val="sk-SK" w:eastAsia="sk-SK"/>
        </w:rPr>
        <w:t xml:space="preserve">sa </w:t>
      </w:r>
      <w:r w:rsidR="00860C6F" w:rsidRPr="006E1548">
        <w:rPr>
          <w:lang w:val="sk-SK" w:eastAsia="sk-SK"/>
        </w:rPr>
        <w:t>má ulož</w:t>
      </w:r>
      <w:r w:rsidRPr="006E1548">
        <w:rPr>
          <w:lang w:val="sk-SK" w:eastAsia="sk-SK"/>
        </w:rPr>
        <w:t>iť</w:t>
      </w:r>
      <w:r w:rsidR="00860C6F" w:rsidRPr="006E1548">
        <w:rPr>
          <w:lang w:val="sk-SK" w:eastAsia="sk-SK"/>
        </w:rPr>
        <w:t xml:space="preserve"> do protišokovej polohy. Ak je k dispozícii, môže sa tiež zvážiť </w:t>
      </w:r>
      <w:r w:rsidRPr="006E1548">
        <w:rPr>
          <w:lang w:val="sk-SK" w:eastAsia="sk-SK"/>
        </w:rPr>
        <w:t>liečb</w:t>
      </w:r>
      <w:r w:rsidR="00860C6F" w:rsidRPr="006E1548">
        <w:rPr>
          <w:lang w:val="sk-SK" w:eastAsia="sk-SK"/>
        </w:rPr>
        <w:t>a infúziou angiotenzínu II a/alebo intravenózn</w:t>
      </w:r>
      <w:r w:rsidR="00E0500D" w:rsidRPr="006E1548">
        <w:rPr>
          <w:lang w:val="sk-SK" w:eastAsia="sk-SK"/>
        </w:rPr>
        <w:t>ymi</w:t>
      </w:r>
      <w:r w:rsidR="00860C6F" w:rsidRPr="006E1548">
        <w:rPr>
          <w:lang w:val="sk-SK" w:eastAsia="sk-SK"/>
        </w:rPr>
        <w:t xml:space="preserve"> katecholamín</w:t>
      </w:r>
      <w:r w:rsidR="00E0500D" w:rsidRPr="006E1548">
        <w:rPr>
          <w:lang w:val="sk-SK" w:eastAsia="sk-SK"/>
        </w:rPr>
        <w:t>mi</w:t>
      </w:r>
      <w:r w:rsidR="00860C6F" w:rsidRPr="006E1548">
        <w:rPr>
          <w:lang w:val="sk-SK" w:eastAsia="sk-SK"/>
        </w:rPr>
        <w:t xml:space="preserve">. Perindopril </w:t>
      </w:r>
      <w:r w:rsidR="00C43136" w:rsidRPr="006E1548">
        <w:rPr>
          <w:lang w:val="sk-SK" w:eastAsia="sk-SK"/>
        </w:rPr>
        <w:t>sa</w:t>
      </w:r>
      <w:r w:rsidR="00860C6F" w:rsidRPr="006E1548">
        <w:rPr>
          <w:lang w:val="sk-SK" w:eastAsia="sk-SK"/>
        </w:rPr>
        <w:t xml:space="preserve"> m</w:t>
      </w:r>
      <w:r w:rsidR="00C43136" w:rsidRPr="006E1548">
        <w:rPr>
          <w:lang w:val="sk-SK" w:eastAsia="sk-SK"/>
        </w:rPr>
        <w:t>ôže</w:t>
      </w:r>
      <w:r w:rsidR="00860C6F" w:rsidRPr="006E1548">
        <w:rPr>
          <w:lang w:val="sk-SK" w:eastAsia="sk-SK"/>
        </w:rPr>
        <w:t xml:space="preserve"> odstrániť zo systémovej cirkulácie </w:t>
      </w:r>
      <w:r w:rsidR="00A525CA" w:rsidRPr="006E1548">
        <w:rPr>
          <w:lang w:val="sk-SK" w:eastAsia="sk-SK"/>
        </w:rPr>
        <w:t>h</w:t>
      </w:r>
      <w:r w:rsidR="00860C6F" w:rsidRPr="006E1548">
        <w:rPr>
          <w:lang w:val="sk-SK" w:eastAsia="sk-SK"/>
        </w:rPr>
        <w:t>emodialýz</w:t>
      </w:r>
      <w:r w:rsidRPr="006E1548">
        <w:rPr>
          <w:lang w:val="sk-SK" w:eastAsia="sk-SK"/>
        </w:rPr>
        <w:t>ou</w:t>
      </w:r>
      <w:r w:rsidR="00860C6F" w:rsidRPr="006E1548">
        <w:rPr>
          <w:lang w:val="sk-SK" w:eastAsia="sk-SK"/>
        </w:rPr>
        <w:t xml:space="preserve"> (pozri časť 4.4). Kardiostimulačná </w:t>
      </w:r>
      <w:r w:rsidRPr="006E1548">
        <w:rPr>
          <w:lang w:val="sk-SK" w:eastAsia="sk-SK"/>
        </w:rPr>
        <w:t>liečba</w:t>
      </w:r>
      <w:r w:rsidR="00860C6F" w:rsidRPr="006E1548">
        <w:rPr>
          <w:lang w:val="sk-SK" w:eastAsia="sk-SK"/>
        </w:rPr>
        <w:t xml:space="preserve"> je indikovaná pri bradykardii rezistentnej na liečbu. Nepretržite </w:t>
      </w:r>
      <w:r w:rsidRPr="006E1548">
        <w:rPr>
          <w:lang w:val="sk-SK" w:eastAsia="sk-SK"/>
        </w:rPr>
        <w:t>sa majú</w:t>
      </w:r>
      <w:r w:rsidR="00860C6F" w:rsidRPr="006E1548">
        <w:rPr>
          <w:lang w:val="sk-SK" w:eastAsia="sk-SK"/>
        </w:rPr>
        <w:t xml:space="preserve"> monitorova</w:t>
      </w:r>
      <w:r w:rsidRPr="006E1548">
        <w:rPr>
          <w:lang w:val="sk-SK" w:eastAsia="sk-SK"/>
        </w:rPr>
        <w:t>ť</w:t>
      </w:r>
      <w:r w:rsidR="00860C6F" w:rsidRPr="006E1548">
        <w:rPr>
          <w:lang w:val="sk-SK" w:eastAsia="sk-SK"/>
        </w:rPr>
        <w:t xml:space="preserve"> životne dôležité funkcie, sérové elektrolyty a koncentrácie kreatinínu.</w:t>
      </w:r>
    </w:p>
    <w:p w:rsidR="00E13782" w:rsidRPr="006E1548" w:rsidRDefault="00E13782" w:rsidP="004C3B0F">
      <w:pPr>
        <w:tabs>
          <w:tab w:val="left" w:pos="-142"/>
          <w:tab w:val="left" w:pos="284"/>
        </w:tabs>
        <w:spacing w:line="240" w:lineRule="auto"/>
        <w:rPr>
          <w:lang w:val="sk-SK" w:eastAsia="sk-SK"/>
        </w:rPr>
      </w:pPr>
    </w:p>
    <w:p w:rsidR="000F4A9B" w:rsidRPr="006E1548" w:rsidRDefault="000F4A9B" w:rsidP="000F4A9B">
      <w:pPr>
        <w:tabs>
          <w:tab w:val="clear" w:pos="567"/>
        </w:tabs>
        <w:rPr>
          <w:szCs w:val="22"/>
          <w:lang w:val="sk-SK"/>
        </w:rPr>
      </w:pPr>
    </w:p>
    <w:p w:rsidR="000F4A9B" w:rsidRPr="006E1548" w:rsidRDefault="000F4A9B" w:rsidP="000F4A9B">
      <w:pPr>
        <w:rPr>
          <w:szCs w:val="22"/>
          <w:lang w:val="sk-SK"/>
        </w:rPr>
      </w:pPr>
      <w:r w:rsidRPr="006E1548">
        <w:rPr>
          <w:b/>
          <w:szCs w:val="22"/>
          <w:lang w:val="sk-SK"/>
        </w:rPr>
        <w:t>5.</w:t>
      </w:r>
      <w:r w:rsidRPr="006E1548">
        <w:rPr>
          <w:b/>
          <w:szCs w:val="22"/>
          <w:lang w:val="sk-SK"/>
        </w:rPr>
        <w:tab/>
        <w:t>FARMAKOLOGICKÉ VLASTNOSTI</w:t>
      </w:r>
    </w:p>
    <w:p w:rsidR="000F4A9B" w:rsidRPr="006E1548" w:rsidRDefault="000F4A9B" w:rsidP="000F4A9B">
      <w:pPr>
        <w:tabs>
          <w:tab w:val="clear" w:pos="567"/>
        </w:tabs>
        <w:spacing w:line="240" w:lineRule="auto"/>
        <w:rPr>
          <w:b/>
          <w:szCs w:val="22"/>
          <w:lang w:val="sk-SK"/>
        </w:rPr>
      </w:pPr>
    </w:p>
    <w:p w:rsidR="000F4A9B" w:rsidRPr="006E1548" w:rsidRDefault="000F4A9B" w:rsidP="000F4A9B">
      <w:pPr>
        <w:rPr>
          <w:szCs w:val="22"/>
          <w:lang w:val="sk-SK"/>
        </w:rPr>
      </w:pPr>
      <w:r w:rsidRPr="006E1548">
        <w:rPr>
          <w:b/>
          <w:szCs w:val="22"/>
          <w:lang w:val="sk-SK"/>
        </w:rPr>
        <w:t>5.1</w:t>
      </w:r>
      <w:r w:rsidRPr="006E1548">
        <w:rPr>
          <w:b/>
          <w:szCs w:val="22"/>
          <w:lang w:val="sk-SK"/>
        </w:rPr>
        <w:tab/>
        <w:t>Farmakodynamické vlastnosti</w:t>
      </w:r>
    </w:p>
    <w:p w:rsidR="000F4A9B" w:rsidRPr="006E1548" w:rsidRDefault="000F4A9B" w:rsidP="000F4A9B">
      <w:pPr>
        <w:tabs>
          <w:tab w:val="clear" w:pos="567"/>
        </w:tabs>
        <w:rPr>
          <w:szCs w:val="22"/>
          <w:lang w:val="sk-SK"/>
        </w:rPr>
      </w:pPr>
    </w:p>
    <w:p w:rsidR="00C43136" w:rsidRPr="006E1548" w:rsidRDefault="000F4A9B" w:rsidP="000F4A9B">
      <w:pPr>
        <w:rPr>
          <w:szCs w:val="22"/>
          <w:lang w:val="sk-SK"/>
        </w:rPr>
      </w:pPr>
      <w:r w:rsidRPr="006E1548">
        <w:rPr>
          <w:szCs w:val="22"/>
          <w:lang w:val="sk-SK"/>
        </w:rPr>
        <w:t xml:space="preserve">Farmakoterapeutická skupina: </w:t>
      </w:r>
      <w:r w:rsidR="00C43136" w:rsidRPr="006E1548">
        <w:rPr>
          <w:szCs w:val="22"/>
          <w:lang w:val="sk-SK"/>
        </w:rPr>
        <w:t>Bisoprolol, kombinácie</w:t>
      </w:r>
    </w:p>
    <w:p w:rsidR="000F4A9B" w:rsidRPr="006E1548" w:rsidRDefault="000F4A9B" w:rsidP="000F4A9B">
      <w:pPr>
        <w:rPr>
          <w:szCs w:val="22"/>
          <w:lang w:val="sk-SK"/>
        </w:rPr>
      </w:pPr>
      <w:r w:rsidRPr="006E1548">
        <w:rPr>
          <w:szCs w:val="22"/>
          <w:lang w:val="sk-SK"/>
        </w:rPr>
        <w:t xml:space="preserve">ATC kód: </w:t>
      </w:r>
      <w:r w:rsidR="00C43136" w:rsidRPr="006E1548">
        <w:rPr>
          <w:szCs w:val="22"/>
          <w:lang w:val="sk-SK"/>
        </w:rPr>
        <w:t>zatiaľ nepridelený</w:t>
      </w:r>
    </w:p>
    <w:p w:rsidR="000F4A9B" w:rsidRPr="006E1548" w:rsidRDefault="000F4A9B" w:rsidP="000F4A9B">
      <w:pPr>
        <w:rPr>
          <w:szCs w:val="22"/>
          <w:u w:val="single"/>
          <w:lang w:val="sk-SK"/>
        </w:rPr>
      </w:pPr>
    </w:p>
    <w:p w:rsidR="000F4A9B" w:rsidRPr="006E1548" w:rsidRDefault="000F4A9B" w:rsidP="000F4A9B">
      <w:pPr>
        <w:rPr>
          <w:szCs w:val="22"/>
          <w:u w:val="single"/>
          <w:lang w:val="sk-SK"/>
        </w:rPr>
      </w:pPr>
      <w:r w:rsidRPr="006E1548">
        <w:rPr>
          <w:szCs w:val="22"/>
          <w:u w:val="single"/>
          <w:lang w:val="sk-SK"/>
        </w:rPr>
        <w:t>Mechanizmus účinku</w:t>
      </w:r>
    </w:p>
    <w:p w:rsidR="00CC4859" w:rsidRPr="006E1548" w:rsidRDefault="00CC4859" w:rsidP="000F4A9B">
      <w:pPr>
        <w:rPr>
          <w:szCs w:val="22"/>
          <w:lang w:val="sk-SK"/>
        </w:rPr>
      </w:pPr>
    </w:p>
    <w:p w:rsidR="00C43136" w:rsidRPr="006E1548" w:rsidRDefault="00C43136" w:rsidP="000F4A9B">
      <w:pPr>
        <w:rPr>
          <w:b/>
          <w:i/>
          <w:szCs w:val="22"/>
          <w:lang w:val="sk-SK"/>
        </w:rPr>
      </w:pPr>
      <w:r w:rsidRPr="006E1548">
        <w:rPr>
          <w:b/>
          <w:i/>
          <w:szCs w:val="22"/>
          <w:lang w:val="sk-SK"/>
        </w:rPr>
        <w:t>Bisoprolol</w:t>
      </w:r>
    </w:p>
    <w:p w:rsidR="00DB5677" w:rsidRPr="006E1548" w:rsidRDefault="00DB5677" w:rsidP="000F4A9B">
      <w:pPr>
        <w:rPr>
          <w:szCs w:val="22"/>
          <w:lang w:val="sk-SK"/>
        </w:rPr>
      </w:pPr>
    </w:p>
    <w:p w:rsidR="00C43136" w:rsidRPr="006E1548" w:rsidRDefault="00C43136" w:rsidP="000F4A9B">
      <w:pPr>
        <w:rPr>
          <w:szCs w:val="22"/>
          <w:lang w:val="sk-SK"/>
        </w:rPr>
      </w:pPr>
      <w:r w:rsidRPr="006E1548">
        <w:rPr>
          <w:szCs w:val="22"/>
          <w:lang w:val="sk-SK"/>
        </w:rPr>
        <w:t>Bisoprolol je vysoko selektívny blokátor beta-1 adrenoreceptora bez vnútornej sympatomimetickej aktivity</w:t>
      </w:r>
      <w:r w:rsidR="00586EC9" w:rsidRPr="006E1548">
        <w:rPr>
          <w:szCs w:val="22"/>
          <w:lang w:val="sk-SK"/>
        </w:rPr>
        <w:t xml:space="preserve"> a </w:t>
      </w:r>
      <w:r w:rsidR="00CE6681" w:rsidRPr="006E1548">
        <w:rPr>
          <w:szCs w:val="22"/>
          <w:lang w:val="sk-SK"/>
        </w:rPr>
        <w:t>relevantnej</w:t>
      </w:r>
      <w:r w:rsidR="00586EC9" w:rsidRPr="006E1548">
        <w:rPr>
          <w:szCs w:val="22"/>
          <w:lang w:val="sk-SK"/>
        </w:rPr>
        <w:t xml:space="preserve"> membrány stabilizujúcej aktivity. Vykazuje iba veľmi nízku afinitu k beta-2 receptorom hladkého svalstv</w:t>
      </w:r>
      <w:r w:rsidR="007D7B43" w:rsidRPr="006E1548">
        <w:rPr>
          <w:szCs w:val="22"/>
          <w:lang w:val="sk-SK"/>
        </w:rPr>
        <w:t xml:space="preserve">a bronchov a ciev, rovnako ako </w:t>
      </w:r>
      <w:r w:rsidR="00586EC9" w:rsidRPr="006E1548">
        <w:rPr>
          <w:szCs w:val="22"/>
          <w:lang w:val="sk-SK"/>
        </w:rPr>
        <w:t>k beta-2 receptoro</w:t>
      </w:r>
      <w:r w:rsidR="004E3FB5" w:rsidRPr="006E1548">
        <w:rPr>
          <w:szCs w:val="22"/>
          <w:lang w:val="sk-SK"/>
        </w:rPr>
        <w:t>m</w:t>
      </w:r>
      <w:r w:rsidR="00586EC9" w:rsidRPr="006E1548">
        <w:rPr>
          <w:szCs w:val="22"/>
          <w:lang w:val="sk-SK"/>
        </w:rPr>
        <w:t xml:space="preserve"> zúčastňujúci</w:t>
      </w:r>
      <w:r w:rsidR="004E3FB5" w:rsidRPr="006E1548">
        <w:rPr>
          <w:szCs w:val="22"/>
          <w:lang w:val="sk-SK"/>
        </w:rPr>
        <w:t>m</w:t>
      </w:r>
      <w:r w:rsidR="00586EC9" w:rsidRPr="006E1548">
        <w:rPr>
          <w:szCs w:val="22"/>
          <w:lang w:val="sk-SK"/>
        </w:rPr>
        <w:t xml:space="preserve"> sa metabolickej regulácie. Vo všeobecnosti sa preto u bisoprololu neočakáva vplyv na </w:t>
      </w:r>
      <w:r w:rsidR="007D7B43" w:rsidRPr="006E1548">
        <w:rPr>
          <w:szCs w:val="22"/>
          <w:lang w:val="sk-SK"/>
        </w:rPr>
        <w:t>rezistenciu</w:t>
      </w:r>
      <w:r w:rsidR="00586EC9" w:rsidRPr="006E1548">
        <w:rPr>
          <w:szCs w:val="22"/>
          <w:lang w:val="sk-SK"/>
        </w:rPr>
        <w:t xml:space="preserve"> </w:t>
      </w:r>
      <w:r w:rsidR="00586EC9" w:rsidRPr="006E1548">
        <w:rPr>
          <w:szCs w:val="22"/>
          <w:lang w:val="sk-SK"/>
        </w:rPr>
        <w:lastRenderedPageBreak/>
        <w:t>dýchacích ciest</w:t>
      </w:r>
      <w:r w:rsidR="007D7B43" w:rsidRPr="006E1548">
        <w:rPr>
          <w:szCs w:val="22"/>
          <w:lang w:val="sk-SK"/>
        </w:rPr>
        <w:t xml:space="preserve"> a </w:t>
      </w:r>
      <w:r w:rsidR="00C34802" w:rsidRPr="006E1548">
        <w:rPr>
          <w:szCs w:val="22"/>
          <w:lang w:val="sk-SK"/>
        </w:rPr>
        <w:t>beta-2 receptormi sprostredkované metabolické</w:t>
      </w:r>
      <w:r w:rsidR="00DB5677" w:rsidRPr="006E1548">
        <w:rPr>
          <w:szCs w:val="22"/>
          <w:lang w:val="sk-SK"/>
        </w:rPr>
        <w:t xml:space="preserve"> účinky. Jeho beta-1 selektivita presahuje terapeutické rozmedzie dávkovania.</w:t>
      </w:r>
    </w:p>
    <w:p w:rsidR="00CC4859" w:rsidRPr="006E1548" w:rsidRDefault="00CC4859" w:rsidP="000F4A9B">
      <w:pPr>
        <w:rPr>
          <w:szCs w:val="22"/>
          <w:lang w:val="sk-SK"/>
        </w:rPr>
      </w:pPr>
    </w:p>
    <w:p w:rsidR="00CC4859" w:rsidRPr="006E1548" w:rsidRDefault="00A95FD4" w:rsidP="000F4A9B">
      <w:pPr>
        <w:rPr>
          <w:b/>
          <w:i/>
          <w:szCs w:val="22"/>
          <w:lang w:val="sk-SK"/>
        </w:rPr>
      </w:pPr>
      <w:r w:rsidRPr="006E1548">
        <w:rPr>
          <w:b/>
          <w:i/>
          <w:szCs w:val="22"/>
          <w:lang w:val="sk-SK"/>
        </w:rPr>
        <w:t>Perindopril</w:t>
      </w:r>
    </w:p>
    <w:p w:rsidR="00DB5677" w:rsidRPr="006E1548" w:rsidRDefault="00DB5677" w:rsidP="00A95FD4">
      <w:pPr>
        <w:rPr>
          <w:szCs w:val="22"/>
          <w:lang w:val="sk-SK"/>
        </w:rPr>
      </w:pPr>
    </w:p>
    <w:p w:rsidR="00A95FD4" w:rsidRPr="006E1548" w:rsidRDefault="00A95FD4" w:rsidP="00A95FD4">
      <w:pPr>
        <w:rPr>
          <w:lang w:val="sk-SK" w:eastAsia="sk-SK"/>
        </w:rPr>
      </w:pPr>
      <w:r w:rsidRPr="006E1548">
        <w:rPr>
          <w:szCs w:val="22"/>
          <w:lang w:val="sk-SK"/>
        </w:rPr>
        <w:t>Perindopril je inhibítor enzýmu, ktorý konvertuje angiotenzín I na angiotenzín II (angiotenzín-konvertujúci</w:t>
      </w:r>
      <w:r w:rsidRPr="006E1548">
        <w:rPr>
          <w:lang w:val="sk-SK" w:eastAsia="sk-SK"/>
        </w:rPr>
        <w:t xml:space="preserve"> enzým, ACE). Tento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inhibítorov ACE na zníženie krvného tlaku a je </w:t>
      </w:r>
      <w:r w:rsidR="002A661D" w:rsidRPr="006E1548">
        <w:rPr>
          <w:lang w:val="sk-SK" w:eastAsia="sk-SK"/>
        </w:rPr>
        <w:t xml:space="preserve">čiastočne </w:t>
      </w:r>
      <w:r w:rsidRPr="006E1548">
        <w:rPr>
          <w:lang w:val="sk-SK" w:eastAsia="sk-SK"/>
        </w:rPr>
        <w:t>zodpovedný za ich niektoré vedľajšie účinky (napr. kašeľ).</w:t>
      </w:r>
    </w:p>
    <w:p w:rsidR="00A95FD4" w:rsidRPr="006E1548" w:rsidRDefault="00A95FD4" w:rsidP="00A95FD4">
      <w:pPr>
        <w:spacing w:line="240" w:lineRule="auto"/>
        <w:rPr>
          <w:lang w:val="sk-SK" w:eastAsia="sk-SK"/>
        </w:rPr>
      </w:pPr>
      <w:r w:rsidRPr="006E1548">
        <w:rPr>
          <w:lang w:val="sk-SK" w:eastAsia="sk-SK"/>
        </w:rPr>
        <w:t xml:space="preserve">Perindopril pôsobí prostredníctvom svojho aktívneho metabolitu, perindoprilátu. Ostatné metabolity nemajú </w:t>
      </w:r>
      <w:r w:rsidRPr="006E1548">
        <w:rPr>
          <w:i/>
          <w:lang w:val="sk-SK" w:eastAsia="sk-SK"/>
        </w:rPr>
        <w:t>in vitro</w:t>
      </w:r>
      <w:r w:rsidRPr="006E1548">
        <w:rPr>
          <w:lang w:val="sk-SK" w:eastAsia="sk-SK"/>
        </w:rPr>
        <w:t xml:space="preserve"> žiadnu ACE inhibičnú aktivitu.</w:t>
      </w:r>
    </w:p>
    <w:p w:rsidR="00CC4859" w:rsidRPr="006E1548" w:rsidRDefault="00CC4859" w:rsidP="000F4A9B">
      <w:pPr>
        <w:rPr>
          <w:szCs w:val="22"/>
          <w:lang w:val="sk-SK"/>
        </w:rPr>
      </w:pPr>
    </w:p>
    <w:p w:rsidR="000F4A9B" w:rsidRPr="006E1548" w:rsidRDefault="000F4A9B" w:rsidP="000F4A9B">
      <w:pPr>
        <w:tabs>
          <w:tab w:val="left" w:pos="1134"/>
        </w:tabs>
        <w:rPr>
          <w:szCs w:val="22"/>
          <w:u w:val="single"/>
          <w:lang w:val="sk-SK"/>
        </w:rPr>
      </w:pPr>
      <w:r w:rsidRPr="006E1548">
        <w:rPr>
          <w:szCs w:val="22"/>
          <w:u w:val="single"/>
          <w:lang w:val="sk-SK"/>
        </w:rPr>
        <w:t>Farmakodynamick</w:t>
      </w:r>
      <w:r w:rsidR="00A95FD4" w:rsidRPr="006E1548">
        <w:rPr>
          <w:szCs w:val="22"/>
          <w:u w:val="single"/>
          <w:lang w:val="sk-SK"/>
        </w:rPr>
        <w:t>é</w:t>
      </w:r>
      <w:r w:rsidRPr="006E1548">
        <w:rPr>
          <w:szCs w:val="22"/>
          <w:u w:val="single"/>
          <w:lang w:val="sk-SK"/>
        </w:rPr>
        <w:t xml:space="preserve"> účin</w:t>
      </w:r>
      <w:r w:rsidR="00A95FD4" w:rsidRPr="006E1548">
        <w:rPr>
          <w:szCs w:val="22"/>
          <w:u w:val="single"/>
          <w:lang w:val="sk-SK"/>
        </w:rPr>
        <w:t>ky</w:t>
      </w:r>
    </w:p>
    <w:p w:rsidR="00DC770A" w:rsidRPr="006E1548" w:rsidRDefault="00DC770A" w:rsidP="000F4A9B">
      <w:pPr>
        <w:tabs>
          <w:tab w:val="left" w:pos="1134"/>
        </w:tabs>
        <w:rPr>
          <w:szCs w:val="22"/>
          <w:u w:val="single"/>
          <w:lang w:val="sk-SK"/>
        </w:rPr>
      </w:pPr>
    </w:p>
    <w:p w:rsidR="008D03A7" w:rsidRPr="006E1548" w:rsidRDefault="00DC770A" w:rsidP="000F4A9B">
      <w:pPr>
        <w:tabs>
          <w:tab w:val="left" w:pos="1134"/>
        </w:tabs>
        <w:rPr>
          <w:b/>
          <w:i/>
          <w:szCs w:val="22"/>
          <w:lang w:val="sk-SK"/>
        </w:rPr>
      </w:pPr>
      <w:r w:rsidRPr="006E1548">
        <w:rPr>
          <w:b/>
          <w:i/>
          <w:szCs w:val="22"/>
          <w:lang w:val="sk-SK"/>
        </w:rPr>
        <w:t>Bisoprolol</w:t>
      </w:r>
    </w:p>
    <w:p w:rsidR="00DC770A" w:rsidRPr="006E1548" w:rsidRDefault="00DC770A" w:rsidP="000F4A9B">
      <w:pPr>
        <w:tabs>
          <w:tab w:val="left" w:pos="1134"/>
        </w:tabs>
        <w:rPr>
          <w:szCs w:val="22"/>
          <w:lang w:val="sk-SK"/>
        </w:rPr>
      </w:pPr>
    </w:p>
    <w:p w:rsidR="008D03A7" w:rsidRPr="006E1548" w:rsidRDefault="00DC770A" w:rsidP="008D03A7">
      <w:pPr>
        <w:pStyle w:val="Zarkazkladnhotextu2"/>
        <w:spacing w:after="0" w:line="240" w:lineRule="auto"/>
        <w:ind w:left="0"/>
        <w:rPr>
          <w:szCs w:val="22"/>
          <w:lang w:val="sk-SK"/>
        </w:rPr>
      </w:pPr>
      <w:r w:rsidRPr="006E1548">
        <w:rPr>
          <w:szCs w:val="22"/>
          <w:lang w:val="sk-SK"/>
        </w:rPr>
        <w:t xml:space="preserve">Bisoprolol nemé žiadne </w:t>
      </w:r>
      <w:r w:rsidR="000640C2" w:rsidRPr="006E1548">
        <w:rPr>
          <w:szCs w:val="22"/>
          <w:lang w:val="sk-SK"/>
        </w:rPr>
        <w:t>významne</w:t>
      </w:r>
      <w:r w:rsidRPr="006E1548">
        <w:rPr>
          <w:szCs w:val="22"/>
          <w:lang w:val="sk-SK"/>
        </w:rPr>
        <w:t xml:space="preserve"> negatívne inotropné účinky.</w:t>
      </w:r>
    </w:p>
    <w:p w:rsidR="00DC770A" w:rsidRPr="006E1548" w:rsidRDefault="00DC770A" w:rsidP="008D03A7">
      <w:pPr>
        <w:pStyle w:val="Zarkazkladnhotextu2"/>
        <w:spacing w:after="0" w:line="240" w:lineRule="auto"/>
        <w:ind w:left="0"/>
        <w:rPr>
          <w:szCs w:val="22"/>
          <w:lang w:val="sk-SK"/>
        </w:rPr>
      </w:pPr>
      <w:r w:rsidRPr="006E1548">
        <w:rPr>
          <w:szCs w:val="22"/>
          <w:lang w:val="sk-SK"/>
        </w:rPr>
        <w:t>Bisoprolol dosahuje svoje maximálne účinky 3-4 hodiny po podaní. Vzhľadom na polčas 10-12 hodín pôsobí bisoprolol počas 24 hodín.</w:t>
      </w:r>
    </w:p>
    <w:p w:rsidR="00DC770A" w:rsidRPr="006E1548" w:rsidRDefault="00DC770A" w:rsidP="008D03A7">
      <w:pPr>
        <w:pStyle w:val="Zarkazkladnhotextu2"/>
        <w:spacing w:after="0" w:line="240" w:lineRule="auto"/>
        <w:ind w:left="0"/>
        <w:rPr>
          <w:szCs w:val="22"/>
          <w:lang w:val="sk-SK"/>
        </w:rPr>
      </w:pPr>
      <w:r w:rsidRPr="006E1548">
        <w:rPr>
          <w:szCs w:val="22"/>
          <w:lang w:val="sk-SK"/>
        </w:rPr>
        <w:t>Maximálne účinky na zníženie krvného tlaku sa zvyčajne dosiahnu po 2 týždňoch.</w:t>
      </w:r>
    </w:p>
    <w:p w:rsidR="00DC770A" w:rsidRPr="006E1548" w:rsidRDefault="00DC770A" w:rsidP="008D03A7">
      <w:pPr>
        <w:pStyle w:val="Zarkazkladnhotextu2"/>
        <w:spacing w:after="0" w:line="240" w:lineRule="auto"/>
        <w:ind w:left="0"/>
        <w:rPr>
          <w:szCs w:val="22"/>
          <w:lang w:val="sk-SK"/>
        </w:rPr>
      </w:pPr>
    </w:p>
    <w:p w:rsidR="00DC770A" w:rsidRPr="006E1548" w:rsidRDefault="00DC770A" w:rsidP="008D03A7">
      <w:pPr>
        <w:pStyle w:val="Zarkazkladnhotextu2"/>
        <w:spacing w:after="0" w:line="240" w:lineRule="auto"/>
        <w:ind w:left="0"/>
        <w:rPr>
          <w:szCs w:val="22"/>
          <w:lang w:val="sk-SK"/>
        </w:rPr>
      </w:pPr>
      <w:r w:rsidRPr="006E1548">
        <w:rPr>
          <w:szCs w:val="22"/>
          <w:lang w:val="sk-SK"/>
        </w:rPr>
        <w:t xml:space="preserve">Pri akútnom podaní pacientom s ischemickou chorobou srdca bez chronického srdcového zlyhávania bisoprolol znižuje </w:t>
      </w:r>
      <w:r w:rsidR="000640C2" w:rsidRPr="006E1548">
        <w:rPr>
          <w:szCs w:val="22"/>
          <w:lang w:val="sk-SK"/>
        </w:rPr>
        <w:t>srdcovú</w:t>
      </w:r>
      <w:r w:rsidRPr="006E1548">
        <w:rPr>
          <w:szCs w:val="22"/>
          <w:lang w:val="sk-SK"/>
        </w:rPr>
        <w:t xml:space="preserve"> frekvenciu a </w:t>
      </w:r>
      <w:r w:rsidR="0061779E" w:rsidRPr="006E1548">
        <w:rPr>
          <w:szCs w:val="22"/>
          <w:lang w:val="sk-SK"/>
        </w:rPr>
        <w:t>vývrhový</w:t>
      </w:r>
      <w:r w:rsidRPr="006E1548">
        <w:rPr>
          <w:szCs w:val="22"/>
          <w:lang w:val="sk-SK"/>
        </w:rPr>
        <w:t xml:space="preserve"> objem, a tým aj srdcový výdaj a spotrebu kyslíka.</w:t>
      </w:r>
      <w:r w:rsidR="00F37FB5" w:rsidRPr="006E1548">
        <w:rPr>
          <w:szCs w:val="22"/>
          <w:lang w:val="sk-SK"/>
        </w:rPr>
        <w:t xml:space="preserve"> Pri chronickom podávaní spočiatku zvýšený periférny odpor klesá. Zníženie aktivity renínu v plazme sa pokladá za základný mechanizmus účinku </w:t>
      </w:r>
      <w:r w:rsidR="000640C2" w:rsidRPr="006E1548">
        <w:rPr>
          <w:szCs w:val="22"/>
          <w:lang w:val="sk-SK"/>
        </w:rPr>
        <w:t xml:space="preserve">zodpovedný za </w:t>
      </w:r>
      <w:r w:rsidR="00F37FB5" w:rsidRPr="006E1548">
        <w:rPr>
          <w:szCs w:val="22"/>
          <w:lang w:val="sk-SK"/>
        </w:rPr>
        <w:t>antihypertenzívn</w:t>
      </w:r>
      <w:r w:rsidR="000640C2" w:rsidRPr="006E1548">
        <w:rPr>
          <w:szCs w:val="22"/>
          <w:lang w:val="sk-SK"/>
        </w:rPr>
        <w:t>e</w:t>
      </w:r>
      <w:r w:rsidR="00F37FB5" w:rsidRPr="006E1548">
        <w:rPr>
          <w:szCs w:val="22"/>
          <w:lang w:val="sk-SK"/>
        </w:rPr>
        <w:t xml:space="preserve"> účink</w:t>
      </w:r>
      <w:r w:rsidR="000640C2" w:rsidRPr="006E1548">
        <w:rPr>
          <w:szCs w:val="22"/>
          <w:lang w:val="sk-SK"/>
        </w:rPr>
        <w:t>y</w:t>
      </w:r>
      <w:r w:rsidR="00F37FB5" w:rsidRPr="006E1548">
        <w:rPr>
          <w:szCs w:val="22"/>
          <w:lang w:val="sk-SK"/>
        </w:rPr>
        <w:t xml:space="preserve"> betablokátorov.</w:t>
      </w:r>
    </w:p>
    <w:p w:rsidR="00F37FB5" w:rsidRPr="006E1548" w:rsidRDefault="00F37FB5" w:rsidP="008D03A7">
      <w:pPr>
        <w:pStyle w:val="Zarkazkladnhotextu2"/>
        <w:spacing w:after="0" w:line="240" w:lineRule="auto"/>
        <w:ind w:left="0"/>
        <w:rPr>
          <w:szCs w:val="22"/>
          <w:lang w:val="sk-SK"/>
        </w:rPr>
      </w:pPr>
    </w:p>
    <w:p w:rsidR="00F37FB5" w:rsidRPr="006E1548" w:rsidRDefault="00F37FB5" w:rsidP="008D03A7">
      <w:pPr>
        <w:pStyle w:val="Zarkazkladnhotextu2"/>
        <w:spacing w:after="0" w:line="240" w:lineRule="auto"/>
        <w:ind w:left="0"/>
        <w:rPr>
          <w:szCs w:val="22"/>
          <w:lang w:val="sk-SK"/>
        </w:rPr>
      </w:pPr>
      <w:r w:rsidRPr="006E1548">
        <w:rPr>
          <w:szCs w:val="22"/>
          <w:lang w:val="sk-SK"/>
        </w:rPr>
        <w:t>Bisoprolol znižuje sympatiko-adrenergnú odpoveď blokádou srdcových betaadrenergných receptorov. Vedie to k</w:t>
      </w:r>
      <w:r w:rsidR="00F47E18" w:rsidRPr="006E1548">
        <w:rPr>
          <w:szCs w:val="22"/>
          <w:lang w:val="sk-SK"/>
        </w:rPr>
        <w:t> poklesu srdcovej frekvencie a kontraktility, čo spôsobuje zníženie spotreby kyslíka myokardom, čo je požadovaný účinok</w:t>
      </w:r>
      <w:r w:rsidR="00CD638E" w:rsidRPr="006E1548">
        <w:rPr>
          <w:szCs w:val="22"/>
          <w:lang w:val="sk-SK"/>
        </w:rPr>
        <w:t xml:space="preserve"> v prípade anginy súvisiacej s </w:t>
      </w:r>
      <w:r w:rsidR="00F47E18" w:rsidRPr="006E1548">
        <w:rPr>
          <w:szCs w:val="22"/>
          <w:lang w:val="sk-SK"/>
        </w:rPr>
        <w:t>ischemickou chorobou srdca.</w:t>
      </w:r>
    </w:p>
    <w:p w:rsidR="008D03A7" w:rsidRPr="006E1548" w:rsidRDefault="008D03A7" w:rsidP="000F4A9B">
      <w:pPr>
        <w:tabs>
          <w:tab w:val="left" w:pos="1134"/>
        </w:tabs>
        <w:rPr>
          <w:szCs w:val="22"/>
          <w:lang w:val="sk-SK"/>
        </w:rPr>
      </w:pPr>
    </w:p>
    <w:p w:rsidR="000F4A9B" w:rsidRPr="006E1548" w:rsidRDefault="008D03A7" w:rsidP="000F4A9B">
      <w:pPr>
        <w:spacing w:line="240" w:lineRule="auto"/>
        <w:rPr>
          <w:b/>
          <w:i/>
          <w:szCs w:val="22"/>
          <w:lang w:val="sk-SK"/>
        </w:rPr>
      </w:pPr>
      <w:r w:rsidRPr="006E1548">
        <w:rPr>
          <w:b/>
          <w:i/>
          <w:szCs w:val="22"/>
          <w:lang w:val="sk-SK"/>
        </w:rPr>
        <w:t>Perindopril</w:t>
      </w:r>
    </w:p>
    <w:p w:rsidR="00F47E18" w:rsidRPr="006E1548" w:rsidRDefault="00F47E18" w:rsidP="008D03A7">
      <w:pPr>
        <w:spacing w:line="240" w:lineRule="auto"/>
        <w:rPr>
          <w:lang w:val="sk-SK" w:eastAsia="sk-SK"/>
        </w:rPr>
      </w:pPr>
    </w:p>
    <w:p w:rsidR="008D03A7" w:rsidRPr="006E1548" w:rsidRDefault="008D03A7" w:rsidP="008D03A7">
      <w:pPr>
        <w:spacing w:line="240" w:lineRule="auto"/>
        <w:rPr>
          <w:i/>
          <w:lang w:val="sk-SK" w:eastAsia="sk-SK"/>
        </w:rPr>
      </w:pPr>
      <w:r w:rsidRPr="006E1548">
        <w:rPr>
          <w:i/>
          <w:lang w:val="sk-SK" w:eastAsia="sk-SK"/>
        </w:rPr>
        <w:t>Hypertenzia:</w:t>
      </w:r>
    </w:p>
    <w:p w:rsidR="008D03A7" w:rsidRPr="006E1548" w:rsidRDefault="008D03A7" w:rsidP="008D03A7">
      <w:pPr>
        <w:spacing w:line="240" w:lineRule="auto"/>
        <w:rPr>
          <w:lang w:val="sk-SK" w:eastAsia="sk-SK"/>
        </w:rPr>
      </w:pPr>
      <w:r w:rsidRPr="006E1548">
        <w:rPr>
          <w:lang w:val="sk-SK" w:eastAsia="sk-SK"/>
        </w:rPr>
        <w:t>Perindopril je účinný pri všetkých stupňoch hypertenzie: miernej, stredne ťažkej, ťažkej; pozoruje sa zníženie systolického a diastolického krvného tlaku v polohe ležmo aj v stoji.</w:t>
      </w:r>
    </w:p>
    <w:p w:rsidR="008D03A7" w:rsidRPr="006E1548" w:rsidRDefault="008D03A7" w:rsidP="008D03A7">
      <w:pPr>
        <w:spacing w:line="240" w:lineRule="auto"/>
        <w:rPr>
          <w:lang w:val="sk-SK" w:eastAsia="sk-SK"/>
        </w:rPr>
      </w:pPr>
      <w:r w:rsidRPr="006E1548">
        <w:rPr>
          <w:lang w:val="sk-SK" w:eastAsia="sk-SK"/>
        </w:rPr>
        <w:t>Perindopril znižuje periférnu cievnu rezistenciu, čo vedie k zníženiu krvného tlaku. Dôsledkom toho sa zvyšuje periférny prietok krvi bez ovplyvnenia srdcovej frekvencie.</w:t>
      </w:r>
    </w:p>
    <w:p w:rsidR="008D03A7" w:rsidRPr="006E1548" w:rsidRDefault="008D03A7" w:rsidP="008D03A7">
      <w:pPr>
        <w:spacing w:line="240" w:lineRule="auto"/>
        <w:rPr>
          <w:lang w:val="sk-SK" w:eastAsia="sk-SK"/>
        </w:rPr>
      </w:pPr>
      <w:r w:rsidRPr="006E1548">
        <w:rPr>
          <w:lang w:val="sk-SK" w:eastAsia="sk-SK"/>
        </w:rPr>
        <w:t xml:space="preserve">Spravidla sa zvyšuje prietok krvi obličkami, kým rýchlosť glomerulárnej filtrácie (GFR) </w:t>
      </w:r>
      <w:r w:rsidR="00551E8D" w:rsidRPr="006E1548">
        <w:rPr>
          <w:lang w:val="sk-SK" w:eastAsia="sk-SK"/>
        </w:rPr>
        <w:t>je</w:t>
      </w:r>
      <w:r w:rsidRPr="006E1548">
        <w:rPr>
          <w:lang w:val="sk-SK" w:eastAsia="sk-SK"/>
        </w:rPr>
        <w:t xml:space="preserve"> zvyčajne ne</w:t>
      </w:r>
      <w:r w:rsidR="00551E8D" w:rsidRPr="006E1548">
        <w:rPr>
          <w:lang w:val="sk-SK" w:eastAsia="sk-SK"/>
        </w:rPr>
        <w:t>zmenená</w:t>
      </w:r>
      <w:r w:rsidRPr="006E1548">
        <w:rPr>
          <w:lang w:val="sk-SK" w:eastAsia="sk-SK"/>
        </w:rPr>
        <w:t>.</w:t>
      </w:r>
    </w:p>
    <w:p w:rsidR="00001353" w:rsidRPr="006E1548" w:rsidRDefault="00001353" w:rsidP="000F4A9B">
      <w:pPr>
        <w:spacing w:line="240" w:lineRule="auto"/>
        <w:rPr>
          <w:lang w:val="sk-SK" w:eastAsia="sk-SK"/>
        </w:rPr>
      </w:pPr>
    </w:p>
    <w:p w:rsidR="000F4A9B" w:rsidRPr="006E1548" w:rsidRDefault="000F4A9B" w:rsidP="000F4A9B">
      <w:pPr>
        <w:rPr>
          <w:szCs w:val="22"/>
          <w:u w:val="single"/>
          <w:lang w:val="sk-SK"/>
        </w:rPr>
      </w:pPr>
      <w:r w:rsidRPr="006E1548">
        <w:rPr>
          <w:szCs w:val="22"/>
          <w:u w:val="single"/>
          <w:lang w:val="sk-SK"/>
        </w:rPr>
        <w:t>Klinická účinnosť a</w:t>
      </w:r>
      <w:r w:rsidR="00324AEB" w:rsidRPr="006E1548">
        <w:rPr>
          <w:szCs w:val="22"/>
          <w:u w:val="single"/>
          <w:lang w:val="sk-SK"/>
        </w:rPr>
        <w:t> </w:t>
      </w:r>
      <w:r w:rsidRPr="006E1548">
        <w:rPr>
          <w:szCs w:val="22"/>
          <w:u w:val="single"/>
          <w:lang w:val="sk-SK"/>
        </w:rPr>
        <w:t>bezpečnosť</w:t>
      </w:r>
    </w:p>
    <w:p w:rsidR="00324AEB" w:rsidRPr="006E1548" w:rsidRDefault="00324AEB" w:rsidP="000F4A9B">
      <w:pPr>
        <w:rPr>
          <w:szCs w:val="22"/>
          <w:u w:val="single"/>
          <w:lang w:val="sk-SK"/>
        </w:rPr>
      </w:pPr>
    </w:p>
    <w:p w:rsidR="00324AEB" w:rsidRPr="006E1548" w:rsidRDefault="00324AEB" w:rsidP="000F4A9B">
      <w:pPr>
        <w:rPr>
          <w:b/>
          <w:i/>
          <w:szCs w:val="22"/>
          <w:lang w:val="sk-SK"/>
        </w:rPr>
      </w:pPr>
      <w:r w:rsidRPr="006E1548">
        <w:rPr>
          <w:b/>
          <w:i/>
          <w:szCs w:val="22"/>
          <w:lang w:val="sk-SK"/>
        </w:rPr>
        <w:t>Bisoprolol</w:t>
      </w:r>
    </w:p>
    <w:p w:rsidR="00324AEB" w:rsidRPr="006E1548" w:rsidRDefault="00324AEB" w:rsidP="000F4A9B">
      <w:pPr>
        <w:rPr>
          <w:szCs w:val="22"/>
          <w:u w:val="single"/>
          <w:lang w:val="sk-SK"/>
        </w:rPr>
      </w:pPr>
    </w:p>
    <w:p w:rsidR="00324AEB" w:rsidRPr="006E1548" w:rsidRDefault="00324AEB" w:rsidP="000F4A9B">
      <w:pPr>
        <w:rPr>
          <w:szCs w:val="22"/>
          <w:lang w:val="sk-SK"/>
        </w:rPr>
      </w:pPr>
      <w:r w:rsidRPr="006E1548">
        <w:rPr>
          <w:szCs w:val="22"/>
          <w:lang w:val="sk-SK"/>
        </w:rPr>
        <w:t>Celkovo 2 647 pacientov bolo za</w:t>
      </w:r>
      <w:r w:rsidR="00CD638E" w:rsidRPr="006E1548">
        <w:rPr>
          <w:szCs w:val="22"/>
          <w:lang w:val="sk-SK"/>
        </w:rPr>
        <w:t>radených</w:t>
      </w:r>
      <w:r w:rsidRPr="006E1548">
        <w:rPr>
          <w:szCs w:val="22"/>
          <w:lang w:val="sk-SK"/>
        </w:rPr>
        <w:t xml:space="preserve"> </w:t>
      </w:r>
      <w:r w:rsidR="00CD638E" w:rsidRPr="006E1548">
        <w:rPr>
          <w:szCs w:val="22"/>
          <w:lang w:val="sk-SK"/>
        </w:rPr>
        <w:t>d</w:t>
      </w:r>
      <w:r w:rsidRPr="006E1548">
        <w:rPr>
          <w:szCs w:val="22"/>
          <w:lang w:val="sk-SK"/>
        </w:rPr>
        <w:t>o štúdie CIBIS II. 83 % (n = 2 202) bolo v NYHA triede III a 17 % (n = 445) bolo v NYHA triede I</w:t>
      </w:r>
      <w:r w:rsidR="0061779E" w:rsidRPr="006E1548">
        <w:rPr>
          <w:szCs w:val="22"/>
          <w:lang w:val="sk-SK"/>
        </w:rPr>
        <w:t xml:space="preserve">V. </w:t>
      </w:r>
      <w:r w:rsidR="00CA3A81" w:rsidRPr="006E1548">
        <w:rPr>
          <w:szCs w:val="22"/>
          <w:lang w:val="sk-SK"/>
        </w:rPr>
        <w:t>Pacienti mali</w:t>
      </w:r>
      <w:r w:rsidR="0061779E" w:rsidRPr="006E1548">
        <w:rPr>
          <w:szCs w:val="22"/>
          <w:lang w:val="sk-SK"/>
        </w:rPr>
        <w:t xml:space="preserve"> stabilné </w:t>
      </w:r>
      <w:r w:rsidR="00CA3A81" w:rsidRPr="006E1548">
        <w:rPr>
          <w:szCs w:val="22"/>
          <w:lang w:val="sk-SK"/>
        </w:rPr>
        <w:t>s</w:t>
      </w:r>
      <w:r w:rsidR="0061779E" w:rsidRPr="006E1548">
        <w:rPr>
          <w:szCs w:val="22"/>
          <w:lang w:val="sk-SK"/>
        </w:rPr>
        <w:t>ymptomatické systolické srdcové zlyhávanie (ejekčná frakcia</w:t>
      </w:r>
      <w:r w:rsidR="00CD638E" w:rsidRPr="006E1548">
        <w:rPr>
          <w:szCs w:val="22"/>
          <w:lang w:val="sk-SK"/>
        </w:rPr>
        <w:t xml:space="preserve"> &lt; 35 %</w:t>
      </w:r>
      <w:r w:rsidR="00CA3A81" w:rsidRPr="006E1548">
        <w:rPr>
          <w:szCs w:val="22"/>
          <w:lang w:val="sk-SK"/>
        </w:rPr>
        <w:t xml:space="preserve"> na základe echokardiografie). Celková mortalita </w:t>
      </w:r>
      <w:r w:rsidR="00CD638E" w:rsidRPr="006E1548">
        <w:rPr>
          <w:szCs w:val="22"/>
          <w:lang w:val="sk-SK"/>
        </w:rPr>
        <w:t>sa</w:t>
      </w:r>
      <w:r w:rsidR="00CA3A81" w:rsidRPr="006E1548">
        <w:rPr>
          <w:szCs w:val="22"/>
          <w:lang w:val="sk-SK"/>
        </w:rPr>
        <w:t xml:space="preserve"> zníž</w:t>
      </w:r>
      <w:r w:rsidR="00CD638E" w:rsidRPr="006E1548">
        <w:rPr>
          <w:szCs w:val="22"/>
          <w:lang w:val="sk-SK"/>
        </w:rPr>
        <w:t>ila</w:t>
      </w:r>
      <w:r w:rsidR="00CA3A81" w:rsidRPr="006E1548">
        <w:rPr>
          <w:szCs w:val="22"/>
          <w:lang w:val="sk-SK"/>
        </w:rPr>
        <w:t xml:space="preserve"> zo 17,3</w:t>
      </w:r>
      <w:r w:rsidR="00CD638E" w:rsidRPr="006E1548">
        <w:rPr>
          <w:szCs w:val="22"/>
          <w:lang w:val="sk-SK"/>
        </w:rPr>
        <w:t> </w:t>
      </w:r>
      <w:r w:rsidR="00CA3A81" w:rsidRPr="006E1548">
        <w:rPr>
          <w:szCs w:val="22"/>
          <w:lang w:val="sk-SK"/>
        </w:rPr>
        <w:t xml:space="preserve">% na 11,8 % (relatívne zníženie o 34 </w:t>
      </w:r>
      <w:r w:rsidR="00BB06DB" w:rsidRPr="006E1548">
        <w:rPr>
          <w:szCs w:val="22"/>
          <w:lang w:val="sk-SK"/>
        </w:rPr>
        <w:t xml:space="preserve">%). </w:t>
      </w:r>
      <w:r w:rsidR="004A3856" w:rsidRPr="006E1548">
        <w:rPr>
          <w:szCs w:val="22"/>
          <w:lang w:val="sk-SK"/>
        </w:rPr>
        <w:t>Pozoroval sa p</w:t>
      </w:r>
      <w:r w:rsidR="00BB06DB" w:rsidRPr="006E1548">
        <w:rPr>
          <w:szCs w:val="22"/>
          <w:lang w:val="sk-SK"/>
        </w:rPr>
        <w:t>okles náhl</w:t>
      </w:r>
      <w:r w:rsidR="00CD638E" w:rsidRPr="006E1548">
        <w:rPr>
          <w:szCs w:val="22"/>
          <w:lang w:val="sk-SK"/>
        </w:rPr>
        <w:t>ych</w:t>
      </w:r>
      <w:r w:rsidR="00BB06DB" w:rsidRPr="006E1548">
        <w:rPr>
          <w:szCs w:val="22"/>
          <w:lang w:val="sk-SK"/>
        </w:rPr>
        <w:t xml:space="preserve"> </w:t>
      </w:r>
      <w:r w:rsidR="00CD638E" w:rsidRPr="006E1548">
        <w:rPr>
          <w:szCs w:val="22"/>
          <w:lang w:val="sk-SK"/>
        </w:rPr>
        <w:t>úmrtí</w:t>
      </w:r>
      <w:r w:rsidR="00BB06DB" w:rsidRPr="006E1548">
        <w:rPr>
          <w:szCs w:val="22"/>
          <w:lang w:val="sk-SK"/>
        </w:rPr>
        <w:t xml:space="preserve"> </w:t>
      </w:r>
      <w:r w:rsidR="004A3856" w:rsidRPr="006E1548">
        <w:rPr>
          <w:szCs w:val="22"/>
          <w:lang w:val="sk-SK"/>
        </w:rPr>
        <w:t>(3,6 % vs</w:t>
      </w:r>
      <w:r w:rsidR="00320776" w:rsidRPr="006E1548">
        <w:rPr>
          <w:szCs w:val="22"/>
          <w:lang w:val="sk-SK"/>
        </w:rPr>
        <w:t>.</w:t>
      </w:r>
      <w:r w:rsidR="004A3856" w:rsidRPr="006E1548">
        <w:rPr>
          <w:szCs w:val="22"/>
          <w:lang w:val="sk-SK"/>
        </w:rPr>
        <w:t xml:space="preserve"> 6,3 %, </w:t>
      </w:r>
      <w:r w:rsidR="004A3856" w:rsidRPr="006E1548">
        <w:rPr>
          <w:szCs w:val="22"/>
          <w:lang w:val="sk-SK"/>
        </w:rPr>
        <w:lastRenderedPageBreak/>
        <w:t xml:space="preserve">relatívne zníženie </w:t>
      </w:r>
      <w:r w:rsidR="00CD638E" w:rsidRPr="006E1548">
        <w:rPr>
          <w:szCs w:val="22"/>
          <w:lang w:val="sk-SK"/>
        </w:rPr>
        <w:t xml:space="preserve">o </w:t>
      </w:r>
      <w:r w:rsidR="004A3856" w:rsidRPr="006E1548">
        <w:rPr>
          <w:szCs w:val="22"/>
          <w:lang w:val="sk-SK"/>
        </w:rPr>
        <w:t xml:space="preserve">44 %) a znížený počet epizód srdcového zlyhávania vyžadujúcich hospitalizáciu (12 % vs 17,6 %, relatívne zníženie </w:t>
      </w:r>
      <w:r w:rsidR="000A7A9D" w:rsidRPr="006E1548">
        <w:rPr>
          <w:szCs w:val="22"/>
          <w:lang w:val="sk-SK"/>
        </w:rPr>
        <w:t xml:space="preserve">o </w:t>
      </w:r>
      <w:r w:rsidR="004A3856" w:rsidRPr="006E1548">
        <w:rPr>
          <w:szCs w:val="22"/>
          <w:lang w:val="sk-SK"/>
        </w:rPr>
        <w:t xml:space="preserve">36 %). </w:t>
      </w:r>
      <w:r w:rsidR="000A7A9D" w:rsidRPr="006E1548">
        <w:rPr>
          <w:szCs w:val="22"/>
          <w:lang w:val="sk-SK"/>
        </w:rPr>
        <w:t>Okrem toho</w:t>
      </w:r>
      <w:r w:rsidR="004A3856" w:rsidRPr="006E1548">
        <w:rPr>
          <w:szCs w:val="22"/>
          <w:lang w:val="sk-SK"/>
        </w:rPr>
        <w:t xml:space="preserve"> sa preukázalo významné zlepšenie funkčného stavu podľa NYHA klasifikácie.</w:t>
      </w:r>
      <w:r w:rsidR="000A7A9D" w:rsidRPr="006E1548">
        <w:rPr>
          <w:szCs w:val="22"/>
          <w:lang w:val="sk-SK"/>
        </w:rPr>
        <w:t xml:space="preserve"> </w:t>
      </w:r>
      <w:r w:rsidR="004A3856" w:rsidRPr="006E1548">
        <w:rPr>
          <w:szCs w:val="22"/>
          <w:lang w:val="sk-SK"/>
        </w:rPr>
        <w:t xml:space="preserve">Počas začatia liečby a titrácie </w:t>
      </w:r>
      <w:r w:rsidR="0037756E" w:rsidRPr="006E1548">
        <w:rPr>
          <w:szCs w:val="22"/>
          <w:lang w:val="sk-SK"/>
        </w:rPr>
        <w:t>bisoprololu sa pozorovali hospitalizácie</w:t>
      </w:r>
      <w:r w:rsidR="004A3856" w:rsidRPr="006E1548">
        <w:rPr>
          <w:szCs w:val="22"/>
          <w:lang w:val="sk-SK"/>
        </w:rPr>
        <w:t xml:space="preserve"> kvôli bradykardii (0,53 %), hypotenzii (0,23</w:t>
      </w:r>
      <w:r w:rsidR="00CD638E" w:rsidRPr="006E1548">
        <w:rPr>
          <w:szCs w:val="22"/>
          <w:lang w:val="sk-SK"/>
        </w:rPr>
        <w:t xml:space="preserve"> </w:t>
      </w:r>
      <w:r w:rsidR="004A3856" w:rsidRPr="006E1548">
        <w:rPr>
          <w:szCs w:val="22"/>
          <w:lang w:val="sk-SK"/>
        </w:rPr>
        <w:t>%) a akútnej dekompenzácii</w:t>
      </w:r>
      <w:r w:rsidR="00001353" w:rsidRPr="006E1548">
        <w:rPr>
          <w:szCs w:val="22"/>
          <w:lang w:val="sk-SK"/>
        </w:rPr>
        <w:t xml:space="preserve"> (4,97 %)</w:t>
      </w:r>
      <w:r w:rsidR="0037756E" w:rsidRPr="006E1548">
        <w:rPr>
          <w:szCs w:val="22"/>
          <w:lang w:val="sk-SK"/>
        </w:rPr>
        <w:t>, ale neboli častejšie ako v skupine s placebom (0 %, 0,3 % a 6,74 %). Počet fatálnych a </w:t>
      </w:r>
      <w:proofErr w:type="spellStart"/>
      <w:r w:rsidR="006E1548" w:rsidRPr="006E1548">
        <w:rPr>
          <w:lang w:val="sk-SK"/>
        </w:rPr>
        <w:t>invalidizujúcich</w:t>
      </w:r>
      <w:proofErr w:type="spellEnd"/>
      <w:r w:rsidR="0037756E" w:rsidRPr="006E1548">
        <w:rPr>
          <w:szCs w:val="22"/>
          <w:lang w:val="sk-SK"/>
        </w:rPr>
        <w:t xml:space="preserve"> cievnych mozgových príhod</w:t>
      </w:r>
      <w:r w:rsidR="000A7A9D" w:rsidRPr="006E1548">
        <w:rPr>
          <w:szCs w:val="22"/>
          <w:lang w:val="sk-SK"/>
        </w:rPr>
        <w:t xml:space="preserve"> </w:t>
      </w:r>
      <w:r w:rsidR="0037756E" w:rsidRPr="006E1548">
        <w:rPr>
          <w:szCs w:val="22"/>
          <w:lang w:val="sk-SK"/>
        </w:rPr>
        <w:t>počas cel</w:t>
      </w:r>
      <w:r w:rsidR="000A7A9D" w:rsidRPr="006E1548">
        <w:rPr>
          <w:szCs w:val="22"/>
          <w:lang w:val="sk-SK"/>
        </w:rPr>
        <w:t>e</w:t>
      </w:r>
      <w:r w:rsidR="0037756E" w:rsidRPr="006E1548">
        <w:rPr>
          <w:szCs w:val="22"/>
          <w:lang w:val="sk-SK"/>
        </w:rPr>
        <w:t>j doby štúdie bol 20 v skupine s bisoprololom a 15 v skupine s placebom.</w:t>
      </w:r>
    </w:p>
    <w:p w:rsidR="0037756E" w:rsidRPr="006E1548" w:rsidRDefault="0037756E" w:rsidP="000F4A9B">
      <w:pPr>
        <w:rPr>
          <w:szCs w:val="22"/>
          <w:lang w:val="sk-SK"/>
        </w:rPr>
      </w:pPr>
    </w:p>
    <w:p w:rsidR="0037756E" w:rsidRPr="006E1548" w:rsidRDefault="0037756E" w:rsidP="000F4A9B">
      <w:pPr>
        <w:rPr>
          <w:szCs w:val="22"/>
          <w:lang w:val="sk-SK"/>
        </w:rPr>
      </w:pPr>
      <w:r w:rsidRPr="006E1548">
        <w:rPr>
          <w:szCs w:val="22"/>
          <w:lang w:val="sk-SK"/>
        </w:rPr>
        <w:t>Štúdia CIBIS III sledovala 1 010 pacientov vo veku ≥ 65 rokov s miernym alebo stredne ťažkým chronickým srdcovým zlyhávaním (SZ; NYHA trieda II alebo III) a e</w:t>
      </w:r>
      <w:r w:rsidR="00F05BBB" w:rsidRPr="006E1548">
        <w:rPr>
          <w:szCs w:val="22"/>
          <w:lang w:val="sk-SK"/>
        </w:rPr>
        <w:t>jekčnou frakciou ľavej komory ≤ </w:t>
      </w:r>
      <w:r w:rsidRPr="006E1548">
        <w:rPr>
          <w:szCs w:val="22"/>
          <w:lang w:val="sk-SK"/>
        </w:rPr>
        <w:t xml:space="preserve">35 %, ktorí </w:t>
      </w:r>
      <w:r w:rsidR="00EC3E1E" w:rsidRPr="006E1548">
        <w:rPr>
          <w:szCs w:val="22"/>
          <w:lang w:val="sk-SK"/>
        </w:rPr>
        <w:t>predtým neboli liečení inhibítormi ACE, betablokátormi alebo blokátormi receptora angiotenzínu. Pacienti boli liečení kombináciou bisoprolol a enalapril počas 6 až 24 mesiacov po začiatočnej 6 mesačnej liečbe buď bisoprololom</w:t>
      </w:r>
      <w:r w:rsidR="00F05BBB" w:rsidRPr="006E1548">
        <w:rPr>
          <w:szCs w:val="22"/>
          <w:lang w:val="sk-SK"/>
        </w:rPr>
        <w:t>,</w:t>
      </w:r>
      <w:r w:rsidR="00EC3E1E" w:rsidRPr="006E1548">
        <w:rPr>
          <w:szCs w:val="22"/>
          <w:lang w:val="sk-SK"/>
        </w:rPr>
        <w:t xml:space="preserve"> alebo enalaprilom.</w:t>
      </w:r>
    </w:p>
    <w:p w:rsidR="00324AEB" w:rsidRPr="006E1548" w:rsidRDefault="00F05BBB" w:rsidP="000F4A9B">
      <w:pPr>
        <w:rPr>
          <w:szCs w:val="22"/>
          <w:lang w:val="sk-SK"/>
        </w:rPr>
      </w:pPr>
      <w:r w:rsidRPr="006E1548">
        <w:rPr>
          <w:szCs w:val="22"/>
          <w:lang w:val="sk-SK"/>
        </w:rPr>
        <w:t>K</w:t>
      </w:r>
      <w:r w:rsidR="00EC3E1E" w:rsidRPr="006E1548">
        <w:rPr>
          <w:szCs w:val="22"/>
          <w:lang w:val="sk-SK"/>
        </w:rPr>
        <w:t>eď sa bisoprolol použil a</w:t>
      </w:r>
      <w:r w:rsidR="00C028AB" w:rsidRPr="006E1548">
        <w:rPr>
          <w:szCs w:val="22"/>
          <w:lang w:val="sk-SK"/>
        </w:rPr>
        <w:t>ko začiatočná 6 mesačná liečba</w:t>
      </w:r>
      <w:r w:rsidRPr="006E1548">
        <w:rPr>
          <w:szCs w:val="22"/>
          <w:lang w:val="sk-SK"/>
        </w:rPr>
        <w:t xml:space="preserve"> bol sklon k vyššej frekvencii zhoršenia chronického srdcového zlyhávania</w:t>
      </w:r>
      <w:r w:rsidR="00C028AB" w:rsidRPr="006E1548">
        <w:rPr>
          <w:szCs w:val="22"/>
          <w:lang w:val="sk-SK"/>
        </w:rPr>
        <w:t>. Nebol</w:t>
      </w:r>
      <w:r w:rsidR="00D721D3" w:rsidRPr="006E1548">
        <w:rPr>
          <w:szCs w:val="22"/>
          <w:lang w:val="sk-SK"/>
        </w:rPr>
        <w:t>i</w:t>
      </w:r>
      <w:r w:rsidR="00C028AB" w:rsidRPr="006E1548">
        <w:rPr>
          <w:szCs w:val="22"/>
          <w:lang w:val="sk-SK"/>
        </w:rPr>
        <w:t xml:space="preserve"> dokázan</w:t>
      </w:r>
      <w:r w:rsidR="00D721D3" w:rsidRPr="006E1548">
        <w:rPr>
          <w:szCs w:val="22"/>
          <w:lang w:val="sk-SK"/>
        </w:rPr>
        <w:t>é</w:t>
      </w:r>
      <w:r w:rsidR="00C028AB" w:rsidRPr="006E1548">
        <w:rPr>
          <w:szCs w:val="22"/>
          <w:lang w:val="sk-SK"/>
        </w:rPr>
        <w:t xml:space="preserve"> </w:t>
      </w:r>
      <w:r w:rsidR="00D721D3" w:rsidRPr="006E1548">
        <w:rPr>
          <w:szCs w:val="22"/>
          <w:lang w:val="sk-SK"/>
        </w:rPr>
        <w:t>horšie výsledky</w:t>
      </w:r>
      <w:r w:rsidR="00C028AB" w:rsidRPr="006E1548">
        <w:rPr>
          <w:szCs w:val="22"/>
          <w:lang w:val="sk-SK"/>
        </w:rPr>
        <w:t xml:space="preserve"> l</w:t>
      </w:r>
      <w:r w:rsidR="000A7A9D" w:rsidRPr="006E1548">
        <w:rPr>
          <w:szCs w:val="22"/>
          <w:lang w:val="sk-SK"/>
        </w:rPr>
        <w:t>i</w:t>
      </w:r>
      <w:r w:rsidR="00D721D3" w:rsidRPr="006E1548">
        <w:rPr>
          <w:szCs w:val="22"/>
          <w:lang w:val="sk-SK"/>
        </w:rPr>
        <w:t xml:space="preserve">ečby </w:t>
      </w:r>
      <w:proofErr w:type="spellStart"/>
      <w:r w:rsidR="00C028AB" w:rsidRPr="006E1548">
        <w:rPr>
          <w:szCs w:val="22"/>
          <w:lang w:val="sk-SK"/>
        </w:rPr>
        <w:t>bisoprolol</w:t>
      </w:r>
      <w:r w:rsidR="00320776" w:rsidRPr="006E1548">
        <w:rPr>
          <w:szCs w:val="22"/>
          <w:lang w:val="sk-SK"/>
        </w:rPr>
        <w:t>o</w:t>
      </w:r>
      <w:r w:rsidR="00C028AB" w:rsidRPr="006E1548">
        <w:rPr>
          <w:szCs w:val="22"/>
          <w:lang w:val="sk-SK"/>
        </w:rPr>
        <w:t>m</w:t>
      </w:r>
      <w:proofErr w:type="spellEnd"/>
      <w:r w:rsidR="00001353" w:rsidRPr="006E1548">
        <w:rPr>
          <w:szCs w:val="22"/>
          <w:lang w:val="sk-SK"/>
        </w:rPr>
        <w:t xml:space="preserve"> ako prvým liekom</w:t>
      </w:r>
      <w:r w:rsidR="00C028AB" w:rsidRPr="006E1548">
        <w:rPr>
          <w:szCs w:val="22"/>
          <w:lang w:val="sk-SK"/>
        </w:rPr>
        <w:t xml:space="preserve"> verzus </w:t>
      </w:r>
      <w:proofErr w:type="spellStart"/>
      <w:r w:rsidR="00C028AB" w:rsidRPr="006E1548">
        <w:rPr>
          <w:szCs w:val="22"/>
          <w:lang w:val="sk-SK"/>
        </w:rPr>
        <w:t>enalaprilom</w:t>
      </w:r>
      <w:proofErr w:type="spellEnd"/>
      <w:r w:rsidR="00001353" w:rsidRPr="006E1548">
        <w:rPr>
          <w:szCs w:val="22"/>
          <w:lang w:val="sk-SK"/>
        </w:rPr>
        <w:t xml:space="preserve"> ako prvým liekom</w:t>
      </w:r>
      <w:r w:rsidR="00C028AB" w:rsidRPr="006E1548">
        <w:rPr>
          <w:szCs w:val="22"/>
          <w:lang w:val="sk-SK"/>
        </w:rPr>
        <w:t xml:space="preserve"> v analýze </w:t>
      </w:r>
      <w:r w:rsidR="00D721D3" w:rsidRPr="006E1548">
        <w:rPr>
          <w:szCs w:val="22"/>
          <w:lang w:val="sk-SK"/>
        </w:rPr>
        <w:t>„</w:t>
      </w:r>
      <w:r w:rsidR="00C028AB" w:rsidRPr="006E1548">
        <w:rPr>
          <w:szCs w:val="22"/>
          <w:lang w:val="sk-SK"/>
        </w:rPr>
        <w:t>p</w:t>
      </w:r>
      <w:r w:rsidR="00D721D3" w:rsidRPr="006E1548">
        <w:rPr>
          <w:szCs w:val="22"/>
          <w:lang w:val="sk-SK"/>
        </w:rPr>
        <w:t>er</w:t>
      </w:r>
      <w:r w:rsidR="00C028AB" w:rsidRPr="006E1548">
        <w:rPr>
          <w:szCs w:val="22"/>
          <w:lang w:val="sk-SK"/>
        </w:rPr>
        <w:t xml:space="preserve"> protokol</w:t>
      </w:r>
      <w:r w:rsidR="00D721D3" w:rsidRPr="006E1548">
        <w:rPr>
          <w:szCs w:val="22"/>
          <w:lang w:val="sk-SK"/>
        </w:rPr>
        <w:t>“</w:t>
      </w:r>
      <w:r w:rsidR="00C028AB" w:rsidRPr="006E1548">
        <w:rPr>
          <w:szCs w:val="22"/>
          <w:lang w:val="sk-SK"/>
        </w:rPr>
        <w:t xml:space="preserve">, </w:t>
      </w:r>
      <w:r w:rsidR="000A7A9D" w:rsidRPr="006E1548">
        <w:rPr>
          <w:szCs w:val="22"/>
          <w:lang w:val="sk-SK"/>
        </w:rPr>
        <w:t>obe</w:t>
      </w:r>
      <w:r w:rsidR="00C028AB" w:rsidRPr="006E1548">
        <w:rPr>
          <w:szCs w:val="22"/>
          <w:lang w:val="sk-SK"/>
        </w:rPr>
        <w:t xml:space="preserve"> stratégie začatia liečby SZ</w:t>
      </w:r>
      <w:r w:rsidR="00320776" w:rsidRPr="006E1548">
        <w:rPr>
          <w:szCs w:val="22"/>
          <w:lang w:val="sk-SK"/>
        </w:rPr>
        <w:t xml:space="preserve"> preukázali podobné percento primárne kombinovaného cieľového ukazovateľa smrti a hospitalizácie na konci štúdie (32,4 % v skupine s </w:t>
      </w:r>
      <w:proofErr w:type="spellStart"/>
      <w:r w:rsidR="00320776" w:rsidRPr="006E1548">
        <w:rPr>
          <w:szCs w:val="22"/>
          <w:lang w:val="sk-SK"/>
        </w:rPr>
        <w:t>bisoprololom</w:t>
      </w:r>
      <w:proofErr w:type="spellEnd"/>
      <w:r w:rsidR="00001353" w:rsidRPr="006E1548">
        <w:rPr>
          <w:szCs w:val="22"/>
          <w:lang w:val="sk-SK"/>
        </w:rPr>
        <w:t xml:space="preserve"> ako prvým liekom</w:t>
      </w:r>
      <w:r w:rsidR="00320776" w:rsidRPr="006E1548">
        <w:rPr>
          <w:szCs w:val="22"/>
          <w:lang w:val="sk-SK"/>
        </w:rPr>
        <w:t xml:space="preserve"> vs. 33,1 % v skupine s </w:t>
      </w:r>
      <w:proofErr w:type="spellStart"/>
      <w:r w:rsidR="00320776" w:rsidRPr="006E1548">
        <w:rPr>
          <w:szCs w:val="22"/>
          <w:lang w:val="sk-SK"/>
        </w:rPr>
        <w:t>enalaprilom</w:t>
      </w:r>
      <w:proofErr w:type="spellEnd"/>
      <w:r w:rsidR="00001353" w:rsidRPr="006E1548">
        <w:rPr>
          <w:szCs w:val="22"/>
          <w:lang w:val="sk-SK"/>
        </w:rPr>
        <w:t xml:space="preserve"> ako prvým liekom</w:t>
      </w:r>
      <w:r w:rsidR="00320776" w:rsidRPr="006E1548">
        <w:rPr>
          <w:szCs w:val="22"/>
          <w:lang w:val="sk-SK"/>
        </w:rPr>
        <w:t xml:space="preserve">, populácia </w:t>
      </w:r>
      <w:r w:rsidR="00D721D3" w:rsidRPr="006E1548">
        <w:rPr>
          <w:szCs w:val="22"/>
          <w:lang w:val="sk-SK"/>
        </w:rPr>
        <w:t>„per protokol“</w:t>
      </w:r>
      <w:r w:rsidR="00320776" w:rsidRPr="006E1548">
        <w:rPr>
          <w:szCs w:val="22"/>
          <w:lang w:val="sk-SK"/>
        </w:rPr>
        <w:t>). Táto štúdia preukázala, že bisoprolol sa môže použiť aj u starších pacientov s miernym alebo stredne ťažkým chronickým srdcovým zlyhávaním.</w:t>
      </w:r>
    </w:p>
    <w:p w:rsidR="00324AEB" w:rsidRPr="006E1548" w:rsidRDefault="00324AEB" w:rsidP="000F4A9B">
      <w:pPr>
        <w:rPr>
          <w:szCs w:val="22"/>
          <w:u w:val="single"/>
          <w:lang w:val="sk-SK"/>
        </w:rPr>
      </w:pPr>
    </w:p>
    <w:p w:rsidR="00DC0017" w:rsidRPr="006E1548" w:rsidRDefault="00DC0017" w:rsidP="00F018A6">
      <w:pPr>
        <w:rPr>
          <w:b/>
          <w:i/>
          <w:szCs w:val="22"/>
          <w:lang w:val="sk-SK"/>
        </w:rPr>
      </w:pPr>
      <w:r w:rsidRPr="006E1548">
        <w:rPr>
          <w:b/>
          <w:i/>
          <w:szCs w:val="22"/>
          <w:lang w:val="sk-SK"/>
        </w:rPr>
        <w:t>Perindopril</w:t>
      </w:r>
    </w:p>
    <w:p w:rsidR="00993656" w:rsidRPr="006E1548" w:rsidRDefault="00993656" w:rsidP="00F018A6">
      <w:pPr>
        <w:rPr>
          <w:i/>
          <w:szCs w:val="22"/>
          <w:lang w:val="sk-SK"/>
        </w:rPr>
      </w:pPr>
    </w:p>
    <w:p w:rsidR="00E14E96" w:rsidRPr="006E1548" w:rsidRDefault="00E14E96" w:rsidP="00F018A6">
      <w:pPr>
        <w:rPr>
          <w:i/>
          <w:szCs w:val="22"/>
          <w:lang w:val="sk-SK"/>
        </w:rPr>
      </w:pPr>
      <w:r w:rsidRPr="006E1548">
        <w:rPr>
          <w:i/>
          <w:szCs w:val="22"/>
          <w:lang w:val="sk-SK"/>
        </w:rPr>
        <w:t>Hypertenzia</w:t>
      </w:r>
      <w:r w:rsidR="004E538B" w:rsidRPr="006E1548">
        <w:rPr>
          <w:i/>
          <w:szCs w:val="22"/>
          <w:lang w:val="sk-SK"/>
        </w:rPr>
        <w:t>:</w:t>
      </w:r>
    </w:p>
    <w:p w:rsidR="00993656" w:rsidRPr="006E1548" w:rsidRDefault="00993656" w:rsidP="00993656">
      <w:pPr>
        <w:spacing w:line="240" w:lineRule="auto"/>
        <w:rPr>
          <w:lang w:val="sk-SK" w:eastAsia="sk-SK"/>
        </w:rPr>
      </w:pPr>
      <w:r w:rsidRPr="006E1548">
        <w:rPr>
          <w:lang w:val="sk-SK" w:eastAsia="sk-SK"/>
        </w:rPr>
        <w:t>Perindopril je účinný pri všetkých stupňoch hypertenzie: miernej, stredne ťažkej, ťažkej; pozoruje sa zníženie systolického a diastolického krvného tlaku v polohe ležmo aj v stoji.</w:t>
      </w:r>
    </w:p>
    <w:p w:rsidR="00993656" w:rsidRPr="006E1548" w:rsidRDefault="00993656" w:rsidP="00993656">
      <w:pPr>
        <w:spacing w:line="240" w:lineRule="auto"/>
        <w:rPr>
          <w:lang w:val="sk-SK" w:eastAsia="sk-SK"/>
        </w:rPr>
      </w:pPr>
      <w:r w:rsidRPr="006E1548">
        <w:rPr>
          <w:lang w:val="sk-SK" w:eastAsia="sk-SK"/>
        </w:rPr>
        <w:t>Perindopril znižuje periférnu cievnu rezistenciu, čo vedie k zníženiu krvného tlaku. Dôsledkom toho sa zvyšuje periférny prietok krvi bez ovplyvnenia srdcovej frekvencie.</w:t>
      </w:r>
    </w:p>
    <w:p w:rsidR="00993656" w:rsidRPr="006E1548" w:rsidRDefault="00993656" w:rsidP="00993656">
      <w:pPr>
        <w:spacing w:line="240" w:lineRule="auto"/>
        <w:rPr>
          <w:lang w:val="sk-SK" w:eastAsia="sk-SK"/>
        </w:rPr>
      </w:pPr>
      <w:r w:rsidRPr="006E1548">
        <w:rPr>
          <w:lang w:val="sk-SK" w:eastAsia="sk-SK"/>
        </w:rPr>
        <w:t>Spravidla sa zvyšuje prietok krvi obličkami, kým rýchlosť glomerulárnej filtrácie (GFR) je zvyčajne nezmenená.</w:t>
      </w:r>
    </w:p>
    <w:p w:rsidR="00734462" w:rsidRPr="006E1548" w:rsidRDefault="00734462" w:rsidP="00734462">
      <w:pPr>
        <w:spacing w:line="240" w:lineRule="auto"/>
        <w:rPr>
          <w:lang w:val="sk-SK" w:eastAsia="sk-SK"/>
        </w:rPr>
      </w:pPr>
      <w:r w:rsidRPr="006E1548">
        <w:rPr>
          <w:lang w:val="sk-SK" w:eastAsia="sk-SK"/>
        </w:rPr>
        <w:t>Antihypertenzný účinok je maximálny medzi 4</w:t>
      </w:r>
      <w:r w:rsidR="001834A3" w:rsidRPr="006E1548">
        <w:rPr>
          <w:lang w:val="sk-SK" w:eastAsia="sk-SK"/>
        </w:rPr>
        <w:t>.</w:t>
      </w:r>
      <w:r w:rsidRPr="006E1548">
        <w:rPr>
          <w:lang w:val="sk-SK" w:eastAsia="sk-SK"/>
        </w:rPr>
        <w:t xml:space="preserve"> a 6</w:t>
      </w:r>
      <w:r w:rsidR="00056481" w:rsidRPr="006E1548">
        <w:rPr>
          <w:lang w:val="sk-SK" w:eastAsia="sk-SK"/>
        </w:rPr>
        <w:t>.</w:t>
      </w:r>
      <w:r w:rsidRPr="006E1548">
        <w:rPr>
          <w:lang w:val="sk-SK" w:eastAsia="sk-SK"/>
        </w:rPr>
        <w:t xml:space="preserve"> hodinou po </w:t>
      </w:r>
      <w:r w:rsidR="00993656" w:rsidRPr="006E1548">
        <w:rPr>
          <w:lang w:val="sk-SK" w:eastAsia="sk-SK"/>
        </w:rPr>
        <w:t>jednora</w:t>
      </w:r>
      <w:r w:rsidRPr="006E1548">
        <w:rPr>
          <w:lang w:val="sk-SK" w:eastAsia="sk-SK"/>
        </w:rPr>
        <w:t>zovej dávk</w:t>
      </w:r>
      <w:r w:rsidR="00993656" w:rsidRPr="006E1548">
        <w:rPr>
          <w:lang w:val="sk-SK" w:eastAsia="sk-SK"/>
        </w:rPr>
        <w:t>e</w:t>
      </w:r>
      <w:r w:rsidRPr="006E1548">
        <w:rPr>
          <w:lang w:val="sk-SK" w:eastAsia="sk-SK"/>
        </w:rPr>
        <w:t xml:space="preserve"> a pretrváva najmenej 24 hodín: účinok v čase minimálnej účinnosti predstavuje približne 87</w:t>
      </w:r>
      <w:r w:rsidR="00C87963" w:rsidRPr="006E1548">
        <w:rPr>
          <w:lang w:val="sk-SK" w:eastAsia="sk-SK"/>
        </w:rPr>
        <w:t xml:space="preserve"> </w:t>
      </w:r>
      <w:r w:rsidRPr="006E1548">
        <w:rPr>
          <w:lang w:val="sk-SK" w:eastAsia="sk-SK"/>
        </w:rPr>
        <w:t>–</w:t>
      </w:r>
      <w:r w:rsidR="00C87963" w:rsidRPr="006E1548">
        <w:rPr>
          <w:lang w:val="sk-SK" w:eastAsia="sk-SK"/>
        </w:rPr>
        <w:t xml:space="preserve"> </w:t>
      </w:r>
      <w:r w:rsidRPr="006E1548">
        <w:rPr>
          <w:lang w:val="sk-SK" w:eastAsia="sk-SK"/>
        </w:rPr>
        <w:t>100 % účinku v čase maximálnej účinnosti.</w:t>
      </w:r>
    </w:p>
    <w:p w:rsidR="00734462" w:rsidRPr="006E1548" w:rsidRDefault="00734462" w:rsidP="00734462">
      <w:pPr>
        <w:spacing w:line="240" w:lineRule="auto"/>
        <w:rPr>
          <w:lang w:val="sk-SK" w:eastAsia="sk-SK"/>
        </w:rPr>
      </w:pPr>
      <w:r w:rsidRPr="006E1548">
        <w:rPr>
          <w:lang w:val="sk-SK" w:eastAsia="sk-SK"/>
        </w:rPr>
        <w:t>Zníženie krvného tlaku prichádza rýchlo. U reagujúcich pacientov sa normalizácia dosiahne v priebehu jedného mesiaca a pretrváva bez výskytu tachyfylaxie.</w:t>
      </w:r>
    </w:p>
    <w:p w:rsidR="00734462" w:rsidRPr="006E1548" w:rsidRDefault="00734462" w:rsidP="00734462">
      <w:pPr>
        <w:spacing w:line="240" w:lineRule="auto"/>
        <w:rPr>
          <w:lang w:val="sk-SK" w:eastAsia="sk-SK"/>
        </w:rPr>
      </w:pPr>
      <w:r w:rsidRPr="006E1548">
        <w:rPr>
          <w:lang w:val="sk-SK" w:eastAsia="sk-SK"/>
        </w:rPr>
        <w:t>Ukončenie liečby nevedie k </w:t>
      </w:r>
      <w:r w:rsidRPr="006E1548">
        <w:rPr>
          <w:i/>
          <w:iCs/>
          <w:lang w:val="sk-SK" w:eastAsia="sk-SK"/>
        </w:rPr>
        <w:t>rebound</w:t>
      </w:r>
      <w:r w:rsidRPr="006E1548">
        <w:rPr>
          <w:lang w:val="sk-SK" w:eastAsia="sk-SK"/>
        </w:rPr>
        <w:t xml:space="preserve"> efektu.</w:t>
      </w:r>
    </w:p>
    <w:p w:rsidR="00734462" w:rsidRPr="006E1548" w:rsidRDefault="00734462" w:rsidP="00734462">
      <w:pPr>
        <w:spacing w:line="240" w:lineRule="auto"/>
        <w:rPr>
          <w:lang w:val="sk-SK" w:eastAsia="sk-SK"/>
        </w:rPr>
      </w:pPr>
      <w:r w:rsidRPr="006E1548">
        <w:rPr>
          <w:lang w:val="sk-SK" w:eastAsia="sk-SK"/>
        </w:rPr>
        <w:t>Perindopril redukuje hypertrofiu ľavej komory.</w:t>
      </w:r>
    </w:p>
    <w:p w:rsidR="00734462" w:rsidRPr="006E1548" w:rsidRDefault="00734462" w:rsidP="00734462">
      <w:pPr>
        <w:spacing w:line="240" w:lineRule="auto"/>
        <w:rPr>
          <w:lang w:val="sk-SK" w:eastAsia="sk-SK"/>
        </w:rPr>
      </w:pPr>
      <w:r w:rsidRPr="006E1548">
        <w:rPr>
          <w:lang w:val="sk-SK" w:eastAsia="sk-SK"/>
        </w:rPr>
        <w:t>U ľudí boli potvrdené vazodilatačné vlastnosti perindoprilu. Perindopril zlepšuje elasticitu veľkých artérií a znižuje pome</w:t>
      </w:r>
      <w:r w:rsidR="00B805FB" w:rsidRPr="006E1548">
        <w:rPr>
          <w:lang w:val="sk-SK" w:eastAsia="sk-SK"/>
        </w:rPr>
        <w:t>r me</w:t>
      </w:r>
      <w:r w:rsidRPr="006E1548">
        <w:rPr>
          <w:lang w:val="sk-SK" w:eastAsia="sk-SK"/>
        </w:rPr>
        <w:t>dia: lúmen malých artérií.</w:t>
      </w:r>
    </w:p>
    <w:p w:rsidR="00FA5CDF" w:rsidRPr="006E1548" w:rsidRDefault="00FA5CDF" w:rsidP="00FA5CDF">
      <w:pPr>
        <w:tabs>
          <w:tab w:val="left" w:pos="0"/>
          <w:tab w:val="left" w:pos="284"/>
        </w:tabs>
        <w:spacing w:line="240" w:lineRule="auto"/>
        <w:rPr>
          <w:szCs w:val="22"/>
          <w:lang w:val="sk-SK"/>
        </w:rPr>
      </w:pPr>
      <w:r w:rsidRPr="006E1548">
        <w:rPr>
          <w:szCs w:val="22"/>
          <w:lang w:val="sk-SK"/>
        </w:rPr>
        <w:t>Podporná liečba tiazidovým diuretikom vedie k aditívnej synergii. Kombinácia inhibítora ACE a tiazidu tiež znižuje riziko hypokaliémie navodenej diuretickou liečbou.</w:t>
      </w:r>
    </w:p>
    <w:p w:rsidR="00001353" w:rsidRPr="006E1548" w:rsidRDefault="00001353" w:rsidP="00734462">
      <w:pPr>
        <w:tabs>
          <w:tab w:val="left" w:pos="284"/>
        </w:tabs>
        <w:spacing w:line="240" w:lineRule="auto"/>
        <w:rPr>
          <w:lang w:val="sk-SK" w:eastAsia="sk-SK"/>
        </w:rPr>
      </w:pPr>
    </w:p>
    <w:p w:rsidR="00734462" w:rsidRPr="006E1548" w:rsidRDefault="00734462" w:rsidP="00734462">
      <w:pPr>
        <w:spacing w:line="240" w:lineRule="auto"/>
        <w:rPr>
          <w:i/>
          <w:lang w:val="sk-SK" w:eastAsia="sk-SK"/>
        </w:rPr>
      </w:pPr>
      <w:r w:rsidRPr="006E1548">
        <w:rPr>
          <w:i/>
          <w:lang w:val="sk-SK" w:eastAsia="sk-SK"/>
        </w:rPr>
        <w:t>Pacienti so stabilnou koronárnou chorobou srdca:</w:t>
      </w:r>
    </w:p>
    <w:p w:rsidR="00734462" w:rsidRPr="006E1548" w:rsidRDefault="00734462" w:rsidP="00876177">
      <w:pPr>
        <w:spacing w:line="240" w:lineRule="auto"/>
        <w:rPr>
          <w:lang w:val="sk-SK" w:eastAsia="sk-SK"/>
        </w:rPr>
      </w:pPr>
      <w:r w:rsidRPr="006E1548">
        <w:rPr>
          <w:lang w:val="sk-SK" w:eastAsia="sk-SK"/>
        </w:rPr>
        <w:t>Štúdia EUROPA bola multicentrická medzinárodná randomizovaná dvojito zaslepená placebom kontrolovaná klinická štúdia, ktorá trvala 4 roky.</w:t>
      </w:r>
    </w:p>
    <w:p w:rsidR="00734462" w:rsidRPr="006E1548" w:rsidRDefault="00734462" w:rsidP="00734462">
      <w:pPr>
        <w:spacing w:line="240" w:lineRule="auto"/>
        <w:rPr>
          <w:lang w:val="sk-SK" w:eastAsia="sk-SK"/>
        </w:rPr>
      </w:pPr>
      <w:r w:rsidRPr="006E1548">
        <w:rPr>
          <w:lang w:val="sk-SK" w:eastAsia="sk-SK"/>
        </w:rPr>
        <w:t>Dvanásťtisícdvestoosemnásť (12 218) pacientov vo veku nad 18 rokov bolo randomizovaných na 8 mg terc-butylamínovej soli perindoprilu (ekvivalentných s 10 mg perindopril</w:t>
      </w:r>
      <w:r w:rsidR="00F7044D" w:rsidRPr="006E1548">
        <w:rPr>
          <w:lang w:val="sk-SK" w:eastAsia="sk-SK"/>
        </w:rPr>
        <w:t>u</w:t>
      </w:r>
      <w:r w:rsidRPr="006E1548">
        <w:rPr>
          <w:lang w:val="sk-SK" w:eastAsia="sk-SK"/>
        </w:rPr>
        <w:t xml:space="preserve"> arginínu) (n = 6 </w:t>
      </w:r>
      <w:r w:rsidR="00F7044D" w:rsidRPr="006E1548">
        <w:rPr>
          <w:lang w:val="sk-SK" w:eastAsia="sk-SK"/>
        </w:rPr>
        <w:t>110) alebo placebo (n = 6 108).</w:t>
      </w:r>
    </w:p>
    <w:p w:rsidR="00734462" w:rsidRPr="006E1548" w:rsidRDefault="00734462" w:rsidP="00734462">
      <w:pPr>
        <w:spacing w:line="240" w:lineRule="auto"/>
        <w:rPr>
          <w:lang w:val="sk-SK" w:eastAsia="sk-SK"/>
        </w:rPr>
      </w:pPr>
      <w:r w:rsidRPr="006E1548">
        <w:rPr>
          <w:lang w:val="sk-SK" w:eastAsia="sk-SK"/>
        </w:rPr>
        <w:t xml:space="preserve">Populácia v štúdii mala potvrdenú </w:t>
      </w:r>
      <w:r w:rsidR="00AD4EDF" w:rsidRPr="006E1548">
        <w:rPr>
          <w:lang w:val="sk-SK" w:eastAsia="sk-SK"/>
        </w:rPr>
        <w:t>ischemickú</w:t>
      </w:r>
      <w:r w:rsidRPr="006E1548">
        <w:rPr>
          <w:lang w:val="sk-SK" w:eastAsia="sk-SK"/>
        </w:rPr>
        <w:t xml:space="preserve"> chorobu srdca bez klinických </w:t>
      </w:r>
      <w:r w:rsidR="00AD4EDF" w:rsidRPr="006E1548">
        <w:rPr>
          <w:lang w:val="sk-SK" w:eastAsia="sk-SK"/>
        </w:rPr>
        <w:t>prejavov</w:t>
      </w:r>
      <w:r w:rsidRPr="006E1548">
        <w:rPr>
          <w:lang w:val="sk-SK" w:eastAsia="sk-SK"/>
        </w:rPr>
        <w:t xml:space="preserve"> srdcového zlyh</w:t>
      </w:r>
      <w:r w:rsidR="008E43E9" w:rsidRPr="006E1548">
        <w:rPr>
          <w:lang w:val="sk-SK" w:eastAsia="sk-SK"/>
        </w:rPr>
        <w:t>áv</w:t>
      </w:r>
      <w:r w:rsidRPr="006E1548">
        <w:rPr>
          <w:lang w:val="sk-SK" w:eastAsia="sk-SK"/>
        </w:rPr>
        <w:t>ania. Celkovo 90 % pacientov prekonalo v minulosti infarkt myokardu a/alebo boli po koronárnej revaskularizácii. Väčšine pacientov bol skúšaný produkt pridaný ku konvenčnej liečbe zahŕňajúcej antiagregačné látky, hypolipidemiká a betablokátory.</w:t>
      </w:r>
    </w:p>
    <w:p w:rsidR="00734462" w:rsidRPr="006E1548" w:rsidRDefault="00734462" w:rsidP="00734462">
      <w:pPr>
        <w:spacing w:line="240" w:lineRule="auto"/>
        <w:rPr>
          <w:lang w:val="sk-SK" w:eastAsia="sk-SK"/>
        </w:rPr>
      </w:pPr>
      <w:r w:rsidRPr="006E1548">
        <w:rPr>
          <w:lang w:val="sk-SK" w:eastAsia="sk-SK"/>
        </w:rPr>
        <w:lastRenderedPageBreak/>
        <w:t xml:space="preserve">Hlavné hodnotiace kritérium účinnosti bol </w:t>
      </w:r>
      <w:r w:rsidR="000A7A9D" w:rsidRPr="006E1548">
        <w:rPr>
          <w:lang w:val="sk-SK" w:eastAsia="sk-SK"/>
        </w:rPr>
        <w:t>cieľ zložený z</w:t>
      </w:r>
      <w:r w:rsidRPr="006E1548">
        <w:rPr>
          <w:lang w:val="sk-SK" w:eastAsia="sk-SK"/>
        </w:rPr>
        <w:t xml:space="preserve"> </w:t>
      </w:r>
      <w:r w:rsidRPr="006E1548">
        <w:rPr>
          <w:lang w:val="sk-SK"/>
        </w:rPr>
        <w:t>kardiovaskulárnej mortality, nefatálneho infarktu myokardu a/alebo zastavenia srdca s úspešnou resuscitáciou. Liečba 8 mg terc-butylamínovej soli perindoprilu (</w:t>
      </w:r>
      <w:r w:rsidRPr="006E1548">
        <w:rPr>
          <w:lang w:val="sk-SK" w:eastAsia="sk-SK"/>
        </w:rPr>
        <w:t>ekvivalentných s </w:t>
      </w:r>
      <w:r w:rsidRPr="006E1548">
        <w:rPr>
          <w:lang w:val="sk-SK"/>
        </w:rPr>
        <w:t>10 </w:t>
      </w:r>
      <w:r w:rsidRPr="006E1548">
        <w:rPr>
          <w:lang w:val="sk-SK" w:eastAsia="sk-SK"/>
        </w:rPr>
        <w:t>mg perindopril</w:t>
      </w:r>
      <w:r w:rsidR="00F7044D" w:rsidRPr="006E1548">
        <w:rPr>
          <w:lang w:val="sk-SK" w:eastAsia="sk-SK"/>
        </w:rPr>
        <w:t>u</w:t>
      </w:r>
      <w:r w:rsidRPr="006E1548">
        <w:rPr>
          <w:lang w:val="sk-SK" w:eastAsia="sk-SK"/>
        </w:rPr>
        <w:t xml:space="preserve"> arginínu) raz denne viedla k </w:t>
      </w:r>
      <w:r w:rsidR="0064101D" w:rsidRPr="006E1548">
        <w:rPr>
          <w:lang w:val="sk-SK" w:eastAsia="sk-SK"/>
        </w:rPr>
        <w:t>v</w:t>
      </w:r>
      <w:r w:rsidR="00CF657E" w:rsidRPr="006E1548">
        <w:rPr>
          <w:lang w:val="sk-SK" w:eastAsia="sk-SK"/>
        </w:rPr>
        <w:t>ýznamnému</w:t>
      </w:r>
      <w:r w:rsidRPr="006E1548">
        <w:rPr>
          <w:lang w:val="sk-SK" w:eastAsia="sk-SK"/>
        </w:rPr>
        <w:t xml:space="preserve"> absolútnemu zníženiu primárneho cieľa o 1,9 % (zníženie relatívneho rizika o 20 %, 95 % I</w:t>
      </w:r>
      <w:r w:rsidR="008D6CDE" w:rsidRPr="006E1548">
        <w:rPr>
          <w:lang w:val="sk-SK" w:eastAsia="sk-SK"/>
        </w:rPr>
        <w:t>S</w:t>
      </w:r>
      <w:r w:rsidRPr="006E1548">
        <w:rPr>
          <w:lang w:val="sk-SK" w:eastAsia="sk-SK"/>
        </w:rPr>
        <w:t xml:space="preserve"> [9,4; 28,6] – p &lt; 0,001).</w:t>
      </w:r>
    </w:p>
    <w:p w:rsidR="00734462" w:rsidRPr="006E1548" w:rsidRDefault="00734462" w:rsidP="00734462">
      <w:pPr>
        <w:spacing w:line="240" w:lineRule="auto"/>
        <w:rPr>
          <w:lang w:val="sk-SK" w:eastAsia="sk-SK"/>
        </w:rPr>
      </w:pPr>
      <w:r w:rsidRPr="006E1548">
        <w:rPr>
          <w:lang w:val="sk-SK" w:eastAsia="sk-SK"/>
        </w:rPr>
        <w:t>U pacientov s infarktom myokardu a/alebo revaskularizáciou v anamnéze bolo v porovnaní s placebom pozorované absolútne zníženie primárneho cieľa o 2,2 % zodpovedajúce zníženiu relatívneho rizika (RRR) o 22,4 % (95 % I</w:t>
      </w:r>
      <w:r w:rsidR="008D6CDE" w:rsidRPr="006E1548">
        <w:rPr>
          <w:lang w:val="sk-SK" w:eastAsia="sk-SK"/>
        </w:rPr>
        <w:t>S</w:t>
      </w:r>
      <w:r w:rsidRPr="006E1548">
        <w:rPr>
          <w:lang w:val="sk-SK" w:eastAsia="sk-SK"/>
        </w:rPr>
        <w:t xml:space="preserve"> [12,0; 31,6] – p &lt; 0,001).</w:t>
      </w:r>
    </w:p>
    <w:p w:rsidR="00CF657E" w:rsidRPr="006E1548" w:rsidRDefault="00CF657E" w:rsidP="00734462">
      <w:pPr>
        <w:spacing w:line="240" w:lineRule="auto"/>
        <w:rPr>
          <w:lang w:val="sk-SK" w:eastAsia="sk-SK"/>
        </w:rPr>
      </w:pPr>
    </w:p>
    <w:p w:rsidR="00CF657E" w:rsidRPr="006E1548" w:rsidRDefault="00CF657E" w:rsidP="00734462">
      <w:pPr>
        <w:spacing w:line="240" w:lineRule="auto"/>
        <w:rPr>
          <w:lang w:val="sk-SK" w:eastAsia="sk-SK"/>
        </w:rPr>
      </w:pPr>
      <w:r w:rsidRPr="006E1548">
        <w:rPr>
          <w:lang w:val="sk-SK" w:eastAsia="sk-SK"/>
        </w:rPr>
        <w:t xml:space="preserve">V podskupine pacientov liečených betablokátormi zo štúdie EUROPA definovanej v post-hoc analýze </w:t>
      </w:r>
      <w:r w:rsidR="00AD4EDF" w:rsidRPr="006E1548">
        <w:rPr>
          <w:lang w:val="sk-SK" w:eastAsia="sk-SK"/>
        </w:rPr>
        <w:t xml:space="preserve">preukázalo </w:t>
      </w:r>
      <w:r w:rsidRPr="006E1548">
        <w:rPr>
          <w:lang w:val="sk-SK" w:eastAsia="sk-SK"/>
        </w:rPr>
        <w:t>pridanie perindoprilu k betablokátorom (n = 3 789) významné abs</w:t>
      </w:r>
      <w:r w:rsidR="00001353" w:rsidRPr="006E1548">
        <w:rPr>
          <w:lang w:val="sk-SK" w:eastAsia="sk-SK"/>
        </w:rPr>
        <w:t>o</w:t>
      </w:r>
      <w:r w:rsidRPr="006E1548">
        <w:rPr>
          <w:lang w:val="sk-SK" w:eastAsia="sk-SK"/>
        </w:rPr>
        <w:t xml:space="preserve">lútne zníženie o 2,2 % (zníženie relatívneho rizika o 24 </w:t>
      </w:r>
      <w:r w:rsidR="00626D0D" w:rsidRPr="006E1548">
        <w:rPr>
          <w:lang w:val="sk-SK" w:eastAsia="sk-SK"/>
        </w:rPr>
        <w:t>%, 95 % IS [9,5; 36,4] v porovnaní s betablokátormi bez perindoprilu (n = 3 745) v</w:t>
      </w:r>
      <w:r w:rsidR="000A7A9D" w:rsidRPr="006E1548">
        <w:rPr>
          <w:lang w:val="sk-SK" w:eastAsia="sk-SK"/>
        </w:rPr>
        <w:t> cieli zloženom z</w:t>
      </w:r>
      <w:r w:rsidR="00626D0D" w:rsidRPr="006E1548">
        <w:rPr>
          <w:lang w:val="sk-SK" w:eastAsia="sk-SK"/>
        </w:rPr>
        <w:t xml:space="preserve"> </w:t>
      </w:r>
      <w:r w:rsidR="00626D0D" w:rsidRPr="006E1548">
        <w:rPr>
          <w:lang w:val="sk-SK"/>
        </w:rPr>
        <w:t>kardiovaskulárnej mortality, nefatálneho infarktu myokardu a/alebo zastavenia srdca s úspešnou resuscitáciou.</w:t>
      </w:r>
    </w:p>
    <w:p w:rsidR="00734462" w:rsidRPr="006E1548" w:rsidRDefault="00734462" w:rsidP="00734462">
      <w:pPr>
        <w:spacing w:line="240" w:lineRule="auto"/>
        <w:rPr>
          <w:lang w:val="sk-SK" w:eastAsia="sk-SK"/>
        </w:rPr>
      </w:pPr>
    </w:p>
    <w:p w:rsidR="00734462" w:rsidRPr="006E1548" w:rsidRDefault="002959D7" w:rsidP="00734462">
      <w:pPr>
        <w:autoSpaceDE w:val="0"/>
        <w:autoSpaceDN w:val="0"/>
        <w:adjustRightInd w:val="0"/>
        <w:spacing w:line="240" w:lineRule="auto"/>
        <w:rPr>
          <w:bCs/>
          <w:i/>
          <w:lang w:val="sk-SK"/>
        </w:rPr>
      </w:pPr>
      <w:r w:rsidRPr="006E1548">
        <w:rPr>
          <w:i/>
          <w:lang w:val="sk-SK" w:eastAsia="en-GB"/>
        </w:rPr>
        <w:t>D</w:t>
      </w:r>
      <w:r w:rsidR="00734462" w:rsidRPr="006E1548">
        <w:rPr>
          <w:i/>
          <w:lang w:val="sk-SK" w:eastAsia="en-GB"/>
        </w:rPr>
        <w:t>uáln</w:t>
      </w:r>
      <w:r w:rsidRPr="006E1548">
        <w:rPr>
          <w:i/>
          <w:lang w:val="sk-SK" w:eastAsia="en-GB"/>
        </w:rPr>
        <w:t>a</w:t>
      </w:r>
      <w:r w:rsidR="00734462" w:rsidRPr="006E1548">
        <w:rPr>
          <w:i/>
          <w:lang w:val="sk-SK" w:eastAsia="en-GB"/>
        </w:rPr>
        <w:t xml:space="preserve"> inhibíci</w:t>
      </w:r>
      <w:r w:rsidRPr="006E1548">
        <w:rPr>
          <w:i/>
          <w:lang w:val="sk-SK" w:eastAsia="en-GB"/>
        </w:rPr>
        <w:t>a</w:t>
      </w:r>
      <w:r w:rsidR="00734462" w:rsidRPr="006E1548">
        <w:rPr>
          <w:i/>
          <w:lang w:val="sk-SK" w:eastAsia="en-GB"/>
        </w:rPr>
        <w:t xml:space="preserve"> systému </w:t>
      </w:r>
      <w:r w:rsidR="00734462" w:rsidRPr="006E1548">
        <w:rPr>
          <w:bCs/>
          <w:i/>
          <w:lang w:val="sk-SK"/>
        </w:rPr>
        <w:t>renín-angiotenzín-aldosterón (RAAS):</w:t>
      </w:r>
    </w:p>
    <w:p w:rsidR="00734462" w:rsidRPr="006E1548" w:rsidRDefault="00734462" w:rsidP="00734462">
      <w:pPr>
        <w:pStyle w:val="Bezriadkovania"/>
        <w:rPr>
          <w:szCs w:val="22"/>
          <w:lang w:val="sk-SK"/>
        </w:rPr>
      </w:pPr>
      <w:r w:rsidRPr="006E1548">
        <w:rPr>
          <w:szCs w:val="22"/>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p>
    <w:p w:rsidR="00734462" w:rsidRPr="006E1548" w:rsidRDefault="00734462" w:rsidP="00734462">
      <w:pPr>
        <w:pStyle w:val="Bezriadkovania"/>
        <w:rPr>
          <w:szCs w:val="22"/>
          <w:lang w:val="sk-SK"/>
        </w:rPr>
      </w:pPr>
      <w:r w:rsidRPr="006E1548">
        <w:rPr>
          <w:szCs w:val="22"/>
          <w:lang w:val="sk-SK"/>
        </w:rPr>
        <w:t>Skúšanie ONTARGET sa vykonalo u pacientov s kardiovaskulárnym alebo cerebrovaskulárnym ochorením v anamnéze, alebo u pacientov s diabetom mellitus 2. typu, u ktorých sa preukázalo poškodenie cieľových orgánov. Skúšanie VA NEPHRON-D sa vykonalo u pacientov s diabetom mellitus 2. typu a diabetickou nefropatiou.</w:t>
      </w:r>
    </w:p>
    <w:p w:rsidR="00734462" w:rsidRPr="006E1548" w:rsidRDefault="00734462" w:rsidP="00734462">
      <w:pPr>
        <w:pStyle w:val="Bezriadkovania"/>
        <w:rPr>
          <w:szCs w:val="22"/>
          <w:lang w:val="sk-SK"/>
        </w:rPr>
      </w:pPr>
      <w:r w:rsidRPr="006E1548">
        <w:rPr>
          <w:szCs w:val="22"/>
          <w:lang w:val="sk-SK"/>
        </w:rPr>
        <w:t>Tieto skúšania neukázali významný priaznivý účinok na renálne a/alebo kardiovaskulárne ukazovatele a mortalitu, zatiaľ čo v porovnaní s monoterapiou sa pozorovalo zvýšené riziko hyperkaliémie, akútneho poškoden</w:t>
      </w:r>
      <w:r w:rsidR="009809C4" w:rsidRPr="006E1548">
        <w:rPr>
          <w:szCs w:val="22"/>
          <w:lang w:val="sk-SK"/>
        </w:rPr>
        <w:t xml:space="preserve">ia obličiek a/alebo hypotenzie. </w:t>
      </w:r>
      <w:r w:rsidRPr="006E1548">
        <w:rPr>
          <w:szCs w:val="22"/>
          <w:lang w:val="sk-SK"/>
        </w:rPr>
        <w:t>Vzhľadom na podobné farmakodynamické vlastnosti sú tieto výsledky relevantné aj pre ostatné inhibítory ACE a blokátory receptorov angiotenzínu II.</w:t>
      </w:r>
    </w:p>
    <w:p w:rsidR="00734462" w:rsidRPr="006E1548" w:rsidRDefault="00734462" w:rsidP="00734462">
      <w:pPr>
        <w:pStyle w:val="Bezriadkovania"/>
        <w:rPr>
          <w:szCs w:val="22"/>
          <w:lang w:val="sk-SK"/>
        </w:rPr>
      </w:pPr>
      <w:r w:rsidRPr="006E1548">
        <w:rPr>
          <w:szCs w:val="22"/>
          <w:lang w:val="sk-SK"/>
        </w:rPr>
        <w:t>Inhibítory ACE a blokátory receptorov angiotenzínu II sa preto nemajú používať súbežne u pacientov s diabetickou nefropatiou.</w:t>
      </w:r>
    </w:p>
    <w:p w:rsidR="00734462" w:rsidRPr="006E1548" w:rsidRDefault="00734462" w:rsidP="00734462">
      <w:pPr>
        <w:pStyle w:val="Bezriadkovania"/>
        <w:rPr>
          <w:szCs w:val="22"/>
          <w:lang w:val="sk-SK"/>
        </w:rPr>
      </w:pPr>
      <w:r w:rsidRPr="006E1548">
        <w:rPr>
          <w:szCs w:val="22"/>
          <w:lang w:val="sk-SK"/>
        </w:rPr>
        <w:t>Skúšanie ALTITUDE (Aliskiren Trial in Type 2 Diabetes Using Cardiovascular and Renal Disease Endpoints) bolo navrhnuté na otestovanie prínosu pridania aliskirenu k štandardnej liečbe inhibítorom ACE alebo blokátorom receptorov angiotenzínu II u pacientov s diabetom mellitus 2. typu a chronickým ochorením obliči</w:t>
      </w:r>
      <w:r w:rsidR="00BF7FC3" w:rsidRPr="006E1548">
        <w:rPr>
          <w:szCs w:val="22"/>
          <w:lang w:val="sk-SK"/>
        </w:rPr>
        <w:t>ek, kardiovaskulárnym ochorením</w:t>
      </w:r>
      <w:r w:rsidRPr="006E1548">
        <w:rPr>
          <w:szCs w:val="22"/>
          <w:lang w:val="sk-SK"/>
        </w:rPr>
        <w:t xml:space="preserve"> alebo oboma ochoreniami. Skúšanie bolo predčasne ukončené pre zvýšené riziko nežiaducich udalostí. V skupine aliskirenu bolo numericky viac úmrtí </w:t>
      </w:r>
      <w:r w:rsidR="00DE4911" w:rsidRPr="006E1548">
        <w:rPr>
          <w:szCs w:val="22"/>
          <w:lang w:val="sk-SK"/>
        </w:rPr>
        <w:t xml:space="preserve">v dôsledku </w:t>
      </w:r>
      <w:r w:rsidRPr="006E1548">
        <w:rPr>
          <w:szCs w:val="22"/>
          <w:lang w:val="sk-SK"/>
        </w:rPr>
        <w:t>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B00B52" w:rsidRPr="006E1548" w:rsidRDefault="00B00B52" w:rsidP="00F018A6">
      <w:pPr>
        <w:rPr>
          <w:bCs/>
          <w:szCs w:val="22"/>
          <w:lang w:val="sk-SK"/>
        </w:rPr>
      </w:pPr>
    </w:p>
    <w:p w:rsidR="00F018A6" w:rsidRPr="006E1548" w:rsidRDefault="00DA4F76" w:rsidP="00F018A6">
      <w:pPr>
        <w:rPr>
          <w:bCs/>
          <w:i/>
          <w:szCs w:val="22"/>
          <w:lang w:val="sk-SK"/>
        </w:rPr>
      </w:pPr>
      <w:r w:rsidRPr="006E1548">
        <w:rPr>
          <w:bCs/>
          <w:i/>
          <w:szCs w:val="22"/>
          <w:lang w:val="sk-SK"/>
        </w:rPr>
        <w:t>Pediatrická populácia</w:t>
      </w:r>
      <w:r w:rsidR="00626D0D" w:rsidRPr="006E1548">
        <w:rPr>
          <w:bCs/>
          <w:i/>
          <w:szCs w:val="22"/>
          <w:lang w:val="sk-SK"/>
        </w:rPr>
        <w:t>:</w:t>
      </w:r>
    </w:p>
    <w:p w:rsidR="00DA4F76" w:rsidRPr="006E1548" w:rsidRDefault="00DA4F76" w:rsidP="00F018A6">
      <w:pPr>
        <w:rPr>
          <w:bCs/>
          <w:szCs w:val="22"/>
          <w:lang w:val="sk-SK"/>
        </w:rPr>
      </w:pPr>
      <w:r w:rsidRPr="006E1548">
        <w:rPr>
          <w:bCs/>
          <w:szCs w:val="22"/>
          <w:lang w:val="sk-SK"/>
        </w:rPr>
        <w:t xml:space="preserve">K dispozícii nie sú žiadne údaje o </w:t>
      </w:r>
      <w:r w:rsidR="003B2800" w:rsidRPr="006E1548">
        <w:rPr>
          <w:bCs/>
          <w:szCs w:val="22"/>
          <w:lang w:val="sk-SK"/>
        </w:rPr>
        <w:t>p</w:t>
      </w:r>
      <w:r w:rsidRPr="006E1548">
        <w:rPr>
          <w:bCs/>
          <w:szCs w:val="22"/>
          <w:lang w:val="sk-SK"/>
        </w:rPr>
        <w:t xml:space="preserve">oužití </w:t>
      </w:r>
      <w:r w:rsidR="00626D0D" w:rsidRPr="006E1548">
        <w:rPr>
          <w:bCs/>
          <w:szCs w:val="22"/>
          <w:lang w:val="sk-SK"/>
        </w:rPr>
        <w:t>Prestilolu</w:t>
      </w:r>
      <w:r w:rsidRPr="006E1548">
        <w:rPr>
          <w:bCs/>
          <w:szCs w:val="22"/>
          <w:lang w:val="sk-SK"/>
        </w:rPr>
        <w:t xml:space="preserve"> u detí.</w:t>
      </w:r>
    </w:p>
    <w:p w:rsidR="00F018A6" w:rsidRPr="006E1548" w:rsidRDefault="00706742" w:rsidP="000F4A9B">
      <w:pPr>
        <w:rPr>
          <w:szCs w:val="22"/>
          <w:lang w:val="sk-SK"/>
        </w:rPr>
      </w:pPr>
      <w:r w:rsidRPr="006E1548">
        <w:rPr>
          <w:szCs w:val="22"/>
          <w:lang w:val="sk-SK"/>
        </w:rPr>
        <w:t>Európska agentúra pre lieky udelila výnimku z povinnosti predložiť výsledky štúdií s </w:t>
      </w:r>
      <w:r w:rsidR="00626D0D" w:rsidRPr="006E1548">
        <w:rPr>
          <w:szCs w:val="22"/>
          <w:lang w:val="sk-SK"/>
        </w:rPr>
        <w:t>Prestilolom</w:t>
      </w:r>
      <w:r w:rsidRPr="006E1548">
        <w:rPr>
          <w:szCs w:val="22"/>
          <w:lang w:val="sk-SK"/>
        </w:rPr>
        <w:t xml:space="preserve"> vo všetkých podskupinách pediatrickej populácie pre liečbu </w:t>
      </w:r>
      <w:r w:rsidR="00626D0D" w:rsidRPr="006E1548">
        <w:rPr>
          <w:szCs w:val="22"/>
          <w:lang w:val="sk-SK"/>
        </w:rPr>
        <w:t>hypertenzie, ischemickej choroby srdca</w:t>
      </w:r>
      <w:r w:rsidR="004F68CA" w:rsidRPr="006E1548">
        <w:rPr>
          <w:szCs w:val="22"/>
          <w:lang w:val="sk-SK"/>
        </w:rPr>
        <w:t>,</w:t>
      </w:r>
      <w:r w:rsidR="00626D0D" w:rsidRPr="006E1548">
        <w:rPr>
          <w:szCs w:val="22"/>
          <w:lang w:val="sk-SK"/>
        </w:rPr>
        <w:t xml:space="preserve"> stabilného a chronického srdcového zlyhávania </w:t>
      </w:r>
      <w:r w:rsidRPr="006E1548">
        <w:rPr>
          <w:szCs w:val="22"/>
          <w:lang w:val="sk-SK"/>
        </w:rPr>
        <w:t>(informácie o použití v pediatrickej populácii, pozri časť 4.2).</w:t>
      </w:r>
    </w:p>
    <w:p w:rsidR="000A61C0" w:rsidRPr="006E1548" w:rsidRDefault="000A61C0" w:rsidP="000F4A9B">
      <w:pPr>
        <w:rPr>
          <w:szCs w:val="22"/>
          <w:lang w:val="sk-SK"/>
        </w:rPr>
      </w:pPr>
    </w:p>
    <w:p w:rsidR="000F4A9B" w:rsidRPr="006E1548" w:rsidRDefault="000F4A9B" w:rsidP="000F4A9B">
      <w:pPr>
        <w:rPr>
          <w:szCs w:val="22"/>
          <w:lang w:val="sk-SK"/>
        </w:rPr>
      </w:pPr>
      <w:r w:rsidRPr="006E1548">
        <w:rPr>
          <w:b/>
          <w:szCs w:val="22"/>
          <w:lang w:val="sk-SK"/>
        </w:rPr>
        <w:t>5.2</w:t>
      </w:r>
      <w:r w:rsidRPr="006E1548">
        <w:rPr>
          <w:b/>
          <w:szCs w:val="22"/>
          <w:lang w:val="sk-SK"/>
        </w:rPr>
        <w:tab/>
        <w:t>Farmakokinetické vlastnosti</w:t>
      </w:r>
    </w:p>
    <w:p w:rsidR="000F4A9B" w:rsidRPr="006E1548" w:rsidRDefault="000F4A9B" w:rsidP="000F4A9B">
      <w:pPr>
        <w:tabs>
          <w:tab w:val="clear" w:pos="567"/>
        </w:tabs>
        <w:rPr>
          <w:szCs w:val="22"/>
          <w:lang w:val="sk-SK"/>
        </w:rPr>
      </w:pPr>
    </w:p>
    <w:p w:rsidR="005B6FAA" w:rsidRPr="006E1548" w:rsidRDefault="005B6FAA" w:rsidP="000F4A9B">
      <w:pPr>
        <w:rPr>
          <w:szCs w:val="22"/>
          <w:lang w:val="sk-SK"/>
        </w:rPr>
      </w:pPr>
      <w:r w:rsidRPr="006E1548">
        <w:rPr>
          <w:szCs w:val="22"/>
          <w:lang w:val="sk-SK"/>
        </w:rPr>
        <w:t>Miera a rozsah absorpcie bisoprololu a perindoprilu z Prestilolu nie sú významne odlišné od mier</w:t>
      </w:r>
      <w:r w:rsidR="008A6247" w:rsidRPr="006E1548">
        <w:rPr>
          <w:szCs w:val="22"/>
          <w:lang w:val="sk-SK"/>
        </w:rPr>
        <w:t xml:space="preserve">y </w:t>
      </w:r>
      <w:r w:rsidRPr="006E1548">
        <w:rPr>
          <w:szCs w:val="22"/>
          <w:lang w:val="sk-SK"/>
        </w:rPr>
        <w:t>a rozsahu absorpcie bisoprololu a perindoprilu užívaných samostatne v monoterapii.</w:t>
      </w:r>
    </w:p>
    <w:p w:rsidR="005B6FAA" w:rsidRPr="006E1548" w:rsidRDefault="005B6FAA" w:rsidP="000F4A9B">
      <w:pPr>
        <w:rPr>
          <w:szCs w:val="22"/>
          <w:lang w:val="sk-SK"/>
        </w:rPr>
      </w:pPr>
    </w:p>
    <w:p w:rsidR="00292CF5" w:rsidRPr="006E1548" w:rsidRDefault="005B6FAA" w:rsidP="000F4A9B">
      <w:pPr>
        <w:rPr>
          <w:b/>
          <w:i/>
          <w:szCs w:val="22"/>
          <w:lang w:val="sk-SK"/>
        </w:rPr>
      </w:pPr>
      <w:r w:rsidRPr="006E1548">
        <w:rPr>
          <w:b/>
          <w:i/>
          <w:szCs w:val="22"/>
          <w:lang w:val="sk-SK"/>
        </w:rPr>
        <w:t>Bisoprolol</w:t>
      </w:r>
    </w:p>
    <w:p w:rsidR="00292CF5" w:rsidRPr="006E1548" w:rsidRDefault="00292CF5" w:rsidP="000F4A9B">
      <w:pPr>
        <w:rPr>
          <w:szCs w:val="22"/>
          <w:lang w:val="sk-SK"/>
        </w:rPr>
      </w:pPr>
    </w:p>
    <w:p w:rsidR="000F4A9B" w:rsidRPr="006E1548" w:rsidRDefault="000F4A9B" w:rsidP="000F4A9B">
      <w:pPr>
        <w:rPr>
          <w:szCs w:val="22"/>
          <w:u w:val="single"/>
          <w:lang w:val="sk-SK"/>
        </w:rPr>
      </w:pPr>
      <w:r w:rsidRPr="006E1548">
        <w:rPr>
          <w:szCs w:val="22"/>
          <w:u w:val="single"/>
          <w:lang w:val="sk-SK"/>
        </w:rPr>
        <w:lastRenderedPageBreak/>
        <w:t>A</w:t>
      </w:r>
      <w:r w:rsidR="00292CF5" w:rsidRPr="006E1548">
        <w:rPr>
          <w:szCs w:val="22"/>
          <w:u w:val="single"/>
          <w:lang w:val="sk-SK"/>
        </w:rPr>
        <w:t>bsorpcia</w:t>
      </w:r>
    </w:p>
    <w:p w:rsidR="00D50797" w:rsidRPr="006E1548" w:rsidRDefault="005B6FAA" w:rsidP="000F4A9B">
      <w:pPr>
        <w:rPr>
          <w:szCs w:val="22"/>
          <w:lang w:val="sk-SK"/>
        </w:rPr>
      </w:pPr>
      <w:r w:rsidRPr="006E1548">
        <w:rPr>
          <w:szCs w:val="22"/>
          <w:lang w:val="sk-SK"/>
        </w:rPr>
        <w:t>Bisoprolol sa takmer úplne absorbuje z gastrointestinálneho traktu (</w:t>
      </w:r>
      <w:r w:rsidRPr="006E1548">
        <w:rPr>
          <w:szCs w:val="22"/>
          <w:lang w:val="sk-SK"/>
        </w:rPr>
        <w:sym w:font="Symbol" w:char="F03E"/>
      </w:r>
      <w:r w:rsidRPr="006E1548">
        <w:rPr>
          <w:szCs w:val="22"/>
          <w:lang w:val="sk-SK"/>
        </w:rPr>
        <w:t xml:space="preserve"> 90 %) a pre jeho malý hepatálny first-pass efekt (približne 10 %) má po perorálnom podaní biologickú dostupnosť približne 90 %.</w:t>
      </w:r>
    </w:p>
    <w:p w:rsidR="000F4A9B" w:rsidRPr="006E1548" w:rsidRDefault="000F4A9B" w:rsidP="000F4A9B">
      <w:pPr>
        <w:rPr>
          <w:szCs w:val="22"/>
          <w:lang w:val="sk-SK"/>
        </w:rPr>
      </w:pPr>
    </w:p>
    <w:p w:rsidR="000F4A9B" w:rsidRPr="006E1548" w:rsidRDefault="000F4A9B" w:rsidP="000F4A9B">
      <w:pPr>
        <w:rPr>
          <w:szCs w:val="22"/>
          <w:lang w:val="sk-SK"/>
        </w:rPr>
      </w:pPr>
      <w:r w:rsidRPr="006E1548">
        <w:rPr>
          <w:szCs w:val="22"/>
          <w:u w:val="single"/>
          <w:lang w:val="sk-SK"/>
        </w:rPr>
        <w:t>Distribúcia</w:t>
      </w:r>
    </w:p>
    <w:p w:rsidR="00204DAC" w:rsidRPr="006E1548" w:rsidRDefault="00AC096E" w:rsidP="00204DAC">
      <w:pPr>
        <w:rPr>
          <w:szCs w:val="22"/>
          <w:lang w:val="sk-SK"/>
        </w:rPr>
      </w:pPr>
      <w:r w:rsidRPr="006E1548">
        <w:rPr>
          <w:szCs w:val="22"/>
          <w:lang w:val="sk-SK"/>
        </w:rPr>
        <w:t>D</w:t>
      </w:r>
      <w:r w:rsidR="00204DAC" w:rsidRPr="006E1548">
        <w:rPr>
          <w:szCs w:val="22"/>
          <w:lang w:val="sk-SK"/>
        </w:rPr>
        <w:t xml:space="preserve">istribučný objem je </w:t>
      </w:r>
      <w:r w:rsidRPr="006E1548">
        <w:rPr>
          <w:szCs w:val="22"/>
          <w:lang w:val="sk-SK"/>
        </w:rPr>
        <w:t>3,5 l/kg</w:t>
      </w:r>
      <w:r w:rsidR="00204DAC" w:rsidRPr="006E1548">
        <w:rPr>
          <w:szCs w:val="22"/>
          <w:lang w:val="sk-SK"/>
        </w:rPr>
        <w:t xml:space="preserve">. </w:t>
      </w:r>
      <w:r w:rsidRPr="006E1548">
        <w:rPr>
          <w:szCs w:val="22"/>
          <w:lang w:val="sk-SK"/>
        </w:rPr>
        <w:t>Väzba bisoprololu na plazmatické bielkoviny je okolo 30 %.</w:t>
      </w:r>
    </w:p>
    <w:p w:rsidR="000F4A9B" w:rsidRPr="006E1548" w:rsidRDefault="000F4A9B" w:rsidP="000F4A9B">
      <w:pPr>
        <w:rPr>
          <w:szCs w:val="22"/>
          <w:lang w:val="sk-SK"/>
        </w:rPr>
      </w:pPr>
    </w:p>
    <w:p w:rsidR="000F4A9B" w:rsidRPr="006E1548" w:rsidRDefault="000F4A9B" w:rsidP="000F4A9B">
      <w:pPr>
        <w:rPr>
          <w:szCs w:val="22"/>
          <w:lang w:val="sk-SK"/>
        </w:rPr>
      </w:pPr>
      <w:r w:rsidRPr="006E1548">
        <w:rPr>
          <w:szCs w:val="22"/>
          <w:u w:val="single"/>
          <w:lang w:val="sk-SK"/>
        </w:rPr>
        <w:t>Biotransformácia</w:t>
      </w:r>
      <w:r w:rsidR="00AC096E" w:rsidRPr="006E1548">
        <w:rPr>
          <w:szCs w:val="22"/>
          <w:u w:val="single"/>
          <w:lang w:val="sk-SK"/>
        </w:rPr>
        <w:t xml:space="preserve"> a eliminácia</w:t>
      </w:r>
    </w:p>
    <w:p w:rsidR="00204DAC" w:rsidRPr="006E1548" w:rsidRDefault="00AC096E" w:rsidP="000F4A9B">
      <w:pPr>
        <w:rPr>
          <w:szCs w:val="22"/>
          <w:lang w:val="sk-SK"/>
        </w:rPr>
      </w:pPr>
      <w:r w:rsidRPr="006E1548">
        <w:rPr>
          <w:szCs w:val="22"/>
          <w:lang w:val="sk-SK"/>
        </w:rPr>
        <w:t>Bisoprolol sa vylučuje z tela dvomi cestami. 50 % sa metabolizuje v pečeni na inaktívne metabolity, ktoré sa potom vylučujú obličkami. Zvyšných 50 % sa vylučuje obličkami v nezmenenej forme. Celkový klírens je približne 15 l/h. Plazmatický polčas 10-12 hodín poskytuje 24 hodinový účinok po podaní dávky jedenkrát denne.</w:t>
      </w:r>
    </w:p>
    <w:p w:rsidR="00204DAC" w:rsidRPr="006E1548" w:rsidRDefault="00204DAC" w:rsidP="000F4A9B">
      <w:pPr>
        <w:rPr>
          <w:szCs w:val="22"/>
          <w:lang w:val="sk-SK"/>
        </w:rPr>
      </w:pPr>
    </w:p>
    <w:p w:rsidR="000F4A9B" w:rsidRPr="006E1548" w:rsidRDefault="004258CF" w:rsidP="000F4A9B">
      <w:pPr>
        <w:rPr>
          <w:szCs w:val="22"/>
          <w:lang w:val="sk-SK"/>
        </w:rPr>
      </w:pPr>
      <w:r w:rsidRPr="006E1548">
        <w:rPr>
          <w:szCs w:val="22"/>
          <w:u w:val="single"/>
          <w:lang w:val="sk-SK"/>
        </w:rPr>
        <w:t>Osobitné populácie</w:t>
      </w:r>
    </w:p>
    <w:p w:rsidR="00996662" w:rsidRPr="006E1548" w:rsidRDefault="006D17F9" w:rsidP="00B0208D">
      <w:pPr>
        <w:tabs>
          <w:tab w:val="num" w:pos="-426"/>
          <w:tab w:val="num" w:pos="360"/>
        </w:tabs>
        <w:rPr>
          <w:szCs w:val="22"/>
          <w:lang w:val="sk-SK"/>
        </w:rPr>
      </w:pPr>
      <w:r w:rsidRPr="006E1548">
        <w:rPr>
          <w:szCs w:val="22"/>
          <w:lang w:val="sk-SK"/>
        </w:rPr>
        <w:t>Kinetika bisoprololu j</w:t>
      </w:r>
      <w:r w:rsidR="00996662" w:rsidRPr="006E1548">
        <w:rPr>
          <w:szCs w:val="22"/>
          <w:lang w:val="sk-SK"/>
        </w:rPr>
        <w:t>e lineárna a nezávislá na veku.</w:t>
      </w:r>
    </w:p>
    <w:p w:rsidR="00671A6E" w:rsidRPr="006E1548" w:rsidRDefault="006D17F9" w:rsidP="00B0208D">
      <w:pPr>
        <w:tabs>
          <w:tab w:val="num" w:pos="-426"/>
          <w:tab w:val="num" w:pos="360"/>
        </w:tabs>
        <w:rPr>
          <w:i/>
          <w:szCs w:val="22"/>
          <w:u w:val="single"/>
          <w:lang w:val="sk-SK"/>
        </w:rPr>
      </w:pPr>
      <w:r w:rsidRPr="006E1548">
        <w:rPr>
          <w:szCs w:val="22"/>
          <w:lang w:val="sk-SK"/>
        </w:rPr>
        <w:t xml:space="preserve">Pretože eliminácia prebieha v rovnakej miere v obličkách a v pečeni, úprava dávkovania </w:t>
      </w:r>
      <w:r w:rsidR="00FE4FED" w:rsidRPr="006E1548">
        <w:rPr>
          <w:szCs w:val="22"/>
          <w:lang w:val="sk-SK"/>
        </w:rPr>
        <w:t xml:space="preserve">u pacientov s poruchou funkcie pečene alebo renálnou insuficienciou </w:t>
      </w:r>
      <w:r w:rsidRPr="006E1548">
        <w:rPr>
          <w:szCs w:val="22"/>
          <w:lang w:val="sk-SK"/>
        </w:rPr>
        <w:t>nie je potrebná</w:t>
      </w:r>
      <w:r w:rsidR="00FE4FED" w:rsidRPr="006E1548">
        <w:rPr>
          <w:szCs w:val="22"/>
          <w:lang w:val="sk-SK"/>
        </w:rPr>
        <w:t>. U pacientov s chronickým srdcovým zlyhávaním a s poruchou funkcie pečene alebo funkcie obličiek sa farmakokinetika neskúmala. U pacientov s chronickým srdcovým zlyhávaním (NYHA trieda III) sú plazmatické hladiny bisoprololu vyššie a polčas je predĺžený v porovnaní so zdravými dobrovoľníkmi. Maximálna plazmatická koncentrácia v</w:t>
      </w:r>
      <w:r w:rsidR="00001353" w:rsidRPr="006E1548">
        <w:rPr>
          <w:szCs w:val="22"/>
          <w:lang w:val="sk-SK"/>
        </w:rPr>
        <w:t xml:space="preserve"> rovnovážnom</w:t>
      </w:r>
      <w:r w:rsidR="00FE4FED" w:rsidRPr="006E1548">
        <w:rPr>
          <w:szCs w:val="22"/>
          <w:lang w:val="sk-SK"/>
        </w:rPr>
        <w:t xml:space="preserve"> stave je 64 ± 21 ng/ml v dennej dávke</w:t>
      </w:r>
      <w:r w:rsidR="00996662" w:rsidRPr="006E1548">
        <w:rPr>
          <w:szCs w:val="22"/>
          <w:lang w:val="sk-SK"/>
        </w:rPr>
        <w:t xml:space="preserve"> </w:t>
      </w:r>
      <w:r w:rsidR="00FE4FED" w:rsidRPr="006E1548">
        <w:rPr>
          <w:szCs w:val="22"/>
          <w:lang w:val="sk-SK"/>
        </w:rPr>
        <w:t>10 mg a polčas je 17 ± 5 hodín.</w:t>
      </w:r>
    </w:p>
    <w:p w:rsidR="00FE4FED" w:rsidRPr="006E1548" w:rsidRDefault="00FE4FED" w:rsidP="00C76B31">
      <w:pPr>
        <w:rPr>
          <w:i/>
          <w:szCs w:val="22"/>
          <w:lang w:val="sk-SK"/>
        </w:rPr>
      </w:pPr>
    </w:p>
    <w:p w:rsidR="00C76B31" w:rsidRPr="006E1548" w:rsidRDefault="00E10CD2" w:rsidP="00C76B31">
      <w:pPr>
        <w:rPr>
          <w:b/>
          <w:i/>
          <w:szCs w:val="22"/>
          <w:lang w:val="sk-SK"/>
        </w:rPr>
      </w:pPr>
      <w:r w:rsidRPr="006E1548">
        <w:rPr>
          <w:b/>
          <w:i/>
          <w:szCs w:val="22"/>
          <w:lang w:val="sk-SK"/>
        </w:rPr>
        <w:t>Perindopril</w:t>
      </w:r>
    </w:p>
    <w:p w:rsidR="00C76B31" w:rsidRPr="006E1548" w:rsidRDefault="00C76B31" w:rsidP="00C76B31">
      <w:pPr>
        <w:rPr>
          <w:szCs w:val="22"/>
          <w:lang w:val="sk-SK"/>
        </w:rPr>
      </w:pPr>
    </w:p>
    <w:p w:rsidR="00C76B31" w:rsidRPr="006E1548" w:rsidRDefault="00C76B31" w:rsidP="00C76B31">
      <w:pPr>
        <w:rPr>
          <w:szCs w:val="22"/>
          <w:u w:val="single"/>
          <w:lang w:val="sk-SK"/>
        </w:rPr>
      </w:pPr>
      <w:r w:rsidRPr="006E1548">
        <w:rPr>
          <w:szCs w:val="22"/>
          <w:u w:val="single"/>
          <w:lang w:val="sk-SK"/>
        </w:rPr>
        <w:t>Absorpcia</w:t>
      </w:r>
    </w:p>
    <w:p w:rsidR="00C76B31" w:rsidRPr="006E1548" w:rsidRDefault="00C76B31" w:rsidP="00C76B31">
      <w:pPr>
        <w:spacing w:line="240" w:lineRule="auto"/>
        <w:rPr>
          <w:lang w:val="sk-SK" w:eastAsia="sk-SK"/>
        </w:rPr>
      </w:pPr>
      <w:r w:rsidRPr="006E1548">
        <w:rPr>
          <w:lang w:val="sk-SK" w:eastAsia="sk-SK"/>
        </w:rPr>
        <w:t>Po perorálnom podaní je absorpcia perindoprilu rýchla a maximálna koncentrácia sa dosiahne v priebehu 1 hodiny. Plazmatický polčas perindoprilu je rovný 1 hodine.</w:t>
      </w:r>
    </w:p>
    <w:p w:rsidR="00C76B31" w:rsidRPr="006E1548" w:rsidRDefault="00C76B31" w:rsidP="000F4A9B">
      <w:pPr>
        <w:tabs>
          <w:tab w:val="num" w:pos="-426"/>
          <w:tab w:val="num" w:pos="360"/>
        </w:tabs>
        <w:ind w:left="360" w:hanging="360"/>
        <w:rPr>
          <w:szCs w:val="22"/>
          <w:u w:val="single"/>
          <w:lang w:val="sk-SK"/>
        </w:rPr>
      </w:pPr>
    </w:p>
    <w:p w:rsidR="00FE4FED" w:rsidRPr="006E1548" w:rsidRDefault="00FE4FED" w:rsidP="00FE4FED">
      <w:pPr>
        <w:tabs>
          <w:tab w:val="num" w:pos="-426"/>
          <w:tab w:val="num" w:pos="360"/>
        </w:tabs>
        <w:ind w:left="360" w:hanging="360"/>
        <w:rPr>
          <w:szCs w:val="22"/>
          <w:u w:val="single"/>
          <w:lang w:val="sk-SK"/>
        </w:rPr>
      </w:pPr>
      <w:r w:rsidRPr="006E1548">
        <w:rPr>
          <w:szCs w:val="22"/>
          <w:u w:val="single"/>
          <w:lang w:val="sk-SK"/>
        </w:rPr>
        <w:t>Distribúcia</w:t>
      </w:r>
    </w:p>
    <w:p w:rsidR="00FE4FED" w:rsidRPr="006E1548" w:rsidRDefault="00FE4FED" w:rsidP="00FE4FED">
      <w:pPr>
        <w:tabs>
          <w:tab w:val="num" w:pos="-426"/>
          <w:tab w:val="num" w:pos="360"/>
        </w:tabs>
        <w:rPr>
          <w:szCs w:val="22"/>
          <w:lang w:val="sk-SK"/>
        </w:rPr>
      </w:pPr>
      <w:r w:rsidRPr="006E1548">
        <w:rPr>
          <w:bCs/>
          <w:iCs/>
          <w:lang w:val="sk-SK" w:eastAsia="sk-SK"/>
        </w:rPr>
        <w:t>Distribučný objem neviazaného perindoprilátu je približne 0,2 l/kg. Väzba perindoprilátu na plazmatické bielkoviny je 20 %, prevažne na angiotenzín-konvertujúci enzým</w:t>
      </w:r>
      <w:r w:rsidR="00996662" w:rsidRPr="006E1548">
        <w:rPr>
          <w:bCs/>
          <w:iCs/>
          <w:lang w:val="sk-SK" w:eastAsia="sk-SK"/>
        </w:rPr>
        <w:t xml:space="preserve"> (ACE)</w:t>
      </w:r>
      <w:r w:rsidRPr="006E1548">
        <w:rPr>
          <w:bCs/>
          <w:iCs/>
          <w:lang w:val="sk-SK" w:eastAsia="sk-SK"/>
        </w:rPr>
        <w:t>, ale je závislá od koncentrácie.</w:t>
      </w:r>
    </w:p>
    <w:p w:rsidR="00FE4FED" w:rsidRPr="006E1548" w:rsidRDefault="00FE4FED" w:rsidP="000F4A9B">
      <w:pPr>
        <w:tabs>
          <w:tab w:val="num" w:pos="-426"/>
          <w:tab w:val="num" w:pos="360"/>
        </w:tabs>
        <w:ind w:left="360" w:hanging="360"/>
        <w:rPr>
          <w:szCs w:val="22"/>
          <w:u w:val="single"/>
          <w:lang w:val="sk-SK"/>
        </w:rPr>
      </w:pPr>
    </w:p>
    <w:p w:rsidR="00C76B31" w:rsidRPr="006E1548" w:rsidRDefault="00C76B31" w:rsidP="000F4A9B">
      <w:pPr>
        <w:tabs>
          <w:tab w:val="num" w:pos="-426"/>
          <w:tab w:val="num" w:pos="360"/>
        </w:tabs>
        <w:ind w:left="360" w:hanging="360"/>
        <w:rPr>
          <w:szCs w:val="22"/>
          <w:u w:val="single"/>
          <w:lang w:val="sk-SK"/>
        </w:rPr>
      </w:pPr>
      <w:r w:rsidRPr="006E1548">
        <w:rPr>
          <w:szCs w:val="22"/>
          <w:u w:val="single"/>
          <w:lang w:val="sk-SK"/>
        </w:rPr>
        <w:t>Biotransformácia</w:t>
      </w:r>
    </w:p>
    <w:p w:rsidR="00C76B31" w:rsidRPr="006E1548" w:rsidRDefault="00C76B31" w:rsidP="00C76B31">
      <w:pPr>
        <w:spacing w:line="240" w:lineRule="auto"/>
        <w:rPr>
          <w:lang w:val="sk-SK" w:eastAsia="sk-SK"/>
        </w:rPr>
      </w:pPr>
      <w:r w:rsidRPr="006E1548">
        <w:rPr>
          <w:lang w:val="sk-SK" w:eastAsia="sk-SK"/>
        </w:rPr>
        <w:t>Perindopril je prodrug. Dvadsaťsedem percent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rsidR="00C76B31" w:rsidRPr="006E1548" w:rsidRDefault="00C76B31" w:rsidP="00C76B31">
      <w:pPr>
        <w:spacing w:line="240" w:lineRule="auto"/>
        <w:rPr>
          <w:lang w:val="sk-SK" w:eastAsia="sk-SK"/>
        </w:rPr>
      </w:pPr>
      <w:r w:rsidRPr="006E1548">
        <w:rPr>
          <w:lang w:val="sk-SK" w:eastAsia="sk-SK"/>
        </w:rPr>
        <w:t>Keďže požitie jedla znižuje premenu na perindoprilát, a tým aj biologickú dostupnosť, perindopril arginín sa má podávať perorálne v jednorazovej dennej dávke ráno pred jedlom.</w:t>
      </w:r>
    </w:p>
    <w:p w:rsidR="00FE4FED" w:rsidRPr="006E1548" w:rsidRDefault="00FE4FED" w:rsidP="00FE4FED">
      <w:pPr>
        <w:tabs>
          <w:tab w:val="num" w:pos="-426"/>
          <w:tab w:val="num" w:pos="360"/>
        </w:tabs>
        <w:ind w:left="360" w:hanging="360"/>
        <w:rPr>
          <w:szCs w:val="22"/>
          <w:u w:val="single"/>
          <w:lang w:val="sk-SK"/>
        </w:rPr>
      </w:pPr>
    </w:p>
    <w:p w:rsidR="00FE4FED" w:rsidRPr="006E1548" w:rsidRDefault="00FE4FED" w:rsidP="00FE4FED">
      <w:pPr>
        <w:tabs>
          <w:tab w:val="clear" w:pos="567"/>
        </w:tabs>
        <w:rPr>
          <w:szCs w:val="22"/>
          <w:u w:val="single"/>
          <w:lang w:val="sk-SK"/>
        </w:rPr>
      </w:pPr>
      <w:r w:rsidRPr="006E1548">
        <w:rPr>
          <w:szCs w:val="22"/>
          <w:u w:val="single"/>
          <w:lang w:val="sk-SK"/>
        </w:rPr>
        <w:t>Eliminácia</w:t>
      </w:r>
    </w:p>
    <w:p w:rsidR="00FE4FED" w:rsidRPr="006E1548" w:rsidRDefault="00FE4FED" w:rsidP="00FE4FED">
      <w:pPr>
        <w:tabs>
          <w:tab w:val="num" w:pos="-426"/>
          <w:tab w:val="num" w:pos="360"/>
        </w:tabs>
        <w:rPr>
          <w:lang w:val="sk-SK" w:eastAsia="sk-SK"/>
        </w:rPr>
      </w:pPr>
      <w:r w:rsidRPr="006E1548">
        <w:rPr>
          <w:lang w:val="sk-SK" w:eastAsia="sk-SK"/>
        </w:rPr>
        <w:t>Perindoprilát sa eliminuje močom a konečný polčas neviazanej frakcie je približne 17 hodín, takže rovnovážny stav sa dosiahne v priebehu 4 dní.</w:t>
      </w:r>
    </w:p>
    <w:p w:rsidR="00C76B31" w:rsidRPr="006E1548" w:rsidRDefault="00C76B31" w:rsidP="000F4A9B">
      <w:pPr>
        <w:tabs>
          <w:tab w:val="num" w:pos="-426"/>
          <w:tab w:val="num" w:pos="360"/>
        </w:tabs>
        <w:ind w:left="360" w:hanging="360"/>
        <w:rPr>
          <w:szCs w:val="22"/>
          <w:u w:val="single"/>
          <w:lang w:val="sk-SK"/>
        </w:rPr>
      </w:pPr>
    </w:p>
    <w:p w:rsidR="00C76B31" w:rsidRPr="006E1548" w:rsidRDefault="00C76B31" w:rsidP="000F4A9B">
      <w:pPr>
        <w:tabs>
          <w:tab w:val="num" w:pos="-426"/>
          <w:tab w:val="num" w:pos="360"/>
        </w:tabs>
        <w:ind w:left="360" w:hanging="360"/>
        <w:rPr>
          <w:szCs w:val="22"/>
          <w:u w:val="single"/>
          <w:lang w:val="sk-SK"/>
        </w:rPr>
      </w:pPr>
      <w:r w:rsidRPr="006E1548">
        <w:rPr>
          <w:szCs w:val="22"/>
          <w:u w:val="single"/>
          <w:lang w:val="sk-SK"/>
        </w:rPr>
        <w:t>Linearita</w:t>
      </w:r>
    </w:p>
    <w:p w:rsidR="00C76B31" w:rsidRPr="006E1548" w:rsidRDefault="00C76B31" w:rsidP="000F4A9B">
      <w:pPr>
        <w:tabs>
          <w:tab w:val="num" w:pos="-426"/>
          <w:tab w:val="num" w:pos="360"/>
        </w:tabs>
        <w:ind w:left="360" w:hanging="360"/>
        <w:rPr>
          <w:szCs w:val="22"/>
          <w:lang w:val="sk-SK"/>
        </w:rPr>
      </w:pPr>
      <w:r w:rsidRPr="006E1548">
        <w:rPr>
          <w:lang w:val="sk-SK" w:eastAsia="sk-SK"/>
        </w:rPr>
        <w:t>Bol dokázaný lineárny vzťah medzi dávkou perindoprilu a jeho expozíciou v plazme.</w:t>
      </w:r>
    </w:p>
    <w:p w:rsidR="004258CF" w:rsidRPr="006E1548" w:rsidRDefault="004258CF" w:rsidP="00C76B31">
      <w:pPr>
        <w:tabs>
          <w:tab w:val="num" w:pos="-426"/>
          <w:tab w:val="num" w:pos="360"/>
        </w:tabs>
        <w:rPr>
          <w:lang w:val="sk-SK" w:eastAsia="sk-SK"/>
        </w:rPr>
      </w:pPr>
    </w:p>
    <w:p w:rsidR="004258CF" w:rsidRPr="006E1548" w:rsidRDefault="008A6247" w:rsidP="004258CF">
      <w:pPr>
        <w:rPr>
          <w:i/>
          <w:szCs w:val="22"/>
          <w:lang w:val="sk-SK"/>
        </w:rPr>
      </w:pPr>
      <w:r w:rsidRPr="006E1548">
        <w:rPr>
          <w:i/>
          <w:szCs w:val="22"/>
          <w:lang w:val="sk-SK"/>
        </w:rPr>
        <w:t>Osobitné populácie:</w:t>
      </w:r>
    </w:p>
    <w:p w:rsidR="00FE4FED" w:rsidRPr="006E1548" w:rsidRDefault="004258CF" w:rsidP="004258CF">
      <w:pPr>
        <w:tabs>
          <w:tab w:val="num" w:pos="-426"/>
          <w:tab w:val="num" w:pos="360"/>
        </w:tabs>
        <w:rPr>
          <w:lang w:val="sk-SK" w:eastAsia="sk-SK"/>
        </w:rPr>
      </w:pPr>
      <w:r w:rsidRPr="006E1548">
        <w:rPr>
          <w:lang w:val="sk-SK" w:eastAsia="sk-SK"/>
        </w:rPr>
        <w:t>Vylučovanie perindoprilátu je znížené u starších osôb a tiež u pacientov so srdcovým alebo renálnym zl</w:t>
      </w:r>
      <w:r w:rsidR="00FE4FED" w:rsidRPr="006E1548">
        <w:rPr>
          <w:lang w:val="sk-SK" w:eastAsia="sk-SK"/>
        </w:rPr>
        <w:t>yhaním.</w:t>
      </w:r>
    </w:p>
    <w:p w:rsidR="004258CF" w:rsidRPr="006E1548" w:rsidRDefault="004258CF" w:rsidP="004258CF">
      <w:pPr>
        <w:tabs>
          <w:tab w:val="num" w:pos="-426"/>
          <w:tab w:val="num" w:pos="360"/>
        </w:tabs>
        <w:rPr>
          <w:lang w:val="sk-SK" w:eastAsia="sk-SK"/>
        </w:rPr>
      </w:pPr>
      <w:r w:rsidRPr="006E1548">
        <w:rPr>
          <w:lang w:val="sk-SK" w:eastAsia="sk-SK"/>
        </w:rPr>
        <w:t xml:space="preserve">Pri renálnej insuficiencii je žiaduca úprava dávkovania v závislosti </w:t>
      </w:r>
      <w:r w:rsidR="00B62F7E" w:rsidRPr="006E1548">
        <w:rPr>
          <w:lang w:val="sk-SK" w:eastAsia="sk-SK"/>
        </w:rPr>
        <w:t>od</w:t>
      </w:r>
      <w:r w:rsidRPr="006E1548">
        <w:rPr>
          <w:lang w:val="sk-SK" w:eastAsia="sk-SK"/>
        </w:rPr>
        <w:t xml:space="preserve"> stup</w:t>
      </w:r>
      <w:r w:rsidR="00B62F7E" w:rsidRPr="006E1548">
        <w:rPr>
          <w:lang w:val="sk-SK" w:eastAsia="sk-SK"/>
        </w:rPr>
        <w:t>ňa</w:t>
      </w:r>
      <w:r w:rsidRPr="006E1548">
        <w:rPr>
          <w:lang w:val="sk-SK" w:eastAsia="sk-SK"/>
        </w:rPr>
        <w:t xml:space="preserve"> poruchy (klírens kreatinínu).</w:t>
      </w:r>
    </w:p>
    <w:p w:rsidR="004258CF" w:rsidRPr="006E1548" w:rsidRDefault="004258CF" w:rsidP="004258CF">
      <w:pPr>
        <w:tabs>
          <w:tab w:val="num" w:pos="-426"/>
          <w:tab w:val="num" w:pos="360"/>
        </w:tabs>
        <w:rPr>
          <w:i/>
          <w:szCs w:val="22"/>
          <w:u w:val="single"/>
          <w:lang w:val="sk-SK"/>
        </w:rPr>
      </w:pPr>
      <w:r w:rsidRPr="006E1548">
        <w:rPr>
          <w:lang w:val="sk-SK" w:eastAsia="sk-SK"/>
        </w:rPr>
        <w:lastRenderedPageBreak/>
        <w:t>Dialyzačný klírens perindoprilátu je 70 ml/min.</w:t>
      </w:r>
    </w:p>
    <w:p w:rsidR="004258CF" w:rsidRPr="006E1548" w:rsidRDefault="004258CF" w:rsidP="004258CF">
      <w:pPr>
        <w:tabs>
          <w:tab w:val="num" w:pos="-426"/>
          <w:tab w:val="num" w:pos="360"/>
        </w:tabs>
        <w:rPr>
          <w:lang w:val="sk-SK" w:eastAsia="sk-SK"/>
        </w:rPr>
      </w:pPr>
      <w:r w:rsidRPr="006E1548">
        <w:rPr>
          <w:lang w:val="sk-SK" w:eastAsia="sk-SK"/>
        </w:rPr>
        <w:t>Kinetika perindoprilu je modifikovaná u pacientov s cirhózou: hepatálny klírens pôvodnej molekuly je znížený o polovicu. Množstvo vytvoreného perindoprilátu však nie je znížené, a preto nie je potrebná úprava dávkovania (pozri časti 4.2 a 4.4).</w:t>
      </w:r>
    </w:p>
    <w:p w:rsidR="004258CF" w:rsidRPr="006E1548" w:rsidRDefault="004258CF" w:rsidP="004258CF">
      <w:pPr>
        <w:tabs>
          <w:tab w:val="num" w:pos="-426"/>
          <w:tab w:val="num" w:pos="360"/>
        </w:tabs>
        <w:rPr>
          <w:lang w:val="sk-SK" w:eastAsia="sk-SK"/>
        </w:rPr>
      </w:pPr>
    </w:p>
    <w:p w:rsidR="000F4A9B" w:rsidRPr="006E1548" w:rsidRDefault="000F4A9B" w:rsidP="000F4A9B">
      <w:pPr>
        <w:rPr>
          <w:szCs w:val="22"/>
          <w:lang w:val="sk-SK"/>
        </w:rPr>
      </w:pPr>
      <w:r w:rsidRPr="006E1548">
        <w:rPr>
          <w:b/>
          <w:szCs w:val="22"/>
          <w:lang w:val="sk-SK"/>
        </w:rPr>
        <w:t>5.3</w:t>
      </w:r>
      <w:r w:rsidRPr="006E1548">
        <w:rPr>
          <w:b/>
          <w:szCs w:val="22"/>
          <w:lang w:val="sk-SK"/>
        </w:rPr>
        <w:tab/>
        <w:t>Predklinické údaje o bezpečnosti</w:t>
      </w:r>
    </w:p>
    <w:p w:rsidR="000F4A9B" w:rsidRPr="006E1548" w:rsidRDefault="000F4A9B" w:rsidP="000F4A9B">
      <w:pPr>
        <w:tabs>
          <w:tab w:val="clear" w:pos="567"/>
        </w:tabs>
        <w:rPr>
          <w:szCs w:val="22"/>
          <w:lang w:val="sk-SK"/>
        </w:rPr>
      </w:pPr>
    </w:p>
    <w:p w:rsidR="00115366" w:rsidRPr="006E1548" w:rsidRDefault="008A6247" w:rsidP="000F4A9B">
      <w:pPr>
        <w:tabs>
          <w:tab w:val="clear" w:pos="567"/>
        </w:tabs>
        <w:rPr>
          <w:b/>
          <w:i/>
          <w:szCs w:val="22"/>
          <w:lang w:val="sk-SK"/>
        </w:rPr>
      </w:pPr>
      <w:r w:rsidRPr="006E1548">
        <w:rPr>
          <w:b/>
          <w:i/>
          <w:szCs w:val="22"/>
          <w:lang w:val="sk-SK"/>
        </w:rPr>
        <w:t>Bisoprolol</w:t>
      </w:r>
    </w:p>
    <w:p w:rsidR="008A6247" w:rsidRPr="006E1548" w:rsidRDefault="008A6247" w:rsidP="000F4A9B">
      <w:pPr>
        <w:tabs>
          <w:tab w:val="clear" w:pos="567"/>
        </w:tabs>
        <w:rPr>
          <w:szCs w:val="22"/>
          <w:lang w:val="sk-SK"/>
        </w:rPr>
      </w:pPr>
    </w:p>
    <w:p w:rsidR="008A6247" w:rsidRPr="006E1548" w:rsidRDefault="008A6247" w:rsidP="000F4A9B">
      <w:pPr>
        <w:tabs>
          <w:tab w:val="clear" w:pos="567"/>
        </w:tabs>
        <w:rPr>
          <w:szCs w:val="22"/>
          <w:lang w:val="sk-SK"/>
        </w:rPr>
      </w:pPr>
      <w:r w:rsidRPr="006E1548">
        <w:rPr>
          <w:szCs w:val="22"/>
          <w:lang w:val="sk-SK"/>
        </w:rPr>
        <w:t>Predklinické údaje získané na základe obvyklých farmakologických štúdií bezpečnosti, toxicity po opakovanom podávaní, genotoxicity, karcinogénneho potenciálu, reprodukčnej toxicity a vývinu neodhalili žiadne osobitné riziko pre ľudí.</w:t>
      </w:r>
    </w:p>
    <w:p w:rsidR="00601698" w:rsidRPr="006E1548" w:rsidRDefault="00601698" w:rsidP="000F4A9B">
      <w:pPr>
        <w:tabs>
          <w:tab w:val="clear" w:pos="567"/>
        </w:tabs>
        <w:rPr>
          <w:szCs w:val="22"/>
          <w:lang w:val="sk-SK"/>
        </w:rPr>
      </w:pPr>
      <w:r w:rsidRPr="006E1548">
        <w:rPr>
          <w:szCs w:val="22"/>
          <w:lang w:val="sk-SK"/>
        </w:rPr>
        <w:t>V reprodukčných toxikologických štúdiách bisoprolol nemal žiadny vplyv na fertilitu alebo iné celkové výsledky reprodukcie.</w:t>
      </w:r>
    </w:p>
    <w:p w:rsidR="00601698" w:rsidRPr="006E1548" w:rsidRDefault="00601698" w:rsidP="000F4A9B">
      <w:pPr>
        <w:tabs>
          <w:tab w:val="clear" w:pos="567"/>
        </w:tabs>
        <w:rPr>
          <w:szCs w:val="22"/>
          <w:lang w:val="sk-SK"/>
        </w:rPr>
      </w:pPr>
      <w:r w:rsidRPr="006E1548">
        <w:rPr>
          <w:szCs w:val="22"/>
          <w:lang w:val="sk-SK"/>
        </w:rPr>
        <w:t xml:space="preserve">Podobne ako iné </w:t>
      </w:r>
      <w:proofErr w:type="spellStart"/>
      <w:r w:rsidRPr="006E1548">
        <w:rPr>
          <w:szCs w:val="22"/>
          <w:lang w:val="sk-SK"/>
        </w:rPr>
        <w:t>betablokátory</w:t>
      </w:r>
      <w:proofErr w:type="spellEnd"/>
      <w:r w:rsidR="006F1CB0" w:rsidRPr="006E1548">
        <w:rPr>
          <w:szCs w:val="22"/>
          <w:lang w:val="sk-SK"/>
        </w:rPr>
        <w:t xml:space="preserve"> pôsobí </w:t>
      </w:r>
      <w:proofErr w:type="spellStart"/>
      <w:r w:rsidR="006E1548" w:rsidRPr="006E1548">
        <w:rPr>
          <w:szCs w:val="22"/>
          <w:lang w:val="sk-SK"/>
        </w:rPr>
        <w:t>bisoprolol</w:t>
      </w:r>
      <w:proofErr w:type="spellEnd"/>
      <w:r w:rsidR="004F6E8E" w:rsidRPr="006E1548">
        <w:rPr>
          <w:szCs w:val="22"/>
          <w:lang w:val="sk-SK"/>
        </w:rPr>
        <w:t xml:space="preserve"> vo vysokých dávkach </w:t>
      </w:r>
      <w:r w:rsidR="006F1CB0" w:rsidRPr="006E1548">
        <w:rPr>
          <w:szCs w:val="22"/>
          <w:lang w:val="sk-SK"/>
        </w:rPr>
        <w:t>toxicky na matku (pokles príjmu potravy a pokles telesnej hmotnosti) a</w:t>
      </w:r>
      <w:r w:rsidR="004F6E8E" w:rsidRPr="006E1548">
        <w:rPr>
          <w:szCs w:val="22"/>
          <w:lang w:val="sk-SK"/>
        </w:rPr>
        <w:t xml:space="preserve"> na </w:t>
      </w:r>
      <w:r w:rsidR="006F1CB0" w:rsidRPr="006E1548">
        <w:rPr>
          <w:szCs w:val="22"/>
          <w:lang w:val="sk-SK"/>
        </w:rPr>
        <w:t>embryo/plod (zvýšený výskyt resorpcií, znížená pôrodná hmotnosť novorodencov, spomalený fyzický vývoj</w:t>
      </w:r>
      <w:r w:rsidR="004F6E8E" w:rsidRPr="006E1548">
        <w:rPr>
          <w:szCs w:val="22"/>
          <w:lang w:val="sk-SK"/>
        </w:rPr>
        <w:t>)</w:t>
      </w:r>
      <w:r w:rsidR="006F1CB0" w:rsidRPr="006E1548">
        <w:rPr>
          <w:szCs w:val="22"/>
          <w:lang w:val="sk-SK"/>
        </w:rPr>
        <w:t>, ale nie teratogénne.</w:t>
      </w:r>
    </w:p>
    <w:p w:rsidR="008A6247" w:rsidRPr="006E1548" w:rsidRDefault="008A6247" w:rsidP="000F4A9B">
      <w:pPr>
        <w:tabs>
          <w:tab w:val="clear" w:pos="567"/>
        </w:tabs>
        <w:rPr>
          <w:szCs w:val="22"/>
          <w:lang w:val="sk-SK"/>
        </w:rPr>
      </w:pPr>
    </w:p>
    <w:p w:rsidR="00BF7FC3" w:rsidRPr="006E1548" w:rsidRDefault="00115366" w:rsidP="003A67B0">
      <w:pPr>
        <w:tabs>
          <w:tab w:val="clear" w:pos="567"/>
        </w:tabs>
        <w:rPr>
          <w:b/>
          <w:i/>
          <w:szCs w:val="22"/>
          <w:lang w:val="sk-SK"/>
        </w:rPr>
      </w:pPr>
      <w:r w:rsidRPr="006E1548">
        <w:rPr>
          <w:b/>
          <w:i/>
          <w:szCs w:val="22"/>
          <w:lang w:val="sk-SK"/>
        </w:rPr>
        <w:t>Perindopril</w:t>
      </w:r>
      <w:r w:rsidR="00364B81" w:rsidRPr="006E1548">
        <w:rPr>
          <w:b/>
          <w:i/>
          <w:szCs w:val="22"/>
          <w:lang w:val="sk-SK"/>
        </w:rPr>
        <w:t>:</w:t>
      </w:r>
    </w:p>
    <w:p w:rsidR="006F1CB0" w:rsidRPr="006E1548" w:rsidRDefault="006F1CB0" w:rsidP="003A67B0">
      <w:pPr>
        <w:tabs>
          <w:tab w:val="clear" w:pos="567"/>
        </w:tabs>
        <w:rPr>
          <w:i/>
          <w:szCs w:val="22"/>
          <w:lang w:val="sk-SK"/>
        </w:rPr>
      </w:pPr>
    </w:p>
    <w:p w:rsidR="00115366" w:rsidRPr="006E1548" w:rsidRDefault="00115366" w:rsidP="003A67B0">
      <w:pPr>
        <w:tabs>
          <w:tab w:val="clear" w:pos="567"/>
        </w:tabs>
        <w:rPr>
          <w:bCs/>
          <w:iCs/>
          <w:lang w:val="sk-SK" w:eastAsia="sk-SK"/>
        </w:rPr>
      </w:pPr>
      <w:r w:rsidRPr="006E1548">
        <w:rPr>
          <w:lang w:val="sk-SK" w:eastAsia="sk-SK"/>
        </w:rPr>
        <w:t>V štúdiách chronickej perorálnej toxicity (na potkanoch a opiciach) sú cieľovým orgánom obličky s reverzibilným poškodením</w:t>
      </w:r>
      <w:r w:rsidRPr="006E1548">
        <w:rPr>
          <w:bCs/>
          <w:iCs/>
          <w:lang w:val="sk-SK" w:eastAsia="sk-SK"/>
        </w:rPr>
        <w:t>.</w:t>
      </w:r>
    </w:p>
    <w:p w:rsidR="00F700C4" w:rsidRPr="006E1548" w:rsidRDefault="00F700C4" w:rsidP="003A67B0">
      <w:pPr>
        <w:tabs>
          <w:tab w:val="clear" w:pos="567"/>
        </w:tabs>
        <w:rPr>
          <w:bCs/>
          <w:iCs/>
          <w:lang w:val="sk-SK" w:eastAsia="sk-SK"/>
        </w:rPr>
      </w:pPr>
      <w:r w:rsidRPr="006E1548">
        <w:rPr>
          <w:lang w:val="sk-SK" w:eastAsia="sk-SK"/>
        </w:rPr>
        <w:t xml:space="preserve">V </w:t>
      </w:r>
      <w:r w:rsidRPr="006E1548">
        <w:rPr>
          <w:i/>
          <w:lang w:val="sk-SK" w:eastAsia="sk-SK"/>
        </w:rPr>
        <w:t>in vitro</w:t>
      </w:r>
      <w:r w:rsidRPr="006E1548">
        <w:rPr>
          <w:lang w:val="sk-SK" w:eastAsia="sk-SK"/>
        </w:rPr>
        <w:t xml:space="preserve"> alebo </w:t>
      </w:r>
      <w:r w:rsidRPr="006E1548">
        <w:rPr>
          <w:i/>
          <w:lang w:val="sk-SK" w:eastAsia="sk-SK"/>
        </w:rPr>
        <w:t>in vivo</w:t>
      </w:r>
      <w:r w:rsidRPr="006E1548">
        <w:rPr>
          <w:lang w:val="sk-SK" w:eastAsia="sk-SK"/>
        </w:rPr>
        <w:t xml:space="preserve"> štúdiách sa nepozorovala žiadna mutagenita.</w:t>
      </w:r>
    </w:p>
    <w:p w:rsidR="00115366" w:rsidRPr="006E1548" w:rsidRDefault="00BE4A73" w:rsidP="000F4A9B">
      <w:pPr>
        <w:tabs>
          <w:tab w:val="clear" w:pos="567"/>
        </w:tabs>
        <w:rPr>
          <w:lang w:val="sk-SK" w:eastAsia="sk-SK"/>
        </w:rPr>
      </w:pPr>
      <w:r w:rsidRPr="006E1548">
        <w:rPr>
          <w:lang w:val="sk-SK" w:eastAsia="sk-SK"/>
        </w:rPr>
        <w:t xml:space="preserve">Reprodukčné toxikologické štúdie (na potkanoch, myšiach, králikoch a opiciach) nepreukázali žiadne </w:t>
      </w:r>
      <w:r w:rsidR="004F6E8E" w:rsidRPr="006E1548">
        <w:rPr>
          <w:lang w:val="sk-SK" w:eastAsia="sk-SK"/>
        </w:rPr>
        <w:t>prejavy</w:t>
      </w:r>
      <w:r w:rsidRPr="006E1548">
        <w:rPr>
          <w:lang w:val="sk-SK" w:eastAsia="sk-SK"/>
        </w:rPr>
        <w:t xml:space="preserve"> embryotoxicity alebo teratogenity. Pri inhibítoroch angiotenzín-konvertujúceho enzýmu ako skupine sa však potvrdilo, že vyvolávajú nežiaduce účinky na neskorý vývoj plodu, čo pri hlodavcoch a králikoch vedie k úmrtiu plodu a vrodeným defektom: boli pozorované renálne lézie a zvýšenie peri- a postnatálnej mortality. Fertilita nebola porušená ani u samcov ani u samíc potkanov.</w:t>
      </w:r>
    </w:p>
    <w:p w:rsidR="00BE4A73" w:rsidRPr="006E1548" w:rsidRDefault="00BE4A73" w:rsidP="000F4A9B">
      <w:pPr>
        <w:tabs>
          <w:tab w:val="clear" w:pos="567"/>
        </w:tabs>
        <w:rPr>
          <w:lang w:val="sk-SK" w:eastAsia="sk-SK"/>
        </w:rPr>
      </w:pPr>
      <w:r w:rsidRPr="006E1548">
        <w:rPr>
          <w:lang w:val="sk-SK" w:eastAsia="sk-SK"/>
        </w:rPr>
        <w:t xml:space="preserve">V dlhodobých </w:t>
      </w:r>
      <w:r w:rsidR="006E1548" w:rsidRPr="006E1548">
        <w:rPr>
          <w:lang w:val="sk-SK" w:eastAsia="sk-SK"/>
        </w:rPr>
        <w:t>štúdiách</w:t>
      </w:r>
      <w:r w:rsidRPr="006E1548">
        <w:rPr>
          <w:lang w:val="sk-SK" w:eastAsia="sk-SK"/>
        </w:rPr>
        <w:t xml:space="preserve"> u potkanov a myší sa nepozorovala žiadna karcinogenita.</w:t>
      </w:r>
    </w:p>
    <w:p w:rsidR="00364B81" w:rsidRPr="006E1548" w:rsidRDefault="00364B81" w:rsidP="000F4A9B">
      <w:pPr>
        <w:tabs>
          <w:tab w:val="clear" w:pos="567"/>
        </w:tabs>
        <w:rPr>
          <w:lang w:val="sk-SK" w:eastAsia="sk-SK"/>
        </w:rPr>
      </w:pPr>
    </w:p>
    <w:p w:rsidR="00F700C4" w:rsidRPr="006E1548" w:rsidRDefault="00F700C4" w:rsidP="000F4A9B">
      <w:pPr>
        <w:tabs>
          <w:tab w:val="clear" w:pos="567"/>
        </w:tabs>
        <w:rPr>
          <w:u w:val="single"/>
          <w:lang w:val="sk-SK" w:eastAsia="sk-SK"/>
        </w:rPr>
      </w:pPr>
      <w:r w:rsidRPr="006E1548">
        <w:rPr>
          <w:u w:val="single"/>
          <w:lang w:val="sk-SK" w:eastAsia="sk-SK"/>
        </w:rPr>
        <w:t>Hodnotenie enviro</w:t>
      </w:r>
      <w:r w:rsidR="006E1548">
        <w:rPr>
          <w:u w:val="single"/>
          <w:lang w:val="sk-SK" w:eastAsia="sk-SK"/>
        </w:rPr>
        <w:t>n</w:t>
      </w:r>
      <w:r w:rsidRPr="006E1548">
        <w:rPr>
          <w:u w:val="single"/>
          <w:lang w:val="sk-SK" w:eastAsia="sk-SK"/>
        </w:rPr>
        <w:t>mentálneho rizika (ERA)</w:t>
      </w:r>
      <w:r w:rsidR="00895CEE" w:rsidRPr="006E1548">
        <w:rPr>
          <w:u w:val="single"/>
          <w:lang w:val="sk-SK" w:eastAsia="sk-SK"/>
        </w:rPr>
        <w:t>:</w:t>
      </w:r>
    </w:p>
    <w:p w:rsidR="00F700C4" w:rsidRPr="006E1548" w:rsidRDefault="00F700C4" w:rsidP="000F4A9B">
      <w:pPr>
        <w:tabs>
          <w:tab w:val="clear" w:pos="567"/>
        </w:tabs>
        <w:rPr>
          <w:lang w:val="sk-SK" w:eastAsia="sk-SK"/>
        </w:rPr>
      </w:pPr>
      <w:r w:rsidRPr="006E1548">
        <w:rPr>
          <w:lang w:val="sk-SK" w:eastAsia="sk-SK"/>
        </w:rPr>
        <w:t xml:space="preserve">Prestilol obsahuje známe liečivá bisoprolol a perindopril. Prestilol sa predpisuje ako priama náhrada pre jednotlivé dávky </w:t>
      </w:r>
      <w:proofErr w:type="spellStart"/>
      <w:r w:rsidRPr="006E1548">
        <w:rPr>
          <w:lang w:val="sk-SK" w:eastAsia="sk-SK"/>
        </w:rPr>
        <w:t>bisoprololu</w:t>
      </w:r>
      <w:proofErr w:type="spellEnd"/>
      <w:r w:rsidRPr="006E1548">
        <w:rPr>
          <w:lang w:val="sk-SK" w:eastAsia="sk-SK"/>
        </w:rPr>
        <w:t xml:space="preserve"> a </w:t>
      </w:r>
      <w:proofErr w:type="spellStart"/>
      <w:r w:rsidRPr="006E1548">
        <w:rPr>
          <w:lang w:val="sk-SK" w:eastAsia="sk-SK"/>
        </w:rPr>
        <w:t>perindoprilu</w:t>
      </w:r>
      <w:proofErr w:type="spellEnd"/>
      <w:r w:rsidRPr="006E1548">
        <w:rPr>
          <w:lang w:val="sk-SK" w:eastAsia="sk-SK"/>
        </w:rPr>
        <w:t>, takže n</w:t>
      </w:r>
      <w:r w:rsidR="00895CEE" w:rsidRPr="006E1548">
        <w:rPr>
          <w:lang w:val="sk-SK" w:eastAsia="sk-SK"/>
        </w:rPr>
        <w:t>e</w:t>
      </w:r>
      <w:r w:rsidRPr="006E1548">
        <w:rPr>
          <w:lang w:val="sk-SK" w:eastAsia="sk-SK"/>
        </w:rPr>
        <w:t>zv</w:t>
      </w:r>
      <w:r w:rsidR="00895CEE" w:rsidRPr="006E1548">
        <w:rPr>
          <w:lang w:val="sk-SK" w:eastAsia="sk-SK"/>
        </w:rPr>
        <w:t>y</w:t>
      </w:r>
      <w:r w:rsidRPr="006E1548">
        <w:rPr>
          <w:lang w:val="sk-SK" w:eastAsia="sk-SK"/>
        </w:rPr>
        <w:t>š</w:t>
      </w:r>
      <w:r w:rsidR="00895CEE" w:rsidRPr="006E1548">
        <w:rPr>
          <w:lang w:val="sk-SK" w:eastAsia="sk-SK"/>
        </w:rPr>
        <w:t>uje</w:t>
      </w:r>
      <w:r w:rsidRPr="006E1548">
        <w:rPr>
          <w:lang w:val="sk-SK" w:eastAsia="sk-SK"/>
        </w:rPr>
        <w:t xml:space="preserve"> </w:t>
      </w:r>
      <w:r w:rsidR="006E1548" w:rsidRPr="006E1548">
        <w:rPr>
          <w:lang w:val="sk-SK" w:eastAsia="sk-SK"/>
        </w:rPr>
        <w:t>environmentálnu</w:t>
      </w:r>
      <w:r w:rsidRPr="006E1548">
        <w:rPr>
          <w:lang w:val="sk-SK" w:eastAsia="sk-SK"/>
        </w:rPr>
        <w:t xml:space="preserve"> expozíci</w:t>
      </w:r>
      <w:r w:rsidR="00895CEE" w:rsidRPr="006E1548">
        <w:rPr>
          <w:lang w:val="sk-SK" w:eastAsia="sk-SK"/>
        </w:rPr>
        <w:t>u</w:t>
      </w:r>
      <w:r w:rsidRPr="006E1548">
        <w:rPr>
          <w:lang w:val="sk-SK" w:eastAsia="sk-SK"/>
        </w:rPr>
        <w:t>.</w:t>
      </w:r>
    </w:p>
    <w:p w:rsidR="00F700C4" w:rsidRPr="006E1548" w:rsidRDefault="00F700C4" w:rsidP="000F4A9B">
      <w:pPr>
        <w:tabs>
          <w:tab w:val="clear" w:pos="567"/>
        </w:tabs>
        <w:rPr>
          <w:lang w:val="sk-SK" w:eastAsia="sk-SK"/>
        </w:rPr>
      </w:pPr>
    </w:p>
    <w:p w:rsidR="00115366" w:rsidRPr="006E1548" w:rsidRDefault="00115366" w:rsidP="000F4A9B">
      <w:pPr>
        <w:tabs>
          <w:tab w:val="clear" w:pos="567"/>
        </w:tabs>
        <w:rPr>
          <w:szCs w:val="22"/>
          <w:lang w:val="sk-SK"/>
        </w:rPr>
      </w:pPr>
    </w:p>
    <w:p w:rsidR="000F4A9B" w:rsidRPr="006E1548" w:rsidRDefault="000F4A9B" w:rsidP="000F4A9B">
      <w:pPr>
        <w:rPr>
          <w:b/>
          <w:szCs w:val="22"/>
          <w:lang w:val="sk-SK"/>
        </w:rPr>
      </w:pPr>
      <w:r w:rsidRPr="006E1548">
        <w:rPr>
          <w:b/>
          <w:szCs w:val="22"/>
          <w:lang w:val="sk-SK"/>
        </w:rPr>
        <w:t>6.</w:t>
      </w:r>
      <w:r w:rsidRPr="006E1548">
        <w:rPr>
          <w:b/>
          <w:szCs w:val="22"/>
          <w:lang w:val="sk-SK"/>
        </w:rPr>
        <w:tab/>
        <w:t>FARMACEUTICKÉ INFORMÁCIE</w:t>
      </w:r>
    </w:p>
    <w:p w:rsidR="000F4A9B" w:rsidRPr="006E1548" w:rsidRDefault="000F4A9B" w:rsidP="000F4A9B">
      <w:pPr>
        <w:tabs>
          <w:tab w:val="clear" w:pos="567"/>
        </w:tabs>
        <w:rPr>
          <w:szCs w:val="22"/>
          <w:lang w:val="sk-SK"/>
        </w:rPr>
      </w:pPr>
    </w:p>
    <w:p w:rsidR="00F700C4" w:rsidRPr="006E1548" w:rsidRDefault="000F4A9B" w:rsidP="00F700C4">
      <w:pPr>
        <w:rPr>
          <w:b/>
          <w:szCs w:val="22"/>
          <w:lang w:val="sk-SK"/>
        </w:rPr>
      </w:pPr>
      <w:r w:rsidRPr="006E1548">
        <w:rPr>
          <w:b/>
          <w:szCs w:val="22"/>
          <w:lang w:val="sk-SK"/>
        </w:rPr>
        <w:t>6.1</w:t>
      </w:r>
      <w:r w:rsidRPr="006E1548">
        <w:rPr>
          <w:b/>
          <w:szCs w:val="22"/>
          <w:lang w:val="sk-SK"/>
        </w:rPr>
        <w:tab/>
        <w:t>Zoznam pomocných látok</w:t>
      </w:r>
    </w:p>
    <w:p w:rsidR="00F700C4" w:rsidRPr="006E1548" w:rsidRDefault="00F700C4" w:rsidP="00F700C4">
      <w:pPr>
        <w:rPr>
          <w:i/>
          <w:lang w:val="sk-SK"/>
        </w:rPr>
      </w:pPr>
    </w:p>
    <w:p w:rsidR="000F4A9B" w:rsidRPr="006E1548" w:rsidRDefault="000F4A9B" w:rsidP="00F700C4">
      <w:pPr>
        <w:rPr>
          <w:i/>
          <w:lang w:val="sk-SK"/>
        </w:rPr>
      </w:pPr>
      <w:r w:rsidRPr="006E1548">
        <w:rPr>
          <w:i/>
          <w:lang w:val="sk-SK"/>
        </w:rPr>
        <w:t>Jadro</w:t>
      </w:r>
      <w:r w:rsidR="00895CEE" w:rsidRPr="006E1548">
        <w:rPr>
          <w:i/>
          <w:lang w:val="sk-SK"/>
        </w:rPr>
        <w:t>:</w:t>
      </w:r>
    </w:p>
    <w:p w:rsidR="00756741" w:rsidRPr="006E1548" w:rsidRDefault="00756741" w:rsidP="00F700C4">
      <w:pPr>
        <w:rPr>
          <w:bCs/>
          <w:iCs/>
          <w:lang w:val="sk-SK"/>
        </w:rPr>
      </w:pPr>
      <w:r w:rsidRPr="006E1548">
        <w:rPr>
          <w:lang w:val="sk-SK"/>
        </w:rPr>
        <w:t>Mikrokryštalická celulóza PH 102 (E460)</w:t>
      </w:r>
    </w:p>
    <w:p w:rsidR="00756741" w:rsidRPr="006E1548" w:rsidRDefault="00756741" w:rsidP="00756741">
      <w:pPr>
        <w:rPr>
          <w:bCs/>
          <w:iCs/>
          <w:lang w:val="sk-SK"/>
        </w:rPr>
      </w:pPr>
      <w:r w:rsidRPr="006E1548">
        <w:rPr>
          <w:lang w:val="sk-SK"/>
        </w:rPr>
        <w:t>Uhličitan vápenatý (E170)</w:t>
      </w:r>
    </w:p>
    <w:p w:rsidR="00756741" w:rsidRPr="006E1548" w:rsidRDefault="00183332" w:rsidP="00F700C4">
      <w:pPr>
        <w:rPr>
          <w:bCs/>
          <w:iCs/>
          <w:lang w:val="sk-SK"/>
        </w:rPr>
      </w:pPr>
      <w:r w:rsidRPr="006E1548">
        <w:rPr>
          <w:bCs/>
          <w:iCs/>
          <w:lang w:val="sk-SK"/>
        </w:rPr>
        <w:t>Predželatínovaný kukuričný škrob</w:t>
      </w:r>
    </w:p>
    <w:p w:rsidR="00183332" w:rsidRPr="006E1548" w:rsidRDefault="00183332" w:rsidP="00183332">
      <w:pPr>
        <w:rPr>
          <w:lang w:val="sk-SK"/>
        </w:rPr>
      </w:pPr>
      <w:r w:rsidRPr="006E1548">
        <w:rPr>
          <w:lang w:val="sk-SK"/>
        </w:rPr>
        <w:t>Sodná soľ glykolátu škrobu typ A (E468)</w:t>
      </w:r>
    </w:p>
    <w:p w:rsidR="00673ACF" w:rsidRPr="006E1548" w:rsidRDefault="00673ACF" w:rsidP="00183332">
      <w:pPr>
        <w:rPr>
          <w:lang w:val="sk-SK"/>
        </w:rPr>
      </w:pPr>
      <w:r w:rsidRPr="006E1548">
        <w:rPr>
          <w:lang w:val="sk-SK"/>
        </w:rPr>
        <w:t>Koloidný bezvodý oxid kremičitý (E551)</w:t>
      </w:r>
    </w:p>
    <w:p w:rsidR="000F4A9B" w:rsidRPr="006E1548" w:rsidRDefault="00673ACF" w:rsidP="00F700C4">
      <w:pPr>
        <w:rPr>
          <w:lang w:val="sk-SK"/>
        </w:rPr>
      </w:pPr>
      <w:r w:rsidRPr="006E1548">
        <w:rPr>
          <w:lang w:val="sk-SK"/>
        </w:rPr>
        <w:t>Magnéziumstearát (E</w:t>
      </w:r>
      <w:r w:rsidR="00761EAD" w:rsidRPr="006E1548">
        <w:rPr>
          <w:lang w:val="sk-SK"/>
        </w:rPr>
        <w:t>572</w:t>
      </w:r>
      <w:r w:rsidR="000F4A9B" w:rsidRPr="006E1548">
        <w:rPr>
          <w:lang w:val="sk-SK"/>
        </w:rPr>
        <w:t>)</w:t>
      </w:r>
    </w:p>
    <w:p w:rsidR="00673ACF" w:rsidRPr="006E1548" w:rsidRDefault="00673ACF" w:rsidP="00F700C4">
      <w:pPr>
        <w:rPr>
          <w:lang w:val="sk-SK"/>
        </w:rPr>
      </w:pPr>
      <w:r w:rsidRPr="006E1548">
        <w:rPr>
          <w:lang w:val="sk-SK"/>
        </w:rPr>
        <w:t>Sodná soľ kroskarmelózy (E468)</w:t>
      </w:r>
    </w:p>
    <w:p w:rsidR="000F4A9B" w:rsidRPr="006E1548" w:rsidRDefault="000F4A9B" w:rsidP="00F700C4">
      <w:pPr>
        <w:rPr>
          <w:lang w:val="sk-SK"/>
        </w:rPr>
      </w:pPr>
    </w:p>
    <w:p w:rsidR="000F4A9B" w:rsidRPr="006E1548" w:rsidRDefault="00895CEE" w:rsidP="00F700C4">
      <w:pPr>
        <w:rPr>
          <w:i/>
          <w:lang w:val="sk-SK"/>
        </w:rPr>
      </w:pPr>
      <w:r w:rsidRPr="006E1548">
        <w:rPr>
          <w:i/>
          <w:lang w:val="sk-SK"/>
        </w:rPr>
        <w:t>Filmotvorná vrstva:</w:t>
      </w:r>
    </w:p>
    <w:p w:rsidR="000F4A9B" w:rsidRPr="006E1548" w:rsidRDefault="000F4A9B" w:rsidP="00F700C4">
      <w:pPr>
        <w:rPr>
          <w:lang w:val="sk-SK"/>
        </w:rPr>
      </w:pPr>
      <w:r w:rsidRPr="006E1548">
        <w:rPr>
          <w:lang w:val="sk-SK"/>
        </w:rPr>
        <w:t>Glycerol (E422)</w:t>
      </w:r>
    </w:p>
    <w:p w:rsidR="000F4A9B" w:rsidRPr="006E1548" w:rsidRDefault="000F4A9B" w:rsidP="00F700C4">
      <w:pPr>
        <w:rPr>
          <w:lang w:val="sk-SK"/>
        </w:rPr>
      </w:pPr>
      <w:r w:rsidRPr="006E1548">
        <w:rPr>
          <w:lang w:val="sk-SK"/>
        </w:rPr>
        <w:t>Hypromelóza (E464)</w:t>
      </w:r>
    </w:p>
    <w:p w:rsidR="000F4A9B" w:rsidRPr="006E1548" w:rsidRDefault="000F4A9B" w:rsidP="00F700C4">
      <w:pPr>
        <w:rPr>
          <w:lang w:val="sk-SK"/>
        </w:rPr>
      </w:pPr>
      <w:r w:rsidRPr="006E1548">
        <w:rPr>
          <w:lang w:val="sk-SK"/>
        </w:rPr>
        <w:t>Makrogol 6000</w:t>
      </w:r>
    </w:p>
    <w:p w:rsidR="000F4A9B" w:rsidRPr="006E1548" w:rsidRDefault="000F4A9B" w:rsidP="00F700C4">
      <w:pPr>
        <w:rPr>
          <w:lang w:val="sk-SK"/>
        </w:rPr>
      </w:pPr>
      <w:r w:rsidRPr="006E1548">
        <w:rPr>
          <w:lang w:val="sk-SK"/>
        </w:rPr>
        <w:t>Magnéziumstearát (E</w:t>
      </w:r>
      <w:r w:rsidR="00761EAD" w:rsidRPr="006E1548">
        <w:rPr>
          <w:lang w:val="sk-SK"/>
        </w:rPr>
        <w:t>572</w:t>
      </w:r>
      <w:r w:rsidRPr="006E1548">
        <w:rPr>
          <w:lang w:val="sk-SK"/>
        </w:rPr>
        <w:t>)</w:t>
      </w:r>
    </w:p>
    <w:p w:rsidR="000F4A9B" w:rsidRPr="006E1548" w:rsidRDefault="000F4A9B" w:rsidP="00F700C4">
      <w:pPr>
        <w:rPr>
          <w:lang w:val="sk-SK"/>
        </w:rPr>
      </w:pPr>
      <w:r w:rsidRPr="006E1548">
        <w:rPr>
          <w:lang w:val="sk-SK"/>
        </w:rPr>
        <w:lastRenderedPageBreak/>
        <w:t>Oxid titaničitý (E171)</w:t>
      </w:r>
    </w:p>
    <w:p w:rsidR="00761EAD" w:rsidRPr="006E1548" w:rsidRDefault="00F700C4" w:rsidP="00F700C4">
      <w:pPr>
        <w:rPr>
          <w:lang w:val="sk-SK"/>
        </w:rPr>
      </w:pPr>
      <w:r w:rsidRPr="006E1548">
        <w:rPr>
          <w:lang w:val="sk-SK"/>
        </w:rPr>
        <w:t>Oxid železitý žltý (E</w:t>
      </w:r>
      <w:r w:rsidR="00761EAD" w:rsidRPr="006E1548">
        <w:rPr>
          <w:lang w:val="sk-SK"/>
        </w:rPr>
        <w:t>172)</w:t>
      </w:r>
    </w:p>
    <w:p w:rsidR="00F700C4" w:rsidRPr="006E1548" w:rsidRDefault="00F700C4" w:rsidP="00F700C4">
      <w:pPr>
        <w:rPr>
          <w:lang w:val="sk-SK"/>
        </w:rPr>
      </w:pPr>
      <w:r w:rsidRPr="006E1548">
        <w:rPr>
          <w:lang w:val="sk-SK"/>
        </w:rPr>
        <w:t>Oxid železitý červený (E172)</w:t>
      </w:r>
    </w:p>
    <w:p w:rsidR="000F4A9B" w:rsidRPr="006E1548" w:rsidRDefault="000F4A9B" w:rsidP="00F700C4">
      <w:pPr>
        <w:rPr>
          <w:lang w:val="sk-SK"/>
        </w:rPr>
      </w:pPr>
    </w:p>
    <w:p w:rsidR="000F4A9B" w:rsidRPr="006E1548" w:rsidRDefault="000F4A9B" w:rsidP="000F4A9B">
      <w:pPr>
        <w:rPr>
          <w:szCs w:val="22"/>
          <w:lang w:val="sk-SK"/>
        </w:rPr>
      </w:pPr>
      <w:r w:rsidRPr="006E1548">
        <w:rPr>
          <w:b/>
          <w:szCs w:val="22"/>
          <w:lang w:val="sk-SK"/>
        </w:rPr>
        <w:t>6.2</w:t>
      </w:r>
      <w:r w:rsidRPr="006E1548">
        <w:rPr>
          <w:b/>
          <w:szCs w:val="22"/>
          <w:lang w:val="sk-SK"/>
        </w:rPr>
        <w:tab/>
        <w:t>Inkompatibility</w:t>
      </w:r>
    </w:p>
    <w:p w:rsidR="000F4A9B" w:rsidRPr="006E1548" w:rsidRDefault="000F4A9B" w:rsidP="000F4A9B">
      <w:pPr>
        <w:tabs>
          <w:tab w:val="clear" w:pos="567"/>
        </w:tabs>
        <w:spacing w:line="240" w:lineRule="auto"/>
        <w:rPr>
          <w:szCs w:val="22"/>
          <w:lang w:val="sk-SK"/>
        </w:rPr>
      </w:pPr>
    </w:p>
    <w:p w:rsidR="000F4A9B" w:rsidRPr="006E1548" w:rsidRDefault="000F4A9B" w:rsidP="000F4A9B">
      <w:pPr>
        <w:rPr>
          <w:szCs w:val="22"/>
          <w:lang w:val="sk-SK"/>
        </w:rPr>
      </w:pPr>
      <w:r w:rsidRPr="006E1548">
        <w:rPr>
          <w:szCs w:val="22"/>
          <w:lang w:val="sk-SK"/>
        </w:rPr>
        <w:t>Neaplikovateľné.</w:t>
      </w:r>
    </w:p>
    <w:p w:rsidR="000F4A9B" w:rsidRPr="006E1548" w:rsidRDefault="000F4A9B" w:rsidP="000F4A9B">
      <w:pPr>
        <w:tabs>
          <w:tab w:val="clear" w:pos="567"/>
        </w:tabs>
        <w:spacing w:line="240" w:lineRule="auto"/>
        <w:rPr>
          <w:szCs w:val="22"/>
          <w:lang w:val="sk-SK"/>
        </w:rPr>
      </w:pPr>
    </w:p>
    <w:p w:rsidR="003A6944" w:rsidRPr="006E1548" w:rsidRDefault="003A6944" w:rsidP="003A6944">
      <w:pPr>
        <w:rPr>
          <w:szCs w:val="22"/>
          <w:lang w:val="sk-SK"/>
        </w:rPr>
      </w:pPr>
      <w:r w:rsidRPr="006E1548">
        <w:rPr>
          <w:b/>
          <w:szCs w:val="22"/>
          <w:lang w:val="sk-SK"/>
        </w:rPr>
        <w:t>6.3</w:t>
      </w:r>
      <w:r w:rsidRPr="006E1548">
        <w:rPr>
          <w:b/>
          <w:szCs w:val="22"/>
          <w:lang w:val="sk-SK"/>
        </w:rPr>
        <w:tab/>
        <w:t>Čas použiteľnosti</w:t>
      </w:r>
    </w:p>
    <w:p w:rsidR="003A6944" w:rsidRPr="006E1548" w:rsidRDefault="003A6944" w:rsidP="003A6944">
      <w:pPr>
        <w:tabs>
          <w:tab w:val="clear" w:pos="567"/>
          <w:tab w:val="left" w:pos="708"/>
        </w:tabs>
        <w:spacing w:line="240" w:lineRule="auto"/>
        <w:rPr>
          <w:szCs w:val="22"/>
          <w:lang w:val="sk-SK"/>
        </w:rPr>
      </w:pPr>
    </w:p>
    <w:p w:rsidR="003A6944" w:rsidRPr="006E1548" w:rsidRDefault="003A6944" w:rsidP="003A6944">
      <w:pPr>
        <w:rPr>
          <w:szCs w:val="22"/>
          <w:lang w:val="sk-SK"/>
        </w:rPr>
      </w:pPr>
      <w:r w:rsidRPr="006E1548">
        <w:rPr>
          <w:szCs w:val="22"/>
          <w:lang w:val="sk-SK"/>
        </w:rPr>
        <w:t>Obal na tablety z polypropylénu s 10 filmom obalenými tabletami: 24 mesiacov.</w:t>
      </w:r>
    </w:p>
    <w:p w:rsidR="003A6944" w:rsidRPr="006E1548" w:rsidRDefault="003A6944" w:rsidP="003A6944">
      <w:pPr>
        <w:rPr>
          <w:szCs w:val="22"/>
          <w:lang w:val="sk-SK"/>
        </w:rPr>
      </w:pPr>
      <w:r w:rsidRPr="006E1548">
        <w:rPr>
          <w:szCs w:val="22"/>
          <w:lang w:val="sk-SK"/>
        </w:rPr>
        <w:t>Obal na tablety z polypropylénu s 30 filmom obalenými tabletami: 30 mesiacov.</w:t>
      </w:r>
    </w:p>
    <w:p w:rsidR="003A6944" w:rsidRPr="006E1548" w:rsidRDefault="003A6944" w:rsidP="003A6944">
      <w:pPr>
        <w:rPr>
          <w:szCs w:val="22"/>
          <w:lang w:val="sk-SK"/>
        </w:rPr>
      </w:pPr>
      <w:r w:rsidRPr="006E1548">
        <w:rPr>
          <w:szCs w:val="22"/>
          <w:lang w:val="sk-SK"/>
        </w:rPr>
        <w:t>Obal na tablety z polyetylénu s </w:t>
      </w:r>
      <w:r w:rsidR="006E1548" w:rsidRPr="006E1548">
        <w:rPr>
          <w:szCs w:val="22"/>
          <w:lang w:val="sk-SK"/>
        </w:rPr>
        <w:t>vysokou</w:t>
      </w:r>
      <w:r w:rsidRPr="006E1548">
        <w:rPr>
          <w:szCs w:val="22"/>
          <w:lang w:val="sk-SK"/>
        </w:rPr>
        <w:t xml:space="preserve"> hustotou so 100 filmom obalenými tabletami: 30 mesiacov.</w:t>
      </w:r>
    </w:p>
    <w:p w:rsidR="003A6944" w:rsidRPr="006E1548" w:rsidRDefault="003A6944" w:rsidP="003A6944">
      <w:pPr>
        <w:rPr>
          <w:szCs w:val="22"/>
          <w:lang w:val="sk-SK"/>
        </w:rPr>
      </w:pPr>
    </w:p>
    <w:p w:rsidR="003A6944" w:rsidRPr="006E1548" w:rsidRDefault="003A6944" w:rsidP="003A6944">
      <w:pPr>
        <w:rPr>
          <w:szCs w:val="22"/>
          <w:lang w:val="sk-SK"/>
        </w:rPr>
      </w:pPr>
      <w:r w:rsidRPr="006E1548">
        <w:rPr>
          <w:szCs w:val="22"/>
          <w:lang w:val="sk-SK"/>
        </w:rPr>
        <w:t>Obal na tablety s 10 filmom obalenými tabletami: Po otvorení sa má Prestilol použiť do 20 dní.</w:t>
      </w:r>
    </w:p>
    <w:p w:rsidR="003A6944" w:rsidRPr="006E1548" w:rsidRDefault="003A6944" w:rsidP="003A6944">
      <w:pPr>
        <w:rPr>
          <w:szCs w:val="22"/>
          <w:lang w:val="sk-SK"/>
        </w:rPr>
      </w:pPr>
      <w:r w:rsidRPr="006E1548">
        <w:rPr>
          <w:szCs w:val="22"/>
          <w:lang w:val="sk-SK"/>
        </w:rPr>
        <w:t>Obal na tablety s 30 filmom obalenými tabletami: Po otvorení sa má Prestilol použiť do 60 dní.</w:t>
      </w:r>
    </w:p>
    <w:p w:rsidR="003A6944" w:rsidRPr="006E1548" w:rsidRDefault="003A6944" w:rsidP="003A6944">
      <w:pPr>
        <w:rPr>
          <w:szCs w:val="22"/>
          <w:lang w:val="sk-SK"/>
        </w:rPr>
      </w:pPr>
      <w:r w:rsidRPr="006E1548">
        <w:rPr>
          <w:szCs w:val="22"/>
          <w:lang w:val="sk-SK"/>
        </w:rPr>
        <w:t>Obal na tablety so 100 filmom obalenými tabletami: Po otvorení sa má Prestilol použiť do 100 dní.</w:t>
      </w:r>
    </w:p>
    <w:p w:rsidR="003A6944" w:rsidRPr="006E1548" w:rsidRDefault="003A6944" w:rsidP="003A6944">
      <w:pPr>
        <w:tabs>
          <w:tab w:val="clear" w:pos="567"/>
          <w:tab w:val="left" w:pos="708"/>
        </w:tabs>
        <w:spacing w:line="240" w:lineRule="auto"/>
        <w:rPr>
          <w:szCs w:val="22"/>
          <w:lang w:val="sk-SK"/>
        </w:rPr>
      </w:pPr>
    </w:p>
    <w:p w:rsidR="003A6944" w:rsidRPr="006E1548" w:rsidRDefault="003A6944" w:rsidP="003A6944">
      <w:pPr>
        <w:rPr>
          <w:szCs w:val="22"/>
          <w:lang w:val="sk-SK"/>
        </w:rPr>
      </w:pPr>
      <w:r w:rsidRPr="006E1548">
        <w:rPr>
          <w:b/>
          <w:szCs w:val="22"/>
          <w:lang w:val="sk-SK"/>
        </w:rPr>
        <w:t>6.4</w:t>
      </w:r>
      <w:r w:rsidRPr="006E1548">
        <w:rPr>
          <w:b/>
          <w:szCs w:val="22"/>
          <w:lang w:val="sk-SK"/>
        </w:rPr>
        <w:tab/>
        <w:t>Špeciálne upozornenia na uchovávanie</w:t>
      </w:r>
    </w:p>
    <w:p w:rsidR="003A6944" w:rsidRPr="006E1548" w:rsidRDefault="003A6944" w:rsidP="003A6944">
      <w:pPr>
        <w:tabs>
          <w:tab w:val="clear" w:pos="567"/>
          <w:tab w:val="left" w:pos="708"/>
        </w:tabs>
        <w:spacing w:line="240" w:lineRule="auto"/>
        <w:rPr>
          <w:szCs w:val="22"/>
          <w:lang w:val="sk-SK"/>
        </w:rPr>
      </w:pPr>
    </w:p>
    <w:p w:rsidR="003A6944" w:rsidRPr="006E1548" w:rsidRDefault="003A6944" w:rsidP="003A6944">
      <w:pPr>
        <w:rPr>
          <w:szCs w:val="22"/>
          <w:lang w:val="sk-SK"/>
        </w:rPr>
      </w:pPr>
      <w:r w:rsidRPr="006E1548">
        <w:rPr>
          <w:szCs w:val="22"/>
          <w:lang w:val="sk-SK"/>
        </w:rPr>
        <w:t>Nevyžadujú sa žiadne zvláštne podmienky na uchovávanie alebo zaobchádzanie.</w:t>
      </w:r>
    </w:p>
    <w:p w:rsidR="003A6944" w:rsidRPr="006E1548" w:rsidRDefault="003A6944" w:rsidP="003A6944">
      <w:pPr>
        <w:tabs>
          <w:tab w:val="clear" w:pos="567"/>
          <w:tab w:val="left" w:pos="708"/>
        </w:tabs>
        <w:spacing w:line="240" w:lineRule="auto"/>
        <w:rPr>
          <w:szCs w:val="22"/>
          <w:lang w:val="sk-SK"/>
        </w:rPr>
      </w:pPr>
    </w:p>
    <w:p w:rsidR="003A6944" w:rsidRPr="006E1548" w:rsidRDefault="003A6944" w:rsidP="003A6944">
      <w:pPr>
        <w:rPr>
          <w:szCs w:val="22"/>
          <w:lang w:val="sk-SK"/>
        </w:rPr>
      </w:pPr>
      <w:r w:rsidRPr="006E1548">
        <w:rPr>
          <w:b/>
          <w:szCs w:val="22"/>
          <w:lang w:val="sk-SK"/>
        </w:rPr>
        <w:t>6.5</w:t>
      </w:r>
      <w:r w:rsidRPr="006E1548">
        <w:rPr>
          <w:b/>
          <w:szCs w:val="22"/>
          <w:lang w:val="sk-SK"/>
        </w:rPr>
        <w:tab/>
        <w:t xml:space="preserve">Druh obalu a obsah balenia </w:t>
      </w:r>
    </w:p>
    <w:p w:rsidR="003A6944" w:rsidRPr="006E1548" w:rsidRDefault="003A6944" w:rsidP="003A6944">
      <w:pPr>
        <w:tabs>
          <w:tab w:val="clear" w:pos="567"/>
          <w:tab w:val="left" w:pos="708"/>
        </w:tabs>
        <w:spacing w:line="240" w:lineRule="auto"/>
        <w:rPr>
          <w:szCs w:val="22"/>
          <w:lang w:val="sk-SK"/>
        </w:rPr>
      </w:pPr>
    </w:p>
    <w:p w:rsidR="003A6944" w:rsidRPr="006E1548" w:rsidRDefault="003A6944" w:rsidP="003A6944">
      <w:pPr>
        <w:rPr>
          <w:lang w:val="sk-SK"/>
        </w:rPr>
      </w:pPr>
      <w:r w:rsidRPr="006E1548">
        <w:rPr>
          <w:szCs w:val="22"/>
          <w:lang w:val="sk-SK"/>
        </w:rPr>
        <w:t>Obal na tablety s 10 alebo s 30 filmom obalenými tabletami: biely obal na tablety z polypropylénu vybavený reduktorom z polyetylénu s nízkou hustotou a bielou nepriehľadnou zátkou obsahujúcou vysúšadlo.</w:t>
      </w:r>
    </w:p>
    <w:p w:rsidR="003A6944" w:rsidRPr="006E1548" w:rsidRDefault="003A6944" w:rsidP="003A6944">
      <w:pPr>
        <w:rPr>
          <w:szCs w:val="22"/>
          <w:lang w:val="sk-SK"/>
        </w:rPr>
      </w:pPr>
    </w:p>
    <w:p w:rsidR="003A6944" w:rsidRPr="006E1548" w:rsidRDefault="003A6944" w:rsidP="003A6944">
      <w:pPr>
        <w:rPr>
          <w:szCs w:val="22"/>
          <w:lang w:val="sk-SK"/>
        </w:rPr>
      </w:pPr>
      <w:r w:rsidRPr="006E1548">
        <w:rPr>
          <w:szCs w:val="22"/>
          <w:lang w:val="sk-SK"/>
        </w:rPr>
        <w:t>Obal na tablety so 100 filmom obalenými tabletami: obal na tablety z polyetylénu s vysokou hustotou vybavený zátkou z polypropylénu obsahujúcou vysúšadlo.</w:t>
      </w:r>
    </w:p>
    <w:p w:rsidR="003A6944" w:rsidRPr="006E1548" w:rsidRDefault="003A6944" w:rsidP="003A6944">
      <w:pPr>
        <w:rPr>
          <w:lang w:val="sk-SK"/>
        </w:rPr>
      </w:pPr>
    </w:p>
    <w:p w:rsidR="003A6944" w:rsidRPr="006E1548" w:rsidRDefault="003A6944" w:rsidP="003A6944">
      <w:pPr>
        <w:rPr>
          <w:lang w:val="sk-SK"/>
        </w:rPr>
      </w:pPr>
      <w:r w:rsidRPr="006E1548">
        <w:rPr>
          <w:lang w:val="sk-SK"/>
        </w:rPr>
        <w:t>Škatuľka s 1 obalom na tablety s 10, 30 alebo so 100 filmom obalenými tabletami.</w:t>
      </w:r>
    </w:p>
    <w:p w:rsidR="003A6944" w:rsidRPr="006E1548" w:rsidRDefault="003A6944" w:rsidP="003A6944">
      <w:pPr>
        <w:rPr>
          <w:lang w:val="sk-SK"/>
        </w:rPr>
      </w:pPr>
      <w:r w:rsidRPr="006E1548">
        <w:rPr>
          <w:lang w:val="sk-SK"/>
        </w:rPr>
        <w:t>Škatuľka s 3 obalmi na tablety s 30 filmom obalenými tabletami.</w:t>
      </w:r>
    </w:p>
    <w:p w:rsidR="003A6944" w:rsidRPr="006E1548" w:rsidRDefault="003A6944" w:rsidP="003A6944">
      <w:pPr>
        <w:rPr>
          <w:lang w:val="sk-SK"/>
        </w:rPr>
      </w:pPr>
      <w:r w:rsidRPr="006E1548">
        <w:rPr>
          <w:lang w:val="sk-SK"/>
        </w:rPr>
        <w:t>Škatuľka so 4 obalmi na tablety s 30 filmom obalenými tabletami.</w:t>
      </w:r>
    </w:p>
    <w:p w:rsidR="003A6944" w:rsidRPr="006E1548" w:rsidRDefault="003A6944" w:rsidP="003A6944">
      <w:pPr>
        <w:rPr>
          <w:szCs w:val="22"/>
          <w:lang w:val="sk-SK"/>
        </w:rPr>
      </w:pPr>
    </w:p>
    <w:p w:rsidR="003A6944" w:rsidRPr="006E1548" w:rsidRDefault="003A6944" w:rsidP="003A6944">
      <w:pPr>
        <w:rPr>
          <w:szCs w:val="22"/>
          <w:lang w:val="sk-SK"/>
        </w:rPr>
      </w:pPr>
      <w:r w:rsidRPr="006E1548">
        <w:rPr>
          <w:szCs w:val="22"/>
          <w:lang w:val="sk-SK"/>
        </w:rPr>
        <w:t>Na trh nemusia byť uvedené všetky veľkosti balenia.</w:t>
      </w:r>
    </w:p>
    <w:p w:rsidR="003A6944" w:rsidRPr="006E1548" w:rsidRDefault="003A6944" w:rsidP="003A6944">
      <w:pPr>
        <w:rPr>
          <w:szCs w:val="22"/>
          <w:lang w:val="sk-SK"/>
        </w:rPr>
      </w:pPr>
    </w:p>
    <w:p w:rsidR="000F4A9B" w:rsidRPr="006E1548" w:rsidRDefault="000F4A9B" w:rsidP="000F4A9B">
      <w:pPr>
        <w:rPr>
          <w:szCs w:val="22"/>
          <w:lang w:val="sk-SK"/>
        </w:rPr>
      </w:pPr>
      <w:r w:rsidRPr="006E1548">
        <w:rPr>
          <w:b/>
          <w:szCs w:val="22"/>
          <w:lang w:val="sk-SK"/>
        </w:rPr>
        <w:t>6.6</w:t>
      </w:r>
      <w:r w:rsidRPr="006E1548">
        <w:rPr>
          <w:b/>
          <w:szCs w:val="22"/>
          <w:lang w:val="sk-SK"/>
        </w:rPr>
        <w:tab/>
        <w:t>Špeciálne opatrenia na likvidáciu</w:t>
      </w:r>
    </w:p>
    <w:p w:rsidR="000F4A9B" w:rsidRPr="006E1548" w:rsidRDefault="000F4A9B" w:rsidP="000F4A9B">
      <w:pPr>
        <w:tabs>
          <w:tab w:val="clear" w:pos="567"/>
        </w:tabs>
        <w:spacing w:line="240" w:lineRule="auto"/>
        <w:rPr>
          <w:szCs w:val="22"/>
          <w:lang w:val="sk-SK"/>
        </w:rPr>
      </w:pPr>
    </w:p>
    <w:p w:rsidR="000F4A9B" w:rsidRPr="006E1548" w:rsidRDefault="00EE4F83" w:rsidP="000F4A9B">
      <w:pPr>
        <w:rPr>
          <w:szCs w:val="22"/>
          <w:lang w:val="sk-SK"/>
        </w:rPr>
      </w:pPr>
      <w:r w:rsidRPr="006E1548">
        <w:rPr>
          <w:szCs w:val="22"/>
          <w:lang w:val="sk-SK" w:eastAsia="fr-FR"/>
        </w:rPr>
        <w:t>Žiadne zvláštne požiadavky</w:t>
      </w:r>
      <w:r w:rsidR="000F4A9B" w:rsidRPr="006E1548">
        <w:rPr>
          <w:szCs w:val="22"/>
          <w:lang w:val="sk-SK" w:eastAsia="fr-FR"/>
        </w:rPr>
        <w:t>.</w:t>
      </w:r>
    </w:p>
    <w:p w:rsidR="000F4A9B" w:rsidRPr="006E1548" w:rsidRDefault="000F4A9B" w:rsidP="000F4A9B">
      <w:pPr>
        <w:tabs>
          <w:tab w:val="clear" w:pos="567"/>
        </w:tabs>
        <w:spacing w:line="240" w:lineRule="auto"/>
        <w:rPr>
          <w:szCs w:val="22"/>
          <w:lang w:val="sk-SK"/>
        </w:rPr>
      </w:pPr>
    </w:p>
    <w:p w:rsidR="000F4A9B" w:rsidRPr="006E1548" w:rsidRDefault="000F4A9B" w:rsidP="000F4A9B">
      <w:pPr>
        <w:tabs>
          <w:tab w:val="clear" w:pos="567"/>
        </w:tabs>
        <w:spacing w:line="240" w:lineRule="auto"/>
        <w:rPr>
          <w:szCs w:val="22"/>
          <w:lang w:val="sk-SK"/>
        </w:rPr>
      </w:pPr>
    </w:p>
    <w:p w:rsidR="000F4A9B" w:rsidRPr="006E1548" w:rsidRDefault="000F4A9B" w:rsidP="000F4A9B">
      <w:pPr>
        <w:rPr>
          <w:szCs w:val="22"/>
          <w:lang w:val="sk-SK"/>
        </w:rPr>
      </w:pPr>
      <w:r w:rsidRPr="006E1548">
        <w:rPr>
          <w:b/>
          <w:szCs w:val="22"/>
          <w:lang w:val="sk-SK"/>
        </w:rPr>
        <w:t>7.</w:t>
      </w:r>
      <w:r w:rsidRPr="006E1548">
        <w:rPr>
          <w:b/>
          <w:szCs w:val="22"/>
          <w:lang w:val="sk-SK"/>
        </w:rPr>
        <w:tab/>
        <w:t>DRŽITEĽ ROZHODNUTIA O REGISTRÁCII</w:t>
      </w:r>
    </w:p>
    <w:p w:rsidR="000F4A9B" w:rsidRPr="006E1548" w:rsidRDefault="000F4A9B" w:rsidP="000F4A9B">
      <w:pPr>
        <w:tabs>
          <w:tab w:val="clear" w:pos="567"/>
        </w:tabs>
        <w:spacing w:line="240" w:lineRule="auto"/>
        <w:rPr>
          <w:szCs w:val="22"/>
          <w:lang w:val="sk-SK"/>
        </w:rPr>
      </w:pPr>
    </w:p>
    <w:p w:rsidR="000F4A9B" w:rsidRPr="006E1548" w:rsidRDefault="000F4A9B" w:rsidP="000F4A9B">
      <w:pPr>
        <w:rPr>
          <w:szCs w:val="22"/>
          <w:lang w:val="sk-SK"/>
        </w:rPr>
      </w:pPr>
      <w:r w:rsidRPr="006E1548">
        <w:rPr>
          <w:szCs w:val="22"/>
          <w:lang w:val="sk-SK"/>
        </w:rPr>
        <w:t>Les Laboratoires Servier</w:t>
      </w:r>
    </w:p>
    <w:p w:rsidR="000F4A9B" w:rsidRPr="006E1548" w:rsidRDefault="000F4A9B" w:rsidP="000F4A9B">
      <w:pPr>
        <w:rPr>
          <w:szCs w:val="22"/>
          <w:lang w:val="sk-SK" w:eastAsia="fr-FR"/>
        </w:rPr>
      </w:pPr>
      <w:r w:rsidRPr="006E1548">
        <w:rPr>
          <w:szCs w:val="22"/>
          <w:lang w:val="sk-SK" w:eastAsia="fr-FR"/>
        </w:rPr>
        <w:t>50, rue Carnot</w:t>
      </w:r>
    </w:p>
    <w:p w:rsidR="000F4A9B" w:rsidRPr="006E1548" w:rsidRDefault="000F4A9B" w:rsidP="000F4A9B">
      <w:pPr>
        <w:rPr>
          <w:szCs w:val="22"/>
          <w:lang w:val="sk-SK" w:eastAsia="fr-FR"/>
        </w:rPr>
      </w:pPr>
      <w:r w:rsidRPr="006E1548">
        <w:rPr>
          <w:szCs w:val="22"/>
          <w:lang w:val="sk-SK" w:eastAsia="fr-FR"/>
        </w:rPr>
        <w:t>92284 Suresnes cedex</w:t>
      </w:r>
    </w:p>
    <w:p w:rsidR="000F4A9B" w:rsidRPr="006E1548" w:rsidRDefault="000F4A9B" w:rsidP="000F4A9B">
      <w:pPr>
        <w:rPr>
          <w:szCs w:val="22"/>
          <w:lang w:val="sk-SK"/>
        </w:rPr>
      </w:pPr>
      <w:r w:rsidRPr="006E1548">
        <w:rPr>
          <w:szCs w:val="22"/>
          <w:lang w:val="sk-SK"/>
        </w:rPr>
        <w:t>Francúzsko</w:t>
      </w:r>
    </w:p>
    <w:p w:rsidR="000F4A9B" w:rsidRPr="006E1548" w:rsidRDefault="000F4A9B" w:rsidP="000F4A9B">
      <w:pPr>
        <w:tabs>
          <w:tab w:val="clear" w:pos="567"/>
        </w:tabs>
        <w:spacing w:line="240" w:lineRule="auto"/>
        <w:rPr>
          <w:szCs w:val="22"/>
          <w:lang w:val="sk-SK"/>
        </w:rPr>
      </w:pPr>
    </w:p>
    <w:p w:rsidR="000F4A9B" w:rsidRPr="006E1548" w:rsidRDefault="000F4A9B" w:rsidP="000F4A9B">
      <w:pPr>
        <w:tabs>
          <w:tab w:val="clear" w:pos="567"/>
        </w:tabs>
        <w:spacing w:line="240" w:lineRule="auto"/>
        <w:rPr>
          <w:szCs w:val="22"/>
          <w:lang w:val="sk-SK"/>
        </w:rPr>
      </w:pPr>
    </w:p>
    <w:p w:rsidR="000F4A9B" w:rsidRPr="006E1548" w:rsidRDefault="000F4A9B" w:rsidP="000F4A9B">
      <w:pPr>
        <w:rPr>
          <w:b/>
          <w:szCs w:val="22"/>
          <w:lang w:val="sk-SK"/>
        </w:rPr>
      </w:pPr>
      <w:r w:rsidRPr="006E1548">
        <w:rPr>
          <w:b/>
          <w:szCs w:val="22"/>
          <w:lang w:val="sk-SK"/>
        </w:rPr>
        <w:t>8.</w:t>
      </w:r>
      <w:r w:rsidRPr="006E1548">
        <w:rPr>
          <w:b/>
          <w:szCs w:val="22"/>
          <w:lang w:val="sk-SK"/>
        </w:rPr>
        <w:tab/>
        <w:t>REGISTRAČNÉ ČÍSLO</w:t>
      </w:r>
    </w:p>
    <w:p w:rsidR="007C452E" w:rsidRPr="006E1548" w:rsidRDefault="007C452E" w:rsidP="00EE4F83">
      <w:pPr>
        <w:spacing w:line="240" w:lineRule="auto"/>
        <w:ind w:left="567" w:hanging="567"/>
        <w:rPr>
          <w:noProof/>
          <w:szCs w:val="22"/>
          <w:lang w:val="sk-SK" w:eastAsia="sk-SK"/>
        </w:rPr>
      </w:pPr>
    </w:p>
    <w:p w:rsidR="000F4A9B" w:rsidRDefault="003E75ED" w:rsidP="000F4A9B">
      <w:pPr>
        <w:tabs>
          <w:tab w:val="clear" w:pos="567"/>
        </w:tabs>
        <w:spacing w:line="240" w:lineRule="auto"/>
        <w:rPr>
          <w:szCs w:val="22"/>
          <w:lang w:val="sk-SK"/>
        </w:rPr>
      </w:pPr>
      <w:r w:rsidRPr="003E75ED">
        <w:rPr>
          <w:szCs w:val="22"/>
          <w:lang w:val="sk-SK"/>
        </w:rPr>
        <w:t>58/0099/16-S</w:t>
      </w:r>
    </w:p>
    <w:p w:rsidR="003E75ED" w:rsidRDefault="003E75ED" w:rsidP="000F4A9B">
      <w:pPr>
        <w:tabs>
          <w:tab w:val="clear" w:pos="567"/>
        </w:tabs>
        <w:spacing w:line="240" w:lineRule="auto"/>
        <w:rPr>
          <w:szCs w:val="22"/>
          <w:lang w:val="sk-SK"/>
        </w:rPr>
      </w:pPr>
    </w:p>
    <w:p w:rsidR="003E75ED" w:rsidRPr="006E1548" w:rsidRDefault="003E75ED" w:rsidP="000F4A9B">
      <w:pPr>
        <w:tabs>
          <w:tab w:val="clear" w:pos="567"/>
        </w:tabs>
        <w:spacing w:line="240" w:lineRule="auto"/>
        <w:rPr>
          <w:szCs w:val="22"/>
          <w:lang w:val="sk-SK"/>
        </w:rPr>
      </w:pPr>
      <w:bookmarkStart w:id="0" w:name="_GoBack"/>
      <w:bookmarkEnd w:id="0"/>
    </w:p>
    <w:p w:rsidR="000F4A9B" w:rsidRPr="006E1548" w:rsidRDefault="000F4A9B" w:rsidP="000F4A9B">
      <w:pPr>
        <w:rPr>
          <w:szCs w:val="22"/>
          <w:lang w:val="sk-SK"/>
        </w:rPr>
      </w:pPr>
      <w:r w:rsidRPr="006E1548">
        <w:rPr>
          <w:b/>
          <w:szCs w:val="22"/>
          <w:lang w:val="sk-SK"/>
        </w:rPr>
        <w:t>9.</w:t>
      </w:r>
      <w:r w:rsidRPr="006E1548">
        <w:rPr>
          <w:b/>
          <w:szCs w:val="22"/>
          <w:lang w:val="sk-SK"/>
        </w:rPr>
        <w:tab/>
        <w:t>DÁTUM PRVEJ REGISTRÁCIE/PREDĹŽENIA REGISTRÁCIE</w:t>
      </w:r>
    </w:p>
    <w:p w:rsidR="000F4A9B" w:rsidRPr="006E1548" w:rsidRDefault="000F4A9B" w:rsidP="000F4A9B">
      <w:pPr>
        <w:tabs>
          <w:tab w:val="clear" w:pos="567"/>
        </w:tabs>
        <w:spacing w:line="240" w:lineRule="auto"/>
        <w:rPr>
          <w:szCs w:val="22"/>
          <w:lang w:val="sk-SK"/>
        </w:rPr>
      </w:pPr>
    </w:p>
    <w:p w:rsidR="000F4A9B" w:rsidRPr="006E1548" w:rsidRDefault="003975B5" w:rsidP="000F4A9B">
      <w:pPr>
        <w:tabs>
          <w:tab w:val="clear" w:pos="567"/>
        </w:tabs>
        <w:spacing w:line="240" w:lineRule="auto"/>
        <w:rPr>
          <w:szCs w:val="22"/>
          <w:lang w:val="sk-SK"/>
        </w:rPr>
      </w:pPr>
      <w:r w:rsidRPr="006E1548">
        <w:rPr>
          <w:szCs w:val="22"/>
          <w:lang w:val="sk-SK"/>
        </w:rPr>
        <w:t>Dátum prvej registrácie:</w:t>
      </w:r>
    </w:p>
    <w:p w:rsidR="000F4A9B" w:rsidRPr="006E1548" w:rsidRDefault="000F4A9B" w:rsidP="000F4A9B">
      <w:pPr>
        <w:tabs>
          <w:tab w:val="clear" w:pos="567"/>
        </w:tabs>
        <w:spacing w:line="240" w:lineRule="auto"/>
        <w:rPr>
          <w:szCs w:val="22"/>
          <w:lang w:val="sk-SK"/>
        </w:rPr>
      </w:pPr>
      <w:r w:rsidRPr="006E1548">
        <w:rPr>
          <w:szCs w:val="22"/>
          <w:lang w:val="sk-SK"/>
        </w:rPr>
        <w:t>Dátum pos</w:t>
      </w:r>
      <w:r w:rsidR="003975B5" w:rsidRPr="006E1548">
        <w:rPr>
          <w:szCs w:val="22"/>
          <w:lang w:val="sk-SK"/>
        </w:rPr>
        <w:t>ledného predĺženia registrácie:</w:t>
      </w:r>
    </w:p>
    <w:p w:rsidR="000F4A9B" w:rsidRPr="006E1548" w:rsidRDefault="000F4A9B" w:rsidP="000F4A9B">
      <w:pPr>
        <w:tabs>
          <w:tab w:val="clear" w:pos="567"/>
        </w:tabs>
        <w:spacing w:line="240" w:lineRule="auto"/>
        <w:rPr>
          <w:szCs w:val="22"/>
          <w:lang w:val="sk-SK"/>
        </w:rPr>
      </w:pPr>
    </w:p>
    <w:p w:rsidR="000F4A9B" w:rsidRPr="006E1548" w:rsidRDefault="000F4A9B" w:rsidP="000F4A9B">
      <w:pPr>
        <w:tabs>
          <w:tab w:val="clear" w:pos="567"/>
        </w:tabs>
        <w:spacing w:line="240" w:lineRule="auto"/>
        <w:rPr>
          <w:szCs w:val="22"/>
          <w:lang w:val="sk-SK"/>
        </w:rPr>
      </w:pPr>
    </w:p>
    <w:p w:rsidR="000F4A9B" w:rsidRPr="006E1548" w:rsidRDefault="000F4A9B" w:rsidP="000F4A9B">
      <w:pPr>
        <w:rPr>
          <w:b/>
          <w:szCs w:val="22"/>
          <w:lang w:val="sk-SK"/>
        </w:rPr>
      </w:pPr>
      <w:r w:rsidRPr="006E1548">
        <w:rPr>
          <w:b/>
          <w:szCs w:val="22"/>
          <w:lang w:val="sk-SK"/>
        </w:rPr>
        <w:t>10.</w:t>
      </w:r>
      <w:r w:rsidRPr="006E1548">
        <w:rPr>
          <w:b/>
          <w:szCs w:val="22"/>
          <w:lang w:val="sk-SK"/>
        </w:rPr>
        <w:tab/>
        <w:t>DÁTUM REVÍZIE TEXTU</w:t>
      </w:r>
    </w:p>
    <w:p w:rsidR="000F4A9B" w:rsidRPr="006E1548" w:rsidRDefault="000F4A9B" w:rsidP="000F4A9B">
      <w:pPr>
        <w:tabs>
          <w:tab w:val="clear" w:pos="567"/>
        </w:tabs>
        <w:spacing w:line="240" w:lineRule="auto"/>
        <w:rPr>
          <w:szCs w:val="22"/>
          <w:lang w:val="sk-SK"/>
        </w:rPr>
      </w:pPr>
    </w:p>
    <w:p w:rsidR="000F4A9B" w:rsidRPr="006E1548" w:rsidRDefault="00001353" w:rsidP="00B239E2">
      <w:pPr>
        <w:tabs>
          <w:tab w:val="clear" w:pos="567"/>
        </w:tabs>
        <w:spacing w:line="240" w:lineRule="auto"/>
        <w:rPr>
          <w:szCs w:val="22"/>
          <w:lang w:val="sk-SK"/>
        </w:rPr>
      </w:pPr>
      <w:r w:rsidRPr="006E1548">
        <w:rPr>
          <w:szCs w:val="22"/>
          <w:lang w:val="sk-SK"/>
        </w:rPr>
        <w:t>02/2016</w:t>
      </w:r>
    </w:p>
    <w:p w:rsidR="00001353" w:rsidRPr="006E1548" w:rsidRDefault="00001353" w:rsidP="00B239E2">
      <w:pPr>
        <w:tabs>
          <w:tab w:val="clear" w:pos="567"/>
        </w:tabs>
        <w:spacing w:line="240" w:lineRule="auto"/>
        <w:rPr>
          <w:szCs w:val="22"/>
          <w:lang w:val="sk-SK"/>
        </w:rPr>
      </w:pPr>
    </w:p>
    <w:p w:rsidR="00C32D95" w:rsidRPr="006E1548" w:rsidRDefault="00C32D95" w:rsidP="00B239E2">
      <w:pPr>
        <w:tabs>
          <w:tab w:val="clear" w:pos="567"/>
        </w:tabs>
        <w:spacing w:line="240" w:lineRule="auto"/>
        <w:rPr>
          <w:szCs w:val="22"/>
          <w:lang w:val="sk-SK"/>
        </w:rPr>
      </w:pPr>
      <w:r w:rsidRPr="006E1548">
        <w:rPr>
          <w:szCs w:val="22"/>
          <w:lang w:val="sk-SK"/>
        </w:rPr>
        <w:t>Podrobné informácie o tomto lieku sú dostupné na internetovej stránke Štátneho ústavu pre kontrolu liečiv (</w:t>
      </w:r>
      <w:hyperlink r:id="rId11" w:history="1">
        <w:r w:rsidRPr="006E1548">
          <w:rPr>
            <w:rStyle w:val="Hypertextovprepojenie"/>
            <w:szCs w:val="22"/>
            <w:lang w:val="sk-SK"/>
          </w:rPr>
          <w:t>www.sukl.sk</w:t>
        </w:r>
      </w:hyperlink>
      <w:r w:rsidRPr="006E1548">
        <w:rPr>
          <w:szCs w:val="22"/>
          <w:lang w:val="sk-SK"/>
        </w:rPr>
        <w:t>).</w:t>
      </w:r>
    </w:p>
    <w:sectPr w:rsidR="00C32D95" w:rsidRPr="006E1548" w:rsidSect="00E935FD">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092" w:rsidRDefault="00695092" w:rsidP="000322EB">
      <w:pPr>
        <w:spacing w:line="240" w:lineRule="auto"/>
      </w:pPr>
      <w:r>
        <w:separator/>
      </w:r>
    </w:p>
  </w:endnote>
  <w:endnote w:type="continuationSeparator" w:id="0">
    <w:p w:rsidR="00695092" w:rsidRDefault="00695092"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553916"/>
      <w:docPartObj>
        <w:docPartGallery w:val="Page Numbers (Bottom of Page)"/>
        <w:docPartUnique/>
      </w:docPartObj>
    </w:sdtPr>
    <w:sdtEndPr>
      <w:rPr>
        <w:rFonts w:ascii="Times New Roman" w:hAnsi="Times New Roman"/>
        <w:sz w:val="18"/>
        <w:szCs w:val="18"/>
      </w:rPr>
    </w:sdtEndPr>
    <w:sdtContent>
      <w:p w:rsidR="00A60628" w:rsidRPr="0035277A" w:rsidRDefault="00A60628">
        <w:pPr>
          <w:pStyle w:val="Pta"/>
          <w:jc w:val="center"/>
          <w:rPr>
            <w:rFonts w:ascii="Times New Roman" w:hAnsi="Times New Roman"/>
            <w:sz w:val="18"/>
            <w:szCs w:val="18"/>
          </w:rPr>
        </w:pPr>
        <w:r w:rsidRPr="0035277A">
          <w:rPr>
            <w:rFonts w:ascii="Times New Roman" w:hAnsi="Times New Roman"/>
            <w:sz w:val="18"/>
            <w:szCs w:val="18"/>
          </w:rPr>
          <w:fldChar w:fldCharType="begin"/>
        </w:r>
        <w:r w:rsidRPr="0035277A">
          <w:rPr>
            <w:rFonts w:ascii="Times New Roman" w:hAnsi="Times New Roman"/>
            <w:sz w:val="18"/>
            <w:szCs w:val="18"/>
          </w:rPr>
          <w:instrText>PAGE   \* MERGEFORMAT</w:instrText>
        </w:r>
        <w:r w:rsidRPr="0035277A">
          <w:rPr>
            <w:rFonts w:ascii="Times New Roman" w:hAnsi="Times New Roman"/>
            <w:sz w:val="18"/>
            <w:szCs w:val="18"/>
          </w:rPr>
          <w:fldChar w:fldCharType="separate"/>
        </w:r>
        <w:r w:rsidR="003E75ED" w:rsidRPr="003E75ED">
          <w:rPr>
            <w:rFonts w:ascii="Times New Roman" w:hAnsi="Times New Roman"/>
            <w:noProof/>
            <w:sz w:val="18"/>
            <w:szCs w:val="18"/>
            <w:lang w:val="sk-SK"/>
          </w:rPr>
          <w:t>22</w:t>
        </w:r>
        <w:r w:rsidRPr="0035277A">
          <w:rPr>
            <w:rFonts w:ascii="Times New Roman" w:hAnsi="Times New Roman"/>
            <w:sz w:val="18"/>
            <w:szCs w:val="18"/>
          </w:rPr>
          <w:fldChar w:fldCharType="end"/>
        </w:r>
      </w:p>
    </w:sdtContent>
  </w:sdt>
  <w:p w:rsidR="00A60628" w:rsidRDefault="00A6062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298482"/>
      <w:docPartObj>
        <w:docPartGallery w:val="Page Numbers (Bottom of Page)"/>
        <w:docPartUnique/>
      </w:docPartObj>
    </w:sdtPr>
    <w:sdtEndPr>
      <w:rPr>
        <w:rFonts w:ascii="Times New Roman" w:hAnsi="Times New Roman"/>
        <w:sz w:val="18"/>
        <w:szCs w:val="18"/>
      </w:rPr>
    </w:sdtEndPr>
    <w:sdtContent>
      <w:p w:rsidR="00A60628" w:rsidRPr="0035277A" w:rsidRDefault="00A60628">
        <w:pPr>
          <w:pStyle w:val="Pta"/>
          <w:jc w:val="center"/>
          <w:rPr>
            <w:rFonts w:ascii="Times New Roman" w:hAnsi="Times New Roman"/>
            <w:sz w:val="18"/>
            <w:szCs w:val="18"/>
          </w:rPr>
        </w:pPr>
        <w:r w:rsidRPr="0035277A">
          <w:rPr>
            <w:rFonts w:ascii="Times New Roman" w:hAnsi="Times New Roman"/>
            <w:sz w:val="18"/>
            <w:szCs w:val="18"/>
          </w:rPr>
          <w:fldChar w:fldCharType="begin"/>
        </w:r>
        <w:r w:rsidRPr="0035277A">
          <w:rPr>
            <w:rFonts w:ascii="Times New Roman" w:hAnsi="Times New Roman"/>
            <w:sz w:val="18"/>
            <w:szCs w:val="18"/>
          </w:rPr>
          <w:instrText>PAGE   \* MERGEFORMAT</w:instrText>
        </w:r>
        <w:r w:rsidRPr="0035277A">
          <w:rPr>
            <w:rFonts w:ascii="Times New Roman" w:hAnsi="Times New Roman"/>
            <w:sz w:val="18"/>
            <w:szCs w:val="18"/>
          </w:rPr>
          <w:fldChar w:fldCharType="separate"/>
        </w:r>
        <w:r w:rsidR="003E75ED" w:rsidRPr="003E75ED">
          <w:rPr>
            <w:rFonts w:ascii="Times New Roman" w:hAnsi="Times New Roman"/>
            <w:noProof/>
            <w:sz w:val="18"/>
            <w:szCs w:val="18"/>
            <w:lang w:val="sk-SK"/>
          </w:rPr>
          <w:t>1</w:t>
        </w:r>
        <w:r w:rsidRPr="0035277A">
          <w:rPr>
            <w:rFonts w:ascii="Times New Roman" w:hAnsi="Times New Roman"/>
            <w:sz w:val="18"/>
            <w:szCs w:val="18"/>
          </w:rPr>
          <w:fldChar w:fldCharType="end"/>
        </w:r>
      </w:p>
    </w:sdtContent>
  </w:sdt>
  <w:p w:rsidR="00A60628" w:rsidRPr="005E0E11" w:rsidRDefault="00A60628" w:rsidP="005E0E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092" w:rsidRDefault="00695092" w:rsidP="000322EB">
      <w:pPr>
        <w:spacing w:line="240" w:lineRule="auto"/>
      </w:pPr>
      <w:r>
        <w:separator/>
      </w:r>
    </w:p>
  </w:footnote>
  <w:footnote w:type="continuationSeparator" w:id="0">
    <w:p w:rsidR="00695092" w:rsidRDefault="00695092"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628" w:rsidRPr="006E4700" w:rsidRDefault="00A60628" w:rsidP="00E935FD">
    <w:pPr>
      <w:pStyle w:val="Hlavika"/>
      <w:rPr>
        <w:rFonts w:ascii="Times New Roman" w:hAnsi="Times New Roman"/>
        <w:sz w:val="18"/>
        <w:szCs w:val="18"/>
      </w:rPr>
    </w:pPr>
    <w:r w:rsidRPr="006E4700">
      <w:rPr>
        <w:rFonts w:ascii="Times New Roman" w:hAnsi="Times New Roman"/>
        <w:sz w:val="18"/>
        <w:szCs w:val="18"/>
      </w:rPr>
      <w:t>Schválený text k rozhodnutiu o registrácii, ev. č.: 201</w:t>
    </w:r>
    <w:r>
      <w:rPr>
        <w:rFonts w:ascii="Times New Roman" w:hAnsi="Times New Roman"/>
        <w:sz w:val="18"/>
        <w:szCs w:val="18"/>
      </w:rPr>
      <w:t>4</w:t>
    </w:r>
    <w:r w:rsidRPr="006E4700">
      <w:rPr>
        <w:rFonts w:ascii="Times New Roman" w:hAnsi="Times New Roman"/>
        <w:sz w:val="18"/>
        <w:szCs w:val="18"/>
      </w:rPr>
      <w:t>/06</w:t>
    </w:r>
    <w:r>
      <w:rPr>
        <w:rFonts w:ascii="Times New Roman" w:hAnsi="Times New Roman"/>
        <w:sz w:val="18"/>
        <w:szCs w:val="18"/>
      </w:rPr>
      <w:t>557</w:t>
    </w:r>
    <w:r w:rsidRPr="006E4700">
      <w:rPr>
        <w:rFonts w:ascii="Times New Roman" w:hAnsi="Times New Roman"/>
        <w:sz w:val="18"/>
        <w:szCs w:val="18"/>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13.45pt" o:bullet="t">
        <v:imagedata r:id="rId1" o:title=""/>
      </v:shape>
    </w:pict>
  </w:numPicBullet>
  <w:abstractNum w:abstractNumId="0">
    <w:nsid w:val="FFFFFF7C"/>
    <w:multiLevelType w:val="singleLevel"/>
    <w:tmpl w:val="68863E6A"/>
    <w:lvl w:ilvl="0">
      <w:start w:val="1"/>
      <w:numFmt w:val="decimal"/>
      <w:pStyle w:val="slovanzoznam5"/>
      <w:lvlText w:val="%1."/>
      <w:lvlJc w:val="left"/>
      <w:pPr>
        <w:tabs>
          <w:tab w:val="num" w:pos="1492"/>
        </w:tabs>
        <w:ind w:left="1492" w:hanging="360"/>
      </w:pPr>
    </w:lvl>
  </w:abstractNum>
  <w:abstractNum w:abstractNumId="1">
    <w:nsid w:val="FFFFFF7D"/>
    <w:multiLevelType w:val="singleLevel"/>
    <w:tmpl w:val="CD247862"/>
    <w:lvl w:ilvl="0">
      <w:start w:val="1"/>
      <w:numFmt w:val="decimal"/>
      <w:pStyle w:val="slovanzoznam4"/>
      <w:lvlText w:val="%1."/>
      <w:lvlJc w:val="left"/>
      <w:pPr>
        <w:tabs>
          <w:tab w:val="num" w:pos="1209"/>
        </w:tabs>
        <w:ind w:left="1209" w:hanging="360"/>
      </w:pPr>
    </w:lvl>
  </w:abstractNum>
  <w:abstractNum w:abstractNumId="2">
    <w:nsid w:val="FFFFFF7E"/>
    <w:multiLevelType w:val="singleLevel"/>
    <w:tmpl w:val="B3542198"/>
    <w:lvl w:ilvl="0">
      <w:start w:val="1"/>
      <w:numFmt w:val="decimal"/>
      <w:pStyle w:val="slovanzoznam3"/>
      <w:lvlText w:val="%1."/>
      <w:lvlJc w:val="left"/>
      <w:pPr>
        <w:tabs>
          <w:tab w:val="num" w:pos="926"/>
        </w:tabs>
        <w:ind w:left="926" w:hanging="360"/>
      </w:pPr>
    </w:lvl>
  </w:abstractNum>
  <w:abstractNum w:abstractNumId="3">
    <w:nsid w:val="FFFFFF7F"/>
    <w:multiLevelType w:val="singleLevel"/>
    <w:tmpl w:val="794014A2"/>
    <w:lvl w:ilvl="0">
      <w:start w:val="1"/>
      <w:numFmt w:val="decimal"/>
      <w:pStyle w:val="slovanzoznam2"/>
      <w:lvlText w:val="%1."/>
      <w:lvlJc w:val="left"/>
      <w:pPr>
        <w:tabs>
          <w:tab w:val="num" w:pos="643"/>
        </w:tabs>
        <w:ind w:left="643" w:hanging="360"/>
      </w:pPr>
    </w:lvl>
  </w:abstractNum>
  <w:abstractNum w:abstractNumId="4">
    <w:nsid w:val="FFFFFF80"/>
    <w:multiLevelType w:val="singleLevel"/>
    <w:tmpl w:val="ED381608"/>
    <w:lvl w:ilvl="0">
      <w:start w:val="1"/>
      <w:numFmt w:val="bullet"/>
      <w:pStyle w:val="Zo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C00E862E"/>
    <w:lvl w:ilvl="0">
      <w:start w:val="1"/>
      <w:numFmt w:val="bullet"/>
      <w:pStyle w:val="Zo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208289EC"/>
    <w:lvl w:ilvl="0">
      <w:start w:val="1"/>
      <w:numFmt w:val="bullet"/>
      <w:pStyle w:val="Zoznamsodrkami3"/>
      <w:lvlText w:val=""/>
      <w:lvlJc w:val="left"/>
      <w:pPr>
        <w:tabs>
          <w:tab w:val="num" w:pos="926"/>
        </w:tabs>
        <w:ind w:left="926" w:hanging="360"/>
      </w:pPr>
      <w:rPr>
        <w:rFonts w:ascii="Symbol" w:hAnsi="Symbol" w:hint="default"/>
      </w:rPr>
    </w:lvl>
  </w:abstractNum>
  <w:abstractNum w:abstractNumId="7">
    <w:nsid w:val="FFFFFF83"/>
    <w:multiLevelType w:val="singleLevel"/>
    <w:tmpl w:val="BD4A4560"/>
    <w:lvl w:ilvl="0">
      <w:start w:val="1"/>
      <w:numFmt w:val="bullet"/>
      <w:pStyle w:val="Zoznamsodrkami2"/>
      <w:lvlText w:val=""/>
      <w:lvlJc w:val="left"/>
      <w:pPr>
        <w:tabs>
          <w:tab w:val="num" w:pos="643"/>
        </w:tabs>
        <w:ind w:left="643" w:hanging="360"/>
      </w:pPr>
      <w:rPr>
        <w:rFonts w:ascii="Symbol" w:hAnsi="Symbol" w:hint="default"/>
      </w:rPr>
    </w:lvl>
  </w:abstractNum>
  <w:abstractNum w:abstractNumId="8">
    <w:nsid w:val="FFFFFF88"/>
    <w:multiLevelType w:val="singleLevel"/>
    <w:tmpl w:val="960CE0BA"/>
    <w:lvl w:ilvl="0">
      <w:start w:val="1"/>
      <w:numFmt w:val="decimal"/>
      <w:pStyle w:val="slovanzoznam"/>
      <w:lvlText w:val="%1."/>
      <w:lvlJc w:val="left"/>
      <w:pPr>
        <w:tabs>
          <w:tab w:val="num" w:pos="360"/>
        </w:tabs>
        <w:ind w:left="360" w:hanging="360"/>
      </w:pPr>
    </w:lvl>
  </w:abstractNum>
  <w:abstractNum w:abstractNumId="9">
    <w:nsid w:val="FFFFFF89"/>
    <w:multiLevelType w:val="singleLevel"/>
    <w:tmpl w:val="9B0A3F60"/>
    <w:lvl w:ilvl="0">
      <w:start w:val="1"/>
      <w:numFmt w:val="bullet"/>
      <w:pStyle w:val="Zoznamsodrkami"/>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C5F502D"/>
    <w:multiLevelType w:val="hybridMultilevel"/>
    <w:tmpl w:val="410486D8"/>
    <w:lvl w:ilvl="0" w:tplc="035A0246">
      <w:start w:val="1"/>
      <w:numFmt w:val="bullet"/>
      <w:lvlText w:val="–"/>
      <w:lvlJc w:val="left"/>
      <w:pPr>
        <w:tabs>
          <w:tab w:val="num" w:pos="5256"/>
        </w:tabs>
        <w:ind w:left="5256" w:hanging="360"/>
      </w:pPr>
      <w:rPr>
        <w:rFonts w:ascii="Arial" w:eastAsia="Times New Roman" w:hAnsi="Arial" w:cs="Arial" w:hint="default"/>
      </w:rPr>
    </w:lvl>
    <w:lvl w:ilvl="1" w:tplc="041B0003">
      <w:start w:val="1"/>
      <w:numFmt w:val="bullet"/>
      <w:lvlText w:val="o"/>
      <w:lvlJc w:val="left"/>
      <w:pPr>
        <w:tabs>
          <w:tab w:val="num" w:pos="5976"/>
        </w:tabs>
        <w:ind w:left="5976" w:hanging="360"/>
      </w:pPr>
      <w:rPr>
        <w:rFonts w:ascii="Courier New" w:hAnsi="Courier New" w:cs="Courier New" w:hint="default"/>
      </w:rPr>
    </w:lvl>
    <w:lvl w:ilvl="2" w:tplc="041B0005">
      <w:start w:val="1"/>
      <w:numFmt w:val="bullet"/>
      <w:lvlText w:val=""/>
      <w:lvlJc w:val="left"/>
      <w:pPr>
        <w:tabs>
          <w:tab w:val="num" w:pos="6696"/>
        </w:tabs>
        <w:ind w:left="6696" w:hanging="360"/>
      </w:pPr>
      <w:rPr>
        <w:rFonts w:ascii="Wingdings" w:hAnsi="Wingdings" w:hint="default"/>
      </w:rPr>
    </w:lvl>
    <w:lvl w:ilvl="3" w:tplc="041B0001">
      <w:start w:val="1"/>
      <w:numFmt w:val="bullet"/>
      <w:lvlText w:val=""/>
      <w:lvlJc w:val="left"/>
      <w:pPr>
        <w:tabs>
          <w:tab w:val="num" w:pos="7416"/>
        </w:tabs>
        <w:ind w:left="7416" w:hanging="360"/>
      </w:pPr>
      <w:rPr>
        <w:rFonts w:ascii="Symbol" w:hAnsi="Symbol" w:hint="default"/>
      </w:rPr>
    </w:lvl>
    <w:lvl w:ilvl="4" w:tplc="041B0003">
      <w:start w:val="1"/>
      <w:numFmt w:val="bullet"/>
      <w:lvlText w:val="o"/>
      <w:lvlJc w:val="left"/>
      <w:pPr>
        <w:tabs>
          <w:tab w:val="num" w:pos="8136"/>
        </w:tabs>
        <w:ind w:left="8136" w:hanging="360"/>
      </w:pPr>
      <w:rPr>
        <w:rFonts w:ascii="Courier New" w:hAnsi="Courier New" w:cs="Courier New" w:hint="default"/>
      </w:rPr>
    </w:lvl>
    <w:lvl w:ilvl="5" w:tplc="041B0005">
      <w:start w:val="1"/>
      <w:numFmt w:val="bullet"/>
      <w:lvlText w:val=""/>
      <w:lvlJc w:val="left"/>
      <w:pPr>
        <w:tabs>
          <w:tab w:val="num" w:pos="8856"/>
        </w:tabs>
        <w:ind w:left="8856" w:hanging="360"/>
      </w:pPr>
      <w:rPr>
        <w:rFonts w:ascii="Wingdings" w:hAnsi="Wingdings" w:hint="default"/>
      </w:rPr>
    </w:lvl>
    <w:lvl w:ilvl="6" w:tplc="041B0001">
      <w:start w:val="1"/>
      <w:numFmt w:val="bullet"/>
      <w:lvlText w:val=""/>
      <w:lvlJc w:val="left"/>
      <w:pPr>
        <w:tabs>
          <w:tab w:val="num" w:pos="9576"/>
        </w:tabs>
        <w:ind w:left="9576" w:hanging="360"/>
      </w:pPr>
      <w:rPr>
        <w:rFonts w:ascii="Symbol" w:hAnsi="Symbol" w:hint="default"/>
      </w:rPr>
    </w:lvl>
    <w:lvl w:ilvl="7" w:tplc="041B0003">
      <w:start w:val="1"/>
      <w:numFmt w:val="bullet"/>
      <w:lvlText w:val="o"/>
      <w:lvlJc w:val="left"/>
      <w:pPr>
        <w:tabs>
          <w:tab w:val="num" w:pos="10296"/>
        </w:tabs>
        <w:ind w:left="10296" w:hanging="360"/>
      </w:pPr>
      <w:rPr>
        <w:rFonts w:ascii="Courier New" w:hAnsi="Courier New" w:cs="Courier New" w:hint="default"/>
      </w:rPr>
    </w:lvl>
    <w:lvl w:ilvl="8" w:tplc="041B0005">
      <w:start w:val="1"/>
      <w:numFmt w:val="bullet"/>
      <w:lvlText w:val=""/>
      <w:lvlJc w:val="left"/>
      <w:pPr>
        <w:tabs>
          <w:tab w:val="num" w:pos="11016"/>
        </w:tabs>
        <w:ind w:left="11016" w:hanging="360"/>
      </w:pPr>
      <w:rPr>
        <w:rFonts w:ascii="Wingdings" w:hAnsi="Wingdings" w:hint="default"/>
      </w:rPr>
    </w:lvl>
  </w:abstractNum>
  <w:abstractNum w:abstractNumId="13">
    <w:nsid w:val="117D0AED"/>
    <w:multiLevelType w:val="hybridMultilevel"/>
    <w:tmpl w:val="96329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2EE74FF"/>
    <w:multiLevelType w:val="hybridMultilevel"/>
    <w:tmpl w:val="4FE2E9C8"/>
    <w:lvl w:ilvl="0" w:tplc="041B0003">
      <w:start w:val="1"/>
      <w:numFmt w:val="bullet"/>
      <w:lvlText w:val="o"/>
      <w:lvlJc w:val="left"/>
      <w:pPr>
        <w:ind w:left="644" w:hanging="360"/>
      </w:pPr>
      <w:rPr>
        <w:rFonts w:ascii="Courier New" w:hAnsi="Courier New" w:cs="Courier New"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5">
    <w:nsid w:val="12FE41B6"/>
    <w:multiLevelType w:val="hybridMultilevel"/>
    <w:tmpl w:val="597657A4"/>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194F346C"/>
    <w:multiLevelType w:val="hybridMultilevel"/>
    <w:tmpl w:val="AB0EE20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nsid w:val="1CE53AA7"/>
    <w:multiLevelType w:val="hybridMultilevel"/>
    <w:tmpl w:val="9B6C0306"/>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212713E5"/>
    <w:multiLevelType w:val="hybridMultilevel"/>
    <w:tmpl w:val="C2EC60E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9835304"/>
    <w:multiLevelType w:val="hybridMultilevel"/>
    <w:tmpl w:val="355A28B8"/>
    <w:lvl w:ilvl="0" w:tplc="5A141B02">
      <w:start w:val="1"/>
      <w:numFmt w:val="bullet"/>
      <w:lvlText w:val=""/>
      <w:lvlJc w:val="left"/>
      <w:pPr>
        <w:ind w:left="720" w:hanging="360"/>
      </w:pPr>
      <w:rPr>
        <w:rFonts w:ascii="Symbol" w:hAnsi="Symbol" w:hint="default"/>
        <w:color w:val="auto"/>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9B7025B"/>
    <w:multiLevelType w:val="hybridMultilevel"/>
    <w:tmpl w:val="080AAA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303759B6"/>
    <w:multiLevelType w:val="hybridMultilevel"/>
    <w:tmpl w:val="ACA005B8"/>
    <w:lvl w:ilvl="0" w:tplc="FFFFFFFF">
      <w:start w:val="1"/>
      <w:numFmt w:val="bullet"/>
      <w:lvlText w:val="-"/>
      <w:lvlJc w:val="left"/>
      <w:pPr>
        <w:tabs>
          <w:tab w:val="num" w:pos="720"/>
        </w:tabs>
        <w:ind w:left="720" w:hanging="360"/>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3">
    <w:nsid w:val="304D45FD"/>
    <w:multiLevelType w:val="hybridMultilevel"/>
    <w:tmpl w:val="BA0C0266"/>
    <w:lvl w:ilvl="0" w:tplc="041B0001">
      <w:start w:val="1"/>
      <w:numFmt w:val="bullet"/>
      <w:lvlText w:val=""/>
      <w:lvlJc w:val="left"/>
      <w:pPr>
        <w:tabs>
          <w:tab w:val="num" w:pos="567"/>
        </w:tabs>
        <w:ind w:left="567" w:hanging="567"/>
      </w:pPr>
      <w:rPr>
        <w:rFonts w:ascii="Symbol" w:hAnsi="Symbol" w:hint="default"/>
        <w:color w:val="auto"/>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30FE4B2B"/>
    <w:multiLevelType w:val="hybridMultilevel"/>
    <w:tmpl w:val="02467E28"/>
    <w:lvl w:ilvl="0" w:tplc="49083B70">
      <w:start w:val="1"/>
      <w:numFmt w:val="bullet"/>
      <w:lvlText w:val=""/>
      <w:lvlJc w:val="center"/>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31BC37EA"/>
    <w:multiLevelType w:val="hybridMultilevel"/>
    <w:tmpl w:val="BA24665C"/>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42016D4C"/>
    <w:multiLevelType w:val="hybridMultilevel"/>
    <w:tmpl w:val="93FEFB1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48EE2875"/>
    <w:multiLevelType w:val="hybridMultilevel"/>
    <w:tmpl w:val="B574A3BE"/>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4A6F3E3D"/>
    <w:multiLevelType w:val="hybridMultilevel"/>
    <w:tmpl w:val="9BA81DEE"/>
    <w:lvl w:ilvl="0" w:tplc="2226913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E12451B"/>
    <w:multiLevelType w:val="hybridMultilevel"/>
    <w:tmpl w:val="A9CC97F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0E767E0"/>
    <w:multiLevelType w:val="hybridMultilevel"/>
    <w:tmpl w:val="994ED322"/>
    <w:lvl w:ilvl="0" w:tplc="FFFFFFFF">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nsid w:val="589D51F3"/>
    <w:multiLevelType w:val="hybridMultilevel"/>
    <w:tmpl w:val="4E928976"/>
    <w:lvl w:ilvl="0" w:tplc="369A0BF0">
      <w:start w:val="1"/>
      <w:numFmt w:val="bullet"/>
      <w:lvlText w:val=""/>
      <w:lvlJc w:val="center"/>
      <w:pPr>
        <w:ind w:left="0" w:firstLine="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3">
    <w:nsid w:val="5D5F3EA3"/>
    <w:multiLevelType w:val="hybridMultilevel"/>
    <w:tmpl w:val="72E8AFB4"/>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5D7512AD"/>
    <w:multiLevelType w:val="hybridMultilevel"/>
    <w:tmpl w:val="4F04D15C"/>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nsid w:val="64B71DD0"/>
    <w:multiLevelType w:val="hybridMultilevel"/>
    <w:tmpl w:val="65D65BAC"/>
    <w:lvl w:ilvl="0" w:tplc="49083B70">
      <w:start w:val="1"/>
      <w:numFmt w:val="bullet"/>
      <w:lvlText w:val=""/>
      <w:lvlJc w:val="center"/>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nsid w:val="6C140ACF"/>
    <w:multiLevelType w:val="hybridMultilevel"/>
    <w:tmpl w:val="CB701196"/>
    <w:lvl w:ilvl="0" w:tplc="EC308DB0">
      <w:start w:val="1"/>
      <w:numFmt w:val="bullet"/>
      <w:lvlText w:val=""/>
      <w:lvlPicBulletId w:val="0"/>
      <w:lvlJc w:val="left"/>
      <w:pPr>
        <w:tabs>
          <w:tab w:val="num" w:pos="720"/>
        </w:tabs>
        <w:ind w:left="720" w:hanging="360"/>
      </w:pPr>
      <w:rPr>
        <w:rFonts w:ascii="Symbol" w:hAnsi="Symbol" w:hint="default"/>
      </w:rPr>
    </w:lvl>
    <w:lvl w:ilvl="1" w:tplc="33F83D0A" w:tentative="1">
      <w:start w:val="1"/>
      <w:numFmt w:val="bullet"/>
      <w:lvlText w:val=""/>
      <w:lvlJc w:val="left"/>
      <w:pPr>
        <w:tabs>
          <w:tab w:val="num" w:pos="1440"/>
        </w:tabs>
        <w:ind w:left="1440" w:hanging="360"/>
      </w:pPr>
      <w:rPr>
        <w:rFonts w:ascii="Symbol" w:hAnsi="Symbol" w:hint="default"/>
      </w:rPr>
    </w:lvl>
    <w:lvl w:ilvl="2" w:tplc="08CCB46E" w:tentative="1">
      <w:start w:val="1"/>
      <w:numFmt w:val="bullet"/>
      <w:lvlText w:val=""/>
      <w:lvlJc w:val="left"/>
      <w:pPr>
        <w:tabs>
          <w:tab w:val="num" w:pos="2160"/>
        </w:tabs>
        <w:ind w:left="2160" w:hanging="360"/>
      </w:pPr>
      <w:rPr>
        <w:rFonts w:ascii="Symbol" w:hAnsi="Symbol" w:hint="default"/>
      </w:rPr>
    </w:lvl>
    <w:lvl w:ilvl="3" w:tplc="89D42762" w:tentative="1">
      <w:start w:val="1"/>
      <w:numFmt w:val="bullet"/>
      <w:lvlText w:val=""/>
      <w:lvlJc w:val="left"/>
      <w:pPr>
        <w:tabs>
          <w:tab w:val="num" w:pos="2880"/>
        </w:tabs>
        <w:ind w:left="2880" w:hanging="360"/>
      </w:pPr>
      <w:rPr>
        <w:rFonts w:ascii="Symbol" w:hAnsi="Symbol" w:hint="default"/>
      </w:rPr>
    </w:lvl>
    <w:lvl w:ilvl="4" w:tplc="5CBE5A1E" w:tentative="1">
      <w:start w:val="1"/>
      <w:numFmt w:val="bullet"/>
      <w:lvlText w:val=""/>
      <w:lvlJc w:val="left"/>
      <w:pPr>
        <w:tabs>
          <w:tab w:val="num" w:pos="3600"/>
        </w:tabs>
        <w:ind w:left="3600" w:hanging="360"/>
      </w:pPr>
      <w:rPr>
        <w:rFonts w:ascii="Symbol" w:hAnsi="Symbol" w:hint="default"/>
      </w:rPr>
    </w:lvl>
    <w:lvl w:ilvl="5" w:tplc="CD48EB4E" w:tentative="1">
      <w:start w:val="1"/>
      <w:numFmt w:val="bullet"/>
      <w:lvlText w:val=""/>
      <w:lvlJc w:val="left"/>
      <w:pPr>
        <w:tabs>
          <w:tab w:val="num" w:pos="4320"/>
        </w:tabs>
        <w:ind w:left="4320" w:hanging="360"/>
      </w:pPr>
      <w:rPr>
        <w:rFonts w:ascii="Symbol" w:hAnsi="Symbol" w:hint="default"/>
      </w:rPr>
    </w:lvl>
    <w:lvl w:ilvl="6" w:tplc="AA7004C6" w:tentative="1">
      <w:start w:val="1"/>
      <w:numFmt w:val="bullet"/>
      <w:lvlText w:val=""/>
      <w:lvlJc w:val="left"/>
      <w:pPr>
        <w:tabs>
          <w:tab w:val="num" w:pos="5040"/>
        </w:tabs>
        <w:ind w:left="5040" w:hanging="360"/>
      </w:pPr>
      <w:rPr>
        <w:rFonts w:ascii="Symbol" w:hAnsi="Symbol" w:hint="default"/>
      </w:rPr>
    </w:lvl>
    <w:lvl w:ilvl="7" w:tplc="62CA5F7A" w:tentative="1">
      <w:start w:val="1"/>
      <w:numFmt w:val="bullet"/>
      <w:lvlText w:val=""/>
      <w:lvlJc w:val="left"/>
      <w:pPr>
        <w:tabs>
          <w:tab w:val="num" w:pos="5760"/>
        </w:tabs>
        <w:ind w:left="5760" w:hanging="360"/>
      </w:pPr>
      <w:rPr>
        <w:rFonts w:ascii="Symbol" w:hAnsi="Symbol" w:hint="default"/>
      </w:rPr>
    </w:lvl>
    <w:lvl w:ilvl="8" w:tplc="63145AB8" w:tentative="1">
      <w:start w:val="1"/>
      <w:numFmt w:val="bullet"/>
      <w:lvlText w:val=""/>
      <w:lvlJc w:val="left"/>
      <w:pPr>
        <w:tabs>
          <w:tab w:val="num" w:pos="6480"/>
        </w:tabs>
        <w:ind w:left="6480" w:hanging="360"/>
      </w:pPr>
      <w:rPr>
        <w:rFonts w:ascii="Symbol" w:hAnsi="Symbol" w:hint="default"/>
      </w:rPr>
    </w:lvl>
  </w:abstractNum>
  <w:abstractNum w:abstractNumId="37">
    <w:nsid w:val="6D4D7D58"/>
    <w:multiLevelType w:val="hybridMultilevel"/>
    <w:tmpl w:val="F6466A1C"/>
    <w:lvl w:ilvl="0" w:tplc="F42007EE">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nsid w:val="6D564263"/>
    <w:multiLevelType w:val="hybridMultilevel"/>
    <w:tmpl w:val="016CF2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46A526A"/>
    <w:multiLevelType w:val="hybridMultilevel"/>
    <w:tmpl w:val="066E08CC"/>
    <w:lvl w:ilvl="0" w:tplc="5EC8918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A654E9F"/>
    <w:multiLevelType w:val="hybridMultilevel"/>
    <w:tmpl w:val="DD0A695E"/>
    <w:lvl w:ilvl="0" w:tplc="73BEB85E">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7BD55DF2"/>
    <w:multiLevelType w:val="hybridMultilevel"/>
    <w:tmpl w:val="CC9AC1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7CA23916"/>
    <w:multiLevelType w:val="hybridMultilevel"/>
    <w:tmpl w:val="B19AE786"/>
    <w:lvl w:ilvl="0" w:tplc="4112CFA0">
      <w:numFmt w:val="bullet"/>
      <w:lvlText w:val="-"/>
      <w:lvlJc w:val="left"/>
      <w:pPr>
        <w:ind w:left="930" w:hanging="360"/>
      </w:pPr>
      <w:rPr>
        <w:rFonts w:ascii="Times New Roman" w:eastAsia="Times New Roman" w:hAnsi="Times New Roman" w:cs="Times New Roman" w:hint="default"/>
      </w:rPr>
    </w:lvl>
    <w:lvl w:ilvl="1" w:tplc="041B0003" w:tentative="1">
      <w:start w:val="1"/>
      <w:numFmt w:val="bullet"/>
      <w:lvlText w:val="o"/>
      <w:lvlJc w:val="left"/>
      <w:pPr>
        <w:ind w:left="1650" w:hanging="360"/>
      </w:pPr>
      <w:rPr>
        <w:rFonts w:ascii="Courier New" w:hAnsi="Courier New" w:cs="Courier New" w:hint="default"/>
      </w:rPr>
    </w:lvl>
    <w:lvl w:ilvl="2" w:tplc="041B0005" w:tentative="1">
      <w:start w:val="1"/>
      <w:numFmt w:val="bullet"/>
      <w:lvlText w:val=""/>
      <w:lvlJc w:val="left"/>
      <w:pPr>
        <w:ind w:left="2370" w:hanging="360"/>
      </w:pPr>
      <w:rPr>
        <w:rFonts w:ascii="Wingdings" w:hAnsi="Wingdings" w:hint="default"/>
      </w:rPr>
    </w:lvl>
    <w:lvl w:ilvl="3" w:tplc="041B0001" w:tentative="1">
      <w:start w:val="1"/>
      <w:numFmt w:val="bullet"/>
      <w:lvlText w:val=""/>
      <w:lvlJc w:val="left"/>
      <w:pPr>
        <w:ind w:left="3090" w:hanging="360"/>
      </w:pPr>
      <w:rPr>
        <w:rFonts w:ascii="Symbol" w:hAnsi="Symbol" w:hint="default"/>
      </w:rPr>
    </w:lvl>
    <w:lvl w:ilvl="4" w:tplc="041B0003" w:tentative="1">
      <w:start w:val="1"/>
      <w:numFmt w:val="bullet"/>
      <w:lvlText w:val="o"/>
      <w:lvlJc w:val="left"/>
      <w:pPr>
        <w:ind w:left="3810" w:hanging="360"/>
      </w:pPr>
      <w:rPr>
        <w:rFonts w:ascii="Courier New" w:hAnsi="Courier New" w:cs="Courier New" w:hint="default"/>
      </w:rPr>
    </w:lvl>
    <w:lvl w:ilvl="5" w:tplc="041B0005" w:tentative="1">
      <w:start w:val="1"/>
      <w:numFmt w:val="bullet"/>
      <w:lvlText w:val=""/>
      <w:lvlJc w:val="left"/>
      <w:pPr>
        <w:ind w:left="4530" w:hanging="360"/>
      </w:pPr>
      <w:rPr>
        <w:rFonts w:ascii="Wingdings" w:hAnsi="Wingdings" w:hint="default"/>
      </w:rPr>
    </w:lvl>
    <w:lvl w:ilvl="6" w:tplc="041B0001" w:tentative="1">
      <w:start w:val="1"/>
      <w:numFmt w:val="bullet"/>
      <w:lvlText w:val=""/>
      <w:lvlJc w:val="left"/>
      <w:pPr>
        <w:ind w:left="5250" w:hanging="360"/>
      </w:pPr>
      <w:rPr>
        <w:rFonts w:ascii="Symbol" w:hAnsi="Symbol" w:hint="default"/>
      </w:rPr>
    </w:lvl>
    <w:lvl w:ilvl="7" w:tplc="041B0003" w:tentative="1">
      <w:start w:val="1"/>
      <w:numFmt w:val="bullet"/>
      <w:lvlText w:val="o"/>
      <w:lvlJc w:val="left"/>
      <w:pPr>
        <w:ind w:left="5970" w:hanging="360"/>
      </w:pPr>
      <w:rPr>
        <w:rFonts w:ascii="Courier New" w:hAnsi="Courier New" w:cs="Courier New" w:hint="default"/>
      </w:rPr>
    </w:lvl>
    <w:lvl w:ilvl="8" w:tplc="041B0005" w:tentative="1">
      <w:start w:val="1"/>
      <w:numFmt w:val="bullet"/>
      <w:lvlText w:val=""/>
      <w:lvlJc w:val="left"/>
      <w:pPr>
        <w:ind w:left="669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23"/>
  </w:num>
  <w:num w:numId="4">
    <w:abstractNumId w:val="18"/>
  </w:num>
  <w:num w:numId="5">
    <w:abstractNumId w:val="10"/>
    <w:lvlOverride w:ilvl="0">
      <w:lvl w:ilvl="0">
        <w:start w:val="1"/>
        <w:numFmt w:val="bullet"/>
        <w:lvlText w:val="-"/>
        <w:legacy w:legacy="1" w:legacySpace="0" w:legacyIndent="360"/>
        <w:lvlJc w:val="left"/>
        <w:pPr>
          <w:ind w:left="360" w:hanging="360"/>
        </w:pPr>
      </w:lvl>
    </w:lvlOverride>
  </w:num>
  <w:num w:numId="6">
    <w:abstractNumId w:val="40"/>
  </w:num>
  <w:num w:numId="7">
    <w:abstractNumId w:val="16"/>
  </w:num>
  <w:num w:numId="8">
    <w:abstractNumId w:val="26"/>
  </w:num>
  <w:num w:numId="9">
    <w:abstractNumId w:val="29"/>
  </w:num>
  <w:num w:numId="10">
    <w:abstractNumId w:val="11"/>
  </w:num>
  <w:num w:numId="11">
    <w:abstractNumId w:val="17"/>
  </w:num>
  <w:num w:numId="12">
    <w:abstractNumId w:val="20"/>
  </w:num>
  <w:num w:numId="13">
    <w:abstractNumId w:val="21"/>
  </w:num>
  <w:num w:numId="14">
    <w:abstractNumId w:val="38"/>
  </w:num>
  <w:num w:numId="15">
    <w:abstractNumId w:val="36"/>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35"/>
  </w:num>
  <w:num w:numId="27">
    <w:abstractNumId w:val="33"/>
  </w:num>
  <w:num w:numId="28">
    <w:abstractNumId w:val="14"/>
  </w:num>
  <w:num w:numId="29">
    <w:abstractNumId w:val="31"/>
  </w:num>
  <w:num w:numId="30">
    <w:abstractNumId w:val="25"/>
  </w:num>
  <w:num w:numId="31">
    <w:abstractNumId w:val="28"/>
  </w:num>
  <w:num w:numId="32">
    <w:abstractNumId w:val="13"/>
  </w:num>
  <w:num w:numId="33">
    <w:abstractNumId w:val="12"/>
  </w:num>
  <w:num w:numId="34">
    <w:abstractNumId w:val="42"/>
  </w:num>
  <w:num w:numId="35">
    <w:abstractNumId w:val="15"/>
  </w:num>
  <w:num w:numId="36">
    <w:abstractNumId w:val="22"/>
  </w:num>
  <w:num w:numId="37">
    <w:abstractNumId w:val="19"/>
  </w:num>
  <w:num w:numId="38">
    <w:abstractNumId w:val="30"/>
  </w:num>
  <w:num w:numId="39">
    <w:abstractNumId w:val="41"/>
  </w:num>
  <w:num w:numId="40">
    <w:abstractNumId w:val="27"/>
  </w:num>
  <w:num w:numId="41">
    <w:abstractNumId w:val="34"/>
  </w:num>
  <w:num w:numId="42">
    <w:abstractNumId w:val="37"/>
  </w:num>
  <w:num w:numId="43">
    <w:abstractNumId w:val="24"/>
  </w:num>
  <w:num w:numId="44">
    <w:abstractNumId w:val="3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EB"/>
    <w:rsid w:val="00001353"/>
    <w:rsid w:val="00002AB9"/>
    <w:rsid w:val="0001687F"/>
    <w:rsid w:val="00016C73"/>
    <w:rsid w:val="0001711F"/>
    <w:rsid w:val="00020982"/>
    <w:rsid w:val="00022599"/>
    <w:rsid w:val="00024940"/>
    <w:rsid w:val="00030669"/>
    <w:rsid w:val="000322EB"/>
    <w:rsid w:val="000427FC"/>
    <w:rsid w:val="00045B76"/>
    <w:rsid w:val="000534BE"/>
    <w:rsid w:val="00056481"/>
    <w:rsid w:val="000640C2"/>
    <w:rsid w:val="000657C8"/>
    <w:rsid w:val="0006668C"/>
    <w:rsid w:val="0007175F"/>
    <w:rsid w:val="00072349"/>
    <w:rsid w:val="00076DB9"/>
    <w:rsid w:val="000918C1"/>
    <w:rsid w:val="000945C6"/>
    <w:rsid w:val="00095752"/>
    <w:rsid w:val="000A305A"/>
    <w:rsid w:val="000A3F13"/>
    <w:rsid w:val="000A4EE0"/>
    <w:rsid w:val="000A5B38"/>
    <w:rsid w:val="000A5D04"/>
    <w:rsid w:val="000A61C0"/>
    <w:rsid w:val="000A7A9D"/>
    <w:rsid w:val="000B07D2"/>
    <w:rsid w:val="000C361A"/>
    <w:rsid w:val="000C5410"/>
    <w:rsid w:val="000C557F"/>
    <w:rsid w:val="000C7503"/>
    <w:rsid w:val="000E2570"/>
    <w:rsid w:val="000E6EF3"/>
    <w:rsid w:val="000F0171"/>
    <w:rsid w:val="000F049B"/>
    <w:rsid w:val="000F0F2A"/>
    <w:rsid w:val="000F329B"/>
    <w:rsid w:val="000F4A9B"/>
    <w:rsid w:val="00105A56"/>
    <w:rsid w:val="00107160"/>
    <w:rsid w:val="00107F5E"/>
    <w:rsid w:val="00114507"/>
    <w:rsid w:val="00115366"/>
    <w:rsid w:val="001167F9"/>
    <w:rsid w:val="001208CC"/>
    <w:rsid w:val="00120F2D"/>
    <w:rsid w:val="00122115"/>
    <w:rsid w:val="00122E92"/>
    <w:rsid w:val="00125386"/>
    <w:rsid w:val="001307F6"/>
    <w:rsid w:val="00140D58"/>
    <w:rsid w:val="001458FB"/>
    <w:rsid w:val="00145F1C"/>
    <w:rsid w:val="001519A2"/>
    <w:rsid w:val="00161C46"/>
    <w:rsid w:val="00162E4B"/>
    <w:rsid w:val="00167BAF"/>
    <w:rsid w:val="00171B26"/>
    <w:rsid w:val="00176D24"/>
    <w:rsid w:val="00177013"/>
    <w:rsid w:val="00177FD5"/>
    <w:rsid w:val="0018025C"/>
    <w:rsid w:val="001832C6"/>
    <w:rsid w:val="00183332"/>
    <w:rsid w:val="001834A3"/>
    <w:rsid w:val="00183524"/>
    <w:rsid w:val="00183C84"/>
    <w:rsid w:val="001843A3"/>
    <w:rsid w:val="00184DCE"/>
    <w:rsid w:val="00186ED2"/>
    <w:rsid w:val="00190674"/>
    <w:rsid w:val="00191736"/>
    <w:rsid w:val="00191F06"/>
    <w:rsid w:val="001A43F3"/>
    <w:rsid w:val="001A5291"/>
    <w:rsid w:val="001C2613"/>
    <w:rsid w:val="001C4756"/>
    <w:rsid w:val="001C644F"/>
    <w:rsid w:val="001D2613"/>
    <w:rsid w:val="001D26D5"/>
    <w:rsid w:val="001D3756"/>
    <w:rsid w:val="001D54E9"/>
    <w:rsid w:val="001E0185"/>
    <w:rsid w:val="001E1EAA"/>
    <w:rsid w:val="001E2F5B"/>
    <w:rsid w:val="001E434A"/>
    <w:rsid w:val="001F22FE"/>
    <w:rsid w:val="001F2A0C"/>
    <w:rsid w:val="001F3B9B"/>
    <w:rsid w:val="001F7158"/>
    <w:rsid w:val="00204DAC"/>
    <w:rsid w:val="00212A25"/>
    <w:rsid w:val="00212C9A"/>
    <w:rsid w:val="00214121"/>
    <w:rsid w:val="00215D35"/>
    <w:rsid w:val="0022025A"/>
    <w:rsid w:val="0022405A"/>
    <w:rsid w:val="00226D79"/>
    <w:rsid w:val="002271B3"/>
    <w:rsid w:val="002330DE"/>
    <w:rsid w:val="00233E2F"/>
    <w:rsid w:val="002368FF"/>
    <w:rsid w:val="002404CA"/>
    <w:rsid w:val="00240D18"/>
    <w:rsid w:val="00242C3A"/>
    <w:rsid w:val="00242F45"/>
    <w:rsid w:val="00243F00"/>
    <w:rsid w:val="00246758"/>
    <w:rsid w:val="00247676"/>
    <w:rsid w:val="0024778E"/>
    <w:rsid w:val="0025367B"/>
    <w:rsid w:val="00263A6D"/>
    <w:rsid w:val="0026541A"/>
    <w:rsid w:val="0027555B"/>
    <w:rsid w:val="00276D52"/>
    <w:rsid w:val="00287D9E"/>
    <w:rsid w:val="00290504"/>
    <w:rsid w:val="00290750"/>
    <w:rsid w:val="00291594"/>
    <w:rsid w:val="00291700"/>
    <w:rsid w:val="00292630"/>
    <w:rsid w:val="00292CF5"/>
    <w:rsid w:val="002959D7"/>
    <w:rsid w:val="00295F76"/>
    <w:rsid w:val="002A661D"/>
    <w:rsid w:val="002A7D9B"/>
    <w:rsid w:val="002B0EF2"/>
    <w:rsid w:val="002B2677"/>
    <w:rsid w:val="002B42BE"/>
    <w:rsid w:val="002B5D70"/>
    <w:rsid w:val="002C08B7"/>
    <w:rsid w:val="002C1B97"/>
    <w:rsid w:val="002C3479"/>
    <w:rsid w:val="002C36CF"/>
    <w:rsid w:val="002C711C"/>
    <w:rsid w:val="002D7721"/>
    <w:rsid w:val="002E6422"/>
    <w:rsid w:val="002F171E"/>
    <w:rsid w:val="002F1D07"/>
    <w:rsid w:val="002F4B26"/>
    <w:rsid w:val="002F6BAC"/>
    <w:rsid w:val="00301483"/>
    <w:rsid w:val="003027AD"/>
    <w:rsid w:val="003057CF"/>
    <w:rsid w:val="003071F3"/>
    <w:rsid w:val="00311B02"/>
    <w:rsid w:val="00311B95"/>
    <w:rsid w:val="00312ED2"/>
    <w:rsid w:val="00320776"/>
    <w:rsid w:val="00323A2E"/>
    <w:rsid w:val="00324AEB"/>
    <w:rsid w:val="003270E6"/>
    <w:rsid w:val="003408CA"/>
    <w:rsid w:val="003460F9"/>
    <w:rsid w:val="00347239"/>
    <w:rsid w:val="0035277A"/>
    <w:rsid w:val="00352BE3"/>
    <w:rsid w:val="00355093"/>
    <w:rsid w:val="003558CB"/>
    <w:rsid w:val="00357FCE"/>
    <w:rsid w:val="00364757"/>
    <w:rsid w:val="00364B81"/>
    <w:rsid w:val="003739FC"/>
    <w:rsid w:val="00373D05"/>
    <w:rsid w:val="0037756E"/>
    <w:rsid w:val="00392C28"/>
    <w:rsid w:val="00395CBF"/>
    <w:rsid w:val="00396A0D"/>
    <w:rsid w:val="003970DD"/>
    <w:rsid w:val="003975B5"/>
    <w:rsid w:val="003A0A8C"/>
    <w:rsid w:val="003A1224"/>
    <w:rsid w:val="003A3371"/>
    <w:rsid w:val="003A43C7"/>
    <w:rsid w:val="003A4A87"/>
    <w:rsid w:val="003A67B0"/>
    <w:rsid w:val="003A6944"/>
    <w:rsid w:val="003B1230"/>
    <w:rsid w:val="003B2800"/>
    <w:rsid w:val="003B44F4"/>
    <w:rsid w:val="003C32F7"/>
    <w:rsid w:val="003D19EA"/>
    <w:rsid w:val="003D5633"/>
    <w:rsid w:val="003E6857"/>
    <w:rsid w:val="003E75ED"/>
    <w:rsid w:val="003F2088"/>
    <w:rsid w:val="003F3412"/>
    <w:rsid w:val="003F4B7F"/>
    <w:rsid w:val="003F642F"/>
    <w:rsid w:val="00400E70"/>
    <w:rsid w:val="004018C5"/>
    <w:rsid w:val="00403131"/>
    <w:rsid w:val="00403299"/>
    <w:rsid w:val="00412411"/>
    <w:rsid w:val="004170AA"/>
    <w:rsid w:val="00421A58"/>
    <w:rsid w:val="0042348C"/>
    <w:rsid w:val="00423F22"/>
    <w:rsid w:val="004243C4"/>
    <w:rsid w:val="004258CF"/>
    <w:rsid w:val="00425AB6"/>
    <w:rsid w:val="004372C3"/>
    <w:rsid w:val="00446590"/>
    <w:rsid w:val="00447736"/>
    <w:rsid w:val="00451911"/>
    <w:rsid w:val="00451CEC"/>
    <w:rsid w:val="00451E10"/>
    <w:rsid w:val="00455044"/>
    <w:rsid w:val="00457E73"/>
    <w:rsid w:val="00462A6F"/>
    <w:rsid w:val="00462B52"/>
    <w:rsid w:val="00463771"/>
    <w:rsid w:val="0046521A"/>
    <w:rsid w:val="00474794"/>
    <w:rsid w:val="004763D5"/>
    <w:rsid w:val="004773C9"/>
    <w:rsid w:val="0048546F"/>
    <w:rsid w:val="0048748B"/>
    <w:rsid w:val="0049630F"/>
    <w:rsid w:val="004A1A61"/>
    <w:rsid w:val="004A3856"/>
    <w:rsid w:val="004A4252"/>
    <w:rsid w:val="004A4F93"/>
    <w:rsid w:val="004B5386"/>
    <w:rsid w:val="004B6B9D"/>
    <w:rsid w:val="004B7F4C"/>
    <w:rsid w:val="004C2604"/>
    <w:rsid w:val="004C2CE8"/>
    <w:rsid w:val="004C3B0F"/>
    <w:rsid w:val="004C70D8"/>
    <w:rsid w:val="004C7551"/>
    <w:rsid w:val="004D2BC8"/>
    <w:rsid w:val="004D7890"/>
    <w:rsid w:val="004E0C8E"/>
    <w:rsid w:val="004E261E"/>
    <w:rsid w:val="004E3357"/>
    <w:rsid w:val="004E3F1A"/>
    <w:rsid w:val="004E3FB5"/>
    <w:rsid w:val="004E4D84"/>
    <w:rsid w:val="004E538B"/>
    <w:rsid w:val="004E7DE3"/>
    <w:rsid w:val="004F0BCE"/>
    <w:rsid w:val="004F12EE"/>
    <w:rsid w:val="004F3B43"/>
    <w:rsid w:val="004F6148"/>
    <w:rsid w:val="004F68CA"/>
    <w:rsid w:val="004F6E8E"/>
    <w:rsid w:val="00501707"/>
    <w:rsid w:val="005110C0"/>
    <w:rsid w:val="00512167"/>
    <w:rsid w:val="005130B6"/>
    <w:rsid w:val="00514579"/>
    <w:rsid w:val="00515F24"/>
    <w:rsid w:val="00521B64"/>
    <w:rsid w:val="00530481"/>
    <w:rsid w:val="0053206B"/>
    <w:rsid w:val="005343B8"/>
    <w:rsid w:val="00536FBF"/>
    <w:rsid w:val="00537FB8"/>
    <w:rsid w:val="0054284D"/>
    <w:rsid w:val="00544C51"/>
    <w:rsid w:val="00551E8D"/>
    <w:rsid w:val="00555685"/>
    <w:rsid w:val="00555D08"/>
    <w:rsid w:val="0056007F"/>
    <w:rsid w:val="00561C6B"/>
    <w:rsid w:val="0057298C"/>
    <w:rsid w:val="005730D7"/>
    <w:rsid w:val="00577C4E"/>
    <w:rsid w:val="00584066"/>
    <w:rsid w:val="00585DE6"/>
    <w:rsid w:val="00586480"/>
    <w:rsid w:val="00586EC9"/>
    <w:rsid w:val="0059368D"/>
    <w:rsid w:val="0059635B"/>
    <w:rsid w:val="00596993"/>
    <w:rsid w:val="00596D27"/>
    <w:rsid w:val="005A55B6"/>
    <w:rsid w:val="005B00BA"/>
    <w:rsid w:val="005B6FAA"/>
    <w:rsid w:val="005C1F7F"/>
    <w:rsid w:val="005C4CF2"/>
    <w:rsid w:val="005C503C"/>
    <w:rsid w:val="005C6CE8"/>
    <w:rsid w:val="005D02FF"/>
    <w:rsid w:val="005D37B3"/>
    <w:rsid w:val="005D7998"/>
    <w:rsid w:val="005E0E11"/>
    <w:rsid w:val="005E15E2"/>
    <w:rsid w:val="005E25AA"/>
    <w:rsid w:val="005E3FDA"/>
    <w:rsid w:val="005E5C52"/>
    <w:rsid w:val="005F03D8"/>
    <w:rsid w:val="005F52F7"/>
    <w:rsid w:val="005F5D28"/>
    <w:rsid w:val="005F628C"/>
    <w:rsid w:val="00600B87"/>
    <w:rsid w:val="00601667"/>
    <w:rsid w:val="00601698"/>
    <w:rsid w:val="0060489E"/>
    <w:rsid w:val="006137E9"/>
    <w:rsid w:val="0061581F"/>
    <w:rsid w:val="006162F5"/>
    <w:rsid w:val="0061779E"/>
    <w:rsid w:val="00621016"/>
    <w:rsid w:val="0062191A"/>
    <w:rsid w:val="0062429D"/>
    <w:rsid w:val="006247AB"/>
    <w:rsid w:val="0062563F"/>
    <w:rsid w:val="00626D0D"/>
    <w:rsid w:val="0063694C"/>
    <w:rsid w:val="0064101D"/>
    <w:rsid w:val="00641F39"/>
    <w:rsid w:val="0065017C"/>
    <w:rsid w:val="00650FB7"/>
    <w:rsid w:val="006541BD"/>
    <w:rsid w:val="00655318"/>
    <w:rsid w:val="00656ECA"/>
    <w:rsid w:val="0066033C"/>
    <w:rsid w:val="00662211"/>
    <w:rsid w:val="006626D3"/>
    <w:rsid w:val="0066426D"/>
    <w:rsid w:val="00664EEF"/>
    <w:rsid w:val="00670A19"/>
    <w:rsid w:val="00671A6E"/>
    <w:rsid w:val="006728FD"/>
    <w:rsid w:val="00673ACF"/>
    <w:rsid w:val="00676D6B"/>
    <w:rsid w:val="006826C9"/>
    <w:rsid w:val="006831E1"/>
    <w:rsid w:val="00695092"/>
    <w:rsid w:val="006A1EBC"/>
    <w:rsid w:val="006A4FD3"/>
    <w:rsid w:val="006A6164"/>
    <w:rsid w:val="006B01CE"/>
    <w:rsid w:val="006B06C5"/>
    <w:rsid w:val="006B31C1"/>
    <w:rsid w:val="006B3314"/>
    <w:rsid w:val="006B5192"/>
    <w:rsid w:val="006B586D"/>
    <w:rsid w:val="006B658D"/>
    <w:rsid w:val="006B787F"/>
    <w:rsid w:val="006D17F9"/>
    <w:rsid w:val="006D4C20"/>
    <w:rsid w:val="006D578C"/>
    <w:rsid w:val="006D58A3"/>
    <w:rsid w:val="006D596B"/>
    <w:rsid w:val="006D6727"/>
    <w:rsid w:val="006D7185"/>
    <w:rsid w:val="006E1548"/>
    <w:rsid w:val="006E30CA"/>
    <w:rsid w:val="006E671A"/>
    <w:rsid w:val="006F06F5"/>
    <w:rsid w:val="006F1CB0"/>
    <w:rsid w:val="006F3525"/>
    <w:rsid w:val="006F618F"/>
    <w:rsid w:val="007020ED"/>
    <w:rsid w:val="00703502"/>
    <w:rsid w:val="00706742"/>
    <w:rsid w:val="00706764"/>
    <w:rsid w:val="00711D10"/>
    <w:rsid w:val="00713119"/>
    <w:rsid w:val="0071343C"/>
    <w:rsid w:val="00717075"/>
    <w:rsid w:val="00721EC2"/>
    <w:rsid w:val="00724955"/>
    <w:rsid w:val="00734462"/>
    <w:rsid w:val="00734D54"/>
    <w:rsid w:val="0073620E"/>
    <w:rsid w:val="00736376"/>
    <w:rsid w:val="007400FF"/>
    <w:rsid w:val="00747231"/>
    <w:rsid w:val="007516DC"/>
    <w:rsid w:val="007538F2"/>
    <w:rsid w:val="00756741"/>
    <w:rsid w:val="007572A6"/>
    <w:rsid w:val="00757753"/>
    <w:rsid w:val="00761EAD"/>
    <w:rsid w:val="00767F8C"/>
    <w:rsid w:val="00771F84"/>
    <w:rsid w:val="00773A24"/>
    <w:rsid w:val="00777B7E"/>
    <w:rsid w:val="007816E7"/>
    <w:rsid w:val="0078182E"/>
    <w:rsid w:val="0078375E"/>
    <w:rsid w:val="007A3648"/>
    <w:rsid w:val="007A5842"/>
    <w:rsid w:val="007B2AC7"/>
    <w:rsid w:val="007C0AB2"/>
    <w:rsid w:val="007C39CF"/>
    <w:rsid w:val="007C3DFC"/>
    <w:rsid w:val="007C452E"/>
    <w:rsid w:val="007D3E17"/>
    <w:rsid w:val="007D44ED"/>
    <w:rsid w:val="007D5B8B"/>
    <w:rsid w:val="007D7B43"/>
    <w:rsid w:val="007E22DB"/>
    <w:rsid w:val="007E2ADF"/>
    <w:rsid w:val="007E6720"/>
    <w:rsid w:val="008022B8"/>
    <w:rsid w:val="0080375F"/>
    <w:rsid w:val="0080419A"/>
    <w:rsid w:val="0080446A"/>
    <w:rsid w:val="008127C3"/>
    <w:rsid w:val="00813FC2"/>
    <w:rsid w:val="00814C20"/>
    <w:rsid w:val="008164EB"/>
    <w:rsid w:val="0081655B"/>
    <w:rsid w:val="00817452"/>
    <w:rsid w:val="008174D7"/>
    <w:rsid w:val="0083283E"/>
    <w:rsid w:val="00833CB7"/>
    <w:rsid w:val="0083582E"/>
    <w:rsid w:val="00843F13"/>
    <w:rsid w:val="008442EA"/>
    <w:rsid w:val="008474E8"/>
    <w:rsid w:val="00851FA3"/>
    <w:rsid w:val="00860C6F"/>
    <w:rsid w:val="00867B07"/>
    <w:rsid w:val="008756FA"/>
    <w:rsid w:val="00875F0E"/>
    <w:rsid w:val="00876177"/>
    <w:rsid w:val="00880199"/>
    <w:rsid w:val="00880C4D"/>
    <w:rsid w:val="008847FC"/>
    <w:rsid w:val="00886DA2"/>
    <w:rsid w:val="00887605"/>
    <w:rsid w:val="00887A8E"/>
    <w:rsid w:val="00887B43"/>
    <w:rsid w:val="008928A0"/>
    <w:rsid w:val="008958E8"/>
    <w:rsid w:val="00895CEE"/>
    <w:rsid w:val="008A06DC"/>
    <w:rsid w:val="008A1BEC"/>
    <w:rsid w:val="008A2948"/>
    <w:rsid w:val="008A4D1C"/>
    <w:rsid w:val="008A6247"/>
    <w:rsid w:val="008A69AE"/>
    <w:rsid w:val="008A6D7B"/>
    <w:rsid w:val="008B1510"/>
    <w:rsid w:val="008B4E69"/>
    <w:rsid w:val="008B5E23"/>
    <w:rsid w:val="008C0666"/>
    <w:rsid w:val="008C35DB"/>
    <w:rsid w:val="008D03A7"/>
    <w:rsid w:val="008D4023"/>
    <w:rsid w:val="008D5BA4"/>
    <w:rsid w:val="008D6CDE"/>
    <w:rsid w:val="008E43E9"/>
    <w:rsid w:val="008E6D1A"/>
    <w:rsid w:val="008E7A2E"/>
    <w:rsid w:val="008F0F7C"/>
    <w:rsid w:val="008F27C9"/>
    <w:rsid w:val="00901AAA"/>
    <w:rsid w:val="00907BF4"/>
    <w:rsid w:val="00915A66"/>
    <w:rsid w:val="0092041B"/>
    <w:rsid w:val="009209D1"/>
    <w:rsid w:val="0092400D"/>
    <w:rsid w:val="00924056"/>
    <w:rsid w:val="009250C7"/>
    <w:rsid w:val="00932A68"/>
    <w:rsid w:val="00940916"/>
    <w:rsid w:val="00941C95"/>
    <w:rsid w:val="00944AF6"/>
    <w:rsid w:val="00945A36"/>
    <w:rsid w:val="009521E4"/>
    <w:rsid w:val="00953A1B"/>
    <w:rsid w:val="00961262"/>
    <w:rsid w:val="00966117"/>
    <w:rsid w:val="0096640F"/>
    <w:rsid w:val="009700EE"/>
    <w:rsid w:val="00976DC9"/>
    <w:rsid w:val="00977C6D"/>
    <w:rsid w:val="009809C4"/>
    <w:rsid w:val="009909B3"/>
    <w:rsid w:val="009911FB"/>
    <w:rsid w:val="00991C15"/>
    <w:rsid w:val="00992D47"/>
    <w:rsid w:val="00993656"/>
    <w:rsid w:val="0099457C"/>
    <w:rsid w:val="00996662"/>
    <w:rsid w:val="00996BF1"/>
    <w:rsid w:val="009A0DD3"/>
    <w:rsid w:val="009A1987"/>
    <w:rsid w:val="009A2E9D"/>
    <w:rsid w:val="009A6D77"/>
    <w:rsid w:val="009B1799"/>
    <w:rsid w:val="009C1A72"/>
    <w:rsid w:val="009C280D"/>
    <w:rsid w:val="009C3BCC"/>
    <w:rsid w:val="009C4D18"/>
    <w:rsid w:val="009D1246"/>
    <w:rsid w:val="009D2E2D"/>
    <w:rsid w:val="009E1197"/>
    <w:rsid w:val="009E5798"/>
    <w:rsid w:val="009E718A"/>
    <w:rsid w:val="009F0759"/>
    <w:rsid w:val="009F2C59"/>
    <w:rsid w:val="00A0189A"/>
    <w:rsid w:val="00A02D99"/>
    <w:rsid w:val="00A067BE"/>
    <w:rsid w:val="00A11817"/>
    <w:rsid w:val="00A11B64"/>
    <w:rsid w:val="00A21CB7"/>
    <w:rsid w:val="00A225C8"/>
    <w:rsid w:val="00A241E7"/>
    <w:rsid w:val="00A24EF5"/>
    <w:rsid w:val="00A25BEE"/>
    <w:rsid w:val="00A42451"/>
    <w:rsid w:val="00A42FEB"/>
    <w:rsid w:val="00A45BF6"/>
    <w:rsid w:val="00A525CA"/>
    <w:rsid w:val="00A53F1C"/>
    <w:rsid w:val="00A60628"/>
    <w:rsid w:val="00A60B28"/>
    <w:rsid w:val="00A61609"/>
    <w:rsid w:val="00A640D5"/>
    <w:rsid w:val="00A65EAC"/>
    <w:rsid w:val="00A713C8"/>
    <w:rsid w:val="00A77840"/>
    <w:rsid w:val="00A83036"/>
    <w:rsid w:val="00A84B41"/>
    <w:rsid w:val="00A86690"/>
    <w:rsid w:val="00A91ED5"/>
    <w:rsid w:val="00A95FD4"/>
    <w:rsid w:val="00A96493"/>
    <w:rsid w:val="00AA46C5"/>
    <w:rsid w:val="00AA57A1"/>
    <w:rsid w:val="00AA6753"/>
    <w:rsid w:val="00AB0AA3"/>
    <w:rsid w:val="00AB10AD"/>
    <w:rsid w:val="00AC0868"/>
    <w:rsid w:val="00AC096E"/>
    <w:rsid w:val="00AC7CFC"/>
    <w:rsid w:val="00AD3032"/>
    <w:rsid w:val="00AD4EDF"/>
    <w:rsid w:val="00AD60AA"/>
    <w:rsid w:val="00AD7879"/>
    <w:rsid w:val="00AE4723"/>
    <w:rsid w:val="00AE627A"/>
    <w:rsid w:val="00AF3976"/>
    <w:rsid w:val="00AF4134"/>
    <w:rsid w:val="00AF5E03"/>
    <w:rsid w:val="00B00B52"/>
    <w:rsid w:val="00B0208D"/>
    <w:rsid w:val="00B066A5"/>
    <w:rsid w:val="00B239E2"/>
    <w:rsid w:val="00B337AA"/>
    <w:rsid w:val="00B34262"/>
    <w:rsid w:val="00B36E55"/>
    <w:rsid w:val="00B36FA4"/>
    <w:rsid w:val="00B40459"/>
    <w:rsid w:val="00B50EA8"/>
    <w:rsid w:val="00B518C2"/>
    <w:rsid w:val="00B5198E"/>
    <w:rsid w:val="00B52EA7"/>
    <w:rsid w:val="00B62F7E"/>
    <w:rsid w:val="00B65690"/>
    <w:rsid w:val="00B66FB6"/>
    <w:rsid w:val="00B7017F"/>
    <w:rsid w:val="00B701E1"/>
    <w:rsid w:val="00B7266B"/>
    <w:rsid w:val="00B7313E"/>
    <w:rsid w:val="00B731AF"/>
    <w:rsid w:val="00B75F14"/>
    <w:rsid w:val="00B805FB"/>
    <w:rsid w:val="00B914C9"/>
    <w:rsid w:val="00B93D0A"/>
    <w:rsid w:val="00B96C02"/>
    <w:rsid w:val="00BA607E"/>
    <w:rsid w:val="00BA60BE"/>
    <w:rsid w:val="00BB06DB"/>
    <w:rsid w:val="00BC2FFC"/>
    <w:rsid w:val="00BC4462"/>
    <w:rsid w:val="00BD32B9"/>
    <w:rsid w:val="00BE053A"/>
    <w:rsid w:val="00BE1227"/>
    <w:rsid w:val="00BE2967"/>
    <w:rsid w:val="00BE4A73"/>
    <w:rsid w:val="00BF2748"/>
    <w:rsid w:val="00BF4ADC"/>
    <w:rsid w:val="00BF649B"/>
    <w:rsid w:val="00BF7FC3"/>
    <w:rsid w:val="00C02051"/>
    <w:rsid w:val="00C028AB"/>
    <w:rsid w:val="00C038DB"/>
    <w:rsid w:val="00C038F2"/>
    <w:rsid w:val="00C040EF"/>
    <w:rsid w:val="00C0536B"/>
    <w:rsid w:val="00C056FF"/>
    <w:rsid w:val="00C1054D"/>
    <w:rsid w:val="00C11726"/>
    <w:rsid w:val="00C246F7"/>
    <w:rsid w:val="00C24BD4"/>
    <w:rsid w:val="00C255EB"/>
    <w:rsid w:val="00C257E1"/>
    <w:rsid w:val="00C3157F"/>
    <w:rsid w:val="00C31730"/>
    <w:rsid w:val="00C31C4F"/>
    <w:rsid w:val="00C31F57"/>
    <w:rsid w:val="00C32BD8"/>
    <w:rsid w:val="00C32D95"/>
    <w:rsid w:val="00C34802"/>
    <w:rsid w:val="00C41797"/>
    <w:rsid w:val="00C43136"/>
    <w:rsid w:val="00C43F2F"/>
    <w:rsid w:val="00C44BD6"/>
    <w:rsid w:val="00C507C1"/>
    <w:rsid w:val="00C50FD5"/>
    <w:rsid w:val="00C52FD0"/>
    <w:rsid w:val="00C54EDD"/>
    <w:rsid w:val="00C6348D"/>
    <w:rsid w:val="00C664E9"/>
    <w:rsid w:val="00C720B3"/>
    <w:rsid w:val="00C74B90"/>
    <w:rsid w:val="00C75790"/>
    <w:rsid w:val="00C76B31"/>
    <w:rsid w:val="00C80CB5"/>
    <w:rsid w:val="00C87963"/>
    <w:rsid w:val="00C9122D"/>
    <w:rsid w:val="00C94BA9"/>
    <w:rsid w:val="00C97B43"/>
    <w:rsid w:val="00CA10A4"/>
    <w:rsid w:val="00CA1416"/>
    <w:rsid w:val="00CA3A81"/>
    <w:rsid w:val="00CB2196"/>
    <w:rsid w:val="00CB2592"/>
    <w:rsid w:val="00CB3E36"/>
    <w:rsid w:val="00CB5A0A"/>
    <w:rsid w:val="00CC339B"/>
    <w:rsid w:val="00CC4859"/>
    <w:rsid w:val="00CC79D5"/>
    <w:rsid w:val="00CD0DB0"/>
    <w:rsid w:val="00CD638E"/>
    <w:rsid w:val="00CE6681"/>
    <w:rsid w:val="00CE7535"/>
    <w:rsid w:val="00CE7DBC"/>
    <w:rsid w:val="00CF04A8"/>
    <w:rsid w:val="00CF20E8"/>
    <w:rsid w:val="00CF52FB"/>
    <w:rsid w:val="00CF657E"/>
    <w:rsid w:val="00CF7177"/>
    <w:rsid w:val="00D05B10"/>
    <w:rsid w:val="00D10CCE"/>
    <w:rsid w:val="00D15FB3"/>
    <w:rsid w:val="00D23C09"/>
    <w:rsid w:val="00D265B1"/>
    <w:rsid w:val="00D351D6"/>
    <w:rsid w:val="00D4016A"/>
    <w:rsid w:val="00D4274B"/>
    <w:rsid w:val="00D45C04"/>
    <w:rsid w:val="00D50797"/>
    <w:rsid w:val="00D51595"/>
    <w:rsid w:val="00D53961"/>
    <w:rsid w:val="00D57DA2"/>
    <w:rsid w:val="00D60086"/>
    <w:rsid w:val="00D64222"/>
    <w:rsid w:val="00D64D5B"/>
    <w:rsid w:val="00D6621A"/>
    <w:rsid w:val="00D70363"/>
    <w:rsid w:val="00D71B2D"/>
    <w:rsid w:val="00D721D3"/>
    <w:rsid w:val="00D730AB"/>
    <w:rsid w:val="00D73733"/>
    <w:rsid w:val="00D802F1"/>
    <w:rsid w:val="00D86B64"/>
    <w:rsid w:val="00D9240F"/>
    <w:rsid w:val="00D9528C"/>
    <w:rsid w:val="00D95656"/>
    <w:rsid w:val="00DA0FCC"/>
    <w:rsid w:val="00DA44C4"/>
    <w:rsid w:val="00DA48DB"/>
    <w:rsid w:val="00DA4F76"/>
    <w:rsid w:val="00DB5677"/>
    <w:rsid w:val="00DB7F85"/>
    <w:rsid w:val="00DC0017"/>
    <w:rsid w:val="00DC1538"/>
    <w:rsid w:val="00DC2ACE"/>
    <w:rsid w:val="00DC37D0"/>
    <w:rsid w:val="00DC3E54"/>
    <w:rsid w:val="00DC770A"/>
    <w:rsid w:val="00DD13FC"/>
    <w:rsid w:val="00DD34A5"/>
    <w:rsid w:val="00DD39BA"/>
    <w:rsid w:val="00DD4268"/>
    <w:rsid w:val="00DD4862"/>
    <w:rsid w:val="00DD62DB"/>
    <w:rsid w:val="00DD641F"/>
    <w:rsid w:val="00DD7A3C"/>
    <w:rsid w:val="00DD7D89"/>
    <w:rsid w:val="00DE0A75"/>
    <w:rsid w:val="00DE0EEC"/>
    <w:rsid w:val="00DE1DF8"/>
    <w:rsid w:val="00DE3239"/>
    <w:rsid w:val="00DE4911"/>
    <w:rsid w:val="00DE4B30"/>
    <w:rsid w:val="00DE4C9B"/>
    <w:rsid w:val="00DE7658"/>
    <w:rsid w:val="00DF21D5"/>
    <w:rsid w:val="00DF26E8"/>
    <w:rsid w:val="00DF377F"/>
    <w:rsid w:val="00E00E42"/>
    <w:rsid w:val="00E0436C"/>
    <w:rsid w:val="00E0500D"/>
    <w:rsid w:val="00E0623E"/>
    <w:rsid w:val="00E065C4"/>
    <w:rsid w:val="00E10CD2"/>
    <w:rsid w:val="00E13782"/>
    <w:rsid w:val="00E14E96"/>
    <w:rsid w:val="00E15E19"/>
    <w:rsid w:val="00E217BF"/>
    <w:rsid w:val="00E23041"/>
    <w:rsid w:val="00E25D2A"/>
    <w:rsid w:val="00E273A6"/>
    <w:rsid w:val="00E27D36"/>
    <w:rsid w:val="00E34C4C"/>
    <w:rsid w:val="00E3584B"/>
    <w:rsid w:val="00E425A2"/>
    <w:rsid w:val="00E4395F"/>
    <w:rsid w:val="00E45EB9"/>
    <w:rsid w:val="00E479E5"/>
    <w:rsid w:val="00E52AA2"/>
    <w:rsid w:val="00E54E68"/>
    <w:rsid w:val="00E6283E"/>
    <w:rsid w:val="00E6310A"/>
    <w:rsid w:val="00E63E22"/>
    <w:rsid w:val="00E673EC"/>
    <w:rsid w:val="00E6744F"/>
    <w:rsid w:val="00E71289"/>
    <w:rsid w:val="00E72CF7"/>
    <w:rsid w:val="00E776D6"/>
    <w:rsid w:val="00E778B6"/>
    <w:rsid w:val="00E80749"/>
    <w:rsid w:val="00E82C07"/>
    <w:rsid w:val="00E86155"/>
    <w:rsid w:val="00E86F05"/>
    <w:rsid w:val="00E90375"/>
    <w:rsid w:val="00E918A4"/>
    <w:rsid w:val="00E935FD"/>
    <w:rsid w:val="00E97D37"/>
    <w:rsid w:val="00EA476D"/>
    <w:rsid w:val="00EB5798"/>
    <w:rsid w:val="00EB589E"/>
    <w:rsid w:val="00EB7087"/>
    <w:rsid w:val="00EB7D4C"/>
    <w:rsid w:val="00EC1A4F"/>
    <w:rsid w:val="00EC3E1E"/>
    <w:rsid w:val="00EC55C3"/>
    <w:rsid w:val="00ED0061"/>
    <w:rsid w:val="00ED233E"/>
    <w:rsid w:val="00ED2E44"/>
    <w:rsid w:val="00ED645A"/>
    <w:rsid w:val="00ED79B0"/>
    <w:rsid w:val="00EE22DD"/>
    <w:rsid w:val="00EE2A51"/>
    <w:rsid w:val="00EE4AEA"/>
    <w:rsid w:val="00EE4F83"/>
    <w:rsid w:val="00EE64C8"/>
    <w:rsid w:val="00EF142E"/>
    <w:rsid w:val="00EF3730"/>
    <w:rsid w:val="00EF54FC"/>
    <w:rsid w:val="00EF6A4E"/>
    <w:rsid w:val="00F018A6"/>
    <w:rsid w:val="00F01D24"/>
    <w:rsid w:val="00F05BBB"/>
    <w:rsid w:val="00F125B7"/>
    <w:rsid w:val="00F143D9"/>
    <w:rsid w:val="00F15E6D"/>
    <w:rsid w:val="00F21440"/>
    <w:rsid w:val="00F22598"/>
    <w:rsid w:val="00F22DDB"/>
    <w:rsid w:val="00F24A19"/>
    <w:rsid w:val="00F24B30"/>
    <w:rsid w:val="00F25C8F"/>
    <w:rsid w:val="00F30DE5"/>
    <w:rsid w:val="00F30F4A"/>
    <w:rsid w:val="00F350AD"/>
    <w:rsid w:val="00F37FB5"/>
    <w:rsid w:val="00F429D5"/>
    <w:rsid w:val="00F4495A"/>
    <w:rsid w:val="00F46833"/>
    <w:rsid w:val="00F47E18"/>
    <w:rsid w:val="00F50707"/>
    <w:rsid w:val="00F50D12"/>
    <w:rsid w:val="00F51449"/>
    <w:rsid w:val="00F5150B"/>
    <w:rsid w:val="00F51837"/>
    <w:rsid w:val="00F56F6B"/>
    <w:rsid w:val="00F64A06"/>
    <w:rsid w:val="00F65B32"/>
    <w:rsid w:val="00F700C4"/>
    <w:rsid w:val="00F7044D"/>
    <w:rsid w:val="00F71879"/>
    <w:rsid w:val="00F753DB"/>
    <w:rsid w:val="00F9290E"/>
    <w:rsid w:val="00F93441"/>
    <w:rsid w:val="00F95D3A"/>
    <w:rsid w:val="00F96CA2"/>
    <w:rsid w:val="00F97FDB"/>
    <w:rsid w:val="00FA2887"/>
    <w:rsid w:val="00FA3795"/>
    <w:rsid w:val="00FA5CDF"/>
    <w:rsid w:val="00FB31A6"/>
    <w:rsid w:val="00FB7392"/>
    <w:rsid w:val="00FC0512"/>
    <w:rsid w:val="00FC6C1A"/>
    <w:rsid w:val="00FD020B"/>
    <w:rsid w:val="00FD0621"/>
    <w:rsid w:val="00FD0D31"/>
    <w:rsid w:val="00FD329C"/>
    <w:rsid w:val="00FD7C0F"/>
    <w:rsid w:val="00FE1247"/>
    <w:rsid w:val="00FE4FED"/>
    <w:rsid w:val="00FE53E7"/>
    <w:rsid w:val="00FE5741"/>
    <w:rsid w:val="00FE74A1"/>
    <w:rsid w:val="00FF7CFC"/>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qFormat/>
    <w:rsid w:val="001D2613"/>
    <w:pPr>
      <w:spacing w:after="60"/>
      <w:jc w:val="center"/>
      <w:outlineLvl w:val="1"/>
    </w:pPr>
    <w:rPr>
      <w:rFonts w:ascii="Cambria" w:hAnsi="Cambria"/>
      <w:sz w:val="24"/>
      <w:szCs w:val="24"/>
    </w:rPr>
  </w:style>
  <w:style w:type="character" w:customStyle="1" w:styleId="PodtitulChar">
    <w:name w:val="Podtitul Char"/>
    <w:link w:val="Podtitul"/>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sz w:val="20"/>
    </w:rPr>
  </w:style>
  <w:style w:type="character" w:customStyle="1" w:styleId="HlavikaChar">
    <w:name w:val="Hlavička Char"/>
    <w:basedOn w:val="Predvolenpsmoodseku"/>
    <w:link w:val="Hlavika"/>
    <w:uiPriority w:val="99"/>
    <w:rsid w:val="000322EB"/>
    <w:rPr>
      <w:rFonts w:ascii="Arial" w:hAnsi="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sz w:val="16"/>
    </w:rPr>
  </w:style>
  <w:style w:type="character" w:customStyle="1" w:styleId="PtaChar">
    <w:name w:val="Päta Char"/>
    <w:basedOn w:val="Predvolenpsmoodseku"/>
    <w:link w:val="Pta"/>
    <w:uiPriority w:val="99"/>
    <w:rsid w:val="000322EB"/>
    <w:rPr>
      <w:rFonts w:ascii="Arial" w:hAnsi="Arial"/>
      <w:sz w:val="16"/>
      <w:lang w:val="en-GB"/>
    </w:rPr>
  </w:style>
  <w:style w:type="character" w:styleId="slostrany">
    <w:name w:val="page number"/>
    <w:basedOn w:val="Predvolenpsmoodseku"/>
    <w:rsid w:val="000322EB"/>
  </w:style>
  <w:style w:type="paragraph" w:styleId="Textvysvetlivky">
    <w:name w:val="endnote text"/>
    <w:basedOn w:val="Normlny"/>
    <w:link w:val="TextvysvetlivkyChar"/>
    <w:semiHidden/>
    <w:rsid w:val="000322EB"/>
    <w:pPr>
      <w:spacing w:line="240" w:lineRule="auto"/>
    </w:pPr>
  </w:style>
  <w:style w:type="character" w:customStyle="1" w:styleId="TextvysvetlivkyChar">
    <w:name w:val="Text vysvetlivky Char"/>
    <w:basedOn w:val="Predvolenpsmoodseku"/>
    <w:link w:val="Textvysvetlivky"/>
    <w:semiHidden/>
    <w:rsid w:val="000322EB"/>
    <w:rPr>
      <w:sz w:val="22"/>
      <w:lang w:val="en-GB"/>
    </w:rPr>
  </w:style>
  <w:style w:type="character" w:styleId="Odkaznavysvetlivku">
    <w:name w:val="endnote reference"/>
    <w:semiHidden/>
    <w:rsid w:val="000322EB"/>
    <w:rPr>
      <w:vertAlign w:val="superscript"/>
    </w:rPr>
  </w:style>
  <w:style w:type="character" w:styleId="Odkaznakomentr">
    <w:name w:val="annotation reference"/>
    <w:semiHidden/>
    <w:rsid w:val="000322EB"/>
    <w:rPr>
      <w:sz w:val="16"/>
    </w:rPr>
  </w:style>
  <w:style w:type="paragraph" w:styleId="Textkomentra">
    <w:name w:val="annotation text"/>
    <w:basedOn w:val="Normlny"/>
    <w:link w:val="TextkomentraChar"/>
    <w:semiHidden/>
    <w:rsid w:val="000322EB"/>
    <w:rPr>
      <w:sz w:val="20"/>
    </w:rPr>
  </w:style>
  <w:style w:type="character" w:customStyle="1" w:styleId="TextkomentraChar">
    <w:name w:val="Text komentára Char"/>
    <w:basedOn w:val="Predvolenpsmoodseku"/>
    <w:link w:val="Textkomentra"/>
    <w:semiHidden/>
    <w:rsid w:val="000322EB"/>
    <w:rPr>
      <w:lang w:val="en-GB"/>
    </w:rPr>
  </w:style>
  <w:style w:type="paragraph" w:styleId="Zkladntext2">
    <w:name w:val="Body Text 2"/>
    <w:basedOn w:val="Normlny"/>
    <w:link w:val="Zkladntext2Char"/>
    <w:rsid w:val="000322EB"/>
    <w:pPr>
      <w:tabs>
        <w:tab w:val="left" w:pos="4536"/>
      </w:tabs>
      <w:jc w:val="both"/>
    </w:pPr>
    <w:rPr>
      <w:b/>
    </w:rPr>
  </w:style>
  <w:style w:type="character" w:customStyle="1" w:styleId="Zkladntext2Char">
    <w:name w:val="Základný text 2 Char"/>
    <w:basedOn w:val="Predvolenpsmoodseku"/>
    <w:link w:val="Zkladntext2"/>
    <w:rsid w:val="000322EB"/>
    <w:rPr>
      <w:b/>
      <w:sz w:val="22"/>
      <w:lang w:val="en-GB"/>
    </w:rPr>
  </w:style>
  <w:style w:type="paragraph" w:styleId="Zkladntext">
    <w:name w:val="Body Text"/>
    <w:basedOn w:val="Normlny"/>
    <w:link w:val="ZkladntextChar"/>
    <w:rsid w:val="000322EB"/>
    <w:rPr>
      <w:b/>
      <w:i/>
    </w:rPr>
  </w:style>
  <w:style w:type="character" w:customStyle="1" w:styleId="ZkladntextChar">
    <w:name w:val="Základný text Char"/>
    <w:basedOn w:val="Predvolenpsmoodseku"/>
    <w:link w:val="Zkladntext"/>
    <w:rsid w:val="000322EB"/>
    <w:rPr>
      <w:b/>
      <w:i/>
      <w:sz w:val="22"/>
      <w:lang w:val="en-GB"/>
    </w:rPr>
  </w:style>
  <w:style w:type="paragraph" w:styleId="Zkladntext3">
    <w:name w:val="Body Text 3"/>
    <w:basedOn w:val="Normlny"/>
    <w:link w:val="Zkladntext3Char"/>
    <w:rsid w:val="000322EB"/>
    <w:pPr>
      <w:jc w:val="both"/>
    </w:pPr>
    <w:rPr>
      <w:b/>
      <w:i/>
    </w:rPr>
  </w:style>
  <w:style w:type="character" w:customStyle="1" w:styleId="Zkladntext3Char">
    <w:name w:val="Základný text 3 Char"/>
    <w:basedOn w:val="Predvolenpsmoodseku"/>
    <w:link w:val="Zkladntext3"/>
    <w:rsid w:val="000322EB"/>
    <w:rPr>
      <w:b/>
      <w:i/>
      <w:sz w:val="22"/>
      <w:lang w:val="en-GB"/>
    </w:rPr>
  </w:style>
  <w:style w:type="paragraph" w:styleId="Textpoznmkypodiarou">
    <w:name w:val="footnote text"/>
    <w:basedOn w:val="Normlny"/>
    <w:link w:val="TextpoznmkypodiarouChar"/>
    <w:semiHidden/>
    <w:rsid w:val="000322EB"/>
    <w:rPr>
      <w:sz w:val="20"/>
    </w:rPr>
  </w:style>
  <w:style w:type="character" w:customStyle="1" w:styleId="TextpoznmkypodiarouChar">
    <w:name w:val="Text poznámky pod čiarou Char"/>
    <w:basedOn w:val="Predvolenpsmoodseku"/>
    <w:link w:val="Textpoznmkypodiarou"/>
    <w:semiHidden/>
    <w:rsid w:val="000322EB"/>
    <w:rPr>
      <w:lang w:val="en-GB"/>
    </w:rPr>
  </w:style>
  <w:style w:type="character" w:styleId="Odkaznapoznmkupodiarou">
    <w:name w:val="footnote reference"/>
    <w:semiHidden/>
    <w:rsid w:val="000322EB"/>
    <w:rPr>
      <w:vertAlign w:val="superscript"/>
    </w:rPr>
  </w:style>
  <w:style w:type="paragraph" w:styleId="truktradokumentu">
    <w:name w:val="Document Map"/>
    <w:basedOn w:val="Normlny"/>
    <w:link w:val="truktradokumentuChar"/>
    <w:semiHidden/>
    <w:rsid w:val="000322EB"/>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0322EB"/>
    <w:rPr>
      <w:rFonts w:ascii="Tahoma" w:hAnsi="Tahoma"/>
      <w:sz w:val="22"/>
      <w:shd w:val="clear" w:color="auto" w:fill="000080"/>
      <w:lang w:val="en-GB"/>
    </w:rPr>
  </w:style>
  <w:style w:type="paragraph" w:customStyle="1" w:styleId="Style1">
    <w:name w:val="Style1"/>
    <w:basedOn w:val="Normlny"/>
    <w:rsid w:val="000322EB"/>
    <w:pPr>
      <w:tabs>
        <w:tab w:val="clear" w:pos="567"/>
      </w:tabs>
      <w:spacing w:line="240" w:lineRule="auto"/>
    </w:pPr>
    <w:rPr>
      <w:rFonts w:ascii="Arial" w:hAnsi="Arial"/>
      <w:sz w:val="24"/>
      <w:szCs w:val="24"/>
      <w:lang w:val="fr-FR" w:eastAsia="fr-FR"/>
    </w:rPr>
  </w:style>
  <w:style w:type="paragraph" w:customStyle="1" w:styleId="Textedebulles1">
    <w:name w:val="Texte de bulles1"/>
    <w:basedOn w:val="Normlny"/>
    <w:semiHidden/>
    <w:rsid w:val="000322EB"/>
    <w:rPr>
      <w:rFonts w:ascii="Tahoma" w:hAnsi="Tahoma" w:cs="Tahoma"/>
      <w:sz w:val="16"/>
      <w:szCs w:val="16"/>
    </w:rPr>
  </w:style>
  <w:style w:type="paragraph" w:styleId="Textbubliny">
    <w:name w:val="Balloon Text"/>
    <w:basedOn w:val="Normlny"/>
    <w:link w:val="TextbublinyChar"/>
    <w:semiHidden/>
    <w:rsid w:val="000322EB"/>
    <w:rPr>
      <w:rFonts w:ascii="Tahoma" w:hAnsi="Tahoma" w:cs="Tahoma"/>
      <w:sz w:val="16"/>
      <w:szCs w:val="16"/>
    </w:rPr>
  </w:style>
  <w:style w:type="character" w:customStyle="1" w:styleId="TextbublinyChar">
    <w:name w:val="Text bubliny Char"/>
    <w:basedOn w:val="Predvolenpsmoodseku"/>
    <w:link w:val="Textbubliny"/>
    <w:semiHidden/>
    <w:rsid w:val="000322EB"/>
    <w:rPr>
      <w:rFonts w:ascii="Tahoma" w:hAnsi="Tahoma" w:cs="Tahoma"/>
      <w:sz w:val="16"/>
      <w:szCs w:val="16"/>
      <w:lang w:val="en-GB"/>
    </w:rPr>
  </w:style>
  <w:style w:type="character" w:styleId="Hypertextovprepojenie">
    <w:name w:val="Hyperlink"/>
    <w:rsid w:val="000322EB"/>
    <w:rPr>
      <w:color w:val="0000FF"/>
      <w:u w:val="single"/>
    </w:rPr>
  </w:style>
  <w:style w:type="paragraph" w:styleId="Predmetkomentra">
    <w:name w:val="annotation subject"/>
    <w:basedOn w:val="Textkomentra"/>
    <w:next w:val="Textkomentra"/>
    <w:link w:val="PredmetkomentraChar"/>
    <w:semiHidden/>
    <w:rsid w:val="000322EB"/>
    <w:rPr>
      <w:b/>
      <w:bCs/>
    </w:rPr>
  </w:style>
  <w:style w:type="character" w:customStyle="1" w:styleId="PredmetkomentraChar">
    <w:name w:val="Predmet komentára Char"/>
    <w:basedOn w:val="TextkomentraChar"/>
    <w:link w:val="Predmetkomentra"/>
    <w:semiHidden/>
    <w:rsid w:val="000322EB"/>
    <w:rPr>
      <w:b/>
      <w:bCs/>
      <w:lang w:val="en-GB"/>
    </w:rPr>
  </w:style>
  <w:style w:type="paragraph" w:customStyle="1" w:styleId="titreA">
    <w:name w:val="titreA"/>
    <w:basedOn w:val="Normlny"/>
    <w:rsid w:val="000322EB"/>
    <w:pPr>
      <w:jc w:val="center"/>
      <w:outlineLvl w:val="0"/>
    </w:pPr>
    <w:rPr>
      <w:b/>
      <w:caps/>
      <w:szCs w:val="22"/>
      <w:lang w:val="sk-SK"/>
    </w:rPr>
  </w:style>
  <w:style w:type="paragraph" w:customStyle="1" w:styleId="titreB">
    <w:name w:val="titreB"/>
    <w:basedOn w:val="Normlny"/>
    <w:rsid w:val="000322EB"/>
    <w:pPr>
      <w:tabs>
        <w:tab w:val="left" w:pos="1701"/>
      </w:tabs>
      <w:ind w:left="1701" w:right="1416"/>
    </w:pPr>
    <w:rPr>
      <w:b/>
      <w:lang w:val="sk-SK"/>
    </w:rPr>
  </w:style>
  <w:style w:type="paragraph" w:customStyle="1" w:styleId="TitreB0">
    <w:name w:val="TitreB"/>
    <w:basedOn w:val="Normlny"/>
    <w:rsid w:val="000322EB"/>
    <w:pPr>
      <w:tabs>
        <w:tab w:val="left" w:pos="1701"/>
      </w:tabs>
      <w:ind w:left="1701" w:right="1416"/>
    </w:pPr>
    <w:rPr>
      <w:b/>
      <w:lang w:val="sk-SK"/>
    </w:rPr>
  </w:style>
  <w:style w:type="paragraph" w:customStyle="1" w:styleId="PROCORALAN1">
    <w:name w:val="PROCORALAN1"/>
    <w:basedOn w:val="titreA"/>
    <w:qFormat/>
    <w:rsid w:val="000322EB"/>
  </w:style>
  <w:style w:type="paragraph" w:customStyle="1" w:styleId="PROCORALAN2">
    <w:name w:val="PROCORALAN2"/>
    <w:basedOn w:val="Normlny"/>
    <w:qFormat/>
    <w:rsid w:val="000322EB"/>
    <w:rPr>
      <w:b/>
      <w:lang w:val="sk-SK"/>
    </w:rPr>
  </w:style>
  <w:style w:type="paragraph" w:customStyle="1" w:styleId="PROCORALAN3">
    <w:name w:val="PROCORALAN3"/>
    <w:basedOn w:val="Normlny"/>
    <w:qFormat/>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szCs w:val="22"/>
      <w:lang w:val="sk-SK" w:eastAsia="zh-CN"/>
    </w:rPr>
  </w:style>
  <w:style w:type="paragraph" w:styleId="AdresaHTML">
    <w:name w:val="HTML Address"/>
    <w:basedOn w:val="Normlny"/>
    <w:link w:val="AdresaHTMLChar"/>
    <w:rsid w:val="000322EB"/>
    <w:rPr>
      <w:i/>
      <w:iCs/>
    </w:rPr>
  </w:style>
  <w:style w:type="character" w:customStyle="1" w:styleId="AdresaHTMLChar">
    <w:name w:val="Adresa HTML Char"/>
    <w:basedOn w:val="Predvolenpsmoodseku"/>
    <w:link w:val="AdresaHTML"/>
    <w:rsid w:val="000322EB"/>
    <w:rPr>
      <w:i/>
      <w:iCs/>
      <w:sz w:val="22"/>
      <w:lang w:val="en-GB"/>
    </w:rPr>
  </w:style>
  <w:style w:type="paragraph" w:styleId="Adresanaoblke">
    <w:name w:val="envelope address"/>
    <w:basedOn w:val="Normlny"/>
    <w:rsid w:val="000322EB"/>
    <w:pPr>
      <w:framePr w:w="7920" w:h="1980" w:hRule="exact" w:hSpace="141" w:wrap="auto" w:hAnchor="page" w:xAlign="center" w:yAlign="bottom"/>
      <w:ind w:left="2880"/>
    </w:pPr>
    <w:rPr>
      <w:rFonts w:ascii="Cambria" w:hAnsi="Cambria"/>
      <w:sz w:val="24"/>
      <w:szCs w:val="24"/>
    </w:rPr>
  </w:style>
  <w:style w:type="paragraph" w:styleId="Bibliografia">
    <w:name w:val="Bibliography"/>
    <w:basedOn w:val="Normlny"/>
    <w:next w:val="Normlny"/>
    <w:uiPriority w:val="37"/>
    <w:semiHidden/>
    <w:unhideWhenUsed/>
    <w:rsid w:val="000322EB"/>
  </w:style>
  <w:style w:type="paragraph" w:styleId="slovanzoznam">
    <w:name w:val="List Number"/>
    <w:basedOn w:val="Normlny"/>
    <w:rsid w:val="000322EB"/>
    <w:pPr>
      <w:numPr>
        <w:numId w:val="16"/>
      </w:numPr>
      <w:contextualSpacing/>
    </w:pPr>
  </w:style>
  <w:style w:type="paragraph" w:styleId="slovanzoznam2">
    <w:name w:val="List Number 2"/>
    <w:basedOn w:val="Normlny"/>
    <w:rsid w:val="000322EB"/>
    <w:pPr>
      <w:numPr>
        <w:numId w:val="17"/>
      </w:numPr>
      <w:tabs>
        <w:tab w:val="clear" w:pos="643"/>
        <w:tab w:val="num" w:pos="360"/>
      </w:tabs>
      <w:ind w:left="0" w:firstLine="0"/>
      <w:contextualSpacing/>
    </w:pPr>
  </w:style>
  <w:style w:type="paragraph" w:styleId="slovanzoznam3">
    <w:name w:val="List Number 3"/>
    <w:basedOn w:val="Normlny"/>
    <w:rsid w:val="000322EB"/>
    <w:pPr>
      <w:numPr>
        <w:numId w:val="18"/>
      </w:numPr>
      <w:contextualSpacing/>
    </w:pPr>
  </w:style>
  <w:style w:type="paragraph" w:styleId="slovanzoznam4">
    <w:name w:val="List Number 4"/>
    <w:basedOn w:val="Normlny"/>
    <w:rsid w:val="000322EB"/>
    <w:pPr>
      <w:numPr>
        <w:numId w:val="19"/>
      </w:numPr>
      <w:contextualSpacing/>
    </w:pPr>
  </w:style>
  <w:style w:type="paragraph" w:styleId="slovanzoznam5">
    <w:name w:val="List Number 5"/>
    <w:basedOn w:val="Normlny"/>
    <w:rsid w:val="000322EB"/>
    <w:pPr>
      <w:numPr>
        <w:numId w:val="20"/>
      </w:numPr>
      <w:contextualSpacing/>
    </w:pPr>
  </w:style>
  <w:style w:type="paragraph" w:styleId="Dtum">
    <w:name w:val="Date"/>
    <w:basedOn w:val="Normlny"/>
    <w:next w:val="Normlny"/>
    <w:link w:val="DtumChar"/>
    <w:rsid w:val="000322EB"/>
  </w:style>
  <w:style w:type="character" w:customStyle="1" w:styleId="DtumChar">
    <w:name w:val="Dátum Char"/>
    <w:basedOn w:val="Predvolenpsmoodseku"/>
    <w:link w:val="Dtum"/>
    <w:rsid w:val="000322EB"/>
    <w:rPr>
      <w:sz w:val="22"/>
      <w:lang w:val="en-GB"/>
    </w:rPr>
  </w:style>
  <w:style w:type="paragraph" w:styleId="Hlavikasprvy">
    <w:name w:val="Message Header"/>
    <w:basedOn w:val="Normlny"/>
    <w:link w:val="HlavikasprvyChar"/>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HlavikasprvyChar">
    <w:name w:val="Hlavička správy Char"/>
    <w:basedOn w:val="Predvolenpsmoodseku"/>
    <w:link w:val="Hlavikasprvy"/>
    <w:rsid w:val="000322EB"/>
    <w:rPr>
      <w:rFonts w:ascii="Cambria" w:hAnsi="Cambria"/>
      <w:sz w:val="24"/>
      <w:szCs w:val="24"/>
      <w:shd w:val="pct20" w:color="auto" w:fill="auto"/>
      <w:lang w:val="en-GB"/>
    </w:rPr>
  </w:style>
  <w:style w:type="paragraph" w:styleId="Hlavikazoznamucitci">
    <w:name w:val="toa heading"/>
    <w:basedOn w:val="Normlny"/>
    <w:next w:val="Normlny"/>
    <w:rsid w:val="000322EB"/>
    <w:pPr>
      <w:spacing w:before="120"/>
    </w:pPr>
    <w:rPr>
      <w:rFonts w:ascii="Cambria" w:hAnsi="Cambria"/>
      <w:b/>
      <w:bCs/>
      <w:sz w:val="24"/>
      <w:szCs w:val="24"/>
    </w:rPr>
  </w:style>
  <w:style w:type="paragraph" w:styleId="Nadpispoznmky">
    <w:name w:val="Note Heading"/>
    <w:basedOn w:val="Normlny"/>
    <w:next w:val="Normlny"/>
    <w:link w:val="NadpispoznmkyChar"/>
    <w:rsid w:val="000322EB"/>
  </w:style>
  <w:style w:type="character" w:customStyle="1" w:styleId="NadpispoznmkyChar">
    <w:name w:val="Nadpis poznámky Char"/>
    <w:basedOn w:val="Predvolenpsmoodseku"/>
    <w:link w:val="Nadpispoznmky"/>
    <w:rsid w:val="000322EB"/>
    <w:rPr>
      <w:sz w:val="22"/>
      <w:lang w:val="en-GB"/>
    </w:rPr>
  </w:style>
  <w:style w:type="paragraph" w:styleId="Register1">
    <w:name w:val="index 1"/>
    <w:basedOn w:val="Normlny"/>
    <w:next w:val="Normlny"/>
    <w:autoRedefine/>
    <w:rsid w:val="000322EB"/>
    <w:pPr>
      <w:tabs>
        <w:tab w:val="clear" w:pos="567"/>
      </w:tabs>
      <w:ind w:left="220" w:hanging="220"/>
    </w:pPr>
  </w:style>
  <w:style w:type="paragraph" w:styleId="Nadpisregistra">
    <w:name w:val="index heading"/>
    <w:basedOn w:val="Normlny"/>
    <w:next w:val="Register1"/>
    <w:rsid w:val="000322EB"/>
    <w:rPr>
      <w:rFonts w:ascii="Cambria" w:hAnsi="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rsid w:val="000322EB"/>
    <w:pPr>
      <w:ind w:left="708"/>
    </w:pPr>
  </w:style>
  <w:style w:type="paragraph" w:styleId="Obsah1">
    <w:name w:val="toc 1"/>
    <w:basedOn w:val="Normlny"/>
    <w:next w:val="Normlny"/>
    <w:autoRedefine/>
    <w:rsid w:val="000322EB"/>
    <w:pPr>
      <w:tabs>
        <w:tab w:val="clear" w:pos="567"/>
      </w:tabs>
    </w:pPr>
  </w:style>
  <w:style w:type="paragraph" w:styleId="Obsah2">
    <w:name w:val="toc 2"/>
    <w:basedOn w:val="Normlny"/>
    <w:next w:val="Normlny"/>
    <w:autoRedefine/>
    <w:rsid w:val="000322EB"/>
    <w:pPr>
      <w:tabs>
        <w:tab w:val="clear" w:pos="567"/>
      </w:tabs>
      <w:ind w:left="220"/>
    </w:pPr>
  </w:style>
  <w:style w:type="paragraph" w:styleId="Obsah3">
    <w:name w:val="toc 3"/>
    <w:basedOn w:val="Normlny"/>
    <w:next w:val="Normlny"/>
    <w:autoRedefine/>
    <w:rsid w:val="000322EB"/>
    <w:pPr>
      <w:tabs>
        <w:tab w:val="clear" w:pos="567"/>
      </w:tabs>
      <w:ind w:left="440"/>
    </w:pPr>
  </w:style>
  <w:style w:type="paragraph" w:styleId="Obsah4">
    <w:name w:val="toc 4"/>
    <w:basedOn w:val="Normlny"/>
    <w:next w:val="Normlny"/>
    <w:autoRedefine/>
    <w:rsid w:val="000322EB"/>
    <w:pPr>
      <w:tabs>
        <w:tab w:val="clear" w:pos="567"/>
      </w:tabs>
      <w:ind w:left="660"/>
    </w:pPr>
  </w:style>
  <w:style w:type="paragraph" w:styleId="Obsah5">
    <w:name w:val="toc 5"/>
    <w:basedOn w:val="Normlny"/>
    <w:next w:val="Normlny"/>
    <w:autoRedefine/>
    <w:rsid w:val="000322EB"/>
    <w:pPr>
      <w:tabs>
        <w:tab w:val="clear" w:pos="567"/>
      </w:tabs>
      <w:ind w:left="880"/>
    </w:pPr>
  </w:style>
  <w:style w:type="paragraph" w:styleId="Obsah6">
    <w:name w:val="toc 6"/>
    <w:basedOn w:val="Normlny"/>
    <w:next w:val="Normlny"/>
    <w:autoRedefine/>
    <w:rsid w:val="000322EB"/>
    <w:pPr>
      <w:tabs>
        <w:tab w:val="clear" w:pos="567"/>
      </w:tabs>
      <w:ind w:left="1100"/>
    </w:pPr>
  </w:style>
  <w:style w:type="paragraph" w:styleId="Obsah7">
    <w:name w:val="toc 7"/>
    <w:basedOn w:val="Normlny"/>
    <w:next w:val="Normlny"/>
    <w:autoRedefine/>
    <w:rsid w:val="000322EB"/>
    <w:pPr>
      <w:tabs>
        <w:tab w:val="clear" w:pos="567"/>
      </w:tabs>
      <w:ind w:left="1320"/>
    </w:pPr>
  </w:style>
  <w:style w:type="paragraph" w:styleId="Obsah8">
    <w:name w:val="toc 8"/>
    <w:basedOn w:val="Normlny"/>
    <w:next w:val="Normlny"/>
    <w:autoRedefine/>
    <w:rsid w:val="000322EB"/>
    <w:pPr>
      <w:tabs>
        <w:tab w:val="clear" w:pos="567"/>
      </w:tabs>
      <w:ind w:left="1540"/>
    </w:pPr>
  </w:style>
  <w:style w:type="paragraph" w:styleId="Obsah9">
    <w:name w:val="toc 9"/>
    <w:basedOn w:val="Normlny"/>
    <w:next w:val="Normlny"/>
    <w:autoRedefine/>
    <w:rsid w:val="000322EB"/>
    <w:pPr>
      <w:tabs>
        <w:tab w:val="clear" w:pos="567"/>
      </w:tabs>
      <w:ind w:left="1760"/>
    </w:pPr>
  </w:style>
  <w:style w:type="paragraph" w:styleId="Obyajntext">
    <w:name w:val="Plain Text"/>
    <w:basedOn w:val="Normlny"/>
    <w:link w:val="ObyajntextChar"/>
    <w:rsid w:val="000322EB"/>
    <w:rPr>
      <w:rFonts w:ascii="Courier New" w:hAnsi="Courier New" w:cs="Courier New"/>
      <w:sz w:val="20"/>
    </w:rPr>
  </w:style>
  <w:style w:type="character" w:customStyle="1" w:styleId="ObyajntextChar">
    <w:name w:val="Obyčajný text Char"/>
    <w:basedOn w:val="Predvolenpsmoodseku"/>
    <w:link w:val="Obyajntext"/>
    <w:rsid w:val="000322EB"/>
    <w:rPr>
      <w:rFonts w:ascii="Courier New" w:hAnsi="Courier New" w:cs="Courier New"/>
      <w:lang w:val="en-GB"/>
    </w:rPr>
  </w:style>
  <w:style w:type="paragraph" w:styleId="Oslovenie">
    <w:name w:val="Salutation"/>
    <w:basedOn w:val="Normlny"/>
    <w:next w:val="Normlny"/>
    <w:link w:val="OslovenieChar"/>
    <w:rsid w:val="000322EB"/>
  </w:style>
  <w:style w:type="character" w:customStyle="1" w:styleId="OslovenieChar">
    <w:name w:val="Oslovenie Char"/>
    <w:basedOn w:val="Predvolenpsmoodseku"/>
    <w:link w:val="Oslovenie"/>
    <w:rsid w:val="000322EB"/>
    <w:rPr>
      <w:sz w:val="22"/>
      <w:lang w:val="en-GB"/>
    </w:rPr>
  </w:style>
  <w:style w:type="paragraph" w:styleId="Oznaitext">
    <w:name w:val="Block Text"/>
    <w:basedOn w:val="Normlny"/>
    <w:rsid w:val="000322EB"/>
    <w:pPr>
      <w:spacing w:after="120"/>
      <w:ind w:left="1440" w:right="1440"/>
    </w:pPr>
  </w:style>
  <w:style w:type="paragraph" w:styleId="Podpis">
    <w:name w:val="Signature"/>
    <w:basedOn w:val="Normlny"/>
    <w:link w:val="PodpisChar"/>
    <w:rsid w:val="000322EB"/>
    <w:pPr>
      <w:ind w:left="4252"/>
    </w:pPr>
  </w:style>
  <w:style w:type="character" w:customStyle="1" w:styleId="PodpisChar">
    <w:name w:val="Podpis Char"/>
    <w:basedOn w:val="Predvolenpsmoodseku"/>
    <w:link w:val="Podpis"/>
    <w:rsid w:val="000322EB"/>
    <w:rPr>
      <w:sz w:val="22"/>
      <w:lang w:val="en-GB"/>
    </w:rPr>
  </w:style>
  <w:style w:type="paragraph" w:styleId="Podpise-mailu">
    <w:name w:val="E-mail Signature"/>
    <w:basedOn w:val="Normlny"/>
    <w:link w:val="Podpise-mailuChar"/>
    <w:rsid w:val="000322EB"/>
  </w:style>
  <w:style w:type="character" w:customStyle="1" w:styleId="Podpise-mailuChar">
    <w:name w:val="Podpis e-mailu Char"/>
    <w:basedOn w:val="Predvolenpsmoodseku"/>
    <w:link w:val="Podpise-mailu"/>
    <w:rsid w:val="000322EB"/>
    <w:rPr>
      <w:sz w:val="22"/>
      <w:lang w:val="en-GB"/>
    </w:rPr>
  </w:style>
  <w:style w:type="paragraph" w:styleId="Pokraovaniezoznamu">
    <w:name w:val="List Continue"/>
    <w:basedOn w:val="Normlny"/>
    <w:rsid w:val="000322EB"/>
    <w:pPr>
      <w:spacing w:after="120"/>
      <w:ind w:left="283"/>
      <w:contextualSpacing/>
    </w:pPr>
  </w:style>
  <w:style w:type="paragraph" w:styleId="Pokraovaniezoznamu2">
    <w:name w:val="List Continue 2"/>
    <w:basedOn w:val="Normlny"/>
    <w:rsid w:val="000322EB"/>
    <w:pPr>
      <w:spacing w:after="120"/>
      <w:ind w:left="566"/>
      <w:contextualSpacing/>
    </w:pPr>
  </w:style>
  <w:style w:type="paragraph" w:styleId="Pokraovaniezoznamu3">
    <w:name w:val="List Continue 3"/>
    <w:basedOn w:val="Normlny"/>
    <w:rsid w:val="000322EB"/>
    <w:pPr>
      <w:spacing w:after="120"/>
      <w:ind w:left="849"/>
      <w:contextualSpacing/>
    </w:pPr>
  </w:style>
  <w:style w:type="paragraph" w:styleId="Pokraovaniezoznamu4">
    <w:name w:val="List Continue 4"/>
    <w:basedOn w:val="Normlny"/>
    <w:rsid w:val="000322EB"/>
    <w:pPr>
      <w:spacing w:after="120"/>
      <w:ind w:left="1132"/>
      <w:contextualSpacing/>
    </w:pPr>
  </w:style>
  <w:style w:type="paragraph" w:styleId="Pokraovaniezoznamu5">
    <w:name w:val="List Continue 5"/>
    <w:basedOn w:val="Normlny"/>
    <w:rsid w:val="000322EB"/>
    <w:pPr>
      <w:spacing w:after="120"/>
      <w:ind w:left="1415"/>
      <w:contextualSpacing/>
    </w:pPr>
  </w:style>
  <w:style w:type="paragraph" w:styleId="PredformtovanHTML">
    <w:name w:val="HTML Preformatted"/>
    <w:basedOn w:val="Normlny"/>
    <w:link w:val="PredformtovanHTMLChar"/>
    <w:rsid w:val="000322EB"/>
    <w:rPr>
      <w:rFonts w:ascii="Courier New" w:hAnsi="Courier New" w:cs="Courier New"/>
      <w:sz w:val="20"/>
    </w:rPr>
  </w:style>
  <w:style w:type="character" w:customStyle="1" w:styleId="PredformtovanHTMLChar">
    <w:name w:val="Predformátované HTML Char"/>
    <w:basedOn w:val="Predvolenpsmoodseku"/>
    <w:link w:val="PredformtovanHTML"/>
    <w:rsid w:val="000322EB"/>
    <w:rPr>
      <w:rFonts w:ascii="Courier New" w:hAnsi="Courier New" w:cs="Courier New"/>
      <w:lang w:val="en-GB"/>
    </w:rPr>
  </w:style>
  <w:style w:type="paragraph" w:styleId="Prvzarkazkladnhotextu">
    <w:name w:val="Body Text First Indent"/>
    <w:basedOn w:val="Zkladntext"/>
    <w:link w:val="PrvzarkazkladnhotextuChar"/>
    <w:rsid w:val="000322EB"/>
    <w:pPr>
      <w:spacing w:after="120"/>
      <w:ind w:firstLine="210"/>
    </w:pPr>
    <w:rPr>
      <w:b w:val="0"/>
      <w:i w:val="0"/>
    </w:rPr>
  </w:style>
  <w:style w:type="character" w:customStyle="1" w:styleId="PrvzarkazkladnhotextuChar">
    <w:name w:val="Prvá zarážka základného textu Char"/>
    <w:basedOn w:val="ZkladntextChar"/>
    <w:link w:val="Prvzarkazkladnhotextu"/>
    <w:rsid w:val="000322EB"/>
    <w:rPr>
      <w:b w:val="0"/>
      <w:i w:val="0"/>
      <w:sz w:val="22"/>
      <w:lang w:val="en-GB"/>
    </w:rPr>
  </w:style>
  <w:style w:type="paragraph" w:styleId="Zarkazkladnhotextu">
    <w:name w:val="Body Text Indent"/>
    <w:basedOn w:val="Normlny"/>
    <w:link w:val="ZarkazkladnhotextuChar"/>
    <w:rsid w:val="000322EB"/>
    <w:pPr>
      <w:spacing w:after="120"/>
      <w:ind w:left="283"/>
    </w:pPr>
  </w:style>
  <w:style w:type="character" w:customStyle="1" w:styleId="ZarkazkladnhotextuChar">
    <w:name w:val="Zarážka základného textu Char"/>
    <w:basedOn w:val="Predvolenpsmoodseku"/>
    <w:link w:val="Zarkazkladnhotextu"/>
    <w:rsid w:val="000322EB"/>
    <w:rPr>
      <w:sz w:val="22"/>
      <w:lang w:val="en-GB"/>
    </w:rPr>
  </w:style>
  <w:style w:type="paragraph" w:styleId="Prvzarkazkladnhotextu2">
    <w:name w:val="Body Text First Indent 2"/>
    <w:basedOn w:val="Zarkazkladnhotextu"/>
    <w:link w:val="Prvzarkazkladnhotextu2Char"/>
    <w:rsid w:val="000322EB"/>
    <w:pPr>
      <w:ind w:firstLine="210"/>
    </w:pPr>
  </w:style>
  <w:style w:type="character" w:customStyle="1" w:styleId="Prvzarkazkladnhotextu2Char">
    <w:name w:val="Prvá zarážka základného textu 2 Char"/>
    <w:basedOn w:val="ZarkazkladnhotextuChar"/>
    <w:link w:val="Prvzarkazkladnhotextu2"/>
    <w:rsid w:val="000322EB"/>
    <w:rPr>
      <w:sz w:val="22"/>
      <w:lang w:val="en-GB"/>
    </w:rPr>
  </w:style>
  <w:style w:type="paragraph" w:styleId="Register2">
    <w:name w:val="index 2"/>
    <w:basedOn w:val="Normlny"/>
    <w:next w:val="Normlny"/>
    <w:autoRedefine/>
    <w:rsid w:val="000322EB"/>
    <w:pPr>
      <w:tabs>
        <w:tab w:val="clear" w:pos="567"/>
      </w:tabs>
      <w:ind w:left="440" w:hanging="220"/>
    </w:pPr>
  </w:style>
  <w:style w:type="paragraph" w:styleId="Register3">
    <w:name w:val="index 3"/>
    <w:basedOn w:val="Normlny"/>
    <w:next w:val="Normlny"/>
    <w:autoRedefine/>
    <w:rsid w:val="000322EB"/>
    <w:pPr>
      <w:tabs>
        <w:tab w:val="clear" w:pos="567"/>
      </w:tabs>
      <w:ind w:left="660" w:hanging="220"/>
    </w:pPr>
  </w:style>
  <w:style w:type="paragraph" w:styleId="Register4">
    <w:name w:val="index 4"/>
    <w:basedOn w:val="Normlny"/>
    <w:next w:val="Normlny"/>
    <w:autoRedefine/>
    <w:rsid w:val="000322EB"/>
    <w:pPr>
      <w:tabs>
        <w:tab w:val="clear" w:pos="567"/>
      </w:tabs>
      <w:ind w:left="880" w:hanging="220"/>
    </w:pPr>
  </w:style>
  <w:style w:type="paragraph" w:styleId="Register5">
    <w:name w:val="index 5"/>
    <w:basedOn w:val="Normlny"/>
    <w:next w:val="Normlny"/>
    <w:autoRedefine/>
    <w:rsid w:val="000322EB"/>
    <w:pPr>
      <w:tabs>
        <w:tab w:val="clear" w:pos="567"/>
      </w:tabs>
      <w:ind w:left="1100" w:hanging="220"/>
    </w:pPr>
  </w:style>
  <w:style w:type="paragraph" w:styleId="Register6">
    <w:name w:val="index 6"/>
    <w:basedOn w:val="Normlny"/>
    <w:next w:val="Normlny"/>
    <w:autoRedefine/>
    <w:rsid w:val="000322EB"/>
    <w:pPr>
      <w:tabs>
        <w:tab w:val="clear" w:pos="567"/>
      </w:tabs>
      <w:ind w:left="1320" w:hanging="220"/>
    </w:pPr>
  </w:style>
  <w:style w:type="paragraph" w:styleId="Register7">
    <w:name w:val="index 7"/>
    <w:basedOn w:val="Normlny"/>
    <w:next w:val="Normlny"/>
    <w:autoRedefine/>
    <w:rsid w:val="000322EB"/>
    <w:pPr>
      <w:tabs>
        <w:tab w:val="clear" w:pos="567"/>
      </w:tabs>
      <w:ind w:left="1540" w:hanging="220"/>
    </w:pPr>
  </w:style>
  <w:style w:type="paragraph" w:styleId="Register8">
    <w:name w:val="index 8"/>
    <w:basedOn w:val="Normlny"/>
    <w:next w:val="Normlny"/>
    <w:autoRedefine/>
    <w:rsid w:val="000322EB"/>
    <w:pPr>
      <w:tabs>
        <w:tab w:val="clear" w:pos="567"/>
      </w:tabs>
      <w:ind w:left="1760" w:hanging="220"/>
    </w:pPr>
  </w:style>
  <w:style w:type="paragraph" w:styleId="Register9">
    <w:name w:val="index 9"/>
    <w:basedOn w:val="Normlny"/>
    <w:next w:val="Normlny"/>
    <w:autoRedefine/>
    <w:rsid w:val="000322EB"/>
    <w:pPr>
      <w:tabs>
        <w:tab w:val="clear" w:pos="567"/>
      </w:tabs>
      <w:ind w:left="1980" w:hanging="220"/>
    </w:pPr>
  </w:style>
  <w:style w:type="paragraph" w:styleId="Spiatonadresanaoblke">
    <w:name w:val="envelope return"/>
    <w:basedOn w:val="Normlny"/>
    <w:rsid w:val="000322EB"/>
    <w:rPr>
      <w:rFonts w:ascii="Cambria" w:hAnsi="Cambria"/>
      <w:sz w:val="20"/>
    </w:rPr>
  </w:style>
  <w:style w:type="paragraph" w:styleId="Textmakra">
    <w:name w:val="macro"/>
    <w:link w:val="TextmakraChar"/>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TextmakraChar">
    <w:name w:val="Text makra Char"/>
    <w:basedOn w:val="Predvolenpsmoodseku"/>
    <w:link w:val="Textmakra"/>
    <w:rsid w:val="000322EB"/>
    <w:rPr>
      <w:rFonts w:ascii="Courier New" w:hAnsi="Courier New" w:cs="Courier New"/>
      <w:lang w:val="en-GB"/>
    </w:rPr>
  </w:style>
  <w:style w:type="paragraph" w:styleId="Zarkazkladnhotextu2">
    <w:name w:val="Body Text Indent 2"/>
    <w:basedOn w:val="Normlny"/>
    <w:link w:val="Zarkazkladnhotextu2Char"/>
    <w:rsid w:val="000322EB"/>
    <w:pPr>
      <w:spacing w:after="120" w:line="480" w:lineRule="auto"/>
      <w:ind w:left="283"/>
    </w:pPr>
  </w:style>
  <w:style w:type="character" w:customStyle="1" w:styleId="Zarkazkladnhotextu2Char">
    <w:name w:val="Zarážka základného textu 2 Char"/>
    <w:basedOn w:val="Predvolenpsmoodseku"/>
    <w:link w:val="Zarkazkladnhotextu2"/>
    <w:rsid w:val="000322EB"/>
    <w:rPr>
      <w:sz w:val="22"/>
      <w:lang w:val="en-GB"/>
    </w:rPr>
  </w:style>
  <w:style w:type="paragraph" w:styleId="Zarkazkladnhotextu3">
    <w:name w:val="Body Text Indent 3"/>
    <w:basedOn w:val="Normlny"/>
    <w:link w:val="Zarkazkladnhotextu3Char"/>
    <w:rsid w:val="000322EB"/>
    <w:pPr>
      <w:spacing w:after="120"/>
      <w:ind w:left="283"/>
    </w:pPr>
    <w:rPr>
      <w:sz w:val="16"/>
      <w:szCs w:val="16"/>
    </w:rPr>
  </w:style>
  <w:style w:type="character" w:customStyle="1" w:styleId="Zarkazkladnhotextu3Char">
    <w:name w:val="Zarážka základného textu 3 Char"/>
    <w:basedOn w:val="Predvolenpsmoodseku"/>
    <w:link w:val="Zarkazkladnhotextu3"/>
    <w:rsid w:val="000322EB"/>
    <w:rPr>
      <w:sz w:val="16"/>
      <w:szCs w:val="16"/>
      <w:lang w:val="en-GB"/>
    </w:rPr>
  </w:style>
  <w:style w:type="paragraph" w:styleId="Zver">
    <w:name w:val="Closing"/>
    <w:basedOn w:val="Normlny"/>
    <w:link w:val="ZverChar"/>
    <w:rsid w:val="000322EB"/>
    <w:pPr>
      <w:ind w:left="4252"/>
    </w:pPr>
  </w:style>
  <w:style w:type="character" w:customStyle="1" w:styleId="ZverChar">
    <w:name w:val="Záver Char"/>
    <w:basedOn w:val="Predvolenpsmoodseku"/>
    <w:link w:val="Zver"/>
    <w:rsid w:val="000322EB"/>
    <w:rPr>
      <w:sz w:val="22"/>
      <w:lang w:val="en-GB"/>
    </w:rPr>
  </w:style>
  <w:style w:type="paragraph" w:styleId="Zoznam">
    <w:name w:val="List"/>
    <w:basedOn w:val="Normlny"/>
    <w:rsid w:val="000322EB"/>
    <w:pPr>
      <w:ind w:left="283" w:hanging="283"/>
      <w:contextualSpacing/>
    </w:pPr>
  </w:style>
  <w:style w:type="paragraph" w:styleId="Zoznam2">
    <w:name w:val="List 2"/>
    <w:basedOn w:val="Normlny"/>
    <w:rsid w:val="000322EB"/>
    <w:pPr>
      <w:ind w:left="566" w:hanging="283"/>
      <w:contextualSpacing/>
    </w:pPr>
  </w:style>
  <w:style w:type="paragraph" w:styleId="Zoznam3">
    <w:name w:val="List 3"/>
    <w:basedOn w:val="Normlny"/>
    <w:rsid w:val="000322EB"/>
    <w:pPr>
      <w:ind w:left="849" w:hanging="283"/>
      <w:contextualSpacing/>
    </w:pPr>
  </w:style>
  <w:style w:type="paragraph" w:styleId="Zoznam4">
    <w:name w:val="List 4"/>
    <w:basedOn w:val="Normlny"/>
    <w:rsid w:val="000322EB"/>
    <w:pPr>
      <w:ind w:left="1132" w:hanging="283"/>
      <w:contextualSpacing/>
    </w:pPr>
  </w:style>
  <w:style w:type="paragraph" w:styleId="Zoznam5">
    <w:name w:val="List 5"/>
    <w:basedOn w:val="Normlny"/>
    <w:rsid w:val="000322EB"/>
    <w:pPr>
      <w:ind w:left="1415" w:hanging="283"/>
      <w:contextualSpacing/>
    </w:pPr>
  </w:style>
  <w:style w:type="paragraph" w:styleId="Zoznamcitci">
    <w:name w:val="table of authorities"/>
    <w:basedOn w:val="Normlny"/>
    <w:next w:val="Normlny"/>
    <w:rsid w:val="000322EB"/>
    <w:pPr>
      <w:tabs>
        <w:tab w:val="clear" w:pos="567"/>
      </w:tabs>
      <w:ind w:left="220" w:hanging="220"/>
    </w:pPr>
  </w:style>
  <w:style w:type="paragraph" w:styleId="Zoznamobrzkov">
    <w:name w:val="table of figures"/>
    <w:basedOn w:val="Normlny"/>
    <w:next w:val="Normlny"/>
    <w:rsid w:val="000322EB"/>
    <w:pPr>
      <w:tabs>
        <w:tab w:val="clear" w:pos="567"/>
      </w:tabs>
    </w:pPr>
  </w:style>
  <w:style w:type="paragraph" w:styleId="Zoznamsodrkami">
    <w:name w:val="List Bullet"/>
    <w:basedOn w:val="Normlny"/>
    <w:rsid w:val="000322EB"/>
    <w:pPr>
      <w:numPr>
        <w:numId w:val="21"/>
      </w:numPr>
      <w:contextualSpacing/>
    </w:pPr>
  </w:style>
  <w:style w:type="paragraph" w:styleId="Zoznamsodrkami2">
    <w:name w:val="List Bullet 2"/>
    <w:basedOn w:val="Normlny"/>
    <w:rsid w:val="000322EB"/>
    <w:pPr>
      <w:numPr>
        <w:numId w:val="22"/>
      </w:numPr>
      <w:contextualSpacing/>
    </w:pPr>
  </w:style>
  <w:style w:type="paragraph" w:styleId="Zoznamsodrkami3">
    <w:name w:val="List Bullet 3"/>
    <w:basedOn w:val="Normlny"/>
    <w:rsid w:val="000322EB"/>
    <w:pPr>
      <w:numPr>
        <w:numId w:val="23"/>
      </w:numPr>
      <w:contextualSpacing/>
    </w:pPr>
  </w:style>
  <w:style w:type="paragraph" w:styleId="Zoznamsodrkami4">
    <w:name w:val="List Bullet 4"/>
    <w:basedOn w:val="Normlny"/>
    <w:rsid w:val="000322EB"/>
    <w:pPr>
      <w:numPr>
        <w:numId w:val="24"/>
      </w:numPr>
      <w:contextualSpacing/>
    </w:pPr>
  </w:style>
  <w:style w:type="paragraph" w:styleId="Zoznamsodrkami5">
    <w:name w:val="List Bullet 5"/>
    <w:basedOn w:val="Normlny"/>
    <w:rsid w:val="000322EB"/>
    <w:pPr>
      <w:numPr>
        <w:numId w:val="25"/>
      </w:numPr>
      <w:contextualSpacing/>
    </w:pPr>
  </w:style>
  <w:style w:type="paragraph" w:customStyle="1" w:styleId="tl1">
    <w:name w:val="Štýl1"/>
    <w:basedOn w:val="PROOOCO1"/>
    <w:qFormat/>
    <w:rsid w:val="000322EB"/>
    <w:pPr>
      <w:tabs>
        <w:tab w:val="left" w:pos="567"/>
      </w:tabs>
      <w:spacing w:line="260" w:lineRule="exact"/>
      <w:outlineLvl w:val="0"/>
    </w:pPr>
    <w:rPr>
      <w:caps/>
      <w:szCs w:val="22"/>
    </w:rPr>
  </w:style>
  <w:style w:type="paragraph" w:customStyle="1" w:styleId="tl2">
    <w:name w:val="Štýl2"/>
    <w:basedOn w:val="PROOOCO1"/>
    <w:qFormat/>
    <w:rsid w:val="000322EB"/>
    <w:pPr>
      <w:tabs>
        <w:tab w:val="left" w:pos="567"/>
      </w:tabs>
      <w:spacing w:line="260" w:lineRule="exact"/>
      <w:outlineLvl w:val="0"/>
    </w:pPr>
    <w:rPr>
      <w:caps/>
      <w:szCs w:val="22"/>
    </w:rPr>
  </w:style>
  <w:style w:type="paragraph" w:customStyle="1" w:styleId="tl3">
    <w:name w:val="Štýl3"/>
    <w:basedOn w:val="PROOOCO1"/>
    <w:qFormat/>
    <w:rsid w:val="000322EB"/>
    <w:pPr>
      <w:tabs>
        <w:tab w:val="left" w:pos="567"/>
      </w:tabs>
      <w:spacing w:line="260" w:lineRule="exact"/>
      <w:outlineLvl w:val="0"/>
    </w:pPr>
    <w:rPr>
      <w:caps/>
      <w:szCs w:val="22"/>
    </w:rPr>
  </w:style>
  <w:style w:type="paragraph" w:customStyle="1" w:styleId="tl4">
    <w:name w:val="Štýl4"/>
    <w:basedOn w:val="PROOOCO2"/>
    <w:qFormat/>
    <w:rsid w:val="000322EB"/>
    <w:pPr>
      <w:ind w:left="0" w:firstLine="0"/>
    </w:pPr>
  </w:style>
  <w:style w:type="paragraph" w:customStyle="1" w:styleId="tl5">
    <w:name w:val="Štýl5"/>
    <w:basedOn w:val="PROOOCO2"/>
    <w:qFormat/>
    <w:rsid w:val="000322EB"/>
    <w:pPr>
      <w:ind w:left="0" w:firstLine="0"/>
    </w:pPr>
  </w:style>
  <w:style w:type="paragraph" w:customStyle="1" w:styleId="tl6">
    <w:name w:val="Štýl6"/>
    <w:basedOn w:val="PROOOCO2"/>
    <w:qFormat/>
    <w:rsid w:val="000322EB"/>
    <w:pPr>
      <w:ind w:left="0" w:firstLine="0"/>
    </w:pPr>
  </w:style>
  <w:style w:type="paragraph" w:customStyle="1" w:styleId="tl7">
    <w:name w:val="Štýl7"/>
    <w:basedOn w:val="PROOOCO2"/>
    <w:qFormat/>
    <w:rsid w:val="000322EB"/>
    <w:pPr>
      <w:ind w:left="0" w:firstLine="0"/>
    </w:pPr>
  </w:style>
  <w:style w:type="paragraph" w:customStyle="1" w:styleId="BLANKA1">
    <w:name w:val="BLANKA1"/>
    <w:basedOn w:val="tl1"/>
    <w:qFormat/>
    <w:rsid w:val="000322EB"/>
  </w:style>
  <w:style w:type="paragraph" w:customStyle="1" w:styleId="BLANKA2">
    <w:name w:val="BLANKA2"/>
    <w:basedOn w:val="tl4"/>
    <w:qFormat/>
    <w:rsid w:val="000322EB"/>
  </w:style>
  <w:style w:type="character" w:customStyle="1" w:styleId="hps">
    <w:name w:val="hps"/>
    <w:rsid w:val="000322EB"/>
  </w:style>
  <w:style w:type="character" w:customStyle="1" w:styleId="atn">
    <w:name w:val="atn"/>
    <w:rsid w:val="000322EB"/>
  </w:style>
  <w:style w:type="character" w:styleId="Siln">
    <w:name w:val="Strong"/>
    <w:uiPriority w:val="22"/>
    <w:qFormat/>
    <w:rsid w:val="000322EB"/>
    <w:rPr>
      <w:b/>
      <w:bCs/>
    </w:rPr>
  </w:style>
  <w:style w:type="paragraph" w:customStyle="1" w:styleId="EMEAEnBodyText">
    <w:name w:val="EMEA En Body Text"/>
    <w:basedOn w:val="Normlny"/>
    <w:rsid w:val="005730D7"/>
    <w:pPr>
      <w:tabs>
        <w:tab w:val="clear" w:pos="567"/>
      </w:tabs>
      <w:spacing w:before="120" w:after="120" w:line="240" w:lineRule="auto"/>
      <w:jc w:val="both"/>
    </w:pPr>
    <w:rPr>
      <w:lang w:val="en-US"/>
    </w:rPr>
  </w:style>
  <w:style w:type="paragraph" w:customStyle="1" w:styleId="Paragraph">
    <w:name w:val="Paragraph"/>
    <w:link w:val="ParagraphChar"/>
    <w:rsid w:val="00586480"/>
    <w:pPr>
      <w:spacing w:after="240"/>
    </w:pPr>
    <w:rPr>
      <w:sz w:val="24"/>
      <w:szCs w:val="24"/>
      <w:lang w:val="en-US"/>
    </w:rPr>
  </w:style>
  <w:style w:type="character" w:customStyle="1" w:styleId="ParagraphChar">
    <w:name w:val="Paragraph Char"/>
    <w:link w:val="Paragraph"/>
    <w:rsid w:val="00586480"/>
    <w:rPr>
      <w:sz w:val="24"/>
      <w:szCs w:val="24"/>
      <w:lang w:val="en-US"/>
    </w:rPr>
  </w:style>
  <w:style w:type="paragraph" w:customStyle="1" w:styleId="Default">
    <w:name w:val="Default"/>
    <w:rsid w:val="00D70363"/>
    <w:pPr>
      <w:autoSpaceDE w:val="0"/>
      <w:autoSpaceDN w:val="0"/>
      <w:adjustRightInd w:val="0"/>
    </w:pPr>
    <w:rPr>
      <w:color w:val="000000"/>
      <w:sz w:val="24"/>
      <w:szCs w:val="24"/>
      <w:lang w:val="fr-FR" w:eastAsia="fr-FR"/>
    </w:rPr>
  </w:style>
  <w:style w:type="table" w:styleId="Mriekatabuky">
    <w:name w:val="Table Grid"/>
    <w:basedOn w:val="Normlnatabuka"/>
    <w:uiPriority w:val="59"/>
    <w:rsid w:val="006A616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qFormat/>
    <w:rsid w:val="001D2613"/>
    <w:pPr>
      <w:spacing w:after="60"/>
      <w:jc w:val="center"/>
      <w:outlineLvl w:val="1"/>
    </w:pPr>
    <w:rPr>
      <w:rFonts w:ascii="Cambria" w:hAnsi="Cambria"/>
      <w:sz w:val="24"/>
      <w:szCs w:val="24"/>
    </w:rPr>
  </w:style>
  <w:style w:type="character" w:customStyle="1" w:styleId="PodtitulChar">
    <w:name w:val="Podtitul Char"/>
    <w:link w:val="Podtitul"/>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sz w:val="20"/>
    </w:rPr>
  </w:style>
  <w:style w:type="character" w:customStyle="1" w:styleId="HlavikaChar">
    <w:name w:val="Hlavička Char"/>
    <w:basedOn w:val="Predvolenpsmoodseku"/>
    <w:link w:val="Hlavika"/>
    <w:uiPriority w:val="99"/>
    <w:rsid w:val="000322EB"/>
    <w:rPr>
      <w:rFonts w:ascii="Arial" w:hAnsi="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sz w:val="16"/>
    </w:rPr>
  </w:style>
  <w:style w:type="character" w:customStyle="1" w:styleId="PtaChar">
    <w:name w:val="Päta Char"/>
    <w:basedOn w:val="Predvolenpsmoodseku"/>
    <w:link w:val="Pta"/>
    <w:uiPriority w:val="99"/>
    <w:rsid w:val="000322EB"/>
    <w:rPr>
      <w:rFonts w:ascii="Arial" w:hAnsi="Arial"/>
      <w:sz w:val="16"/>
      <w:lang w:val="en-GB"/>
    </w:rPr>
  </w:style>
  <w:style w:type="character" w:styleId="slostrany">
    <w:name w:val="page number"/>
    <w:basedOn w:val="Predvolenpsmoodseku"/>
    <w:rsid w:val="000322EB"/>
  </w:style>
  <w:style w:type="paragraph" w:styleId="Textvysvetlivky">
    <w:name w:val="endnote text"/>
    <w:basedOn w:val="Normlny"/>
    <w:link w:val="TextvysvetlivkyChar"/>
    <w:semiHidden/>
    <w:rsid w:val="000322EB"/>
    <w:pPr>
      <w:spacing w:line="240" w:lineRule="auto"/>
    </w:pPr>
  </w:style>
  <w:style w:type="character" w:customStyle="1" w:styleId="TextvysvetlivkyChar">
    <w:name w:val="Text vysvetlivky Char"/>
    <w:basedOn w:val="Predvolenpsmoodseku"/>
    <w:link w:val="Textvysvetlivky"/>
    <w:semiHidden/>
    <w:rsid w:val="000322EB"/>
    <w:rPr>
      <w:sz w:val="22"/>
      <w:lang w:val="en-GB"/>
    </w:rPr>
  </w:style>
  <w:style w:type="character" w:styleId="Odkaznavysvetlivku">
    <w:name w:val="endnote reference"/>
    <w:semiHidden/>
    <w:rsid w:val="000322EB"/>
    <w:rPr>
      <w:vertAlign w:val="superscript"/>
    </w:rPr>
  </w:style>
  <w:style w:type="character" w:styleId="Odkaznakomentr">
    <w:name w:val="annotation reference"/>
    <w:semiHidden/>
    <w:rsid w:val="000322EB"/>
    <w:rPr>
      <w:sz w:val="16"/>
    </w:rPr>
  </w:style>
  <w:style w:type="paragraph" w:styleId="Textkomentra">
    <w:name w:val="annotation text"/>
    <w:basedOn w:val="Normlny"/>
    <w:link w:val="TextkomentraChar"/>
    <w:semiHidden/>
    <w:rsid w:val="000322EB"/>
    <w:rPr>
      <w:sz w:val="20"/>
    </w:rPr>
  </w:style>
  <w:style w:type="character" w:customStyle="1" w:styleId="TextkomentraChar">
    <w:name w:val="Text komentára Char"/>
    <w:basedOn w:val="Predvolenpsmoodseku"/>
    <w:link w:val="Textkomentra"/>
    <w:semiHidden/>
    <w:rsid w:val="000322EB"/>
    <w:rPr>
      <w:lang w:val="en-GB"/>
    </w:rPr>
  </w:style>
  <w:style w:type="paragraph" w:styleId="Zkladntext2">
    <w:name w:val="Body Text 2"/>
    <w:basedOn w:val="Normlny"/>
    <w:link w:val="Zkladntext2Char"/>
    <w:rsid w:val="000322EB"/>
    <w:pPr>
      <w:tabs>
        <w:tab w:val="left" w:pos="4536"/>
      </w:tabs>
      <w:jc w:val="both"/>
    </w:pPr>
    <w:rPr>
      <w:b/>
    </w:rPr>
  </w:style>
  <w:style w:type="character" w:customStyle="1" w:styleId="Zkladntext2Char">
    <w:name w:val="Základný text 2 Char"/>
    <w:basedOn w:val="Predvolenpsmoodseku"/>
    <w:link w:val="Zkladntext2"/>
    <w:rsid w:val="000322EB"/>
    <w:rPr>
      <w:b/>
      <w:sz w:val="22"/>
      <w:lang w:val="en-GB"/>
    </w:rPr>
  </w:style>
  <w:style w:type="paragraph" w:styleId="Zkladntext">
    <w:name w:val="Body Text"/>
    <w:basedOn w:val="Normlny"/>
    <w:link w:val="ZkladntextChar"/>
    <w:rsid w:val="000322EB"/>
    <w:rPr>
      <w:b/>
      <w:i/>
    </w:rPr>
  </w:style>
  <w:style w:type="character" w:customStyle="1" w:styleId="ZkladntextChar">
    <w:name w:val="Základný text Char"/>
    <w:basedOn w:val="Predvolenpsmoodseku"/>
    <w:link w:val="Zkladntext"/>
    <w:rsid w:val="000322EB"/>
    <w:rPr>
      <w:b/>
      <w:i/>
      <w:sz w:val="22"/>
      <w:lang w:val="en-GB"/>
    </w:rPr>
  </w:style>
  <w:style w:type="paragraph" w:styleId="Zkladntext3">
    <w:name w:val="Body Text 3"/>
    <w:basedOn w:val="Normlny"/>
    <w:link w:val="Zkladntext3Char"/>
    <w:rsid w:val="000322EB"/>
    <w:pPr>
      <w:jc w:val="both"/>
    </w:pPr>
    <w:rPr>
      <w:b/>
      <w:i/>
    </w:rPr>
  </w:style>
  <w:style w:type="character" w:customStyle="1" w:styleId="Zkladntext3Char">
    <w:name w:val="Základný text 3 Char"/>
    <w:basedOn w:val="Predvolenpsmoodseku"/>
    <w:link w:val="Zkladntext3"/>
    <w:rsid w:val="000322EB"/>
    <w:rPr>
      <w:b/>
      <w:i/>
      <w:sz w:val="22"/>
      <w:lang w:val="en-GB"/>
    </w:rPr>
  </w:style>
  <w:style w:type="paragraph" w:styleId="Textpoznmkypodiarou">
    <w:name w:val="footnote text"/>
    <w:basedOn w:val="Normlny"/>
    <w:link w:val="TextpoznmkypodiarouChar"/>
    <w:semiHidden/>
    <w:rsid w:val="000322EB"/>
    <w:rPr>
      <w:sz w:val="20"/>
    </w:rPr>
  </w:style>
  <w:style w:type="character" w:customStyle="1" w:styleId="TextpoznmkypodiarouChar">
    <w:name w:val="Text poznámky pod čiarou Char"/>
    <w:basedOn w:val="Predvolenpsmoodseku"/>
    <w:link w:val="Textpoznmkypodiarou"/>
    <w:semiHidden/>
    <w:rsid w:val="000322EB"/>
    <w:rPr>
      <w:lang w:val="en-GB"/>
    </w:rPr>
  </w:style>
  <w:style w:type="character" w:styleId="Odkaznapoznmkupodiarou">
    <w:name w:val="footnote reference"/>
    <w:semiHidden/>
    <w:rsid w:val="000322EB"/>
    <w:rPr>
      <w:vertAlign w:val="superscript"/>
    </w:rPr>
  </w:style>
  <w:style w:type="paragraph" w:styleId="truktradokumentu">
    <w:name w:val="Document Map"/>
    <w:basedOn w:val="Normlny"/>
    <w:link w:val="truktradokumentuChar"/>
    <w:semiHidden/>
    <w:rsid w:val="000322EB"/>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0322EB"/>
    <w:rPr>
      <w:rFonts w:ascii="Tahoma" w:hAnsi="Tahoma"/>
      <w:sz w:val="22"/>
      <w:shd w:val="clear" w:color="auto" w:fill="000080"/>
      <w:lang w:val="en-GB"/>
    </w:rPr>
  </w:style>
  <w:style w:type="paragraph" w:customStyle="1" w:styleId="Style1">
    <w:name w:val="Style1"/>
    <w:basedOn w:val="Normlny"/>
    <w:rsid w:val="000322EB"/>
    <w:pPr>
      <w:tabs>
        <w:tab w:val="clear" w:pos="567"/>
      </w:tabs>
      <w:spacing w:line="240" w:lineRule="auto"/>
    </w:pPr>
    <w:rPr>
      <w:rFonts w:ascii="Arial" w:hAnsi="Arial"/>
      <w:sz w:val="24"/>
      <w:szCs w:val="24"/>
      <w:lang w:val="fr-FR" w:eastAsia="fr-FR"/>
    </w:rPr>
  </w:style>
  <w:style w:type="paragraph" w:customStyle="1" w:styleId="Textedebulles1">
    <w:name w:val="Texte de bulles1"/>
    <w:basedOn w:val="Normlny"/>
    <w:semiHidden/>
    <w:rsid w:val="000322EB"/>
    <w:rPr>
      <w:rFonts w:ascii="Tahoma" w:hAnsi="Tahoma" w:cs="Tahoma"/>
      <w:sz w:val="16"/>
      <w:szCs w:val="16"/>
    </w:rPr>
  </w:style>
  <w:style w:type="paragraph" w:styleId="Textbubliny">
    <w:name w:val="Balloon Text"/>
    <w:basedOn w:val="Normlny"/>
    <w:link w:val="TextbublinyChar"/>
    <w:semiHidden/>
    <w:rsid w:val="000322EB"/>
    <w:rPr>
      <w:rFonts w:ascii="Tahoma" w:hAnsi="Tahoma" w:cs="Tahoma"/>
      <w:sz w:val="16"/>
      <w:szCs w:val="16"/>
    </w:rPr>
  </w:style>
  <w:style w:type="character" w:customStyle="1" w:styleId="TextbublinyChar">
    <w:name w:val="Text bubliny Char"/>
    <w:basedOn w:val="Predvolenpsmoodseku"/>
    <w:link w:val="Textbubliny"/>
    <w:semiHidden/>
    <w:rsid w:val="000322EB"/>
    <w:rPr>
      <w:rFonts w:ascii="Tahoma" w:hAnsi="Tahoma" w:cs="Tahoma"/>
      <w:sz w:val="16"/>
      <w:szCs w:val="16"/>
      <w:lang w:val="en-GB"/>
    </w:rPr>
  </w:style>
  <w:style w:type="character" w:styleId="Hypertextovprepojenie">
    <w:name w:val="Hyperlink"/>
    <w:rsid w:val="000322EB"/>
    <w:rPr>
      <w:color w:val="0000FF"/>
      <w:u w:val="single"/>
    </w:rPr>
  </w:style>
  <w:style w:type="paragraph" w:styleId="Predmetkomentra">
    <w:name w:val="annotation subject"/>
    <w:basedOn w:val="Textkomentra"/>
    <w:next w:val="Textkomentra"/>
    <w:link w:val="PredmetkomentraChar"/>
    <w:semiHidden/>
    <w:rsid w:val="000322EB"/>
    <w:rPr>
      <w:b/>
      <w:bCs/>
    </w:rPr>
  </w:style>
  <w:style w:type="character" w:customStyle="1" w:styleId="PredmetkomentraChar">
    <w:name w:val="Predmet komentára Char"/>
    <w:basedOn w:val="TextkomentraChar"/>
    <w:link w:val="Predmetkomentra"/>
    <w:semiHidden/>
    <w:rsid w:val="000322EB"/>
    <w:rPr>
      <w:b/>
      <w:bCs/>
      <w:lang w:val="en-GB"/>
    </w:rPr>
  </w:style>
  <w:style w:type="paragraph" w:customStyle="1" w:styleId="titreA">
    <w:name w:val="titreA"/>
    <w:basedOn w:val="Normlny"/>
    <w:rsid w:val="000322EB"/>
    <w:pPr>
      <w:jc w:val="center"/>
      <w:outlineLvl w:val="0"/>
    </w:pPr>
    <w:rPr>
      <w:b/>
      <w:caps/>
      <w:szCs w:val="22"/>
      <w:lang w:val="sk-SK"/>
    </w:rPr>
  </w:style>
  <w:style w:type="paragraph" w:customStyle="1" w:styleId="titreB">
    <w:name w:val="titreB"/>
    <w:basedOn w:val="Normlny"/>
    <w:rsid w:val="000322EB"/>
    <w:pPr>
      <w:tabs>
        <w:tab w:val="left" w:pos="1701"/>
      </w:tabs>
      <w:ind w:left="1701" w:right="1416"/>
    </w:pPr>
    <w:rPr>
      <w:b/>
      <w:lang w:val="sk-SK"/>
    </w:rPr>
  </w:style>
  <w:style w:type="paragraph" w:customStyle="1" w:styleId="TitreB0">
    <w:name w:val="TitreB"/>
    <w:basedOn w:val="Normlny"/>
    <w:rsid w:val="000322EB"/>
    <w:pPr>
      <w:tabs>
        <w:tab w:val="left" w:pos="1701"/>
      </w:tabs>
      <w:ind w:left="1701" w:right="1416"/>
    </w:pPr>
    <w:rPr>
      <w:b/>
      <w:lang w:val="sk-SK"/>
    </w:rPr>
  </w:style>
  <w:style w:type="paragraph" w:customStyle="1" w:styleId="PROCORALAN1">
    <w:name w:val="PROCORALAN1"/>
    <w:basedOn w:val="titreA"/>
    <w:qFormat/>
    <w:rsid w:val="000322EB"/>
  </w:style>
  <w:style w:type="paragraph" w:customStyle="1" w:styleId="PROCORALAN2">
    <w:name w:val="PROCORALAN2"/>
    <w:basedOn w:val="Normlny"/>
    <w:qFormat/>
    <w:rsid w:val="000322EB"/>
    <w:rPr>
      <w:b/>
      <w:lang w:val="sk-SK"/>
    </w:rPr>
  </w:style>
  <w:style w:type="paragraph" w:customStyle="1" w:styleId="PROCORALAN3">
    <w:name w:val="PROCORALAN3"/>
    <w:basedOn w:val="Normlny"/>
    <w:qFormat/>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szCs w:val="22"/>
      <w:lang w:val="sk-SK" w:eastAsia="zh-CN"/>
    </w:rPr>
  </w:style>
  <w:style w:type="paragraph" w:styleId="AdresaHTML">
    <w:name w:val="HTML Address"/>
    <w:basedOn w:val="Normlny"/>
    <w:link w:val="AdresaHTMLChar"/>
    <w:rsid w:val="000322EB"/>
    <w:rPr>
      <w:i/>
      <w:iCs/>
    </w:rPr>
  </w:style>
  <w:style w:type="character" w:customStyle="1" w:styleId="AdresaHTMLChar">
    <w:name w:val="Adresa HTML Char"/>
    <w:basedOn w:val="Predvolenpsmoodseku"/>
    <w:link w:val="AdresaHTML"/>
    <w:rsid w:val="000322EB"/>
    <w:rPr>
      <w:i/>
      <w:iCs/>
      <w:sz w:val="22"/>
      <w:lang w:val="en-GB"/>
    </w:rPr>
  </w:style>
  <w:style w:type="paragraph" w:styleId="Adresanaoblke">
    <w:name w:val="envelope address"/>
    <w:basedOn w:val="Normlny"/>
    <w:rsid w:val="000322EB"/>
    <w:pPr>
      <w:framePr w:w="7920" w:h="1980" w:hRule="exact" w:hSpace="141" w:wrap="auto" w:hAnchor="page" w:xAlign="center" w:yAlign="bottom"/>
      <w:ind w:left="2880"/>
    </w:pPr>
    <w:rPr>
      <w:rFonts w:ascii="Cambria" w:hAnsi="Cambria"/>
      <w:sz w:val="24"/>
      <w:szCs w:val="24"/>
    </w:rPr>
  </w:style>
  <w:style w:type="paragraph" w:styleId="Bibliografia">
    <w:name w:val="Bibliography"/>
    <w:basedOn w:val="Normlny"/>
    <w:next w:val="Normlny"/>
    <w:uiPriority w:val="37"/>
    <w:semiHidden/>
    <w:unhideWhenUsed/>
    <w:rsid w:val="000322EB"/>
  </w:style>
  <w:style w:type="paragraph" w:styleId="slovanzoznam">
    <w:name w:val="List Number"/>
    <w:basedOn w:val="Normlny"/>
    <w:rsid w:val="000322EB"/>
    <w:pPr>
      <w:numPr>
        <w:numId w:val="16"/>
      </w:numPr>
      <w:contextualSpacing/>
    </w:pPr>
  </w:style>
  <w:style w:type="paragraph" w:styleId="slovanzoznam2">
    <w:name w:val="List Number 2"/>
    <w:basedOn w:val="Normlny"/>
    <w:rsid w:val="000322EB"/>
    <w:pPr>
      <w:numPr>
        <w:numId w:val="17"/>
      </w:numPr>
      <w:tabs>
        <w:tab w:val="clear" w:pos="643"/>
        <w:tab w:val="num" w:pos="360"/>
      </w:tabs>
      <w:ind w:left="0" w:firstLine="0"/>
      <w:contextualSpacing/>
    </w:pPr>
  </w:style>
  <w:style w:type="paragraph" w:styleId="slovanzoznam3">
    <w:name w:val="List Number 3"/>
    <w:basedOn w:val="Normlny"/>
    <w:rsid w:val="000322EB"/>
    <w:pPr>
      <w:numPr>
        <w:numId w:val="18"/>
      </w:numPr>
      <w:contextualSpacing/>
    </w:pPr>
  </w:style>
  <w:style w:type="paragraph" w:styleId="slovanzoznam4">
    <w:name w:val="List Number 4"/>
    <w:basedOn w:val="Normlny"/>
    <w:rsid w:val="000322EB"/>
    <w:pPr>
      <w:numPr>
        <w:numId w:val="19"/>
      </w:numPr>
      <w:contextualSpacing/>
    </w:pPr>
  </w:style>
  <w:style w:type="paragraph" w:styleId="slovanzoznam5">
    <w:name w:val="List Number 5"/>
    <w:basedOn w:val="Normlny"/>
    <w:rsid w:val="000322EB"/>
    <w:pPr>
      <w:numPr>
        <w:numId w:val="20"/>
      </w:numPr>
      <w:contextualSpacing/>
    </w:pPr>
  </w:style>
  <w:style w:type="paragraph" w:styleId="Dtum">
    <w:name w:val="Date"/>
    <w:basedOn w:val="Normlny"/>
    <w:next w:val="Normlny"/>
    <w:link w:val="DtumChar"/>
    <w:rsid w:val="000322EB"/>
  </w:style>
  <w:style w:type="character" w:customStyle="1" w:styleId="DtumChar">
    <w:name w:val="Dátum Char"/>
    <w:basedOn w:val="Predvolenpsmoodseku"/>
    <w:link w:val="Dtum"/>
    <w:rsid w:val="000322EB"/>
    <w:rPr>
      <w:sz w:val="22"/>
      <w:lang w:val="en-GB"/>
    </w:rPr>
  </w:style>
  <w:style w:type="paragraph" w:styleId="Hlavikasprvy">
    <w:name w:val="Message Header"/>
    <w:basedOn w:val="Normlny"/>
    <w:link w:val="HlavikasprvyChar"/>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HlavikasprvyChar">
    <w:name w:val="Hlavička správy Char"/>
    <w:basedOn w:val="Predvolenpsmoodseku"/>
    <w:link w:val="Hlavikasprvy"/>
    <w:rsid w:val="000322EB"/>
    <w:rPr>
      <w:rFonts w:ascii="Cambria" w:hAnsi="Cambria"/>
      <w:sz w:val="24"/>
      <w:szCs w:val="24"/>
      <w:shd w:val="pct20" w:color="auto" w:fill="auto"/>
      <w:lang w:val="en-GB"/>
    </w:rPr>
  </w:style>
  <w:style w:type="paragraph" w:styleId="Hlavikazoznamucitci">
    <w:name w:val="toa heading"/>
    <w:basedOn w:val="Normlny"/>
    <w:next w:val="Normlny"/>
    <w:rsid w:val="000322EB"/>
    <w:pPr>
      <w:spacing w:before="120"/>
    </w:pPr>
    <w:rPr>
      <w:rFonts w:ascii="Cambria" w:hAnsi="Cambria"/>
      <w:b/>
      <w:bCs/>
      <w:sz w:val="24"/>
      <w:szCs w:val="24"/>
    </w:rPr>
  </w:style>
  <w:style w:type="paragraph" w:styleId="Nadpispoznmky">
    <w:name w:val="Note Heading"/>
    <w:basedOn w:val="Normlny"/>
    <w:next w:val="Normlny"/>
    <w:link w:val="NadpispoznmkyChar"/>
    <w:rsid w:val="000322EB"/>
  </w:style>
  <w:style w:type="character" w:customStyle="1" w:styleId="NadpispoznmkyChar">
    <w:name w:val="Nadpis poznámky Char"/>
    <w:basedOn w:val="Predvolenpsmoodseku"/>
    <w:link w:val="Nadpispoznmky"/>
    <w:rsid w:val="000322EB"/>
    <w:rPr>
      <w:sz w:val="22"/>
      <w:lang w:val="en-GB"/>
    </w:rPr>
  </w:style>
  <w:style w:type="paragraph" w:styleId="Register1">
    <w:name w:val="index 1"/>
    <w:basedOn w:val="Normlny"/>
    <w:next w:val="Normlny"/>
    <w:autoRedefine/>
    <w:rsid w:val="000322EB"/>
    <w:pPr>
      <w:tabs>
        <w:tab w:val="clear" w:pos="567"/>
      </w:tabs>
      <w:ind w:left="220" w:hanging="220"/>
    </w:pPr>
  </w:style>
  <w:style w:type="paragraph" w:styleId="Nadpisregistra">
    <w:name w:val="index heading"/>
    <w:basedOn w:val="Normlny"/>
    <w:next w:val="Register1"/>
    <w:rsid w:val="000322EB"/>
    <w:rPr>
      <w:rFonts w:ascii="Cambria" w:hAnsi="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rsid w:val="000322EB"/>
    <w:pPr>
      <w:ind w:left="708"/>
    </w:pPr>
  </w:style>
  <w:style w:type="paragraph" w:styleId="Obsah1">
    <w:name w:val="toc 1"/>
    <w:basedOn w:val="Normlny"/>
    <w:next w:val="Normlny"/>
    <w:autoRedefine/>
    <w:rsid w:val="000322EB"/>
    <w:pPr>
      <w:tabs>
        <w:tab w:val="clear" w:pos="567"/>
      </w:tabs>
    </w:pPr>
  </w:style>
  <w:style w:type="paragraph" w:styleId="Obsah2">
    <w:name w:val="toc 2"/>
    <w:basedOn w:val="Normlny"/>
    <w:next w:val="Normlny"/>
    <w:autoRedefine/>
    <w:rsid w:val="000322EB"/>
    <w:pPr>
      <w:tabs>
        <w:tab w:val="clear" w:pos="567"/>
      </w:tabs>
      <w:ind w:left="220"/>
    </w:pPr>
  </w:style>
  <w:style w:type="paragraph" w:styleId="Obsah3">
    <w:name w:val="toc 3"/>
    <w:basedOn w:val="Normlny"/>
    <w:next w:val="Normlny"/>
    <w:autoRedefine/>
    <w:rsid w:val="000322EB"/>
    <w:pPr>
      <w:tabs>
        <w:tab w:val="clear" w:pos="567"/>
      </w:tabs>
      <w:ind w:left="440"/>
    </w:pPr>
  </w:style>
  <w:style w:type="paragraph" w:styleId="Obsah4">
    <w:name w:val="toc 4"/>
    <w:basedOn w:val="Normlny"/>
    <w:next w:val="Normlny"/>
    <w:autoRedefine/>
    <w:rsid w:val="000322EB"/>
    <w:pPr>
      <w:tabs>
        <w:tab w:val="clear" w:pos="567"/>
      </w:tabs>
      <w:ind w:left="660"/>
    </w:pPr>
  </w:style>
  <w:style w:type="paragraph" w:styleId="Obsah5">
    <w:name w:val="toc 5"/>
    <w:basedOn w:val="Normlny"/>
    <w:next w:val="Normlny"/>
    <w:autoRedefine/>
    <w:rsid w:val="000322EB"/>
    <w:pPr>
      <w:tabs>
        <w:tab w:val="clear" w:pos="567"/>
      </w:tabs>
      <w:ind w:left="880"/>
    </w:pPr>
  </w:style>
  <w:style w:type="paragraph" w:styleId="Obsah6">
    <w:name w:val="toc 6"/>
    <w:basedOn w:val="Normlny"/>
    <w:next w:val="Normlny"/>
    <w:autoRedefine/>
    <w:rsid w:val="000322EB"/>
    <w:pPr>
      <w:tabs>
        <w:tab w:val="clear" w:pos="567"/>
      </w:tabs>
      <w:ind w:left="1100"/>
    </w:pPr>
  </w:style>
  <w:style w:type="paragraph" w:styleId="Obsah7">
    <w:name w:val="toc 7"/>
    <w:basedOn w:val="Normlny"/>
    <w:next w:val="Normlny"/>
    <w:autoRedefine/>
    <w:rsid w:val="000322EB"/>
    <w:pPr>
      <w:tabs>
        <w:tab w:val="clear" w:pos="567"/>
      </w:tabs>
      <w:ind w:left="1320"/>
    </w:pPr>
  </w:style>
  <w:style w:type="paragraph" w:styleId="Obsah8">
    <w:name w:val="toc 8"/>
    <w:basedOn w:val="Normlny"/>
    <w:next w:val="Normlny"/>
    <w:autoRedefine/>
    <w:rsid w:val="000322EB"/>
    <w:pPr>
      <w:tabs>
        <w:tab w:val="clear" w:pos="567"/>
      </w:tabs>
      <w:ind w:left="1540"/>
    </w:pPr>
  </w:style>
  <w:style w:type="paragraph" w:styleId="Obsah9">
    <w:name w:val="toc 9"/>
    <w:basedOn w:val="Normlny"/>
    <w:next w:val="Normlny"/>
    <w:autoRedefine/>
    <w:rsid w:val="000322EB"/>
    <w:pPr>
      <w:tabs>
        <w:tab w:val="clear" w:pos="567"/>
      </w:tabs>
      <w:ind w:left="1760"/>
    </w:pPr>
  </w:style>
  <w:style w:type="paragraph" w:styleId="Obyajntext">
    <w:name w:val="Plain Text"/>
    <w:basedOn w:val="Normlny"/>
    <w:link w:val="ObyajntextChar"/>
    <w:rsid w:val="000322EB"/>
    <w:rPr>
      <w:rFonts w:ascii="Courier New" w:hAnsi="Courier New" w:cs="Courier New"/>
      <w:sz w:val="20"/>
    </w:rPr>
  </w:style>
  <w:style w:type="character" w:customStyle="1" w:styleId="ObyajntextChar">
    <w:name w:val="Obyčajný text Char"/>
    <w:basedOn w:val="Predvolenpsmoodseku"/>
    <w:link w:val="Obyajntext"/>
    <w:rsid w:val="000322EB"/>
    <w:rPr>
      <w:rFonts w:ascii="Courier New" w:hAnsi="Courier New" w:cs="Courier New"/>
      <w:lang w:val="en-GB"/>
    </w:rPr>
  </w:style>
  <w:style w:type="paragraph" w:styleId="Oslovenie">
    <w:name w:val="Salutation"/>
    <w:basedOn w:val="Normlny"/>
    <w:next w:val="Normlny"/>
    <w:link w:val="OslovenieChar"/>
    <w:rsid w:val="000322EB"/>
  </w:style>
  <w:style w:type="character" w:customStyle="1" w:styleId="OslovenieChar">
    <w:name w:val="Oslovenie Char"/>
    <w:basedOn w:val="Predvolenpsmoodseku"/>
    <w:link w:val="Oslovenie"/>
    <w:rsid w:val="000322EB"/>
    <w:rPr>
      <w:sz w:val="22"/>
      <w:lang w:val="en-GB"/>
    </w:rPr>
  </w:style>
  <w:style w:type="paragraph" w:styleId="Oznaitext">
    <w:name w:val="Block Text"/>
    <w:basedOn w:val="Normlny"/>
    <w:rsid w:val="000322EB"/>
    <w:pPr>
      <w:spacing w:after="120"/>
      <w:ind w:left="1440" w:right="1440"/>
    </w:pPr>
  </w:style>
  <w:style w:type="paragraph" w:styleId="Podpis">
    <w:name w:val="Signature"/>
    <w:basedOn w:val="Normlny"/>
    <w:link w:val="PodpisChar"/>
    <w:rsid w:val="000322EB"/>
    <w:pPr>
      <w:ind w:left="4252"/>
    </w:pPr>
  </w:style>
  <w:style w:type="character" w:customStyle="1" w:styleId="PodpisChar">
    <w:name w:val="Podpis Char"/>
    <w:basedOn w:val="Predvolenpsmoodseku"/>
    <w:link w:val="Podpis"/>
    <w:rsid w:val="000322EB"/>
    <w:rPr>
      <w:sz w:val="22"/>
      <w:lang w:val="en-GB"/>
    </w:rPr>
  </w:style>
  <w:style w:type="paragraph" w:styleId="Podpise-mailu">
    <w:name w:val="E-mail Signature"/>
    <w:basedOn w:val="Normlny"/>
    <w:link w:val="Podpise-mailuChar"/>
    <w:rsid w:val="000322EB"/>
  </w:style>
  <w:style w:type="character" w:customStyle="1" w:styleId="Podpise-mailuChar">
    <w:name w:val="Podpis e-mailu Char"/>
    <w:basedOn w:val="Predvolenpsmoodseku"/>
    <w:link w:val="Podpise-mailu"/>
    <w:rsid w:val="000322EB"/>
    <w:rPr>
      <w:sz w:val="22"/>
      <w:lang w:val="en-GB"/>
    </w:rPr>
  </w:style>
  <w:style w:type="paragraph" w:styleId="Pokraovaniezoznamu">
    <w:name w:val="List Continue"/>
    <w:basedOn w:val="Normlny"/>
    <w:rsid w:val="000322EB"/>
    <w:pPr>
      <w:spacing w:after="120"/>
      <w:ind w:left="283"/>
      <w:contextualSpacing/>
    </w:pPr>
  </w:style>
  <w:style w:type="paragraph" w:styleId="Pokraovaniezoznamu2">
    <w:name w:val="List Continue 2"/>
    <w:basedOn w:val="Normlny"/>
    <w:rsid w:val="000322EB"/>
    <w:pPr>
      <w:spacing w:after="120"/>
      <w:ind w:left="566"/>
      <w:contextualSpacing/>
    </w:pPr>
  </w:style>
  <w:style w:type="paragraph" w:styleId="Pokraovaniezoznamu3">
    <w:name w:val="List Continue 3"/>
    <w:basedOn w:val="Normlny"/>
    <w:rsid w:val="000322EB"/>
    <w:pPr>
      <w:spacing w:after="120"/>
      <w:ind w:left="849"/>
      <w:contextualSpacing/>
    </w:pPr>
  </w:style>
  <w:style w:type="paragraph" w:styleId="Pokraovaniezoznamu4">
    <w:name w:val="List Continue 4"/>
    <w:basedOn w:val="Normlny"/>
    <w:rsid w:val="000322EB"/>
    <w:pPr>
      <w:spacing w:after="120"/>
      <w:ind w:left="1132"/>
      <w:contextualSpacing/>
    </w:pPr>
  </w:style>
  <w:style w:type="paragraph" w:styleId="Pokraovaniezoznamu5">
    <w:name w:val="List Continue 5"/>
    <w:basedOn w:val="Normlny"/>
    <w:rsid w:val="000322EB"/>
    <w:pPr>
      <w:spacing w:after="120"/>
      <w:ind w:left="1415"/>
      <w:contextualSpacing/>
    </w:pPr>
  </w:style>
  <w:style w:type="paragraph" w:styleId="PredformtovanHTML">
    <w:name w:val="HTML Preformatted"/>
    <w:basedOn w:val="Normlny"/>
    <w:link w:val="PredformtovanHTMLChar"/>
    <w:rsid w:val="000322EB"/>
    <w:rPr>
      <w:rFonts w:ascii="Courier New" w:hAnsi="Courier New" w:cs="Courier New"/>
      <w:sz w:val="20"/>
    </w:rPr>
  </w:style>
  <w:style w:type="character" w:customStyle="1" w:styleId="PredformtovanHTMLChar">
    <w:name w:val="Predformátované HTML Char"/>
    <w:basedOn w:val="Predvolenpsmoodseku"/>
    <w:link w:val="PredformtovanHTML"/>
    <w:rsid w:val="000322EB"/>
    <w:rPr>
      <w:rFonts w:ascii="Courier New" w:hAnsi="Courier New" w:cs="Courier New"/>
      <w:lang w:val="en-GB"/>
    </w:rPr>
  </w:style>
  <w:style w:type="paragraph" w:styleId="Prvzarkazkladnhotextu">
    <w:name w:val="Body Text First Indent"/>
    <w:basedOn w:val="Zkladntext"/>
    <w:link w:val="PrvzarkazkladnhotextuChar"/>
    <w:rsid w:val="000322EB"/>
    <w:pPr>
      <w:spacing w:after="120"/>
      <w:ind w:firstLine="210"/>
    </w:pPr>
    <w:rPr>
      <w:b w:val="0"/>
      <w:i w:val="0"/>
    </w:rPr>
  </w:style>
  <w:style w:type="character" w:customStyle="1" w:styleId="PrvzarkazkladnhotextuChar">
    <w:name w:val="Prvá zarážka základného textu Char"/>
    <w:basedOn w:val="ZkladntextChar"/>
    <w:link w:val="Prvzarkazkladnhotextu"/>
    <w:rsid w:val="000322EB"/>
    <w:rPr>
      <w:b w:val="0"/>
      <w:i w:val="0"/>
      <w:sz w:val="22"/>
      <w:lang w:val="en-GB"/>
    </w:rPr>
  </w:style>
  <w:style w:type="paragraph" w:styleId="Zarkazkladnhotextu">
    <w:name w:val="Body Text Indent"/>
    <w:basedOn w:val="Normlny"/>
    <w:link w:val="ZarkazkladnhotextuChar"/>
    <w:rsid w:val="000322EB"/>
    <w:pPr>
      <w:spacing w:after="120"/>
      <w:ind w:left="283"/>
    </w:pPr>
  </w:style>
  <w:style w:type="character" w:customStyle="1" w:styleId="ZarkazkladnhotextuChar">
    <w:name w:val="Zarážka základného textu Char"/>
    <w:basedOn w:val="Predvolenpsmoodseku"/>
    <w:link w:val="Zarkazkladnhotextu"/>
    <w:rsid w:val="000322EB"/>
    <w:rPr>
      <w:sz w:val="22"/>
      <w:lang w:val="en-GB"/>
    </w:rPr>
  </w:style>
  <w:style w:type="paragraph" w:styleId="Prvzarkazkladnhotextu2">
    <w:name w:val="Body Text First Indent 2"/>
    <w:basedOn w:val="Zarkazkladnhotextu"/>
    <w:link w:val="Prvzarkazkladnhotextu2Char"/>
    <w:rsid w:val="000322EB"/>
    <w:pPr>
      <w:ind w:firstLine="210"/>
    </w:pPr>
  </w:style>
  <w:style w:type="character" w:customStyle="1" w:styleId="Prvzarkazkladnhotextu2Char">
    <w:name w:val="Prvá zarážka základného textu 2 Char"/>
    <w:basedOn w:val="ZarkazkladnhotextuChar"/>
    <w:link w:val="Prvzarkazkladnhotextu2"/>
    <w:rsid w:val="000322EB"/>
    <w:rPr>
      <w:sz w:val="22"/>
      <w:lang w:val="en-GB"/>
    </w:rPr>
  </w:style>
  <w:style w:type="paragraph" w:styleId="Register2">
    <w:name w:val="index 2"/>
    <w:basedOn w:val="Normlny"/>
    <w:next w:val="Normlny"/>
    <w:autoRedefine/>
    <w:rsid w:val="000322EB"/>
    <w:pPr>
      <w:tabs>
        <w:tab w:val="clear" w:pos="567"/>
      </w:tabs>
      <w:ind w:left="440" w:hanging="220"/>
    </w:pPr>
  </w:style>
  <w:style w:type="paragraph" w:styleId="Register3">
    <w:name w:val="index 3"/>
    <w:basedOn w:val="Normlny"/>
    <w:next w:val="Normlny"/>
    <w:autoRedefine/>
    <w:rsid w:val="000322EB"/>
    <w:pPr>
      <w:tabs>
        <w:tab w:val="clear" w:pos="567"/>
      </w:tabs>
      <w:ind w:left="660" w:hanging="220"/>
    </w:pPr>
  </w:style>
  <w:style w:type="paragraph" w:styleId="Register4">
    <w:name w:val="index 4"/>
    <w:basedOn w:val="Normlny"/>
    <w:next w:val="Normlny"/>
    <w:autoRedefine/>
    <w:rsid w:val="000322EB"/>
    <w:pPr>
      <w:tabs>
        <w:tab w:val="clear" w:pos="567"/>
      </w:tabs>
      <w:ind w:left="880" w:hanging="220"/>
    </w:pPr>
  </w:style>
  <w:style w:type="paragraph" w:styleId="Register5">
    <w:name w:val="index 5"/>
    <w:basedOn w:val="Normlny"/>
    <w:next w:val="Normlny"/>
    <w:autoRedefine/>
    <w:rsid w:val="000322EB"/>
    <w:pPr>
      <w:tabs>
        <w:tab w:val="clear" w:pos="567"/>
      </w:tabs>
      <w:ind w:left="1100" w:hanging="220"/>
    </w:pPr>
  </w:style>
  <w:style w:type="paragraph" w:styleId="Register6">
    <w:name w:val="index 6"/>
    <w:basedOn w:val="Normlny"/>
    <w:next w:val="Normlny"/>
    <w:autoRedefine/>
    <w:rsid w:val="000322EB"/>
    <w:pPr>
      <w:tabs>
        <w:tab w:val="clear" w:pos="567"/>
      </w:tabs>
      <w:ind w:left="1320" w:hanging="220"/>
    </w:pPr>
  </w:style>
  <w:style w:type="paragraph" w:styleId="Register7">
    <w:name w:val="index 7"/>
    <w:basedOn w:val="Normlny"/>
    <w:next w:val="Normlny"/>
    <w:autoRedefine/>
    <w:rsid w:val="000322EB"/>
    <w:pPr>
      <w:tabs>
        <w:tab w:val="clear" w:pos="567"/>
      </w:tabs>
      <w:ind w:left="1540" w:hanging="220"/>
    </w:pPr>
  </w:style>
  <w:style w:type="paragraph" w:styleId="Register8">
    <w:name w:val="index 8"/>
    <w:basedOn w:val="Normlny"/>
    <w:next w:val="Normlny"/>
    <w:autoRedefine/>
    <w:rsid w:val="000322EB"/>
    <w:pPr>
      <w:tabs>
        <w:tab w:val="clear" w:pos="567"/>
      </w:tabs>
      <w:ind w:left="1760" w:hanging="220"/>
    </w:pPr>
  </w:style>
  <w:style w:type="paragraph" w:styleId="Register9">
    <w:name w:val="index 9"/>
    <w:basedOn w:val="Normlny"/>
    <w:next w:val="Normlny"/>
    <w:autoRedefine/>
    <w:rsid w:val="000322EB"/>
    <w:pPr>
      <w:tabs>
        <w:tab w:val="clear" w:pos="567"/>
      </w:tabs>
      <w:ind w:left="1980" w:hanging="220"/>
    </w:pPr>
  </w:style>
  <w:style w:type="paragraph" w:styleId="Spiatonadresanaoblke">
    <w:name w:val="envelope return"/>
    <w:basedOn w:val="Normlny"/>
    <w:rsid w:val="000322EB"/>
    <w:rPr>
      <w:rFonts w:ascii="Cambria" w:hAnsi="Cambria"/>
      <w:sz w:val="20"/>
    </w:rPr>
  </w:style>
  <w:style w:type="paragraph" w:styleId="Textmakra">
    <w:name w:val="macro"/>
    <w:link w:val="TextmakraChar"/>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TextmakraChar">
    <w:name w:val="Text makra Char"/>
    <w:basedOn w:val="Predvolenpsmoodseku"/>
    <w:link w:val="Textmakra"/>
    <w:rsid w:val="000322EB"/>
    <w:rPr>
      <w:rFonts w:ascii="Courier New" w:hAnsi="Courier New" w:cs="Courier New"/>
      <w:lang w:val="en-GB"/>
    </w:rPr>
  </w:style>
  <w:style w:type="paragraph" w:styleId="Zarkazkladnhotextu2">
    <w:name w:val="Body Text Indent 2"/>
    <w:basedOn w:val="Normlny"/>
    <w:link w:val="Zarkazkladnhotextu2Char"/>
    <w:rsid w:val="000322EB"/>
    <w:pPr>
      <w:spacing w:after="120" w:line="480" w:lineRule="auto"/>
      <w:ind w:left="283"/>
    </w:pPr>
  </w:style>
  <w:style w:type="character" w:customStyle="1" w:styleId="Zarkazkladnhotextu2Char">
    <w:name w:val="Zarážka základného textu 2 Char"/>
    <w:basedOn w:val="Predvolenpsmoodseku"/>
    <w:link w:val="Zarkazkladnhotextu2"/>
    <w:rsid w:val="000322EB"/>
    <w:rPr>
      <w:sz w:val="22"/>
      <w:lang w:val="en-GB"/>
    </w:rPr>
  </w:style>
  <w:style w:type="paragraph" w:styleId="Zarkazkladnhotextu3">
    <w:name w:val="Body Text Indent 3"/>
    <w:basedOn w:val="Normlny"/>
    <w:link w:val="Zarkazkladnhotextu3Char"/>
    <w:rsid w:val="000322EB"/>
    <w:pPr>
      <w:spacing w:after="120"/>
      <w:ind w:left="283"/>
    </w:pPr>
    <w:rPr>
      <w:sz w:val="16"/>
      <w:szCs w:val="16"/>
    </w:rPr>
  </w:style>
  <w:style w:type="character" w:customStyle="1" w:styleId="Zarkazkladnhotextu3Char">
    <w:name w:val="Zarážka základného textu 3 Char"/>
    <w:basedOn w:val="Predvolenpsmoodseku"/>
    <w:link w:val="Zarkazkladnhotextu3"/>
    <w:rsid w:val="000322EB"/>
    <w:rPr>
      <w:sz w:val="16"/>
      <w:szCs w:val="16"/>
      <w:lang w:val="en-GB"/>
    </w:rPr>
  </w:style>
  <w:style w:type="paragraph" w:styleId="Zver">
    <w:name w:val="Closing"/>
    <w:basedOn w:val="Normlny"/>
    <w:link w:val="ZverChar"/>
    <w:rsid w:val="000322EB"/>
    <w:pPr>
      <w:ind w:left="4252"/>
    </w:pPr>
  </w:style>
  <w:style w:type="character" w:customStyle="1" w:styleId="ZverChar">
    <w:name w:val="Záver Char"/>
    <w:basedOn w:val="Predvolenpsmoodseku"/>
    <w:link w:val="Zver"/>
    <w:rsid w:val="000322EB"/>
    <w:rPr>
      <w:sz w:val="22"/>
      <w:lang w:val="en-GB"/>
    </w:rPr>
  </w:style>
  <w:style w:type="paragraph" w:styleId="Zoznam">
    <w:name w:val="List"/>
    <w:basedOn w:val="Normlny"/>
    <w:rsid w:val="000322EB"/>
    <w:pPr>
      <w:ind w:left="283" w:hanging="283"/>
      <w:contextualSpacing/>
    </w:pPr>
  </w:style>
  <w:style w:type="paragraph" w:styleId="Zoznam2">
    <w:name w:val="List 2"/>
    <w:basedOn w:val="Normlny"/>
    <w:rsid w:val="000322EB"/>
    <w:pPr>
      <w:ind w:left="566" w:hanging="283"/>
      <w:contextualSpacing/>
    </w:pPr>
  </w:style>
  <w:style w:type="paragraph" w:styleId="Zoznam3">
    <w:name w:val="List 3"/>
    <w:basedOn w:val="Normlny"/>
    <w:rsid w:val="000322EB"/>
    <w:pPr>
      <w:ind w:left="849" w:hanging="283"/>
      <w:contextualSpacing/>
    </w:pPr>
  </w:style>
  <w:style w:type="paragraph" w:styleId="Zoznam4">
    <w:name w:val="List 4"/>
    <w:basedOn w:val="Normlny"/>
    <w:rsid w:val="000322EB"/>
    <w:pPr>
      <w:ind w:left="1132" w:hanging="283"/>
      <w:contextualSpacing/>
    </w:pPr>
  </w:style>
  <w:style w:type="paragraph" w:styleId="Zoznam5">
    <w:name w:val="List 5"/>
    <w:basedOn w:val="Normlny"/>
    <w:rsid w:val="000322EB"/>
    <w:pPr>
      <w:ind w:left="1415" w:hanging="283"/>
      <w:contextualSpacing/>
    </w:pPr>
  </w:style>
  <w:style w:type="paragraph" w:styleId="Zoznamcitci">
    <w:name w:val="table of authorities"/>
    <w:basedOn w:val="Normlny"/>
    <w:next w:val="Normlny"/>
    <w:rsid w:val="000322EB"/>
    <w:pPr>
      <w:tabs>
        <w:tab w:val="clear" w:pos="567"/>
      </w:tabs>
      <w:ind w:left="220" w:hanging="220"/>
    </w:pPr>
  </w:style>
  <w:style w:type="paragraph" w:styleId="Zoznamobrzkov">
    <w:name w:val="table of figures"/>
    <w:basedOn w:val="Normlny"/>
    <w:next w:val="Normlny"/>
    <w:rsid w:val="000322EB"/>
    <w:pPr>
      <w:tabs>
        <w:tab w:val="clear" w:pos="567"/>
      </w:tabs>
    </w:pPr>
  </w:style>
  <w:style w:type="paragraph" w:styleId="Zoznamsodrkami">
    <w:name w:val="List Bullet"/>
    <w:basedOn w:val="Normlny"/>
    <w:rsid w:val="000322EB"/>
    <w:pPr>
      <w:numPr>
        <w:numId w:val="21"/>
      </w:numPr>
      <w:contextualSpacing/>
    </w:pPr>
  </w:style>
  <w:style w:type="paragraph" w:styleId="Zoznamsodrkami2">
    <w:name w:val="List Bullet 2"/>
    <w:basedOn w:val="Normlny"/>
    <w:rsid w:val="000322EB"/>
    <w:pPr>
      <w:numPr>
        <w:numId w:val="22"/>
      </w:numPr>
      <w:contextualSpacing/>
    </w:pPr>
  </w:style>
  <w:style w:type="paragraph" w:styleId="Zoznamsodrkami3">
    <w:name w:val="List Bullet 3"/>
    <w:basedOn w:val="Normlny"/>
    <w:rsid w:val="000322EB"/>
    <w:pPr>
      <w:numPr>
        <w:numId w:val="23"/>
      </w:numPr>
      <w:contextualSpacing/>
    </w:pPr>
  </w:style>
  <w:style w:type="paragraph" w:styleId="Zoznamsodrkami4">
    <w:name w:val="List Bullet 4"/>
    <w:basedOn w:val="Normlny"/>
    <w:rsid w:val="000322EB"/>
    <w:pPr>
      <w:numPr>
        <w:numId w:val="24"/>
      </w:numPr>
      <w:contextualSpacing/>
    </w:pPr>
  </w:style>
  <w:style w:type="paragraph" w:styleId="Zoznamsodrkami5">
    <w:name w:val="List Bullet 5"/>
    <w:basedOn w:val="Normlny"/>
    <w:rsid w:val="000322EB"/>
    <w:pPr>
      <w:numPr>
        <w:numId w:val="25"/>
      </w:numPr>
      <w:contextualSpacing/>
    </w:pPr>
  </w:style>
  <w:style w:type="paragraph" w:customStyle="1" w:styleId="tl1">
    <w:name w:val="Štýl1"/>
    <w:basedOn w:val="PROOOCO1"/>
    <w:qFormat/>
    <w:rsid w:val="000322EB"/>
    <w:pPr>
      <w:tabs>
        <w:tab w:val="left" w:pos="567"/>
      </w:tabs>
      <w:spacing w:line="260" w:lineRule="exact"/>
      <w:outlineLvl w:val="0"/>
    </w:pPr>
    <w:rPr>
      <w:caps/>
      <w:szCs w:val="22"/>
    </w:rPr>
  </w:style>
  <w:style w:type="paragraph" w:customStyle="1" w:styleId="tl2">
    <w:name w:val="Štýl2"/>
    <w:basedOn w:val="PROOOCO1"/>
    <w:qFormat/>
    <w:rsid w:val="000322EB"/>
    <w:pPr>
      <w:tabs>
        <w:tab w:val="left" w:pos="567"/>
      </w:tabs>
      <w:spacing w:line="260" w:lineRule="exact"/>
      <w:outlineLvl w:val="0"/>
    </w:pPr>
    <w:rPr>
      <w:caps/>
      <w:szCs w:val="22"/>
    </w:rPr>
  </w:style>
  <w:style w:type="paragraph" w:customStyle="1" w:styleId="tl3">
    <w:name w:val="Štýl3"/>
    <w:basedOn w:val="PROOOCO1"/>
    <w:qFormat/>
    <w:rsid w:val="000322EB"/>
    <w:pPr>
      <w:tabs>
        <w:tab w:val="left" w:pos="567"/>
      </w:tabs>
      <w:spacing w:line="260" w:lineRule="exact"/>
      <w:outlineLvl w:val="0"/>
    </w:pPr>
    <w:rPr>
      <w:caps/>
      <w:szCs w:val="22"/>
    </w:rPr>
  </w:style>
  <w:style w:type="paragraph" w:customStyle="1" w:styleId="tl4">
    <w:name w:val="Štýl4"/>
    <w:basedOn w:val="PROOOCO2"/>
    <w:qFormat/>
    <w:rsid w:val="000322EB"/>
    <w:pPr>
      <w:ind w:left="0" w:firstLine="0"/>
    </w:pPr>
  </w:style>
  <w:style w:type="paragraph" w:customStyle="1" w:styleId="tl5">
    <w:name w:val="Štýl5"/>
    <w:basedOn w:val="PROOOCO2"/>
    <w:qFormat/>
    <w:rsid w:val="000322EB"/>
    <w:pPr>
      <w:ind w:left="0" w:firstLine="0"/>
    </w:pPr>
  </w:style>
  <w:style w:type="paragraph" w:customStyle="1" w:styleId="tl6">
    <w:name w:val="Štýl6"/>
    <w:basedOn w:val="PROOOCO2"/>
    <w:qFormat/>
    <w:rsid w:val="000322EB"/>
    <w:pPr>
      <w:ind w:left="0" w:firstLine="0"/>
    </w:pPr>
  </w:style>
  <w:style w:type="paragraph" w:customStyle="1" w:styleId="tl7">
    <w:name w:val="Štýl7"/>
    <w:basedOn w:val="PROOOCO2"/>
    <w:qFormat/>
    <w:rsid w:val="000322EB"/>
    <w:pPr>
      <w:ind w:left="0" w:firstLine="0"/>
    </w:pPr>
  </w:style>
  <w:style w:type="paragraph" w:customStyle="1" w:styleId="BLANKA1">
    <w:name w:val="BLANKA1"/>
    <w:basedOn w:val="tl1"/>
    <w:qFormat/>
    <w:rsid w:val="000322EB"/>
  </w:style>
  <w:style w:type="paragraph" w:customStyle="1" w:styleId="BLANKA2">
    <w:name w:val="BLANKA2"/>
    <w:basedOn w:val="tl4"/>
    <w:qFormat/>
    <w:rsid w:val="000322EB"/>
  </w:style>
  <w:style w:type="character" w:customStyle="1" w:styleId="hps">
    <w:name w:val="hps"/>
    <w:rsid w:val="000322EB"/>
  </w:style>
  <w:style w:type="character" w:customStyle="1" w:styleId="atn">
    <w:name w:val="atn"/>
    <w:rsid w:val="000322EB"/>
  </w:style>
  <w:style w:type="character" w:styleId="Siln">
    <w:name w:val="Strong"/>
    <w:uiPriority w:val="22"/>
    <w:qFormat/>
    <w:rsid w:val="000322EB"/>
    <w:rPr>
      <w:b/>
      <w:bCs/>
    </w:rPr>
  </w:style>
  <w:style w:type="paragraph" w:customStyle="1" w:styleId="EMEAEnBodyText">
    <w:name w:val="EMEA En Body Text"/>
    <w:basedOn w:val="Normlny"/>
    <w:rsid w:val="005730D7"/>
    <w:pPr>
      <w:tabs>
        <w:tab w:val="clear" w:pos="567"/>
      </w:tabs>
      <w:spacing w:before="120" w:after="120" w:line="240" w:lineRule="auto"/>
      <w:jc w:val="both"/>
    </w:pPr>
    <w:rPr>
      <w:lang w:val="en-US"/>
    </w:rPr>
  </w:style>
  <w:style w:type="paragraph" w:customStyle="1" w:styleId="Paragraph">
    <w:name w:val="Paragraph"/>
    <w:link w:val="ParagraphChar"/>
    <w:rsid w:val="00586480"/>
    <w:pPr>
      <w:spacing w:after="240"/>
    </w:pPr>
    <w:rPr>
      <w:sz w:val="24"/>
      <w:szCs w:val="24"/>
      <w:lang w:val="en-US"/>
    </w:rPr>
  </w:style>
  <w:style w:type="character" w:customStyle="1" w:styleId="ParagraphChar">
    <w:name w:val="Paragraph Char"/>
    <w:link w:val="Paragraph"/>
    <w:rsid w:val="00586480"/>
    <w:rPr>
      <w:sz w:val="24"/>
      <w:szCs w:val="24"/>
      <w:lang w:val="en-US"/>
    </w:rPr>
  </w:style>
  <w:style w:type="paragraph" w:customStyle="1" w:styleId="Default">
    <w:name w:val="Default"/>
    <w:rsid w:val="00D70363"/>
    <w:pPr>
      <w:autoSpaceDE w:val="0"/>
      <w:autoSpaceDN w:val="0"/>
      <w:adjustRightInd w:val="0"/>
    </w:pPr>
    <w:rPr>
      <w:color w:val="000000"/>
      <w:sz w:val="24"/>
      <w:szCs w:val="24"/>
      <w:lang w:val="fr-FR" w:eastAsia="fr-FR"/>
    </w:rPr>
  </w:style>
  <w:style w:type="table" w:styleId="Mriekatabuky">
    <w:name w:val="Table Grid"/>
    <w:basedOn w:val="Normlnatabuka"/>
    <w:uiPriority w:val="59"/>
    <w:rsid w:val="006A616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9324">
      <w:bodyDiv w:val="1"/>
      <w:marLeft w:val="0"/>
      <w:marRight w:val="0"/>
      <w:marTop w:val="0"/>
      <w:marBottom w:val="0"/>
      <w:divBdr>
        <w:top w:val="none" w:sz="0" w:space="0" w:color="auto"/>
        <w:left w:val="none" w:sz="0" w:space="0" w:color="auto"/>
        <w:bottom w:val="none" w:sz="0" w:space="0" w:color="auto"/>
        <w:right w:val="none" w:sz="0" w:space="0" w:color="auto"/>
      </w:divBdr>
    </w:div>
    <w:div w:id="160656746">
      <w:bodyDiv w:val="1"/>
      <w:marLeft w:val="0"/>
      <w:marRight w:val="0"/>
      <w:marTop w:val="0"/>
      <w:marBottom w:val="0"/>
      <w:divBdr>
        <w:top w:val="none" w:sz="0" w:space="0" w:color="auto"/>
        <w:left w:val="none" w:sz="0" w:space="0" w:color="auto"/>
        <w:bottom w:val="none" w:sz="0" w:space="0" w:color="auto"/>
        <w:right w:val="none" w:sz="0" w:space="0" w:color="auto"/>
      </w:divBdr>
    </w:div>
    <w:div w:id="178854528">
      <w:bodyDiv w:val="1"/>
      <w:marLeft w:val="0"/>
      <w:marRight w:val="0"/>
      <w:marTop w:val="0"/>
      <w:marBottom w:val="0"/>
      <w:divBdr>
        <w:top w:val="none" w:sz="0" w:space="0" w:color="auto"/>
        <w:left w:val="none" w:sz="0" w:space="0" w:color="auto"/>
        <w:bottom w:val="none" w:sz="0" w:space="0" w:color="auto"/>
        <w:right w:val="none" w:sz="0" w:space="0" w:color="auto"/>
      </w:divBdr>
    </w:div>
    <w:div w:id="383263323">
      <w:bodyDiv w:val="1"/>
      <w:marLeft w:val="0"/>
      <w:marRight w:val="0"/>
      <w:marTop w:val="0"/>
      <w:marBottom w:val="0"/>
      <w:divBdr>
        <w:top w:val="none" w:sz="0" w:space="0" w:color="auto"/>
        <w:left w:val="none" w:sz="0" w:space="0" w:color="auto"/>
        <w:bottom w:val="none" w:sz="0" w:space="0" w:color="auto"/>
        <w:right w:val="none" w:sz="0" w:space="0" w:color="auto"/>
      </w:divBdr>
      <w:divsChild>
        <w:div w:id="1207837562">
          <w:marLeft w:val="0"/>
          <w:marRight w:val="0"/>
          <w:marTop w:val="0"/>
          <w:marBottom w:val="0"/>
          <w:divBdr>
            <w:top w:val="none" w:sz="0" w:space="0" w:color="auto"/>
            <w:left w:val="none" w:sz="0" w:space="0" w:color="auto"/>
            <w:bottom w:val="none" w:sz="0" w:space="0" w:color="auto"/>
            <w:right w:val="none" w:sz="0" w:space="0" w:color="auto"/>
          </w:divBdr>
          <w:divsChild>
            <w:div w:id="387538956">
              <w:marLeft w:val="0"/>
              <w:marRight w:val="0"/>
              <w:marTop w:val="0"/>
              <w:marBottom w:val="0"/>
              <w:divBdr>
                <w:top w:val="none" w:sz="0" w:space="0" w:color="auto"/>
                <w:left w:val="none" w:sz="0" w:space="0" w:color="auto"/>
                <w:bottom w:val="none" w:sz="0" w:space="0" w:color="auto"/>
                <w:right w:val="none" w:sz="0" w:space="0" w:color="auto"/>
              </w:divBdr>
              <w:divsChild>
                <w:div w:id="1601525963">
                  <w:marLeft w:val="0"/>
                  <w:marRight w:val="0"/>
                  <w:marTop w:val="0"/>
                  <w:marBottom w:val="0"/>
                  <w:divBdr>
                    <w:top w:val="none" w:sz="0" w:space="0" w:color="auto"/>
                    <w:left w:val="none" w:sz="0" w:space="0" w:color="auto"/>
                    <w:bottom w:val="none" w:sz="0" w:space="0" w:color="auto"/>
                    <w:right w:val="none" w:sz="0" w:space="0" w:color="auto"/>
                  </w:divBdr>
                  <w:divsChild>
                    <w:div w:id="623273256">
                      <w:marLeft w:val="0"/>
                      <w:marRight w:val="0"/>
                      <w:marTop w:val="0"/>
                      <w:marBottom w:val="0"/>
                      <w:divBdr>
                        <w:top w:val="none" w:sz="0" w:space="0" w:color="auto"/>
                        <w:left w:val="none" w:sz="0" w:space="0" w:color="auto"/>
                        <w:bottom w:val="none" w:sz="0" w:space="0" w:color="auto"/>
                        <w:right w:val="none" w:sz="0" w:space="0" w:color="auto"/>
                      </w:divBdr>
                      <w:divsChild>
                        <w:div w:id="537356056">
                          <w:marLeft w:val="0"/>
                          <w:marRight w:val="0"/>
                          <w:marTop w:val="0"/>
                          <w:marBottom w:val="0"/>
                          <w:divBdr>
                            <w:top w:val="none" w:sz="0" w:space="0" w:color="auto"/>
                            <w:left w:val="none" w:sz="0" w:space="0" w:color="auto"/>
                            <w:bottom w:val="none" w:sz="0" w:space="0" w:color="auto"/>
                            <w:right w:val="none" w:sz="0" w:space="0" w:color="auto"/>
                          </w:divBdr>
                          <w:divsChild>
                            <w:div w:id="262805016">
                              <w:marLeft w:val="0"/>
                              <w:marRight w:val="0"/>
                              <w:marTop w:val="0"/>
                              <w:marBottom w:val="0"/>
                              <w:divBdr>
                                <w:top w:val="none" w:sz="0" w:space="0" w:color="auto"/>
                                <w:left w:val="none" w:sz="0" w:space="0" w:color="auto"/>
                                <w:bottom w:val="none" w:sz="0" w:space="0" w:color="auto"/>
                                <w:right w:val="none" w:sz="0" w:space="0" w:color="auto"/>
                              </w:divBdr>
                              <w:divsChild>
                                <w:div w:id="1466702220">
                                  <w:marLeft w:val="0"/>
                                  <w:marRight w:val="0"/>
                                  <w:marTop w:val="0"/>
                                  <w:marBottom w:val="0"/>
                                  <w:divBdr>
                                    <w:top w:val="none" w:sz="0" w:space="0" w:color="auto"/>
                                    <w:left w:val="none" w:sz="0" w:space="0" w:color="auto"/>
                                    <w:bottom w:val="none" w:sz="0" w:space="0" w:color="auto"/>
                                    <w:right w:val="none" w:sz="0" w:space="0" w:color="auto"/>
                                  </w:divBdr>
                                  <w:divsChild>
                                    <w:div w:id="1043408427">
                                      <w:marLeft w:val="60"/>
                                      <w:marRight w:val="0"/>
                                      <w:marTop w:val="0"/>
                                      <w:marBottom w:val="0"/>
                                      <w:divBdr>
                                        <w:top w:val="none" w:sz="0" w:space="0" w:color="auto"/>
                                        <w:left w:val="none" w:sz="0" w:space="0" w:color="auto"/>
                                        <w:bottom w:val="none" w:sz="0" w:space="0" w:color="auto"/>
                                        <w:right w:val="none" w:sz="0" w:space="0" w:color="auto"/>
                                      </w:divBdr>
                                      <w:divsChild>
                                        <w:div w:id="765855089">
                                          <w:marLeft w:val="0"/>
                                          <w:marRight w:val="0"/>
                                          <w:marTop w:val="0"/>
                                          <w:marBottom w:val="0"/>
                                          <w:divBdr>
                                            <w:top w:val="none" w:sz="0" w:space="0" w:color="auto"/>
                                            <w:left w:val="none" w:sz="0" w:space="0" w:color="auto"/>
                                            <w:bottom w:val="none" w:sz="0" w:space="0" w:color="auto"/>
                                            <w:right w:val="none" w:sz="0" w:space="0" w:color="auto"/>
                                          </w:divBdr>
                                          <w:divsChild>
                                            <w:div w:id="1730880579">
                                              <w:marLeft w:val="0"/>
                                              <w:marRight w:val="0"/>
                                              <w:marTop w:val="0"/>
                                              <w:marBottom w:val="120"/>
                                              <w:divBdr>
                                                <w:top w:val="single" w:sz="6" w:space="0" w:color="F5F5F5"/>
                                                <w:left w:val="single" w:sz="6" w:space="0" w:color="F5F5F5"/>
                                                <w:bottom w:val="single" w:sz="6" w:space="0" w:color="F5F5F5"/>
                                                <w:right w:val="single" w:sz="6" w:space="0" w:color="F5F5F5"/>
                                              </w:divBdr>
                                              <w:divsChild>
                                                <w:div w:id="653878575">
                                                  <w:marLeft w:val="0"/>
                                                  <w:marRight w:val="0"/>
                                                  <w:marTop w:val="0"/>
                                                  <w:marBottom w:val="0"/>
                                                  <w:divBdr>
                                                    <w:top w:val="none" w:sz="0" w:space="0" w:color="auto"/>
                                                    <w:left w:val="none" w:sz="0" w:space="0" w:color="auto"/>
                                                    <w:bottom w:val="none" w:sz="0" w:space="0" w:color="auto"/>
                                                    <w:right w:val="none" w:sz="0" w:space="0" w:color="auto"/>
                                                  </w:divBdr>
                                                  <w:divsChild>
                                                    <w:div w:id="1413547293">
                                                      <w:marLeft w:val="0"/>
                                                      <w:marRight w:val="0"/>
                                                      <w:marTop w:val="0"/>
                                                      <w:marBottom w:val="0"/>
                                                      <w:divBdr>
                                                        <w:top w:val="none" w:sz="0" w:space="0" w:color="auto"/>
                                                        <w:left w:val="none" w:sz="0" w:space="0" w:color="auto"/>
                                                        <w:bottom w:val="none" w:sz="0" w:space="0" w:color="auto"/>
                                                        <w:right w:val="none" w:sz="0" w:space="0" w:color="auto"/>
                                                      </w:divBdr>
                                                      <w:divsChild>
                                                        <w:div w:id="13229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8955631">
      <w:bodyDiv w:val="1"/>
      <w:marLeft w:val="0"/>
      <w:marRight w:val="0"/>
      <w:marTop w:val="0"/>
      <w:marBottom w:val="0"/>
      <w:divBdr>
        <w:top w:val="none" w:sz="0" w:space="0" w:color="auto"/>
        <w:left w:val="none" w:sz="0" w:space="0" w:color="auto"/>
        <w:bottom w:val="none" w:sz="0" w:space="0" w:color="auto"/>
        <w:right w:val="none" w:sz="0" w:space="0" w:color="auto"/>
      </w:divBdr>
    </w:div>
    <w:div w:id="540703928">
      <w:bodyDiv w:val="1"/>
      <w:marLeft w:val="0"/>
      <w:marRight w:val="0"/>
      <w:marTop w:val="0"/>
      <w:marBottom w:val="0"/>
      <w:divBdr>
        <w:top w:val="none" w:sz="0" w:space="0" w:color="auto"/>
        <w:left w:val="none" w:sz="0" w:space="0" w:color="auto"/>
        <w:bottom w:val="none" w:sz="0" w:space="0" w:color="auto"/>
        <w:right w:val="none" w:sz="0" w:space="0" w:color="auto"/>
      </w:divBdr>
    </w:div>
    <w:div w:id="785195105">
      <w:bodyDiv w:val="1"/>
      <w:marLeft w:val="0"/>
      <w:marRight w:val="0"/>
      <w:marTop w:val="0"/>
      <w:marBottom w:val="0"/>
      <w:divBdr>
        <w:top w:val="none" w:sz="0" w:space="0" w:color="auto"/>
        <w:left w:val="none" w:sz="0" w:space="0" w:color="auto"/>
        <w:bottom w:val="none" w:sz="0" w:space="0" w:color="auto"/>
        <w:right w:val="none" w:sz="0" w:space="0" w:color="auto"/>
      </w:divBdr>
    </w:div>
    <w:div w:id="1282615079">
      <w:bodyDiv w:val="1"/>
      <w:marLeft w:val="0"/>
      <w:marRight w:val="0"/>
      <w:marTop w:val="0"/>
      <w:marBottom w:val="0"/>
      <w:divBdr>
        <w:top w:val="none" w:sz="0" w:space="0" w:color="auto"/>
        <w:left w:val="none" w:sz="0" w:space="0" w:color="auto"/>
        <w:bottom w:val="none" w:sz="0" w:space="0" w:color="auto"/>
        <w:right w:val="none" w:sz="0" w:space="0" w:color="auto"/>
      </w:divBdr>
    </w:div>
    <w:div w:id="1562447871">
      <w:bodyDiv w:val="1"/>
      <w:marLeft w:val="0"/>
      <w:marRight w:val="0"/>
      <w:marTop w:val="0"/>
      <w:marBottom w:val="0"/>
      <w:divBdr>
        <w:top w:val="none" w:sz="0" w:space="0" w:color="auto"/>
        <w:left w:val="none" w:sz="0" w:space="0" w:color="auto"/>
        <w:bottom w:val="none" w:sz="0" w:space="0" w:color="auto"/>
        <w:right w:val="none" w:sz="0" w:space="0" w:color="auto"/>
      </w:divBdr>
    </w:div>
    <w:div w:id="197127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ANKA\Sunshine%20Solutions\z07-06102015\www.sukl.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49700-75FC-4B46-9A2E-B94ADCB1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8674</Words>
  <Characters>49444</Characters>
  <Application>Microsoft Office Word</Application>
  <DocSecurity>0</DocSecurity>
  <Lines>412</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2015-10-09T08:31:00Z</dcterms:created>
  <dcterms:modified xsi:type="dcterms:W3CDTF">2016-02-11T15:38:00Z</dcterms:modified>
</cp:coreProperties>
</file>