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D8" w:rsidRPr="00A00809" w:rsidRDefault="008811D8" w:rsidP="004731EC">
      <w:pPr>
        <w:jc w:val="center"/>
        <w:rPr>
          <w:rFonts w:ascii="Times New Roman" w:hAnsi="Times New Roman"/>
          <w:b/>
          <w:noProof/>
          <w:lang w:eastAsia="sk-SK"/>
        </w:rPr>
      </w:pPr>
      <w:r w:rsidRPr="00A00809">
        <w:rPr>
          <w:rFonts w:ascii="Times New Roman" w:hAnsi="Times New Roman"/>
          <w:b/>
        </w:rPr>
        <w:t>SÚHRN CHARAKTERISTICKÝCH VLASTNOSTÍ LIEKU</w:t>
      </w:r>
    </w:p>
    <w:p w:rsidR="00FD2D5B" w:rsidRPr="00A00809" w:rsidRDefault="00FD2D5B" w:rsidP="00FD2D5B">
      <w:pPr>
        <w:spacing w:after="0" w:line="240" w:lineRule="auto"/>
        <w:ind w:left="567" w:hanging="567"/>
        <w:rPr>
          <w:rFonts w:ascii="Times New Roman" w:hAnsi="Times New Roman"/>
          <w:noProof/>
          <w:lang w:eastAsia="sk-SK"/>
        </w:rPr>
      </w:pPr>
      <w:r w:rsidRPr="00A00809">
        <w:rPr>
          <w:rFonts w:ascii="Times New Roman" w:hAnsi="Times New Roman"/>
          <w:b/>
          <w:noProof/>
          <w:lang w:eastAsia="sk-SK"/>
        </w:rPr>
        <w:t>1.</w:t>
      </w:r>
      <w:r w:rsidRPr="00A00809">
        <w:rPr>
          <w:rFonts w:ascii="Times New Roman" w:hAnsi="Times New Roman"/>
          <w:b/>
          <w:noProof/>
          <w:lang w:eastAsia="sk-SK"/>
        </w:rPr>
        <w:tab/>
        <w:t>NÁZOV LIEKU</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A11CCD" w:rsidP="00FD2D5B">
      <w:pPr>
        <w:spacing w:after="0" w:line="240" w:lineRule="auto"/>
        <w:ind w:left="567" w:hanging="567"/>
        <w:rPr>
          <w:rFonts w:ascii="Times New Roman" w:hAnsi="Times New Roman"/>
          <w:noProof/>
          <w:lang w:eastAsia="sk-SK"/>
        </w:rPr>
      </w:pPr>
      <w:r w:rsidRPr="00A00809">
        <w:rPr>
          <w:rFonts w:ascii="Times New Roman" w:hAnsi="Times New Roman"/>
          <w:noProof/>
          <w:lang w:eastAsia="sk-SK"/>
        </w:rPr>
        <w:t>Asbima</w:t>
      </w:r>
      <w:r w:rsidR="00FD2D5B" w:rsidRPr="00A00809">
        <w:rPr>
          <w:rFonts w:ascii="Times New Roman" w:hAnsi="Times New Roman"/>
          <w:noProof/>
          <w:lang w:eastAsia="sk-SK"/>
        </w:rPr>
        <w:t xml:space="preserve"> </w:t>
      </w:r>
      <w:r w:rsidRPr="00A00809">
        <w:rPr>
          <w:rFonts w:ascii="Times New Roman" w:hAnsi="Times New Roman"/>
          <w:noProof/>
          <w:lang w:eastAsia="sk-SK"/>
        </w:rPr>
        <w:t>5</w:t>
      </w:r>
      <w:r w:rsidR="00FD2D5B" w:rsidRPr="00A00809">
        <w:rPr>
          <w:rFonts w:ascii="Times New Roman" w:hAnsi="Times New Roman"/>
          <w:noProof/>
          <w:lang w:eastAsia="sk-SK"/>
        </w:rPr>
        <w:t> mg/</w:t>
      </w:r>
      <w:r w:rsidRPr="00A00809">
        <w:rPr>
          <w:rFonts w:ascii="Times New Roman" w:hAnsi="Times New Roman"/>
          <w:noProof/>
          <w:lang w:eastAsia="sk-SK"/>
        </w:rPr>
        <w:t>80</w:t>
      </w:r>
      <w:r w:rsidR="00FD2D5B" w:rsidRPr="00A00809">
        <w:rPr>
          <w:rFonts w:ascii="Times New Roman" w:hAnsi="Times New Roman"/>
          <w:noProof/>
          <w:lang w:eastAsia="sk-SK"/>
        </w:rPr>
        <w:t> mg</w:t>
      </w:r>
    </w:p>
    <w:p w:rsidR="00FD2D5B" w:rsidRPr="00A00809" w:rsidRDefault="00A11CCD" w:rsidP="00FD2D5B">
      <w:pPr>
        <w:spacing w:after="0" w:line="240" w:lineRule="auto"/>
        <w:ind w:left="567" w:hanging="567"/>
        <w:rPr>
          <w:rFonts w:ascii="Times New Roman" w:hAnsi="Times New Roman"/>
          <w:noProof/>
          <w:lang w:eastAsia="sk-SK"/>
        </w:rPr>
      </w:pPr>
      <w:r w:rsidRPr="00A00809">
        <w:rPr>
          <w:rFonts w:ascii="Times New Roman" w:hAnsi="Times New Roman"/>
          <w:noProof/>
          <w:lang w:eastAsia="sk-SK"/>
        </w:rPr>
        <w:t>Asbima 5</w:t>
      </w:r>
      <w:r w:rsidR="00CC6B19" w:rsidRPr="00A00809">
        <w:rPr>
          <w:rFonts w:ascii="Times New Roman" w:hAnsi="Times New Roman"/>
          <w:noProof/>
          <w:lang w:eastAsia="sk-SK"/>
        </w:rPr>
        <w:t> </w:t>
      </w:r>
      <w:r w:rsidRPr="00A00809">
        <w:rPr>
          <w:rFonts w:ascii="Times New Roman" w:hAnsi="Times New Roman"/>
          <w:noProof/>
          <w:lang w:eastAsia="sk-SK"/>
        </w:rPr>
        <w:t>mg/16</w:t>
      </w:r>
      <w:r w:rsidR="00CC6B19" w:rsidRPr="00A00809">
        <w:rPr>
          <w:rFonts w:ascii="Times New Roman" w:hAnsi="Times New Roman"/>
          <w:noProof/>
          <w:lang w:eastAsia="sk-SK"/>
        </w:rPr>
        <w:t>0 </w:t>
      </w:r>
      <w:r w:rsidRPr="00A00809">
        <w:rPr>
          <w:rFonts w:ascii="Times New Roman" w:hAnsi="Times New Roman"/>
          <w:noProof/>
          <w:lang w:eastAsia="sk-SK"/>
        </w:rPr>
        <w:t>mg</w:t>
      </w:r>
    </w:p>
    <w:p w:rsidR="00CC6B19" w:rsidRPr="00A00809" w:rsidRDefault="00CC6B19" w:rsidP="00CC6B19">
      <w:pPr>
        <w:spacing w:after="0" w:line="240" w:lineRule="auto"/>
        <w:ind w:left="567" w:hanging="567"/>
        <w:rPr>
          <w:rFonts w:ascii="Times New Roman" w:hAnsi="Times New Roman"/>
          <w:noProof/>
          <w:lang w:eastAsia="sk-SK"/>
        </w:rPr>
      </w:pPr>
      <w:r w:rsidRPr="00A00809">
        <w:rPr>
          <w:rFonts w:ascii="Times New Roman" w:hAnsi="Times New Roman"/>
          <w:noProof/>
          <w:lang w:eastAsia="sk-SK"/>
        </w:rPr>
        <w:t>Asbima 10 mg/160 mg</w:t>
      </w:r>
    </w:p>
    <w:p w:rsidR="005435B5" w:rsidRDefault="005435B5" w:rsidP="00FD2D5B">
      <w:pPr>
        <w:spacing w:after="0" w:line="240" w:lineRule="auto"/>
        <w:ind w:left="567" w:hanging="567"/>
        <w:rPr>
          <w:rFonts w:ascii="Times New Roman" w:hAnsi="Times New Roman"/>
          <w:noProof/>
          <w:lang w:eastAsia="sk-SK"/>
        </w:rPr>
      </w:pPr>
    </w:p>
    <w:p w:rsidR="00FD2D5B" w:rsidRPr="00A00809" w:rsidRDefault="00A11CCD" w:rsidP="00FD2D5B">
      <w:pPr>
        <w:spacing w:after="0" w:line="240" w:lineRule="auto"/>
        <w:ind w:left="567" w:hanging="567"/>
        <w:rPr>
          <w:rFonts w:ascii="Times New Roman" w:hAnsi="Times New Roman"/>
          <w:noProof/>
          <w:lang w:eastAsia="sk-SK"/>
        </w:rPr>
      </w:pPr>
      <w:r w:rsidRPr="00A00809">
        <w:rPr>
          <w:rFonts w:ascii="Times New Roman" w:hAnsi="Times New Roman"/>
          <w:noProof/>
          <w:lang w:eastAsia="sk-SK"/>
        </w:rPr>
        <w:t xml:space="preserve">filmom obalené </w:t>
      </w:r>
      <w:r w:rsidR="00FD2D5B" w:rsidRPr="00A00809">
        <w:rPr>
          <w:rFonts w:ascii="Times New Roman" w:hAnsi="Times New Roman"/>
          <w:noProof/>
          <w:lang w:eastAsia="sk-SK"/>
        </w:rPr>
        <w:t>tablety</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r w:rsidRPr="00A00809">
        <w:rPr>
          <w:rFonts w:ascii="Times New Roman" w:hAnsi="Times New Roman"/>
          <w:b/>
          <w:noProof/>
          <w:lang w:eastAsia="sk-SK"/>
        </w:rPr>
        <w:t>2.</w:t>
      </w:r>
      <w:r w:rsidRPr="00A00809">
        <w:rPr>
          <w:rFonts w:ascii="Times New Roman" w:hAnsi="Times New Roman"/>
          <w:b/>
          <w:noProof/>
          <w:lang w:eastAsia="sk-SK"/>
        </w:rPr>
        <w:tab/>
        <w:t>KVALITATÍVNE A KVANTITATÍVNE ZLOŽENIE</w:t>
      </w:r>
    </w:p>
    <w:p w:rsidR="00FD2D5B" w:rsidRPr="00A00809" w:rsidRDefault="00FD2D5B" w:rsidP="00FD2D5B">
      <w:pPr>
        <w:spacing w:after="0" w:line="240" w:lineRule="auto"/>
        <w:ind w:left="567" w:hanging="567"/>
        <w:rPr>
          <w:rFonts w:ascii="Times New Roman" w:hAnsi="Times New Roman"/>
          <w:i/>
          <w:noProof/>
          <w:lang w:eastAsia="sk-SK"/>
        </w:rPr>
      </w:pPr>
    </w:p>
    <w:p w:rsidR="00FD2D5B" w:rsidRPr="00A00809" w:rsidRDefault="00CC6B19" w:rsidP="00FD2D5B">
      <w:pPr>
        <w:spacing w:after="0" w:line="240" w:lineRule="auto"/>
        <w:rPr>
          <w:rFonts w:ascii="Times New Roman" w:hAnsi="Times New Roman"/>
          <w:noProof/>
          <w:lang w:eastAsia="sk-SK"/>
        </w:rPr>
      </w:pPr>
      <w:r w:rsidRPr="00A00809">
        <w:rPr>
          <w:rFonts w:ascii="Times New Roman" w:hAnsi="Times New Roman"/>
          <w:noProof/>
          <w:lang w:eastAsia="sk-SK"/>
        </w:rPr>
        <w:t>Asbima 5 mg/80 mg filmom obalené tablety</w:t>
      </w:r>
    </w:p>
    <w:p w:rsidR="002918A4" w:rsidRPr="00A00809" w:rsidRDefault="002918A4" w:rsidP="00FD2D5B">
      <w:pPr>
        <w:spacing w:after="0" w:line="240" w:lineRule="auto"/>
        <w:rPr>
          <w:rFonts w:ascii="Times New Roman" w:hAnsi="Times New Roman"/>
          <w:noProof/>
          <w:lang w:eastAsia="sk-SK"/>
        </w:rPr>
      </w:pPr>
      <w:r w:rsidRPr="00A00809">
        <w:rPr>
          <w:rFonts w:ascii="Times New Roman" w:hAnsi="Times New Roman"/>
          <w:noProof/>
          <w:lang w:eastAsia="sk-SK"/>
        </w:rPr>
        <w:t xml:space="preserve">Každá </w:t>
      </w:r>
      <w:r w:rsidR="00CC6B19" w:rsidRPr="00A00809">
        <w:rPr>
          <w:rFonts w:ascii="Times New Roman" w:hAnsi="Times New Roman"/>
          <w:noProof/>
          <w:lang w:eastAsia="sk-SK"/>
        </w:rPr>
        <w:t xml:space="preserve">filmom obalená </w:t>
      </w:r>
      <w:r w:rsidRPr="00A00809">
        <w:rPr>
          <w:rFonts w:ascii="Times New Roman" w:hAnsi="Times New Roman"/>
          <w:noProof/>
          <w:lang w:eastAsia="sk-SK"/>
        </w:rPr>
        <w:t>tableta obsahuje 5 mg amlodipínu (ako amlodipín</w:t>
      </w:r>
      <w:r w:rsidR="000B1BD6" w:rsidRPr="00A00809">
        <w:rPr>
          <w:rFonts w:ascii="Times New Roman" w:hAnsi="Times New Roman"/>
          <w:noProof/>
          <w:lang w:eastAsia="sk-SK"/>
        </w:rPr>
        <w:t>ium</w:t>
      </w:r>
      <w:r w:rsidRPr="00A00809">
        <w:rPr>
          <w:rFonts w:ascii="Times New Roman" w:hAnsi="Times New Roman"/>
          <w:noProof/>
          <w:lang w:eastAsia="sk-SK"/>
        </w:rPr>
        <w:t>besilát)</w:t>
      </w:r>
      <w:r w:rsidR="00CC6B19" w:rsidRPr="00A00809">
        <w:rPr>
          <w:rFonts w:ascii="Times New Roman" w:hAnsi="Times New Roman"/>
          <w:noProof/>
          <w:lang w:eastAsia="sk-SK"/>
        </w:rPr>
        <w:t xml:space="preserve"> a</w:t>
      </w:r>
      <w:r w:rsidR="005A0D2E" w:rsidRPr="00A00809">
        <w:rPr>
          <w:rFonts w:ascii="Times New Roman" w:hAnsi="Times New Roman"/>
          <w:noProof/>
          <w:lang w:eastAsia="sk-SK"/>
        </w:rPr>
        <w:t xml:space="preserve"> </w:t>
      </w:r>
      <w:r w:rsidR="00CC6B19" w:rsidRPr="00A00809">
        <w:rPr>
          <w:rFonts w:ascii="Times New Roman" w:hAnsi="Times New Roman"/>
          <w:noProof/>
          <w:lang w:eastAsia="sk-SK"/>
        </w:rPr>
        <w:t>80 mg valsartanu</w:t>
      </w:r>
      <w:r w:rsidRPr="00A00809">
        <w:rPr>
          <w:rFonts w:ascii="Times New Roman" w:hAnsi="Times New Roman"/>
          <w:noProof/>
          <w:lang w:eastAsia="sk-SK"/>
        </w:rPr>
        <w:t>.</w:t>
      </w:r>
    </w:p>
    <w:p w:rsidR="00CC6B19" w:rsidRPr="00A00809" w:rsidRDefault="00CC6B19" w:rsidP="00FD2D5B">
      <w:pPr>
        <w:spacing w:after="0" w:line="240" w:lineRule="auto"/>
        <w:rPr>
          <w:rFonts w:ascii="Times New Roman" w:hAnsi="Times New Roman"/>
          <w:noProof/>
          <w:lang w:eastAsia="sk-SK"/>
        </w:rPr>
      </w:pPr>
      <w:r w:rsidRPr="00A00809">
        <w:rPr>
          <w:rFonts w:ascii="Times New Roman" w:hAnsi="Times New Roman"/>
          <w:noProof/>
          <w:lang w:eastAsia="sk-SK"/>
        </w:rPr>
        <w:t xml:space="preserve">Pomocná látka so známym účinkom: každá tableta obsahuje 9,25 mg sorbitolu (E-420). </w:t>
      </w:r>
    </w:p>
    <w:p w:rsidR="005A0D2E" w:rsidRPr="00A00809" w:rsidRDefault="005A0D2E" w:rsidP="00FD2D5B">
      <w:pPr>
        <w:spacing w:after="0" w:line="240" w:lineRule="auto"/>
        <w:rPr>
          <w:rFonts w:ascii="Times New Roman" w:hAnsi="Times New Roman"/>
          <w:noProof/>
          <w:lang w:eastAsia="sk-SK"/>
        </w:rPr>
      </w:pPr>
    </w:p>
    <w:p w:rsidR="005A0D2E" w:rsidRPr="00A00809" w:rsidRDefault="005A0D2E" w:rsidP="005A0D2E">
      <w:pPr>
        <w:spacing w:after="0" w:line="240" w:lineRule="auto"/>
        <w:rPr>
          <w:rFonts w:ascii="Times New Roman" w:hAnsi="Times New Roman"/>
          <w:noProof/>
          <w:lang w:eastAsia="sk-SK"/>
        </w:rPr>
      </w:pPr>
      <w:r w:rsidRPr="00A00809">
        <w:rPr>
          <w:rFonts w:ascii="Times New Roman" w:hAnsi="Times New Roman"/>
          <w:noProof/>
          <w:lang w:eastAsia="sk-SK"/>
        </w:rPr>
        <w:t>Asbima 5 mg/</w:t>
      </w:r>
      <w:r w:rsidR="004914E1" w:rsidRPr="00A00809">
        <w:rPr>
          <w:rFonts w:ascii="Times New Roman" w:hAnsi="Times New Roman"/>
          <w:noProof/>
          <w:lang w:eastAsia="sk-SK"/>
        </w:rPr>
        <w:t>16</w:t>
      </w:r>
      <w:r w:rsidRPr="00A00809">
        <w:rPr>
          <w:rFonts w:ascii="Times New Roman" w:hAnsi="Times New Roman"/>
          <w:noProof/>
          <w:lang w:eastAsia="sk-SK"/>
        </w:rPr>
        <w:t>0 mg filmom obalené tablety</w:t>
      </w:r>
    </w:p>
    <w:p w:rsidR="005A0D2E" w:rsidRPr="00A00809" w:rsidRDefault="005A0D2E" w:rsidP="005A0D2E">
      <w:pPr>
        <w:spacing w:after="0" w:line="240" w:lineRule="auto"/>
        <w:rPr>
          <w:rFonts w:ascii="Times New Roman" w:hAnsi="Times New Roman"/>
          <w:noProof/>
          <w:lang w:eastAsia="sk-SK"/>
        </w:rPr>
      </w:pPr>
      <w:r w:rsidRPr="00A00809">
        <w:rPr>
          <w:rFonts w:ascii="Times New Roman" w:hAnsi="Times New Roman"/>
          <w:noProof/>
          <w:lang w:eastAsia="sk-SK"/>
        </w:rPr>
        <w:t xml:space="preserve">Každá filmom obalená tableta obsahuje 5 mg amlodipínu (ako amlodipíniumbesilát) a </w:t>
      </w:r>
      <w:r w:rsidR="004914E1" w:rsidRPr="00A00809">
        <w:rPr>
          <w:rFonts w:ascii="Times New Roman" w:hAnsi="Times New Roman"/>
          <w:noProof/>
          <w:lang w:eastAsia="sk-SK"/>
        </w:rPr>
        <w:t>16</w:t>
      </w:r>
      <w:r w:rsidRPr="00A00809">
        <w:rPr>
          <w:rFonts w:ascii="Times New Roman" w:hAnsi="Times New Roman"/>
          <w:noProof/>
          <w:lang w:eastAsia="sk-SK"/>
        </w:rPr>
        <w:t>0 mg valsartanu.</w:t>
      </w:r>
    </w:p>
    <w:p w:rsidR="005A0D2E" w:rsidRPr="00A00809" w:rsidRDefault="005A0D2E" w:rsidP="005A0D2E">
      <w:pPr>
        <w:spacing w:after="0" w:line="240" w:lineRule="auto"/>
        <w:rPr>
          <w:rFonts w:ascii="Times New Roman" w:hAnsi="Times New Roman"/>
          <w:noProof/>
          <w:lang w:eastAsia="sk-SK"/>
        </w:rPr>
      </w:pPr>
      <w:r w:rsidRPr="00A00809">
        <w:rPr>
          <w:rFonts w:ascii="Times New Roman" w:hAnsi="Times New Roman"/>
          <w:noProof/>
          <w:lang w:eastAsia="sk-SK"/>
        </w:rPr>
        <w:t xml:space="preserve">Pomocná látka so známym účinkom: každá tableta obsahuje </w:t>
      </w:r>
      <w:r w:rsidR="004914E1" w:rsidRPr="00A00809">
        <w:rPr>
          <w:rFonts w:ascii="Times New Roman" w:hAnsi="Times New Roman"/>
          <w:noProof/>
          <w:lang w:eastAsia="sk-SK"/>
        </w:rPr>
        <w:t>18</w:t>
      </w:r>
      <w:r w:rsidRPr="00A00809">
        <w:rPr>
          <w:rFonts w:ascii="Times New Roman" w:hAnsi="Times New Roman"/>
          <w:noProof/>
          <w:lang w:eastAsia="sk-SK"/>
        </w:rPr>
        <w:t xml:space="preserve">,5 mg sorbitolu (E-420). </w:t>
      </w:r>
    </w:p>
    <w:p w:rsidR="00FD2D5B" w:rsidRPr="00A00809" w:rsidRDefault="00FD2D5B" w:rsidP="00FD2D5B">
      <w:pPr>
        <w:spacing w:after="0" w:line="240" w:lineRule="auto"/>
        <w:ind w:left="567" w:hanging="567"/>
        <w:rPr>
          <w:rFonts w:ascii="Times New Roman" w:hAnsi="Times New Roman"/>
          <w:lang w:eastAsia="sk-SK"/>
        </w:rPr>
      </w:pPr>
    </w:p>
    <w:p w:rsidR="004914E1" w:rsidRPr="00A00809" w:rsidRDefault="004914E1" w:rsidP="004914E1">
      <w:pPr>
        <w:spacing w:after="0" w:line="240" w:lineRule="auto"/>
        <w:rPr>
          <w:rFonts w:ascii="Times New Roman" w:hAnsi="Times New Roman"/>
          <w:noProof/>
          <w:lang w:eastAsia="sk-SK"/>
        </w:rPr>
      </w:pPr>
      <w:r w:rsidRPr="00A00809">
        <w:rPr>
          <w:rFonts w:ascii="Times New Roman" w:hAnsi="Times New Roman"/>
          <w:noProof/>
          <w:lang w:eastAsia="sk-SK"/>
        </w:rPr>
        <w:t>Asbima 10 mg/160 mg filmom obalené tablety</w:t>
      </w:r>
    </w:p>
    <w:p w:rsidR="004914E1" w:rsidRPr="00A00809" w:rsidRDefault="004914E1" w:rsidP="004914E1">
      <w:pPr>
        <w:spacing w:after="0" w:line="240" w:lineRule="auto"/>
        <w:rPr>
          <w:rFonts w:ascii="Times New Roman" w:hAnsi="Times New Roman"/>
          <w:noProof/>
          <w:lang w:eastAsia="sk-SK"/>
        </w:rPr>
      </w:pPr>
      <w:r w:rsidRPr="00A00809">
        <w:rPr>
          <w:rFonts w:ascii="Times New Roman" w:hAnsi="Times New Roman"/>
          <w:noProof/>
          <w:lang w:eastAsia="sk-SK"/>
        </w:rPr>
        <w:t>Každá filmom obalená tableta obsahuje 10 mg amlodipínu (ako amlodipíniumbesilát) a 160 mg valsartanu.</w:t>
      </w:r>
    </w:p>
    <w:p w:rsidR="004914E1" w:rsidRPr="00A00809" w:rsidRDefault="004914E1" w:rsidP="004914E1">
      <w:pPr>
        <w:spacing w:after="0" w:line="240" w:lineRule="auto"/>
        <w:rPr>
          <w:rFonts w:ascii="Times New Roman" w:hAnsi="Times New Roman"/>
          <w:noProof/>
          <w:lang w:eastAsia="sk-SK"/>
        </w:rPr>
      </w:pPr>
      <w:r w:rsidRPr="00A00809">
        <w:rPr>
          <w:rFonts w:ascii="Times New Roman" w:hAnsi="Times New Roman"/>
          <w:noProof/>
          <w:lang w:eastAsia="sk-SK"/>
        </w:rPr>
        <w:t xml:space="preserve">Pomocná látka so známym účinkom: každá tableta obsahuje 18,5 mg sorbitolu (E-420). </w:t>
      </w:r>
    </w:p>
    <w:p w:rsidR="004914E1" w:rsidRPr="00A00809" w:rsidRDefault="004914E1" w:rsidP="00FD2D5B">
      <w:pPr>
        <w:spacing w:after="0" w:line="240" w:lineRule="auto"/>
        <w:ind w:left="567" w:hanging="567"/>
        <w:rPr>
          <w:rFonts w:ascii="Times New Roman" w:hAnsi="Times New Roman"/>
          <w:lang w:eastAsia="sk-SK"/>
        </w:rPr>
      </w:pPr>
    </w:p>
    <w:p w:rsidR="00FD2D5B" w:rsidRPr="00A00809" w:rsidRDefault="00FD2D5B" w:rsidP="00FD2D5B">
      <w:pPr>
        <w:spacing w:after="0" w:line="240" w:lineRule="auto"/>
        <w:ind w:left="567" w:hanging="567"/>
        <w:rPr>
          <w:rFonts w:ascii="Times New Roman" w:hAnsi="Times New Roman"/>
          <w:lang w:eastAsia="sk-SK"/>
        </w:rPr>
      </w:pPr>
      <w:r w:rsidRPr="00A00809">
        <w:rPr>
          <w:rFonts w:ascii="Times New Roman" w:hAnsi="Times New Roman"/>
          <w:lang w:eastAsia="sk-SK"/>
        </w:rPr>
        <w:t>Úplný zoznam pomocných látok, pozri časť 6.1.</w:t>
      </w:r>
    </w:p>
    <w:p w:rsidR="00FD2D5B" w:rsidRPr="00A00809" w:rsidRDefault="00FD2D5B" w:rsidP="00FD2D5B">
      <w:pPr>
        <w:spacing w:after="0" w:line="240" w:lineRule="auto"/>
        <w:rPr>
          <w:rFonts w:ascii="Times New Roman" w:hAnsi="Times New Roman"/>
          <w:noProof/>
          <w:lang w:eastAsia="sk-SK"/>
        </w:rPr>
      </w:pPr>
    </w:p>
    <w:p w:rsidR="00FD2D5B" w:rsidRPr="00A00809" w:rsidRDefault="00FD2D5B" w:rsidP="00FD2D5B">
      <w:pPr>
        <w:spacing w:after="0" w:line="240" w:lineRule="auto"/>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caps/>
          <w:noProof/>
          <w:lang w:eastAsia="sk-SK"/>
        </w:rPr>
      </w:pPr>
      <w:r w:rsidRPr="00A00809">
        <w:rPr>
          <w:rFonts w:ascii="Times New Roman" w:hAnsi="Times New Roman"/>
          <w:b/>
          <w:noProof/>
          <w:lang w:eastAsia="sk-SK"/>
        </w:rPr>
        <w:t>3.</w:t>
      </w:r>
      <w:r w:rsidRPr="00A00809">
        <w:rPr>
          <w:rFonts w:ascii="Times New Roman" w:hAnsi="Times New Roman"/>
          <w:b/>
          <w:noProof/>
          <w:lang w:eastAsia="sk-SK"/>
        </w:rPr>
        <w:tab/>
        <w:t>LIEKOVÁ FORMA</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4914E1" w:rsidP="00FD2D5B">
      <w:pPr>
        <w:spacing w:after="0" w:line="240" w:lineRule="auto"/>
        <w:rPr>
          <w:rFonts w:ascii="Times New Roman" w:hAnsi="Times New Roman"/>
          <w:noProof/>
          <w:lang w:eastAsia="sk-SK"/>
        </w:rPr>
      </w:pPr>
      <w:r w:rsidRPr="00A00809">
        <w:rPr>
          <w:rFonts w:ascii="Times New Roman" w:hAnsi="Times New Roman"/>
          <w:noProof/>
          <w:lang w:eastAsia="sk-SK"/>
        </w:rPr>
        <w:t>Filmom obalená t</w:t>
      </w:r>
      <w:r w:rsidR="00FD2D5B" w:rsidRPr="00A00809">
        <w:rPr>
          <w:rFonts w:ascii="Times New Roman" w:hAnsi="Times New Roman"/>
          <w:noProof/>
          <w:lang w:eastAsia="sk-SK"/>
        </w:rPr>
        <w:t>ableta.</w:t>
      </w:r>
    </w:p>
    <w:p w:rsidR="00350B09" w:rsidRPr="00A00809" w:rsidRDefault="00350B09" w:rsidP="00FD2D5B">
      <w:pPr>
        <w:spacing w:after="0" w:line="240" w:lineRule="auto"/>
        <w:rPr>
          <w:rFonts w:ascii="Times New Roman" w:hAnsi="Times New Roman"/>
          <w:noProof/>
          <w:lang w:eastAsia="sk-SK"/>
        </w:rPr>
      </w:pPr>
    </w:p>
    <w:p w:rsidR="004914E1" w:rsidRPr="00A00809" w:rsidRDefault="004914E1" w:rsidP="004914E1">
      <w:pPr>
        <w:spacing w:after="0" w:line="240" w:lineRule="auto"/>
        <w:rPr>
          <w:rFonts w:ascii="Times New Roman" w:hAnsi="Times New Roman"/>
          <w:noProof/>
          <w:lang w:eastAsia="sk-SK"/>
        </w:rPr>
      </w:pPr>
      <w:r w:rsidRPr="00A00809">
        <w:rPr>
          <w:rFonts w:ascii="Times New Roman" w:hAnsi="Times New Roman"/>
          <w:noProof/>
          <w:lang w:eastAsia="sk-SK"/>
        </w:rPr>
        <w:t>Asbima 5 mg/80 mg filmom obalené tablety: žlté</w:t>
      </w:r>
      <w:r w:rsidR="008113F4" w:rsidRPr="00A00809">
        <w:rPr>
          <w:rFonts w:ascii="Times New Roman" w:hAnsi="Times New Roman"/>
          <w:noProof/>
          <w:lang w:eastAsia="sk-SK"/>
        </w:rPr>
        <w:t>,</w:t>
      </w:r>
      <w:r w:rsidRPr="00A00809">
        <w:rPr>
          <w:rFonts w:ascii="Times New Roman" w:hAnsi="Times New Roman"/>
          <w:noProof/>
          <w:lang w:eastAsia="sk-SK"/>
        </w:rPr>
        <w:t xml:space="preserve"> okrúhle</w:t>
      </w:r>
      <w:r w:rsidR="00EA43B1">
        <w:rPr>
          <w:rFonts w:ascii="Times New Roman" w:hAnsi="Times New Roman"/>
          <w:noProof/>
          <w:lang w:eastAsia="sk-SK"/>
        </w:rPr>
        <w:t>, filmom obalené tablety s priemerom približne 9 mm.</w:t>
      </w:r>
    </w:p>
    <w:p w:rsidR="00FD2D5B" w:rsidRPr="00A00809" w:rsidRDefault="00EA43B1" w:rsidP="00FD2D5B">
      <w:pPr>
        <w:spacing w:after="0" w:line="240" w:lineRule="auto"/>
        <w:rPr>
          <w:rFonts w:ascii="Times New Roman" w:hAnsi="Times New Roman"/>
          <w:noProof/>
          <w:lang w:eastAsia="sk-SK"/>
        </w:rPr>
      </w:pPr>
      <w:r>
        <w:rPr>
          <w:rFonts w:ascii="Times New Roman" w:hAnsi="Times New Roman"/>
          <w:noProof/>
          <w:lang w:eastAsia="sk-SK"/>
        </w:rPr>
        <w:t xml:space="preserve">Asbima 5 mg/160 mg filmom obalené tablety: svetložlté, oválne, filmom obalené tablety s rozmermi približne </w:t>
      </w:r>
      <w:r w:rsidRPr="002C35E8">
        <w:rPr>
          <w:rFonts w:ascii="Times New Roman" w:eastAsia="MS Mincho" w:hAnsi="Times New Roman"/>
          <w:sz w:val="24"/>
          <w:szCs w:val="24"/>
          <w:lang w:eastAsia="fr-FR"/>
        </w:rPr>
        <w:t>14×7</w:t>
      </w:r>
      <w:r w:rsidR="004914E1" w:rsidRPr="00A00809">
        <w:rPr>
          <w:rFonts w:ascii="Times New Roman" w:hAnsi="Times New Roman"/>
          <w:noProof/>
          <w:lang w:eastAsia="sk-SK"/>
        </w:rPr>
        <w:t xml:space="preserve"> mm.</w:t>
      </w:r>
    </w:p>
    <w:p w:rsidR="00675045" w:rsidRPr="00A00809" w:rsidRDefault="00675045" w:rsidP="00FD2D5B">
      <w:pPr>
        <w:spacing w:after="0" w:line="240" w:lineRule="auto"/>
        <w:rPr>
          <w:rFonts w:ascii="Times New Roman" w:hAnsi="Times New Roman"/>
          <w:noProof/>
          <w:lang w:eastAsia="sk-SK"/>
        </w:rPr>
      </w:pPr>
      <w:r w:rsidRPr="00A00809">
        <w:rPr>
          <w:rFonts w:ascii="Times New Roman" w:hAnsi="Times New Roman"/>
          <w:noProof/>
          <w:lang w:eastAsia="sk-SK"/>
        </w:rPr>
        <w:t>Asbima</w:t>
      </w:r>
      <w:r w:rsidR="00EA43B1">
        <w:rPr>
          <w:rFonts w:ascii="Times New Roman" w:hAnsi="Times New Roman"/>
          <w:noProof/>
          <w:lang w:eastAsia="sk-SK"/>
        </w:rPr>
        <w:t xml:space="preserve"> 10 mg/160 mg filmom obalené tablety: žlté, oválne, filmom obalené tablety s deliacou ryhou, s rozmermi približne 14×7 mm.</w:t>
      </w:r>
      <w:r w:rsidR="00EA43B1">
        <w:t xml:space="preserve"> </w:t>
      </w:r>
      <w:r w:rsidR="00EA43B1">
        <w:rPr>
          <w:rFonts w:ascii="Times New Roman" w:hAnsi="Times New Roman"/>
          <w:noProof/>
          <w:lang w:eastAsia="sk-SK"/>
        </w:rPr>
        <w:t>Deliaca ryha nie je určená na rozlomenie tablety.</w:t>
      </w:r>
    </w:p>
    <w:p w:rsidR="004914E1" w:rsidRPr="00A00809" w:rsidRDefault="004914E1" w:rsidP="00FD2D5B">
      <w:pPr>
        <w:spacing w:after="0" w:line="240" w:lineRule="auto"/>
        <w:rPr>
          <w:rFonts w:ascii="Times New Roman" w:hAnsi="Times New Roman"/>
          <w:noProof/>
          <w:lang w:eastAsia="sk-SK"/>
        </w:rPr>
      </w:pPr>
    </w:p>
    <w:p w:rsidR="009A7BCA" w:rsidRPr="00A00809" w:rsidRDefault="009A7BCA" w:rsidP="00FD2D5B">
      <w:pPr>
        <w:spacing w:after="0" w:line="240" w:lineRule="auto"/>
        <w:ind w:left="567" w:hanging="567"/>
        <w:rPr>
          <w:rFonts w:ascii="Times New Roman" w:hAnsi="Times New Roman"/>
          <w:b/>
          <w:caps/>
          <w:noProof/>
          <w:lang w:eastAsia="sk-SK"/>
        </w:rPr>
      </w:pPr>
    </w:p>
    <w:p w:rsidR="00FD2D5B" w:rsidRPr="00A00809" w:rsidRDefault="00EA43B1" w:rsidP="00FD2D5B">
      <w:pPr>
        <w:spacing w:after="0" w:line="240" w:lineRule="auto"/>
        <w:ind w:left="567" w:hanging="567"/>
        <w:rPr>
          <w:rFonts w:ascii="Times New Roman" w:hAnsi="Times New Roman"/>
          <w:caps/>
          <w:noProof/>
          <w:lang w:eastAsia="sk-SK"/>
        </w:rPr>
      </w:pPr>
      <w:r>
        <w:rPr>
          <w:rFonts w:ascii="Times New Roman" w:hAnsi="Times New Roman"/>
          <w:b/>
          <w:caps/>
          <w:noProof/>
          <w:lang w:eastAsia="sk-SK"/>
        </w:rPr>
        <w:t>4.</w:t>
      </w:r>
      <w:r>
        <w:rPr>
          <w:rFonts w:ascii="Times New Roman" w:hAnsi="Times New Roman"/>
          <w:b/>
          <w:caps/>
          <w:noProof/>
          <w:lang w:eastAsia="sk-SK"/>
        </w:rPr>
        <w:tab/>
        <w:t>KLINICKÉ ÚDAJE</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Pr>
          <w:rFonts w:ascii="Times New Roman" w:hAnsi="Times New Roman"/>
          <w:b/>
          <w:noProof/>
          <w:lang w:eastAsia="sk-SK"/>
        </w:rPr>
        <w:t>4.1</w:t>
      </w:r>
      <w:r>
        <w:rPr>
          <w:rFonts w:ascii="Times New Roman" w:hAnsi="Times New Roman"/>
          <w:b/>
          <w:noProof/>
          <w:lang w:eastAsia="sk-SK"/>
        </w:rPr>
        <w:tab/>
        <w:t>Terapeutické indikácie</w:t>
      </w:r>
    </w:p>
    <w:p w:rsidR="00FD2D5B" w:rsidRPr="00A00809" w:rsidRDefault="00FD2D5B" w:rsidP="00FD2D5B">
      <w:pPr>
        <w:spacing w:after="0" w:line="240" w:lineRule="auto"/>
        <w:ind w:left="567" w:hanging="567"/>
        <w:rPr>
          <w:rFonts w:ascii="Times New Roman" w:hAnsi="Times New Roman"/>
          <w:noProof/>
          <w:lang w:eastAsia="sk-SK"/>
        </w:rPr>
      </w:pPr>
    </w:p>
    <w:p w:rsidR="009A7BCA" w:rsidRPr="00A00809" w:rsidRDefault="00EA43B1" w:rsidP="009A7BCA">
      <w:pPr>
        <w:spacing w:after="0" w:line="240" w:lineRule="auto"/>
        <w:rPr>
          <w:rFonts w:ascii="Times New Roman" w:hAnsi="Times New Roman"/>
          <w:noProof/>
          <w:lang w:eastAsia="sk-SK"/>
        </w:rPr>
      </w:pPr>
      <w:r>
        <w:rPr>
          <w:rFonts w:ascii="Times New Roman" w:hAnsi="Times New Roman"/>
          <w:noProof/>
          <w:lang w:eastAsia="sk-SK"/>
        </w:rPr>
        <w:t>Liečba esenciálnej hypertenzie.</w:t>
      </w:r>
    </w:p>
    <w:p w:rsidR="009A7BCA" w:rsidRPr="00A00809" w:rsidRDefault="009A7BCA" w:rsidP="009A7BCA">
      <w:pPr>
        <w:spacing w:after="0" w:line="240" w:lineRule="auto"/>
        <w:rPr>
          <w:rFonts w:ascii="Times New Roman" w:hAnsi="Times New Roman"/>
          <w:noProof/>
          <w:lang w:eastAsia="sk-SK"/>
        </w:rPr>
      </w:pPr>
    </w:p>
    <w:p w:rsidR="00FD2D5B" w:rsidRPr="00A00809" w:rsidRDefault="00EA43B1" w:rsidP="009A7BCA">
      <w:pPr>
        <w:spacing w:after="0" w:line="240" w:lineRule="auto"/>
        <w:rPr>
          <w:rFonts w:ascii="Times New Roman" w:hAnsi="Times New Roman"/>
          <w:noProof/>
          <w:lang w:eastAsia="sk-SK"/>
        </w:rPr>
      </w:pPr>
      <w:r>
        <w:rPr>
          <w:rFonts w:ascii="Times New Roman" w:hAnsi="Times New Roman"/>
          <w:noProof/>
          <w:lang w:eastAsia="sk-SK"/>
        </w:rPr>
        <w:t>Liek Asbima je indikovaný u dospelých, ktorých krvný tlak nie je dostatočne kontrolovaný monoterapiou amlodipínom alebo valsartanom.</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Pr>
          <w:rFonts w:ascii="Times New Roman" w:hAnsi="Times New Roman"/>
          <w:b/>
          <w:noProof/>
          <w:lang w:eastAsia="sk-SK"/>
        </w:rPr>
        <w:t>4.2</w:t>
      </w:r>
      <w:r>
        <w:rPr>
          <w:rFonts w:ascii="Times New Roman" w:hAnsi="Times New Roman"/>
          <w:b/>
          <w:noProof/>
          <w:lang w:eastAsia="sk-SK"/>
        </w:rPr>
        <w:tab/>
        <w:t>Dávkovanie a spôsob podávania</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u w:val="single"/>
          <w:lang w:eastAsia="sk-SK"/>
        </w:rPr>
      </w:pPr>
      <w:r>
        <w:rPr>
          <w:rFonts w:ascii="Times New Roman" w:hAnsi="Times New Roman"/>
          <w:noProof/>
          <w:u w:val="single"/>
          <w:lang w:eastAsia="sk-SK"/>
        </w:rPr>
        <w:t>Dávkovanie</w:t>
      </w:r>
    </w:p>
    <w:p w:rsidR="00FD2D5B" w:rsidRPr="00A00809" w:rsidRDefault="00FD2D5B" w:rsidP="00FD2D5B">
      <w:pPr>
        <w:spacing w:after="0" w:line="240" w:lineRule="auto"/>
        <w:ind w:left="567" w:hanging="567"/>
        <w:rPr>
          <w:rFonts w:ascii="Times New Roman" w:hAnsi="Times New Roman"/>
          <w:noProof/>
          <w:u w:val="single"/>
          <w:lang w:eastAsia="sk-SK"/>
        </w:rPr>
      </w:pPr>
    </w:p>
    <w:p w:rsidR="009A7BCA"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lastRenderedPageBreak/>
        <w:t>Odporúčané dávkovanie lieku Asbima je jedna tableta denne.</w:t>
      </w:r>
    </w:p>
    <w:p w:rsidR="009A7BCA"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Liek Asbima 5 mg/ 80 mg možno podávať pacientom, ktorých krvný tlak nie je dostatočne kontrolovaný samotným amlodipínom v dávke 5 mg alebo valsartanom v dávke 80 mg.</w:t>
      </w:r>
    </w:p>
    <w:p w:rsidR="009A7BCA" w:rsidRPr="00A00809" w:rsidRDefault="009A7BCA" w:rsidP="009A7BCA">
      <w:pPr>
        <w:autoSpaceDE w:val="0"/>
        <w:autoSpaceDN w:val="0"/>
        <w:adjustRightInd w:val="0"/>
        <w:spacing w:after="0" w:line="240" w:lineRule="auto"/>
        <w:rPr>
          <w:rFonts w:ascii="Times New Roman" w:eastAsia="Times New Roman" w:hAnsi="Times New Roman"/>
          <w:iCs/>
          <w:color w:val="000000"/>
        </w:rPr>
      </w:pPr>
    </w:p>
    <w:p w:rsidR="00EB31B3"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Liek Asbima 5 mg/160 mg možno podávať pacientom, ktorých krvný tlak nie je dostatočne kontrolovaný samotným amlodipínom v dávke 5 mg alebo valsartanom v dávke 160 mg.</w:t>
      </w:r>
    </w:p>
    <w:p w:rsidR="00EB31B3" w:rsidRPr="00A00809" w:rsidRDefault="00EB31B3" w:rsidP="009A7BCA">
      <w:pPr>
        <w:autoSpaceDE w:val="0"/>
        <w:autoSpaceDN w:val="0"/>
        <w:adjustRightInd w:val="0"/>
        <w:spacing w:after="0" w:line="240" w:lineRule="auto"/>
        <w:rPr>
          <w:rFonts w:ascii="Times New Roman" w:eastAsia="Times New Roman" w:hAnsi="Times New Roman"/>
          <w:iCs/>
          <w:color w:val="000000"/>
        </w:rPr>
      </w:pPr>
    </w:p>
    <w:p w:rsidR="00EB31B3" w:rsidRPr="00A00809" w:rsidRDefault="00EA43B1" w:rsidP="00EB31B3">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Liek Asbima 10 mg/160 mg možno podávať pacientom, ktorých krvný tlak nie je dostatočne kontrolovaný samotným amlodipínom v dávke 10 mg alebo valsartanom v dávke 160 mg, alebo liekom Asbima 5 mg/160 mg.</w:t>
      </w:r>
    </w:p>
    <w:p w:rsidR="00EB31B3" w:rsidRPr="00A00809" w:rsidRDefault="00EB31B3" w:rsidP="009A7BCA">
      <w:pPr>
        <w:autoSpaceDE w:val="0"/>
        <w:autoSpaceDN w:val="0"/>
        <w:adjustRightInd w:val="0"/>
        <w:spacing w:after="0" w:line="240" w:lineRule="auto"/>
        <w:rPr>
          <w:rFonts w:ascii="Times New Roman" w:eastAsia="Times New Roman" w:hAnsi="Times New Roman"/>
          <w:iCs/>
          <w:color w:val="000000"/>
        </w:rPr>
      </w:pPr>
    </w:p>
    <w:p w:rsidR="009A7BCA"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Odporúča sa individuálne titrovať dávku zložkami lieku (t.j. amlodipínom a valsartanom) skôr, ako sa prejde na fixnú kombináciu dávok. Ak je to z klinického hľadiska vhodné, možno uvažovať o priamom prechode z monoterapie na fixnú kombináciu dávok.</w:t>
      </w:r>
    </w:p>
    <w:p w:rsidR="009A7BCA"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Pre pohodlnejšie užívanie pacienti, ktorí dostávajú valsartan a amlodipín v osobitných tabletách/kapsulách, môžu prejsť na liek Asbima, ktorý obsahuje zložky v rovnakých dávkach.</w:t>
      </w:r>
    </w:p>
    <w:p w:rsidR="009A7BCA" w:rsidRPr="00A00809" w:rsidRDefault="009A7BCA" w:rsidP="005C42CA">
      <w:pPr>
        <w:autoSpaceDE w:val="0"/>
        <w:autoSpaceDN w:val="0"/>
        <w:adjustRightInd w:val="0"/>
        <w:spacing w:after="0" w:line="240" w:lineRule="auto"/>
        <w:rPr>
          <w:rFonts w:ascii="Times New Roman" w:eastAsia="Times New Roman" w:hAnsi="Times New Roman"/>
          <w:i/>
          <w:iCs/>
          <w:color w:val="000000"/>
        </w:rPr>
      </w:pPr>
    </w:p>
    <w:p w:rsidR="00EB31B3" w:rsidRPr="00A00809" w:rsidRDefault="00EA43B1" w:rsidP="005C42CA">
      <w:pPr>
        <w:autoSpaceDE w:val="0"/>
        <w:autoSpaceDN w:val="0"/>
        <w:adjustRightInd w:val="0"/>
        <w:spacing w:after="0" w:line="240" w:lineRule="auto"/>
        <w:rPr>
          <w:rFonts w:ascii="Times New Roman" w:eastAsia="Times New Roman" w:hAnsi="Times New Roman"/>
          <w:i/>
          <w:iCs/>
          <w:color w:val="000000"/>
          <w:highlight w:val="yellow"/>
        </w:rPr>
      </w:pPr>
      <w:r>
        <w:rPr>
          <w:rFonts w:ascii="Times New Roman" w:eastAsia="Times New Roman" w:hAnsi="Times New Roman"/>
          <w:i/>
          <w:iCs/>
          <w:color w:val="000000"/>
        </w:rPr>
        <w:t>Porucha funkcie obličiek</w:t>
      </w:r>
    </w:p>
    <w:p w:rsidR="00EB31B3" w:rsidRPr="00A00809" w:rsidRDefault="00EA43B1" w:rsidP="005C42CA">
      <w:pPr>
        <w:autoSpaceDE w:val="0"/>
        <w:autoSpaceDN w:val="0"/>
        <w:adjustRightInd w:val="0"/>
        <w:spacing w:after="0" w:line="240" w:lineRule="auto"/>
        <w:rPr>
          <w:rFonts w:ascii="Times New Roman" w:eastAsia="Times New Roman" w:hAnsi="Times New Roman"/>
          <w:iCs/>
          <w:color w:val="000000"/>
          <w:highlight w:val="yellow"/>
        </w:rPr>
      </w:pPr>
      <w:r>
        <w:rPr>
          <w:rFonts w:ascii="Times New Roman" w:eastAsia="Times New Roman" w:hAnsi="Times New Roman"/>
          <w:iCs/>
          <w:color w:val="000000"/>
        </w:rPr>
        <w:t>Nie sú dostupné klinické údaje u pacientov s ťažkou poruchou funkcie obličiek. U pacientov s miernou až stredne ťažkou poruchou funkcie obličiek nie je potrebná úprava dávkovania. Pri stredne ťažkej poruche funkcie obličiek sa odporúča monitorovanie hladín draslíka a kreatinínu.</w:t>
      </w:r>
    </w:p>
    <w:p w:rsidR="00EB31B3" w:rsidRPr="00A00809" w:rsidRDefault="00EB31B3" w:rsidP="005C42CA">
      <w:pPr>
        <w:autoSpaceDE w:val="0"/>
        <w:autoSpaceDN w:val="0"/>
        <w:adjustRightInd w:val="0"/>
        <w:spacing w:after="0" w:line="240" w:lineRule="auto"/>
        <w:rPr>
          <w:rFonts w:ascii="Times New Roman" w:eastAsia="Times New Roman" w:hAnsi="Times New Roman"/>
          <w:i/>
          <w:iCs/>
          <w:color w:val="000000"/>
          <w:highlight w:val="yellow"/>
        </w:rPr>
      </w:pPr>
    </w:p>
    <w:p w:rsidR="00EB31B3" w:rsidRPr="00A00809" w:rsidRDefault="00EA43B1" w:rsidP="005C42CA">
      <w:pPr>
        <w:autoSpaceDE w:val="0"/>
        <w:autoSpaceDN w:val="0"/>
        <w:adjustRightInd w:val="0"/>
        <w:spacing w:after="0" w:line="240" w:lineRule="auto"/>
        <w:rPr>
          <w:rFonts w:ascii="Times New Roman" w:eastAsia="Times New Roman" w:hAnsi="Times New Roman"/>
          <w:i/>
          <w:iCs/>
          <w:color w:val="000000"/>
          <w:highlight w:val="yellow"/>
        </w:rPr>
      </w:pPr>
      <w:r>
        <w:rPr>
          <w:rFonts w:ascii="Times New Roman" w:eastAsia="Times New Roman" w:hAnsi="Times New Roman"/>
          <w:i/>
          <w:iCs/>
          <w:color w:val="000000"/>
        </w:rPr>
        <w:t>Porucha funkcie pečene</w:t>
      </w:r>
    </w:p>
    <w:p w:rsidR="00615535" w:rsidRPr="00A00809" w:rsidRDefault="00EA43B1" w:rsidP="00615535">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Liek Asbima je kontraindikovaný u pacientov s ťažkou poruchou funkcie pečene (pozri časť 4.3).</w:t>
      </w:r>
    </w:p>
    <w:p w:rsidR="00615535" w:rsidRPr="00A00809" w:rsidRDefault="00EA43B1" w:rsidP="00615535">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 xml:space="preserve">Pri podávaní lieku Asbima pacientom s poruchou funkcie pečene alebo obštrukciou žlčových ciest je potrebná opatrnosť (pozri časť 4.4). U pacientov s miernou až stredne ťažkou poruchou funkcie pečene bez cholestázy je maximálna odporúčaná dávka 80 mg valsartanu. Odporúčané dávkovanie amlodipínu nebolo stanovené u pacientov s miernou až stredne ťažkou poruchou funkcie pečene. </w:t>
      </w:r>
    </w:p>
    <w:p w:rsidR="00615535" w:rsidRPr="00A00809" w:rsidRDefault="00EA43B1" w:rsidP="00615535">
      <w:pPr>
        <w:autoSpaceDE w:val="0"/>
        <w:autoSpaceDN w:val="0"/>
        <w:adjustRightInd w:val="0"/>
        <w:spacing w:after="0" w:line="240" w:lineRule="auto"/>
        <w:rPr>
          <w:rFonts w:ascii="Times New Roman" w:eastAsia="Times New Roman" w:hAnsi="Times New Roman"/>
          <w:iCs/>
          <w:color w:val="000000"/>
          <w:highlight w:val="yellow"/>
        </w:rPr>
      </w:pPr>
      <w:r>
        <w:rPr>
          <w:rFonts w:ascii="Times New Roman" w:eastAsia="Times New Roman" w:hAnsi="Times New Roman"/>
          <w:iCs/>
          <w:color w:val="000000"/>
        </w:rPr>
        <w:t>Pri zmene liečby na amlodipín alebo Asbim</w:t>
      </w:r>
      <w:r w:rsidR="00F20FF8">
        <w:rPr>
          <w:rFonts w:ascii="Times New Roman" w:eastAsia="Times New Roman" w:hAnsi="Times New Roman"/>
          <w:iCs/>
          <w:color w:val="000000"/>
        </w:rPr>
        <w:t>u</w:t>
      </w:r>
      <w:r>
        <w:rPr>
          <w:rFonts w:ascii="Times New Roman" w:eastAsia="Times New Roman" w:hAnsi="Times New Roman"/>
          <w:iCs/>
          <w:color w:val="000000"/>
        </w:rPr>
        <w:t xml:space="preserve"> u vhodných pacientov s hypertenziou (pozri časť 4.1), ktorí majú poruchu funkcie pečene, sa má ako monoterapia alebo ako amlodipínová zložka použiť najnižšia dostupná dávka  amlodipínu.</w:t>
      </w:r>
    </w:p>
    <w:p w:rsidR="00615535" w:rsidRPr="00A00809" w:rsidRDefault="00615535" w:rsidP="005C42CA">
      <w:pPr>
        <w:autoSpaceDE w:val="0"/>
        <w:autoSpaceDN w:val="0"/>
        <w:adjustRightInd w:val="0"/>
        <w:spacing w:after="0" w:line="240" w:lineRule="auto"/>
        <w:rPr>
          <w:rFonts w:ascii="Times New Roman" w:eastAsia="Times New Roman" w:hAnsi="Times New Roman"/>
          <w:i/>
          <w:iCs/>
          <w:color w:val="000000"/>
          <w:highlight w:val="yellow"/>
        </w:rPr>
      </w:pPr>
    </w:p>
    <w:p w:rsidR="00615535" w:rsidRPr="00A00809" w:rsidRDefault="00EA43B1" w:rsidP="00615535">
      <w:pPr>
        <w:autoSpaceDE w:val="0"/>
        <w:autoSpaceDN w:val="0"/>
        <w:adjustRightInd w:val="0"/>
        <w:spacing w:after="0" w:line="240" w:lineRule="auto"/>
        <w:rPr>
          <w:rFonts w:ascii="Times New Roman" w:eastAsia="Times New Roman" w:hAnsi="Times New Roman"/>
          <w:i/>
          <w:iCs/>
          <w:color w:val="000000"/>
        </w:rPr>
      </w:pPr>
      <w:r>
        <w:rPr>
          <w:rFonts w:ascii="Times New Roman" w:eastAsia="Times New Roman" w:hAnsi="Times New Roman"/>
          <w:i/>
          <w:iCs/>
          <w:color w:val="000000"/>
        </w:rPr>
        <w:t>Starší pacienti (vo veku 65 rokov a viac)</w:t>
      </w:r>
    </w:p>
    <w:p w:rsidR="005C42CA" w:rsidRPr="00A00809" w:rsidRDefault="00EA43B1" w:rsidP="00615535">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iCs/>
          <w:color w:val="000000"/>
        </w:rPr>
        <w:t>U starších pacientov sa vyžaduje opatrnosť pri zvyšovaní dávkovania. Pri zmene liečby na amlodipín alebo Asbim</w:t>
      </w:r>
      <w:r w:rsidR="00F20FF8">
        <w:rPr>
          <w:rFonts w:ascii="Times New Roman" w:eastAsia="Times New Roman" w:hAnsi="Times New Roman"/>
          <w:iCs/>
          <w:color w:val="000000"/>
        </w:rPr>
        <w:t>u</w:t>
      </w:r>
      <w:r>
        <w:rPr>
          <w:rFonts w:ascii="Times New Roman" w:eastAsia="Times New Roman" w:hAnsi="Times New Roman"/>
          <w:iCs/>
          <w:color w:val="000000"/>
        </w:rPr>
        <w:t xml:space="preserve"> u vhodných starších pacientov s hypertenziou (pozri časť 4.1) sa má ako monoterapia alebo ako amlodipínová zložka použiť najnižšia dostupná dávka amlodipínu.</w:t>
      </w:r>
    </w:p>
    <w:p w:rsidR="005C42CA" w:rsidRPr="00A00809"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A00809" w:rsidRDefault="00EA43B1" w:rsidP="005C42CA">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i/>
          <w:iCs/>
          <w:color w:val="000000"/>
        </w:rPr>
        <w:t xml:space="preserve">Pediatrická populácia </w:t>
      </w:r>
    </w:p>
    <w:p w:rsidR="005C42CA" w:rsidRPr="00A00809" w:rsidRDefault="00EA43B1" w:rsidP="005C42CA">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Bezpečnosť a účinnosť lieku Asbima u detí mladších ako 18 rokov neboli doteraz stanovené. K dispozícii nie sú žiadne údaje. </w:t>
      </w:r>
    </w:p>
    <w:p w:rsidR="005C42CA" w:rsidRPr="00A00809" w:rsidRDefault="005C42CA" w:rsidP="005C42CA">
      <w:pPr>
        <w:autoSpaceDE w:val="0"/>
        <w:autoSpaceDN w:val="0"/>
        <w:adjustRightInd w:val="0"/>
        <w:spacing w:after="0" w:line="240" w:lineRule="auto"/>
        <w:rPr>
          <w:rFonts w:ascii="Times New Roman" w:eastAsia="Times New Roman" w:hAnsi="Times New Roman"/>
          <w:color w:val="000000"/>
          <w:u w:val="single"/>
        </w:rPr>
      </w:pPr>
    </w:p>
    <w:p w:rsidR="005C42CA" w:rsidRPr="00A00809" w:rsidRDefault="00EA43B1" w:rsidP="005C42CA">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u w:val="single"/>
        </w:rPr>
        <w:t xml:space="preserve">Spôsob podávania </w:t>
      </w:r>
    </w:p>
    <w:p w:rsidR="00A019A0" w:rsidRPr="00A00809" w:rsidRDefault="00EA43B1" w:rsidP="002B1143">
      <w:pPr>
        <w:spacing w:after="0" w:line="240" w:lineRule="auto"/>
        <w:rPr>
          <w:rFonts w:ascii="Times New Roman" w:eastAsia="Times New Roman" w:hAnsi="Times New Roman"/>
          <w:color w:val="000000"/>
        </w:rPr>
      </w:pPr>
      <w:r>
        <w:rPr>
          <w:rFonts w:ascii="Times New Roman" w:eastAsia="Times New Roman" w:hAnsi="Times New Roman"/>
          <w:color w:val="000000"/>
        </w:rPr>
        <w:t>Perorálne použitie.</w:t>
      </w:r>
    </w:p>
    <w:p w:rsidR="00FD2D5B" w:rsidRPr="00A00809" w:rsidRDefault="00EA43B1" w:rsidP="002B1143">
      <w:pPr>
        <w:spacing w:after="0" w:line="240" w:lineRule="auto"/>
        <w:rPr>
          <w:rFonts w:ascii="Times New Roman" w:hAnsi="Times New Roman"/>
          <w:noProof/>
          <w:lang w:eastAsia="sk-SK"/>
        </w:rPr>
      </w:pPr>
      <w:r>
        <w:rPr>
          <w:rFonts w:ascii="Times New Roman" w:eastAsia="Times New Roman" w:hAnsi="Times New Roman"/>
          <w:color w:val="000000"/>
        </w:rPr>
        <w:t>Odporúča sa liek Asbima užívať s</w:t>
      </w:r>
      <w:r w:rsidR="00416F32">
        <w:rPr>
          <w:rFonts w:ascii="Times New Roman" w:eastAsia="Times New Roman" w:hAnsi="Times New Roman"/>
          <w:color w:val="000000"/>
        </w:rPr>
        <w:t> trochou vody</w:t>
      </w:r>
      <w:r w:rsidR="005C42CA" w:rsidRPr="00A00809">
        <w:rPr>
          <w:rFonts w:ascii="Times New Roman" w:eastAsia="Times New Roman" w:hAnsi="Times New Roman"/>
          <w:color w:val="000000"/>
        </w:rPr>
        <w:t xml:space="preserve">. </w:t>
      </w:r>
      <w:r w:rsidR="00A019A0" w:rsidRPr="00A00809">
        <w:rPr>
          <w:rFonts w:ascii="Times New Roman" w:eastAsia="Times New Roman" w:hAnsi="Times New Roman"/>
          <w:color w:val="000000"/>
        </w:rPr>
        <w:t>Asbim</w:t>
      </w:r>
      <w:r w:rsidR="00F20FF8">
        <w:rPr>
          <w:rFonts w:ascii="Times New Roman" w:eastAsia="Times New Roman" w:hAnsi="Times New Roman"/>
          <w:color w:val="000000"/>
        </w:rPr>
        <w:t>u</w:t>
      </w:r>
      <w:r>
        <w:rPr>
          <w:rFonts w:ascii="Times New Roman" w:eastAsia="Times New Roman" w:hAnsi="Times New Roman"/>
          <w:color w:val="000000"/>
        </w:rPr>
        <w:t xml:space="preserve"> možno užívať s jedlom alebo bez jedla.</w:t>
      </w:r>
    </w:p>
    <w:p w:rsidR="00FD2D5B" w:rsidRPr="00A00809" w:rsidRDefault="00FD2D5B" w:rsidP="00FD2D5B">
      <w:pPr>
        <w:spacing w:after="0" w:line="240" w:lineRule="auto"/>
        <w:rPr>
          <w:rFonts w:ascii="Times New Roman" w:hAnsi="Times New Roman"/>
          <w:noProof/>
          <w:lang w:eastAsia="sk-SK"/>
        </w:rPr>
      </w:pPr>
    </w:p>
    <w:p w:rsidR="00FD2D5B" w:rsidRPr="00A00809" w:rsidRDefault="00EA43B1" w:rsidP="00FD2D5B">
      <w:pPr>
        <w:spacing w:after="0" w:line="240" w:lineRule="auto"/>
        <w:rPr>
          <w:rFonts w:ascii="Times New Roman" w:hAnsi="Times New Roman"/>
          <w:noProof/>
          <w:lang w:eastAsia="sk-SK"/>
        </w:rPr>
      </w:pPr>
      <w:r>
        <w:rPr>
          <w:rFonts w:ascii="Times New Roman" w:hAnsi="Times New Roman"/>
          <w:b/>
          <w:noProof/>
          <w:lang w:eastAsia="sk-SK"/>
        </w:rPr>
        <w:t>4.3</w:t>
      </w:r>
      <w:r>
        <w:rPr>
          <w:rFonts w:ascii="Times New Roman" w:hAnsi="Times New Roman"/>
          <w:b/>
          <w:noProof/>
          <w:lang w:eastAsia="sk-SK"/>
        </w:rPr>
        <w:tab/>
        <w:t>Kontraindikácie</w:t>
      </w:r>
    </w:p>
    <w:p w:rsidR="00FD2D5B" w:rsidRPr="00A00809" w:rsidRDefault="00FD2D5B" w:rsidP="00FD2D5B">
      <w:pPr>
        <w:spacing w:after="0" w:line="240" w:lineRule="auto"/>
        <w:ind w:left="567" w:hanging="567"/>
        <w:rPr>
          <w:rFonts w:ascii="Times New Roman" w:hAnsi="Times New Roman"/>
          <w:b/>
          <w:noProof/>
          <w:lang w:eastAsia="sk-SK"/>
        </w:rPr>
      </w:pPr>
    </w:p>
    <w:p w:rsidR="00FD2D5B" w:rsidRPr="00A00809" w:rsidRDefault="00EA43B1" w:rsidP="008E6A75">
      <w:pPr>
        <w:numPr>
          <w:ilvl w:val="0"/>
          <w:numId w:val="18"/>
        </w:numPr>
        <w:spacing w:after="0" w:line="240" w:lineRule="auto"/>
        <w:rPr>
          <w:rFonts w:ascii="Times New Roman" w:hAnsi="Times New Roman"/>
          <w:lang w:eastAsia="sk-SK"/>
        </w:rPr>
      </w:pPr>
      <w:r>
        <w:rPr>
          <w:rFonts w:ascii="Times New Roman" w:hAnsi="Times New Roman"/>
          <w:lang w:eastAsia="sk-SK"/>
        </w:rPr>
        <w:t>Precitlivenosť na liečivá, deriváty dihydropyridínu alebo na ktorúkoľvek z pomocných látok uvedených v časti 6.1.</w:t>
      </w:r>
    </w:p>
    <w:p w:rsidR="00A019A0" w:rsidRPr="00A00809" w:rsidRDefault="00EA43B1" w:rsidP="008E6A75">
      <w:pPr>
        <w:pStyle w:val="Odsekzoznamu"/>
        <w:numPr>
          <w:ilvl w:val="0"/>
          <w:numId w:val="18"/>
        </w:numPr>
        <w:spacing w:after="0"/>
        <w:rPr>
          <w:rFonts w:ascii="Times New Roman" w:hAnsi="Times New Roman"/>
          <w:lang w:eastAsia="sk-SK"/>
        </w:rPr>
      </w:pPr>
      <w:r>
        <w:rPr>
          <w:rFonts w:ascii="Times New Roman" w:hAnsi="Times New Roman"/>
          <w:lang w:eastAsia="sk-SK"/>
        </w:rPr>
        <w:t xml:space="preserve">Ťažká porucha funkcie pečene, </w:t>
      </w:r>
      <w:r>
        <w:rPr>
          <w:rFonts w:ascii="Times New Roman" w:eastAsia="Times New Roman" w:hAnsi="Times New Roman"/>
          <w:color w:val="000000"/>
        </w:rPr>
        <w:t xml:space="preserve">biliárna cirhóza alebo cholestáza </w:t>
      </w:r>
    </w:p>
    <w:p w:rsidR="00A019A0" w:rsidRPr="00A00809" w:rsidRDefault="00EA43B1" w:rsidP="00622C34">
      <w:pPr>
        <w:pStyle w:val="Odsekzoznamu"/>
        <w:numPr>
          <w:ilvl w:val="0"/>
          <w:numId w:val="18"/>
        </w:numPr>
        <w:spacing w:after="0"/>
        <w:rPr>
          <w:rFonts w:ascii="Times New Roman" w:hAnsi="Times New Roman"/>
          <w:lang w:eastAsia="sk-SK"/>
        </w:rPr>
      </w:pPr>
      <w:r>
        <w:rPr>
          <w:rFonts w:ascii="Times New Roman" w:hAnsi="Times New Roman"/>
          <w:lang w:eastAsia="sk-SK"/>
        </w:rPr>
        <w:t xml:space="preserve">Súbežné užívanie lieku Asbima s liekmi obsahujúcimi aliskirén u pacientov s diabetom mellitus alebo poruchou funkcie obličiek </w:t>
      </w:r>
      <w:r w:rsidR="00622C34">
        <w:rPr>
          <w:rFonts w:ascii="Times New Roman" w:hAnsi="Times New Roman"/>
          <w:lang w:eastAsia="sk-SK"/>
        </w:rPr>
        <w:t>(</w:t>
      </w:r>
      <w:r w:rsidR="00622C34" w:rsidRPr="00622C34">
        <w:rPr>
          <w:rFonts w:ascii="Times New Roman" w:hAnsi="Times New Roman"/>
          <w:lang w:eastAsia="sk-SK"/>
        </w:rPr>
        <w:t xml:space="preserve">rýchlosť glomerulárnej filtrácie </w:t>
      </w:r>
      <w:r w:rsidR="00622C34">
        <w:rPr>
          <w:rFonts w:ascii="Times New Roman" w:hAnsi="Times New Roman"/>
          <w:lang w:eastAsia="sk-SK"/>
        </w:rPr>
        <w:t xml:space="preserve"> </w:t>
      </w:r>
      <w:r>
        <w:rPr>
          <w:rFonts w:ascii="Times New Roman" w:hAnsi="Times New Roman"/>
          <w:lang w:eastAsia="sk-SK"/>
        </w:rPr>
        <w:t>(GFR</w:t>
      </w:r>
      <w:r w:rsidR="00622C34">
        <w:rPr>
          <w:rFonts w:ascii="Times New Roman" w:hAnsi="Times New Roman"/>
          <w:lang w:eastAsia="sk-SK"/>
        </w:rPr>
        <w:t>)</w:t>
      </w:r>
      <w:r>
        <w:rPr>
          <w:rFonts w:ascii="Times New Roman" w:hAnsi="Times New Roman"/>
          <w:lang w:eastAsia="sk-SK"/>
        </w:rPr>
        <w:t xml:space="preserve"> </w:t>
      </w:r>
      <w:r w:rsidRPr="002C35E8">
        <w:rPr>
          <w:rFonts w:ascii="Times New Roman" w:hAnsi="Times New Roman"/>
          <w:lang w:eastAsia="sk-SK"/>
        </w:rPr>
        <w:t>&lt;60 ml/min/1,73m</w:t>
      </w:r>
      <w:r w:rsidRPr="002C35E8">
        <w:rPr>
          <w:rFonts w:ascii="Times New Roman" w:hAnsi="Times New Roman"/>
          <w:vertAlign w:val="superscript"/>
          <w:lang w:eastAsia="sk-SK"/>
        </w:rPr>
        <w:t>2</w:t>
      </w:r>
      <w:r w:rsidRPr="002C35E8">
        <w:rPr>
          <w:rFonts w:ascii="Times New Roman" w:hAnsi="Times New Roman"/>
          <w:lang w:eastAsia="sk-SK"/>
        </w:rPr>
        <w:t>) (pozri časti 4.5 a 5.1).</w:t>
      </w:r>
    </w:p>
    <w:p w:rsidR="00E51227" w:rsidRPr="00A00809" w:rsidRDefault="00EA43B1" w:rsidP="008E6A75">
      <w:pPr>
        <w:pStyle w:val="Odsekzoznamu"/>
        <w:numPr>
          <w:ilvl w:val="0"/>
          <w:numId w:val="18"/>
        </w:numPr>
        <w:spacing w:after="0"/>
        <w:rPr>
          <w:rFonts w:ascii="Times New Roman" w:hAnsi="Times New Roman"/>
          <w:lang w:eastAsia="sk-SK"/>
        </w:rPr>
      </w:pPr>
      <w:r w:rsidRPr="002C35E8">
        <w:rPr>
          <w:rFonts w:ascii="Times New Roman" w:hAnsi="Times New Roman"/>
          <w:lang w:eastAsia="sk-SK"/>
        </w:rPr>
        <w:t>Druhý a tretí trimester gravidity (pozri časti 4.4 a 4.6).</w:t>
      </w:r>
    </w:p>
    <w:p w:rsidR="008E6A75" w:rsidRPr="00A00809" w:rsidRDefault="00EA43B1" w:rsidP="008E6A75">
      <w:pPr>
        <w:pStyle w:val="Odsekzoznamu"/>
        <w:numPr>
          <w:ilvl w:val="0"/>
          <w:numId w:val="18"/>
        </w:numPr>
        <w:spacing w:after="0"/>
        <w:rPr>
          <w:rFonts w:ascii="Times New Roman" w:hAnsi="Times New Roman"/>
          <w:lang w:eastAsia="sk-SK"/>
        </w:rPr>
      </w:pPr>
      <w:r w:rsidRPr="002C35E8">
        <w:rPr>
          <w:rFonts w:ascii="Times New Roman" w:hAnsi="Times New Roman"/>
          <w:lang w:eastAsia="sk-SK"/>
        </w:rPr>
        <w:t>Závažná hypotenzia.</w:t>
      </w:r>
    </w:p>
    <w:p w:rsidR="008E6A75" w:rsidRPr="00A00809" w:rsidRDefault="00EA43B1" w:rsidP="008E6A75">
      <w:pPr>
        <w:pStyle w:val="Odsekzoznamu"/>
        <w:numPr>
          <w:ilvl w:val="0"/>
          <w:numId w:val="18"/>
        </w:numPr>
        <w:spacing w:after="0"/>
        <w:rPr>
          <w:rFonts w:ascii="Times New Roman" w:hAnsi="Times New Roman"/>
          <w:lang w:eastAsia="sk-SK"/>
        </w:rPr>
      </w:pPr>
      <w:r w:rsidRPr="002C35E8">
        <w:rPr>
          <w:rFonts w:ascii="Times New Roman" w:hAnsi="Times New Roman"/>
          <w:lang w:eastAsia="sk-SK"/>
        </w:rPr>
        <w:lastRenderedPageBreak/>
        <w:t>Šok (vrátane kardiogénneho šoku).</w:t>
      </w:r>
    </w:p>
    <w:p w:rsidR="00FD2D5B" w:rsidRPr="00A00809" w:rsidRDefault="00EA43B1" w:rsidP="005B1AB6">
      <w:pPr>
        <w:pStyle w:val="Odsekzoznamu"/>
        <w:numPr>
          <w:ilvl w:val="0"/>
          <w:numId w:val="18"/>
        </w:numPr>
        <w:spacing w:after="0"/>
        <w:rPr>
          <w:rFonts w:ascii="Times New Roman" w:hAnsi="Times New Roman"/>
          <w:lang w:eastAsia="sk-SK"/>
        </w:rPr>
      </w:pPr>
      <w:r w:rsidRPr="002C35E8">
        <w:rPr>
          <w:rFonts w:ascii="Times New Roman" w:hAnsi="Times New Roman"/>
          <w:lang w:eastAsia="sk-SK"/>
        </w:rPr>
        <w:t>Obštrukcia výtokovej časti ľavej srdcovej komory (napr. hypertrofická obštrukčná kardiomyopatia a vysoký stupeň aortálnej stenózy).</w:t>
      </w:r>
    </w:p>
    <w:p w:rsidR="00FD2D5B" w:rsidRPr="00A00809" w:rsidRDefault="00EA43B1" w:rsidP="008E6A75">
      <w:pPr>
        <w:numPr>
          <w:ilvl w:val="0"/>
          <w:numId w:val="18"/>
        </w:numPr>
        <w:spacing w:after="0" w:line="240" w:lineRule="auto"/>
        <w:rPr>
          <w:rFonts w:ascii="Times New Roman" w:hAnsi="Times New Roman"/>
          <w:lang w:eastAsia="sk-SK"/>
        </w:rPr>
      </w:pPr>
      <w:r w:rsidRPr="002C35E8">
        <w:rPr>
          <w:rFonts w:ascii="Times New Roman" w:hAnsi="Times New Roman"/>
          <w:lang w:eastAsia="sk-SK"/>
        </w:rPr>
        <w:t>Hemodynamicky nestabilné srdcové zlyhanie po akútnom infarkte myokardu.</w:t>
      </w:r>
    </w:p>
    <w:p w:rsidR="00FD2D5B" w:rsidRPr="00A00809" w:rsidRDefault="00FD2D5B" w:rsidP="00FD2D5B">
      <w:pPr>
        <w:spacing w:after="0" w:line="240" w:lineRule="auto"/>
        <w:rPr>
          <w:rFonts w:ascii="Times New Roman" w:hAnsi="Times New Roman"/>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4.4</w:t>
      </w:r>
      <w:r w:rsidRPr="002C35E8">
        <w:rPr>
          <w:rFonts w:ascii="Times New Roman" w:hAnsi="Times New Roman"/>
          <w:b/>
          <w:noProof/>
          <w:lang w:eastAsia="sk-SK"/>
        </w:rPr>
        <w:tab/>
        <w:t>Osobitné upozornenia a opatrenia pri používaní</w:t>
      </w:r>
    </w:p>
    <w:p w:rsidR="00FD2D5B" w:rsidRPr="00A00809" w:rsidRDefault="00FD2D5B" w:rsidP="00FD2D5B">
      <w:pPr>
        <w:spacing w:after="0" w:line="240" w:lineRule="auto"/>
        <w:ind w:left="567" w:hanging="567"/>
        <w:rPr>
          <w:rFonts w:ascii="Times New Roman" w:hAnsi="Times New Roman"/>
          <w:noProof/>
          <w:lang w:eastAsia="sk-SK"/>
        </w:rPr>
      </w:pPr>
    </w:p>
    <w:p w:rsidR="008E6A75" w:rsidRPr="00A00809" w:rsidRDefault="00EA43B1" w:rsidP="00FD2D5B">
      <w:pPr>
        <w:spacing w:after="0" w:line="240" w:lineRule="auto"/>
        <w:ind w:left="567" w:hanging="567"/>
        <w:rPr>
          <w:rFonts w:ascii="Times New Roman" w:hAnsi="Times New Roman"/>
          <w:noProof/>
          <w:highlight w:val="yellow"/>
          <w:lang w:eastAsia="sk-SK"/>
        </w:rPr>
      </w:pPr>
      <w:r w:rsidRPr="002C35E8">
        <w:rPr>
          <w:rFonts w:ascii="Times New Roman" w:hAnsi="Times New Roman"/>
          <w:noProof/>
          <w:lang w:eastAsia="sk-SK"/>
        </w:rPr>
        <w:t>Bezpečnosť a účinnosť amlodipínu pri hypertenznej kríze neboli stanovené.</w:t>
      </w:r>
    </w:p>
    <w:p w:rsidR="003A362D" w:rsidRPr="00A00809" w:rsidRDefault="003A362D" w:rsidP="00FD2D5B">
      <w:pPr>
        <w:spacing w:after="0" w:line="240" w:lineRule="auto"/>
        <w:ind w:left="567" w:hanging="567"/>
        <w:rPr>
          <w:rFonts w:ascii="Times New Roman" w:hAnsi="Times New Roman"/>
          <w:i/>
          <w:noProof/>
          <w:highlight w:val="yellow"/>
          <w:u w:val="single"/>
          <w:lang w:eastAsia="sk-SK"/>
        </w:rPr>
      </w:pPr>
    </w:p>
    <w:p w:rsidR="000E651B" w:rsidRPr="00A00809" w:rsidRDefault="00EA43B1" w:rsidP="000E651B">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Gravidita</w:t>
      </w:r>
    </w:p>
    <w:p w:rsidR="000E651B" w:rsidRPr="00A00809" w:rsidRDefault="00EA43B1" w:rsidP="000E651B">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Liečba antagonistami receptora angiotenzínu II (AIIRA) sa nemá začať počas gravidity. Ak nie je pokračovanie liečby antagonistami receptora angiotenzínu II považované za nevyhnutné, pacientky</w:t>
      </w:r>
      <w:r w:rsidR="00A00809">
        <w:rPr>
          <w:rFonts w:ascii="Times New Roman" w:eastAsia="Times New Roman" w:hAnsi="Times New Roman"/>
          <w:lang w:eastAsia="sk-SK"/>
        </w:rPr>
        <w:t xml:space="preserve"> </w:t>
      </w:r>
      <w:r w:rsidR="00E12426" w:rsidRPr="00A00809">
        <w:rPr>
          <w:rFonts w:ascii="Times New Roman" w:eastAsia="Times New Roman" w:hAnsi="Times New Roman"/>
          <w:lang w:eastAsia="sk-SK"/>
        </w:rPr>
        <w:t>plánujúce</w:t>
      </w:r>
      <w:r w:rsidRPr="002C35E8">
        <w:rPr>
          <w:rFonts w:ascii="Times New Roman" w:eastAsia="Times New Roman" w:hAnsi="Times New Roman"/>
          <w:lang w:eastAsia="sk-SK"/>
        </w:rPr>
        <w:t xml:space="preserve"> graviditu majú prejsť na alternatívnu antihypertenznú liečbu, ktorá má preukázaný bezpečnostný profil pri používaní v gravidite. Ak sa gravidita potvrdí, liečba antagonistami receptora angiotenzínu II sa musí okamžite ukončiť, a ak je to vhodné, má sa začať alternatívna liečba (pozri časti 4.3 a 4.6).</w:t>
      </w:r>
    </w:p>
    <w:p w:rsidR="000E651B" w:rsidRPr="00A00809" w:rsidRDefault="000E651B" w:rsidP="000E651B">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Pacienti s depléciou sodíka a/alebo objemu telesných tekutín</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r w:rsidRPr="00A00809">
        <w:rPr>
          <w:rFonts w:ascii="Times New Roman" w:eastAsia="Times New Roman" w:hAnsi="Times New Roman"/>
          <w:lang w:eastAsia="sk-SK"/>
        </w:rPr>
        <w:t>V placebom kontrolovaných klinických skúšaniach sa pozorovala výrazná hypotenzia u 0,4</w:t>
      </w:r>
      <w:r w:rsidR="00EA43B1" w:rsidRPr="002C35E8">
        <w:rPr>
          <w:rFonts w:ascii="Times New Roman" w:eastAsia="Times New Roman" w:hAnsi="Times New Roman"/>
          <w:lang w:eastAsia="sk-SK"/>
        </w:rPr>
        <w:t xml:space="preserve"> % pacientov s nekomplikovanou hypertenziou liečených kombináciou amlodipín/valsartan. U pacientov s aktivovaným systémom renín-angiotenzín (ako sú pacienti s depléciou objemu telesných tekutín a/alebo soli liečení vysokými dávkami diuretík), ktorí dostávajú blokátory angiotenzínových receptorov, sa môže vyskytnúť symptomatická hypotenzia. Odporúča sa úprava tohto stavu pred podaním kombinácie amlodipín/valsartan, alebo starostlivý lekársky dohľad na začiatku liečby.</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Ak pri užívaní kombinácie amlodipín/valsartan vznikne hypotenzia, pacienta je potrebné uložiť na chrbát a v prípade potreby podať intravenóznu infúziu fyziologického roztoku. V liečbe možno pokračovať po stabilizovaní krvného tlaku.</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Hyperkaliémia</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Pri súčasnom užívaní doplnkov draslíka, diuretík šetriacich draslík, náhrad soli obsahujúcich draslík alebo iných liekov, ktoré môžu zvyšovať hladiny draslíka (heparín, atď.), je potrebná opatrnosť a časté monitorovanie hladín draslíka.</w:t>
      </w:r>
    </w:p>
    <w:p w:rsidR="0084396E" w:rsidRPr="00A00809" w:rsidRDefault="0084396E" w:rsidP="000E651B">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Stenóza renálnej artérie</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Kombinácia amlodipín/valsartan sa má používať s opatrnosťou na liečbu hypertenzie u pacientov s unilaterálnou alebo bilaterálnou stenózou renálnej artérie alebo stenózou artérie pri solitérnej obličke, pretože u takýchto pacientov sa môže zvýšiť koncentrácia močoviny v krvi a kreatinínu v sére.</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Transplantácia obličky</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Zatiaľ nie sú skúsenosti s bezpečným použitím kombinácie amlodipín/valsartan u pacientov, ktorí sa nedávno podrobili transplantácii obličky.</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Porucha funkcie pečene</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Valsartan sa eliminuje prevažne nezmenený žlčou. Biologický polčas amlodipínu je u pacientov s poruchou funkcie pečene predĺžený a hodnoty AUC sú vyššie; odporúčania na dávkovanie neboli stanovené. Osobitná opatrnosť je potrebná pri podávaní kombinácie amlodipín/valsartan pacientom s miernou až stredne ťažkou poruchou funkcie pečene alebo obštrukciou žlčových ciest.</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U pacientov s miernou až stredne ťažkou poruchou funkcie pečene bez cholestázy je maximálna odporúčaná dávka 80 mg valsartanu.</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Porucha funkcie obličiek</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U pacientov s miernou až stredne ťažkou poruchou funkcie obličiek (GFR &gt; 30 ml/min/1,73 m</w:t>
      </w:r>
      <w:r w:rsidRPr="002C35E8">
        <w:rPr>
          <w:rFonts w:ascii="Times New Roman" w:eastAsia="Times New Roman" w:hAnsi="Times New Roman"/>
          <w:vertAlign w:val="superscript"/>
          <w:lang w:eastAsia="sk-SK"/>
        </w:rPr>
        <w:t>2</w:t>
      </w:r>
      <w:r w:rsidRPr="002C35E8">
        <w:rPr>
          <w:rFonts w:ascii="Times New Roman" w:eastAsia="Times New Roman" w:hAnsi="Times New Roman"/>
          <w:lang w:eastAsia="sk-SK"/>
        </w:rPr>
        <w:t>) nie je potrebná úprava dávkovania amlodipínu/valsartanu. Pri stredne ťažkej poruche funkcie obličiek sa odporúča monitorovanie hladín draslíka a kreatinínu.</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lastRenderedPageBreak/>
        <w:t>Primárny hyperaldosteronizmus</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Pacienti s primárnym hyperaldosteronizmom nemajú byť liečení antagonistom angiotenzínu II valsartanom, pretože ich systém renín-angiotenzín je ovplyvnený primárnym ochorením.</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Angioedém</w:t>
      </w:r>
    </w:p>
    <w:p w:rsidR="0084396E" w:rsidRPr="00A00809" w:rsidRDefault="00EA43B1" w:rsidP="0084396E">
      <w:pPr>
        <w:autoSpaceDE w:val="0"/>
        <w:autoSpaceDN w:val="0"/>
        <w:adjustRightInd w:val="0"/>
        <w:spacing w:after="0" w:line="240" w:lineRule="auto"/>
        <w:rPr>
          <w:rFonts w:ascii="Times New Roman" w:eastAsia="Times New Roman" w:hAnsi="Times New Roman"/>
          <w:highlight w:val="yellow"/>
          <w:lang w:eastAsia="sk-SK"/>
        </w:rPr>
      </w:pPr>
      <w:r w:rsidRPr="002C35E8">
        <w:rPr>
          <w:rFonts w:ascii="Times New Roman" w:eastAsia="Times New Roman" w:hAnsi="Times New Roman"/>
          <w:lang w:eastAsia="sk-SK"/>
        </w:rPr>
        <w:t xml:space="preserve">U pacientov liečených valsartanom bol hlásený angioedém, vrátane opuchu hrtana a hlasiviek, ktorý spôsobil obštrukciu dýchacích ciest a/alebo opuch tváre, pier, hltana a/alebo jazyka. U niektorých z týchto pacientov sa v minulosti vyskytol angioedém pri užití iných liekov, vrátane inhibítorov ACE </w:t>
      </w:r>
      <w:r w:rsidRPr="002C35E8">
        <w:rPr>
          <w:rFonts w:ascii="Times New Roman" w:eastAsia="Times New Roman" w:hAnsi="Times New Roman"/>
          <w:noProof/>
        </w:rPr>
        <w:t>(angiotenzín konvertujúceho enzýmu)</w:t>
      </w:r>
      <w:r w:rsidRPr="002C35E8">
        <w:rPr>
          <w:rFonts w:ascii="Times New Roman" w:eastAsia="Times New Roman" w:hAnsi="Times New Roman"/>
          <w:lang w:eastAsia="sk-SK"/>
        </w:rPr>
        <w:t>. Kombinácia amlodipín/valsartan sa má okamžite vysadiť a nemá sa znova podať pacientom, u ktorých vznikne angioedém.</w:t>
      </w:r>
    </w:p>
    <w:p w:rsidR="0084396E" w:rsidRPr="00A00809" w:rsidRDefault="0084396E" w:rsidP="000E651B">
      <w:pPr>
        <w:autoSpaceDE w:val="0"/>
        <w:autoSpaceDN w:val="0"/>
        <w:adjustRightInd w:val="0"/>
        <w:spacing w:after="0" w:line="240" w:lineRule="auto"/>
        <w:rPr>
          <w:rFonts w:ascii="Times New Roman" w:eastAsia="Times New Roman" w:hAnsi="Times New Roman"/>
          <w:i/>
          <w:highlight w:val="yellow"/>
          <w:lang w:eastAsia="sk-SK"/>
        </w:rPr>
      </w:pPr>
    </w:p>
    <w:p w:rsidR="00C13719" w:rsidRPr="00A00809" w:rsidRDefault="00EA43B1" w:rsidP="00C13719">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Srdcové zlyhanie/stav po infarkte myokardu</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U citlivých osôb možno v dôsledku inhibície systému renín-angiotenzín-aldosterón predpokladať zmeny funkcie obličiek. U pacientov s ťažkým srdcovým zlyhaním, u ktorých funkcia obličiek môže závisieť od aktivity systému renín-angiotenzín-aldosterón, sa liečba inhibítormi ACE a antagonistami receptorov angiotenzínu spájala s oligúriou a/alebo progredujúcou azotémiou a (zriedka) s akútnym zlyhaním obličiek a/alebo úmrtím. Podobné následky boli hlásené pri valsartane. Pri hodnotení stavu pacientov so srdcovým zlyhaním alebo po infarkte myokardu sa má vždy vyšetriť funkcia obličiek.</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V dlhodobej placebom kontrolovanej štúdii (PRAISE-2) s amlodipínom u pacientov so srdcovým zlyhaním neischemickej etiológie triedy III a IV podľa NYHA (New York Heart Association Classification) sa amlodipín spájal so zvýšeným počtom hlásení pľúcneho edému napriek tomu, že v porovnaní s placebom nebol významný rozdiel v incidencii zhoršenia srdcového zlyhania.</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Blokátory kalciových kanálov, vrátane amlodipínu, sa majú používať s opatrnosťou u pacientov s kongestívnym srdcovým zlyhávaním, keďže môžu zvyšovať riziko kardiovaskulárnych príhod a mortality v budúcnosti.</w:t>
      </w:r>
    </w:p>
    <w:p w:rsidR="00C13719" w:rsidRPr="00A00809" w:rsidRDefault="00C13719" w:rsidP="00C13719">
      <w:pPr>
        <w:autoSpaceDE w:val="0"/>
        <w:autoSpaceDN w:val="0"/>
        <w:adjustRightInd w:val="0"/>
        <w:spacing w:after="0" w:line="240" w:lineRule="auto"/>
        <w:rPr>
          <w:rFonts w:ascii="Times New Roman" w:eastAsia="Times New Roman" w:hAnsi="Times New Roman"/>
          <w:lang w:eastAsia="sk-SK"/>
        </w:rPr>
      </w:pPr>
    </w:p>
    <w:p w:rsidR="00C13719" w:rsidRPr="00A00809" w:rsidRDefault="00EA43B1" w:rsidP="00C13719">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Stenóza aortálnej a mitrálnej chlopne</w:t>
      </w:r>
    </w:p>
    <w:p w:rsidR="00C13719" w:rsidRPr="00A00809" w:rsidRDefault="00EA43B1" w:rsidP="00C13719">
      <w:pPr>
        <w:autoSpaceDE w:val="0"/>
        <w:autoSpaceDN w:val="0"/>
        <w:adjustRightInd w:val="0"/>
        <w:spacing w:after="0" w:line="240" w:lineRule="auto"/>
        <w:rPr>
          <w:rFonts w:ascii="Times New Roman" w:eastAsia="Times New Roman" w:hAnsi="Times New Roman"/>
          <w:highlight w:val="yellow"/>
          <w:lang w:eastAsia="sk-SK"/>
        </w:rPr>
      </w:pPr>
      <w:r w:rsidRPr="002C35E8">
        <w:rPr>
          <w:rFonts w:ascii="Times New Roman" w:eastAsia="Times New Roman" w:hAnsi="Times New Roman"/>
          <w:lang w:eastAsia="sk-SK"/>
        </w:rPr>
        <w:t>Tak ako pri všetkých ostatných vazodilatanciách, u pacientov s mitrálnou stenózou alebo signifikantnou aortálnou stenózou, ktorá nie je vysokého stupňa, je potrebná osobitná opatrnosť.</w:t>
      </w:r>
    </w:p>
    <w:p w:rsidR="00C13719" w:rsidRPr="00A00809" w:rsidRDefault="00C13719" w:rsidP="000E651B">
      <w:pPr>
        <w:autoSpaceDE w:val="0"/>
        <w:autoSpaceDN w:val="0"/>
        <w:adjustRightInd w:val="0"/>
        <w:spacing w:after="0" w:line="240" w:lineRule="auto"/>
        <w:rPr>
          <w:rFonts w:ascii="Times New Roman" w:eastAsia="Times New Roman" w:hAnsi="Times New Roman"/>
          <w:i/>
          <w:highlight w:val="yellow"/>
          <w:lang w:eastAsia="sk-SK"/>
        </w:rPr>
      </w:pPr>
    </w:p>
    <w:p w:rsidR="00C13719" w:rsidRPr="00A00809" w:rsidRDefault="00EA43B1" w:rsidP="00C13719">
      <w:pPr>
        <w:autoSpaceDE w:val="0"/>
        <w:autoSpaceDN w:val="0"/>
        <w:adjustRightInd w:val="0"/>
        <w:spacing w:after="0" w:line="240" w:lineRule="auto"/>
        <w:rPr>
          <w:rFonts w:ascii="Times New Roman" w:eastAsia="Times New Roman" w:hAnsi="Times New Roman"/>
          <w:u w:val="single"/>
          <w:lang w:eastAsia="sk-SK"/>
        </w:rPr>
      </w:pPr>
      <w:r w:rsidRPr="002C35E8">
        <w:rPr>
          <w:rFonts w:ascii="Times New Roman" w:eastAsia="Times New Roman" w:hAnsi="Times New Roman"/>
          <w:u w:val="single"/>
          <w:lang w:eastAsia="sk-SK"/>
        </w:rPr>
        <w:t>Duálna inhibícia systému renín-angiotenzín-aldosterón (RAAS)</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Preukázalo sa, že súbežné použitie inhibítorov ACE, ARB alebo aliskirénu zvyšuje riziko hypotenzie, hyperkaliémie a zníženia funkcie obličiek (vrátane akútneho zlyhania obličiek). Duálna inhibícia RAAS kombinovaným použitím inhibítorov ACE, ARB alebo aliskirénu sa preto neodporúča (pozri časti 4.5 a 5.1).</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Ak sa liečba duálnou inhibíciou považuje za absolútne nevyhnutnú, má k nej dochádzať len pod dohľadom odborníka a za častého starostlivého sledovania funkcie obličiek, elektrolytov a krvného tlaku. Inhibítory ACE a ARB sa nemajú súbežne používať u pacientov s diabetickou nefropatiou.</w:t>
      </w:r>
    </w:p>
    <w:p w:rsidR="00DE54D6" w:rsidRPr="00A00809" w:rsidRDefault="00DE54D6" w:rsidP="00C13719">
      <w:pPr>
        <w:autoSpaceDE w:val="0"/>
        <w:autoSpaceDN w:val="0"/>
        <w:adjustRightInd w:val="0"/>
        <w:spacing w:after="0" w:line="240" w:lineRule="auto"/>
        <w:rPr>
          <w:rFonts w:ascii="Times New Roman" w:eastAsia="Times New Roman" w:hAnsi="Times New Roman"/>
          <w:lang w:eastAsia="sk-SK"/>
        </w:rPr>
      </w:pPr>
    </w:p>
    <w:p w:rsidR="00C13719" w:rsidRPr="00A00809" w:rsidRDefault="00EA43B1" w:rsidP="00C13719">
      <w:pPr>
        <w:autoSpaceDE w:val="0"/>
        <w:autoSpaceDN w:val="0"/>
        <w:adjustRightInd w:val="0"/>
        <w:spacing w:after="0" w:line="240" w:lineRule="auto"/>
        <w:rPr>
          <w:rFonts w:ascii="Times New Roman" w:eastAsia="Times New Roman" w:hAnsi="Times New Roman"/>
          <w:highlight w:val="yellow"/>
          <w:lang w:eastAsia="sk-SK"/>
        </w:rPr>
      </w:pPr>
      <w:r w:rsidRPr="002C35E8">
        <w:rPr>
          <w:rFonts w:ascii="Times New Roman" w:eastAsia="Times New Roman" w:hAnsi="Times New Roman"/>
          <w:lang w:eastAsia="sk-SK"/>
        </w:rPr>
        <w:t>Kombinácia amlodip</w:t>
      </w:r>
      <w:r w:rsidR="00A00809">
        <w:rPr>
          <w:rFonts w:ascii="Times New Roman" w:eastAsia="Times New Roman" w:hAnsi="Times New Roman"/>
          <w:lang w:eastAsia="sk-SK"/>
        </w:rPr>
        <w:t>í</w:t>
      </w:r>
      <w:r w:rsidR="00DE54D6" w:rsidRPr="00A00809">
        <w:rPr>
          <w:rFonts w:ascii="Times New Roman" w:eastAsia="Times New Roman" w:hAnsi="Times New Roman"/>
          <w:lang w:eastAsia="sk-SK"/>
        </w:rPr>
        <w:t>n/valsartan</w:t>
      </w:r>
      <w:r w:rsidRPr="002C35E8">
        <w:rPr>
          <w:rFonts w:ascii="Times New Roman" w:eastAsia="Times New Roman" w:hAnsi="Times New Roman"/>
          <w:lang w:eastAsia="sk-SK"/>
        </w:rPr>
        <w:t xml:space="preserve"> sa neskúmala v žiadnej inej populácii pacientov okrem pacientov s hypertenziou.</w:t>
      </w:r>
    </w:p>
    <w:p w:rsidR="00C13719" w:rsidRPr="00A00809" w:rsidRDefault="00C13719" w:rsidP="000E651B">
      <w:pPr>
        <w:autoSpaceDE w:val="0"/>
        <w:autoSpaceDN w:val="0"/>
        <w:adjustRightInd w:val="0"/>
        <w:spacing w:after="0" w:line="240" w:lineRule="auto"/>
        <w:rPr>
          <w:rFonts w:ascii="Times New Roman" w:eastAsia="Times New Roman" w:hAnsi="Times New Roman"/>
          <w:i/>
          <w:highlight w:val="yellow"/>
          <w:lang w:eastAsia="sk-SK"/>
        </w:rPr>
      </w:pPr>
    </w:p>
    <w:p w:rsidR="00DE54D6" w:rsidRPr="00A00809" w:rsidRDefault="00EA43B1" w:rsidP="00797969">
      <w:pPr>
        <w:tabs>
          <w:tab w:val="left" w:pos="567"/>
        </w:tabs>
        <w:spacing w:after="0" w:line="240" w:lineRule="auto"/>
        <w:ind w:left="567" w:hanging="567"/>
        <w:outlineLvl w:val="0"/>
        <w:rPr>
          <w:rFonts w:ascii="Times New Roman" w:eastAsia="Times New Roman" w:hAnsi="Times New Roman"/>
          <w:u w:val="single"/>
        </w:rPr>
      </w:pPr>
      <w:r w:rsidRPr="002C35E8">
        <w:rPr>
          <w:rFonts w:ascii="Times New Roman" w:eastAsia="Times New Roman" w:hAnsi="Times New Roman"/>
          <w:u w:val="single"/>
        </w:rPr>
        <w:t>Pomocné látky</w:t>
      </w:r>
    </w:p>
    <w:p w:rsidR="00FD2D5B" w:rsidRPr="00A00809" w:rsidRDefault="00EA43B1" w:rsidP="00FD2D5B">
      <w:pPr>
        <w:spacing w:after="0" w:line="240" w:lineRule="auto"/>
        <w:rPr>
          <w:rFonts w:ascii="Times New Roman" w:hAnsi="Times New Roman"/>
          <w:iCs/>
          <w:lang w:eastAsia="sk-SK"/>
        </w:rPr>
      </w:pPr>
      <w:r w:rsidRPr="002C35E8">
        <w:rPr>
          <w:rFonts w:ascii="Times New Roman" w:hAnsi="Times New Roman"/>
          <w:iCs/>
          <w:lang w:eastAsia="sk-SK"/>
        </w:rPr>
        <w:t>Asbima obsahuje sorbitol (E-420).</w:t>
      </w:r>
      <w:r w:rsidRPr="002C35E8">
        <w:t xml:space="preserve"> </w:t>
      </w:r>
      <w:r w:rsidRPr="002C35E8">
        <w:rPr>
          <w:rFonts w:ascii="Times New Roman" w:hAnsi="Times New Roman"/>
          <w:iCs/>
          <w:lang w:eastAsia="sk-SK"/>
        </w:rPr>
        <w:t xml:space="preserve">Pacienti so zriedkavými dedičnými problémami intolerancie fruktózy nesmú užívať tento liek. </w:t>
      </w:r>
    </w:p>
    <w:p w:rsidR="00A11E89" w:rsidRPr="00A00809" w:rsidRDefault="00A11E89" w:rsidP="00FD2D5B">
      <w:pPr>
        <w:spacing w:after="0" w:line="240" w:lineRule="auto"/>
        <w:rPr>
          <w:rFonts w:ascii="Times New Roman" w:hAnsi="Times New Roman"/>
          <w:iCs/>
          <w:lang w:eastAsia="sk-SK"/>
        </w:rPr>
      </w:pPr>
    </w:p>
    <w:p w:rsidR="00FD2D5B" w:rsidRPr="00A00809" w:rsidRDefault="00EA43B1" w:rsidP="00FD2D5B">
      <w:pPr>
        <w:numPr>
          <w:ilvl w:val="1"/>
          <w:numId w:val="2"/>
        </w:numPr>
        <w:spacing w:after="0" w:line="240" w:lineRule="auto"/>
        <w:rPr>
          <w:rFonts w:ascii="Times New Roman" w:hAnsi="Times New Roman"/>
          <w:b/>
          <w:noProof/>
          <w:lang w:eastAsia="sk-SK"/>
        </w:rPr>
      </w:pPr>
      <w:r w:rsidRPr="002C35E8">
        <w:rPr>
          <w:rFonts w:ascii="Times New Roman" w:hAnsi="Times New Roman"/>
          <w:b/>
          <w:noProof/>
          <w:lang w:eastAsia="sk-SK"/>
        </w:rPr>
        <w:t>Liekové a iné interakcie</w:t>
      </w:r>
    </w:p>
    <w:p w:rsidR="00FD2D5B" w:rsidRPr="00A00809" w:rsidRDefault="00FD2D5B" w:rsidP="00FD2D5B">
      <w:pPr>
        <w:spacing w:after="0" w:line="240" w:lineRule="auto"/>
        <w:rPr>
          <w:rFonts w:ascii="Times New Roman" w:hAnsi="Times New Roman"/>
          <w:iCs/>
          <w:lang w:eastAsia="sk-SK"/>
        </w:rPr>
      </w:pPr>
    </w:p>
    <w:p w:rsidR="002E3003" w:rsidRPr="00A00809" w:rsidRDefault="00EA43B1" w:rsidP="002E3003">
      <w:pPr>
        <w:spacing w:after="0" w:line="240" w:lineRule="auto"/>
        <w:rPr>
          <w:rFonts w:ascii="Times New Roman" w:hAnsi="Times New Roman"/>
          <w:iCs/>
          <w:u w:val="single"/>
          <w:lang w:eastAsia="sk-SK"/>
        </w:rPr>
      </w:pPr>
      <w:r w:rsidRPr="002C35E8">
        <w:rPr>
          <w:rFonts w:ascii="Times New Roman" w:hAnsi="Times New Roman"/>
          <w:iCs/>
          <w:u w:val="single"/>
          <w:lang w:eastAsia="sk-SK"/>
        </w:rPr>
        <w:t>Interakcie spoločné pre kombináciu</w:t>
      </w:r>
    </w:p>
    <w:p w:rsidR="002E3003" w:rsidRPr="00A00809" w:rsidRDefault="00EA43B1" w:rsidP="002E3003">
      <w:pPr>
        <w:spacing w:after="0" w:line="240" w:lineRule="auto"/>
        <w:rPr>
          <w:rFonts w:ascii="Times New Roman" w:hAnsi="Times New Roman"/>
          <w:iCs/>
          <w:lang w:eastAsia="sk-SK"/>
        </w:rPr>
      </w:pPr>
      <w:r w:rsidRPr="002C35E8">
        <w:rPr>
          <w:rFonts w:ascii="Times New Roman" w:hAnsi="Times New Roman"/>
          <w:iCs/>
          <w:lang w:eastAsia="sk-SK"/>
        </w:rPr>
        <w:t>Neuskutočnili sa žiadne liekové interakčné štúdie s kombináciou amlodipín/valsartan a inými liekmi.</w:t>
      </w:r>
    </w:p>
    <w:p w:rsidR="002E3003" w:rsidRPr="00A00809" w:rsidRDefault="002E3003" w:rsidP="002E3003">
      <w:pPr>
        <w:spacing w:after="0" w:line="240" w:lineRule="auto"/>
        <w:rPr>
          <w:rFonts w:ascii="Times New Roman" w:hAnsi="Times New Roman"/>
          <w:iCs/>
          <w:u w:val="single"/>
          <w:lang w:eastAsia="sk-SK"/>
        </w:rPr>
      </w:pPr>
    </w:p>
    <w:p w:rsidR="002E3003" w:rsidRPr="00A00809" w:rsidRDefault="00EA43B1" w:rsidP="002E3003">
      <w:pPr>
        <w:spacing w:after="0" w:line="240" w:lineRule="auto"/>
        <w:rPr>
          <w:rFonts w:ascii="Times New Roman" w:hAnsi="Times New Roman"/>
          <w:i/>
          <w:iCs/>
          <w:u w:val="single"/>
          <w:lang w:eastAsia="sk-SK"/>
        </w:rPr>
      </w:pPr>
      <w:r w:rsidRPr="002C35E8">
        <w:rPr>
          <w:rFonts w:ascii="Times New Roman" w:hAnsi="Times New Roman"/>
          <w:i/>
          <w:iCs/>
          <w:u w:val="single"/>
          <w:lang w:eastAsia="sk-SK"/>
        </w:rPr>
        <w:t>Pri súbežnom užívaní je potrebné vziať do úvahy</w:t>
      </w:r>
    </w:p>
    <w:p w:rsidR="002E3003" w:rsidRPr="00A00809" w:rsidRDefault="00EA43B1" w:rsidP="002E3003">
      <w:pPr>
        <w:spacing w:after="0" w:line="240" w:lineRule="auto"/>
        <w:rPr>
          <w:rFonts w:ascii="Times New Roman" w:hAnsi="Times New Roman"/>
          <w:i/>
          <w:iCs/>
          <w:lang w:eastAsia="sk-SK"/>
        </w:rPr>
      </w:pPr>
      <w:r w:rsidRPr="002C35E8">
        <w:rPr>
          <w:rFonts w:ascii="Times New Roman" w:hAnsi="Times New Roman"/>
          <w:i/>
          <w:iCs/>
          <w:lang w:eastAsia="sk-SK"/>
        </w:rPr>
        <w:t>Iné antihypertenzíva</w:t>
      </w:r>
    </w:p>
    <w:p w:rsidR="002E3003" w:rsidRPr="00A00809" w:rsidRDefault="00EA43B1" w:rsidP="002E3003">
      <w:pPr>
        <w:spacing w:after="0" w:line="240" w:lineRule="auto"/>
        <w:rPr>
          <w:rFonts w:ascii="Times New Roman" w:hAnsi="Times New Roman"/>
          <w:iCs/>
          <w:lang w:eastAsia="sk-SK"/>
        </w:rPr>
      </w:pPr>
      <w:r w:rsidRPr="002C35E8">
        <w:rPr>
          <w:rFonts w:ascii="Times New Roman" w:hAnsi="Times New Roman"/>
          <w:iCs/>
          <w:lang w:eastAsia="sk-SK"/>
        </w:rPr>
        <w:t>Bežne používané antihypertenzíva (napr. alfablokátory, diuretiká) a iné lieky, ktoré môžu vyvolať hypotenzívne nežiaduce účinky (napr. tricyklické antidepresíva, alfablokátory na liečbu benígnej hyperplázie prostaty), môžu zvyšovať antihypertenzívny účinok kombinácie.</w:t>
      </w:r>
    </w:p>
    <w:p w:rsidR="002E3003" w:rsidRPr="00A00809" w:rsidRDefault="002E3003" w:rsidP="002E3003">
      <w:pPr>
        <w:spacing w:after="0" w:line="240" w:lineRule="auto"/>
        <w:rPr>
          <w:rFonts w:ascii="Times New Roman" w:hAnsi="Times New Roman"/>
          <w:iCs/>
          <w:u w:val="single"/>
          <w:lang w:eastAsia="sk-SK"/>
        </w:rPr>
      </w:pPr>
    </w:p>
    <w:p w:rsidR="00CF4795" w:rsidRPr="00A00809" w:rsidRDefault="00EA43B1" w:rsidP="00FD2D5B">
      <w:pPr>
        <w:spacing w:after="0" w:line="240" w:lineRule="auto"/>
        <w:rPr>
          <w:rFonts w:ascii="Times New Roman" w:hAnsi="Times New Roman"/>
          <w:iCs/>
          <w:u w:val="single"/>
          <w:lang w:eastAsia="sk-SK"/>
        </w:rPr>
      </w:pPr>
      <w:r w:rsidRPr="002C35E8">
        <w:rPr>
          <w:rFonts w:ascii="Times New Roman" w:hAnsi="Times New Roman"/>
          <w:iCs/>
          <w:u w:val="single"/>
          <w:lang w:eastAsia="sk-SK"/>
        </w:rPr>
        <w:t>Interakcie súvisiace s amlodipínom</w:t>
      </w:r>
    </w:p>
    <w:p w:rsidR="002E3003" w:rsidRPr="00A00809" w:rsidRDefault="00EA43B1" w:rsidP="002E3003">
      <w:pPr>
        <w:spacing w:after="0" w:line="240" w:lineRule="auto"/>
        <w:rPr>
          <w:rFonts w:ascii="Times New Roman" w:hAnsi="Times New Roman"/>
          <w:i/>
          <w:iCs/>
          <w:u w:val="single"/>
          <w:lang w:eastAsia="sk-SK"/>
        </w:rPr>
      </w:pPr>
      <w:r w:rsidRPr="002C35E8">
        <w:rPr>
          <w:rFonts w:ascii="Times New Roman" w:hAnsi="Times New Roman"/>
          <w:i/>
          <w:iCs/>
          <w:u w:val="single"/>
          <w:lang w:eastAsia="sk-SK"/>
        </w:rPr>
        <w:t>Súbežné užívanie sa neodporúča</w:t>
      </w:r>
    </w:p>
    <w:p w:rsidR="002E3003" w:rsidRPr="00A00809" w:rsidRDefault="00EA43B1" w:rsidP="002E3003">
      <w:pPr>
        <w:spacing w:after="0" w:line="240" w:lineRule="auto"/>
        <w:rPr>
          <w:rFonts w:ascii="Times New Roman" w:hAnsi="Times New Roman"/>
          <w:i/>
          <w:iCs/>
          <w:lang w:eastAsia="sk-SK"/>
        </w:rPr>
      </w:pPr>
      <w:r w:rsidRPr="002C35E8">
        <w:rPr>
          <w:rFonts w:ascii="Times New Roman" w:hAnsi="Times New Roman"/>
          <w:i/>
          <w:iCs/>
          <w:lang w:eastAsia="sk-SK"/>
        </w:rPr>
        <w:t>Grapefruit alebo grapefruitová šťava</w:t>
      </w:r>
    </w:p>
    <w:p w:rsidR="00CF4795" w:rsidRPr="00A00809" w:rsidRDefault="00EA43B1" w:rsidP="002E3003">
      <w:pPr>
        <w:spacing w:after="0" w:line="240" w:lineRule="auto"/>
        <w:rPr>
          <w:rFonts w:ascii="Times New Roman" w:hAnsi="Times New Roman"/>
          <w:iCs/>
          <w:lang w:eastAsia="sk-SK"/>
        </w:rPr>
      </w:pPr>
      <w:r w:rsidRPr="002C35E8">
        <w:rPr>
          <w:rFonts w:ascii="Times New Roman" w:hAnsi="Times New Roman"/>
          <w:iCs/>
          <w:lang w:eastAsia="sk-SK"/>
        </w:rPr>
        <w:t>Podanie amlodipínu s grapefruitom alebo grapefruitovou šťavou sa neodporúča, pretože u niektorých pacientov sa môže zvýšiť biologická dostupnosť, čo zosilní účinky na zníženie krvného tlaku.</w:t>
      </w:r>
    </w:p>
    <w:p w:rsidR="002E3003" w:rsidRPr="00A00809" w:rsidRDefault="002E3003" w:rsidP="00FD2D5B">
      <w:pPr>
        <w:spacing w:after="0" w:line="240" w:lineRule="auto"/>
        <w:rPr>
          <w:rFonts w:ascii="Times New Roman" w:hAnsi="Times New Roman"/>
          <w:iCs/>
          <w:u w:val="single"/>
          <w:lang w:eastAsia="sk-SK"/>
        </w:rPr>
      </w:pPr>
    </w:p>
    <w:p w:rsidR="00557C97" w:rsidRPr="00A00809" w:rsidRDefault="00EA43B1" w:rsidP="00557C97">
      <w:pPr>
        <w:spacing w:after="0" w:line="240" w:lineRule="auto"/>
        <w:rPr>
          <w:rFonts w:ascii="Times New Roman" w:hAnsi="Times New Roman"/>
          <w:i/>
          <w:iCs/>
          <w:u w:val="single"/>
          <w:lang w:eastAsia="sk-SK"/>
        </w:rPr>
      </w:pPr>
      <w:r w:rsidRPr="002C35E8">
        <w:rPr>
          <w:rFonts w:ascii="Times New Roman" w:hAnsi="Times New Roman"/>
          <w:i/>
          <w:iCs/>
          <w:u w:val="single"/>
          <w:lang w:eastAsia="sk-SK"/>
        </w:rPr>
        <w:t>Opatrnosť potrebná pri súbežnom užívaní</w:t>
      </w:r>
    </w:p>
    <w:p w:rsidR="00557C97" w:rsidRPr="00A00809" w:rsidRDefault="00EA43B1" w:rsidP="00557C97">
      <w:pPr>
        <w:spacing w:after="0" w:line="240" w:lineRule="auto"/>
        <w:rPr>
          <w:rFonts w:ascii="Times New Roman" w:hAnsi="Times New Roman"/>
          <w:i/>
          <w:iCs/>
          <w:lang w:eastAsia="sk-SK"/>
        </w:rPr>
      </w:pPr>
      <w:r w:rsidRPr="002C35E8">
        <w:rPr>
          <w:rFonts w:ascii="Times New Roman" w:hAnsi="Times New Roman"/>
          <w:i/>
          <w:iCs/>
          <w:lang w:eastAsia="sk-SK"/>
        </w:rPr>
        <w:t>Inhibítory CYP3A4</w:t>
      </w:r>
    </w:p>
    <w:p w:rsidR="00557C97" w:rsidRPr="00A00809" w:rsidRDefault="00EA43B1" w:rsidP="00557C97">
      <w:pPr>
        <w:spacing w:after="0" w:line="240" w:lineRule="auto"/>
        <w:rPr>
          <w:rFonts w:ascii="Times New Roman" w:hAnsi="Times New Roman"/>
          <w:iCs/>
          <w:lang w:eastAsia="sk-SK"/>
        </w:rPr>
      </w:pPr>
      <w:r w:rsidRPr="002C35E8">
        <w:rPr>
          <w:rFonts w:ascii="Times New Roman" w:hAnsi="Times New Roman"/>
          <w:iCs/>
          <w:lang w:eastAsia="sk-SK"/>
        </w:rPr>
        <w:t>Súbežné užívanie amlodipínu so silnými alebo stredne silnými inhibítormi CYP3A4 (inhibítormi proteáz, azolovými antimykotikami, makrolidmi, ako sú erytromycín alebo klaritromycín; verapamilom alebo diltiazemom) môže zapríčiniť významné zvýšenie expozície amlodipínu. Klinické dôsledky týchto farmakokinetických zmien môže byť výraznejšie u starších pacientov. Preto môže byť nutné klinické monitorovanie a úprava dávky.</w:t>
      </w:r>
    </w:p>
    <w:p w:rsidR="00557C97" w:rsidRPr="00A00809" w:rsidRDefault="00557C97" w:rsidP="00557C97">
      <w:pPr>
        <w:spacing w:after="0" w:line="240" w:lineRule="auto"/>
        <w:rPr>
          <w:rFonts w:ascii="Times New Roman" w:hAnsi="Times New Roman"/>
          <w:i/>
          <w:iCs/>
          <w:lang w:eastAsia="sk-SK"/>
        </w:rPr>
      </w:pPr>
    </w:p>
    <w:p w:rsidR="00557C97" w:rsidRPr="00A00809" w:rsidRDefault="00EA43B1" w:rsidP="00557C97">
      <w:pPr>
        <w:spacing w:after="0" w:line="240" w:lineRule="auto"/>
        <w:rPr>
          <w:rFonts w:ascii="Times New Roman" w:hAnsi="Times New Roman"/>
          <w:i/>
          <w:iCs/>
          <w:lang w:eastAsia="sk-SK"/>
        </w:rPr>
      </w:pPr>
      <w:r w:rsidRPr="002C35E8">
        <w:rPr>
          <w:rFonts w:ascii="Times New Roman" w:hAnsi="Times New Roman"/>
          <w:i/>
          <w:iCs/>
          <w:lang w:eastAsia="sk-SK"/>
        </w:rPr>
        <w:t>Induktory CYP3A4 (antikonvulzíva [napr. karbamazepín, fenobarbital, fenytoín, fosfenytoín, primidón], rifampicín, Hypericum perforatum)</w:t>
      </w:r>
    </w:p>
    <w:p w:rsidR="00557C97" w:rsidRPr="00A00809" w:rsidRDefault="00EA43B1" w:rsidP="00557C97">
      <w:pPr>
        <w:spacing w:after="0" w:line="240" w:lineRule="auto"/>
        <w:rPr>
          <w:rFonts w:ascii="Times New Roman" w:hAnsi="Times New Roman"/>
          <w:iCs/>
          <w:highlight w:val="yellow"/>
          <w:lang w:eastAsia="sk-SK"/>
        </w:rPr>
      </w:pPr>
      <w:r w:rsidRPr="002C35E8">
        <w:rPr>
          <w:rFonts w:ascii="Times New Roman" w:hAnsi="Times New Roman"/>
          <w:iCs/>
          <w:lang w:eastAsia="sk-SK"/>
        </w:rPr>
        <w:t xml:space="preserve">K dispozícii nie sú žiadne údaje týkajúce sa účinku induktorov CYP3A4 na amlodipín. Súbežné užívanie s induktormi CYP3A4 (napr. rifampicínom, </w:t>
      </w:r>
      <w:r w:rsidRPr="002C35E8">
        <w:rPr>
          <w:rFonts w:ascii="Times New Roman" w:hAnsi="Times New Roman"/>
          <w:i/>
          <w:iCs/>
          <w:lang w:eastAsia="sk-SK"/>
        </w:rPr>
        <w:t>Hypericum perforatum</w:t>
      </w:r>
      <w:r w:rsidR="00557C97" w:rsidRPr="00A00809">
        <w:rPr>
          <w:rFonts w:ascii="Times New Roman" w:hAnsi="Times New Roman"/>
          <w:iCs/>
          <w:lang w:eastAsia="sk-SK"/>
        </w:rPr>
        <w:t>) môže znížiť plazmatické koncentrácie amlodipínu. Amlodipín sa má spolu s induktormi CYP3A4 používať s opatrnosťou.</w:t>
      </w:r>
    </w:p>
    <w:p w:rsidR="00557C97" w:rsidRPr="00A00809" w:rsidRDefault="00557C97" w:rsidP="00FD2D5B">
      <w:pPr>
        <w:spacing w:after="0" w:line="240" w:lineRule="auto"/>
        <w:rPr>
          <w:rFonts w:ascii="Times New Roman" w:hAnsi="Times New Roman"/>
          <w:i/>
          <w:iCs/>
          <w:highlight w:val="yellow"/>
          <w:lang w:eastAsia="sk-SK"/>
        </w:rPr>
      </w:pPr>
    </w:p>
    <w:p w:rsidR="00844B84" w:rsidRPr="00A00809" w:rsidRDefault="00EA43B1" w:rsidP="00844B84">
      <w:pPr>
        <w:tabs>
          <w:tab w:val="left" w:pos="567"/>
        </w:tabs>
        <w:spacing w:after="0" w:line="240" w:lineRule="auto"/>
        <w:outlineLvl w:val="0"/>
        <w:rPr>
          <w:rFonts w:ascii="Times New Roman" w:eastAsia="Times New Roman" w:hAnsi="Times New Roman"/>
          <w:i/>
        </w:rPr>
      </w:pPr>
      <w:r w:rsidRPr="002C35E8">
        <w:rPr>
          <w:rFonts w:ascii="Times New Roman" w:eastAsia="Times New Roman" w:hAnsi="Times New Roman"/>
          <w:i/>
        </w:rPr>
        <w:t>Simvastatín</w:t>
      </w:r>
    </w:p>
    <w:p w:rsidR="00844B84" w:rsidRPr="00A00809" w:rsidRDefault="00EA43B1" w:rsidP="00844B84">
      <w:pPr>
        <w:tabs>
          <w:tab w:val="left" w:pos="567"/>
        </w:tabs>
        <w:spacing w:after="0" w:line="240" w:lineRule="auto"/>
        <w:outlineLvl w:val="0"/>
        <w:rPr>
          <w:rFonts w:ascii="Times New Roman" w:eastAsia="Times New Roman" w:hAnsi="Times New Roman"/>
        </w:rPr>
      </w:pPr>
      <w:r w:rsidRPr="002C35E8">
        <w:rPr>
          <w:rFonts w:ascii="Times New Roman" w:eastAsia="Times New Roman" w:hAnsi="Times New Roman"/>
        </w:rPr>
        <w:t>Súbežné opakované podávanie dávok 10 mg amlodipínu s 80 mg simvastatínu viedlo k 77 % zvýšeniu expozície simvastatínu v porovnaní so samotným simvastatínom. U pacientov liečených amlodipínom sa odporúča obmedziť dávku simvastatínu na 20 mg denne.</w:t>
      </w:r>
    </w:p>
    <w:p w:rsidR="00557C97" w:rsidRPr="00A00809" w:rsidRDefault="00557C97" w:rsidP="00FD2D5B">
      <w:pPr>
        <w:spacing w:after="0" w:line="240" w:lineRule="auto"/>
        <w:rPr>
          <w:rFonts w:ascii="Times New Roman" w:hAnsi="Times New Roman"/>
          <w:i/>
          <w:iCs/>
          <w:highlight w:val="yellow"/>
          <w:lang w:eastAsia="sk-SK"/>
        </w:rPr>
      </w:pPr>
    </w:p>
    <w:p w:rsidR="00844B84" w:rsidRPr="00A00809" w:rsidRDefault="00EA43B1" w:rsidP="00844B84">
      <w:pPr>
        <w:spacing w:after="0" w:line="240" w:lineRule="auto"/>
        <w:rPr>
          <w:rFonts w:ascii="Times New Roman" w:hAnsi="Times New Roman"/>
          <w:i/>
          <w:iCs/>
          <w:lang w:eastAsia="sk-SK"/>
        </w:rPr>
      </w:pPr>
      <w:r w:rsidRPr="002C35E8">
        <w:rPr>
          <w:rFonts w:ascii="Times New Roman" w:hAnsi="Times New Roman"/>
          <w:i/>
          <w:iCs/>
          <w:lang w:eastAsia="sk-SK"/>
        </w:rPr>
        <w:t>Dantrolén (infúzia)</w:t>
      </w:r>
    </w:p>
    <w:p w:rsidR="00844B84" w:rsidRPr="00A00809" w:rsidRDefault="00EA43B1" w:rsidP="00844B84">
      <w:pPr>
        <w:spacing w:after="0" w:line="240" w:lineRule="auto"/>
        <w:rPr>
          <w:rFonts w:ascii="Times New Roman" w:hAnsi="Times New Roman"/>
          <w:iCs/>
          <w:lang w:eastAsia="sk-SK"/>
        </w:rPr>
      </w:pPr>
      <w:r w:rsidRPr="002C35E8">
        <w:rPr>
          <w:rFonts w:ascii="Times New Roman" w:hAnsi="Times New Roman"/>
          <w:iCs/>
          <w:lang w:eastAsia="sk-SK"/>
        </w:rPr>
        <w:t>U zvierat sa po podaní verapamilu a intravenózneho dantrolénu pozoruje letálna fibrilácia komôr a srdcový kolaps v spojení s hyperkaliémiou. Vzhľadom na riziko hyperkaliémie sa odporúča, aby sa pacienti náchylní na malígnu hypertermiu a pri regulovaní malígnej hypertermie vyhýbali súčasnému podávaniu blokátorov kalciových kanálov, ako je amlodipín.</w:t>
      </w:r>
    </w:p>
    <w:p w:rsidR="00557C97" w:rsidRPr="00A00809" w:rsidRDefault="00557C97" w:rsidP="00FD2D5B">
      <w:pPr>
        <w:spacing w:after="0" w:line="240" w:lineRule="auto"/>
        <w:rPr>
          <w:rFonts w:ascii="Times New Roman" w:hAnsi="Times New Roman"/>
          <w:i/>
          <w:iCs/>
          <w:highlight w:val="yellow"/>
          <w:lang w:eastAsia="sk-SK"/>
        </w:rPr>
      </w:pPr>
    </w:p>
    <w:p w:rsidR="00844B84" w:rsidRPr="00A00809" w:rsidRDefault="00EA43B1" w:rsidP="00844B84">
      <w:pPr>
        <w:spacing w:after="0" w:line="240" w:lineRule="auto"/>
        <w:ind w:left="567" w:hanging="567"/>
        <w:rPr>
          <w:rFonts w:ascii="Times New Roman" w:hAnsi="Times New Roman"/>
          <w:bCs/>
          <w:i/>
          <w:iCs/>
          <w:u w:val="single"/>
          <w:lang w:eastAsia="sk-SK"/>
        </w:rPr>
      </w:pPr>
      <w:r w:rsidRPr="002C35E8">
        <w:rPr>
          <w:rFonts w:ascii="Times New Roman" w:hAnsi="Times New Roman"/>
          <w:bCs/>
          <w:i/>
          <w:iCs/>
          <w:u w:val="single"/>
          <w:lang w:eastAsia="sk-SK"/>
        </w:rPr>
        <w:t>Pri súbežnom užívaní je potrebné vziať do úvahy</w:t>
      </w:r>
    </w:p>
    <w:p w:rsidR="00844B84" w:rsidRPr="00A00809" w:rsidRDefault="00EA43B1" w:rsidP="00844B84">
      <w:pPr>
        <w:spacing w:after="0" w:line="240" w:lineRule="auto"/>
        <w:ind w:left="567" w:hanging="567"/>
        <w:rPr>
          <w:rFonts w:ascii="Times New Roman" w:hAnsi="Times New Roman"/>
          <w:bCs/>
          <w:i/>
          <w:iCs/>
          <w:lang w:eastAsia="sk-SK"/>
        </w:rPr>
      </w:pPr>
      <w:r w:rsidRPr="002C35E8">
        <w:rPr>
          <w:rFonts w:ascii="Times New Roman" w:hAnsi="Times New Roman"/>
          <w:bCs/>
          <w:i/>
          <w:iCs/>
          <w:lang w:eastAsia="sk-SK"/>
        </w:rPr>
        <w:t>Iné</w:t>
      </w:r>
    </w:p>
    <w:p w:rsidR="00844B84" w:rsidRPr="00A00809" w:rsidRDefault="00EA43B1" w:rsidP="003834C6">
      <w:pPr>
        <w:spacing w:after="0" w:line="240" w:lineRule="auto"/>
        <w:rPr>
          <w:rFonts w:ascii="Times New Roman" w:hAnsi="Times New Roman"/>
          <w:bCs/>
          <w:iCs/>
          <w:lang w:eastAsia="sk-SK"/>
        </w:rPr>
      </w:pPr>
      <w:r w:rsidRPr="002C35E8">
        <w:rPr>
          <w:rFonts w:ascii="Times New Roman" w:hAnsi="Times New Roman"/>
          <w:bCs/>
          <w:iCs/>
          <w:lang w:eastAsia="sk-SK"/>
        </w:rPr>
        <w:t>V klinických interakčných štúdiách amlodipín neovplyvňoval farmakokinetiku atorvastatínu, digoxínu, warfarínu alebo cyklosporínu.</w:t>
      </w:r>
    </w:p>
    <w:p w:rsidR="003834C6" w:rsidRPr="00A00809" w:rsidRDefault="003834C6" w:rsidP="00844B84">
      <w:pPr>
        <w:spacing w:after="0" w:line="240" w:lineRule="auto"/>
        <w:ind w:left="567" w:hanging="567"/>
        <w:rPr>
          <w:rFonts w:ascii="Times New Roman" w:hAnsi="Times New Roman"/>
          <w:bCs/>
          <w:iCs/>
          <w:lang w:eastAsia="sk-SK"/>
        </w:rPr>
      </w:pPr>
    </w:p>
    <w:p w:rsidR="00844B84" w:rsidRPr="00A00809" w:rsidRDefault="00EA43B1" w:rsidP="00844B84">
      <w:pPr>
        <w:spacing w:after="0" w:line="240" w:lineRule="auto"/>
        <w:ind w:left="567" w:hanging="567"/>
        <w:rPr>
          <w:rFonts w:ascii="Times New Roman" w:hAnsi="Times New Roman"/>
          <w:bCs/>
          <w:iCs/>
          <w:u w:val="single"/>
          <w:lang w:eastAsia="sk-SK"/>
        </w:rPr>
      </w:pPr>
      <w:r w:rsidRPr="002C35E8">
        <w:rPr>
          <w:rFonts w:ascii="Times New Roman" w:hAnsi="Times New Roman"/>
          <w:bCs/>
          <w:iCs/>
          <w:u w:val="single"/>
          <w:lang w:eastAsia="sk-SK"/>
        </w:rPr>
        <w:t>Interakcie s valsartanom</w:t>
      </w:r>
    </w:p>
    <w:p w:rsidR="00844B84" w:rsidRPr="00A00809" w:rsidRDefault="00EA43B1" w:rsidP="00844B84">
      <w:pPr>
        <w:spacing w:after="0" w:line="240" w:lineRule="auto"/>
        <w:ind w:left="567" w:hanging="567"/>
        <w:rPr>
          <w:rFonts w:ascii="Times New Roman" w:hAnsi="Times New Roman"/>
          <w:bCs/>
          <w:i/>
          <w:iCs/>
          <w:u w:val="single"/>
          <w:lang w:eastAsia="sk-SK"/>
        </w:rPr>
      </w:pPr>
      <w:r w:rsidRPr="002C35E8">
        <w:rPr>
          <w:rFonts w:ascii="Times New Roman" w:hAnsi="Times New Roman"/>
          <w:bCs/>
          <w:i/>
          <w:iCs/>
          <w:u w:val="single"/>
          <w:lang w:eastAsia="sk-SK"/>
        </w:rPr>
        <w:t>Súbežné užívanie sa neodporúča</w:t>
      </w:r>
    </w:p>
    <w:p w:rsidR="00844B84" w:rsidRPr="00A00809" w:rsidRDefault="00EA43B1" w:rsidP="003834C6">
      <w:pPr>
        <w:spacing w:after="0" w:line="240" w:lineRule="auto"/>
        <w:rPr>
          <w:rFonts w:ascii="Times New Roman" w:hAnsi="Times New Roman"/>
          <w:bCs/>
          <w:i/>
          <w:iCs/>
          <w:lang w:eastAsia="sk-SK"/>
        </w:rPr>
      </w:pPr>
      <w:r w:rsidRPr="002C35E8">
        <w:rPr>
          <w:rFonts w:ascii="Times New Roman" w:hAnsi="Times New Roman"/>
          <w:bCs/>
          <w:i/>
          <w:iCs/>
          <w:lang w:eastAsia="sk-SK"/>
        </w:rPr>
        <w:t>Lítium</w:t>
      </w:r>
    </w:p>
    <w:p w:rsidR="00844B84" w:rsidRPr="00A00809" w:rsidRDefault="00EA43B1" w:rsidP="003834C6">
      <w:pPr>
        <w:spacing w:after="0" w:line="240" w:lineRule="auto"/>
        <w:rPr>
          <w:rFonts w:ascii="Times New Roman" w:hAnsi="Times New Roman"/>
          <w:bCs/>
          <w:iCs/>
          <w:lang w:eastAsia="sk-SK"/>
        </w:rPr>
      </w:pPr>
      <w:r w:rsidRPr="002C35E8">
        <w:rPr>
          <w:rFonts w:ascii="Times New Roman" w:hAnsi="Times New Roman"/>
          <w:bCs/>
          <w:iCs/>
          <w:lang w:eastAsia="sk-SK"/>
        </w:rPr>
        <w:t>Počas súbežného podávania lítia s inhibítormi enzýmu konvertujúceho angiotenzín alebo antagonistami receptorov angiotenzínu II vrátane valsartanu sa zaznamenalo reverzibilné zvýšenie sérových koncentrácií a toxicity lítia. Preto sa počas súbežného používania odporúča starostlivo monitorovať koncentrácie lítia v sére. Ak sa používa aj diuretikum, kombinácia amlodipín/valsartan môže pravdepodobne ďalej zvýšiť riziko toxicity lítia.</w:t>
      </w:r>
    </w:p>
    <w:p w:rsidR="003834C6" w:rsidRPr="00A00809" w:rsidRDefault="003834C6" w:rsidP="003834C6">
      <w:pPr>
        <w:spacing w:after="0" w:line="240" w:lineRule="auto"/>
        <w:rPr>
          <w:rFonts w:ascii="Times New Roman" w:hAnsi="Times New Roman"/>
          <w:bCs/>
          <w:iCs/>
          <w:lang w:eastAsia="sk-SK"/>
        </w:rPr>
      </w:pPr>
    </w:p>
    <w:p w:rsidR="00844B84" w:rsidRPr="00A00809" w:rsidRDefault="00EA43B1" w:rsidP="003834C6">
      <w:pPr>
        <w:spacing w:after="0" w:line="240" w:lineRule="auto"/>
        <w:rPr>
          <w:rFonts w:ascii="Times New Roman" w:hAnsi="Times New Roman"/>
          <w:bCs/>
          <w:i/>
          <w:iCs/>
          <w:lang w:eastAsia="sk-SK"/>
        </w:rPr>
      </w:pPr>
      <w:r w:rsidRPr="002C35E8">
        <w:rPr>
          <w:rFonts w:ascii="Times New Roman" w:eastAsia="Times New Roman" w:hAnsi="Times New Roman"/>
          <w:i/>
          <w:noProof/>
          <w:spacing w:val="-1"/>
        </w:rPr>
        <w:t xml:space="preserve">Draslík </w:t>
      </w:r>
      <w:r w:rsidRPr="002C35E8">
        <w:rPr>
          <w:rFonts w:ascii="Times New Roman" w:eastAsia="Times New Roman" w:hAnsi="Times New Roman"/>
          <w:i/>
          <w:noProof/>
        </w:rPr>
        <w:t>š</w:t>
      </w:r>
      <w:r w:rsidRPr="002C35E8">
        <w:rPr>
          <w:rFonts w:ascii="Times New Roman" w:eastAsia="Times New Roman" w:hAnsi="Times New Roman"/>
          <w:i/>
          <w:noProof/>
          <w:spacing w:val="-2"/>
        </w:rPr>
        <w:t>e</w:t>
      </w:r>
      <w:r w:rsidRPr="002C35E8">
        <w:rPr>
          <w:rFonts w:ascii="Times New Roman" w:eastAsia="Times New Roman" w:hAnsi="Times New Roman"/>
          <w:i/>
          <w:noProof/>
          <w:spacing w:val="1"/>
        </w:rPr>
        <w:t>t</w:t>
      </w:r>
      <w:r w:rsidRPr="002C35E8">
        <w:rPr>
          <w:rFonts w:ascii="Times New Roman" w:eastAsia="Times New Roman" w:hAnsi="Times New Roman"/>
          <w:i/>
          <w:noProof/>
          <w:spacing w:val="-2"/>
        </w:rPr>
        <w:t>r</w:t>
      </w:r>
      <w:r w:rsidRPr="002C35E8">
        <w:rPr>
          <w:rFonts w:ascii="Times New Roman" w:eastAsia="Times New Roman" w:hAnsi="Times New Roman"/>
          <w:i/>
          <w:noProof/>
          <w:spacing w:val="1"/>
        </w:rPr>
        <w:t>i</w:t>
      </w:r>
      <w:r w:rsidRPr="002C35E8">
        <w:rPr>
          <w:rFonts w:ascii="Times New Roman" w:eastAsia="Times New Roman" w:hAnsi="Times New Roman"/>
          <w:i/>
          <w:noProof/>
        </w:rPr>
        <w:t>a</w:t>
      </w:r>
      <w:r w:rsidRPr="002C35E8">
        <w:rPr>
          <w:rFonts w:ascii="Times New Roman" w:eastAsia="Times New Roman" w:hAnsi="Times New Roman"/>
          <w:i/>
          <w:noProof/>
          <w:spacing w:val="-2"/>
        </w:rPr>
        <w:t>c</w:t>
      </w:r>
      <w:r w:rsidRPr="002C35E8">
        <w:rPr>
          <w:rFonts w:ascii="Times New Roman" w:eastAsia="Times New Roman" w:hAnsi="Times New Roman"/>
          <w:i/>
          <w:noProof/>
        </w:rPr>
        <w:t>e</w:t>
      </w:r>
      <w:r w:rsidRPr="002C35E8">
        <w:rPr>
          <w:rFonts w:ascii="Times New Roman" w:eastAsia="Times New Roman" w:hAnsi="Times New Roman"/>
          <w:i/>
          <w:noProof/>
          <w:spacing w:val="1"/>
        </w:rPr>
        <w:t xml:space="preserve"> </w:t>
      </w:r>
      <w:r w:rsidRPr="002C35E8">
        <w:rPr>
          <w:rFonts w:ascii="Times New Roman" w:eastAsia="Times New Roman" w:hAnsi="Times New Roman"/>
          <w:i/>
          <w:noProof/>
        </w:rPr>
        <w:t>diuretiká,</w:t>
      </w:r>
      <w:r w:rsidRPr="002C35E8">
        <w:rPr>
          <w:rFonts w:ascii="Times New Roman" w:hAnsi="Times New Roman"/>
          <w:bCs/>
          <w:i/>
          <w:iCs/>
          <w:lang w:eastAsia="sk-SK"/>
        </w:rPr>
        <w:t>, doplnky draslíka, náhrady soli obsahujúce draslík a iné látky, ktoré môžu zvyšovať hladiny draslíka</w:t>
      </w:r>
    </w:p>
    <w:p w:rsidR="00844B84" w:rsidRPr="00A00809" w:rsidRDefault="00EA43B1" w:rsidP="003834C6">
      <w:pPr>
        <w:spacing w:after="0" w:line="240" w:lineRule="auto"/>
        <w:rPr>
          <w:rFonts w:ascii="Times New Roman" w:hAnsi="Times New Roman"/>
          <w:bCs/>
          <w:iCs/>
          <w:lang w:eastAsia="sk-SK"/>
        </w:rPr>
      </w:pPr>
      <w:r w:rsidRPr="002C35E8">
        <w:rPr>
          <w:rFonts w:ascii="Times New Roman" w:hAnsi="Times New Roman"/>
          <w:bCs/>
          <w:iCs/>
          <w:lang w:eastAsia="sk-SK"/>
        </w:rPr>
        <w:t>Ak sa má v kombinácii s valsartanom predpísať liek, ktorý ovplyvňuje hladiny draslíka, odporúča sa monitorovať plazmatické hladiny draslíka.</w:t>
      </w:r>
    </w:p>
    <w:p w:rsidR="003834C6" w:rsidRPr="00A00809" w:rsidRDefault="003834C6" w:rsidP="003834C6">
      <w:pPr>
        <w:spacing w:after="0" w:line="240" w:lineRule="auto"/>
        <w:rPr>
          <w:rFonts w:ascii="Times New Roman" w:hAnsi="Times New Roman"/>
          <w:bCs/>
          <w:iCs/>
          <w:lang w:eastAsia="sk-SK"/>
        </w:rPr>
      </w:pPr>
    </w:p>
    <w:p w:rsidR="00844B84" w:rsidRPr="00A00809" w:rsidRDefault="00EA43B1" w:rsidP="003834C6">
      <w:pPr>
        <w:spacing w:after="0" w:line="240" w:lineRule="auto"/>
        <w:rPr>
          <w:rFonts w:ascii="Times New Roman" w:hAnsi="Times New Roman"/>
          <w:bCs/>
          <w:i/>
          <w:iCs/>
          <w:u w:val="single"/>
          <w:lang w:eastAsia="sk-SK"/>
        </w:rPr>
      </w:pPr>
      <w:r w:rsidRPr="002C35E8">
        <w:rPr>
          <w:rFonts w:ascii="Times New Roman" w:hAnsi="Times New Roman"/>
          <w:bCs/>
          <w:i/>
          <w:iCs/>
          <w:u w:val="single"/>
          <w:lang w:eastAsia="sk-SK"/>
        </w:rPr>
        <w:t>Opatrnosť potrebná pri súčasnom užívaní</w:t>
      </w:r>
    </w:p>
    <w:p w:rsidR="00844B84" w:rsidRPr="00A00809" w:rsidRDefault="00EA43B1" w:rsidP="003834C6">
      <w:pPr>
        <w:spacing w:after="0" w:line="240" w:lineRule="auto"/>
        <w:rPr>
          <w:rFonts w:ascii="Times New Roman" w:hAnsi="Times New Roman"/>
          <w:bCs/>
          <w:i/>
          <w:iCs/>
          <w:lang w:eastAsia="sk-SK"/>
        </w:rPr>
      </w:pPr>
      <w:r w:rsidRPr="002C35E8">
        <w:rPr>
          <w:rFonts w:ascii="Times New Roman" w:hAnsi="Times New Roman"/>
          <w:bCs/>
          <w:i/>
          <w:iCs/>
          <w:lang w:eastAsia="sk-SK"/>
        </w:rPr>
        <w:t>Nesteroidné antiflogistiká (NSAIDs), vrátane selektívnych inhibítorov COX-2, acetylsalicylovej kyseliny (&gt; 3 g/deň) a neselektívnych NSAIDs</w:t>
      </w:r>
    </w:p>
    <w:p w:rsidR="00314AB2" w:rsidRPr="00A00809" w:rsidRDefault="00EA43B1" w:rsidP="003834C6">
      <w:pPr>
        <w:spacing w:after="0" w:line="240" w:lineRule="auto"/>
        <w:rPr>
          <w:rFonts w:ascii="Times New Roman" w:hAnsi="Times New Roman"/>
          <w:bCs/>
          <w:iCs/>
          <w:highlight w:val="yellow"/>
          <w:lang w:eastAsia="sk-SK"/>
        </w:rPr>
      </w:pPr>
      <w:r w:rsidRPr="002C35E8">
        <w:rPr>
          <w:rFonts w:ascii="Times New Roman" w:hAnsi="Times New Roman"/>
          <w:bCs/>
          <w:iCs/>
          <w:lang w:eastAsia="sk-SK"/>
        </w:rPr>
        <w:t xml:space="preserve">Ak sa antagonisty angiotenzínu II podávajú súčasne s NSAIDs, môže dôjsť k oslabeniu antihypertenzívneho účinku. Okrem toho súbežné užívanie antagonistov angiotenzínu II a NSAIDs </w:t>
      </w:r>
      <w:r w:rsidRPr="002C35E8">
        <w:rPr>
          <w:rFonts w:ascii="Times New Roman" w:hAnsi="Times New Roman"/>
          <w:bCs/>
          <w:iCs/>
          <w:lang w:eastAsia="sk-SK"/>
        </w:rPr>
        <w:lastRenderedPageBreak/>
        <w:t>môže mať za následok väčšie riziko zhoršovania funkcie obličiek a zvýšenie draslíka v sére. Preto sa odporúča monitorovanie funkcie obličiek na začiatku liečby, ako aj náležitá hydratácia pacienta.</w:t>
      </w:r>
    </w:p>
    <w:p w:rsidR="00314AB2" w:rsidRPr="00A00809" w:rsidRDefault="00314AB2" w:rsidP="003834C6">
      <w:pPr>
        <w:spacing w:after="0" w:line="240" w:lineRule="auto"/>
        <w:rPr>
          <w:rFonts w:ascii="Times New Roman" w:hAnsi="Times New Roman"/>
          <w:b/>
          <w:bCs/>
          <w:i/>
          <w:iCs/>
          <w:highlight w:val="yellow"/>
          <w:u w:val="single"/>
          <w:lang w:eastAsia="sk-SK"/>
        </w:rPr>
      </w:pPr>
    </w:p>
    <w:p w:rsidR="003834C6" w:rsidRPr="00A00809" w:rsidRDefault="00EA43B1" w:rsidP="003834C6">
      <w:pPr>
        <w:spacing w:after="0" w:line="240" w:lineRule="auto"/>
        <w:rPr>
          <w:rFonts w:ascii="Times New Roman" w:hAnsi="Times New Roman"/>
          <w:bCs/>
          <w:i/>
          <w:iCs/>
          <w:lang w:eastAsia="sk-SK"/>
        </w:rPr>
      </w:pPr>
      <w:r w:rsidRPr="002C35E8">
        <w:rPr>
          <w:rFonts w:ascii="Times New Roman" w:hAnsi="Times New Roman"/>
          <w:bCs/>
          <w:i/>
          <w:iCs/>
          <w:lang w:eastAsia="sk-SK"/>
        </w:rPr>
        <w:t>Inhibítory transportéra vychytávania (rifampicín, cyklosporín) alebo efluxného transportéra (ritonavir)</w:t>
      </w:r>
    </w:p>
    <w:p w:rsidR="003834C6" w:rsidRPr="00A00809" w:rsidRDefault="00EA43B1" w:rsidP="003834C6">
      <w:pPr>
        <w:spacing w:after="0" w:line="240" w:lineRule="auto"/>
        <w:rPr>
          <w:rFonts w:ascii="Times New Roman" w:hAnsi="Times New Roman"/>
          <w:bCs/>
          <w:iCs/>
          <w:lang w:eastAsia="sk-SK"/>
        </w:rPr>
      </w:pPr>
      <w:r w:rsidRPr="002C35E8">
        <w:rPr>
          <w:rFonts w:ascii="Times New Roman" w:hAnsi="Times New Roman"/>
          <w:bCs/>
          <w:iCs/>
          <w:lang w:eastAsia="sk-SK"/>
        </w:rPr>
        <w:t xml:space="preserve">Výsledky štúdie </w:t>
      </w:r>
      <w:r w:rsidRPr="002C35E8">
        <w:rPr>
          <w:rFonts w:ascii="Times New Roman" w:hAnsi="Times New Roman"/>
          <w:bCs/>
          <w:i/>
          <w:iCs/>
          <w:lang w:eastAsia="sk-SK"/>
        </w:rPr>
        <w:t>in vitro</w:t>
      </w:r>
      <w:r w:rsidR="003834C6" w:rsidRPr="00A00809">
        <w:rPr>
          <w:rFonts w:ascii="Times New Roman" w:hAnsi="Times New Roman"/>
          <w:bCs/>
          <w:iCs/>
          <w:lang w:eastAsia="sk-SK"/>
        </w:rPr>
        <w:t xml:space="preserve"> s tkanivom ľudskej pečene ukazujú, že valsartan je substrátom pečeňového transportéra vychytávania OATP1B1 a pečeňového efluxného transportéra MRP2. Súbežné podávanie inhibítorov transportéra vychytávania (rifampicínu, cyklosporínu) alebo efluxného transportéra (ritonaviru) môže zvýšiť systémovú expozíciu valsartanu.</w:t>
      </w:r>
    </w:p>
    <w:p w:rsidR="00ED35BE" w:rsidRPr="00A00809" w:rsidRDefault="00ED35BE" w:rsidP="003834C6">
      <w:pPr>
        <w:spacing w:after="0" w:line="240" w:lineRule="auto"/>
        <w:rPr>
          <w:rFonts w:ascii="Times New Roman" w:hAnsi="Times New Roman"/>
          <w:bCs/>
          <w:iCs/>
          <w:lang w:eastAsia="sk-SK"/>
        </w:rPr>
      </w:pPr>
    </w:p>
    <w:p w:rsidR="003834C6" w:rsidRPr="00A00809" w:rsidRDefault="00EA43B1" w:rsidP="003834C6">
      <w:pPr>
        <w:spacing w:after="0" w:line="240" w:lineRule="auto"/>
        <w:rPr>
          <w:rFonts w:ascii="Times New Roman" w:hAnsi="Times New Roman"/>
          <w:bCs/>
          <w:i/>
          <w:iCs/>
          <w:lang w:eastAsia="sk-SK"/>
        </w:rPr>
      </w:pPr>
      <w:r w:rsidRPr="002C35E8">
        <w:rPr>
          <w:rFonts w:ascii="Times New Roman" w:hAnsi="Times New Roman"/>
          <w:bCs/>
          <w:i/>
          <w:iCs/>
          <w:lang w:eastAsia="sk-SK"/>
        </w:rPr>
        <w:t>Duálna inhibícia RAAS pôsobením ARB, inhibítorov ACE alebo aliskirénu</w:t>
      </w:r>
    </w:p>
    <w:p w:rsidR="003834C6" w:rsidRPr="00A00809" w:rsidRDefault="00EA43B1" w:rsidP="003834C6">
      <w:pPr>
        <w:spacing w:after="0" w:line="240" w:lineRule="auto"/>
        <w:rPr>
          <w:rFonts w:ascii="Times New Roman" w:hAnsi="Times New Roman"/>
          <w:bCs/>
          <w:iCs/>
          <w:lang w:eastAsia="sk-SK"/>
        </w:rPr>
      </w:pPr>
      <w:r w:rsidRPr="002C35E8">
        <w:rPr>
          <w:rFonts w:ascii="Times New Roman" w:hAnsi="Times New Roman"/>
          <w:bCs/>
          <w:iCs/>
          <w:lang w:eastAsia="sk-SK"/>
        </w:rPr>
        <w:t>Údaje z klinických skúšaní ukázali, že duálna inhibícia RAAS kombinovaným použitím inhibítorov ACE, ARB alebo aliskirénu sa spája s vyššou frekvenciou nežiaducich účinkov, ako sú hypotenzia, hyperkaliémia a znížená funkcia obličiek (vrátane akútneho zlyhania obličiek), v porovnaní s použitím liečiva ovplyvňujúcej RAAS v monoterapii (pozri časti 4.3, 4.4 a 5.1).</w:t>
      </w:r>
    </w:p>
    <w:p w:rsidR="00ED35BE" w:rsidRPr="00A00809" w:rsidRDefault="00ED35BE" w:rsidP="003834C6">
      <w:pPr>
        <w:spacing w:after="0" w:line="240" w:lineRule="auto"/>
        <w:rPr>
          <w:rFonts w:ascii="Times New Roman" w:hAnsi="Times New Roman"/>
          <w:bCs/>
          <w:iCs/>
          <w:lang w:eastAsia="sk-SK"/>
        </w:rPr>
      </w:pPr>
    </w:p>
    <w:p w:rsidR="003834C6" w:rsidRPr="00A00809" w:rsidRDefault="00EA43B1" w:rsidP="003834C6">
      <w:pPr>
        <w:spacing w:after="0" w:line="240" w:lineRule="auto"/>
        <w:rPr>
          <w:rFonts w:ascii="Times New Roman" w:hAnsi="Times New Roman"/>
          <w:bCs/>
          <w:i/>
          <w:iCs/>
          <w:lang w:eastAsia="sk-SK"/>
        </w:rPr>
      </w:pPr>
      <w:r w:rsidRPr="002C35E8">
        <w:rPr>
          <w:rFonts w:ascii="Times New Roman" w:hAnsi="Times New Roman"/>
          <w:bCs/>
          <w:i/>
          <w:iCs/>
          <w:lang w:eastAsia="sk-SK"/>
        </w:rPr>
        <w:t>Iné</w:t>
      </w:r>
    </w:p>
    <w:p w:rsidR="003834C6" w:rsidRPr="00A00809" w:rsidRDefault="00EA43B1" w:rsidP="003834C6">
      <w:pPr>
        <w:spacing w:after="0" w:line="240" w:lineRule="auto"/>
        <w:rPr>
          <w:rFonts w:ascii="Times New Roman" w:hAnsi="Times New Roman"/>
          <w:bCs/>
          <w:iCs/>
          <w:highlight w:val="yellow"/>
          <w:lang w:eastAsia="sk-SK"/>
        </w:rPr>
      </w:pPr>
      <w:r w:rsidRPr="002C35E8">
        <w:rPr>
          <w:rFonts w:ascii="Times New Roman" w:hAnsi="Times New Roman"/>
          <w:bCs/>
          <w:iCs/>
          <w:lang w:eastAsia="sk-SK"/>
        </w:rPr>
        <w:t>Pri monoterapii valsartanom sa nezistili žiadne klinicky významné interakcie s nasledovnými liečivami: cimetidín, warfarín, furosemid, digoxín, atenolol, indometacín, hydrochlorotiazid, amlodipín, glibenklamid.</w:t>
      </w:r>
    </w:p>
    <w:p w:rsidR="003834C6" w:rsidRPr="00A00809" w:rsidRDefault="003834C6" w:rsidP="00FD2D5B">
      <w:pPr>
        <w:spacing w:after="0" w:line="240" w:lineRule="auto"/>
        <w:ind w:left="567" w:hanging="567"/>
        <w:rPr>
          <w:rFonts w:ascii="Times New Roman" w:hAnsi="Times New Roman"/>
          <w:b/>
          <w:bCs/>
          <w:i/>
          <w:iCs/>
          <w:highlight w:val="yellow"/>
          <w:u w:val="single"/>
          <w:lang w:eastAsia="sk-SK"/>
        </w:rPr>
      </w:pPr>
    </w:p>
    <w:p w:rsidR="00FD2D5B" w:rsidRPr="00A00809" w:rsidRDefault="00EA43B1" w:rsidP="00FD2D5B">
      <w:pPr>
        <w:numPr>
          <w:ilvl w:val="1"/>
          <w:numId w:val="2"/>
        </w:numPr>
        <w:spacing w:after="0" w:line="240" w:lineRule="auto"/>
        <w:rPr>
          <w:rFonts w:ascii="Times New Roman" w:hAnsi="Times New Roman"/>
          <w:b/>
          <w:noProof/>
          <w:lang w:eastAsia="sk-SK"/>
        </w:rPr>
      </w:pPr>
      <w:r w:rsidRPr="002C35E8">
        <w:rPr>
          <w:rFonts w:ascii="Times New Roman" w:hAnsi="Times New Roman"/>
          <w:b/>
          <w:noProof/>
          <w:lang w:eastAsia="sk-SK"/>
        </w:rPr>
        <w:t>Fertilita, gravidita a laktácia</w:t>
      </w:r>
    </w:p>
    <w:p w:rsidR="00FD2D5B" w:rsidRPr="00A00809" w:rsidRDefault="00FD2D5B" w:rsidP="00FD2D5B">
      <w:pPr>
        <w:spacing w:after="0" w:line="240" w:lineRule="auto"/>
        <w:ind w:left="567" w:hanging="567"/>
        <w:rPr>
          <w:rFonts w:ascii="Times New Roman" w:hAnsi="Times New Roman"/>
          <w:lang w:eastAsia="sk-SK"/>
        </w:rPr>
      </w:pPr>
    </w:p>
    <w:p w:rsidR="00944D16" w:rsidRPr="00A00809" w:rsidRDefault="00EA43B1" w:rsidP="00FD2D5B">
      <w:pPr>
        <w:spacing w:after="0" w:line="240" w:lineRule="auto"/>
        <w:rPr>
          <w:rFonts w:ascii="Times New Roman" w:hAnsi="Times New Roman"/>
          <w:u w:val="single"/>
          <w:lang w:eastAsia="sk-SK"/>
        </w:rPr>
      </w:pPr>
      <w:r w:rsidRPr="002C35E8">
        <w:rPr>
          <w:rFonts w:ascii="Times New Roman" w:hAnsi="Times New Roman"/>
          <w:u w:val="single"/>
          <w:lang w:eastAsia="sk-SK"/>
        </w:rPr>
        <w:t>Gravidita</w:t>
      </w:r>
    </w:p>
    <w:p w:rsidR="00ED35BE" w:rsidRPr="00A00809" w:rsidRDefault="00ED35BE" w:rsidP="00FD2D5B">
      <w:pPr>
        <w:spacing w:after="0" w:line="240" w:lineRule="auto"/>
        <w:rPr>
          <w:rFonts w:ascii="Times New Roman" w:hAnsi="Times New Roman"/>
          <w:u w:val="single"/>
          <w:lang w:eastAsia="sk-SK"/>
        </w:rPr>
      </w:pPr>
    </w:p>
    <w:p w:rsidR="003E52EC" w:rsidRPr="00A00809" w:rsidRDefault="00EA43B1" w:rsidP="003E52EC">
      <w:pPr>
        <w:spacing w:after="0" w:line="240" w:lineRule="auto"/>
        <w:rPr>
          <w:rFonts w:ascii="Times New Roman" w:hAnsi="Times New Roman"/>
          <w:i/>
          <w:lang w:eastAsia="sk-SK"/>
        </w:rPr>
      </w:pPr>
      <w:r w:rsidRPr="002C35E8">
        <w:rPr>
          <w:rFonts w:ascii="Times New Roman" w:hAnsi="Times New Roman"/>
          <w:i/>
          <w:lang w:eastAsia="sk-SK"/>
        </w:rPr>
        <w:t>Amlodipín</w:t>
      </w:r>
    </w:p>
    <w:p w:rsidR="003E52EC" w:rsidRPr="00A00809" w:rsidRDefault="00EA43B1" w:rsidP="003E52EC">
      <w:pPr>
        <w:spacing w:after="0" w:line="240" w:lineRule="auto"/>
        <w:rPr>
          <w:rFonts w:ascii="Times New Roman" w:hAnsi="Times New Roman"/>
          <w:lang w:eastAsia="sk-SK"/>
        </w:rPr>
      </w:pPr>
      <w:r w:rsidRPr="002C35E8">
        <w:rPr>
          <w:rFonts w:ascii="Times New Roman" w:hAnsi="Times New Roman"/>
          <w:lang w:eastAsia="sk-SK"/>
        </w:rPr>
        <w:t xml:space="preserve">Bezpečnosť podávania amlodipínu u žien počas gravidity nebola stanovená. </w:t>
      </w:r>
    </w:p>
    <w:p w:rsidR="003E52EC" w:rsidRPr="00A00809" w:rsidRDefault="00EA43B1" w:rsidP="003E52EC">
      <w:pPr>
        <w:spacing w:after="0" w:line="240" w:lineRule="auto"/>
        <w:rPr>
          <w:rFonts w:ascii="Times New Roman" w:hAnsi="Times New Roman"/>
          <w:lang w:eastAsia="sk-SK"/>
        </w:rPr>
      </w:pPr>
      <w:r w:rsidRPr="002C35E8">
        <w:rPr>
          <w:rFonts w:ascii="Times New Roman" w:hAnsi="Times New Roman"/>
          <w:lang w:eastAsia="sk-SK"/>
        </w:rPr>
        <w:t>Štúdie na zvieratách preukázali reprodukčnú toxicitu pri vysokých dávkach (pozri časť 5.3).</w:t>
      </w:r>
    </w:p>
    <w:p w:rsidR="003E52EC" w:rsidRPr="00A00809" w:rsidRDefault="00EA43B1" w:rsidP="003E52EC">
      <w:pPr>
        <w:spacing w:after="0" w:line="240" w:lineRule="auto"/>
        <w:rPr>
          <w:rFonts w:ascii="Times New Roman" w:hAnsi="Times New Roman"/>
          <w:lang w:eastAsia="sk-SK"/>
        </w:rPr>
      </w:pPr>
      <w:r w:rsidRPr="002C35E8">
        <w:rPr>
          <w:rFonts w:ascii="Times New Roman" w:hAnsi="Times New Roman"/>
          <w:lang w:eastAsia="sk-SK"/>
        </w:rPr>
        <w:t>Použitie počas gravidity sa odporúča iba vtedy, ak nie je bezpečnejšia alternatíva a ak ochorenie samotné predstavuje väčšie riziko pre matku a plod.</w:t>
      </w:r>
    </w:p>
    <w:p w:rsidR="00ED35BE" w:rsidRPr="00A00809" w:rsidRDefault="00ED35BE" w:rsidP="00FD2D5B">
      <w:pPr>
        <w:spacing w:after="0" w:line="240" w:lineRule="auto"/>
        <w:rPr>
          <w:rFonts w:ascii="Times New Roman" w:hAnsi="Times New Roman"/>
          <w:u w:val="single"/>
          <w:lang w:eastAsia="sk-SK"/>
        </w:rPr>
      </w:pPr>
    </w:p>
    <w:p w:rsidR="003E52EC" w:rsidRPr="00A00809" w:rsidRDefault="00EA43B1" w:rsidP="00FD2D5B">
      <w:pPr>
        <w:spacing w:after="0" w:line="240" w:lineRule="auto"/>
        <w:rPr>
          <w:rFonts w:ascii="Times New Roman" w:hAnsi="Times New Roman"/>
          <w:i/>
          <w:lang w:eastAsia="sk-SK"/>
        </w:rPr>
      </w:pPr>
      <w:r w:rsidRPr="002C35E8">
        <w:rPr>
          <w:rFonts w:ascii="Times New Roman" w:hAnsi="Times New Roman"/>
          <w:i/>
          <w:lang w:eastAsia="sk-SK"/>
        </w:rPr>
        <w:t>Valsartan</w:t>
      </w:r>
    </w:p>
    <w:p w:rsidR="003E52EC" w:rsidRPr="00A00809" w:rsidRDefault="00EA43B1" w:rsidP="00FD2D5B">
      <w:pPr>
        <w:spacing w:after="0" w:line="240" w:lineRule="auto"/>
        <w:rPr>
          <w:rFonts w:ascii="Times New Roman" w:hAnsi="Times New Roman"/>
          <w:highlight w:val="yellow"/>
          <w:lang w:eastAsia="sk-SK"/>
        </w:rPr>
      </w:pPr>
      <w:r w:rsidRPr="002C35E8">
        <w:rPr>
          <w:rFonts w:ascii="Times New Roman" w:hAnsi="Times New Roman"/>
          <w:lang w:eastAsia="sk-SK"/>
        </w:rPr>
        <w:t>Použitie antagonistov receptorov angiotenzínu II (AIIRA) sa neodporúča počas prvého trimestra gravidity (pozri časť 4.4). Použitie AIIRA je kontraindikované počas druhého a tretieho trimestra gravidity (pozri časti 4.3 a 4.4).</w:t>
      </w:r>
    </w:p>
    <w:p w:rsidR="003E52EC" w:rsidRPr="00A00809" w:rsidRDefault="003E52EC" w:rsidP="00FD2D5B">
      <w:pPr>
        <w:spacing w:after="0" w:line="240" w:lineRule="auto"/>
        <w:rPr>
          <w:rFonts w:ascii="Times New Roman" w:hAnsi="Times New Roman"/>
          <w:highlight w:val="yellow"/>
          <w:lang w:eastAsia="sk-SK"/>
        </w:rPr>
      </w:pPr>
    </w:p>
    <w:p w:rsidR="00EA5EBB" w:rsidRPr="00A00809" w:rsidRDefault="00EA43B1" w:rsidP="00412B3F">
      <w:pPr>
        <w:spacing w:after="0" w:line="240" w:lineRule="auto"/>
        <w:rPr>
          <w:rFonts w:ascii="Times New Roman" w:eastAsia="Times New Roman" w:hAnsi="Times New Roman"/>
          <w:lang w:eastAsia="sk-SK"/>
        </w:rPr>
      </w:pPr>
      <w:r w:rsidRPr="002C35E8">
        <w:rPr>
          <w:rFonts w:ascii="Times New Roman" w:hAnsi="Times New Roman"/>
          <w:lang w:eastAsia="sk-SK"/>
        </w:rPr>
        <w:t>Epidemiologické dôkazy týkajúce sa rizika teratogenity po vystavení účinku ACE inhibítorov počas prvého trimestra gravidity neboli nezvratné; malé zvýšenie rizika však nemožno vylúčiť.</w:t>
      </w:r>
      <w:r w:rsidRPr="002C35E8">
        <w:t xml:space="preserve"> </w:t>
      </w:r>
      <w:r w:rsidRPr="002C35E8">
        <w:rPr>
          <w:rFonts w:ascii="Times New Roman" w:hAnsi="Times New Roman"/>
          <w:lang w:eastAsia="sk-SK"/>
        </w:rPr>
        <w:t>Aj keď neexistujú žiadne kontrolované epidemiologické údaje o riziku s AIIRA,</w:t>
      </w:r>
      <w:r w:rsidRPr="002C35E8">
        <w:t xml:space="preserve"> </w:t>
      </w:r>
      <w:r w:rsidRPr="002C35E8">
        <w:rPr>
          <w:rFonts w:ascii="Times New Roman" w:eastAsia="Times New Roman" w:hAnsi="Times New Roman"/>
          <w:lang w:eastAsia="sk-SK"/>
        </w:rPr>
        <w:t>pre túto triedu liekov môžu existovať podobné riziká. Pokiaľ nie je pokračovanie liečby antagonistami receptora angiotenzínu II považované za nevyhnutné, pacientky, ktoré plánujú graviditu, sa musia prestaviť na alternatívnu antihypertenznú liečbu, ktorá má preukázaný bezpečnostný profil na použitie počas gravidity. Ak sa gravidita potvrdí, liečba antagonistami receptora angiotenzínu II sa musí okamžite ukončiť a ak je to vhodné, má sa začať alternatívna liečba.</w:t>
      </w:r>
    </w:p>
    <w:p w:rsidR="00EA5EBB" w:rsidRPr="00A00809" w:rsidRDefault="00EA5EBB" w:rsidP="00550475">
      <w:pPr>
        <w:spacing w:after="0" w:line="240" w:lineRule="auto"/>
        <w:rPr>
          <w:rFonts w:ascii="Times New Roman" w:hAnsi="Times New Roman"/>
          <w:lang w:eastAsia="sk-SK"/>
        </w:rPr>
      </w:pPr>
    </w:p>
    <w:p w:rsidR="00550475" w:rsidRPr="00A00809" w:rsidRDefault="00EA43B1" w:rsidP="00550475">
      <w:pPr>
        <w:spacing w:after="0" w:line="240" w:lineRule="auto"/>
        <w:rPr>
          <w:rFonts w:ascii="Times New Roman" w:hAnsi="Times New Roman"/>
          <w:lang w:eastAsia="sk-SK"/>
        </w:rPr>
      </w:pPr>
      <w:r w:rsidRPr="002C35E8">
        <w:rPr>
          <w:rFonts w:ascii="Times New Roman" w:hAnsi="Times New Roman"/>
          <w:lang w:eastAsia="sk-SK"/>
        </w:rPr>
        <w:t>Je známe, že expozícia AIIRA pri liečbe počas druhého a tretieho trimestra gravidity vyvoláva u ľudí fetotoxické účinky (zhoršenie funkcie obličiek, oligohydramnión, spomalenie osifikácie lebky) a toxické účinky u novorodencov (zlyhanie obličiek, hypotenzia, hyperkaliémia) (pozri časť 5.3).</w:t>
      </w:r>
    </w:p>
    <w:p w:rsidR="00550475" w:rsidRPr="00A00809" w:rsidRDefault="00550475" w:rsidP="00550475">
      <w:pPr>
        <w:spacing w:after="0" w:line="240" w:lineRule="auto"/>
        <w:rPr>
          <w:rFonts w:ascii="Times New Roman" w:hAnsi="Times New Roman"/>
          <w:lang w:eastAsia="sk-SK"/>
        </w:rPr>
      </w:pPr>
    </w:p>
    <w:p w:rsidR="00550475" w:rsidRPr="00A00809" w:rsidRDefault="00EA43B1" w:rsidP="00550475">
      <w:pPr>
        <w:spacing w:after="0" w:line="240" w:lineRule="auto"/>
        <w:rPr>
          <w:rFonts w:ascii="Times New Roman" w:hAnsi="Times New Roman"/>
          <w:lang w:eastAsia="sk-SK"/>
        </w:rPr>
      </w:pPr>
      <w:r w:rsidRPr="002C35E8">
        <w:rPr>
          <w:rFonts w:ascii="Times New Roman" w:hAnsi="Times New Roman"/>
          <w:lang w:eastAsia="sk-SK"/>
        </w:rPr>
        <w:t>Ak by došlo k expozícii AIIRA od druhého trimestra gravidity, odporúča sa ultrazvukové vyšetrenie funkcie obličiek a lebky.</w:t>
      </w:r>
    </w:p>
    <w:p w:rsidR="00550475" w:rsidRPr="00A00809" w:rsidRDefault="00550475" w:rsidP="00550475">
      <w:pPr>
        <w:spacing w:after="0" w:line="240" w:lineRule="auto"/>
        <w:rPr>
          <w:rFonts w:ascii="Times New Roman" w:hAnsi="Times New Roman"/>
          <w:lang w:eastAsia="sk-SK"/>
        </w:rPr>
      </w:pPr>
    </w:p>
    <w:p w:rsidR="00550475" w:rsidRPr="00A00809" w:rsidRDefault="00EA43B1" w:rsidP="00550475">
      <w:pPr>
        <w:spacing w:after="0" w:line="240" w:lineRule="auto"/>
        <w:rPr>
          <w:rFonts w:ascii="Times New Roman" w:hAnsi="Times New Roman"/>
          <w:lang w:eastAsia="sk-SK"/>
        </w:rPr>
      </w:pPr>
      <w:r w:rsidRPr="002C35E8">
        <w:rPr>
          <w:rFonts w:ascii="Times New Roman" w:hAnsi="Times New Roman"/>
          <w:lang w:eastAsia="sk-SK"/>
        </w:rPr>
        <w:t>Dojčatá, ktorých matky užívali AIIRA, je potrebné dôsledne sledovať pre hypotenziu (pozri časti 4.3 a 4.4).</w:t>
      </w:r>
    </w:p>
    <w:p w:rsidR="00550475" w:rsidRPr="00A00809" w:rsidRDefault="00550475" w:rsidP="00550475">
      <w:pPr>
        <w:spacing w:after="0" w:line="240" w:lineRule="auto"/>
        <w:rPr>
          <w:rFonts w:ascii="Times New Roman" w:hAnsi="Times New Roman"/>
          <w:lang w:eastAsia="sk-SK"/>
        </w:rPr>
      </w:pPr>
    </w:p>
    <w:p w:rsidR="00550475" w:rsidRPr="00A00809" w:rsidRDefault="00EA43B1" w:rsidP="00550475">
      <w:pPr>
        <w:spacing w:after="0" w:line="240" w:lineRule="auto"/>
        <w:rPr>
          <w:rFonts w:ascii="Times New Roman" w:hAnsi="Times New Roman"/>
          <w:u w:val="single"/>
          <w:lang w:eastAsia="sk-SK"/>
        </w:rPr>
      </w:pPr>
      <w:r w:rsidRPr="002C35E8">
        <w:rPr>
          <w:rFonts w:ascii="Times New Roman" w:hAnsi="Times New Roman"/>
          <w:u w:val="single"/>
          <w:lang w:eastAsia="sk-SK"/>
        </w:rPr>
        <w:t>Dojčenie</w:t>
      </w:r>
    </w:p>
    <w:p w:rsidR="00550475" w:rsidRPr="00A00809" w:rsidRDefault="00EA43B1" w:rsidP="00550475">
      <w:pPr>
        <w:spacing w:after="0" w:line="240" w:lineRule="auto"/>
        <w:rPr>
          <w:rFonts w:ascii="Times New Roman" w:hAnsi="Times New Roman"/>
          <w:lang w:eastAsia="sk-SK"/>
        </w:rPr>
      </w:pPr>
      <w:r w:rsidRPr="002C35E8">
        <w:rPr>
          <w:rFonts w:ascii="Times New Roman" w:hAnsi="Times New Roman"/>
          <w:lang w:eastAsia="sk-SK"/>
        </w:rPr>
        <w:lastRenderedPageBreak/>
        <w:t>Nie sú dostupné žiadne informácie ohľadom užívania kombinácie amlodipínu/valsartanu v období dojčenia, preto sa kombinácia amlodipín/valsartan neodporúča a vhodnejšie sú iné druhy liečby s lepšie preukázaným bezpečnostným profilom počas dojčenia, najmä pri dojčení novorodencov alebo predčasne narodených detí.</w:t>
      </w:r>
    </w:p>
    <w:p w:rsidR="009A5E51" w:rsidRPr="00A00809" w:rsidRDefault="009A5E51" w:rsidP="00550475">
      <w:pPr>
        <w:spacing w:after="0" w:line="240" w:lineRule="auto"/>
        <w:rPr>
          <w:rFonts w:ascii="Times New Roman" w:hAnsi="Times New Roman"/>
          <w:u w:val="single"/>
          <w:lang w:eastAsia="sk-SK"/>
        </w:rPr>
      </w:pPr>
    </w:p>
    <w:p w:rsidR="00550475" w:rsidRPr="00A00809" w:rsidRDefault="00EA43B1" w:rsidP="00550475">
      <w:pPr>
        <w:spacing w:after="0" w:line="240" w:lineRule="auto"/>
        <w:rPr>
          <w:rFonts w:ascii="Times New Roman" w:hAnsi="Times New Roman"/>
          <w:u w:val="single"/>
          <w:lang w:eastAsia="sk-SK"/>
        </w:rPr>
      </w:pPr>
      <w:r w:rsidRPr="002C35E8">
        <w:rPr>
          <w:rFonts w:ascii="Times New Roman" w:hAnsi="Times New Roman"/>
          <w:u w:val="single"/>
          <w:lang w:eastAsia="sk-SK"/>
        </w:rPr>
        <w:t>Fertilita</w:t>
      </w:r>
    </w:p>
    <w:p w:rsidR="00550475" w:rsidRPr="00A00809" w:rsidRDefault="00EA43B1" w:rsidP="00FD2D5B">
      <w:pPr>
        <w:spacing w:after="0" w:line="240" w:lineRule="auto"/>
        <w:rPr>
          <w:rFonts w:ascii="Times New Roman" w:hAnsi="Times New Roman"/>
          <w:highlight w:val="yellow"/>
          <w:lang w:eastAsia="sk-SK"/>
        </w:rPr>
      </w:pPr>
      <w:r w:rsidRPr="002C35E8">
        <w:rPr>
          <w:rFonts w:ascii="Times New Roman" w:hAnsi="Times New Roman"/>
          <w:lang w:eastAsia="sk-SK"/>
        </w:rPr>
        <w:t>Neexistujú žiadne klinické štúdie o vplyve na fertilitu pri kombinácii amlodipín/valsartan.</w:t>
      </w:r>
    </w:p>
    <w:p w:rsidR="00550475" w:rsidRPr="00A00809" w:rsidRDefault="00550475" w:rsidP="00FD2D5B">
      <w:pPr>
        <w:spacing w:after="0" w:line="240" w:lineRule="auto"/>
        <w:rPr>
          <w:rFonts w:ascii="Times New Roman" w:hAnsi="Times New Roman"/>
          <w:highlight w:val="yellow"/>
          <w:lang w:eastAsia="sk-SK"/>
        </w:rPr>
      </w:pPr>
    </w:p>
    <w:p w:rsidR="00550475" w:rsidRPr="00A00809" w:rsidRDefault="00EA43B1" w:rsidP="00550475">
      <w:pPr>
        <w:spacing w:after="0" w:line="240" w:lineRule="auto"/>
        <w:rPr>
          <w:rFonts w:ascii="Times New Roman" w:hAnsi="Times New Roman"/>
          <w:i/>
          <w:lang w:eastAsia="sk-SK"/>
        </w:rPr>
      </w:pPr>
      <w:r w:rsidRPr="002C35E8">
        <w:rPr>
          <w:rFonts w:ascii="Times New Roman" w:hAnsi="Times New Roman"/>
          <w:i/>
          <w:lang w:eastAsia="sk-SK"/>
        </w:rPr>
        <w:t>Valsartan</w:t>
      </w:r>
    </w:p>
    <w:p w:rsidR="00550475" w:rsidRPr="00A00809" w:rsidRDefault="00EA43B1" w:rsidP="00550475">
      <w:pPr>
        <w:spacing w:after="0" w:line="240" w:lineRule="auto"/>
        <w:rPr>
          <w:rFonts w:ascii="Times New Roman" w:hAnsi="Times New Roman"/>
          <w:lang w:eastAsia="sk-SK"/>
        </w:rPr>
      </w:pPr>
      <w:r w:rsidRPr="002C35E8">
        <w:rPr>
          <w:rFonts w:ascii="Times New Roman" w:hAnsi="Times New Roman"/>
          <w:lang w:eastAsia="sk-SK"/>
        </w:rPr>
        <w:t>Valsartan nemal nežiaduce účinky na reprodukčnú schopnosť samcov a samíc potkanov pri perorálnych dávkach do 200 mg/kg/deň. Táto dávka je 6-krát vyššia než maximálna odporúčaná dávka u ľudí pri prepočte na mg/m</w:t>
      </w:r>
      <w:r w:rsidRPr="002C35E8">
        <w:rPr>
          <w:rFonts w:ascii="Times New Roman" w:hAnsi="Times New Roman"/>
          <w:vertAlign w:val="superscript"/>
          <w:lang w:eastAsia="sk-SK"/>
        </w:rPr>
        <w:t>2</w:t>
      </w:r>
      <w:r w:rsidRPr="002C35E8">
        <w:rPr>
          <w:rFonts w:ascii="Times New Roman" w:hAnsi="Times New Roman"/>
          <w:lang w:eastAsia="sk-SK"/>
        </w:rPr>
        <w:t xml:space="preserve"> (výpočty vychádzajú z perorálnej dávky 320 mg/deň u pacienta s telesnou hmotnosťou 60 kg).</w:t>
      </w:r>
    </w:p>
    <w:p w:rsidR="00550475" w:rsidRPr="00A00809" w:rsidRDefault="00550475" w:rsidP="00550475">
      <w:pPr>
        <w:spacing w:after="0" w:line="240" w:lineRule="auto"/>
        <w:rPr>
          <w:rFonts w:ascii="Times New Roman" w:hAnsi="Times New Roman"/>
          <w:i/>
          <w:lang w:eastAsia="sk-SK"/>
        </w:rPr>
      </w:pPr>
    </w:p>
    <w:p w:rsidR="00550475" w:rsidRPr="00A00809" w:rsidRDefault="00EA43B1" w:rsidP="00550475">
      <w:pPr>
        <w:spacing w:after="0" w:line="240" w:lineRule="auto"/>
        <w:rPr>
          <w:rFonts w:ascii="Times New Roman" w:hAnsi="Times New Roman"/>
          <w:i/>
          <w:lang w:eastAsia="sk-SK"/>
        </w:rPr>
      </w:pPr>
      <w:r w:rsidRPr="002C35E8">
        <w:rPr>
          <w:rFonts w:ascii="Times New Roman" w:hAnsi="Times New Roman"/>
          <w:i/>
          <w:lang w:eastAsia="sk-SK"/>
        </w:rPr>
        <w:t>Amlodipín</w:t>
      </w:r>
    </w:p>
    <w:p w:rsidR="00550475" w:rsidRPr="00A00809" w:rsidRDefault="00EA43B1" w:rsidP="00550475">
      <w:pPr>
        <w:spacing w:after="0" w:line="240" w:lineRule="auto"/>
        <w:rPr>
          <w:rFonts w:ascii="Times New Roman" w:hAnsi="Times New Roman"/>
          <w:lang w:eastAsia="sk-SK"/>
        </w:rPr>
      </w:pPr>
      <w:r w:rsidRPr="002C35E8">
        <w:rPr>
          <w:rFonts w:ascii="Times New Roman" w:hAnsi="Times New Roman"/>
          <w:lang w:eastAsia="sk-SK"/>
        </w:rPr>
        <w:t>U niektorých pacientov liečených blokátormi kalciových kanálov boli hlásené reverzibilné biochemické zmeny v hlavičke spermií. Klinické údaje týkajúce sa možného účinku amlodipínu na fertilitu nie sú dostatočné. V jednej štúdii na potkanoch boli pozorované nežiaduce účinky na fertilitu samcov (pozri časť 5.3).</w:t>
      </w:r>
    </w:p>
    <w:p w:rsidR="00550475" w:rsidRPr="00A00809" w:rsidRDefault="00550475" w:rsidP="00550475">
      <w:pPr>
        <w:spacing w:after="0" w:line="240" w:lineRule="auto"/>
        <w:rPr>
          <w:rFonts w:ascii="Times New Roman" w:hAnsi="Times New Roman"/>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4.7</w:t>
      </w:r>
      <w:r w:rsidRPr="002C35E8">
        <w:rPr>
          <w:rFonts w:ascii="Times New Roman" w:hAnsi="Times New Roman"/>
          <w:b/>
          <w:noProof/>
          <w:lang w:eastAsia="sk-SK"/>
        </w:rPr>
        <w:tab/>
        <w:t>Ovplyvnenie schopnosti viesť vozidlá a obsluhovať stroje</w:t>
      </w:r>
    </w:p>
    <w:p w:rsidR="00FD2D5B" w:rsidRPr="00A00809" w:rsidRDefault="00FD2D5B" w:rsidP="00FD2D5B">
      <w:pPr>
        <w:spacing w:after="0" w:line="240" w:lineRule="auto"/>
        <w:ind w:left="567" w:hanging="567"/>
        <w:rPr>
          <w:rFonts w:ascii="Times New Roman" w:hAnsi="Times New Roman"/>
          <w:noProof/>
          <w:lang w:eastAsia="sk-SK"/>
        </w:rPr>
      </w:pPr>
    </w:p>
    <w:p w:rsidR="00C22F45" w:rsidRPr="00A00809" w:rsidRDefault="00EA43B1" w:rsidP="00C22F45">
      <w:pPr>
        <w:spacing w:after="0" w:line="240" w:lineRule="auto"/>
        <w:rPr>
          <w:rFonts w:ascii="Times New Roman" w:hAnsi="Times New Roman"/>
          <w:lang w:eastAsia="sk-SK"/>
        </w:rPr>
      </w:pPr>
      <w:r w:rsidRPr="002C35E8">
        <w:rPr>
          <w:rFonts w:ascii="Times New Roman" w:hAnsi="Times New Roman"/>
          <w:lang w:eastAsia="sk-SK"/>
        </w:rPr>
        <w:t>Pacienti užívajúci kombináciu amlodipín/valsartan majú pri vedení vozidiel alebo obsluhe strojov vziať do úvahy, že občas sa môžu vyskytnúť závraty alebo únava.</w:t>
      </w:r>
    </w:p>
    <w:p w:rsidR="00C22F45" w:rsidRPr="00A00809" w:rsidRDefault="00EA43B1" w:rsidP="00C22F45">
      <w:pPr>
        <w:spacing w:after="0" w:line="240" w:lineRule="auto"/>
        <w:rPr>
          <w:rFonts w:ascii="Times New Roman" w:hAnsi="Times New Roman"/>
          <w:lang w:eastAsia="sk-SK"/>
        </w:rPr>
      </w:pPr>
      <w:r w:rsidRPr="002C35E8">
        <w:rPr>
          <w:rFonts w:ascii="Times New Roman" w:hAnsi="Times New Roman"/>
          <w:lang w:eastAsia="sk-SK"/>
        </w:rPr>
        <w:t xml:space="preserve">Amlodipín môže mať malý alebo mierny vplyv na schopnosť viesť vozidlá a obsluhovať stroje. Ak pacienti užívajúci amlodipín trpia závratmi, bolesťou hlavy, únavou alebo nutkaním na vracanie, ich schopnosť reagovať môže byť narušená. </w:t>
      </w:r>
    </w:p>
    <w:p w:rsidR="00FD2D5B" w:rsidRPr="00A00809" w:rsidRDefault="00FD2D5B" w:rsidP="00FD2D5B">
      <w:pPr>
        <w:spacing w:after="0" w:line="240" w:lineRule="auto"/>
        <w:rPr>
          <w:rFonts w:ascii="Times New Roman" w:hAnsi="Times New Roman"/>
          <w:lang w:eastAsia="sk-SK"/>
        </w:rPr>
      </w:pPr>
    </w:p>
    <w:p w:rsidR="00FD2D5B" w:rsidRPr="00A00809" w:rsidRDefault="00EA43B1" w:rsidP="00FD2D5B">
      <w:pPr>
        <w:spacing w:after="0" w:line="240" w:lineRule="auto"/>
        <w:ind w:left="567" w:hanging="567"/>
        <w:rPr>
          <w:rFonts w:ascii="Times New Roman" w:hAnsi="Times New Roman"/>
          <w:b/>
          <w:noProof/>
          <w:lang w:eastAsia="sk-SK"/>
        </w:rPr>
      </w:pPr>
      <w:r w:rsidRPr="002C35E8">
        <w:rPr>
          <w:rFonts w:ascii="Times New Roman" w:hAnsi="Times New Roman"/>
          <w:b/>
          <w:noProof/>
          <w:lang w:eastAsia="sk-SK"/>
        </w:rPr>
        <w:t>4.8</w:t>
      </w:r>
      <w:r w:rsidRPr="002C35E8">
        <w:rPr>
          <w:rFonts w:ascii="Times New Roman" w:hAnsi="Times New Roman"/>
          <w:b/>
          <w:noProof/>
          <w:lang w:eastAsia="sk-SK"/>
        </w:rPr>
        <w:tab/>
        <w:t>Nežiaduce účinky</w:t>
      </w:r>
    </w:p>
    <w:p w:rsidR="00FD2D5B" w:rsidRPr="00A00809" w:rsidRDefault="00FD2D5B" w:rsidP="00FD2D5B">
      <w:pPr>
        <w:spacing w:after="0" w:line="240" w:lineRule="auto"/>
        <w:ind w:left="567" w:hanging="567"/>
        <w:rPr>
          <w:rFonts w:ascii="Times New Roman" w:hAnsi="Times New Roman"/>
          <w:i/>
          <w:noProof/>
          <w:lang w:eastAsia="sk-SK"/>
        </w:rPr>
      </w:pPr>
    </w:p>
    <w:p w:rsidR="00682849" w:rsidRPr="00A00809" w:rsidRDefault="00EA43B1" w:rsidP="00682849">
      <w:pPr>
        <w:autoSpaceDE w:val="0"/>
        <w:autoSpaceDN w:val="0"/>
        <w:adjustRightInd w:val="0"/>
        <w:spacing w:after="0" w:line="240" w:lineRule="auto"/>
        <w:rPr>
          <w:rFonts w:ascii="Times New Roman" w:eastAsia="Times New Roman" w:hAnsi="Times New Roman"/>
          <w:iCs/>
          <w:u w:val="single"/>
          <w:lang w:eastAsia="sk-SK"/>
        </w:rPr>
      </w:pPr>
      <w:r w:rsidRPr="002C35E8">
        <w:rPr>
          <w:rFonts w:ascii="Times New Roman" w:eastAsia="Times New Roman" w:hAnsi="Times New Roman"/>
          <w:iCs/>
          <w:u w:val="single"/>
          <w:lang w:eastAsia="sk-SK"/>
        </w:rPr>
        <w:t>Súhrn profilu bezpečnosti</w:t>
      </w:r>
    </w:p>
    <w:p w:rsidR="00682849" w:rsidRPr="00A00809" w:rsidRDefault="00682849" w:rsidP="00682849">
      <w:pPr>
        <w:autoSpaceDE w:val="0"/>
        <w:autoSpaceDN w:val="0"/>
        <w:adjustRightInd w:val="0"/>
        <w:spacing w:after="0" w:line="240" w:lineRule="auto"/>
        <w:rPr>
          <w:rFonts w:ascii="Times New Roman" w:eastAsia="Times New Roman" w:hAnsi="Times New Roman"/>
          <w:lang w:eastAsia="sk-SK"/>
        </w:rPr>
      </w:pPr>
    </w:p>
    <w:p w:rsidR="00C22F45" w:rsidRPr="00A00809" w:rsidRDefault="00EA43B1" w:rsidP="00682849">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 xml:space="preserve">Bezpečnosť kombinácie amlodipín/valsartan sa vyhodnotila v piatich kontrolovaných klinických skúšaniach s 5 175 pacientmi, z ktorých 2 613 dostávalo valsartan v kombinácii s amlodipínom. Zistilo sa, že nasledovné nežiaduce </w:t>
      </w:r>
      <w:r w:rsidR="00077767">
        <w:rPr>
          <w:rFonts w:ascii="Times New Roman" w:eastAsia="Times New Roman" w:hAnsi="Times New Roman"/>
          <w:lang w:eastAsia="sk-SK"/>
        </w:rPr>
        <w:t>účinky</w:t>
      </w:r>
      <w:r w:rsidRPr="002C35E8">
        <w:rPr>
          <w:rFonts w:ascii="Times New Roman" w:eastAsia="Times New Roman" w:hAnsi="Times New Roman"/>
          <w:lang w:eastAsia="sk-SK"/>
        </w:rPr>
        <w:t xml:space="preserve"> sa vyskytujú najčastejšie alebo sú najvýznamnejšie alebo najzávažnejšie: nazofaryngitída, chrípka, precitlivenosť, bolesť hlavy, synkopa, ortostatická hypotenzia, edém, jamkovitý edém, edém tváre, periférny edém, únava, začervenanie, asténia a návaly horúčavy.</w:t>
      </w:r>
    </w:p>
    <w:p w:rsidR="00682849" w:rsidRPr="00A00809"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A00809" w:rsidRDefault="00EA43B1" w:rsidP="00682849">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iCs/>
          <w:u w:val="single"/>
          <w:lang w:eastAsia="sk-SK"/>
        </w:rPr>
        <w:t xml:space="preserve">Tabuľkový prehľad nežiaducich </w:t>
      </w:r>
      <w:r w:rsidR="00077767">
        <w:rPr>
          <w:rFonts w:ascii="Times New Roman" w:eastAsia="Times New Roman" w:hAnsi="Times New Roman"/>
          <w:iCs/>
          <w:u w:val="single"/>
          <w:lang w:eastAsia="sk-SK"/>
        </w:rPr>
        <w:t>účinkov</w:t>
      </w:r>
    </w:p>
    <w:p w:rsidR="00682849" w:rsidRPr="00A00809" w:rsidRDefault="00EA43B1" w:rsidP="00682849">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 xml:space="preserve">Nežiaduce </w:t>
      </w:r>
      <w:r w:rsidR="00077767">
        <w:rPr>
          <w:rFonts w:ascii="Times New Roman" w:eastAsia="Times New Roman" w:hAnsi="Times New Roman"/>
          <w:lang w:eastAsia="sk-SK"/>
        </w:rPr>
        <w:t>účinky</w:t>
      </w:r>
      <w:r w:rsidRPr="002C35E8">
        <w:rPr>
          <w:rFonts w:ascii="Times New Roman" w:eastAsia="Times New Roman" w:hAnsi="Times New Roman"/>
          <w:lang w:eastAsia="sk-SK"/>
        </w:rPr>
        <w:t xml:space="preserve"> sú usporiadané podľa frekvencie výskytu s použitím nasledovnej konvencie: veľmi časté (≥ 1/10); časté (≥ 1/100 až &lt; 1/10); menej časté (≥ 1/1 000 až &lt; 1/100); zriedkavé (≥ 1/10 000 až &lt; 1/1 000); veľmi zriedkavé (&lt; 1/10 000), neznáme (nedajú sa odhadnúť z dostupných údajov).</w:t>
      </w:r>
    </w:p>
    <w:p w:rsidR="00682849" w:rsidRPr="00A00809" w:rsidRDefault="00682849" w:rsidP="00682849">
      <w:pPr>
        <w:widowControl w:val="0"/>
        <w:autoSpaceDE w:val="0"/>
        <w:autoSpaceDN w:val="0"/>
        <w:adjustRightInd w:val="0"/>
        <w:spacing w:after="0" w:line="240" w:lineRule="auto"/>
        <w:rPr>
          <w:rFonts w:ascii="Times New Roman" w:eastAsia="Times New Roman" w:hAnsi="Times New Roman"/>
          <w:sz w:val="24"/>
          <w:szCs w:val="24"/>
        </w:rPr>
      </w:pPr>
    </w:p>
    <w:tbl>
      <w:tblPr>
        <w:tblStyle w:val="Mriekatabuky1"/>
        <w:tblW w:w="9372" w:type="dxa"/>
        <w:jc w:val="center"/>
        <w:tblLayout w:type="fixed"/>
        <w:tblLook w:val="04A0" w:firstRow="1" w:lastRow="0" w:firstColumn="1" w:lastColumn="0" w:noHBand="0" w:noVBand="1"/>
      </w:tblPr>
      <w:tblGrid>
        <w:gridCol w:w="2527"/>
        <w:gridCol w:w="2727"/>
        <w:gridCol w:w="1418"/>
        <w:gridCol w:w="1417"/>
        <w:gridCol w:w="1283"/>
      </w:tblGrid>
      <w:tr w:rsidR="00D264AC" w:rsidRPr="00A00809" w:rsidTr="00956CB9">
        <w:trPr>
          <w:trHeight w:val="283"/>
          <w:jc w:val="center"/>
        </w:trPr>
        <w:tc>
          <w:tcPr>
            <w:tcW w:w="2527" w:type="dxa"/>
            <w:vMerge w:val="restart"/>
          </w:tcPr>
          <w:p w:rsidR="00D264AC" w:rsidRPr="002C35E8" w:rsidRDefault="00EA43B1" w:rsidP="00D264AC">
            <w:pPr>
              <w:spacing w:after="0" w:line="240" w:lineRule="auto"/>
              <w:rPr>
                <w:rFonts w:ascii="Times New Roman" w:eastAsia="MS Mincho" w:hAnsi="Times New Roman"/>
                <w:b/>
                <w:sz w:val="24"/>
                <w:szCs w:val="24"/>
                <w:lang w:val="sk-SK" w:eastAsia="fr-FR"/>
              </w:rPr>
            </w:pPr>
            <w:r w:rsidRPr="002C35E8">
              <w:rPr>
                <w:rFonts w:ascii="Times New Roman" w:eastAsia="MS Mincho" w:hAnsi="Times New Roman"/>
                <w:b/>
                <w:sz w:val="24"/>
                <w:szCs w:val="24"/>
                <w:lang w:val="sk-SK" w:eastAsia="fr-FR"/>
              </w:rPr>
              <w:t>MedDRA</w:t>
            </w:r>
          </w:p>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Times New Roman" w:hAnsi="Times New Roman"/>
                <w:b/>
              </w:rPr>
              <w:t>Trieda orgánových systémov</w:t>
            </w:r>
          </w:p>
        </w:tc>
        <w:tc>
          <w:tcPr>
            <w:tcW w:w="2727" w:type="dxa"/>
            <w:vMerge w:val="restart"/>
          </w:tcPr>
          <w:p w:rsidR="00D264AC" w:rsidRPr="002C35E8" w:rsidRDefault="00EA43B1">
            <w:pPr>
              <w:spacing w:after="0" w:line="240" w:lineRule="auto"/>
              <w:rPr>
                <w:rFonts w:ascii="Times New Roman" w:eastAsia="MS Mincho" w:hAnsi="Times New Roman"/>
                <w:b/>
                <w:sz w:val="24"/>
                <w:szCs w:val="24"/>
                <w:lang w:val="sk-SK" w:eastAsia="fr-FR"/>
              </w:rPr>
            </w:pPr>
            <w:r w:rsidRPr="002C35E8">
              <w:rPr>
                <w:rFonts w:ascii="Times New Roman" w:eastAsia="MS Mincho" w:hAnsi="Times New Roman"/>
                <w:b/>
                <w:sz w:val="24"/>
                <w:szCs w:val="24"/>
                <w:lang w:val="sk-SK" w:eastAsia="fr-FR"/>
              </w:rPr>
              <w:t xml:space="preserve">Nežiaduce </w:t>
            </w:r>
            <w:r w:rsidR="00077767">
              <w:rPr>
                <w:rFonts w:ascii="Times New Roman" w:eastAsia="MS Mincho" w:hAnsi="Times New Roman"/>
                <w:b/>
                <w:sz w:val="24"/>
                <w:szCs w:val="24"/>
                <w:lang w:val="sk-SK" w:eastAsia="fr-FR"/>
              </w:rPr>
              <w:t>účinky</w:t>
            </w:r>
          </w:p>
        </w:tc>
        <w:tc>
          <w:tcPr>
            <w:tcW w:w="4118" w:type="dxa"/>
            <w:gridSpan w:val="3"/>
          </w:tcPr>
          <w:p w:rsidR="00D264AC" w:rsidRPr="002C35E8" w:rsidRDefault="00EA43B1" w:rsidP="002F04C6">
            <w:pPr>
              <w:spacing w:after="0" w:line="240" w:lineRule="auto"/>
              <w:jc w:val="center"/>
              <w:rPr>
                <w:rFonts w:ascii="Times New Roman" w:eastAsia="MS Mincho" w:hAnsi="Times New Roman"/>
                <w:b/>
                <w:sz w:val="24"/>
                <w:szCs w:val="24"/>
                <w:lang w:val="sk-SK" w:eastAsia="fr-FR"/>
              </w:rPr>
            </w:pPr>
            <w:r w:rsidRPr="002C35E8">
              <w:rPr>
                <w:rFonts w:ascii="Times New Roman" w:eastAsia="MS Mincho" w:hAnsi="Times New Roman"/>
                <w:b/>
                <w:sz w:val="24"/>
                <w:szCs w:val="24"/>
                <w:lang w:val="sk-SK" w:eastAsia="fr-FR"/>
              </w:rPr>
              <w:t>Frekvencia</w:t>
            </w:r>
          </w:p>
        </w:tc>
      </w:tr>
      <w:tr w:rsidR="00D264AC" w:rsidRPr="00A00809" w:rsidTr="00956CB9">
        <w:trPr>
          <w:trHeight w:val="567"/>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1418" w:type="dxa"/>
          </w:tcPr>
          <w:p w:rsidR="00D264AC" w:rsidRPr="002C35E8" w:rsidRDefault="00EA43B1" w:rsidP="002F04C6">
            <w:pPr>
              <w:spacing w:after="0" w:line="240" w:lineRule="auto"/>
              <w:rPr>
                <w:rFonts w:ascii="Times New Roman" w:eastAsia="MS Mincho" w:hAnsi="Times New Roman"/>
                <w:b/>
                <w:sz w:val="24"/>
                <w:szCs w:val="24"/>
                <w:lang w:val="sk-SK" w:eastAsia="fr-FR"/>
              </w:rPr>
            </w:pPr>
            <w:r w:rsidRPr="002C35E8">
              <w:rPr>
                <w:rFonts w:ascii="Times New Roman" w:eastAsia="MS Mincho" w:hAnsi="Times New Roman"/>
                <w:b/>
                <w:sz w:val="24"/>
                <w:szCs w:val="24"/>
                <w:lang w:val="sk-SK" w:eastAsia="fr-FR"/>
              </w:rPr>
              <w:t>amlodipín/valsartan</w:t>
            </w:r>
          </w:p>
        </w:tc>
        <w:tc>
          <w:tcPr>
            <w:tcW w:w="1417" w:type="dxa"/>
          </w:tcPr>
          <w:p w:rsidR="00D264AC" w:rsidRPr="002C35E8" w:rsidRDefault="00EA43B1" w:rsidP="002F04C6">
            <w:pPr>
              <w:spacing w:after="0" w:line="240" w:lineRule="auto"/>
              <w:ind w:right="-108"/>
              <w:rPr>
                <w:rFonts w:ascii="Times New Roman" w:eastAsia="MS Mincho" w:hAnsi="Times New Roman"/>
                <w:b/>
                <w:sz w:val="24"/>
                <w:szCs w:val="24"/>
                <w:lang w:val="sk-SK" w:eastAsia="fr-FR"/>
              </w:rPr>
            </w:pPr>
            <w:r w:rsidRPr="002C35E8">
              <w:rPr>
                <w:rFonts w:ascii="Times New Roman" w:eastAsia="MS Mincho" w:hAnsi="Times New Roman"/>
                <w:b/>
                <w:sz w:val="24"/>
                <w:szCs w:val="24"/>
                <w:lang w:val="sk-SK" w:eastAsia="fr-FR"/>
              </w:rPr>
              <w:t>amlodipín</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b/>
                <w:sz w:val="24"/>
                <w:szCs w:val="24"/>
                <w:lang w:val="sk-SK" w:eastAsia="fr-FR"/>
              </w:rPr>
              <w:t>valsartan</w:t>
            </w:r>
          </w:p>
        </w:tc>
      </w:tr>
      <w:tr w:rsidR="00D264AC" w:rsidRPr="00A00809" w:rsidTr="00956CB9">
        <w:trPr>
          <w:trHeight w:val="269"/>
          <w:jc w:val="center"/>
        </w:trPr>
        <w:tc>
          <w:tcPr>
            <w:tcW w:w="2527" w:type="dxa"/>
            <w:vMerge w:val="restart"/>
          </w:tcPr>
          <w:p w:rsidR="00D264AC" w:rsidRPr="002C35E8" w:rsidRDefault="00EA43B1" w:rsidP="008C004E">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Infekcie a nákazy</w:t>
            </w:r>
          </w:p>
        </w:tc>
        <w:tc>
          <w:tcPr>
            <w:tcW w:w="2727" w:type="dxa"/>
          </w:tcPr>
          <w:p w:rsidR="00D264AC" w:rsidRPr="002C35E8" w:rsidRDefault="00F20FF8" w:rsidP="008C004E">
            <w:pPr>
              <w:autoSpaceDE w:val="0"/>
              <w:autoSpaceDN w:val="0"/>
              <w:adjustRightInd w:val="0"/>
              <w:spacing w:after="0" w:line="240" w:lineRule="auto"/>
              <w:rPr>
                <w:rFonts w:ascii="Times New Roman" w:eastAsia="MS Mincho" w:hAnsi="Times New Roman"/>
                <w:color w:val="000000"/>
                <w:sz w:val="24"/>
                <w:szCs w:val="24"/>
                <w:lang w:val="sk-SK"/>
              </w:rPr>
            </w:pPr>
            <w:r>
              <w:rPr>
                <w:rFonts w:ascii="Times New Roman" w:eastAsia="MS Mincho" w:hAnsi="Times New Roman"/>
                <w:color w:val="000000"/>
                <w:sz w:val="24"/>
                <w:szCs w:val="24"/>
                <w:lang w:val="sk-SK"/>
              </w:rPr>
              <w:t>n</w:t>
            </w:r>
            <w:r w:rsidR="00EA43B1" w:rsidRPr="002C35E8">
              <w:rPr>
                <w:rFonts w:ascii="Times New Roman" w:eastAsia="MS Mincho" w:hAnsi="Times New Roman"/>
                <w:color w:val="000000"/>
                <w:sz w:val="24"/>
                <w:szCs w:val="24"/>
                <w:lang w:val="sk-SK"/>
              </w:rPr>
              <w:t>azofaryngitída</w:t>
            </w:r>
          </w:p>
        </w:tc>
        <w:tc>
          <w:tcPr>
            <w:tcW w:w="1418" w:type="dxa"/>
          </w:tcPr>
          <w:p w:rsidR="00D264AC" w:rsidRPr="002C35E8" w:rsidRDefault="00F20FF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75"/>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F20FF8" w:rsidP="00D264AC">
            <w:pPr>
              <w:autoSpaceDE w:val="0"/>
              <w:autoSpaceDN w:val="0"/>
              <w:adjustRightInd w:val="0"/>
              <w:spacing w:after="0" w:line="240" w:lineRule="auto"/>
              <w:rPr>
                <w:rFonts w:ascii="Times New Roman" w:eastAsia="MS Mincho" w:hAnsi="Times New Roman"/>
                <w:color w:val="000000"/>
                <w:sz w:val="24"/>
                <w:szCs w:val="24"/>
                <w:lang w:val="sk-SK"/>
              </w:rPr>
            </w:pPr>
            <w:r>
              <w:rPr>
                <w:rFonts w:ascii="Times New Roman" w:eastAsia="MS Mincho" w:hAnsi="Times New Roman"/>
                <w:color w:val="000000"/>
                <w:sz w:val="24"/>
                <w:szCs w:val="24"/>
                <w:lang w:val="sk-SK"/>
              </w:rPr>
              <w:t>c</w:t>
            </w:r>
            <w:r w:rsidR="00EA43B1" w:rsidRPr="002C35E8">
              <w:rPr>
                <w:rFonts w:ascii="Times New Roman" w:eastAsia="MS Mincho" w:hAnsi="Times New Roman"/>
                <w:color w:val="000000"/>
                <w:sz w:val="24"/>
                <w:szCs w:val="24"/>
                <w:lang w:val="sk-SK"/>
              </w:rPr>
              <w:t>hrípka</w:t>
            </w:r>
          </w:p>
        </w:tc>
        <w:tc>
          <w:tcPr>
            <w:tcW w:w="1418" w:type="dxa"/>
          </w:tcPr>
          <w:p w:rsidR="00D264AC" w:rsidRPr="002C35E8" w:rsidRDefault="00F20FF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565"/>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krvi a lymfatického systému</w:t>
            </w:r>
          </w:p>
        </w:tc>
        <w:tc>
          <w:tcPr>
            <w:tcW w:w="2727" w:type="dxa"/>
          </w:tcPr>
          <w:p w:rsidR="00D264AC" w:rsidRPr="002C35E8" w:rsidRDefault="000355BD" w:rsidP="008C004E">
            <w:pPr>
              <w:autoSpaceDE w:val="0"/>
              <w:autoSpaceDN w:val="0"/>
              <w:adjustRightInd w:val="0"/>
              <w:spacing w:after="0" w:line="240" w:lineRule="auto"/>
              <w:rPr>
                <w:rFonts w:ascii="Times New Roman" w:eastAsia="MS Mincho" w:hAnsi="Times New Roman"/>
                <w:color w:val="000000"/>
                <w:sz w:val="24"/>
                <w:szCs w:val="24"/>
                <w:lang w:val="sk-SK"/>
              </w:rPr>
            </w:pPr>
            <w:r>
              <w:rPr>
                <w:rFonts w:ascii="Times New Roman" w:eastAsia="MS Mincho" w:hAnsi="Times New Roman"/>
                <w:color w:val="000000"/>
                <w:sz w:val="24"/>
                <w:szCs w:val="24"/>
                <w:lang w:val="sk-SK"/>
              </w:rPr>
              <w:t>z</w:t>
            </w:r>
            <w:r w:rsidR="00EA43B1" w:rsidRPr="002C35E8">
              <w:rPr>
                <w:rFonts w:ascii="Times New Roman" w:eastAsia="MS Mincho" w:hAnsi="Times New Roman"/>
                <w:color w:val="000000"/>
                <w:sz w:val="24"/>
                <w:szCs w:val="24"/>
                <w:lang w:val="sk-SK"/>
              </w:rPr>
              <w:t>nížený hemoglobín a hematokrit</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0355BD"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0355BD" w:rsidP="00D264AC">
            <w:pPr>
              <w:autoSpaceDE w:val="0"/>
              <w:autoSpaceDN w:val="0"/>
              <w:adjustRightInd w:val="0"/>
              <w:spacing w:after="0" w:line="240" w:lineRule="auto"/>
              <w:rPr>
                <w:rFonts w:ascii="Times New Roman" w:eastAsia="MS Mincho" w:hAnsi="Times New Roman"/>
                <w:color w:val="000000"/>
                <w:sz w:val="24"/>
                <w:szCs w:val="24"/>
                <w:lang w:val="sk-SK"/>
              </w:rPr>
            </w:pPr>
            <w:r>
              <w:rPr>
                <w:rFonts w:ascii="Times New Roman" w:eastAsia="MS Mincho" w:hAnsi="Times New Roman"/>
                <w:color w:val="000000"/>
                <w:sz w:val="24"/>
                <w:szCs w:val="24"/>
                <w:lang w:val="sk-SK"/>
              </w:rPr>
              <w:t>l</w:t>
            </w:r>
            <w:r w:rsidR="00EA43B1" w:rsidRPr="002C35E8">
              <w:rPr>
                <w:rFonts w:ascii="Times New Roman" w:eastAsia="MS Mincho" w:hAnsi="Times New Roman"/>
                <w:color w:val="000000"/>
                <w:sz w:val="24"/>
                <w:szCs w:val="24"/>
                <w:lang w:val="sk-SK"/>
              </w:rPr>
              <w:t>eukopénia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0355BD"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0355BD" w:rsidP="003044A4">
            <w:pPr>
              <w:autoSpaceDE w:val="0"/>
              <w:autoSpaceDN w:val="0"/>
              <w:adjustRightInd w:val="0"/>
              <w:spacing w:after="0" w:line="240" w:lineRule="auto"/>
              <w:rPr>
                <w:rFonts w:ascii="Times New Roman" w:eastAsia="MS Mincho" w:hAnsi="Times New Roman"/>
                <w:color w:val="000000"/>
                <w:sz w:val="24"/>
                <w:szCs w:val="24"/>
                <w:lang w:val="sk-SK"/>
              </w:rPr>
            </w:pPr>
            <w:r>
              <w:rPr>
                <w:rFonts w:ascii="Times New Roman" w:eastAsia="MS Mincho" w:hAnsi="Times New Roman"/>
                <w:color w:val="000000"/>
                <w:sz w:val="24"/>
                <w:szCs w:val="24"/>
                <w:lang w:val="sk-SK"/>
              </w:rPr>
              <w:t>n</w:t>
            </w:r>
            <w:r w:rsidR="00EA43B1" w:rsidRPr="002C35E8">
              <w:rPr>
                <w:rFonts w:ascii="Times New Roman" w:eastAsia="MS Mincho" w:hAnsi="Times New Roman"/>
                <w:color w:val="000000"/>
                <w:sz w:val="24"/>
                <w:szCs w:val="24"/>
                <w:lang w:val="sk-SK"/>
              </w:rPr>
              <w:t>eutropénia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0355BD"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567"/>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EA43B1" w:rsidP="003044A4">
            <w:pPr>
              <w:autoSpaceDE w:val="0"/>
              <w:autoSpaceDN w:val="0"/>
              <w:adjustRightInd w:val="0"/>
              <w:spacing w:after="0" w:line="240" w:lineRule="auto"/>
              <w:rPr>
                <w:rFonts w:ascii="Times New Roman" w:eastAsia="MS Mincho" w:hAnsi="Times New Roman"/>
                <w:color w:val="000000"/>
                <w:sz w:val="24"/>
                <w:szCs w:val="24"/>
                <w:lang w:val="sk-SK"/>
              </w:rPr>
            </w:pPr>
            <w:r w:rsidRPr="002C35E8">
              <w:rPr>
                <w:rFonts w:ascii="Times New Roman" w:eastAsia="MS Mincho" w:hAnsi="Times New Roman"/>
                <w:color w:val="000000"/>
                <w:sz w:val="24"/>
                <w:szCs w:val="24"/>
                <w:lang w:val="sk-SK"/>
              </w:rPr>
              <w:t>trombocytopénia, niekedy s purpurou</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0355BD"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0355BD"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567"/>
          <w:jc w:val="center"/>
        </w:trPr>
        <w:tc>
          <w:tcPr>
            <w:tcW w:w="252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imunitného systému</w:t>
            </w:r>
          </w:p>
        </w:tc>
        <w:tc>
          <w:tcPr>
            <w:tcW w:w="2727" w:type="dxa"/>
          </w:tcPr>
          <w:p w:rsidR="00D264AC" w:rsidRPr="002C35E8" w:rsidRDefault="000355BD" w:rsidP="00D264AC">
            <w:pPr>
              <w:autoSpaceDE w:val="0"/>
              <w:autoSpaceDN w:val="0"/>
              <w:adjustRightInd w:val="0"/>
              <w:spacing w:after="0" w:line="240" w:lineRule="auto"/>
              <w:rPr>
                <w:rFonts w:ascii="Times New Roman" w:eastAsia="MS Mincho" w:hAnsi="Times New Roman"/>
                <w:color w:val="000000"/>
                <w:sz w:val="24"/>
                <w:szCs w:val="24"/>
                <w:lang w:val="sk-SK"/>
              </w:rPr>
            </w:pPr>
            <w:r>
              <w:rPr>
                <w:rFonts w:ascii="Times New Roman" w:eastAsia="MS Mincho" w:hAnsi="Times New Roman"/>
                <w:color w:val="000000"/>
                <w:sz w:val="24"/>
                <w:szCs w:val="24"/>
                <w:lang w:val="sk-SK"/>
              </w:rPr>
              <w:t>p</w:t>
            </w:r>
            <w:r w:rsidR="00EA43B1" w:rsidRPr="002C35E8">
              <w:rPr>
                <w:rFonts w:ascii="Times New Roman" w:eastAsia="MS Mincho" w:hAnsi="Times New Roman"/>
                <w:color w:val="000000"/>
                <w:sz w:val="24"/>
                <w:szCs w:val="24"/>
                <w:lang w:val="sk-SK"/>
              </w:rPr>
              <w:t>recitlivenosť</w:t>
            </w:r>
          </w:p>
        </w:tc>
        <w:tc>
          <w:tcPr>
            <w:tcW w:w="1418" w:type="dxa"/>
          </w:tcPr>
          <w:p w:rsidR="00D264AC" w:rsidRPr="002C35E8" w:rsidRDefault="000355BD"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0355BD"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0355BD"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val="restart"/>
          </w:tcPr>
          <w:p w:rsidR="00D264AC" w:rsidRPr="002C35E8" w:rsidRDefault="00EA43B1" w:rsidP="003044A4">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metabolizmu a výživy</w:t>
            </w: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a</w:t>
            </w:r>
            <w:r w:rsidR="00EA43B1" w:rsidRPr="002C35E8">
              <w:rPr>
                <w:rFonts w:ascii="Times New Roman" w:eastAsia="MS Mincho" w:hAnsi="Times New Roman"/>
                <w:sz w:val="24"/>
                <w:szCs w:val="24"/>
                <w:lang w:val="sk-SK" w:eastAsia="fr-FR"/>
              </w:rPr>
              <w:t>norexia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yperkalciémia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yperglykémia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yperlipidémia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yperurikémia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ypokaliémia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ind w:left="176" w:hanging="176"/>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yponatriémia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3044A4">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Psychické poruchy</w:t>
            </w:r>
          </w:p>
        </w:tc>
        <w:tc>
          <w:tcPr>
            <w:tcW w:w="2727" w:type="dxa"/>
          </w:tcPr>
          <w:p w:rsidR="00D264AC" w:rsidRPr="002C35E8" w:rsidRDefault="00B91A58" w:rsidP="003044A4">
            <w:pPr>
              <w:spacing w:after="0" w:line="240" w:lineRule="auto"/>
              <w:ind w:left="176" w:hanging="176"/>
              <w:rPr>
                <w:rFonts w:ascii="Times New Roman" w:eastAsia="MS Mincho" w:hAnsi="Times New Roman"/>
                <w:sz w:val="24"/>
                <w:szCs w:val="24"/>
                <w:lang w:val="sk-SK" w:eastAsia="fr-FR"/>
              </w:rPr>
            </w:pPr>
            <w:r>
              <w:rPr>
                <w:rFonts w:ascii="Times New Roman" w:eastAsia="MS Mincho" w:hAnsi="Times New Roman"/>
                <w:sz w:val="24"/>
                <w:szCs w:val="24"/>
                <w:lang w:val="sk-SK" w:eastAsia="fr-FR"/>
              </w:rPr>
              <w:t>d</w:t>
            </w:r>
            <w:r w:rsidR="00EA43B1" w:rsidRPr="002C35E8">
              <w:rPr>
                <w:rFonts w:ascii="Times New Roman" w:eastAsia="MS Mincho" w:hAnsi="Times New Roman"/>
                <w:sz w:val="24"/>
                <w:szCs w:val="24"/>
                <w:lang w:val="sk-SK" w:eastAsia="fr-FR"/>
              </w:rPr>
              <w:t>epresia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ind w:left="176" w:hanging="176"/>
              <w:rPr>
                <w:rFonts w:ascii="Times New Roman" w:eastAsia="MS Mincho" w:hAnsi="Times New Roman"/>
                <w:sz w:val="24"/>
                <w:szCs w:val="24"/>
                <w:lang w:val="sk-SK" w:eastAsia="fr-FR"/>
              </w:rPr>
            </w:pPr>
            <w:r>
              <w:rPr>
                <w:rFonts w:ascii="Times New Roman" w:eastAsia="MS Mincho" w:hAnsi="Times New Roman"/>
                <w:sz w:val="24"/>
                <w:szCs w:val="24"/>
                <w:lang w:val="sk-SK" w:eastAsia="fr-FR"/>
              </w:rPr>
              <w:t>ú</w:t>
            </w:r>
            <w:r w:rsidR="00EA43B1" w:rsidRPr="002C35E8">
              <w:rPr>
                <w:rFonts w:ascii="Times New Roman" w:eastAsia="MS Mincho" w:hAnsi="Times New Roman"/>
                <w:sz w:val="24"/>
                <w:szCs w:val="24"/>
                <w:lang w:val="sk-SK" w:eastAsia="fr-FR"/>
              </w:rPr>
              <w:t>zkosť</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espavosť/poruchy spánku</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ind w:left="176" w:hanging="176"/>
              <w:rPr>
                <w:rFonts w:ascii="Times New Roman" w:eastAsia="MS Mincho" w:hAnsi="Times New Roman"/>
                <w:sz w:val="24"/>
                <w:szCs w:val="24"/>
                <w:lang w:val="sk-SK" w:eastAsia="fr-FR"/>
              </w:rPr>
            </w:pPr>
            <w:r>
              <w:rPr>
                <w:rFonts w:ascii="Times New Roman" w:eastAsia="MS Mincho" w:hAnsi="Times New Roman"/>
                <w:sz w:val="24"/>
                <w:szCs w:val="24"/>
                <w:lang w:val="sk-SK" w:eastAsia="fr-FR"/>
              </w:rPr>
              <w:t>k</w:t>
            </w:r>
            <w:r w:rsidR="00EA43B1" w:rsidRPr="002C35E8">
              <w:rPr>
                <w:rFonts w:ascii="Times New Roman" w:eastAsia="MS Mincho" w:hAnsi="Times New Roman"/>
                <w:sz w:val="24"/>
                <w:szCs w:val="24"/>
                <w:lang w:val="sk-SK" w:eastAsia="fr-FR"/>
              </w:rPr>
              <w:t>olísanie nálady</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ind w:left="176" w:hanging="176"/>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mätenosť</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nervového systému</w:t>
            </w:r>
          </w:p>
        </w:tc>
        <w:tc>
          <w:tcPr>
            <w:tcW w:w="2727" w:type="dxa"/>
          </w:tcPr>
          <w:p w:rsidR="00D264AC" w:rsidRPr="002C35E8" w:rsidRDefault="00B91A58" w:rsidP="003044A4">
            <w:pPr>
              <w:spacing w:after="0" w:line="240" w:lineRule="auto"/>
              <w:ind w:right="-159"/>
              <w:rPr>
                <w:rFonts w:ascii="Times New Roman" w:eastAsia="MS Mincho" w:hAnsi="Times New Roman"/>
                <w:sz w:val="24"/>
                <w:szCs w:val="24"/>
                <w:lang w:val="sk-SK" w:eastAsia="fr-FR"/>
              </w:rPr>
            </w:pPr>
            <w:r>
              <w:rPr>
                <w:rFonts w:ascii="Times New Roman" w:eastAsia="MS Mincho" w:hAnsi="Times New Roman"/>
                <w:sz w:val="24"/>
                <w:szCs w:val="24"/>
                <w:lang w:val="sk-SK" w:eastAsia="fr-FR"/>
              </w:rPr>
              <w:t>a</w:t>
            </w:r>
            <w:r w:rsidR="00EA43B1" w:rsidRPr="002C35E8">
              <w:rPr>
                <w:rFonts w:ascii="Times New Roman" w:eastAsia="MS Mincho" w:hAnsi="Times New Roman"/>
                <w:sz w:val="24"/>
                <w:szCs w:val="24"/>
                <w:lang w:val="sk-SK" w:eastAsia="fr-FR"/>
              </w:rPr>
              <w:t>bnormálna koordinácia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ávraty</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osturálne závraty</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d</w:t>
            </w:r>
            <w:r w:rsidR="00EA43B1" w:rsidRPr="002C35E8">
              <w:rPr>
                <w:rFonts w:ascii="Times New Roman" w:eastAsia="MS Mincho" w:hAnsi="Times New Roman"/>
                <w:sz w:val="24"/>
                <w:szCs w:val="24"/>
                <w:lang w:val="sk-SK" w:eastAsia="fr-FR"/>
              </w:rPr>
              <w:t>ysgeúzia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e</w:t>
            </w:r>
            <w:r w:rsidR="00EA43B1" w:rsidRPr="002C35E8">
              <w:rPr>
                <w:rFonts w:ascii="Times New Roman" w:eastAsia="MS Mincho" w:hAnsi="Times New Roman"/>
                <w:sz w:val="24"/>
                <w:szCs w:val="24"/>
                <w:lang w:val="sk-SK" w:eastAsia="fr-FR"/>
              </w:rPr>
              <w:t>xtrapyramídový syndróm</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b</w:t>
            </w:r>
            <w:r w:rsidR="00EA43B1" w:rsidRPr="002C35E8">
              <w:rPr>
                <w:rFonts w:ascii="Times New Roman" w:eastAsia="MS Mincho" w:hAnsi="Times New Roman"/>
                <w:sz w:val="24"/>
                <w:szCs w:val="24"/>
                <w:lang w:val="sk-SK" w:eastAsia="fr-FR"/>
              </w:rPr>
              <w:t>olesť hlavy</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ypertónia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arestézia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eriférna neuropatia, neuropatia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3044A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s</w:t>
            </w:r>
            <w:r w:rsidR="00EA43B1" w:rsidRPr="002C35E8">
              <w:rPr>
                <w:rFonts w:ascii="Times New Roman" w:eastAsia="MS Mincho" w:hAnsi="Times New Roman"/>
                <w:sz w:val="24"/>
                <w:szCs w:val="24"/>
                <w:lang w:val="sk-SK" w:eastAsia="fr-FR"/>
              </w:rPr>
              <w:t>omnolencia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063A2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s</w:t>
            </w:r>
            <w:r w:rsidR="00EA43B1" w:rsidRPr="002C35E8">
              <w:rPr>
                <w:rFonts w:ascii="Times New Roman" w:eastAsia="MS Mincho" w:hAnsi="Times New Roman"/>
                <w:sz w:val="24"/>
                <w:szCs w:val="24"/>
                <w:lang w:val="sk-SK" w:eastAsia="fr-FR"/>
              </w:rPr>
              <w:t>ynkopa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t</w:t>
            </w:r>
            <w:r w:rsidR="00EA43B1" w:rsidRPr="002C35E8">
              <w:rPr>
                <w:rFonts w:ascii="Times New Roman" w:eastAsia="MS Mincho" w:hAnsi="Times New Roman"/>
                <w:sz w:val="24"/>
                <w:szCs w:val="24"/>
                <w:lang w:val="sk-SK" w:eastAsia="fr-FR"/>
              </w:rPr>
              <w:t>remor</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063A2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ypestézia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28"/>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oka</w:t>
            </w: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oruchy videnia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76"/>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horšenie videnia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1"/>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ucha a labyrintu</w:t>
            </w:r>
          </w:p>
        </w:tc>
        <w:tc>
          <w:tcPr>
            <w:tcW w:w="2727" w:type="dxa"/>
          </w:tcPr>
          <w:p w:rsidR="00D264AC" w:rsidRPr="002C35E8" w:rsidRDefault="00B91A58" w:rsidP="00063A2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t</w:t>
            </w:r>
            <w:r w:rsidR="00EA43B1" w:rsidRPr="002C35E8">
              <w:rPr>
                <w:rFonts w:ascii="Times New Roman" w:eastAsia="MS Mincho" w:hAnsi="Times New Roman"/>
                <w:sz w:val="24"/>
                <w:szCs w:val="24"/>
                <w:lang w:val="sk-SK" w:eastAsia="fr-FR"/>
              </w:rPr>
              <w:t>initus</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7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ertigo</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B91A58" w:rsidP="00D264AC">
            <w:pPr>
              <w:spacing w:after="0" w:line="240" w:lineRule="auto"/>
              <w:ind w:left="-57" w:right="-51"/>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r>
      <w:tr w:rsidR="00D264AC" w:rsidRPr="00A00809" w:rsidTr="00956CB9">
        <w:trPr>
          <w:trHeight w:val="283"/>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srdca a srdcovej činnosti</w:t>
            </w:r>
          </w:p>
        </w:tc>
        <w:tc>
          <w:tcPr>
            <w:tcW w:w="2727" w:type="dxa"/>
          </w:tcPr>
          <w:p w:rsidR="00D264AC" w:rsidRPr="002C35E8" w:rsidRDefault="00B91A58" w:rsidP="00063A24">
            <w:pPr>
              <w:spacing w:after="0" w:line="240" w:lineRule="auto"/>
              <w:ind w:left="176" w:hanging="176"/>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alpitácie</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063A24">
            <w:pPr>
              <w:spacing w:after="0" w:line="240" w:lineRule="auto"/>
              <w:ind w:left="176" w:hanging="176"/>
              <w:rPr>
                <w:rFonts w:ascii="Times New Roman" w:eastAsia="MS Mincho" w:hAnsi="Times New Roman"/>
                <w:sz w:val="24"/>
                <w:szCs w:val="24"/>
                <w:lang w:val="sk-SK" w:eastAsia="fr-FR"/>
              </w:rPr>
            </w:pPr>
            <w:r>
              <w:rPr>
                <w:rFonts w:ascii="Times New Roman" w:eastAsia="MS Mincho" w:hAnsi="Times New Roman"/>
                <w:sz w:val="24"/>
                <w:szCs w:val="24"/>
                <w:lang w:val="sk-SK" w:eastAsia="fr-FR"/>
              </w:rPr>
              <w:t>s</w:t>
            </w:r>
            <w:r w:rsidR="00EA43B1" w:rsidRPr="002C35E8">
              <w:rPr>
                <w:rFonts w:ascii="Times New Roman" w:eastAsia="MS Mincho" w:hAnsi="Times New Roman"/>
                <w:sz w:val="24"/>
                <w:szCs w:val="24"/>
                <w:lang w:val="sk-SK" w:eastAsia="fr-FR"/>
              </w:rPr>
              <w:t>ynkopa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063A2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t</w:t>
            </w:r>
            <w:r w:rsidR="00EA43B1" w:rsidRPr="002C35E8">
              <w:rPr>
                <w:rFonts w:ascii="Times New Roman" w:eastAsia="MS Mincho" w:hAnsi="Times New Roman"/>
                <w:sz w:val="24"/>
                <w:szCs w:val="24"/>
                <w:lang w:val="sk-SK" w:eastAsia="fr-FR"/>
              </w:rPr>
              <w:t>achykardia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9F7E7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a</w:t>
            </w:r>
            <w:r w:rsidR="00EA43B1" w:rsidRPr="002C35E8">
              <w:rPr>
                <w:rFonts w:ascii="Times New Roman" w:eastAsia="MS Mincho" w:hAnsi="Times New Roman"/>
                <w:sz w:val="24"/>
                <w:szCs w:val="24"/>
                <w:lang w:val="sk-SK" w:eastAsia="fr-FR"/>
              </w:rPr>
              <w:t>rytmie (vrátane bradykardie, ventrikulárnej tachykardie a atri</w:t>
            </w:r>
            <w:r>
              <w:rPr>
                <w:rFonts w:ascii="Times New Roman" w:eastAsia="MS Mincho" w:hAnsi="Times New Roman"/>
                <w:sz w:val="24"/>
                <w:szCs w:val="24"/>
                <w:lang w:val="sk-SK" w:eastAsia="fr-FR"/>
              </w:rPr>
              <w:t>á</w:t>
            </w:r>
            <w:r w:rsidR="00EA43B1" w:rsidRPr="002C35E8">
              <w:rPr>
                <w:rFonts w:ascii="Times New Roman" w:eastAsia="MS Mincho" w:hAnsi="Times New Roman"/>
                <w:sz w:val="24"/>
                <w:szCs w:val="24"/>
                <w:lang w:val="sk-SK" w:eastAsia="fr-FR"/>
              </w:rPr>
              <w:t>lnej fibrilácie)</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i</w:t>
            </w:r>
            <w:r w:rsidR="00EA43B1" w:rsidRPr="002C35E8">
              <w:rPr>
                <w:rFonts w:ascii="Times New Roman" w:eastAsia="MS Mincho" w:hAnsi="Times New Roman"/>
                <w:sz w:val="24"/>
                <w:szCs w:val="24"/>
                <w:lang w:val="sk-SK" w:eastAsia="fr-FR"/>
              </w:rPr>
              <w:t>nfarkt myokardu</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ciev</w:t>
            </w:r>
          </w:p>
        </w:tc>
        <w:tc>
          <w:tcPr>
            <w:tcW w:w="272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začervenanie</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063A24">
            <w:pPr>
              <w:spacing w:after="0" w:line="240" w:lineRule="auto"/>
              <w:ind w:left="170" w:hanging="170"/>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ypotenzia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063A24">
            <w:pPr>
              <w:spacing w:after="0" w:line="240" w:lineRule="auto"/>
              <w:ind w:left="170" w:hanging="170"/>
              <w:rPr>
                <w:rFonts w:ascii="Times New Roman" w:eastAsia="MS Mincho" w:hAnsi="Times New Roman"/>
                <w:sz w:val="24"/>
                <w:szCs w:val="24"/>
                <w:lang w:val="sk-SK" w:eastAsia="fr-FR"/>
              </w:rPr>
            </w:pPr>
            <w:r>
              <w:rPr>
                <w:rFonts w:ascii="Times New Roman" w:eastAsia="MS Mincho" w:hAnsi="Times New Roman"/>
                <w:sz w:val="24"/>
                <w:szCs w:val="24"/>
                <w:lang w:val="sk-SK" w:eastAsia="fr-FR"/>
              </w:rPr>
              <w:t>o</w:t>
            </w:r>
            <w:r w:rsidR="00EA43B1" w:rsidRPr="002C35E8">
              <w:rPr>
                <w:rFonts w:ascii="Times New Roman" w:eastAsia="MS Mincho" w:hAnsi="Times New Roman"/>
                <w:sz w:val="24"/>
                <w:szCs w:val="24"/>
                <w:lang w:val="sk-SK" w:eastAsia="fr-FR"/>
              </w:rPr>
              <w:t>rtostatická hypotenzia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063A24">
            <w:pPr>
              <w:spacing w:after="0" w:line="240" w:lineRule="auto"/>
              <w:ind w:left="170" w:hanging="170"/>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askulitída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val="restart"/>
          </w:tcPr>
          <w:p w:rsidR="00D264AC" w:rsidRPr="002C35E8" w:rsidRDefault="00EA43B1" w:rsidP="00921E31">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dýchacej sústavy, hrudníka a mediastína</w:t>
            </w: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k</w:t>
            </w:r>
            <w:r w:rsidR="00EA43B1" w:rsidRPr="002C35E8">
              <w:rPr>
                <w:rFonts w:ascii="Times New Roman" w:eastAsia="MS Mincho" w:hAnsi="Times New Roman"/>
                <w:sz w:val="24"/>
                <w:szCs w:val="24"/>
                <w:lang w:val="sk-SK" w:eastAsia="fr-FR"/>
              </w:rPr>
              <w:t>ašeľ</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B91A58" w:rsidP="00D264AC">
            <w:pPr>
              <w:spacing w:after="0" w:line="240" w:lineRule="auto"/>
              <w:ind w:left="-57" w:right="-51"/>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921E31">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d</w:t>
            </w:r>
            <w:r w:rsidR="00EA43B1" w:rsidRPr="002C35E8">
              <w:rPr>
                <w:rFonts w:ascii="Times New Roman" w:eastAsia="MS Mincho" w:hAnsi="Times New Roman"/>
                <w:sz w:val="24"/>
                <w:szCs w:val="24"/>
                <w:lang w:val="sk-SK" w:eastAsia="fr-FR"/>
              </w:rPr>
              <w:t>yspnoe</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921E31">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f</w:t>
            </w:r>
            <w:r w:rsidR="00EA43B1" w:rsidRPr="002C35E8">
              <w:rPr>
                <w:rFonts w:ascii="Times New Roman" w:eastAsia="MS Mincho" w:hAnsi="Times New Roman"/>
                <w:sz w:val="24"/>
                <w:szCs w:val="24"/>
                <w:lang w:val="sk-SK" w:eastAsia="fr-FR"/>
              </w:rPr>
              <w:t>aryngolaryngeálna bolesť</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921E31">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r</w:t>
            </w:r>
            <w:r w:rsidR="00EA43B1" w:rsidRPr="002C35E8">
              <w:rPr>
                <w:rFonts w:ascii="Times New Roman" w:eastAsia="MS Mincho" w:hAnsi="Times New Roman"/>
                <w:sz w:val="24"/>
                <w:szCs w:val="24"/>
                <w:lang w:val="sk-SK" w:eastAsia="fr-FR"/>
              </w:rPr>
              <w:t>initída</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921E31">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gastrointestinálneho traktu</w:t>
            </w: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epríjemné pocity v bruchu, bolesť v hornej časti brucha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B91A58" w:rsidP="00D264AC">
            <w:pPr>
              <w:spacing w:after="0" w:line="240" w:lineRule="auto"/>
              <w:ind w:left="-57" w:right="-51"/>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mena vo vyprázdňovaní čriev</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ápcha</w:t>
            </w:r>
          </w:p>
        </w:tc>
        <w:tc>
          <w:tcPr>
            <w:tcW w:w="1418"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načka</w:t>
            </w:r>
          </w:p>
        </w:tc>
        <w:tc>
          <w:tcPr>
            <w:tcW w:w="1418"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s</w:t>
            </w:r>
            <w:r w:rsidR="00EA43B1" w:rsidRPr="002C35E8">
              <w:rPr>
                <w:rFonts w:ascii="Times New Roman" w:eastAsia="MS Mincho" w:hAnsi="Times New Roman"/>
                <w:sz w:val="24"/>
                <w:szCs w:val="24"/>
                <w:lang w:val="sk-SK" w:eastAsia="fr-FR"/>
              </w:rPr>
              <w:t>ucho v ústach</w:t>
            </w:r>
          </w:p>
        </w:tc>
        <w:tc>
          <w:tcPr>
            <w:tcW w:w="1418"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29"/>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d</w:t>
            </w:r>
            <w:r w:rsidR="00EA43B1" w:rsidRPr="002C35E8">
              <w:rPr>
                <w:rFonts w:ascii="Times New Roman" w:eastAsia="MS Mincho" w:hAnsi="Times New Roman"/>
                <w:sz w:val="24"/>
                <w:szCs w:val="24"/>
                <w:lang w:val="sk-SK" w:eastAsia="fr-FR"/>
              </w:rPr>
              <w:t>yspepsia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g</w:t>
            </w:r>
            <w:r w:rsidR="00EA43B1" w:rsidRPr="002C35E8">
              <w:rPr>
                <w:rFonts w:ascii="Times New Roman" w:eastAsia="MS Mincho" w:hAnsi="Times New Roman"/>
                <w:sz w:val="24"/>
                <w:szCs w:val="24"/>
                <w:lang w:val="sk-SK" w:eastAsia="fr-FR"/>
              </w:rPr>
              <w:t>astritída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yperplázia ďasien</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auzea</w:t>
            </w:r>
          </w:p>
        </w:tc>
        <w:tc>
          <w:tcPr>
            <w:tcW w:w="1418"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ankreatitída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racanie</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pečene a žlčových ciest</w:t>
            </w: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a</w:t>
            </w:r>
            <w:r w:rsidR="00EA43B1" w:rsidRPr="002C35E8">
              <w:rPr>
                <w:rFonts w:ascii="Times New Roman" w:eastAsia="MS Mincho" w:hAnsi="Times New Roman"/>
                <w:sz w:val="24"/>
                <w:szCs w:val="24"/>
                <w:lang w:val="sk-SK" w:eastAsia="fr-FR"/>
              </w:rPr>
              <w:t>bnormálne funkčné testy pečene vrátane zvýšenia bilirubínu v krvi</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epatitída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i</w:t>
            </w:r>
            <w:r w:rsidR="00EA43B1" w:rsidRPr="002C35E8">
              <w:rPr>
                <w:rFonts w:ascii="Times New Roman" w:eastAsia="MS Mincho" w:hAnsi="Times New Roman"/>
                <w:sz w:val="24"/>
                <w:szCs w:val="24"/>
                <w:lang w:val="sk-SK" w:eastAsia="fr-FR"/>
              </w:rPr>
              <w:t>ntrahepatálna cholestáza, žltačka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kože a podkožného tkaniva</w:t>
            </w: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a</w:t>
            </w:r>
            <w:r w:rsidR="00EA43B1" w:rsidRPr="002C35E8">
              <w:rPr>
                <w:rFonts w:ascii="Times New Roman" w:eastAsia="MS Mincho" w:hAnsi="Times New Roman"/>
                <w:sz w:val="24"/>
                <w:szCs w:val="24"/>
                <w:lang w:val="sk-SK" w:eastAsia="fr-FR"/>
              </w:rPr>
              <w:t>lopécia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a</w:t>
            </w:r>
            <w:r w:rsidR="00EA43B1" w:rsidRPr="002C35E8">
              <w:rPr>
                <w:rFonts w:ascii="Times New Roman" w:eastAsia="MS Mincho" w:hAnsi="Times New Roman"/>
                <w:sz w:val="24"/>
                <w:szCs w:val="24"/>
                <w:lang w:val="sk-SK" w:eastAsia="fr-FR"/>
              </w:rPr>
              <w:t>ngioedém</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Borders>
              <w:bottom w:val="single" w:sz="4" w:space="0" w:color="auto"/>
            </w:tcBorders>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b</w:t>
            </w:r>
            <w:r w:rsidR="00EA43B1" w:rsidRPr="002C35E8">
              <w:rPr>
                <w:rFonts w:ascii="Times New Roman" w:eastAsia="MS Mincho" w:hAnsi="Times New Roman"/>
                <w:sz w:val="24"/>
                <w:szCs w:val="24"/>
                <w:lang w:val="sk-SK" w:eastAsia="fr-FR"/>
              </w:rPr>
              <w:t>ulózna dermatitída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e</w:t>
            </w:r>
            <w:r w:rsidR="00EA43B1" w:rsidRPr="002C35E8">
              <w:rPr>
                <w:rFonts w:ascii="Times New Roman" w:eastAsia="MS Mincho" w:hAnsi="Times New Roman"/>
                <w:sz w:val="24"/>
                <w:szCs w:val="24"/>
                <w:lang w:val="sk-SK" w:eastAsia="fr-FR"/>
              </w:rPr>
              <w:t>rytém</w:t>
            </w:r>
          </w:p>
        </w:tc>
        <w:tc>
          <w:tcPr>
            <w:tcW w:w="1418"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ultiformný erytém</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CA4BBD">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e</w:t>
            </w:r>
            <w:r w:rsidR="00EA43B1" w:rsidRPr="002C35E8">
              <w:rPr>
                <w:rFonts w:ascii="Times New Roman" w:eastAsia="MS Mincho" w:hAnsi="Times New Roman"/>
                <w:sz w:val="24"/>
                <w:szCs w:val="24"/>
                <w:lang w:val="sk-SK" w:eastAsia="fr-FR"/>
              </w:rPr>
              <w:t>xantém</w:t>
            </w:r>
          </w:p>
        </w:tc>
        <w:tc>
          <w:tcPr>
            <w:tcW w:w="1418"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7461E0">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h</w:t>
            </w:r>
            <w:r w:rsidR="00EA43B1" w:rsidRPr="002C35E8">
              <w:rPr>
                <w:rFonts w:ascii="Times New Roman" w:eastAsia="MS Mincho" w:hAnsi="Times New Roman"/>
                <w:sz w:val="24"/>
                <w:szCs w:val="24"/>
                <w:lang w:val="sk-SK" w:eastAsia="fr-FR"/>
              </w:rPr>
              <w:t>yperhidróza</w:t>
            </w:r>
          </w:p>
        </w:tc>
        <w:tc>
          <w:tcPr>
            <w:tcW w:w="1418"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7461E0">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f</w:t>
            </w:r>
            <w:r w:rsidR="00EA43B1" w:rsidRPr="002C35E8">
              <w:rPr>
                <w:rFonts w:ascii="Times New Roman" w:eastAsia="MS Mincho" w:hAnsi="Times New Roman"/>
                <w:sz w:val="24"/>
                <w:szCs w:val="24"/>
                <w:lang w:val="sk-SK" w:eastAsia="fr-FR"/>
              </w:rPr>
              <w:t>otosenzitívna reakcia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ruritus</w:t>
            </w:r>
          </w:p>
        </w:tc>
        <w:tc>
          <w:tcPr>
            <w:tcW w:w="1418"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urpura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yrážka</w:t>
            </w:r>
          </w:p>
        </w:tc>
        <w:tc>
          <w:tcPr>
            <w:tcW w:w="1418"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mena farby kože</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Borders>
              <w:bottom w:val="single" w:sz="4" w:space="0" w:color="auto"/>
            </w:tcBorders>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A77E6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u</w:t>
            </w:r>
            <w:r w:rsidR="00EA43B1" w:rsidRPr="002C35E8">
              <w:rPr>
                <w:rFonts w:ascii="Times New Roman" w:eastAsia="MS Mincho" w:hAnsi="Times New Roman"/>
                <w:sz w:val="24"/>
                <w:szCs w:val="24"/>
                <w:lang w:val="sk-SK" w:eastAsia="fr-FR"/>
              </w:rPr>
              <w:t>rtikária a iné formy exantému</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Borders>
              <w:top w:val="single" w:sz="4" w:space="0" w:color="auto"/>
            </w:tcBorders>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7461E0">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e</w:t>
            </w:r>
            <w:r w:rsidR="00EA43B1" w:rsidRPr="002C35E8">
              <w:rPr>
                <w:rFonts w:ascii="Times New Roman" w:eastAsia="MS Mincho" w:hAnsi="Times New Roman"/>
                <w:sz w:val="24"/>
                <w:szCs w:val="24"/>
                <w:lang w:val="sk-SK" w:eastAsia="fr-FR"/>
              </w:rPr>
              <w:t>xfoliatívna dermatitída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270C1B" w:rsidP="007461E0">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S</w:t>
            </w:r>
            <w:r w:rsidR="00EA43B1" w:rsidRPr="002C35E8">
              <w:rPr>
                <w:rFonts w:ascii="Times New Roman" w:eastAsia="MS Mincho" w:hAnsi="Times New Roman"/>
                <w:sz w:val="24"/>
                <w:szCs w:val="24"/>
                <w:lang w:val="sk-SK" w:eastAsia="fr-FR"/>
              </w:rPr>
              <w:t>tevensov-Johnsonov syndróm</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B91A58" w:rsidP="007461E0">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q</w:t>
            </w:r>
            <w:r w:rsidR="00EA43B1" w:rsidRPr="002C35E8">
              <w:rPr>
                <w:rFonts w:ascii="Times New Roman" w:eastAsia="MS Mincho" w:hAnsi="Times New Roman"/>
                <w:sz w:val="24"/>
                <w:szCs w:val="24"/>
                <w:lang w:val="sk-SK" w:eastAsia="fr-FR"/>
              </w:rPr>
              <w:t>uinckeho edém</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B91A58"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v</w:t>
            </w:r>
            <w:r w:rsidR="00EA43B1" w:rsidRPr="002C35E8">
              <w:rPr>
                <w:rFonts w:ascii="Times New Roman" w:eastAsia="MS Mincho" w:hAnsi="Times New Roman"/>
                <w:sz w:val="24"/>
                <w:szCs w:val="24"/>
                <w:lang w:val="sk-SK" w:eastAsia="fr-FR"/>
              </w:rPr>
              <w:t>eľmi zriedkavé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7461E0">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kostrovej a svalovej sústavy a spojivového tkaniva</w:t>
            </w:r>
          </w:p>
        </w:tc>
        <w:tc>
          <w:tcPr>
            <w:tcW w:w="2727" w:type="dxa"/>
          </w:tcPr>
          <w:p w:rsidR="00D264AC" w:rsidRPr="002C35E8" w:rsidRDefault="00F05E55" w:rsidP="007461E0">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a</w:t>
            </w:r>
            <w:r w:rsidR="00EA43B1" w:rsidRPr="002C35E8">
              <w:rPr>
                <w:rFonts w:ascii="Times New Roman" w:eastAsia="MS Mincho" w:hAnsi="Times New Roman"/>
                <w:sz w:val="24"/>
                <w:szCs w:val="24"/>
                <w:lang w:val="sk-SK" w:eastAsia="fr-FR"/>
              </w:rPr>
              <w:t>rtralgia</w:t>
            </w:r>
          </w:p>
        </w:tc>
        <w:tc>
          <w:tcPr>
            <w:tcW w:w="1418" w:type="dxa"/>
          </w:tcPr>
          <w:p w:rsidR="00D264AC" w:rsidRPr="002C35E8" w:rsidRDefault="00F05E55"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F05E55"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F05E55" w:rsidP="007461E0">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b</w:t>
            </w:r>
            <w:r w:rsidR="00EA43B1" w:rsidRPr="002C35E8">
              <w:rPr>
                <w:rFonts w:ascii="Times New Roman" w:eastAsia="MS Mincho" w:hAnsi="Times New Roman"/>
                <w:sz w:val="24"/>
                <w:szCs w:val="24"/>
                <w:lang w:val="sk-SK" w:eastAsia="fr-FR"/>
              </w:rPr>
              <w:t>olesť chrbta</w:t>
            </w:r>
          </w:p>
        </w:tc>
        <w:tc>
          <w:tcPr>
            <w:tcW w:w="1418" w:type="dxa"/>
          </w:tcPr>
          <w:p w:rsidR="00D264AC" w:rsidRPr="002C35E8" w:rsidRDefault="00F05E55"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F05E55"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o</w:t>
            </w:r>
            <w:r w:rsidR="00EA43B1" w:rsidRPr="002C35E8">
              <w:rPr>
                <w:rFonts w:ascii="Times New Roman" w:eastAsia="MS Mincho" w:hAnsi="Times New Roman"/>
                <w:sz w:val="24"/>
                <w:szCs w:val="24"/>
                <w:lang w:val="sk-SK" w:eastAsia="fr-FR"/>
              </w:rPr>
              <w:t>puch kĺbov</w:t>
            </w:r>
          </w:p>
        </w:tc>
        <w:tc>
          <w:tcPr>
            <w:tcW w:w="1418" w:type="dxa"/>
          </w:tcPr>
          <w:p w:rsidR="00D264AC" w:rsidRPr="002C35E8" w:rsidRDefault="00F05E55"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s</w:t>
            </w:r>
            <w:r w:rsidR="00EA43B1" w:rsidRPr="002C35E8">
              <w:rPr>
                <w:rFonts w:ascii="Times New Roman" w:eastAsia="MS Mincho" w:hAnsi="Times New Roman"/>
                <w:sz w:val="24"/>
                <w:szCs w:val="24"/>
                <w:lang w:val="sk-SK" w:eastAsia="fr-FR"/>
              </w:rPr>
              <w:t>valové kŕče</w:t>
            </w:r>
          </w:p>
        </w:tc>
        <w:tc>
          <w:tcPr>
            <w:tcW w:w="1418"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F05E55"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yalgia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F05E55"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F05E55"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o</w:t>
            </w:r>
            <w:r w:rsidR="00EA43B1" w:rsidRPr="002C35E8">
              <w:rPr>
                <w:rFonts w:ascii="Times New Roman" w:eastAsia="MS Mincho" w:hAnsi="Times New Roman"/>
                <w:sz w:val="24"/>
                <w:szCs w:val="24"/>
                <w:lang w:val="sk-SK" w:eastAsia="fr-FR"/>
              </w:rPr>
              <w:t>puch členkov</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ocit ťažoby</w:t>
            </w:r>
          </w:p>
        </w:tc>
        <w:tc>
          <w:tcPr>
            <w:tcW w:w="1418"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obličiek a močových ciest</w:t>
            </w:r>
          </w:p>
        </w:tc>
        <w:tc>
          <w:tcPr>
            <w:tcW w:w="2727"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výšený kreatinín v krvi</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F05E55"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orucha močenia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0C7BDF" w:rsidP="000C7BDF">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ny</w:t>
            </w:r>
            <w:r w:rsidR="00EA43B1" w:rsidRPr="002C35E8">
              <w:rPr>
                <w:rFonts w:ascii="Times New Roman" w:eastAsia="MS Mincho" w:hAnsi="Times New Roman"/>
                <w:sz w:val="24"/>
                <w:szCs w:val="24"/>
                <w:lang w:val="sk-SK" w:eastAsia="fr-FR"/>
              </w:rPr>
              <w:t>ktúria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9E14E5">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olakizúria</w:t>
            </w:r>
          </w:p>
        </w:tc>
        <w:tc>
          <w:tcPr>
            <w:tcW w:w="1418"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9E14E5">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olyúria</w:t>
            </w:r>
          </w:p>
        </w:tc>
        <w:tc>
          <w:tcPr>
            <w:tcW w:w="1418"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270C1B" w:rsidP="00A77E64">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 xml:space="preserve">lyhanie </w:t>
            </w:r>
            <w:r w:rsidR="00567DC3">
              <w:rPr>
                <w:rFonts w:ascii="Times New Roman" w:eastAsia="MS Mincho" w:hAnsi="Times New Roman"/>
                <w:sz w:val="24"/>
                <w:szCs w:val="24"/>
                <w:lang w:val="sk-SK" w:eastAsia="fr-FR"/>
              </w:rPr>
              <w:t xml:space="preserve">obličiek </w:t>
            </w:r>
            <w:r w:rsidR="00EA43B1" w:rsidRPr="002C35E8">
              <w:rPr>
                <w:rFonts w:ascii="Times New Roman" w:eastAsia="MS Mincho" w:hAnsi="Times New Roman"/>
                <w:sz w:val="24"/>
                <w:szCs w:val="24"/>
                <w:lang w:val="sk-SK" w:eastAsia="fr-FR"/>
              </w:rPr>
              <w:t>a porucha funkcie obličiek</w:t>
            </w:r>
          </w:p>
        </w:tc>
        <w:tc>
          <w:tcPr>
            <w:tcW w:w="1418"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Poruchy reprodukčného systému a prsníkov</w:t>
            </w:r>
          </w:p>
        </w:tc>
        <w:tc>
          <w:tcPr>
            <w:tcW w:w="2727" w:type="dxa"/>
          </w:tcPr>
          <w:p w:rsidR="00D264AC" w:rsidRPr="002C35E8" w:rsidRDefault="00567DC3" w:rsidP="009E14E5">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i</w:t>
            </w:r>
            <w:r w:rsidR="00EA43B1" w:rsidRPr="002C35E8">
              <w:rPr>
                <w:rFonts w:ascii="Times New Roman" w:eastAsia="MS Mincho" w:hAnsi="Times New Roman"/>
                <w:sz w:val="24"/>
                <w:szCs w:val="24"/>
                <w:lang w:val="sk-SK" w:eastAsia="fr-FR"/>
              </w:rPr>
              <w:t>mpotencia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9E14E5">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e</w:t>
            </w:r>
            <w:r w:rsidR="00EA43B1" w:rsidRPr="002C35E8">
              <w:rPr>
                <w:rFonts w:ascii="Times New Roman" w:eastAsia="MS Mincho" w:hAnsi="Times New Roman"/>
                <w:sz w:val="24"/>
                <w:szCs w:val="24"/>
                <w:lang w:val="sk-SK" w:eastAsia="fr-FR"/>
              </w:rPr>
              <w:t>rektilná dysfunkcia</w:t>
            </w:r>
          </w:p>
        </w:tc>
        <w:tc>
          <w:tcPr>
            <w:tcW w:w="1418"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riedkavé</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9E14E5">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g</w:t>
            </w:r>
            <w:r w:rsidR="00EA43B1" w:rsidRPr="002C35E8">
              <w:rPr>
                <w:rFonts w:ascii="Times New Roman" w:eastAsia="MS Mincho" w:hAnsi="Times New Roman"/>
                <w:sz w:val="24"/>
                <w:szCs w:val="24"/>
                <w:lang w:val="sk-SK" w:eastAsia="fr-FR"/>
              </w:rPr>
              <w:t>ynekomastia</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567DC3" w:rsidP="00D264AC">
            <w:pPr>
              <w:spacing w:after="60" w:line="240" w:lineRule="auto"/>
              <w:ind w:left="567" w:hanging="567"/>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ind w:left="567" w:hanging="567"/>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D264AC">
            <w:pPr>
              <w:spacing w:after="0" w:line="240" w:lineRule="auto"/>
              <w:ind w:left="567" w:hanging="567"/>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Celkové poruchy a reakcie v mieste podania</w:t>
            </w:r>
          </w:p>
        </w:tc>
        <w:tc>
          <w:tcPr>
            <w:tcW w:w="2727" w:type="dxa"/>
          </w:tcPr>
          <w:p w:rsidR="00D264AC" w:rsidRPr="002C35E8" w:rsidRDefault="00567DC3" w:rsidP="009E14E5">
            <w:pPr>
              <w:spacing w:after="0" w:line="240" w:lineRule="auto"/>
              <w:ind w:left="567" w:hanging="567"/>
              <w:rPr>
                <w:rFonts w:ascii="Times New Roman" w:eastAsia="MS Mincho" w:hAnsi="Times New Roman"/>
                <w:sz w:val="24"/>
                <w:szCs w:val="24"/>
                <w:lang w:val="sk-SK" w:eastAsia="fr-FR"/>
              </w:rPr>
            </w:pPr>
            <w:r>
              <w:rPr>
                <w:rFonts w:ascii="Times New Roman" w:eastAsia="MS Mincho" w:hAnsi="Times New Roman"/>
                <w:sz w:val="24"/>
                <w:szCs w:val="24"/>
                <w:lang w:val="sk-SK" w:eastAsia="fr-FR"/>
              </w:rPr>
              <w:t>a</w:t>
            </w:r>
            <w:r w:rsidR="00EA43B1" w:rsidRPr="002C35E8">
              <w:rPr>
                <w:rFonts w:ascii="Times New Roman" w:eastAsia="MS Mincho" w:hAnsi="Times New Roman"/>
                <w:sz w:val="24"/>
                <w:szCs w:val="24"/>
                <w:lang w:val="sk-SK" w:eastAsia="fr-FR"/>
              </w:rPr>
              <w:t>sténia</w:t>
            </w:r>
          </w:p>
        </w:tc>
        <w:tc>
          <w:tcPr>
            <w:tcW w:w="1418" w:type="dxa"/>
          </w:tcPr>
          <w:p w:rsidR="00D264AC" w:rsidRPr="002C35E8" w:rsidRDefault="00567DC3" w:rsidP="00D264AC">
            <w:pPr>
              <w:spacing w:after="60" w:line="240" w:lineRule="auto"/>
              <w:ind w:left="567" w:hanging="567"/>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567DC3" w:rsidP="00D264AC">
            <w:pPr>
              <w:spacing w:after="60" w:line="240" w:lineRule="auto"/>
              <w:ind w:left="567" w:hanging="567"/>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ind w:left="567" w:hanging="567"/>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EA43B1" w:rsidP="00A77E64">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pocit nepohodlia, celková nevoľnosť</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76"/>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9E14E5">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ú</w:t>
            </w:r>
            <w:r w:rsidR="00EA43B1" w:rsidRPr="002C35E8">
              <w:rPr>
                <w:rFonts w:ascii="Times New Roman" w:eastAsia="MS Mincho" w:hAnsi="Times New Roman"/>
                <w:sz w:val="24"/>
                <w:szCs w:val="24"/>
                <w:lang w:val="sk-SK" w:eastAsia="fr-FR"/>
              </w:rPr>
              <w:t>nava</w:t>
            </w:r>
          </w:p>
        </w:tc>
        <w:tc>
          <w:tcPr>
            <w:tcW w:w="1418"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567DC3" w:rsidP="00D264AC">
            <w:pPr>
              <w:spacing w:after="60" w:line="240" w:lineRule="auto"/>
              <w:ind w:left="-57" w:right="-51"/>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9E14E5">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o</w:t>
            </w:r>
            <w:r w:rsidR="00EA43B1" w:rsidRPr="002C35E8">
              <w:rPr>
                <w:rFonts w:ascii="Times New Roman" w:eastAsia="MS Mincho" w:hAnsi="Times New Roman"/>
                <w:sz w:val="24"/>
                <w:szCs w:val="24"/>
                <w:lang w:val="sk-SK" w:eastAsia="fr-FR"/>
              </w:rPr>
              <w:t>puch tváre</w:t>
            </w:r>
          </w:p>
        </w:tc>
        <w:tc>
          <w:tcPr>
            <w:tcW w:w="1418"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začervenanie, návaly horúčavy</w:t>
            </w:r>
          </w:p>
        </w:tc>
        <w:tc>
          <w:tcPr>
            <w:tcW w:w="1418"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270C1B"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ekardiálna bolesť v hrudníku</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956CB9">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o</w:t>
            </w:r>
            <w:r w:rsidR="00EA43B1" w:rsidRPr="002C35E8">
              <w:rPr>
                <w:rFonts w:ascii="Times New Roman" w:eastAsia="MS Mincho" w:hAnsi="Times New Roman"/>
                <w:sz w:val="24"/>
                <w:szCs w:val="24"/>
                <w:lang w:val="sk-SK" w:eastAsia="fr-FR"/>
              </w:rPr>
              <w:t>puch</w:t>
            </w:r>
          </w:p>
        </w:tc>
        <w:tc>
          <w:tcPr>
            <w:tcW w:w="1418"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956CB9">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p</w:t>
            </w:r>
            <w:r w:rsidR="00EA43B1" w:rsidRPr="002C35E8">
              <w:rPr>
                <w:rFonts w:ascii="Times New Roman" w:eastAsia="MS Mincho" w:hAnsi="Times New Roman"/>
                <w:sz w:val="24"/>
                <w:szCs w:val="24"/>
                <w:lang w:val="sk-SK" w:eastAsia="fr-FR"/>
              </w:rPr>
              <w:t>eriférny opuch</w:t>
            </w:r>
          </w:p>
        </w:tc>
        <w:tc>
          <w:tcPr>
            <w:tcW w:w="1418"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b</w:t>
            </w:r>
            <w:r w:rsidR="00EA43B1" w:rsidRPr="002C35E8">
              <w:rPr>
                <w:rFonts w:ascii="Times New Roman" w:eastAsia="MS Mincho" w:hAnsi="Times New Roman"/>
                <w:sz w:val="24"/>
                <w:szCs w:val="24"/>
                <w:lang w:val="sk-SK" w:eastAsia="fr-FR"/>
              </w:rPr>
              <w:t>olesť</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j</w:t>
            </w:r>
            <w:r w:rsidR="00EA43B1" w:rsidRPr="002C35E8">
              <w:rPr>
                <w:rFonts w:ascii="Times New Roman" w:eastAsia="MS Mincho" w:hAnsi="Times New Roman"/>
                <w:sz w:val="24"/>
                <w:szCs w:val="24"/>
                <w:lang w:val="sk-SK" w:eastAsia="fr-FR"/>
              </w:rPr>
              <w:t>amkovitý opuch</w:t>
            </w:r>
          </w:p>
        </w:tc>
        <w:tc>
          <w:tcPr>
            <w:tcW w:w="1418"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č</w:t>
            </w:r>
            <w:r w:rsidR="00EA43B1" w:rsidRPr="002C35E8">
              <w:rPr>
                <w:rFonts w:ascii="Times New Roman" w:eastAsia="MS Mincho" w:hAnsi="Times New Roman"/>
                <w:sz w:val="24"/>
                <w:szCs w:val="24"/>
                <w:lang w:val="sk-SK" w:eastAsia="fr-FR"/>
              </w:rPr>
              <w:t>asté</w:t>
            </w:r>
          </w:p>
        </w:tc>
        <w:tc>
          <w:tcPr>
            <w:tcW w:w="1417"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val="restart"/>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Laboratórne a funkčné vyšetrenia</w:t>
            </w:r>
          </w:p>
        </w:tc>
        <w:tc>
          <w:tcPr>
            <w:tcW w:w="2727" w:type="dxa"/>
          </w:tcPr>
          <w:p w:rsidR="00D264AC" w:rsidRPr="002C35E8" w:rsidRDefault="00567DC3"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výšená hladina draslíka v krvi</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EA43B1" w:rsidP="00D264AC">
            <w:pPr>
              <w:spacing w:after="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283"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n</w:t>
            </w:r>
            <w:r w:rsidR="00EA43B1" w:rsidRPr="002C35E8">
              <w:rPr>
                <w:rFonts w:ascii="Times New Roman" w:eastAsia="MS Mincho" w:hAnsi="Times New Roman"/>
                <w:sz w:val="24"/>
                <w:szCs w:val="24"/>
                <w:lang w:val="sk-SK" w:eastAsia="fr-FR"/>
              </w:rPr>
              <w:t>eznáme</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výšenie telesnej hmotnosti</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r w:rsidR="00D264AC" w:rsidRPr="00A00809" w:rsidTr="00956CB9">
        <w:trPr>
          <w:trHeight w:val="283"/>
          <w:jc w:val="center"/>
        </w:trPr>
        <w:tc>
          <w:tcPr>
            <w:tcW w:w="2527" w:type="dxa"/>
            <w:vMerge/>
          </w:tcPr>
          <w:p w:rsidR="00D264AC" w:rsidRPr="002C35E8" w:rsidRDefault="00D264AC" w:rsidP="00D264AC">
            <w:pPr>
              <w:spacing w:after="0" w:line="240" w:lineRule="auto"/>
              <w:rPr>
                <w:rFonts w:ascii="Times New Roman" w:eastAsia="MS Mincho" w:hAnsi="Times New Roman"/>
                <w:sz w:val="24"/>
                <w:szCs w:val="24"/>
                <w:lang w:val="sk-SK" w:eastAsia="fr-FR"/>
              </w:rPr>
            </w:pPr>
          </w:p>
        </w:tc>
        <w:tc>
          <w:tcPr>
            <w:tcW w:w="2727" w:type="dxa"/>
          </w:tcPr>
          <w:p w:rsidR="00D264AC" w:rsidRPr="002C35E8" w:rsidRDefault="00567DC3" w:rsidP="00D264AC">
            <w:pPr>
              <w:spacing w:after="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z</w:t>
            </w:r>
            <w:r w:rsidR="00EA43B1" w:rsidRPr="002C35E8">
              <w:rPr>
                <w:rFonts w:ascii="Times New Roman" w:eastAsia="MS Mincho" w:hAnsi="Times New Roman"/>
                <w:sz w:val="24"/>
                <w:szCs w:val="24"/>
                <w:lang w:val="sk-SK" w:eastAsia="fr-FR"/>
              </w:rPr>
              <w:t>níženie telesnej hmotnosti</w:t>
            </w:r>
          </w:p>
        </w:tc>
        <w:tc>
          <w:tcPr>
            <w:tcW w:w="1418"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c>
          <w:tcPr>
            <w:tcW w:w="1417" w:type="dxa"/>
          </w:tcPr>
          <w:p w:rsidR="00D264AC" w:rsidRPr="002C35E8" w:rsidRDefault="00567DC3" w:rsidP="00D264AC">
            <w:pPr>
              <w:spacing w:after="60" w:line="240" w:lineRule="auto"/>
              <w:rPr>
                <w:rFonts w:ascii="Times New Roman" w:eastAsia="MS Mincho" w:hAnsi="Times New Roman"/>
                <w:sz w:val="24"/>
                <w:szCs w:val="24"/>
                <w:lang w:val="sk-SK" w:eastAsia="fr-FR"/>
              </w:rPr>
            </w:pPr>
            <w:r>
              <w:rPr>
                <w:rFonts w:ascii="Times New Roman" w:eastAsia="MS Mincho" w:hAnsi="Times New Roman"/>
                <w:sz w:val="24"/>
                <w:szCs w:val="24"/>
                <w:lang w:val="sk-SK" w:eastAsia="fr-FR"/>
              </w:rPr>
              <w:t>m</w:t>
            </w:r>
            <w:r w:rsidR="00EA43B1" w:rsidRPr="002C35E8">
              <w:rPr>
                <w:rFonts w:ascii="Times New Roman" w:eastAsia="MS Mincho" w:hAnsi="Times New Roman"/>
                <w:sz w:val="24"/>
                <w:szCs w:val="24"/>
                <w:lang w:val="sk-SK" w:eastAsia="fr-FR"/>
              </w:rPr>
              <w:t>enej časté</w:t>
            </w:r>
          </w:p>
        </w:tc>
        <w:tc>
          <w:tcPr>
            <w:tcW w:w="1283" w:type="dxa"/>
          </w:tcPr>
          <w:p w:rsidR="00D264AC" w:rsidRPr="002C35E8" w:rsidRDefault="00EA43B1" w:rsidP="00D264AC">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w:t>
            </w:r>
          </w:p>
        </w:tc>
      </w:tr>
    </w:tbl>
    <w:p w:rsidR="00D264AC" w:rsidRPr="002C35E8" w:rsidRDefault="00EA43B1" w:rsidP="00D264AC">
      <w:pPr>
        <w:spacing w:after="60" w:line="240" w:lineRule="auto"/>
        <w:rPr>
          <w:rFonts w:ascii="Times New Roman" w:eastAsia="MS Mincho" w:hAnsi="Times New Roman"/>
          <w:sz w:val="24"/>
          <w:szCs w:val="24"/>
          <w:lang w:eastAsia="fr-FR"/>
        </w:rPr>
      </w:pPr>
      <w:r w:rsidRPr="002C35E8">
        <w:rPr>
          <w:rFonts w:ascii="Times New Roman" w:eastAsia="MS Mincho" w:hAnsi="Times New Roman"/>
          <w:sz w:val="24"/>
          <w:szCs w:val="24"/>
          <w:lang w:eastAsia="fr-FR"/>
        </w:rPr>
        <w:t>* Najčastejšie v spojení s cholestázou.</w:t>
      </w:r>
    </w:p>
    <w:p w:rsidR="00D264AC" w:rsidRPr="00A00809" w:rsidRDefault="00D264AC" w:rsidP="00682849">
      <w:pPr>
        <w:widowControl w:val="0"/>
        <w:autoSpaceDE w:val="0"/>
        <w:autoSpaceDN w:val="0"/>
        <w:adjustRightInd w:val="0"/>
        <w:spacing w:after="0" w:line="240" w:lineRule="auto"/>
        <w:rPr>
          <w:rFonts w:ascii="Times New Roman" w:eastAsia="Times New Roman" w:hAnsi="Times New Roman"/>
          <w:sz w:val="24"/>
          <w:szCs w:val="24"/>
        </w:rPr>
      </w:pPr>
    </w:p>
    <w:p w:rsidR="00615920" w:rsidRPr="00A00809" w:rsidRDefault="00615920" w:rsidP="00615920">
      <w:pPr>
        <w:widowControl w:val="0"/>
        <w:autoSpaceDE w:val="0"/>
        <w:autoSpaceDN w:val="0"/>
        <w:adjustRightInd w:val="0"/>
        <w:spacing w:after="0" w:line="240" w:lineRule="auto"/>
        <w:rPr>
          <w:rFonts w:ascii="Times New Roman" w:eastAsia="Times New Roman" w:hAnsi="Times New Roman"/>
          <w:sz w:val="24"/>
          <w:szCs w:val="24"/>
          <w:u w:val="single"/>
        </w:rPr>
      </w:pPr>
      <w:r w:rsidRPr="00A00809">
        <w:rPr>
          <w:rFonts w:ascii="Times New Roman" w:eastAsia="Times New Roman" w:hAnsi="Times New Roman"/>
          <w:sz w:val="24"/>
          <w:szCs w:val="24"/>
          <w:u w:val="single"/>
        </w:rPr>
        <w:t>Ďalšie informácie o kombinácii</w:t>
      </w:r>
    </w:p>
    <w:p w:rsidR="00D264AC" w:rsidRPr="00A00809" w:rsidRDefault="00EA43B1" w:rsidP="00615920">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Periférny edém, známy nežiaduci účinok amlodipínu, sa spravidla pozoroval s nižšou incidenciou u pacientov, ktorí dostávali kombináciu amlodipín/valsartan, ako u pacientov, ktorí dostávali samotný amlodipín. V dvojito zaslepených, kontrolovaných klinických skúšaniach bola nasledovná incidencia periférneho edému podľa dávky:</w:t>
      </w:r>
    </w:p>
    <w:p w:rsidR="00615920" w:rsidRPr="002C35E8" w:rsidRDefault="00615920" w:rsidP="00615920">
      <w:pPr>
        <w:spacing w:after="60" w:line="240" w:lineRule="auto"/>
        <w:rPr>
          <w:rFonts w:ascii="Times New Roman" w:eastAsia="MS Mincho" w:hAnsi="Times New Roman"/>
          <w:sz w:val="24"/>
          <w:szCs w:val="24"/>
          <w:lang w:eastAsia="fr-FR"/>
        </w:rPr>
      </w:pPr>
    </w:p>
    <w:tbl>
      <w:tblPr>
        <w:tblStyle w:val="Mriekatabuky2"/>
        <w:tblW w:w="0" w:type="auto"/>
        <w:jc w:val="center"/>
        <w:tblLayout w:type="fixed"/>
        <w:tblLook w:val="04A0" w:firstRow="1" w:lastRow="0" w:firstColumn="1" w:lastColumn="0" w:noHBand="0" w:noVBand="1"/>
      </w:tblPr>
      <w:tblGrid>
        <w:gridCol w:w="2660"/>
        <w:gridCol w:w="567"/>
        <w:gridCol w:w="709"/>
        <w:gridCol w:w="708"/>
        <w:gridCol w:w="709"/>
        <w:gridCol w:w="709"/>
        <w:gridCol w:w="709"/>
      </w:tblGrid>
      <w:tr w:rsidR="00615920" w:rsidRPr="00A00809" w:rsidTr="00D95F6A">
        <w:trPr>
          <w:jc w:val="center"/>
        </w:trPr>
        <w:tc>
          <w:tcPr>
            <w:tcW w:w="3227" w:type="dxa"/>
            <w:gridSpan w:val="2"/>
            <w:vMerge w:val="restart"/>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 pacientov, u ktorých sa vyskytol periférny edém</w:t>
            </w:r>
          </w:p>
        </w:tc>
        <w:tc>
          <w:tcPr>
            <w:tcW w:w="3544" w:type="dxa"/>
            <w:gridSpan w:val="5"/>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Valsartan (mg)</w:t>
            </w:r>
          </w:p>
        </w:tc>
      </w:tr>
      <w:tr w:rsidR="00615920" w:rsidRPr="00A00809" w:rsidTr="00D95F6A">
        <w:trPr>
          <w:jc w:val="center"/>
        </w:trPr>
        <w:tc>
          <w:tcPr>
            <w:tcW w:w="3227" w:type="dxa"/>
            <w:gridSpan w:val="2"/>
            <w:vMerge/>
          </w:tcPr>
          <w:p w:rsidR="00615920" w:rsidRPr="002C35E8" w:rsidRDefault="00615920" w:rsidP="00615920">
            <w:pPr>
              <w:spacing w:after="60" w:line="240" w:lineRule="auto"/>
              <w:rPr>
                <w:rFonts w:ascii="Times New Roman" w:eastAsia="MS Mincho" w:hAnsi="Times New Roman"/>
                <w:sz w:val="24"/>
                <w:szCs w:val="24"/>
                <w:lang w:val="sk-SK" w:eastAsia="fr-FR"/>
              </w:rPr>
            </w:pPr>
          </w:p>
        </w:tc>
        <w:tc>
          <w:tcPr>
            <w:tcW w:w="709" w:type="dxa"/>
            <w:shd w:val="clear" w:color="auto" w:fill="D9D9D9" w:themeFill="background1" w:themeFillShade="D9"/>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0</w:t>
            </w:r>
          </w:p>
        </w:tc>
        <w:tc>
          <w:tcPr>
            <w:tcW w:w="708" w:type="dxa"/>
            <w:shd w:val="clear" w:color="auto" w:fill="D9D9D9" w:themeFill="background1" w:themeFillShade="D9"/>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40</w:t>
            </w:r>
          </w:p>
        </w:tc>
        <w:tc>
          <w:tcPr>
            <w:tcW w:w="709" w:type="dxa"/>
            <w:shd w:val="clear" w:color="auto" w:fill="D9D9D9" w:themeFill="background1" w:themeFillShade="D9"/>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80</w:t>
            </w:r>
          </w:p>
        </w:tc>
        <w:tc>
          <w:tcPr>
            <w:tcW w:w="709" w:type="dxa"/>
            <w:shd w:val="clear" w:color="auto" w:fill="D9D9D9" w:themeFill="background1" w:themeFillShade="D9"/>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160</w:t>
            </w:r>
          </w:p>
        </w:tc>
        <w:tc>
          <w:tcPr>
            <w:tcW w:w="709" w:type="dxa"/>
            <w:shd w:val="clear" w:color="auto" w:fill="D9D9D9" w:themeFill="background1" w:themeFillShade="D9"/>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320</w:t>
            </w:r>
          </w:p>
        </w:tc>
      </w:tr>
      <w:tr w:rsidR="00615920" w:rsidRPr="00A00809" w:rsidTr="00D95F6A">
        <w:trPr>
          <w:jc w:val="center"/>
        </w:trPr>
        <w:tc>
          <w:tcPr>
            <w:tcW w:w="2660" w:type="dxa"/>
            <w:vMerge w:val="restart"/>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Amlodipín (mg)</w:t>
            </w:r>
          </w:p>
        </w:tc>
        <w:tc>
          <w:tcPr>
            <w:tcW w:w="567" w:type="dxa"/>
            <w:shd w:val="clear" w:color="auto" w:fill="D9D9D9" w:themeFill="background1" w:themeFillShade="D9"/>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0</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3,0</w:t>
            </w:r>
          </w:p>
        </w:tc>
        <w:tc>
          <w:tcPr>
            <w:tcW w:w="708"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5,5</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2,4</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1,6</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0,9</w:t>
            </w:r>
          </w:p>
        </w:tc>
      </w:tr>
      <w:tr w:rsidR="00615920" w:rsidRPr="00A00809" w:rsidTr="00D95F6A">
        <w:trPr>
          <w:jc w:val="center"/>
        </w:trPr>
        <w:tc>
          <w:tcPr>
            <w:tcW w:w="2660" w:type="dxa"/>
            <w:vMerge/>
          </w:tcPr>
          <w:p w:rsidR="00615920" w:rsidRPr="002C35E8" w:rsidRDefault="00615920" w:rsidP="00615920">
            <w:pPr>
              <w:spacing w:after="60" w:line="240" w:lineRule="auto"/>
              <w:rPr>
                <w:rFonts w:ascii="Times New Roman" w:eastAsia="MS Mincho" w:hAnsi="Times New Roman"/>
                <w:sz w:val="24"/>
                <w:szCs w:val="24"/>
                <w:lang w:val="sk-SK" w:eastAsia="fr-FR"/>
              </w:rPr>
            </w:pPr>
          </w:p>
        </w:tc>
        <w:tc>
          <w:tcPr>
            <w:tcW w:w="567" w:type="dxa"/>
            <w:shd w:val="clear" w:color="auto" w:fill="D9D9D9" w:themeFill="background1" w:themeFillShade="D9"/>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2,5</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8,0</w:t>
            </w:r>
          </w:p>
        </w:tc>
        <w:tc>
          <w:tcPr>
            <w:tcW w:w="708"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2,3</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5,4</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2,4</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3,9</w:t>
            </w:r>
          </w:p>
        </w:tc>
      </w:tr>
      <w:tr w:rsidR="00615920" w:rsidRPr="00A00809" w:rsidTr="00D95F6A">
        <w:trPr>
          <w:jc w:val="center"/>
        </w:trPr>
        <w:tc>
          <w:tcPr>
            <w:tcW w:w="2660" w:type="dxa"/>
            <w:vMerge/>
          </w:tcPr>
          <w:p w:rsidR="00615920" w:rsidRPr="002C35E8" w:rsidRDefault="00615920" w:rsidP="00615920">
            <w:pPr>
              <w:spacing w:after="60" w:line="240" w:lineRule="auto"/>
              <w:rPr>
                <w:rFonts w:ascii="Times New Roman" w:eastAsia="MS Mincho" w:hAnsi="Times New Roman"/>
                <w:sz w:val="24"/>
                <w:szCs w:val="24"/>
                <w:lang w:val="sk-SK" w:eastAsia="fr-FR"/>
              </w:rPr>
            </w:pPr>
          </w:p>
        </w:tc>
        <w:tc>
          <w:tcPr>
            <w:tcW w:w="567" w:type="dxa"/>
            <w:shd w:val="clear" w:color="auto" w:fill="D9D9D9" w:themeFill="background1" w:themeFillShade="D9"/>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5</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3,1</w:t>
            </w:r>
          </w:p>
        </w:tc>
        <w:tc>
          <w:tcPr>
            <w:tcW w:w="708"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4,8</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2,3</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2,1</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2,4</w:t>
            </w:r>
          </w:p>
        </w:tc>
      </w:tr>
      <w:tr w:rsidR="00615920" w:rsidRPr="00A00809" w:rsidTr="00D95F6A">
        <w:trPr>
          <w:jc w:val="center"/>
        </w:trPr>
        <w:tc>
          <w:tcPr>
            <w:tcW w:w="2660" w:type="dxa"/>
            <w:vMerge/>
          </w:tcPr>
          <w:p w:rsidR="00615920" w:rsidRPr="002C35E8" w:rsidRDefault="00615920" w:rsidP="00615920">
            <w:pPr>
              <w:spacing w:after="60" w:line="240" w:lineRule="auto"/>
              <w:rPr>
                <w:rFonts w:ascii="Times New Roman" w:eastAsia="MS Mincho" w:hAnsi="Times New Roman"/>
                <w:sz w:val="24"/>
                <w:szCs w:val="24"/>
                <w:lang w:val="sk-SK" w:eastAsia="fr-FR"/>
              </w:rPr>
            </w:pPr>
          </w:p>
        </w:tc>
        <w:tc>
          <w:tcPr>
            <w:tcW w:w="567" w:type="dxa"/>
            <w:shd w:val="clear" w:color="auto" w:fill="D9D9D9" w:themeFill="background1" w:themeFillShade="D9"/>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10</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10,3</w:t>
            </w:r>
          </w:p>
        </w:tc>
        <w:tc>
          <w:tcPr>
            <w:tcW w:w="708"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NA</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NA</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9,0</w:t>
            </w:r>
          </w:p>
        </w:tc>
        <w:tc>
          <w:tcPr>
            <w:tcW w:w="709" w:type="dxa"/>
          </w:tcPr>
          <w:p w:rsidR="00615920" w:rsidRPr="002C35E8" w:rsidRDefault="00EA43B1" w:rsidP="00615920">
            <w:pPr>
              <w:spacing w:after="60" w:line="240" w:lineRule="auto"/>
              <w:rPr>
                <w:rFonts w:ascii="Times New Roman" w:eastAsia="MS Mincho" w:hAnsi="Times New Roman"/>
                <w:sz w:val="24"/>
                <w:szCs w:val="24"/>
                <w:lang w:val="sk-SK" w:eastAsia="fr-FR"/>
              </w:rPr>
            </w:pPr>
            <w:r w:rsidRPr="002C35E8">
              <w:rPr>
                <w:rFonts w:ascii="Times New Roman" w:eastAsia="MS Mincho" w:hAnsi="Times New Roman"/>
                <w:sz w:val="24"/>
                <w:szCs w:val="24"/>
                <w:lang w:val="sk-SK" w:eastAsia="fr-FR"/>
              </w:rPr>
              <w:t>9,5</w:t>
            </w:r>
          </w:p>
        </w:tc>
      </w:tr>
    </w:tbl>
    <w:p w:rsidR="00615920" w:rsidRPr="002C35E8" w:rsidRDefault="00615920" w:rsidP="00615920">
      <w:pPr>
        <w:spacing w:after="60" w:line="240" w:lineRule="auto"/>
        <w:rPr>
          <w:rFonts w:ascii="Times New Roman" w:eastAsia="MS Mincho" w:hAnsi="Times New Roman"/>
          <w:sz w:val="24"/>
          <w:szCs w:val="24"/>
          <w:lang w:eastAsia="fr-FR"/>
        </w:rPr>
      </w:pPr>
    </w:p>
    <w:p w:rsidR="00615920" w:rsidRPr="002C35E8" w:rsidRDefault="00EA43B1" w:rsidP="00615920">
      <w:pPr>
        <w:spacing w:after="60" w:line="240" w:lineRule="auto"/>
        <w:rPr>
          <w:rFonts w:ascii="Times New Roman" w:eastAsia="MS Mincho" w:hAnsi="Times New Roman"/>
          <w:sz w:val="24"/>
          <w:szCs w:val="24"/>
          <w:lang w:eastAsia="fr-FR"/>
        </w:rPr>
      </w:pPr>
      <w:r w:rsidRPr="002C35E8">
        <w:rPr>
          <w:rFonts w:ascii="Times New Roman" w:eastAsia="MS Mincho" w:hAnsi="Times New Roman"/>
          <w:sz w:val="24"/>
          <w:szCs w:val="24"/>
          <w:lang w:eastAsia="fr-FR"/>
        </w:rPr>
        <w:t>Priemerná incidencia periférneho edému pri kombinácii amlodipín/valsartan rovnomerne rozložená na všetky dávky bola 5,1 %.</w:t>
      </w:r>
    </w:p>
    <w:p w:rsidR="00615920" w:rsidRPr="002C35E8" w:rsidRDefault="00615920" w:rsidP="00615920">
      <w:pPr>
        <w:spacing w:after="60" w:line="240" w:lineRule="auto"/>
        <w:rPr>
          <w:rFonts w:ascii="Times New Roman" w:eastAsia="MS Mincho" w:hAnsi="Times New Roman"/>
          <w:sz w:val="24"/>
          <w:szCs w:val="24"/>
          <w:lang w:eastAsia="fr-FR"/>
        </w:rPr>
      </w:pPr>
    </w:p>
    <w:p w:rsidR="00615920" w:rsidRPr="00A00809" w:rsidRDefault="00615920" w:rsidP="00615920">
      <w:pPr>
        <w:autoSpaceDE w:val="0"/>
        <w:autoSpaceDN w:val="0"/>
        <w:adjustRightInd w:val="0"/>
        <w:spacing w:after="0" w:line="240" w:lineRule="auto"/>
        <w:rPr>
          <w:rFonts w:ascii="Times New Roman" w:eastAsia="Times New Roman" w:hAnsi="Times New Roman"/>
          <w:color w:val="000000"/>
          <w:u w:val="single"/>
        </w:rPr>
      </w:pPr>
      <w:r w:rsidRPr="00A00809">
        <w:rPr>
          <w:rFonts w:ascii="Times New Roman" w:eastAsia="Times New Roman" w:hAnsi="Times New Roman"/>
          <w:color w:val="000000"/>
          <w:u w:val="single"/>
        </w:rPr>
        <w:t xml:space="preserve">Ďalšie informácie o jednotlivých zložkách </w:t>
      </w:r>
    </w:p>
    <w:p w:rsidR="00D264AC" w:rsidRPr="00A00809" w:rsidRDefault="00615920" w:rsidP="00615920">
      <w:pPr>
        <w:widowControl w:val="0"/>
        <w:autoSpaceDE w:val="0"/>
        <w:autoSpaceDN w:val="0"/>
        <w:adjustRightInd w:val="0"/>
        <w:spacing w:after="0" w:line="240" w:lineRule="auto"/>
        <w:rPr>
          <w:rFonts w:ascii="Times New Roman" w:eastAsia="Times New Roman" w:hAnsi="Times New Roman"/>
          <w:sz w:val="24"/>
          <w:szCs w:val="24"/>
          <w:u w:val="single"/>
        </w:rPr>
      </w:pPr>
      <w:r w:rsidRPr="00A00809">
        <w:rPr>
          <w:rFonts w:ascii="Times New Roman" w:eastAsia="Times New Roman" w:hAnsi="Times New Roman"/>
          <w:i/>
          <w:iCs/>
          <w:color w:val="000000"/>
          <w:u w:val="single"/>
        </w:rPr>
        <w:t>Amlodipín</w:t>
      </w:r>
    </w:p>
    <w:tbl>
      <w:tblPr>
        <w:tblW w:w="0" w:type="auto"/>
        <w:tblBorders>
          <w:top w:val="nil"/>
          <w:left w:val="nil"/>
          <w:bottom w:val="nil"/>
          <w:right w:val="nil"/>
        </w:tblBorders>
        <w:tblLayout w:type="fixed"/>
        <w:tblLook w:val="0000" w:firstRow="0" w:lastRow="0" w:firstColumn="0" w:lastColumn="0" w:noHBand="0" w:noVBand="0"/>
      </w:tblPr>
      <w:tblGrid>
        <w:gridCol w:w="1809"/>
        <w:gridCol w:w="142"/>
        <w:gridCol w:w="6662"/>
      </w:tblGrid>
      <w:tr w:rsidR="00615920" w:rsidRPr="00A00809" w:rsidTr="00FB4277">
        <w:trPr>
          <w:trHeight w:val="100"/>
        </w:trPr>
        <w:tc>
          <w:tcPr>
            <w:tcW w:w="1809" w:type="dxa"/>
          </w:tcPr>
          <w:p w:rsidR="00615920" w:rsidRPr="00A00809" w:rsidRDefault="00EA43B1" w:rsidP="00615920">
            <w:pPr>
              <w:autoSpaceDE w:val="0"/>
              <w:autoSpaceDN w:val="0"/>
              <w:adjustRightInd w:val="0"/>
              <w:spacing w:after="0" w:line="240" w:lineRule="auto"/>
              <w:rPr>
                <w:rFonts w:ascii="Times New Roman" w:eastAsia="Times New Roman" w:hAnsi="Times New Roman"/>
                <w:color w:val="000000"/>
              </w:rPr>
            </w:pPr>
            <w:r w:rsidRPr="002C35E8">
              <w:rPr>
                <w:rFonts w:ascii="Times New Roman" w:eastAsia="Times New Roman" w:hAnsi="Times New Roman"/>
                <w:i/>
                <w:iCs/>
                <w:color w:val="000000"/>
              </w:rPr>
              <w:t xml:space="preserve">Časté </w:t>
            </w:r>
          </w:p>
        </w:tc>
        <w:tc>
          <w:tcPr>
            <w:tcW w:w="6804" w:type="dxa"/>
            <w:gridSpan w:val="2"/>
          </w:tcPr>
          <w:p w:rsidR="00615920" w:rsidRPr="00A00809" w:rsidRDefault="00EA43B1" w:rsidP="00615920">
            <w:pPr>
              <w:autoSpaceDE w:val="0"/>
              <w:autoSpaceDN w:val="0"/>
              <w:adjustRightInd w:val="0"/>
              <w:spacing w:after="0" w:line="240" w:lineRule="auto"/>
              <w:rPr>
                <w:rFonts w:ascii="Times New Roman" w:eastAsia="Times New Roman" w:hAnsi="Times New Roman"/>
                <w:color w:val="000000"/>
              </w:rPr>
            </w:pPr>
            <w:r w:rsidRPr="002C35E8">
              <w:rPr>
                <w:rFonts w:ascii="Times New Roman" w:eastAsia="Times New Roman" w:hAnsi="Times New Roman"/>
                <w:color w:val="000000"/>
              </w:rPr>
              <w:t xml:space="preserve">Somnolencia, závraty, palpitácie, abdominálna bolesť, nauzea, opuch členkov. </w:t>
            </w:r>
          </w:p>
        </w:tc>
      </w:tr>
      <w:tr w:rsidR="00615920" w:rsidRPr="00A00809" w:rsidTr="00FB4277">
        <w:trPr>
          <w:trHeight w:val="732"/>
        </w:trPr>
        <w:tc>
          <w:tcPr>
            <w:tcW w:w="1951" w:type="dxa"/>
            <w:gridSpan w:val="2"/>
          </w:tcPr>
          <w:p w:rsidR="00615920" w:rsidRPr="00A00809" w:rsidRDefault="00EA43B1" w:rsidP="003D6B10">
            <w:pPr>
              <w:autoSpaceDE w:val="0"/>
              <w:autoSpaceDN w:val="0"/>
              <w:adjustRightInd w:val="0"/>
              <w:spacing w:after="0" w:line="240" w:lineRule="auto"/>
              <w:ind w:right="-108"/>
              <w:rPr>
                <w:rFonts w:ascii="Times New Roman" w:eastAsia="Times New Roman" w:hAnsi="Times New Roman"/>
                <w:color w:val="000000"/>
              </w:rPr>
            </w:pPr>
            <w:r w:rsidRPr="002C35E8">
              <w:rPr>
                <w:rFonts w:ascii="Times New Roman" w:eastAsia="Times New Roman" w:hAnsi="Times New Roman"/>
                <w:i/>
                <w:iCs/>
                <w:color w:val="000000"/>
              </w:rPr>
              <w:t xml:space="preserve">Menej časté </w:t>
            </w:r>
          </w:p>
        </w:tc>
        <w:tc>
          <w:tcPr>
            <w:tcW w:w="6662" w:type="dxa"/>
          </w:tcPr>
          <w:p w:rsidR="00615920" w:rsidRPr="00A00809" w:rsidRDefault="00EA43B1" w:rsidP="00E52BA6">
            <w:pPr>
              <w:autoSpaceDE w:val="0"/>
              <w:autoSpaceDN w:val="0"/>
              <w:adjustRightInd w:val="0"/>
              <w:spacing w:after="0" w:line="240" w:lineRule="auto"/>
              <w:ind w:left="-108"/>
              <w:rPr>
                <w:rFonts w:ascii="Times New Roman" w:eastAsia="Times New Roman" w:hAnsi="Times New Roman"/>
                <w:color w:val="000000"/>
              </w:rPr>
            </w:pPr>
            <w:r w:rsidRPr="002C35E8">
              <w:rPr>
                <w:rFonts w:ascii="Times New Roman" w:eastAsia="Times New Roman" w:hAnsi="Times New Roman"/>
                <w:color w:val="000000"/>
              </w:rPr>
              <w:t xml:space="preserve">Insomnia, zmeny nálady (vrátane úzkosti), depresia, tremor, dysgeúzia, synkopa, hypestézia, poruchy videnia (vrátane diplopie), tinitus, hypotenzia, dyspnoe, rinitída, vracanie, dyspepsia, alopécia, purpura, zmeny sfarbenia pokožky, hyperhidróza, pruritus, exantém, myalgia, svalové kŕče, bolesť, ťažkosti pri močení, zvýšená frekvencia močenia, impotencia, gynekomastia, bolesť na hrudi, celková nevoľnosť, zvýšenie telesnej hmotnosti, zníženie telesnej hmotnosti. </w:t>
            </w:r>
          </w:p>
        </w:tc>
      </w:tr>
      <w:tr w:rsidR="00615920" w:rsidRPr="00A00809" w:rsidTr="00FB4277">
        <w:trPr>
          <w:trHeight w:val="100"/>
        </w:trPr>
        <w:tc>
          <w:tcPr>
            <w:tcW w:w="1951" w:type="dxa"/>
            <w:gridSpan w:val="2"/>
          </w:tcPr>
          <w:p w:rsidR="00615920" w:rsidRPr="00A00809" w:rsidRDefault="00EA43B1" w:rsidP="00615920">
            <w:pPr>
              <w:autoSpaceDE w:val="0"/>
              <w:autoSpaceDN w:val="0"/>
              <w:adjustRightInd w:val="0"/>
              <w:spacing w:after="0" w:line="240" w:lineRule="auto"/>
              <w:rPr>
                <w:rFonts w:ascii="Times New Roman" w:eastAsia="Times New Roman" w:hAnsi="Times New Roman"/>
                <w:color w:val="000000"/>
              </w:rPr>
            </w:pPr>
            <w:r w:rsidRPr="002C35E8">
              <w:rPr>
                <w:rFonts w:ascii="Times New Roman" w:eastAsia="Times New Roman" w:hAnsi="Times New Roman"/>
                <w:i/>
                <w:iCs/>
                <w:color w:val="000000"/>
              </w:rPr>
              <w:t xml:space="preserve">Zriedkavé </w:t>
            </w:r>
          </w:p>
        </w:tc>
        <w:tc>
          <w:tcPr>
            <w:tcW w:w="6662" w:type="dxa"/>
          </w:tcPr>
          <w:p w:rsidR="00615920" w:rsidRPr="00A00809" w:rsidRDefault="00EA43B1" w:rsidP="003D6B10">
            <w:pPr>
              <w:autoSpaceDE w:val="0"/>
              <w:autoSpaceDN w:val="0"/>
              <w:adjustRightInd w:val="0"/>
              <w:spacing w:after="0" w:line="240" w:lineRule="auto"/>
              <w:ind w:left="-108"/>
              <w:rPr>
                <w:rFonts w:ascii="Times New Roman" w:eastAsia="Times New Roman" w:hAnsi="Times New Roman"/>
                <w:color w:val="000000"/>
              </w:rPr>
            </w:pPr>
            <w:r w:rsidRPr="002C35E8">
              <w:rPr>
                <w:rFonts w:ascii="Times New Roman" w:eastAsia="Times New Roman" w:hAnsi="Times New Roman"/>
                <w:color w:val="000000"/>
              </w:rPr>
              <w:t xml:space="preserve">Zmätenosť. </w:t>
            </w:r>
          </w:p>
        </w:tc>
      </w:tr>
      <w:tr w:rsidR="00615920" w:rsidRPr="00A00809" w:rsidTr="00FB4277">
        <w:trPr>
          <w:trHeight w:val="733"/>
        </w:trPr>
        <w:tc>
          <w:tcPr>
            <w:tcW w:w="1809" w:type="dxa"/>
          </w:tcPr>
          <w:p w:rsidR="00615920" w:rsidRPr="00A00809" w:rsidRDefault="00EA43B1" w:rsidP="00615920">
            <w:pPr>
              <w:autoSpaceDE w:val="0"/>
              <w:autoSpaceDN w:val="0"/>
              <w:adjustRightInd w:val="0"/>
              <w:spacing w:after="0" w:line="240" w:lineRule="auto"/>
              <w:rPr>
                <w:rFonts w:ascii="Times New Roman" w:eastAsia="Times New Roman" w:hAnsi="Times New Roman"/>
                <w:color w:val="000000"/>
              </w:rPr>
            </w:pPr>
            <w:r w:rsidRPr="002C35E8">
              <w:rPr>
                <w:rFonts w:ascii="Times New Roman" w:eastAsia="Times New Roman" w:hAnsi="Times New Roman"/>
                <w:i/>
                <w:iCs/>
                <w:color w:val="000000"/>
              </w:rPr>
              <w:t xml:space="preserve">Veľmi zriedkavé </w:t>
            </w:r>
          </w:p>
        </w:tc>
        <w:tc>
          <w:tcPr>
            <w:tcW w:w="6804" w:type="dxa"/>
            <w:gridSpan w:val="2"/>
          </w:tcPr>
          <w:p w:rsidR="00615920" w:rsidRPr="00A00809" w:rsidRDefault="00EA43B1" w:rsidP="00567DC3">
            <w:pPr>
              <w:autoSpaceDE w:val="0"/>
              <w:autoSpaceDN w:val="0"/>
              <w:adjustRightInd w:val="0"/>
              <w:spacing w:after="0" w:line="240" w:lineRule="auto"/>
              <w:rPr>
                <w:rFonts w:ascii="Times New Roman" w:eastAsia="Times New Roman" w:hAnsi="Times New Roman"/>
                <w:color w:val="000000"/>
              </w:rPr>
            </w:pPr>
            <w:r w:rsidRPr="002C35E8">
              <w:rPr>
                <w:rFonts w:ascii="Times New Roman" w:eastAsia="Times New Roman" w:hAnsi="Times New Roman"/>
                <w:color w:val="000000"/>
              </w:rPr>
              <w:t>Leukopénia, trombocytopénia, alergické reakcie, hyperglykémia, zvýšený svalový tonus, periférna neuropatia, infarkt myokardu, arytmia (vrátane bradykardie, komorovej tachykardie a fibrilácie predsiení), vaskulitída, pankreatitída, gastritída, hyperplázia ging</w:t>
            </w:r>
            <w:r w:rsidR="00A00809">
              <w:rPr>
                <w:rFonts w:ascii="Times New Roman" w:eastAsia="Times New Roman" w:hAnsi="Times New Roman"/>
                <w:color w:val="000000"/>
              </w:rPr>
              <w:t>í</w:t>
            </w:r>
            <w:r w:rsidR="00615920" w:rsidRPr="00A00809">
              <w:rPr>
                <w:rFonts w:ascii="Times New Roman" w:eastAsia="Times New Roman" w:hAnsi="Times New Roman"/>
                <w:color w:val="000000"/>
              </w:rPr>
              <w:t xml:space="preserve">vy, hepatitída, ikterus, zvýšenie </w:t>
            </w:r>
            <w:r w:rsidRPr="002C35E8">
              <w:rPr>
                <w:rFonts w:ascii="Times New Roman" w:eastAsia="Times New Roman" w:hAnsi="Times New Roman"/>
                <w:color w:val="000000"/>
              </w:rPr>
              <w:t>hlad</w:t>
            </w:r>
            <w:r w:rsidR="00567DC3">
              <w:rPr>
                <w:rFonts w:ascii="Times New Roman" w:eastAsia="Times New Roman" w:hAnsi="Times New Roman"/>
                <w:color w:val="000000"/>
              </w:rPr>
              <w:t>í</w:t>
            </w:r>
            <w:r w:rsidRPr="002C35E8">
              <w:rPr>
                <w:rFonts w:ascii="Times New Roman" w:eastAsia="Times New Roman" w:hAnsi="Times New Roman"/>
                <w:color w:val="000000"/>
              </w:rPr>
              <w:t xml:space="preserve">n hepatálnych enzýmov*, angioedém, </w:t>
            </w:r>
            <w:r w:rsidRPr="002C35E8">
              <w:rPr>
                <w:rFonts w:ascii="Times New Roman" w:eastAsia="Times New Roman" w:hAnsi="Times New Roman"/>
                <w:i/>
                <w:color w:val="000000"/>
              </w:rPr>
              <w:t>erythema multiforme</w:t>
            </w:r>
            <w:r w:rsidR="00615920" w:rsidRPr="00A00809">
              <w:rPr>
                <w:rFonts w:ascii="Times New Roman" w:eastAsia="Times New Roman" w:hAnsi="Times New Roman"/>
                <w:color w:val="000000"/>
              </w:rPr>
              <w:t xml:space="preserve">, žihľavka, exfoliatívna dermatitída, Stevensov-Johnsonov syndróm, Quinckeho edém, fotosenzitivita. </w:t>
            </w:r>
          </w:p>
        </w:tc>
      </w:tr>
    </w:tbl>
    <w:p w:rsidR="003D6B10" w:rsidRPr="00A00809" w:rsidRDefault="00EA43B1" w:rsidP="003D6B10">
      <w:pPr>
        <w:spacing w:after="0" w:line="240" w:lineRule="auto"/>
        <w:ind w:left="567" w:hanging="567"/>
        <w:rPr>
          <w:rFonts w:ascii="Times New Roman" w:hAnsi="Times New Roman"/>
          <w:lang w:eastAsia="sk-SK"/>
        </w:rPr>
      </w:pPr>
      <w:r w:rsidRPr="002C35E8">
        <w:rPr>
          <w:rFonts w:ascii="Times New Roman" w:hAnsi="Times New Roman"/>
          <w:lang w:eastAsia="sk-SK"/>
        </w:rPr>
        <w:t>* Najčastejšie v spojení s cholestázou.</w:t>
      </w:r>
    </w:p>
    <w:p w:rsidR="003D6B10" w:rsidRPr="00A00809" w:rsidRDefault="003D6B10" w:rsidP="003D6B10">
      <w:pPr>
        <w:spacing w:after="0" w:line="240" w:lineRule="auto"/>
        <w:ind w:left="567" w:hanging="567"/>
        <w:rPr>
          <w:rFonts w:ascii="Times New Roman" w:hAnsi="Times New Roman"/>
          <w:lang w:eastAsia="sk-SK"/>
        </w:rPr>
      </w:pPr>
    </w:p>
    <w:p w:rsidR="00615920" w:rsidRPr="00A00809" w:rsidRDefault="00EA43B1" w:rsidP="003D6B10">
      <w:pPr>
        <w:spacing w:after="0" w:line="240" w:lineRule="auto"/>
        <w:ind w:left="567" w:hanging="567"/>
        <w:rPr>
          <w:rFonts w:ascii="Times New Roman" w:hAnsi="Times New Roman"/>
          <w:lang w:eastAsia="sk-SK"/>
        </w:rPr>
      </w:pPr>
      <w:r w:rsidRPr="002C35E8">
        <w:rPr>
          <w:rFonts w:ascii="Times New Roman" w:hAnsi="Times New Roman"/>
          <w:lang w:eastAsia="sk-SK"/>
        </w:rPr>
        <w:t>Boli hlásené ojedinelé prípady extrapyramídového syndrómu.</w:t>
      </w:r>
    </w:p>
    <w:p w:rsidR="00615920" w:rsidRPr="00A00809" w:rsidRDefault="00615920" w:rsidP="00FD2D5B">
      <w:pPr>
        <w:spacing w:after="0" w:line="240" w:lineRule="auto"/>
        <w:ind w:left="567" w:hanging="567"/>
        <w:rPr>
          <w:rFonts w:ascii="Times New Roman" w:hAnsi="Times New Roman"/>
          <w:u w:val="single"/>
          <w:lang w:eastAsia="sk-SK"/>
        </w:rPr>
      </w:pPr>
    </w:p>
    <w:p w:rsidR="00615920" w:rsidRPr="00A00809" w:rsidRDefault="00EA43B1" w:rsidP="00FD2D5B">
      <w:pPr>
        <w:spacing w:after="0" w:line="240" w:lineRule="auto"/>
        <w:ind w:left="567" w:hanging="567"/>
        <w:rPr>
          <w:rFonts w:ascii="Times New Roman" w:hAnsi="Times New Roman"/>
          <w:i/>
          <w:u w:val="single"/>
          <w:lang w:eastAsia="sk-SK"/>
        </w:rPr>
      </w:pPr>
      <w:r w:rsidRPr="002C35E8">
        <w:rPr>
          <w:rFonts w:ascii="Times New Roman" w:hAnsi="Times New Roman"/>
          <w:i/>
          <w:u w:val="single"/>
          <w:lang w:eastAsia="sk-SK"/>
        </w:rPr>
        <w:t>Valsartan</w:t>
      </w:r>
    </w:p>
    <w:tbl>
      <w:tblPr>
        <w:tblW w:w="0" w:type="auto"/>
        <w:tblBorders>
          <w:top w:val="nil"/>
          <w:left w:val="nil"/>
          <w:bottom w:val="nil"/>
          <w:right w:val="nil"/>
        </w:tblBorders>
        <w:tblLayout w:type="fixed"/>
        <w:tblLook w:val="0000" w:firstRow="0" w:lastRow="0" w:firstColumn="0" w:lastColumn="0" w:noHBand="0" w:noVBand="0"/>
      </w:tblPr>
      <w:tblGrid>
        <w:gridCol w:w="1951"/>
        <w:gridCol w:w="6662"/>
      </w:tblGrid>
      <w:tr w:rsidR="003D6B10" w:rsidRPr="00A00809" w:rsidTr="00FB4277">
        <w:trPr>
          <w:trHeight w:val="605"/>
        </w:trPr>
        <w:tc>
          <w:tcPr>
            <w:tcW w:w="1951" w:type="dxa"/>
          </w:tcPr>
          <w:p w:rsidR="003D6B10" w:rsidRPr="00A00809" w:rsidRDefault="00EA43B1" w:rsidP="003D6B10">
            <w:pPr>
              <w:autoSpaceDE w:val="0"/>
              <w:autoSpaceDN w:val="0"/>
              <w:adjustRightInd w:val="0"/>
              <w:spacing w:after="0" w:line="240" w:lineRule="auto"/>
              <w:rPr>
                <w:rFonts w:ascii="Times New Roman" w:eastAsia="Times New Roman" w:hAnsi="Times New Roman"/>
                <w:color w:val="000000"/>
              </w:rPr>
            </w:pPr>
            <w:r w:rsidRPr="002C35E8">
              <w:rPr>
                <w:rFonts w:ascii="Times New Roman" w:eastAsia="Times New Roman" w:hAnsi="Times New Roman"/>
                <w:i/>
                <w:iCs/>
                <w:color w:val="000000"/>
              </w:rPr>
              <w:t xml:space="preserve">Neznáme </w:t>
            </w:r>
          </w:p>
        </w:tc>
        <w:tc>
          <w:tcPr>
            <w:tcW w:w="6662" w:type="dxa"/>
          </w:tcPr>
          <w:p w:rsidR="003D6B10" w:rsidRPr="00A00809" w:rsidRDefault="00EA43B1" w:rsidP="00FB4277">
            <w:pPr>
              <w:autoSpaceDE w:val="0"/>
              <w:autoSpaceDN w:val="0"/>
              <w:adjustRightInd w:val="0"/>
              <w:spacing w:after="0" w:line="240" w:lineRule="auto"/>
              <w:rPr>
                <w:rFonts w:ascii="Times New Roman" w:eastAsia="Times New Roman" w:hAnsi="Times New Roman"/>
                <w:color w:val="000000"/>
              </w:rPr>
            </w:pPr>
            <w:r w:rsidRPr="002C35E8">
              <w:rPr>
                <w:rFonts w:ascii="Times New Roman" w:eastAsia="Times New Roman" w:hAnsi="Times New Roman"/>
                <w:color w:val="000000"/>
              </w:rPr>
              <w:t xml:space="preserve">Pokles hemoglobínu, pokles hematokritu, neutropénia, trombocytopénia, zvýšenie hladiny draslíka v sére, zvýšenie hodnôt funkčných testov pečene vrátane zvýšenia sérového bilirubínu, zlyhanie obličiek a porucha funkcie obličiek, zvýšenie hladiny kreatinínu v sére, angioedém, myalgia, vaskulitída, precitlivenosť vrátane sérovej choroby. </w:t>
            </w:r>
          </w:p>
        </w:tc>
      </w:tr>
    </w:tbl>
    <w:p w:rsidR="00615920" w:rsidRPr="00A00809" w:rsidRDefault="00615920" w:rsidP="00FD2D5B">
      <w:pPr>
        <w:spacing w:after="0" w:line="240" w:lineRule="auto"/>
        <w:ind w:left="567" w:hanging="567"/>
        <w:rPr>
          <w:rFonts w:ascii="Times New Roman" w:hAnsi="Times New Roman"/>
          <w:u w:val="single"/>
          <w:lang w:eastAsia="sk-SK"/>
        </w:rPr>
      </w:pPr>
    </w:p>
    <w:p w:rsidR="00FD2D5B" w:rsidRPr="00A00809" w:rsidRDefault="00EA43B1" w:rsidP="00FD2D5B">
      <w:pPr>
        <w:spacing w:after="0" w:line="240" w:lineRule="auto"/>
        <w:ind w:left="567" w:hanging="567"/>
        <w:rPr>
          <w:rFonts w:ascii="Times New Roman" w:hAnsi="Times New Roman"/>
          <w:u w:val="single"/>
          <w:lang w:eastAsia="sk-SK"/>
        </w:rPr>
      </w:pPr>
      <w:r w:rsidRPr="002C35E8">
        <w:rPr>
          <w:rFonts w:ascii="Times New Roman" w:hAnsi="Times New Roman"/>
          <w:u w:val="single"/>
          <w:lang w:eastAsia="sk-SK"/>
        </w:rPr>
        <w:t>Hlásenie podozrení na nežiaduce reakcie</w:t>
      </w:r>
    </w:p>
    <w:p w:rsidR="00FD2D5B" w:rsidRPr="00A00809" w:rsidRDefault="00EA43B1" w:rsidP="00FD2D5B">
      <w:pPr>
        <w:spacing w:line="240" w:lineRule="auto"/>
        <w:rPr>
          <w:rFonts w:ascii="Times New Roman" w:hAnsi="Times New Roman"/>
          <w:noProof/>
        </w:rPr>
      </w:pPr>
      <w:r w:rsidRPr="002C35E8">
        <w:rPr>
          <w:rFonts w:ascii="Times New Roman" w:hAnsi="Times New Roman"/>
          <w:noProof/>
          <w:lang w:eastAsia="sk-SK"/>
        </w:rPr>
        <w:lastRenderedPageBreak/>
        <w:t>Hlásenie podozrení na nežiaduce reakcie po registrácii lieku je dôležité. Umožňuje priebežné monitorovanie pomeru prínosu a rizika lieku. Od zdravotníckych pracovníkov sa vyžaduje, aby hlásili akékoľvek podozrenia na nežiaduce reakcie prostredníctvom</w:t>
      </w:r>
      <w:r w:rsidRPr="002C35E8">
        <w:rPr>
          <w:noProof/>
        </w:rPr>
        <w:t xml:space="preserve"> </w:t>
      </w:r>
      <w:r w:rsidRPr="002C35E8">
        <w:rPr>
          <w:rFonts w:ascii="Times New Roman" w:hAnsi="Times New Roman"/>
          <w:noProof/>
          <w:highlight w:val="lightGray"/>
        </w:rPr>
        <w:t>národného systému hlásenia uvedeného v </w:t>
      </w:r>
      <w:hyperlink r:id="rId8" w:history="1">
        <w:r w:rsidR="00FD2D5B" w:rsidRPr="00A00809">
          <w:rPr>
            <w:rStyle w:val="Hypertextovprepojenie"/>
            <w:rFonts w:ascii="Times New Roman" w:hAnsi="Times New Roman"/>
            <w:noProof/>
            <w:highlight w:val="lightGray"/>
          </w:rPr>
          <w:t>Prílohe V</w:t>
        </w:r>
      </w:hyperlink>
      <w:r w:rsidR="00FD2D5B" w:rsidRPr="00A00809">
        <w:rPr>
          <w:rFonts w:ascii="Times New Roman" w:hAnsi="Times New Roman"/>
          <w:noProof/>
        </w:rPr>
        <w:t>.</w:t>
      </w:r>
    </w:p>
    <w:p w:rsidR="00FD2D5B" w:rsidRPr="00A00809" w:rsidRDefault="00FD2D5B" w:rsidP="00FD2D5B">
      <w:pPr>
        <w:spacing w:after="0" w:line="240" w:lineRule="auto"/>
        <w:ind w:left="567" w:hanging="567"/>
        <w:rPr>
          <w:rFonts w:ascii="Times New Roman" w:hAnsi="Times New Roman"/>
          <w:b/>
          <w:noProof/>
          <w:lang w:eastAsia="sk-SK"/>
        </w:rPr>
      </w:pPr>
    </w:p>
    <w:p w:rsidR="00FD2D5B" w:rsidRPr="00A00809" w:rsidRDefault="00EA43B1" w:rsidP="00FD2D5B">
      <w:pPr>
        <w:spacing w:after="0" w:line="240" w:lineRule="auto"/>
        <w:ind w:left="567" w:hanging="567"/>
        <w:rPr>
          <w:rFonts w:ascii="Times New Roman" w:hAnsi="Times New Roman"/>
          <w:b/>
          <w:noProof/>
          <w:lang w:eastAsia="sk-SK"/>
        </w:rPr>
      </w:pPr>
      <w:r w:rsidRPr="002C35E8">
        <w:rPr>
          <w:rFonts w:ascii="Times New Roman" w:hAnsi="Times New Roman"/>
          <w:b/>
          <w:noProof/>
          <w:lang w:eastAsia="sk-SK"/>
        </w:rPr>
        <w:t>4.9</w:t>
      </w:r>
      <w:r w:rsidRPr="002C35E8">
        <w:rPr>
          <w:rFonts w:ascii="Times New Roman" w:hAnsi="Times New Roman"/>
          <w:b/>
          <w:noProof/>
          <w:lang w:eastAsia="sk-SK"/>
        </w:rPr>
        <w:tab/>
        <w:t>Predávkovanie</w:t>
      </w:r>
    </w:p>
    <w:p w:rsidR="00FD2D5B" w:rsidRPr="00A00809" w:rsidRDefault="00FD2D5B" w:rsidP="00FD2D5B">
      <w:pPr>
        <w:spacing w:after="0" w:line="240" w:lineRule="auto"/>
        <w:ind w:left="567" w:hanging="567"/>
        <w:rPr>
          <w:rFonts w:ascii="Times New Roman" w:hAnsi="Times New Roman"/>
          <w:b/>
          <w:noProof/>
          <w:lang w:eastAsia="sk-SK"/>
        </w:rPr>
      </w:pPr>
    </w:p>
    <w:p w:rsidR="00A2456B" w:rsidRPr="00A00809" w:rsidRDefault="00EA43B1" w:rsidP="00FD2D5B">
      <w:pPr>
        <w:spacing w:after="0" w:line="240" w:lineRule="auto"/>
        <w:ind w:left="567" w:hanging="567"/>
        <w:rPr>
          <w:rFonts w:ascii="Times New Roman" w:hAnsi="Times New Roman"/>
          <w:noProof/>
          <w:u w:val="single"/>
          <w:lang w:eastAsia="sk-SK"/>
        </w:rPr>
      </w:pPr>
      <w:r w:rsidRPr="002C35E8">
        <w:rPr>
          <w:rFonts w:ascii="Times New Roman" w:hAnsi="Times New Roman"/>
          <w:noProof/>
          <w:u w:val="single"/>
          <w:lang w:eastAsia="sk-SK"/>
        </w:rPr>
        <w:t>Príznaky</w:t>
      </w:r>
    </w:p>
    <w:p w:rsidR="00D049E6" w:rsidRPr="00A00809" w:rsidRDefault="00EA43B1" w:rsidP="00D049E6">
      <w:pPr>
        <w:spacing w:after="0" w:line="240" w:lineRule="auto"/>
        <w:rPr>
          <w:rFonts w:ascii="Times New Roman" w:hAnsi="Times New Roman"/>
          <w:noProof/>
          <w:lang w:eastAsia="sk-SK"/>
        </w:rPr>
      </w:pPr>
      <w:r w:rsidRPr="002C35E8">
        <w:rPr>
          <w:rFonts w:ascii="Times New Roman" w:hAnsi="Times New Roman"/>
          <w:noProof/>
          <w:lang w:eastAsia="sk-SK"/>
        </w:rPr>
        <w:t>S predávkovaním kombináciou amlodipín/valsartan nie sú skúsenosti. Hlavným príznakom predávkovania valsartanom je asi výrazná hypotenzia so závratmi. Predávkovanie amlodipínom môže mať za následok nadmernú periférnu vazodilatáciu a pravdepodobne reflexnú tachykardiu. Bola hlásená výrazná a potenciálne dlhodobá systémová hypotenzia prechádzajúca až do šoku, s fatálnym koncom.</w:t>
      </w:r>
    </w:p>
    <w:p w:rsidR="00A2456B" w:rsidRPr="00A00809" w:rsidRDefault="00A2456B" w:rsidP="00FD2D5B">
      <w:pPr>
        <w:spacing w:after="0" w:line="240" w:lineRule="auto"/>
        <w:ind w:left="567" w:hanging="567"/>
        <w:rPr>
          <w:rFonts w:ascii="Times New Roman" w:hAnsi="Times New Roman"/>
          <w:b/>
          <w:noProof/>
          <w:lang w:eastAsia="sk-SK"/>
        </w:rPr>
      </w:pPr>
    </w:p>
    <w:p w:rsidR="00814B7B" w:rsidRPr="00A00809" w:rsidRDefault="00EA43B1" w:rsidP="00FD2D5B">
      <w:pPr>
        <w:spacing w:after="0" w:line="240" w:lineRule="auto"/>
        <w:ind w:left="567" w:hanging="567"/>
        <w:rPr>
          <w:rFonts w:ascii="Times New Roman" w:hAnsi="Times New Roman"/>
          <w:noProof/>
          <w:u w:val="single"/>
          <w:lang w:eastAsia="sk-SK"/>
        </w:rPr>
      </w:pPr>
      <w:r w:rsidRPr="002C35E8">
        <w:rPr>
          <w:rFonts w:ascii="Times New Roman" w:hAnsi="Times New Roman"/>
          <w:noProof/>
          <w:u w:val="single"/>
          <w:lang w:eastAsia="sk-SK"/>
        </w:rPr>
        <w:t>Liečba</w:t>
      </w:r>
    </w:p>
    <w:p w:rsidR="00EB2B0B" w:rsidRPr="00A00809" w:rsidRDefault="00EA43B1" w:rsidP="00EB2B0B">
      <w:pPr>
        <w:tabs>
          <w:tab w:val="left" w:pos="-142"/>
          <w:tab w:val="left" w:pos="284"/>
        </w:tabs>
        <w:spacing w:after="0" w:line="240" w:lineRule="auto"/>
        <w:rPr>
          <w:rFonts w:ascii="Times New Roman" w:hAnsi="Times New Roman"/>
          <w:noProof/>
          <w:lang w:eastAsia="sk-SK"/>
        </w:rPr>
      </w:pPr>
      <w:r w:rsidRPr="002C35E8">
        <w:rPr>
          <w:rFonts w:ascii="Times New Roman" w:hAnsi="Times New Roman"/>
          <w:noProof/>
          <w:lang w:eastAsia="sk-SK"/>
        </w:rPr>
        <w:t>Ak k požitiu lieku došlo nedávno, možno zvážiť vyvolanie vracania alebo gastrickú laváž. Ukázalo sa, že podanie aktívneho uhlia zdravým dobrovoľníkom ihneď alebo do dvoch hodín od požitia amlodipínu významne znížilo jeho absorpciu. Klinicky významná hypotenzia spôsobená predávkovaním amlodipínom/valsartanom vyžaduje aktívnu kardiovaskulárnu podpornú liečbu, vrátane častého monitorovania funkcie srdca a dýchania, vyvýšenie končatín a sledovanie objemu cirkulujúcich tekutín a vylučovania moču. Pri obnovení cievneho tonusu a krvného tlaku môže pomôcť vazokonstrikčná látka za predpokladu, že jej podanie nie je kontraindikované. Intravenózne podanie glukonátu</w:t>
      </w:r>
      <w:r w:rsidR="00FF7922">
        <w:rPr>
          <w:rFonts w:ascii="Times New Roman" w:hAnsi="Times New Roman"/>
          <w:noProof/>
          <w:lang w:eastAsia="sk-SK"/>
        </w:rPr>
        <w:t xml:space="preserve"> vápenatého</w:t>
      </w:r>
      <w:r w:rsidRPr="002C35E8">
        <w:rPr>
          <w:rFonts w:ascii="Times New Roman" w:hAnsi="Times New Roman"/>
          <w:noProof/>
          <w:lang w:eastAsia="sk-SK"/>
        </w:rPr>
        <w:t xml:space="preserve"> môže byť prospešné pri zvrátení účinkov blokády kalciových kanálov.</w:t>
      </w:r>
    </w:p>
    <w:p w:rsidR="00EB2B0B" w:rsidRPr="00A00809" w:rsidRDefault="00EB2B0B" w:rsidP="00EB2B0B">
      <w:pPr>
        <w:tabs>
          <w:tab w:val="left" w:pos="-142"/>
          <w:tab w:val="left" w:pos="284"/>
        </w:tabs>
        <w:spacing w:after="0" w:line="240" w:lineRule="auto"/>
        <w:rPr>
          <w:rFonts w:ascii="Times New Roman" w:hAnsi="Times New Roman"/>
          <w:noProof/>
          <w:lang w:eastAsia="sk-SK"/>
        </w:rPr>
      </w:pPr>
    </w:p>
    <w:p w:rsidR="00D049E6" w:rsidRPr="00A00809" w:rsidRDefault="00EA43B1" w:rsidP="00EB2B0B">
      <w:pPr>
        <w:tabs>
          <w:tab w:val="left" w:pos="-142"/>
          <w:tab w:val="left" w:pos="284"/>
        </w:tabs>
        <w:spacing w:after="0" w:line="240" w:lineRule="auto"/>
        <w:rPr>
          <w:rFonts w:ascii="Times New Roman" w:hAnsi="Times New Roman"/>
          <w:noProof/>
          <w:lang w:eastAsia="sk-SK"/>
        </w:rPr>
      </w:pPr>
      <w:r w:rsidRPr="002C35E8">
        <w:rPr>
          <w:rFonts w:ascii="Times New Roman" w:hAnsi="Times New Roman"/>
          <w:noProof/>
          <w:lang w:eastAsia="sk-SK"/>
        </w:rPr>
        <w:t>Nie je pravdepodobné, že sa valsartan alebo amlodipín možno odstrániť hemodialýzou</w:t>
      </w:r>
      <w:r w:rsidR="000C7BDF">
        <w:rPr>
          <w:rFonts w:ascii="Times New Roman" w:hAnsi="Times New Roman"/>
          <w:noProof/>
          <w:lang w:eastAsia="sk-SK"/>
        </w:rPr>
        <w:t>.</w:t>
      </w:r>
    </w:p>
    <w:p w:rsidR="00FD2D5B" w:rsidRPr="00A00809" w:rsidRDefault="00FD2D5B" w:rsidP="00FD2D5B">
      <w:pPr>
        <w:spacing w:after="0" w:line="240" w:lineRule="auto"/>
        <w:ind w:left="567" w:hanging="567"/>
        <w:rPr>
          <w:rFonts w:ascii="Times New Roman" w:hAnsi="Times New Roman"/>
          <w:b/>
          <w:noProof/>
          <w:lang w:eastAsia="sk-SK"/>
        </w:rPr>
      </w:pPr>
    </w:p>
    <w:p w:rsidR="00FD2D5B" w:rsidRPr="00A00809" w:rsidRDefault="00FD2D5B" w:rsidP="00FD2D5B">
      <w:pPr>
        <w:spacing w:after="0" w:line="240" w:lineRule="auto"/>
        <w:ind w:left="567" w:hanging="567"/>
        <w:rPr>
          <w:rFonts w:ascii="Times New Roman" w:hAnsi="Times New Roman"/>
          <w:b/>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5.</w:t>
      </w:r>
      <w:r w:rsidRPr="002C35E8">
        <w:rPr>
          <w:rFonts w:ascii="Times New Roman" w:hAnsi="Times New Roman"/>
          <w:b/>
          <w:noProof/>
          <w:lang w:eastAsia="sk-SK"/>
        </w:rPr>
        <w:tab/>
        <w:t>FARMAKOLOGICKÉ VLASTNOSTI</w:t>
      </w:r>
    </w:p>
    <w:p w:rsidR="00FD2D5B" w:rsidRPr="00A00809" w:rsidRDefault="00FD2D5B" w:rsidP="00FD2D5B">
      <w:pPr>
        <w:spacing w:after="0" w:line="240" w:lineRule="auto"/>
        <w:ind w:left="567" w:hanging="567"/>
        <w:rPr>
          <w:rFonts w:ascii="Times New Roman" w:hAnsi="Times New Roman"/>
          <w:bCs/>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5.1</w:t>
      </w:r>
      <w:r w:rsidRPr="002C35E8">
        <w:rPr>
          <w:rFonts w:ascii="Times New Roman" w:hAnsi="Times New Roman"/>
          <w:b/>
          <w:noProof/>
          <w:lang w:eastAsia="sk-SK"/>
        </w:rPr>
        <w:tab/>
        <w:t>Farmakodynamické vlastnosti</w:t>
      </w:r>
    </w:p>
    <w:p w:rsidR="00FD2D5B" w:rsidRPr="00A00809" w:rsidRDefault="00FD2D5B" w:rsidP="00FD2D5B">
      <w:pPr>
        <w:spacing w:after="0" w:line="240" w:lineRule="auto"/>
        <w:ind w:left="567" w:hanging="567"/>
        <w:rPr>
          <w:rFonts w:ascii="Times New Roman" w:hAnsi="Times New Roman"/>
          <w:noProof/>
          <w:lang w:eastAsia="sk-SK"/>
        </w:rPr>
      </w:pPr>
    </w:p>
    <w:p w:rsidR="00791564" w:rsidRPr="00A00809" w:rsidRDefault="00EA43B1" w:rsidP="00FD2D5B">
      <w:pPr>
        <w:spacing w:after="0" w:line="240" w:lineRule="auto"/>
        <w:outlineLvl w:val="0"/>
        <w:rPr>
          <w:rFonts w:ascii="Times New Roman" w:hAnsi="Times New Roman"/>
          <w:noProof/>
          <w:lang w:eastAsia="sk-SK"/>
        </w:rPr>
      </w:pPr>
      <w:r w:rsidRPr="002C35E8">
        <w:rPr>
          <w:rFonts w:ascii="Times New Roman" w:hAnsi="Times New Roman"/>
          <w:noProof/>
          <w:lang w:eastAsia="sk-SK"/>
        </w:rPr>
        <w:t xml:space="preserve">Farmakoterapeutická skupina: liečivá s účinkom na renín-angiotenzínový systém, antagonisty angiotenzínu II, kombinácie;  antagonisty angiotenzínu II a blokátory kalciov kanála, </w:t>
      </w:r>
    </w:p>
    <w:p w:rsidR="00FD2D5B" w:rsidRPr="00A00809" w:rsidRDefault="00EA43B1" w:rsidP="00FD2D5B">
      <w:pPr>
        <w:spacing w:after="0" w:line="240" w:lineRule="auto"/>
        <w:outlineLvl w:val="0"/>
        <w:rPr>
          <w:rFonts w:ascii="Times New Roman" w:hAnsi="Times New Roman"/>
          <w:noProof/>
          <w:lang w:eastAsia="sk-SK"/>
        </w:rPr>
      </w:pPr>
      <w:r w:rsidRPr="002C35E8">
        <w:rPr>
          <w:rFonts w:ascii="Times New Roman" w:hAnsi="Times New Roman"/>
          <w:noProof/>
          <w:lang w:eastAsia="sk-SK"/>
        </w:rPr>
        <w:t>ATC kód: C09DB01.</w:t>
      </w:r>
    </w:p>
    <w:p w:rsidR="00FD2D5B" w:rsidRPr="00A00809" w:rsidRDefault="00FD2D5B" w:rsidP="00FD2D5B">
      <w:pPr>
        <w:spacing w:after="0" w:line="240" w:lineRule="auto"/>
        <w:ind w:left="567" w:hanging="567"/>
        <w:outlineLvl w:val="0"/>
        <w:rPr>
          <w:rFonts w:ascii="Times New Roman" w:hAnsi="Times New Roman"/>
          <w:noProof/>
          <w:lang w:eastAsia="sk-SK"/>
        </w:rPr>
      </w:pPr>
    </w:p>
    <w:p w:rsidR="00791564" w:rsidRPr="00A00809" w:rsidRDefault="00EA43B1" w:rsidP="00FD2D5B">
      <w:pPr>
        <w:spacing w:after="0" w:line="240" w:lineRule="auto"/>
        <w:rPr>
          <w:rFonts w:ascii="Times New Roman" w:hAnsi="Times New Roman"/>
          <w:noProof/>
          <w:lang w:eastAsia="sk-SK"/>
        </w:rPr>
      </w:pPr>
      <w:r w:rsidRPr="002C35E8">
        <w:rPr>
          <w:rFonts w:ascii="Times New Roman" w:hAnsi="Times New Roman"/>
          <w:noProof/>
          <w:lang w:eastAsia="sk-SK"/>
        </w:rPr>
        <w:t>Asbima kombinuje dve antihypertenzívne pôsobiace liečivá s komplementárnym mechanizmom kontroly krvného tlaku u pacientov s esenciálnou hypertenziou: amlodipín patrí do liekovej skupiny blokátorov kalciového kanála a valsartan patrí do skupiny antagonistov receptorov angiotenzínu II. Kombinácia týchto liečiv má aditívny antihypertenzívny účinok, znižujúci krvný tlak vo väčšej miere ako každé liečivo samostatne.</w:t>
      </w:r>
    </w:p>
    <w:p w:rsidR="00A95EEC" w:rsidRPr="00A00809" w:rsidRDefault="00A95EEC" w:rsidP="00A95EEC">
      <w:pPr>
        <w:spacing w:after="0" w:line="240" w:lineRule="auto"/>
        <w:rPr>
          <w:rFonts w:ascii="Times New Roman" w:hAnsi="Times New Roman"/>
          <w:noProof/>
          <w:u w:val="single"/>
          <w:lang w:eastAsia="sk-SK"/>
        </w:rPr>
      </w:pPr>
    </w:p>
    <w:p w:rsidR="00A82198" w:rsidRPr="00A00809" w:rsidRDefault="00EA43B1" w:rsidP="00A82198">
      <w:pPr>
        <w:spacing w:after="0" w:line="240" w:lineRule="auto"/>
        <w:rPr>
          <w:rFonts w:ascii="Times New Roman" w:hAnsi="Times New Roman"/>
          <w:noProof/>
          <w:u w:val="single"/>
          <w:lang w:eastAsia="sk-SK"/>
        </w:rPr>
      </w:pPr>
      <w:r w:rsidRPr="002C35E8">
        <w:rPr>
          <w:rFonts w:ascii="Times New Roman" w:hAnsi="Times New Roman"/>
          <w:noProof/>
          <w:u w:val="single"/>
          <w:lang w:eastAsia="sk-SK"/>
        </w:rPr>
        <w:t>Amlodipín/valsartan</w:t>
      </w:r>
    </w:p>
    <w:p w:rsidR="00A82198" w:rsidRPr="00A00809" w:rsidRDefault="00EA43B1" w:rsidP="00A82198">
      <w:pPr>
        <w:spacing w:after="0" w:line="240" w:lineRule="auto"/>
        <w:rPr>
          <w:rFonts w:ascii="Times New Roman" w:hAnsi="Times New Roman"/>
          <w:noProof/>
          <w:highlight w:val="yellow"/>
          <w:lang w:eastAsia="sk-SK"/>
        </w:rPr>
      </w:pPr>
      <w:r w:rsidRPr="002C35E8">
        <w:rPr>
          <w:rFonts w:ascii="Times New Roman" w:hAnsi="Times New Roman"/>
          <w:noProof/>
          <w:lang w:eastAsia="sk-SK"/>
        </w:rPr>
        <w:t>Kombinácia amlodipínu a valsartanu vyvoláva aditívne zníženie krvného tlaku súvisiace s dávkou v celom rozmedzí terapeutických dávok. Antihypertenzívny účinok jednorazovej dávky tejto kombinácie pretrvával 24 hodín.</w:t>
      </w:r>
    </w:p>
    <w:p w:rsidR="00A82198" w:rsidRPr="00A00809" w:rsidRDefault="00A82198" w:rsidP="00A95EEC">
      <w:pPr>
        <w:spacing w:after="0" w:line="240" w:lineRule="auto"/>
        <w:rPr>
          <w:rFonts w:ascii="Times New Roman" w:hAnsi="Times New Roman"/>
          <w:noProof/>
          <w:highlight w:val="yellow"/>
          <w:lang w:eastAsia="sk-SK"/>
        </w:rPr>
      </w:pPr>
    </w:p>
    <w:p w:rsidR="00A82198" w:rsidRPr="00A00809" w:rsidRDefault="00EA43B1" w:rsidP="00A82198">
      <w:pPr>
        <w:spacing w:after="0" w:line="240" w:lineRule="auto"/>
        <w:rPr>
          <w:rFonts w:ascii="Times New Roman" w:hAnsi="Times New Roman"/>
          <w:i/>
          <w:noProof/>
          <w:lang w:eastAsia="sk-SK"/>
        </w:rPr>
      </w:pPr>
      <w:r w:rsidRPr="002C35E8">
        <w:rPr>
          <w:rFonts w:ascii="Times New Roman" w:hAnsi="Times New Roman"/>
          <w:i/>
          <w:noProof/>
          <w:lang w:eastAsia="sk-SK"/>
        </w:rPr>
        <w:t>Placebom kontrolované štúdie</w:t>
      </w:r>
    </w:p>
    <w:p w:rsidR="00A82198" w:rsidRPr="00A00809" w:rsidRDefault="00EA43B1" w:rsidP="00A82198">
      <w:pPr>
        <w:spacing w:after="0" w:line="240" w:lineRule="auto"/>
        <w:rPr>
          <w:rFonts w:ascii="Times New Roman" w:hAnsi="Times New Roman"/>
          <w:noProof/>
          <w:lang w:eastAsia="sk-SK"/>
        </w:rPr>
      </w:pPr>
      <w:r w:rsidRPr="002C35E8">
        <w:rPr>
          <w:rFonts w:ascii="Times New Roman" w:hAnsi="Times New Roman"/>
          <w:noProof/>
          <w:lang w:eastAsia="sk-SK"/>
        </w:rPr>
        <w:t>Viac ako 1 400 pacientov s hypertenziou dostávalo kombináciu amlodipín/valsartan raz denne v dvoch placebom kontrolovaných štúdiách. Boli do nich zaradení dospelí s miernou až stredne ťažkou nekomplikovanou esenciálnou hypertenziou (priemerný diastolický tlak krvi v sede ≥ 95 a &lt; 110 mmHg). Pacienti s vysokým kardiovaskulárnym rizikom – so srdcovým zlyhaním, diabetom typu I a nedostatočne kontrolovaným diabetom typu II a s anamnézou infarktu myokardu alebo po cievnej mozgovej príhode v priebehu jedného roka – boli vylúčení.</w:t>
      </w:r>
    </w:p>
    <w:p w:rsidR="00A82198" w:rsidRPr="00A00809" w:rsidRDefault="00A82198" w:rsidP="00A82198">
      <w:pPr>
        <w:spacing w:after="0" w:line="240" w:lineRule="auto"/>
        <w:rPr>
          <w:rFonts w:ascii="Times New Roman" w:hAnsi="Times New Roman"/>
          <w:noProof/>
          <w:lang w:eastAsia="sk-SK"/>
        </w:rPr>
      </w:pPr>
    </w:p>
    <w:p w:rsidR="00A82198" w:rsidRPr="00A00809" w:rsidRDefault="00EA43B1" w:rsidP="00A82198">
      <w:pPr>
        <w:spacing w:after="0" w:line="240" w:lineRule="auto"/>
        <w:rPr>
          <w:rFonts w:ascii="Times New Roman" w:hAnsi="Times New Roman"/>
          <w:i/>
          <w:noProof/>
          <w:lang w:eastAsia="sk-SK"/>
        </w:rPr>
      </w:pPr>
      <w:r w:rsidRPr="002C35E8">
        <w:rPr>
          <w:rFonts w:ascii="Times New Roman" w:hAnsi="Times New Roman"/>
          <w:i/>
          <w:noProof/>
          <w:lang w:eastAsia="sk-SK"/>
        </w:rPr>
        <w:t>Aktívne kontrolované klinické skúšanie u pacientov, ktorí nereagovali na monoterapiu</w:t>
      </w:r>
    </w:p>
    <w:p w:rsidR="00A82198" w:rsidRPr="00A00809" w:rsidRDefault="00EA43B1" w:rsidP="00A82198">
      <w:pPr>
        <w:spacing w:after="0" w:line="240" w:lineRule="auto"/>
        <w:rPr>
          <w:rFonts w:ascii="Times New Roman" w:hAnsi="Times New Roman"/>
          <w:noProof/>
          <w:lang w:eastAsia="sk-SK"/>
        </w:rPr>
      </w:pPr>
      <w:r w:rsidRPr="002C35E8">
        <w:rPr>
          <w:rFonts w:ascii="Times New Roman" w:hAnsi="Times New Roman"/>
          <w:noProof/>
          <w:lang w:eastAsia="sk-SK"/>
        </w:rPr>
        <w:lastRenderedPageBreak/>
        <w:t>Multicentrické, randomizované, dvojito zaslepené, aktívne kontrolované klinické skúšanie v paralelnom usporiadaní preukázalo normalizáciu krvného tlaku (priemerný diastolický krvný tlak v sede &lt; 90 mmHg na konci skúšania) u 75 % pacientov, ktorých krvný tlak nebol dostatočne znížený valsartanom pri dávke 160 mg, pokiaľ boli liečení kombináciou amlodipín/valsartan 10 mg/160 mg a u 62 % pacientov liečených kombináciou  amlodipín/valsartan v dávke 5 mg/160 mg v porovnaní s 53 % pacientov, liečených naďalej valsartanom v dávke 160 mg. Pridanie 10 mg a 5 mg amlodipínu vyvolalo ďalšie zníženie systolického/diastolického krvného tlaku o 6,0/4,8 mmHg a 3,9/2,9 mmHg v porovnaní s pacientmi, ktorým bol naďalej podávaný len valsartan 160 mg.</w:t>
      </w:r>
    </w:p>
    <w:p w:rsidR="00A82198" w:rsidRPr="00A00809" w:rsidRDefault="00A82198" w:rsidP="00A82198">
      <w:pPr>
        <w:spacing w:after="0" w:line="240" w:lineRule="auto"/>
        <w:rPr>
          <w:rFonts w:ascii="Times New Roman" w:hAnsi="Times New Roman"/>
          <w:noProof/>
          <w:lang w:eastAsia="sk-SK"/>
        </w:rPr>
      </w:pPr>
    </w:p>
    <w:p w:rsidR="00465061" w:rsidRPr="00A00809" w:rsidRDefault="00EA43B1" w:rsidP="00A82198">
      <w:pPr>
        <w:spacing w:after="0" w:line="240" w:lineRule="auto"/>
        <w:rPr>
          <w:rFonts w:ascii="Times New Roman" w:hAnsi="Times New Roman"/>
          <w:noProof/>
          <w:lang w:eastAsia="sk-SK"/>
        </w:rPr>
      </w:pPr>
      <w:r w:rsidRPr="002C35E8">
        <w:rPr>
          <w:rFonts w:ascii="Times New Roman" w:hAnsi="Times New Roman"/>
          <w:noProof/>
          <w:lang w:eastAsia="sk-SK"/>
        </w:rPr>
        <w:t>Multicentrické, randomizované, dvojito zaslepené, aktívne kontrolované klinické skúšanie v paralelnom usporiadaní preukázalo normalizáciu krvného tlaku (priemerný diastolický krvný tlak v sede &lt; 90 mmHg na konci štúdie) u 78 % pacientov, ktorých krvný tlak nebol dostatočne kontrolovaný amlodipínom v dávke 10 mg, pokiaľ boli liečení kombináciou amlodipín/valsartan 10 mg/160 mg oproti 67 % pacientov, liečených naďalej amlodipínom v dávke 10 mg. Pridanie 160 mg valsartanu vyvolalo ďalšie zníženie systolického/diastolického krvného tlaku o 2,9/2,1 mmHg v porovnaní s pacientmi, ktorí zostali naďalej liečení len amlodipínom 10 mg.</w:t>
      </w:r>
    </w:p>
    <w:p w:rsidR="00465061" w:rsidRPr="00A00809" w:rsidRDefault="00465061" w:rsidP="00A82198">
      <w:pPr>
        <w:spacing w:after="0" w:line="240" w:lineRule="auto"/>
        <w:rPr>
          <w:rFonts w:ascii="Times New Roman" w:hAnsi="Times New Roman"/>
          <w:noProof/>
          <w:lang w:eastAsia="sk-SK"/>
        </w:rPr>
      </w:pPr>
    </w:p>
    <w:p w:rsidR="00A82198" w:rsidRPr="00A00809" w:rsidRDefault="00EA43B1" w:rsidP="00A82198">
      <w:pPr>
        <w:spacing w:after="0" w:line="240" w:lineRule="auto"/>
        <w:rPr>
          <w:rFonts w:ascii="Times New Roman" w:hAnsi="Times New Roman"/>
          <w:noProof/>
          <w:lang w:eastAsia="sk-SK"/>
        </w:rPr>
      </w:pPr>
      <w:r w:rsidRPr="002C35E8">
        <w:rPr>
          <w:rFonts w:ascii="Times New Roman" w:hAnsi="Times New Roman"/>
          <w:noProof/>
          <w:lang w:eastAsia="sk-SK"/>
        </w:rPr>
        <w:t>Kombinácia amlodipín/valsartan sa skúmala aj v aktívne kontrolovanom klinickom skúšaní so 130 pacientmi s hypertenziou s priemerným diastolickým krvným tlakom v sede ≥ 110 mmHg a &lt; 120 mmHg. V tomto skúšaní (východisková hodnota tlaku krvi 171/113 mmHg) znížil liečebný režim kombinácie amlodipín/valsartan, titrovaný z dávky 5 mg/160 mg  na 10 mg/160 mg, krvný tlak v sede o 36/29 mmHg v porovnaní so znížením o 32/28 mmHg pri liečebnom režime kombinácie lisinopril/hydrochlorotiazid v dávke 10 mg/12,5 mg titrovanej na 20 mg/12,5 mg.</w:t>
      </w:r>
    </w:p>
    <w:p w:rsidR="00A82198" w:rsidRPr="00A00809" w:rsidRDefault="00A82198" w:rsidP="00A82198">
      <w:pPr>
        <w:spacing w:after="0" w:line="240" w:lineRule="auto"/>
        <w:rPr>
          <w:rFonts w:ascii="Times New Roman" w:hAnsi="Times New Roman"/>
          <w:noProof/>
          <w:lang w:eastAsia="sk-SK"/>
        </w:rPr>
      </w:pPr>
    </w:p>
    <w:p w:rsidR="00A82198" w:rsidRPr="00A00809" w:rsidRDefault="00EA43B1" w:rsidP="00A82198">
      <w:pPr>
        <w:spacing w:after="0" w:line="240" w:lineRule="auto"/>
        <w:rPr>
          <w:rFonts w:ascii="Times New Roman" w:hAnsi="Times New Roman"/>
          <w:noProof/>
          <w:lang w:eastAsia="sk-SK"/>
        </w:rPr>
      </w:pPr>
      <w:r w:rsidRPr="002C35E8">
        <w:rPr>
          <w:rFonts w:ascii="Times New Roman" w:hAnsi="Times New Roman"/>
          <w:noProof/>
          <w:lang w:eastAsia="sk-SK"/>
        </w:rPr>
        <w:t>Vo dvoch dlhodobých následných štúdiách bol účinok kombinácie amlodipín/valsartan udržiavaný po dobu dlhšiu ako jeden rok. Náhle vysadenie amlodipínu/valsartanu sa nespájalo s rýchlym vzostupom krvného tlaku.</w:t>
      </w:r>
    </w:p>
    <w:p w:rsidR="00A82198" w:rsidRPr="00A00809" w:rsidRDefault="00A82198" w:rsidP="00A82198">
      <w:pPr>
        <w:spacing w:after="0" w:line="240" w:lineRule="auto"/>
        <w:rPr>
          <w:rFonts w:ascii="Times New Roman" w:hAnsi="Times New Roman"/>
          <w:noProof/>
          <w:lang w:eastAsia="sk-SK"/>
        </w:rPr>
      </w:pPr>
    </w:p>
    <w:p w:rsidR="00A82198" w:rsidRPr="00A00809" w:rsidRDefault="00EA43B1" w:rsidP="00A82198">
      <w:pPr>
        <w:spacing w:after="0" w:line="240" w:lineRule="auto"/>
        <w:rPr>
          <w:rFonts w:ascii="Times New Roman" w:hAnsi="Times New Roman"/>
          <w:noProof/>
          <w:highlight w:val="yellow"/>
          <w:lang w:eastAsia="sk-SK"/>
        </w:rPr>
      </w:pPr>
      <w:r w:rsidRPr="002C35E8">
        <w:rPr>
          <w:rFonts w:ascii="Times New Roman" w:hAnsi="Times New Roman"/>
          <w:noProof/>
          <w:lang w:eastAsia="sk-SK"/>
        </w:rPr>
        <w:t>Vek, pohlavie, rasa alebo index telesnej hmotnosti (≥ 30 kg/m2, &lt; 30 kg/m2) neovplyvnili odpoveď na kombináciu amlodipín/valsartan.</w:t>
      </w:r>
    </w:p>
    <w:p w:rsidR="00A82198" w:rsidRPr="00A00809" w:rsidRDefault="00A82198" w:rsidP="00A95EEC">
      <w:pPr>
        <w:spacing w:after="0" w:line="240" w:lineRule="auto"/>
        <w:rPr>
          <w:rFonts w:ascii="Times New Roman" w:hAnsi="Times New Roman"/>
          <w:noProof/>
          <w:highlight w:val="yellow"/>
          <w:lang w:eastAsia="sk-SK"/>
        </w:rPr>
      </w:pPr>
    </w:p>
    <w:p w:rsidR="00A82198" w:rsidRPr="00A00809" w:rsidRDefault="00EA43B1" w:rsidP="00A95EEC">
      <w:pPr>
        <w:spacing w:after="0" w:line="240" w:lineRule="auto"/>
        <w:rPr>
          <w:rFonts w:ascii="Times New Roman" w:hAnsi="Times New Roman"/>
          <w:noProof/>
          <w:highlight w:val="yellow"/>
          <w:lang w:eastAsia="sk-SK"/>
        </w:rPr>
      </w:pPr>
      <w:r w:rsidRPr="002C35E8">
        <w:rPr>
          <w:rFonts w:ascii="Times New Roman" w:hAnsi="Times New Roman"/>
          <w:noProof/>
          <w:lang w:eastAsia="sk-SK"/>
        </w:rPr>
        <w:t>Kombinácia amlodipín/valsartan sa neskúmala v žiadnej inej populácii pacientov okrem pacientov s hypertenziou. Valsartan sa skúmal u pacientov po infarkte myokardu a so srdcovým zlyhaním. Amlodipín sa skúmal u pacientov s chronickou stabilnou angínou pektoris, vazospastickou angínou a angiograficky potvrdenou ischemickou chorobou srdca.</w:t>
      </w:r>
    </w:p>
    <w:p w:rsidR="00A82198" w:rsidRPr="00A00809" w:rsidRDefault="00A82198" w:rsidP="00A95EEC">
      <w:pPr>
        <w:spacing w:after="0" w:line="240" w:lineRule="auto"/>
        <w:rPr>
          <w:rFonts w:ascii="Times New Roman" w:hAnsi="Times New Roman"/>
          <w:noProof/>
          <w:highlight w:val="yellow"/>
          <w:u w:val="single"/>
          <w:lang w:eastAsia="sk-SK"/>
        </w:rPr>
      </w:pPr>
    </w:p>
    <w:p w:rsidR="00A82198" w:rsidRPr="00A00809" w:rsidRDefault="00EA43B1" w:rsidP="00A82198">
      <w:pPr>
        <w:spacing w:after="0" w:line="240" w:lineRule="auto"/>
        <w:rPr>
          <w:rFonts w:ascii="Times New Roman" w:hAnsi="Times New Roman"/>
          <w:noProof/>
          <w:u w:val="single"/>
          <w:lang w:eastAsia="sk-SK"/>
        </w:rPr>
      </w:pPr>
      <w:r w:rsidRPr="002C35E8">
        <w:rPr>
          <w:rFonts w:ascii="Times New Roman" w:hAnsi="Times New Roman"/>
          <w:noProof/>
          <w:u w:val="single"/>
          <w:lang w:eastAsia="sk-SK"/>
        </w:rPr>
        <w:t>Amlodipín</w:t>
      </w: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Liečivo amlodipín v kombinácii amlodipín/valsartan inhibuje transmembránový vstup iónov vápnika do srdcovej svaloviny a hladkého svalstva ciev. Mechanizmus antihypertenzívneho pôsobenia amlodipínu je podmienený priamym relaxačným účinkom na hladké svalstvo ciev, čo vyvoláva pokles odporu periférnych ciev a krvného tlaku. Experimentálne údaje naznačujú, že amlodipín sa viaže na dihydropyridínové aj na non-dihydropyridínové väzbové miesta. Kontraktilné procesy srdcového svalstva a hladkého svalstva ciev závisia od pohybu extracelulárnych iónov vápnika do týchto buniek cez špecifické iónové kanály.</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Po podaní terapeutických dávok pacientom s hypertenziou amlodipín vyvoláva vazodilatáciu, čo vedie k poklesu krvného tlaku u ležiaceho aj stojaceho pacienta. Tento pokles nesprevádza pri chronickom podávaní významná zmena srdcovej frekvencie ani plazmatických hladín katecholamínov.</w:t>
      </w: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Plazmatické koncentrácie korelujú s účinkom u mladých aj starších pacientov.</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U pacientov s hypertenziou s normálnou funkciou obličiek terapeutické dávky amlodipínu vyvolali zníženie odporu obličkových ciev a zvýšenie rýchlosti glomerulárnej filtrácie a efektívneho prietoku plazmy obličkami, a to bezo zmeny filtrovanej frakcie alebo proteinúrie.</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 xml:space="preserve">Tak ako pri iných blokátoroch kalciových kanálov, hemodynamické merania srdcovej funkcie v pokoji a pri telesnej námahe (alebo chôdzi) u pacientov s normálnou ventrikulárnou funkciou, ktorí sa liečili </w:t>
      </w:r>
      <w:r w:rsidRPr="002C35E8">
        <w:rPr>
          <w:rFonts w:ascii="Times New Roman" w:hAnsi="Times New Roman"/>
          <w:noProof/>
          <w:lang w:eastAsia="sk-SK"/>
        </w:rPr>
        <w:lastRenderedPageBreak/>
        <w:t>amlodipínom, spravidla ukázali malé zvýšenie srdcového indexu bez významného ovplyvnenia dP/dt alebo koncového diastolického tlaku alebo koncového objemu v ľavej komore. V štúdiách hemodynamiky sa podávanie amlodipínu v rozmedzí terapeutických dávok intaktným zvieratám a ľuďom nespájalo s negatívne inotropným účinkom, a to ani vtedy, keď sa ľuďom súčasne podávali betablokátory.</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Amlodipín nemení funkciu sinoatriálneho uzla ani atrioventrikulárne vedenie u intaktných zvierat alebo ľudí. V klinických skúšaniach, v ktorých sa podával amlodipín v kombinácii s betablokátormi pacientom buď s hypertenziou, alebo s anginou pectoris, sa nepozorovali nežiaduce účinky na elektrokardiografické parametre.</w:t>
      </w:r>
    </w:p>
    <w:p w:rsidR="009A001F" w:rsidRPr="00A00809" w:rsidRDefault="009A001F" w:rsidP="009A001F">
      <w:pPr>
        <w:spacing w:after="0" w:line="240" w:lineRule="auto"/>
        <w:rPr>
          <w:rFonts w:ascii="Times New Roman" w:hAnsi="Times New Roman"/>
          <w:noProof/>
          <w:lang w:eastAsia="sk-SK"/>
        </w:rPr>
      </w:pPr>
    </w:p>
    <w:p w:rsidR="00A82198" w:rsidRPr="00A00809" w:rsidRDefault="00EA43B1" w:rsidP="009A001F">
      <w:pPr>
        <w:spacing w:after="0" w:line="240" w:lineRule="auto"/>
        <w:rPr>
          <w:rFonts w:ascii="Times New Roman" w:hAnsi="Times New Roman"/>
          <w:i/>
          <w:noProof/>
          <w:highlight w:val="yellow"/>
          <w:lang w:eastAsia="sk-SK"/>
        </w:rPr>
      </w:pPr>
      <w:r w:rsidRPr="002C35E8">
        <w:rPr>
          <w:rFonts w:ascii="Times New Roman" w:hAnsi="Times New Roman"/>
          <w:i/>
          <w:noProof/>
          <w:lang w:eastAsia="sk-SK"/>
        </w:rPr>
        <w:t>Použitie u pacientov s hypertenziou</w:t>
      </w: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Randomizované, dvojito zaslepené klinické skúšanie morbidity a mortality s názvom Klinické skúšanie prevencie infarktu myokardu liečbou znižujúcou krvný tlak a lipidy (Antihypertensive and Lipid-Lowering treatment to prevent Heart Attack Trial, ALLHAT) sa uskutočnilo na porovnanie novších spôsobov liečby: amlodipín 2,5-10 mg/deň (blokátor kalciových kanálov) alebo lizinopril 10-40 mg/deň (inhibítor ACE) ako liečby prvej línie oproti liečbe tiazidovým diuretikom chlórtalidónom 12,5-25 mg/deň pri ľahkej až stredne ťažkej hypertenzii.</w:t>
      </w:r>
    </w:p>
    <w:p w:rsidR="009A001F" w:rsidRPr="00A00809" w:rsidRDefault="009A001F" w:rsidP="009A001F">
      <w:pPr>
        <w:spacing w:after="0" w:line="240" w:lineRule="auto"/>
        <w:rPr>
          <w:rFonts w:ascii="Times New Roman" w:hAnsi="Times New Roman"/>
          <w:noProof/>
          <w:lang w:eastAsia="sk-SK"/>
        </w:rPr>
      </w:pPr>
    </w:p>
    <w:p w:rsidR="00A82198" w:rsidRPr="00A00809" w:rsidRDefault="00EA43B1" w:rsidP="009A001F">
      <w:pPr>
        <w:spacing w:after="0" w:line="240" w:lineRule="auto"/>
        <w:rPr>
          <w:rFonts w:ascii="Times New Roman" w:hAnsi="Times New Roman"/>
          <w:noProof/>
          <w:highlight w:val="yellow"/>
          <w:lang w:eastAsia="sk-SK"/>
        </w:rPr>
      </w:pPr>
      <w:r w:rsidRPr="002C35E8">
        <w:rPr>
          <w:rFonts w:ascii="Times New Roman" w:hAnsi="Times New Roman"/>
          <w:noProof/>
          <w:lang w:eastAsia="sk-SK"/>
        </w:rPr>
        <w:t>Celkovo 33 357 pacientov s hypertenziou vo veku 55 rokov alebo starších bolo randomizovaných a sledovaných v priemere 4,9 roka. Pacienti mali aspoň jeden ďalší rizikový faktor pre koronárnu chorobu srdca vrátane</w:t>
      </w:r>
      <w:r w:rsidR="00E524DF">
        <w:rPr>
          <w:rFonts w:ascii="Times New Roman" w:hAnsi="Times New Roman"/>
          <w:noProof/>
          <w:lang w:eastAsia="sk-SK"/>
        </w:rPr>
        <w:t>:</w:t>
      </w:r>
      <w:r w:rsidRPr="002C35E8">
        <w:rPr>
          <w:rFonts w:ascii="Times New Roman" w:hAnsi="Times New Roman"/>
          <w:noProof/>
          <w:lang w:eastAsia="sk-SK"/>
        </w:rPr>
        <w:t xml:space="preserve"> infarktu myokardu alebo cievnej mozgovej príhody v minulosti (&gt; 6 mesiacov pred zaradením do klinického skúšania) alebo dokumentovaného iného aterosklerotického kardiovaskulárneho ochorenia (celkovo 51,5 %), diabetu 2. typu (36,1%), HDL cholesterolu &lt; 35 mg/dl alebo &lt; 0,906 mmol/l (11,6 %), hypertrofie ľavej komory diagnostikovanej pomocou elektrokardiogramu alebo echokardiograficky (20,9 %), fajčenia cigariet v súčasnosti (21,9 %).</w:t>
      </w:r>
    </w:p>
    <w:p w:rsidR="009A001F" w:rsidRPr="00A00809" w:rsidRDefault="009A001F" w:rsidP="00A95EEC">
      <w:pPr>
        <w:spacing w:after="0" w:line="240" w:lineRule="auto"/>
        <w:rPr>
          <w:rFonts w:ascii="Times New Roman" w:hAnsi="Times New Roman"/>
          <w:noProof/>
          <w:u w:val="single"/>
          <w:lang w:eastAsia="sk-SK"/>
        </w:rPr>
      </w:pPr>
    </w:p>
    <w:p w:rsidR="00A82198" w:rsidRPr="00A00809" w:rsidRDefault="00EA43B1" w:rsidP="00A95EEC">
      <w:pPr>
        <w:spacing w:after="0" w:line="240" w:lineRule="auto"/>
        <w:rPr>
          <w:rFonts w:ascii="Times New Roman" w:hAnsi="Times New Roman"/>
          <w:noProof/>
          <w:highlight w:val="yellow"/>
          <w:lang w:eastAsia="sk-SK"/>
        </w:rPr>
      </w:pPr>
      <w:r w:rsidRPr="002C35E8">
        <w:rPr>
          <w:rFonts w:ascii="Times New Roman" w:hAnsi="Times New Roman"/>
          <w:noProof/>
          <w:lang w:eastAsia="sk-SK"/>
        </w:rPr>
        <w:t>Primárny parameter sa skladal z fatálnej koronárnej choroby srdca alebo nefatálneho infarktu myokardu. Primárny parameter sa významne nelíšil medzi liečbou založenou na amlodipíne a chlórtalidóne: pomer rizika (RR) 0,98, 95 % IS (0,90 - 1,07), p = 0,65. Medzi sekundárnymi parametrami bola incidencia srdcového zlyhávania (súčasť zloženého kombinovaného kardiovaskulárneho parametra) významne vyššia v skupine amlodipínu v porovnaní so skupinou chlórtalidónu (10,2 % oproti 7,7 %, RR 1,38, 95 % IS [1,25 - 1,52], p &lt; 0,001). V úmrtiach z akejkoľvek príčiny však nebol významný rozdiel medzi liečbou založenou na amlodipíne a chlórtalidóne: RR 0,96, 95 % IS [0,89 - 1,02], p = 0,20.</w:t>
      </w:r>
    </w:p>
    <w:p w:rsidR="00A82198" w:rsidRPr="00A00809" w:rsidRDefault="00A82198" w:rsidP="00A95EEC">
      <w:pPr>
        <w:spacing w:after="0" w:line="240" w:lineRule="auto"/>
        <w:rPr>
          <w:rFonts w:ascii="Times New Roman" w:hAnsi="Times New Roman"/>
          <w:noProof/>
          <w:highlight w:val="yellow"/>
          <w:u w:val="single"/>
          <w:lang w:eastAsia="sk-SK"/>
        </w:rPr>
      </w:pPr>
    </w:p>
    <w:p w:rsidR="009A001F" w:rsidRPr="00A00809" w:rsidRDefault="00EA43B1" w:rsidP="009A001F">
      <w:pPr>
        <w:spacing w:after="0" w:line="240" w:lineRule="auto"/>
        <w:rPr>
          <w:rFonts w:ascii="Times New Roman" w:hAnsi="Times New Roman"/>
          <w:noProof/>
          <w:u w:val="single"/>
          <w:lang w:eastAsia="sk-SK"/>
        </w:rPr>
      </w:pPr>
      <w:r w:rsidRPr="002C35E8">
        <w:rPr>
          <w:rFonts w:ascii="Times New Roman" w:hAnsi="Times New Roman"/>
          <w:noProof/>
          <w:u w:val="single"/>
          <w:lang w:eastAsia="sk-SK"/>
        </w:rPr>
        <w:t>Valsartan</w:t>
      </w: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Valsartan je perorálne aktívny, účinný a špecifický antagonista receptorov angiotenzínu II. Účinkuje selektívne na receptor podtypu AT</w:t>
      </w:r>
      <w:r w:rsidRPr="002C35E8">
        <w:rPr>
          <w:rFonts w:ascii="Times New Roman" w:hAnsi="Times New Roman"/>
          <w:noProof/>
          <w:vertAlign w:val="subscript"/>
          <w:lang w:eastAsia="sk-SK"/>
        </w:rPr>
        <w:t>1</w:t>
      </w:r>
      <w:r w:rsidRPr="002C35E8">
        <w:rPr>
          <w:rFonts w:ascii="Times New Roman" w:hAnsi="Times New Roman"/>
          <w:noProof/>
          <w:lang w:eastAsia="sk-SK"/>
        </w:rPr>
        <w:t>, krorý je zodpovedný za známe účinky angiotenzínu II. Zvýšené plazmatické hladiny angiotenzínu II po blokáde receptora AT</w:t>
      </w:r>
      <w:r w:rsidRPr="002C35E8">
        <w:rPr>
          <w:rFonts w:ascii="Times New Roman" w:hAnsi="Times New Roman"/>
          <w:noProof/>
          <w:vertAlign w:val="subscript"/>
          <w:lang w:eastAsia="sk-SK"/>
        </w:rPr>
        <w:t>1</w:t>
      </w:r>
      <w:r w:rsidRPr="002C35E8">
        <w:rPr>
          <w:rFonts w:ascii="Times New Roman" w:hAnsi="Times New Roman"/>
          <w:noProof/>
          <w:lang w:eastAsia="sk-SK"/>
        </w:rPr>
        <w:t xml:space="preserve"> valsartanom môžu stimulovať neblokovaný receptor podtypu AT</w:t>
      </w:r>
      <w:r w:rsidRPr="002C35E8">
        <w:rPr>
          <w:rFonts w:ascii="Times New Roman" w:hAnsi="Times New Roman"/>
          <w:noProof/>
          <w:vertAlign w:val="subscript"/>
          <w:lang w:eastAsia="sk-SK"/>
        </w:rPr>
        <w:t>2</w:t>
      </w:r>
      <w:r w:rsidRPr="002C35E8">
        <w:rPr>
          <w:rFonts w:ascii="Times New Roman" w:hAnsi="Times New Roman"/>
          <w:noProof/>
          <w:lang w:eastAsia="sk-SK"/>
        </w:rPr>
        <w:t>, čo môže vyvážiť účinok stimulácie receptora AT</w:t>
      </w:r>
      <w:r w:rsidRPr="002C35E8">
        <w:rPr>
          <w:rFonts w:ascii="Times New Roman" w:hAnsi="Times New Roman"/>
          <w:noProof/>
          <w:vertAlign w:val="subscript"/>
          <w:lang w:eastAsia="sk-SK"/>
        </w:rPr>
        <w:t>1</w:t>
      </w:r>
      <w:r w:rsidRPr="002C35E8">
        <w:rPr>
          <w:rFonts w:ascii="Times New Roman" w:hAnsi="Times New Roman"/>
          <w:noProof/>
          <w:lang w:eastAsia="sk-SK"/>
        </w:rPr>
        <w:t>. Valsartan nevykazuje čiastočnú agonistickú aktivitu na receptore AT</w:t>
      </w:r>
      <w:r w:rsidRPr="002C35E8">
        <w:rPr>
          <w:rFonts w:ascii="Times New Roman" w:hAnsi="Times New Roman"/>
          <w:noProof/>
          <w:vertAlign w:val="subscript"/>
          <w:lang w:eastAsia="sk-SK"/>
        </w:rPr>
        <w:t>1</w:t>
      </w:r>
      <w:r w:rsidRPr="002C35E8">
        <w:rPr>
          <w:rFonts w:ascii="Times New Roman" w:hAnsi="Times New Roman"/>
          <w:noProof/>
          <w:lang w:eastAsia="sk-SK"/>
        </w:rPr>
        <w:t xml:space="preserve"> a má oveľa vyššiu (asi 20 000-násobnú) afinitu k receptoru AT</w:t>
      </w:r>
      <w:r w:rsidRPr="002C35E8">
        <w:rPr>
          <w:rFonts w:ascii="Times New Roman" w:hAnsi="Times New Roman"/>
          <w:noProof/>
          <w:vertAlign w:val="subscript"/>
          <w:lang w:eastAsia="sk-SK"/>
        </w:rPr>
        <w:t xml:space="preserve">1 </w:t>
      </w:r>
      <w:r w:rsidRPr="002C35E8">
        <w:rPr>
          <w:rFonts w:ascii="Times New Roman" w:hAnsi="Times New Roman"/>
          <w:noProof/>
          <w:lang w:eastAsia="sk-SK"/>
        </w:rPr>
        <w:t>než k AT</w:t>
      </w:r>
      <w:r w:rsidRPr="002C35E8">
        <w:rPr>
          <w:rFonts w:ascii="Times New Roman" w:hAnsi="Times New Roman"/>
          <w:noProof/>
          <w:vertAlign w:val="subscript"/>
          <w:lang w:eastAsia="sk-SK"/>
        </w:rPr>
        <w:t>2</w:t>
      </w:r>
      <w:r w:rsidRPr="002C35E8">
        <w:rPr>
          <w:rFonts w:ascii="Times New Roman" w:hAnsi="Times New Roman"/>
          <w:noProof/>
          <w:lang w:eastAsia="sk-SK"/>
        </w:rPr>
        <w:t>.</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Valsartan neinhibuje ACE, známy tiež ako kinináza II, ktorý premieňa angiotenzín I na angiotenzín II a rozkladá bradykinín. Pretože účinok na ACE a potenciácia bradykinínu alebo substancie P nie sú prítomné, antagonisty angiotenzínu II pravdepodobne nevyvolávajú kašeľ. V klinických skúšaniach, v ktorých sa valsartan porovnával s inhibítorom ACE, bola incidencia suchého kašľa významne nižšia (p &lt; 0,05) u pacientov liečených valsartanom než u pacientov liečených inhibítorom ACE (2,6 % oproti 7,9 %). V klinickom skúšaní s pacientmi, ktorí mali v anamnéze suchý kašeľ počas liečby inhibítorom ACE, malo kašeľ 19,5 % osôb užívajúcich valsartan a 19,0 % užívajúcich tiazidové diuretikum v porovnaní so 68,5 % osôb, ktorým sa podával inhibítor ACE (p &lt; 0,05). Valsartan neblokuje ani sa neviaže na receptory iných hormónov alebo iónové kanály, o ktorých je známe, že sú dôležité v kardiovaskulárnej regulácii.</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lastRenderedPageBreak/>
        <w:t>Podávanie valsartanu pacientom s hypertenziou vyvoláva pokles krvného tlaku bez ovplyvnenia tepovej frekvencie.</w:t>
      </w:r>
    </w:p>
    <w:p w:rsidR="009A001F" w:rsidRPr="00A00809" w:rsidRDefault="009A001F" w:rsidP="009A001F">
      <w:pPr>
        <w:spacing w:after="0" w:line="240" w:lineRule="auto"/>
        <w:rPr>
          <w:rFonts w:ascii="Times New Roman" w:hAnsi="Times New Roman"/>
          <w:noProof/>
          <w:lang w:eastAsia="sk-SK"/>
        </w:rPr>
      </w:pPr>
    </w:p>
    <w:p w:rsidR="00A82198" w:rsidRPr="00A00809" w:rsidRDefault="00EA43B1" w:rsidP="009A001F">
      <w:pPr>
        <w:spacing w:after="0" w:line="240" w:lineRule="auto"/>
        <w:rPr>
          <w:rFonts w:ascii="Times New Roman" w:hAnsi="Times New Roman"/>
          <w:noProof/>
          <w:highlight w:val="yellow"/>
          <w:lang w:eastAsia="sk-SK"/>
        </w:rPr>
      </w:pPr>
      <w:r w:rsidRPr="002C35E8">
        <w:rPr>
          <w:rFonts w:ascii="Times New Roman" w:hAnsi="Times New Roman"/>
          <w:noProof/>
          <w:lang w:eastAsia="sk-SK"/>
        </w:rPr>
        <w:t>U väčšiny pacientov po podaní jednorazovej perorálnej dávky nastupuje antihypertenzívny účinok v priebehu 2 hodín a maximálny pokles krvného tlaku sa dosiahne počas 4 - 6 hodín. Antihypertenzívny účinok pretrváva 24 hodín po podaní. Pri opakovanom podávaní maximálne zníženie krvného tlaku pri akejkoľvek dávke sa spravidla dosiahne v priebehu 2 - 4 týždňov a zachováva sa počas dlhodobej liečby. Náhle vysadenie valsartanu sa nespájalo s náhlym zvýšením krvného tlaku, ani inými</w:t>
      </w:r>
      <w:r w:rsidRPr="002C35E8">
        <w:rPr>
          <w:rFonts w:ascii="Times New Roman" w:hAnsi="Times New Roman"/>
          <w:noProof/>
          <w:u w:val="single"/>
          <w:lang w:eastAsia="sk-SK"/>
        </w:rPr>
        <w:t xml:space="preserve"> </w:t>
      </w:r>
      <w:r w:rsidRPr="002C35E8">
        <w:rPr>
          <w:rFonts w:ascii="Times New Roman" w:hAnsi="Times New Roman"/>
          <w:noProof/>
          <w:lang w:eastAsia="sk-SK"/>
        </w:rPr>
        <w:t>nežiaducimi klinickými udalosťami.</w:t>
      </w:r>
    </w:p>
    <w:p w:rsidR="009A001F" w:rsidRPr="00A00809" w:rsidRDefault="009A001F" w:rsidP="00A95EEC">
      <w:pPr>
        <w:spacing w:after="0" w:line="240" w:lineRule="auto"/>
        <w:rPr>
          <w:rFonts w:ascii="Times New Roman" w:hAnsi="Times New Roman"/>
          <w:noProof/>
          <w:highlight w:val="yellow"/>
          <w:u w:val="single"/>
          <w:lang w:eastAsia="sk-SK"/>
        </w:rPr>
      </w:pPr>
    </w:p>
    <w:p w:rsidR="009A001F" w:rsidRPr="00A00809" w:rsidRDefault="00EA43B1" w:rsidP="009A001F">
      <w:pPr>
        <w:spacing w:after="0" w:line="240" w:lineRule="auto"/>
        <w:rPr>
          <w:rFonts w:ascii="Times New Roman" w:hAnsi="Times New Roman"/>
          <w:noProof/>
          <w:u w:val="single"/>
          <w:lang w:eastAsia="sk-SK"/>
        </w:rPr>
      </w:pPr>
      <w:r w:rsidRPr="002C35E8">
        <w:rPr>
          <w:rFonts w:ascii="Times New Roman" w:hAnsi="Times New Roman"/>
          <w:noProof/>
          <w:u w:val="single"/>
          <w:lang w:eastAsia="sk-SK"/>
        </w:rPr>
        <w:t>Iné: duálna inhibícia systému renín-angiotenzín-aldosterón (RAAS)</w:t>
      </w: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Dve rozsiahle randomizované, kontrolované klinické skúšania (ONTARGET [ONgoing Telmisartan Alone and in combination with Ramipril Global Endpoint Trial] a VA NEPHRON-D [The Veterans Affairs Nephropathy in Diabetes]) skúmali použitie kombinácie inhibítora ACE a ARB.</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2C35E8">
        <w:rPr>
          <w:rFonts w:ascii="Times New Roman" w:hAnsi="Times New Roman"/>
          <w:noProof/>
          <w:lang w:eastAsia="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ARB.</w:t>
      </w:r>
    </w:p>
    <w:p w:rsidR="009A001F" w:rsidRPr="00A00809" w:rsidRDefault="00EA43B1" w:rsidP="009A001F">
      <w:pPr>
        <w:spacing w:after="0" w:line="240" w:lineRule="auto"/>
        <w:rPr>
          <w:rFonts w:ascii="Times New Roman" w:hAnsi="Times New Roman"/>
          <w:noProof/>
          <w:highlight w:val="yellow"/>
          <w:lang w:eastAsia="sk-SK"/>
        </w:rPr>
      </w:pPr>
      <w:r w:rsidRPr="002C35E8">
        <w:rPr>
          <w:rFonts w:ascii="Times New Roman" w:hAnsi="Times New Roman"/>
          <w:noProof/>
          <w:lang w:eastAsia="sk-SK"/>
        </w:rPr>
        <w:t>Inhibítory ACE a ARB sa preto nemajú používať súbežne u pacientov s diabetickou nefropatiou (pozri časť 4.4).</w:t>
      </w:r>
    </w:p>
    <w:p w:rsidR="009A001F" w:rsidRPr="00A00809" w:rsidRDefault="009A001F" w:rsidP="00A95EEC">
      <w:pPr>
        <w:spacing w:after="0" w:line="240" w:lineRule="auto"/>
        <w:rPr>
          <w:rFonts w:ascii="Times New Roman" w:hAnsi="Times New Roman"/>
          <w:noProof/>
          <w:highlight w:val="yellow"/>
          <w:u w:val="single"/>
          <w:lang w:eastAsia="sk-SK"/>
        </w:rPr>
      </w:pPr>
    </w:p>
    <w:p w:rsidR="009A001F" w:rsidRPr="00A00809" w:rsidRDefault="00EA43B1" w:rsidP="00A95EEC">
      <w:pPr>
        <w:spacing w:after="0" w:line="240" w:lineRule="auto"/>
        <w:rPr>
          <w:rFonts w:ascii="Times New Roman" w:hAnsi="Times New Roman"/>
          <w:noProof/>
          <w:highlight w:val="yellow"/>
          <w:lang w:eastAsia="sk-SK"/>
        </w:rPr>
      </w:pPr>
      <w:r w:rsidRPr="002C35E8">
        <w:rPr>
          <w:rFonts w:ascii="Times New Roman" w:hAnsi="Times New Roman"/>
          <w:noProof/>
          <w:lang w:eastAsia="sk-SK"/>
        </w:rPr>
        <w:t>Skúšanie ALTITUDE (Aliskiren Trial in Type 2 Diabetes Using Cardiovascular and Renal Disease Endpoints) bolo navrhnuté na otestovanie prínosu pridania aliskirenu k štandardnej liečbe inhibítorom ACE alebo ARB u pacientov s diabetes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9A001F" w:rsidRPr="00A00809" w:rsidRDefault="009A001F" w:rsidP="00A95EEC">
      <w:pPr>
        <w:spacing w:after="0" w:line="240" w:lineRule="auto"/>
        <w:rPr>
          <w:rFonts w:ascii="Times New Roman" w:hAnsi="Times New Roman"/>
          <w:noProof/>
          <w:highlight w:val="yellow"/>
          <w:u w:val="single"/>
          <w:lang w:eastAsia="sk-SK"/>
        </w:rPr>
      </w:pPr>
    </w:p>
    <w:p w:rsidR="00FD2D5B" w:rsidRPr="00A00809" w:rsidRDefault="00EA43B1" w:rsidP="00FD2D5B">
      <w:pPr>
        <w:spacing w:after="0" w:line="240" w:lineRule="auto"/>
        <w:rPr>
          <w:rFonts w:ascii="Times New Roman" w:hAnsi="Times New Roman"/>
          <w:b/>
          <w:noProof/>
          <w:lang w:eastAsia="sk-SK"/>
        </w:rPr>
      </w:pPr>
      <w:r w:rsidRPr="002C35E8">
        <w:rPr>
          <w:rFonts w:ascii="Times New Roman" w:hAnsi="Times New Roman"/>
          <w:b/>
          <w:noProof/>
          <w:lang w:eastAsia="sk-SK"/>
        </w:rPr>
        <w:t>5.2</w:t>
      </w:r>
      <w:r w:rsidRPr="002C35E8">
        <w:rPr>
          <w:rFonts w:ascii="Times New Roman" w:hAnsi="Times New Roman"/>
          <w:b/>
          <w:noProof/>
          <w:lang w:eastAsia="sk-SK"/>
        </w:rPr>
        <w:tab/>
        <w:t>Farmakokinetické vlastnosti</w:t>
      </w:r>
    </w:p>
    <w:p w:rsidR="00FD2D5B" w:rsidRPr="00A00809" w:rsidRDefault="00FD2D5B" w:rsidP="00FD2D5B">
      <w:pPr>
        <w:spacing w:after="0" w:line="240" w:lineRule="auto"/>
        <w:ind w:left="567" w:hanging="567"/>
        <w:rPr>
          <w:rFonts w:ascii="Times New Roman" w:hAnsi="Times New Roman"/>
          <w:b/>
          <w:noProof/>
          <w:lang w:eastAsia="sk-SK"/>
        </w:rPr>
      </w:pPr>
    </w:p>
    <w:p w:rsidR="00EB4B8F" w:rsidRPr="00A00809" w:rsidRDefault="00EA43B1" w:rsidP="00EB4B8F">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Linearita</w:t>
      </w: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Amlodipín a valsartan majú lineárnu farmakokinetiku.</w:t>
      </w:r>
    </w:p>
    <w:p w:rsidR="00EB4B8F" w:rsidRPr="00A00809" w:rsidRDefault="00EB4B8F" w:rsidP="00EB4B8F">
      <w:pPr>
        <w:spacing w:after="0" w:line="240" w:lineRule="auto"/>
        <w:rPr>
          <w:rFonts w:ascii="Times New Roman" w:eastAsia="Times New Roman" w:hAnsi="Times New Roman"/>
          <w:sz w:val="24"/>
          <w:szCs w:val="24"/>
        </w:rPr>
      </w:pP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Amlodipín/valsartan</w:t>
      </w: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Po perorálnom podaní kombinácie amlodipín/valsartan sa maximálne plazmatické koncentrácie valsartanu dosiahnu za 3 hodiny a amlodipínu za 6 - 8 hodín. Rýchlosť a miera absorpcie kombinácie amlodipín/valsartan sa rovnajú biologickej dostupnosti valsartanu a amlodipínu, keď sa podávajú ako jednotlivé tablety.</w:t>
      </w:r>
    </w:p>
    <w:p w:rsidR="00EB4B8F" w:rsidRPr="00A00809" w:rsidRDefault="00EB4B8F" w:rsidP="00EB4B8F">
      <w:pPr>
        <w:spacing w:after="0" w:line="240" w:lineRule="auto"/>
        <w:rPr>
          <w:rFonts w:ascii="Times New Roman" w:eastAsia="Times New Roman" w:hAnsi="Times New Roman"/>
          <w:sz w:val="24"/>
          <w:szCs w:val="24"/>
        </w:rPr>
      </w:pP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Amlodipín</w:t>
      </w:r>
    </w:p>
    <w:p w:rsidR="00EB4B8F" w:rsidRPr="00A00809" w:rsidRDefault="00EB4B8F" w:rsidP="00EB4B8F">
      <w:pPr>
        <w:spacing w:after="0" w:line="240" w:lineRule="auto"/>
        <w:rPr>
          <w:rFonts w:ascii="Times New Roman" w:eastAsia="Times New Roman" w:hAnsi="Times New Roman"/>
          <w:i/>
          <w:sz w:val="24"/>
          <w:szCs w:val="24"/>
        </w:rPr>
      </w:pPr>
    </w:p>
    <w:p w:rsidR="00EB4B8F" w:rsidRPr="00A00809" w:rsidRDefault="00EA43B1" w:rsidP="00EB4B8F">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Absorpcia</w:t>
      </w: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Po perorálnom podaní terapeutických dávok samotného amlodipínu sa jeho maximálne plazmatické koncentrácie dosiahnu v priebehu 6 - 12 hodín. Absolútna biologická dostupnosť sa vypočítala v rozmedzí 64 % a 80 %. Biologická dostupnosť amlodipínu nie je ovplyvnená požitím jedla.</w:t>
      </w:r>
    </w:p>
    <w:p w:rsidR="00EB4B8F" w:rsidRPr="00A00809" w:rsidRDefault="00EB4B8F" w:rsidP="00EB4B8F">
      <w:pPr>
        <w:spacing w:after="0" w:line="240" w:lineRule="auto"/>
        <w:rPr>
          <w:rFonts w:ascii="Times New Roman" w:eastAsia="Times New Roman" w:hAnsi="Times New Roman"/>
          <w:i/>
          <w:sz w:val="24"/>
          <w:szCs w:val="24"/>
        </w:rPr>
      </w:pPr>
    </w:p>
    <w:p w:rsidR="00EB4B8F" w:rsidRPr="00A00809" w:rsidRDefault="00EA43B1" w:rsidP="00EB4B8F">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Distribúcia</w:t>
      </w: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Distribučný objem je približne 21 l/kg. V štúdiách s amlodipínom </w:t>
      </w:r>
      <w:r>
        <w:rPr>
          <w:rFonts w:ascii="Times New Roman" w:eastAsia="Times New Roman" w:hAnsi="Times New Roman"/>
          <w:i/>
          <w:sz w:val="24"/>
          <w:szCs w:val="24"/>
        </w:rPr>
        <w:t>in vitro</w:t>
      </w:r>
      <w:r>
        <w:rPr>
          <w:rFonts w:ascii="Times New Roman" w:eastAsia="Times New Roman" w:hAnsi="Times New Roman"/>
          <w:sz w:val="24"/>
          <w:szCs w:val="24"/>
        </w:rPr>
        <w:t xml:space="preserve"> sa ukázalo, že približne 97,5 % cirkulujúceho liečiva sa viaže na plazmatické bielkoviny.</w:t>
      </w:r>
    </w:p>
    <w:p w:rsidR="00EB4B8F" w:rsidRPr="00A00809" w:rsidRDefault="00EA43B1" w:rsidP="00EB4B8F">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Biotransformácia</w:t>
      </w: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Amlodipín sa extenzívne (približne 90 %) metabolizuje v pečeni na inaktívne metabolity.</w:t>
      </w:r>
    </w:p>
    <w:p w:rsidR="00EB4B8F" w:rsidRPr="00A00809" w:rsidRDefault="00EB4B8F" w:rsidP="00EB4B8F">
      <w:pPr>
        <w:spacing w:after="0" w:line="240" w:lineRule="auto"/>
        <w:rPr>
          <w:rFonts w:ascii="Times New Roman" w:eastAsia="Times New Roman" w:hAnsi="Times New Roman"/>
          <w:i/>
          <w:sz w:val="24"/>
          <w:szCs w:val="24"/>
        </w:rPr>
      </w:pPr>
    </w:p>
    <w:p w:rsidR="00EB4B8F" w:rsidRPr="00A00809" w:rsidRDefault="00EA43B1" w:rsidP="00EB4B8F">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Eliminácia</w:t>
      </w:r>
    </w:p>
    <w:p w:rsidR="00EB4B8F" w:rsidRPr="00A00809" w:rsidRDefault="00EA43B1" w:rsidP="00EB4B8F">
      <w:pPr>
        <w:spacing w:after="0" w:line="240" w:lineRule="auto"/>
        <w:rPr>
          <w:rFonts w:ascii="Times New Roman" w:eastAsia="Times New Roman" w:hAnsi="Times New Roman"/>
          <w:sz w:val="24"/>
          <w:szCs w:val="24"/>
          <w:highlight w:val="yellow"/>
        </w:rPr>
      </w:pPr>
      <w:r>
        <w:rPr>
          <w:rFonts w:ascii="Times New Roman" w:eastAsia="Times New Roman" w:hAnsi="Times New Roman"/>
          <w:sz w:val="24"/>
          <w:szCs w:val="24"/>
        </w:rPr>
        <w:t>Eliminácia amlodipínu z plazmy je bifázická s terminálnym polčasom eliminácie približne 30 až 50 hodín. Rovnovážne koncentrácie v plazme sa dosiahnu po kontinuálnom podávaní za 7 - 8 dní. Močom sa vylúči 10 % pôvodného amlodipínu a 60 % jeho metabolitov.</w:t>
      </w:r>
    </w:p>
    <w:p w:rsidR="00EB4B8F" w:rsidRPr="00A00809" w:rsidRDefault="00EB4B8F" w:rsidP="0090666D">
      <w:pPr>
        <w:spacing w:after="0" w:line="240" w:lineRule="auto"/>
        <w:rPr>
          <w:rFonts w:ascii="Times New Roman" w:eastAsia="Times New Roman" w:hAnsi="Times New Roman"/>
          <w:sz w:val="24"/>
          <w:szCs w:val="24"/>
          <w:highlight w:val="yellow"/>
          <w:u w:val="single"/>
        </w:rPr>
      </w:pPr>
    </w:p>
    <w:p w:rsidR="00EB4B8F" w:rsidRPr="00A00809" w:rsidRDefault="00EA43B1" w:rsidP="00EB4B8F">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Valsartan</w:t>
      </w:r>
    </w:p>
    <w:p w:rsidR="00BA5FAF" w:rsidRPr="00A00809" w:rsidRDefault="00BA5FAF" w:rsidP="00EB4B8F">
      <w:pPr>
        <w:spacing w:after="0" w:line="240" w:lineRule="auto"/>
        <w:rPr>
          <w:rFonts w:ascii="Times New Roman" w:eastAsia="Times New Roman" w:hAnsi="Times New Roman"/>
          <w:i/>
          <w:sz w:val="24"/>
          <w:szCs w:val="24"/>
        </w:rPr>
      </w:pPr>
    </w:p>
    <w:p w:rsidR="00BA5FAF" w:rsidRPr="00A00809" w:rsidRDefault="00EA43B1" w:rsidP="00EB4B8F">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Absorpcia</w:t>
      </w: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Po perorálnom podaní samotného valsartanu sa jeho maximálne plazmatické koncentrácie dosiahnu za 2 - 4 hodiny. Priemerná absolútna biologická dostupnosť je 23 %. Jedlo znižuje expozíciu valsartanu (stanovené ako AUC) asi o 40 % a maximálnu plazmatickú koncentráciu (C</w:t>
      </w:r>
      <w:r>
        <w:rPr>
          <w:rFonts w:ascii="Times New Roman" w:eastAsia="Times New Roman" w:hAnsi="Times New Roman"/>
          <w:sz w:val="24"/>
          <w:szCs w:val="24"/>
          <w:vertAlign w:val="subscript"/>
        </w:rPr>
        <w:t>max</w:t>
      </w:r>
      <w:r>
        <w:rPr>
          <w:rFonts w:ascii="Times New Roman" w:eastAsia="Times New Roman" w:hAnsi="Times New Roman"/>
          <w:sz w:val="24"/>
          <w:szCs w:val="24"/>
        </w:rPr>
        <w:t>) asi o 50 %, aj keď asi po 8 hodinách od podania sú koncentrácie valsartanu v plazme podobné v skupinách, ktoré ho užili buď s jedlom alebo nalačno. Tento pokles AUC však nesprevádza klinicky významné zníženie terapeutického účinku, a preto sa valsartan môže užívať buď s jedlom, alebo bez jedla.</w:t>
      </w:r>
    </w:p>
    <w:p w:rsidR="00BA5FAF" w:rsidRPr="00A00809" w:rsidRDefault="00BA5FAF" w:rsidP="00EB4B8F">
      <w:pPr>
        <w:spacing w:after="0" w:line="240" w:lineRule="auto"/>
        <w:rPr>
          <w:rFonts w:ascii="Times New Roman" w:eastAsia="Times New Roman" w:hAnsi="Times New Roman"/>
          <w:i/>
          <w:sz w:val="24"/>
          <w:szCs w:val="24"/>
        </w:rPr>
      </w:pPr>
    </w:p>
    <w:p w:rsidR="00BA5FAF" w:rsidRPr="00A00809" w:rsidRDefault="00EA43B1" w:rsidP="00EB4B8F">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Distribúcia</w:t>
      </w: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Rovnovážny distribučný objem valsartanu po intravenóznom podaní je asi 17 litrov, čo naznačuje, že valsartan sa nedistribuuje extenzívne do tkanív. Valsartan sa vo vysokej miere viaže na sérove bielkoviny (94 – 97 %), prevažne na sérový albumín.</w:t>
      </w:r>
    </w:p>
    <w:p w:rsidR="00BA5FAF" w:rsidRPr="00A00809" w:rsidRDefault="00BA5FAF" w:rsidP="00EB4B8F">
      <w:pPr>
        <w:spacing w:after="0" w:line="240" w:lineRule="auto"/>
        <w:rPr>
          <w:rFonts w:ascii="Times New Roman" w:eastAsia="Times New Roman" w:hAnsi="Times New Roman"/>
          <w:sz w:val="24"/>
          <w:szCs w:val="24"/>
        </w:rPr>
      </w:pPr>
    </w:p>
    <w:p w:rsidR="00BA5FAF" w:rsidRPr="00A00809" w:rsidRDefault="00EA43B1" w:rsidP="00EB4B8F">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Biotransformácia</w:t>
      </w:r>
    </w:p>
    <w:p w:rsidR="00EB4B8F" w:rsidRPr="00A00809" w:rsidRDefault="00EA43B1" w:rsidP="00EB4B8F">
      <w:pPr>
        <w:spacing w:after="0" w:line="240" w:lineRule="auto"/>
        <w:rPr>
          <w:rFonts w:ascii="Times New Roman" w:eastAsia="Times New Roman" w:hAnsi="Times New Roman"/>
          <w:sz w:val="24"/>
          <w:szCs w:val="24"/>
        </w:rPr>
      </w:pPr>
      <w:r>
        <w:rPr>
          <w:rFonts w:ascii="Times New Roman" w:eastAsia="Times New Roman" w:hAnsi="Times New Roman"/>
          <w:sz w:val="24"/>
          <w:szCs w:val="24"/>
        </w:rPr>
        <w:t>Valsartan sa netransformuje vo veľkom rozsahu, lebo iba asi 20 % dávky sa nájde v podobe metabolitov. V plazme bol v nízkych koncentráciách zistený hydroxymetabolit (menej ako 10% AUC valsartanu). Tento metabolit je farmakologicky inaktívny.</w:t>
      </w:r>
    </w:p>
    <w:p w:rsidR="00BA5FAF" w:rsidRPr="00A00809" w:rsidRDefault="00BA5FAF" w:rsidP="00EB4B8F">
      <w:pPr>
        <w:spacing w:after="0" w:line="240" w:lineRule="auto"/>
        <w:rPr>
          <w:rFonts w:ascii="Times New Roman" w:eastAsia="Times New Roman" w:hAnsi="Times New Roman"/>
          <w:sz w:val="24"/>
          <w:szCs w:val="24"/>
        </w:rPr>
      </w:pPr>
    </w:p>
    <w:p w:rsidR="00BA5FAF" w:rsidRPr="00A00809" w:rsidRDefault="00EA43B1" w:rsidP="00EB4B8F">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Eliminácia</w:t>
      </w:r>
    </w:p>
    <w:p w:rsidR="00EB4B8F" w:rsidRPr="00A00809" w:rsidRDefault="00EA43B1" w:rsidP="00EB4B8F">
      <w:pPr>
        <w:spacing w:after="0" w:line="240" w:lineRule="auto"/>
        <w:rPr>
          <w:rFonts w:ascii="Times New Roman" w:eastAsia="Times New Roman" w:hAnsi="Times New Roman"/>
          <w:sz w:val="24"/>
          <w:szCs w:val="24"/>
          <w:highlight w:val="yellow"/>
        </w:rPr>
      </w:pPr>
      <w:r>
        <w:rPr>
          <w:rFonts w:ascii="Times New Roman" w:eastAsia="Times New Roman" w:hAnsi="Times New Roman"/>
          <w:sz w:val="24"/>
          <w:szCs w:val="24"/>
        </w:rPr>
        <w:t>Valsartan vykazuje multiexponenciálnu kinetiku rozkladu (t</w:t>
      </w:r>
      <w:r>
        <w:rPr>
          <w:rFonts w:ascii="Times New Roman" w:eastAsia="Times New Roman" w:hAnsi="Times New Roman"/>
          <w:sz w:val="24"/>
          <w:szCs w:val="24"/>
          <w:vertAlign w:val="subscript"/>
        </w:rPr>
        <w:t>½α </w:t>
      </w:r>
      <w:r>
        <w:rPr>
          <w:rFonts w:ascii="Times New Roman" w:eastAsia="Times New Roman" w:hAnsi="Times New Roman"/>
          <w:sz w:val="24"/>
          <w:szCs w:val="24"/>
        </w:rPr>
        <w:t>&lt; 1 hod a t</w:t>
      </w:r>
      <w:r>
        <w:rPr>
          <w:rFonts w:ascii="Times New Roman" w:eastAsia="Times New Roman" w:hAnsi="Times New Roman"/>
          <w:sz w:val="24"/>
          <w:szCs w:val="24"/>
          <w:vertAlign w:val="subscript"/>
        </w:rPr>
        <w:t>½ß</w:t>
      </w:r>
      <w:r>
        <w:rPr>
          <w:rFonts w:ascii="Times New Roman" w:eastAsia="Times New Roman" w:hAnsi="Times New Roman"/>
          <w:sz w:val="24"/>
          <w:szCs w:val="24"/>
        </w:rPr>
        <w:t xml:space="preserve"> asi 9 hod). Valsartan sa primárne eliminuje stolicou (asi 83 % dávky) a močom (asi 13 % dávky), prevažne ako nezmenené liečivo. Po intravenóznom podaní plazmatický klírens valsartanu sú asi 2 l/hod a jeho renálny klírens 0,62 l/hod (asi 30 % celkového klírensu). Polčas valsartanu je 6 hodín.</w:t>
      </w:r>
    </w:p>
    <w:p w:rsidR="00EB4B8F" w:rsidRPr="00A00809" w:rsidRDefault="00EB4B8F" w:rsidP="0090666D">
      <w:pPr>
        <w:spacing w:after="0" w:line="240" w:lineRule="auto"/>
        <w:rPr>
          <w:rFonts w:ascii="Times New Roman" w:eastAsia="Times New Roman" w:hAnsi="Times New Roman"/>
          <w:sz w:val="24"/>
          <w:szCs w:val="24"/>
          <w:highlight w:val="yellow"/>
          <w:u w:val="single"/>
        </w:rPr>
      </w:pPr>
    </w:p>
    <w:p w:rsidR="0090666D" w:rsidRPr="00A00809" w:rsidRDefault="00EA43B1" w:rsidP="0090666D">
      <w:pPr>
        <w:autoSpaceDE w:val="0"/>
        <w:autoSpaceDN w:val="0"/>
        <w:adjustRightInd w:val="0"/>
        <w:spacing w:after="0" w:line="240" w:lineRule="auto"/>
        <w:rPr>
          <w:rFonts w:ascii="Times New Roman" w:eastAsia="Times New Roman" w:hAnsi="Times New Roman"/>
          <w:iCs/>
          <w:u w:val="single"/>
          <w:lang w:eastAsia="sk-SK"/>
        </w:rPr>
      </w:pPr>
      <w:r w:rsidRPr="002C35E8">
        <w:rPr>
          <w:rFonts w:ascii="Times New Roman" w:eastAsia="Times New Roman" w:hAnsi="Times New Roman"/>
          <w:iCs/>
          <w:u w:val="single"/>
          <w:lang w:eastAsia="sk-SK"/>
        </w:rPr>
        <w:t>Osobitné skupiny pacientov</w:t>
      </w:r>
    </w:p>
    <w:p w:rsidR="002970C4" w:rsidRPr="00A00809" w:rsidRDefault="002970C4" w:rsidP="0090666D">
      <w:pPr>
        <w:autoSpaceDE w:val="0"/>
        <w:autoSpaceDN w:val="0"/>
        <w:adjustRightInd w:val="0"/>
        <w:spacing w:after="0" w:line="240" w:lineRule="auto"/>
        <w:rPr>
          <w:rFonts w:ascii="Times New Roman" w:eastAsia="Times New Roman" w:hAnsi="Times New Roman"/>
          <w:iCs/>
          <w:u w:val="single"/>
          <w:lang w:eastAsia="sk-SK"/>
        </w:rPr>
      </w:pPr>
    </w:p>
    <w:p w:rsidR="00BA5FAF" w:rsidRPr="00A00809" w:rsidRDefault="00EA43B1" w:rsidP="00BA5FAF">
      <w:pPr>
        <w:autoSpaceDE w:val="0"/>
        <w:autoSpaceDN w:val="0"/>
        <w:adjustRightInd w:val="0"/>
        <w:spacing w:after="0" w:line="240" w:lineRule="auto"/>
        <w:rPr>
          <w:rFonts w:ascii="Times New Roman" w:eastAsia="Times New Roman" w:hAnsi="Times New Roman"/>
          <w:i/>
          <w:u w:val="single"/>
          <w:lang w:eastAsia="sk-SK"/>
        </w:rPr>
      </w:pPr>
      <w:r w:rsidRPr="002C35E8">
        <w:rPr>
          <w:rFonts w:ascii="Times New Roman" w:eastAsia="Times New Roman" w:hAnsi="Times New Roman"/>
          <w:i/>
          <w:u w:val="single"/>
          <w:lang w:eastAsia="sk-SK"/>
        </w:rPr>
        <w:t>Deti a dospievajúci (mladší ako 18 rokov)</w:t>
      </w:r>
    </w:p>
    <w:p w:rsidR="00BA5FAF" w:rsidRPr="00A00809" w:rsidRDefault="00EA43B1" w:rsidP="00BA5FAF">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Nie sú dostupné farmakokinetické údaje u pediatrickej populácie.</w:t>
      </w:r>
    </w:p>
    <w:p w:rsidR="00BA5FAF" w:rsidRPr="00A00809" w:rsidRDefault="00BA5FAF" w:rsidP="00BA5FAF">
      <w:pPr>
        <w:autoSpaceDE w:val="0"/>
        <w:autoSpaceDN w:val="0"/>
        <w:adjustRightInd w:val="0"/>
        <w:spacing w:after="0" w:line="240" w:lineRule="auto"/>
        <w:rPr>
          <w:rFonts w:ascii="Times New Roman" w:eastAsia="Times New Roman" w:hAnsi="Times New Roman"/>
          <w:lang w:eastAsia="sk-SK"/>
        </w:rPr>
      </w:pPr>
    </w:p>
    <w:p w:rsidR="00BA5FAF" w:rsidRPr="00A00809" w:rsidRDefault="00EA43B1" w:rsidP="00BA5FAF">
      <w:pPr>
        <w:autoSpaceDE w:val="0"/>
        <w:autoSpaceDN w:val="0"/>
        <w:adjustRightInd w:val="0"/>
        <w:spacing w:after="0" w:line="240" w:lineRule="auto"/>
        <w:rPr>
          <w:rFonts w:ascii="Times New Roman" w:eastAsia="Times New Roman" w:hAnsi="Times New Roman"/>
          <w:i/>
          <w:u w:val="single"/>
          <w:lang w:eastAsia="sk-SK"/>
        </w:rPr>
      </w:pPr>
      <w:r w:rsidRPr="002C35E8">
        <w:rPr>
          <w:rFonts w:ascii="Times New Roman" w:eastAsia="Times New Roman" w:hAnsi="Times New Roman"/>
          <w:i/>
          <w:u w:val="single"/>
          <w:lang w:eastAsia="sk-SK"/>
        </w:rPr>
        <w:t>Starší pacienti (vo veku 65 rokov a viac)</w:t>
      </w:r>
    </w:p>
    <w:p w:rsidR="00BA5FAF" w:rsidRPr="00A00809" w:rsidRDefault="00EA43B1" w:rsidP="00BA5FAF">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Čas do dosiahnutia maximálnych plazmatických koncentrácií amlodipínu je podobný u mladých a starších pacientov. U starších pacientov má klírens amlodipínu tendenciu klesať, čo spôsobuje zväčšenie plochy pod krivkou (AUC) a predĺženie polčasu eliminácie. Priemerná systémová AUC valsartanu je o 70 % vyššia u starších ako u mladých ľudí, preto je pri zvyšovaní dávkovania potrebná opatrnosť.</w:t>
      </w:r>
    </w:p>
    <w:p w:rsidR="00BA5FAF" w:rsidRPr="00A00809" w:rsidRDefault="00BA5FAF" w:rsidP="00BA5FAF">
      <w:pPr>
        <w:autoSpaceDE w:val="0"/>
        <w:autoSpaceDN w:val="0"/>
        <w:adjustRightInd w:val="0"/>
        <w:spacing w:after="0" w:line="240" w:lineRule="auto"/>
        <w:rPr>
          <w:rFonts w:ascii="Times New Roman" w:eastAsia="Times New Roman" w:hAnsi="Times New Roman"/>
          <w:lang w:eastAsia="sk-SK"/>
        </w:rPr>
      </w:pPr>
    </w:p>
    <w:p w:rsidR="00BA5FAF" w:rsidRPr="00A00809" w:rsidRDefault="00EA43B1" w:rsidP="00BA5FAF">
      <w:pPr>
        <w:autoSpaceDE w:val="0"/>
        <w:autoSpaceDN w:val="0"/>
        <w:adjustRightInd w:val="0"/>
        <w:spacing w:after="0" w:line="240" w:lineRule="auto"/>
        <w:rPr>
          <w:rFonts w:ascii="Times New Roman" w:eastAsia="Times New Roman" w:hAnsi="Times New Roman"/>
          <w:i/>
          <w:u w:val="single"/>
          <w:lang w:eastAsia="sk-SK"/>
        </w:rPr>
      </w:pPr>
      <w:r w:rsidRPr="002C35E8">
        <w:rPr>
          <w:rFonts w:ascii="Times New Roman" w:eastAsia="Times New Roman" w:hAnsi="Times New Roman"/>
          <w:i/>
          <w:u w:val="single"/>
          <w:lang w:eastAsia="sk-SK"/>
        </w:rPr>
        <w:lastRenderedPageBreak/>
        <w:t>Porucha funkcie obličiek</w:t>
      </w:r>
    </w:p>
    <w:p w:rsidR="00BA5FAF" w:rsidRPr="00A00809" w:rsidRDefault="00EA43B1" w:rsidP="00BA5FAF">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 xml:space="preserve">Farmakokinetiku amlodipínu </w:t>
      </w:r>
      <w:r w:rsidRPr="002C35E8">
        <w:rPr>
          <w:rFonts w:ascii="Times New Roman" w:eastAsia="Times New Roman" w:hAnsi="Times New Roman"/>
          <w:noProof/>
        </w:rPr>
        <w:t>neo</w:t>
      </w:r>
      <w:r w:rsidRPr="002C35E8">
        <w:rPr>
          <w:rFonts w:ascii="Times New Roman" w:eastAsia="Times New Roman" w:hAnsi="Times New Roman"/>
          <w:noProof/>
          <w:spacing w:val="-2"/>
        </w:rPr>
        <w:t>v</w:t>
      </w:r>
      <w:r w:rsidRPr="002C35E8">
        <w:rPr>
          <w:rFonts w:ascii="Times New Roman" w:eastAsia="Times New Roman" w:hAnsi="Times New Roman"/>
          <w:noProof/>
        </w:rPr>
        <w:t>p</w:t>
      </w:r>
      <w:r w:rsidRPr="002C35E8">
        <w:rPr>
          <w:rFonts w:ascii="Times New Roman" w:eastAsia="Times New Roman" w:hAnsi="Times New Roman"/>
          <w:noProof/>
          <w:spacing w:val="1"/>
        </w:rPr>
        <w:t>l</w:t>
      </w:r>
      <w:r w:rsidRPr="002C35E8">
        <w:rPr>
          <w:rFonts w:ascii="Times New Roman" w:eastAsia="Times New Roman" w:hAnsi="Times New Roman"/>
          <w:noProof/>
        </w:rPr>
        <w:t>y</w:t>
      </w:r>
      <w:r w:rsidRPr="002C35E8">
        <w:rPr>
          <w:rFonts w:ascii="Times New Roman" w:eastAsia="Times New Roman" w:hAnsi="Times New Roman"/>
          <w:noProof/>
          <w:spacing w:val="-2"/>
        </w:rPr>
        <w:t>v</w:t>
      </w:r>
      <w:r w:rsidRPr="002C35E8">
        <w:rPr>
          <w:rFonts w:ascii="Times New Roman" w:eastAsia="Times New Roman" w:hAnsi="Times New Roman"/>
          <w:noProof/>
        </w:rPr>
        <w:t>ňu</w:t>
      </w:r>
      <w:r w:rsidRPr="002C35E8">
        <w:rPr>
          <w:rFonts w:ascii="Times New Roman" w:eastAsia="Times New Roman" w:hAnsi="Times New Roman"/>
          <w:noProof/>
          <w:spacing w:val="1"/>
        </w:rPr>
        <w:t>j</w:t>
      </w:r>
      <w:r w:rsidRPr="002C35E8">
        <w:rPr>
          <w:rFonts w:ascii="Times New Roman" w:eastAsia="Times New Roman" w:hAnsi="Times New Roman"/>
          <w:noProof/>
        </w:rPr>
        <w:t>e</w:t>
      </w:r>
      <w:r w:rsidRPr="002C35E8">
        <w:rPr>
          <w:rFonts w:ascii="Times New Roman" w:eastAsia="Times New Roman" w:hAnsi="Times New Roman"/>
          <w:noProof/>
          <w:spacing w:val="-2"/>
        </w:rPr>
        <w:t xml:space="preserve"> v</w:t>
      </w:r>
      <w:r w:rsidRPr="002C35E8">
        <w:rPr>
          <w:rFonts w:ascii="Times New Roman" w:eastAsia="Times New Roman" w:hAnsi="Times New Roman"/>
          <w:noProof/>
        </w:rPr>
        <w:t>ý</w:t>
      </w:r>
      <w:r w:rsidRPr="002C35E8">
        <w:rPr>
          <w:rFonts w:ascii="Times New Roman" w:eastAsia="Times New Roman" w:hAnsi="Times New Roman"/>
          <w:noProof/>
          <w:spacing w:val="-2"/>
        </w:rPr>
        <w:t>z</w:t>
      </w:r>
      <w:r w:rsidRPr="002C35E8">
        <w:rPr>
          <w:rFonts w:ascii="Times New Roman" w:eastAsia="Times New Roman" w:hAnsi="Times New Roman"/>
          <w:noProof/>
        </w:rPr>
        <w:t>n</w:t>
      </w:r>
      <w:r w:rsidRPr="002C35E8">
        <w:rPr>
          <w:rFonts w:ascii="Times New Roman" w:eastAsia="Times New Roman" w:hAnsi="Times New Roman"/>
          <w:noProof/>
          <w:spacing w:val="3"/>
        </w:rPr>
        <w:t>a</w:t>
      </w:r>
      <w:r w:rsidRPr="002C35E8">
        <w:rPr>
          <w:rFonts w:ascii="Times New Roman" w:eastAsia="Times New Roman" w:hAnsi="Times New Roman"/>
          <w:noProof/>
          <w:spacing w:val="-4"/>
        </w:rPr>
        <w:t>m</w:t>
      </w:r>
      <w:r w:rsidRPr="002C35E8">
        <w:rPr>
          <w:rFonts w:ascii="Times New Roman" w:eastAsia="Times New Roman" w:hAnsi="Times New Roman"/>
          <w:noProof/>
        </w:rPr>
        <w:t>ne</w:t>
      </w:r>
      <w:r w:rsidRPr="002C35E8">
        <w:rPr>
          <w:rFonts w:ascii="Times New Roman" w:eastAsia="Times New Roman" w:hAnsi="Times New Roman"/>
          <w:noProof/>
          <w:spacing w:val="-2"/>
        </w:rPr>
        <w:t xml:space="preserve"> porucha </w:t>
      </w:r>
      <w:r w:rsidRPr="002C35E8">
        <w:rPr>
          <w:rFonts w:ascii="Times New Roman" w:eastAsia="Times New Roman" w:hAnsi="Times New Roman"/>
          <w:noProof/>
          <w:spacing w:val="1"/>
        </w:rPr>
        <w:t>f</w:t>
      </w:r>
      <w:r w:rsidRPr="002C35E8">
        <w:rPr>
          <w:rFonts w:ascii="Times New Roman" w:eastAsia="Times New Roman" w:hAnsi="Times New Roman"/>
          <w:noProof/>
        </w:rPr>
        <w:t>un</w:t>
      </w:r>
      <w:r w:rsidRPr="002C35E8">
        <w:rPr>
          <w:rFonts w:ascii="Times New Roman" w:eastAsia="Times New Roman" w:hAnsi="Times New Roman"/>
          <w:noProof/>
          <w:spacing w:val="-2"/>
        </w:rPr>
        <w:t>k</w:t>
      </w:r>
      <w:r w:rsidRPr="002C35E8">
        <w:rPr>
          <w:rFonts w:ascii="Times New Roman" w:eastAsia="Times New Roman" w:hAnsi="Times New Roman"/>
          <w:noProof/>
        </w:rPr>
        <w:t>c</w:t>
      </w:r>
      <w:r w:rsidRPr="002C35E8">
        <w:rPr>
          <w:rFonts w:ascii="Times New Roman" w:eastAsia="Times New Roman" w:hAnsi="Times New Roman"/>
          <w:noProof/>
          <w:spacing w:val="1"/>
        </w:rPr>
        <w:t>i</w:t>
      </w:r>
      <w:r w:rsidRPr="002C35E8">
        <w:rPr>
          <w:rFonts w:ascii="Times New Roman" w:eastAsia="Times New Roman" w:hAnsi="Times New Roman"/>
          <w:noProof/>
        </w:rPr>
        <w:t>e</w:t>
      </w:r>
      <w:r w:rsidRPr="002C35E8">
        <w:rPr>
          <w:rFonts w:ascii="Times New Roman" w:eastAsia="Times New Roman" w:hAnsi="Times New Roman"/>
          <w:noProof/>
          <w:spacing w:val="2"/>
        </w:rPr>
        <w:t xml:space="preserve"> </w:t>
      </w:r>
      <w:r w:rsidRPr="002C35E8">
        <w:rPr>
          <w:rFonts w:ascii="Times New Roman" w:eastAsia="Times New Roman" w:hAnsi="Times New Roman"/>
          <w:noProof/>
          <w:spacing w:val="-2"/>
        </w:rPr>
        <w:t>o</w:t>
      </w:r>
      <w:r w:rsidRPr="002C35E8">
        <w:rPr>
          <w:rFonts w:ascii="Times New Roman" w:eastAsia="Times New Roman" w:hAnsi="Times New Roman"/>
          <w:noProof/>
        </w:rPr>
        <w:t>b</w:t>
      </w:r>
      <w:r w:rsidRPr="002C35E8">
        <w:rPr>
          <w:rFonts w:ascii="Times New Roman" w:eastAsia="Times New Roman" w:hAnsi="Times New Roman"/>
          <w:noProof/>
          <w:spacing w:val="-1"/>
        </w:rPr>
        <w:t>l</w:t>
      </w:r>
      <w:r w:rsidRPr="002C35E8">
        <w:rPr>
          <w:rFonts w:ascii="Times New Roman" w:eastAsia="Times New Roman" w:hAnsi="Times New Roman"/>
          <w:noProof/>
          <w:spacing w:val="1"/>
        </w:rPr>
        <w:t>i</w:t>
      </w:r>
      <w:r w:rsidRPr="002C35E8">
        <w:rPr>
          <w:rFonts w:ascii="Times New Roman" w:eastAsia="Times New Roman" w:hAnsi="Times New Roman"/>
          <w:noProof/>
        </w:rPr>
        <w:t>č</w:t>
      </w:r>
      <w:r w:rsidRPr="002C35E8">
        <w:rPr>
          <w:rFonts w:ascii="Times New Roman" w:eastAsia="Times New Roman" w:hAnsi="Times New Roman"/>
          <w:noProof/>
          <w:spacing w:val="-1"/>
        </w:rPr>
        <w:t>i</w:t>
      </w:r>
      <w:r w:rsidRPr="002C35E8">
        <w:rPr>
          <w:rFonts w:ascii="Times New Roman" w:eastAsia="Times New Roman" w:hAnsi="Times New Roman"/>
          <w:noProof/>
          <w:spacing w:val="-2"/>
        </w:rPr>
        <w:t>e</w:t>
      </w:r>
      <w:r w:rsidRPr="002C35E8">
        <w:rPr>
          <w:rFonts w:ascii="Times New Roman" w:eastAsia="Times New Roman" w:hAnsi="Times New Roman"/>
          <w:noProof/>
        </w:rPr>
        <w:t>k</w:t>
      </w:r>
      <w:r w:rsidRPr="002C35E8">
        <w:rPr>
          <w:rFonts w:ascii="Times New Roman" w:eastAsia="Times New Roman" w:hAnsi="Times New Roman"/>
          <w:lang w:eastAsia="sk-SK"/>
        </w:rPr>
        <w:t>. Podľa očakávania sa pri zlúčenine, ktorej renálny klírens predstavuje iba 30 % celkového plazmatického klírensu, nepozorovala žiadna korelácia medzi funkciou obličiek a systémovou expozíciou valsartanu.</w:t>
      </w:r>
    </w:p>
    <w:p w:rsidR="00BA5FAF" w:rsidRPr="00A00809" w:rsidRDefault="00BA5FAF" w:rsidP="00BA5FAF">
      <w:pPr>
        <w:autoSpaceDE w:val="0"/>
        <w:autoSpaceDN w:val="0"/>
        <w:adjustRightInd w:val="0"/>
        <w:spacing w:after="0" w:line="240" w:lineRule="auto"/>
        <w:rPr>
          <w:rFonts w:ascii="Times New Roman" w:eastAsia="Times New Roman" w:hAnsi="Times New Roman"/>
          <w:lang w:eastAsia="sk-SK"/>
        </w:rPr>
      </w:pPr>
    </w:p>
    <w:p w:rsidR="00BA5FAF" w:rsidRPr="00A00809" w:rsidRDefault="00EA43B1" w:rsidP="00BA5FAF">
      <w:pPr>
        <w:autoSpaceDE w:val="0"/>
        <w:autoSpaceDN w:val="0"/>
        <w:adjustRightInd w:val="0"/>
        <w:spacing w:after="0" w:line="240" w:lineRule="auto"/>
        <w:rPr>
          <w:rFonts w:ascii="Times New Roman" w:eastAsia="Times New Roman" w:hAnsi="Times New Roman"/>
          <w:i/>
          <w:u w:val="single"/>
          <w:lang w:eastAsia="sk-SK"/>
        </w:rPr>
      </w:pPr>
      <w:r w:rsidRPr="002C35E8">
        <w:rPr>
          <w:rFonts w:ascii="Times New Roman" w:eastAsia="Times New Roman" w:hAnsi="Times New Roman"/>
          <w:i/>
          <w:u w:val="single"/>
          <w:lang w:eastAsia="sk-SK"/>
        </w:rPr>
        <w:t>Porucha funkcie pečene</w:t>
      </w:r>
    </w:p>
    <w:p w:rsidR="0090666D" w:rsidRPr="00A00809" w:rsidRDefault="00EA43B1" w:rsidP="00BA5FAF">
      <w:pPr>
        <w:autoSpaceDE w:val="0"/>
        <w:autoSpaceDN w:val="0"/>
        <w:adjustRightInd w:val="0"/>
        <w:spacing w:after="0" w:line="240" w:lineRule="auto"/>
        <w:rPr>
          <w:rFonts w:ascii="Times New Roman" w:eastAsia="Times New Roman" w:hAnsi="Times New Roman"/>
          <w:lang w:eastAsia="sk-SK"/>
        </w:rPr>
      </w:pPr>
      <w:r w:rsidRPr="002C35E8">
        <w:rPr>
          <w:rFonts w:ascii="Times New Roman" w:eastAsia="Times New Roman" w:hAnsi="Times New Roman"/>
          <w:lang w:eastAsia="sk-SK"/>
        </w:rPr>
        <w:t>K dispozícii sú veľmi obmedzené údaje týkajúce sa podávania amlodipínu u pacientov s poruchou funkcie pečene. Pacienti s poruchou funkcie pečene majú znížený klírens amlodipínu, čo má za následok zväčšenie AUC približne o 40 - 60%. V priemere je u pacientov s miernym až stredne ťažkým chronickým ochorením pečene expozícia (stanovená hodnotami AUC) valsartanu dvojnásobná v porovnaní so zdravými dobrovoľníkmi (so zodpovedajúcim vekom, pohlavím a telesnou hmotnosťou). U pacientov s ochorením pečene je potrebné postupovať opatrne (pozri časť 4.2).</w:t>
      </w:r>
    </w:p>
    <w:p w:rsidR="00FD2D5B" w:rsidRPr="00A00809" w:rsidRDefault="00FD2D5B" w:rsidP="00FD2D5B">
      <w:pPr>
        <w:spacing w:after="0" w:line="240" w:lineRule="auto"/>
        <w:rPr>
          <w:rFonts w:ascii="Times New Roman" w:hAnsi="Times New Roman"/>
          <w:b/>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5.3</w:t>
      </w:r>
      <w:r w:rsidRPr="002C35E8">
        <w:rPr>
          <w:rFonts w:ascii="Times New Roman" w:hAnsi="Times New Roman"/>
          <w:b/>
          <w:noProof/>
          <w:lang w:eastAsia="sk-SK"/>
        </w:rPr>
        <w:tab/>
        <w:t>Predklinické údaje o bezpečnosti</w:t>
      </w:r>
    </w:p>
    <w:p w:rsidR="00FD2D5B" w:rsidRPr="00A00809" w:rsidRDefault="00FD2D5B" w:rsidP="00FD2D5B">
      <w:pPr>
        <w:spacing w:after="0" w:line="240" w:lineRule="auto"/>
        <w:ind w:left="567" w:hanging="567"/>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u w:val="single"/>
          <w:lang w:eastAsia="sk-SK"/>
        </w:rPr>
      </w:pPr>
      <w:r w:rsidRPr="002C35E8">
        <w:rPr>
          <w:rFonts w:ascii="Times New Roman" w:hAnsi="Times New Roman"/>
          <w:noProof/>
          <w:u w:val="single"/>
          <w:lang w:eastAsia="sk-SK"/>
        </w:rPr>
        <w:t>Amlodipín/valsartan</w:t>
      </w: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V štúdiách na zvieratách sa pozorovali nasledovné nežiaduce reakcie s možným klinickým významom:</w:t>
      </w: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Histopatologické príznaky zápalu sliznice žalúdka sa pozorovali u samcov potkanov pri expozícii asi 1,9-krát (valsartan) a 2,6-krát (amlodipín) vyššej, ako sú klinické dávky 160 mg valsartanu a 10 mg amlodipínu. Pri vyšších expozíciách dochádzalo k ulcerácii a erózii žalúdočnej sliznice u samcov aj samíc. Podobné zmeny sa tiež pozorovali v skupine, v ktorej sa podával len valsartan (expozícia 8,5 - 11,0-krát vyššia, ako je klinická dávka 160 mg valsartanu).</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Vyššia incidencia a závažnosť bazofílie/hyalinizácie renálnych tubulov, dilatácie a obličkových valcov, ako aj intersticiálny lymfocytový zápal a hypertrofia medie arteriol sa zistili pri expozícii 8 - 13-krát (valsartan) a 7 - 8-krát (amlodipín) vyššej, ako sú klinické dávky 160 mg valsartanu a 10 mg amlodipínu. Podobné zmeny sa našli aj v skupine, v ktorej sa podával len valsartan (expozícia 8,5 - 11,0-krát vyššia, ako je klinická dávka 160 mg valsartanu).</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 xml:space="preserve">V štúdii embryo-fetálneho vývinu potkanov sa zaznamenali vyššie incidencie dilatovaných močovodov, malformácií </w:t>
      </w:r>
      <w:r w:rsidRPr="002C35E8">
        <w:rPr>
          <w:rFonts w:ascii="Times New Roman" w:hAnsi="Times New Roman"/>
          <w:i/>
          <w:noProof/>
          <w:lang w:eastAsia="sk-SK"/>
        </w:rPr>
        <w:t xml:space="preserve">sternebrae </w:t>
      </w:r>
      <w:r w:rsidR="00D70C3D" w:rsidRPr="00A00809">
        <w:rPr>
          <w:rFonts w:ascii="Times New Roman" w:hAnsi="Times New Roman"/>
          <w:noProof/>
          <w:lang w:eastAsia="sk-SK"/>
        </w:rPr>
        <w:t xml:space="preserve">a neosifikovaných článkov predných končatín pri expozíciách asi 12-krát (valsartan) a 10-krát (amlodipín) vyšších, ako sú klinické dávky 160 mg valsartanu a 10 mg amlodipínu. Dilatované močovody sa našli aj v skupine, v ktorej sa podával len valsartan (expozícia 12-krát vyššia, ako je klinická dávka 160 mg valsartanu). V tejto štúdii boli prítomné iba slabé príznaky toxicity </w:t>
      </w:r>
      <w:r w:rsidRPr="002C35E8">
        <w:rPr>
          <w:rFonts w:ascii="Times New Roman" w:hAnsi="Times New Roman"/>
          <w:noProof/>
          <w:lang w:eastAsia="sk-SK"/>
        </w:rPr>
        <w:t>u gravidných samíc (stredne závažný pokles telesnej hmotnosti). Hladina bez pozorovaného účinku z hľadiska účinkov na vývoj predstavovala 3-násobok (valsartan) a 4-násobok (amlodipín) klinickej expozícii (na základe AUC).</w:t>
      </w:r>
    </w:p>
    <w:p w:rsidR="00E279D9" w:rsidRPr="00A00809" w:rsidRDefault="00E279D9" w:rsidP="00D70C3D">
      <w:pPr>
        <w:spacing w:after="0" w:line="240" w:lineRule="auto"/>
        <w:rPr>
          <w:rFonts w:ascii="Times New Roman" w:hAnsi="Times New Roman"/>
          <w:noProof/>
          <w:lang w:eastAsia="sk-SK"/>
        </w:rPr>
      </w:pPr>
    </w:p>
    <w:p w:rsidR="00FD2D5B"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Pri jednotlivých zložkách sa nenašli dôkazy mutagenity, klastogenity alebo karcinogenity</w:t>
      </w:r>
    </w:p>
    <w:p w:rsidR="00BA5FAF" w:rsidRPr="00A00809" w:rsidRDefault="00BA5FAF" w:rsidP="00FD2D5B">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u w:val="single"/>
          <w:lang w:eastAsia="sk-SK"/>
        </w:rPr>
      </w:pPr>
      <w:r w:rsidRPr="002C35E8">
        <w:rPr>
          <w:rFonts w:ascii="Times New Roman" w:hAnsi="Times New Roman"/>
          <w:noProof/>
          <w:u w:val="single"/>
          <w:lang w:eastAsia="sk-SK"/>
        </w:rPr>
        <w:t>Amlodipín</w:t>
      </w:r>
    </w:p>
    <w:p w:rsidR="00D70C3D" w:rsidRPr="00A00809" w:rsidRDefault="00EA43B1" w:rsidP="00D70C3D">
      <w:pPr>
        <w:spacing w:after="0" w:line="240" w:lineRule="auto"/>
        <w:rPr>
          <w:rFonts w:ascii="Times New Roman" w:hAnsi="Times New Roman"/>
          <w:i/>
          <w:noProof/>
          <w:lang w:eastAsia="sk-SK"/>
        </w:rPr>
      </w:pPr>
      <w:r w:rsidRPr="002C35E8">
        <w:rPr>
          <w:rFonts w:ascii="Times New Roman" w:hAnsi="Times New Roman"/>
          <w:i/>
          <w:noProof/>
          <w:lang w:eastAsia="sk-SK"/>
        </w:rPr>
        <w:t>Reprodukčná toxikológia</w:t>
      </w: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Reprodukčné štúdie u potkanov a myší preukázali oneskorený dátum pôrodu, dlhšie trvanie pôrodu a znížený počet prežívajúcich mláďat pri dávkach približne 50-krát vyšších, ako je maximálna odporúčaná dávka pre ľudí vyjadrená v mg/kg.</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i/>
          <w:noProof/>
          <w:lang w:eastAsia="sk-SK"/>
        </w:rPr>
      </w:pPr>
      <w:r w:rsidRPr="002C35E8">
        <w:rPr>
          <w:rFonts w:ascii="Times New Roman" w:hAnsi="Times New Roman"/>
          <w:i/>
          <w:noProof/>
          <w:lang w:eastAsia="sk-SK"/>
        </w:rPr>
        <w:t>Poškodenie fertility</w:t>
      </w: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Nebol zaznamenaný žiaden účinok na fertilitu potkanov, ktoré boli liečené amlodipínom (samce počas 64 dní a samice 14 dní pred párením) v dávkach až do 10 mg/kg/deň (8-násobok* maximálnej odporúčanej dávky u ľudí rovnajúcej sa 10 mg po prepočítaní na mg/m2 povrchu). V inej štúdii na potkanoch, v ktorej boli samce potkanov liečené 30 dní amlodipíniumbesilátom v dávke porovnateľnej s dávkou u ľudí vyjadrenej v mg/kg, boli v plazme zistené poklesy hormónu stimulujúceho folikuly a testosterónu, ako aj zníženie hustoty spermií a počtu zrelých spermatoblastov a Sertoliho buniek.</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i/>
          <w:noProof/>
          <w:lang w:eastAsia="sk-SK"/>
        </w:rPr>
      </w:pPr>
      <w:r w:rsidRPr="002C35E8">
        <w:rPr>
          <w:rFonts w:ascii="Times New Roman" w:hAnsi="Times New Roman"/>
          <w:i/>
          <w:noProof/>
          <w:lang w:eastAsia="sk-SK"/>
        </w:rPr>
        <w:t>Karcinogenéza, mutagenéza</w:t>
      </w: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lastRenderedPageBreak/>
        <w:t>Potkany a myši liečené amlodipínom v potrave počas dvoch rokov v koncentráciách vypočítaných tak, aby sa zabezpečili denné dávky 0,5; 1,25 a 2,5 mg/kg/deň, sa nevykazovali žiadne náznaky o karcinogenite. Najvyššia dávka v miligramoch (pre myši približne rovnaká a pre potkany rovnajúca sa dvojnásobnej* maximálnej odporúčanej klinickej dávke 10 mg po prepočítaní na mg/m</w:t>
      </w:r>
      <w:r w:rsidRPr="002C35E8">
        <w:rPr>
          <w:rFonts w:ascii="Times New Roman" w:hAnsi="Times New Roman"/>
          <w:noProof/>
          <w:vertAlign w:val="superscript"/>
          <w:lang w:eastAsia="sk-SK"/>
        </w:rPr>
        <w:t>2</w:t>
      </w:r>
      <w:r w:rsidR="00D70C3D" w:rsidRPr="00A00809">
        <w:rPr>
          <w:rFonts w:ascii="Times New Roman" w:hAnsi="Times New Roman"/>
          <w:noProof/>
          <w:lang w:eastAsia="sk-SK"/>
        </w:rPr>
        <w:t xml:space="preserve"> povrchu) sa blížila maximálnej tolerovanej dávke pre myši, ale nie pre potkany.</w:t>
      </w: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Štúdie mutagenity neodhalili žiadne účinky súvisiace s liekom či už na génovej alebo chromozomálnej úrovni.</w:t>
      </w:r>
    </w:p>
    <w:p w:rsidR="00BA5FAF"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 Pri telesnej hmotnosti pacienta 50 kg.</w:t>
      </w:r>
    </w:p>
    <w:p w:rsidR="00BA5FAF" w:rsidRPr="00A00809" w:rsidRDefault="00BA5FAF" w:rsidP="00FD2D5B">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u w:val="single"/>
          <w:lang w:eastAsia="sk-SK"/>
        </w:rPr>
      </w:pPr>
      <w:r w:rsidRPr="002C35E8">
        <w:rPr>
          <w:rFonts w:ascii="Times New Roman" w:hAnsi="Times New Roman"/>
          <w:noProof/>
          <w:u w:val="single"/>
          <w:lang w:eastAsia="sk-SK"/>
        </w:rPr>
        <w:t>Valsartan</w:t>
      </w: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Predklinické údaje na základe obvyklých štúdií farmakologickej bezpečnosti, toxicity po opakovanom podávaní, genotoxicity, karcinogénneho potenciálu, reprodukčnej a vývinovej toxicity neodhalili žiadne osobitné riziko pre ľudí.</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Maternálne toxické dávky u potkanov (600 mg/kg/deň) počas posledných dní gestácie a laktácie viedli u potomkov k nižšiemu prežívaniu, nižšiemu prírastku hmotnosti a oneskorenému vývinu (oddelenie vonkajšej chrupavkovej časti ucha a otvorenie ušného kanála) (pozri časť 4.6). Tieto dávky u potkanov (600 mg/kg/deň) sú približne 18-krát vyššie ako maximálna odporúčaná dávka pre ľudí na mg/m</w:t>
      </w:r>
      <w:r w:rsidRPr="002C35E8">
        <w:rPr>
          <w:rFonts w:ascii="Times New Roman" w:hAnsi="Times New Roman"/>
          <w:noProof/>
          <w:vertAlign w:val="superscript"/>
          <w:lang w:eastAsia="sk-SK"/>
        </w:rPr>
        <w:t>2</w:t>
      </w:r>
      <w:r w:rsidRPr="002C35E8">
        <w:rPr>
          <w:rFonts w:ascii="Times New Roman" w:hAnsi="Times New Roman"/>
          <w:noProof/>
          <w:lang w:eastAsia="sk-SK"/>
        </w:rPr>
        <w:t xml:space="preserve"> (výpočty predpokladajú perorálnu dávku 320 mg/deň a pacienta s hmotnosťou 60 kg).</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V predklinických štúdiách bezpečnosti vyvolali vysoké dávky valsartanu (200 až 600 mg/kg telesnej hmotnosti) u potkanov zníženie parametrov krvných buniek (erytrocytov, hemoglobínu, hematokritu) a dokázané zmeny renálnej hemodynamiky (mierne zvýšenie dusíka močoviny v krvi a hyperpláziu obličkových tubulov a bazofíliu u samcov). Tieto dávky u potkanov (200 až 600 mg/kg/deň) sú približne 6- až 18-krát vyššie ako maximálna odporúčaná dávka pre ľudí na mg/m</w:t>
      </w:r>
      <w:r w:rsidRPr="002C35E8">
        <w:rPr>
          <w:rFonts w:ascii="Times New Roman" w:hAnsi="Times New Roman"/>
          <w:noProof/>
          <w:vertAlign w:val="superscript"/>
          <w:lang w:eastAsia="sk-SK"/>
        </w:rPr>
        <w:t>2</w:t>
      </w:r>
      <w:r w:rsidRPr="002C35E8">
        <w:rPr>
          <w:rFonts w:ascii="Times New Roman" w:hAnsi="Times New Roman"/>
          <w:noProof/>
          <w:lang w:eastAsia="sk-SK"/>
        </w:rPr>
        <w:t xml:space="preserve"> (výpočty predpokladajú perorálnu dávku 320 mg/deň a pacienta s hmotnosťou 60 kg).</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Pri porovnateľných dávkach u opíc kosmáčov boli zmeny podobné, hoci závažnejšie, najmä v obličkách, kde sa vyvinuli do nefropatie, vrátane zvýšených hladín dusíka, močoviny a kreatinínu v krvi.</w:t>
      </w:r>
    </w:p>
    <w:p w:rsidR="00E279D9" w:rsidRPr="00A00809" w:rsidRDefault="00E279D9" w:rsidP="00D70C3D">
      <w:pPr>
        <w:spacing w:after="0" w:line="240" w:lineRule="auto"/>
        <w:rPr>
          <w:rFonts w:ascii="Times New Roman" w:hAnsi="Times New Roman"/>
          <w:noProof/>
          <w:lang w:eastAsia="sk-SK"/>
        </w:rPr>
      </w:pPr>
    </w:p>
    <w:p w:rsidR="00BA5FAF" w:rsidRPr="00A00809" w:rsidRDefault="00EA43B1" w:rsidP="00D70C3D">
      <w:pPr>
        <w:spacing w:after="0" w:line="240" w:lineRule="auto"/>
        <w:rPr>
          <w:rFonts w:ascii="Times New Roman" w:hAnsi="Times New Roman"/>
          <w:noProof/>
          <w:lang w:eastAsia="sk-SK"/>
        </w:rPr>
      </w:pPr>
      <w:r w:rsidRPr="002C35E8">
        <w:rPr>
          <w:rFonts w:ascii="Times New Roman" w:hAnsi="Times New Roman"/>
          <w:noProof/>
          <w:lang w:eastAsia="sk-SK"/>
        </w:rPr>
        <w:t>U oboch druhov sa pozorovala aj hypertrofia obličkových juxtaglomerulárnych buniek. Za príčinu všetkých zmien sa považoval farmakologický účinok valsartanu, ktorý najmä u kosmáčov vyvoláva dlhodobú hypotenziu. Vzhľadom na terapeutické dávky valsartanu u ľudí sa nezdá, že by hypertrofia obličkových juxtaglomerulárnych buniek bola významná</w:t>
      </w:r>
    </w:p>
    <w:p w:rsidR="007D7FF2" w:rsidRPr="00A00809" w:rsidRDefault="007D7FF2" w:rsidP="00FD2D5B">
      <w:pPr>
        <w:spacing w:after="0" w:line="240" w:lineRule="auto"/>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b/>
          <w:noProof/>
          <w:lang w:eastAsia="sk-SK"/>
        </w:rPr>
      </w:pPr>
      <w:r w:rsidRPr="002C35E8">
        <w:rPr>
          <w:rFonts w:ascii="Times New Roman" w:hAnsi="Times New Roman"/>
          <w:b/>
          <w:noProof/>
          <w:lang w:eastAsia="sk-SK"/>
        </w:rPr>
        <w:t>6.</w:t>
      </w:r>
      <w:r w:rsidRPr="002C35E8">
        <w:rPr>
          <w:rFonts w:ascii="Times New Roman" w:hAnsi="Times New Roman"/>
          <w:b/>
          <w:noProof/>
          <w:lang w:eastAsia="sk-SK"/>
        </w:rPr>
        <w:tab/>
        <w:t>FARMACEUTICKÉ INFORMÁCIE</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6.1</w:t>
      </w:r>
      <w:r w:rsidRPr="002C35E8">
        <w:rPr>
          <w:rFonts w:ascii="Times New Roman" w:hAnsi="Times New Roman"/>
          <w:b/>
          <w:noProof/>
          <w:lang w:eastAsia="sk-SK"/>
        </w:rPr>
        <w:tab/>
        <w:t>Zoznam pomocných látok</w:t>
      </w:r>
    </w:p>
    <w:p w:rsidR="00FD2D5B" w:rsidRPr="00A00809" w:rsidRDefault="00FD2D5B" w:rsidP="00FD2D5B">
      <w:pPr>
        <w:spacing w:after="0" w:line="240" w:lineRule="auto"/>
        <w:ind w:left="567" w:hanging="567"/>
        <w:rPr>
          <w:rFonts w:ascii="Times New Roman" w:hAnsi="Times New Roman"/>
          <w:noProof/>
          <w:lang w:eastAsia="sk-SK"/>
        </w:rPr>
      </w:pPr>
    </w:p>
    <w:p w:rsidR="00E279D9" w:rsidRPr="00A00809" w:rsidRDefault="00EA43B1" w:rsidP="00E279D9">
      <w:pPr>
        <w:spacing w:after="0" w:line="240" w:lineRule="auto"/>
        <w:ind w:left="567" w:hanging="567"/>
        <w:rPr>
          <w:rFonts w:ascii="Times New Roman" w:hAnsi="Times New Roman"/>
          <w:noProof/>
          <w:u w:val="single"/>
          <w:lang w:eastAsia="sk-SK"/>
        </w:rPr>
      </w:pPr>
      <w:r w:rsidRPr="002C35E8">
        <w:rPr>
          <w:rFonts w:ascii="Times New Roman" w:hAnsi="Times New Roman"/>
          <w:noProof/>
          <w:u w:val="single"/>
          <w:lang w:eastAsia="sk-SK"/>
        </w:rPr>
        <w:t>Jadro tablety</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 xml:space="preserve">silicifikovaná mikrokryštalická celulóza </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 xml:space="preserve">(mikrokryštalická celulóza, </w:t>
      </w:r>
      <w:r w:rsidR="00E3599B">
        <w:rPr>
          <w:rFonts w:ascii="Times New Roman" w:hAnsi="Times New Roman"/>
          <w:noProof/>
          <w:lang w:eastAsia="sk-SK"/>
        </w:rPr>
        <w:t xml:space="preserve"> </w:t>
      </w:r>
      <w:r w:rsidRPr="002C35E8">
        <w:rPr>
          <w:rFonts w:ascii="Times New Roman" w:hAnsi="Times New Roman"/>
          <w:noProof/>
          <w:lang w:eastAsia="sk-SK"/>
        </w:rPr>
        <w:t>oxid kremičitý</w:t>
      </w:r>
      <w:r w:rsidRPr="00FF7922">
        <w:rPr>
          <w:rFonts w:ascii="Times New Roman" w:hAnsi="Times New Roman"/>
          <w:noProof/>
          <w:lang w:eastAsia="sk-SK"/>
        </w:rPr>
        <w:t xml:space="preserve"> </w:t>
      </w:r>
      <w:r w:rsidR="00FF7922">
        <w:rPr>
          <w:rFonts w:ascii="Times New Roman" w:hAnsi="Times New Roman"/>
          <w:noProof/>
          <w:lang w:eastAsia="sk-SK"/>
        </w:rPr>
        <w:t xml:space="preserve">koloidný </w:t>
      </w:r>
      <w:r w:rsidRPr="002C35E8">
        <w:rPr>
          <w:rFonts w:ascii="Times New Roman" w:hAnsi="Times New Roman"/>
          <w:noProof/>
          <w:lang w:eastAsia="sk-SK"/>
        </w:rPr>
        <w:t>bezvodý)</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sorbitol (E-420)</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uhličitan horečnatý,</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škrob predželatinovaný</w:t>
      </w:r>
    </w:p>
    <w:p w:rsidR="008936C3" w:rsidRPr="00A00809" w:rsidRDefault="00A62C75" w:rsidP="008936C3">
      <w:pPr>
        <w:spacing w:after="0" w:line="240" w:lineRule="auto"/>
        <w:ind w:left="567" w:hanging="567"/>
        <w:rPr>
          <w:rFonts w:ascii="Times New Roman" w:hAnsi="Times New Roman"/>
          <w:noProof/>
          <w:lang w:eastAsia="sk-SK"/>
        </w:rPr>
      </w:pPr>
      <w:r>
        <w:rPr>
          <w:rFonts w:ascii="Times New Roman" w:hAnsi="Times New Roman"/>
          <w:noProof/>
          <w:lang w:eastAsia="sk-SK"/>
        </w:rPr>
        <w:t xml:space="preserve">škrob </w:t>
      </w:r>
      <w:r w:rsidR="00EA43B1" w:rsidRPr="002C35E8">
        <w:rPr>
          <w:rFonts w:ascii="Times New Roman" w:hAnsi="Times New Roman"/>
          <w:noProof/>
          <w:lang w:eastAsia="sk-SK"/>
        </w:rPr>
        <w:t>predželatínovaný čiastočne</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povidón 25</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stearylfumar</w:t>
      </w:r>
      <w:r w:rsidR="00AA7410">
        <w:rPr>
          <w:rFonts w:ascii="Times New Roman" w:hAnsi="Times New Roman"/>
          <w:noProof/>
          <w:lang w:eastAsia="sk-SK"/>
        </w:rPr>
        <w:t>an</w:t>
      </w:r>
      <w:r w:rsidRPr="002C35E8">
        <w:rPr>
          <w:rFonts w:ascii="Times New Roman" w:hAnsi="Times New Roman"/>
          <w:noProof/>
          <w:lang w:eastAsia="sk-SK"/>
        </w:rPr>
        <w:t xml:space="preserve"> sodný</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lauryls</w:t>
      </w:r>
      <w:r w:rsidR="00AA7410">
        <w:rPr>
          <w:rFonts w:ascii="Times New Roman" w:hAnsi="Times New Roman"/>
          <w:noProof/>
          <w:lang w:eastAsia="sk-SK"/>
        </w:rPr>
        <w:t>íran</w:t>
      </w:r>
      <w:r w:rsidRPr="002C35E8">
        <w:rPr>
          <w:rFonts w:ascii="Times New Roman" w:hAnsi="Times New Roman"/>
          <w:noProof/>
          <w:lang w:eastAsia="sk-SK"/>
        </w:rPr>
        <w:t xml:space="preserve"> sodný</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krospovidón typ A</w:t>
      </w:r>
    </w:p>
    <w:p w:rsidR="008936C3" w:rsidRPr="00A00809" w:rsidRDefault="00EA43B1" w:rsidP="002C35E8">
      <w:pPr>
        <w:spacing w:after="0" w:line="240" w:lineRule="auto"/>
        <w:rPr>
          <w:rFonts w:ascii="Times New Roman" w:hAnsi="Times New Roman"/>
          <w:noProof/>
          <w:lang w:eastAsia="sk-SK"/>
        </w:rPr>
      </w:pPr>
      <w:r w:rsidRPr="002C35E8">
        <w:rPr>
          <w:rFonts w:ascii="Times New Roman" w:hAnsi="Times New Roman"/>
          <w:noProof/>
          <w:lang w:eastAsia="sk-SK"/>
        </w:rPr>
        <w:t>oxid kremičitý</w:t>
      </w:r>
      <w:r w:rsidR="002C35E8">
        <w:rPr>
          <w:rFonts w:ascii="Times New Roman" w:hAnsi="Times New Roman"/>
          <w:noProof/>
          <w:lang w:eastAsia="sk-SK"/>
        </w:rPr>
        <w:t>,</w:t>
      </w:r>
      <w:r w:rsidRPr="00FF7922">
        <w:rPr>
          <w:rFonts w:ascii="Times New Roman" w:hAnsi="Times New Roman"/>
          <w:noProof/>
          <w:lang w:eastAsia="sk-SK"/>
        </w:rPr>
        <w:t xml:space="preserve"> </w:t>
      </w:r>
      <w:r w:rsidR="00FF7922">
        <w:rPr>
          <w:rFonts w:ascii="Times New Roman" w:hAnsi="Times New Roman"/>
          <w:noProof/>
          <w:lang w:eastAsia="sk-SK"/>
        </w:rPr>
        <w:t xml:space="preserve">koloidný </w:t>
      </w:r>
      <w:r w:rsidRPr="002C35E8">
        <w:rPr>
          <w:rFonts w:ascii="Times New Roman" w:hAnsi="Times New Roman"/>
          <w:noProof/>
          <w:lang w:eastAsia="sk-SK"/>
        </w:rPr>
        <w:t>bezvodý</w:t>
      </w:r>
    </w:p>
    <w:p w:rsidR="008936C3" w:rsidRPr="00A00809" w:rsidRDefault="00EA43B1" w:rsidP="008936C3">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mikrokryštalická celulóza</w:t>
      </w:r>
    </w:p>
    <w:p w:rsidR="008936C3" w:rsidRPr="00A00809" w:rsidRDefault="008936C3" w:rsidP="008936C3">
      <w:pPr>
        <w:spacing w:after="0" w:line="240" w:lineRule="auto"/>
        <w:ind w:left="567" w:hanging="567"/>
        <w:rPr>
          <w:rFonts w:ascii="Times New Roman" w:hAnsi="Times New Roman"/>
          <w:noProof/>
          <w:lang w:eastAsia="sk-SK"/>
        </w:rPr>
      </w:pPr>
    </w:p>
    <w:p w:rsidR="00E279D9" w:rsidRPr="00A00809" w:rsidRDefault="00EA43B1" w:rsidP="00E279D9">
      <w:pPr>
        <w:spacing w:after="0" w:line="240" w:lineRule="auto"/>
        <w:ind w:left="567" w:hanging="567"/>
        <w:rPr>
          <w:rFonts w:ascii="Times New Roman" w:hAnsi="Times New Roman"/>
          <w:noProof/>
          <w:u w:val="single"/>
          <w:lang w:eastAsia="sk-SK"/>
        </w:rPr>
      </w:pPr>
      <w:r w:rsidRPr="002C35E8">
        <w:rPr>
          <w:rFonts w:ascii="Times New Roman" w:hAnsi="Times New Roman"/>
          <w:noProof/>
          <w:u w:val="single"/>
          <w:lang w:eastAsia="sk-SK"/>
        </w:rPr>
        <w:t>Obal tablety</w:t>
      </w:r>
    </w:p>
    <w:p w:rsidR="00E279D9" w:rsidRPr="00A00809" w:rsidRDefault="00EA43B1" w:rsidP="00E279D9">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hypromelóza 2910/5</w:t>
      </w:r>
    </w:p>
    <w:p w:rsidR="00E279D9" w:rsidRPr="00A00809" w:rsidRDefault="00EA43B1" w:rsidP="00E279D9">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lastRenderedPageBreak/>
        <w:t>makrogol 6000</w:t>
      </w:r>
    </w:p>
    <w:p w:rsidR="00E279D9" w:rsidRPr="00A00809" w:rsidRDefault="00EA43B1" w:rsidP="00E279D9">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oxid titaničitý (E171)</w:t>
      </w:r>
    </w:p>
    <w:p w:rsidR="00E279D9" w:rsidRPr="00A00809" w:rsidRDefault="00EA43B1" w:rsidP="00E279D9">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mastenec</w:t>
      </w:r>
    </w:p>
    <w:p w:rsidR="00E279D9" w:rsidRPr="00A00809" w:rsidRDefault="00EA43B1" w:rsidP="00E279D9">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žltý oxid železitý (E172)</w:t>
      </w:r>
    </w:p>
    <w:p w:rsidR="00E279D9" w:rsidRPr="00A00809" w:rsidRDefault="00E279D9"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6.2</w:t>
      </w:r>
      <w:r w:rsidRPr="002C35E8">
        <w:rPr>
          <w:rFonts w:ascii="Times New Roman" w:hAnsi="Times New Roman"/>
          <w:b/>
          <w:noProof/>
          <w:lang w:eastAsia="sk-SK"/>
        </w:rPr>
        <w:tab/>
        <w:t>Inkompatibility</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Neaplikovateľné.</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6.3</w:t>
      </w:r>
      <w:r w:rsidRPr="002C35E8">
        <w:rPr>
          <w:rFonts w:ascii="Times New Roman" w:hAnsi="Times New Roman"/>
          <w:b/>
          <w:noProof/>
          <w:lang w:eastAsia="sk-SK"/>
        </w:rPr>
        <w:tab/>
        <w:t>Čas použiteľnosti</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40" w:hanging="540"/>
        <w:rPr>
          <w:rFonts w:ascii="Times New Roman" w:hAnsi="Times New Roman"/>
          <w:noProof/>
          <w:lang w:eastAsia="sk-SK"/>
        </w:rPr>
      </w:pPr>
      <w:r w:rsidRPr="002C35E8">
        <w:rPr>
          <w:rFonts w:ascii="Times New Roman" w:hAnsi="Times New Roman"/>
          <w:noProof/>
          <w:lang w:eastAsia="sk-SK"/>
        </w:rPr>
        <w:t>2 roky</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6.4</w:t>
      </w:r>
      <w:r w:rsidRPr="002C35E8">
        <w:rPr>
          <w:rFonts w:ascii="Times New Roman" w:hAnsi="Times New Roman"/>
          <w:b/>
          <w:noProof/>
          <w:lang w:eastAsia="sk-SK"/>
        </w:rPr>
        <w:tab/>
        <w:t>Špeciálne upozornenia na uchovávanie</w:t>
      </w:r>
    </w:p>
    <w:p w:rsidR="00FD2D5B" w:rsidRPr="00A00809" w:rsidRDefault="00FD2D5B" w:rsidP="00FD2D5B">
      <w:pPr>
        <w:spacing w:after="0" w:line="240" w:lineRule="auto"/>
        <w:ind w:left="567" w:hanging="567"/>
        <w:rPr>
          <w:rFonts w:ascii="Times New Roman" w:hAnsi="Times New Roman"/>
          <w:bCs/>
          <w:iCs/>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 xml:space="preserve">Uchovávajte pri teplote do 30  </w:t>
      </w:r>
      <w:r w:rsidRPr="002C35E8">
        <w:rPr>
          <w:rFonts w:ascii="Times New Roman" w:hAnsi="Times New Roman"/>
          <w:noProof/>
          <w:vertAlign w:val="superscript"/>
          <w:lang w:eastAsia="sk-SK"/>
        </w:rPr>
        <w:t>o</w:t>
      </w:r>
      <w:r w:rsidRPr="002C35E8">
        <w:rPr>
          <w:rFonts w:ascii="Times New Roman" w:hAnsi="Times New Roman"/>
          <w:noProof/>
          <w:lang w:eastAsia="sk-SK"/>
        </w:rPr>
        <w:t>C v pôvodnom obale na ochranu pred vlhkosťou a svetlom.</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6.5</w:t>
      </w:r>
      <w:r w:rsidRPr="002C35E8">
        <w:rPr>
          <w:rFonts w:ascii="Times New Roman" w:hAnsi="Times New Roman"/>
          <w:b/>
          <w:noProof/>
          <w:lang w:eastAsia="sk-SK"/>
        </w:rPr>
        <w:tab/>
        <w:t xml:space="preserve">Druh obalu a obsah balenia </w:t>
      </w:r>
    </w:p>
    <w:p w:rsidR="00FD2D5B" w:rsidRPr="00A00809" w:rsidRDefault="00FD2D5B" w:rsidP="00FD2D5B">
      <w:pPr>
        <w:spacing w:after="0" w:line="240" w:lineRule="auto"/>
        <w:ind w:left="567" w:hanging="567"/>
        <w:rPr>
          <w:rFonts w:ascii="Times New Roman" w:hAnsi="Times New Roman"/>
          <w:noProof/>
          <w:lang w:eastAsia="sk-SK"/>
        </w:rPr>
      </w:pPr>
    </w:p>
    <w:p w:rsidR="007837CA" w:rsidRPr="00A00809" w:rsidRDefault="00EA43B1" w:rsidP="007837CA">
      <w:pPr>
        <w:tabs>
          <w:tab w:val="left" w:pos="7080"/>
        </w:tabs>
        <w:spacing w:after="0" w:line="240" w:lineRule="auto"/>
        <w:rPr>
          <w:rFonts w:ascii="Times New Roman" w:hAnsi="Times New Roman"/>
          <w:lang w:eastAsia="sk-SK"/>
        </w:rPr>
      </w:pPr>
      <w:r w:rsidRPr="002C35E8">
        <w:rPr>
          <w:rFonts w:ascii="Times New Roman" w:hAnsi="Times New Roman"/>
          <w:lang w:eastAsia="sk-SK"/>
        </w:rPr>
        <w:t>PVC/Aclar/PVC – Al blister, papierová skladacia škatuľka.</w:t>
      </w:r>
    </w:p>
    <w:p w:rsidR="007837CA" w:rsidRPr="00A00809" w:rsidRDefault="007837CA" w:rsidP="007837CA">
      <w:pPr>
        <w:tabs>
          <w:tab w:val="left" w:pos="7080"/>
        </w:tabs>
        <w:spacing w:after="0" w:line="240" w:lineRule="auto"/>
        <w:rPr>
          <w:rFonts w:ascii="Times New Roman" w:hAnsi="Times New Roman"/>
          <w:lang w:eastAsia="sk-SK"/>
        </w:rPr>
      </w:pPr>
    </w:p>
    <w:p w:rsidR="00FD2D5B" w:rsidRPr="00A00809" w:rsidRDefault="00EA43B1" w:rsidP="007837CA">
      <w:pPr>
        <w:tabs>
          <w:tab w:val="left" w:pos="7080"/>
        </w:tabs>
        <w:spacing w:after="0" w:line="240" w:lineRule="auto"/>
        <w:rPr>
          <w:rFonts w:ascii="Times New Roman" w:hAnsi="Times New Roman"/>
          <w:lang w:eastAsia="sk-SK"/>
        </w:rPr>
      </w:pPr>
      <w:r w:rsidRPr="002C35E8">
        <w:rPr>
          <w:rFonts w:ascii="Times New Roman" w:hAnsi="Times New Roman"/>
          <w:lang w:eastAsia="sk-SK"/>
        </w:rPr>
        <w:t xml:space="preserve">Veľkosť balenia: 7, </w:t>
      </w:r>
      <w:bookmarkStart w:id="0" w:name="_GoBack"/>
      <w:bookmarkEnd w:id="0"/>
      <w:r w:rsidRPr="001F3BE9">
        <w:rPr>
          <w:rFonts w:ascii="Times New Roman" w:hAnsi="Times New Roman"/>
          <w:lang w:eastAsia="sk-SK"/>
        </w:rPr>
        <w:t>14, 28, 30, 56, 90, 98</w:t>
      </w:r>
      <w:r w:rsidR="007837CA" w:rsidRPr="00A00809">
        <w:rPr>
          <w:rFonts w:ascii="Times New Roman" w:hAnsi="Times New Roman"/>
          <w:lang w:eastAsia="sk-SK"/>
        </w:rPr>
        <w:t xml:space="preserve"> </w:t>
      </w:r>
      <w:r w:rsidR="008936C3" w:rsidRPr="00A00809">
        <w:rPr>
          <w:rFonts w:ascii="Times New Roman" w:hAnsi="Times New Roman"/>
          <w:lang w:eastAsia="sk-SK"/>
        </w:rPr>
        <w:t xml:space="preserve">filmom obalených </w:t>
      </w:r>
      <w:r w:rsidR="007837CA" w:rsidRPr="00A00809">
        <w:rPr>
          <w:rFonts w:ascii="Times New Roman" w:hAnsi="Times New Roman"/>
          <w:lang w:eastAsia="sk-SK"/>
        </w:rPr>
        <w:t>tabliet</w:t>
      </w:r>
      <w:r w:rsidRPr="002C35E8">
        <w:rPr>
          <w:rFonts w:ascii="Times New Roman" w:hAnsi="Times New Roman"/>
          <w:lang w:eastAsia="sk-SK"/>
        </w:rPr>
        <w:t>.</w:t>
      </w:r>
    </w:p>
    <w:p w:rsidR="007837CA" w:rsidRPr="00A00809" w:rsidRDefault="007837CA" w:rsidP="00FD2D5B">
      <w:pPr>
        <w:tabs>
          <w:tab w:val="left" w:pos="7080"/>
        </w:tabs>
        <w:spacing w:after="0" w:line="240" w:lineRule="auto"/>
        <w:rPr>
          <w:rFonts w:ascii="Times New Roman" w:hAnsi="Times New Roman"/>
          <w:lang w:eastAsia="sk-SK"/>
        </w:rPr>
      </w:pPr>
    </w:p>
    <w:p w:rsidR="00FD2D5B" w:rsidRPr="00A00809" w:rsidRDefault="00EA43B1" w:rsidP="00FD2D5B">
      <w:pPr>
        <w:tabs>
          <w:tab w:val="left" w:pos="7080"/>
        </w:tabs>
        <w:spacing w:after="0" w:line="240" w:lineRule="auto"/>
        <w:rPr>
          <w:rFonts w:ascii="Times New Roman" w:hAnsi="Times New Roman"/>
          <w:lang w:eastAsia="sk-SK"/>
        </w:rPr>
      </w:pPr>
      <w:r w:rsidRPr="002C35E8">
        <w:rPr>
          <w:rFonts w:ascii="Times New Roman" w:hAnsi="Times New Roman"/>
          <w:lang w:eastAsia="sk-SK"/>
        </w:rPr>
        <w:t>Na trh nemusia byť uvedené všetky veľkosti balenia.</w:t>
      </w:r>
    </w:p>
    <w:p w:rsidR="00FD2D5B" w:rsidRPr="00A00809" w:rsidRDefault="00FD2D5B" w:rsidP="00FD2D5B">
      <w:pPr>
        <w:tabs>
          <w:tab w:val="left" w:pos="-142"/>
          <w:tab w:val="left" w:pos="284"/>
        </w:tabs>
        <w:spacing w:after="0" w:line="240" w:lineRule="auto"/>
        <w:rPr>
          <w:rFonts w:ascii="Times New Roman" w:hAnsi="Times New Roman"/>
          <w:lang w:eastAsia="sk-SK"/>
        </w:rPr>
      </w:pPr>
    </w:p>
    <w:p w:rsidR="00FD2D5B" w:rsidRPr="00A00809" w:rsidRDefault="00EA43B1" w:rsidP="00FD2D5B">
      <w:pPr>
        <w:spacing w:after="0" w:line="240" w:lineRule="auto"/>
        <w:ind w:left="567" w:hanging="567"/>
        <w:rPr>
          <w:rFonts w:ascii="Times New Roman" w:hAnsi="Times New Roman"/>
          <w:b/>
          <w:bCs/>
          <w:noProof/>
          <w:lang w:eastAsia="sk-SK"/>
        </w:rPr>
      </w:pPr>
      <w:r w:rsidRPr="002C35E8">
        <w:rPr>
          <w:rFonts w:ascii="Times New Roman" w:hAnsi="Times New Roman"/>
          <w:b/>
          <w:noProof/>
          <w:lang w:eastAsia="sk-SK"/>
        </w:rPr>
        <w:t>6.6</w:t>
      </w:r>
      <w:r w:rsidRPr="002C35E8">
        <w:rPr>
          <w:rFonts w:ascii="Times New Roman" w:hAnsi="Times New Roman"/>
          <w:b/>
          <w:noProof/>
          <w:lang w:eastAsia="sk-SK"/>
        </w:rPr>
        <w:tab/>
      </w:r>
      <w:r w:rsidRPr="002C35E8">
        <w:rPr>
          <w:rFonts w:ascii="Times New Roman" w:hAnsi="Times New Roman"/>
          <w:b/>
          <w:bCs/>
          <w:noProof/>
          <w:lang w:eastAsia="sk-SK"/>
        </w:rPr>
        <w:t>Špeciálne opatrenia na likvidáciu a iné zaobchádzanie s liekom</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7837CA">
      <w:pPr>
        <w:spacing w:after="0" w:line="240" w:lineRule="auto"/>
        <w:rPr>
          <w:rFonts w:ascii="Times New Roman" w:hAnsi="Times New Roman"/>
          <w:noProof/>
          <w:lang w:eastAsia="sk-SK"/>
        </w:rPr>
      </w:pPr>
      <w:r w:rsidRPr="002C35E8">
        <w:rPr>
          <w:rFonts w:ascii="Times New Roman" w:hAnsi="Times New Roman"/>
          <w:noProof/>
          <w:lang w:eastAsia="sk-SK"/>
        </w:rPr>
        <w:t>Všetok nepoužitý liek alebo odpad vzniknutý z lieku má sa má zlikvidovať v súlade s národnými požiadavkami.</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7.</w:t>
      </w:r>
      <w:r w:rsidRPr="002C35E8">
        <w:rPr>
          <w:rFonts w:ascii="Times New Roman" w:hAnsi="Times New Roman"/>
          <w:b/>
          <w:noProof/>
          <w:lang w:eastAsia="sk-SK"/>
        </w:rPr>
        <w:tab/>
        <w:t>DRŽITEĽ ROZHODNUTIA O REGISTRÁCII</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Zentiva, k.s., U kabelovny 130, Dolní Měcholupy, 102 37 Praha, Česká republika</w:t>
      </w:r>
    </w:p>
    <w:p w:rsidR="00FD2D5B" w:rsidRPr="00A00809" w:rsidRDefault="00FD2D5B" w:rsidP="00FD2D5B">
      <w:pPr>
        <w:spacing w:after="0" w:line="240" w:lineRule="auto"/>
        <w:ind w:left="567" w:hanging="567"/>
        <w:rPr>
          <w:rFonts w:ascii="Times New Roman" w:hAnsi="Times New Roman"/>
          <w:noProof/>
          <w:lang w:eastAsia="sk-SK"/>
        </w:rPr>
      </w:pPr>
    </w:p>
    <w:p w:rsidR="00951F0A" w:rsidRPr="00A00809" w:rsidRDefault="00951F0A"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b/>
          <w:noProof/>
          <w:lang w:eastAsia="sk-SK"/>
        </w:rPr>
      </w:pPr>
      <w:r w:rsidRPr="002C35E8">
        <w:rPr>
          <w:rFonts w:ascii="Times New Roman" w:hAnsi="Times New Roman"/>
          <w:b/>
          <w:noProof/>
          <w:lang w:eastAsia="sk-SK"/>
        </w:rPr>
        <w:t>8.</w:t>
      </w:r>
      <w:r w:rsidRPr="002C35E8">
        <w:rPr>
          <w:rFonts w:ascii="Times New Roman" w:hAnsi="Times New Roman"/>
          <w:b/>
          <w:noProof/>
          <w:lang w:eastAsia="sk-SK"/>
        </w:rPr>
        <w:tab/>
        <w:t xml:space="preserve">REGISTRAČNÉ ČÍSLA </w:t>
      </w:r>
    </w:p>
    <w:p w:rsidR="00FD2D5B" w:rsidRPr="00A00809" w:rsidRDefault="00FD2D5B" w:rsidP="00FD2D5B">
      <w:pPr>
        <w:spacing w:after="0" w:line="240" w:lineRule="auto"/>
        <w:ind w:left="567" w:hanging="567"/>
        <w:rPr>
          <w:rFonts w:ascii="Times New Roman" w:hAnsi="Times New Roman"/>
          <w:noProof/>
          <w:lang w:eastAsia="sk-SK"/>
        </w:rPr>
      </w:pPr>
    </w:p>
    <w:p w:rsidR="00951F0A" w:rsidRPr="00A00809" w:rsidRDefault="00EA43B1" w:rsidP="00951F0A">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Asbima 5 mg/80 mg: 58/0016/16-S</w:t>
      </w:r>
    </w:p>
    <w:p w:rsidR="00951F0A" w:rsidRPr="00A00809" w:rsidRDefault="00EA43B1" w:rsidP="00951F0A">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Asbima 5 mg/160 mg: 58/0017/16-S</w:t>
      </w:r>
    </w:p>
    <w:p w:rsidR="00951F0A" w:rsidRPr="00A00809" w:rsidRDefault="00EA43B1" w:rsidP="00951F0A">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Asbima 10 mg/160 mg: 58/0018/16-S</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b/>
          <w:noProof/>
          <w:lang w:eastAsia="sk-SK"/>
        </w:rPr>
        <w:t>9.</w:t>
      </w:r>
      <w:r w:rsidRPr="002C35E8">
        <w:rPr>
          <w:rFonts w:ascii="Times New Roman" w:hAnsi="Times New Roman"/>
          <w:b/>
          <w:noProof/>
          <w:lang w:eastAsia="sk-SK"/>
        </w:rPr>
        <w:tab/>
        <w:t>DÁTUM PRVEJ REGISTRÁCIE/ PREDĹŽENIA REGISTRÁCIE</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2C35E8">
        <w:rPr>
          <w:rFonts w:ascii="Times New Roman" w:hAnsi="Times New Roman"/>
          <w:noProof/>
          <w:lang w:eastAsia="sk-SK"/>
        </w:rPr>
        <w:t xml:space="preserve">Dátum prvej registrácie: </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b/>
          <w:noProof/>
          <w:lang w:eastAsia="sk-SK"/>
        </w:rPr>
      </w:pPr>
      <w:r w:rsidRPr="002C35E8">
        <w:rPr>
          <w:rFonts w:ascii="Times New Roman" w:hAnsi="Times New Roman"/>
          <w:b/>
          <w:noProof/>
          <w:lang w:eastAsia="sk-SK"/>
        </w:rPr>
        <w:t>10.</w:t>
      </w:r>
      <w:r w:rsidRPr="002C35E8">
        <w:rPr>
          <w:rFonts w:ascii="Times New Roman" w:hAnsi="Times New Roman"/>
          <w:b/>
          <w:noProof/>
          <w:lang w:eastAsia="sk-SK"/>
        </w:rPr>
        <w:tab/>
        <w:t>DÁTUM REVÍZIE TEXTU</w:t>
      </w:r>
    </w:p>
    <w:p w:rsidR="00FD2D5B" w:rsidRPr="00A00809" w:rsidRDefault="00FD2D5B" w:rsidP="00FD2D5B">
      <w:pPr>
        <w:spacing w:after="0" w:line="240" w:lineRule="auto"/>
        <w:rPr>
          <w:rFonts w:ascii="Times New Roman" w:eastAsia="Times New Roman" w:hAnsi="Times New Roman"/>
          <w:noProof/>
          <w:sz w:val="18"/>
          <w:szCs w:val="18"/>
          <w:lang w:eastAsia="sk-SK"/>
        </w:rPr>
      </w:pPr>
    </w:p>
    <w:p w:rsidR="00F01789" w:rsidRPr="00A00809" w:rsidRDefault="00EA43B1" w:rsidP="00FD2D5B">
      <w:pPr>
        <w:spacing w:after="0" w:line="240" w:lineRule="auto"/>
        <w:rPr>
          <w:rFonts w:ascii="Times New Roman" w:eastAsia="Times New Roman" w:hAnsi="Times New Roman"/>
          <w:noProof/>
          <w:sz w:val="18"/>
          <w:szCs w:val="18"/>
          <w:lang w:eastAsia="sk-SK"/>
        </w:rPr>
      </w:pPr>
      <w:r>
        <w:rPr>
          <w:rFonts w:ascii="Times New Roman" w:eastAsia="Times New Roman" w:hAnsi="Times New Roman"/>
          <w:noProof/>
          <w:sz w:val="18"/>
          <w:szCs w:val="18"/>
          <w:lang w:eastAsia="sk-SK"/>
        </w:rPr>
        <w:t>01/2016</w:t>
      </w:r>
    </w:p>
    <w:sectPr w:rsidR="00F01789" w:rsidRPr="00A00809" w:rsidSect="008811D8">
      <w:footerReference w:type="default" r:id="rId9"/>
      <w:headerReference w:type="first" r:id="rId10"/>
      <w:pgSz w:w="11906" w:h="16838"/>
      <w:pgMar w:top="1134"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832" w:rsidRDefault="00E67832" w:rsidP="002957BA">
      <w:pPr>
        <w:spacing w:after="0" w:line="240" w:lineRule="auto"/>
      </w:pPr>
      <w:r>
        <w:separator/>
      </w:r>
    </w:p>
  </w:endnote>
  <w:endnote w:type="continuationSeparator" w:id="0">
    <w:p w:rsidR="00E67832" w:rsidRDefault="00E67832" w:rsidP="002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709811"/>
      <w:docPartObj>
        <w:docPartGallery w:val="Page Numbers (Bottom of Page)"/>
        <w:docPartUnique/>
      </w:docPartObj>
    </w:sdtPr>
    <w:sdtEndPr/>
    <w:sdtContent>
      <w:p w:rsidR="00FF7922" w:rsidRDefault="00FF7922">
        <w:pPr>
          <w:pStyle w:val="Pta"/>
          <w:jc w:val="center"/>
        </w:pPr>
        <w:r>
          <w:fldChar w:fldCharType="begin"/>
        </w:r>
        <w:r>
          <w:instrText>PAGE   \* MERGEFORMAT</w:instrText>
        </w:r>
        <w:r>
          <w:fldChar w:fldCharType="separate"/>
        </w:r>
        <w:r w:rsidR="001F3BE9">
          <w:rPr>
            <w:noProof/>
          </w:rPr>
          <w:t>19</w:t>
        </w:r>
        <w:r>
          <w:rPr>
            <w:noProof/>
          </w:rPr>
          <w:fldChar w:fldCharType="end"/>
        </w:r>
      </w:p>
    </w:sdtContent>
  </w:sdt>
  <w:p w:rsidR="00FF7922" w:rsidRDefault="00FF792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832" w:rsidRDefault="00E67832" w:rsidP="002957BA">
      <w:pPr>
        <w:spacing w:after="0" w:line="240" w:lineRule="auto"/>
      </w:pPr>
      <w:r>
        <w:separator/>
      </w:r>
    </w:p>
  </w:footnote>
  <w:footnote w:type="continuationSeparator" w:id="0">
    <w:p w:rsidR="00E67832" w:rsidRDefault="00E67832" w:rsidP="0029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922" w:rsidRDefault="00FF7922" w:rsidP="008811D8">
    <w:pPr>
      <w:pStyle w:val="Hlavika"/>
    </w:pPr>
    <w:r w:rsidRPr="006E4700">
      <w:rPr>
        <w:sz w:val="18"/>
        <w:szCs w:val="18"/>
      </w:rPr>
      <w:t xml:space="preserve">Schválený text k rozhodnutiu o registrácii, ev. č.: </w:t>
    </w:r>
    <w:r w:rsidRPr="00A11CCD">
      <w:rPr>
        <w:sz w:val="18"/>
        <w:szCs w:val="18"/>
      </w:rPr>
      <w:t>2015/00286-REG</w:t>
    </w:r>
    <w:r>
      <w:rPr>
        <w:sz w:val="18"/>
        <w:szCs w:val="18"/>
      </w:rPr>
      <w:t xml:space="preserve">, </w:t>
    </w:r>
    <w:r w:rsidRPr="00A11CCD">
      <w:rPr>
        <w:sz w:val="18"/>
        <w:szCs w:val="18"/>
      </w:rPr>
      <w:t>2015/0028</w:t>
    </w:r>
    <w:r>
      <w:rPr>
        <w:sz w:val="18"/>
        <w:szCs w:val="18"/>
      </w:rPr>
      <w:t>7</w:t>
    </w:r>
    <w:r w:rsidRPr="00A11CCD">
      <w:rPr>
        <w:sz w:val="18"/>
        <w:szCs w:val="18"/>
      </w:rPr>
      <w:t>-REG</w:t>
    </w:r>
    <w:r>
      <w:rPr>
        <w:sz w:val="18"/>
        <w:szCs w:val="18"/>
      </w:rPr>
      <w:t xml:space="preserve">, </w:t>
    </w:r>
    <w:r w:rsidRPr="00A11CCD">
      <w:rPr>
        <w:sz w:val="18"/>
        <w:szCs w:val="18"/>
      </w:rPr>
      <w:t>2015/0028</w:t>
    </w:r>
    <w:r>
      <w:rPr>
        <w:sz w:val="18"/>
        <w:szCs w:val="18"/>
      </w:rPr>
      <w:t>8</w:t>
    </w:r>
    <w:r w:rsidRPr="00A11CCD">
      <w:rPr>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CEA31F1"/>
    <w:multiLevelType w:val="multilevel"/>
    <w:tmpl w:val="65DAB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1B3280"/>
    <w:multiLevelType w:val="hybridMultilevel"/>
    <w:tmpl w:val="2B7EF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DE7629"/>
    <w:multiLevelType w:val="multilevel"/>
    <w:tmpl w:val="A8B4A7E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1947F1A"/>
    <w:multiLevelType w:val="hybridMultilevel"/>
    <w:tmpl w:val="BBAADC0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B3164A0"/>
    <w:multiLevelType w:val="hybridMultilevel"/>
    <w:tmpl w:val="4A762502"/>
    <w:lvl w:ilvl="0" w:tplc="FFFFFFFF">
      <w:numFmt w:val="bullet"/>
      <w:lvlText w:val="-"/>
      <w:lvlJc w:val="left"/>
      <w:pPr>
        <w:tabs>
          <w:tab w:val="num" w:pos="1574"/>
        </w:tabs>
        <w:ind w:left="1574" w:hanging="360"/>
      </w:pPr>
      <w:rPr>
        <w:rFonts w:ascii="Times New Roman" w:eastAsia="Times New Roman" w:hAnsi="Times New Roman" w:hint="default"/>
      </w:rPr>
    </w:lvl>
    <w:lvl w:ilvl="1" w:tplc="040C0003" w:tentative="1">
      <w:start w:val="1"/>
      <w:numFmt w:val="bullet"/>
      <w:lvlText w:val="o"/>
      <w:lvlJc w:val="left"/>
      <w:pPr>
        <w:tabs>
          <w:tab w:val="num" w:pos="2294"/>
        </w:tabs>
        <w:ind w:left="2294" w:hanging="360"/>
      </w:pPr>
      <w:rPr>
        <w:rFonts w:ascii="Courier New" w:hAnsi="Courier New" w:hint="default"/>
      </w:rPr>
    </w:lvl>
    <w:lvl w:ilvl="2" w:tplc="040C0005" w:tentative="1">
      <w:start w:val="1"/>
      <w:numFmt w:val="bullet"/>
      <w:lvlText w:val=""/>
      <w:lvlJc w:val="left"/>
      <w:pPr>
        <w:tabs>
          <w:tab w:val="num" w:pos="3014"/>
        </w:tabs>
        <w:ind w:left="3014" w:hanging="360"/>
      </w:pPr>
      <w:rPr>
        <w:rFonts w:ascii="Wingdings" w:hAnsi="Wingdings" w:hint="default"/>
      </w:rPr>
    </w:lvl>
    <w:lvl w:ilvl="3" w:tplc="040C0001" w:tentative="1">
      <w:start w:val="1"/>
      <w:numFmt w:val="bullet"/>
      <w:lvlText w:val=""/>
      <w:lvlJc w:val="left"/>
      <w:pPr>
        <w:tabs>
          <w:tab w:val="num" w:pos="3734"/>
        </w:tabs>
        <w:ind w:left="3734" w:hanging="360"/>
      </w:pPr>
      <w:rPr>
        <w:rFonts w:ascii="Symbol" w:hAnsi="Symbol" w:hint="default"/>
      </w:rPr>
    </w:lvl>
    <w:lvl w:ilvl="4" w:tplc="040C0003" w:tentative="1">
      <w:start w:val="1"/>
      <w:numFmt w:val="bullet"/>
      <w:lvlText w:val="o"/>
      <w:lvlJc w:val="left"/>
      <w:pPr>
        <w:tabs>
          <w:tab w:val="num" w:pos="4454"/>
        </w:tabs>
        <w:ind w:left="4454" w:hanging="360"/>
      </w:pPr>
      <w:rPr>
        <w:rFonts w:ascii="Courier New" w:hAnsi="Courier New" w:hint="default"/>
      </w:rPr>
    </w:lvl>
    <w:lvl w:ilvl="5" w:tplc="040C0005" w:tentative="1">
      <w:start w:val="1"/>
      <w:numFmt w:val="bullet"/>
      <w:lvlText w:val=""/>
      <w:lvlJc w:val="left"/>
      <w:pPr>
        <w:tabs>
          <w:tab w:val="num" w:pos="5174"/>
        </w:tabs>
        <w:ind w:left="5174" w:hanging="360"/>
      </w:pPr>
      <w:rPr>
        <w:rFonts w:ascii="Wingdings" w:hAnsi="Wingdings" w:hint="default"/>
      </w:rPr>
    </w:lvl>
    <w:lvl w:ilvl="6" w:tplc="040C0001" w:tentative="1">
      <w:start w:val="1"/>
      <w:numFmt w:val="bullet"/>
      <w:lvlText w:val=""/>
      <w:lvlJc w:val="left"/>
      <w:pPr>
        <w:tabs>
          <w:tab w:val="num" w:pos="5894"/>
        </w:tabs>
        <w:ind w:left="5894" w:hanging="360"/>
      </w:pPr>
      <w:rPr>
        <w:rFonts w:ascii="Symbol" w:hAnsi="Symbol" w:hint="default"/>
      </w:rPr>
    </w:lvl>
    <w:lvl w:ilvl="7" w:tplc="040C0003" w:tentative="1">
      <w:start w:val="1"/>
      <w:numFmt w:val="bullet"/>
      <w:lvlText w:val="o"/>
      <w:lvlJc w:val="left"/>
      <w:pPr>
        <w:tabs>
          <w:tab w:val="num" w:pos="6614"/>
        </w:tabs>
        <w:ind w:left="6614" w:hanging="360"/>
      </w:pPr>
      <w:rPr>
        <w:rFonts w:ascii="Courier New" w:hAnsi="Courier New" w:hint="default"/>
      </w:rPr>
    </w:lvl>
    <w:lvl w:ilvl="8" w:tplc="040C0005" w:tentative="1">
      <w:start w:val="1"/>
      <w:numFmt w:val="bullet"/>
      <w:lvlText w:val=""/>
      <w:lvlJc w:val="left"/>
      <w:pPr>
        <w:tabs>
          <w:tab w:val="num" w:pos="7334"/>
        </w:tabs>
        <w:ind w:left="7334" w:hanging="360"/>
      </w:pPr>
      <w:rPr>
        <w:rFonts w:ascii="Wingdings" w:hAnsi="Wingdings" w:hint="default"/>
      </w:rPr>
    </w:lvl>
  </w:abstractNum>
  <w:abstractNum w:abstractNumId="8" w15:restartNumberingAfterBreak="0">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B871A5"/>
    <w:multiLevelType w:val="hybridMultilevel"/>
    <w:tmpl w:val="240AE8D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85835"/>
    <w:multiLevelType w:val="hybridMultilevel"/>
    <w:tmpl w:val="2C82FC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8E7163"/>
    <w:multiLevelType w:val="hybridMultilevel"/>
    <w:tmpl w:val="6D7212F0"/>
    <w:lvl w:ilvl="0" w:tplc="1C7AE280">
      <w:numFmt w:val="bullet"/>
      <w:lvlText w:val="-"/>
      <w:lvlJc w:val="left"/>
      <w:pPr>
        <w:tabs>
          <w:tab w:val="num" w:pos="170"/>
        </w:tabs>
        <w:ind w:left="170" w:hanging="170"/>
      </w:pPr>
      <w:rPr>
        <w:rFonts w:ascii="Times New Roman" w:eastAsia="Times New Roman" w:hAnsi="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10"/>
  </w:num>
  <w:num w:numId="6">
    <w:abstractNumId w:val="1"/>
  </w:num>
  <w:num w:numId="7">
    <w:abstractNumId w:val="9"/>
  </w:num>
  <w:num w:numId="8">
    <w:abstractNumId w:val="7"/>
  </w:num>
  <w:num w:numId="9">
    <w:abstractNumId w:val="13"/>
  </w:num>
  <w:num w:numId="10">
    <w:abstractNumId w:val="11"/>
  </w:num>
  <w:num w:numId="11">
    <w:abstractNumId w:val="15"/>
  </w:num>
  <w:num w:numId="12">
    <w:abstractNumId w:val="3"/>
  </w:num>
  <w:num w:numId="13">
    <w:abstractNumId w:val="14"/>
  </w:num>
  <w:num w:numId="14">
    <w:abstractNumId w:val="0"/>
    <w:lvlOverride w:ilvl="0">
      <w:lvl w:ilvl="0">
        <w:start w:val="1"/>
        <w:numFmt w:val="bullet"/>
        <w:lvlText w:val="-"/>
        <w:legacy w:legacy="1" w:legacySpace="0" w:legacyIndent="360"/>
        <w:lvlJc w:val="left"/>
        <w:pPr>
          <w:ind w:left="360" w:hanging="360"/>
        </w:pPr>
      </w:lvl>
    </w:lvlOverride>
  </w:num>
  <w:num w:numId="15">
    <w:abstractNumId w:val="12"/>
  </w:num>
  <w:num w:numId="16">
    <w:abstractNumId w:val="8"/>
  </w:num>
  <w:num w:numId="17">
    <w:abstractNumId w:val="6"/>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5B"/>
    <w:rsid w:val="0000623A"/>
    <w:rsid w:val="000355BD"/>
    <w:rsid w:val="00040F72"/>
    <w:rsid w:val="00063A24"/>
    <w:rsid w:val="00077767"/>
    <w:rsid w:val="00084D4D"/>
    <w:rsid w:val="0008755C"/>
    <w:rsid w:val="0009340A"/>
    <w:rsid w:val="000A3929"/>
    <w:rsid w:val="000A74FB"/>
    <w:rsid w:val="000B1BD6"/>
    <w:rsid w:val="000C059C"/>
    <w:rsid w:val="000C7BDF"/>
    <w:rsid w:val="000D5F5B"/>
    <w:rsid w:val="000E651B"/>
    <w:rsid w:val="000F5769"/>
    <w:rsid w:val="00106313"/>
    <w:rsid w:val="001063AF"/>
    <w:rsid w:val="00111002"/>
    <w:rsid w:val="00123002"/>
    <w:rsid w:val="00153BC8"/>
    <w:rsid w:val="00184B6E"/>
    <w:rsid w:val="001D2613"/>
    <w:rsid w:val="001D44C6"/>
    <w:rsid w:val="001F3BE9"/>
    <w:rsid w:val="00212DD4"/>
    <w:rsid w:val="00230246"/>
    <w:rsid w:val="00233DB0"/>
    <w:rsid w:val="002351E3"/>
    <w:rsid w:val="00247B44"/>
    <w:rsid w:val="00256C76"/>
    <w:rsid w:val="00270C1B"/>
    <w:rsid w:val="002918A4"/>
    <w:rsid w:val="002957BA"/>
    <w:rsid w:val="002970C4"/>
    <w:rsid w:val="002B1143"/>
    <w:rsid w:val="002C35E8"/>
    <w:rsid w:val="002C38B6"/>
    <w:rsid w:val="002D399B"/>
    <w:rsid w:val="002E0D02"/>
    <w:rsid w:val="002E3003"/>
    <w:rsid w:val="002F04C6"/>
    <w:rsid w:val="003044A4"/>
    <w:rsid w:val="0030524C"/>
    <w:rsid w:val="00310D40"/>
    <w:rsid w:val="00311F2C"/>
    <w:rsid w:val="00314AB2"/>
    <w:rsid w:val="00315EDC"/>
    <w:rsid w:val="00320455"/>
    <w:rsid w:val="0034315D"/>
    <w:rsid w:val="00347D74"/>
    <w:rsid w:val="00350B09"/>
    <w:rsid w:val="003834C6"/>
    <w:rsid w:val="00394354"/>
    <w:rsid w:val="003A362D"/>
    <w:rsid w:val="003B5ECD"/>
    <w:rsid w:val="003D6B10"/>
    <w:rsid w:val="003E06DC"/>
    <w:rsid w:val="003E19E5"/>
    <w:rsid w:val="003E3F05"/>
    <w:rsid w:val="003E475E"/>
    <w:rsid w:val="003E52EC"/>
    <w:rsid w:val="003F7243"/>
    <w:rsid w:val="00412B3F"/>
    <w:rsid w:val="0041483C"/>
    <w:rsid w:val="00416F32"/>
    <w:rsid w:val="004227ED"/>
    <w:rsid w:val="0043520D"/>
    <w:rsid w:val="00450D2E"/>
    <w:rsid w:val="00456099"/>
    <w:rsid w:val="00465061"/>
    <w:rsid w:val="00465E60"/>
    <w:rsid w:val="004731EC"/>
    <w:rsid w:val="00473F86"/>
    <w:rsid w:val="00486C11"/>
    <w:rsid w:val="004914E1"/>
    <w:rsid w:val="004A5D12"/>
    <w:rsid w:val="004B4E4A"/>
    <w:rsid w:val="004C3667"/>
    <w:rsid w:val="004D0F32"/>
    <w:rsid w:val="00522AFA"/>
    <w:rsid w:val="005435B5"/>
    <w:rsid w:val="005478E5"/>
    <w:rsid w:val="00550475"/>
    <w:rsid w:val="00557BA8"/>
    <w:rsid w:val="00557C97"/>
    <w:rsid w:val="00567DC3"/>
    <w:rsid w:val="0057131A"/>
    <w:rsid w:val="00594ADD"/>
    <w:rsid w:val="00595728"/>
    <w:rsid w:val="005A0D2E"/>
    <w:rsid w:val="005A4526"/>
    <w:rsid w:val="005A6083"/>
    <w:rsid w:val="005A6465"/>
    <w:rsid w:val="005B1AB6"/>
    <w:rsid w:val="005C42CA"/>
    <w:rsid w:val="005D1E83"/>
    <w:rsid w:val="005D759A"/>
    <w:rsid w:val="005E1652"/>
    <w:rsid w:val="005E1EF1"/>
    <w:rsid w:val="005F11EC"/>
    <w:rsid w:val="005F657A"/>
    <w:rsid w:val="00607030"/>
    <w:rsid w:val="00615107"/>
    <w:rsid w:val="00615535"/>
    <w:rsid w:val="00615920"/>
    <w:rsid w:val="00615CDA"/>
    <w:rsid w:val="00621F64"/>
    <w:rsid w:val="00622C34"/>
    <w:rsid w:val="00622F1F"/>
    <w:rsid w:val="0062419E"/>
    <w:rsid w:val="006241B8"/>
    <w:rsid w:val="006249A7"/>
    <w:rsid w:val="00641010"/>
    <w:rsid w:val="00642D2F"/>
    <w:rsid w:val="00652FAA"/>
    <w:rsid w:val="00653104"/>
    <w:rsid w:val="0066193E"/>
    <w:rsid w:val="00665C1F"/>
    <w:rsid w:val="00670911"/>
    <w:rsid w:val="00673FFB"/>
    <w:rsid w:val="00675045"/>
    <w:rsid w:val="00682849"/>
    <w:rsid w:val="00685102"/>
    <w:rsid w:val="00686361"/>
    <w:rsid w:val="00687BDA"/>
    <w:rsid w:val="006A4EB8"/>
    <w:rsid w:val="006C1B6D"/>
    <w:rsid w:val="006D776A"/>
    <w:rsid w:val="006E6F6E"/>
    <w:rsid w:val="00706535"/>
    <w:rsid w:val="0072127B"/>
    <w:rsid w:val="00735651"/>
    <w:rsid w:val="00744DB6"/>
    <w:rsid w:val="007453CB"/>
    <w:rsid w:val="007461E0"/>
    <w:rsid w:val="00747AC4"/>
    <w:rsid w:val="00766C66"/>
    <w:rsid w:val="00770BF8"/>
    <w:rsid w:val="007742FE"/>
    <w:rsid w:val="007837CA"/>
    <w:rsid w:val="00791564"/>
    <w:rsid w:val="007944DD"/>
    <w:rsid w:val="007966BD"/>
    <w:rsid w:val="00797969"/>
    <w:rsid w:val="007A20C0"/>
    <w:rsid w:val="007A26C8"/>
    <w:rsid w:val="007B27E4"/>
    <w:rsid w:val="007B5669"/>
    <w:rsid w:val="007D5165"/>
    <w:rsid w:val="007D7FF2"/>
    <w:rsid w:val="008019CC"/>
    <w:rsid w:val="00806536"/>
    <w:rsid w:val="008113F4"/>
    <w:rsid w:val="0081148C"/>
    <w:rsid w:val="008142E7"/>
    <w:rsid w:val="00814B7B"/>
    <w:rsid w:val="00821F75"/>
    <w:rsid w:val="0082427C"/>
    <w:rsid w:val="008328BB"/>
    <w:rsid w:val="0084396E"/>
    <w:rsid w:val="00844B84"/>
    <w:rsid w:val="0086653B"/>
    <w:rsid w:val="008811D8"/>
    <w:rsid w:val="00890467"/>
    <w:rsid w:val="00890CFD"/>
    <w:rsid w:val="00892B8D"/>
    <w:rsid w:val="008936C3"/>
    <w:rsid w:val="008A391A"/>
    <w:rsid w:val="008C004E"/>
    <w:rsid w:val="008C292E"/>
    <w:rsid w:val="008D372B"/>
    <w:rsid w:val="008D6E53"/>
    <w:rsid w:val="008E6A75"/>
    <w:rsid w:val="00900B7D"/>
    <w:rsid w:val="0090666D"/>
    <w:rsid w:val="0091238B"/>
    <w:rsid w:val="00912EC0"/>
    <w:rsid w:val="00915289"/>
    <w:rsid w:val="00921E31"/>
    <w:rsid w:val="00933211"/>
    <w:rsid w:val="009421CE"/>
    <w:rsid w:val="00944D16"/>
    <w:rsid w:val="00951F0A"/>
    <w:rsid w:val="00956CB9"/>
    <w:rsid w:val="009611BF"/>
    <w:rsid w:val="009806DE"/>
    <w:rsid w:val="009957EF"/>
    <w:rsid w:val="009A001F"/>
    <w:rsid w:val="009A3A22"/>
    <w:rsid w:val="009A5E51"/>
    <w:rsid w:val="009A7BCA"/>
    <w:rsid w:val="009C2600"/>
    <w:rsid w:val="009E14E5"/>
    <w:rsid w:val="009E7A1B"/>
    <w:rsid w:val="009F481A"/>
    <w:rsid w:val="009F7E74"/>
    <w:rsid w:val="00A00809"/>
    <w:rsid w:val="00A019A0"/>
    <w:rsid w:val="00A11CCD"/>
    <w:rsid w:val="00A11E89"/>
    <w:rsid w:val="00A20A00"/>
    <w:rsid w:val="00A22496"/>
    <w:rsid w:val="00A2456B"/>
    <w:rsid w:val="00A449F2"/>
    <w:rsid w:val="00A45596"/>
    <w:rsid w:val="00A45822"/>
    <w:rsid w:val="00A57258"/>
    <w:rsid w:val="00A62C75"/>
    <w:rsid w:val="00A718F1"/>
    <w:rsid w:val="00A77E64"/>
    <w:rsid w:val="00A82198"/>
    <w:rsid w:val="00A9251B"/>
    <w:rsid w:val="00A95EEC"/>
    <w:rsid w:val="00AA7410"/>
    <w:rsid w:val="00AC6A59"/>
    <w:rsid w:val="00AF25E8"/>
    <w:rsid w:val="00B07E35"/>
    <w:rsid w:val="00B30A60"/>
    <w:rsid w:val="00B36FB6"/>
    <w:rsid w:val="00B770CD"/>
    <w:rsid w:val="00B77D7C"/>
    <w:rsid w:val="00B91A58"/>
    <w:rsid w:val="00BA5FAF"/>
    <w:rsid w:val="00BC1E32"/>
    <w:rsid w:val="00BC65E4"/>
    <w:rsid w:val="00BF28E1"/>
    <w:rsid w:val="00C13719"/>
    <w:rsid w:val="00C22F45"/>
    <w:rsid w:val="00C267BF"/>
    <w:rsid w:val="00C54708"/>
    <w:rsid w:val="00C57449"/>
    <w:rsid w:val="00C62893"/>
    <w:rsid w:val="00C87C6D"/>
    <w:rsid w:val="00C91FBD"/>
    <w:rsid w:val="00C973E4"/>
    <w:rsid w:val="00CA4BBD"/>
    <w:rsid w:val="00CA4C27"/>
    <w:rsid w:val="00CC6B19"/>
    <w:rsid w:val="00CD31EC"/>
    <w:rsid w:val="00CE3FCF"/>
    <w:rsid w:val="00CF0704"/>
    <w:rsid w:val="00CF4795"/>
    <w:rsid w:val="00D049E6"/>
    <w:rsid w:val="00D066D5"/>
    <w:rsid w:val="00D14AE3"/>
    <w:rsid w:val="00D255FE"/>
    <w:rsid w:val="00D264AC"/>
    <w:rsid w:val="00D3240F"/>
    <w:rsid w:val="00D3544D"/>
    <w:rsid w:val="00D44A9E"/>
    <w:rsid w:val="00D642EF"/>
    <w:rsid w:val="00D70C3D"/>
    <w:rsid w:val="00D72FA1"/>
    <w:rsid w:val="00D73C00"/>
    <w:rsid w:val="00D901E1"/>
    <w:rsid w:val="00D92600"/>
    <w:rsid w:val="00D95F6A"/>
    <w:rsid w:val="00DA62B4"/>
    <w:rsid w:val="00DA77BA"/>
    <w:rsid w:val="00DB724C"/>
    <w:rsid w:val="00DB7F85"/>
    <w:rsid w:val="00DD0347"/>
    <w:rsid w:val="00DE54D6"/>
    <w:rsid w:val="00DE6FBD"/>
    <w:rsid w:val="00E12426"/>
    <w:rsid w:val="00E13160"/>
    <w:rsid w:val="00E1660B"/>
    <w:rsid w:val="00E2798B"/>
    <w:rsid w:val="00E279D9"/>
    <w:rsid w:val="00E3599B"/>
    <w:rsid w:val="00E3684D"/>
    <w:rsid w:val="00E43B74"/>
    <w:rsid w:val="00E51227"/>
    <w:rsid w:val="00E51B49"/>
    <w:rsid w:val="00E524DF"/>
    <w:rsid w:val="00E52BA6"/>
    <w:rsid w:val="00E53D44"/>
    <w:rsid w:val="00E67832"/>
    <w:rsid w:val="00E7009A"/>
    <w:rsid w:val="00E729CB"/>
    <w:rsid w:val="00E816D0"/>
    <w:rsid w:val="00E8507F"/>
    <w:rsid w:val="00E905C7"/>
    <w:rsid w:val="00EA2C8F"/>
    <w:rsid w:val="00EA43B1"/>
    <w:rsid w:val="00EA5EBB"/>
    <w:rsid w:val="00EB2B0B"/>
    <w:rsid w:val="00EB31B3"/>
    <w:rsid w:val="00EB4B8F"/>
    <w:rsid w:val="00EC6F0B"/>
    <w:rsid w:val="00EC7807"/>
    <w:rsid w:val="00ED35BE"/>
    <w:rsid w:val="00F01789"/>
    <w:rsid w:val="00F05E55"/>
    <w:rsid w:val="00F0764B"/>
    <w:rsid w:val="00F20FF8"/>
    <w:rsid w:val="00F33A20"/>
    <w:rsid w:val="00F92BBB"/>
    <w:rsid w:val="00F94C44"/>
    <w:rsid w:val="00F97200"/>
    <w:rsid w:val="00FB23CA"/>
    <w:rsid w:val="00FB4277"/>
    <w:rsid w:val="00FB649A"/>
    <w:rsid w:val="00FB745C"/>
    <w:rsid w:val="00FD2D5B"/>
    <w:rsid w:val="00FD6E3F"/>
    <w:rsid w:val="00FF7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3F1293-2835-4B03-BF11-DEF32234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51F0A"/>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 w:type="table" w:customStyle="1" w:styleId="Mriekatabuky1">
    <w:name w:val="Mriežka tabuľky1"/>
    <w:basedOn w:val="Normlnatabuka"/>
    <w:next w:val="Mriekatabuky"/>
    <w:uiPriority w:val="59"/>
    <w:rsid w:val="00D264AC"/>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615920"/>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15548">
      <w:bodyDiv w:val="1"/>
      <w:marLeft w:val="0"/>
      <w:marRight w:val="0"/>
      <w:marTop w:val="0"/>
      <w:marBottom w:val="0"/>
      <w:divBdr>
        <w:top w:val="none" w:sz="0" w:space="0" w:color="auto"/>
        <w:left w:val="none" w:sz="0" w:space="0" w:color="auto"/>
        <w:bottom w:val="none" w:sz="0" w:space="0" w:color="auto"/>
        <w:right w:val="none" w:sz="0" w:space="0" w:color="auto"/>
      </w:divBdr>
    </w:div>
    <w:div w:id="1361857392">
      <w:bodyDiv w:val="1"/>
      <w:marLeft w:val="0"/>
      <w:marRight w:val="0"/>
      <w:marTop w:val="0"/>
      <w:marBottom w:val="0"/>
      <w:divBdr>
        <w:top w:val="none" w:sz="0" w:space="0" w:color="auto"/>
        <w:left w:val="none" w:sz="0" w:space="0" w:color="auto"/>
        <w:bottom w:val="none" w:sz="0" w:space="0" w:color="auto"/>
        <w:right w:val="none" w:sz="0" w:space="0" w:color="auto"/>
      </w:divBdr>
      <w:divsChild>
        <w:div w:id="2125878974">
          <w:marLeft w:val="0"/>
          <w:marRight w:val="0"/>
          <w:marTop w:val="0"/>
          <w:marBottom w:val="0"/>
          <w:divBdr>
            <w:top w:val="none" w:sz="0" w:space="0" w:color="auto"/>
            <w:left w:val="none" w:sz="0" w:space="0" w:color="auto"/>
            <w:bottom w:val="none" w:sz="0" w:space="0" w:color="auto"/>
            <w:right w:val="none" w:sz="0" w:space="0" w:color="auto"/>
          </w:divBdr>
          <w:divsChild>
            <w:div w:id="179706822">
              <w:marLeft w:val="0"/>
              <w:marRight w:val="0"/>
              <w:marTop w:val="0"/>
              <w:marBottom w:val="0"/>
              <w:divBdr>
                <w:top w:val="none" w:sz="0" w:space="0" w:color="auto"/>
                <w:left w:val="none" w:sz="0" w:space="0" w:color="auto"/>
                <w:bottom w:val="none" w:sz="0" w:space="0" w:color="auto"/>
                <w:right w:val="none" w:sz="0" w:space="0" w:color="auto"/>
              </w:divBdr>
              <w:divsChild>
                <w:div w:id="1460295246">
                  <w:marLeft w:val="0"/>
                  <w:marRight w:val="0"/>
                  <w:marTop w:val="0"/>
                  <w:marBottom w:val="0"/>
                  <w:divBdr>
                    <w:top w:val="none" w:sz="0" w:space="0" w:color="auto"/>
                    <w:left w:val="none" w:sz="0" w:space="0" w:color="auto"/>
                    <w:bottom w:val="none" w:sz="0" w:space="0" w:color="auto"/>
                    <w:right w:val="none" w:sz="0" w:space="0" w:color="auto"/>
                  </w:divBdr>
                  <w:divsChild>
                    <w:div w:id="1546061720">
                      <w:marLeft w:val="0"/>
                      <w:marRight w:val="0"/>
                      <w:marTop w:val="0"/>
                      <w:marBottom w:val="0"/>
                      <w:divBdr>
                        <w:top w:val="none" w:sz="0" w:space="0" w:color="auto"/>
                        <w:left w:val="none" w:sz="0" w:space="0" w:color="auto"/>
                        <w:bottom w:val="none" w:sz="0" w:space="0" w:color="auto"/>
                        <w:right w:val="none" w:sz="0" w:space="0" w:color="auto"/>
                      </w:divBdr>
                      <w:divsChild>
                        <w:div w:id="1175849083">
                          <w:marLeft w:val="0"/>
                          <w:marRight w:val="0"/>
                          <w:marTop w:val="0"/>
                          <w:marBottom w:val="0"/>
                          <w:divBdr>
                            <w:top w:val="none" w:sz="0" w:space="0" w:color="auto"/>
                            <w:left w:val="none" w:sz="0" w:space="0" w:color="auto"/>
                            <w:bottom w:val="none" w:sz="0" w:space="0" w:color="auto"/>
                            <w:right w:val="none" w:sz="0" w:space="0" w:color="auto"/>
                          </w:divBdr>
                          <w:divsChild>
                            <w:div w:id="572546607">
                              <w:marLeft w:val="0"/>
                              <w:marRight w:val="0"/>
                              <w:marTop w:val="0"/>
                              <w:marBottom w:val="0"/>
                              <w:divBdr>
                                <w:top w:val="none" w:sz="0" w:space="0" w:color="auto"/>
                                <w:left w:val="none" w:sz="0" w:space="0" w:color="auto"/>
                                <w:bottom w:val="none" w:sz="0" w:space="0" w:color="auto"/>
                                <w:right w:val="none" w:sz="0" w:space="0" w:color="auto"/>
                              </w:divBdr>
                              <w:divsChild>
                                <w:div w:id="636377876">
                                  <w:marLeft w:val="0"/>
                                  <w:marRight w:val="0"/>
                                  <w:marTop w:val="0"/>
                                  <w:marBottom w:val="0"/>
                                  <w:divBdr>
                                    <w:top w:val="none" w:sz="0" w:space="0" w:color="auto"/>
                                    <w:left w:val="none" w:sz="0" w:space="0" w:color="auto"/>
                                    <w:bottom w:val="none" w:sz="0" w:space="0" w:color="auto"/>
                                    <w:right w:val="none" w:sz="0" w:space="0" w:color="auto"/>
                                  </w:divBdr>
                                  <w:divsChild>
                                    <w:div w:id="1403718551">
                                      <w:marLeft w:val="60"/>
                                      <w:marRight w:val="0"/>
                                      <w:marTop w:val="0"/>
                                      <w:marBottom w:val="0"/>
                                      <w:divBdr>
                                        <w:top w:val="none" w:sz="0" w:space="0" w:color="auto"/>
                                        <w:left w:val="none" w:sz="0" w:space="0" w:color="auto"/>
                                        <w:bottom w:val="none" w:sz="0" w:space="0" w:color="auto"/>
                                        <w:right w:val="none" w:sz="0" w:space="0" w:color="auto"/>
                                      </w:divBdr>
                                      <w:divsChild>
                                        <w:div w:id="1982612864">
                                          <w:marLeft w:val="0"/>
                                          <w:marRight w:val="0"/>
                                          <w:marTop w:val="0"/>
                                          <w:marBottom w:val="0"/>
                                          <w:divBdr>
                                            <w:top w:val="none" w:sz="0" w:space="0" w:color="auto"/>
                                            <w:left w:val="none" w:sz="0" w:space="0" w:color="auto"/>
                                            <w:bottom w:val="none" w:sz="0" w:space="0" w:color="auto"/>
                                            <w:right w:val="none" w:sz="0" w:space="0" w:color="auto"/>
                                          </w:divBdr>
                                          <w:divsChild>
                                            <w:div w:id="1226140656">
                                              <w:marLeft w:val="0"/>
                                              <w:marRight w:val="0"/>
                                              <w:marTop w:val="0"/>
                                              <w:marBottom w:val="120"/>
                                              <w:divBdr>
                                                <w:top w:val="single" w:sz="6" w:space="0" w:color="F5F5F5"/>
                                                <w:left w:val="single" w:sz="6" w:space="0" w:color="F5F5F5"/>
                                                <w:bottom w:val="single" w:sz="6" w:space="0" w:color="F5F5F5"/>
                                                <w:right w:val="single" w:sz="6" w:space="0" w:color="F5F5F5"/>
                                              </w:divBdr>
                                              <w:divsChild>
                                                <w:div w:id="1497067194">
                                                  <w:marLeft w:val="0"/>
                                                  <w:marRight w:val="0"/>
                                                  <w:marTop w:val="0"/>
                                                  <w:marBottom w:val="0"/>
                                                  <w:divBdr>
                                                    <w:top w:val="none" w:sz="0" w:space="0" w:color="auto"/>
                                                    <w:left w:val="none" w:sz="0" w:space="0" w:color="auto"/>
                                                    <w:bottom w:val="none" w:sz="0" w:space="0" w:color="auto"/>
                                                    <w:right w:val="none" w:sz="0" w:space="0" w:color="auto"/>
                                                  </w:divBdr>
                                                  <w:divsChild>
                                                    <w:div w:id="863322332">
                                                      <w:marLeft w:val="0"/>
                                                      <w:marRight w:val="0"/>
                                                      <w:marTop w:val="0"/>
                                                      <w:marBottom w:val="0"/>
                                                      <w:divBdr>
                                                        <w:top w:val="none" w:sz="0" w:space="0" w:color="auto"/>
                                                        <w:left w:val="none" w:sz="0" w:space="0" w:color="auto"/>
                                                        <w:bottom w:val="none" w:sz="0" w:space="0" w:color="auto"/>
                                                        <w:right w:val="none" w:sz="0" w:space="0" w:color="auto"/>
                                                      </w:divBdr>
                                                    </w:div>
                                                  </w:divsChild>
                                                </w:div>
                                                <w:div w:id="763038679">
                                                  <w:marLeft w:val="0"/>
                                                  <w:marRight w:val="0"/>
                                                  <w:marTop w:val="0"/>
                                                  <w:marBottom w:val="0"/>
                                                  <w:divBdr>
                                                    <w:top w:val="none" w:sz="0" w:space="0" w:color="auto"/>
                                                    <w:left w:val="none" w:sz="0" w:space="0" w:color="auto"/>
                                                    <w:bottom w:val="none" w:sz="0" w:space="0" w:color="auto"/>
                                                    <w:right w:val="none" w:sz="0" w:space="0" w:color="auto"/>
                                                  </w:divBdr>
                                                  <w:divsChild>
                                                    <w:div w:id="19234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0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35A2E-B9BB-450E-87EE-A2841751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7740</Words>
  <Characters>44118</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Zentiva</Company>
  <LinksUpToDate>false</LinksUpToDate>
  <CharactersWithSpaces>51755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margita.hranaiova@sanofi.com</dc:creator>
  <cp:lastModifiedBy>Petriková, Miroslava</cp:lastModifiedBy>
  <cp:revision>6</cp:revision>
  <dcterms:created xsi:type="dcterms:W3CDTF">2016-01-19T12:28:00Z</dcterms:created>
  <dcterms:modified xsi:type="dcterms:W3CDTF">2016-02-15T09:46:00Z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-785658758</vt:i4>
  </property>
  <property fmtid="{D5CDD505-2E9C-101B-9397-08002B2CF9AE}" pid="4" name="_EmailSubject">
    <vt:lpwstr>UK/H/5857/001-003/DC - amlodipin/valsartan - Asbima</vt:lpwstr>
  </property>
  <property fmtid="{D5CDD505-2E9C-101B-9397-08002B2CF9AE}" pid="5" name="_AuthorEmail">
    <vt:lpwstr>margita.hranaiova@sanofi.com</vt:lpwstr>
  </property>
  <property fmtid="{D5CDD505-2E9C-101B-9397-08002B2CF9AE}" pid="6" name="_AuthorEmailDisplayName">
    <vt:lpwstr>Hranaiova, Margita PH/SK</vt:lpwstr>
  </property>
  <property fmtid="{D5CDD505-2E9C-101B-9397-08002B2CF9AE}" pid="7" name="_PreviousAdHocReviewCycleID">
    <vt:i4>1538079734</vt:i4>
  </property>
  <property fmtid="{D5CDD505-2E9C-101B-9397-08002B2CF9AE}" pid="8" name="_ReviewingToolsShownOnce">
    <vt:lpwstr/>
  </property>
</Properties>
</file>