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D7405" w14:textId="77777777" w:rsidR="001F4901" w:rsidRPr="006B6885" w:rsidRDefault="0040184E" w:rsidP="0040184E">
      <w:pPr>
        <w:jc w:val="center"/>
      </w:pPr>
      <w:r w:rsidRPr="006B6885">
        <w:rPr>
          <w:b/>
        </w:rPr>
        <w:t>SÚHRN CHARAKTERISTICKÝCH VLASTNOSTÍ LIEKU</w:t>
      </w:r>
    </w:p>
    <w:p w14:paraId="1C18C899" w14:textId="77777777" w:rsidR="001F4901" w:rsidRPr="006B6885" w:rsidRDefault="001F4901" w:rsidP="0040184E"/>
    <w:p w14:paraId="7DD454D1" w14:textId="77777777" w:rsidR="0040184E" w:rsidRPr="006B6885" w:rsidRDefault="0040184E" w:rsidP="0040184E"/>
    <w:p w14:paraId="55C6E1D1" w14:textId="77777777" w:rsidR="001F4901" w:rsidRPr="006B6885" w:rsidRDefault="001F4901" w:rsidP="001E0E5C">
      <w:pPr>
        <w:keepNext/>
        <w:suppressAutoHyphens/>
        <w:ind w:left="567" w:hanging="567"/>
      </w:pPr>
      <w:r w:rsidRPr="006B6885">
        <w:rPr>
          <w:b/>
        </w:rPr>
        <w:t>1.</w:t>
      </w:r>
      <w:r w:rsidRPr="006B6885">
        <w:rPr>
          <w:b/>
        </w:rPr>
        <w:tab/>
      </w:r>
      <w:r w:rsidR="00B727B6" w:rsidRPr="006B6885">
        <w:rPr>
          <w:b/>
        </w:rPr>
        <w:t>NÁZOV LIEKU</w:t>
      </w:r>
    </w:p>
    <w:p w14:paraId="49D1ED8F" w14:textId="77777777" w:rsidR="001F4901" w:rsidRPr="006B6885" w:rsidRDefault="001F4901" w:rsidP="001E0E5C">
      <w:pPr>
        <w:keepNext/>
      </w:pPr>
    </w:p>
    <w:p w14:paraId="1593709A" w14:textId="023CA524" w:rsidR="001F4901" w:rsidRPr="006B6885" w:rsidRDefault="00F83C56">
      <w:pPr>
        <w:widowControl w:val="0"/>
      </w:pPr>
      <w:r w:rsidRPr="00531EC4">
        <w:rPr>
          <w:szCs w:val="22"/>
        </w:rPr>
        <w:t>PREMED</w:t>
      </w:r>
      <w:r w:rsidR="00A434B4">
        <w:rPr>
          <w:szCs w:val="22"/>
        </w:rPr>
        <w:t xml:space="preserve"> 150</w:t>
      </w:r>
      <w:r w:rsidR="00B727B6" w:rsidRPr="006B6885">
        <w:t> </w:t>
      </w:r>
      <w:r w:rsidR="00CF2AE0" w:rsidRPr="006B6885">
        <w:t>mg</w:t>
      </w:r>
    </w:p>
    <w:p w14:paraId="54537BC4" w14:textId="77777777" w:rsidR="003432D3" w:rsidRPr="00531EC4" w:rsidRDefault="003432D3">
      <w:pPr>
        <w:widowControl w:val="0"/>
        <w:rPr>
          <w:szCs w:val="22"/>
        </w:rPr>
      </w:pPr>
      <w:proofErr w:type="gramStart"/>
      <w:r w:rsidRPr="00531EC4">
        <w:rPr>
          <w:szCs w:val="22"/>
        </w:rPr>
        <w:t>tvrdé</w:t>
      </w:r>
      <w:proofErr w:type="gramEnd"/>
      <w:r w:rsidRPr="00531EC4">
        <w:rPr>
          <w:szCs w:val="22"/>
        </w:rPr>
        <w:t xml:space="preserve"> kapsuly</w:t>
      </w:r>
    </w:p>
    <w:p w14:paraId="21BFF468" w14:textId="77777777" w:rsidR="001F4901" w:rsidRPr="006B6885" w:rsidRDefault="001F4901"/>
    <w:p w14:paraId="5C100A54" w14:textId="77777777" w:rsidR="001F4901" w:rsidRPr="006B6885" w:rsidRDefault="001F4901"/>
    <w:p w14:paraId="6E691C78" w14:textId="77777777" w:rsidR="001F4901" w:rsidRPr="006B6885" w:rsidRDefault="001F4901" w:rsidP="001E0E5C">
      <w:pPr>
        <w:keepNext/>
        <w:suppressAutoHyphens/>
        <w:ind w:left="567" w:hanging="567"/>
      </w:pPr>
      <w:r w:rsidRPr="006B6885">
        <w:rPr>
          <w:b/>
        </w:rPr>
        <w:t>2.</w:t>
      </w:r>
      <w:r w:rsidRPr="006B6885">
        <w:rPr>
          <w:b/>
        </w:rPr>
        <w:tab/>
      </w:r>
      <w:r w:rsidR="00634C44" w:rsidRPr="006B6885">
        <w:rPr>
          <w:b/>
        </w:rPr>
        <w:t>KVALITATÍVNE A KVANTITATÍVNE ZLOŽENIE</w:t>
      </w:r>
    </w:p>
    <w:p w14:paraId="51760D45" w14:textId="77777777" w:rsidR="001F4901" w:rsidRPr="006B6885" w:rsidRDefault="001F4901" w:rsidP="001E0E5C">
      <w:pPr>
        <w:keepNext/>
      </w:pPr>
    </w:p>
    <w:p w14:paraId="38E7FCA3" w14:textId="6B9806B4" w:rsidR="001F4901" w:rsidRPr="006B6885" w:rsidRDefault="003432D3">
      <w:pPr>
        <w:widowControl w:val="0"/>
      </w:pPr>
      <w:r w:rsidRPr="006511C1">
        <w:t>Jedna</w:t>
      </w:r>
      <w:r w:rsidRPr="006B6885">
        <w:t xml:space="preserve"> </w:t>
      </w:r>
      <w:r w:rsidR="006E1361" w:rsidRPr="006B6885">
        <w:t xml:space="preserve">tvrdá kapsula obsahuje </w:t>
      </w:r>
      <w:r w:rsidR="004B1AA8">
        <w:rPr>
          <w:lang w:val="sk-SK"/>
        </w:rPr>
        <w:t>1</w:t>
      </w:r>
      <w:r w:rsidR="006E1361">
        <w:rPr>
          <w:lang w:val="sk-SK"/>
        </w:rPr>
        <w:t>5</w:t>
      </w:r>
      <w:r w:rsidR="004B1AA8">
        <w:rPr>
          <w:lang w:val="sk-SK"/>
        </w:rPr>
        <w:t>0</w:t>
      </w:r>
      <w:r w:rsidR="006E1361" w:rsidRPr="00A434B4">
        <w:rPr>
          <w:lang w:val="sk-SK"/>
        </w:rPr>
        <w:t> </w:t>
      </w:r>
      <w:r w:rsidR="006E1361" w:rsidRPr="006B6885">
        <w:t>mg pregabalínu</w:t>
      </w:r>
      <w:r w:rsidR="00634C44" w:rsidRPr="006B6885">
        <w:t>.</w:t>
      </w:r>
    </w:p>
    <w:p w14:paraId="36D3DA9F" w14:textId="77777777" w:rsidR="00CF2AE0" w:rsidRPr="006B6885" w:rsidRDefault="00CF2AE0">
      <w:pPr>
        <w:outlineLvl w:val="0"/>
      </w:pPr>
    </w:p>
    <w:p w14:paraId="7876E4B1" w14:textId="77777777" w:rsidR="001F4901" w:rsidRPr="006B6885" w:rsidRDefault="00634C44">
      <w:pPr>
        <w:outlineLvl w:val="0"/>
      </w:pPr>
      <w:r w:rsidRPr="006B6885">
        <w:t>Úplný zoznam pomocných látok, pozri časť 6.1.</w:t>
      </w:r>
    </w:p>
    <w:p w14:paraId="04305FD4" w14:textId="77777777" w:rsidR="001F4901" w:rsidRPr="006B6885" w:rsidRDefault="001F4901"/>
    <w:p w14:paraId="4ED8EF5A" w14:textId="77777777" w:rsidR="001F4901" w:rsidRPr="006B6885" w:rsidRDefault="001F4901"/>
    <w:p w14:paraId="73633765" w14:textId="77777777" w:rsidR="001F4901" w:rsidRPr="006B6885" w:rsidRDefault="001F4901" w:rsidP="001E0E5C">
      <w:pPr>
        <w:keepNext/>
        <w:suppressAutoHyphens/>
        <w:ind w:left="567" w:hanging="567"/>
        <w:rPr>
          <w:caps/>
        </w:rPr>
      </w:pPr>
      <w:r w:rsidRPr="006B6885">
        <w:rPr>
          <w:b/>
        </w:rPr>
        <w:t>3.</w:t>
      </w:r>
      <w:r w:rsidRPr="006B6885">
        <w:rPr>
          <w:b/>
        </w:rPr>
        <w:tab/>
      </w:r>
      <w:r w:rsidR="008F202D" w:rsidRPr="006B6885">
        <w:rPr>
          <w:b/>
        </w:rPr>
        <w:t>LIEKOVÁ FORMA</w:t>
      </w:r>
    </w:p>
    <w:p w14:paraId="40510684" w14:textId="77777777" w:rsidR="001F4901" w:rsidRPr="006B6885" w:rsidRDefault="001F4901" w:rsidP="001E0E5C">
      <w:pPr>
        <w:keepNext/>
      </w:pPr>
    </w:p>
    <w:p w14:paraId="7F73D449" w14:textId="77777777" w:rsidR="001F4901" w:rsidRPr="006B6885" w:rsidRDefault="006E1361">
      <w:pPr>
        <w:rPr>
          <w:rFonts w:eastAsia="Dotum"/>
        </w:rPr>
      </w:pPr>
      <w:r w:rsidRPr="006B6885">
        <w:rPr>
          <w:rFonts w:eastAsia="Dotum"/>
        </w:rPr>
        <w:t>Tvrdá kapsula.</w:t>
      </w:r>
    </w:p>
    <w:p w14:paraId="19A3E8A9" w14:textId="77777777" w:rsidR="00CF2AE0" w:rsidRPr="006B6885" w:rsidRDefault="00CF2AE0">
      <w:pPr>
        <w:rPr>
          <w:rFonts w:eastAsia="Dotum"/>
        </w:rPr>
      </w:pPr>
    </w:p>
    <w:p w14:paraId="402163B3" w14:textId="104A7712" w:rsidR="001F4901" w:rsidRPr="00A434B4" w:rsidRDefault="004B1AA8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1</w:t>
      </w:r>
      <w:r w:rsidR="006E1361">
        <w:rPr>
          <w:lang w:val="sk-SK"/>
        </w:rPr>
        <w:t>5</w:t>
      </w:r>
      <w:r>
        <w:rPr>
          <w:lang w:val="sk-SK"/>
        </w:rPr>
        <w:t>0</w:t>
      </w:r>
      <w:r w:rsidR="006E1361">
        <w:rPr>
          <w:lang w:val="sk-SK"/>
        </w:rPr>
        <w:t>-</w:t>
      </w:r>
      <w:r w:rsidR="00261192" w:rsidRPr="00A434B4">
        <w:rPr>
          <w:lang w:val="sk-SK"/>
        </w:rPr>
        <w:t xml:space="preserve">mg kapsula je </w:t>
      </w:r>
      <w:r>
        <w:rPr>
          <w:lang w:val="sk-SK"/>
        </w:rPr>
        <w:t>biela</w:t>
      </w:r>
      <w:r w:rsidR="006E1361" w:rsidRPr="00A434B4">
        <w:rPr>
          <w:lang w:val="sk-SK"/>
        </w:rPr>
        <w:t xml:space="preserve"> kapsula veľkosti </w:t>
      </w:r>
      <w:r>
        <w:rPr>
          <w:lang w:val="sk-SK"/>
        </w:rPr>
        <w:t>2 (17,8</w:t>
      </w:r>
      <w:r w:rsidR="006E1361" w:rsidRPr="00A434B4">
        <w:rPr>
          <w:lang w:val="sk-SK"/>
        </w:rPr>
        <w:t xml:space="preserve"> ± 0,4 mm), </w:t>
      </w:r>
      <w:r w:rsidR="00E43583" w:rsidRPr="00A434B4">
        <w:rPr>
          <w:lang w:val="sk-SK"/>
        </w:rPr>
        <w:t xml:space="preserve">označená </w:t>
      </w:r>
      <w:r w:rsidR="006E1361" w:rsidRPr="00A434B4">
        <w:rPr>
          <w:lang w:val="sk-SK"/>
        </w:rPr>
        <w:t xml:space="preserve">„PGB </w:t>
      </w:r>
      <w:r>
        <w:rPr>
          <w:lang w:val="sk-SK"/>
        </w:rPr>
        <w:t>1</w:t>
      </w:r>
      <w:r w:rsidR="006E1361">
        <w:rPr>
          <w:lang w:val="sk-SK"/>
        </w:rPr>
        <w:t>5</w:t>
      </w:r>
      <w:r>
        <w:rPr>
          <w:lang w:val="sk-SK"/>
        </w:rPr>
        <w:t>0</w:t>
      </w:r>
      <w:r w:rsidR="006E1361" w:rsidRPr="00A434B4">
        <w:rPr>
          <w:lang w:val="sk-SK"/>
        </w:rPr>
        <w:t>“</w:t>
      </w:r>
      <w:r w:rsidR="001B5CCC" w:rsidRPr="00A434B4">
        <w:rPr>
          <w:lang w:val="sk-SK"/>
        </w:rPr>
        <w:t xml:space="preserve"> čiernym atramentom</w:t>
      </w:r>
      <w:r w:rsidR="006E1361" w:rsidRPr="00A434B4">
        <w:rPr>
          <w:lang w:val="sk-SK"/>
        </w:rPr>
        <w:t xml:space="preserve"> na tele kapsuly.</w:t>
      </w:r>
    </w:p>
    <w:p w14:paraId="5BFAAEBB" w14:textId="77777777" w:rsidR="001F4901" w:rsidRPr="006B6885" w:rsidRDefault="001F4901"/>
    <w:p w14:paraId="3B0E1A92" w14:textId="77777777" w:rsidR="001F4901" w:rsidRPr="006B6885" w:rsidRDefault="001F4901"/>
    <w:p w14:paraId="271E1654" w14:textId="77777777" w:rsidR="001F4901" w:rsidRPr="006B6885" w:rsidRDefault="001F4901" w:rsidP="001E0E5C">
      <w:pPr>
        <w:keepNext/>
        <w:suppressAutoHyphens/>
        <w:ind w:left="567" w:hanging="567"/>
        <w:rPr>
          <w:caps/>
        </w:rPr>
      </w:pPr>
      <w:r w:rsidRPr="006B6885">
        <w:rPr>
          <w:b/>
          <w:caps/>
        </w:rPr>
        <w:t>4.</w:t>
      </w:r>
      <w:r w:rsidRPr="006B6885">
        <w:rPr>
          <w:b/>
          <w:caps/>
        </w:rPr>
        <w:tab/>
      </w:r>
      <w:r w:rsidR="00F544A9" w:rsidRPr="006B6885">
        <w:rPr>
          <w:b/>
        </w:rPr>
        <w:t>KLINICKÉ ÚDAJE</w:t>
      </w:r>
    </w:p>
    <w:p w14:paraId="484B4C56" w14:textId="77777777" w:rsidR="001F4901" w:rsidRPr="006B6885" w:rsidRDefault="001F4901" w:rsidP="001E0E5C">
      <w:pPr>
        <w:keepNext/>
      </w:pPr>
    </w:p>
    <w:p w14:paraId="0BBC6573" w14:textId="77777777" w:rsidR="001F4901" w:rsidRPr="006B6885" w:rsidRDefault="001F4901" w:rsidP="001E0E5C">
      <w:pPr>
        <w:keepNext/>
        <w:ind w:left="567" w:hanging="567"/>
        <w:outlineLvl w:val="0"/>
      </w:pPr>
      <w:r w:rsidRPr="006B6885">
        <w:rPr>
          <w:b/>
        </w:rPr>
        <w:t>4.1</w:t>
      </w:r>
      <w:r w:rsidRPr="006B6885">
        <w:rPr>
          <w:b/>
        </w:rPr>
        <w:tab/>
      </w:r>
      <w:r w:rsidR="00F544A9" w:rsidRPr="006B6885">
        <w:rPr>
          <w:b/>
        </w:rPr>
        <w:t>Terapeutické indikácie</w:t>
      </w:r>
    </w:p>
    <w:p w14:paraId="558C96F6" w14:textId="77777777" w:rsidR="001F4901" w:rsidRPr="006B6885" w:rsidRDefault="001F4901" w:rsidP="001E0E5C">
      <w:pPr>
        <w:keepNext/>
      </w:pPr>
    </w:p>
    <w:p w14:paraId="0D883F53" w14:textId="77777777" w:rsidR="00377A6C" w:rsidRPr="006B6885" w:rsidRDefault="00377A6C" w:rsidP="00D33388">
      <w:pPr>
        <w:keepNext/>
        <w:rPr>
          <w:i/>
          <w:spacing w:val="-1"/>
        </w:rPr>
      </w:pPr>
      <w:r w:rsidRPr="006B6885">
        <w:rPr>
          <w:i/>
          <w:spacing w:val="-1"/>
        </w:rPr>
        <w:t>Neuropatická bolesť</w:t>
      </w:r>
    </w:p>
    <w:p w14:paraId="3EF21278" w14:textId="4246232D" w:rsidR="00377A6C" w:rsidRPr="006B6885" w:rsidRDefault="00F83C56" w:rsidP="00377A6C">
      <w:pPr>
        <w:rPr>
          <w:spacing w:val="-1"/>
        </w:rPr>
      </w:pPr>
      <w:r w:rsidRPr="006511C1">
        <w:rPr>
          <w:spacing w:val="-1"/>
        </w:rPr>
        <w:t>PREMED</w:t>
      </w:r>
      <w:r w:rsidR="00377A6C" w:rsidRPr="006B6885">
        <w:rPr>
          <w:spacing w:val="-1"/>
        </w:rPr>
        <w:t xml:space="preserve"> je indikovaný </w:t>
      </w:r>
      <w:proofErr w:type="gramStart"/>
      <w:r w:rsidR="00377A6C" w:rsidRPr="006B6885">
        <w:rPr>
          <w:spacing w:val="-1"/>
        </w:rPr>
        <w:t>na</w:t>
      </w:r>
      <w:proofErr w:type="gramEnd"/>
      <w:r w:rsidR="00377A6C" w:rsidRPr="006B6885">
        <w:rPr>
          <w:spacing w:val="-1"/>
        </w:rPr>
        <w:t xml:space="preserve"> liečbu periférnej a centrálnej neuropatickej bolesti u dospelých.</w:t>
      </w:r>
    </w:p>
    <w:p w14:paraId="67BB4BB9" w14:textId="77777777" w:rsidR="00377A6C" w:rsidRPr="006B6885" w:rsidRDefault="00377A6C" w:rsidP="00377A6C">
      <w:pPr>
        <w:rPr>
          <w:spacing w:val="-1"/>
        </w:rPr>
      </w:pPr>
    </w:p>
    <w:p w14:paraId="1754F903" w14:textId="77777777" w:rsidR="00377A6C" w:rsidRPr="006B6885" w:rsidRDefault="00377A6C" w:rsidP="00D33388">
      <w:pPr>
        <w:keepNext/>
        <w:rPr>
          <w:i/>
          <w:spacing w:val="-1"/>
        </w:rPr>
      </w:pPr>
      <w:r w:rsidRPr="006B6885">
        <w:rPr>
          <w:i/>
          <w:spacing w:val="-1"/>
        </w:rPr>
        <w:t>Epilepsia</w:t>
      </w:r>
    </w:p>
    <w:p w14:paraId="31E1A4C8" w14:textId="5EAF0511" w:rsidR="00377A6C" w:rsidRPr="006B6885" w:rsidRDefault="00F83C56" w:rsidP="00377A6C">
      <w:pPr>
        <w:rPr>
          <w:spacing w:val="-1"/>
        </w:rPr>
      </w:pPr>
      <w:r w:rsidRPr="006511C1">
        <w:rPr>
          <w:spacing w:val="-1"/>
        </w:rPr>
        <w:t>PREMED</w:t>
      </w:r>
      <w:r w:rsidR="00975FA0" w:rsidRPr="006B6885">
        <w:rPr>
          <w:spacing w:val="-1"/>
        </w:rPr>
        <w:t xml:space="preserve"> je indikovaný</w:t>
      </w:r>
      <w:r w:rsidR="00377A6C" w:rsidRPr="006B6885">
        <w:rPr>
          <w:spacing w:val="-1"/>
        </w:rPr>
        <w:t xml:space="preserve"> ako prídavná liečba u</w:t>
      </w:r>
      <w:r w:rsidRPr="006511C1">
        <w:rPr>
          <w:spacing w:val="-1"/>
        </w:rPr>
        <w:t> </w:t>
      </w:r>
      <w:r w:rsidR="00377A6C" w:rsidRPr="006B6885">
        <w:rPr>
          <w:spacing w:val="-1"/>
        </w:rPr>
        <w:t>dospelých s</w:t>
      </w:r>
      <w:r w:rsidRPr="006511C1">
        <w:rPr>
          <w:spacing w:val="-1"/>
        </w:rPr>
        <w:t> </w:t>
      </w:r>
      <w:r w:rsidR="00377A6C" w:rsidRPr="006B6885">
        <w:rPr>
          <w:spacing w:val="-1"/>
        </w:rPr>
        <w:t xml:space="preserve">parciálnymi záchvatmi </w:t>
      </w:r>
      <w:r w:rsidR="00377A6C" w:rsidRPr="006511C1">
        <w:rPr>
          <w:spacing w:val="-1"/>
        </w:rPr>
        <w:t>s</w:t>
      </w:r>
      <w:r w:rsidR="003432D3" w:rsidRPr="006511C1">
        <w:rPr>
          <w:spacing w:val="-1"/>
        </w:rPr>
        <w:t>o</w:t>
      </w:r>
      <w:r w:rsidR="00377A6C" w:rsidRPr="006511C1">
        <w:rPr>
          <w:spacing w:val="-1"/>
        </w:rPr>
        <w:t xml:space="preserve"> </w:t>
      </w:r>
      <w:r w:rsidR="003432D3" w:rsidRPr="006511C1">
        <w:rPr>
          <w:spacing w:val="-1"/>
        </w:rPr>
        <w:t xml:space="preserve">sekundárnou </w:t>
      </w:r>
      <w:proofErr w:type="gramStart"/>
      <w:r w:rsidR="003432D3" w:rsidRPr="006511C1">
        <w:rPr>
          <w:spacing w:val="-1"/>
        </w:rPr>
        <w:t>generalizáciou</w:t>
      </w:r>
      <w:proofErr w:type="gramEnd"/>
      <w:r w:rsidR="003432D3" w:rsidRPr="006B6885">
        <w:rPr>
          <w:spacing w:val="-1"/>
        </w:rPr>
        <w:t xml:space="preserve"> </w:t>
      </w:r>
      <w:r w:rsidR="00377A6C" w:rsidRPr="006B6885">
        <w:rPr>
          <w:spacing w:val="-1"/>
        </w:rPr>
        <w:t>alebo bez sekundárnej generalizácie.</w:t>
      </w:r>
    </w:p>
    <w:p w14:paraId="387B6B71" w14:textId="77777777" w:rsidR="00377A6C" w:rsidRPr="006B6885" w:rsidRDefault="00377A6C" w:rsidP="00377A6C">
      <w:pPr>
        <w:rPr>
          <w:spacing w:val="-1"/>
        </w:rPr>
      </w:pPr>
    </w:p>
    <w:p w14:paraId="71D59F45" w14:textId="77777777" w:rsidR="00377A6C" w:rsidRPr="006B6885" w:rsidRDefault="00377A6C" w:rsidP="00D33388">
      <w:pPr>
        <w:keepNext/>
        <w:rPr>
          <w:i/>
          <w:spacing w:val="-1"/>
        </w:rPr>
      </w:pPr>
      <w:r w:rsidRPr="006B6885">
        <w:rPr>
          <w:i/>
          <w:spacing w:val="-1"/>
        </w:rPr>
        <w:t>Generalizovaná úzkostná porucha</w:t>
      </w:r>
    </w:p>
    <w:p w14:paraId="2B4C1660" w14:textId="0344165A" w:rsidR="001F4901" w:rsidRPr="006B6885" w:rsidRDefault="00F83C56" w:rsidP="00377A6C">
      <w:pPr>
        <w:rPr>
          <w:spacing w:val="-1"/>
        </w:rPr>
      </w:pPr>
      <w:r w:rsidRPr="006511C1">
        <w:rPr>
          <w:spacing w:val="-1"/>
        </w:rPr>
        <w:t>PREMED</w:t>
      </w:r>
      <w:r w:rsidR="00975FA0" w:rsidRPr="006B6885">
        <w:rPr>
          <w:spacing w:val="-1"/>
        </w:rPr>
        <w:t xml:space="preserve"> je indikovaný</w:t>
      </w:r>
      <w:r w:rsidR="00377A6C" w:rsidRPr="006B6885">
        <w:rPr>
          <w:spacing w:val="-1"/>
        </w:rPr>
        <w:t xml:space="preserve"> </w:t>
      </w:r>
      <w:proofErr w:type="gramStart"/>
      <w:r w:rsidR="00377A6C" w:rsidRPr="006B6885">
        <w:rPr>
          <w:spacing w:val="-1"/>
        </w:rPr>
        <w:t>na</w:t>
      </w:r>
      <w:proofErr w:type="gramEnd"/>
      <w:r w:rsidR="00377A6C" w:rsidRPr="006B6885">
        <w:rPr>
          <w:spacing w:val="-1"/>
        </w:rPr>
        <w:t xml:space="preserve"> liečbu generali</w:t>
      </w:r>
      <w:r w:rsidR="00975FA0" w:rsidRPr="006B6885">
        <w:rPr>
          <w:spacing w:val="-1"/>
        </w:rPr>
        <w:t xml:space="preserve">zovanej úzkostnej poruchy (Generalised Anxiety </w:t>
      </w:r>
      <w:r w:rsidR="00377A6C" w:rsidRPr="006B6885">
        <w:rPr>
          <w:spacing w:val="-1"/>
        </w:rPr>
        <w:t>Disorder</w:t>
      </w:r>
      <w:r w:rsidR="00975FA0" w:rsidRPr="006B6885">
        <w:rPr>
          <w:spacing w:val="-1"/>
        </w:rPr>
        <w:t>, GAD</w:t>
      </w:r>
      <w:r w:rsidR="00377A6C" w:rsidRPr="006B6885">
        <w:rPr>
          <w:spacing w:val="-1"/>
        </w:rPr>
        <w:t>) u</w:t>
      </w:r>
      <w:r w:rsidRPr="006511C1">
        <w:rPr>
          <w:spacing w:val="-1"/>
        </w:rPr>
        <w:t> </w:t>
      </w:r>
      <w:r w:rsidR="00377A6C" w:rsidRPr="006B6885">
        <w:rPr>
          <w:spacing w:val="-1"/>
        </w:rPr>
        <w:t>dospelých.</w:t>
      </w:r>
    </w:p>
    <w:p w14:paraId="2103218A" w14:textId="77777777" w:rsidR="00377A6C" w:rsidRPr="006B6885" w:rsidRDefault="00377A6C" w:rsidP="00377A6C"/>
    <w:p w14:paraId="102A7B9C" w14:textId="77777777" w:rsidR="001F4901" w:rsidRPr="006B6885" w:rsidRDefault="001F4901" w:rsidP="001E0E5C">
      <w:pPr>
        <w:keepNext/>
        <w:spacing w:line="240" w:lineRule="auto"/>
        <w:outlineLvl w:val="0"/>
        <w:rPr>
          <w:b/>
        </w:rPr>
      </w:pPr>
      <w:r w:rsidRPr="006B6885">
        <w:rPr>
          <w:b/>
        </w:rPr>
        <w:t>4.2</w:t>
      </w:r>
      <w:r w:rsidRPr="006B6885">
        <w:rPr>
          <w:b/>
        </w:rPr>
        <w:tab/>
      </w:r>
      <w:r w:rsidR="004A2FAC" w:rsidRPr="006B6885">
        <w:rPr>
          <w:b/>
        </w:rPr>
        <w:t>Dávkovanie a spôsob podávania</w:t>
      </w:r>
    </w:p>
    <w:p w14:paraId="48D4C64B" w14:textId="77777777" w:rsidR="001F4901" w:rsidRPr="006B6885" w:rsidRDefault="001F4901" w:rsidP="001E0E5C">
      <w:pPr>
        <w:keepNext/>
        <w:rPr>
          <w:u w:val="single"/>
        </w:rPr>
      </w:pPr>
    </w:p>
    <w:p w14:paraId="25C8150C" w14:textId="77777777" w:rsidR="00001F34" w:rsidRPr="006B6885" w:rsidRDefault="00001F34" w:rsidP="001014EC">
      <w:pPr>
        <w:keepNext/>
        <w:rPr>
          <w:u w:val="single"/>
        </w:rPr>
      </w:pPr>
      <w:r w:rsidRPr="006B6885">
        <w:rPr>
          <w:u w:val="single"/>
        </w:rPr>
        <w:t>Dávkovanie</w:t>
      </w:r>
    </w:p>
    <w:p w14:paraId="07DC331F" w14:textId="77777777" w:rsidR="00463FDD" w:rsidRPr="006B6885" w:rsidRDefault="00463FDD"/>
    <w:p w14:paraId="25A1E3DC" w14:textId="77777777" w:rsidR="001B5CCC" w:rsidRPr="006B6885" w:rsidRDefault="001B5CCC" w:rsidP="001B5CCC">
      <w:pPr>
        <w:tabs>
          <w:tab w:val="clear" w:pos="567"/>
        </w:tabs>
      </w:pPr>
      <w:r w:rsidRPr="006B6885">
        <w:t>Rozsah dávkovania je 150 až 600 </w:t>
      </w:r>
      <w:r w:rsidR="00844353" w:rsidRPr="006B6885">
        <w:t>mg denne, rozdele</w:t>
      </w:r>
      <w:r w:rsidRPr="006B6885">
        <w:t>ných buď</w:t>
      </w:r>
      <w:r w:rsidR="00844353" w:rsidRPr="006B6885">
        <w:t xml:space="preserve"> do</w:t>
      </w:r>
      <w:r w:rsidRPr="006B6885">
        <w:t xml:space="preserve"> </w:t>
      </w:r>
      <w:r w:rsidR="00844353" w:rsidRPr="006B6885">
        <w:t>dvoch alebo troch dávok</w:t>
      </w:r>
      <w:r w:rsidRPr="006B6885">
        <w:t>.</w:t>
      </w:r>
    </w:p>
    <w:p w14:paraId="4EAF4038" w14:textId="77777777" w:rsidR="001B5CCC" w:rsidRPr="006B6885" w:rsidRDefault="001B5CCC" w:rsidP="001B5CCC">
      <w:pPr>
        <w:tabs>
          <w:tab w:val="clear" w:pos="567"/>
        </w:tabs>
      </w:pPr>
    </w:p>
    <w:p w14:paraId="343F8142" w14:textId="77777777" w:rsidR="001B5CCC" w:rsidRPr="006B6885" w:rsidRDefault="001B5CCC" w:rsidP="008D11D3">
      <w:pPr>
        <w:keepNext/>
        <w:tabs>
          <w:tab w:val="clear" w:pos="567"/>
        </w:tabs>
        <w:rPr>
          <w:i/>
        </w:rPr>
      </w:pPr>
      <w:r w:rsidRPr="006B6885">
        <w:rPr>
          <w:i/>
        </w:rPr>
        <w:t>Neuropatická bolesť</w:t>
      </w:r>
    </w:p>
    <w:p w14:paraId="034E7D73" w14:textId="14BDA76C" w:rsidR="001B5CCC" w:rsidRPr="006B6885" w:rsidRDefault="001B5CCC" w:rsidP="001B5CCC">
      <w:pPr>
        <w:tabs>
          <w:tab w:val="clear" w:pos="567"/>
        </w:tabs>
      </w:pPr>
      <w:r w:rsidRPr="006B6885">
        <w:t>Liečbu pregabalínom možno začať dávkou 150</w:t>
      </w:r>
      <w:r w:rsidR="008D11D3" w:rsidRPr="006B6885">
        <w:t> </w:t>
      </w:r>
      <w:r w:rsidRPr="006B6885">
        <w:t xml:space="preserve">mg denne, ktorá </w:t>
      </w:r>
      <w:proofErr w:type="gramStart"/>
      <w:r w:rsidRPr="006B6885">
        <w:t>sa</w:t>
      </w:r>
      <w:proofErr w:type="gramEnd"/>
      <w:r w:rsidRPr="006B6885">
        <w:t xml:space="preserve"> podáva </w:t>
      </w:r>
      <w:r w:rsidR="008D11D3" w:rsidRPr="006B6885">
        <w:t>rozdelená do</w:t>
      </w:r>
      <w:r w:rsidRPr="006B6885">
        <w:t xml:space="preserve"> </w:t>
      </w:r>
      <w:r w:rsidR="008D11D3" w:rsidRPr="006B6885">
        <w:t>dvoch alebo troch dávok</w:t>
      </w:r>
      <w:r w:rsidRPr="006B6885">
        <w:t>. Podľa individuálnej odpovede pacienta a</w:t>
      </w:r>
      <w:r w:rsidR="00F83C56" w:rsidRPr="006511C1">
        <w:t> </w:t>
      </w:r>
      <w:r w:rsidR="008D11D3" w:rsidRPr="006B6885">
        <w:t>znášanlivosti</w:t>
      </w:r>
      <w:r w:rsidRPr="006B6885">
        <w:t xml:space="preserve"> možno dávku po</w:t>
      </w:r>
      <w:r w:rsidR="008D11D3" w:rsidRPr="006B6885">
        <w:t xml:space="preserve"> intervale</w:t>
      </w:r>
      <w:r w:rsidRPr="006B6885">
        <w:t xml:space="preserve"> 3 až 7</w:t>
      </w:r>
      <w:r w:rsidR="008D11D3" w:rsidRPr="006B6885">
        <w:t xml:space="preserve"> dní</w:t>
      </w:r>
      <w:r w:rsidRPr="006B6885">
        <w:t xml:space="preserve"> zvýšiť na 300</w:t>
      </w:r>
      <w:r w:rsidR="008D11D3" w:rsidRPr="006B6885">
        <w:t> </w:t>
      </w:r>
      <w:r w:rsidRPr="006B6885">
        <w:t>mg denne a</w:t>
      </w:r>
      <w:r w:rsidR="00F83C56" w:rsidRPr="006511C1">
        <w:t> </w:t>
      </w:r>
      <w:r w:rsidRPr="006B6885">
        <w:t>ak je to potrebné, až na maximálnu dávku 600</w:t>
      </w:r>
      <w:r w:rsidR="008D11D3" w:rsidRPr="006B6885">
        <w:t> </w:t>
      </w:r>
      <w:r w:rsidRPr="006B6885">
        <w:t>mg denne po ďalšom 7</w:t>
      </w:r>
      <w:r w:rsidR="008D11D3" w:rsidRPr="006B6885">
        <w:noBreakHyphen/>
      </w:r>
      <w:r w:rsidRPr="006B6885">
        <w:t>dňovom intervale.</w:t>
      </w:r>
    </w:p>
    <w:p w14:paraId="752F484A" w14:textId="77777777" w:rsidR="001B5CCC" w:rsidRPr="006B6885" w:rsidRDefault="001B5CCC" w:rsidP="001B5CCC">
      <w:pPr>
        <w:tabs>
          <w:tab w:val="clear" w:pos="567"/>
        </w:tabs>
      </w:pPr>
    </w:p>
    <w:p w14:paraId="31F542D6" w14:textId="77777777" w:rsidR="001B5CCC" w:rsidRPr="006B6885" w:rsidRDefault="001B5CCC" w:rsidP="008D11D3">
      <w:pPr>
        <w:keepNext/>
        <w:tabs>
          <w:tab w:val="clear" w:pos="567"/>
        </w:tabs>
        <w:rPr>
          <w:i/>
        </w:rPr>
      </w:pPr>
      <w:r w:rsidRPr="006B6885">
        <w:rPr>
          <w:i/>
        </w:rPr>
        <w:t>Epilepsia</w:t>
      </w:r>
    </w:p>
    <w:p w14:paraId="2911D134" w14:textId="4ACC8EFC" w:rsidR="001B5CCC" w:rsidRPr="006B6885" w:rsidRDefault="001B5CCC" w:rsidP="001B5CCC">
      <w:pPr>
        <w:tabs>
          <w:tab w:val="clear" w:pos="567"/>
        </w:tabs>
      </w:pPr>
      <w:r w:rsidRPr="006B6885">
        <w:t>Liečbu pregabalínom možno začať dávkou 150</w:t>
      </w:r>
      <w:r w:rsidR="008D11D3" w:rsidRPr="006B6885">
        <w:t> </w:t>
      </w:r>
      <w:r w:rsidRPr="006B6885">
        <w:t>mg denn</w:t>
      </w:r>
      <w:r w:rsidR="008D11D3" w:rsidRPr="006B6885">
        <w:t xml:space="preserve">e, ktorá </w:t>
      </w:r>
      <w:proofErr w:type="gramStart"/>
      <w:r w:rsidR="008D11D3" w:rsidRPr="006B6885">
        <w:t>sa</w:t>
      </w:r>
      <w:proofErr w:type="gramEnd"/>
      <w:r w:rsidR="008D11D3" w:rsidRPr="006B6885">
        <w:t xml:space="preserve"> podáva rozdelená do</w:t>
      </w:r>
      <w:r w:rsidRPr="006B6885">
        <w:t xml:space="preserve"> </w:t>
      </w:r>
      <w:r w:rsidR="008D11D3" w:rsidRPr="006B6885">
        <w:t>dvoch alebo troch dávok</w:t>
      </w:r>
      <w:r w:rsidRPr="006B6885">
        <w:t>. Podľa individuálnej odpovede pacienta a</w:t>
      </w:r>
      <w:r w:rsidR="00F83C56" w:rsidRPr="006511C1">
        <w:t> </w:t>
      </w:r>
      <w:r w:rsidR="008D11D3" w:rsidRPr="006B6885">
        <w:t>znášanlivosti</w:t>
      </w:r>
      <w:r w:rsidRPr="006B6885">
        <w:t xml:space="preserve"> možno dávku po 1 týždni zvýšiť </w:t>
      </w:r>
      <w:proofErr w:type="gramStart"/>
      <w:r w:rsidRPr="006B6885">
        <w:t>na</w:t>
      </w:r>
      <w:proofErr w:type="gramEnd"/>
      <w:r w:rsidR="008D11D3" w:rsidRPr="006B6885">
        <w:t xml:space="preserve"> </w:t>
      </w:r>
      <w:r w:rsidRPr="006B6885">
        <w:t>300</w:t>
      </w:r>
      <w:r w:rsidR="008D11D3" w:rsidRPr="006B6885">
        <w:t> </w:t>
      </w:r>
      <w:r w:rsidRPr="006B6885">
        <w:t>mg denne. Maximálnu dennú dávku 600</w:t>
      </w:r>
      <w:r w:rsidR="008D11D3" w:rsidRPr="006B6885">
        <w:t> </w:t>
      </w:r>
      <w:r w:rsidRPr="006B6885">
        <w:t>mg možno dosiahnuť po ďalšom týždni.</w:t>
      </w:r>
    </w:p>
    <w:p w14:paraId="2B9379FB" w14:textId="77777777" w:rsidR="001B5CCC" w:rsidRPr="006B6885" w:rsidRDefault="001B5CCC" w:rsidP="001B5CCC">
      <w:pPr>
        <w:tabs>
          <w:tab w:val="clear" w:pos="567"/>
        </w:tabs>
      </w:pPr>
    </w:p>
    <w:p w14:paraId="53BB4D9A" w14:textId="77777777" w:rsidR="001B5CCC" w:rsidRPr="006B6885" w:rsidRDefault="001B5CCC" w:rsidP="008D11D3">
      <w:pPr>
        <w:keepNext/>
        <w:tabs>
          <w:tab w:val="clear" w:pos="567"/>
        </w:tabs>
        <w:rPr>
          <w:i/>
        </w:rPr>
      </w:pPr>
      <w:r w:rsidRPr="006B6885">
        <w:rPr>
          <w:i/>
        </w:rPr>
        <w:t>Generalizovaná úzkostná porucha</w:t>
      </w:r>
    </w:p>
    <w:p w14:paraId="539CE85B" w14:textId="77777777" w:rsidR="001B5CCC" w:rsidRPr="006B6885" w:rsidRDefault="001B5CCC" w:rsidP="001B5CCC">
      <w:pPr>
        <w:tabs>
          <w:tab w:val="clear" w:pos="567"/>
        </w:tabs>
      </w:pPr>
      <w:r w:rsidRPr="006B6885">
        <w:t>Rozsah dávkovania je 150 až 600</w:t>
      </w:r>
      <w:r w:rsidR="008D11D3" w:rsidRPr="006B6885">
        <w:t> </w:t>
      </w:r>
      <w:r w:rsidR="00844353" w:rsidRPr="006B6885">
        <w:t>mg denne, rozdelených do</w:t>
      </w:r>
      <w:r w:rsidRPr="006B6885">
        <w:t xml:space="preserve"> </w:t>
      </w:r>
      <w:r w:rsidR="00844353" w:rsidRPr="006B6885">
        <w:t>dvoch alebo troch dávok</w:t>
      </w:r>
      <w:r w:rsidRPr="006B6885">
        <w:t xml:space="preserve">. Potreba liečby </w:t>
      </w:r>
      <w:proofErr w:type="gramStart"/>
      <w:r w:rsidRPr="006B6885">
        <w:t>sa</w:t>
      </w:r>
      <w:proofErr w:type="gramEnd"/>
      <w:r w:rsidRPr="006B6885">
        <w:t xml:space="preserve"> musí pravidelne opakovane posúdiť.</w:t>
      </w:r>
    </w:p>
    <w:p w14:paraId="458ADBFA" w14:textId="77777777" w:rsidR="001B5CCC" w:rsidRPr="006B6885" w:rsidRDefault="001B5CCC" w:rsidP="001B5CCC">
      <w:pPr>
        <w:tabs>
          <w:tab w:val="clear" w:pos="567"/>
        </w:tabs>
      </w:pPr>
    </w:p>
    <w:p w14:paraId="7B25D564" w14:textId="24962E98" w:rsidR="001B5CCC" w:rsidRPr="006B6885" w:rsidRDefault="001B5CCC" w:rsidP="001B5CCC">
      <w:pPr>
        <w:tabs>
          <w:tab w:val="clear" w:pos="567"/>
        </w:tabs>
      </w:pPr>
      <w:r w:rsidRPr="006B6885">
        <w:t>Liečbu pregabalínom možno začať dávkou 150</w:t>
      </w:r>
      <w:r w:rsidR="00844353" w:rsidRPr="006B6885">
        <w:t> </w:t>
      </w:r>
      <w:r w:rsidRPr="006B6885">
        <w:t>mg denne. Podľa individuálnej odpovede pacienta</w:t>
      </w:r>
      <w:r w:rsidR="00844353" w:rsidRPr="006B6885">
        <w:t xml:space="preserve"> </w:t>
      </w:r>
      <w:r w:rsidRPr="006B6885">
        <w:t>a</w:t>
      </w:r>
      <w:r w:rsidR="00F83C56" w:rsidRPr="006511C1">
        <w:t> </w:t>
      </w:r>
      <w:r w:rsidR="00844353" w:rsidRPr="006B6885">
        <w:t>znášanlivosti</w:t>
      </w:r>
      <w:r w:rsidRPr="006B6885">
        <w:t xml:space="preserve"> možno dávku po 1 týždni zvýšiť </w:t>
      </w:r>
      <w:proofErr w:type="gramStart"/>
      <w:r w:rsidRPr="006B6885">
        <w:t>na</w:t>
      </w:r>
      <w:proofErr w:type="gramEnd"/>
      <w:r w:rsidRPr="006B6885">
        <w:t xml:space="preserve"> 300</w:t>
      </w:r>
      <w:r w:rsidR="00844353" w:rsidRPr="006B6885">
        <w:t> </w:t>
      </w:r>
      <w:r w:rsidRPr="006B6885">
        <w:t xml:space="preserve">mg denne. Po ďalšom týždni možno dávku zvýšiť </w:t>
      </w:r>
      <w:proofErr w:type="gramStart"/>
      <w:r w:rsidRPr="006B6885">
        <w:t>na</w:t>
      </w:r>
      <w:proofErr w:type="gramEnd"/>
      <w:r w:rsidRPr="006B6885">
        <w:t xml:space="preserve"> 450</w:t>
      </w:r>
      <w:r w:rsidR="00844353" w:rsidRPr="006B6885">
        <w:t> </w:t>
      </w:r>
      <w:r w:rsidRPr="006B6885">
        <w:t>mg denne. Maximálnu dennú dávku 600</w:t>
      </w:r>
      <w:r w:rsidR="00844353" w:rsidRPr="006B6885">
        <w:t> </w:t>
      </w:r>
      <w:r w:rsidRPr="006B6885">
        <w:t>mg možno dosiahnuť po ďalšom týždni.</w:t>
      </w:r>
    </w:p>
    <w:p w14:paraId="757859C8" w14:textId="77777777" w:rsidR="001B5CCC" w:rsidRPr="006B6885" w:rsidRDefault="001B5CCC" w:rsidP="001B5CCC">
      <w:pPr>
        <w:tabs>
          <w:tab w:val="clear" w:pos="567"/>
        </w:tabs>
      </w:pPr>
    </w:p>
    <w:p w14:paraId="2519429F" w14:textId="77777777" w:rsidR="001B5CCC" w:rsidRPr="006B6885" w:rsidRDefault="001B5CCC" w:rsidP="00844353">
      <w:pPr>
        <w:keepNext/>
        <w:tabs>
          <w:tab w:val="clear" w:pos="567"/>
        </w:tabs>
        <w:rPr>
          <w:i/>
        </w:rPr>
      </w:pPr>
      <w:r w:rsidRPr="006B6885">
        <w:rPr>
          <w:i/>
        </w:rPr>
        <w:t>Prerušenie liečby pregabalínom</w:t>
      </w:r>
    </w:p>
    <w:p w14:paraId="551D9611" w14:textId="27F5839B" w:rsidR="001B5CCC" w:rsidRPr="006B6885" w:rsidRDefault="001B5CCC" w:rsidP="001B5CCC">
      <w:pPr>
        <w:tabs>
          <w:tab w:val="clear" w:pos="567"/>
        </w:tabs>
      </w:pPr>
      <w:r w:rsidRPr="006B6885">
        <w:t>V</w:t>
      </w:r>
      <w:r w:rsidR="00F83C56" w:rsidRPr="006511C1">
        <w:t> </w:t>
      </w:r>
      <w:r w:rsidRPr="006B6885">
        <w:t xml:space="preserve">súlade so súčasnou klinickou praxou, </w:t>
      </w:r>
      <w:proofErr w:type="gramStart"/>
      <w:r w:rsidRPr="006B6885">
        <w:t>ak</w:t>
      </w:r>
      <w:proofErr w:type="gramEnd"/>
      <w:r w:rsidRPr="006B6885">
        <w:t xml:space="preserve"> sa musí liečba pregabalínom prerušiť, odporúča sa, aby sa to urobilo postupne počas minimálne 1 týždňa bez ohľadu na indikáciu (pozri časti 4.4 a</w:t>
      </w:r>
      <w:r w:rsidR="00F83C56" w:rsidRPr="006511C1">
        <w:t> </w:t>
      </w:r>
      <w:r w:rsidRPr="006B6885">
        <w:t>4.8).</w:t>
      </w:r>
    </w:p>
    <w:p w14:paraId="6B12EEE1" w14:textId="77777777" w:rsidR="00E91D66" w:rsidRPr="006B6885" w:rsidRDefault="00E91D66" w:rsidP="001B5CCC">
      <w:pPr>
        <w:tabs>
          <w:tab w:val="clear" w:pos="567"/>
        </w:tabs>
      </w:pPr>
    </w:p>
    <w:p w14:paraId="50630C5F" w14:textId="10C6878F" w:rsidR="001B5CCC" w:rsidRPr="006B6885" w:rsidRDefault="001B5CCC" w:rsidP="00844353">
      <w:pPr>
        <w:keepNext/>
        <w:tabs>
          <w:tab w:val="clear" w:pos="567"/>
        </w:tabs>
        <w:rPr>
          <w:i/>
        </w:rPr>
      </w:pPr>
      <w:r w:rsidRPr="006B6885">
        <w:rPr>
          <w:i/>
        </w:rPr>
        <w:t>Pacienti s</w:t>
      </w:r>
      <w:r w:rsidR="006511C1" w:rsidRPr="006511C1">
        <w:rPr>
          <w:i/>
          <w:iCs/>
        </w:rPr>
        <w:t> </w:t>
      </w:r>
      <w:r w:rsidR="00844353" w:rsidRPr="006B6885">
        <w:rPr>
          <w:i/>
        </w:rPr>
        <w:t>poruchou</w:t>
      </w:r>
      <w:r w:rsidRPr="006B6885">
        <w:rPr>
          <w:i/>
        </w:rPr>
        <w:t xml:space="preserve"> funkcie obličiek</w:t>
      </w:r>
    </w:p>
    <w:p w14:paraId="02DE823D" w14:textId="77777777" w:rsidR="001F4901" w:rsidRPr="006B6885" w:rsidRDefault="001B5CCC" w:rsidP="001B5CCC">
      <w:pPr>
        <w:tabs>
          <w:tab w:val="clear" w:pos="567"/>
        </w:tabs>
      </w:pPr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zo systémovej cirkulácie primárne eliminuje v nezmenenej forme renálnou exkréciou. Keďže klírens pregabalínu je priamo úmerný klírensu kreatinínu (pozri časť 5.2), dávka u</w:t>
      </w:r>
      <w:r w:rsidR="00844353" w:rsidRPr="006B6885">
        <w:t> </w:t>
      </w:r>
      <w:r w:rsidRPr="006B6885">
        <w:t>pacientov</w:t>
      </w:r>
      <w:r w:rsidR="00844353" w:rsidRPr="006B6885">
        <w:t xml:space="preserve"> </w:t>
      </w:r>
      <w:r w:rsidRPr="006B6885">
        <w:t>s</w:t>
      </w:r>
      <w:r w:rsidR="00844353" w:rsidRPr="006B6885">
        <w:t> poruchou funkcie obličiek</w:t>
      </w:r>
      <w:r w:rsidRPr="006B6885">
        <w:t xml:space="preserve"> </w:t>
      </w:r>
      <w:proofErr w:type="gramStart"/>
      <w:r w:rsidRPr="006B6885">
        <w:t>sa</w:t>
      </w:r>
      <w:proofErr w:type="gramEnd"/>
      <w:r w:rsidRPr="006B6885">
        <w:t xml:space="preserve"> musí znižovať individuálne podľa klírensu kreatinínu (</w:t>
      </w:r>
      <w:r w:rsidR="00B867AD" w:rsidRPr="006B6885">
        <w:t>CrCl</w:t>
      </w:r>
      <w:r w:rsidRPr="006B6885">
        <w:t>), ako je uvedené v tabuľke 1 použitím nasledovného vzorca:</w:t>
      </w:r>
    </w:p>
    <w:p w14:paraId="2D371CF4" w14:textId="77777777" w:rsidR="003E0B02" w:rsidRPr="006B6885" w:rsidRDefault="003E0B02" w:rsidP="002D0731">
      <w:pPr>
        <w:spacing w:line="240" w:lineRule="auto"/>
      </w:pPr>
    </w:p>
    <w:p w14:paraId="365E785D" w14:textId="3793718C" w:rsidR="003E0B02" w:rsidRPr="00A434B4" w:rsidRDefault="001B0786" w:rsidP="002D0731">
      <w:pPr>
        <w:spacing w:line="240" w:lineRule="auto"/>
        <w:rPr>
          <w:lang w:val="sk-SK"/>
        </w:rPr>
      </w:pPr>
      <m:oMathPara>
        <m:oMath>
          <m:r>
            <m:rPr>
              <m:nor/>
            </m:rPr>
            <w:rPr>
              <w:lang w:val="sk-SK"/>
            </w:rPr>
            <m:t xml:space="preserve">CrCl </m:t>
          </m:r>
          <m:d>
            <m:dPr>
              <m:ctrlPr>
                <w:rPr>
                  <w:rFonts w:ascii="Cambria Math" w:hAnsi="Cambria Math"/>
                  <w:lang w:val="sk-SK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lang w:val="sk-SK"/>
                    </w:rPr>
                  </m:ctrlPr>
                </m:fPr>
                <m:num>
                  <m:r>
                    <m:rPr>
                      <m:nor/>
                    </m:rPr>
                    <w:rPr>
                      <w:lang w:val="sk-SK"/>
                    </w:rPr>
                    <m:t>ml</m:t>
                  </m:r>
                </m:num>
                <m:den>
                  <m:r>
                    <m:rPr>
                      <m:nor/>
                    </m:rPr>
                    <w:rPr>
                      <w:lang w:val="sk-SK"/>
                    </w:rPr>
                    <m:t>min</m:t>
                  </m:r>
                </m:den>
              </m:f>
            </m:e>
          </m:d>
          <m:r>
            <m:rPr>
              <m:nor/>
            </m:rPr>
            <w:rPr>
              <w:lang w:val="sk-SK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val="sk-SK"/>
                </w:rPr>
              </m:ctrlPr>
            </m:dPr>
            <m:e>
              <m:r>
                <m:rPr>
                  <m:nor/>
                </m:rPr>
                <w:rPr>
                  <w:lang w:val="sk-SK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lang w:val="sk-SK"/>
                    </w:rPr>
                  </m:ctrlPr>
                </m:fPr>
                <m:num>
                  <m:r>
                    <m:rPr>
                      <m:nor/>
                    </m:rPr>
                    <w:rPr>
                      <w:lang w:val="sk-SK"/>
                    </w:rPr>
                    <m:t xml:space="preserve">1,23 x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lang w:val="sk-SK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lang w:val="sk-SK"/>
                        </w:rPr>
                        <m:t xml:space="preserve">140 - vek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sk-SK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lang w:val="sk-SK"/>
                            </w:rPr>
                            <m:t>roky</m:t>
                          </m:r>
                        </m:e>
                      </m:d>
                    </m:e>
                  </m:d>
                  <m:r>
                    <m:rPr>
                      <m:nor/>
                    </m:rPr>
                    <w:rPr>
                      <w:lang w:val="sk-SK"/>
                    </w:rPr>
                    <m:t xml:space="preserve"> x hmotnosť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sk-SK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lang w:val="sk-SK"/>
                        </w:rPr>
                        <m:t>kg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lang w:val="sk-SK"/>
                    </w:rPr>
                    <m:t xml:space="preserve">kreatinín v sére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sk-SK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lang w:val="sk-SK"/>
                        </w:rPr>
                        <m:t>µ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lang w:val="sk-SK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lang w:val="sk-SK"/>
                            </w:rPr>
                            <m:t>mol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lang w:val="sk-SK"/>
                            </w:rPr>
                            <m:t>l</m:t>
                          </m:r>
                        </m:den>
                      </m:f>
                    </m:e>
                  </m:d>
                </m:den>
              </m:f>
              <m:r>
                <m:rPr>
                  <m:nor/>
                </m:rPr>
                <w:rPr>
                  <w:lang w:val="sk-SK"/>
                </w:rPr>
                <m:t xml:space="preserve"> </m:t>
              </m:r>
              <m:ctrlPr>
                <w:rPr>
                  <w:rFonts w:ascii="Cambria Math" w:hAnsi="Cambria Math"/>
                  <w:i/>
                  <w:lang w:val="sk-SK"/>
                </w:rPr>
              </m:ctrlPr>
            </m:e>
          </m:d>
          <m:r>
            <m:rPr>
              <m:nor/>
            </m:rPr>
            <w:rPr>
              <w:lang w:val="sk-SK"/>
            </w:rPr>
            <m:t>(x 0,85 u žien)</m:t>
          </m:r>
        </m:oMath>
      </m:oMathPara>
    </w:p>
    <w:p w14:paraId="613C4959" w14:textId="77777777" w:rsidR="001F4901" w:rsidRPr="006B6885" w:rsidRDefault="001F4901" w:rsidP="002D0731">
      <w:pPr>
        <w:spacing w:line="240" w:lineRule="auto"/>
      </w:pPr>
    </w:p>
    <w:p w14:paraId="60D6B2B2" w14:textId="2B4B3FE8" w:rsidR="002D0731" w:rsidRPr="006B6885" w:rsidRDefault="0021152A" w:rsidP="006B6885">
      <w:r w:rsidRPr="006B6885">
        <w:t>Pregabalín možno efektívne odstrániť z plazmy hemodialýzou (50</w:t>
      </w:r>
      <w:r w:rsidR="001B0786" w:rsidRPr="006B6885">
        <w:t> </w:t>
      </w:r>
      <w:r w:rsidRPr="006B6885">
        <w:t xml:space="preserve">% liečiva počas 4 hodín). U hemodialyzovaných pacientov </w:t>
      </w:r>
      <w:proofErr w:type="gramStart"/>
      <w:r w:rsidRPr="006B6885">
        <w:t>sa</w:t>
      </w:r>
      <w:proofErr w:type="gramEnd"/>
      <w:r w:rsidRPr="006B6885">
        <w:t xml:space="preserve"> denná dávka pregabalínu musí upraviť podľa funkcie obličiek. K dennej dávke treba pridať doplnkovú dávku okamžite po každej 4-hodinovej hemodialýze (pozri </w:t>
      </w:r>
      <w:r w:rsidR="009271D5" w:rsidRPr="006511C1">
        <w:rPr>
          <w:szCs w:val="22"/>
        </w:rPr>
        <w:t>T</w:t>
      </w:r>
      <w:r w:rsidRPr="006511C1">
        <w:rPr>
          <w:szCs w:val="22"/>
        </w:rPr>
        <w:t>abuľku</w:t>
      </w:r>
      <w:r w:rsidRPr="006B6885">
        <w:t xml:space="preserve"> 1).</w:t>
      </w:r>
    </w:p>
    <w:p w14:paraId="27924EED" w14:textId="77777777" w:rsidR="0021152A" w:rsidRPr="006B6885" w:rsidRDefault="0021152A" w:rsidP="0021152A"/>
    <w:p w14:paraId="32EAA208" w14:textId="00DF81A6" w:rsidR="0021152A" w:rsidRPr="006B6885" w:rsidRDefault="0021152A" w:rsidP="0021152A">
      <w:r w:rsidRPr="006B6885">
        <w:rPr>
          <w:b/>
        </w:rPr>
        <w:t>Tabuľka 1</w:t>
      </w:r>
      <w:r w:rsidRPr="006B6885">
        <w:t xml:space="preserve"> Úprava dávky pregabalínu podľa funkcie obličiek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92"/>
        <w:gridCol w:w="1836"/>
        <w:gridCol w:w="2126"/>
      </w:tblGrid>
      <w:tr w:rsidR="0021152A" w:rsidRPr="006511C1" w14:paraId="662DB471" w14:textId="77777777" w:rsidTr="0021152A">
        <w:trPr>
          <w:trHeight w:hRule="exact" w:val="79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6CEC4" w14:textId="77777777" w:rsidR="0021152A" w:rsidRPr="006B6885" w:rsidRDefault="0021152A" w:rsidP="0021152A">
            <w:pPr>
              <w:jc w:val="center"/>
            </w:pPr>
            <w:r w:rsidRPr="006B6885">
              <w:t>Klírens kreatinínu (</w:t>
            </w:r>
            <w:r w:rsidR="00B867AD" w:rsidRPr="006B6885">
              <w:t>CrCl</w:t>
            </w:r>
            <w:r w:rsidRPr="006B6885">
              <w:t>) (ml/min)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72872" w14:textId="77777777" w:rsidR="0021152A" w:rsidRPr="006B6885" w:rsidRDefault="0021152A" w:rsidP="0021152A">
            <w:pPr>
              <w:jc w:val="center"/>
            </w:pPr>
            <w:r w:rsidRPr="006B6885">
              <w:t>Celková denná dávka pregabalínu*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75ED4" w14:textId="77777777" w:rsidR="0021152A" w:rsidRPr="006B6885" w:rsidRDefault="0021152A" w:rsidP="0021152A">
            <w:pPr>
              <w:jc w:val="center"/>
            </w:pPr>
            <w:r w:rsidRPr="006B6885">
              <w:t>Dávkovací režim</w:t>
            </w:r>
          </w:p>
        </w:tc>
      </w:tr>
      <w:tr w:rsidR="0021152A" w:rsidRPr="006511C1" w14:paraId="0E1D438A" w14:textId="77777777" w:rsidTr="00D33388">
        <w:trPr>
          <w:trHeight w:hRule="exact" w:val="5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538F" w14:textId="77777777" w:rsidR="0021152A" w:rsidRPr="006B6885" w:rsidRDefault="0021152A" w:rsidP="00EB2E02">
            <w:pPr>
              <w:ind w:left="47"/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35C5" w14:textId="77777777" w:rsidR="0021152A" w:rsidRPr="006B6885" w:rsidRDefault="0021152A" w:rsidP="00EB2E02">
            <w:pPr>
              <w:ind w:left="47"/>
            </w:pPr>
            <w:r w:rsidRPr="006B6885">
              <w:t>Úvodná dávka (mg/deň)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8F79" w14:textId="77777777" w:rsidR="0021152A" w:rsidRPr="006B6885" w:rsidRDefault="0021152A" w:rsidP="00EB2E02">
            <w:pPr>
              <w:ind w:left="39"/>
            </w:pPr>
            <w:r w:rsidRPr="006B6885">
              <w:t>Maximálna dávka (mg/deň)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FBAF" w14:textId="77777777" w:rsidR="0021152A" w:rsidRPr="006B6885" w:rsidRDefault="0021152A" w:rsidP="00EB2E02">
            <w:pPr>
              <w:ind w:left="46"/>
            </w:pPr>
          </w:p>
        </w:tc>
      </w:tr>
      <w:tr w:rsidR="0021152A" w:rsidRPr="006511C1" w14:paraId="374234BC" w14:textId="77777777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CC3E" w14:textId="77777777" w:rsidR="0021152A" w:rsidRPr="006B6885" w:rsidRDefault="0021152A" w:rsidP="00EB2E02">
            <w:pPr>
              <w:ind w:left="47"/>
            </w:pPr>
            <w:r w:rsidRPr="006B6885">
              <w:t>≥ 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2877" w14:textId="77777777" w:rsidR="0021152A" w:rsidRPr="006B6885" w:rsidRDefault="0021152A" w:rsidP="00EB2E02">
            <w:pPr>
              <w:ind w:left="47"/>
            </w:pPr>
            <w:r w:rsidRPr="006B6885">
              <w:t>150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0AB6" w14:textId="77777777" w:rsidR="0021152A" w:rsidRPr="006B6885" w:rsidRDefault="0021152A" w:rsidP="00EB2E02">
            <w:pPr>
              <w:ind w:left="39"/>
            </w:pPr>
            <w:r w:rsidRPr="006B6885">
              <w:t>600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CBC6" w14:textId="77777777" w:rsidR="0021152A" w:rsidRPr="006B6885" w:rsidRDefault="0021152A" w:rsidP="00EB2E02">
            <w:pPr>
              <w:ind w:left="46"/>
            </w:pPr>
            <w:r w:rsidRPr="006B6885">
              <w:t>BID alebo TID</w:t>
            </w:r>
          </w:p>
        </w:tc>
      </w:tr>
      <w:tr w:rsidR="0021152A" w:rsidRPr="006511C1" w14:paraId="7112D5B3" w14:textId="77777777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E6EB" w14:textId="77777777" w:rsidR="0021152A" w:rsidRPr="006B6885" w:rsidRDefault="0021152A" w:rsidP="00EB2E02">
            <w:pPr>
              <w:ind w:left="47"/>
            </w:pPr>
            <w:r w:rsidRPr="006B6885">
              <w:t>≥ 30 – &lt; 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77F3" w14:textId="77777777" w:rsidR="0021152A" w:rsidRPr="006B6885" w:rsidRDefault="0021152A" w:rsidP="00EB2E02">
            <w:pPr>
              <w:ind w:left="47"/>
            </w:pPr>
            <w:r w:rsidRPr="006B6885">
              <w:t>75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700F" w14:textId="77777777" w:rsidR="0021152A" w:rsidRPr="006B6885" w:rsidRDefault="0021152A" w:rsidP="00EB2E02">
            <w:pPr>
              <w:ind w:left="39"/>
            </w:pPr>
            <w:r w:rsidRPr="006B6885">
              <w:t>300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C491" w14:textId="77777777" w:rsidR="0021152A" w:rsidRPr="006B6885" w:rsidRDefault="0021152A" w:rsidP="00EB2E02">
            <w:pPr>
              <w:ind w:left="46"/>
            </w:pPr>
            <w:r w:rsidRPr="006B6885">
              <w:t>BID alebo TID</w:t>
            </w:r>
          </w:p>
        </w:tc>
      </w:tr>
      <w:tr w:rsidR="0021152A" w:rsidRPr="006511C1" w14:paraId="594FD094" w14:textId="77777777" w:rsidTr="00D33388">
        <w:trPr>
          <w:trHeight w:hRule="exact" w:val="5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2ADC" w14:textId="77777777" w:rsidR="0021152A" w:rsidRPr="006B6885" w:rsidRDefault="0021152A" w:rsidP="00EB2E02">
            <w:pPr>
              <w:ind w:left="47"/>
            </w:pPr>
            <w:r w:rsidRPr="006B6885">
              <w:t>≥ 15 – &lt; 30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3D45" w14:textId="77777777" w:rsidR="0021152A" w:rsidRPr="006B6885" w:rsidRDefault="0021152A" w:rsidP="00EB2E02">
            <w:pPr>
              <w:ind w:left="47"/>
            </w:pPr>
            <w:r w:rsidRPr="006B6885">
              <w:t>25 – 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69F0" w14:textId="77777777" w:rsidR="0021152A" w:rsidRPr="006B6885" w:rsidRDefault="0021152A" w:rsidP="00EB2E02">
            <w:pPr>
              <w:ind w:left="39"/>
            </w:pPr>
            <w:r w:rsidRPr="006B6885">
              <w:t>150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0F5A" w14:textId="77777777" w:rsidR="0021152A" w:rsidRPr="006B6885" w:rsidRDefault="00EB2E02" w:rsidP="00EB2E02">
            <w:pPr>
              <w:ind w:left="46"/>
            </w:pPr>
            <w:r w:rsidRPr="006B6885">
              <w:t>j</w:t>
            </w:r>
            <w:r w:rsidR="0021152A" w:rsidRPr="006B6885">
              <w:t>edenkrát denne alebo BID</w:t>
            </w:r>
          </w:p>
        </w:tc>
      </w:tr>
      <w:tr w:rsidR="0021152A" w:rsidRPr="006511C1" w14:paraId="7DE4B60A" w14:textId="77777777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9248" w14:textId="77777777" w:rsidR="0021152A" w:rsidRPr="006B6885" w:rsidRDefault="0021152A" w:rsidP="00EB2E02">
            <w:pPr>
              <w:ind w:left="47"/>
            </w:pPr>
            <w:r w:rsidRPr="006B6885">
              <w:t>&lt; 15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D029" w14:textId="77777777" w:rsidR="0021152A" w:rsidRPr="006B6885" w:rsidRDefault="0021152A" w:rsidP="00EB2E02">
            <w:pPr>
              <w:ind w:left="47"/>
            </w:pPr>
            <w:r w:rsidRPr="006B6885">
              <w:t>25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A656" w14:textId="77777777" w:rsidR="0021152A" w:rsidRPr="006B6885" w:rsidRDefault="0021152A" w:rsidP="00EB2E02">
            <w:pPr>
              <w:ind w:left="39"/>
            </w:pPr>
            <w:r w:rsidRPr="006B6885">
              <w:t>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0B3B" w14:textId="77777777" w:rsidR="0021152A" w:rsidRPr="006B6885" w:rsidRDefault="00EB2E02" w:rsidP="00EB2E02">
            <w:pPr>
              <w:ind w:left="46"/>
            </w:pPr>
            <w:r w:rsidRPr="006B6885">
              <w:t>j</w:t>
            </w:r>
            <w:r w:rsidR="0021152A" w:rsidRPr="006B6885">
              <w:t>edenkrát denne</w:t>
            </w:r>
          </w:p>
        </w:tc>
      </w:tr>
      <w:tr w:rsidR="0021152A" w:rsidRPr="006511C1" w14:paraId="11EE7B7E" w14:textId="77777777" w:rsidTr="00D33388">
        <w:trPr>
          <w:trHeight w:hRule="exact" w:val="274"/>
        </w:trPr>
        <w:tc>
          <w:tcPr>
            <w:tcW w:w="7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9525" w14:textId="77777777" w:rsidR="0021152A" w:rsidRPr="006B6885" w:rsidRDefault="0021152A" w:rsidP="00EB2E02">
            <w:pPr>
              <w:ind w:left="47"/>
            </w:pPr>
            <w:r w:rsidRPr="006B6885">
              <w:t>Doplnkové dávkovanie po hemodialýze (mg)</w:t>
            </w:r>
          </w:p>
        </w:tc>
      </w:tr>
      <w:tr w:rsidR="0021152A" w:rsidRPr="006511C1" w14:paraId="75358321" w14:textId="77777777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5C74" w14:textId="77777777" w:rsidR="0021152A" w:rsidRPr="006B6885" w:rsidRDefault="0021152A" w:rsidP="0021152A"/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9327" w14:textId="77777777" w:rsidR="0021152A" w:rsidRPr="006B6885" w:rsidRDefault="0021152A" w:rsidP="00EB2E02">
            <w:pPr>
              <w:ind w:left="47"/>
            </w:pPr>
            <w:r w:rsidRPr="006B6885">
              <w:t>25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FDCF" w14:textId="77777777" w:rsidR="0021152A" w:rsidRPr="006B6885" w:rsidRDefault="0021152A" w:rsidP="00EB2E02">
            <w:pPr>
              <w:ind w:left="39"/>
            </w:pPr>
            <w:r w:rsidRPr="006B6885"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C258" w14:textId="77777777" w:rsidR="0021152A" w:rsidRPr="006B6885" w:rsidRDefault="00EB2E02" w:rsidP="00EB2E02">
            <w:pPr>
              <w:ind w:left="46"/>
            </w:pPr>
            <w:r w:rsidRPr="006B6885">
              <w:t>jednorazová</w:t>
            </w:r>
            <w:r w:rsidR="0021152A" w:rsidRPr="006B6885">
              <w:t xml:space="preserve"> dávka</w:t>
            </w:r>
            <w:r w:rsidR="0021152A" w:rsidRPr="006B6885">
              <w:rPr>
                <w:vertAlign w:val="superscript"/>
              </w:rPr>
              <w:t>+</w:t>
            </w:r>
          </w:p>
        </w:tc>
      </w:tr>
    </w:tbl>
    <w:p w14:paraId="20F48F0A" w14:textId="77777777" w:rsidR="008D7514" w:rsidRPr="006B6885" w:rsidRDefault="008D7514" w:rsidP="008D7514">
      <w:r w:rsidRPr="006B6885">
        <w:t>TID = tri rozdelené dávky</w:t>
      </w:r>
    </w:p>
    <w:p w14:paraId="61202475" w14:textId="77777777" w:rsidR="008D7514" w:rsidRPr="006B6885" w:rsidRDefault="008D7514" w:rsidP="008D7514">
      <w:r w:rsidRPr="006B6885">
        <w:t>BID = dve rozdelené dávky</w:t>
      </w:r>
    </w:p>
    <w:p w14:paraId="292394B1" w14:textId="7CB2B672" w:rsidR="008D7514" w:rsidRPr="006B6885" w:rsidRDefault="008D7514" w:rsidP="008D7514">
      <w:r w:rsidRPr="006B6885">
        <w:t xml:space="preserve">* Celková denná dávka (mg/deň) </w:t>
      </w:r>
      <w:proofErr w:type="gramStart"/>
      <w:r w:rsidRPr="006B6885">
        <w:t>sa</w:t>
      </w:r>
      <w:proofErr w:type="gramEnd"/>
      <w:r w:rsidRPr="006B6885">
        <w:t xml:space="preserve"> má rozdeliť podľa dávkovacieho režimu a</w:t>
      </w:r>
      <w:r w:rsidR="00F83C56" w:rsidRPr="006511C1">
        <w:rPr>
          <w:szCs w:val="22"/>
        </w:rPr>
        <w:t> </w:t>
      </w:r>
      <w:r w:rsidRPr="006B6885">
        <w:t>vyjadriť v</w:t>
      </w:r>
      <w:r w:rsidR="00F83C56" w:rsidRPr="006511C1">
        <w:rPr>
          <w:szCs w:val="22"/>
        </w:rPr>
        <w:t> </w:t>
      </w:r>
      <w:r w:rsidRPr="006B6885">
        <w:t>mg/dávka.</w:t>
      </w:r>
    </w:p>
    <w:p w14:paraId="550C0B43" w14:textId="77777777" w:rsidR="008D7514" w:rsidRPr="006B6885" w:rsidRDefault="008D7514" w:rsidP="008D7514">
      <w:r w:rsidRPr="006B6885">
        <w:rPr>
          <w:vertAlign w:val="superscript"/>
        </w:rPr>
        <w:t>+</w:t>
      </w:r>
      <w:r w:rsidRPr="006B6885">
        <w:t xml:space="preserve"> Doplnková dávka je jednorazová dodatočná dávka.</w:t>
      </w:r>
    </w:p>
    <w:p w14:paraId="4A18F5B0" w14:textId="77777777" w:rsidR="008D7514" w:rsidRPr="006B6885" w:rsidRDefault="008D7514" w:rsidP="008D7514"/>
    <w:p w14:paraId="3A962D71" w14:textId="6F0E3620" w:rsidR="008D7514" w:rsidRPr="006B6885" w:rsidRDefault="008D7514" w:rsidP="008D7514">
      <w:pPr>
        <w:keepNext/>
        <w:rPr>
          <w:i/>
        </w:rPr>
      </w:pPr>
      <w:r w:rsidRPr="006B6885">
        <w:rPr>
          <w:i/>
        </w:rPr>
        <w:t>Pacienti s</w:t>
      </w:r>
      <w:r w:rsidR="00F83C56" w:rsidRPr="006511C1">
        <w:rPr>
          <w:i/>
          <w:szCs w:val="22"/>
        </w:rPr>
        <w:t> </w:t>
      </w:r>
      <w:r w:rsidRPr="006B6885">
        <w:rPr>
          <w:i/>
        </w:rPr>
        <w:t>poruchou funkcie pečene</w:t>
      </w:r>
    </w:p>
    <w:p w14:paraId="2E5A0CFC" w14:textId="0F3F51B4" w:rsidR="008D7514" w:rsidRPr="006B6885" w:rsidRDefault="008D7514" w:rsidP="008D7514">
      <w:r w:rsidRPr="006B6885">
        <w:t>U pacientov s</w:t>
      </w:r>
      <w:r w:rsidR="00F83C56" w:rsidRPr="006511C1">
        <w:rPr>
          <w:szCs w:val="22"/>
        </w:rPr>
        <w:t> </w:t>
      </w:r>
      <w:r w:rsidRPr="006B6885">
        <w:t xml:space="preserve">poruchou funkcie pečene </w:t>
      </w:r>
      <w:proofErr w:type="gramStart"/>
      <w:r w:rsidRPr="006B6885">
        <w:t>sa</w:t>
      </w:r>
      <w:proofErr w:type="gramEnd"/>
      <w:r w:rsidRPr="006B6885">
        <w:t xml:space="preserve"> nevyžaduje žiadna úprava dávky (pozri časť 5.2).</w:t>
      </w:r>
    </w:p>
    <w:p w14:paraId="4FB0FD95" w14:textId="77777777" w:rsidR="008D7514" w:rsidRPr="006B6885" w:rsidRDefault="008D7514" w:rsidP="008D7514"/>
    <w:p w14:paraId="53FD1565" w14:textId="77777777" w:rsidR="008D7514" w:rsidRPr="006B6885" w:rsidRDefault="00077F88" w:rsidP="008D7514">
      <w:pPr>
        <w:keepNext/>
        <w:rPr>
          <w:i/>
        </w:rPr>
      </w:pPr>
      <w:r w:rsidRPr="006B6885">
        <w:rPr>
          <w:i/>
        </w:rPr>
        <w:t>Starší pacienti</w:t>
      </w:r>
      <w:r w:rsidR="008D7514" w:rsidRPr="006B6885">
        <w:rPr>
          <w:i/>
        </w:rPr>
        <w:t xml:space="preserve"> (</w:t>
      </w:r>
      <w:proofErr w:type="gramStart"/>
      <w:r w:rsidR="008D7514" w:rsidRPr="006B6885">
        <w:rPr>
          <w:i/>
        </w:rPr>
        <w:t>vo</w:t>
      </w:r>
      <w:proofErr w:type="gramEnd"/>
      <w:r w:rsidR="008D7514" w:rsidRPr="006B6885">
        <w:rPr>
          <w:i/>
        </w:rPr>
        <w:t xml:space="preserve"> veku nad 65 rokov)</w:t>
      </w:r>
    </w:p>
    <w:p w14:paraId="2F2A9C7C" w14:textId="045DD768" w:rsidR="008D7514" w:rsidRPr="006B6885" w:rsidRDefault="008D7514" w:rsidP="008D7514">
      <w:r w:rsidRPr="006B6885">
        <w:t>Starší pacienti môžu vyžadovať zníženie dávky pregabalínu z</w:t>
      </w:r>
      <w:r w:rsidR="00F83C56" w:rsidRPr="006511C1">
        <w:rPr>
          <w:szCs w:val="22"/>
        </w:rPr>
        <w:t> </w:t>
      </w:r>
      <w:r w:rsidRPr="006B6885">
        <w:t>dôvodu zníženej funkcie obličiek</w:t>
      </w:r>
      <w:r w:rsidR="00077F88" w:rsidRPr="006B6885">
        <w:t xml:space="preserve"> (pozri pacienti s</w:t>
      </w:r>
      <w:r w:rsidR="00F83C56" w:rsidRPr="006511C1">
        <w:rPr>
          <w:szCs w:val="22"/>
        </w:rPr>
        <w:t> </w:t>
      </w:r>
      <w:r w:rsidR="00077F88" w:rsidRPr="006B6885">
        <w:t>poruchou</w:t>
      </w:r>
      <w:r w:rsidRPr="006B6885">
        <w:t xml:space="preserve"> funkcie obličiek).</w:t>
      </w:r>
    </w:p>
    <w:p w14:paraId="10C1FDE4" w14:textId="77777777" w:rsidR="008D7514" w:rsidRPr="006B6885" w:rsidRDefault="008D7514" w:rsidP="008D7514"/>
    <w:p w14:paraId="7D35DA2F" w14:textId="77777777" w:rsidR="008D7514" w:rsidRPr="006B6885" w:rsidRDefault="008D7514" w:rsidP="008D7514">
      <w:pPr>
        <w:keepNext/>
        <w:rPr>
          <w:i/>
        </w:rPr>
      </w:pPr>
      <w:r w:rsidRPr="006B6885">
        <w:rPr>
          <w:i/>
        </w:rPr>
        <w:lastRenderedPageBreak/>
        <w:t>Pediatrická populácia</w:t>
      </w:r>
    </w:p>
    <w:p w14:paraId="16002C6C" w14:textId="57CD2BD6" w:rsidR="00E91D66" w:rsidRPr="006B6885" w:rsidRDefault="005A2084" w:rsidP="00531EC4">
      <w:pPr>
        <w:rPr>
          <w:rFonts w:eastAsia="TimesNewRoman"/>
        </w:rPr>
      </w:pPr>
      <w:r w:rsidRPr="006B6885">
        <w:t>Bezpečnosť a</w:t>
      </w:r>
      <w:r w:rsidR="00F83C56" w:rsidRPr="006511C1">
        <w:rPr>
          <w:szCs w:val="22"/>
        </w:rPr>
        <w:t> </w:t>
      </w:r>
      <w:r w:rsidRPr="006B6885">
        <w:t xml:space="preserve">účinnosť lieku </w:t>
      </w:r>
      <w:r w:rsidR="00F83C56" w:rsidRPr="006511C1">
        <w:rPr>
          <w:szCs w:val="22"/>
        </w:rPr>
        <w:t>PREMED</w:t>
      </w:r>
      <w:r w:rsidR="008D7514" w:rsidRPr="006B6885">
        <w:t xml:space="preserve"> u</w:t>
      </w:r>
      <w:r w:rsidR="00F83C56" w:rsidRPr="006511C1">
        <w:rPr>
          <w:szCs w:val="22"/>
        </w:rPr>
        <w:t> </w:t>
      </w:r>
      <w:r w:rsidR="008D7514" w:rsidRPr="006B6885">
        <w:t>detí mladších ako 12 rokov a</w:t>
      </w:r>
      <w:r w:rsidR="00F83C56" w:rsidRPr="006511C1">
        <w:rPr>
          <w:szCs w:val="22"/>
        </w:rPr>
        <w:t> </w:t>
      </w:r>
      <w:r w:rsidR="008D7514" w:rsidRPr="006B6885">
        <w:t>u</w:t>
      </w:r>
      <w:r w:rsidR="00F83C56" w:rsidRPr="006511C1">
        <w:rPr>
          <w:szCs w:val="22"/>
        </w:rPr>
        <w:t> </w:t>
      </w:r>
      <w:r w:rsidR="008D7514" w:rsidRPr="006B6885">
        <w:t>dospievajúcich (</w:t>
      </w:r>
      <w:proofErr w:type="gramStart"/>
      <w:r w:rsidR="008D7514" w:rsidRPr="006B6885">
        <w:t>vo</w:t>
      </w:r>
      <w:proofErr w:type="gramEnd"/>
      <w:r w:rsidR="008D7514" w:rsidRPr="006B6885">
        <w:t xml:space="preserve"> veku</w:t>
      </w:r>
      <w:r w:rsidR="00F83C56" w:rsidRPr="006511C1">
        <w:rPr>
          <w:szCs w:val="22"/>
        </w:rPr>
        <w:t xml:space="preserve"> </w:t>
      </w:r>
      <w:r w:rsidR="008D7514" w:rsidRPr="006B6885">
        <w:t xml:space="preserve">12 - 17 rokov) neboli stanovené. </w:t>
      </w:r>
      <w:r w:rsidR="00E91D66" w:rsidRPr="006511C1">
        <w:rPr>
          <w:rFonts w:eastAsia="TimesNewRoman"/>
        </w:rPr>
        <w:t>Údaje dostupné v</w:t>
      </w:r>
      <w:r w:rsidR="00F83C56" w:rsidRPr="006511C1">
        <w:rPr>
          <w:rFonts w:eastAsia="TimesNewRoman"/>
        </w:rPr>
        <w:t> </w:t>
      </w:r>
      <w:r w:rsidR="00E91D66" w:rsidRPr="006511C1">
        <w:rPr>
          <w:rFonts w:eastAsia="TimesNewRoman"/>
        </w:rPr>
        <w:t>súčasnosti sú uvedené v</w:t>
      </w:r>
      <w:r w:rsidR="00F83C56" w:rsidRPr="006511C1">
        <w:rPr>
          <w:rFonts w:eastAsia="TimesNewRoman"/>
        </w:rPr>
        <w:t> </w:t>
      </w:r>
      <w:r w:rsidR="00E91D66" w:rsidRPr="006511C1">
        <w:rPr>
          <w:rFonts w:eastAsia="TimesNewRoman"/>
        </w:rPr>
        <w:t>časti 4.8, 5.1 a</w:t>
      </w:r>
      <w:r w:rsidR="00F83C56" w:rsidRPr="006511C1">
        <w:rPr>
          <w:rFonts w:eastAsia="TimesNewRoman"/>
        </w:rPr>
        <w:t> </w:t>
      </w:r>
      <w:r w:rsidR="00E91D66" w:rsidRPr="006511C1">
        <w:rPr>
          <w:rFonts w:eastAsia="TimesNewRoman"/>
        </w:rPr>
        <w:t>5.2, ale</w:t>
      </w:r>
      <w:r w:rsidR="00E91D66" w:rsidRPr="006B6885">
        <w:rPr>
          <w:rFonts w:eastAsia="TimesNewRoman"/>
        </w:rPr>
        <w:t xml:space="preserve"> nie</w:t>
      </w:r>
      <w:r w:rsidR="00F83C56" w:rsidRPr="006B6885">
        <w:rPr>
          <w:rFonts w:eastAsia="TimesNewRoman"/>
        </w:rPr>
        <w:t xml:space="preserve"> </w:t>
      </w:r>
      <w:r w:rsidR="00E91D66" w:rsidRPr="006511C1">
        <w:rPr>
          <w:rFonts w:eastAsia="TimesNewRoman"/>
        </w:rPr>
        <w:t xml:space="preserve">je možné vykonať odporúčanie týkajúce </w:t>
      </w:r>
      <w:proofErr w:type="gramStart"/>
      <w:r w:rsidR="00E91D66" w:rsidRPr="006511C1">
        <w:rPr>
          <w:rFonts w:eastAsia="TimesNewRoman"/>
        </w:rPr>
        <w:t>sa</w:t>
      </w:r>
      <w:proofErr w:type="gramEnd"/>
      <w:r w:rsidR="00E91D66" w:rsidRPr="006511C1">
        <w:rPr>
          <w:rFonts w:eastAsia="TimesNewRoman"/>
        </w:rPr>
        <w:t xml:space="preserve"> dávkovania</w:t>
      </w:r>
      <w:r w:rsidR="00E91D66" w:rsidRPr="006B6885">
        <w:rPr>
          <w:rFonts w:eastAsia="TimesNewRoman"/>
        </w:rPr>
        <w:t>.</w:t>
      </w:r>
    </w:p>
    <w:p w14:paraId="1FB4DB91" w14:textId="77777777" w:rsidR="008D7514" w:rsidRPr="006B6885" w:rsidRDefault="008D7514" w:rsidP="0021152A"/>
    <w:p w14:paraId="78580338" w14:textId="77777777" w:rsidR="001F4901" w:rsidRPr="006B6885" w:rsidRDefault="005C15CC">
      <w:pPr>
        <w:keepNext/>
        <w:rPr>
          <w:u w:val="single"/>
        </w:rPr>
      </w:pPr>
      <w:r w:rsidRPr="006B6885">
        <w:rPr>
          <w:u w:val="single"/>
        </w:rPr>
        <w:t>Spôsob podávania</w:t>
      </w:r>
    </w:p>
    <w:p w14:paraId="6380685D" w14:textId="77777777" w:rsidR="001F4901" w:rsidRPr="006B6885" w:rsidRDefault="001F4901" w:rsidP="006B6885">
      <w:pPr>
        <w:keepNext/>
        <w:rPr>
          <w:u w:val="single"/>
        </w:rPr>
      </w:pPr>
    </w:p>
    <w:p w14:paraId="50309CB7" w14:textId="24C7554F" w:rsidR="00077F88" w:rsidRPr="006B6885" w:rsidRDefault="00F83C56">
      <w:pPr>
        <w:rPr>
          <w:spacing w:val="-1"/>
        </w:rPr>
      </w:pPr>
      <w:r w:rsidRPr="006511C1">
        <w:rPr>
          <w:spacing w:val="-1"/>
        </w:rPr>
        <w:t>PREMED</w:t>
      </w:r>
      <w:r w:rsidR="00077F88" w:rsidRPr="006B6885">
        <w:t xml:space="preserve"> </w:t>
      </w:r>
      <w:proofErr w:type="gramStart"/>
      <w:r w:rsidR="00B867AD" w:rsidRPr="006B6885">
        <w:t>sa</w:t>
      </w:r>
      <w:proofErr w:type="gramEnd"/>
      <w:r w:rsidR="00B867AD" w:rsidRPr="006B6885">
        <w:t xml:space="preserve"> môže </w:t>
      </w:r>
      <w:r w:rsidR="00077F88" w:rsidRPr="006B6885">
        <w:t>užívať s jedlom alebo bez jedla.</w:t>
      </w:r>
    </w:p>
    <w:p w14:paraId="73F8E5A7" w14:textId="105A0561" w:rsidR="00694B37" w:rsidRPr="006B6885" w:rsidRDefault="00F83C56">
      <w:r w:rsidRPr="006511C1">
        <w:rPr>
          <w:spacing w:val="-1"/>
        </w:rPr>
        <w:t>PREMED</w:t>
      </w:r>
      <w:r w:rsidR="00077F88" w:rsidRPr="006B6885">
        <w:t xml:space="preserve"> je len</w:t>
      </w:r>
      <w:r w:rsidR="00375EB2" w:rsidRPr="006B6885">
        <w:rPr>
          <w:spacing w:val="-2"/>
        </w:rPr>
        <w:t xml:space="preserve"> </w:t>
      </w:r>
      <w:proofErr w:type="gramStart"/>
      <w:r w:rsidR="00375EB2" w:rsidRPr="006B6885">
        <w:t>na</w:t>
      </w:r>
      <w:proofErr w:type="gramEnd"/>
      <w:r w:rsidR="00375EB2" w:rsidRPr="006B6885">
        <w:rPr>
          <w:spacing w:val="1"/>
        </w:rPr>
        <w:t xml:space="preserve"> </w:t>
      </w:r>
      <w:r w:rsidR="00375EB2" w:rsidRPr="006B6885">
        <w:t>p</w:t>
      </w:r>
      <w:r w:rsidR="00375EB2" w:rsidRPr="006B6885">
        <w:rPr>
          <w:spacing w:val="-2"/>
        </w:rPr>
        <w:t>e</w:t>
      </w:r>
      <w:r w:rsidR="00375EB2" w:rsidRPr="006B6885">
        <w:rPr>
          <w:spacing w:val="1"/>
        </w:rPr>
        <w:t>r</w:t>
      </w:r>
      <w:r w:rsidR="00375EB2" w:rsidRPr="006B6885">
        <w:t>o</w:t>
      </w:r>
      <w:r w:rsidR="00375EB2" w:rsidRPr="006B6885">
        <w:rPr>
          <w:spacing w:val="-2"/>
        </w:rPr>
        <w:t>rá</w:t>
      </w:r>
      <w:r w:rsidR="00375EB2" w:rsidRPr="006B6885">
        <w:rPr>
          <w:spacing w:val="1"/>
        </w:rPr>
        <w:t>l</w:t>
      </w:r>
      <w:r w:rsidR="00375EB2" w:rsidRPr="006B6885">
        <w:t>ne</w:t>
      </w:r>
      <w:r w:rsidR="00375EB2" w:rsidRPr="006B6885">
        <w:rPr>
          <w:spacing w:val="1"/>
        </w:rPr>
        <w:t xml:space="preserve"> </w:t>
      </w:r>
      <w:r w:rsidR="00375EB2" w:rsidRPr="006B6885">
        <w:t>p</w:t>
      </w:r>
      <w:r w:rsidR="00375EB2" w:rsidRPr="006B6885">
        <w:rPr>
          <w:spacing w:val="-2"/>
        </w:rPr>
        <w:t>o</w:t>
      </w:r>
      <w:r w:rsidR="00375EB2" w:rsidRPr="006B6885">
        <w:t>u</w:t>
      </w:r>
      <w:r w:rsidR="00375EB2" w:rsidRPr="006B6885">
        <w:rPr>
          <w:spacing w:val="-2"/>
        </w:rPr>
        <w:t>ž</w:t>
      </w:r>
      <w:r w:rsidR="00375EB2" w:rsidRPr="006B6885">
        <w:rPr>
          <w:spacing w:val="1"/>
        </w:rPr>
        <w:t>it</w:t>
      </w:r>
      <w:r w:rsidR="00375EB2" w:rsidRPr="006B6885">
        <w:rPr>
          <w:spacing w:val="-1"/>
        </w:rPr>
        <w:t>i</w:t>
      </w:r>
      <w:r w:rsidR="00375EB2" w:rsidRPr="006B6885">
        <w:t>e.</w:t>
      </w:r>
    </w:p>
    <w:p w14:paraId="2E8F3B52" w14:textId="77777777" w:rsidR="001F4901" w:rsidRPr="006B6885" w:rsidRDefault="001F4901">
      <w:pPr>
        <w:rPr>
          <w:i/>
        </w:rPr>
      </w:pPr>
    </w:p>
    <w:p w14:paraId="47E371CF" w14:textId="77777777" w:rsidR="001F4901" w:rsidRPr="006B6885" w:rsidRDefault="001F4901" w:rsidP="00130368">
      <w:pPr>
        <w:keepNext/>
        <w:ind w:left="567" w:hanging="567"/>
      </w:pPr>
      <w:r w:rsidRPr="006B6885">
        <w:rPr>
          <w:b/>
        </w:rPr>
        <w:t>4.3</w:t>
      </w:r>
      <w:r w:rsidRPr="006B6885">
        <w:rPr>
          <w:b/>
        </w:rPr>
        <w:tab/>
      </w:r>
      <w:r w:rsidR="00694B37" w:rsidRPr="006B6885">
        <w:rPr>
          <w:b/>
        </w:rPr>
        <w:t>Kontraindikácie</w:t>
      </w:r>
    </w:p>
    <w:p w14:paraId="7B91F4CD" w14:textId="77777777" w:rsidR="001F4901" w:rsidRPr="006B6885" w:rsidRDefault="001F4901" w:rsidP="00130368">
      <w:pPr>
        <w:keepNext/>
      </w:pPr>
    </w:p>
    <w:p w14:paraId="29695E2D" w14:textId="089E5CC6" w:rsidR="001F4901" w:rsidRPr="006B6885" w:rsidRDefault="00694B37">
      <w:r w:rsidRPr="006B6885">
        <w:t xml:space="preserve">Precitlivenosť </w:t>
      </w:r>
      <w:proofErr w:type="gramStart"/>
      <w:r w:rsidRPr="006B6885">
        <w:t>na</w:t>
      </w:r>
      <w:proofErr w:type="gramEnd"/>
      <w:r w:rsidR="001F4901" w:rsidRPr="006B6885">
        <w:t xml:space="preserve"> </w:t>
      </w:r>
      <w:r w:rsidRPr="006B6885">
        <w:t>liečivo</w:t>
      </w:r>
      <w:r w:rsidR="001F4901" w:rsidRPr="006B6885">
        <w:t xml:space="preserve"> </w:t>
      </w:r>
      <w:r w:rsidRPr="006B6885">
        <w:t>alebo na ktorúkoľvek z</w:t>
      </w:r>
      <w:r w:rsidR="00F83C56" w:rsidRPr="00531EC4">
        <w:rPr>
          <w:szCs w:val="22"/>
        </w:rPr>
        <w:t> </w:t>
      </w:r>
      <w:r w:rsidRPr="006B6885">
        <w:t>pomocných látok uvedených v</w:t>
      </w:r>
      <w:r w:rsidR="00F83C56" w:rsidRPr="006B6885">
        <w:t> </w:t>
      </w:r>
      <w:r w:rsidRPr="006B6885">
        <w:t>časti</w:t>
      </w:r>
      <w:r w:rsidR="00F83C56" w:rsidRPr="00531EC4">
        <w:rPr>
          <w:szCs w:val="22"/>
        </w:rPr>
        <w:t xml:space="preserve"> </w:t>
      </w:r>
      <w:r w:rsidRPr="006B6885">
        <w:t>6.1.</w:t>
      </w:r>
    </w:p>
    <w:p w14:paraId="4A4EA802" w14:textId="77777777" w:rsidR="001F4901" w:rsidRPr="006B6885" w:rsidRDefault="001F4901"/>
    <w:p w14:paraId="46902F64" w14:textId="77777777" w:rsidR="001F4901" w:rsidRPr="006B6885" w:rsidRDefault="001F4901" w:rsidP="00130368">
      <w:pPr>
        <w:keepNext/>
        <w:ind w:left="567" w:hanging="567"/>
        <w:rPr>
          <w:b/>
        </w:rPr>
      </w:pPr>
      <w:r w:rsidRPr="006B6885">
        <w:rPr>
          <w:b/>
        </w:rPr>
        <w:t>4.4</w:t>
      </w:r>
      <w:r w:rsidRPr="006B6885">
        <w:rPr>
          <w:b/>
        </w:rPr>
        <w:tab/>
      </w:r>
      <w:r w:rsidR="00694B37" w:rsidRPr="006B6885">
        <w:rPr>
          <w:b/>
        </w:rPr>
        <w:t xml:space="preserve">Osobitné upozornenia </w:t>
      </w:r>
      <w:proofErr w:type="gramStart"/>
      <w:r w:rsidR="00694B37" w:rsidRPr="006B6885">
        <w:rPr>
          <w:b/>
        </w:rPr>
        <w:t>a</w:t>
      </w:r>
      <w:proofErr w:type="gramEnd"/>
      <w:r w:rsidR="00694B37" w:rsidRPr="006B6885">
        <w:rPr>
          <w:b/>
        </w:rPr>
        <w:t> opatrenia pri používaní</w:t>
      </w:r>
    </w:p>
    <w:p w14:paraId="2476E0ED" w14:textId="77777777" w:rsidR="001F4901" w:rsidRPr="006B6885" w:rsidRDefault="001F4901" w:rsidP="00130368">
      <w:pPr>
        <w:keepNext/>
        <w:rPr>
          <w:u w:val="single"/>
        </w:rPr>
      </w:pPr>
    </w:p>
    <w:p w14:paraId="7F9FB684" w14:textId="77777777" w:rsidR="00D33388" w:rsidRPr="006B6885" w:rsidRDefault="00D33388" w:rsidP="00D33388">
      <w:pPr>
        <w:keepNext/>
        <w:outlineLvl w:val="0"/>
        <w:rPr>
          <w:i/>
        </w:rPr>
      </w:pPr>
      <w:r w:rsidRPr="006B6885">
        <w:rPr>
          <w:i/>
        </w:rPr>
        <w:t>Diabetickí pacienti</w:t>
      </w:r>
    </w:p>
    <w:p w14:paraId="2D29DEAA" w14:textId="164A618B" w:rsidR="00D33388" w:rsidRPr="006B6885" w:rsidRDefault="00D33388" w:rsidP="00D33388">
      <w:pPr>
        <w:outlineLvl w:val="0"/>
      </w:pPr>
      <w:r w:rsidRPr="006B6885">
        <w:t>Podľa súčasnej klinickej praxe u</w:t>
      </w:r>
      <w:r w:rsidR="00F83C56" w:rsidRPr="006511C1">
        <w:t> </w:t>
      </w:r>
      <w:r w:rsidRPr="006B6885">
        <w:t>niektorých diabetických pacientov s</w:t>
      </w:r>
      <w:r w:rsidR="00F83C56" w:rsidRPr="006511C1">
        <w:t> </w:t>
      </w:r>
      <w:r w:rsidRPr="006B6885">
        <w:t>prírastkom hmotnosti počas liečby pregabalínom môže byť potrebné upraviť hypoglykemickú liečbu.</w:t>
      </w:r>
    </w:p>
    <w:p w14:paraId="3A4FEB36" w14:textId="77777777" w:rsidR="00D33388" w:rsidRPr="006B6885" w:rsidRDefault="00D33388" w:rsidP="00D33388">
      <w:pPr>
        <w:outlineLvl w:val="0"/>
      </w:pPr>
    </w:p>
    <w:p w14:paraId="26FF4D16" w14:textId="3E8CC160" w:rsidR="00D33388" w:rsidRPr="006B6885" w:rsidRDefault="00D33388" w:rsidP="00D33388">
      <w:pPr>
        <w:keepNext/>
        <w:outlineLvl w:val="0"/>
        <w:rPr>
          <w:i/>
        </w:rPr>
      </w:pPr>
      <w:r w:rsidRPr="006B6885">
        <w:rPr>
          <w:i/>
        </w:rPr>
        <w:t>Reakcie z</w:t>
      </w:r>
      <w:r w:rsidR="00F83C56" w:rsidRPr="006511C1">
        <w:rPr>
          <w:i/>
        </w:rPr>
        <w:t> </w:t>
      </w:r>
      <w:r w:rsidRPr="006B6885">
        <w:rPr>
          <w:i/>
        </w:rPr>
        <w:t>precitlivenosti</w:t>
      </w:r>
    </w:p>
    <w:p w14:paraId="2B3D0FFF" w14:textId="77777777" w:rsidR="00D33388" w:rsidRPr="006B6885" w:rsidRDefault="00D33388" w:rsidP="00D33388">
      <w:pPr>
        <w:outlineLvl w:val="0"/>
      </w:pPr>
      <w:r w:rsidRPr="006B6885">
        <w:t>Po uvedení</w:t>
      </w:r>
      <w:r w:rsidR="00DB7632" w:rsidRPr="006B6885">
        <w:t xml:space="preserve"> lieku </w:t>
      </w:r>
      <w:proofErr w:type="gramStart"/>
      <w:r w:rsidR="00DB7632" w:rsidRPr="006B6885">
        <w:t>na</w:t>
      </w:r>
      <w:proofErr w:type="gramEnd"/>
      <w:r w:rsidR="00DB7632" w:rsidRPr="006B6885">
        <w:t xml:space="preserve"> trh boli hlásené </w:t>
      </w:r>
      <w:r w:rsidRPr="006B6885">
        <w:t>rea</w:t>
      </w:r>
      <w:r w:rsidR="00DB7632" w:rsidRPr="006B6885">
        <w:t>kcie</w:t>
      </w:r>
      <w:r w:rsidRPr="006B6885">
        <w:t xml:space="preserve"> z</w:t>
      </w:r>
      <w:r w:rsidR="00DB7632" w:rsidRPr="006B6885">
        <w:t> </w:t>
      </w:r>
      <w:r w:rsidRPr="006B6885">
        <w:t>precitlivenosti</w:t>
      </w:r>
      <w:r w:rsidR="00DB7632" w:rsidRPr="006B6885">
        <w:t>,</w:t>
      </w:r>
      <w:r w:rsidRPr="006B6885">
        <w:t xml:space="preserve"> vrátane prípadov angioedému. Liečba pregabalínom </w:t>
      </w:r>
      <w:proofErr w:type="gramStart"/>
      <w:r w:rsidRPr="006B6885">
        <w:t>sa</w:t>
      </w:r>
      <w:proofErr w:type="gramEnd"/>
      <w:r w:rsidRPr="006B6885">
        <w:t xml:space="preserve"> musí okamžite ukončiť, ak sa vyskytnú príz</w:t>
      </w:r>
      <w:r w:rsidR="00DB7632" w:rsidRPr="006B6885">
        <w:t>naky angioedému, ako sú opuch tváre</w:t>
      </w:r>
      <w:r w:rsidRPr="006B6885">
        <w:t>, periorálny opuch alebo opuch horných dýchacích ciest.</w:t>
      </w:r>
    </w:p>
    <w:p w14:paraId="609B7CA8" w14:textId="77777777" w:rsidR="00D33388" w:rsidRPr="006B6885" w:rsidRDefault="00D33388" w:rsidP="00D33388">
      <w:pPr>
        <w:outlineLvl w:val="0"/>
      </w:pPr>
    </w:p>
    <w:p w14:paraId="480A1CC3" w14:textId="77777777" w:rsidR="00D33388" w:rsidRPr="006B6885" w:rsidRDefault="00D33388" w:rsidP="00DB7632">
      <w:pPr>
        <w:keepNext/>
        <w:outlineLvl w:val="0"/>
        <w:rPr>
          <w:i/>
        </w:rPr>
      </w:pPr>
      <w:r w:rsidRPr="006B6885">
        <w:rPr>
          <w:i/>
        </w:rPr>
        <w:t>Závrat, somnolencia, strata vedomia,</w:t>
      </w:r>
      <w:r w:rsidR="00DB7632" w:rsidRPr="006B6885">
        <w:rPr>
          <w:i/>
        </w:rPr>
        <w:t xml:space="preserve"> zmätenosť a duševná porucha</w:t>
      </w:r>
    </w:p>
    <w:p w14:paraId="46FE359D" w14:textId="055A2EA1" w:rsidR="00D33388" w:rsidRPr="006B6885" w:rsidRDefault="00D33388" w:rsidP="00D33388">
      <w:pPr>
        <w:outlineLvl w:val="0"/>
      </w:pPr>
      <w:r w:rsidRPr="006B6885">
        <w:t>Liečb</w:t>
      </w:r>
      <w:r w:rsidR="00DB7632" w:rsidRPr="006B6885">
        <w:t xml:space="preserve">a pregabalínom </w:t>
      </w:r>
      <w:proofErr w:type="gramStart"/>
      <w:r w:rsidR="00DB7632" w:rsidRPr="006B6885">
        <w:t>sa</w:t>
      </w:r>
      <w:proofErr w:type="gramEnd"/>
      <w:r w:rsidR="00DB7632" w:rsidRPr="006B6885">
        <w:t xml:space="preserve"> spája</w:t>
      </w:r>
      <w:r w:rsidRPr="006B6885">
        <w:t xml:space="preserve"> so závratom a somnolenciou, ktoré </w:t>
      </w:r>
      <w:r w:rsidR="00DB7632" w:rsidRPr="006B6885">
        <w:t xml:space="preserve">by </w:t>
      </w:r>
      <w:r w:rsidRPr="006B6885">
        <w:t>mohli zvýšiť výskyt náhodných zranení (</w:t>
      </w:r>
      <w:r w:rsidR="002A3228" w:rsidRPr="006511C1">
        <w:t xml:space="preserve">spôsobených </w:t>
      </w:r>
      <w:r w:rsidRPr="006B6885">
        <w:t>pádom) u</w:t>
      </w:r>
      <w:r w:rsidR="00F83C56" w:rsidRPr="006511C1">
        <w:t> </w:t>
      </w:r>
      <w:r w:rsidRPr="006B6885">
        <w:t>staršej p</w:t>
      </w:r>
      <w:r w:rsidR="00DB7632" w:rsidRPr="006B6885">
        <w:t>opulácie. P</w:t>
      </w:r>
      <w:r w:rsidRPr="006B6885">
        <w:t xml:space="preserve">o uvedení lieku </w:t>
      </w:r>
      <w:proofErr w:type="gramStart"/>
      <w:r w:rsidRPr="006B6885">
        <w:t>na</w:t>
      </w:r>
      <w:proofErr w:type="gramEnd"/>
      <w:r w:rsidRPr="006B6885">
        <w:t xml:space="preserve"> trh</w:t>
      </w:r>
      <w:r w:rsidR="008677BB" w:rsidRPr="006B6885">
        <w:t xml:space="preserve"> sa vyskytli hlásenia</w:t>
      </w:r>
      <w:r w:rsidRPr="006B6885">
        <w:t xml:space="preserve"> st</w:t>
      </w:r>
      <w:r w:rsidR="008677BB" w:rsidRPr="006B6885">
        <w:t>raty vedomia, zmätenosti a duševnej poruchy</w:t>
      </w:r>
      <w:r w:rsidRPr="006B6885">
        <w:t>. Preto</w:t>
      </w:r>
      <w:r w:rsidR="008677BB" w:rsidRPr="006B6885">
        <w:t xml:space="preserve"> </w:t>
      </w:r>
      <w:proofErr w:type="gramStart"/>
      <w:r w:rsidR="008677BB" w:rsidRPr="006B6885">
        <w:t>sa</w:t>
      </w:r>
      <w:proofErr w:type="gramEnd"/>
      <w:r w:rsidR="008677BB" w:rsidRPr="006B6885">
        <w:t xml:space="preserve"> má pacientom odporuč</w:t>
      </w:r>
      <w:r w:rsidRPr="006B6885">
        <w:t>iť, aby boli opatrní, pokým sa neoboznámia s</w:t>
      </w:r>
      <w:r w:rsidR="00F83C56" w:rsidRPr="006511C1">
        <w:t> </w:t>
      </w:r>
      <w:r w:rsidRPr="006B6885">
        <w:t>možnými účinkami lieku.</w:t>
      </w:r>
    </w:p>
    <w:p w14:paraId="215B9A89" w14:textId="77777777" w:rsidR="00D33388" w:rsidRPr="006B6885" w:rsidRDefault="00D33388" w:rsidP="00D33388">
      <w:pPr>
        <w:outlineLvl w:val="0"/>
      </w:pPr>
    </w:p>
    <w:p w14:paraId="52442CB8" w14:textId="77777777" w:rsidR="00D33388" w:rsidRPr="006B6885" w:rsidRDefault="00CA26E0" w:rsidP="00CA26E0">
      <w:pPr>
        <w:keepNext/>
        <w:outlineLvl w:val="0"/>
        <w:rPr>
          <w:i/>
        </w:rPr>
      </w:pPr>
      <w:r w:rsidRPr="006B6885">
        <w:rPr>
          <w:i/>
        </w:rPr>
        <w:t>Účinky súvisiace</w:t>
      </w:r>
      <w:r w:rsidR="00D33388" w:rsidRPr="006B6885">
        <w:rPr>
          <w:i/>
        </w:rPr>
        <w:t xml:space="preserve"> s</w:t>
      </w:r>
      <w:r w:rsidRPr="006B6885">
        <w:rPr>
          <w:i/>
        </w:rPr>
        <w:t>o zrakom</w:t>
      </w:r>
    </w:p>
    <w:p w14:paraId="1C747C77" w14:textId="3DABDACF" w:rsidR="00D33388" w:rsidRPr="006B6885" w:rsidRDefault="00D33388" w:rsidP="00D33388">
      <w:pPr>
        <w:outlineLvl w:val="0"/>
      </w:pPr>
      <w:r w:rsidRPr="006B6885">
        <w:t>V</w:t>
      </w:r>
      <w:r w:rsidR="00F83C56" w:rsidRPr="006511C1">
        <w:t> </w:t>
      </w:r>
      <w:r w:rsidRPr="006B6885">
        <w:t>kontrolovaných klinických skúšaniach hlásila väčšia časť pacientov liečených pregabalínom ako pacientov</w:t>
      </w:r>
      <w:r w:rsidR="00B70272" w:rsidRPr="006511C1">
        <w:t>, ktorí užívali</w:t>
      </w:r>
      <w:r w:rsidRPr="006B6885">
        <w:t xml:space="preserve"> placebom rozmazané videnie, ktoré </w:t>
      </w:r>
      <w:proofErr w:type="gramStart"/>
      <w:r w:rsidRPr="006B6885">
        <w:t>vo</w:t>
      </w:r>
      <w:proofErr w:type="gramEnd"/>
      <w:r w:rsidRPr="006B6885">
        <w:t xml:space="preserve"> väčšine prípadov ustúpilo pri pokračovaní dávkovania. V</w:t>
      </w:r>
      <w:r w:rsidR="00F83C56" w:rsidRPr="006511C1">
        <w:t> </w:t>
      </w:r>
      <w:r w:rsidRPr="006B6885">
        <w:t>klinických štúdiách, v</w:t>
      </w:r>
      <w:r w:rsidR="00F83C56" w:rsidRPr="006511C1">
        <w:t> </w:t>
      </w:r>
      <w:r w:rsidRPr="006B6885">
        <w:t>ktorých bolo zahrnuté aj oftalmologické vyšetrenie, bol výskyt zníženia zrakovej ostrosti a</w:t>
      </w:r>
      <w:r w:rsidR="00F83C56" w:rsidRPr="006511C1">
        <w:t> </w:t>
      </w:r>
      <w:r w:rsidRPr="006B6885">
        <w:t>zmien zorného poľa väčší u</w:t>
      </w:r>
      <w:r w:rsidR="00F83C56" w:rsidRPr="006511C1">
        <w:t> </w:t>
      </w:r>
      <w:r w:rsidRPr="006B6885">
        <w:t>pacie</w:t>
      </w:r>
      <w:r w:rsidR="00CA26E0" w:rsidRPr="006B6885">
        <w:t xml:space="preserve">ntov liečených pregabalínom ako u pacientov </w:t>
      </w:r>
      <w:r w:rsidRPr="006B6885">
        <w:t xml:space="preserve">liečených placebom; výskyt zmien </w:t>
      </w:r>
      <w:proofErr w:type="gramStart"/>
      <w:r w:rsidRPr="006B6885">
        <w:t>na</w:t>
      </w:r>
      <w:proofErr w:type="gramEnd"/>
      <w:r w:rsidRPr="006B6885">
        <w:t xml:space="preserve"> očnom pozadí bol väčší u</w:t>
      </w:r>
      <w:r w:rsidR="00CA26E0" w:rsidRPr="006B6885">
        <w:t> </w:t>
      </w:r>
      <w:r w:rsidRPr="006B6885">
        <w:t>pacientov</w:t>
      </w:r>
      <w:r w:rsidR="00B70272" w:rsidRPr="006511C1">
        <w:t>, ktorí užívali</w:t>
      </w:r>
      <w:r w:rsidRPr="006B6885">
        <w:t xml:space="preserve"> placebom (pozri časť 5.1).</w:t>
      </w:r>
    </w:p>
    <w:p w14:paraId="3BD7B11B" w14:textId="77777777" w:rsidR="00D33388" w:rsidRPr="006B6885" w:rsidRDefault="00D33388" w:rsidP="00D33388">
      <w:pPr>
        <w:outlineLvl w:val="0"/>
      </w:pPr>
    </w:p>
    <w:p w14:paraId="5CB22469" w14:textId="6CCDB743" w:rsidR="00D33388" w:rsidRPr="006B6885" w:rsidRDefault="00D33388" w:rsidP="00D33388">
      <w:pPr>
        <w:outlineLvl w:val="0"/>
      </w:pPr>
      <w:r w:rsidRPr="006B6885">
        <w:t xml:space="preserve">Po uvedení lieku </w:t>
      </w:r>
      <w:proofErr w:type="gramStart"/>
      <w:r w:rsidRPr="006B6885">
        <w:t>na</w:t>
      </w:r>
      <w:proofErr w:type="gramEnd"/>
      <w:r w:rsidRPr="006B6885">
        <w:t xml:space="preserve"> trh boli tiež h</w:t>
      </w:r>
      <w:r w:rsidR="00CA26E0" w:rsidRPr="006B6885">
        <w:t>lásené zrakové nežiaduce reakcie</w:t>
      </w:r>
      <w:r w:rsidRPr="006B6885">
        <w:t>, vrátane straty zraku, rozmazaného videnia alebo iných zmien zrakovej ostrosti, z</w:t>
      </w:r>
      <w:r w:rsidR="00F83C56" w:rsidRPr="006511C1">
        <w:t> </w:t>
      </w:r>
      <w:r w:rsidRPr="006B6885">
        <w:t>ktorých mnohé boli prechodné. Prerušenie liečby pregabalínom môže viesť k</w:t>
      </w:r>
      <w:r w:rsidR="00F83C56" w:rsidRPr="006511C1">
        <w:t> </w:t>
      </w:r>
      <w:r w:rsidRPr="006B6885">
        <w:t>vymiznutiu alebo zlepšeniu týchto zrakových príznakov.</w:t>
      </w:r>
    </w:p>
    <w:p w14:paraId="392BB48D" w14:textId="77777777" w:rsidR="00D33388" w:rsidRPr="006B6885" w:rsidRDefault="00D33388" w:rsidP="00D33388">
      <w:pPr>
        <w:outlineLvl w:val="0"/>
      </w:pPr>
    </w:p>
    <w:p w14:paraId="5CBA47FB" w14:textId="3300E9AA" w:rsidR="00D33388" w:rsidRPr="006B6885" w:rsidRDefault="00CA26E0" w:rsidP="00CA26E0">
      <w:pPr>
        <w:keepNext/>
        <w:outlineLvl w:val="0"/>
        <w:rPr>
          <w:i/>
        </w:rPr>
      </w:pPr>
      <w:r w:rsidRPr="006511C1">
        <w:rPr>
          <w:i/>
        </w:rPr>
        <w:t>Zlyh</w:t>
      </w:r>
      <w:r w:rsidR="00F83C56" w:rsidRPr="006511C1">
        <w:rPr>
          <w:i/>
        </w:rPr>
        <w:t>áv</w:t>
      </w:r>
      <w:r w:rsidR="00D33388" w:rsidRPr="006511C1">
        <w:rPr>
          <w:i/>
        </w:rPr>
        <w:t>anie</w:t>
      </w:r>
      <w:r w:rsidRPr="006B6885">
        <w:rPr>
          <w:i/>
        </w:rPr>
        <w:t xml:space="preserve"> obličiek</w:t>
      </w:r>
    </w:p>
    <w:p w14:paraId="71686250" w14:textId="6F9CACBB" w:rsidR="00D33388" w:rsidRPr="006B6885" w:rsidRDefault="00D33388" w:rsidP="00D33388">
      <w:pPr>
        <w:outlineLvl w:val="0"/>
      </w:pPr>
      <w:r w:rsidRPr="006B6885">
        <w:t xml:space="preserve">Boli </w:t>
      </w:r>
      <w:r w:rsidR="00371377" w:rsidRPr="006B6885">
        <w:t xml:space="preserve">hlásené prípady </w:t>
      </w:r>
      <w:r w:rsidR="00371377" w:rsidRPr="006511C1">
        <w:t>zlyh</w:t>
      </w:r>
      <w:r w:rsidR="00F83C56" w:rsidRPr="006511C1">
        <w:t>áv</w:t>
      </w:r>
      <w:r w:rsidRPr="006511C1">
        <w:t>ania</w:t>
      </w:r>
      <w:r w:rsidR="00371377" w:rsidRPr="006B6885">
        <w:t xml:space="preserve"> obličiek</w:t>
      </w:r>
      <w:r w:rsidRPr="006B6885">
        <w:t xml:space="preserve"> a</w:t>
      </w:r>
      <w:r w:rsidR="00F83C56" w:rsidRPr="006511C1">
        <w:t> </w:t>
      </w:r>
      <w:r w:rsidRPr="006B6885">
        <w:t>v</w:t>
      </w:r>
      <w:r w:rsidR="00F83C56" w:rsidRPr="006511C1">
        <w:t> </w:t>
      </w:r>
      <w:r w:rsidRPr="006B6885">
        <w:t>niektorých prípadoch prerušenie liečby pregabalínom viedlo k</w:t>
      </w:r>
      <w:r w:rsidR="00F83C56" w:rsidRPr="006511C1">
        <w:t> </w:t>
      </w:r>
      <w:r w:rsidRPr="006B6885">
        <w:t>reverzibilite tejto nežiaducej reakcie.</w:t>
      </w:r>
    </w:p>
    <w:p w14:paraId="4C909A1D" w14:textId="77777777" w:rsidR="00D33388" w:rsidRPr="006B6885" w:rsidRDefault="00D33388" w:rsidP="00D33388">
      <w:pPr>
        <w:outlineLvl w:val="0"/>
      </w:pPr>
    </w:p>
    <w:p w14:paraId="62751889" w14:textId="77777777" w:rsidR="00D33388" w:rsidRPr="006B6885" w:rsidRDefault="00D33388" w:rsidP="00371377">
      <w:pPr>
        <w:keepNext/>
        <w:outlineLvl w:val="0"/>
        <w:rPr>
          <w:i/>
        </w:rPr>
      </w:pPr>
      <w:r w:rsidRPr="006B6885">
        <w:rPr>
          <w:i/>
        </w:rPr>
        <w:t>Vysadenie súčasne podávaných antiepileptík</w:t>
      </w:r>
    </w:p>
    <w:p w14:paraId="413B1CFB" w14:textId="689B6ECD" w:rsidR="00D33388" w:rsidRPr="006B6885" w:rsidRDefault="00D33388" w:rsidP="00D33388">
      <w:pPr>
        <w:outlineLvl w:val="0"/>
      </w:pPr>
      <w:r w:rsidRPr="006B6885">
        <w:t>Nie sú dostatočné ú</w:t>
      </w:r>
      <w:r w:rsidR="00371377" w:rsidRPr="006B6885">
        <w:t xml:space="preserve">daje týkajúce </w:t>
      </w:r>
      <w:proofErr w:type="gramStart"/>
      <w:r w:rsidR="00371377" w:rsidRPr="006B6885">
        <w:t>sa</w:t>
      </w:r>
      <w:proofErr w:type="gramEnd"/>
      <w:r w:rsidR="00371377" w:rsidRPr="006B6885">
        <w:t xml:space="preserve"> vysadenia súbež</w:t>
      </w:r>
      <w:r w:rsidRPr="006B6885">
        <w:t>ne podávaných antiepileptík, akonáhle sa po pridaní pregabalínu dosiahne kontrola záchvatu tak, ab</w:t>
      </w:r>
      <w:r w:rsidR="00371377" w:rsidRPr="006B6885">
        <w:t xml:space="preserve">y bolo možné podávať pregabalín </w:t>
      </w:r>
      <w:r w:rsidRPr="006B6885">
        <w:t>v</w:t>
      </w:r>
      <w:r w:rsidR="00F83C56" w:rsidRPr="006511C1">
        <w:t> </w:t>
      </w:r>
      <w:r w:rsidRPr="006B6885">
        <w:t>monoterapii.</w:t>
      </w:r>
    </w:p>
    <w:p w14:paraId="13D3A187" w14:textId="77777777" w:rsidR="00D33388" w:rsidRPr="006B6885" w:rsidRDefault="00D33388" w:rsidP="00D33388">
      <w:pPr>
        <w:outlineLvl w:val="0"/>
      </w:pPr>
    </w:p>
    <w:p w14:paraId="38E87170" w14:textId="77777777" w:rsidR="00D33388" w:rsidRPr="006511C1" w:rsidRDefault="00F93497" w:rsidP="00371377">
      <w:pPr>
        <w:keepNext/>
        <w:outlineLvl w:val="0"/>
        <w:rPr>
          <w:i/>
        </w:rPr>
      </w:pPr>
      <w:r w:rsidRPr="006511C1">
        <w:rPr>
          <w:i/>
        </w:rPr>
        <w:t>P</w:t>
      </w:r>
      <w:r w:rsidR="00D33388" w:rsidRPr="006511C1">
        <w:rPr>
          <w:i/>
        </w:rPr>
        <w:t>ríznaky</w:t>
      </w:r>
      <w:r w:rsidRPr="006511C1">
        <w:rPr>
          <w:i/>
        </w:rPr>
        <w:t xml:space="preserve"> z</w:t>
      </w:r>
      <w:r w:rsidR="00F83C56" w:rsidRPr="006511C1">
        <w:rPr>
          <w:i/>
        </w:rPr>
        <w:t> </w:t>
      </w:r>
      <w:r w:rsidRPr="006511C1">
        <w:rPr>
          <w:i/>
        </w:rPr>
        <w:t>vysadenia</w:t>
      </w:r>
    </w:p>
    <w:p w14:paraId="4854B4C5" w14:textId="68B1329C" w:rsidR="00D33388" w:rsidRPr="006B6885" w:rsidRDefault="00D33388" w:rsidP="00D33388">
      <w:pPr>
        <w:outlineLvl w:val="0"/>
      </w:pPr>
      <w:r w:rsidRPr="006B6885">
        <w:t>Po ukončení krátkodobej a</w:t>
      </w:r>
      <w:r w:rsidR="00F83C56" w:rsidRPr="006511C1">
        <w:t> </w:t>
      </w:r>
      <w:r w:rsidRPr="006B6885">
        <w:t>dlhodobej liečby pregabalínom boli u</w:t>
      </w:r>
      <w:r w:rsidR="00F83C56" w:rsidRPr="006511C1">
        <w:t> </w:t>
      </w:r>
      <w:r w:rsidRPr="006B6885">
        <w:t>niektorých pacientov pozorované príznaky</w:t>
      </w:r>
      <w:r w:rsidR="00F93497" w:rsidRPr="006511C1">
        <w:t xml:space="preserve"> z</w:t>
      </w:r>
      <w:r w:rsidR="00F83C56" w:rsidRPr="006511C1">
        <w:t> </w:t>
      </w:r>
      <w:r w:rsidR="00F93497" w:rsidRPr="006511C1">
        <w:t>vysadenia</w:t>
      </w:r>
      <w:r w:rsidR="00371377" w:rsidRPr="006B6885">
        <w:t xml:space="preserve">. Uvádzajú </w:t>
      </w:r>
      <w:proofErr w:type="gramStart"/>
      <w:r w:rsidR="00371377" w:rsidRPr="006B6885">
        <w:t>sa</w:t>
      </w:r>
      <w:proofErr w:type="gramEnd"/>
      <w:r w:rsidR="00371377" w:rsidRPr="006B6885">
        <w:t xml:space="preserve"> nasledujúce udalosti</w:t>
      </w:r>
      <w:r w:rsidRPr="006B6885">
        <w:t xml:space="preserve">: </w:t>
      </w:r>
      <w:r w:rsidR="00181363" w:rsidRPr="006B6885">
        <w:t>insomnia</w:t>
      </w:r>
      <w:r w:rsidRPr="006B6885">
        <w:t xml:space="preserve">, bolesť hlavy, nauzea, úzkosť, </w:t>
      </w:r>
      <w:r w:rsidRPr="006B6885">
        <w:lastRenderedPageBreak/>
        <w:t>hnačka, chrípkový syndróm, nervozita, depresia, bolesť, kŕče, hyperhidróza a</w:t>
      </w:r>
      <w:r w:rsidR="00F83C56" w:rsidRPr="006511C1">
        <w:t> </w:t>
      </w:r>
      <w:r w:rsidRPr="006B6885">
        <w:t>závrat, naznačujúce fyzickú závislosť. Pacient má byť o</w:t>
      </w:r>
      <w:r w:rsidR="00F83C56" w:rsidRPr="006511C1">
        <w:t> </w:t>
      </w:r>
      <w:r w:rsidRPr="006B6885">
        <w:t xml:space="preserve">tom informovaný </w:t>
      </w:r>
      <w:proofErr w:type="gramStart"/>
      <w:r w:rsidRPr="006B6885">
        <w:t>na</w:t>
      </w:r>
      <w:proofErr w:type="gramEnd"/>
      <w:r w:rsidRPr="006B6885">
        <w:t xml:space="preserve"> začiatku liečby.</w:t>
      </w:r>
    </w:p>
    <w:p w14:paraId="74A7D6A9" w14:textId="77777777" w:rsidR="00D33388" w:rsidRPr="006B6885" w:rsidRDefault="00D33388" w:rsidP="00D33388">
      <w:pPr>
        <w:outlineLvl w:val="0"/>
      </w:pPr>
    </w:p>
    <w:p w14:paraId="65E2FD37" w14:textId="70EF7179" w:rsidR="009F7F46" w:rsidRPr="006B6885" w:rsidRDefault="00D33388" w:rsidP="00D33388">
      <w:pPr>
        <w:outlineLvl w:val="0"/>
      </w:pPr>
      <w:r w:rsidRPr="006B6885">
        <w:t xml:space="preserve">Počas užívania pregabalínu alebo krátko po ukončení liečby pregabalínom </w:t>
      </w:r>
      <w:proofErr w:type="gramStart"/>
      <w:r w:rsidRPr="006B6885">
        <w:t>sa</w:t>
      </w:r>
      <w:proofErr w:type="gramEnd"/>
      <w:r w:rsidRPr="006B6885">
        <w:t xml:space="preserve"> môžu vyskytnúť kŕče vrátane epileptických záchvatov</w:t>
      </w:r>
      <w:r w:rsidR="00371377" w:rsidRPr="006B6885">
        <w:t xml:space="preserve"> typu </w:t>
      </w:r>
      <w:r w:rsidR="00371377" w:rsidRPr="006B6885">
        <w:rPr>
          <w:i/>
        </w:rPr>
        <w:t>status epilepticus</w:t>
      </w:r>
      <w:r w:rsidR="00371377" w:rsidRPr="006B6885">
        <w:t xml:space="preserve"> a</w:t>
      </w:r>
      <w:r w:rsidR="00F83C56" w:rsidRPr="006511C1">
        <w:t> </w:t>
      </w:r>
      <w:r w:rsidR="00371377" w:rsidRPr="006B6885">
        <w:t>kŕč</w:t>
      </w:r>
      <w:r w:rsidRPr="006B6885">
        <w:t>ov typu grand mal.</w:t>
      </w:r>
    </w:p>
    <w:p w14:paraId="50190F81" w14:textId="77777777" w:rsidR="00371377" w:rsidRPr="006B6885" w:rsidRDefault="00371377" w:rsidP="00D33388">
      <w:pPr>
        <w:outlineLvl w:val="0"/>
      </w:pPr>
    </w:p>
    <w:p w14:paraId="6C74B09C" w14:textId="5151BDE3" w:rsidR="00371377" w:rsidRPr="006B6885" w:rsidRDefault="00371377" w:rsidP="00371377">
      <w:pPr>
        <w:outlineLvl w:val="0"/>
      </w:pPr>
      <w:r w:rsidRPr="006B6885">
        <w:t xml:space="preserve">Čo </w:t>
      </w:r>
      <w:proofErr w:type="gramStart"/>
      <w:r w:rsidRPr="006B6885">
        <w:t>sa</w:t>
      </w:r>
      <w:proofErr w:type="gramEnd"/>
      <w:r w:rsidRPr="006B6885">
        <w:t xml:space="preserve"> týka ukončenia dlhodobej liečby pregabalínom, údaje naznačujú, že výskyt a</w:t>
      </w:r>
      <w:r w:rsidR="00F83C56" w:rsidRPr="00531EC4">
        <w:t> </w:t>
      </w:r>
      <w:r w:rsidRPr="006B6885">
        <w:t>závažnosť príznakov</w:t>
      </w:r>
      <w:r w:rsidR="00F93497" w:rsidRPr="00531EC4">
        <w:t xml:space="preserve"> z</w:t>
      </w:r>
      <w:r w:rsidR="00F83C56" w:rsidRPr="00531EC4">
        <w:t> </w:t>
      </w:r>
      <w:r w:rsidR="00F93497" w:rsidRPr="00531EC4">
        <w:t>vysadenia</w:t>
      </w:r>
      <w:r w:rsidRPr="006B6885">
        <w:t xml:space="preserve"> môžu byť závislé od dávky.</w:t>
      </w:r>
    </w:p>
    <w:p w14:paraId="53A84E53" w14:textId="77777777" w:rsidR="00371377" w:rsidRPr="006B6885" w:rsidRDefault="00371377" w:rsidP="00371377">
      <w:pPr>
        <w:outlineLvl w:val="0"/>
      </w:pPr>
    </w:p>
    <w:p w14:paraId="7AD1B784" w14:textId="280E0760" w:rsidR="00371377" w:rsidRPr="006B6885" w:rsidRDefault="001006D5" w:rsidP="00E4439F">
      <w:pPr>
        <w:keepNext/>
        <w:outlineLvl w:val="0"/>
        <w:rPr>
          <w:i/>
        </w:rPr>
      </w:pPr>
      <w:r w:rsidRPr="006B6885">
        <w:rPr>
          <w:i/>
        </w:rPr>
        <w:t xml:space="preserve">Kongestívne srdcové </w:t>
      </w:r>
      <w:r w:rsidRPr="00531EC4">
        <w:rPr>
          <w:i/>
        </w:rPr>
        <w:t>zlyh</w:t>
      </w:r>
      <w:r w:rsidR="00F83C56" w:rsidRPr="00531EC4">
        <w:rPr>
          <w:i/>
        </w:rPr>
        <w:t>áv</w:t>
      </w:r>
      <w:r w:rsidR="00371377" w:rsidRPr="00531EC4">
        <w:rPr>
          <w:i/>
        </w:rPr>
        <w:t>anie</w:t>
      </w:r>
    </w:p>
    <w:p w14:paraId="5A7A3C56" w14:textId="59A0241B" w:rsidR="00371377" w:rsidRPr="006B6885" w:rsidRDefault="00371377" w:rsidP="00371377">
      <w:pPr>
        <w:outlineLvl w:val="0"/>
      </w:pPr>
      <w:r w:rsidRPr="006B6885">
        <w:t xml:space="preserve">Po uvedení lieku </w:t>
      </w:r>
      <w:proofErr w:type="gramStart"/>
      <w:r w:rsidRPr="006B6885">
        <w:t>na</w:t>
      </w:r>
      <w:proofErr w:type="gramEnd"/>
      <w:r w:rsidRPr="006B6885">
        <w:t xml:space="preserve"> trh boli</w:t>
      </w:r>
      <w:r w:rsidR="00AF1AA1" w:rsidRPr="006B6885">
        <w:t xml:space="preserve"> u</w:t>
      </w:r>
      <w:r w:rsidR="00F83C56" w:rsidRPr="00531EC4">
        <w:t> </w:t>
      </w:r>
      <w:r w:rsidR="00AF1AA1" w:rsidRPr="006B6885">
        <w:t>niektorých pacientov užívajúcich pregabalín</w:t>
      </w:r>
      <w:r w:rsidRPr="006B6885">
        <w:t xml:space="preserve"> hlásené prípad</w:t>
      </w:r>
      <w:r w:rsidR="001006D5" w:rsidRPr="006B6885">
        <w:t xml:space="preserve">y kongestívneho srdcového </w:t>
      </w:r>
      <w:r w:rsidR="001006D5" w:rsidRPr="00531EC4">
        <w:t>zlyh</w:t>
      </w:r>
      <w:r w:rsidR="00F83C56" w:rsidRPr="00531EC4">
        <w:t>áv</w:t>
      </w:r>
      <w:r w:rsidRPr="00531EC4">
        <w:t>ania</w:t>
      </w:r>
      <w:r w:rsidRPr="006B6885">
        <w:t xml:space="preserve">. Tieto reakcie sú najčastejšie </w:t>
      </w:r>
      <w:r w:rsidR="001006D5" w:rsidRPr="006B6885">
        <w:t>pozorované u</w:t>
      </w:r>
      <w:r w:rsidR="00F83C56" w:rsidRPr="00531EC4">
        <w:t> </w:t>
      </w:r>
      <w:r w:rsidR="001006D5" w:rsidRPr="006B6885">
        <w:t xml:space="preserve">starších pacientov </w:t>
      </w:r>
      <w:r w:rsidRPr="006B6885">
        <w:t>s</w:t>
      </w:r>
      <w:r w:rsidR="00F83C56" w:rsidRPr="00531EC4">
        <w:t> </w:t>
      </w:r>
      <w:r w:rsidRPr="006B6885">
        <w:t xml:space="preserve">kardiovaskulárnymi ochoreniami počas liečby pregabalínom </w:t>
      </w:r>
      <w:proofErr w:type="gramStart"/>
      <w:r w:rsidRPr="006B6885">
        <w:t>na</w:t>
      </w:r>
      <w:proofErr w:type="gramEnd"/>
      <w:r w:rsidRPr="006B6885">
        <w:t xml:space="preserve"> neuropatickú indikáciu. Pregabalín </w:t>
      </w:r>
      <w:proofErr w:type="gramStart"/>
      <w:r w:rsidRPr="006B6885">
        <w:t>sa</w:t>
      </w:r>
      <w:proofErr w:type="gramEnd"/>
      <w:r w:rsidRPr="006B6885">
        <w:t xml:space="preserve"> má u</w:t>
      </w:r>
      <w:r w:rsidR="00F83C56" w:rsidRPr="00531EC4">
        <w:t> </w:t>
      </w:r>
      <w:r w:rsidRPr="006B6885">
        <w:t>týchto pacientov podávať s</w:t>
      </w:r>
      <w:r w:rsidR="00F83C56" w:rsidRPr="00531EC4">
        <w:t> </w:t>
      </w:r>
      <w:r w:rsidRPr="006B6885">
        <w:t>opatrnosťou. Ukončenie p</w:t>
      </w:r>
      <w:r w:rsidR="001006D5" w:rsidRPr="006B6885">
        <w:t xml:space="preserve">odávania pregabalínu môže viesť </w:t>
      </w:r>
      <w:r w:rsidRPr="006B6885">
        <w:t>k</w:t>
      </w:r>
      <w:r w:rsidR="00F83C56" w:rsidRPr="00531EC4">
        <w:t> </w:t>
      </w:r>
      <w:r w:rsidRPr="006B6885">
        <w:t>odozneniu reakcie.</w:t>
      </w:r>
    </w:p>
    <w:p w14:paraId="1E6992F9" w14:textId="77777777" w:rsidR="00371377" w:rsidRPr="006B6885" w:rsidRDefault="00371377" w:rsidP="00371377">
      <w:pPr>
        <w:outlineLvl w:val="0"/>
      </w:pPr>
    </w:p>
    <w:p w14:paraId="53382B3B" w14:textId="6F96009D" w:rsidR="00371377" w:rsidRPr="006B6885" w:rsidRDefault="00371377" w:rsidP="001006D5">
      <w:pPr>
        <w:keepNext/>
        <w:outlineLvl w:val="0"/>
        <w:rPr>
          <w:i/>
        </w:rPr>
      </w:pPr>
      <w:r w:rsidRPr="006B6885">
        <w:rPr>
          <w:i/>
        </w:rPr>
        <w:t>Liečba centrálnej neuropatickej bolesti v</w:t>
      </w:r>
      <w:r w:rsidR="00F83C56" w:rsidRPr="00531EC4">
        <w:rPr>
          <w:i/>
        </w:rPr>
        <w:t> </w:t>
      </w:r>
      <w:r w:rsidRPr="006B6885">
        <w:rPr>
          <w:i/>
        </w:rPr>
        <w:t>dôsledku poškodenia miechy</w:t>
      </w:r>
    </w:p>
    <w:p w14:paraId="2CDF48EE" w14:textId="3C53961E" w:rsidR="00371377" w:rsidRPr="006B6885" w:rsidRDefault="00371377" w:rsidP="00371377">
      <w:pPr>
        <w:outlineLvl w:val="0"/>
      </w:pPr>
      <w:r w:rsidRPr="006B6885">
        <w:t>Pri liečbe centrálnej neuropatickej bolesti v</w:t>
      </w:r>
      <w:r w:rsidR="00F83C56" w:rsidRPr="00531EC4">
        <w:t> </w:t>
      </w:r>
      <w:r w:rsidRPr="006B6885">
        <w:t xml:space="preserve">dôsledku poškodenia miechy </w:t>
      </w:r>
      <w:proofErr w:type="gramStart"/>
      <w:r w:rsidRPr="006B6885">
        <w:t>sa</w:t>
      </w:r>
      <w:proofErr w:type="gramEnd"/>
      <w:r w:rsidRPr="006B6885">
        <w:t xml:space="preserve"> zaznamenal zvýšený výskyt nežiaducich reakcií všeobecne, nežiaducich reakcií</w:t>
      </w:r>
      <w:r w:rsidR="001006D5" w:rsidRPr="006B6885">
        <w:t xml:space="preserve"> na centrálnu nervovú sústavu</w:t>
      </w:r>
      <w:r w:rsidRPr="006B6885">
        <w:t xml:space="preserve"> a</w:t>
      </w:r>
      <w:r w:rsidR="00F83C56" w:rsidRPr="00531EC4">
        <w:t> </w:t>
      </w:r>
      <w:r w:rsidRPr="006B6885">
        <w:t xml:space="preserve">zvlášť somnolencie. Môže </w:t>
      </w:r>
      <w:proofErr w:type="gramStart"/>
      <w:r w:rsidRPr="006B6885">
        <w:t>sa</w:t>
      </w:r>
      <w:proofErr w:type="gramEnd"/>
      <w:r w:rsidRPr="006B6885">
        <w:t xml:space="preserve"> to pripísať aditívnemu účinku sprievodnej liečby (napr. spazmolytika</w:t>
      </w:r>
      <w:r w:rsidR="001006D5" w:rsidRPr="006B6885">
        <w:t>mi) potrebnej pri tomto stave</w:t>
      </w:r>
      <w:r w:rsidRPr="006B6885">
        <w:t xml:space="preserve">. Toto </w:t>
      </w:r>
      <w:proofErr w:type="gramStart"/>
      <w:r w:rsidRPr="006B6885">
        <w:t>sa</w:t>
      </w:r>
      <w:proofErr w:type="gramEnd"/>
      <w:r w:rsidRPr="006B6885">
        <w:t xml:space="preserve"> má zvážiť pri predpisovan</w:t>
      </w:r>
      <w:r w:rsidR="001006D5" w:rsidRPr="006B6885">
        <w:t>í pregabalínu pri tomto stave</w:t>
      </w:r>
      <w:r w:rsidRPr="006B6885">
        <w:t>.</w:t>
      </w:r>
    </w:p>
    <w:p w14:paraId="0CFDABC7" w14:textId="77777777" w:rsidR="00371377" w:rsidRPr="006B6885" w:rsidRDefault="00371377" w:rsidP="00371377">
      <w:pPr>
        <w:outlineLvl w:val="0"/>
      </w:pPr>
    </w:p>
    <w:p w14:paraId="7AB3B88C" w14:textId="6DB2CE91" w:rsidR="00371377" w:rsidRPr="006B6885" w:rsidRDefault="00371377" w:rsidP="001006D5">
      <w:pPr>
        <w:keepNext/>
        <w:outlineLvl w:val="0"/>
        <w:rPr>
          <w:i/>
        </w:rPr>
      </w:pPr>
      <w:r w:rsidRPr="006B6885">
        <w:rPr>
          <w:i/>
        </w:rPr>
        <w:t>Samovražedné myšlienky a</w:t>
      </w:r>
      <w:r w:rsidR="00F83C56" w:rsidRPr="00531EC4">
        <w:rPr>
          <w:i/>
        </w:rPr>
        <w:t> </w:t>
      </w:r>
      <w:r w:rsidRPr="006B6885">
        <w:rPr>
          <w:i/>
        </w:rPr>
        <w:t>správanie</w:t>
      </w:r>
    </w:p>
    <w:p w14:paraId="5BBBC918" w14:textId="6D525154" w:rsidR="00371377" w:rsidRPr="006B6885" w:rsidRDefault="00257122" w:rsidP="00371377">
      <w:pPr>
        <w:outlineLvl w:val="0"/>
      </w:pPr>
      <w:r w:rsidRPr="006B6885">
        <w:t>U</w:t>
      </w:r>
      <w:r w:rsidR="00F83C56" w:rsidRPr="00531EC4">
        <w:t> </w:t>
      </w:r>
      <w:r w:rsidRPr="006B6885">
        <w:t>pacientov liečených antiepileptikami v</w:t>
      </w:r>
      <w:r w:rsidR="00F83C56" w:rsidRPr="00531EC4">
        <w:t> </w:t>
      </w:r>
      <w:r w:rsidRPr="006B6885">
        <w:t>niekoľkých indikáciách boli hlásené s</w:t>
      </w:r>
      <w:r w:rsidR="00371377" w:rsidRPr="006B6885">
        <w:t>amovražedné my</w:t>
      </w:r>
      <w:r w:rsidRPr="006B6885">
        <w:t>šlienky a</w:t>
      </w:r>
      <w:r w:rsidR="00F83C56" w:rsidRPr="00531EC4">
        <w:t> </w:t>
      </w:r>
      <w:r w:rsidRPr="006B6885">
        <w:t>správanie</w:t>
      </w:r>
      <w:r w:rsidR="00371377" w:rsidRPr="006B6885">
        <w:t xml:space="preserve">. Meta-analýza randomizovaných placebom kontrolovaných štúdií antiepileptík tiež </w:t>
      </w:r>
      <w:r w:rsidRPr="006B6885">
        <w:t>pre</w:t>
      </w:r>
      <w:r w:rsidR="00371377" w:rsidRPr="006B6885">
        <w:t xml:space="preserve">ukázala </w:t>
      </w:r>
      <w:r w:rsidR="00606448" w:rsidRPr="00531EC4">
        <w:t xml:space="preserve">malé zvýšenie rizika </w:t>
      </w:r>
      <w:r w:rsidR="00371377" w:rsidRPr="006B6885">
        <w:t>samovražedných myšlienok a</w:t>
      </w:r>
      <w:r w:rsidR="00F83C56" w:rsidRPr="00531EC4">
        <w:t> </w:t>
      </w:r>
      <w:r w:rsidR="00371377" w:rsidRPr="006B6885">
        <w:t>správania. Mechanizmus tohto rizika nie je známy a</w:t>
      </w:r>
      <w:r w:rsidR="00F83C56" w:rsidRPr="00531EC4">
        <w:t> </w:t>
      </w:r>
      <w:r w:rsidR="00371377" w:rsidRPr="006B6885">
        <w:t>dostupné údaje nevyl</w:t>
      </w:r>
      <w:r w:rsidRPr="006B6885">
        <w:t>učujú možnosť zvýšeného rizika pri pregabalíne</w:t>
      </w:r>
      <w:r w:rsidR="00371377" w:rsidRPr="006B6885">
        <w:t>.</w:t>
      </w:r>
    </w:p>
    <w:p w14:paraId="4E1E8FAF" w14:textId="77777777" w:rsidR="00371377" w:rsidRPr="006B6885" w:rsidRDefault="00371377" w:rsidP="00371377">
      <w:pPr>
        <w:outlineLvl w:val="0"/>
      </w:pPr>
    </w:p>
    <w:p w14:paraId="057B10FB" w14:textId="0EA60A40" w:rsidR="00371377" w:rsidRPr="006B6885" w:rsidRDefault="00371377" w:rsidP="00371377">
      <w:pPr>
        <w:outlineLvl w:val="0"/>
      </w:pPr>
      <w:r w:rsidRPr="006B6885">
        <w:t xml:space="preserve">Pacienti majú byť preto sledovaní kvôli </w:t>
      </w:r>
      <w:r w:rsidR="00B70272" w:rsidRPr="00531EC4">
        <w:t>prejavom</w:t>
      </w:r>
      <w:r w:rsidR="00B70272" w:rsidRPr="006B6885">
        <w:t xml:space="preserve"> </w:t>
      </w:r>
      <w:r w:rsidRPr="006B6885">
        <w:t>samovražedných myšlienok a</w:t>
      </w:r>
      <w:r w:rsidR="00F83C56" w:rsidRPr="00531EC4">
        <w:t> </w:t>
      </w:r>
      <w:r w:rsidRPr="006B6885">
        <w:t>správania a</w:t>
      </w:r>
      <w:r w:rsidR="00F83C56" w:rsidRPr="00531EC4">
        <w:t> </w:t>
      </w:r>
      <w:r w:rsidRPr="006B6885">
        <w:t xml:space="preserve">má </w:t>
      </w:r>
      <w:proofErr w:type="gramStart"/>
      <w:r w:rsidRPr="006B6885">
        <w:t>sa</w:t>
      </w:r>
      <w:proofErr w:type="gramEnd"/>
      <w:r w:rsidRPr="006B6885">
        <w:t xml:space="preserve"> u</w:t>
      </w:r>
      <w:r w:rsidR="00F83C56" w:rsidRPr="00531EC4">
        <w:t> </w:t>
      </w:r>
      <w:r w:rsidRPr="006B6885">
        <w:t>nich zvážiť vhodná liečba. Pacienti (a</w:t>
      </w:r>
      <w:r w:rsidR="00F83C56" w:rsidRPr="00531EC4">
        <w:t> </w:t>
      </w:r>
      <w:r w:rsidRPr="006B6885">
        <w:t xml:space="preserve">ich opatrovatelia) majú byť upozornení, aby vyhľadali lekársku pomoc, </w:t>
      </w:r>
      <w:proofErr w:type="gramStart"/>
      <w:r w:rsidRPr="006B6885">
        <w:t>ak</w:t>
      </w:r>
      <w:proofErr w:type="gramEnd"/>
      <w:r w:rsidRPr="006B6885">
        <w:t xml:space="preserve"> sa </w:t>
      </w:r>
      <w:r w:rsidR="00B70272" w:rsidRPr="00531EC4">
        <w:t>prejavy</w:t>
      </w:r>
      <w:r w:rsidR="00B70272" w:rsidRPr="006B6885">
        <w:t xml:space="preserve"> </w:t>
      </w:r>
      <w:r w:rsidRPr="006B6885">
        <w:t>samovražedných myšlienok alebo správania objavia.</w:t>
      </w:r>
    </w:p>
    <w:p w14:paraId="5D472FF1" w14:textId="77777777" w:rsidR="00371377" w:rsidRPr="006B6885" w:rsidRDefault="00371377" w:rsidP="00371377">
      <w:pPr>
        <w:outlineLvl w:val="0"/>
      </w:pPr>
    </w:p>
    <w:p w14:paraId="0F072AB0" w14:textId="77777777" w:rsidR="00371377" w:rsidRPr="006B6885" w:rsidRDefault="00257122" w:rsidP="00257122">
      <w:pPr>
        <w:keepNext/>
        <w:outlineLvl w:val="0"/>
        <w:rPr>
          <w:i/>
        </w:rPr>
      </w:pPr>
      <w:r w:rsidRPr="006B6885">
        <w:rPr>
          <w:i/>
        </w:rPr>
        <w:t>Znížená funkcia dolnej časti gastrointestinál</w:t>
      </w:r>
      <w:r w:rsidR="00371377" w:rsidRPr="006B6885">
        <w:rPr>
          <w:i/>
        </w:rPr>
        <w:t>eho traktu</w:t>
      </w:r>
    </w:p>
    <w:p w14:paraId="20FD5843" w14:textId="417ACA04" w:rsidR="00371377" w:rsidRPr="006B6885" w:rsidRDefault="00371377" w:rsidP="00371377">
      <w:pPr>
        <w:outlineLvl w:val="0"/>
      </w:pPr>
      <w:r w:rsidRPr="006B6885">
        <w:t xml:space="preserve">Po uvedení lieku </w:t>
      </w:r>
      <w:proofErr w:type="gramStart"/>
      <w:r w:rsidRPr="006B6885">
        <w:t>na</w:t>
      </w:r>
      <w:proofErr w:type="gramEnd"/>
      <w:r w:rsidRPr="006B6885">
        <w:t xml:space="preserve"> trh boli hl</w:t>
      </w:r>
      <w:r w:rsidR="00257122" w:rsidRPr="006B6885">
        <w:t>ásené udalosti súvisiace so zníženou funkciou dolnej časti gastrointestináln</w:t>
      </w:r>
      <w:r w:rsidRPr="006B6885">
        <w:t>eho traktu (napr. intestinálna obštrukci</w:t>
      </w:r>
      <w:r w:rsidR="000F23EC" w:rsidRPr="006B6885">
        <w:t>a, paralytický ileus, zápcha</w:t>
      </w:r>
      <w:r w:rsidRPr="006B6885">
        <w:t>), keď sa pregabalín podáv</w:t>
      </w:r>
      <w:r w:rsidR="000F23EC" w:rsidRPr="006B6885">
        <w:t>al súbežne</w:t>
      </w:r>
      <w:r w:rsidRPr="006B6885">
        <w:t xml:space="preserve"> s</w:t>
      </w:r>
      <w:r w:rsidR="00F83C56" w:rsidRPr="00531EC4">
        <w:t> </w:t>
      </w:r>
      <w:r w:rsidRPr="006B6885">
        <w:t>liekmi,</w:t>
      </w:r>
      <w:r w:rsidR="000F23EC" w:rsidRPr="006B6885">
        <w:t xml:space="preserve"> ktoré môžu spôsobovať zápch</w:t>
      </w:r>
      <w:r w:rsidRPr="006B6885">
        <w:t xml:space="preserve">u, ako sú napr. </w:t>
      </w:r>
      <w:proofErr w:type="gramStart"/>
      <w:r w:rsidRPr="006B6885">
        <w:t>opioidné</w:t>
      </w:r>
      <w:proofErr w:type="gramEnd"/>
      <w:r w:rsidRPr="006B6885">
        <w:t xml:space="preserve"> analgetiká. Keď </w:t>
      </w:r>
      <w:proofErr w:type="gramStart"/>
      <w:r w:rsidRPr="006B6885">
        <w:t>sa</w:t>
      </w:r>
      <w:proofErr w:type="gramEnd"/>
      <w:r w:rsidRPr="006B6885">
        <w:t xml:space="preserve"> bude pregabalín užívať</w:t>
      </w:r>
      <w:r w:rsidR="000F23EC" w:rsidRPr="006B6885">
        <w:t xml:space="preserve"> </w:t>
      </w:r>
      <w:r w:rsidRPr="006B6885">
        <w:t>v</w:t>
      </w:r>
      <w:r w:rsidR="00F83C56" w:rsidRPr="00531EC4">
        <w:t> </w:t>
      </w:r>
      <w:r w:rsidRPr="006B6885">
        <w:t>kombinácii s</w:t>
      </w:r>
      <w:r w:rsidR="00F83C56" w:rsidRPr="00531EC4">
        <w:t> </w:t>
      </w:r>
      <w:r w:rsidRPr="006B6885">
        <w:t>opioidmi, môžu sa zvážiť opatr</w:t>
      </w:r>
      <w:r w:rsidR="000F23EC" w:rsidRPr="006B6885">
        <w:t>enia na predchádzanie zápche (najmä</w:t>
      </w:r>
      <w:r w:rsidRPr="006B6885">
        <w:t xml:space="preserve"> u</w:t>
      </w:r>
      <w:r w:rsidR="00F83C56" w:rsidRPr="00531EC4">
        <w:t> </w:t>
      </w:r>
      <w:r w:rsidRPr="006B6885">
        <w:t>žien a</w:t>
      </w:r>
      <w:r w:rsidR="00F83C56" w:rsidRPr="00531EC4">
        <w:t> </w:t>
      </w:r>
      <w:r w:rsidRPr="006B6885">
        <w:t>starších pacientov).</w:t>
      </w:r>
    </w:p>
    <w:p w14:paraId="322FD044" w14:textId="77777777" w:rsidR="00371377" w:rsidRPr="006B6885" w:rsidRDefault="00371377" w:rsidP="00371377">
      <w:pPr>
        <w:outlineLvl w:val="0"/>
      </w:pPr>
    </w:p>
    <w:p w14:paraId="6F5596F1" w14:textId="1EA4C99B" w:rsidR="00371377" w:rsidRPr="006B6885" w:rsidRDefault="000F23EC" w:rsidP="000F23EC">
      <w:pPr>
        <w:keepNext/>
        <w:outlineLvl w:val="0"/>
        <w:rPr>
          <w:i/>
        </w:rPr>
      </w:pPr>
      <w:r w:rsidRPr="006B6885">
        <w:rPr>
          <w:i/>
        </w:rPr>
        <w:t>Zneužívanie</w:t>
      </w:r>
      <w:r w:rsidR="00371377" w:rsidRPr="006B6885">
        <w:rPr>
          <w:i/>
        </w:rPr>
        <w:t>, sklon k</w:t>
      </w:r>
      <w:r w:rsidR="00F83C56" w:rsidRPr="00531EC4">
        <w:rPr>
          <w:i/>
        </w:rPr>
        <w:t> </w:t>
      </w:r>
      <w:r w:rsidR="00371377" w:rsidRPr="006B6885">
        <w:rPr>
          <w:i/>
        </w:rPr>
        <w:t>nadmernému užívaniu liekov alebo závislosť</w:t>
      </w:r>
    </w:p>
    <w:p w14:paraId="418C9E60" w14:textId="2B232822" w:rsidR="00371377" w:rsidRPr="006B6885" w:rsidRDefault="000F23EC" w:rsidP="00371377">
      <w:pPr>
        <w:outlineLvl w:val="0"/>
      </w:pPr>
      <w:r w:rsidRPr="006B6885">
        <w:t>Boli hlásené prípady zneužívania</w:t>
      </w:r>
      <w:r w:rsidR="00371377" w:rsidRPr="006B6885">
        <w:t xml:space="preserve">, nadmerného užívania liekov </w:t>
      </w:r>
      <w:r w:rsidRPr="006B6885">
        <w:t>a</w:t>
      </w:r>
      <w:r w:rsidR="00F83C56" w:rsidRPr="00531EC4">
        <w:t> </w:t>
      </w:r>
      <w:r w:rsidRPr="006B6885">
        <w:t>závislosti. U</w:t>
      </w:r>
      <w:r w:rsidR="00F83C56" w:rsidRPr="00531EC4">
        <w:t> </w:t>
      </w:r>
      <w:r w:rsidR="00371377" w:rsidRPr="006B6885">
        <w:t>pacientov s</w:t>
      </w:r>
      <w:r w:rsidR="00F83C56" w:rsidRPr="00531EC4">
        <w:t> </w:t>
      </w:r>
      <w:r w:rsidR="00371377" w:rsidRPr="006B6885">
        <w:t>anamnézou nadmerného užívania návykových látok</w:t>
      </w:r>
      <w:r w:rsidRPr="006B6885">
        <w:t xml:space="preserve"> treba postupovať s</w:t>
      </w:r>
      <w:r w:rsidR="00F83C56" w:rsidRPr="00531EC4">
        <w:t> </w:t>
      </w:r>
      <w:r w:rsidRPr="006B6885">
        <w:t>opatrnosťou a</w:t>
      </w:r>
      <w:r w:rsidR="00F83C56" w:rsidRPr="00531EC4">
        <w:t> </w:t>
      </w:r>
      <w:r w:rsidRPr="006B6885">
        <w:t>u</w:t>
      </w:r>
      <w:r w:rsidR="00F83C56" w:rsidRPr="00531EC4">
        <w:t> </w:t>
      </w:r>
      <w:r w:rsidRPr="006B6885">
        <w:t>takýto pacienti majú byť sledovaní pre</w:t>
      </w:r>
      <w:r w:rsidR="00313A76" w:rsidRPr="006B6885">
        <w:t xml:space="preserve"> príznaky zneužívan</w:t>
      </w:r>
      <w:r w:rsidR="00371377" w:rsidRPr="006B6885">
        <w:t>ia pregabalínu, nadmerného užívania alebo</w:t>
      </w:r>
      <w:r w:rsidR="00313A76" w:rsidRPr="006B6885">
        <w:t xml:space="preserve"> závislosti (boli hlásené vývin</w:t>
      </w:r>
      <w:r w:rsidR="00371377" w:rsidRPr="006B6885">
        <w:t xml:space="preserve"> tolerancie, </w:t>
      </w:r>
      <w:r w:rsidR="00371377" w:rsidRPr="00531EC4">
        <w:t>zv</w:t>
      </w:r>
      <w:r w:rsidR="006511C1">
        <w:t>y</w:t>
      </w:r>
      <w:r w:rsidR="00371377" w:rsidRPr="00531EC4">
        <w:t>šovanie</w:t>
      </w:r>
      <w:r w:rsidR="00371377" w:rsidRPr="006B6885">
        <w:t xml:space="preserve"> dávky, správanie vedúce k</w:t>
      </w:r>
      <w:r w:rsidR="00F83C56" w:rsidRPr="00531EC4">
        <w:t> </w:t>
      </w:r>
      <w:r w:rsidR="00371377" w:rsidRPr="006B6885">
        <w:t>užitiu lieku).</w:t>
      </w:r>
    </w:p>
    <w:p w14:paraId="4AA4A842" w14:textId="77777777" w:rsidR="00371377" w:rsidRPr="006B6885" w:rsidRDefault="00371377" w:rsidP="00371377">
      <w:pPr>
        <w:outlineLvl w:val="0"/>
      </w:pPr>
    </w:p>
    <w:p w14:paraId="29D7CE95" w14:textId="77777777" w:rsidR="00371377" w:rsidRPr="006B6885" w:rsidRDefault="00371377" w:rsidP="00313A76">
      <w:pPr>
        <w:keepNext/>
        <w:outlineLvl w:val="0"/>
        <w:rPr>
          <w:i/>
        </w:rPr>
      </w:pPr>
      <w:r w:rsidRPr="006B6885">
        <w:rPr>
          <w:i/>
        </w:rPr>
        <w:t>Encefalopatia</w:t>
      </w:r>
    </w:p>
    <w:p w14:paraId="571D0577" w14:textId="7EC76821" w:rsidR="00371377" w:rsidRPr="006B6885" w:rsidRDefault="00371377" w:rsidP="00371377">
      <w:pPr>
        <w:outlineLvl w:val="0"/>
      </w:pPr>
      <w:r w:rsidRPr="006B6885">
        <w:t>Boli hláse</w:t>
      </w:r>
      <w:r w:rsidR="00313A76" w:rsidRPr="006B6885">
        <w:t>né prípady encefalopatie, najmä u</w:t>
      </w:r>
      <w:r w:rsidR="001764BF" w:rsidRPr="00531EC4">
        <w:t> </w:t>
      </w:r>
      <w:r w:rsidR="00313A76" w:rsidRPr="006B6885">
        <w:t>pacientov so základnými ochoreniami</w:t>
      </w:r>
      <w:r w:rsidRPr="006B6885">
        <w:t>, ktoré môžu vyvolať encefalopatiu.</w:t>
      </w:r>
    </w:p>
    <w:p w14:paraId="0F67902F" w14:textId="77777777" w:rsidR="001F4901" w:rsidRPr="006B6885" w:rsidRDefault="001F4901" w:rsidP="006B6885">
      <w:pPr>
        <w:outlineLvl w:val="0"/>
      </w:pPr>
    </w:p>
    <w:p w14:paraId="13130869" w14:textId="77777777" w:rsidR="001F4901" w:rsidRPr="006B6885" w:rsidRDefault="001F4901" w:rsidP="001D1077">
      <w:pPr>
        <w:keepNext/>
        <w:ind w:left="567" w:hanging="567"/>
        <w:outlineLvl w:val="0"/>
      </w:pPr>
      <w:r w:rsidRPr="006B6885">
        <w:rPr>
          <w:b/>
        </w:rPr>
        <w:t>4.5</w:t>
      </w:r>
      <w:r w:rsidRPr="006B6885">
        <w:rPr>
          <w:b/>
        </w:rPr>
        <w:tab/>
      </w:r>
      <w:r w:rsidR="001D1077" w:rsidRPr="006B6885">
        <w:rPr>
          <w:b/>
        </w:rPr>
        <w:t xml:space="preserve">Liekové </w:t>
      </w:r>
      <w:proofErr w:type="gramStart"/>
      <w:r w:rsidR="001D1077" w:rsidRPr="006B6885">
        <w:rPr>
          <w:b/>
        </w:rPr>
        <w:t>a</w:t>
      </w:r>
      <w:proofErr w:type="gramEnd"/>
      <w:r w:rsidR="001D1077" w:rsidRPr="006B6885">
        <w:rPr>
          <w:b/>
        </w:rPr>
        <w:t> iné interakcie</w:t>
      </w:r>
    </w:p>
    <w:p w14:paraId="5C36537F" w14:textId="77777777" w:rsidR="001F4901" w:rsidRPr="006B6885" w:rsidRDefault="001F4901">
      <w:pPr>
        <w:keepLines/>
        <w:autoSpaceDE w:val="0"/>
        <w:autoSpaceDN w:val="0"/>
        <w:adjustRightInd w:val="0"/>
        <w:spacing w:line="240" w:lineRule="auto"/>
      </w:pPr>
    </w:p>
    <w:p w14:paraId="2B2E278C" w14:textId="0AD471AB" w:rsidR="005838B1" w:rsidRPr="006B6885" w:rsidRDefault="00332804" w:rsidP="005838B1">
      <w:r w:rsidRPr="006B6885">
        <w:t xml:space="preserve">Vzhľadom </w:t>
      </w:r>
      <w:proofErr w:type="gramStart"/>
      <w:r w:rsidRPr="006B6885">
        <w:t>na</w:t>
      </w:r>
      <w:proofErr w:type="gramEnd"/>
      <w:r w:rsidRPr="006B6885">
        <w:t xml:space="preserve"> to, </w:t>
      </w:r>
      <w:r w:rsidR="00313A76" w:rsidRPr="006B6885">
        <w:t>že</w:t>
      </w:r>
      <w:r w:rsidRPr="006B6885">
        <w:t xml:space="preserve"> sa pregabalín</w:t>
      </w:r>
      <w:r w:rsidR="00313A76" w:rsidRPr="006B6885">
        <w:t xml:space="preserve"> vylučuje prevažne v</w:t>
      </w:r>
      <w:r w:rsidR="001764BF" w:rsidRPr="006511C1">
        <w:rPr>
          <w:szCs w:val="22"/>
        </w:rPr>
        <w:t> </w:t>
      </w:r>
      <w:r w:rsidR="00313A76" w:rsidRPr="006B6885">
        <w:t>nezmenenej forme</w:t>
      </w:r>
      <w:r w:rsidRPr="006B6885">
        <w:t xml:space="preserve"> do moču</w:t>
      </w:r>
      <w:r w:rsidR="00313A76" w:rsidRPr="006B6885">
        <w:t>, podlieha zanedbateľnému metabolizmu u</w:t>
      </w:r>
      <w:r w:rsidR="001764BF" w:rsidRPr="006511C1">
        <w:rPr>
          <w:szCs w:val="22"/>
        </w:rPr>
        <w:t> </w:t>
      </w:r>
      <w:r w:rsidR="00313A76" w:rsidRPr="006B6885">
        <w:t>ľudí (</w:t>
      </w:r>
      <w:r w:rsidR="00F20A93" w:rsidRPr="006B6885">
        <w:t>&lt; </w:t>
      </w:r>
      <w:r w:rsidR="00313A76" w:rsidRPr="006B6885">
        <w:t>2</w:t>
      </w:r>
      <w:r w:rsidR="00F20A93" w:rsidRPr="006B6885">
        <w:t> </w:t>
      </w:r>
      <w:r w:rsidR="00313A76" w:rsidRPr="006B6885">
        <w:t>% dávky zachytenej v</w:t>
      </w:r>
      <w:r w:rsidR="001764BF" w:rsidRPr="006511C1">
        <w:rPr>
          <w:szCs w:val="22"/>
        </w:rPr>
        <w:t> </w:t>
      </w:r>
      <w:r w:rsidR="00313A76" w:rsidRPr="006B6885">
        <w:t xml:space="preserve">moči vo forme metabolitov), neinhibuje liekový metabolizmus </w:t>
      </w:r>
      <w:r w:rsidR="00313A76" w:rsidRPr="006B6885">
        <w:rPr>
          <w:i/>
        </w:rPr>
        <w:t>in vitro</w:t>
      </w:r>
      <w:r w:rsidR="00313A76" w:rsidRPr="006B6885">
        <w:t xml:space="preserve"> a</w:t>
      </w:r>
      <w:r w:rsidR="001764BF" w:rsidRPr="006511C1">
        <w:rPr>
          <w:szCs w:val="22"/>
        </w:rPr>
        <w:t> </w:t>
      </w:r>
      <w:r w:rsidR="00313A76" w:rsidRPr="006B6885">
        <w:t>ne</w:t>
      </w:r>
      <w:r w:rsidR="00F20A93" w:rsidRPr="006B6885">
        <w:t>viaže sa na plazmatické bielkoviny</w:t>
      </w:r>
      <w:r w:rsidR="00313A76" w:rsidRPr="006B6885">
        <w:t>, je nepravdepodobné, že by spôsobil alebo bol sám subjektom farmakokinetických interakcií.</w:t>
      </w:r>
    </w:p>
    <w:p w14:paraId="24AFFBBB" w14:textId="77777777" w:rsidR="005838B1" w:rsidRPr="006B6885" w:rsidRDefault="005838B1"/>
    <w:p w14:paraId="0E58EE8F" w14:textId="1319641F" w:rsidR="00313A76" w:rsidRPr="006B6885" w:rsidRDefault="00313A76" w:rsidP="00F20A93">
      <w:pPr>
        <w:keepNext/>
        <w:rPr>
          <w:i/>
        </w:rPr>
      </w:pPr>
      <w:r w:rsidRPr="006B6885">
        <w:rPr>
          <w:i/>
        </w:rPr>
        <w:lastRenderedPageBreak/>
        <w:t>In vivo štúdie a</w:t>
      </w:r>
      <w:r w:rsidR="001764BF" w:rsidRPr="006511C1">
        <w:rPr>
          <w:i/>
          <w:szCs w:val="22"/>
        </w:rPr>
        <w:t> </w:t>
      </w:r>
      <w:r w:rsidRPr="006B6885">
        <w:rPr>
          <w:i/>
        </w:rPr>
        <w:t>populačná farmakokinetická analýza</w:t>
      </w:r>
    </w:p>
    <w:p w14:paraId="04C48B37" w14:textId="6E41601E" w:rsidR="00313A76" w:rsidRPr="006B6885" w:rsidRDefault="00313A76" w:rsidP="00313A76">
      <w:r w:rsidRPr="006B6885">
        <w:t>Podobne, v</w:t>
      </w:r>
      <w:r w:rsidR="001764BF" w:rsidRPr="006511C1">
        <w:rPr>
          <w:szCs w:val="22"/>
        </w:rPr>
        <w:t> </w:t>
      </w:r>
      <w:r w:rsidRPr="006B6885">
        <w:rPr>
          <w:i/>
        </w:rPr>
        <w:t>in vivo</w:t>
      </w:r>
      <w:r w:rsidRPr="006B6885">
        <w:t xml:space="preserve"> štúdiách sa nepozorovali žiadne klinicky relevantné farmakokinetické interakcie medzi pregabalínom a</w:t>
      </w:r>
      <w:r w:rsidR="001764BF" w:rsidRPr="006511C1">
        <w:rPr>
          <w:szCs w:val="22"/>
        </w:rPr>
        <w:t> </w:t>
      </w:r>
      <w:r w:rsidRPr="006B6885">
        <w:t xml:space="preserve">fenytoínom, karbamazepínom, kyselinou valproovou, lamotrigínom, gabapentínom, lorazepamom, oxykodónom alebo etanolom. Populačná farmakokinetická analýza </w:t>
      </w:r>
      <w:r w:rsidR="00422403" w:rsidRPr="006B6885">
        <w:t>pre</w:t>
      </w:r>
      <w:r w:rsidRPr="006B6885">
        <w:t>ukázala, že perorálne antidiabetiká, diuretiká, inzulín, fenobarbi</w:t>
      </w:r>
      <w:r w:rsidR="00EE65FC" w:rsidRPr="006B6885">
        <w:t>tal, tiagabín a</w:t>
      </w:r>
      <w:r w:rsidR="001764BF" w:rsidRPr="006511C1">
        <w:rPr>
          <w:szCs w:val="22"/>
        </w:rPr>
        <w:t> </w:t>
      </w:r>
      <w:r w:rsidR="00EE65FC" w:rsidRPr="006B6885">
        <w:t>topiramát nemali</w:t>
      </w:r>
      <w:r w:rsidRPr="006B6885">
        <w:t xml:space="preserve"> klinicky významný účinok </w:t>
      </w:r>
      <w:proofErr w:type="gramStart"/>
      <w:r w:rsidRPr="006B6885">
        <w:t>na</w:t>
      </w:r>
      <w:proofErr w:type="gramEnd"/>
      <w:r w:rsidRPr="006B6885">
        <w:t xml:space="preserve"> klírens pregabalínu.</w:t>
      </w:r>
    </w:p>
    <w:p w14:paraId="031D775B" w14:textId="77777777" w:rsidR="00313A76" w:rsidRPr="006B6885" w:rsidRDefault="00313A76" w:rsidP="00313A76"/>
    <w:p w14:paraId="1C787E48" w14:textId="77777777" w:rsidR="00313A76" w:rsidRPr="006B6885" w:rsidRDefault="00313A76" w:rsidP="00A64058">
      <w:pPr>
        <w:keepNext/>
        <w:rPr>
          <w:i/>
        </w:rPr>
      </w:pPr>
      <w:r w:rsidRPr="006B6885">
        <w:rPr>
          <w:i/>
        </w:rPr>
        <w:t>Perorálne kontraceptíva, noretisterón a/alebo etinylestradiol</w:t>
      </w:r>
    </w:p>
    <w:p w14:paraId="559147AE" w14:textId="7A8F0740" w:rsidR="00313A76" w:rsidRPr="006B6885" w:rsidRDefault="00313A76" w:rsidP="00313A76">
      <w:r w:rsidRPr="006B6885">
        <w:t>Súbežné podávanie pregabalínu s</w:t>
      </w:r>
      <w:r w:rsidR="001764BF" w:rsidRPr="006511C1">
        <w:rPr>
          <w:szCs w:val="22"/>
        </w:rPr>
        <w:t> </w:t>
      </w:r>
      <w:r w:rsidRPr="006B6885">
        <w:t>perorálnymi kontraceptívami noretisterónom a/alebo etinylestradiolom</w:t>
      </w:r>
      <w:r w:rsidR="00E72CB9" w:rsidRPr="006B6885">
        <w:t xml:space="preserve"> nemá vplyv </w:t>
      </w:r>
      <w:proofErr w:type="gramStart"/>
      <w:r w:rsidR="00E72CB9" w:rsidRPr="006B6885">
        <w:t>na</w:t>
      </w:r>
      <w:proofErr w:type="gramEnd"/>
      <w:r w:rsidR="00E72CB9" w:rsidRPr="006B6885">
        <w:t xml:space="preserve"> farmakokinetiku rovnovážneho stavu</w:t>
      </w:r>
      <w:r w:rsidRPr="006B6885">
        <w:t xml:space="preserve"> žiadnej z</w:t>
      </w:r>
      <w:r w:rsidR="001764BF" w:rsidRPr="006511C1">
        <w:rPr>
          <w:szCs w:val="22"/>
        </w:rPr>
        <w:t> </w:t>
      </w:r>
      <w:r w:rsidRPr="006B6885">
        <w:t>týchto látok.</w:t>
      </w:r>
    </w:p>
    <w:p w14:paraId="4177BF8B" w14:textId="77777777" w:rsidR="00313A76" w:rsidRPr="006B6885" w:rsidRDefault="00313A76" w:rsidP="00313A76"/>
    <w:p w14:paraId="29FC0F77" w14:textId="77777777" w:rsidR="00313A76" w:rsidRPr="006B6885" w:rsidRDefault="00313A76" w:rsidP="00E72CB9">
      <w:pPr>
        <w:keepNext/>
        <w:rPr>
          <w:i/>
        </w:rPr>
      </w:pPr>
      <w:r w:rsidRPr="006B6885">
        <w:rPr>
          <w:i/>
        </w:rPr>
        <w:t>Lieky ovplyvňujúce CNS</w:t>
      </w:r>
    </w:p>
    <w:p w14:paraId="45EA0526" w14:textId="0BE0A63A" w:rsidR="00313A76" w:rsidRPr="006B6885" w:rsidRDefault="00313A76" w:rsidP="00313A76">
      <w:r w:rsidRPr="006B6885">
        <w:t>Pregabalín môže zosilňovať účin</w:t>
      </w:r>
      <w:r w:rsidR="00263367" w:rsidRPr="006B6885">
        <w:t>ky etanolu a</w:t>
      </w:r>
      <w:r w:rsidR="001764BF" w:rsidRPr="006511C1">
        <w:rPr>
          <w:szCs w:val="22"/>
        </w:rPr>
        <w:t> </w:t>
      </w:r>
      <w:r w:rsidR="00263367" w:rsidRPr="006B6885">
        <w:t>lorazepamu. Viacnásob</w:t>
      </w:r>
      <w:r w:rsidRPr="006B6885">
        <w:t>né perorálne dávky pregabalínu podávané súbežne s</w:t>
      </w:r>
      <w:r w:rsidR="001764BF" w:rsidRPr="006511C1">
        <w:rPr>
          <w:szCs w:val="22"/>
        </w:rPr>
        <w:t> </w:t>
      </w:r>
      <w:r w:rsidRPr="006B6885">
        <w:t>oxykodónom, lorazepamom alebo etanolom v</w:t>
      </w:r>
      <w:r w:rsidR="001764BF" w:rsidRPr="006511C1">
        <w:rPr>
          <w:szCs w:val="22"/>
        </w:rPr>
        <w:t> </w:t>
      </w:r>
      <w:r w:rsidRPr="006B6885">
        <w:t xml:space="preserve">kontrolovaných klinických štúdiách neviedli ku klinicky významným účinkom </w:t>
      </w:r>
      <w:proofErr w:type="gramStart"/>
      <w:r w:rsidRPr="006B6885">
        <w:t>na</w:t>
      </w:r>
      <w:proofErr w:type="gramEnd"/>
      <w:r w:rsidRPr="006B6885">
        <w:t xml:space="preserve"> dýchanie. Po uvedení</w:t>
      </w:r>
      <w:r w:rsidR="00263367" w:rsidRPr="006B6885">
        <w:t xml:space="preserve"> lieku </w:t>
      </w:r>
      <w:proofErr w:type="gramStart"/>
      <w:r w:rsidR="00263367" w:rsidRPr="006B6885">
        <w:t>na</w:t>
      </w:r>
      <w:proofErr w:type="gramEnd"/>
      <w:r w:rsidR="00263367" w:rsidRPr="006B6885">
        <w:t xml:space="preserve"> trh sa vyskytli hlásenia respiračného </w:t>
      </w:r>
      <w:r w:rsidR="00263367" w:rsidRPr="006511C1">
        <w:rPr>
          <w:szCs w:val="22"/>
        </w:rPr>
        <w:t>zlyh</w:t>
      </w:r>
      <w:r w:rsidR="00F83C56" w:rsidRPr="006511C1">
        <w:rPr>
          <w:szCs w:val="22"/>
        </w:rPr>
        <w:t>áv</w:t>
      </w:r>
      <w:r w:rsidR="00263367" w:rsidRPr="006511C1">
        <w:rPr>
          <w:szCs w:val="22"/>
        </w:rPr>
        <w:t>ania</w:t>
      </w:r>
      <w:r w:rsidR="00263367" w:rsidRPr="006B6885">
        <w:t xml:space="preserve"> a kómy</w:t>
      </w:r>
      <w:r w:rsidRPr="006B6885">
        <w:t xml:space="preserve"> u pacientov užívajúcich pregabalín a</w:t>
      </w:r>
      <w:r w:rsidR="001764BF" w:rsidRPr="006511C1">
        <w:rPr>
          <w:szCs w:val="22"/>
        </w:rPr>
        <w:t> </w:t>
      </w:r>
      <w:r w:rsidRPr="006B6885">
        <w:t xml:space="preserve">iné lieky utlmujúce CNS. Ukazuje </w:t>
      </w:r>
      <w:proofErr w:type="gramStart"/>
      <w:r w:rsidRPr="006B6885">
        <w:t>sa</w:t>
      </w:r>
      <w:proofErr w:type="gramEnd"/>
      <w:r w:rsidRPr="006B6885">
        <w:t xml:space="preserve">, </w:t>
      </w:r>
      <w:r w:rsidR="00263367" w:rsidRPr="006B6885">
        <w:t xml:space="preserve">že pregabalín má </w:t>
      </w:r>
      <w:r w:rsidR="00263367" w:rsidRPr="006511C1">
        <w:rPr>
          <w:szCs w:val="22"/>
        </w:rPr>
        <w:t>aditívny</w:t>
      </w:r>
      <w:r w:rsidR="00263367" w:rsidRPr="006B6885">
        <w:t xml:space="preserve"> účinok na poškodenie</w:t>
      </w:r>
      <w:r w:rsidRPr="006B6885">
        <w:t xml:space="preserve"> kognitívnej a</w:t>
      </w:r>
      <w:r w:rsidR="001764BF" w:rsidRPr="006511C1">
        <w:rPr>
          <w:szCs w:val="22"/>
        </w:rPr>
        <w:t> </w:t>
      </w:r>
      <w:r w:rsidRPr="006B6885">
        <w:t>hrub</w:t>
      </w:r>
      <w:r w:rsidR="00263367" w:rsidRPr="006B6885">
        <w:t>ej motorickej funkcie spôsobené</w:t>
      </w:r>
      <w:r w:rsidRPr="006B6885">
        <w:t xml:space="preserve"> oxykodónom.</w:t>
      </w:r>
    </w:p>
    <w:p w14:paraId="3DD45022" w14:textId="77777777" w:rsidR="00313A76" w:rsidRPr="006B6885" w:rsidRDefault="00313A76" w:rsidP="00313A76"/>
    <w:p w14:paraId="1512ED37" w14:textId="4455C2A8" w:rsidR="00313A76" w:rsidRPr="006B6885" w:rsidRDefault="00313A76" w:rsidP="00263367">
      <w:pPr>
        <w:keepNext/>
        <w:rPr>
          <w:i/>
        </w:rPr>
      </w:pPr>
      <w:r w:rsidRPr="006B6885">
        <w:rPr>
          <w:i/>
        </w:rPr>
        <w:t>Interakcie a</w:t>
      </w:r>
      <w:r w:rsidR="001764BF" w:rsidRPr="006511C1">
        <w:rPr>
          <w:i/>
          <w:szCs w:val="22"/>
        </w:rPr>
        <w:t> </w:t>
      </w:r>
      <w:r w:rsidRPr="006B6885">
        <w:rPr>
          <w:i/>
        </w:rPr>
        <w:t>staršie osoby</w:t>
      </w:r>
    </w:p>
    <w:p w14:paraId="122307B0" w14:textId="5186074A" w:rsidR="00313A76" w:rsidRPr="006B6885" w:rsidRDefault="00263367" w:rsidP="00313A76">
      <w:r w:rsidRPr="006B6885">
        <w:t>U</w:t>
      </w:r>
      <w:r w:rsidR="001764BF" w:rsidRPr="006511C1">
        <w:rPr>
          <w:szCs w:val="22"/>
        </w:rPr>
        <w:t> </w:t>
      </w:r>
      <w:r w:rsidRPr="006B6885">
        <w:t xml:space="preserve">starších dobrovoľníkov </w:t>
      </w:r>
      <w:proofErr w:type="gramStart"/>
      <w:r w:rsidRPr="006B6885">
        <w:t>sa</w:t>
      </w:r>
      <w:proofErr w:type="gramEnd"/>
      <w:r w:rsidRPr="006B6885">
        <w:t xml:space="preserve"> nevykonali ž</w:t>
      </w:r>
      <w:r w:rsidR="00313A76" w:rsidRPr="006B6885">
        <w:t>iadne špecifické štúdie farmakodyna</w:t>
      </w:r>
      <w:r w:rsidRPr="006B6885">
        <w:t>mických interakcií</w:t>
      </w:r>
      <w:r w:rsidR="00313A76" w:rsidRPr="006B6885">
        <w:t xml:space="preserve">. Interakčné štúdie </w:t>
      </w:r>
      <w:proofErr w:type="gramStart"/>
      <w:r w:rsidR="00313A76" w:rsidRPr="006B6885">
        <w:t>sa</w:t>
      </w:r>
      <w:proofErr w:type="gramEnd"/>
      <w:r w:rsidR="00313A76" w:rsidRPr="006B6885">
        <w:t xml:space="preserve"> uskutočnili len u</w:t>
      </w:r>
      <w:r w:rsidR="001764BF" w:rsidRPr="006511C1">
        <w:rPr>
          <w:szCs w:val="22"/>
        </w:rPr>
        <w:t> </w:t>
      </w:r>
      <w:r w:rsidR="00313A76" w:rsidRPr="006B6885">
        <w:t>dospelých.</w:t>
      </w:r>
    </w:p>
    <w:p w14:paraId="64EAA0F5" w14:textId="77777777" w:rsidR="00313A76" w:rsidRPr="006B6885" w:rsidRDefault="00313A76"/>
    <w:p w14:paraId="182DD5C9" w14:textId="77777777" w:rsidR="001F4901" w:rsidRPr="006B6885" w:rsidRDefault="001F4901" w:rsidP="00130368">
      <w:pPr>
        <w:keepNext/>
        <w:ind w:left="567" w:hanging="567"/>
        <w:outlineLvl w:val="0"/>
      </w:pPr>
      <w:r w:rsidRPr="006B6885">
        <w:rPr>
          <w:b/>
        </w:rPr>
        <w:t>4.6</w:t>
      </w:r>
      <w:r w:rsidRPr="006B6885">
        <w:rPr>
          <w:b/>
        </w:rPr>
        <w:tab/>
      </w:r>
      <w:r w:rsidR="001F5DE4" w:rsidRPr="006B6885">
        <w:rPr>
          <w:b/>
        </w:rPr>
        <w:t>Fertilita, gravidita a laktácia</w:t>
      </w:r>
    </w:p>
    <w:p w14:paraId="316F4062" w14:textId="77777777" w:rsidR="001F4901" w:rsidRPr="006B6885" w:rsidRDefault="001F4901" w:rsidP="00130368">
      <w:pPr>
        <w:keepNext/>
      </w:pPr>
    </w:p>
    <w:p w14:paraId="1405CA91" w14:textId="44DB4180" w:rsidR="005F3CDA" w:rsidRPr="006B6885" w:rsidRDefault="00806A1E" w:rsidP="00806A1E">
      <w:pPr>
        <w:keepNext/>
        <w:rPr>
          <w:u w:val="single"/>
        </w:rPr>
      </w:pPr>
      <w:r w:rsidRPr="006B6885">
        <w:rPr>
          <w:u w:val="single"/>
        </w:rPr>
        <w:t>Ženy v</w:t>
      </w:r>
      <w:r w:rsidR="001764BF" w:rsidRPr="00531EC4">
        <w:rPr>
          <w:szCs w:val="22"/>
          <w:u w:val="single"/>
        </w:rPr>
        <w:t> </w:t>
      </w:r>
      <w:r w:rsidRPr="006B6885">
        <w:rPr>
          <w:u w:val="single"/>
        </w:rPr>
        <w:t>reprodukčnom veku/</w:t>
      </w:r>
      <w:r w:rsidR="005F3CDA" w:rsidRPr="006B6885">
        <w:rPr>
          <w:u w:val="single"/>
        </w:rPr>
        <w:t>Antikoncepcia u</w:t>
      </w:r>
      <w:r w:rsidR="001764BF" w:rsidRPr="00531EC4">
        <w:rPr>
          <w:szCs w:val="22"/>
          <w:u w:val="single"/>
        </w:rPr>
        <w:t> </w:t>
      </w:r>
      <w:r w:rsidR="005F3CDA" w:rsidRPr="006B6885">
        <w:rPr>
          <w:u w:val="single"/>
        </w:rPr>
        <w:t>mužov a</w:t>
      </w:r>
      <w:r w:rsidR="001764BF" w:rsidRPr="00531EC4">
        <w:rPr>
          <w:szCs w:val="22"/>
          <w:u w:val="single"/>
        </w:rPr>
        <w:t> </w:t>
      </w:r>
      <w:r w:rsidR="005F3CDA" w:rsidRPr="006B6885">
        <w:rPr>
          <w:u w:val="single"/>
        </w:rPr>
        <w:t>žien</w:t>
      </w:r>
    </w:p>
    <w:p w14:paraId="3D38E3C9" w14:textId="77777777" w:rsidR="005F3CDA" w:rsidRPr="006B6885" w:rsidRDefault="005F3CDA" w:rsidP="005F3CDA">
      <w:r w:rsidRPr="006B6885">
        <w:t xml:space="preserve">Keďže potenciálne riziko pre ľudí nie je známe, ženy </w:t>
      </w:r>
      <w:proofErr w:type="gramStart"/>
      <w:r w:rsidRPr="006B6885">
        <w:t>vo</w:t>
      </w:r>
      <w:proofErr w:type="gramEnd"/>
      <w:r w:rsidRPr="006B6885">
        <w:t xml:space="preserve"> fertilnom veku musia používať účinnú antikoncepciu.</w:t>
      </w:r>
    </w:p>
    <w:p w14:paraId="4A8757F5" w14:textId="77777777" w:rsidR="005F3CDA" w:rsidRPr="006B6885" w:rsidRDefault="005F3CDA" w:rsidP="005F3CDA"/>
    <w:p w14:paraId="454625D9" w14:textId="77777777" w:rsidR="005F3CDA" w:rsidRPr="006B6885" w:rsidRDefault="005F3CDA" w:rsidP="00AF4B88">
      <w:pPr>
        <w:keepNext/>
        <w:rPr>
          <w:u w:val="single"/>
        </w:rPr>
      </w:pPr>
      <w:r w:rsidRPr="006B6885">
        <w:rPr>
          <w:u w:val="single"/>
        </w:rPr>
        <w:t>Gravidita</w:t>
      </w:r>
    </w:p>
    <w:p w14:paraId="2F26D97D" w14:textId="33472D01" w:rsidR="005F3CDA" w:rsidRPr="006B6885" w:rsidRDefault="005F3CDA" w:rsidP="005F3CDA">
      <w:r w:rsidRPr="006B6885">
        <w:t>Nie sú k</w:t>
      </w:r>
      <w:r w:rsidR="001764BF" w:rsidRPr="00531EC4">
        <w:rPr>
          <w:szCs w:val="22"/>
        </w:rPr>
        <w:t> </w:t>
      </w:r>
      <w:r w:rsidRPr="006B6885">
        <w:t>dispozícii dostatočné údaje o</w:t>
      </w:r>
      <w:r w:rsidR="001764BF" w:rsidRPr="00531EC4">
        <w:rPr>
          <w:szCs w:val="22"/>
        </w:rPr>
        <w:t> </w:t>
      </w:r>
      <w:r w:rsidRPr="006B6885">
        <w:t>použití pregabalínu u</w:t>
      </w:r>
      <w:r w:rsidR="001764BF" w:rsidRPr="00531EC4">
        <w:rPr>
          <w:szCs w:val="22"/>
        </w:rPr>
        <w:t> </w:t>
      </w:r>
      <w:r w:rsidRPr="006B6885">
        <w:t>gravidných žien.</w:t>
      </w:r>
      <w:r w:rsidR="00AF4B88" w:rsidRPr="006B6885">
        <w:t xml:space="preserve"> </w:t>
      </w:r>
      <w:r w:rsidRPr="006B6885">
        <w:t xml:space="preserve">Štúdie </w:t>
      </w:r>
      <w:proofErr w:type="gramStart"/>
      <w:r w:rsidRPr="006B6885">
        <w:t>na</w:t>
      </w:r>
      <w:proofErr w:type="gramEnd"/>
      <w:r w:rsidRPr="006B6885">
        <w:t xml:space="preserve"> zvieratách preukázali reprodukčnú toxicitu (pozri časť 5.3). Nie je známe potenciálne riziko pre ľudí.</w:t>
      </w:r>
    </w:p>
    <w:p w14:paraId="00725A38" w14:textId="77777777" w:rsidR="005F3CDA" w:rsidRPr="006B6885" w:rsidRDefault="005F3CDA" w:rsidP="005F3CDA"/>
    <w:p w14:paraId="3DFBC699" w14:textId="3F842A94" w:rsidR="005F3CDA" w:rsidRPr="006B6885" w:rsidRDefault="00F83C56" w:rsidP="005F3CDA">
      <w:r w:rsidRPr="00531EC4">
        <w:rPr>
          <w:szCs w:val="22"/>
        </w:rPr>
        <w:t>PREMED</w:t>
      </w:r>
      <w:r w:rsidR="005F3CDA" w:rsidRPr="006B6885">
        <w:t xml:space="preserve"> </w:t>
      </w:r>
      <w:proofErr w:type="gramStart"/>
      <w:r w:rsidR="005F3CDA" w:rsidRPr="006B6885">
        <w:t>sa</w:t>
      </w:r>
      <w:proofErr w:type="gramEnd"/>
      <w:r w:rsidR="005F3CDA" w:rsidRPr="006B6885">
        <w:t xml:space="preserve"> má užívať počas gravidity iba v</w:t>
      </w:r>
      <w:r w:rsidR="001764BF" w:rsidRPr="00531EC4">
        <w:rPr>
          <w:szCs w:val="22"/>
        </w:rPr>
        <w:t> </w:t>
      </w:r>
      <w:r w:rsidR="005F3CDA" w:rsidRPr="006B6885">
        <w:t>nevyhnutných prípadoch (ak prínos pre matku jednoznačne preváži potenciálne riziko pre plod).</w:t>
      </w:r>
    </w:p>
    <w:p w14:paraId="7EFEB485" w14:textId="77777777" w:rsidR="005F3CDA" w:rsidRPr="006B6885" w:rsidRDefault="005F3CDA" w:rsidP="005F3CDA"/>
    <w:p w14:paraId="0C604EED" w14:textId="2B647C14" w:rsidR="005F3CDA" w:rsidRPr="00531EC4" w:rsidRDefault="00C86FC3" w:rsidP="00AF4B88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Dojčenie</w:t>
      </w:r>
    </w:p>
    <w:p w14:paraId="65C09045" w14:textId="2D154667" w:rsidR="00E91D66" w:rsidRPr="006B6885" w:rsidRDefault="00E91D66" w:rsidP="00531EC4">
      <w:r w:rsidRPr="00531EC4">
        <w:rPr>
          <w:szCs w:val="22"/>
        </w:rPr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vylučuje do </w:t>
      </w:r>
      <w:r w:rsidRPr="00531EC4">
        <w:rPr>
          <w:szCs w:val="22"/>
        </w:rPr>
        <w:t>materského</w:t>
      </w:r>
      <w:r w:rsidRPr="006B6885">
        <w:t xml:space="preserve"> mlieka</w:t>
      </w:r>
      <w:r w:rsidRPr="00531EC4">
        <w:rPr>
          <w:szCs w:val="22"/>
        </w:rPr>
        <w:t xml:space="preserve"> u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 xml:space="preserve">ľudí (pozri časť 5.2). Účinok pregabalínu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novorodencov/dojčatá nie je známy. Rozhodnutie, či ukončiť</w:t>
      </w:r>
      <w:r w:rsidRPr="006B6885">
        <w:t xml:space="preserve"> dojčenie </w:t>
      </w:r>
      <w:r w:rsidRPr="00531EC4">
        <w:rPr>
          <w:szCs w:val="22"/>
        </w:rPr>
        <w:t xml:space="preserve">alebo ukončiť liečbu </w:t>
      </w:r>
      <w:r w:rsidRPr="006B6885">
        <w:t>pregabalínom</w:t>
      </w:r>
      <w:r w:rsidRPr="00531EC4">
        <w:rPr>
          <w:szCs w:val="22"/>
        </w:rPr>
        <w:t xml:space="preserve">,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má urobiť po zvážení prínosu dojčenia pre dieťa a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prínosu liečby pre ženu</w:t>
      </w:r>
      <w:r w:rsidRPr="006B6885">
        <w:t>.</w:t>
      </w:r>
    </w:p>
    <w:p w14:paraId="276B8D6C" w14:textId="77777777" w:rsidR="005F3CDA" w:rsidRPr="006B6885" w:rsidRDefault="005F3CDA" w:rsidP="005F3CDA"/>
    <w:p w14:paraId="641D205B" w14:textId="77777777" w:rsidR="005F3CDA" w:rsidRPr="006B6885" w:rsidRDefault="005F3CDA" w:rsidP="00AF4B88">
      <w:pPr>
        <w:keepNext/>
        <w:rPr>
          <w:u w:val="single"/>
        </w:rPr>
      </w:pPr>
      <w:r w:rsidRPr="006B6885">
        <w:rPr>
          <w:u w:val="single"/>
        </w:rPr>
        <w:t>Fertilita</w:t>
      </w:r>
    </w:p>
    <w:p w14:paraId="4C6F1EC5" w14:textId="7C2AA9EC" w:rsidR="005F3CDA" w:rsidRPr="006B6885" w:rsidRDefault="005F3CDA" w:rsidP="005F3CDA">
      <w:r w:rsidRPr="006B6885">
        <w:t>Nie sú k</w:t>
      </w:r>
      <w:r w:rsidR="001764BF" w:rsidRPr="00531EC4">
        <w:rPr>
          <w:szCs w:val="22"/>
        </w:rPr>
        <w:t> </w:t>
      </w:r>
      <w:r w:rsidRPr="006B6885">
        <w:t>dispozícii klinické údaje o</w:t>
      </w:r>
      <w:r w:rsidR="001764BF" w:rsidRPr="00531EC4">
        <w:rPr>
          <w:szCs w:val="22"/>
        </w:rPr>
        <w:t> </w:t>
      </w:r>
      <w:r w:rsidRPr="006B6885">
        <w:t xml:space="preserve">účinkoch pregabalínu </w:t>
      </w:r>
      <w:proofErr w:type="gramStart"/>
      <w:r w:rsidRPr="006B6885">
        <w:t>na</w:t>
      </w:r>
      <w:proofErr w:type="gramEnd"/>
      <w:r w:rsidRPr="006B6885">
        <w:t xml:space="preserve"> ženskú fertilitu.</w:t>
      </w:r>
    </w:p>
    <w:p w14:paraId="5DFC51FE" w14:textId="77777777" w:rsidR="00AF4B88" w:rsidRPr="006B6885" w:rsidRDefault="00AF4B88" w:rsidP="005F3CDA"/>
    <w:p w14:paraId="33E262BA" w14:textId="0BC5AC03" w:rsidR="005F3CDA" w:rsidRPr="006B6885" w:rsidRDefault="005F3CDA" w:rsidP="005F3CDA">
      <w:r w:rsidRPr="006B6885">
        <w:t>V</w:t>
      </w:r>
      <w:r w:rsidR="001764BF" w:rsidRPr="00531EC4">
        <w:rPr>
          <w:szCs w:val="22"/>
        </w:rPr>
        <w:t> </w:t>
      </w:r>
      <w:r w:rsidRPr="006B6885">
        <w:t xml:space="preserve">klinickom skúšaní hodnotiacom účinok pregabalínu </w:t>
      </w:r>
      <w:proofErr w:type="gramStart"/>
      <w:r w:rsidRPr="006B6885">
        <w:t>na</w:t>
      </w:r>
      <w:proofErr w:type="gramEnd"/>
      <w:r w:rsidRPr="006B6885">
        <w:t xml:space="preserve"> pohyblivosť spermií boli zdraví muži vystavení pregabalínu v dávke 600</w:t>
      </w:r>
      <w:r w:rsidR="00FD34AE" w:rsidRPr="006B6885">
        <w:t> </w:t>
      </w:r>
      <w:r w:rsidRPr="006B6885">
        <w:t xml:space="preserve">mg/deň. Po 3 mesiacoch liečby </w:t>
      </w:r>
      <w:proofErr w:type="gramStart"/>
      <w:r w:rsidRPr="006B6885">
        <w:t>sa</w:t>
      </w:r>
      <w:proofErr w:type="gramEnd"/>
      <w:r w:rsidRPr="006B6885">
        <w:t xml:space="preserve"> nezistili žiadne účinky na pohyblivosť spermií.</w:t>
      </w:r>
    </w:p>
    <w:p w14:paraId="0EF2512A" w14:textId="77777777" w:rsidR="005F3CDA" w:rsidRPr="006B6885" w:rsidRDefault="005F3CDA" w:rsidP="005F3CDA"/>
    <w:p w14:paraId="012078B3" w14:textId="3964AA82" w:rsidR="005F3CDA" w:rsidRPr="006B6885" w:rsidRDefault="005F3CDA" w:rsidP="005F3CDA">
      <w:r w:rsidRPr="006B6885">
        <w:t>Štúdia fer</w:t>
      </w:r>
      <w:r w:rsidR="00FD34AE" w:rsidRPr="006B6885">
        <w:t xml:space="preserve">tility </w:t>
      </w:r>
      <w:proofErr w:type="gramStart"/>
      <w:r w:rsidR="00FD34AE" w:rsidRPr="006B6885">
        <w:t>na</w:t>
      </w:r>
      <w:proofErr w:type="gramEnd"/>
      <w:r w:rsidR="00FD34AE" w:rsidRPr="006B6885">
        <w:t xml:space="preserve"> samiciach</w:t>
      </w:r>
      <w:r w:rsidRPr="006B6885">
        <w:t xml:space="preserve"> potkanov preukázala nežiaduce účinky na reprodu</w:t>
      </w:r>
      <w:r w:rsidR="00FD34AE" w:rsidRPr="006B6885">
        <w:t xml:space="preserve">kciu. Štúdie fertility </w:t>
      </w:r>
      <w:proofErr w:type="gramStart"/>
      <w:r w:rsidR="00FD34AE" w:rsidRPr="006B6885">
        <w:t>na</w:t>
      </w:r>
      <w:proofErr w:type="gramEnd"/>
      <w:r w:rsidR="00FD34AE" w:rsidRPr="006B6885">
        <w:t xml:space="preserve"> samc</w:t>
      </w:r>
      <w:r w:rsidRPr="006B6885">
        <w:t>och potkanov preukázali nežiaduce účinky na reprodukciu a</w:t>
      </w:r>
      <w:r w:rsidR="001764BF" w:rsidRPr="00531EC4">
        <w:rPr>
          <w:szCs w:val="22"/>
        </w:rPr>
        <w:t> </w:t>
      </w:r>
      <w:r w:rsidRPr="006B6885">
        <w:t>vývin. Klinický význam týchto zistení nie je známy (pozri časť 5.3).</w:t>
      </w:r>
    </w:p>
    <w:p w14:paraId="55C32698" w14:textId="77777777" w:rsidR="005F3CDA" w:rsidRPr="006B6885" w:rsidRDefault="005F3CDA">
      <w:pPr>
        <w:rPr>
          <w:i/>
        </w:rPr>
      </w:pPr>
    </w:p>
    <w:p w14:paraId="3AAC7E92" w14:textId="77777777" w:rsidR="001F4901" w:rsidRPr="006B6885" w:rsidRDefault="001F4901" w:rsidP="00222F1C">
      <w:pPr>
        <w:keepNext/>
        <w:ind w:left="567" w:hanging="567"/>
        <w:outlineLvl w:val="0"/>
      </w:pPr>
      <w:r w:rsidRPr="006B6885">
        <w:rPr>
          <w:b/>
        </w:rPr>
        <w:t>4.7</w:t>
      </w:r>
      <w:r w:rsidRPr="006B6885">
        <w:rPr>
          <w:b/>
        </w:rPr>
        <w:tab/>
      </w:r>
      <w:r w:rsidR="00DD6BE5" w:rsidRPr="006B6885">
        <w:rPr>
          <w:b/>
        </w:rPr>
        <w:t xml:space="preserve">Ovplyvnenie schopnosti viesť vozidlá </w:t>
      </w:r>
      <w:proofErr w:type="gramStart"/>
      <w:r w:rsidR="00DD6BE5" w:rsidRPr="006B6885">
        <w:rPr>
          <w:b/>
        </w:rPr>
        <w:t>a</w:t>
      </w:r>
      <w:proofErr w:type="gramEnd"/>
      <w:r w:rsidR="00DD6BE5" w:rsidRPr="006B6885">
        <w:rPr>
          <w:b/>
        </w:rPr>
        <w:t> obsluhovať stroje</w:t>
      </w:r>
    </w:p>
    <w:p w14:paraId="068074D2" w14:textId="77777777" w:rsidR="001F4901" w:rsidRPr="006B6885" w:rsidRDefault="001F4901" w:rsidP="00222F1C">
      <w:pPr>
        <w:keepNext/>
      </w:pPr>
    </w:p>
    <w:p w14:paraId="090E3E3C" w14:textId="30CEA554" w:rsidR="00DD6BE5" w:rsidRPr="006B6885" w:rsidRDefault="00F83C56">
      <w:r w:rsidRPr="006511C1">
        <w:t>PREMED</w:t>
      </w:r>
      <w:r w:rsidR="0055454F" w:rsidRPr="006B6885">
        <w:t xml:space="preserve"> môže mať malý alebo mierny vplyv </w:t>
      </w:r>
      <w:proofErr w:type="gramStart"/>
      <w:r w:rsidR="0055454F" w:rsidRPr="006B6885">
        <w:t>na</w:t>
      </w:r>
      <w:proofErr w:type="gramEnd"/>
      <w:r w:rsidR="0055454F" w:rsidRPr="006B6885">
        <w:t xml:space="preserve"> schopnosť viesť vozidlá a</w:t>
      </w:r>
      <w:r w:rsidR="001764BF" w:rsidRPr="006511C1">
        <w:t> </w:t>
      </w:r>
      <w:r w:rsidR="0055454F" w:rsidRPr="006B6885">
        <w:t xml:space="preserve">obsluhovať stroje. </w:t>
      </w:r>
      <w:r w:rsidRPr="006511C1">
        <w:t>PREMED</w:t>
      </w:r>
      <w:r w:rsidR="00F646D5" w:rsidRPr="006B6885">
        <w:t xml:space="preserve"> môže vyvolať závrat</w:t>
      </w:r>
      <w:r w:rsidR="00E910C0" w:rsidRPr="006B6885">
        <w:t>y</w:t>
      </w:r>
      <w:r w:rsidR="0055454F" w:rsidRPr="006B6885">
        <w:t xml:space="preserve"> </w:t>
      </w:r>
      <w:proofErr w:type="gramStart"/>
      <w:r w:rsidR="0055454F" w:rsidRPr="006B6885">
        <w:t>a</w:t>
      </w:r>
      <w:proofErr w:type="gramEnd"/>
      <w:r w:rsidR="001764BF" w:rsidRPr="006511C1">
        <w:t> </w:t>
      </w:r>
      <w:r w:rsidR="0055454F" w:rsidRPr="006B6885">
        <w:t>ospalosť, a</w:t>
      </w:r>
      <w:r w:rsidR="001764BF" w:rsidRPr="006511C1">
        <w:t> </w:t>
      </w:r>
      <w:r w:rsidR="0055454F" w:rsidRPr="006B6885">
        <w:t xml:space="preserve">preto môže ovplyvniť schopnosť viesť vozidlá alebo </w:t>
      </w:r>
      <w:r w:rsidR="0055454F" w:rsidRPr="006B6885">
        <w:lastRenderedPageBreak/>
        <w:t xml:space="preserve">obsluhovať stroje. Pacientom treba poradiť, aby neviedli vozidlá, neobsluhovali zložité stroje alebo </w:t>
      </w:r>
      <w:proofErr w:type="gramStart"/>
      <w:r w:rsidR="0055454F" w:rsidRPr="006B6885">
        <w:t>sa</w:t>
      </w:r>
      <w:proofErr w:type="gramEnd"/>
      <w:r w:rsidR="0055454F" w:rsidRPr="006B6885">
        <w:t xml:space="preserve"> nezapájali do iných potenciálne nebezpečných činností, pokiaľ nie je isté, či tento liek neovplyvňuje ich schopnosť vykonávať uvedené činnosti.</w:t>
      </w:r>
    </w:p>
    <w:p w14:paraId="02764224" w14:textId="77777777" w:rsidR="001F4901" w:rsidRPr="006B6885" w:rsidRDefault="001F4901"/>
    <w:p w14:paraId="0DD4175A" w14:textId="77777777" w:rsidR="001F4901" w:rsidRPr="006B6885" w:rsidRDefault="001F4901" w:rsidP="00D116F1">
      <w:pPr>
        <w:keepNext/>
        <w:spacing w:line="240" w:lineRule="auto"/>
        <w:outlineLvl w:val="0"/>
        <w:rPr>
          <w:b/>
        </w:rPr>
      </w:pPr>
      <w:r w:rsidRPr="006B6885">
        <w:rPr>
          <w:b/>
        </w:rPr>
        <w:t>4.8</w:t>
      </w:r>
      <w:r w:rsidRPr="006B6885">
        <w:rPr>
          <w:b/>
        </w:rPr>
        <w:tab/>
      </w:r>
      <w:r w:rsidR="003023F5" w:rsidRPr="006B6885">
        <w:rPr>
          <w:b/>
        </w:rPr>
        <w:t>Nežiaduce účinky</w:t>
      </w:r>
    </w:p>
    <w:p w14:paraId="1C909AFC" w14:textId="77777777" w:rsidR="003023F5" w:rsidRPr="006B6885" w:rsidRDefault="003023F5" w:rsidP="00D116F1">
      <w:pPr>
        <w:keepNext/>
        <w:autoSpaceDE w:val="0"/>
        <w:autoSpaceDN w:val="0"/>
        <w:adjustRightInd w:val="0"/>
        <w:jc w:val="both"/>
        <w:rPr>
          <w:b/>
        </w:rPr>
      </w:pPr>
    </w:p>
    <w:p w14:paraId="7296845E" w14:textId="67AC75B8" w:rsidR="00F646D5" w:rsidRPr="006B6885" w:rsidRDefault="00F646D5" w:rsidP="00F646D5">
      <w:r w:rsidRPr="006B6885">
        <w:t>Klinický program s pregabalínom zahŕňal viac ako 8</w:t>
      </w:r>
      <w:r w:rsidR="001764BF" w:rsidRPr="00531EC4">
        <w:rPr>
          <w:bCs/>
        </w:rPr>
        <w:t> </w:t>
      </w:r>
      <w:r w:rsidRPr="006B6885">
        <w:t>900 pacientov užívajúcich pregabalín, z</w:t>
      </w:r>
      <w:r w:rsidR="001764BF" w:rsidRPr="00531EC4">
        <w:rPr>
          <w:bCs/>
        </w:rPr>
        <w:t> </w:t>
      </w:r>
      <w:r w:rsidRPr="006B6885">
        <w:t>ktorých viac ako 5</w:t>
      </w:r>
      <w:r w:rsidR="001764BF" w:rsidRPr="00531EC4">
        <w:rPr>
          <w:bCs/>
        </w:rPr>
        <w:t> </w:t>
      </w:r>
      <w:r w:rsidRPr="006B6885">
        <w:t>600 bolo zaradených do dvojito zaslepených placebom kontrolovaných štúdií. Najčastejšie hlásenými nežiaducimi reakciami boli závrat</w:t>
      </w:r>
      <w:r w:rsidR="00E910C0" w:rsidRPr="006B6885">
        <w:t>y</w:t>
      </w:r>
      <w:r w:rsidRPr="006B6885">
        <w:t xml:space="preserve"> a</w:t>
      </w:r>
      <w:r w:rsidR="001764BF" w:rsidRPr="00531EC4">
        <w:rPr>
          <w:bCs/>
        </w:rPr>
        <w:t> </w:t>
      </w:r>
      <w:r w:rsidRPr="006B6885">
        <w:t xml:space="preserve">somnolencia. Nežiaduce reakcie boli zvyčajne ľahkej až strednej intenzity. </w:t>
      </w:r>
      <w:proofErr w:type="gramStart"/>
      <w:r w:rsidRPr="006B6885">
        <w:t>Vo</w:t>
      </w:r>
      <w:proofErr w:type="gramEnd"/>
      <w:r w:rsidRPr="006B6885">
        <w:t xml:space="preserve"> všetkých kontrolovaných štúdiách boli nežiaduce reakcie príčinou prerušenia liečby u</w:t>
      </w:r>
      <w:r w:rsidR="00E910C0" w:rsidRPr="006B6885">
        <w:t> </w:t>
      </w:r>
      <w:r w:rsidRPr="006B6885">
        <w:t>12</w:t>
      </w:r>
      <w:r w:rsidR="00E910C0" w:rsidRPr="006B6885">
        <w:t> </w:t>
      </w:r>
      <w:r w:rsidRPr="006B6885">
        <w:t>% pacientov užívajúcich pregabalín a</w:t>
      </w:r>
      <w:r w:rsidR="001764BF" w:rsidRPr="00531EC4">
        <w:rPr>
          <w:bCs/>
        </w:rPr>
        <w:t> </w:t>
      </w:r>
      <w:r w:rsidRPr="006B6885">
        <w:t>u</w:t>
      </w:r>
      <w:r w:rsidR="00E910C0" w:rsidRPr="006B6885">
        <w:t> </w:t>
      </w:r>
      <w:r w:rsidRPr="006B6885">
        <w:t>5</w:t>
      </w:r>
      <w:r w:rsidR="00E910C0" w:rsidRPr="006B6885">
        <w:t> </w:t>
      </w:r>
      <w:r w:rsidRPr="006B6885">
        <w:t>% pacientov užívajúcich placebo. Najčastejšími nežiaducimi reakciami vedúcimi k</w:t>
      </w:r>
      <w:r w:rsidR="001764BF" w:rsidRPr="00531EC4">
        <w:rPr>
          <w:bCs/>
        </w:rPr>
        <w:t> </w:t>
      </w:r>
      <w:r w:rsidRPr="006B6885">
        <w:t>preruše</w:t>
      </w:r>
      <w:r w:rsidR="00E910C0" w:rsidRPr="006B6885">
        <w:t>niu liečby v skupinách s pregabalínom boli závraty</w:t>
      </w:r>
      <w:r w:rsidRPr="006B6885">
        <w:t xml:space="preserve"> a</w:t>
      </w:r>
      <w:r w:rsidR="001764BF" w:rsidRPr="00531EC4">
        <w:rPr>
          <w:bCs/>
        </w:rPr>
        <w:t> </w:t>
      </w:r>
      <w:r w:rsidRPr="006B6885">
        <w:t>somnolencia.</w:t>
      </w:r>
    </w:p>
    <w:p w14:paraId="13610DA7" w14:textId="77777777" w:rsidR="00844FAB" w:rsidRPr="006B6885" w:rsidRDefault="00844FAB" w:rsidP="00F646D5"/>
    <w:p w14:paraId="0D556AC1" w14:textId="17F2D075" w:rsidR="00F646D5" w:rsidRPr="006B6885" w:rsidRDefault="00F646D5" w:rsidP="00F646D5">
      <w:r w:rsidRPr="006B6885">
        <w:t>V</w:t>
      </w:r>
      <w:r w:rsidR="004963F3" w:rsidRPr="00531EC4">
        <w:rPr>
          <w:bCs/>
        </w:rPr>
        <w:t> </w:t>
      </w:r>
      <w:r w:rsidRPr="006B6885">
        <w:t>tabuľke</w:t>
      </w:r>
      <w:r w:rsidR="004963F3" w:rsidRPr="00531EC4">
        <w:rPr>
          <w:bCs/>
        </w:rPr>
        <w:t xml:space="preserve"> 2</w:t>
      </w:r>
      <w:r w:rsidRPr="006B6885">
        <w:t xml:space="preserve"> nižšie sú všetky nežiaduce reakcie, ktoré sa vyskytli častejšie než pri placebe a</w:t>
      </w:r>
      <w:r w:rsidR="001764BF" w:rsidRPr="00531EC4">
        <w:rPr>
          <w:bCs/>
        </w:rPr>
        <w:t> </w:t>
      </w:r>
      <w:r w:rsidRPr="006B6885">
        <w:t>viac než u</w:t>
      </w:r>
      <w:r w:rsidR="001764BF" w:rsidRPr="00531EC4">
        <w:rPr>
          <w:bCs/>
        </w:rPr>
        <w:t> </w:t>
      </w:r>
      <w:r w:rsidRPr="006B6885">
        <w:t>jedného pacienta, zoradené podľa triedy a</w:t>
      </w:r>
      <w:r w:rsidR="001764BF" w:rsidRPr="00531EC4">
        <w:rPr>
          <w:bCs/>
        </w:rPr>
        <w:t> </w:t>
      </w:r>
      <w:r w:rsidRPr="006B6885">
        <w:t>frekvencie (veľmi časté (</w:t>
      </w:r>
      <w:r w:rsidR="00E910C0" w:rsidRPr="006B6885">
        <w:t>≥ </w:t>
      </w:r>
      <w:r w:rsidRPr="006B6885">
        <w:t>1/10); časté (</w:t>
      </w:r>
      <w:r w:rsidR="00E910C0" w:rsidRPr="006B6885">
        <w:t>≥ </w:t>
      </w:r>
      <w:r w:rsidRPr="006B6885">
        <w:t>1</w:t>
      </w:r>
      <w:r w:rsidR="00E910C0" w:rsidRPr="006B6885">
        <w:t>/100 až &lt; </w:t>
      </w:r>
      <w:r w:rsidRPr="006B6885">
        <w:t>1/10); menej časté (</w:t>
      </w:r>
      <w:r w:rsidR="00E910C0" w:rsidRPr="006B6885">
        <w:t>≥ </w:t>
      </w:r>
      <w:r w:rsidRPr="006B6885">
        <w:t>1/1</w:t>
      </w:r>
      <w:r w:rsidR="00E910C0" w:rsidRPr="006B6885">
        <w:t> </w:t>
      </w:r>
      <w:r w:rsidRPr="006B6885">
        <w:t xml:space="preserve">000 až </w:t>
      </w:r>
      <w:r w:rsidR="00E910C0" w:rsidRPr="006B6885">
        <w:t>&lt; </w:t>
      </w:r>
      <w:r w:rsidRPr="006B6885">
        <w:t>1/100); zriedkavé (</w:t>
      </w:r>
      <w:r w:rsidR="00E910C0" w:rsidRPr="006B6885">
        <w:t>≥ </w:t>
      </w:r>
      <w:r w:rsidRPr="006B6885">
        <w:t>1/10</w:t>
      </w:r>
      <w:r w:rsidR="00E910C0" w:rsidRPr="006B6885">
        <w:t> </w:t>
      </w:r>
      <w:r w:rsidRPr="006B6885">
        <w:t xml:space="preserve">000 až </w:t>
      </w:r>
      <w:r w:rsidR="00E910C0" w:rsidRPr="006B6885">
        <w:t>&lt; </w:t>
      </w:r>
      <w:r w:rsidRPr="006B6885">
        <w:t>1/1</w:t>
      </w:r>
      <w:r w:rsidR="00E910C0" w:rsidRPr="006B6885">
        <w:t xml:space="preserve"> 000); veľmi zriedkavé </w:t>
      </w:r>
      <w:r w:rsidRPr="006B6885">
        <w:t>(</w:t>
      </w:r>
      <w:r w:rsidR="00E910C0" w:rsidRPr="006B6885">
        <w:t>&lt; </w:t>
      </w:r>
      <w:r w:rsidRPr="006B6885">
        <w:t>1/10</w:t>
      </w:r>
      <w:r w:rsidR="00E910C0" w:rsidRPr="006B6885">
        <w:t> </w:t>
      </w:r>
      <w:r w:rsidRPr="006B6885">
        <w:t>000), neznáme (</w:t>
      </w:r>
      <w:r w:rsidR="00E910C0" w:rsidRPr="006B6885">
        <w:t xml:space="preserve">nemožno odhadnúť </w:t>
      </w:r>
      <w:r w:rsidR="00767F42" w:rsidRPr="006B6885">
        <w:t>z</w:t>
      </w:r>
      <w:r w:rsidR="001764BF" w:rsidRPr="00531EC4">
        <w:rPr>
          <w:bCs/>
        </w:rPr>
        <w:t> </w:t>
      </w:r>
      <w:r w:rsidR="00767F42" w:rsidRPr="006B6885">
        <w:t xml:space="preserve">dostupných údajov). </w:t>
      </w:r>
      <w:r w:rsidRPr="006B6885">
        <w:t>V</w:t>
      </w:r>
      <w:r w:rsidR="001764BF" w:rsidRPr="00531EC4">
        <w:rPr>
          <w:bCs/>
        </w:rPr>
        <w:t> </w:t>
      </w:r>
      <w:r w:rsidRPr="006B6885">
        <w:t>rámci jednotlivých skupín frekvencií sú nežiaduce účinky usporiadané v</w:t>
      </w:r>
      <w:r w:rsidR="001764BF" w:rsidRPr="00531EC4">
        <w:rPr>
          <w:bCs/>
        </w:rPr>
        <w:t> </w:t>
      </w:r>
      <w:r w:rsidRPr="006B6885">
        <w:t>poradí klesajúcej závažnosti.</w:t>
      </w:r>
    </w:p>
    <w:p w14:paraId="20ED329A" w14:textId="77777777" w:rsidR="00767F42" w:rsidRPr="006B6885" w:rsidRDefault="00767F42" w:rsidP="00F646D5"/>
    <w:p w14:paraId="46BAF22C" w14:textId="77777777" w:rsidR="00767F42" w:rsidRPr="006B6885" w:rsidRDefault="00F646D5" w:rsidP="00F646D5">
      <w:r w:rsidRPr="006B6885">
        <w:t>Uvedené nežiaduce reakcie môžu tiež súvisieť so základným ochoren</w:t>
      </w:r>
      <w:r w:rsidR="00767F42" w:rsidRPr="006B6885">
        <w:t>ím a/alebo sprievodnou liečbou.</w:t>
      </w:r>
    </w:p>
    <w:p w14:paraId="0CE94C9E" w14:textId="77777777" w:rsidR="00767F42" w:rsidRPr="006B6885" w:rsidRDefault="00767F42" w:rsidP="00F646D5"/>
    <w:p w14:paraId="6D2CF993" w14:textId="362D4AF0" w:rsidR="00D116F1" w:rsidRPr="006B6885" w:rsidRDefault="00F646D5" w:rsidP="00F646D5">
      <w:r w:rsidRPr="006B6885">
        <w:t xml:space="preserve">Pri liečbe centrálnej neuropatickej bolesti </w:t>
      </w:r>
      <w:proofErr w:type="gramStart"/>
      <w:r w:rsidR="00767F42" w:rsidRPr="006B6885">
        <w:t>sa</w:t>
      </w:r>
      <w:proofErr w:type="gramEnd"/>
      <w:r w:rsidR="00767F42" w:rsidRPr="006B6885">
        <w:t xml:space="preserve"> </w:t>
      </w:r>
      <w:r w:rsidRPr="006B6885">
        <w:t>v</w:t>
      </w:r>
      <w:r w:rsidR="001764BF" w:rsidRPr="00531EC4">
        <w:rPr>
          <w:bCs/>
        </w:rPr>
        <w:t> </w:t>
      </w:r>
      <w:r w:rsidRPr="006B6885">
        <w:t>dôsledku poškoden</w:t>
      </w:r>
      <w:r w:rsidR="00767F42" w:rsidRPr="006B6885">
        <w:t xml:space="preserve">ia miechy zaznamenal zvýšený </w:t>
      </w:r>
      <w:r w:rsidRPr="006B6885">
        <w:t>výskyt ne</w:t>
      </w:r>
      <w:r w:rsidR="00767F42" w:rsidRPr="006B6885">
        <w:t>žiaducich reakcií všeobecne,</w:t>
      </w:r>
      <w:r w:rsidRPr="006B6885">
        <w:t xml:space="preserve"> nežiaducich reakcií</w:t>
      </w:r>
      <w:r w:rsidR="00767F42" w:rsidRPr="006B6885">
        <w:t xml:space="preserve"> na CNS</w:t>
      </w:r>
      <w:r w:rsidRPr="006B6885">
        <w:t xml:space="preserve"> a</w:t>
      </w:r>
      <w:r w:rsidR="001764BF" w:rsidRPr="00531EC4">
        <w:rPr>
          <w:bCs/>
        </w:rPr>
        <w:t> </w:t>
      </w:r>
      <w:r w:rsidRPr="006B6885">
        <w:t>zvlášť somnolencie (pozri časť 4.4).</w:t>
      </w:r>
    </w:p>
    <w:p w14:paraId="716F74BC" w14:textId="77777777" w:rsidR="00767F42" w:rsidRPr="006B6885" w:rsidRDefault="00767F42" w:rsidP="00F646D5"/>
    <w:p w14:paraId="5BDE458F" w14:textId="02A0B26E" w:rsidR="00767F42" w:rsidRPr="006B6885" w:rsidRDefault="00767F42" w:rsidP="00F646D5">
      <w:r w:rsidRPr="006B6885">
        <w:t xml:space="preserve">Ďalšie reakcie hlásené </w:t>
      </w:r>
      <w:proofErr w:type="gramStart"/>
      <w:r w:rsidRPr="006B6885">
        <w:t>na</w:t>
      </w:r>
      <w:proofErr w:type="gramEnd"/>
      <w:r w:rsidRPr="006B6885">
        <w:t xml:space="preserve"> základe skúseností po uvedení lieku na trh sú zaradené v</w:t>
      </w:r>
      <w:r w:rsidR="001764BF" w:rsidRPr="00531EC4">
        <w:rPr>
          <w:bCs/>
        </w:rPr>
        <w:t> </w:t>
      </w:r>
      <w:r w:rsidRPr="006B6885">
        <w:t>zozname nižšie kurzívou.</w:t>
      </w:r>
    </w:p>
    <w:p w14:paraId="791F6320" w14:textId="77777777" w:rsidR="004963F3" w:rsidRPr="00531EC4" w:rsidRDefault="004963F3">
      <w:pPr>
        <w:rPr>
          <w:b/>
          <w:bCs/>
        </w:rPr>
      </w:pPr>
    </w:p>
    <w:p w14:paraId="442ABD35" w14:textId="77777777" w:rsidR="00D116F1" w:rsidRPr="00531EC4" w:rsidRDefault="004963F3">
      <w:pPr>
        <w:rPr>
          <w:bCs/>
        </w:rPr>
      </w:pPr>
      <w:r w:rsidRPr="00531EC4">
        <w:rPr>
          <w:b/>
          <w:bCs/>
        </w:rPr>
        <w:t>Tabuľka 2</w:t>
      </w:r>
      <w:r w:rsidR="00E91D66" w:rsidRPr="00531EC4">
        <w:rPr>
          <w:b/>
          <w:bCs/>
        </w:rPr>
        <w:t xml:space="preserve"> </w:t>
      </w:r>
      <w:r w:rsidR="00E91D66" w:rsidRPr="006511C1">
        <w:t>Nežiaduce liekové reakcie pregabalín</w:t>
      </w:r>
      <w:r w:rsidR="00685C8A" w:rsidRPr="006511C1"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767F42" w:rsidRPr="006511C1" w14:paraId="20992A89" w14:textId="77777777" w:rsidTr="001313F6">
        <w:trPr>
          <w:tblHeader/>
        </w:trPr>
        <w:tc>
          <w:tcPr>
            <w:tcW w:w="4605" w:type="dxa"/>
          </w:tcPr>
          <w:p w14:paraId="36A97A63" w14:textId="77777777" w:rsidR="00767F42" w:rsidRPr="006B6885" w:rsidRDefault="00767F42" w:rsidP="00767F42">
            <w:pPr>
              <w:rPr>
                <w:b/>
              </w:rPr>
            </w:pPr>
            <w:r w:rsidRPr="006B6885">
              <w:rPr>
                <w:b/>
              </w:rPr>
              <w:t>Trieda orgánových systémov</w:t>
            </w:r>
          </w:p>
        </w:tc>
        <w:tc>
          <w:tcPr>
            <w:tcW w:w="4606" w:type="dxa"/>
          </w:tcPr>
          <w:p w14:paraId="1EC90388" w14:textId="69E9E63F" w:rsidR="00767F42" w:rsidRPr="006B6885" w:rsidRDefault="00767F42">
            <w:pPr>
              <w:rPr>
                <w:b/>
              </w:rPr>
            </w:pPr>
            <w:r w:rsidRPr="006B6885">
              <w:rPr>
                <w:b/>
              </w:rPr>
              <w:t xml:space="preserve">Nežiaduce reakcie </w:t>
            </w:r>
            <w:r w:rsidR="00844FAB" w:rsidRPr="006511C1">
              <w:rPr>
                <w:b/>
              </w:rPr>
              <w:t xml:space="preserve">na </w:t>
            </w:r>
            <w:r w:rsidRPr="006511C1">
              <w:rPr>
                <w:b/>
              </w:rPr>
              <w:t>liek</w:t>
            </w:r>
          </w:p>
        </w:tc>
      </w:tr>
      <w:tr w:rsidR="00767F42" w:rsidRPr="006511C1" w14:paraId="25CED8EB" w14:textId="77777777" w:rsidTr="00767F42">
        <w:tc>
          <w:tcPr>
            <w:tcW w:w="4605" w:type="dxa"/>
          </w:tcPr>
          <w:p w14:paraId="2F01911A" w14:textId="77777777" w:rsidR="00767F42" w:rsidRPr="006B6885" w:rsidRDefault="00767F42">
            <w:pPr>
              <w:rPr>
                <w:b/>
              </w:rPr>
            </w:pPr>
            <w:r w:rsidRPr="006B6885">
              <w:rPr>
                <w:b/>
              </w:rPr>
              <w:t>Infekcie a nákazy</w:t>
            </w:r>
          </w:p>
          <w:p w14:paraId="6A286949" w14:textId="77777777" w:rsidR="00767F42" w:rsidRPr="006B6885" w:rsidRDefault="00767F42">
            <w:r w:rsidRPr="006B6885">
              <w:t>Časté</w:t>
            </w:r>
          </w:p>
        </w:tc>
        <w:tc>
          <w:tcPr>
            <w:tcW w:w="4606" w:type="dxa"/>
          </w:tcPr>
          <w:p w14:paraId="2B5C035E" w14:textId="77777777" w:rsidR="00767F42" w:rsidRPr="006B6885" w:rsidRDefault="00767F42"/>
          <w:p w14:paraId="03F9EB91" w14:textId="77777777" w:rsidR="00767F42" w:rsidRPr="006B6885" w:rsidRDefault="00767F42">
            <w:r w:rsidRPr="006B6885">
              <w:t>nazofaryngitída</w:t>
            </w:r>
          </w:p>
        </w:tc>
      </w:tr>
      <w:tr w:rsidR="00767F42" w:rsidRPr="006511C1" w14:paraId="7AB18E6B" w14:textId="77777777" w:rsidTr="00767F42">
        <w:tc>
          <w:tcPr>
            <w:tcW w:w="4605" w:type="dxa"/>
            <w:tcBorders>
              <w:bottom w:val="single" w:sz="4" w:space="0" w:color="auto"/>
            </w:tcBorders>
          </w:tcPr>
          <w:p w14:paraId="0B646E8A" w14:textId="77777777" w:rsidR="00767F42" w:rsidRPr="006B6885" w:rsidRDefault="00767F42">
            <w:pPr>
              <w:rPr>
                <w:b/>
              </w:rPr>
            </w:pPr>
            <w:r w:rsidRPr="006B6885">
              <w:rPr>
                <w:b/>
              </w:rPr>
              <w:t>Poruchy krvi a lymfatického systému</w:t>
            </w:r>
          </w:p>
          <w:p w14:paraId="26F15C55" w14:textId="77777777" w:rsidR="00767F42" w:rsidRPr="006B6885" w:rsidRDefault="00767F42">
            <w:r w:rsidRPr="006B6885">
              <w:t>Menej časté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146FE533" w14:textId="77777777" w:rsidR="00767F42" w:rsidRPr="006B6885" w:rsidRDefault="00767F42"/>
          <w:p w14:paraId="23B89179" w14:textId="77777777" w:rsidR="00767F42" w:rsidRPr="006B6885" w:rsidRDefault="00767F42">
            <w:r w:rsidRPr="006B6885">
              <w:t>neutropénia</w:t>
            </w:r>
          </w:p>
        </w:tc>
      </w:tr>
      <w:tr w:rsidR="00767F42" w:rsidRPr="006511C1" w14:paraId="65D70ACB" w14:textId="77777777" w:rsidTr="00767F42">
        <w:tc>
          <w:tcPr>
            <w:tcW w:w="4605" w:type="dxa"/>
            <w:tcBorders>
              <w:bottom w:val="nil"/>
              <w:right w:val="single" w:sz="4" w:space="0" w:color="auto"/>
            </w:tcBorders>
          </w:tcPr>
          <w:p w14:paraId="08B1994F" w14:textId="77777777" w:rsidR="00767F42" w:rsidRPr="006B6885" w:rsidRDefault="00767F42">
            <w:pPr>
              <w:rPr>
                <w:b/>
              </w:rPr>
            </w:pPr>
            <w:r w:rsidRPr="006B6885">
              <w:rPr>
                <w:b/>
              </w:rPr>
              <w:t>Poruchy imunitného systému</w:t>
            </w:r>
          </w:p>
          <w:p w14:paraId="20531789" w14:textId="77777777" w:rsidR="00767F42" w:rsidRPr="006B6885" w:rsidRDefault="00767F42">
            <w:r w:rsidRPr="006B6885">
              <w:t>Menej časté</w:t>
            </w:r>
          </w:p>
        </w:tc>
        <w:tc>
          <w:tcPr>
            <w:tcW w:w="4606" w:type="dxa"/>
            <w:tcBorders>
              <w:left w:val="single" w:sz="4" w:space="0" w:color="auto"/>
              <w:bottom w:val="nil"/>
            </w:tcBorders>
          </w:tcPr>
          <w:p w14:paraId="2EBAA036" w14:textId="77777777" w:rsidR="00767F42" w:rsidRPr="006B6885" w:rsidRDefault="00767F42">
            <w:pPr>
              <w:rPr>
                <w:i/>
              </w:rPr>
            </w:pPr>
          </w:p>
          <w:p w14:paraId="48A10F5C" w14:textId="77777777" w:rsidR="00767F42" w:rsidRPr="006B6885" w:rsidRDefault="00767F42">
            <w:pPr>
              <w:rPr>
                <w:i/>
              </w:rPr>
            </w:pPr>
            <w:r w:rsidRPr="006B6885">
              <w:rPr>
                <w:i/>
              </w:rPr>
              <w:t>precitlivenosť</w:t>
            </w:r>
          </w:p>
        </w:tc>
      </w:tr>
      <w:tr w:rsidR="00767F42" w:rsidRPr="006511C1" w14:paraId="7940C858" w14:textId="77777777" w:rsidTr="00187B85"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C60DCD" w14:textId="77777777" w:rsidR="00767F42" w:rsidRPr="006B6885" w:rsidRDefault="00767F42"/>
          <w:p w14:paraId="1A0C3536" w14:textId="77777777" w:rsidR="00767F42" w:rsidRPr="006B6885" w:rsidRDefault="00767F42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6213E2" w14:textId="77777777" w:rsidR="00767F42" w:rsidRPr="006B6885" w:rsidRDefault="00767F42">
            <w:pPr>
              <w:rPr>
                <w:i/>
              </w:rPr>
            </w:pPr>
          </w:p>
          <w:p w14:paraId="0AA1B8F2" w14:textId="77777777" w:rsidR="00767F42" w:rsidRPr="006B6885" w:rsidRDefault="00767F42">
            <w:pPr>
              <w:rPr>
                <w:i/>
              </w:rPr>
            </w:pPr>
            <w:r w:rsidRPr="006B6885">
              <w:rPr>
                <w:i/>
              </w:rPr>
              <w:t>angioedém, alergická reakcia</w:t>
            </w:r>
          </w:p>
        </w:tc>
      </w:tr>
      <w:tr w:rsidR="00767F42" w:rsidRPr="006511C1" w14:paraId="7B14D360" w14:textId="77777777" w:rsidTr="00187B85">
        <w:tc>
          <w:tcPr>
            <w:tcW w:w="4605" w:type="dxa"/>
            <w:tcBorders>
              <w:bottom w:val="nil"/>
            </w:tcBorders>
          </w:tcPr>
          <w:p w14:paraId="4552CD28" w14:textId="77777777" w:rsidR="00767F42" w:rsidRPr="006B6885" w:rsidRDefault="00187B85">
            <w:pPr>
              <w:rPr>
                <w:b/>
              </w:rPr>
            </w:pPr>
            <w:r w:rsidRPr="006B6885">
              <w:rPr>
                <w:b/>
              </w:rPr>
              <w:t>Poruchy metabolizmu a výživy</w:t>
            </w:r>
          </w:p>
          <w:p w14:paraId="149554AC" w14:textId="77777777" w:rsidR="00187B85" w:rsidRPr="006B6885" w:rsidRDefault="00187B85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3FDDF57E" w14:textId="77777777" w:rsidR="00767F42" w:rsidRPr="006B6885" w:rsidRDefault="00767F42"/>
          <w:p w14:paraId="411FC6A7" w14:textId="77777777" w:rsidR="00187B85" w:rsidRPr="006B6885" w:rsidRDefault="00187B85">
            <w:r w:rsidRPr="006511C1">
              <w:t>zvýšená chuť do jedla</w:t>
            </w:r>
          </w:p>
        </w:tc>
      </w:tr>
      <w:tr w:rsidR="00767F42" w:rsidRPr="006511C1" w14:paraId="5AE5E87A" w14:textId="77777777" w:rsidTr="00187B85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68FDFA7D" w14:textId="77777777" w:rsidR="00187B85" w:rsidRPr="006B6885" w:rsidRDefault="00187B85"/>
          <w:p w14:paraId="727F8DE9" w14:textId="77777777" w:rsidR="00767F42" w:rsidRPr="006B6885" w:rsidRDefault="00187B85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22741131" w14:textId="77777777" w:rsidR="00187B85" w:rsidRPr="006B6885" w:rsidRDefault="00187B85"/>
          <w:p w14:paraId="59C44DB4" w14:textId="77777777" w:rsidR="00767F42" w:rsidRPr="006B6885" w:rsidRDefault="00187B85">
            <w:r w:rsidRPr="006B6885">
              <w:t>anorexia, hypoglykémia</w:t>
            </w:r>
          </w:p>
        </w:tc>
      </w:tr>
      <w:tr w:rsidR="00187B85" w:rsidRPr="006511C1" w14:paraId="2FC7E35B" w14:textId="77777777" w:rsidTr="00187B85">
        <w:tc>
          <w:tcPr>
            <w:tcW w:w="4605" w:type="dxa"/>
            <w:tcBorders>
              <w:bottom w:val="nil"/>
            </w:tcBorders>
          </w:tcPr>
          <w:p w14:paraId="4114745A" w14:textId="77777777" w:rsidR="00187B85" w:rsidRPr="006B6885" w:rsidRDefault="00187B85">
            <w:pPr>
              <w:rPr>
                <w:b/>
              </w:rPr>
            </w:pPr>
            <w:r w:rsidRPr="006B6885">
              <w:rPr>
                <w:b/>
              </w:rPr>
              <w:t>Psychické poruchy</w:t>
            </w:r>
          </w:p>
          <w:p w14:paraId="48C066FA" w14:textId="77777777" w:rsidR="00187B85" w:rsidRPr="006B6885" w:rsidRDefault="00187B85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183B6D33" w14:textId="77777777" w:rsidR="00187B85" w:rsidRPr="006B6885" w:rsidRDefault="00187B85" w:rsidP="00187B85"/>
          <w:p w14:paraId="3AD8F1FA" w14:textId="77777777" w:rsidR="00187B85" w:rsidRPr="006B6885" w:rsidRDefault="00187B85" w:rsidP="00187B85">
            <w:r w:rsidRPr="006B6885">
              <w:t>euforická nálada, zmätenosť, podráždenosť, dezorientácia, insomnia, pokles libida</w:t>
            </w:r>
          </w:p>
        </w:tc>
      </w:tr>
      <w:tr w:rsidR="00187B85" w:rsidRPr="006511C1" w14:paraId="7066235A" w14:textId="77777777" w:rsidTr="00187B85">
        <w:tc>
          <w:tcPr>
            <w:tcW w:w="4605" w:type="dxa"/>
            <w:tcBorders>
              <w:top w:val="nil"/>
              <w:bottom w:val="nil"/>
            </w:tcBorders>
          </w:tcPr>
          <w:p w14:paraId="2269E43D" w14:textId="77777777" w:rsidR="00187B85" w:rsidRPr="006B6885" w:rsidRDefault="00187B85"/>
          <w:p w14:paraId="5365CB41" w14:textId="77777777" w:rsidR="00187B85" w:rsidRPr="006B6885" w:rsidRDefault="00187B85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03336751" w14:textId="77777777" w:rsidR="00187B85" w:rsidRPr="006B6885" w:rsidRDefault="00187B85"/>
          <w:p w14:paraId="660F34B6" w14:textId="4D32F93F" w:rsidR="00187B85" w:rsidRPr="006B6885" w:rsidRDefault="00187B85">
            <w:r w:rsidRPr="006B6885">
              <w:t>halucinácie, panický atak, nepokoj, agitovanosť, depresia,</w:t>
            </w:r>
            <w:r w:rsidR="00B008D5" w:rsidRPr="006B6885">
              <w:t xml:space="preserve"> depresívna nálada, povznesená</w:t>
            </w:r>
            <w:r w:rsidRPr="006B6885">
              <w:t xml:space="preserve"> nálada, </w:t>
            </w:r>
            <w:r w:rsidRPr="006B6885">
              <w:rPr>
                <w:i/>
              </w:rPr>
              <w:t>agresivita</w:t>
            </w:r>
            <w:r w:rsidRPr="006B6885">
              <w:t>, kolísanie nálady,</w:t>
            </w:r>
            <w:r w:rsidR="00B008D5" w:rsidRPr="006B6885">
              <w:t xml:space="preserve"> depersonalizácia, ťažkosti s</w:t>
            </w:r>
            <w:r w:rsidR="001764BF" w:rsidRPr="006511C1">
              <w:t> </w:t>
            </w:r>
            <w:r w:rsidR="00B008D5" w:rsidRPr="006B6885">
              <w:t>hľada</w:t>
            </w:r>
            <w:r w:rsidRPr="006B6885">
              <w:t>n</w:t>
            </w:r>
            <w:r w:rsidR="00B008D5" w:rsidRPr="006B6885">
              <w:t>ím slov, abnormálne sny, zvýšené libido</w:t>
            </w:r>
            <w:r w:rsidRPr="006B6885">
              <w:t>, anorgazmia, apatia</w:t>
            </w:r>
          </w:p>
        </w:tc>
      </w:tr>
      <w:tr w:rsidR="00187B85" w:rsidRPr="006511C1" w14:paraId="2E7D52E7" w14:textId="77777777" w:rsidTr="00CE6764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1967207E" w14:textId="77777777" w:rsidR="00187B85" w:rsidRPr="006B6885" w:rsidRDefault="00187B85"/>
          <w:p w14:paraId="245651B9" w14:textId="77777777" w:rsidR="00187B85" w:rsidRPr="006B6885" w:rsidRDefault="00187B85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1E89F8C8" w14:textId="77777777" w:rsidR="00187B85" w:rsidRPr="006B6885" w:rsidRDefault="00187B85"/>
          <w:p w14:paraId="2E19CA94" w14:textId="77777777" w:rsidR="00187B85" w:rsidRPr="006B6885" w:rsidRDefault="00187B85">
            <w:r w:rsidRPr="006B6885">
              <w:t>strata zábran</w:t>
            </w:r>
          </w:p>
        </w:tc>
      </w:tr>
      <w:tr w:rsidR="00187B85" w:rsidRPr="006511C1" w14:paraId="72555CD9" w14:textId="77777777" w:rsidTr="00CE6764">
        <w:tc>
          <w:tcPr>
            <w:tcW w:w="4605" w:type="dxa"/>
            <w:tcBorders>
              <w:bottom w:val="nil"/>
            </w:tcBorders>
          </w:tcPr>
          <w:p w14:paraId="18E2382B" w14:textId="77777777" w:rsidR="00187B85" w:rsidRPr="006B6885" w:rsidRDefault="00CE6764">
            <w:pPr>
              <w:rPr>
                <w:b/>
              </w:rPr>
            </w:pPr>
            <w:r w:rsidRPr="006B6885">
              <w:rPr>
                <w:b/>
              </w:rPr>
              <w:t>Poruchy nervového systému</w:t>
            </w:r>
          </w:p>
          <w:p w14:paraId="399191B4" w14:textId="77777777" w:rsidR="00CE6764" w:rsidRPr="006B6885" w:rsidRDefault="00CE6764">
            <w:r w:rsidRPr="006B6885">
              <w:lastRenderedPageBreak/>
              <w:t>Veľmi 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208F7631" w14:textId="77777777" w:rsidR="00187B85" w:rsidRPr="006B6885" w:rsidRDefault="00187B85"/>
          <w:p w14:paraId="3AB5FA70" w14:textId="77777777" w:rsidR="00CE6764" w:rsidRPr="006B6885" w:rsidRDefault="00CE6764">
            <w:r w:rsidRPr="006B6885">
              <w:lastRenderedPageBreak/>
              <w:t>závraty, somnolencia, bolesť hlavy</w:t>
            </w:r>
          </w:p>
        </w:tc>
      </w:tr>
      <w:tr w:rsidR="00DD4537" w:rsidRPr="006511C1" w14:paraId="1493638E" w14:textId="77777777" w:rsidTr="00CE6764">
        <w:tc>
          <w:tcPr>
            <w:tcW w:w="4605" w:type="dxa"/>
            <w:tcBorders>
              <w:top w:val="nil"/>
              <w:bottom w:val="nil"/>
            </w:tcBorders>
          </w:tcPr>
          <w:p w14:paraId="4FD7D995" w14:textId="77777777" w:rsidR="00CE6764" w:rsidRPr="006B6885" w:rsidRDefault="00CE6764"/>
          <w:p w14:paraId="26C3006C" w14:textId="77777777" w:rsidR="00DD4537" w:rsidRPr="006B6885" w:rsidRDefault="00CE6764">
            <w:r w:rsidRPr="006B6885">
              <w:t>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21F3FA2A" w14:textId="77777777" w:rsidR="00CE6764" w:rsidRPr="006B6885" w:rsidRDefault="00CE6764"/>
          <w:p w14:paraId="27D0E950" w14:textId="77777777" w:rsidR="00DD4537" w:rsidRPr="006B6885" w:rsidRDefault="00CE6764">
            <w:r w:rsidRPr="006B6885">
              <w:t xml:space="preserve">ataxia, </w:t>
            </w:r>
            <w:r w:rsidR="006C7AA1" w:rsidRPr="006B6885">
              <w:t>porucha koordinácie, tremor, dys</w:t>
            </w:r>
            <w:r w:rsidRPr="006B6885">
              <w:t>artria, amnézia, poruchy pamäti, porucha koncentrácie, parestézia, hypestézia, sedácia, porucha rovnováhy, letargia</w:t>
            </w:r>
          </w:p>
        </w:tc>
      </w:tr>
      <w:tr w:rsidR="00DD4537" w:rsidRPr="006511C1" w14:paraId="2D125D45" w14:textId="77777777" w:rsidTr="00CE6764">
        <w:tc>
          <w:tcPr>
            <w:tcW w:w="4605" w:type="dxa"/>
            <w:tcBorders>
              <w:top w:val="nil"/>
              <w:bottom w:val="nil"/>
            </w:tcBorders>
          </w:tcPr>
          <w:p w14:paraId="755EE89E" w14:textId="77777777" w:rsidR="00CE6764" w:rsidRPr="006B6885" w:rsidRDefault="00CE6764"/>
          <w:p w14:paraId="550EF1C7" w14:textId="77777777" w:rsidR="00DD4537" w:rsidRPr="006B6885" w:rsidRDefault="00CE6764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395E4D37" w14:textId="77777777" w:rsidR="00CE6764" w:rsidRPr="006B6885" w:rsidRDefault="00CE6764"/>
          <w:p w14:paraId="71C4FC5D" w14:textId="77777777" w:rsidR="00DD4537" w:rsidRPr="006B6885" w:rsidRDefault="00CE6764">
            <w:r w:rsidRPr="006B6885">
              <w:t xml:space="preserve">synkopa, stupor, myoklonus, </w:t>
            </w:r>
            <w:r w:rsidRPr="006B6885">
              <w:rPr>
                <w:i/>
              </w:rPr>
              <w:t>strata vedomia</w:t>
            </w:r>
            <w:r w:rsidRPr="006B6885">
              <w:t xml:space="preserve">, psychomotorická hyperaktivita, dyskinéza, posturálne závraty, intenčný tremor, nystagmus, kognitívne poruchy, </w:t>
            </w:r>
            <w:r w:rsidR="001313F6" w:rsidRPr="006B6885">
              <w:rPr>
                <w:i/>
              </w:rPr>
              <w:t>duševná porucha</w:t>
            </w:r>
            <w:r w:rsidR="001313F6" w:rsidRPr="006B6885">
              <w:t>, porucha reči, hyporeflexia,</w:t>
            </w:r>
            <w:r w:rsidRPr="006B6885">
              <w:t xml:space="preserve"> hyperestézia, pocit pálenia, strata chuti, </w:t>
            </w:r>
            <w:r w:rsidRPr="006B6885">
              <w:rPr>
                <w:i/>
              </w:rPr>
              <w:t>nevoľnosť</w:t>
            </w:r>
          </w:p>
        </w:tc>
      </w:tr>
      <w:tr w:rsidR="00DD4537" w:rsidRPr="006511C1" w14:paraId="405639F5" w14:textId="77777777" w:rsidTr="001313F6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3490DFAE" w14:textId="77777777" w:rsidR="00CE6764" w:rsidRPr="006B6885" w:rsidRDefault="00CE6764"/>
          <w:p w14:paraId="34E1F838" w14:textId="77777777" w:rsidR="00DD4537" w:rsidRPr="006B6885" w:rsidRDefault="00CE6764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5BFC464C" w14:textId="77777777" w:rsidR="00CE6764" w:rsidRPr="006B6885" w:rsidRDefault="00CE6764">
            <w:pPr>
              <w:rPr>
                <w:i/>
              </w:rPr>
            </w:pPr>
          </w:p>
          <w:p w14:paraId="7821B629" w14:textId="77777777" w:rsidR="00DD4537" w:rsidRPr="006B6885" w:rsidRDefault="00CE6764">
            <w:r w:rsidRPr="006B6885">
              <w:rPr>
                <w:i/>
              </w:rPr>
              <w:t xml:space="preserve">kŕče, </w:t>
            </w:r>
            <w:r w:rsidRPr="006B6885">
              <w:t>parosmia, hypokinéza, dysgrafia</w:t>
            </w:r>
          </w:p>
        </w:tc>
      </w:tr>
      <w:tr w:rsidR="00DD4537" w:rsidRPr="006511C1" w14:paraId="406163EF" w14:textId="77777777" w:rsidTr="001313F6">
        <w:tc>
          <w:tcPr>
            <w:tcW w:w="4605" w:type="dxa"/>
            <w:tcBorders>
              <w:bottom w:val="nil"/>
            </w:tcBorders>
          </w:tcPr>
          <w:p w14:paraId="46FA379B" w14:textId="77777777" w:rsidR="00DD4537" w:rsidRPr="006B6885" w:rsidRDefault="001313F6">
            <w:pPr>
              <w:rPr>
                <w:b/>
              </w:rPr>
            </w:pPr>
            <w:r w:rsidRPr="006B6885">
              <w:rPr>
                <w:b/>
              </w:rPr>
              <w:t>Poruchy oka</w:t>
            </w:r>
          </w:p>
          <w:p w14:paraId="083419B7" w14:textId="77777777" w:rsidR="001313F6" w:rsidRPr="006B6885" w:rsidRDefault="001313F6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51CB443E" w14:textId="77777777" w:rsidR="00DD4537" w:rsidRPr="006B6885" w:rsidRDefault="00DD4537"/>
          <w:p w14:paraId="7E05D24A" w14:textId="77777777" w:rsidR="001313F6" w:rsidRPr="006B6885" w:rsidRDefault="001313F6">
            <w:r w:rsidRPr="006B6885">
              <w:t>zahmlené videnie, diplopia</w:t>
            </w:r>
          </w:p>
        </w:tc>
      </w:tr>
      <w:tr w:rsidR="00DD4537" w:rsidRPr="006511C1" w14:paraId="5391DB30" w14:textId="77777777" w:rsidTr="001313F6">
        <w:tc>
          <w:tcPr>
            <w:tcW w:w="4605" w:type="dxa"/>
            <w:tcBorders>
              <w:top w:val="nil"/>
              <w:bottom w:val="nil"/>
            </w:tcBorders>
          </w:tcPr>
          <w:p w14:paraId="734395D2" w14:textId="77777777" w:rsidR="001313F6" w:rsidRPr="006B6885" w:rsidRDefault="001313F6"/>
          <w:p w14:paraId="02D79CDE" w14:textId="77777777" w:rsidR="00DD4537" w:rsidRPr="006B6885" w:rsidRDefault="001313F6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24A9A2A1" w14:textId="77777777" w:rsidR="001313F6" w:rsidRPr="006B6885" w:rsidRDefault="001313F6" w:rsidP="001313F6"/>
          <w:p w14:paraId="1AD0B3E3" w14:textId="77777777" w:rsidR="00DD4537" w:rsidRPr="006B6885" w:rsidRDefault="001313F6" w:rsidP="001313F6">
            <w:r w:rsidRPr="006B6885">
              <w:t>strata periférneho videnia, poruchy videnia, opuch očí, defekty v zornom poli, zníženie zrakovej ostrosti, bolesti oka, astenopia, fotopsia, suché oči, zvýšená lakrimácia, podráždenie očí</w:t>
            </w:r>
          </w:p>
        </w:tc>
      </w:tr>
      <w:tr w:rsidR="00DD4537" w:rsidRPr="006511C1" w14:paraId="5AE93DD8" w14:textId="77777777" w:rsidTr="002F625D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1D92A478" w14:textId="77777777" w:rsidR="001313F6" w:rsidRPr="006B6885" w:rsidRDefault="001313F6"/>
          <w:p w14:paraId="1DBC55E1" w14:textId="77777777" w:rsidR="00DD4537" w:rsidRPr="006B6885" w:rsidRDefault="001313F6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5D375AC0" w14:textId="77777777" w:rsidR="001313F6" w:rsidRPr="006B6885" w:rsidRDefault="001313F6">
            <w:pPr>
              <w:rPr>
                <w:i/>
              </w:rPr>
            </w:pPr>
          </w:p>
          <w:p w14:paraId="2FA15290" w14:textId="77777777" w:rsidR="00DD4537" w:rsidRPr="006B6885" w:rsidRDefault="001313F6">
            <w:r w:rsidRPr="006B6885">
              <w:rPr>
                <w:i/>
              </w:rPr>
              <w:t xml:space="preserve">strata zraku, keratitída, </w:t>
            </w:r>
            <w:r w:rsidRPr="006B6885">
              <w:t>oscilopsia, zmenené hĺbkové videnie, mydriáza, strabizmus, porušená zraková ostrosť</w:t>
            </w:r>
          </w:p>
        </w:tc>
      </w:tr>
      <w:tr w:rsidR="00DD4537" w:rsidRPr="006511C1" w14:paraId="5C5F7200" w14:textId="77777777" w:rsidTr="002F625D">
        <w:tc>
          <w:tcPr>
            <w:tcW w:w="4605" w:type="dxa"/>
            <w:tcBorders>
              <w:bottom w:val="nil"/>
            </w:tcBorders>
          </w:tcPr>
          <w:p w14:paraId="40F67803" w14:textId="77777777" w:rsidR="00DD4537" w:rsidRPr="006B6885" w:rsidRDefault="002F625D">
            <w:pPr>
              <w:rPr>
                <w:b/>
              </w:rPr>
            </w:pPr>
            <w:r w:rsidRPr="006B6885">
              <w:rPr>
                <w:b/>
              </w:rPr>
              <w:t>Poruchy ucha a labyrintu</w:t>
            </w:r>
          </w:p>
          <w:p w14:paraId="4A66DE2F" w14:textId="77777777" w:rsidR="002F625D" w:rsidRPr="006B6885" w:rsidRDefault="002F625D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67669BC5" w14:textId="77777777" w:rsidR="00DD4537" w:rsidRPr="006B6885" w:rsidRDefault="00DD4537"/>
          <w:p w14:paraId="6672C794" w14:textId="77777777" w:rsidR="002F625D" w:rsidRPr="006B6885" w:rsidRDefault="002F625D">
            <w:r w:rsidRPr="006B6885">
              <w:t>vertigo</w:t>
            </w:r>
          </w:p>
        </w:tc>
      </w:tr>
      <w:tr w:rsidR="002F625D" w:rsidRPr="006511C1" w14:paraId="61FEC44C" w14:textId="77777777" w:rsidTr="00FA06DB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54A53FCB" w14:textId="77777777" w:rsidR="002F625D" w:rsidRPr="006B6885" w:rsidRDefault="002F625D"/>
          <w:p w14:paraId="628D27C2" w14:textId="77777777" w:rsidR="002F625D" w:rsidRPr="006B6885" w:rsidRDefault="002F625D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5C3B3596" w14:textId="77777777" w:rsidR="002F625D" w:rsidRPr="006B6885" w:rsidRDefault="002F625D"/>
          <w:p w14:paraId="66839BD9" w14:textId="77777777" w:rsidR="002F625D" w:rsidRPr="006B6885" w:rsidRDefault="002F625D">
            <w:r w:rsidRPr="006B6885">
              <w:t>hyperakúzia</w:t>
            </w:r>
          </w:p>
        </w:tc>
      </w:tr>
      <w:tr w:rsidR="002F625D" w:rsidRPr="006511C1" w14:paraId="3D37FAFC" w14:textId="77777777" w:rsidTr="00FA06DB">
        <w:tc>
          <w:tcPr>
            <w:tcW w:w="4605" w:type="dxa"/>
            <w:tcBorders>
              <w:bottom w:val="nil"/>
            </w:tcBorders>
          </w:tcPr>
          <w:p w14:paraId="05BD8A1B" w14:textId="3790C81E" w:rsidR="002F625D" w:rsidRPr="006B6885" w:rsidRDefault="002F625D">
            <w:pPr>
              <w:rPr>
                <w:b/>
              </w:rPr>
            </w:pPr>
            <w:r w:rsidRPr="006B6885">
              <w:rPr>
                <w:b/>
              </w:rPr>
              <w:t>Poruchy srdca a</w:t>
            </w:r>
            <w:r w:rsidR="001764BF" w:rsidRPr="006511C1">
              <w:rPr>
                <w:b/>
              </w:rPr>
              <w:t> </w:t>
            </w:r>
            <w:r w:rsidRPr="006B6885">
              <w:rPr>
                <w:b/>
              </w:rPr>
              <w:t>srdcovej činnosti</w:t>
            </w:r>
          </w:p>
          <w:p w14:paraId="5367CFE6" w14:textId="77777777" w:rsidR="002F625D" w:rsidRPr="006B6885" w:rsidRDefault="002F625D">
            <w:r w:rsidRPr="006B6885"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509F9D32" w14:textId="77777777" w:rsidR="002F625D" w:rsidRPr="006B6885" w:rsidRDefault="002F625D"/>
          <w:p w14:paraId="165E5D8F" w14:textId="485A05C2" w:rsidR="002F625D" w:rsidRPr="006B6885" w:rsidRDefault="002F625D" w:rsidP="002F625D">
            <w:proofErr w:type="gramStart"/>
            <w:r w:rsidRPr="006B6885">
              <w:t>tachykardia</w:t>
            </w:r>
            <w:proofErr w:type="gramEnd"/>
            <w:r w:rsidRPr="006B6885">
              <w:t xml:space="preserve">, AV blokáda 1. stupňa, sínusová bradykardia, </w:t>
            </w:r>
            <w:r w:rsidRPr="006B6885">
              <w:rPr>
                <w:i/>
              </w:rPr>
              <w:t xml:space="preserve">kongestívne srdcové </w:t>
            </w:r>
            <w:r w:rsidRPr="006511C1">
              <w:rPr>
                <w:i/>
              </w:rPr>
              <w:t>zlyh</w:t>
            </w:r>
            <w:r w:rsidR="00F83C56" w:rsidRPr="006511C1">
              <w:rPr>
                <w:i/>
              </w:rPr>
              <w:t>áv</w:t>
            </w:r>
            <w:r w:rsidRPr="006511C1">
              <w:rPr>
                <w:i/>
              </w:rPr>
              <w:t>anie</w:t>
            </w:r>
          </w:p>
        </w:tc>
      </w:tr>
      <w:tr w:rsidR="002F625D" w:rsidRPr="006511C1" w14:paraId="1DA5CA3E" w14:textId="77777777" w:rsidTr="00FA06DB">
        <w:tc>
          <w:tcPr>
            <w:tcW w:w="4605" w:type="dxa"/>
            <w:tcBorders>
              <w:top w:val="nil"/>
            </w:tcBorders>
          </w:tcPr>
          <w:p w14:paraId="27A46CB1" w14:textId="77777777" w:rsidR="002F625D" w:rsidRPr="006B6885" w:rsidRDefault="002F625D"/>
          <w:p w14:paraId="69EA7F4A" w14:textId="77777777" w:rsidR="002F625D" w:rsidRPr="006B6885" w:rsidRDefault="002F625D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</w:tcBorders>
          </w:tcPr>
          <w:p w14:paraId="6422348A" w14:textId="77777777" w:rsidR="002F625D" w:rsidRPr="006B6885" w:rsidRDefault="002F625D"/>
          <w:p w14:paraId="0F46793D" w14:textId="77777777" w:rsidR="002F625D" w:rsidRPr="006B6885" w:rsidRDefault="002F625D">
            <w:r w:rsidRPr="006B6885">
              <w:rPr>
                <w:i/>
              </w:rPr>
              <w:t>predĺženie QT intervalu</w:t>
            </w:r>
            <w:r w:rsidRPr="006B6885">
              <w:t>, sínusová tachykardia, sínusová arytmia</w:t>
            </w:r>
          </w:p>
        </w:tc>
      </w:tr>
      <w:tr w:rsidR="00DD4537" w:rsidRPr="006511C1" w14:paraId="6D6A28CA" w14:textId="77777777" w:rsidTr="00FA06DB">
        <w:tc>
          <w:tcPr>
            <w:tcW w:w="4605" w:type="dxa"/>
            <w:tcBorders>
              <w:bottom w:val="single" w:sz="4" w:space="0" w:color="auto"/>
            </w:tcBorders>
          </w:tcPr>
          <w:p w14:paraId="7C4C5F06" w14:textId="77777777" w:rsidR="00DD4537" w:rsidRPr="006B6885" w:rsidRDefault="002F625D">
            <w:pPr>
              <w:rPr>
                <w:b/>
              </w:rPr>
            </w:pPr>
            <w:r w:rsidRPr="006B6885">
              <w:rPr>
                <w:b/>
              </w:rPr>
              <w:t>Poruchy ciev</w:t>
            </w:r>
          </w:p>
          <w:p w14:paraId="18E6535B" w14:textId="77777777" w:rsidR="002F625D" w:rsidRPr="006B6885" w:rsidRDefault="002F625D">
            <w:r w:rsidRPr="006B6885">
              <w:t>Menej časté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7188C5E" w14:textId="77777777" w:rsidR="00DD4537" w:rsidRPr="006B6885" w:rsidRDefault="00DD4537"/>
          <w:p w14:paraId="63CDE8D5" w14:textId="77777777" w:rsidR="00FA06DB" w:rsidRPr="006B6885" w:rsidRDefault="00FA06DB">
            <w:r w:rsidRPr="006B6885">
              <w:t>hypotenzia, hypertenzia, návaly horúčavy, sčervenanie, periférny pocit chladu</w:t>
            </w:r>
          </w:p>
        </w:tc>
      </w:tr>
      <w:tr w:rsidR="00DD4537" w:rsidRPr="006511C1" w14:paraId="71D80B8D" w14:textId="77777777" w:rsidTr="00FA06DB">
        <w:tc>
          <w:tcPr>
            <w:tcW w:w="4605" w:type="dxa"/>
            <w:tcBorders>
              <w:bottom w:val="nil"/>
            </w:tcBorders>
          </w:tcPr>
          <w:p w14:paraId="1CABBF6D" w14:textId="77777777" w:rsidR="00DD4537" w:rsidRPr="006B6885" w:rsidRDefault="00FA06DB">
            <w:pPr>
              <w:rPr>
                <w:b/>
              </w:rPr>
            </w:pPr>
            <w:r w:rsidRPr="006B6885">
              <w:rPr>
                <w:b/>
              </w:rPr>
              <w:t>Poruchy dýchacej sústavy, hrudníka a mediastína</w:t>
            </w:r>
          </w:p>
          <w:p w14:paraId="03DB7D9C" w14:textId="77777777" w:rsidR="00FA06DB" w:rsidRPr="006B6885" w:rsidRDefault="00FA06DB">
            <w:r w:rsidRPr="006B6885"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166E8851" w14:textId="77777777" w:rsidR="00DD4537" w:rsidRPr="006B6885" w:rsidRDefault="00DD4537"/>
          <w:p w14:paraId="29703935" w14:textId="77777777" w:rsidR="00FA06DB" w:rsidRPr="006B6885" w:rsidRDefault="00FA06DB"/>
          <w:p w14:paraId="514F7F6B" w14:textId="77777777" w:rsidR="00FA06DB" w:rsidRPr="006B6885" w:rsidRDefault="00FA06DB">
            <w:r w:rsidRPr="006B6885">
              <w:t>dyspnoe, epistaxa, kašeľ, upchatie nosa, rinitída, chrápanie, suchý nos</w:t>
            </w:r>
          </w:p>
        </w:tc>
      </w:tr>
      <w:tr w:rsidR="00DD4537" w:rsidRPr="006511C1" w14:paraId="0D674934" w14:textId="77777777" w:rsidTr="00205BC2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08401EB5" w14:textId="77777777" w:rsidR="00FA06DB" w:rsidRPr="006B6885" w:rsidRDefault="00FA06DB"/>
          <w:p w14:paraId="1EE6AA3F" w14:textId="77777777" w:rsidR="00DD4537" w:rsidRPr="006B6885" w:rsidRDefault="00FA06DB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121DF7F9" w14:textId="77777777" w:rsidR="00FA06DB" w:rsidRPr="006B6885" w:rsidRDefault="00FA06DB">
            <w:pPr>
              <w:rPr>
                <w:i/>
              </w:rPr>
            </w:pPr>
          </w:p>
          <w:p w14:paraId="22BED111" w14:textId="77777777" w:rsidR="00DD4537" w:rsidRPr="006B6885" w:rsidRDefault="00FA06DB">
            <w:r w:rsidRPr="006B6885">
              <w:rPr>
                <w:i/>
              </w:rPr>
              <w:t xml:space="preserve">pľúcny edém, </w:t>
            </w:r>
            <w:r w:rsidRPr="006B6885">
              <w:t>zovreté hrdlo</w:t>
            </w:r>
          </w:p>
        </w:tc>
      </w:tr>
      <w:tr w:rsidR="00DD4537" w:rsidRPr="006511C1" w14:paraId="0B5E82F8" w14:textId="77777777" w:rsidTr="00205BC2">
        <w:tc>
          <w:tcPr>
            <w:tcW w:w="4605" w:type="dxa"/>
            <w:tcBorders>
              <w:bottom w:val="nil"/>
            </w:tcBorders>
          </w:tcPr>
          <w:p w14:paraId="4E700311" w14:textId="77777777" w:rsidR="00DD4537" w:rsidRPr="006B6885" w:rsidRDefault="00FA06DB">
            <w:pPr>
              <w:rPr>
                <w:b/>
              </w:rPr>
            </w:pPr>
            <w:r w:rsidRPr="006B6885">
              <w:rPr>
                <w:b/>
              </w:rPr>
              <w:t>Poruchy gastrointestinálneho traktu</w:t>
            </w:r>
          </w:p>
          <w:p w14:paraId="3A327F57" w14:textId="77777777" w:rsidR="00FA06DB" w:rsidRPr="006B6885" w:rsidRDefault="00FA06DB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3E4BF01E" w14:textId="77777777" w:rsidR="00DD4537" w:rsidRPr="006B6885" w:rsidRDefault="00DD4537"/>
          <w:p w14:paraId="02477BA1" w14:textId="77777777" w:rsidR="00FA06DB" w:rsidRPr="006B6885" w:rsidRDefault="00FA06DB" w:rsidP="00FA06DB">
            <w:r w:rsidRPr="006B6885">
              <w:t xml:space="preserve">vracanie, </w:t>
            </w:r>
            <w:r w:rsidRPr="006B6885">
              <w:rPr>
                <w:i/>
              </w:rPr>
              <w:t>nauzea</w:t>
            </w:r>
            <w:r w:rsidRPr="006B6885">
              <w:t xml:space="preserve">, zápcha, </w:t>
            </w:r>
            <w:r w:rsidRPr="006B6885">
              <w:rPr>
                <w:i/>
              </w:rPr>
              <w:t>hnačka</w:t>
            </w:r>
            <w:r w:rsidRPr="006B6885">
              <w:t>, flatulencia, abdominálna distenzia, sucho v ústach</w:t>
            </w:r>
          </w:p>
        </w:tc>
      </w:tr>
      <w:tr w:rsidR="00DD4537" w:rsidRPr="006511C1" w14:paraId="01AAD431" w14:textId="77777777" w:rsidTr="00205BC2">
        <w:tc>
          <w:tcPr>
            <w:tcW w:w="4605" w:type="dxa"/>
            <w:tcBorders>
              <w:top w:val="nil"/>
              <w:bottom w:val="nil"/>
            </w:tcBorders>
          </w:tcPr>
          <w:p w14:paraId="43D30F68" w14:textId="77777777" w:rsidR="00205BC2" w:rsidRPr="006B6885" w:rsidRDefault="00205BC2"/>
          <w:p w14:paraId="1302D2CE" w14:textId="77777777" w:rsidR="00DD4537" w:rsidRPr="006B6885" w:rsidRDefault="00FA06DB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6E5DDEB5" w14:textId="77777777" w:rsidR="00205BC2" w:rsidRPr="006B6885" w:rsidRDefault="00205BC2"/>
          <w:p w14:paraId="2235B699" w14:textId="77777777" w:rsidR="00DD4537" w:rsidRPr="006B6885" w:rsidRDefault="00205BC2">
            <w:r w:rsidRPr="006B6885">
              <w:t>gastroezofageálna refluxn</w:t>
            </w:r>
            <w:r w:rsidR="00FA06DB" w:rsidRPr="006B6885">
              <w:t>á choroba, zvýšená salivácia, znížená citlivosť v ústach</w:t>
            </w:r>
          </w:p>
        </w:tc>
      </w:tr>
      <w:tr w:rsidR="00767F42" w:rsidRPr="006511C1" w14:paraId="770689F0" w14:textId="77777777" w:rsidTr="00205BC2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119B0FA8" w14:textId="77777777" w:rsidR="00205BC2" w:rsidRPr="006B6885" w:rsidRDefault="00205BC2"/>
          <w:p w14:paraId="04B447D3" w14:textId="77777777" w:rsidR="00767F42" w:rsidRPr="006B6885" w:rsidRDefault="00FA06DB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13341F14" w14:textId="77777777" w:rsidR="00205BC2" w:rsidRPr="006B6885" w:rsidRDefault="00205BC2"/>
          <w:p w14:paraId="5199094C" w14:textId="77777777" w:rsidR="00767F42" w:rsidRPr="006B6885" w:rsidRDefault="00FA06DB">
            <w:r w:rsidRPr="006B6885">
              <w:t xml:space="preserve">ascites, pankreatitída, </w:t>
            </w:r>
            <w:r w:rsidRPr="006B6885">
              <w:rPr>
                <w:i/>
              </w:rPr>
              <w:t>opuchnutý jazyk</w:t>
            </w:r>
            <w:r w:rsidRPr="006B6885">
              <w:t>, dysfágia</w:t>
            </w:r>
          </w:p>
        </w:tc>
      </w:tr>
      <w:tr w:rsidR="00187B85" w:rsidRPr="006511C1" w14:paraId="7B4B502F" w14:textId="77777777" w:rsidTr="00205BC2">
        <w:tc>
          <w:tcPr>
            <w:tcW w:w="4605" w:type="dxa"/>
            <w:tcBorders>
              <w:bottom w:val="nil"/>
            </w:tcBorders>
          </w:tcPr>
          <w:p w14:paraId="50E6BA84" w14:textId="409BBBAB" w:rsidR="00187B85" w:rsidRPr="006B6885" w:rsidRDefault="00205BC2">
            <w:pPr>
              <w:rPr>
                <w:b/>
              </w:rPr>
            </w:pPr>
            <w:r w:rsidRPr="006B6885">
              <w:rPr>
                <w:b/>
              </w:rPr>
              <w:t>Poruchy kože a</w:t>
            </w:r>
            <w:r w:rsidR="001764BF" w:rsidRPr="006511C1">
              <w:rPr>
                <w:b/>
              </w:rPr>
              <w:t> </w:t>
            </w:r>
            <w:r w:rsidRPr="006B6885">
              <w:rPr>
                <w:b/>
              </w:rPr>
              <w:t>podkožného tkaniva</w:t>
            </w:r>
          </w:p>
          <w:p w14:paraId="3E8E3D3C" w14:textId="77777777" w:rsidR="00205BC2" w:rsidRPr="006B6885" w:rsidRDefault="00205BC2">
            <w:r w:rsidRPr="006B6885">
              <w:lastRenderedPageBreak/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71CFF41F" w14:textId="77777777" w:rsidR="00187B85" w:rsidRPr="006B6885" w:rsidRDefault="00187B85"/>
          <w:p w14:paraId="51D5347C" w14:textId="77777777" w:rsidR="00205BC2" w:rsidRPr="006B6885" w:rsidRDefault="00205BC2">
            <w:r w:rsidRPr="006B6885">
              <w:lastRenderedPageBreak/>
              <w:t xml:space="preserve">papulózna vyrážka, žihľavka, hyperhidróza, </w:t>
            </w:r>
            <w:r w:rsidRPr="006B6885">
              <w:rPr>
                <w:i/>
              </w:rPr>
              <w:t>pruritus</w:t>
            </w:r>
          </w:p>
        </w:tc>
      </w:tr>
      <w:tr w:rsidR="00205BC2" w:rsidRPr="006511C1" w14:paraId="1DDEFC87" w14:textId="77777777" w:rsidTr="006E614B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135024CC" w14:textId="77777777" w:rsidR="00205BC2" w:rsidRPr="006B6885" w:rsidRDefault="00205BC2"/>
          <w:p w14:paraId="04A0540B" w14:textId="77777777" w:rsidR="00205BC2" w:rsidRPr="006B6885" w:rsidRDefault="00205BC2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15C4EABD" w14:textId="77777777" w:rsidR="00205BC2" w:rsidRPr="006B6885" w:rsidRDefault="00205BC2">
            <w:pPr>
              <w:rPr>
                <w:i/>
              </w:rPr>
            </w:pPr>
          </w:p>
          <w:p w14:paraId="3E6E05BD" w14:textId="77777777" w:rsidR="00205BC2" w:rsidRPr="006B6885" w:rsidRDefault="00205BC2">
            <w:r w:rsidRPr="006B6885">
              <w:rPr>
                <w:i/>
              </w:rPr>
              <w:t xml:space="preserve">Stevensov-Johnsonov syndróm, </w:t>
            </w:r>
            <w:r w:rsidRPr="006B6885">
              <w:t>studený pot</w:t>
            </w:r>
          </w:p>
        </w:tc>
      </w:tr>
      <w:tr w:rsidR="00205BC2" w:rsidRPr="006511C1" w14:paraId="264A71A1" w14:textId="77777777" w:rsidTr="006E614B">
        <w:tc>
          <w:tcPr>
            <w:tcW w:w="4605" w:type="dxa"/>
            <w:tcBorders>
              <w:bottom w:val="nil"/>
            </w:tcBorders>
          </w:tcPr>
          <w:p w14:paraId="0E8A8ADB" w14:textId="6542E4E0" w:rsidR="00205BC2" w:rsidRPr="006B6885" w:rsidRDefault="00205BC2">
            <w:pPr>
              <w:rPr>
                <w:b/>
              </w:rPr>
            </w:pPr>
            <w:r w:rsidRPr="006B6885">
              <w:rPr>
                <w:b/>
              </w:rPr>
              <w:t>Poruchy kostrovej a</w:t>
            </w:r>
            <w:r w:rsidR="001764BF" w:rsidRPr="006511C1">
              <w:rPr>
                <w:b/>
              </w:rPr>
              <w:t> </w:t>
            </w:r>
            <w:r w:rsidRPr="006B6885">
              <w:rPr>
                <w:b/>
              </w:rPr>
              <w:t>svalovej sústavy a</w:t>
            </w:r>
            <w:r w:rsidR="001764BF" w:rsidRPr="006511C1">
              <w:rPr>
                <w:b/>
              </w:rPr>
              <w:t> </w:t>
            </w:r>
            <w:r w:rsidRPr="006B6885">
              <w:rPr>
                <w:b/>
              </w:rPr>
              <w:t>spojivového tkaniva</w:t>
            </w:r>
          </w:p>
          <w:p w14:paraId="73FDB5CB" w14:textId="77777777" w:rsidR="00205BC2" w:rsidRPr="006B6885" w:rsidRDefault="00205BC2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67341C76" w14:textId="77777777" w:rsidR="00205BC2" w:rsidRPr="006B6885" w:rsidRDefault="00205BC2"/>
          <w:p w14:paraId="5534D47A" w14:textId="77777777" w:rsidR="006E614B" w:rsidRPr="006B6885" w:rsidRDefault="006E614B"/>
          <w:p w14:paraId="66C81E97" w14:textId="525351B8" w:rsidR="006E614B" w:rsidRPr="006B6885" w:rsidRDefault="006E614B">
            <w:r w:rsidRPr="006B6885">
              <w:t xml:space="preserve">svalové kŕče, artralgia, bolesť chrbta, bolesť </w:t>
            </w:r>
            <w:r w:rsidR="001764BF" w:rsidRPr="006B6885">
              <w:t>v</w:t>
            </w:r>
            <w:r w:rsidR="001764BF" w:rsidRPr="006511C1">
              <w:t> </w:t>
            </w:r>
            <w:r w:rsidRPr="006B6885">
              <w:t>končatine, cervikálny spazmus</w:t>
            </w:r>
          </w:p>
        </w:tc>
      </w:tr>
      <w:tr w:rsidR="00205BC2" w:rsidRPr="006511C1" w14:paraId="447D42A6" w14:textId="77777777" w:rsidTr="006E614B">
        <w:tc>
          <w:tcPr>
            <w:tcW w:w="4605" w:type="dxa"/>
            <w:tcBorders>
              <w:top w:val="nil"/>
              <w:bottom w:val="nil"/>
            </w:tcBorders>
          </w:tcPr>
          <w:p w14:paraId="10F6011D" w14:textId="77777777" w:rsidR="006E614B" w:rsidRPr="006B6885" w:rsidRDefault="006E614B"/>
          <w:p w14:paraId="48955DEC" w14:textId="77777777" w:rsidR="00205BC2" w:rsidRPr="006B6885" w:rsidRDefault="00205BC2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2540FCE7" w14:textId="77777777" w:rsidR="006E614B" w:rsidRPr="006B6885" w:rsidRDefault="006E614B"/>
          <w:p w14:paraId="4932FF69" w14:textId="77777777" w:rsidR="00205BC2" w:rsidRPr="006B6885" w:rsidRDefault="006E614B">
            <w:r w:rsidRPr="006B6885">
              <w:t>opuch kĺbov, myalgia, svalové zášklby, bolesť šije, svalová stuhnutosť</w:t>
            </w:r>
          </w:p>
        </w:tc>
      </w:tr>
      <w:tr w:rsidR="00205BC2" w:rsidRPr="006511C1" w14:paraId="6DF27D3B" w14:textId="77777777" w:rsidTr="006E614B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1472BC8A" w14:textId="77777777" w:rsidR="006E614B" w:rsidRPr="006B6885" w:rsidRDefault="006E614B"/>
          <w:p w14:paraId="10B7B2A2" w14:textId="77777777" w:rsidR="00205BC2" w:rsidRPr="006B6885" w:rsidRDefault="00205BC2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724CA2AD" w14:textId="77777777" w:rsidR="006E614B" w:rsidRPr="006B6885" w:rsidRDefault="006E614B"/>
          <w:p w14:paraId="0109BF09" w14:textId="77777777" w:rsidR="00205BC2" w:rsidRPr="006B6885" w:rsidRDefault="006E614B">
            <w:r w:rsidRPr="006B6885">
              <w:t>rabdomyolýza</w:t>
            </w:r>
          </w:p>
        </w:tc>
      </w:tr>
      <w:tr w:rsidR="00205BC2" w:rsidRPr="006511C1" w14:paraId="077EF738" w14:textId="77777777" w:rsidTr="006E614B">
        <w:tc>
          <w:tcPr>
            <w:tcW w:w="4605" w:type="dxa"/>
            <w:tcBorders>
              <w:bottom w:val="nil"/>
            </w:tcBorders>
          </w:tcPr>
          <w:p w14:paraId="0ABB2CC9" w14:textId="6172F2B5" w:rsidR="00205BC2" w:rsidRPr="006B6885" w:rsidRDefault="006E614B">
            <w:pPr>
              <w:rPr>
                <w:b/>
              </w:rPr>
            </w:pPr>
            <w:r w:rsidRPr="006B6885">
              <w:rPr>
                <w:b/>
              </w:rPr>
              <w:t>Poruchy obličiek a</w:t>
            </w:r>
            <w:r w:rsidR="001764BF" w:rsidRPr="006511C1">
              <w:rPr>
                <w:b/>
              </w:rPr>
              <w:t> </w:t>
            </w:r>
            <w:r w:rsidRPr="006B6885">
              <w:rPr>
                <w:b/>
              </w:rPr>
              <w:t>močových ciest</w:t>
            </w:r>
          </w:p>
          <w:p w14:paraId="49B1CCB2" w14:textId="77777777" w:rsidR="006E614B" w:rsidRPr="006B6885" w:rsidRDefault="006E614B">
            <w:r w:rsidRPr="006B6885"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4506B2EA" w14:textId="77777777" w:rsidR="00205BC2" w:rsidRPr="006B6885" w:rsidRDefault="00205BC2"/>
          <w:p w14:paraId="2D0A8437" w14:textId="77777777" w:rsidR="006E614B" w:rsidRPr="006B6885" w:rsidRDefault="006E614B">
            <w:r w:rsidRPr="006B6885">
              <w:t>inkontinencia moču, dyzúria</w:t>
            </w:r>
          </w:p>
        </w:tc>
      </w:tr>
      <w:tr w:rsidR="00205BC2" w:rsidRPr="006511C1" w14:paraId="2F8D1F05" w14:textId="77777777" w:rsidTr="00E66C4F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2CDECC87" w14:textId="77777777" w:rsidR="006E614B" w:rsidRPr="006B6885" w:rsidRDefault="006E614B"/>
          <w:p w14:paraId="7A591ED2" w14:textId="77777777" w:rsidR="00205BC2" w:rsidRPr="006B6885" w:rsidRDefault="006E614B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48005EF1" w14:textId="77777777" w:rsidR="006E614B" w:rsidRPr="006B6885" w:rsidRDefault="006E614B"/>
          <w:p w14:paraId="514718BE" w14:textId="11D5F50E" w:rsidR="00205BC2" w:rsidRPr="006B6885" w:rsidRDefault="006E614B">
            <w:r w:rsidRPr="006B6885">
              <w:t xml:space="preserve">renálne </w:t>
            </w:r>
            <w:r w:rsidRPr="006511C1">
              <w:t>zlyh</w:t>
            </w:r>
            <w:r w:rsidR="00F83C56" w:rsidRPr="006511C1">
              <w:t>áv</w:t>
            </w:r>
            <w:r w:rsidRPr="006511C1">
              <w:t>anie</w:t>
            </w:r>
            <w:r w:rsidRPr="006B6885">
              <w:t xml:space="preserve">, oligúria, </w:t>
            </w:r>
            <w:r w:rsidRPr="006B6885">
              <w:rPr>
                <w:i/>
              </w:rPr>
              <w:t>retencia moču</w:t>
            </w:r>
          </w:p>
        </w:tc>
      </w:tr>
      <w:tr w:rsidR="00205BC2" w:rsidRPr="006511C1" w14:paraId="09939D70" w14:textId="77777777" w:rsidTr="00E66C4F">
        <w:tc>
          <w:tcPr>
            <w:tcW w:w="4605" w:type="dxa"/>
            <w:tcBorders>
              <w:bottom w:val="nil"/>
            </w:tcBorders>
          </w:tcPr>
          <w:p w14:paraId="53EBCF2B" w14:textId="77777777" w:rsidR="00205BC2" w:rsidRPr="006B6885" w:rsidRDefault="00E66C4F">
            <w:pPr>
              <w:rPr>
                <w:b/>
              </w:rPr>
            </w:pPr>
            <w:r w:rsidRPr="006B6885">
              <w:rPr>
                <w:b/>
              </w:rPr>
              <w:t>Poruchy reprodukčného systému a prsníkov</w:t>
            </w:r>
          </w:p>
          <w:p w14:paraId="187781FC" w14:textId="77777777" w:rsidR="00E66C4F" w:rsidRPr="006B6885" w:rsidRDefault="00E66C4F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3BC26076" w14:textId="77777777" w:rsidR="00205BC2" w:rsidRPr="006B6885" w:rsidRDefault="00205BC2"/>
          <w:p w14:paraId="2AFB6663" w14:textId="77777777" w:rsidR="00E66C4F" w:rsidRPr="006B6885" w:rsidRDefault="00E66C4F">
            <w:r w:rsidRPr="006B6885">
              <w:t>erektilná dysfunkcia</w:t>
            </w:r>
          </w:p>
        </w:tc>
      </w:tr>
      <w:tr w:rsidR="00205BC2" w:rsidRPr="006511C1" w14:paraId="4C4256F8" w14:textId="77777777" w:rsidTr="00E66C4F">
        <w:tc>
          <w:tcPr>
            <w:tcW w:w="4605" w:type="dxa"/>
            <w:tcBorders>
              <w:top w:val="nil"/>
              <w:bottom w:val="nil"/>
            </w:tcBorders>
          </w:tcPr>
          <w:p w14:paraId="7F0B915F" w14:textId="77777777" w:rsidR="00E66C4F" w:rsidRPr="006B6885" w:rsidRDefault="00E66C4F"/>
          <w:p w14:paraId="79D4F8D9" w14:textId="77777777" w:rsidR="00205BC2" w:rsidRPr="006B6885" w:rsidRDefault="00E66C4F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A5B891A" w14:textId="77777777" w:rsidR="00E66C4F" w:rsidRPr="006B6885" w:rsidRDefault="00E66C4F"/>
          <w:p w14:paraId="24A7966B" w14:textId="77777777" w:rsidR="00205BC2" w:rsidRPr="006B6885" w:rsidRDefault="00E66C4F">
            <w:r w:rsidRPr="006B6885">
              <w:t>sexuálna dysfunkcia, oneskorená ejakulácia, dysmenorea, bolesť prsníkov</w:t>
            </w:r>
          </w:p>
        </w:tc>
      </w:tr>
      <w:tr w:rsidR="00205BC2" w:rsidRPr="006511C1" w14:paraId="639B2BA8" w14:textId="77777777" w:rsidTr="00E66C4F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280F489A" w14:textId="77777777" w:rsidR="00E66C4F" w:rsidRPr="006B6885" w:rsidRDefault="00E66C4F"/>
          <w:p w14:paraId="6D6113FC" w14:textId="77777777" w:rsidR="00205BC2" w:rsidRPr="006B6885" w:rsidRDefault="00E66C4F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404894CC" w14:textId="77777777" w:rsidR="00E66C4F" w:rsidRPr="006B6885" w:rsidRDefault="00E66C4F"/>
          <w:p w14:paraId="3B811F51" w14:textId="77777777" w:rsidR="00205BC2" w:rsidRPr="006B6885" w:rsidRDefault="00E66C4F">
            <w:r w:rsidRPr="006B6885">
              <w:t xml:space="preserve">amenorea, výtok z prsníkov, zväčšenie prsníkov, </w:t>
            </w:r>
            <w:r w:rsidRPr="006B6885">
              <w:rPr>
                <w:i/>
              </w:rPr>
              <w:t>gynekomastia</w:t>
            </w:r>
          </w:p>
        </w:tc>
      </w:tr>
      <w:tr w:rsidR="00205BC2" w:rsidRPr="006511C1" w14:paraId="43A9648F" w14:textId="77777777" w:rsidTr="00E66C4F">
        <w:tc>
          <w:tcPr>
            <w:tcW w:w="4605" w:type="dxa"/>
            <w:tcBorders>
              <w:bottom w:val="nil"/>
            </w:tcBorders>
          </w:tcPr>
          <w:p w14:paraId="52E6C5F0" w14:textId="77777777" w:rsidR="00205BC2" w:rsidRPr="006B6885" w:rsidRDefault="00E66C4F">
            <w:pPr>
              <w:rPr>
                <w:b/>
              </w:rPr>
            </w:pPr>
            <w:r w:rsidRPr="006B6885">
              <w:rPr>
                <w:b/>
              </w:rPr>
              <w:t>Celkové poruchy a reakcie v mieste podania</w:t>
            </w:r>
          </w:p>
          <w:p w14:paraId="7A447654" w14:textId="77777777" w:rsidR="00E66C4F" w:rsidRPr="006B6885" w:rsidRDefault="00E66C4F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2F7C752B" w14:textId="77777777" w:rsidR="00205BC2" w:rsidRPr="006B6885" w:rsidRDefault="00205BC2"/>
          <w:p w14:paraId="54A7C7D0" w14:textId="77777777" w:rsidR="00E66C4F" w:rsidRPr="006B6885" w:rsidRDefault="00E66C4F">
            <w:r w:rsidRPr="006B6885">
              <w:t>periférny edém, edém, abnormálna chôdza, pád, pocit opitosti, abnormálny pocit, únava</w:t>
            </w:r>
          </w:p>
        </w:tc>
      </w:tr>
      <w:tr w:rsidR="00205BC2" w:rsidRPr="006511C1" w14:paraId="389D5632" w14:textId="77777777" w:rsidTr="005A2960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14:paraId="54838E4D" w14:textId="77777777" w:rsidR="00E66C4F" w:rsidRPr="006B6885" w:rsidRDefault="00E66C4F"/>
          <w:p w14:paraId="55F6FD55" w14:textId="77777777" w:rsidR="00205BC2" w:rsidRPr="006B6885" w:rsidRDefault="00E66C4F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7F618C27" w14:textId="77777777" w:rsidR="00E66C4F" w:rsidRPr="006B6885" w:rsidRDefault="00E66C4F"/>
          <w:p w14:paraId="5C4AB20C" w14:textId="5826D1C2" w:rsidR="00205BC2" w:rsidRPr="006B6885" w:rsidRDefault="00E66C4F">
            <w:r w:rsidRPr="006B6885">
              <w:t xml:space="preserve">generalizovaný edém, </w:t>
            </w:r>
            <w:r w:rsidRPr="006B6885">
              <w:rPr>
                <w:i/>
              </w:rPr>
              <w:t xml:space="preserve">edém tváre, </w:t>
            </w:r>
            <w:r w:rsidRPr="006B6885">
              <w:t>pocit napätia v</w:t>
            </w:r>
            <w:r w:rsidR="001764BF" w:rsidRPr="006511C1">
              <w:t> </w:t>
            </w:r>
            <w:r w:rsidRPr="006B6885">
              <w:t>hrudníku, bolesť, pyrexia, smäd, triaška, asténia</w:t>
            </w:r>
          </w:p>
        </w:tc>
      </w:tr>
      <w:tr w:rsidR="00205BC2" w:rsidRPr="006511C1" w14:paraId="638390BC" w14:textId="77777777" w:rsidTr="005A2960">
        <w:tc>
          <w:tcPr>
            <w:tcW w:w="4605" w:type="dxa"/>
            <w:tcBorders>
              <w:bottom w:val="nil"/>
            </w:tcBorders>
          </w:tcPr>
          <w:p w14:paraId="07007BDB" w14:textId="77777777" w:rsidR="00205BC2" w:rsidRPr="006B6885" w:rsidRDefault="00E66C4F">
            <w:pPr>
              <w:rPr>
                <w:b/>
              </w:rPr>
            </w:pPr>
            <w:r w:rsidRPr="006B6885">
              <w:rPr>
                <w:b/>
              </w:rPr>
              <w:t>Laboratórne a funkčné vyšetrenia</w:t>
            </w:r>
          </w:p>
          <w:p w14:paraId="389C432C" w14:textId="77777777" w:rsidR="00E66C4F" w:rsidRPr="006B6885" w:rsidRDefault="00E66C4F">
            <w:r w:rsidRPr="006B6885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14:paraId="5DC9B4D1" w14:textId="77777777" w:rsidR="00205BC2" w:rsidRPr="006B6885" w:rsidRDefault="00205BC2"/>
          <w:p w14:paraId="1E2A9ADB" w14:textId="77777777" w:rsidR="00E66C4F" w:rsidRPr="006B6885" w:rsidRDefault="00E66C4F">
            <w:r w:rsidRPr="006B6885">
              <w:t>zvýšená hmotnosť</w:t>
            </w:r>
          </w:p>
        </w:tc>
      </w:tr>
      <w:tr w:rsidR="00E66C4F" w:rsidRPr="006511C1" w14:paraId="3B9D693F" w14:textId="77777777" w:rsidTr="005A2960">
        <w:tc>
          <w:tcPr>
            <w:tcW w:w="4605" w:type="dxa"/>
            <w:tcBorders>
              <w:top w:val="nil"/>
              <w:bottom w:val="nil"/>
            </w:tcBorders>
          </w:tcPr>
          <w:p w14:paraId="49545995" w14:textId="77777777" w:rsidR="005A2960" w:rsidRPr="006B6885" w:rsidRDefault="005A2960"/>
          <w:p w14:paraId="43FD8870" w14:textId="77777777" w:rsidR="00E66C4F" w:rsidRPr="006B6885" w:rsidRDefault="00E66C4F">
            <w:r w:rsidRPr="006B6885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0680C52" w14:textId="77777777" w:rsidR="005A2960" w:rsidRPr="006B6885" w:rsidRDefault="005A2960"/>
          <w:p w14:paraId="62ADAB9C" w14:textId="7FE66CCF" w:rsidR="00E66C4F" w:rsidRPr="006B6885" w:rsidRDefault="00E66C4F">
            <w:r w:rsidRPr="006B6885">
              <w:t>zvýšená kreatínfosfokináza v krvi, zvýšená alanínaminotransferáza, zvýšená aspartátaminotransferáza, zvýšená glukóza v krvi, znížený počet trombocytov, zvýšený kreatinín v</w:t>
            </w:r>
            <w:r w:rsidR="001764BF" w:rsidRPr="006511C1">
              <w:t> </w:t>
            </w:r>
            <w:r w:rsidRPr="006B6885">
              <w:t>krvi, znížený draslík v</w:t>
            </w:r>
            <w:r w:rsidR="001764BF" w:rsidRPr="006511C1">
              <w:t> </w:t>
            </w:r>
            <w:r w:rsidRPr="006B6885">
              <w:t>krvi, znížená hmotnosť</w:t>
            </w:r>
          </w:p>
        </w:tc>
      </w:tr>
      <w:tr w:rsidR="00187B85" w:rsidRPr="006511C1" w14:paraId="19B0E9A3" w14:textId="77777777" w:rsidTr="005A2960">
        <w:tc>
          <w:tcPr>
            <w:tcW w:w="4605" w:type="dxa"/>
            <w:tcBorders>
              <w:top w:val="nil"/>
            </w:tcBorders>
          </w:tcPr>
          <w:p w14:paraId="20DB6D1B" w14:textId="77777777" w:rsidR="005A2960" w:rsidRPr="006B6885" w:rsidRDefault="005A2960"/>
          <w:p w14:paraId="1CF568C5" w14:textId="77777777" w:rsidR="00187B85" w:rsidRPr="006B6885" w:rsidRDefault="00E66C4F">
            <w:r w:rsidRPr="006B6885">
              <w:t>Zriedkavé</w:t>
            </w:r>
          </w:p>
        </w:tc>
        <w:tc>
          <w:tcPr>
            <w:tcW w:w="4606" w:type="dxa"/>
            <w:tcBorders>
              <w:top w:val="nil"/>
            </w:tcBorders>
          </w:tcPr>
          <w:p w14:paraId="0DC11DBE" w14:textId="77777777" w:rsidR="005A2960" w:rsidRPr="006B6885" w:rsidRDefault="005A2960"/>
          <w:p w14:paraId="449EC323" w14:textId="45E94AC4" w:rsidR="00187B85" w:rsidRPr="006B6885" w:rsidRDefault="005A2960">
            <w:r w:rsidRPr="006B6885">
              <w:t>znížený počet leukocytov v</w:t>
            </w:r>
            <w:r w:rsidR="001764BF" w:rsidRPr="006511C1">
              <w:t> </w:t>
            </w:r>
            <w:r w:rsidRPr="006B6885">
              <w:t>krvi</w:t>
            </w:r>
          </w:p>
        </w:tc>
      </w:tr>
    </w:tbl>
    <w:p w14:paraId="32FFD67A" w14:textId="77777777" w:rsidR="001F4901" w:rsidRPr="006B6885" w:rsidRDefault="001F4901"/>
    <w:p w14:paraId="1BD3CC02" w14:textId="5745D0AA" w:rsidR="00181363" w:rsidRPr="006B6885" w:rsidRDefault="00181363" w:rsidP="00181363">
      <w:pPr>
        <w:tabs>
          <w:tab w:val="clear" w:pos="567"/>
          <w:tab w:val="left" w:pos="540"/>
        </w:tabs>
        <w:spacing w:line="240" w:lineRule="auto"/>
      </w:pPr>
      <w:r w:rsidRPr="006B6885">
        <w:t>Po ukončení krátkodobej a</w:t>
      </w:r>
      <w:r w:rsidR="001764BF" w:rsidRPr="006511C1">
        <w:t> </w:t>
      </w:r>
      <w:r w:rsidRPr="006B6885">
        <w:t xml:space="preserve">dlhodobej liečby pregabalínom </w:t>
      </w:r>
      <w:proofErr w:type="gramStart"/>
      <w:r w:rsidRPr="006B6885">
        <w:t>sa</w:t>
      </w:r>
      <w:proofErr w:type="gramEnd"/>
      <w:r w:rsidRPr="006B6885">
        <w:t xml:space="preserve"> u</w:t>
      </w:r>
      <w:r w:rsidR="001764BF" w:rsidRPr="006511C1">
        <w:t> </w:t>
      </w:r>
      <w:r w:rsidRPr="006B6885">
        <w:t>niektorých pacientov pozorovali príznaky</w:t>
      </w:r>
      <w:r w:rsidR="004963F3" w:rsidRPr="006511C1">
        <w:t xml:space="preserve"> z</w:t>
      </w:r>
      <w:r w:rsidR="001764BF" w:rsidRPr="006511C1">
        <w:t> </w:t>
      </w:r>
      <w:r w:rsidR="004963F3" w:rsidRPr="006511C1">
        <w:t>vysadenia</w:t>
      </w:r>
      <w:r w:rsidRPr="006B6885">
        <w:t xml:space="preserve">. Uvádzajú </w:t>
      </w:r>
      <w:proofErr w:type="gramStart"/>
      <w:r w:rsidRPr="006B6885">
        <w:t>sa</w:t>
      </w:r>
      <w:proofErr w:type="gramEnd"/>
      <w:r w:rsidRPr="006B6885">
        <w:t xml:space="preserve"> nasledujúce reakcie: insomnia, bolesť hlavy, nauzea, úzkosť, hnačka, chrípkový syndróm, kŕče, nervozita, depresia, bolesť, hyperhidróza a</w:t>
      </w:r>
      <w:r w:rsidR="001764BF" w:rsidRPr="006511C1">
        <w:t> </w:t>
      </w:r>
      <w:r w:rsidRPr="006B6885">
        <w:t>závrat, naznačujúce fyzickú závislosť. Pacient má byť o</w:t>
      </w:r>
      <w:r w:rsidR="001764BF" w:rsidRPr="006511C1">
        <w:t> </w:t>
      </w:r>
      <w:r w:rsidRPr="006B6885">
        <w:t xml:space="preserve">tejto skutočnosti informovaný </w:t>
      </w:r>
      <w:proofErr w:type="gramStart"/>
      <w:r w:rsidRPr="006B6885">
        <w:t>na</w:t>
      </w:r>
      <w:proofErr w:type="gramEnd"/>
      <w:r w:rsidRPr="006B6885">
        <w:t xml:space="preserve"> začiatku liečby.</w:t>
      </w:r>
    </w:p>
    <w:p w14:paraId="2746195B" w14:textId="77777777" w:rsidR="00181363" w:rsidRPr="006B6885" w:rsidRDefault="00181363" w:rsidP="00181363">
      <w:pPr>
        <w:tabs>
          <w:tab w:val="clear" w:pos="567"/>
          <w:tab w:val="left" w:pos="540"/>
        </w:tabs>
        <w:spacing w:line="240" w:lineRule="auto"/>
      </w:pPr>
    </w:p>
    <w:p w14:paraId="47478D7A" w14:textId="6A68C33E" w:rsidR="00667FCD" w:rsidRPr="006B6885" w:rsidRDefault="00181363" w:rsidP="00181363">
      <w:pPr>
        <w:tabs>
          <w:tab w:val="clear" w:pos="567"/>
          <w:tab w:val="left" w:pos="540"/>
        </w:tabs>
        <w:spacing w:line="240" w:lineRule="auto"/>
      </w:pPr>
      <w:r w:rsidRPr="006B6885">
        <w:t xml:space="preserve">Čo </w:t>
      </w:r>
      <w:proofErr w:type="gramStart"/>
      <w:r w:rsidRPr="006B6885">
        <w:t>sa</w:t>
      </w:r>
      <w:proofErr w:type="gramEnd"/>
      <w:r w:rsidRPr="006B6885">
        <w:t xml:space="preserve"> týka ukončenia dlhodobej liečby pregabalínom, údaje naznačujú, že výskyt a</w:t>
      </w:r>
      <w:r w:rsidR="001764BF" w:rsidRPr="006511C1">
        <w:t> </w:t>
      </w:r>
      <w:r w:rsidRPr="006B6885">
        <w:t>závažnosť príznakov</w:t>
      </w:r>
      <w:r w:rsidRPr="006511C1">
        <w:t xml:space="preserve"> </w:t>
      </w:r>
      <w:r w:rsidR="004963F3" w:rsidRPr="006511C1">
        <w:t>z vysadenia</w:t>
      </w:r>
      <w:r w:rsidR="004963F3" w:rsidRPr="006B6885">
        <w:t xml:space="preserve"> </w:t>
      </w:r>
      <w:r w:rsidRPr="006B6885">
        <w:t>môžu byť závislé od dávky.</w:t>
      </w:r>
    </w:p>
    <w:p w14:paraId="1F0B5DDC" w14:textId="77777777" w:rsidR="00667FCD" w:rsidRPr="006511C1" w:rsidRDefault="00667FCD" w:rsidP="00A0376D">
      <w:pPr>
        <w:tabs>
          <w:tab w:val="clear" w:pos="567"/>
          <w:tab w:val="left" w:pos="540"/>
        </w:tabs>
        <w:spacing w:line="240" w:lineRule="auto"/>
      </w:pPr>
    </w:p>
    <w:p w14:paraId="121C80EA" w14:textId="77777777" w:rsidR="004963F3" w:rsidRPr="006511C1" w:rsidRDefault="004963F3" w:rsidP="00531EC4">
      <w:pPr>
        <w:keepNext/>
        <w:tabs>
          <w:tab w:val="clear" w:pos="567"/>
          <w:tab w:val="left" w:pos="540"/>
        </w:tabs>
        <w:spacing w:line="240" w:lineRule="auto"/>
        <w:rPr>
          <w:i/>
          <w:u w:val="single"/>
        </w:rPr>
      </w:pPr>
      <w:r w:rsidRPr="006511C1">
        <w:rPr>
          <w:i/>
          <w:u w:val="single"/>
        </w:rPr>
        <w:t>Pediatrická populácia</w:t>
      </w:r>
    </w:p>
    <w:p w14:paraId="6A8A4920" w14:textId="77777777" w:rsidR="004963F3" w:rsidRPr="006511C1" w:rsidRDefault="004963F3" w:rsidP="004963F3">
      <w:pPr>
        <w:tabs>
          <w:tab w:val="clear" w:pos="567"/>
          <w:tab w:val="left" w:pos="540"/>
        </w:tabs>
        <w:spacing w:line="240" w:lineRule="auto"/>
      </w:pPr>
      <w:r w:rsidRPr="006511C1">
        <w:t xml:space="preserve">Bezpečnostný profil pregabalínu pozorovaný v dvoch pediatrických štúdiách (farmakokinetická štúdia a štúdia bezpečnosti, n = 65; 1-ročná otvorená kontrolná štúdia bezpečnosti, n = 54) bol podobný bezpečnostnému profilu, ktorý </w:t>
      </w:r>
      <w:proofErr w:type="gramStart"/>
      <w:r w:rsidRPr="006511C1">
        <w:t>sa</w:t>
      </w:r>
      <w:proofErr w:type="gramEnd"/>
      <w:r w:rsidRPr="006511C1">
        <w:t xml:space="preserve"> pozoroval v štúdiách u dospelých (pozri časti 4.2, 5.1 a 5.2).</w:t>
      </w:r>
    </w:p>
    <w:p w14:paraId="562452B3" w14:textId="77777777" w:rsidR="004963F3" w:rsidRPr="006B6885" w:rsidRDefault="004963F3" w:rsidP="00A0376D">
      <w:pPr>
        <w:tabs>
          <w:tab w:val="clear" w:pos="567"/>
          <w:tab w:val="left" w:pos="540"/>
        </w:tabs>
        <w:spacing w:line="240" w:lineRule="auto"/>
      </w:pPr>
    </w:p>
    <w:p w14:paraId="4A858374" w14:textId="77777777" w:rsidR="001F4901" w:rsidRPr="006B6885" w:rsidRDefault="00C42A55" w:rsidP="00C42A55">
      <w:pPr>
        <w:keepNext/>
        <w:autoSpaceDE w:val="0"/>
        <w:autoSpaceDN w:val="0"/>
        <w:adjustRightInd w:val="0"/>
        <w:rPr>
          <w:u w:val="single"/>
        </w:rPr>
      </w:pPr>
      <w:r w:rsidRPr="006B6885">
        <w:rPr>
          <w:u w:val="single"/>
        </w:rPr>
        <w:t xml:space="preserve">Hlásenie podozrení </w:t>
      </w:r>
      <w:proofErr w:type="gramStart"/>
      <w:r w:rsidRPr="006B6885">
        <w:rPr>
          <w:u w:val="single"/>
        </w:rPr>
        <w:t>na</w:t>
      </w:r>
      <w:proofErr w:type="gramEnd"/>
      <w:r w:rsidRPr="006B6885">
        <w:rPr>
          <w:u w:val="single"/>
        </w:rPr>
        <w:t xml:space="preserve"> nežiaduce reakcie</w:t>
      </w:r>
    </w:p>
    <w:p w14:paraId="7F10DE97" w14:textId="77777777" w:rsidR="001F4901" w:rsidRPr="006B6885" w:rsidRDefault="00C42A55">
      <w:pPr>
        <w:autoSpaceDE w:val="0"/>
        <w:autoSpaceDN w:val="0"/>
        <w:adjustRightInd w:val="0"/>
      </w:pPr>
      <w:r w:rsidRPr="006B6885">
        <w:t xml:space="preserve">Hlásenie podozrení </w:t>
      </w:r>
      <w:proofErr w:type="gramStart"/>
      <w:r w:rsidRPr="006B6885">
        <w:t>na</w:t>
      </w:r>
      <w:proofErr w:type="gramEnd"/>
      <w:r w:rsidRPr="006B6885">
        <w:t xml:space="preserve"> nežiaduce reakcie po registrácii lieku je dôležité. Umožňuje priebežné monitorovanie pomeru prínosu a rizika lieku. </w:t>
      </w:r>
      <w:proofErr w:type="gramStart"/>
      <w:r w:rsidRPr="006B6885">
        <w:t>Od</w:t>
      </w:r>
      <w:proofErr w:type="gramEnd"/>
      <w:r w:rsidRPr="006B6885">
        <w:t xml:space="preserve"> zdravotníckych pracovníkov sa vyžaduje, aby hlásili akékoľvek podozrenia na nežiaduce reakcie prostredníctvom </w:t>
      </w:r>
      <w:r w:rsidRPr="006B6885">
        <w:rPr>
          <w:highlight w:val="lightGray"/>
        </w:rPr>
        <w:t>národného systému hlásenia uvedeného v </w:t>
      </w:r>
      <w:hyperlink r:id="rId7" w:history="1">
        <w:r w:rsidRPr="006B6885">
          <w:rPr>
            <w:rStyle w:val="Hyperlink"/>
            <w:highlight w:val="lightGray"/>
          </w:rPr>
          <w:t>Prílohe V</w:t>
        </w:r>
      </w:hyperlink>
      <w:r w:rsidR="001F4901" w:rsidRPr="006B6885">
        <w:t>.</w:t>
      </w:r>
    </w:p>
    <w:p w14:paraId="453844CF" w14:textId="77777777" w:rsidR="001F4901" w:rsidRPr="006B6885" w:rsidRDefault="001F4901"/>
    <w:p w14:paraId="1AB4A014" w14:textId="77777777" w:rsidR="001F4901" w:rsidRPr="006B6885" w:rsidRDefault="001F4901" w:rsidP="00222F1C">
      <w:pPr>
        <w:keepNext/>
        <w:ind w:left="567" w:hanging="567"/>
        <w:outlineLvl w:val="0"/>
      </w:pPr>
      <w:r w:rsidRPr="006B6885">
        <w:rPr>
          <w:b/>
        </w:rPr>
        <w:t>4.9</w:t>
      </w:r>
      <w:r w:rsidRPr="006B6885">
        <w:rPr>
          <w:b/>
        </w:rPr>
        <w:tab/>
      </w:r>
      <w:r w:rsidR="00B10D96" w:rsidRPr="006B6885">
        <w:rPr>
          <w:b/>
        </w:rPr>
        <w:t>Predávkovanie</w:t>
      </w:r>
    </w:p>
    <w:p w14:paraId="1E6DE1CE" w14:textId="77777777" w:rsidR="001F4901" w:rsidRPr="006B6885" w:rsidRDefault="001F4901" w:rsidP="00222F1C">
      <w:pPr>
        <w:keepNext/>
      </w:pPr>
    </w:p>
    <w:p w14:paraId="787C5AB3" w14:textId="501702EE" w:rsidR="00FA18CB" w:rsidRPr="006B6885" w:rsidRDefault="00FA18CB" w:rsidP="00FA18CB">
      <w:r w:rsidRPr="006B6885">
        <w:t xml:space="preserve">Po uvedení lieku </w:t>
      </w:r>
      <w:proofErr w:type="gramStart"/>
      <w:r w:rsidRPr="006B6885">
        <w:t>na</w:t>
      </w:r>
      <w:proofErr w:type="gramEnd"/>
      <w:r w:rsidRPr="006B6885">
        <w:t xml:space="preserve"> trh najčastejšie hlásené nežiaduce reakcie pozorované po predávkovaní pregabalínom zahŕňali ospalosť, stavy zmätenosti, agitovanosť a</w:t>
      </w:r>
      <w:r w:rsidR="001764BF" w:rsidRPr="006511C1">
        <w:t> </w:t>
      </w:r>
      <w:r w:rsidRPr="006B6885">
        <w:t>nepokoj.</w:t>
      </w:r>
    </w:p>
    <w:p w14:paraId="55B06E13" w14:textId="77777777" w:rsidR="00FA18CB" w:rsidRPr="006B6885" w:rsidRDefault="00FA18CB" w:rsidP="00FA18CB"/>
    <w:p w14:paraId="6C7BC211" w14:textId="1DD84366" w:rsidR="00FA18CB" w:rsidRPr="006B6885" w:rsidRDefault="00FA18CB" w:rsidP="00FA18CB">
      <w:r w:rsidRPr="006B6885">
        <w:t>V</w:t>
      </w:r>
      <w:r w:rsidR="001764BF" w:rsidRPr="006511C1">
        <w:t> </w:t>
      </w:r>
      <w:r w:rsidRPr="006B6885">
        <w:t>zriedkavých prípadoch boli hlásené prípady kómy.</w:t>
      </w:r>
    </w:p>
    <w:p w14:paraId="62D0E6FB" w14:textId="77777777" w:rsidR="004963F3" w:rsidRPr="006B6885" w:rsidRDefault="004963F3" w:rsidP="00FA18CB">
      <w:pPr>
        <w:rPr>
          <w:u w:val="single"/>
        </w:rPr>
      </w:pPr>
    </w:p>
    <w:p w14:paraId="033A1F1A" w14:textId="0C9E58DB" w:rsidR="001F4901" w:rsidRPr="006B6885" w:rsidRDefault="00FA18CB" w:rsidP="00FA18CB">
      <w:r w:rsidRPr="006B6885">
        <w:t>Liečba predávkovania pregabalínom musí zahrňovať štandardné podporné opatrenia a</w:t>
      </w:r>
      <w:r w:rsidR="001764BF" w:rsidRPr="006511C1">
        <w:t> </w:t>
      </w:r>
      <w:r w:rsidRPr="006B6885">
        <w:t>môže zahrňovať podľa potreby aj hemodialýzu (pozri časť 4.2 Tabuľka 1).</w:t>
      </w:r>
    </w:p>
    <w:p w14:paraId="67C7DBD8" w14:textId="77777777" w:rsidR="001F4901" w:rsidRPr="006B6885" w:rsidRDefault="001F4901"/>
    <w:p w14:paraId="7949DE89" w14:textId="77777777" w:rsidR="001F4901" w:rsidRPr="006B6885" w:rsidRDefault="001F4901"/>
    <w:p w14:paraId="21EB2249" w14:textId="77777777" w:rsidR="001F4901" w:rsidRPr="006B6885" w:rsidRDefault="001F4901" w:rsidP="00222F1C">
      <w:pPr>
        <w:keepNext/>
        <w:suppressAutoHyphens/>
        <w:ind w:left="567" w:hanging="567"/>
      </w:pPr>
      <w:r w:rsidRPr="006B6885">
        <w:rPr>
          <w:b/>
        </w:rPr>
        <w:t>5.</w:t>
      </w:r>
      <w:r w:rsidRPr="006B6885">
        <w:rPr>
          <w:b/>
        </w:rPr>
        <w:tab/>
      </w:r>
      <w:r w:rsidR="00DD163E" w:rsidRPr="006B6885">
        <w:rPr>
          <w:b/>
        </w:rPr>
        <w:t>FARMAKOLOGICKÉ VLASTNOSTI</w:t>
      </w:r>
    </w:p>
    <w:p w14:paraId="548F0F61" w14:textId="77777777" w:rsidR="001F4901" w:rsidRPr="006B6885" w:rsidRDefault="001F4901" w:rsidP="00222F1C">
      <w:pPr>
        <w:keepNext/>
      </w:pPr>
    </w:p>
    <w:p w14:paraId="0F4DD34F" w14:textId="77777777" w:rsidR="001F4901" w:rsidRPr="006B6885" w:rsidRDefault="00990766" w:rsidP="00222F1C">
      <w:pPr>
        <w:keepNext/>
        <w:ind w:left="567" w:hanging="567"/>
        <w:outlineLvl w:val="0"/>
      </w:pPr>
      <w:r w:rsidRPr="006B6885">
        <w:rPr>
          <w:b/>
        </w:rPr>
        <w:t>5.1</w:t>
      </w:r>
      <w:r w:rsidR="001F4901" w:rsidRPr="006B6885">
        <w:rPr>
          <w:b/>
        </w:rPr>
        <w:tab/>
      </w:r>
      <w:r w:rsidR="00DD163E" w:rsidRPr="006B6885">
        <w:rPr>
          <w:b/>
        </w:rPr>
        <w:t>Farmakodynamické vlastnosti</w:t>
      </w:r>
    </w:p>
    <w:p w14:paraId="37B033B9" w14:textId="77777777" w:rsidR="001F4901" w:rsidRPr="006B6885" w:rsidRDefault="001F4901" w:rsidP="00222F1C">
      <w:pPr>
        <w:keepNext/>
      </w:pPr>
    </w:p>
    <w:p w14:paraId="7DBD189E" w14:textId="77777777" w:rsidR="00990766" w:rsidRPr="006B6885" w:rsidRDefault="00990766" w:rsidP="00990766">
      <w:r w:rsidRPr="006B6885">
        <w:t xml:space="preserve">Farmakoterapeutická skupina: </w:t>
      </w:r>
      <w:r w:rsidR="00BF5DF7" w:rsidRPr="006B6885">
        <w:t>Antiepileptiká, iné antiepileptiká, ATC kód: N03AX16</w:t>
      </w:r>
    </w:p>
    <w:p w14:paraId="5A66727D" w14:textId="77777777" w:rsidR="00990766" w:rsidRPr="006B6885" w:rsidRDefault="00990766" w:rsidP="00990766"/>
    <w:p w14:paraId="27430073" w14:textId="77777777" w:rsidR="00BF5DF7" w:rsidRPr="006B6885" w:rsidRDefault="00BF5DF7" w:rsidP="00990766">
      <w:r w:rsidRPr="006B6885">
        <w:t>Liečivo pregabalín je analógom gamaaminomaslovej kyseliny ((S)-3-(aminometyl)-5-metylhexánová kyselina).</w:t>
      </w:r>
    </w:p>
    <w:p w14:paraId="507509DA" w14:textId="77777777" w:rsidR="00BF5DF7" w:rsidRPr="006B6885" w:rsidRDefault="00BF5DF7" w:rsidP="00990766"/>
    <w:p w14:paraId="3507D460" w14:textId="77777777" w:rsidR="00990766" w:rsidRPr="006B6885" w:rsidRDefault="00990766" w:rsidP="00222F1C">
      <w:pPr>
        <w:keepNext/>
      </w:pPr>
      <w:r w:rsidRPr="006B6885">
        <w:rPr>
          <w:u w:val="single"/>
        </w:rPr>
        <w:t>Mechanizmus účinku</w:t>
      </w:r>
    </w:p>
    <w:p w14:paraId="086B3B19" w14:textId="77777777" w:rsidR="00990766" w:rsidRPr="006B6885" w:rsidRDefault="00990766" w:rsidP="00990766"/>
    <w:p w14:paraId="14C6E7DB" w14:textId="31C370E6" w:rsidR="00990766" w:rsidRPr="006B6885" w:rsidRDefault="00BF5DF7" w:rsidP="00990766"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viaže na auxiliárne podjednotky (α</w:t>
      </w:r>
      <w:r w:rsidRPr="006B6885">
        <w:rPr>
          <w:vertAlign w:val="subscript"/>
        </w:rPr>
        <w:t>2</w:t>
      </w:r>
      <w:r w:rsidRPr="006B6885">
        <w:t>-δ proteíny) napäťovo riadených kalciových kanálov v</w:t>
      </w:r>
      <w:r w:rsidR="001764BF" w:rsidRPr="006511C1">
        <w:t> </w:t>
      </w:r>
      <w:r w:rsidRPr="006B6885">
        <w:t>centrálnom nervovom systéme.</w:t>
      </w:r>
    </w:p>
    <w:p w14:paraId="2DB971C2" w14:textId="77777777" w:rsidR="00990766" w:rsidRPr="006B6885" w:rsidRDefault="00990766" w:rsidP="00990766"/>
    <w:p w14:paraId="3E4DF7F8" w14:textId="31CEE8E5" w:rsidR="00F370C9" w:rsidRPr="006B6885" w:rsidRDefault="00F370C9" w:rsidP="00222F1C">
      <w:pPr>
        <w:keepNext/>
        <w:rPr>
          <w:u w:val="single"/>
        </w:rPr>
      </w:pPr>
      <w:r w:rsidRPr="006B6885">
        <w:rPr>
          <w:u w:val="single"/>
        </w:rPr>
        <w:t>Klinická účinnosť a</w:t>
      </w:r>
      <w:r w:rsidR="001764BF" w:rsidRPr="006511C1">
        <w:rPr>
          <w:u w:val="single"/>
        </w:rPr>
        <w:t> </w:t>
      </w:r>
      <w:r w:rsidRPr="006B6885">
        <w:rPr>
          <w:u w:val="single"/>
        </w:rPr>
        <w:t>bezpečnosť</w:t>
      </w:r>
    </w:p>
    <w:p w14:paraId="502EAC6D" w14:textId="77777777" w:rsidR="00F370C9" w:rsidRPr="006B6885" w:rsidRDefault="00F370C9" w:rsidP="00990766"/>
    <w:p w14:paraId="2999A871" w14:textId="77777777" w:rsidR="00BF5DF7" w:rsidRPr="006B6885" w:rsidRDefault="00BF5DF7" w:rsidP="00222F1C">
      <w:pPr>
        <w:keepNext/>
        <w:numPr>
          <w:ilvl w:val="12"/>
          <w:numId w:val="0"/>
        </w:numPr>
        <w:ind w:right="-2"/>
        <w:rPr>
          <w:i/>
        </w:rPr>
      </w:pPr>
      <w:r w:rsidRPr="006B6885">
        <w:rPr>
          <w:i/>
        </w:rPr>
        <w:t>Neuropatická bolesť</w:t>
      </w:r>
    </w:p>
    <w:p w14:paraId="06DFBE89" w14:textId="6CCDF3ED" w:rsidR="00990766" w:rsidRPr="006B6885" w:rsidRDefault="00314A73" w:rsidP="00BF5DF7">
      <w:pPr>
        <w:numPr>
          <w:ilvl w:val="12"/>
          <w:numId w:val="0"/>
        </w:numPr>
        <w:ind w:right="-2"/>
      </w:pPr>
      <w:r w:rsidRPr="006B6885">
        <w:t>Účinnosť bola preukázaná v</w:t>
      </w:r>
      <w:r w:rsidR="001764BF" w:rsidRPr="006511C1">
        <w:t> </w:t>
      </w:r>
      <w:r w:rsidRPr="006B6885">
        <w:t>klinických skúšaniach pri diabetickej neuropatii, postherpetickej neuralgii a</w:t>
      </w:r>
      <w:r w:rsidR="001764BF" w:rsidRPr="006511C1">
        <w:t> </w:t>
      </w:r>
      <w:r w:rsidRPr="006B6885">
        <w:t>poškodení</w:t>
      </w:r>
      <w:r w:rsidR="00BF5DF7" w:rsidRPr="006B6885">
        <w:t xml:space="preserve"> miechy. Účinnosť </w:t>
      </w:r>
      <w:proofErr w:type="gramStart"/>
      <w:r w:rsidR="00BF5DF7" w:rsidRPr="006B6885">
        <w:t>sa</w:t>
      </w:r>
      <w:proofErr w:type="gramEnd"/>
      <w:r w:rsidR="00BF5DF7" w:rsidRPr="006B6885">
        <w:t xml:space="preserve"> neštudovala na ostatných modeloch neuropatickej bolesti.</w:t>
      </w:r>
    </w:p>
    <w:p w14:paraId="509D4C2F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3D808CAD" w14:textId="7BC10E70" w:rsidR="00BF5DF7" w:rsidRPr="006B6885" w:rsidRDefault="00222F1C" w:rsidP="00BF5DF7">
      <w:pPr>
        <w:numPr>
          <w:ilvl w:val="12"/>
          <w:numId w:val="0"/>
        </w:numPr>
        <w:ind w:right="-2"/>
      </w:pPr>
      <w:r w:rsidRPr="006B6885">
        <w:t xml:space="preserve">Pregabalín </w:t>
      </w:r>
      <w:proofErr w:type="gramStart"/>
      <w:r w:rsidR="00D33288" w:rsidRPr="006B6885">
        <w:t>sa</w:t>
      </w:r>
      <w:proofErr w:type="gramEnd"/>
      <w:r w:rsidR="00D33288" w:rsidRPr="006B6885">
        <w:t xml:space="preserve"> skúmal</w:t>
      </w:r>
      <w:r w:rsidR="00BF5DF7" w:rsidRPr="006B6885">
        <w:t xml:space="preserve"> v</w:t>
      </w:r>
      <w:r w:rsidR="001764BF" w:rsidRPr="006511C1">
        <w:t> </w:t>
      </w:r>
      <w:r w:rsidR="00BF5DF7" w:rsidRPr="006B6885">
        <w:t>10 kontrolovaných klinických skúšania</w:t>
      </w:r>
      <w:r w:rsidRPr="006B6885">
        <w:t>ch v</w:t>
      </w:r>
      <w:r w:rsidR="001764BF" w:rsidRPr="006511C1">
        <w:t> </w:t>
      </w:r>
      <w:r w:rsidRPr="006B6885">
        <w:t xml:space="preserve">trvaní až do 13 týždňov </w:t>
      </w:r>
      <w:r w:rsidR="00BF5DF7" w:rsidRPr="006B6885">
        <w:t>s</w:t>
      </w:r>
      <w:r w:rsidR="001764BF" w:rsidRPr="006511C1">
        <w:t> </w:t>
      </w:r>
      <w:r w:rsidR="00BF5DF7" w:rsidRPr="006B6885">
        <w:t>dávkovaním dvakrát denne (BID) a</w:t>
      </w:r>
      <w:r w:rsidR="001764BF" w:rsidRPr="006511C1">
        <w:t> </w:t>
      </w:r>
      <w:r w:rsidR="00BF5DF7" w:rsidRPr="006B6885">
        <w:t>až do 8 týždňov s</w:t>
      </w:r>
      <w:r w:rsidR="001764BF" w:rsidRPr="006511C1">
        <w:t> </w:t>
      </w:r>
      <w:r w:rsidR="00BF5DF7" w:rsidRPr="006B6885">
        <w:t xml:space="preserve">dávkovaním trikrát denne (TID). Celkové profily bezpečnosti </w:t>
      </w:r>
      <w:proofErr w:type="gramStart"/>
      <w:r w:rsidR="00BF5DF7" w:rsidRPr="006B6885">
        <w:t>a</w:t>
      </w:r>
      <w:proofErr w:type="gramEnd"/>
      <w:r w:rsidR="001764BF" w:rsidRPr="006511C1">
        <w:t> </w:t>
      </w:r>
      <w:r w:rsidR="00BF5DF7" w:rsidRPr="006B6885">
        <w:t>účinnosti pri dávkovacích režimoch</w:t>
      </w:r>
      <w:r w:rsidRPr="006B6885">
        <w:t xml:space="preserve"> BID a</w:t>
      </w:r>
      <w:r w:rsidR="001764BF" w:rsidRPr="006511C1">
        <w:t> </w:t>
      </w:r>
      <w:r w:rsidRPr="006B6885">
        <w:t>TID</w:t>
      </w:r>
      <w:r w:rsidR="00BF5DF7" w:rsidRPr="006B6885">
        <w:t xml:space="preserve"> boli podobné.</w:t>
      </w:r>
    </w:p>
    <w:p w14:paraId="07A1AE61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60AB776F" w14:textId="70A3AB39" w:rsidR="00BF5DF7" w:rsidRPr="006B6885" w:rsidRDefault="00BF5DF7" w:rsidP="00BF5DF7">
      <w:pPr>
        <w:numPr>
          <w:ilvl w:val="12"/>
          <w:numId w:val="0"/>
        </w:numPr>
        <w:ind w:right="-2"/>
      </w:pPr>
      <w:r w:rsidRPr="006B6885">
        <w:t>V</w:t>
      </w:r>
      <w:r w:rsidR="001764BF" w:rsidRPr="006511C1">
        <w:t> </w:t>
      </w:r>
      <w:r w:rsidRPr="006B6885">
        <w:t>klinických skúšaniach v</w:t>
      </w:r>
      <w:r w:rsidR="001764BF" w:rsidRPr="006511C1">
        <w:t> </w:t>
      </w:r>
      <w:r w:rsidRPr="006B6885">
        <w:t xml:space="preserve">trvaní až do 12 týždňov </w:t>
      </w:r>
      <w:proofErr w:type="gramStart"/>
      <w:r w:rsidRPr="006B6885">
        <w:t>sa</w:t>
      </w:r>
      <w:proofErr w:type="gramEnd"/>
      <w:r w:rsidR="00222F1C" w:rsidRPr="006B6885">
        <w:t xml:space="preserve"> pri</w:t>
      </w:r>
      <w:r w:rsidRPr="006B6885">
        <w:t xml:space="preserve"> periférnej ako aj centrálnej neuropatickej bolesti pozorovalo zníženie bolesti v</w:t>
      </w:r>
      <w:r w:rsidR="001764BF" w:rsidRPr="006511C1">
        <w:t> </w:t>
      </w:r>
      <w:r w:rsidRPr="006B6885">
        <w:t xml:space="preserve">1. </w:t>
      </w:r>
      <w:proofErr w:type="gramStart"/>
      <w:r w:rsidRPr="006B6885">
        <w:t>týždni</w:t>
      </w:r>
      <w:proofErr w:type="gramEnd"/>
      <w:r w:rsidRPr="006B6885">
        <w:t xml:space="preserve"> a</w:t>
      </w:r>
      <w:r w:rsidR="001764BF" w:rsidRPr="006511C1">
        <w:t> </w:t>
      </w:r>
      <w:r w:rsidRPr="006B6885">
        <w:t>pretrvávalo počas celého obdobia liečby.</w:t>
      </w:r>
    </w:p>
    <w:p w14:paraId="2D11C002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1CFFC8AC" w14:textId="53580390" w:rsidR="00A5349A" w:rsidRPr="006511C1" w:rsidRDefault="00BF5DF7" w:rsidP="00BF5DF7">
      <w:pPr>
        <w:numPr>
          <w:ilvl w:val="12"/>
          <w:numId w:val="0"/>
        </w:numPr>
        <w:ind w:right="-2"/>
      </w:pPr>
      <w:r w:rsidRPr="006B6885">
        <w:t>V</w:t>
      </w:r>
      <w:r w:rsidR="001764BF" w:rsidRPr="006511C1">
        <w:t> </w:t>
      </w:r>
      <w:r w:rsidRPr="006B6885">
        <w:t>kontro</w:t>
      </w:r>
      <w:r w:rsidR="00222F1C" w:rsidRPr="006B6885">
        <w:t>lovaných klinických skúšaniach pri</w:t>
      </w:r>
      <w:r w:rsidRPr="006B6885">
        <w:t xml:space="preserve"> periférnej neuropatickej bolesti</w:t>
      </w:r>
      <w:r w:rsidR="00222F1C" w:rsidRPr="006B6885">
        <w:t>,</w:t>
      </w:r>
      <w:r w:rsidRPr="006B6885">
        <w:t xml:space="preserve"> 35</w:t>
      </w:r>
      <w:r w:rsidR="00222F1C" w:rsidRPr="006B6885">
        <w:t xml:space="preserve"> % pregabalínom </w:t>
      </w:r>
      <w:r w:rsidRPr="006B6885">
        <w:t>liečených pacientov a</w:t>
      </w:r>
      <w:r w:rsidR="00222F1C" w:rsidRPr="006B6885">
        <w:t> </w:t>
      </w:r>
      <w:r w:rsidRPr="006B6885">
        <w:t>18</w:t>
      </w:r>
      <w:r w:rsidR="00222F1C" w:rsidRPr="006B6885">
        <w:t> </w:t>
      </w:r>
      <w:r w:rsidRPr="006B6885">
        <w:t>% pacientov užívajúcich placebo dosiahlo 50</w:t>
      </w:r>
      <w:r w:rsidR="00222F1C" w:rsidRPr="006B6885">
        <w:t> </w:t>
      </w:r>
      <w:r w:rsidRPr="006B6885">
        <w:t>% zlepšenie v</w:t>
      </w:r>
      <w:r w:rsidR="001764BF" w:rsidRPr="006511C1">
        <w:t> </w:t>
      </w:r>
      <w:r w:rsidRPr="006B6885">
        <w:t>skóre bolesti.</w:t>
      </w:r>
    </w:p>
    <w:p w14:paraId="1BC22DF4" w14:textId="0BA12991" w:rsidR="00BF5DF7" w:rsidRPr="006B6885" w:rsidRDefault="00BF5DF7" w:rsidP="00BF5DF7">
      <w:pPr>
        <w:numPr>
          <w:ilvl w:val="12"/>
          <w:numId w:val="0"/>
        </w:numPr>
        <w:ind w:right="-2"/>
      </w:pPr>
      <w:r w:rsidRPr="006B6885">
        <w:t>V</w:t>
      </w:r>
      <w:r w:rsidR="001764BF" w:rsidRPr="006511C1">
        <w:t> </w:t>
      </w:r>
      <w:r w:rsidRPr="006B6885">
        <w:t>prípade pacientov, u</w:t>
      </w:r>
      <w:r w:rsidR="001764BF" w:rsidRPr="006511C1">
        <w:t> </w:t>
      </w:r>
      <w:r w:rsidRPr="006B6885">
        <w:t>ktorých sa neprejavila ospalosť, sa takéto zlepšenie pozorovalo u</w:t>
      </w:r>
      <w:r w:rsidR="00222F1C" w:rsidRPr="006B6885">
        <w:t> </w:t>
      </w:r>
      <w:r w:rsidRPr="006B6885">
        <w:t>33</w:t>
      </w:r>
      <w:r w:rsidR="00222F1C" w:rsidRPr="006B6885">
        <w:t> </w:t>
      </w:r>
      <w:r w:rsidRPr="006B6885">
        <w:t>% pacientov liečených pregabalínom a</w:t>
      </w:r>
      <w:r w:rsidR="001764BF" w:rsidRPr="006511C1">
        <w:t> </w:t>
      </w:r>
      <w:r w:rsidRPr="006B6885">
        <w:t>u</w:t>
      </w:r>
      <w:r w:rsidR="00222F1C" w:rsidRPr="006B6885">
        <w:t> </w:t>
      </w:r>
      <w:r w:rsidRPr="006B6885">
        <w:t>18</w:t>
      </w:r>
      <w:r w:rsidR="00222F1C" w:rsidRPr="006B6885">
        <w:t> </w:t>
      </w:r>
      <w:r w:rsidRPr="006B6885">
        <w:t>% pacientov užívajúcich placebo. V</w:t>
      </w:r>
      <w:r w:rsidR="001764BF" w:rsidRPr="006511C1">
        <w:t> </w:t>
      </w:r>
      <w:r w:rsidRPr="006B6885">
        <w:t>prípade pacient</w:t>
      </w:r>
      <w:r w:rsidR="00222F1C" w:rsidRPr="006B6885">
        <w:t xml:space="preserve">ov, </w:t>
      </w:r>
      <w:r w:rsidRPr="006B6885">
        <w:t>u</w:t>
      </w:r>
      <w:r w:rsidR="001764BF" w:rsidRPr="006511C1">
        <w:t> </w:t>
      </w:r>
      <w:r w:rsidRPr="006B6885">
        <w:t xml:space="preserve">ktorých </w:t>
      </w:r>
      <w:proofErr w:type="gramStart"/>
      <w:r w:rsidRPr="006B6885">
        <w:t>sa</w:t>
      </w:r>
      <w:proofErr w:type="gramEnd"/>
      <w:r w:rsidRPr="006B6885">
        <w:t xml:space="preserve"> prejavila ospalosť, bola miera odpovede na liečbu pregabalínom 48</w:t>
      </w:r>
      <w:r w:rsidR="00222F1C" w:rsidRPr="006B6885">
        <w:t> </w:t>
      </w:r>
      <w:r w:rsidRPr="006B6885">
        <w:t>% a</w:t>
      </w:r>
      <w:r w:rsidR="001764BF" w:rsidRPr="006511C1">
        <w:t> </w:t>
      </w:r>
      <w:r w:rsidRPr="006B6885">
        <w:t>na placebo 16</w:t>
      </w:r>
      <w:r w:rsidR="00222F1C" w:rsidRPr="006B6885">
        <w:t> </w:t>
      </w:r>
      <w:r w:rsidRPr="006B6885">
        <w:t>%.</w:t>
      </w:r>
    </w:p>
    <w:p w14:paraId="0369975A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04E00388" w14:textId="40C443DE" w:rsidR="00BF5DF7" w:rsidRPr="006B6885" w:rsidRDefault="00BF5DF7" w:rsidP="00BF5DF7">
      <w:pPr>
        <w:numPr>
          <w:ilvl w:val="12"/>
          <w:numId w:val="0"/>
        </w:numPr>
        <w:ind w:right="-2"/>
      </w:pPr>
      <w:r w:rsidRPr="006B6885">
        <w:t>V</w:t>
      </w:r>
      <w:r w:rsidR="001764BF" w:rsidRPr="006511C1">
        <w:t> </w:t>
      </w:r>
      <w:r w:rsidRPr="006B6885">
        <w:t>kon</w:t>
      </w:r>
      <w:r w:rsidR="00222F1C" w:rsidRPr="006B6885">
        <w:t>trolných klinických skúšaniach pri</w:t>
      </w:r>
      <w:r w:rsidRPr="006B6885">
        <w:t xml:space="preserve"> centrálnej neuropatickej bolesti</w:t>
      </w:r>
      <w:r w:rsidR="00222F1C" w:rsidRPr="006B6885">
        <w:t>,</w:t>
      </w:r>
      <w:r w:rsidRPr="006B6885">
        <w:t xml:space="preserve"> 22</w:t>
      </w:r>
      <w:r w:rsidR="00222F1C" w:rsidRPr="006B6885">
        <w:t> </w:t>
      </w:r>
      <w:r w:rsidRPr="006B6885">
        <w:t>% pacientov liečených pregabalínom a</w:t>
      </w:r>
      <w:r w:rsidR="00222F1C" w:rsidRPr="006B6885">
        <w:t> </w:t>
      </w:r>
      <w:r w:rsidRPr="006B6885">
        <w:t>7</w:t>
      </w:r>
      <w:r w:rsidR="00222F1C" w:rsidRPr="006B6885">
        <w:t> </w:t>
      </w:r>
      <w:r w:rsidRPr="006B6885">
        <w:t>% pacientov užívajúcich placebo dosiahlo 50</w:t>
      </w:r>
      <w:r w:rsidR="00222F1C" w:rsidRPr="006B6885">
        <w:t> </w:t>
      </w:r>
      <w:r w:rsidRPr="006B6885">
        <w:t>% zlepšenie v skóre bolesti.</w:t>
      </w:r>
    </w:p>
    <w:p w14:paraId="20F435DA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53C29D92" w14:textId="77777777" w:rsidR="00BF5DF7" w:rsidRPr="006B6885" w:rsidRDefault="00BF5DF7" w:rsidP="00222F1C">
      <w:pPr>
        <w:keepNext/>
        <w:numPr>
          <w:ilvl w:val="12"/>
          <w:numId w:val="0"/>
        </w:numPr>
        <w:ind w:right="-2"/>
        <w:rPr>
          <w:i/>
        </w:rPr>
      </w:pPr>
      <w:r w:rsidRPr="006B6885">
        <w:rPr>
          <w:i/>
        </w:rPr>
        <w:lastRenderedPageBreak/>
        <w:t>Epilepsia</w:t>
      </w:r>
    </w:p>
    <w:p w14:paraId="6C23DEC6" w14:textId="77777777" w:rsidR="00222F1C" w:rsidRPr="006B6885" w:rsidRDefault="00222F1C" w:rsidP="00222F1C">
      <w:pPr>
        <w:keepNext/>
        <w:numPr>
          <w:ilvl w:val="12"/>
          <w:numId w:val="0"/>
        </w:numPr>
        <w:ind w:right="-2"/>
      </w:pPr>
    </w:p>
    <w:p w14:paraId="372651FC" w14:textId="77777777" w:rsidR="00BF5DF7" w:rsidRPr="006B6885" w:rsidRDefault="00BF5DF7" w:rsidP="00222F1C">
      <w:pPr>
        <w:keepNext/>
        <w:numPr>
          <w:ilvl w:val="12"/>
          <w:numId w:val="0"/>
        </w:numPr>
        <w:ind w:right="-2"/>
        <w:rPr>
          <w:i/>
          <w:u w:val="single"/>
        </w:rPr>
      </w:pPr>
      <w:r w:rsidRPr="006B6885">
        <w:rPr>
          <w:i/>
          <w:u w:val="single"/>
        </w:rPr>
        <w:t>Prídavná liečba</w:t>
      </w:r>
    </w:p>
    <w:p w14:paraId="5423F45B" w14:textId="3A324332" w:rsidR="00BF5DF7" w:rsidRPr="006B6885" w:rsidRDefault="00D33288" w:rsidP="00BF5DF7">
      <w:pPr>
        <w:numPr>
          <w:ilvl w:val="12"/>
          <w:numId w:val="0"/>
        </w:numPr>
        <w:ind w:right="-2"/>
      </w:pPr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skúmal</w:t>
      </w:r>
      <w:r w:rsidR="00BF5DF7" w:rsidRPr="006B6885">
        <w:t xml:space="preserve"> v</w:t>
      </w:r>
      <w:r w:rsidR="001764BF" w:rsidRPr="006511C1">
        <w:t> </w:t>
      </w:r>
      <w:r w:rsidR="00BF5DF7" w:rsidRPr="006B6885">
        <w:t>3 kontrolovaných klinických skúšaniach v</w:t>
      </w:r>
      <w:r w:rsidR="001764BF" w:rsidRPr="006511C1">
        <w:t> </w:t>
      </w:r>
      <w:r w:rsidR="00BF5DF7" w:rsidRPr="006B6885">
        <w:t>trvaní 12 týždňov s</w:t>
      </w:r>
      <w:r w:rsidR="001764BF" w:rsidRPr="006511C1">
        <w:t> </w:t>
      </w:r>
      <w:r w:rsidR="00BF5DF7" w:rsidRPr="006B6885">
        <w:t xml:space="preserve">dávkovaním dvakrát denne (BID) alebo dávkovaním trikrát denne (TID). Celkové profily bezpečnosti </w:t>
      </w:r>
      <w:proofErr w:type="gramStart"/>
      <w:r w:rsidR="00BF5DF7" w:rsidRPr="006B6885">
        <w:t>a</w:t>
      </w:r>
      <w:proofErr w:type="gramEnd"/>
      <w:r w:rsidR="001764BF" w:rsidRPr="006511C1">
        <w:t> </w:t>
      </w:r>
      <w:r w:rsidR="00BF5DF7" w:rsidRPr="006B6885">
        <w:t>účinnosti pri dávkovacích režimoch</w:t>
      </w:r>
      <w:r w:rsidRPr="006B6885">
        <w:t xml:space="preserve"> BID a</w:t>
      </w:r>
      <w:r w:rsidR="001764BF" w:rsidRPr="006511C1">
        <w:t> </w:t>
      </w:r>
      <w:r w:rsidRPr="006B6885">
        <w:t>TID</w:t>
      </w:r>
      <w:r w:rsidR="00BF5DF7" w:rsidRPr="006B6885">
        <w:t xml:space="preserve"> boli podobné.</w:t>
      </w:r>
    </w:p>
    <w:p w14:paraId="02622FAA" w14:textId="77777777" w:rsidR="00D33288" w:rsidRPr="006B6885" w:rsidRDefault="00D33288" w:rsidP="00BF5DF7">
      <w:pPr>
        <w:numPr>
          <w:ilvl w:val="12"/>
          <w:numId w:val="0"/>
        </w:numPr>
        <w:ind w:right="-2"/>
      </w:pPr>
    </w:p>
    <w:p w14:paraId="0BCB2FC1" w14:textId="3548B78C" w:rsidR="00D33288" w:rsidRPr="006B6885" w:rsidRDefault="00BF5DF7" w:rsidP="00BF5DF7">
      <w:pPr>
        <w:numPr>
          <w:ilvl w:val="12"/>
          <w:numId w:val="0"/>
        </w:numPr>
        <w:ind w:right="-2"/>
      </w:pPr>
      <w:r w:rsidRPr="006B6885">
        <w:t xml:space="preserve">Zníženie frekvencie </w:t>
      </w:r>
      <w:r w:rsidR="00BC19F6" w:rsidRPr="006511C1">
        <w:t xml:space="preserve">epileptických </w:t>
      </w:r>
      <w:r w:rsidRPr="006B6885">
        <w:t>záchv</w:t>
      </w:r>
      <w:r w:rsidR="00D33288" w:rsidRPr="006B6885">
        <w:t xml:space="preserve">atov </w:t>
      </w:r>
      <w:proofErr w:type="gramStart"/>
      <w:r w:rsidR="00D33288" w:rsidRPr="006B6885">
        <w:t>sa</w:t>
      </w:r>
      <w:proofErr w:type="gramEnd"/>
      <w:r w:rsidR="00D33288" w:rsidRPr="006B6885">
        <w:t xml:space="preserve"> pozorovalo v</w:t>
      </w:r>
      <w:r w:rsidR="00CC5B40" w:rsidRPr="006511C1">
        <w:t> </w:t>
      </w:r>
      <w:r w:rsidR="00D33288" w:rsidRPr="006B6885">
        <w:t xml:space="preserve">1. </w:t>
      </w:r>
      <w:proofErr w:type="gramStart"/>
      <w:r w:rsidR="00D33288" w:rsidRPr="006B6885">
        <w:t>týždni</w:t>
      </w:r>
      <w:proofErr w:type="gramEnd"/>
      <w:r w:rsidR="00D33288" w:rsidRPr="006B6885">
        <w:t>.</w:t>
      </w:r>
    </w:p>
    <w:p w14:paraId="0CF3ABED" w14:textId="77777777" w:rsidR="00D33288" w:rsidRPr="006511C1" w:rsidRDefault="00D33288" w:rsidP="00BF5DF7">
      <w:pPr>
        <w:numPr>
          <w:ilvl w:val="12"/>
          <w:numId w:val="0"/>
        </w:numPr>
        <w:ind w:right="-2"/>
      </w:pPr>
    </w:p>
    <w:p w14:paraId="7B175F07" w14:textId="77777777" w:rsidR="00BC19F6" w:rsidRPr="006511C1" w:rsidRDefault="00BC19F6" w:rsidP="00BC19F6">
      <w:pPr>
        <w:numPr>
          <w:ilvl w:val="12"/>
          <w:numId w:val="0"/>
        </w:numPr>
        <w:ind w:right="-2"/>
        <w:rPr>
          <w:i/>
        </w:rPr>
      </w:pPr>
      <w:r w:rsidRPr="006511C1">
        <w:rPr>
          <w:i/>
        </w:rPr>
        <w:t>Pediatrická populácia</w:t>
      </w:r>
    </w:p>
    <w:p w14:paraId="4AA58C7A" w14:textId="77777777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 xml:space="preserve">Účinnosť a bezpečnosť pregabalínu ako doplnkovej liečby pri epilepsii u pediatrických pacientov mladších ako 12 rokov a dospievajúcich nebola stanovená. Nežiaduce udalosti pozorované </w:t>
      </w:r>
      <w:proofErr w:type="gramStart"/>
      <w:r w:rsidRPr="006511C1">
        <w:t>vo</w:t>
      </w:r>
      <w:proofErr w:type="gramEnd"/>
      <w:r w:rsidRPr="006511C1">
        <w:t xml:space="preserve"> farmakokinetickej štúdii a štúdii znášanlivosti, do ktorých boli zaradení pacienti vo veku od 3 mesiacov do 16 rokov (n = 65), boli podobné tým, ktoré sa pozorovali u dospelých. Výsledky 1</w:t>
      </w:r>
      <w:r w:rsidRPr="006511C1">
        <w:noBreakHyphen/>
        <w:t xml:space="preserve">ročnej otvorenej štúdie bezpečnosti u 54 pediatrických pacientov </w:t>
      </w:r>
      <w:proofErr w:type="gramStart"/>
      <w:r w:rsidRPr="006511C1">
        <w:t>vo</w:t>
      </w:r>
      <w:proofErr w:type="gramEnd"/>
      <w:r w:rsidRPr="006511C1">
        <w:t xml:space="preserve"> veku od 3 mesiacov do 16 rokov s epilepsiou naznačujú, že nežiaduce udalosti pyrexie a infekcií horných dýchacích ciest sa pozorovali častejšie ako v štúdiách u dospelých (pozri časti 4.2, 4.8 a 5.2).</w:t>
      </w:r>
    </w:p>
    <w:p w14:paraId="4C0AFDB6" w14:textId="77777777" w:rsidR="00BC19F6" w:rsidRPr="006B6885" w:rsidRDefault="00BC19F6" w:rsidP="00BF5DF7">
      <w:pPr>
        <w:numPr>
          <w:ilvl w:val="12"/>
          <w:numId w:val="0"/>
        </w:numPr>
        <w:ind w:right="-2"/>
      </w:pPr>
    </w:p>
    <w:p w14:paraId="5CB3FD57" w14:textId="77777777" w:rsidR="00BF5DF7" w:rsidRPr="006B6885" w:rsidRDefault="00BF5DF7" w:rsidP="00D33288">
      <w:pPr>
        <w:keepNext/>
        <w:numPr>
          <w:ilvl w:val="12"/>
          <w:numId w:val="0"/>
        </w:numPr>
        <w:ind w:right="-2"/>
        <w:rPr>
          <w:i/>
          <w:u w:val="single"/>
        </w:rPr>
      </w:pPr>
      <w:r w:rsidRPr="006B6885">
        <w:rPr>
          <w:i/>
          <w:u w:val="single"/>
        </w:rPr>
        <w:t>Monoterapia (novodiagnostikovaní pacienti)</w:t>
      </w:r>
    </w:p>
    <w:p w14:paraId="000AE4BA" w14:textId="03628058" w:rsidR="00BF5DF7" w:rsidRPr="006B6885" w:rsidRDefault="00D33288" w:rsidP="00BF5DF7">
      <w:pPr>
        <w:numPr>
          <w:ilvl w:val="12"/>
          <w:numId w:val="0"/>
        </w:numPr>
        <w:ind w:right="-2"/>
      </w:pPr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skúmal</w:t>
      </w:r>
      <w:r w:rsidR="00BF5DF7" w:rsidRPr="006B6885">
        <w:t xml:space="preserve"> v</w:t>
      </w:r>
      <w:r w:rsidR="00CC5B40" w:rsidRPr="006511C1">
        <w:t> </w:t>
      </w:r>
      <w:r w:rsidR="00BF5DF7" w:rsidRPr="006B6885">
        <w:t>1 kontrolovanom klinickom skúšaní v</w:t>
      </w:r>
      <w:r w:rsidR="00CC5B40" w:rsidRPr="006511C1">
        <w:t> </w:t>
      </w:r>
      <w:r w:rsidRPr="006B6885">
        <w:t xml:space="preserve">trvaní 56 týždňov s dávkovaním </w:t>
      </w:r>
      <w:r w:rsidR="00BF5DF7" w:rsidRPr="006B6885">
        <w:t xml:space="preserve">dvakrát denne (BID). Pregabalín nebol </w:t>
      </w:r>
      <w:r w:rsidR="00C86FC3" w:rsidRPr="006511C1">
        <w:t>menej účinný</w:t>
      </w:r>
      <w:r w:rsidR="00BF5DF7" w:rsidRPr="006B6885">
        <w:t xml:space="preserve"> oproti lamotrigínu, čo </w:t>
      </w:r>
      <w:proofErr w:type="gramStart"/>
      <w:r w:rsidR="00BF5DF7" w:rsidRPr="006B6885">
        <w:t>sa</w:t>
      </w:r>
      <w:proofErr w:type="gramEnd"/>
      <w:r w:rsidR="00BF5DF7" w:rsidRPr="006B6885">
        <w:t xml:space="preserve"> týka dosiahnutia 6-mesačného obdobia bez záchvatov na konci sledovania. Pregabalín a</w:t>
      </w:r>
      <w:r w:rsidR="00CC5B40" w:rsidRPr="006511C1">
        <w:t> </w:t>
      </w:r>
      <w:r w:rsidR="00BF5DF7" w:rsidRPr="006B6885">
        <w:t>lamotrigín boli pod</w:t>
      </w:r>
      <w:r w:rsidRPr="006B6885">
        <w:t>obne bezpečné a</w:t>
      </w:r>
      <w:r w:rsidR="00CC5B40" w:rsidRPr="006511C1">
        <w:t> </w:t>
      </w:r>
      <w:r w:rsidRPr="006B6885">
        <w:t>dobre znášané</w:t>
      </w:r>
      <w:r w:rsidR="00BF5DF7" w:rsidRPr="006B6885">
        <w:t>.</w:t>
      </w:r>
    </w:p>
    <w:p w14:paraId="3CF5592F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2B6B40F6" w14:textId="77777777" w:rsidR="00BF5DF7" w:rsidRPr="006B6885" w:rsidRDefault="00BF5DF7" w:rsidP="00D33288">
      <w:pPr>
        <w:keepNext/>
        <w:numPr>
          <w:ilvl w:val="12"/>
          <w:numId w:val="0"/>
        </w:numPr>
        <w:ind w:right="-2"/>
        <w:rPr>
          <w:i/>
        </w:rPr>
      </w:pPr>
      <w:r w:rsidRPr="006B6885">
        <w:rPr>
          <w:i/>
        </w:rPr>
        <w:t>Generalizovaná úzkostná porucha</w:t>
      </w:r>
    </w:p>
    <w:p w14:paraId="4CA7D929" w14:textId="4D742DD2" w:rsidR="00BF5DF7" w:rsidRPr="006B6885" w:rsidRDefault="009F11A8" w:rsidP="00BF5DF7">
      <w:pPr>
        <w:numPr>
          <w:ilvl w:val="12"/>
          <w:numId w:val="0"/>
        </w:numPr>
        <w:ind w:right="-2"/>
      </w:pPr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skúm</w:t>
      </w:r>
      <w:r w:rsidR="00BF5DF7" w:rsidRPr="006B6885">
        <w:t>al v</w:t>
      </w:r>
      <w:r w:rsidR="00CC5B40" w:rsidRPr="006511C1">
        <w:t> </w:t>
      </w:r>
      <w:r w:rsidR="00BF5DF7" w:rsidRPr="006B6885">
        <w:t>6 kontrolovaných klinických skúšaniach v</w:t>
      </w:r>
      <w:r w:rsidR="00CC5B40" w:rsidRPr="006511C1">
        <w:t> </w:t>
      </w:r>
      <w:r w:rsidR="00BF5DF7" w:rsidRPr="006B6885">
        <w:t>trvaní 4 – 6 týždňov, v</w:t>
      </w:r>
      <w:r w:rsidR="00CC5B40" w:rsidRPr="006511C1">
        <w:t> </w:t>
      </w:r>
      <w:r w:rsidR="00BF5DF7" w:rsidRPr="006B6885">
        <w:t>štúdii so staršími osobami v</w:t>
      </w:r>
      <w:r w:rsidR="00CC5B40" w:rsidRPr="006511C1">
        <w:t> </w:t>
      </w:r>
      <w:r w:rsidR="00BF5DF7" w:rsidRPr="006B6885">
        <w:t>trvaní 8 týždňov a</w:t>
      </w:r>
      <w:r w:rsidR="00CC5B40" w:rsidRPr="006511C1">
        <w:t> </w:t>
      </w:r>
      <w:r w:rsidR="00BF5DF7" w:rsidRPr="006B6885">
        <w:t>v</w:t>
      </w:r>
      <w:r w:rsidR="00CC5B40" w:rsidRPr="006511C1">
        <w:t> </w:t>
      </w:r>
      <w:r w:rsidR="00BF5DF7" w:rsidRPr="006B6885">
        <w:t>dlhodobej štúdii zameranej na prevenciu relapsu s</w:t>
      </w:r>
      <w:r w:rsidR="00CC5B40" w:rsidRPr="006511C1">
        <w:t> </w:t>
      </w:r>
      <w:r w:rsidR="00BF5DF7" w:rsidRPr="006B6885">
        <w:t>dvojito zaslepenou fázou zameranou na prevenciu relapsu v</w:t>
      </w:r>
      <w:r w:rsidR="00CC5B40" w:rsidRPr="006511C1">
        <w:t> </w:t>
      </w:r>
      <w:r w:rsidR="00BF5DF7" w:rsidRPr="006B6885">
        <w:t>trvaní 6 mesiacov.</w:t>
      </w:r>
    </w:p>
    <w:p w14:paraId="5E42D1C9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4476E855" w14:textId="7D0EA08F" w:rsidR="00BF5DF7" w:rsidRPr="006B6885" w:rsidRDefault="00BF5DF7" w:rsidP="00BF5DF7">
      <w:pPr>
        <w:numPr>
          <w:ilvl w:val="12"/>
          <w:numId w:val="0"/>
        </w:numPr>
        <w:ind w:right="-2"/>
      </w:pPr>
      <w:r w:rsidRPr="006B6885">
        <w:t>Ústup príznakov GAD vyjadrených Hamiltonovou</w:t>
      </w:r>
      <w:r w:rsidR="009F11A8" w:rsidRPr="006B6885">
        <w:t xml:space="preserve"> hodnotiacou</w:t>
      </w:r>
      <w:r w:rsidRPr="006B6885">
        <w:t xml:space="preserve"> škálou ú</w:t>
      </w:r>
      <w:r w:rsidR="009F11A8" w:rsidRPr="006B6885">
        <w:t>zkosti (Hamilton Anxiety Rating Scale,</w:t>
      </w:r>
      <w:r w:rsidRPr="006B6885">
        <w:t xml:space="preserve"> HAM-A) </w:t>
      </w:r>
      <w:proofErr w:type="gramStart"/>
      <w:r w:rsidRPr="006B6885">
        <w:t>sa</w:t>
      </w:r>
      <w:proofErr w:type="gramEnd"/>
      <w:r w:rsidRPr="006B6885">
        <w:t xml:space="preserve"> pozoroval v</w:t>
      </w:r>
      <w:r w:rsidR="00CC5B40" w:rsidRPr="006511C1">
        <w:t> </w:t>
      </w:r>
      <w:r w:rsidRPr="006B6885">
        <w:t xml:space="preserve">1. </w:t>
      </w:r>
      <w:proofErr w:type="gramStart"/>
      <w:r w:rsidRPr="006B6885">
        <w:t>týždni</w:t>
      </w:r>
      <w:proofErr w:type="gramEnd"/>
      <w:r w:rsidRPr="006B6885">
        <w:t>.</w:t>
      </w:r>
    </w:p>
    <w:p w14:paraId="20BBD654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611A1900" w14:textId="04560E87" w:rsidR="00BF5DF7" w:rsidRPr="006B6885" w:rsidRDefault="00BF5DF7" w:rsidP="00BF5DF7">
      <w:pPr>
        <w:numPr>
          <w:ilvl w:val="12"/>
          <w:numId w:val="0"/>
        </w:numPr>
        <w:ind w:right="-2"/>
      </w:pPr>
      <w:r w:rsidRPr="006B6885">
        <w:t>V</w:t>
      </w:r>
      <w:r w:rsidR="00CC5B40" w:rsidRPr="006511C1">
        <w:t> </w:t>
      </w:r>
      <w:r w:rsidRPr="006B6885">
        <w:t>kontrolovaných klinických s</w:t>
      </w:r>
      <w:r w:rsidR="009F11A8" w:rsidRPr="006B6885">
        <w:t>kúšaniach (v</w:t>
      </w:r>
      <w:r w:rsidR="00CC5B40" w:rsidRPr="006511C1">
        <w:t> </w:t>
      </w:r>
      <w:r w:rsidR="009F11A8" w:rsidRPr="006B6885">
        <w:t>trvaní 4 – 8 týždň</w:t>
      </w:r>
      <w:r w:rsidRPr="006B6885">
        <w:t>ov) 52</w:t>
      </w:r>
      <w:r w:rsidR="009F11A8" w:rsidRPr="006B6885">
        <w:t> </w:t>
      </w:r>
      <w:r w:rsidRPr="006B6885">
        <w:t>% pacientov liečených pregabalínom a</w:t>
      </w:r>
      <w:r w:rsidR="009F11A8" w:rsidRPr="006B6885">
        <w:t> </w:t>
      </w:r>
      <w:r w:rsidRPr="006B6885">
        <w:t>38</w:t>
      </w:r>
      <w:r w:rsidR="009F11A8" w:rsidRPr="006B6885">
        <w:t> </w:t>
      </w:r>
      <w:r w:rsidRPr="006B6885">
        <w:t>% pacientov v skupine s</w:t>
      </w:r>
      <w:r w:rsidR="00CC5B40" w:rsidRPr="006511C1">
        <w:t> </w:t>
      </w:r>
      <w:r w:rsidRPr="006B6885">
        <w:t>placebom malo aspoň 50</w:t>
      </w:r>
      <w:r w:rsidR="009F11A8" w:rsidRPr="006B6885">
        <w:t> </w:t>
      </w:r>
      <w:r w:rsidRPr="006B6885">
        <w:t xml:space="preserve">% zlepšenie celkového HAM-A skóre </w:t>
      </w:r>
      <w:proofErr w:type="gramStart"/>
      <w:r w:rsidRPr="006B6885">
        <w:t>od</w:t>
      </w:r>
      <w:proofErr w:type="gramEnd"/>
      <w:r w:rsidRPr="006B6885">
        <w:t xml:space="preserve"> začiatku až po koniec sledovania.</w:t>
      </w:r>
    </w:p>
    <w:p w14:paraId="413DEF97" w14:textId="77777777" w:rsidR="00BF5DF7" w:rsidRPr="006B6885" w:rsidRDefault="00BF5DF7" w:rsidP="00BF5DF7">
      <w:pPr>
        <w:numPr>
          <w:ilvl w:val="12"/>
          <w:numId w:val="0"/>
        </w:numPr>
        <w:ind w:right="-2"/>
      </w:pPr>
    </w:p>
    <w:p w14:paraId="001D3E7D" w14:textId="4A2B696C" w:rsidR="00BF5DF7" w:rsidRPr="006B6885" w:rsidRDefault="00BF5DF7" w:rsidP="00BF5DF7">
      <w:pPr>
        <w:numPr>
          <w:ilvl w:val="12"/>
          <w:numId w:val="0"/>
        </w:numPr>
        <w:ind w:right="-2"/>
      </w:pPr>
      <w:r w:rsidRPr="006B6885">
        <w:t>V</w:t>
      </w:r>
      <w:r w:rsidR="00CC5B40" w:rsidRPr="006511C1">
        <w:t> </w:t>
      </w:r>
      <w:r w:rsidRPr="006B6885">
        <w:t>kontrolovaných klinických skúšaniach hlásila väčšia časť pacientov liečených pregabalínom ako pacientov</w:t>
      </w:r>
      <w:r w:rsidR="00C32CDD" w:rsidRPr="006511C1">
        <w:t>, ktorí užívali placebo</w:t>
      </w:r>
      <w:r w:rsidRPr="006B6885">
        <w:t xml:space="preserve"> rozmazané videnie, ktoré </w:t>
      </w:r>
      <w:proofErr w:type="gramStart"/>
      <w:r w:rsidRPr="006B6885">
        <w:t>vo</w:t>
      </w:r>
      <w:proofErr w:type="gramEnd"/>
      <w:r w:rsidRPr="006B6885">
        <w:t xml:space="preserve"> väčšine prípadov ustúpilo pri pokračovaní v</w:t>
      </w:r>
      <w:r w:rsidR="00CC5B40" w:rsidRPr="006511C1">
        <w:t> </w:t>
      </w:r>
      <w:r w:rsidRPr="006B6885">
        <w:t>dávkovaní. Oftalmologické vyšetrenie (vrátane vyšetrenia zrakovej ostrosti, formálneho vyšetrenia zorného poľa a</w:t>
      </w:r>
      <w:r w:rsidR="00CC5B40" w:rsidRPr="006511C1">
        <w:t> </w:t>
      </w:r>
      <w:r w:rsidRPr="006B6885">
        <w:t>vyšetrenia očného pozadia pri rozšírených zre</w:t>
      </w:r>
      <w:r w:rsidR="00364097" w:rsidRPr="006B6885">
        <w:t xml:space="preserve">niciach) </w:t>
      </w:r>
      <w:proofErr w:type="gramStart"/>
      <w:r w:rsidR="00364097" w:rsidRPr="006B6885">
        <w:t>sa</w:t>
      </w:r>
      <w:proofErr w:type="gramEnd"/>
      <w:r w:rsidR="00364097" w:rsidRPr="006B6885">
        <w:t xml:space="preserve"> vykonalo u</w:t>
      </w:r>
      <w:r w:rsidR="00CC5B40" w:rsidRPr="006511C1">
        <w:t> </w:t>
      </w:r>
      <w:r w:rsidR="00364097" w:rsidRPr="006B6885">
        <w:t xml:space="preserve">viac ako </w:t>
      </w:r>
      <w:r w:rsidRPr="006B6885">
        <w:t>3</w:t>
      </w:r>
      <w:r w:rsidR="00364097" w:rsidRPr="006B6885">
        <w:t> </w:t>
      </w:r>
      <w:r w:rsidRPr="006B6885">
        <w:t>600 pacientov v</w:t>
      </w:r>
      <w:r w:rsidR="00CC5B40" w:rsidRPr="006511C1">
        <w:t> </w:t>
      </w:r>
      <w:r w:rsidRPr="006B6885">
        <w:t>rámci kontrolovaných klinických skúšaní. U</w:t>
      </w:r>
      <w:r w:rsidR="00CC5B40" w:rsidRPr="006511C1">
        <w:t> </w:t>
      </w:r>
      <w:r w:rsidRPr="006B6885">
        <w:t>týchto pacientov bola zraková ostrosť znížená u</w:t>
      </w:r>
      <w:r w:rsidR="00CC5B40" w:rsidRPr="006511C1">
        <w:t> </w:t>
      </w:r>
      <w:r w:rsidRPr="006B6885">
        <w:t>6</w:t>
      </w:r>
      <w:proofErr w:type="gramStart"/>
      <w:r w:rsidRPr="006B6885">
        <w:t>,5</w:t>
      </w:r>
      <w:proofErr w:type="gramEnd"/>
      <w:r w:rsidR="00364097" w:rsidRPr="006B6885">
        <w:t> </w:t>
      </w:r>
      <w:r w:rsidRPr="006B6885">
        <w:t>% pacientov liečených pregabalínom a</w:t>
      </w:r>
      <w:r w:rsidR="00CC5B40" w:rsidRPr="006511C1">
        <w:t> </w:t>
      </w:r>
      <w:r w:rsidRPr="006B6885">
        <w:t>4,8</w:t>
      </w:r>
      <w:r w:rsidR="00364097" w:rsidRPr="006B6885">
        <w:t> % pacientov užívajúcich placebo</w:t>
      </w:r>
      <w:r w:rsidRPr="006B6885">
        <w:t>. Zmeny zrakového poľa sa zistili u</w:t>
      </w:r>
      <w:r w:rsidR="00CC5B40" w:rsidRPr="006511C1">
        <w:t> </w:t>
      </w:r>
      <w:r w:rsidRPr="006B6885">
        <w:t>12</w:t>
      </w:r>
      <w:proofErr w:type="gramStart"/>
      <w:r w:rsidRPr="006B6885">
        <w:t>,4</w:t>
      </w:r>
      <w:proofErr w:type="gramEnd"/>
      <w:r w:rsidR="00364097" w:rsidRPr="006B6885">
        <w:t> </w:t>
      </w:r>
      <w:r w:rsidRPr="006B6885">
        <w:t>% pacientov liečených pregabalínom a</w:t>
      </w:r>
      <w:r w:rsidR="00CC5B40" w:rsidRPr="006511C1">
        <w:t> </w:t>
      </w:r>
      <w:r w:rsidRPr="006B6885">
        <w:t>11,7</w:t>
      </w:r>
      <w:r w:rsidR="00364097" w:rsidRPr="006B6885">
        <w:t> </w:t>
      </w:r>
      <w:r w:rsidRPr="006B6885">
        <w:t xml:space="preserve">% pacientov </w:t>
      </w:r>
      <w:r w:rsidR="00364097" w:rsidRPr="006B6885">
        <w:t>užívajúcich placebo</w:t>
      </w:r>
      <w:r w:rsidRPr="006B6885">
        <w:t>. Zmeny na očnom pozadí sa pozorovali u</w:t>
      </w:r>
      <w:r w:rsidR="00CC5B40" w:rsidRPr="006511C1">
        <w:t> </w:t>
      </w:r>
      <w:r w:rsidRPr="006B6885">
        <w:t>1</w:t>
      </w:r>
      <w:proofErr w:type="gramStart"/>
      <w:r w:rsidRPr="006B6885">
        <w:t>,7</w:t>
      </w:r>
      <w:proofErr w:type="gramEnd"/>
      <w:r w:rsidR="00364097" w:rsidRPr="006B6885">
        <w:t> </w:t>
      </w:r>
      <w:r w:rsidRPr="006B6885">
        <w:t>% pacientov liečených pregabalínom a</w:t>
      </w:r>
      <w:r w:rsidR="00CC5B40" w:rsidRPr="006511C1">
        <w:t> </w:t>
      </w:r>
      <w:r w:rsidRPr="006B6885">
        <w:t>2,1</w:t>
      </w:r>
      <w:r w:rsidR="00364097" w:rsidRPr="006B6885">
        <w:t> </w:t>
      </w:r>
      <w:r w:rsidRPr="006B6885">
        <w:t xml:space="preserve">% pacientov </w:t>
      </w:r>
      <w:r w:rsidR="00364097" w:rsidRPr="006B6885">
        <w:t>užívajúcich</w:t>
      </w:r>
      <w:r w:rsidRPr="006B6885">
        <w:t xml:space="preserve"> </w:t>
      </w:r>
      <w:r w:rsidRPr="006511C1">
        <w:t>placebo</w:t>
      </w:r>
      <w:r w:rsidRPr="006B6885">
        <w:t>.</w:t>
      </w:r>
    </w:p>
    <w:p w14:paraId="7CF2F196" w14:textId="77777777" w:rsidR="001F4901" w:rsidRPr="006B6885" w:rsidRDefault="001F4901">
      <w:pPr>
        <w:numPr>
          <w:ilvl w:val="12"/>
          <w:numId w:val="0"/>
        </w:numPr>
        <w:ind w:right="-2"/>
      </w:pPr>
    </w:p>
    <w:p w14:paraId="0F2AFFD5" w14:textId="77777777" w:rsidR="001F4901" w:rsidRPr="006B6885" w:rsidRDefault="001F4901" w:rsidP="008E37CB">
      <w:pPr>
        <w:keepNext/>
        <w:ind w:left="567" w:hanging="567"/>
        <w:outlineLvl w:val="0"/>
        <w:rPr>
          <w:b/>
        </w:rPr>
      </w:pPr>
      <w:r w:rsidRPr="006B6885">
        <w:rPr>
          <w:b/>
        </w:rPr>
        <w:t>5.2</w:t>
      </w:r>
      <w:r w:rsidRPr="006B6885">
        <w:rPr>
          <w:b/>
        </w:rPr>
        <w:tab/>
      </w:r>
      <w:r w:rsidR="00BA314B" w:rsidRPr="006B6885">
        <w:rPr>
          <w:b/>
        </w:rPr>
        <w:t>Farmakokinetické vlastnosti</w:t>
      </w:r>
    </w:p>
    <w:p w14:paraId="7FA5454C" w14:textId="77777777" w:rsidR="001F4901" w:rsidRPr="006B6885" w:rsidRDefault="001F4901" w:rsidP="008E37CB">
      <w:pPr>
        <w:keepNext/>
      </w:pPr>
    </w:p>
    <w:p w14:paraId="02607A49" w14:textId="018571CB" w:rsidR="00364097" w:rsidRPr="006B6885" w:rsidRDefault="00364097" w:rsidP="00364097">
      <w:r w:rsidRPr="006B6885">
        <w:t>Farmakokinetika pregabalínu v</w:t>
      </w:r>
      <w:r w:rsidR="00CC5B40" w:rsidRPr="006511C1">
        <w:t> </w:t>
      </w:r>
      <w:r w:rsidRPr="006B6885">
        <w:t>rovnovážnom stave je podobná u</w:t>
      </w:r>
      <w:r w:rsidR="00CC5B40" w:rsidRPr="006511C1">
        <w:t> </w:t>
      </w:r>
      <w:r w:rsidRPr="006B6885">
        <w:t>zdravých dobrovoľníkov, pacientov s</w:t>
      </w:r>
      <w:r w:rsidR="00CC5B40" w:rsidRPr="006511C1">
        <w:t> </w:t>
      </w:r>
      <w:r w:rsidRPr="006B6885">
        <w:t>epilepsiou užívajúcich antiepileptiká a</w:t>
      </w:r>
      <w:r w:rsidR="00CC5B40" w:rsidRPr="006511C1">
        <w:t> </w:t>
      </w:r>
      <w:r w:rsidRPr="006B6885">
        <w:t>pacientov s</w:t>
      </w:r>
      <w:r w:rsidR="00CC5B40" w:rsidRPr="006511C1">
        <w:t> </w:t>
      </w:r>
      <w:r w:rsidRPr="006B6885">
        <w:t>chronickou bolesťou.</w:t>
      </w:r>
    </w:p>
    <w:p w14:paraId="4A3FF7CB" w14:textId="77777777" w:rsidR="00364097" w:rsidRPr="006B6885" w:rsidRDefault="00364097" w:rsidP="00364097"/>
    <w:p w14:paraId="13120636" w14:textId="77777777" w:rsidR="005457F5" w:rsidRPr="006B6885" w:rsidRDefault="005457F5" w:rsidP="00621D63">
      <w:pPr>
        <w:keepNext/>
        <w:numPr>
          <w:ilvl w:val="12"/>
          <w:numId w:val="0"/>
        </w:numPr>
        <w:ind w:right="-2"/>
      </w:pPr>
      <w:r w:rsidRPr="006B6885">
        <w:rPr>
          <w:u w:val="single"/>
        </w:rPr>
        <w:t>Absorpcia</w:t>
      </w:r>
    </w:p>
    <w:p w14:paraId="3584F978" w14:textId="6789A60D" w:rsidR="005457F5" w:rsidRPr="006B6885" w:rsidRDefault="00364097" w:rsidP="00364097">
      <w:pPr>
        <w:numPr>
          <w:ilvl w:val="12"/>
          <w:numId w:val="0"/>
        </w:numPr>
        <w:ind w:right="-2"/>
      </w:pPr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pri podaní nalačno rýchlo vstrebáva, maximálne plazmatické koncentrácie sa dosiahnu do 1 hodiny po podaní jednorazovej aj viacnásobnej dávky. Biologická dostupnosť pregabalínu po perorálnom podaní </w:t>
      </w:r>
      <w:proofErr w:type="gramStart"/>
      <w:r w:rsidRPr="006B6885">
        <w:t>sa</w:t>
      </w:r>
      <w:proofErr w:type="gramEnd"/>
      <w:r w:rsidRPr="006B6885">
        <w:t xml:space="preserve"> odhaduje na </w:t>
      </w:r>
      <w:r w:rsidR="0045167F" w:rsidRPr="006B6885">
        <w:t>≥ </w:t>
      </w:r>
      <w:r w:rsidRPr="006B6885">
        <w:t>90</w:t>
      </w:r>
      <w:r w:rsidR="0045167F" w:rsidRPr="006B6885">
        <w:t> </w:t>
      </w:r>
      <w:r w:rsidRPr="006B6885">
        <w:t>% a</w:t>
      </w:r>
      <w:r w:rsidR="00CC5B40" w:rsidRPr="006511C1">
        <w:t> </w:t>
      </w:r>
      <w:r w:rsidRPr="006B6885">
        <w:t xml:space="preserve">je nezávislá na dávke. Po opakovanom podaní </w:t>
      </w:r>
      <w:proofErr w:type="gramStart"/>
      <w:r w:rsidRPr="006B6885">
        <w:t>sa</w:t>
      </w:r>
      <w:proofErr w:type="gramEnd"/>
      <w:r w:rsidRPr="006B6885">
        <w:t xml:space="preserve"> rovnovážny stav dosiahne počas 24 až 48 hodín. Rýchlosť absorpcie pregabalínu sa zníži, keď sa </w:t>
      </w:r>
      <w:r w:rsidRPr="006B6885">
        <w:lastRenderedPageBreak/>
        <w:t>podáva s</w:t>
      </w:r>
      <w:r w:rsidR="00CC5B40" w:rsidRPr="006511C1">
        <w:t> </w:t>
      </w:r>
      <w:r w:rsidRPr="006B6885">
        <w:t>jedlom, čo sa prejaví poklesom C</w:t>
      </w:r>
      <w:r w:rsidRPr="006B6885">
        <w:rPr>
          <w:vertAlign w:val="subscript"/>
        </w:rPr>
        <w:t>max</w:t>
      </w:r>
      <w:r w:rsidRPr="006B6885">
        <w:t xml:space="preserve"> približne o</w:t>
      </w:r>
      <w:r w:rsidR="00CC5B40" w:rsidRPr="006511C1">
        <w:t> </w:t>
      </w:r>
      <w:r w:rsidRPr="006B6885">
        <w:t>25 – 30</w:t>
      </w:r>
      <w:r w:rsidR="00C4721A" w:rsidRPr="006B6885">
        <w:t> </w:t>
      </w:r>
      <w:r w:rsidRPr="006B6885">
        <w:t>% a predĺžením t</w:t>
      </w:r>
      <w:r w:rsidRPr="006B6885">
        <w:rPr>
          <w:vertAlign w:val="subscript"/>
        </w:rPr>
        <w:t>max</w:t>
      </w:r>
      <w:r w:rsidRPr="006B6885">
        <w:t xml:space="preserve"> na približne 2</w:t>
      </w:r>
      <w:proofErr w:type="gramStart"/>
      <w:r w:rsidRPr="006B6885">
        <w:t>,5</w:t>
      </w:r>
      <w:proofErr w:type="gramEnd"/>
      <w:r w:rsidRPr="006B6885">
        <w:t xml:space="preserve"> </w:t>
      </w:r>
      <w:r w:rsidR="00621D63" w:rsidRPr="006B6885">
        <w:t>hodiny. P</w:t>
      </w:r>
      <w:r w:rsidRPr="006B6885">
        <w:t>odávanie pregabalínu s</w:t>
      </w:r>
      <w:r w:rsidR="00621D63" w:rsidRPr="006B6885">
        <w:t> </w:t>
      </w:r>
      <w:r w:rsidRPr="006B6885">
        <w:t>jedlom</w:t>
      </w:r>
      <w:r w:rsidR="00621D63" w:rsidRPr="006B6885">
        <w:t xml:space="preserve"> však</w:t>
      </w:r>
      <w:r w:rsidRPr="006B6885">
        <w:t xml:space="preserve"> nemá klinicky signifikantný účinok </w:t>
      </w:r>
      <w:proofErr w:type="gramStart"/>
      <w:r w:rsidRPr="006B6885">
        <w:t>na</w:t>
      </w:r>
      <w:proofErr w:type="gramEnd"/>
      <w:r w:rsidRPr="006B6885">
        <w:t xml:space="preserve"> mieru absorpcie pregabalínu.</w:t>
      </w:r>
    </w:p>
    <w:p w14:paraId="49633EBE" w14:textId="77777777" w:rsidR="005457F5" w:rsidRPr="006B6885" w:rsidRDefault="005457F5" w:rsidP="005457F5">
      <w:pPr>
        <w:numPr>
          <w:ilvl w:val="12"/>
          <w:numId w:val="0"/>
        </w:numPr>
        <w:ind w:right="-2"/>
      </w:pPr>
    </w:p>
    <w:p w14:paraId="7F6AEA2B" w14:textId="77777777" w:rsidR="005457F5" w:rsidRPr="006B6885" w:rsidRDefault="005457F5" w:rsidP="00621D63">
      <w:pPr>
        <w:keepNext/>
        <w:numPr>
          <w:ilvl w:val="12"/>
          <w:numId w:val="0"/>
        </w:numPr>
        <w:ind w:right="-2"/>
      </w:pPr>
      <w:r w:rsidRPr="006B6885">
        <w:rPr>
          <w:u w:val="single"/>
        </w:rPr>
        <w:t>Distribúcia</w:t>
      </w:r>
    </w:p>
    <w:p w14:paraId="43A66A15" w14:textId="7FD9A08B" w:rsidR="005457F5" w:rsidRPr="006B6885" w:rsidRDefault="0045167F" w:rsidP="0045167F">
      <w:pPr>
        <w:numPr>
          <w:ilvl w:val="12"/>
          <w:numId w:val="0"/>
        </w:numPr>
        <w:ind w:right="-2"/>
      </w:pPr>
      <w:r w:rsidRPr="006B6885">
        <w:t>V</w:t>
      </w:r>
      <w:r w:rsidR="00CC5B40" w:rsidRPr="006511C1">
        <w:t> </w:t>
      </w:r>
      <w:r w:rsidRPr="006B6885">
        <w:t xml:space="preserve">predklinických štúdiách </w:t>
      </w:r>
      <w:proofErr w:type="gramStart"/>
      <w:r w:rsidRPr="006B6885">
        <w:t>sa</w:t>
      </w:r>
      <w:proofErr w:type="gramEnd"/>
      <w:r w:rsidRPr="006B6885">
        <w:t xml:space="preserve"> potvrdil prienik pregabalínu cez hematoencefalickú bariéru u</w:t>
      </w:r>
      <w:r w:rsidR="00CC5B40" w:rsidRPr="006511C1">
        <w:t> </w:t>
      </w:r>
      <w:r w:rsidRPr="006B6885">
        <w:t>myší, potkanov a opíc. Bolo dokázané, že pregabalín prechádza cez pl</w:t>
      </w:r>
      <w:r w:rsidR="00621D63" w:rsidRPr="006B6885">
        <w:t>acentu u</w:t>
      </w:r>
      <w:r w:rsidR="00CC5B40" w:rsidRPr="006511C1">
        <w:t> </w:t>
      </w:r>
      <w:r w:rsidR="00621D63" w:rsidRPr="006B6885">
        <w:t>potkanov a</w:t>
      </w:r>
      <w:r w:rsidR="00CC5B40" w:rsidRPr="006511C1">
        <w:t> </w:t>
      </w:r>
      <w:r w:rsidR="00621D63" w:rsidRPr="006B6885">
        <w:t xml:space="preserve">nachádza </w:t>
      </w:r>
      <w:proofErr w:type="gramStart"/>
      <w:r w:rsidR="00621D63" w:rsidRPr="006B6885">
        <w:t>sa</w:t>
      </w:r>
      <w:proofErr w:type="gramEnd"/>
      <w:r w:rsidR="00621D63" w:rsidRPr="006B6885">
        <w:t xml:space="preserve"> v</w:t>
      </w:r>
      <w:r w:rsidR="00CC5B40" w:rsidRPr="006511C1">
        <w:t> </w:t>
      </w:r>
      <w:r w:rsidR="00621D63" w:rsidRPr="006B6885">
        <w:t>mlieku dojčia</w:t>
      </w:r>
      <w:r w:rsidRPr="006B6885">
        <w:t>cich potkanov. U</w:t>
      </w:r>
      <w:r w:rsidR="00CC5B40" w:rsidRPr="006511C1">
        <w:t> </w:t>
      </w:r>
      <w:r w:rsidRPr="006B6885">
        <w:t>človeka je zdanlivý distribučný objem pregabalínu po perorálnom podaní približne 0</w:t>
      </w:r>
      <w:proofErr w:type="gramStart"/>
      <w:r w:rsidRPr="006B6885">
        <w:t>,56</w:t>
      </w:r>
      <w:proofErr w:type="gramEnd"/>
      <w:r w:rsidR="00621D63" w:rsidRPr="006B6885">
        <w:t> </w:t>
      </w:r>
      <w:r w:rsidRPr="006B6885">
        <w:t xml:space="preserve">l/kg. Pregabalín </w:t>
      </w:r>
      <w:proofErr w:type="gramStart"/>
      <w:r w:rsidRPr="006B6885">
        <w:t>sa</w:t>
      </w:r>
      <w:proofErr w:type="gramEnd"/>
      <w:r w:rsidRPr="006B6885">
        <w:t xml:space="preserve"> neviaže na plazmatické proteíny.</w:t>
      </w:r>
    </w:p>
    <w:p w14:paraId="62408836" w14:textId="77777777" w:rsidR="005457F5" w:rsidRPr="006B6885" w:rsidRDefault="005457F5" w:rsidP="005457F5">
      <w:pPr>
        <w:numPr>
          <w:ilvl w:val="12"/>
          <w:numId w:val="0"/>
        </w:numPr>
        <w:ind w:right="-2"/>
      </w:pPr>
    </w:p>
    <w:p w14:paraId="60B65EA0" w14:textId="77777777" w:rsidR="005457F5" w:rsidRPr="006B6885" w:rsidRDefault="005457F5" w:rsidP="00621D63">
      <w:pPr>
        <w:keepNext/>
        <w:numPr>
          <w:ilvl w:val="12"/>
          <w:numId w:val="0"/>
        </w:numPr>
        <w:ind w:right="-2"/>
      </w:pPr>
      <w:r w:rsidRPr="006B6885">
        <w:rPr>
          <w:u w:val="single"/>
        </w:rPr>
        <w:t>Biotransformácia</w:t>
      </w:r>
    </w:p>
    <w:p w14:paraId="4F590640" w14:textId="48CE893C" w:rsidR="005457F5" w:rsidRPr="006B6885" w:rsidRDefault="0045167F" w:rsidP="0045167F">
      <w:pPr>
        <w:numPr>
          <w:ilvl w:val="12"/>
          <w:numId w:val="0"/>
        </w:numPr>
        <w:ind w:right="-2"/>
      </w:pPr>
      <w:r w:rsidRPr="006B6885">
        <w:t>Pregabalín u</w:t>
      </w:r>
      <w:r w:rsidR="00CC5B40" w:rsidRPr="006511C1">
        <w:t> </w:t>
      </w:r>
      <w:r w:rsidRPr="006B6885">
        <w:t>človeka podlieha zanedbateľnému metabolizmu. Po podaní dávky rádionuklidom značeného pregabalínu</w:t>
      </w:r>
      <w:r w:rsidR="00621D63" w:rsidRPr="006B6885">
        <w:t>,</w:t>
      </w:r>
      <w:r w:rsidRPr="006B6885">
        <w:t xml:space="preserve"> približne 98</w:t>
      </w:r>
      <w:r w:rsidR="00621D63" w:rsidRPr="006B6885">
        <w:t> </w:t>
      </w:r>
      <w:r w:rsidRPr="006B6885">
        <w:t>% rádioaktivity stanovenej v</w:t>
      </w:r>
      <w:r w:rsidR="00CC5B40" w:rsidRPr="006511C1">
        <w:t> </w:t>
      </w:r>
      <w:r w:rsidRPr="006B6885">
        <w:t>moči predstavoval nezmenený pregabalín. N-metylovaný derivát pregabalínu, hlavný metabolit p</w:t>
      </w:r>
      <w:r w:rsidR="00621D63" w:rsidRPr="006B6885">
        <w:t>regabalínu v</w:t>
      </w:r>
      <w:r w:rsidR="00CC5B40" w:rsidRPr="006511C1">
        <w:t> </w:t>
      </w:r>
      <w:r w:rsidR="00621D63" w:rsidRPr="006B6885">
        <w:t xml:space="preserve">moči, predstavoval </w:t>
      </w:r>
      <w:r w:rsidRPr="006B6885">
        <w:t>0</w:t>
      </w:r>
      <w:proofErr w:type="gramStart"/>
      <w:r w:rsidRPr="006B6885">
        <w:t>,9</w:t>
      </w:r>
      <w:proofErr w:type="gramEnd"/>
      <w:r w:rsidR="00621D63" w:rsidRPr="006B6885">
        <w:t> </w:t>
      </w:r>
      <w:r w:rsidRPr="006B6885">
        <w:t>%</w:t>
      </w:r>
      <w:r w:rsidR="00621D63" w:rsidRPr="006B6885">
        <w:t xml:space="preserve"> dávky</w:t>
      </w:r>
      <w:r w:rsidRPr="006B6885">
        <w:t>. V</w:t>
      </w:r>
      <w:r w:rsidR="00CC5B40" w:rsidRPr="006511C1">
        <w:t> </w:t>
      </w:r>
      <w:r w:rsidRPr="006B6885">
        <w:t>pred</w:t>
      </w:r>
      <w:r w:rsidR="00621D63" w:rsidRPr="006B6885">
        <w:t xml:space="preserve">klinických štúdiách </w:t>
      </w:r>
      <w:proofErr w:type="gramStart"/>
      <w:r w:rsidR="00621D63" w:rsidRPr="006B6885">
        <w:t>sa</w:t>
      </w:r>
      <w:proofErr w:type="gramEnd"/>
      <w:r w:rsidR="00621D63" w:rsidRPr="006B6885">
        <w:t xml:space="preserve"> nezistil žiadny náznak racemizácie S-enantioméru pregabalínu na R-enant</w:t>
      </w:r>
      <w:r w:rsidRPr="006B6885">
        <w:t>iomér.</w:t>
      </w:r>
    </w:p>
    <w:p w14:paraId="2551B532" w14:textId="77777777" w:rsidR="005457F5" w:rsidRPr="006B6885" w:rsidRDefault="005457F5" w:rsidP="005457F5">
      <w:pPr>
        <w:numPr>
          <w:ilvl w:val="12"/>
          <w:numId w:val="0"/>
        </w:numPr>
        <w:ind w:right="-2"/>
      </w:pPr>
    </w:p>
    <w:p w14:paraId="4AA100E0" w14:textId="77777777" w:rsidR="005457F5" w:rsidRPr="006B6885" w:rsidRDefault="005457F5" w:rsidP="00031FEC">
      <w:pPr>
        <w:keepNext/>
        <w:numPr>
          <w:ilvl w:val="12"/>
          <w:numId w:val="0"/>
        </w:numPr>
        <w:ind w:right="-2"/>
      </w:pPr>
      <w:r w:rsidRPr="006B6885">
        <w:rPr>
          <w:u w:val="single"/>
        </w:rPr>
        <w:t>Eliminácia</w:t>
      </w:r>
    </w:p>
    <w:p w14:paraId="1DAB76AE" w14:textId="387DAEEF" w:rsidR="005457F5" w:rsidRPr="006B6885" w:rsidRDefault="0045167F" w:rsidP="0045167F">
      <w:pPr>
        <w:numPr>
          <w:ilvl w:val="12"/>
          <w:numId w:val="0"/>
        </w:numPr>
        <w:ind w:right="-2"/>
      </w:pPr>
      <w:r w:rsidRPr="006B6885">
        <w:t xml:space="preserve">Pregabalín </w:t>
      </w:r>
      <w:proofErr w:type="gramStart"/>
      <w:r w:rsidRPr="006B6885">
        <w:t>sa</w:t>
      </w:r>
      <w:proofErr w:type="gramEnd"/>
      <w:r w:rsidRPr="006B6885">
        <w:t xml:space="preserve"> eliminuje zo systémovej cirkulácie primárne renálnou exkréciou v</w:t>
      </w:r>
      <w:r w:rsidR="00CC5B40" w:rsidRPr="006511C1">
        <w:t> </w:t>
      </w:r>
      <w:r w:rsidRPr="006B6885">
        <w:t>nezmenenej forme. Priemerný eliminačný polčas</w:t>
      </w:r>
      <w:r w:rsidR="00621D63" w:rsidRPr="006B6885">
        <w:t xml:space="preserve"> pregabalínu</w:t>
      </w:r>
      <w:r w:rsidRPr="006B6885">
        <w:t xml:space="preserve"> je 6</w:t>
      </w:r>
      <w:proofErr w:type="gramStart"/>
      <w:r w:rsidRPr="006B6885">
        <w:t>,3</w:t>
      </w:r>
      <w:proofErr w:type="gramEnd"/>
      <w:r w:rsidRPr="006B6885">
        <w:t xml:space="preserve"> hodiny. Plazmatický klírens a</w:t>
      </w:r>
      <w:r w:rsidR="00CC5B40" w:rsidRPr="006511C1">
        <w:t> </w:t>
      </w:r>
      <w:r w:rsidRPr="006B6885">
        <w:t>renálny klírens pregabalínu sú priamo úmerné klírensu kreat</w:t>
      </w:r>
      <w:r w:rsidR="00065FE2" w:rsidRPr="006B6885">
        <w:t xml:space="preserve">inínu (pozri časť 5.2 Porucha funkcie obličiek). </w:t>
      </w:r>
      <w:r w:rsidRPr="006B6885">
        <w:t>Je potrebné upraviť dávku u</w:t>
      </w:r>
      <w:r w:rsidR="00CC5B40" w:rsidRPr="006511C1">
        <w:t> </w:t>
      </w:r>
      <w:r w:rsidRPr="006B6885">
        <w:t>pacient</w:t>
      </w:r>
      <w:r w:rsidR="00065FE2" w:rsidRPr="006B6885">
        <w:t>ov so zníženou funkciou obličiek</w:t>
      </w:r>
      <w:r w:rsidRPr="006B6885">
        <w:t xml:space="preserve"> alebo u</w:t>
      </w:r>
      <w:r w:rsidR="00CC5B40" w:rsidRPr="006511C1">
        <w:t> </w:t>
      </w:r>
      <w:r w:rsidRPr="006B6885">
        <w:t>hemodialyzovaných pacientov (pozri časť 4.2 Tabuľka 1).</w:t>
      </w:r>
    </w:p>
    <w:p w14:paraId="55F4BADD" w14:textId="77777777" w:rsidR="005457F5" w:rsidRPr="006B6885" w:rsidRDefault="005457F5" w:rsidP="005457F5">
      <w:pPr>
        <w:numPr>
          <w:ilvl w:val="12"/>
          <w:numId w:val="0"/>
        </w:numPr>
        <w:ind w:right="-2"/>
      </w:pPr>
    </w:p>
    <w:p w14:paraId="28B19F55" w14:textId="77777777" w:rsidR="005457F5" w:rsidRPr="006B6885" w:rsidRDefault="0045167F" w:rsidP="00031FEC">
      <w:pPr>
        <w:keepNext/>
        <w:numPr>
          <w:ilvl w:val="12"/>
          <w:numId w:val="0"/>
        </w:numPr>
        <w:ind w:right="-2"/>
      </w:pPr>
      <w:r w:rsidRPr="006B6885">
        <w:rPr>
          <w:u w:val="single"/>
        </w:rPr>
        <w:t>Linearita/nelinearita</w:t>
      </w:r>
    </w:p>
    <w:p w14:paraId="413A3AB3" w14:textId="279EB4B0" w:rsidR="005457F5" w:rsidRPr="006B6885" w:rsidRDefault="0045167F" w:rsidP="005457F5">
      <w:pPr>
        <w:numPr>
          <w:ilvl w:val="12"/>
          <w:numId w:val="0"/>
        </w:numPr>
        <w:ind w:right="-2"/>
      </w:pPr>
      <w:r w:rsidRPr="006B6885">
        <w:t>Farmakokinetika pregabalínu je lineárna v</w:t>
      </w:r>
      <w:r w:rsidR="00CC5B40" w:rsidRPr="006511C1">
        <w:t> </w:t>
      </w:r>
      <w:r w:rsidRPr="006B6885">
        <w:t>odporúčanom rozsahu denných dávok. Interindiv</w:t>
      </w:r>
      <w:r w:rsidR="00065FE2" w:rsidRPr="006B6885">
        <w:t>i</w:t>
      </w:r>
      <w:r w:rsidRPr="006B6885">
        <w:t>duálna farmakokinetická variabilita pregabalínu je nízka (&lt;</w:t>
      </w:r>
      <w:r w:rsidR="00065FE2" w:rsidRPr="006B6885">
        <w:t> </w:t>
      </w:r>
      <w:r w:rsidRPr="006B6885">
        <w:t>20</w:t>
      </w:r>
      <w:r w:rsidR="00065FE2" w:rsidRPr="006B6885">
        <w:t> </w:t>
      </w:r>
      <w:r w:rsidRPr="006B6885">
        <w:t>%). Farmakokinetiku pri opakovaných dávkach možno</w:t>
      </w:r>
      <w:r w:rsidR="00065FE2" w:rsidRPr="006B6885">
        <w:t xml:space="preserve"> predpovedať z</w:t>
      </w:r>
      <w:r w:rsidR="00CC5B40" w:rsidRPr="006511C1">
        <w:t> </w:t>
      </w:r>
      <w:r w:rsidR="00065FE2" w:rsidRPr="006B6885">
        <w:t>údajov pri jednorazovej</w:t>
      </w:r>
      <w:r w:rsidRPr="006B6885">
        <w:t xml:space="preserve"> dá</w:t>
      </w:r>
      <w:r w:rsidR="00065FE2" w:rsidRPr="006B6885">
        <w:t>vke. Preto nie je potrebné rutinné</w:t>
      </w:r>
      <w:r w:rsidRPr="006B6885">
        <w:t xml:space="preserve"> monitorovanie plazmatických koncentrácií pregabalínu.</w:t>
      </w:r>
    </w:p>
    <w:p w14:paraId="71EAAF0E" w14:textId="77777777" w:rsidR="0045167F" w:rsidRPr="006B6885" w:rsidRDefault="0045167F" w:rsidP="005457F5">
      <w:pPr>
        <w:numPr>
          <w:ilvl w:val="12"/>
          <w:numId w:val="0"/>
        </w:numPr>
        <w:ind w:right="-2"/>
      </w:pPr>
    </w:p>
    <w:p w14:paraId="534A979B" w14:textId="77777777" w:rsidR="0045167F" w:rsidRPr="006B6885" w:rsidRDefault="0045167F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B6885">
        <w:rPr>
          <w:u w:val="single"/>
        </w:rPr>
        <w:t>Pohlavie</w:t>
      </w:r>
    </w:p>
    <w:p w14:paraId="6FA70852" w14:textId="77777777" w:rsidR="0045167F" w:rsidRPr="006B6885" w:rsidRDefault="0045167F" w:rsidP="0045167F">
      <w:pPr>
        <w:numPr>
          <w:ilvl w:val="12"/>
          <w:numId w:val="0"/>
        </w:numPr>
        <w:ind w:right="-2"/>
      </w:pPr>
      <w:r w:rsidRPr="006B6885">
        <w:t xml:space="preserve">Klinické skúšania potvrdili, že pohlavie nemá klinicky signifikantný vplyv </w:t>
      </w:r>
      <w:proofErr w:type="gramStart"/>
      <w:r w:rsidRPr="006B6885">
        <w:t>na</w:t>
      </w:r>
      <w:proofErr w:type="gramEnd"/>
      <w:r w:rsidRPr="006B6885">
        <w:t xml:space="preserve"> plazmatické koncentrácie pregabalínu.</w:t>
      </w:r>
    </w:p>
    <w:p w14:paraId="75F72B05" w14:textId="77777777" w:rsidR="0045167F" w:rsidRPr="006B6885" w:rsidRDefault="0045167F" w:rsidP="0045167F">
      <w:pPr>
        <w:numPr>
          <w:ilvl w:val="12"/>
          <w:numId w:val="0"/>
        </w:numPr>
        <w:ind w:right="-2"/>
      </w:pPr>
    </w:p>
    <w:p w14:paraId="263A5AF9" w14:textId="77777777" w:rsidR="0045167F" w:rsidRPr="006B6885" w:rsidRDefault="00065FE2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B6885">
        <w:rPr>
          <w:u w:val="single"/>
        </w:rPr>
        <w:t>Porucha</w:t>
      </w:r>
      <w:r w:rsidR="0045167F" w:rsidRPr="006B6885">
        <w:rPr>
          <w:u w:val="single"/>
        </w:rPr>
        <w:t xml:space="preserve"> funkcie obličiek</w:t>
      </w:r>
    </w:p>
    <w:p w14:paraId="27C0DB8C" w14:textId="40836B3C" w:rsidR="0045167F" w:rsidRPr="006B6885" w:rsidRDefault="0045167F" w:rsidP="0045167F">
      <w:pPr>
        <w:numPr>
          <w:ilvl w:val="12"/>
          <w:numId w:val="0"/>
        </w:numPr>
        <w:ind w:right="-2"/>
      </w:pPr>
      <w:r w:rsidRPr="006B6885">
        <w:t xml:space="preserve">Klírens pregabalínu je priamo úmerný klírensu kreatinínu. Okrem toho </w:t>
      </w:r>
      <w:proofErr w:type="gramStart"/>
      <w:r w:rsidRPr="006B6885">
        <w:t>sa</w:t>
      </w:r>
      <w:proofErr w:type="gramEnd"/>
      <w:r w:rsidRPr="006B6885">
        <w:t xml:space="preserve"> pregabalín účinne odstraňuje z</w:t>
      </w:r>
      <w:r w:rsidR="00CC5B40" w:rsidRPr="006511C1">
        <w:t> </w:t>
      </w:r>
      <w:r w:rsidRPr="006B6885">
        <w:t>plazmy hemodialýzou (po 4-hodinovej hemodialýze klesnú plazmatické koncentrácie pregabalínu asi o</w:t>
      </w:r>
      <w:r w:rsidR="00065FE2" w:rsidRPr="006B6885">
        <w:t> </w:t>
      </w:r>
      <w:r w:rsidRPr="006B6885">
        <w:t>50</w:t>
      </w:r>
      <w:r w:rsidR="00065FE2" w:rsidRPr="006B6885">
        <w:t> </w:t>
      </w:r>
      <w:r w:rsidRPr="006B6885">
        <w:t xml:space="preserve">%). Vzhľadom </w:t>
      </w:r>
      <w:proofErr w:type="gramStart"/>
      <w:r w:rsidRPr="006B6885">
        <w:t>na</w:t>
      </w:r>
      <w:proofErr w:type="gramEnd"/>
      <w:r w:rsidRPr="006B6885">
        <w:t xml:space="preserve"> to, že eliminácia obličkami je</w:t>
      </w:r>
      <w:r w:rsidR="00065FE2" w:rsidRPr="006B6885">
        <w:t xml:space="preserve"> hlavným spôsobom eliminácie, u</w:t>
      </w:r>
      <w:r w:rsidR="00CC5B40" w:rsidRPr="006511C1">
        <w:t> </w:t>
      </w:r>
      <w:r w:rsidR="00065FE2" w:rsidRPr="006B6885">
        <w:t>pacientov s</w:t>
      </w:r>
      <w:r w:rsidR="00CC5B40" w:rsidRPr="006511C1">
        <w:t> </w:t>
      </w:r>
      <w:r w:rsidR="00065FE2" w:rsidRPr="006B6885">
        <w:t>poruchou funkcie obličiek je</w:t>
      </w:r>
      <w:r w:rsidRPr="006B6885">
        <w:t xml:space="preserve"> potrebné zníženi</w:t>
      </w:r>
      <w:r w:rsidR="00065FE2" w:rsidRPr="006B6885">
        <w:t xml:space="preserve">e dávky </w:t>
      </w:r>
      <w:r w:rsidRPr="006B6885">
        <w:t>a</w:t>
      </w:r>
      <w:r w:rsidR="00CC5B40" w:rsidRPr="006511C1">
        <w:t> </w:t>
      </w:r>
      <w:r w:rsidRPr="006B6885">
        <w:t>doplnková dávka po hemodialýze (pozri časť 4.2 Tabuľka 1).</w:t>
      </w:r>
    </w:p>
    <w:p w14:paraId="2CB36293" w14:textId="77777777" w:rsidR="0045167F" w:rsidRPr="006B6885" w:rsidRDefault="0045167F" w:rsidP="0045167F">
      <w:pPr>
        <w:numPr>
          <w:ilvl w:val="12"/>
          <w:numId w:val="0"/>
        </w:numPr>
        <w:ind w:right="-2"/>
      </w:pPr>
    </w:p>
    <w:p w14:paraId="78D97DA3" w14:textId="77777777" w:rsidR="0045167F" w:rsidRPr="006B6885" w:rsidRDefault="00031FEC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B6885">
        <w:rPr>
          <w:u w:val="single"/>
        </w:rPr>
        <w:t>Porucha</w:t>
      </w:r>
      <w:r w:rsidR="0045167F" w:rsidRPr="006B6885">
        <w:rPr>
          <w:u w:val="single"/>
        </w:rPr>
        <w:t xml:space="preserve"> funkcie pečene</w:t>
      </w:r>
    </w:p>
    <w:p w14:paraId="4AB5C70E" w14:textId="2FEA96E2" w:rsidR="0045167F" w:rsidRPr="006B6885" w:rsidRDefault="0045167F" w:rsidP="0045167F">
      <w:pPr>
        <w:numPr>
          <w:ilvl w:val="12"/>
          <w:numId w:val="0"/>
        </w:numPr>
        <w:ind w:right="-2"/>
      </w:pPr>
      <w:r w:rsidRPr="006B6885">
        <w:t>Neboli vykonané žiadne špecifické farmakokinetické štúdie u</w:t>
      </w:r>
      <w:r w:rsidR="00CC5B40" w:rsidRPr="006511C1">
        <w:t> </w:t>
      </w:r>
      <w:r w:rsidRPr="006B6885">
        <w:t>pacientov s</w:t>
      </w:r>
      <w:r w:rsidR="00031FEC" w:rsidRPr="006B6885">
        <w:t> </w:t>
      </w:r>
      <w:r w:rsidRPr="006B6885">
        <w:t>po</w:t>
      </w:r>
      <w:r w:rsidR="00031FEC" w:rsidRPr="006B6885">
        <w:t>ruchou funkcie pečene</w:t>
      </w:r>
      <w:r w:rsidRPr="006B6885">
        <w:t>. Keďže pregabalín nepodlieha signifikantnému metab</w:t>
      </w:r>
      <w:r w:rsidR="00031FEC" w:rsidRPr="006B6885">
        <w:t xml:space="preserve">olizmu a vylučuje </w:t>
      </w:r>
      <w:proofErr w:type="gramStart"/>
      <w:r w:rsidR="00031FEC" w:rsidRPr="006B6885">
        <w:t>sa</w:t>
      </w:r>
      <w:proofErr w:type="gramEnd"/>
      <w:r w:rsidR="00031FEC" w:rsidRPr="006B6885">
        <w:t xml:space="preserve"> prednostne </w:t>
      </w:r>
      <w:r w:rsidRPr="006B6885">
        <w:t>v</w:t>
      </w:r>
      <w:r w:rsidR="00CC5B40" w:rsidRPr="006511C1">
        <w:t> </w:t>
      </w:r>
      <w:r w:rsidRPr="006B6885">
        <w:t xml:space="preserve">nezmenenej forme močom, neočakáva sa, že by </w:t>
      </w:r>
      <w:r w:rsidR="00031FEC" w:rsidRPr="006B6885">
        <w:t>porucha funkcie pečene</w:t>
      </w:r>
      <w:r w:rsidRPr="006B6885">
        <w:t xml:space="preserve"> signi</w:t>
      </w:r>
      <w:r w:rsidR="00031FEC" w:rsidRPr="006B6885">
        <w:t>fikantne menila</w:t>
      </w:r>
      <w:r w:rsidRPr="006B6885">
        <w:t xml:space="preserve"> plazmatické koncentrácie pregabalínu.</w:t>
      </w:r>
    </w:p>
    <w:p w14:paraId="3AA2530E" w14:textId="77777777" w:rsidR="00BC19F6" w:rsidRPr="006511C1" w:rsidRDefault="00BC19F6" w:rsidP="0045167F">
      <w:pPr>
        <w:numPr>
          <w:ilvl w:val="12"/>
          <w:numId w:val="0"/>
        </w:numPr>
        <w:ind w:right="-2"/>
      </w:pPr>
    </w:p>
    <w:p w14:paraId="00591A4E" w14:textId="77777777" w:rsidR="00BC19F6" w:rsidRPr="006511C1" w:rsidRDefault="00BC19F6" w:rsidP="00531EC4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Pediatrická populácia</w:t>
      </w:r>
    </w:p>
    <w:p w14:paraId="7552CA1F" w14:textId="77777777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Farmakokinetika pregabalínu bola vyhodnocovaná u pediatrických pacientov s epilepsiou (vekové skupiny: 1 až 23 mesiacov, 2 až 6 rokov, 7 až 11 rokov a 12 až 16 rokov) pri hladinách dávky 2,5; 5; 10 a</w:t>
      </w:r>
      <w:r w:rsidR="00CC5B40" w:rsidRPr="006511C1">
        <w:t> </w:t>
      </w:r>
      <w:r w:rsidRPr="006511C1">
        <w:t>15</w:t>
      </w:r>
      <w:r w:rsidR="00CC5B40" w:rsidRPr="006511C1">
        <w:t> </w:t>
      </w:r>
      <w:r w:rsidRPr="006511C1">
        <w:t>mg/kg/deň vo farmakokinetickej štúdii a štúdii znášanlivosti.</w:t>
      </w:r>
    </w:p>
    <w:p w14:paraId="0420F26A" w14:textId="77777777" w:rsidR="00BC19F6" w:rsidRPr="006511C1" w:rsidRDefault="00BC19F6" w:rsidP="00BC19F6">
      <w:pPr>
        <w:numPr>
          <w:ilvl w:val="12"/>
          <w:numId w:val="0"/>
        </w:numPr>
        <w:ind w:right="-2"/>
      </w:pPr>
    </w:p>
    <w:p w14:paraId="7F0084A0" w14:textId="77777777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Po perorálnom podaní pregabalínu u pediatrických pacientov nalačno, bol čas do dosiahnutia maximálnej plazmatickej koncentrácie vo všeobecnosti podobný v</w:t>
      </w:r>
      <w:r w:rsidR="00CC5B40" w:rsidRPr="006511C1">
        <w:t> </w:t>
      </w:r>
      <w:r w:rsidRPr="006511C1">
        <w:t>rámci všetkých vekových skupín a dosiahol sa 0</w:t>
      </w:r>
      <w:proofErr w:type="gramStart"/>
      <w:r w:rsidRPr="006511C1">
        <w:t>,5</w:t>
      </w:r>
      <w:proofErr w:type="gramEnd"/>
      <w:r w:rsidRPr="006511C1">
        <w:t xml:space="preserve"> hodiny až 2 hodiny po podaní dávky.</w:t>
      </w:r>
    </w:p>
    <w:p w14:paraId="51ECF033" w14:textId="77777777" w:rsidR="00BC19F6" w:rsidRPr="006511C1" w:rsidRDefault="00BC19F6" w:rsidP="00BC19F6">
      <w:pPr>
        <w:numPr>
          <w:ilvl w:val="12"/>
          <w:numId w:val="0"/>
        </w:numPr>
        <w:ind w:right="-2"/>
      </w:pPr>
    </w:p>
    <w:p w14:paraId="09C7BAF5" w14:textId="37E081C0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lastRenderedPageBreak/>
        <w:t>Parametre C</w:t>
      </w:r>
      <w:r w:rsidRPr="006511C1">
        <w:rPr>
          <w:vertAlign w:val="subscript"/>
        </w:rPr>
        <w:t>max</w:t>
      </w:r>
      <w:r w:rsidRPr="006511C1">
        <w:t xml:space="preserve"> a AUC pregabalínu </w:t>
      </w:r>
      <w:proofErr w:type="gramStart"/>
      <w:r w:rsidRPr="006511C1">
        <w:t>sa</w:t>
      </w:r>
      <w:proofErr w:type="gramEnd"/>
      <w:r w:rsidRPr="006511C1">
        <w:t xml:space="preserve"> zvyšovali priamo úmerne so zvyšujúcou sa dávkou v rámci každej vekovej skupiny. AUC bola nižšia o 30</w:t>
      </w:r>
      <w:r w:rsidR="007D37AC">
        <w:t> </w:t>
      </w:r>
      <w:r w:rsidRPr="006511C1">
        <w:t>% u pediatrických pacientov s telesnou hmotnosťou menej ako 30</w:t>
      </w:r>
      <w:r w:rsidR="00CC5B40" w:rsidRPr="006511C1">
        <w:t> </w:t>
      </w:r>
      <w:r w:rsidRPr="006511C1">
        <w:t>kg z dôvodu klírensu upraveného na základe telesnej hmotnosti zvýšeného o</w:t>
      </w:r>
      <w:r w:rsidR="00CC5B40" w:rsidRPr="006511C1">
        <w:t> </w:t>
      </w:r>
      <w:r w:rsidRPr="006511C1">
        <w:t>43</w:t>
      </w:r>
      <w:r w:rsidR="00CC5B40" w:rsidRPr="006511C1">
        <w:t> </w:t>
      </w:r>
      <w:r w:rsidRPr="006511C1">
        <w:t>% u týchto pacientov v porovnaní s pacientmi s telesnou hmotnosťou ≥ 30 kg.</w:t>
      </w:r>
    </w:p>
    <w:p w14:paraId="4E5C0818" w14:textId="77777777" w:rsidR="00BC19F6" w:rsidRPr="006511C1" w:rsidRDefault="00BC19F6" w:rsidP="00BC19F6">
      <w:pPr>
        <w:numPr>
          <w:ilvl w:val="12"/>
          <w:numId w:val="0"/>
        </w:numPr>
        <w:ind w:right="-2"/>
      </w:pPr>
    </w:p>
    <w:p w14:paraId="3BAF584F" w14:textId="77777777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Terminálny polčas pregabalínu sa pohyboval v</w:t>
      </w:r>
      <w:r w:rsidR="00CC5B40" w:rsidRPr="006511C1">
        <w:t> </w:t>
      </w:r>
      <w:r w:rsidRPr="006511C1">
        <w:t>priemere od 3 do 4 hodín u</w:t>
      </w:r>
      <w:r w:rsidR="00CC5B40" w:rsidRPr="006511C1">
        <w:t> </w:t>
      </w:r>
      <w:r w:rsidRPr="006511C1">
        <w:t>pediatrických pacientov vo veku do 6 rokov a od 4 do 6 hodín u</w:t>
      </w:r>
      <w:r w:rsidR="00CC5B40" w:rsidRPr="006511C1">
        <w:t> </w:t>
      </w:r>
      <w:r w:rsidRPr="006511C1">
        <w:t>tých, ktorí boli vo veku 7 rokov a</w:t>
      </w:r>
      <w:r w:rsidR="00CC5B40" w:rsidRPr="006511C1">
        <w:t> </w:t>
      </w:r>
      <w:r w:rsidRPr="006511C1">
        <w:t>starší.</w:t>
      </w:r>
    </w:p>
    <w:p w14:paraId="50DBB580" w14:textId="77777777" w:rsidR="00BC19F6" w:rsidRPr="006511C1" w:rsidRDefault="00BC19F6" w:rsidP="00BC19F6">
      <w:pPr>
        <w:numPr>
          <w:ilvl w:val="12"/>
          <w:numId w:val="0"/>
        </w:numPr>
        <w:ind w:right="-2"/>
      </w:pPr>
    </w:p>
    <w:p w14:paraId="17CED16F" w14:textId="77777777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podaní a</w:t>
      </w:r>
      <w:r w:rsidR="00CC5B40" w:rsidRPr="006511C1">
        <w:t> </w:t>
      </w:r>
      <w:r w:rsidRPr="006511C1">
        <w:t>tieto vzťahy boli podobné u</w:t>
      </w:r>
      <w:r w:rsidR="00CC5B40" w:rsidRPr="006511C1">
        <w:t> </w:t>
      </w:r>
      <w:r w:rsidRPr="006511C1">
        <w:t>pediatrických a</w:t>
      </w:r>
      <w:r w:rsidR="00CC5B40" w:rsidRPr="006511C1">
        <w:t> </w:t>
      </w:r>
      <w:r w:rsidRPr="006511C1">
        <w:t>dospelých pacientov.</w:t>
      </w:r>
    </w:p>
    <w:p w14:paraId="7445524F" w14:textId="77777777" w:rsidR="00BC19F6" w:rsidRPr="006511C1" w:rsidRDefault="00BC19F6" w:rsidP="00BC19F6">
      <w:pPr>
        <w:numPr>
          <w:ilvl w:val="12"/>
          <w:numId w:val="0"/>
        </w:numPr>
        <w:ind w:right="-2"/>
      </w:pPr>
    </w:p>
    <w:p w14:paraId="22738960" w14:textId="77777777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Farmakokinetika pregabalínu u</w:t>
      </w:r>
      <w:r w:rsidR="00CC5B40" w:rsidRPr="006511C1">
        <w:t> </w:t>
      </w:r>
      <w:r w:rsidRPr="006511C1">
        <w:t>pacientov mladších ako 3 mesiace nebola skúmaná (pozri časti 4.2, 4.8</w:t>
      </w:r>
      <w:r w:rsidR="00CC5B40" w:rsidRPr="006511C1">
        <w:t xml:space="preserve"> </w:t>
      </w:r>
      <w:r w:rsidRPr="006511C1">
        <w:t>a</w:t>
      </w:r>
      <w:r w:rsidR="00CC5B40" w:rsidRPr="006511C1">
        <w:t> </w:t>
      </w:r>
      <w:r w:rsidRPr="006511C1">
        <w:t>5.1).</w:t>
      </w:r>
    </w:p>
    <w:p w14:paraId="4569F846" w14:textId="77777777" w:rsidR="00BC19F6" w:rsidRPr="006B6885" w:rsidRDefault="00BC19F6" w:rsidP="0045167F">
      <w:pPr>
        <w:numPr>
          <w:ilvl w:val="12"/>
          <w:numId w:val="0"/>
        </w:numPr>
        <w:ind w:right="-2"/>
      </w:pPr>
    </w:p>
    <w:p w14:paraId="0D666B73" w14:textId="77777777" w:rsidR="0045167F" w:rsidRPr="006B6885" w:rsidRDefault="0045167F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B6885">
        <w:rPr>
          <w:u w:val="single"/>
        </w:rPr>
        <w:t>Staršie osoby (</w:t>
      </w:r>
      <w:proofErr w:type="gramStart"/>
      <w:r w:rsidRPr="006B6885">
        <w:rPr>
          <w:u w:val="single"/>
        </w:rPr>
        <w:t>vo</w:t>
      </w:r>
      <w:proofErr w:type="gramEnd"/>
      <w:r w:rsidRPr="006B6885">
        <w:rPr>
          <w:u w:val="single"/>
        </w:rPr>
        <w:t xml:space="preserve"> veku nad 65 rokov)</w:t>
      </w:r>
    </w:p>
    <w:p w14:paraId="2D34E256" w14:textId="56C0E59A" w:rsidR="005457F5" w:rsidRPr="006B6885" w:rsidRDefault="0045167F" w:rsidP="0045167F">
      <w:pPr>
        <w:numPr>
          <w:ilvl w:val="12"/>
          <w:numId w:val="0"/>
        </w:numPr>
        <w:ind w:right="-2"/>
      </w:pPr>
      <w:r w:rsidRPr="006B6885">
        <w:t>Klírens pregabalínu má tendenciu klesať so stúpajúcim vekom. Tento pokles klírensu pregabalínu je v</w:t>
      </w:r>
      <w:r w:rsidR="00CC5B40" w:rsidRPr="006511C1">
        <w:t> </w:t>
      </w:r>
      <w:r w:rsidRPr="006B6885">
        <w:t>súlade s</w:t>
      </w:r>
      <w:r w:rsidR="00CC5B40" w:rsidRPr="006511C1">
        <w:t> </w:t>
      </w:r>
      <w:r w:rsidRPr="006B6885">
        <w:t xml:space="preserve">poklesom klírensu kreatinínu, ktorý je podmienený stúpajúcim vekom. Zníženie dávky pregabalínu </w:t>
      </w:r>
      <w:proofErr w:type="gramStart"/>
      <w:r w:rsidRPr="006B6885">
        <w:t>sa</w:t>
      </w:r>
      <w:proofErr w:type="gramEnd"/>
      <w:r w:rsidRPr="006B6885">
        <w:t xml:space="preserve"> môže vyžadovať u</w:t>
      </w:r>
      <w:r w:rsidR="00CC5B40" w:rsidRPr="006511C1">
        <w:t> </w:t>
      </w:r>
      <w:r w:rsidR="00031FEC" w:rsidRPr="006B6885">
        <w:t>pacientov pri vekom podmienenej poruche</w:t>
      </w:r>
      <w:r w:rsidRPr="006B6885">
        <w:t xml:space="preserve"> </w:t>
      </w:r>
      <w:r w:rsidR="00031FEC" w:rsidRPr="006B6885">
        <w:t xml:space="preserve">funkcie obličiek </w:t>
      </w:r>
      <w:r w:rsidRPr="006B6885">
        <w:t>(pozri časť 4.2 Tabuľka 1).</w:t>
      </w:r>
    </w:p>
    <w:p w14:paraId="60DBC2A0" w14:textId="77777777" w:rsidR="00BC19F6" w:rsidRPr="006511C1" w:rsidRDefault="00BC19F6" w:rsidP="0045167F">
      <w:pPr>
        <w:numPr>
          <w:ilvl w:val="12"/>
          <w:numId w:val="0"/>
        </w:numPr>
        <w:ind w:right="-2"/>
      </w:pPr>
    </w:p>
    <w:p w14:paraId="69C6559B" w14:textId="77777777" w:rsidR="00BC19F6" w:rsidRPr="006511C1" w:rsidRDefault="00BC19F6" w:rsidP="00531EC4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Dojčiace matky</w:t>
      </w:r>
    </w:p>
    <w:p w14:paraId="78CF0135" w14:textId="3E410E6B"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Farmakokinetika 150</w:t>
      </w:r>
      <w:r w:rsidR="00CC5B40" w:rsidRPr="006511C1">
        <w:t> </w:t>
      </w:r>
      <w:r w:rsidRPr="006511C1">
        <w:t>mg pregabalínu podávaných každých 12 hodín (300</w:t>
      </w:r>
      <w:r w:rsidR="00CC5B40" w:rsidRPr="006511C1">
        <w:t> </w:t>
      </w:r>
      <w:r w:rsidRPr="006511C1">
        <w:t xml:space="preserve">mg denná dávka) bola vyhodnocovaná u 10 žien počas laktácie, ktoré boli aspoň 12 týždňov po pôrode. Laktácia mala malý až žiadny vplyv </w:t>
      </w:r>
      <w:proofErr w:type="gramStart"/>
      <w:r w:rsidRPr="006511C1">
        <w:t>na</w:t>
      </w:r>
      <w:proofErr w:type="gramEnd"/>
      <w:r w:rsidRPr="006511C1">
        <w:t xml:space="preserve"> farmakokinetiku pregabalínu. Pregabalín </w:t>
      </w:r>
      <w:proofErr w:type="gramStart"/>
      <w:r w:rsidRPr="006511C1">
        <w:t>sa</w:t>
      </w:r>
      <w:proofErr w:type="gramEnd"/>
      <w:r w:rsidRPr="006511C1">
        <w:t xml:space="preserve"> vylučoval do materského mlieka s priemernými koncentráciami v ustálenom stave približne 76</w:t>
      </w:r>
      <w:r w:rsidR="00CC5B40" w:rsidRPr="006511C1">
        <w:t> </w:t>
      </w:r>
      <w:r w:rsidRPr="006511C1">
        <w:t>% z plazmatických koncentrácií u matiek. Odhadovaná dávka u dojčaťa z materského mlieka (za predpokladu priemernej konzumácie mlieka 150</w:t>
      </w:r>
      <w:r w:rsidR="00CC5B40" w:rsidRPr="006511C1">
        <w:t> </w:t>
      </w:r>
      <w:r w:rsidRPr="006511C1">
        <w:t>ml/kg/deň) žien užívajúcich 300</w:t>
      </w:r>
      <w:r w:rsidR="00CC5B40" w:rsidRPr="006511C1">
        <w:t> </w:t>
      </w:r>
      <w:r w:rsidRPr="006511C1">
        <w:t>mg/deň by bola 0,31</w:t>
      </w:r>
      <w:r w:rsidR="005C3AF9">
        <w:t> </w:t>
      </w:r>
      <w:r w:rsidRPr="006511C1">
        <w:t>mg/kg/deň alebo 0,62</w:t>
      </w:r>
      <w:r w:rsidR="00CC5B40" w:rsidRPr="006511C1">
        <w:t> </w:t>
      </w:r>
      <w:r w:rsidRPr="006511C1">
        <w:t>mg/kg/deň u žien užívajúcich maximálnu dávku 600</w:t>
      </w:r>
      <w:r w:rsidR="00CC5B40" w:rsidRPr="006511C1">
        <w:t> </w:t>
      </w:r>
      <w:r w:rsidRPr="006511C1">
        <w:t>mg/deň. Tieto odhadované dávky predstavujú približne 7</w:t>
      </w:r>
      <w:r w:rsidR="00CC5B40" w:rsidRPr="006511C1">
        <w:t> </w:t>
      </w:r>
      <w:r w:rsidRPr="006511C1">
        <w:t>% celkovej dennej dávky u matky v mg/kg.</w:t>
      </w:r>
    </w:p>
    <w:p w14:paraId="386E4FA8" w14:textId="77777777" w:rsidR="00BB61B0" w:rsidRPr="006B6885" w:rsidRDefault="00BB61B0" w:rsidP="006B6885">
      <w:pPr>
        <w:numPr>
          <w:ilvl w:val="12"/>
          <w:numId w:val="0"/>
        </w:numPr>
        <w:ind w:right="-2"/>
      </w:pPr>
    </w:p>
    <w:p w14:paraId="7AF2AE2E" w14:textId="77777777" w:rsidR="001F4901" w:rsidRPr="006B6885" w:rsidRDefault="001F4901" w:rsidP="007F0254">
      <w:pPr>
        <w:keepNext/>
        <w:ind w:left="567" w:hanging="567"/>
        <w:outlineLvl w:val="0"/>
      </w:pPr>
      <w:r w:rsidRPr="006B6885">
        <w:rPr>
          <w:b/>
        </w:rPr>
        <w:t>5.3</w:t>
      </w:r>
      <w:r w:rsidRPr="006B6885">
        <w:rPr>
          <w:b/>
        </w:rPr>
        <w:tab/>
      </w:r>
      <w:r w:rsidR="007F0254" w:rsidRPr="006B6885">
        <w:rPr>
          <w:b/>
        </w:rPr>
        <w:t>Predklinické údaje o bezpečnosti</w:t>
      </w:r>
    </w:p>
    <w:p w14:paraId="4B1105DC" w14:textId="77777777" w:rsidR="001F4901" w:rsidRPr="006B6885" w:rsidRDefault="001F4901" w:rsidP="007F0254">
      <w:pPr>
        <w:keepNext/>
      </w:pPr>
    </w:p>
    <w:p w14:paraId="671A9905" w14:textId="6C5866F8" w:rsidR="00621D63" w:rsidRPr="006B6885" w:rsidRDefault="00621D63" w:rsidP="00621D63">
      <w:r w:rsidRPr="006B6885">
        <w:t>V</w:t>
      </w:r>
      <w:r w:rsidR="00CC5B40" w:rsidRPr="00531EC4">
        <w:rPr>
          <w:szCs w:val="22"/>
        </w:rPr>
        <w:t> </w:t>
      </w:r>
      <w:r w:rsidRPr="006B6885">
        <w:t>obvyklých farmakologických štúdiách bezpečnosti u</w:t>
      </w:r>
      <w:r w:rsidR="00CC5B40" w:rsidRPr="00531EC4">
        <w:rPr>
          <w:szCs w:val="22"/>
        </w:rPr>
        <w:t> </w:t>
      </w:r>
      <w:r w:rsidRPr="006B6885">
        <w:t xml:space="preserve">zvierat </w:t>
      </w:r>
      <w:r w:rsidR="00367808" w:rsidRPr="006B6885">
        <w:t>bol pregabalín v</w:t>
      </w:r>
      <w:r w:rsidR="00CC5B40" w:rsidRPr="00531EC4">
        <w:rPr>
          <w:szCs w:val="22"/>
        </w:rPr>
        <w:t> </w:t>
      </w:r>
      <w:r w:rsidR="00367808" w:rsidRPr="006B6885">
        <w:t>klinicky relevantných dávkach dobre znášaný</w:t>
      </w:r>
      <w:r w:rsidRPr="006B6885">
        <w:t>. V</w:t>
      </w:r>
      <w:r w:rsidR="00CC5B40" w:rsidRPr="00531EC4">
        <w:rPr>
          <w:szCs w:val="22"/>
        </w:rPr>
        <w:t> </w:t>
      </w:r>
      <w:r w:rsidRPr="006B6885">
        <w:t>štúdiách toxicity po opakovanom podávaní u</w:t>
      </w:r>
      <w:r w:rsidR="00CC5B40" w:rsidRPr="00531EC4">
        <w:rPr>
          <w:szCs w:val="22"/>
        </w:rPr>
        <w:t> </w:t>
      </w:r>
      <w:r w:rsidRPr="006B6885">
        <w:t>potkanov a</w:t>
      </w:r>
      <w:r w:rsidR="00CC5B40" w:rsidRPr="00531EC4">
        <w:rPr>
          <w:szCs w:val="22"/>
        </w:rPr>
        <w:t> </w:t>
      </w:r>
      <w:r w:rsidRPr="006B6885">
        <w:t xml:space="preserve">opíc </w:t>
      </w:r>
      <w:proofErr w:type="gramStart"/>
      <w:r w:rsidRPr="006B6885">
        <w:t>sa</w:t>
      </w:r>
      <w:proofErr w:type="gramEnd"/>
      <w:r w:rsidRPr="006B6885">
        <w:t xml:space="preserve"> pozorovali účinky na CNS</w:t>
      </w:r>
      <w:r w:rsidR="00367808" w:rsidRPr="006B6885">
        <w:t>,</w:t>
      </w:r>
      <w:r w:rsidRPr="006B6885">
        <w:t xml:space="preserve"> vrátane hypoaktivity, hyperaktivity a</w:t>
      </w:r>
      <w:r w:rsidR="00CC5B40" w:rsidRPr="00531EC4">
        <w:rPr>
          <w:szCs w:val="22"/>
        </w:rPr>
        <w:t> </w:t>
      </w:r>
      <w:r w:rsidRPr="006B6885">
        <w:t>ataxie. Z</w:t>
      </w:r>
      <w:r w:rsidR="00367808" w:rsidRPr="006B6885">
        <w:t>výšená incidencia atrofie sietnice, bežne pozorovaná u</w:t>
      </w:r>
      <w:r w:rsidR="00CC5B40" w:rsidRPr="00531EC4">
        <w:rPr>
          <w:szCs w:val="22"/>
        </w:rPr>
        <w:t> </w:t>
      </w:r>
      <w:r w:rsidR="00367808" w:rsidRPr="006B6885">
        <w:t>starších</w:t>
      </w:r>
      <w:r w:rsidRPr="006B6885">
        <w:t xml:space="preserve"> potkaních albínov, </w:t>
      </w:r>
      <w:proofErr w:type="gramStart"/>
      <w:r w:rsidRPr="006B6885">
        <w:t>sa</w:t>
      </w:r>
      <w:proofErr w:type="gramEnd"/>
      <w:r w:rsidRPr="006B6885">
        <w:t xml:space="preserve"> zistila po d</w:t>
      </w:r>
      <w:r w:rsidR="00503C09" w:rsidRPr="006B6885">
        <w:t>lhodobej expozícii pregabalínu pri expozíciá</w:t>
      </w:r>
      <w:r w:rsidRPr="006B6885">
        <w:t>ch ≥</w:t>
      </w:r>
      <w:r w:rsidR="00367808" w:rsidRPr="006B6885">
        <w:t> 5-násobku priemernej expozície</w:t>
      </w:r>
      <w:r w:rsidRPr="006B6885">
        <w:t xml:space="preserve"> u</w:t>
      </w:r>
      <w:r w:rsidR="00CC5B40" w:rsidRPr="00531EC4">
        <w:rPr>
          <w:szCs w:val="22"/>
        </w:rPr>
        <w:t> </w:t>
      </w:r>
      <w:r w:rsidRPr="006B6885">
        <w:t>človeka pri maximálnej odporúčanej klinickej dávke.</w:t>
      </w:r>
    </w:p>
    <w:p w14:paraId="026D3554" w14:textId="77777777" w:rsidR="00621D63" w:rsidRPr="006B6885" w:rsidRDefault="00621D63" w:rsidP="00621D63"/>
    <w:p w14:paraId="32A38932" w14:textId="306A32D5" w:rsidR="00C055C3" w:rsidRPr="00531EC4" w:rsidRDefault="00621D63" w:rsidP="00621D63">
      <w:pPr>
        <w:rPr>
          <w:szCs w:val="22"/>
        </w:rPr>
      </w:pPr>
      <w:r w:rsidRPr="006B6885">
        <w:t>Pregabalín nebol teratogénny u</w:t>
      </w:r>
      <w:r w:rsidR="00CC5B40" w:rsidRPr="00531EC4">
        <w:rPr>
          <w:szCs w:val="22"/>
        </w:rPr>
        <w:t> </w:t>
      </w:r>
      <w:r w:rsidRPr="006B6885">
        <w:t>myší, potkanov</w:t>
      </w:r>
      <w:r w:rsidR="00503C09" w:rsidRPr="006B6885">
        <w:t>,</w:t>
      </w:r>
      <w:r w:rsidRPr="006B6885">
        <w:t xml:space="preserve"> ani u</w:t>
      </w:r>
      <w:r w:rsidR="00CC5B40" w:rsidRPr="00531EC4">
        <w:rPr>
          <w:szCs w:val="22"/>
        </w:rPr>
        <w:t> </w:t>
      </w:r>
      <w:r w:rsidRPr="006B6885">
        <w:t>králikov. Fetálna toxicita u</w:t>
      </w:r>
      <w:r w:rsidR="00CC5B40" w:rsidRPr="00531EC4">
        <w:rPr>
          <w:szCs w:val="22"/>
        </w:rPr>
        <w:t> </w:t>
      </w:r>
      <w:r w:rsidRPr="006B6885">
        <w:t>potkanov a</w:t>
      </w:r>
      <w:r w:rsidR="00CC5B40" w:rsidRPr="00531EC4">
        <w:rPr>
          <w:szCs w:val="22"/>
        </w:rPr>
        <w:t> </w:t>
      </w:r>
      <w:r w:rsidRPr="006B6885">
        <w:t xml:space="preserve">králikov </w:t>
      </w:r>
      <w:proofErr w:type="gramStart"/>
      <w:r w:rsidRPr="006B6885">
        <w:t>sa</w:t>
      </w:r>
      <w:proofErr w:type="gramEnd"/>
      <w:r w:rsidRPr="006B6885">
        <w:t xml:space="preserve"> vyskytla iba pri dávkac</w:t>
      </w:r>
      <w:r w:rsidR="00503C09" w:rsidRPr="006B6885">
        <w:t>h dostatočne prevyšujúcich expozíciu u</w:t>
      </w:r>
      <w:r w:rsidR="00CC5B40" w:rsidRPr="00531EC4">
        <w:rPr>
          <w:szCs w:val="22"/>
        </w:rPr>
        <w:t> </w:t>
      </w:r>
      <w:r w:rsidR="00503C09" w:rsidRPr="006B6885">
        <w:t>človeka.</w:t>
      </w:r>
    </w:p>
    <w:p w14:paraId="46D3070D" w14:textId="0326A8B1" w:rsidR="00621D63" w:rsidRPr="006B6885" w:rsidRDefault="00621D63" w:rsidP="00621D63">
      <w:r w:rsidRPr="006B6885">
        <w:t>V</w:t>
      </w:r>
      <w:r w:rsidR="00CC5B40" w:rsidRPr="00531EC4">
        <w:rPr>
          <w:szCs w:val="22"/>
        </w:rPr>
        <w:t> </w:t>
      </w:r>
      <w:r w:rsidRPr="006B6885">
        <w:t>prenatálnych/postnatálnych štúdiách toxicity</w:t>
      </w:r>
      <w:r w:rsidR="00503C09" w:rsidRPr="006B6885">
        <w:t>,</w:t>
      </w:r>
      <w:r w:rsidRPr="006B6885">
        <w:t xml:space="preserve"> pregabalín vyvolával vývojov</w:t>
      </w:r>
      <w:r w:rsidR="00503C09" w:rsidRPr="006B6885">
        <w:t>ú toxicitu u</w:t>
      </w:r>
      <w:r w:rsidR="00CC5B40" w:rsidRPr="00531EC4">
        <w:rPr>
          <w:szCs w:val="22"/>
        </w:rPr>
        <w:t> </w:t>
      </w:r>
      <w:r w:rsidR="00503C09" w:rsidRPr="006B6885">
        <w:t>potomkov potkanov pri expozíciá</w:t>
      </w:r>
      <w:r w:rsidRPr="006B6885">
        <w:t xml:space="preserve">ch </w:t>
      </w:r>
      <w:r w:rsidR="00C055C3" w:rsidRPr="00531EC4">
        <w:rPr>
          <w:szCs w:val="22"/>
        </w:rPr>
        <w:sym w:font="Symbol" w:char="F03E"/>
      </w:r>
      <w:r w:rsidR="00503C09" w:rsidRPr="006B6885">
        <w:t> 2-krát vyš</w:t>
      </w:r>
      <w:r w:rsidRPr="006B6885">
        <w:t xml:space="preserve">ších, než je odporúčaná maximálna </w:t>
      </w:r>
      <w:r w:rsidR="00503C09" w:rsidRPr="006B6885">
        <w:t>expozícia u</w:t>
      </w:r>
      <w:r w:rsidR="00CC5B40" w:rsidRPr="00531EC4">
        <w:rPr>
          <w:szCs w:val="22"/>
        </w:rPr>
        <w:t> </w:t>
      </w:r>
      <w:r w:rsidRPr="006B6885">
        <w:t>človeka.</w:t>
      </w:r>
    </w:p>
    <w:p w14:paraId="28C25DEF" w14:textId="77777777" w:rsidR="00621D63" w:rsidRPr="006B6885" w:rsidRDefault="00621D63" w:rsidP="00621D63"/>
    <w:p w14:paraId="439A55FE" w14:textId="07C4D6EE" w:rsidR="00621D63" w:rsidRPr="006B6885" w:rsidRDefault="00621D63" w:rsidP="00621D63">
      <w:r w:rsidRPr="006B6885">
        <w:t xml:space="preserve">Nežiaduce účinky </w:t>
      </w:r>
      <w:proofErr w:type="gramStart"/>
      <w:r w:rsidRPr="006B6885">
        <w:t>na</w:t>
      </w:r>
      <w:proofErr w:type="gramEnd"/>
      <w:r w:rsidRPr="006B6885">
        <w:t xml:space="preserve"> </w:t>
      </w:r>
      <w:r w:rsidR="00503C09" w:rsidRPr="006B6885">
        <w:t>fertilitu u samcov a</w:t>
      </w:r>
      <w:r w:rsidR="00CC5B40" w:rsidRPr="00531EC4">
        <w:rPr>
          <w:szCs w:val="22"/>
        </w:rPr>
        <w:t> </w:t>
      </w:r>
      <w:r w:rsidR="00503C09" w:rsidRPr="006B6885">
        <w:t>samíc</w:t>
      </w:r>
      <w:r w:rsidRPr="006B6885">
        <w:t xml:space="preserve"> potkanov sa pozorovali iba pri expozíciách dostatočne vyšších, než je terapeutická expozícia. Nežiaduce účinky </w:t>
      </w:r>
      <w:proofErr w:type="gramStart"/>
      <w:r w:rsidRPr="006B6885">
        <w:t>na</w:t>
      </w:r>
      <w:proofErr w:type="gramEnd"/>
      <w:r w:rsidRPr="006B6885">
        <w:t xml:space="preserve"> samči</w:t>
      </w:r>
      <w:r w:rsidR="00503C09" w:rsidRPr="006B6885">
        <w:t>e reprodukčné orgány a</w:t>
      </w:r>
      <w:r w:rsidR="00CC5B40" w:rsidRPr="00531EC4">
        <w:rPr>
          <w:szCs w:val="22"/>
        </w:rPr>
        <w:t> </w:t>
      </w:r>
      <w:r w:rsidR="00503C09" w:rsidRPr="00531EC4">
        <w:rPr>
          <w:szCs w:val="22"/>
        </w:rPr>
        <w:t>charakteri</w:t>
      </w:r>
      <w:r w:rsidR="00C055C3" w:rsidRPr="00531EC4">
        <w:rPr>
          <w:szCs w:val="22"/>
        </w:rPr>
        <w:t>s</w:t>
      </w:r>
      <w:r w:rsidR="00503C09" w:rsidRPr="00531EC4">
        <w:rPr>
          <w:szCs w:val="22"/>
        </w:rPr>
        <w:t>tiku</w:t>
      </w:r>
      <w:r w:rsidRPr="006B6885">
        <w:t xml:space="preserve"> spermií boli reverzibilné a</w:t>
      </w:r>
      <w:r w:rsidR="00CC5B40" w:rsidRPr="00531EC4">
        <w:rPr>
          <w:szCs w:val="22"/>
        </w:rPr>
        <w:t> </w:t>
      </w:r>
      <w:r w:rsidRPr="006B6885">
        <w:t xml:space="preserve">vyskytli sa iba pri expozíciách dostatočne vyšších, než je terapeutická expozícia, alebo boli spojené so spontánnymi degeneratívnymi procesmi na samčích </w:t>
      </w:r>
      <w:r w:rsidR="00503C09" w:rsidRPr="006B6885">
        <w:t>reprodukčných orgánoch u potkanov</w:t>
      </w:r>
      <w:r w:rsidRPr="006B6885">
        <w:t xml:space="preserve">. Preto </w:t>
      </w:r>
      <w:proofErr w:type="gramStart"/>
      <w:r w:rsidRPr="006B6885">
        <w:t>sa</w:t>
      </w:r>
      <w:proofErr w:type="gramEnd"/>
      <w:r w:rsidRPr="006B6885">
        <w:t xml:space="preserve"> týmto účinkom pripisuje malý alebo žiadny klinický význam.</w:t>
      </w:r>
    </w:p>
    <w:p w14:paraId="12E1C5A5" w14:textId="77777777" w:rsidR="00621D63" w:rsidRPr="006B6885" w:rsidRDefault="00621D63" w:rsidP="00621D63"/>
    <w:p w14:paraId="7A6812A5" w14:textId="7BCA390D" w:rsidR="00621D63" w:rsidRPr="006B6885" w:rsidRDefault="00C055C3" w:rsidP="00621D63">
      <w:r w:rsidRPr="00531EC4">
        <w:rPr>
          <w:szCs w:val="22"/>
        </w:rPr>
        <w:t>Výsledky</w:t>
      </w:r>
      <w:r w:rsidRPr="006B6885">
        <w:t xml:space="preserve"> </w:t>
      </w:r>
      <w:r w:rsidR="00621D63" w:rsidRPr="006B6885">
        <w:t xml:space="preserve">mnohých </w:t>
      </w:r>
      <w:r w:rsidR="00621D63" w:rsidRPr="006B6885">
        <w:rPr>
          <w:i/>
        </w:rPr>
        <w:t>in vitro</w:t>
      </w:r>
      <w:r w:rsidR="00621D63" w:rsidRPr="006B6885">
        <w:t xml:space="preserve"> </w:t>
      </w:r>
      <w:proofErr w:type="gramStart"/>
      <w:r w:rsidR="00621D63" w:rsidRPr="006B6885">
        <w:t>a</w:t>
      </w:r>
      <w:proofErr w:type="gramEnd"/>
      <w:r w:rsidR="00CC5B40" w:rsidRPr="00531EC4">
        <w:rPr>
          <w:szCs w:val="22"/>
        </w:rPr>
        <w:t> </w:t>
      </w:r>
      <w:r w:rsidR="00621D63" w:rsidRPr="006B6885">
        <w:rPr>
          <w:i/>
        </w:rPr>
        <w:t>in vivo</w:t>
      </w:r>
      <w:r w:rsidR="00503C09" w:rsidRPr="006B6885">
        <w:t xml:space="preserve"> skúšok dokázali</w:t>
      </w:r>
      <w:r w:rsidR="00621D63" w:rsidRPr="006B6885">
        <w:t>, že pregabalín nie je genotoxický.</w:t>
      </w:r>
    </w:p>
    <w:p w14:paraId="05A03DA1" w14:textId="77777777" w:rsidR="00621D63" w:rsidRPr="006B6885" w:rsidRDefault="00621D63" w:rsidP="00621D63"/>
    <w:p w14:paraId="6F68FC5D" w14:textId="2A049673" w:rsidR="00621D63" w:rsidRPr="006B6885" w:rsidRDefault="00503C09" w:rsidP="00621D63">
      <w:r w:rsidRPr="006B6885">
        <w:t>Na potkanoch a myšiach boli vykonané d</w:t>
      </w:r>
      <w:r w:rsidR="00621D63" w:rsidRPr="006B6885">
        <w:t>vojročné štúdie karcinogenicity s</w:t>
      </w:r>
      <w:r w:rsidR="00CC5B40" w:rsidRPr="00531EC4">
        <w:rPr>
          <w:szCs w:val="22"/>
        </w:rPr>
        <w:t> </w:t>
      </w:r>
      <w:r w:rsidR="00621D63" w:rsidRPr="006B6885">
        <w:t xml:space="preserve">pregabalínom. Nepozorovali </w:t>
      </w:r>
      <w:proofErr w:type="gramStart"/>
      <w:r w:rsidR="00621D63" w:rsidRPr="006B6885">
        <w:t>sa</w:t>
      </w:r>
      <w:proofErr w:type="gramEnd"/>
      <w:r w:rsidR="00621D63" w:rsidRPr="006B6885">
        <w:t xml:space="preserve"> </w:t>
      </w:r>
      <w:r w:rsidRPr="006B6885">
        <w:t>žiadne nádory u</w:t>
      </w:r>
      <w:r w:rsidR="00CC5B40" w:rsidRPr="00531EC4">
        <w:rPr>
          <w:szCs w:val="22"/>
        </w:rPr>
        <w:t> </w:t>
      </w:r>
      <w:r w:rsidRPr="006B6885">
        <w:t>potkanov pri expozíciá</w:t>
      </w:r>
      <w:r w:rsidR="00621D63" w:rsidRPr="006B6885">
        <w:t>ch a</w:t>
      </w:r>
      <w:r w:rsidRPr="006B6885">
        <w:t>ž do 24-násobku priemernej expozície</w:t>
      </w:r>
      <w:r w:rsidR="00621D63" w:rsidRPr="006B6885">
        <w:t xml:space="preserve"> </w:t>
      </w:r>
      <w:r w:rsidR="00621D63" w:rsidRPr="006B6885">
        <w:lastRenderedPageBreak/>
        <w:t>u</w:t>
      </w:r>
      <w:r w:rsidR="00CC5B40" w:rsidRPr="00531EC4">
        <w:rPr>
          <w:szCs w:val="22"/>
        </w:rPr>
        <w:t> </w:t>
      </w:r>
      <w:r w:rsidR="00621D63" w:rsidRPr="006B6885">
        <w:t>človeka pri maximálnej odporúčanej klinickej dávke 600</w:t>
      </w:r>
      <w:r w:rsidRPr="006B6885">
        <w:t> </w:t>
      </w:r>
      <w:r w:rsidR="00621D63" w:rsidRPr="006B6885">
        <w:t>mg/deň. U</w:t>
      </w:r>
      <w:r w:rsidR="00CC5B40" w:rsidRPr="00531EC4">
        <w:rPr>
          <w:szCs w:val="22"/>
        </w:rPr>
        <w:t> </w:t>
      </w:r>
      <w:r w:rsidR="00621D63" w:rsidRPr="006B6885">
        <w:t xml:space="preserve">myší </w:t>
      </w:r>
      <w:proofErr w:type="gramStart"/>
      <w:r w:rsidR="00621D63" w:rsidRPr="006B6885">
        <w:t>sa</w:t>
      </w:r>
      <w:proofErr w:type="gramEnd"/>
      <w:r w:rsidR="00621D63" w:rsidRPr="006B6885">
        <w:t xml:space="preserve"> nezistil zvýšený výskyt nádorov </w:t>
      </w:r>
      <w:r w:rsidR="00FF66F8" w:rsidRPr="006B6885">
        <w:t>pri expozíciá</w:t>
      </w:r>
      <w:r w:rsidR="00621D63" w:rsidRPr="006B6885">
        <w:t xml:space="preserve">ch podobných priemernej </w:t>
      </w:r>
      <w:r w:rsidR="00FF66F8" w:rsidRPr="006B6885">
        <w:t>expozícii</w:t>
      </w:r>
      <w:r w:rsidR="00621D63" w:rsidRPr="006B6885">
        <w:t xml:space="preserve"> u</w:t>
      </w:r>
      <w:r w:rsidR="00CC5B40" w:rsidRPr="00531EC4">
        <w:rPr>
          <w:szCs w:val="22"/>
        </w:rPr>
        <w:t> </w:t>
      </w:r>
      <w:r w:rsidR="00621D63" w:rsidRPr="006B6885">
        <w:t>človeka, ale</w:t>
      </w:r>
      <w:r w:rsidR="00FF66F8" w:rsidRPr="006B6885">
        <w:t xml:space="preserve"> pri vyšších expozíciách sa pozoroval</w:t>
      </w:r>
      <w:r w:rsidR="00621D63" w:rsidRPr="006B6885">
        <w:t xml:space="preserve"> zvýšený výskyt hemangiosarkómov. Negenotoxický mechanizmus tvorby pregabalínom indukovaných nádorov u</w:t>
      </w:r>
      <w:r w:rsidR="00CC5B40" w:rsidRPr="00531EC4">
        <w:rPr>
          <w:szCs w:val="22"/>
        </w:rPr>
        <w:t> </w:t>
      </w:r>
      <w:r w:rsidR="00621D63" w:rsidRPr="006B6885">
        <w:t>myší zahrňuje zmeny krvných doštičiek a</w:t>
      </w:r>
      <w:r w:rsidR="00CC5B40" w:rsidRPr="00531EC4">
        <w:rPr>
          <w:szCs w:val="22"/>
        </w:rPr>
        <w:t> </w:t>
      </w:r>
      <w:r w:rsidR="00621D63" w:rsidRPr="006B6885">
        <w:t>súvisiacu proliferáciu endoteliálnych buniek. Tieto zmeny krvných doštičiek neboli prítomné u</w:t>
      </w:r>
      <w:r w:rsidR="00CC5B40" w:rsidRPr="00531EC4">
        <w:rPr>
          <w:szCs w:val="22"/>
        </w:rPr>
        <w:t> </w:t>
      </w:r>
      <w:r w:rsidR="00621D63" w:rsidRPr="006B6885">
        <w:t>potkanov alebo</w:t>
      </w:r>
      <w:r w:rsidR="00FF66F8" w:rsidRPr="006B6885">
        <w:t xml:space="preserve"> u</w:t>
      </w:r>
      <w:r w:rsidR="00CC5B40" w:rsidRPr="00531EC4">
        <w:rPr>
          <w:szCs w:val="22"/>
        </w:rPr>
        <w:t> </w:t>
      </w:r>
      <w:r w:rsidR="00FF66F8" w:rsidRPr="006B6885">
        <w:t xml:space="preserve">ľudí </w:t>
      </w:r>
      <w:proofErr w:type="gramStart"/>
      <w:r w:rsidR="00FF66F8" w:rsidRPr="006B6885">
        <w:t>na</w:t>
      </w:r>
      <w:proofErr w:type="gramEnd"/>
      <w:r w:rsidR="00FF66F8" w:rsidRPr="006B6885">
        <w:t xml:space="preserve"> základe krátkodobých </w:t>
      </w:r>
      <w:r w:rsidR="00621D63" w:rsidRPr="006B6885">
        <w:t>a</w:t>
      </w:r>
      <w:r w:rsidR="00CC5B40" w:rsidRPr="00531EC4">
        <w:rPr>
          <w:szCs w:val="22"/>
        </w:rPr>
        <w:t> </w:t>
      </w:r>
      <w:r w:rsidR="00621D63" w:rsidRPr="006B6885">
        <w:t>limitovaných dlhodobých klinických údajov. Neexistuje dôkaz, ktorý by naznačoval súvisiace riziko u</w:t>
      </w:r>
      <w:r w:rsidR="00CC5B40" w:rsidRPr="00531EC4">
        <w:rPr>
          <w:szCs w:val="22"/>
        </w:rPr>
        <w:t> </w:t>
      </w:r>
      <w:r w:rsidR="00621D63" w:rsidRPr="006B6885">
        <w:t>ľudí.</w:t>
      </w:r>
    </w:p>
    <w:p w14:paraId="29A66270" w14:textId="77777777" w:rsidR="00621D63" w:rsidRPr="006B6885" w:rsidRDefault="00621D63" w:rsidP="00621D63"/>
    <w:p w14:paraId="6F1B36AE" w14:textId="52423AA2" w:rsidR="001F4901" w:rsidRPr="006B6885" w:rsidRDefault="00621D63" w:rsidP="00621D63">
      <w:r w:rsidRPr="006B6885">
        <w:t>U</w:t>
      </w:r>
      <w:r w:rsidR="00CC5B40" w:rsidRPr="00531EC4">
        <w:rPr>
          <w:szCs w:val="22"/>
        </w:rPr>
        <w:t> </w:t>
      </w:r>
      <w:r w:rsidRPr="006B6885">
        <w:t xml:space="preserve">mladých </w:t>
      </w:r>
      <w:r w:rsidR="005B54F4" w:rsidRPr="006B6885">
        <w:t xml:space="preserve">potkanov </w:t>
      </w:r>
      <w:proofErr w:type="gramStart"/>
      <w:r w:rsidR="005B54F4" w:rsidRPr="006B6885">
        <w:t>sa</w:t>
      </w:r>
      <w:proofErr w:type="gramEnd"/>
      <w:r w:rsidR="005B54F4" w:rsidRPr="006B6885">
        <w:t xml:space="preserve"> druhy toxicity kval</w:t>
      </w:r>
      <w:r w:rsidRPr="006B6885">
        <w:t>itatívne nelíšili od tých, ktoré sa pozorovali u</w:t>
      </w:r>
      <w:r w:rsidR="00CC5B40" w:rsidRPr="00531EC4">
        <w:rPr>
          <w:szCs w:val="22"/>
        </w:rPr>
        <w:t> </w:t>
      </w:r>
      <w:r w:rsidRPr="006B6885">
        <w:t>dospelých potkanov. Avša</w:t>
      </w:r>
      <w:r w:rsidR="005B54F4" w:rsidRPr="006B6885">
        <w:t>k mladé potkany sú</w:t>
      </w:r>
      <w:r w:rsidRPr="006B6885">
        <w:t xml:space="preserve"> senzitív</w:t>
      </w:r>
      <w:r w:rsidR="005B54F4" w:rsidRPr="006B6885">
        <w:t>nejšie. Pri terapeutických expozíciá</w:t>
      </w:r>
      <w:r w:rsidRPr="006B6885">
        <w:t xml:space="preserve">ch </w:t>
      </w:r>
      <w:proofErr w:type="gramStart"/>
      <w:r w:rsidRPr="006B6885">
        <w:t>sa</w:t>
      </w:r>
      <w:proofErr w:type="gramEnd"/>
      <w:r w:rsidRPr="006B6885">
        <w:t xml:space="preserve"> dokázali klinické príznaky CNS </w:t>
      </w:r>
      <w:r w:rsidR="00C86FC3" w:rsidRPr="00531EC4">
        <w:rPr>
          <w:szCs w:val="22"/>
        </w:rPr>
        <w:t xml:space="preserve">- hyperaktivita </w:t>
      </w:r>
      <w:r w:rsidRPr="006B6885">
        <w:t>a</w:t>
      </w:r>
      <w:r w:rsidR="00CC5B40" w:rsidRPr="00531EC4">
        <w:rPr>
          <w:szCs w:val="22"/>
        </w:rPr>
        <w:t> </w:t>
      </w:r>
      <w:r w:rsidRPr="006B6885">
        <w:t>bruxizmus a</w:t>
      </w:r>
      <w:r w:rsidR="00CC5B40" w:rsidRPr="00531EC4">
        <w:rPr>
          <w:szCs w:val="22"/>
        </w:rPr>
        <w:t> </w:t>
      </w:r>
      <w:r w:rsidRPr="006B6885">
        <w:t>niektoré zmeny v</w:t>
      </w:r>
      <w:r w:rsidR="00CC5B40" w:rsidRPr="00531EC4">
        <w:rPr>
          <w:szCs w:val="22"/>
        </w:rPr>
        <w:t> </w:t>
      </w:r>
      <w:r w:rsidRPr="006B6885">
        <w:t xml:space="preserve">raste (prechodné potlačenie prírastku telesnej hmotnosti). Účinky </w:t>
      </w:r>
      <w:proofErr w:type="gramStart"/>
      <w:r w:rsidRPr="006B6885">
        <w:t>na</w:t>
      </w:r>
      <w:proofErr w:type="gramEnd"/>
      <w:r w:rsidRPr="006B6885">
        <w:t xml:space="preserve"> pohlavný cyklus sa pozorovali pri 5-násobku terapeutickej </w:t>
      </w:r>
      <w:r w:rsidR="005B54F4" w:rsidRPr="006B6885">
        <w:t>expozície</w:t>
      </w:r>
      <w:r w:rsidRPr="006B6885">
        <w:t xml:space="preserve"> u</w:t>
      </w:r>
      <w:r w:rsidR="00CC5B40" w:rsidRPr="00531EC4">
        <w:rPr>
          <w:szCs w:val="22"/>
        </w:rPr>
        <w:t> </w:t>
      </w:r>
      <w:r w:rsidRPr="006B6885">
        <w:t xml:space="preserve">človeka. Znížená odpoveď </w:t>
      </w:r>
      <w:proofErr w:type="gramStart"/>
      <w:r w:rsidRPr="006B6885">
        <w:t>na</w:t>
      </w:r>
      <w:proofErr w:type="gramEnd"/>
      <w:r w:rsidRPr="006B6885">
        <w:t xml:space="preserve"> akustický podnet s</w:t>
      </w:r>
      <w:r w:rsidR="005B54F4" w:rsidRPr="006B6885">
        <w:t>a pozorovala u</w:t>
      </w:r>
      <w:r w:rsidR="00CC5B40" w:rsidRPr="00531EC4">
        <w:rPr>
          <w:szCs w:val="22"/>
        </w:rPr>
        <w:t> </w:t>
      </w:r>
      <w:r w:rsidR="005B54F4" w:rsidRPr="006B6885">
        <w:t xml:space="preserve">mladých potkanov </w:t>
      </w:r>
      <w:r w:rsidRPr="006B6885">
        <w:t>1 - 2 týždne po expozícii pri &gt;</w:t>
      </w:r>
      <w:r w:rsidR="005B54F4" w:rsidRPr="006B6885">
        <w:t> </w:t>
      </w:r>
      <w:r w:rsidRPr="006B6885">
        <w:t xml:space="preserve">2-násobku terapeutickej </w:t>
      </w:r>
      <w:r w:rsidR="005B54F4" w:rsidRPr="006B6885">
        <w:t>expozície</w:t>
      </w:r>
      <w:r w:rsidRPr="006B6885">
        <w:t xml:space="preserve"> u</w:t>
      </w:r>
      <w:r w:rsidR="00CC5B40" w:rsidRPr="00531EC4">
        <w:rPr>
          <w:szCs w:val="22"/>
        </w:rPr>
        <w:t> </w:t>
      </w:r>
      <w:r w:rsidRPr="006B6885">
        <w:t xml:space="preserve">človeka. Deväť týždňov po expozícii </w:t>
      </w:r>
      <w:proofErr w:type="gramStart"/>
      <w:r w:rsidRPr="006B6885">
        <w:t>sa</w:t>
      </w:r>
      <w:proofErr w:type="gramEnd"/>
      <w:r w:rsidRPr="006B6885">
        <w:t xml:space="preserve"> už tento účinok viac nepozoroval.</w:t>
      </w:r>
    </w:p>
    <w:p w14:paraId="020DA2CE" w14:textId="77777777" w:rsidR="001F4901" w:rsidRPr="006B6885" w:rsidRDefault="001F4901" w:rsidP="00102CCB"/>
    <w:p w14:paraId="602B7A66" w14:textId="77777777" w:rsidR="00102CCB" w:rsidRPr="006B6885" w:rsidRDefault="00102CCB" w:rsidP="00102CCB"/>
    <w:p w14:paraId="7F03726B" w14:textId="77777777" w:rsidR="001F4901" w:rsidRPr="006B6885" w:rsidRDefault="001F4901" w:rsidP="0033091F">
      <w:pPr>
        <w:keepNext/>
        <w:suppressAutoHyphens/>
        <w:ind w:left="567" w:hanging="567"/>
        <w:rPr>
          <w:b/>
        </w:rPr>
      </w:pPr>
      <w:r w:rsidRPr="006B6885">
        <w:rPr>
          <w:b/>
        </w:rPr>
        <w:t>6.</w:t>
      </w:r>
      <w:r w:rsidRPr="006B6885">
        <w:rPr>
          <w:b/>
        </w:rPr>
        <w:tab/>
      </w:r>
      <w:r w:rsidR="0033091F" w:rsidRPr="006B6885">
        <w:rPr>
          <w:b/>
        </w:rPr>
        <w:t>FARMACEUTICKÉ INFORMÁCIE</w:t>
      </w:r>
    </w:p>
    <w:p w14:paraId="42498222" w14:textId="77777777" w:rsidR="001F4901" w:rsidRPr="006B6885" w:rsidRDefault="001F4901" w:rsidP="0033091F">
      <w:pPr>
        <w:keepNext/>
      </w:pPr>
    </w:p>
    <w:p w14:paraId="19123795" w14:textId="77777777" w:rsidR="001F4901" w:rsidRPr="006B6885" w:rsidRDefault="001F4901" w:rsidP="0033091F">
      <w:pPr>
        <w:keepNext/>
        <w:ind w:left="567" w:hanging="567"/>
        <w:outlineLvl w:val="0"/>
      </w:pPr>
      <w:r w:rsidRPr="006B6885">
        <w:rPr>
          <w:b/>
        </w:rPr>
        <w:t>6.1</w:t>
      </w:r>
      <w:r w:rsidRPr="006B6885">
        <w:rPr>
          <w:b/>
        </w:rPr>
        <w:tab/>
      </w:r>
      <w:r w:rsidR="0033091F" w:rsidRPr="006B6885">
        <w:rPr>
          <w:b/>
        </w:rPr>
        <w:t>Zoznam pomocných látok</w:t>
      </w:r>
    </w:p>
    <w:p w14:paraId="6AEB11D0" w14:textId="77777777" w:rsidR="001F4901" w:rsidRPr="006B6885" w:rsidRDefault="001F4901" w:rsidP="0033091F">
      <w:pPr>
        <w:keepNext/>
        <w:rPr>
          <w:i/>
        </w:rPr>
      </w:pPr>
    </w:p>
    <w:p w14:paraId="57174BBA" w14:textId="77777777" w:rsidR="00290B87" w:rsidRPr="006B6885" w:rsidRDefault="00290B87" w:rsidP="0021735B">
      <w:pPr>
        <w:keepNext/>
        <w:rPr>
          <w:u w:val="single"/>
        </w:rPr>
      </w:pPr>
      <w:r w:rsidRPr="006B6885">
        <w:rPr>
          <w:u w:val="single"/>
        </w:rPr>
        <w:t>Obsah kapsuly:</w:t>
      </w:r>
    </w:p>
    <w:p w14:paraId="33C0FF74" w14:textId="77777777" w:rsidR="00290B87" w:rsidRPr="006B6885" w:rsidRDefault="00290B87">
      <w:proofErr w:type="gramStart"/>
      <w:r w:rsidRPr="006B6885">
        <w:t>manitol</w:t>
      </w:r>
      <w:proofErr w:type="gramEnd"/>
    </w:p>
    <w:p w14:paraId="0E14D9AA" w14:textId="77777777" w:rsidR="0021735B" w:rsidRPr="006B6885" w:rsidRDefault="0021735B">
      <w:proofErr w:type="gramStart"/>
      <w:r w:rsidRPr="006B6885">
        <w:t>spracovaný</w:t>
      </w:r>
      <w:proofErr w:type="gramEnd"/>
      <w:r w:rsidRPr="006B6885">
        <w:t xml:space="preserve"> kukuričný škrob, zložený z:</w:t>
      </w:r>
    </w:p>
    <w:p w14:paraId="50EEFE09" w14:textId="77777777" w:rsidR="0021735B" w:rsidRPr="006B6885" w:rsidRDefault="0021735B" w:rsidP="0021735B">
      <w:pPr>
        <w:tabs>
          <w:tab w:val="clear" w:pos="567"/>
        </w:tabs>
        <w:ind w:left="567"/>
      </w:pPr>
      <w:proofErr w:type="gramStart"/>
      <w:r w:rsidRPr="006B6885">
        <w:t>kukuričného</w:t>
      </w:r>
      <w:proofErr w:type="gramEnd"/>
      <w:r w:rsidRPr="006B6885">
        <w:t xml:space="preserve"> škrobu</w:t>
      </w:r>
    </w:p>
    <w:p w14:paraId="7B9490B5" w14:textId="77777777" w:rsidR="00290B87" w:rsidRPr="006B6885" w:rsidRDefault="0021735B" w:rsidP="0021735B">
      <w:pPr>
        <w:tabs>
          <w:tab w:val="clear" w:pos="567"/>
        </w:tabs>
        <w:ind w:left="567"/>
      </w:pPr>
      <w:proofErr w:type="gramStart"/>
      <w:r w:rsidRPr="006B6885">
        <w:t>predželatínovaného</w:t>
      </w:r>
      <w:proofErr w:type="gramEnd"/>
      <w:r w:rsidR="00290B87" w:rsidRPr="006B6885">
        <w:t xml:space="preserve"> </w:t>
      </w:r>
      <w:r w:rsidRPr="006B6885">
        <w:t>kukuričného</w:t>
      </w:r>
      <w:r w:rsidR="00290B87" w:rsidRPr="006B6885">
        <w:t xml:space="preserve"> škrob</w:t>
      </w:r>
      <w:r w:rsidRPr="006B6885">
        <w:t>u</w:t>
      </w:r>
    </w:p>
    <w:p w14:paraId="0D80701C" w14:textId="77777777" w:rsidR="001F4901" w:rsidRPr="006B6885" w:rsidRDefault="00290B87">
      <w:proofErr w:type="gramStart"/>
      <w:r w:rsidRPr="006B6885">
        <w:t>mastenec</w:t>
      </w:r>
      <w:proofErr w:type="gramEnd"/>
    </w:p>
    <w:p w14:paraId="13599B7F" w14:textId="77777777" w:rsidR="001F4901" w:rsidRPr="006B6885" w:rsidRDefault="001F4901"/>
    <w:p w14:paraId="6FAF08E3" w14:textId="77777777" w:rsidR="00290B87" w:rsidRPr="006B6885" w:rsidRDefault="00290B87" w:rsidP="0021735B">
      <w:pPr>
        <w:keepNext/>
        <w:rPr>
          <w:u w:val="single"/>
        </w:rPr>
      </w:pPr>
      <w:r w:rsidRPr="006B6885">
        <w:rPr>
          <w:u w:val="single"/>
        </w:rPr>
        <w:t>Obal kapsuly:</w:t>
      </w:r>
    </w:p>
    <w:p w14:paraId="28F4DDAF" w14:textId="77777777" w:rsidR="00290B87" w:rsidRPr="006B6885" w:rsidRDefault="00290B87" w:rsidP="00290B87">
      <w:proofErr w:type="gramStart"/>
      <w:r w:rsidRPr="006B6885">
        <w:t>želatína</w:t>
      </w:r>
      <w:proofErr w:type="gramEnd"/>
    </w:p>
    <w:p w14:paraId="54E947BB" w14:textId="77777777" w:rsidR="00290B87" w:rsidRPr="006B6885" w:rsidRDefault="00290B87" w:rsidP="00290B87">
      <w:proofErr w:type="gramStart"/>
      <w:r w:rsidRPr="006B6885">
        <w:t>oxid</w:t>
      </w:r>
      <w:proofErr w:type="gramEnd"/>
      <w:r w:rsidRPr="006B6885">
        <w:t xml:space="preserve"> titaničitý (E171)</w:t>
      </w:r>
    </w:p>
    <w:p w14:paraId="1471C3E0" w14:textId="77777777" w:rsidR="00290B87" w:rsidRPr="006B6885" w:rsidRDefault="00290B87" w:rsidP="00290B87">
      <w:proofErr w:type="gramStart"/>
      <w:r w:rsidRPr="006B6885">
        <w:t>čistená</w:t>
      </w:r>
      <w:proofErr w:type="gramEnd"/>
      <w:r w:rsidRPr="006B6885">
        <w:t xml:space="preserve"> voda</w:t>
      </w:r>
    </w:p>
    <w:p w14:paraId="640661B4" w14:textId="77777777" w:rsidR="00290B87" w:rsidRPr="006B6885" w:rsidRDefault="00290B87" w:rsidP="00290B87"/>
    <w:p w14:paraId="63DF3564" w14:textId="77777777" w:rsidR="00290B87" w:rsidRPr="006B6885" w:rsidRDefault="00290B87" w:rsidP="0021735B">
      <w:pPr>
        <w:keepNext/>
        <w:rPr>
          <w:u w:val="single"/>
        </w:rPr>
      </w:pPr>
      <w:r w:rsidRPr="006B6885">
        <w:rPr>
          <w:u w:val="single"/>
        </w:rPr>
        <w:t>Atrament potlače:</w:t>
      </w:r>
    </w:p>
    <w:p w14:paraId="051038F7" w14:textId="77777777" w:rsidR="00290B87" w:rsidRPr="006B6885" w:rsidRDefault="00290B87" w:rsidP="00290B87">
      <w:proofErr w:type="gramStart"/>
      <w:r w:rsidRPr="006B6885">
        <w:t>šelak</w:t>
      </w:r>
      <w:proofErr w:type="gramEnd"/>
    </w:p>
    <w:p w14:paraId="5A6603F7" w14:textId="77777777" w:rsidR="00290B87" w:rsidRPr="006B6885" w:rsidRDefault="00290B87" w:rsidP="00290B87">
      <w:proofErr w:type="gramStart"/>
      <w:r w:rsidRPr="006B6885">
        <w:t>čierny</w:t>
      </w:r>
      <w:proofErr w:type="gramEnd"/>
      <w:r w:rsidRPr="006B6885">
        <w:t xml:space="preserve"> oxid železitý (E172)</w:t>
      </w:r>
    </w:p>
    <w:p w14:paraId="16B30954" w14:textId="77777777" w:rsidR="00290B87" w:rsidRPr="006B6885" w:rsidRDefault="00290B87" w:rsidP="00290B87">
      <w:proofErr w:type="gramStart"/>
      <w:r w:rsidRPr="006B6885">
        <w:t>hydroxid</w:t>
      </w:r>
      <w:proofErr w:type="gramEnd"/>
      <w:r w:rsidRPr="006B6885">
        <w:t xml:space="preserve"> draselný</w:t>
      </w:r>
    </w:p>
    <w:p w14:paraId="6D7992E3" w14:textId="77777777" w:rsidR="00290B87" w:rsidRPr="006B6885" w:rsidRDefault="00290B87"/>
    <w:p w14:paraId="6C04F138" w14:textId="77777777" w:rsidR="001F4901" w:rsidRPr="006B6885" w:rsidRDefault="001F4901" w:rsidP="0021735B">
      <w:pPr>
        <w:keepNext/>
        <w:ind w:left="567" w:hanging="567"/>
        <w:outlineLvl w:val="0"/>
      </w:pPr>
      <w:r w:rsidRPr="006B6885">
        <w:rPr>
          <w:b/>
        </w:rPr>
        <w:t>6.2</w:t>
      </w:r>
      <w:r w:rsidRPr="006B6885">
        <w:rPr>
          <w:b/>
        </w:rPr>
        <w:tab/>
      </w:r>
      <w:r w:rsidR="001F376E" w:rsidRPr="006B6885">
        <w:rPr>
          <w:b/>
        </w:rPr>
        <w:t>Inkompatibility</w:t>
      </w:r>
    </w:p>
    <w:p w14:paraId="14A6DA9F" w14:textId="77777777" w:rsidR="001F4901" w:rsidRPr="006B6885" w:rsidRDefault="001F4901" w:rsidP="0021735B">
      <w:pPr>
        <w:keepNext/>
      </w:pPr>
    </w:p>
    <w:p w14:paraId="601DC12E" w14:textId="77777777" w:rsidR="001F4901" w:rsidRPr="006B6885" w:rsidRDefault="001F376E">
      <w:r w:rsidRPr="006B6885">
        <w:t>Neaplikovateľné.</w:t>
      </w:r>
    </w:p>
    <w:p w14:paraId="7088DD1F" w14:textId="77777777" w:rsidR="001F4901" w:rsidRPr="006B6885" w:rsidRDefault="001F4901"/>
    <w:p w14:paraId="4D97DF2E" w14:textId="77777777" w:rsidR="001F4901" w:rsidRPr="006B6885" w:rsidRDefault="001F4901" w:rsidP="0021735B">
      <w:pPr>
        <w:keepNext/>
        <w:ind w:left="567" w:hanging="567"/>
        <w:outlineLvl w:val="0"/>
      </w:pPr>
      <w:r w:rsidRPr="006B6885">
        <w:rPr>
          <w:b/>
        </w:rPr>
        <w:t>6.3</w:t>
      </w:r>
      <w:r w:rsidRPr="006B6885">
        <w:rPr>
          <w:b/>
        </w:rPr>
        <w:tab/>
      </w:r>
      <w:proofErr w:type="gramStart"/>
      <w:r w:rsidR="001F376E" w:rsidRPr="006B6885">
        <w:rPr>
          <w:b/>
        </w:rPr>
        <w:t>Čas</w:t>
      </w:r>
      <w:proofErr w:type="gramEnd"/>
      <w:r w:rsidR="001F376E" w:rsidRPr="006B6885">
        <w:rPr>
          <w:b/>
        </w:rPr>
        <w:t xml:space="preserve"> použiteľnosti</w:t>
      </w:r>
    </w:p>
    <w:p w14:paraId="5659B75C" w14:textId="77777777" w:rsidR="001F4901" w:rsidRPr="006B6885" w:rsidRDefault="001F4901" w:rsidP="0021735B">
      <w:pPr>
        <w:keepNext/>
      </w:pPr>
    </w:p>
    <w:p w14:paraId="4ADC217C" w14:textId="77777777" w:rsidR="001F4901" w:rsidRPr="006B6885" w:rsidRDefault="00DF2443">
      <w:r w:rsidRPr="006B6885">
        <w:t>2</w:t>
      </w:r>
      <w:r w:rsidR="001F376E" w:rsidRPr="006B6885">
        <w:t xml:space="preserve"> roky</w:t>
      </w:r>
    </w:p>
    <w:p w14:paraId="79FD5C73" w14:textId="77777777" w:rsidR="001F4901" w:rsidRPr="006B6885" w:rsidRDefault="001F4901"/>
    <w:p w14:paraId="07D08FC8" w14:textId="77777777" w:rsidR="001F4901" w:rsidRPr="006B6885" w:rsidRDefault="001F4901" w:rsidP="0021735B">
      <w:pPr>
        <w:keepNext/>
        <w:ind w:left="567" w:hanging="567"/>
        <w:outlineLvl w:val="0"/>
        <w:rPr>
          <w:b/>
        </w:rPr>
      </w:pPr>
      <w:r w:rsidRPr="006B6885">
        <w:rPr>
          <w:b/>
        </w:rPr>
        <w:t>6.4</w:t>
      </w:r>
      <w:r w:rsidRPr="006B6885">
        <w:rPr>
          <w:b/>
        </w:rPr>
        <w:tab/>
      </w:r>
      <w:r w:rsidR="00DB6649" w:rsidRPr="006B6885">
        <w:rPr>
          <w:b/>
        </w:rPr>
        <w:t xml:space="preserve">Špeciálne upozornenia </w:t>
      </w:r>
      <w:proofErr w:type="gramStart"/>
      <w:r w:rsidR="00DB6649" w:rsidRPr="006B6885">
        <w:rPr>
          <w:b/>
        </w:rPr>
        <w:t>na</w:t>
      </w:r>
      <w:proofErr w:type="gramEnd"/>
      <w:r w:rsidR="00DB6649" w:rsidRPr="006B6885">
        <w:rPr>
          <w:b/>
        </w:rPr>
        <w:t xml:space="preserve"> uchovávanie</w:t>
      </w:r>
    </w:p>
    <w:p w14:paraId="6728A3A0" w14:textId="77777777" w:rsidR="001F4901" w:rsidRPr="006B6885" w:rsidRDefault="001F4901" w:rsidP="0021735B">
      <w:pPr>
        <w:keepNext/>
        <w:ind w:left="567" w:hanging="567"/>
        <w:outlineLvl w:val="0"/>
      </w:pPr>
    </w:p>
    <w:p w14:paraId="1D1A2544" w14:textId="77777777" w:rsidR="001F4901" w:rsidRPr="006B6885" w:rsidRDefault="0021735B">
      <w:r w:rsidRPr="006B6885">
        <w:t>Uchovávajte pri teplote neprevyšujúcej 30 °C.</w:t>
      </w:r>
    </w:p>
    <w:p w14:paraId="0F146A03" w14:textId="77777777" w:rsidR="001F4901" w:rsidRPr="006B6885" w:rsidRDefault="001F4901"/>
    <w:p w14:paraId="1D33B36F" w14:textId="51D04978" w:rsidR="001F4901" w:rsidRPr="006B6885" w:rsidRDefault="001F4901" w:rsidP="0021735B">
      <w:pPr>
        <w:keepNext/>
        <w:spacing w:line="240" w:lineRule="auto"/>
        <w:outlineLvl w:val="0"/>
        <w:rPr>
          <w:b/>
        </w:rPr>
      </w:pPr>
      <w:r w:rsidRPr="006B6885">
        <w:rPr>
          <w:b/>
        </w:rPr>
        <w:t>6.5</w:t>
      </w:r>
      <w:r w:rsidRPr="006B6885">
        <w:rPr>
          <w:b/>
        </w:rPr>
        <w:tab/>
      </w:r>
      <w:r w:rsidR="00DB6649" w:rsidRPr="006B6885">
        <w:rPr>
          <w:b/>
        </w:rPr>
        <w:t xml:space="preserve">Druh obalu </w:t>
      </w:r>
      <w:proofErr w:type="gramStart"/>
      <w:r w:rsidR="00DB6649" w:rsidRPr="006B6885">
        <w:rPr>
          <w:b/>
        </w:rPr>
        <w:t>a</w:t>
      </w:r>
      <w:proofErr w:type="gramEnd"/>
      <w:r w:rsidR="00875B36">
        <w:rPr>
          <w:b/>
          <w:szCs w:val="22"/>
        </w:rPr>
        <w:t> </w:t>
      </w:r>
      <w:r w:rsidR="00DB6649" w:rsidRPr="006B6885">
        <w:rPr>
          <w:b/>
        </w:rPr>
        <w:t>obsah balenia</w:t>
      </w:r>
    </w:p>
    <w:p w14:paraId="63776198" w14:textId="77777777" w:rsidR="00796E32" w:rsidRPr="006B6885" w:rsidRDefault="00796E32" w:rsidP="006B6885">
      <w:pPr>
        <w:outlineLvl w:val="0"/>
        <w:rPr>
          <w:shd w:val="clear" w:color="auto" w:fill="BFBFBF" w:themeFill="background1" w:themeFillShade="BF"/>
        </w:rPr>
      </w:pPr>
    </w:p>
    <w:p w14:paraId="75E7EDDD" w14:textId="3E2688E8" w:rsidR="009A5969" w:rsidRPr="006B6885" w:rsidRDefault="008D5066" w:rsidP="00796E32">
      <w:r w:rsidRPr="006B6885">
        <w:t xml:space="preserve">Hliník/PVC blistre </w:t>
      </w:r>
      <w:r w:rsidRPr="00A434B4">
        <w:rPr>
          <w:lang w:val="sk-SK"/>
        </w:rPr>
        <w:t xml:space="preserve">obsahujúce 14, 30, 56, 60 alebo </w:t>
      </w:r>
      <w:r w:rsidRPr="006B6885">
        <w:t>100 tvrdých kaspúl</w:t>
      </w:r>
      <w:r w:rsidR="009A5969" w:rsidRPr="006B6885">
        <w:t>.</w:t>
      </w:r>
    </w:p>
    <w:p w14:paraId="5D9D3BD5" w14:textId="3E9F5AA8" w:rsidR="008D5066" w:rsidRPr="006B6885" w:rsidRDefault="008D5066" w:rsidP="00796E32">
      <w:r w:rsidRPr="006B6885">
        <w:t>HDPE fľaša so skrutkovacím uzáverom z</w:t>
      </w:r>
      <w:r w:rsidR="00455F27" w:rsidRPr="006511C1">
        <w:t> </w:t>
      </w:r>
      <w:r w:rsidRPr="006B6885">
        <w:t>LDPE alebo PP obsahujúca 100 tvrdých kapsúl.</w:t>
      </w:r>
    </w:p>
    <w:p w14:paraId="740D40A7" w14:textId="77777777" w:rsidR="001F4901" w:rsidRPr="006B6885" w:rsidRDefault="001F4901" w:rsidP="006B6885"/>
    <w:p w14:paraId="3B76448C" w14:textId="77777777" w:rsidR="00DF2443" w:rsidRPr="006B6885" w:rsidRDefault="00DF2443">
      <w:r w:rsidRPr="006B6885">
        <w:t>Na trh nemusia byť uvedené všetky veľkosti balenia.</w:t>
      </w:r>
    </w:p>
    <w:p w14:paraId="43308EB1" w14:textId="77777777" w:rsidR="00DF2443" w:rsidRPr="006B6885" w:rsidRDefault="00DF2443"/>
    <w:p w14:paraId="38DF025B" w14:textId="77777777" w:rsidR="001F4901" w:rsidRPr="006B6885" w:rsidRDefault="001F4901" w:rsidP="006D3391">
      <w:pPr>
        <w:keepNext/>
        <w:ind w:left="567" w:hanging="567"/>
        <w:outlineLvl w:val="0"/>
      </w:pPr>
      <w:bookmarkStart w:id="0" w:name="OLE_LINK1"/>
      <w:r w:rsidRPr="006B6885">
        <w:rPr>
          <w:b/>
        </w:rPr>
        <w:t>6.6</w:t>
      </w:r>
      <w:r w:rsidRPr="006B6885">
        <w:rPr>
          <w:b/>
        </w:rPr>
        <w:tab/>
      </w:r>
      <w:r w:rsidR="00684229" w:rsidRPr="006B6885">
        <w:rPr>
          <w:b/>
        </w:rPr>
        <w:t xml:space="preserve">Špeciálne opatrenia </w:t>
      </w:r>
      <w:proofErr w:type="gramStart"/>
      <w:r w:rsidR="00684229" w:rsidRPr="006B6885">
        <w:rPr>
          <w:b/>
        </w:rPr>
        <w:t>na</w:t>
      </w:r>
      <w:proofErr w:type="gramEnd"/>
      <w:r w:rsidR="00684229" w:rsidRPr="006B6885">
        <w:rPr>
          <w:b/>
        </w:rPr>
        <w:t xml:space="preserve"> likvidáciu</w:t>
      </w:r>
    </w:p>
    <w:p w14:paraId="5E6A1FAB" w14:textId="77777777" w:rsidR="001F4901" w:rsidRPr="006B6885" w:rsidRDefault="001F4901" w:rsidP="006D3391">
      <w:pPr>
        <w:keepNext/>
        <w:rPr>
          <w:i/>
        </w:rPr>
      </w:pPr>
    </w:p>
    <w:p w14:paraId="284DCF52" w14:textId="155ABEB3" w:rsidR="001F4901" w:rsidRPr="006B6885" w:rsidRDefault="00183ED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Všetok nepoužitý</w:t>
      </w:r>
      <w:r w:rsidRPr="006B6885">
        <w:rPr>
          <w:color w:val="222222"/>
          <w:shd w:val="clear" w:color="auto" w:fill="FFFFFF"/>
        </w:rPr>
        <w:t xml:space="preserve"> liek alebo odpad vzniknutý z lieku </w:t>
      </w:r>
      <w:proofErr w:type="gramStart"/>
      <w:r>
        <w:rPr>
          <w:color w:val="222222"/>
          <w:shd w:val="clear" w:color="auto" w:fill="FFFFFF"/>
        </w:rPr>
        <w:t>sa</w:t>
      </w:r>
      <w:proofErr w:type="gramEnd"/>
      <w:r>
        <w:rPr>
          <w:color w:val="222222"/>
          <w:shd w:val="clear" w:color="auto" w:fill="FFFFFF"/>
        </w:rPr>
        <w:t xml:space="preserve"> má zlikvidovať v súlade s národnými požiadavkami</w:t>
      </w:r>
    </w:p>
    <w:p w14:paraId="4C173B5B" w14:textId="77777777" w:rsidR="00183ED6" w:rsidRPr="006B6885" w:rsidRDefault="00183ED6"/>
    <w:bookmarkEnd w:id="0"/>
    <w:p w14:paraId="324CDF3C" w14:textId="77777777" w:rsidR="001F4901" w:rsidRPr="006B6885" w:rsidRDefault="001F4901"/>
    <w:p w14:paraId="4A1CDE15" w14:textId="5552A861" w:rsidR="001F4901" w:rsidRPr="006B6885" w:rsidRDefault="001F4901" w:rsidP="006D3391">
      <w:pPr>
        <w:keepNext/>
        <w:ind w:left="567" w:hanging="567"/>
      </w:pPr>
      <w:r w:rsidRPr="006B6885">
        <w:rPr>
          <w:b/>
        </w:rPr>
        <w:t>7.</w:t>
      </w:r>
      <w:r w:rsidRPr="006B6885">
        <w:rPr>
          <w:b/>
        </w:rPr>
        <w:tab/>
      </w:r>
      <w:r w:rsidR="00684229" w:rsidRPr="006B6885">
        <w:rPr>
          <w:b/>
        </w:rPr>
        <w:t>DRŽITEĽ ROZHODNUTIA O</w:t>
      </w:r>
      <w:r w:rsidR="00875B36">
        <w:rPr>
          <w:b/>
          <w:szCs w:val="22"/>
        </w:rPr>
        <w:t> </w:t>
      </w:r>
      <w:r w:rsidR="00684229" w:rsidRPr="006B6885">
        <w:rPr>
          <w:b/>
        </w:rPr>
        <w:t>REGISTRÁCII</w:t>
      </w:r>
    </w:p>
    <w:p w14:paraId="5080AAF0" w14:textId="77777777" w:rsidR="001F4901" w:rsidRPr="006B6885" w:rsidRDefault="001F4901" w:rsidP="006D3391">
      <w:pPr>
        <w:keepNext/>
      </w:pPr>
    </w:p>
    <w:p w14:paraId="732A94D2" w14:textId="77777777"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CANDE s.r.o</w:t>
      </w:r>
      <w:proofErr w:type="gramStart"/>
      <w:r w:rsidRPr="006511C1">
        <w:rPr>
          <w:color w:val="000000"/>
        </w:rPr>
        <w:t>.,</w:t>
      </w:r>
      <w:proofErr w:type="gramEnd"/>
    </w:p>
    <w:p w14:paraId="439C421C" w14:textId="5F12696D"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E. Belluša</w:t>
      </w:r>
      <w:r w:rsidR="00455F27" w:rsidRPr="006511C1">
        <w:rPr>
          <w:color w:val="000000"/>
        </w:rPr>
        <w:t xml:space="preserve"> </w:t>
      </w:r>
      <w:r w:rsidRPr="006511C1">
        <w:rPr>
          <w:color w:val="000000"/>
        </w:rPr>
        <w:t>4,</w:t>
      </w:r>
    </w:p>
    <w:p w14:paraId="5CA115BF" w14:textId="77777777"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921 01 Piešťany,</w:t>
      </w:r>
    </w:p>
    <w:p w14:paraId="2ACC179B" w14:textId="77777777"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Slovenská republika</w:t>
      </w:r>
    </w:p>
    <w:p w14:paraId="72B25944" w14:textId="77777777" w:rsidR="001F4901" w:rsidRPr="006B6885" w:rsidRDefault="001F4901"/>
    <w:p w14:paraId="3F177C3D" w14:textId="77777777" w:rsidR="00796E32" w:rsidRPr="006B6885" w:rsidRDefault="00796E32"/>
    <w:p w14:paraId="030617A4" w14:textId="77777777" w:rsidR="001F4901" w:rsidRPr="006B6885" w:rsidRDefault="001F4901" w:rsidP="006D3391">
      <w:pPr>
        <w:keepNext/>
        <w:ind w:left="567" w:hanging="567"/>
        <w:rPr>
          <w:b/>
        </w:rPr>
      </w:pPr>
      <w:r w:rsidRPr="006B6885">
        <w:rPr>
          <w:b/>
        </w:rPr>
        <w:t>8.</w:t>
      </w:r>
      <w:r w:rsidRPr="006B6885">
        <w:rPr>
          <w:b/>
        </w:rPr>
        <w:tab/>
      </w:r>
      <w:r w:rsidR="00796E32" w:rsidRPr="006B6885">
        <w:rPr>
          <w:b/>
        </w:rPr>
        <w:t>REGISTRAČNÉ ČÍSLO</w:t>
      </w:r>
    </w:p>
    <w:p w14:paraId="1BC59C23" w14:textId="77777777" w:rsidR="001F4901" w:rsidRDefault="001F4901" w:rsidP="006D3391">
      <w:pPr>
        <w:keepNext/>
      </w:pPr>
    </w:p>
    <w:p w14:paraId="670DA33D" w14:textId="0FEC1DD2" w:rsidR="00932397" w:rsidRDefault="00932397" w:rsidP="006D3391">
      <w:pPr>
        <w:keepNext/>
        <w:rPr>
          <w:szCs w:val="22"/>
        </w:rPr>
      </w:pPr>
      <w:r>
        <w:rPr>
          <w:szCs w:val="22"/>
        </w:rPr>
        <w:t>21/0105</w:t>
      </w:r>
      <w:r w:rsidRPr="00B55D4B">
        <w:rPr>
          <w:szCs w:val="22"/>
        </w:rPr>
        <w:t>/16-S</w:t>
      </w:r>
    </w:p>
    <w:p w14:paraId="52BAD9C5" w14:textId="77777777" w:rsidR="00932397" w:rsidRPr="006B6885" w:rsidRDefault="00932397" w:rsidP="006D3391">
      <w:pPr>
        <w:keepNext/>
      </w:pPr>
    </w:p>
    <w:p w14:paraId="0703AEFB" w14:textId="77777777" w:rsidR="00012616" w:rsidRPr="006B6885" w:rsidRDefault="00012616"/>
    <w:p w14:paraId="335C8982" w14:textId="77777777" w:rsidR="001F4901" w:rsidRPr="006B6885" w:rsidRDefault="001F4901" w:rsidP="006D3391">
      <w:pPr>
        <w:keepNext/>
        <w:ind w:left="567" w:hanging="567"/>
      </w:pPr>
      <w:r w:rsidRPr="006B6885">
        <w:rPr>
          <w:b/>
        </w:rPr>
        <w:t>9.</w:t>
      </w:r>
      <w:r w:rsidRPr="006B6885">
        <w:rPr>
          <w:b/>
        </w:rPr>
        <w:tab/>
      </w:r>
      <w:r w:rsidR="00684229" w:rsidRPr="006B6885">
        <w:rPr>
          <w:b/>
        </w:rPr>
        <w:t>DÁTUM PRVEJ REGISTRÁCIE/PREDĹŽENIA REGISTRÁCIE</w:t>
      </w:r>
    </w:p>
    <w:p w14:paraId="00140E28" w14:textId="77777777" w:rsidR="001F4901" w:rsidRPr="006B6885" w:rsidRDefault="001F4901" w:rsidP="006D3391">
      <w:pPr>
        <w:keepNext/>
        <w:rPr>
          <w:i/>
        </w:rPr>
      </w:pPr>
    </w:p>
    <w:p w14:paraId="1C6FC46A" w14:textId="77777777" w:rsidR="00012616" w:rsidRPr="006B6885" w:rsidRDefault="006D3391">
      <w:r w:rsidRPr="006B6885">
        <w:t>Dátum prvej registrácie:</w:t>
      </w:r>
    </w:p>
    <w:p w14:paraId="06CECC9C" w14:textId="77777777" w:rsidR="00796E32" w:rsidRPr="006B6885" w:rsidRDefault="00796E32"/>
    <w:p w14:paraId="468C4354" w14:textId="77777777" w:rsidR="001F4901" w:rsidRPr="006B6885" w:rsidRDefault="001F4901"/>
    <w:p w14:paraId="0DFFD25F" w14:textId="77777777" w:rsidR="001F4901" w:rsidRPr="006B6885" w:rsidRDefault="001F4901" w:rsidP="006D3391">
      <w:pPr>
        <w:keepNext/>
        <w:ind w:left="567" w:hanging="567"/>
        <w:rPr>
          <w:b/>
        </w:rPr>
      </w:pPr>
      <w:r w:rsidRPr="006B6885">
        <w:rPr>
          <w:b/>
        </w:rPr>
        <w:t>10.</w:t>
      </w:r>
      <w:r w:rsidRPr="006B6885">
        <w:rPr>
          <w:b/>
        </w:rPr>
        <w:tab/>
      </w:r>
      <w:r w:rsidR="00684229" w:rsidRPr="006B6885">
        <w:rPr>
          <w:b/>
        </w:rPr>
        <w:t>DÁTUM REVÍZIE TEXTU</w:t>
      </w:r>
    </w:p>
    <w:p w14:paraId="2A364CB9" w14:textId="77777777" w:rsidR="001F4901" w:rsidRPr="00531EC4" w:rsidRDefault="001F4901" w:rsidP="006D3391">
      <w:pPr>
        <w:keepNext/>
        <w:rPr>
          <w:szCs w:val="22"/>
        </w:rPr>
      </w:pPr>
    </w:p>
    <w:p w14:paraId="002A1041" w14:textId="7040BE0E" w:rsidR="00012616" w:rsidRPr="006B6885" w:rsidRDefault="00932397" w:rsidP="006B6885">
      <w:pPr>
        <w:numPr>
          <w:ilvl w:val="12"/>
          <w:numId w:val="0"/>
        </w:numPr>
        <w:ind w:right="-2"/>
      </w:pPr>
      <w:r>
        <w:t>Február 2016</w:t>
      </w:r>
      <w:bookmarkStart w:id="1" w:name="_GoBack"/>
      <w:bookmarkEnd w:id="1"/>
    </w:p>
    <w:sectPr w:rsidR="00012616" w:rsidRPr="006B6885" w:rsidSect="006B688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65734" w14:textId="77777777" w:rsidR="00A1136E" w:rsidRDefault="00A1136E">
      <w:r>
        <w:separator/>
      </w:r>
    </w:p>
  </w:endnote>
  <w:endnote w:type="continuationSeparator" w:id="0">
    <w:p w14:paraId="06E03B55" w14:textId="77777777" w:rsidR="00A1136E" w:rsidRDefault="00A1136E">
      <w:r>
        <w:continuationSeparator/>
      </w:r>
    </w:p>
  </w:endnote>
  <w:endnote w:type="continuationNotice" w:id="1">
    <w:p w14:paraId="3202874F" w14:textId="77777777" w:rsidR="00A1136E" w:rsidRDefault="00A113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D1E2" w14:textId="77777777" w:rsidR="006511C1" w:rsidRDefault="006511C1" w:rsidP="00F5295E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E201E">
      <w:rPr>
        <w:rStyle w:val="PageNumber"/>
        <w:rFonts w:cs="Arial"/>
      </w:rPr>
      <w:t>13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DBA1A" w14:textId="77777777" w:rsidR="006511C1" w:rsidRDefault="006511C1" w:rsidP="00A43F9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E201E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3123" w14:textId="77777777" w:rsidR="00A1136E" w:rsidRDefault="00A1136E">
      <w:r>
        <w:separator/>
      </w:r>
    </w:p>
  </w:footnote>
  <w:footnote w:type="continuationSeparator" w:id="0">
    <w:p w14:paraId="4E370F25" w14:textId="77777777" w:rsidR="00A1136E" w:rsidRDefault="00A1136E">
      <w:r>
        <w:continuationSeparator/>
      </w:r>
    </w:p>
  </w:footnote>
  <w:footnote w:type="continuationNotice" w:id="1">
    <w:p w14:paraId="6B220E96" w14:textId="77777777" w:rsidR="00A1136E" w:rsidRDefault="00A113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E462F" w14:textId="77777777" w:rsidR="006511C1" w:rsidRDefault="006511C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5392" w14:textId="623749FB" w:rsidR="006511C1" w:rsidRPr="00B42830" w:rsidRDefault="006511C1" w:rsidP="00796E32">
    <w:pPr>
      <w:pStyle w:val="NoSpacing"/>
      <w:rPr>
        <w:rFonts w:ascii="Times New Roman" w:hAnsi="Times New Roman"/>
        <w:sz w:val="18"/>
        <w:szCs w:val="18"/>
      </w:rPr>
    </w:pPr>
    <w:r w:rsidRPr="00B42830">
      <w:rPr>
        <w:rFonts w:ascii="Times New Roman" w:hAnsi="Times New Roman"/>
        <w:sz w:val="18"/>
        <w:szCs w:val="18"/>
      </w:rPr>
      <w:t>Schválený text k rozhodnutiu o registrácii, ev. č.</w:t>
    </w:r>
    <w:r>
      <w:rPr>
        <w:rFonts w:ascii="Times New Roman" w:hAnsi="Times New Roman"/>
        <w:sz w:val="18"/>
        <w:szCs w:val="18"/>
      </w:rPr>
      <w:t xml:space="preserve">: </w:t>
    </w:r>
    <w:r w:rsidR="00A434B4">
      <w:rPr>
        <w:rFonts w:ascii="Times New Roman" w:hAnsi="Times New Roman"/>
        <w:sz w:val="18"/>
        <w:szCs w:val="18"/>
      </w:rPr>
      <w:t>2015/00544</w:t>
    </w:r>
    <w:r w:rsidRPr="003432D3">
      <w:rPr>
        <w:rFonts w:ascii="Times New Roman" w:hAnsi="Times New Roman"/>
        <w:sz w:val="18"/>
        <w:szCs w:val="18"/>
      </w:rPr>
      <w:t>-REG</w:t>
    </w:r>
  </w:p>
  <w:p w14:paraId="565307DE" w14:textId="77777777" w:rsidR="006511C1" w:rsidRDefault="00651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E62"/>
    <w:multiLevelType w:val="hybridMultilevel"/>
    <w:tmpl w:val="2E028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91C32"/>
    <w:multiLevelType w:val="hybridMultilevel"/>
    <w:tmpl w:val="EB2C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181"/>
    <w:multiLevelType w:val="hybridMultilevel"/>
    <w:tmpl w:val="2AC65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205BC"/>
    <w:multiLevelType w:val="hybridMultilevel"/>
    <w:tmpl w:val="6C8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60F"/>
    <w:multiLevelType w:val="hybridMultilevel"/>
    <w:tmpl w:val="249E0D6C"/>
    <w:lvl w:ilvl="0" w:tplc="FFFFFFFF"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976621"/>
    <w:multiLevelType w:val="hybridMultilevel"/>
    <w:tmpl w:val="B12A378C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A436C"/>
    <w:multiLevelType w:val="hybridMultilevel"/>
    <w:tmpl w:val="59FEF6BE"/>
    <w:lvl w:ilvl="0" w:tplc="04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45FAF"/>
    <w:multiLevelType w:val="singleLevel"/>
    <w:tmpl w:val="DB2A6048"/>
    <w:lvl w:ilvl="0">
      <w:start w:val="1"/>
      <w:numFmt w:val="bullet"/>
      <w:pStyle w:val="A-FigureTitle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8" w15:restartNumberingAfterBreak="0">
    <w:nsid w:val="5E4417AC"/>
    <w:multiLevelType w:val="hybridMultilevel"/>
    <w:tmpl w:val="4FA8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103CC"/>
    <w:multiLevelType w:val="hybridMultilevel"/>
    <w:tmpl w:val="A6524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053E58"/>
    <w:multiLevelType w:val="hybridMultilevel"/>
    <w:tmpl w:val="F58460D2"/>
    <w:lvl w:ilvl="0" w:tplc="901AA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53CA2"/>
    <w:multiLevelType w:val="hybridMultilevel"/>
    <w:tmpl w:val="097C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17A6D"/>
    <w:rsid w:val="00001F34"/>
    <w:rsid w:val="0000285E"/>
    <w:rsid w:val="00003132"/>
    <w:rsid w:val="00006787"/>
    <w:rsid w:val="00012616"/>
    <w:rsid w:val="00013729"/>
    <w:rsid w:val="00014F9B"/>
    <w:rsid w:val="0002040E"/>
    <w:rsid w:val="000208AC"/>
    <w:rsid w:val="0002122B"/>
    <w:rsid w:val="0003143F"/>
    <w:rsid w:val="00031FEC"/>
    <w:rsid w:val="00035C15"/>
    <w:rsid w:val="000360F7"/>
    <w:rsid w:val="00051688"/>
    <w:rsid w:val="00056541"/>
    <w:rsid w:val="0006431D"/>
    <w:rsid w:val="0006503D"/>
    <w:rsid w:val="00065FE2"/>
    <w:rsid w:val="00077EF7"/>
    <w:rsid w:val="00077F88"/>
    <w:rsid w:val="00086F0D"/>
    <w:rsid w:val="00087CA5"/>
    <w:rsid w:val="000A0D07"/>
    <w:rsid w:val="000A45E8"/>
    <w:rsid w:val="000A634E"/>
    <w:rsid w:val="000C3207"/>
    <w:rsid w:val="000C7EA7"/>
    <w:rsid w:val="000D6243"/>
    <w:rsid w:val="000E7789"/>
    <w:rsid w:val="000F1B08"/>
    <w:rsid w:val="000F23EC"/>
    <w:rsid w:val="001006D5"/>
    <w:rsid w:val="001014EC"/>
    <w:rsid w:val="0010285C"/>
    <w:rsid w:val="00102CCB"/>
    <w:rsid w:val="0012099E"/>
    <w:rsid w:val="00125D92"/>
    <w:rsid w:val="00130368"/>
    <w:rsid w:val="001313F6"/>
    <w:rsid w:val="001330E6"/>
    <w:rsid w:val="0013423D"/>
    <w:rsid w:val="00141FBB"/>
    <w:rsid w:val="00161D59"/>
    <w:rsid w:val="001705A9"/>
    <w:rsid w:val="00170C4E"/>
    <w:rsid w:val="00174034"/>
    <w:rsid w:val="001764BF"/>
    <w:rsid w:val="00176A29"/>
    <w:rsid w:val="00180AD8"/>
    <w:rsid w:val="00181363"/>
    <w:rsid w:val="00183ED6"/>
    <w:rsid w:val="00185C6C"/>
    <w:rsid w:val="0018689A"/>
    <w:rsid w:val="00187730"/>
    <w:rsid w:val="00187B85"/>
    <w:rsid w:val="001910D7"/>
    <w:rsid w:val="001B0786"/>
    <w:rsid w:val="001B5CCC"/>
    <w:rsid w:val="001B6511"/>
    <w:rsid w:val="001B7A88"/>
    <w:rsid w:val="001C12A1"/>
    <w:rsid w:val="001C2721"/>
    <w:rsid w:val="001C37B8"/>
    <w:rsid w:val="001C4FE0"/>
    <w:rsid w:val="001C6F10"/>
    <w:rsid w:val="001D1077"/>
    <w:rsid w:val="001D3809"/>
    <w:rsid w:val="001E0E5C"/>
    <w:rsid w:val="001E392C"/>
    <w:rsid w:val="001F076B"/>
    <w:rsid w:val="001F376E"/>
    <w:rsid w:val="001F4001"/>
    <w:rsid w:val="001F4901"/>
    <w:rsid w:val="001F5DE4"/>
    <w:rsid w:val="002023C9"/>
    <w:rsid w:val="002038AD"/>
    <w:rsid w:val="0020548A"/>
    <w:rsid w:val="00205BC2"/>
    <w:rsid w:val="0021027E"/>
    <w:rsid w:val="0021152A"/>
    <w:rsid w:val="00215368"/>
    <w:rsid w:val="0021716C"/>
    <w:rsid w:val="0021735B"/>
    <w:rsid w:val="00222F1C"/>
    <w:rsid w:val="002318FF"/>
    <w:rsid w:val="002346A6"/>
    <w:rsid w:val="0024543C"/>
    <w:rsid w:val="00246D24"/>
    <w:rsid w:val="00247FAD"/>
    <w:rsid w:val="00250B40"/>
    <w:rsid w:val="00257122"/>
    <w:rsid w:val="00261192"/>
    <w:rsid w:val="00263367"/>
    <w:rsid w:val="00271BAB"/>
    <w:rsid w:val="002721FC"/>
    <w:rsid w:val="002754FE"/>
    <w:rsid w:val="00275D76"/>
    <w:rsid w:val="00277A03"/>
    <w:rsid w:val="002802CC"/>
    <w:rsid w:val="00290B87"/>
    <w:rsid w:val="002A3228"/>
    <w:rsid w:val="002B064B"/>
    <w:rsid w:val="002B3F7A"/>
    <w:rsid w:val="002B6EE7"/>
    <w:rsid w:val="002D0731"/>
    <w:rsid w:val="002D40FE"/>
    <w:rsid w:val="002D7FFB"/>
    <w:rsid w:val="002F2220"/>
    <w:rsid w:val="002F41C2"/>
    <w:rsid w:val="002F625D"/>
    <w:rsid w:val="00301BCF"/>
    <w:rsid w:val="003023F5"/>
    <w:rsid w:val="00306AF6"/>
    <w:rsid w:val="0030798D"/>
    <w:rsid w:val="003139D6"/>
    <w:rsid w:val="00313A76"/>
    <w:rsid w:val="00314A73"/>
    <w:rsid w:val="0033091F"/>
    <w:rsid w:val="003326EB"/>
    <w:rsid w:val="00332804"/>
    <w:rsid w:val="003402B8"/>
    <w:rsid w:val="003432D3"/>
    <w:rsid w:val="00355CAC"/>
    <w:rsid w:val="00356A71"/>
    <w:rsid w:val="00362534"/>
    <w:rsid w:val="0036382E"/>
    <w:rsid w:val="00364097"/>
    <w:rsid w:val="00367808"/>
    <w:rsid w:val="00371377"/>
    <w:rsid w:val="0037248E"/>
    <w:rsid w:val="00375EB2"/>
    <w:rsid w:val="00377A6C"/>
    <w:rsid w:val="0038319C"/>
    <w:rsid w:val="00387B15"/>
    <w:rsid w:val="00390281"/>
    <w:rsid w:val="00395C84"/>
    <w:rsid w:val="003B186A"/>
    <w:rsid w:val="003B3B5A"/>
    <w:rsid w:val="003B4E5F"/>
    <w:rsid w:val="003B64D7"/>
    <w:rsid w:val="003C1BFC"/>
    <w:rsid w:val="003C5E0C"/>
    <w:rsid w:val="003E0B02"/>
    <w:rsid w:val="003E4B15"/>
    <w:rsid w:val="003E4D1B"/>
    <w:rsid w:val="003F24D6"/>
    <w:rsid w:val="0040155F"/>
    <w:rsid w:val="0040184E"/>
    <w:rsid w:val="004070AF"/>
    <w:rsid w:val="00407919"/>
    <w:rsid w:val="00413B15"/>
    <w:rsid w:val="00417A6D"/>
    <w:rsid w:val="00422403"/>
    <w:rsid w:val="00424CB0"/>
    <w:rsid w:val="00424EED"/>
    <w:rsid w:val="00430462"/>
    <w:rsid w:val="00437019"/>
    <w:rsid w:val="004458AC"/>
    <w:rsid w:val="0045167F"/>
    <w:rsid w:val="00453B9F"/>
    <w:rsid w:val="00455F27"/>
    <w:rsid w:val="00463FDD"/>
    <w:rsid w:val="00465FA2"/>
    <w:rsid w:val="004666B3"/>
    <w:rsid w:val="00475AA9"/>
    <w:rsid w:val="00481D07"/>
    <w:rsid w:val="00494556"/>
    <w:rsid w:val="004963F3"/>
    <w:rsid w:val="004A2FAC"/>
    <w:rsid w:val="004B1AA8"/>
    <w:rsid w:val="004B61A6"/>
    <w:rsid w:val="004C0780"/>
    <w:rsid w:val="004D750A"/>
    <w:rsid w:val="004E25E6"/>
    <w:rsid w:val="004F09B4"/>
    <w:rsid w:val="00503C09"/>
    <w:rsid w:val="0050488A"/>
    <w:rsid w:val="005057DC"/>
    <w:rsid w:val="00505C60"/>
    <w:rsid w:val="00512301"/>
    <w:rsid w:val="00520102"/>
    <w:rsid w:val="00523C33"/>
    <w:rsid w:val="005315DC"/>
    <w:rsid w:val="00531EC4"/>
    <w:rsid w:val="005457F5"/>
    <w:rsid w:val="0055454F"/>
    <w:rsid w:val="0056204C"/>
    <w:rsid w:val="005633D9"/>
    <w:rsid w:val="00573338"/>
    <w:rsid w:val="00582581"/>
    <w:rsid w:val="005828B8"/>
    <w:rsid w:val="005838B1"/>
    <w:rsid w:val="00584127"/>
    <w:rsid w:val="005872A9"/>
    <w:rsid w:val="0059043A"/>
    <w:rsid w:val="00591E98"/>
    <w:rsid w:val="00592ECE"/>
    <w:rsid w:val="005953F0"/>
    <w:rsid w:val="00596AF0"/>
    <w:rsid w:val="005A138F"/>
    <w:rsid w:val="005A2084"/>
    <w:rsid w:val="005A2960"/>
    <w:rsid w:val="005A30C2"/>
    <w:rsid w:val="005A3237"/>
    <w:rsid w:val="005A46A8"/>
    <w:rsid w:val="005A65EC"/>
    <w:rsid w:val="005B3986"/>
    <w:rsid w:val="005B4B4A"/>
    <w:rsid w:val="005B54F4"/>
    <w:rsid w:val="005B5E5F"/>
    <w:rsid w:val="005C15CC"/>
    <w:rsid w:val="005C3AF9"/>
    <w:rsid w:val="005D1B1C"/>
    <w:rsid w:val="005E442B"/>
    <w:rsid w:val="005E7760"/>
    <w:rsid w:val="005F278C"/>
    <w:rsid w:val="005F3CDA"/>
    <w:rsid w:val="005F7EEC"/>
    <w:rsid w:val="0060238F"/>
    <w:rsid w:val="00606448"/>
    <w:rsid w:val="00606DAF"/>
    <w:rsid w:val="00612E81"/>
    <w:rsid w:val="0061467A"/>
    <w:rsid w:val="00621D63"/>
    <w:rsid w:val="00624F0E"/>
    <w:rsid w:val="00627B1C"/>
    <w:rsid w:val="00634C44"/>
    <w:rsid w:val="00642178"/>
    <w:rsid w:val="006446FE"/>
    <w:rsid w:val="006505D3"/>
    <w:rsid w:val="006511C1"/>
    <w:rsid w:val="00652453"/>
    <w:rsid w:val="0065445F"/>
    <w:rsid w:val="0065482C"/>
    <w:rsid w:val="00655156"/>
    <w:rsid w:val="00660707"/>
    <w:rsid w:val="00662ECF"/>
    <w:rsid w:val="0066533D"/>
    <w:rsid w:val="00667B00"/>
    <w:rsid w:val="00667FCD"/>
    <w:rsid w:val="00671163"/>
    <w:rsid w:val="00674CEE"/>
    <w:rsid w:val="00675389"/>
    <w:rsid w:val="00680FBD"/>
    <w:rsid w:val="0068108F"/>
    <w:rsid w:val="00684229"/>
    <w:rsid w:val="00685C8A"/>
    <w:rsid w:val="006925F2"/>
    <w:rsid w:val="00694B37"/>
    <w:rsid w:val="006A1242"/>
    <w:rsid w:val="006A2329"/>
    <w:rsid w:val="006A248B"/>
    <w:rsid w:val="006A32B2"/>
    <w:rsid w:val="006A4AAD"/>
    <w:rsid w:val="006A6B4E"/>
    <w:rsid w:val="006B543C"/>
    <w:rsid w:val="006B6885"/>
    <w:rsid w:val="006C178A"/>
    <w:rsid w:val="006C5247"/>
    <w:rsid w:val="006C596F"/>
    <w:rsid w:val="006C6146"/>
    <w:rsid w:val="006C76C1"/>
    <w:rsid w:val="006C7AA1"/>
    <w:rsid w:val="006D3391"/>
    <w:rsid w:val="006E1361"/>
    <w:rsid w:val="006E248A"/>
    <w:rsid w:val="006E614B"/>
    <w:rsid w:val="006F29CA"/>
    <w:rsid w:val="006F2DE1"/>
    <w:rsid w:val="006F57CE"/>
    <w:rsid w:val="00707370"/>
    <w:rsid w:val="00707FAD"/>
    <w:rsid w:val="00710454"/>
    <w:rsid w:val="0071506D"/>
    <w:rsid w:val="00725C8F"/>
    <w:rsid w:val="007358E6"/>
    <w:rsid w:val="00735FFE"/>
    <w:rsid w:val="007444D3"/>
    <w:rsid w:val="00747CFE"/>
    <w:rsid w:val="00753CEE"/>
    <w:rsid w:val="00767F42"/>
    <w:rsid w:val="00777D19"/>
    <w:rsid w:val="00781C3B"/>
    <w:rsid w:val="00781EFE"/>
    <w:rsid w:val="00785744"/>
    <w:rsid w:val="00796DDD"/>
    <w:rsid w:val="00796E32"/>
    <w:rsid w:val="007B075F"/>
    <w:rsid w:val="007B3512"/>
    <w:rsid w:val="007B40F6"/>
    <w:rsid w:val="007D280B"/>
    <w:rsid w:val="007D37AC"/>
    <w:rsid w:val="007F0254"/>
    <w:rsid w:val="007F0834"/>
    <w:rsid w:val="007F5434"/>
    <w:rsid w:val="00806A1E"/>
    <w:rsid w:val="0082272F"/>
    <w:rsid w:val="00835CA8"/>
    <w:rsid w:val="00844353"/>
    <w:rsid w:val="00844FAB"/>
    <w:rsid w:val="0085002C"/>
    <w:rsid w:val="00861C16"/>
    <w:rsid w:val="008662F4"/>
    <w:rsid w:val="008668F7"/>
    <w:rsid w:val="00867073"/>
    <w:rsid w:val="008677BB"/>
    <w:rsid w:val="00872D7D"/>
    <w:rsid w:val="00874881"/>
    <w:rsid w:val="00875B36"/>
    <w:rsid w:val="00876DEE"/>
    <w:rsid w:val="0088038D"/>
    <w:rsid w:val="0088767E"/>
    <w:rsid w:val="008A6014"/>
    <w:rsid w:val="008A6696"/>
    <w:rsid w:val="008A7CD1"/>
    <w:rsid w:val="008B4E87"/>
    <w:rsid w:val="008C0223"/>
    <w:rsid w:val="008C11D7"/>
    <w:rsid w:val="008C25FA"/>
    <w:rsid w:val="008C5654"/>
    <w:rsid w:val="008D0286"/>
    <w:rsid w:val="008D11D3"/>
    <w:rsid w:val="008D20D9"/>
    <w:rsid w:val="008D25F1"/>
    <w:rsid w:val="008D5066"/>
    <w:rsid w:val="008D6ECF"/>
    <w:rsid w:val="008D7514"/>
    <w:rsid w:val="008E18BE"/>
    <w:rsid w:val="008E37CB"/>
    <w:rsid w:val="008E5C04"/>
    <w:rsid w:val="008F202D"/>
    <w:rsid w:val="008F371F"/>
    <w:rsid w:val="008F6517"/>
    <w:rsid w:val="009066CD"/>
    <w:rsid w:val="00910AFC"/>
    <w:rsid w:val="0091436A"/>
    <w:rsid w:val="009271D5"/>
    <w:rsid w:val="00932397"/>
    <w:rsid w:val="00940050"/>
    <w:rsid w:val="00946F5B"/>
    <w:rsid w:val="00962428"/>
    <w:rsid w:val="00963DEB"/>
    <w:rsid w:val="009754C8"/>
    <w:rsid w:val="00975FA0"/>
    <w:rsid w:val="00990766"/>
    <w:rsid w:val="009A01DF"/>
    <w:rsid w:val="009A5792"/>
    <w:rsid w:val="009A5969"/>
    <w:rsid w:val="009B4441"/>
    <w:rsid w:val="009B5BEC"/>
    <w:rsid w:val="009B5C0D"/>
    <w:rsid w:val="009C02DF"/>
    <w:rsid w:val="009D2297"/>
    <w:rsid w:val="009D468D"/>
    <w:rsid w:val="009D7162"/>
    <w:rsid w:val="009E17B4"/>
    <w:rsid w:val="009E62BF"/>
    <w:rsid w:val="009F11A8"/>
    <w:rsid w:val="009F4374"/>
    <w:rsid w:val="009F7F46"/>
    <w:rsid w:val="00A0376D"/>
    <w:rsid w:val="00A07640"/>
    <w:rsid w:val="00A1136E"/>
    <w:rsid w:val="00A142D7"/>
    <w:rsid w:val="00A22FC1"/>
    <w:rsid w:val="00A241B8"/>
    <w:rsid w:val="00A24F5A"/>
    <w:rsid w:val="00A33223"/>
    <w:rsid w:val="00A434B4"/>
    <w:rsid w:val="00A4375E"/>
    <w:rsid w:val="00A43F93"/>
    <w:rsid w:val="00A44D9C"/>
    <w:rsid w:val="00A5349A"/>
    <w:rsid w:val="00A64058"/>
    <w:rsid w:val="00A67F3A"/>
    <w:rsid w:val="00A70AA8"/>
    <w:rsid w:val="00A7655A"/>
    <w:rsid w:val="00A86174"/>
    <w:rsid w:val="00AA7DE5"/>
    <w:rsid w:val="00AB192D"/>
    <w:rsid w:val="00AB3C65"/>
    <w:rsid w:val="00AC3031"/>
    <w:rsid w:val="00AC4C1F"/>
    <w:rsid w:val="00AD0A02"/>
    <w:rsid w:val="00AD146C"/>
    <w:rsid w:val="00AD4C26"/>
    <w:rsid w:val="00AE201E"/>
    <w:rsid w:val="00AE5BA5"/>
    <w:rsid w:val="00AF1AA1"/>
    <w:rsid w:val="00AF4B88"/>
    <w:rsid w:val="00B008D5"/>
    <w:rsid w:val="00B02C57"/>
    <w:rsid w:val="00B044CC"/>
    <w:rsid w:val="00B07666"/>
    <w:rsid w:val="00B10D96"/>
    <w:rsid w:val="00B10F6B"/>
    <w:rsid w:val="00B12426"/>
    <w:rsid w:val="00B137DE"/>
    <w:rsid w:val="00B14120"/>
    <w:rsid w:val="00B155F2"/>
    <w:rsid w:val="00B208FE"/>
    <w:rsid w:val="00B222B4"/>
    <w:rsid w:val="00B23B4D"/>
    <w:rsid w:val="00B2444E"/>
    <w:rsid w:val="00B428A3"/>
    <w:rsid w:val="00B43863"/>
    <w:rsid w:val="00B51C2F"/>
    <w:rsid w:val="00B51EFE"/>
    <w:rsid w:val="00B561A8"/>
    <w:rsid w:val="00B63DF7"/>
    <w:rsid w:val="00B70272"/>
    <w:rsid w:val="00B72616"/>
    <w:rsid w:val="00B727B6"/>
    <w:rsid w:val="00B75B63"/>
    <w:rsid w:val="00B82D4B"/>
    <w:rsid w:val="00B867AD"/>
    <w:rsid w:val="00B912DC"/>
    <w:rsid w:val="00B945E9"/>
    <w:rsid w:val="00BA14BC"/>
    <w:rsid w:val="00BA207A"/>
    <w:rsid w:val="00BA314B"/>
    <w:rsid w:val="00BB2226"/>
    <w:rsid w:val="00BB5345"/>
    <w:rsid w:val="00BB61B0"/>
    <w:rsid w:val="00BC19F6"/>
    <w:rsid w:val="00BC415B"/>
    <w:rsid w:val="00BD53D4"/>
    <w:rsid w:val="00BE7508"/>
    <w:rsid w:val="00BF5DF7"/>
    <w:rsid w:val="00BF5E0C"/>
    <w:rsid w:val="00C055C3"/>
    <w:rsid w:val="00C074AD"/>
    <w:rsid w:val="00C15868"/>
    <w:rsid w:val="00C179DF"/>
    <w:rsid w:val="00C235BE"/>
    <w:rsid w:val="00C26C12"/>
    <w:rsid w:val="00C32CDD"/>
    <w:rsid w:val="00C33ADC"/>
    <w:rsid w:val="00C42A55"/>
    <w:rsid w:val="00C4721A"/>
    <w:rsid w:val="00C51965"/>
    <w:rsid w:val="00C56814"/>
    <w:rsid w:val="00C63DC2"/>
    <w:rsid w:val="00C6759F"/>
    <w:rsid w:val="00C70334"/>
    <w:rsid w:val="00C77FC2"/>
    <w:rsid w:val="00C86E39"/>
    <w:rsid w:val="00C86FC3"/>
    <w:rsid w:val="00CA26E0"/>
    <w:rsid w:val="00CB48A4"/>
    <w:rsid w:val="00CC5B40"/>
    <w:rsid w:val="00CC733F"/>
    <w:rsid w:val="00CD1FB4"/>
    <w:rsid w:val="00CD3310"/>
    <w:rsid w:val="00CE6764"/>
    <w:rsid w:val="00CF2AE0"/>
    <w:rsid w:val="00CF4288"/>
    <w:rsid w:val="00CF686A"/>
    <w:rsid w:val="00D05BC4"/>
    <w:rsid w:val="00D05F46"/>
    <w:rsid w:val="00D116F1"/>
    <w:rsid w:val="00D1607E"/>
    <w:rsid w:val="00D20565"/>
    <w:rsid w:val="00D211FF"/>
    <w:rsid w:val="00D2563B"/>
    <w:rsid w:val="00D25C48"/>
    <w:rsid w:val="00D273AC"/>
    <w:rsid w:val="00D31EA4"/>
    <w:rsid w:val="00D33288"/>
    <w:rsid w:val="00D33388"/>
    <w:rsid w:val="00D33FF7"/>
    <w:rsid w:val="00D41FC3"/>
    <w:rsid w:val="00D4605E"/>
    <w:rsid w:val="00D50BBB"/>
    <w:rsid w:val="00D5157D"/>
    <w:rsid w:val="00D540F5"/>
    <w:rsid w:val="00D62A97"/>
    <w:rsid w:val="00D64C54"/>
    <w:rsid w:val="00D705F7"/>
    <w:rsid w:val="00D77BA0"/>
    <w:rsid w:val="00D808F1"/>
    <w:rsid w:val="00D81807"/>
    <w:rsid w:val="00D852C3"/>
    <w:rsid w:val="00DA55A3"/>
    <w:rsid w:val="00DA6FC0"/>
    <w:rsid w:val="00DB5DCE"/>
    <w:rsid w:val="00DB6649"/>
    <w:rsid w:val="00DB7632"/>
    <w:rsid w:val="00DC161B"/>
    <w:rsid w:val="00DC4E2B"/>
    <w:rsid w:val="00DC6158"/>
    <w:rsid w:val="00DD029F"/>
    <w:rsid w:val="00DD163E"/>
    <w:rsid w:val="00DD4537"/>
    <w:rsid w:val="00DD5603"/>
    <w:rsid w:val="00DD6BE5"/>
    <w:rsid w:val="00DE36A9"/>
    <w:rsid w:val="00DE557C"/>
    <w:rsid w:val="00DE79DB"/>
    <w:rsid w:val="00DF2443"/>
    <w:rsid w:val="00DF6DD1"/>
    <w:rsid w:val="00E160F7"/>
    <w:rsid w:val="00E22C78"/>
    <w:rsid w:val="00E23028"/>
    <w:rsid w:val="00E43583"/>
    <w:rsid w:val="00E4439F"/>
    <w:rsid w:val="00E66C4F"/>
    <w:rsid w:val="00E703FE"/>
    <w:rsid w:val="00E71641"/>
    <w:rsid w:val="00E72CB9"/>
    <w:rsid w:val="00E7467D"/>
    <w:rsid w:val="00E752A5"/>
    <w:rsid w:val="00E82249"/>
    <w:rsid w:val="00E910C0"/>
    <w:rsid w:val="00E914A6"/>
    <w:rsid w:val="00E91D66"/>
    <w:rsid w:val="00E97004"/>
    <w:rsid w:val="00EA5854"/>
    <w:rsid w:val="00EB2E02"/>
    <w:rsid w:val="00ED056B"/>
    <w:rsid w:val="00ED6199"/>
    <w:rsid w:val="00EE65FC"/>
    <w:rsid w:val="00EF199E"/>
    <w:rsid w:val="00EF1F5E"/>
    <w:rsid w:val="00EF4FAE"/>
    <w:rsid w:val="00F01BC1"/>
    <w:rsid w:val="00F0683D"/>
    <w:rsid w:val="00F20A93"/>
    <w:rsid w:val="00F244BE"/>
    <w:rsid w:val="00F367E9"/>
    <w:rsid w:val="00F370C9"/>
    <w:rsid w:val="00F42E8A"/>
    <w:rsid w:val="00F4456C"/>
    <w:rsid w:val="00F46C1B"/>
    <w:rsid w:val="00F5295E"/>
    <w:rsid w:val="00F544A9"/>
    <w:rsid w:val="00F63EF9"/>
    <w:rsid w:val="00F646D5"/>
    <w:rsid w:val="00F66CA6"/>
    <w:rsid w:val="00F66D1A"/>
    <w:rsid w:val="00F71FDD"/>
    <w:rsid w:val="00F83C56"/>
    <w:rsid w:val="00F93497"/>
    <w:rsid w:val="00F97A86"/>
    <w:rsid w:val="00FA06DB"/>
    <w:rsid w:val="00FA18CB"/>
    <w:rsid w:val="00FB2F62"/>
    <w:rsid w:val="00FC11AC"/>
    <w:rsid w:val="00FC55C5"/>
    <w:rsid w:val="00FD2731"/>
    <w:rsid w:val="00FD34AE"/>
    <w:rsid w:val="00FF1BC5"/>
    <w:rsid w:val="00FF4E0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847B4-9543-4B5F-A6DD-4444FB3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noProof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ind w:right="-2"/>
      <w:outlineLvl w:val="2"/>
    </w:pPr>
    <w:rPr>
      <w:i/>
      <w:iCs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right="-2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keepLines/>
      <w:autoSpaceDE w:val="0"/>
      <w:autoSpaceDN w:val="0"/>
      <w:adjustRightInd w:val="0"/>
      <w:spacing w:line="240" w:lineRule="auto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keepLines/>
      <w:spacing w:line="240" w:lineRule="auto"/>
      <w:outlineLvl w:val="6"/>
    </w:pPr>
    <w:rPr>
      <w:i/>
      <w:iCs/>
      <w:szCs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  <w:tab w:val="left" w:pos="540"/>
      </w:tabs>
      <w:spacing w:line="240" w:lineRule="auto"/>
      <w:ind w:left="547" w:hanging="547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A-Single">
    <w:name w:val="A-Single"/>
    <w:rPr>
      <w:rFonts w:eastAsia="Times New Roman"/>
      <w:sz w:val="24"/>
      <w:lang w:val="en-GB" w:eastAsia="en-US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TextChar">
    <w:name w:val="Comment Text Char"/>
    <w:semiHidden/>
    <w:rPr>
      <w:rFonts w:eastAsia="Times New Roman"/>
      <w:lang w:eastAsia="en-US"/>
    </w:rPr>
  </w:style>
  <w:style w:type="character" w:customStyle="1" w:styleId="CommentSubjectChar">
    <w:name w:val="Comment Subject Char"/>
    <w:rPr>
      <w:rFonts w:eastAsia="Times New Roman"/>
      <w:b/>
      <w:bCs/>
      <w:lang w:eastAsia="en-US"/>
    </w:rPr>
  </w:style>
  <w:style w:type="character" w:customStyle="1" w:styleId="Heading5Char">
    <w:name w:val="Heading 5 Char"/>
    <w:rPr>
      <w:rFonts w:eastAsia="Times New Roman"/>
      <w:noProof/>
      <w:sz w:val="22"/>
      <w:lang w:val="en-GB"/>
    </w:rPr>
  </w:style>
  <w:style w:type="paragraph" w:customStyle="1" w:styleId="A-Heading4">
    <w:name w:val="A-Heading 4"/>
    <w:next w:val="Normal"/>
    <w:pPr>
      <w:keepNext/>
      <w:spacing w:after="120"/>
      <w:outlineLvl w:val="3"/>
    </w:pPr>
    <w:rPr>
      <w:rFonts w:eastAsia="Times New Roman"/>
      <w:b/>
      <w:i/>
      <w:sz w:val="24"/>
      <w:lang w:val="en-GB" w:eastAsia="en-US"/>
    </w:rPr>
  </w:style>
  <w:style w:type="paragraph" w:customStyle="1" w:styleId="A-ListBullet">
    <w:name w:val="A-List Bullet"/>
    <w:pPr>
      <w:tabs>
        <w:tab w:val="num" w:pos="994"/>
      </w:tabs>
      <w:spacing w:after="240" w:line="280" w:lineRule="atLeast"/>
      <w:ind w:left="994" w:hanging="994"/>
    </w:pPr>
    <w:rPr>
      <w:rFonts w:eastAsia="Times New Roman"/>
      <w:sz w:val="24"/>
      <w:lang w:val="en-GB" w:eastAsia="en-US"/>
    </w:rPr>
  </w:style>
  <w:style w:type="paragraph" w:customStyle="1" w:styleId="A-TableText">
    <w:name w:val="A-Table Text"/>
    <w:pPr>
      <w:spacing w:before="60" w:after="60"/>
    </w:pPr>
    <w:rPr>
      <w:rFonts w:eastAsia="Times New Roman"/>
      <w:sz w:val="22"/>
      <w:lang w:val="en-GB" w:eastAsia="en-US"/>
    </w:rPr>
  </w:style>
  <w:style w:type="paragraph" w:customStyle="1" w:styleId="A-TableTitle">
    <w:name w:val="A-Table Title"/>
    <w:next w:val="Normal"/>
    <w:pPr>
      <w:keepNext/>
      <w:tabs>
        <w:tab w:val="left" w:pos="1800"/>
      </w:tabs>
      <w:spacing w:after="120" w:line="280" w:lineRule="atLeast"/>
      <w:ind w:left="1800" w:hanging="1800"/>
    </w:pPr>
    <w:rPr>
      <w:rFonts w:eastAsia="Times New Roman"/>
      <w:b/>
      <w:sz w:val="24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v-SE" w:eastAsia="sv-SE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ormalWeb">
    <w:name w:val="Normal (Web)"/>
    <w:basedOn w:val="Normal"/>
    <w:semiHidden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Arial Unicode MS" w:hAnsi="Arial"/>
      <w:szCs w:val="22"/>
      <w:lang w:val="en-US"/>
    </w:rPr>
  </w:style>
  <w:style w:type="paragraph" w:customStyle="1" w:styleId="A-TableHeader">
    <w:name w:val="A-Table Header"/>
    <w:next w:val="A-TableText"/>
    <w:pPr>
      <w:keepNext/>
      <w:spacing w:before="60" w:after="60"/>
    </w:pPr>
    <w:rPr>
      <w:rFonts w:eastAsia="Times New Roman"/>
      <w:b/>
      <w:sz w:val="22"/>
      <w:lang w:val="en-GB" w:eastAsia="en-US"/>
    </w:rPr>
  </w:style>
  <w:style w:type="paragraph" w:customStyle="1" w:styleId="A-TableFootnoteText">
    <w:name w:val="A-Table Footnote Text"/>
    <w:next w:val="Normal"/>
    <w:pPr>
      <w:tabs>
        <w:tab w:val="left" w:pos="432"/>
      </w:tabs>
      <w:ind w:left="432" w:hanging="432"/>
    </w:pPr>
    <w:rPr>
      <w:rFonts w:eastAsia="Times New Roman"/>
      <w:lang w:val="en-GB" w:eastAsia="en-US"/>
    </w:rPr>
  </w:style>
  <w:style w:type="paragraph" w:customStyle="1" w:styleId="A-FigureTitle">
    <w:name w:val="A-Figure Title"/>
    <w:next w:val="Normal"/>
    <w:pPr>
      <w:keepNext/>
      <w:numPr>
        <w:numId w:val="1"/>
      </w:numPr>
      <w:tabs>
        <w:tab w:val="left" w:pos="1800"/>
      </w:tabs>
      <w:spacing w:after="120" w:line="280" w:lineRule="atLeast"/>
    </w:pPr>
    <w:rPr>
      <w:rFonts w:eastAsia="Times New Roman"/>
      <w:b/>
      <w:sz w:val="24"/>
      <w:lang w:val="en-GB" w:eastAsia="en-US"/>
    </w:rPr>
  </w:style>
  <w:style w:type="paragraph" w:customStyle="1" w:styleId="A-Listi">
    <w:name w:val="A-List (i)"/>
    <w:next w:val="Normal"/>
    <w:pPr>
      <w:numPr>
        <w:numId w:val="2"/>
      </w:numPr>
      <w:spacing w:after="240" w:line="280" w:lineRule="atLeast"/>
    </w:pPr>
    <w:rPr>
      <w:rFonts w:eastAsia="Times New Roman"/>
      <w:sz w:val="24"/>
      <w:lang w:val="en-GB" w:eastAsia="en-US"/>
    </w:rPr>
  </w:style>
  <w:style w:type="paragraph" w:styleId="Revision">
    <w:name w:val="Revision"/>
    <w:hidden/>
    <w:semiHidden/>
    <w:rPr>
      <w:rFonts w:eastAsia="Times New Roman"/>
      <w:sz w:val="22"/>
      <w:lang w:val="en-GB" w:eastAsia="en-US"/>
    </w:rPr>
  </w:style>
  <w:style w:type="paragraph" w:customStyle="1" w:styleId="A-StudyTitle">
    <w:name w:val="A-Study Title"/>
    <w:pPr>
      <w:spacing w:after="120"/>
    </w:pPr>
    <w:rPr>
      <w:rFonts w:eastAsia="Times New Roman"/>
      <w:b/>
      <w:sz w:val="28"/>
      <w:lang w:val="en-GB" w:eastAsia="en-US"/>
    </w:rPr>
  </w:style>
  <w:style w:type="paragraph" w:customStyle="1" w:styleId="A-Unassigned">
    <w:name w:val="A-Unassigned"/>
    <w:next w:val="Normal"/>
    <w:pPr>
      <w:keepNext/>
      <w:spacing w:before="120" w:after="120"/>
    </w:pPr>
    <w:rPr>
      <w:rFonts w:eastAsia="Times New Roman"/>
      <w:b/>
      <w:sz w:val="24"/>
      <w:lang w:val="en-GB" w:eastAsia="en-US"/>
    </w:rPr>
  </w:style>
  <w:style w:type="paragraph" w:styleId="ListParagraph">
    <w:name w:val="List Paragraph"/>
    <w:basedOn w:val="Normal"/>
    <w:qFormat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styleId="BodyText2">
    <w:name w:val="Body Text 2"/>
    <w:basedOn w:val="Normal"/>
    <w:semiHidden/>
    <w:pPr>
      <w:numPr>
        <w:ilvl w:val="12"/>
      </w:numPr>
      <w:ind w:right="-2"/>
    </w:pPr>
    <w:rPr>
      <w:lang w:val="en-US"/>
    </w:rPr>
  </w:style>
  <w:style w:type="paragraph" w:styleId="BodyText3">
    <w:name w:val="Body Text 3"/>
    <w:basedOn w:val="Normal"/>
    <w:semiHidden/>
    <w:rPr>
      <w:color w:val="FF6600"/>
    </w:rPr>
  </w:style>
  <w:style w:type="paragraph" w:styleId="BodyTextIndent">
    <w:name w:val="Body Text Indent"/>
    <w:basedOn w:val="Normal"/>
    <w:semiHidden/>
    <w:pPr>
      <w:tabs>
        <w:tab w:val="clear" w:pos="567"/>
        <w:tab w:val="left" w:pos="540"/>
      </w:tabs>
      <w:spacing w:line="240" w:lineRule="auto"/>
      <w:ind w:left="547" w:hanging="547"/>
      <w:jc w:val="both"/>
    </w:pPr>
  </w:style>
  <w:style w:type="paragraph" w:styleId="BodyTextIndent2">
    <w:name w:val="Body Text Indent 2"/>
    <w:basedOn w:val="Normal"/>
    <w:semiHidden/>
    <w:pPr>
      <w:tabs>
        <w:tab w:val="clear" w:pos="567"/>
        <w:tab w:val="left" w:pos="540"/>
      </w:tabs>
      <w:spacing w:line="240" w:lineRule="auto"/>
      <w:ind w:left="547" w:hanging="547"/>
    </w:pPr>
  </w:style>
  <w:style w:type="table" w:styleId="TableGrid">
    <w:name w:val="Table Grid"/>
    <w:basedOn w:val="TableNormal"/>
    <w:uiPriority w:val="59"/>
    <w:rsid w:val="0066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0B02"/>
    <w:rPr>
      <w:color w:val="808080"/>
    </w:rPr>
  </w:style>
  <w:style w:type="paragraph" w:styleId="NoSpacing">
    <w:name w:val="No Spacing"/>
    <w:uiPriority w:val="99"/>
    <w:qFormat/>
    <w:rsid w:val="00796E3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5225</Words>
  <Characters>29787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Hqrdtemplatecleanen</vt:lpstr>
      <vt:lpstr>Hqrdtemplatecleanen</vt:lpstr>
    </vt:vector>
  </TitlesOfParts>
  <Company>European Medicines Agency</Company>
  <LinksUpToDate>false</LinksUpToDate>
  <CharactersWithSpaces>34943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Hqrdtemplatecleanen</dc:title>
  <dc:creator>PIQ-QRD</dc:creator>
  <cp:lastModifiedBy>Tana</cp:lastModifiedBy>
  <cp:revision>7</cp:revision>
  <cp:lastPrinted>2013-08-09T12:25:00Z</cp:lastPrinted>
  <dcterms:created xsi:type="dcterms:W3CDTF">2015-10-16T12:26:00Z</dcterms:created>
  <dcterms:modified xsi:type="dcterms:W3CDTF">2016-02-15T08:21:00Z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</Properties>
</file>