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7D" w:rsidRPr="00905199" w:rsidRDefault="00EA055A">
      <w:pPr>
        <w:widowControl w:val="0"/>
        <w:spacing w:line="240" w:lineRule="atLeast"/>
        <w:rPr>
          <w:bCs/>
          <w:iCs/>
          <w:noProof/>
          <w:szCs w:val="22"/>
          <w:lang w:val="sk-SK"/>
        </w:rPr>
      </w:pPr>
      <w:r w:rsidRPr="00AD7007">
        <w:rPr>
          <w:noProof/>
          <w:sz w:val="18"/>
          <w:szCs w:val="18"/>
          <w:lang w:val="sk-SK"/>
        </w:rPr>
        <w:t>Schválený text k rozhodnutiu o registrácii, ev. č.: 2014/05075-REG</w:t>
      </w:r>
    </w:p>
    <w:p w:rsidR="0000767D" w:rsidRPr="00905199" w:rsidRDefault="0000767D">
      <w:pPr>
        <w:widowControl w:val="0"/>
        <w:spacing w:line="240" w:lineRule="atLeast"/>
        <w:rPr>
          <w:bCs/>
          <w:iCs/>
          <w:noProof/>
          <w:szCs w:val="22"/>
          <w:lang w:val="sk-SK"/>
        </w:rPr>
      </w:pPr>
    </w:p>
    <w:p w:rsidR="0000767D" w:rsidRPr="00905199" w:rsidRDefault="003607C1">
      <w:pPr>
        <w:widowControl w:val="0"/>
        <w:jc w:val="center"/>
        <w:rPr>
          <w:b/>
          <w:szCs w:val="22"/>
          <w:lang w:val="sk-SK"/>
        </w:rPr>
      </w:pPr>
      <w:r w:rsidRPr="00AD7007">
        <w:rPr>
          <w:b/>
          <w:szCs w:val="22"/>
          <w:lang w:val="sk-SK"/>
        </w:rPr>
        <w:t>SÚHRN CHARAKTERISTICKÝCH VLASTNOSTÍ LIEKU</w:t>
      </w:r>
    </w:p>
    <w:p w:rsidR="00EA055A" w:rsidRPr="00AD7007" w:rsidRDefault="00EA055A">
      <w:pPr>
        <w:widowControl w:val="0"/>
        <w:jc w:val="center"/>
        <w:rPr>
          <w:bCs/>
          <w:iCs/>
          <w:noProof/>
          <w:szCs w:val="22"/>
          <w:lang w:val="sk-SK"/>
        </w:rPr>
      </w:pPr>
    </w:p>
    <w:p w:rsidR="0000767D" w:rsidRPr="00905199" w:rsidRDefault="003607C1">
      <w:pPr>
        <w:widowControl w:val="0"/>
        <w:rPr>
          <w:szCs w:val="22"/>
          <w:lang w:val="sk-SK"/>
        </w:rPr>
      </w:pPr>
      <w:r w:rsidRPr="00684ADF">
        <w:rPr>
          <w:b/>
          <w:szCs w:val="22"/>
          <w:lang w:val="sk-SK"/>
        </w:rPr>
        <w:t>1.</w:t>
      </w:r>
      <w:r w:rsidRPr="00684ADF">
        <w:rPr>
          <w:b/>
          <w:szCs w:val="22"/>
          <w:lang w:val="sk-SK"/>
        </w:rPr>
        <w:tab/>
        <w:t>NÁZOV LIEKU</w:t>
      </w:r>
    </w:p>
    <w:p w:rsidR="0000767D" w:rsidRPr="00905199" w:rsidRDefault="0000767D">
      <w:pPr>
        <w:rPr>
          <w:iCs/>
          <w:szCs w:val="22"/>
          <w:lang w:val="sk-SK"/>
        </w:rPr>
      </w:pPr>
    </w:p>
    <w:p w:rsidR="0000767D" w:rsidRPr="00AD7007" w:rsidRDefault="009F691D">
      <w:pPr>
        <w:rPr>
          <w:noProof/>
          <w:szCs w:val="22"/>
          <w:lang w:val="sk-SK"/>
        </w:rPr>
      </w:pPr>
      <w:r w:rsidRPr="00AD7007">
        <w:rPr>
          <w:bCs/>
          <w:noProof/>
          <w:szCs w:val="22"/>
          <w:lang w:val="sk-SK"/>
        </w:rPr>
        <w:t>Grippecton</w:t>
      </w:r>
      <w:r w:rsidR="003607C1" w:rsidRPr="00AD7007">
        <w:rPr>
          <w:noProof/>
          <w:szCs w:val="22"/>
          <w:lang w:val="sk-SK"/>
        </w:rPr>
        <w:t xml:space="preserve"> 200 mg/30 mg </w:t>
      </w:r>
      <w:r w:rsidR="000A5984" w:rsidRPr="00AD7007">
        <w:rPr>
          <w:noProof/>
          <w:szCs w:val="22"/>
          <w:lang w:val="sk-SK"/>
        </w:rPr>
        <w:t>f</w:t>
      </w:r>
      <w:r w:rsidR="003607C1" w:rsidRPr="00AD7007">
        <w:rPr>
          <w:noProof/>
          <w:szCs w:val="22"/>
          <w:lang w:val="sk-SK"/>
        </w:rPr>
        <w:t>ilmom obalen</w:t>
      </w:r>
      <w:r w:rsidR="000A5984" w:rsidRPr="00AD7007">
        <w:rPr>
          <w:noProof/>
          <w:szCs w:val="22"/>
          <w:lang w:val="sk-SK"/>
        </w:rPr>
        <w:t>é</w:t>
      </w:r>
      <w:r w:rsidR="003607C1" w:rsidRPr="00AD7007">
        <w:rPr>
          <w:noProof/>
          <w:szCs w:val="22"/>
          <w:lang w:val="sk-SK"/>
        </w:rPr>
        <w:t xml:space="preserve"> tablet</w:t>
      </w:r>
      <w:r w:rsidR="000A5984" w:rsidRPr="00AD7007">
        <w:rPr>
          <w:noProof/>
          <w:szCs w:val="22"/>
          <w:lang w:val="sk-SK"/>
        </w:rPr>
        <w:t>y</w:t>
      </w:r>
    </w:p>
    <w:p w:rsidR="0000767D" w:rsidRPr="00905199" w:rsidRDefault="0000767D">
      <w:pPr>
        <w:rPr>
          <w:noProof/>
          <w:szCs w:val="22"/>
          <w:lang w:val="sk-SK"/>
        </w:rPr>
      </w:pPr>
    </w:p>
    <w:p w:rsidR="0044542B" w:rsidRPr="00905199" w:rsidRDefault="0044542B">
      <w:pPr>
        <w:rPr>
          <w:noProof/>
          <w:szCs w:val="22"/>
          <w:lang w:val="sk-SK"/>
        </w:rPr>
      </w:pPr>
    </w:p>
    <w:p w:rsidR="0000767D" w:rsidRPr="00905199" w:rsidRDefault="003607C1">
      <w:pPr>
        <w:widowControl w:val="0"/>
        <w:rPr>
          <w:szCs w:val="22"/>
          <w:lang w:val="sk-SK"/>
        </w:rPr>
      </w:pPr>
      <w:r w:rsidRPr="00905199">
        <w:rPr>
          <w:b/>
          <w:szCs w:val="22"/>
          <w:lang w:val="sk-SK"/>
        </w:rPr>
        <w:t>2.</w:t>
      </w:r>
      <w:r w:rsidRPr="00905199">
        <w:rPr>
          <w:b/>
          <w:szCs w:val="22"/>
          <w:lang w:val="sk-SK"/>
        </w:rPr>
        <w:tab/>
        <w:t>KVALITATÍVNE A KVANTITATÍVNE ZLOŽENIE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pStyle w:val="EMEAEnBodyText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Každá filmom obalená tableta obsahuje 200 mg </w:t>
      </w:r>
      <w:proofErr w:type="spellStart"/>
      <w:r w:rsidRPr="00905199">
        <w:rPr>
          <w:szCs w:val="22"/>
          <w:lang w:val="sk-SK"/>
        </w:rPr>
        <w:t>ibuprof</w:t>
      </w:r>
      <w:r w:rsidR="000A5984" w:rsidRPr="00905199">
        <w:rPr>
          <w:szCs w:val="22"/>
          <w:lang w:val="sk-SK"/>
        </w:rPr>
        <w:t>e</w:t>
      </w:r>
      <w:r w:rsidRPr="00905199">
        <w:rPr>
          <w:szCs w:val="22"/>
          <w:lang w:val="sk-SK"/>
        </w:rPr>
        <w:t>nu</w:t>
      </w:r>
      <w:proofErr w:type="spellEnd"/>
      <w:r w:rsidRPr="00905199">
        <w:rPr>
          <w:szCs w:val="22"/>
          <w:lang w:val="sk-SK"/>
        </w:rPr>
        <w:t xml:space="preserve"> a 30 mg 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3607C1" w:rsidP="0044542B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05199">
        <w:rPr>
          <w:szCs w:val="22"/>
          <w:lang w:val="sk-SK"/>
        </w:rPr>
        <w:t>Úplný zoznam pomocných látok, pozri časť 6.1.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caps/>
          <w:szCs w:val="22"/>
          <w:lang w:val="sk-SK"/>
        </w:rPr>
      </w:pPr>
      <w:r w:rsidRPr="00905199">
        <w:rPr>
          <w:b/>
          <w:szCs w:val="22"/>
          <w:lang w:val="sk-SK"/>
        </w:rPr>
        <w:t>3.</w:t>
      </w:r>
      <w:r w:rsidRPr="00905199">
        <w:rPr>
          <w:b/>
          <w:szCs w:val="22"/>
          <w:lang w:val="sk-SK"/>
        </w:rPr>
        <w:tab/>
        <w:t>LIEKOVÁ FORMA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Filmom obalená tableta.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Žlté, okrúhle, filmom obalené tablety. </w:t>
      </w:r>
      <w:r w:rsidRPr="00905199">
        <w:rPr>
          <w:lang w:val="sk-SK"/>
        </w:rPr>
        <w:t xml:space="preserve">Priemer: približne 11 mm, </w:t>
      </w:r>
      <w:r w:rsidR="000A5984" w:rsidRPr="00905199">
        <w:rPr>
          <w:lang w:val="sk-SK"/>
        </w:rPr>
        <w:t>hrúbka</w:t>
      </w:r>
      <w:r w:rsidRPr="00905199">
        <w:rPr>
          <w:lang w:val="sk-SK"/>
        </w:rPr>
        <w:t>: približne 5 mm.</w:t>
      </w:r>
    </w:p>
    <w:p w:rsidR="0000767D" w:rsidRPr="00905199" w:rsidRDefault="0000767D">
      <w:pPr>
        <w:rPr>
          <w:szCs w:val="22"/>
          <w:lang w:val="sk-SK"/>
        </w:rPr>
      </w:pPr>
    </w:p>
    <w:p w:rsidR="0044542B" w:rsidRPr="00905199" w:rsidRDefault="0044542B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caps/>
          <w:szCs w:val="22"/>
          <w:lang w:val="sk-SK"/>
        </w:rPr>
      </w:pPr>
      <w:r w:rsidRPr="00905199">
        <w:rPr>
          <w:b/>
          <w:caps/>
          <w:szCs w:val="22"/>
          <w:lang w:val="sk-SK"/>
        </w:rPr>
        <w:t>4.</w:t>
      </w:r>
      <w:r w:rsidRPr="00905199">
        <w:rPr>
          <w:b/>
          <w:caps/>
          <w:szCs w:val="22"/>
          <w:lang w:val="sk-SK"/>
        </w:rPr>
        <w:tab/>
        <w:t>KLINICKÉ ÚDAJE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4.1</w:t>
      </w:r>
      <w:r w:rsidRPr="00905199">
        <w:rPr>
          <w:b/>
          <w:szCs w:val="22"/>
          <w:lang w:val="sk-SK"/>
        </w:rPr>
        <w:tab/>
        <w:t>Terapeutické indikácie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Symptomatická liečba upchatého nosa spojeného s akútnou </w:t>
      </w:r>
      <w:proofErr w:type="spellStart"/>
      <w:r w:rsidRPr="00905199">
        <w:rPr>
          <w:szCs w:val="22"/>
          <w:lang w:val="sk-SK"/>
        </w:rPr>
        <w:t>rinosinusitídou</w:t>
      </w:r>
      <w:proofErr w:type="spellEnd"/>
      <w:r w:rsidRPr="00905199">
        <w:rPr>
          <w:szCs w:val="22"/>
          <w:lang w:val="sk-SK"/>
        </w:rPr>
        <w:t xml:space="preserve"> s podozrením na vírusový pôvod, sprevádzaného bolesťou hlavy a/alebo horúčkou.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2654BB" w:rsidP="0044542B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Grippecton</w:t>
      </w:r>
      <w:proofErr w:type="spellEnd"/>
      <w:r w:rsidRPr="00905199">
        <w:rPr>
          <w:szCs w:val="22"/>
          <w:lang w:val="sk-SK"/>
        </w:rPr>
        <w:t xml:space="preserve"> 200 mg/30 mg</w:t>
      </w:r>
      <w:r w:rsidR="003607C1" w:rsidRPr="00905199">
        <w:rPr>
          <w:szCs w:val="22"/>
          <w:lang w:val="sk-SK"/>
        </w:rPr>
        <w:t xml:space="preserve"> je indikovaný u dospelých a dospievajúcich vo veku </w:t>
      </w:r>
      <w:r w:rsidR="003607C1" w:rsidRPr="00905199">
        <w:rPr>
          <w:noProof/>
          <w:szCs w:val="22"/>
          <w:lang w:val="sk-SK"/>
        </w:rPr>
        <w:t>15 rokov a starších.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4.2</w:t>
      </w:r>
      <w:r w:rsidRPr="00905199">
        <w:rPr>
          <w:b/>
          <w:szCs w:val="22"/>
          <w:lang w:val="sk-SK"/>
        </w:rPr>
        <w:tab/>
        <w:t>Dávkovanie a spôsob podávania</w:t>
      </w:r>
    </w:p>
    <w:p w:rsidR="0000767D" w:rsidRPr="00905199" w:rsidRDefault="0000767D">
      <w:pPr>
        <w:ind w:left="567" w:hanging="567"/>
        <w:rPr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05199">
        <w:rPr>
          <w:szCs w:val="22"/>
          <w:u w:val="single"/>
          <w:lang w:val="sk-SK"/>
        </w:rPr>
        <w:t>Dávkovanie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905199">
        <w:rPr>
          <w:i/>
          <w:szCs w:val="22"/>
          <w:lang w:val="sk-SK"/>
        </w:rPr>
        <w:t xml:space="preserve">Dospelí a dospievajúci vo veku </w:t>
      </w:r>
      <w:r w:rsidRPr="00905199">
        <w:rPr>
          <w:i/>
          <w:noProof/>
          <w:szCs w:val="22"/>
          <w:lang w:val="sk-SK"/>
        </w:rPr>
        <w:t>15 rokov a starší:</w:t>
      </w:r>
    </w:p>
    <w:p w:rsidR="0000767D" w:rsidRPr="00905199" w:rsidRDefault="000A598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05199">
        <w:rPr>
          <w:szCs w:val="22"/>
          <w:lang w:val="sk-SK"/>
        </w:rPr>
        <w:t>Jedna</w:t>
      </w:r>
      <w:r w:rsidR="003607C1" w:rsidRPr="00905199">
        <w:rPr>
          <w:szCs w:val="22"/>
          <w:lang w:val="sk-SK"/>
        </w:rPr>
        <w:t xml:space="preserve"> tableta (čo zodpovedá 200 mg </w:t>
      </w:r>
      <w:proofErr w:type="spellStart"/>
      <w:r w:rsidR="003607C1" w:rsidRPr="00905199">
        <w:rPr>
          <w:szCs w:val="22"/>
          <w:lang w:val="sk-SK"/>
        </w:rPr>
        <w:t>ibuprof</w:t>
      </w:r>
      <w:r w:rsidRPr="00905199">
        <w:rPr>
          <w:szCs w:val="22"/>
          <w:lang w:val="sk-SK"/>
        </w:rPr>
        <w:t>e</w:t>
      </w:r>
      <w:r w:rsidR="003607C1" w:rsidRPr="00905199">
        <w:rPr>
          <w:szCs w:val="22"/>
          <w:lang w:val="sk-SK"/>
        </w:rPr>
        <w:t>nu</w:t>
      </w:r>
      <w:proofErr w:type="spellEnd"/>
      <w:r w:rsidR="003607C1" w:rsidRPr="00905199">
        <w:rPr>
          <w:szCs w:val="22"/>
          <w:lang w:val="sk-SK"/>
        </w:rPr>
        <w:t xml:space="preserve"> a 30 mg </w:t>
      </w:r>
      <w:proofErr w:type="spellStart"/>
      <w:r w:rsidR="003607C1" w:rsidRPr="00905199">
        <w:rPr>
          <w:szCs w:val="22"/>
          <w:lang w:val="sk-SK"/>
        </w:rPr>
        <w:t>pseudoefedríniumchloridu</w:t>
      </w:r>
      <w:proofErr w:type="spellEnd"/>
      <w:r w:rsidR="003607C1" w:rsidRPr="00905199">
        <w:rPr>
          <w:szCs w:val="22"/>
          <w:lang w:val="sk-SK"/>
        </w:rPr>
        <w:t>) každých 6 hodín</w:t>
      </w:r>
      <w:r w:rsidRPr="00905199">
        <w:rPr>
          <w:szCs w:val="22"/>
          <w:lang w:val="sk-SK"/>
        </w:rPr>
        <w:t xml:space="preserve"> podľa potreby</w:t>
      </w:r>
      <w:r w:rsidR="003607C1" w:rsidRPr="00905199">
        <w:rPr>
          <w:szCs w:val="22"/>
          <w:lang w:val="sk-SK"/>
        </w:rPr>
        <w:t>.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Pri závažnejších príznakoch, 2 tablety (čo zodpovedá 400 mg </w:t>
      </w:r>
      <w:proofErr w:type="spellStart"/>
      <w:r w:rsidRPr="00905199">
        <w:rPr>
          <w:szCs w:val="22"/>
          <w:lang w:val="sk-SK"/>
        </w:rPr>
        <w:t>ibuprof</w:t>
      </w:r>
      <w:r w:rsidR="000A5984" w:rsidRPr="00905199">
        <w:rPr>
          <w:szCs w:val="22"/>
          <w:lang w:val="sk-SK"/>
        </w:rPr>
        <w:t>e</w:t>
      </w:r>
      <w:r w:rsidRPr="00905199">
        <w:rPr>
          <w:szCs w:val="22"/>
          <w:lang w:val="sk-SK"/>
        </w:rPr>
        <w:t>nu</w:t>
      </w:r>
      <w:proofErr w:type="spellEnd"/>
      <w:r w:rsidRPr="00905199">
        <w:rPr>
          <w:szCs w:val="22"/>
          <w:lang w:val="sk-SK"/>
        </w:rPr>
        <w:t xml:space="preserve"> a 60 mg 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>) každých 6 hodín</w:t>
      </w:r>
      <w:r w:rsidR="000A5984" w:rsidRPr="00905199">
        <w:rPr>
          <w:szCs w:val="22"/>
          <w:lang w:val="sk-SK"/>
        </w:rPr>
        <w:t xml:space="preserve"> podľa potreby</w:t>
      </w:r>
      <w:r w:rsidRPr="00905199">
        <w:rPr>
          <w:szCs w:val="22"/>
          <w:lang w:val="sk-SK"/>
        </w:rPr>
        <w:t xml:space="preserve">, do maximálnej celkovej dennej dávky 6 tabliet (čo zodpovedá 1 200 mg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a 180 mg 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>).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Maximálna celková denná dávka 6 tabliet (čo zodpovedá 1 200 mg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a 180 mg 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>) sa nesmie prekročiť.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Na krátkodobé použitie.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b/>
          <w:szCs w:val="22"/>
          <w:lang w:val="sk-SK"/>
        </w:rPr>
        <w:t>Pri zhoršení príznakov sa má pacient poradiť s lekárom. Maximálne trvanie liečby sú 4 dni pre dospelých a 3 dni pre dospievajúcich vo veku 15 rokov a starších.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Ak prevažuje jeden z príznakov, či už bolesť/horúčka alebo upchatý nos, má sa uprednostniť liečba jednozložkovým liekom.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Nežiaduce účinky sa môžu minimalizovať použitím najnižšej účinnej dávky počas čo najkratšieho času 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potrebného na potlačenie príznakov (pozri časť 4.4).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i/>
          <w:szCs w:val="22"/>
          <w:lang w:val="sk-SK"/>
        </w:rPr>
      </w:pPr>
      <w:r w:rsidRPr="00905199">
        <w:rPr>
          <w:i/>
          <w:szCs w:val="22"/>
          <w:lang w:val="sk-SK"/>
        </w:rPr>
        <w:t>Pediatrická populácia</w:t>
      </w:r>
    </w:p>
    <w:p w:rsidR="0000767D" w:rsidRPr="00905199" w:rsidRDefault="002654BB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lastRenderedPageBreak/>
        <w:t>Grippecton</w:t>
      </w:r>
      <w:proofErr w:type="spellEnd"/>
      <w:r w:rsidRPr="00905199">
        <w:rPr>
          <w:szCs w:val="22"/>
          <w:lang w:val="sk-SK"/>
        </w:rPr>
        <w:t xml:space="preserve"> 200 mg/30 mg</w:t>
      </w:r>
      <w:r w:rsidR="003607C1" w:rsidRPr="00905199">
        <w:rPr>
          <w:szCs w:val="22"/>
          <w:lang w:val="sk-SK"/>
        </w:rPr>
        <w:t xml:space="preserve"> je kontraindikovaný u pediatrických pacientov mladších ako 15 rokov (pozri časť 4.3).</w:t>
      </w:r>
    </w:p>
    <w:p w:rsidR="0000767D" w:rsidRPr="00905199" w:rsidRDefault="0000767D" w:rsidP="00AD7007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0767D" w:rsidRPr="00905199" w:rsidRDefault="003607C1">
      <w:pPr>
        <w:rPr>
          <w:szCs w:val="22"/>
          <w:u w:val="single"/>
          <w:lang w:val="sk-SK"/>
        </w:rPr>
      </w:pPr>
      <w:r w:rsidRPr="00905199">
        <w:rPr>
          <w:szCs w:val="22"/>
          <w:u w:val="single"/>
          <w:lang w:val="sk-SK"/>
        </w:rPr>
        <w:t>Spôsob podávania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Na perorálne použitie.</w:t>
      </w:r>
    </w:p>
    <w:p w:rsidR="0000767D" w:rsidRPr="00905199" w:rsidRDefault="003607C1" w:rsidP="0044542B">
      <w:pPr>
        <w:rPr>
          <w:szCs w:val="22"/>
          <w:lang w:val="sk-SK"/>
        </w:rPr>
      </w:pPr>
      <w:r w:rsidRPr="00905199">
        <w:rPr>
          <w:szCs w:val="22"/>
          <w:lang w:val="sk-SK"/>
        </w:rPr>
        <w:t>Tablety sa majú prehltnúť celé bez rozžuvania a zapiť veľkým pohárom vody, najlepšie počas jedla.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4.3</w:t>
      </w:r>
      <w:r w:rsidRPr="00905199">
        <w:rPr>
          <w:b/>
          <w:szCs w:val="22"/>
          <w:lang w:val="sk-SK"/>
        </w:rPr>
        <w:tab/>
        <w:t>Kontraindikácie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Precitlivenosť na </w:t>
      </w:r>
      <w:proofErr w:type="spellStart"/>
      <w:r w:rsidRPr="00905199">
        <w:rPr>
          <w:sz w:val="22"/>
          <w:szCs w:val="22"/>
          <w:lang w:val="sk-SK"/>
        </w:rPr>
        <w:t>ibupro</w:t>
      </w:r>
      <w:r w:rsidR="000A5984" w:rsidRPr="00905199">
        <w:rPr>
          <w:sz w:val="22"/>
          <w:szCs w:val="22"/>
          <w:lang w:val="sk-SK"/>
        </w:rPr>
        <w:t>fen</w:t>
      </w:r>
      <w:proofErr w:type="spellEnd"/>
      <w:r w:rsidRPr="00905199">
        <w:rPr>
          <w:sz w:val="22"/>
          <w:szCs w:val="22"/>
          <w:lang w:val="sk-SK"/>
        </w:rPr>
        <w:t xml:space="preserve">, </w:t>
      </w:r>
      <w:proofErr w:type="spellStart"/>
      <w:r w:rsidRPr="00905199">
        <w:rPr>
          <w:sz w:val="22"/>
          <w:szCs w:val="22"/>
          <w:lang w:val="sk-SK"/>
        </w:rPr>
        <w:t>pseudoefedríniumchlorid</w:t>
      </w:r>
      <w:proofErr w:type="spellEnd"/>
      <w:r w:rsidRPr="00905199">
        <w:rPr>
          <w:sz w:val="22"/>
          <w:szCs w:val="22"/>
          <w:lang w:val="sk-SK"/>
        </w:rPr>
        <w:t xml:space="preserve"> alebo na ktorúkoľvek z pomocných látok uvedených v časti 6.1,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Pacienti vo veku do 15 rokov,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Tehotné ženy počas tretieho </w:t>
      </w:r>
      <w:proofErr w:type="spellStart"/>
      <w:r w:rsidRPr="00905199">
        <w:rPr>
          <w:sz w:val="22"/>
          <w:szCs w:val="22"/>
          <w:lang w:val="sk-SK"/>
        </w:rPr>
        <w:t>trimestra</w:t>
      </w:r>
      <w:proofErr w:type="spellEnd"/>
      <w:r w:rsidRPr="00905199">
        <w:rPr>
          <w:sz w:val="22"/>
          <w:szCs w:val="22"/>
          <w:lang w:val="sk-SK"/>
        </w:rPr>
        <w:t xml:space="preserve"> gravidity (pozri časť 4.6),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Dojčiace ženy (pozri časť 4.6),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Pacienti s reakciami precitlivenosti (napr. </w:t>
      </w:r>
      <w:proofErr w:type="spellStart"/>
      <w:r w:rsidRPr="00905199">
        <w:rPr>
          <w:sz w:val="22"/>
          <w:szCs w:val="22"/>
          <w:lang w:val="sk-SK"/>
        </w:rPr>
        <w:t>bronchospazmus</w:t>
      </w:r>
      <w:proofErr w:type="spellEnd"/>
      <w:r w:rsidRPr="00905199">
        <w:rPr>
          <w:sz w:val="22"/>
          <w:szCs w:val="22"/>
          <w:lang w:val="sk-SK"/>
        </w:rPr>
        <w:t xml:space="preserve">, astma, </w:t>
      </w:r>
      <w:proofErr w:type="spellStart"/>
      <w:r w:rsidRPr="00905199">
        <w:rPr>
          <w:sz w:val="22"/>
          <w:szCs w:val="22"/>
          <w:lang w:val="sk-SK"/>
        </w:rPr>
        <w:t>rinitída</w:t>
      </w:r>
      <w:proofErr w:type="spellEnd"/>
      <w:r w:rsidRPr="00905199">
        <w:rPr>
          <w:sz w:val="22"/>
          <w:szCs w:val="22"/>
          <w:lang w:val="sk-SK"/>
        </w:rPr>
        <w:t xml:space="preserve">, </w:t>
      </w:r>
      <w:proofErr w:type="spellStart"/>
      <w:r w:rsidRPr="00905199">
        <w:rPr>
          <w:sz w:val="22"/>
          <w:szCs w:val="22"/>
          <w:lang w:val="sk-SK"/>
        </w:rPr>
        <w:t>angioedém</w:t>
      </w:r>
      <w:proofErr w:type="spellEnd"/>
      <w:r w:rsidRPr="00905199">
        <w:rPr>
          <w:sz w:val="22"/>
          <w:szCs w:val="22"/>
          <w:lang w:val="sk-SK"/>
        </w:rPr>
        <w:t xml:space="preserve"> alebo žihľavka) na kyselinu </w:t>
      </w:r>
      <w:proofErr w:type="spellStart"/>
      <w:r w:rsidRPr="00905199">
        <w:rPr>
          <w:sz w:val="22"/>
          <w:szCs w:val="22"/>
          <w:lang w:val="sk-SK"/>
        </w:rPr>
        <w:t>acetylsalicylovú</w:t>
      </w:r>
      <w:proofErr w:type="spellEnd"/>
      <w:r w:rsidRPr="00905199">
        <w:rPr>
          <w:sz w:val="22"/>
          <w:szCs w:val="22"/>
          <w:lang w:val="sk-SK"/>
        </w:rPr>
        <w:t xml:space="preserve"> alebo na iné </w:t>
      </w:r>
      <w:proofErr w:type="spellStart"/>
      <w:r w:rsidRPr="00905199">
        <w:rPr>
          <w:sz w:val="22"/>
          <w:szCs w:val="22"/>
          <w:lang w:val="sk-SK"/>
        </w:rPr>
        <w:t>nesteroidové</w:t>
      </w:r>
      <w:proofErr w:type="spellEnd"/>
      <w:r w:rsidRPr="00905199">
        <w:rPr>
          <w:sz w:val="22"/>
          <w:szCs w:val="22"/>
          <w:lang w:val="sk-SK"/>
        </w:rPr>
        <w:t xml:space="preserve"> protizápalové liečivá (</w:t>
      </w:r>
      <w:proofErr w:type="spellStart"/>
      <w:r w:rsidRPr="00905199">
        <w:rPr>
          <w:sz w:val="22"/>
          <w:szCs w:val="22"/>
          <w:lang w:val="sk-SK"/>
        </w:rPr>
        <w:t>NSAID</w:t>
      </w:r>
      <w:proofErr w:type="spellEnd"/>
      <w:r w:rsidRPr="00905199">
        <w:rPr>
          <w:sz w:val="22"/>
          <w:szCs w:val="22"/>
          <w:lang w:val="sk-SK"/>
        </w:rPr>
        <w:t>) v anamnéze,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proofErr w:type="spellStart"/>
      <w:r w:rsidRPr="00905199">
        <w:rPr>
          <w:sz w:val="22"/>
          <w:szCs w:val="22"/>
          <w:lang w:val="sk-SK"/>
        </w:rPr>
        <w:t>Gastrointestinálne</w:t>
      </w:r>
      <w:proofErr w:type="spellEnd"/>
      <w:r w:rsidRPr="00905199">
        <w:rPr>
          <w:sz w:val="22"/>
          <w:szCs w:val="22"/>
          <w:lang w:val="sk-SK"/>
        </w:rPr>
        <w:t xml:space="preserve"> krvácanie alebo perforácia, ktorá súvisela s predchádzajúcou liečbou </w:t>
      </w:r>
      <w:proofErr w:type="spellStart"/>
      <w:r w:rsidRPr="00905199">
        <w:rPr>
          <w:sz w:val="22"/>
          <w:szCs w:val="22"/>
          <w:lang w:val="sk-SK"/>
        </w:rPr>
        <w:t>NSAID</w:t>
      </w:r>
      <w:proofErr w:type="spellEnd"/>
      <w:r w:rsidRPr="00905199">
        <w:rPr>
          <w:sz w:val="22"/>
          <w:szCs w:val="22"/>
          <w:lang w:val="sk-SK"/>
        </w:rPr>
        <w:t xml:space="preserve"> v anamnéze,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Aktívny </w:t>
      </w:r>
      <w:proofErr w:type="spellStart"/>
      <w:r w:rsidRPr="00905199">
        <w:rPr>
          <w:sz w:val="22"/>
          <w:szCs w:val="22"/>
          <w:lang w:val="sk-SK"/>
        </w:rPr>
        <w:t>peptický</w:t>
      </w:r>
      <w:proofErr w:type="spellEnd"/>
      <w:r w:rsidRPr="00905199">
        <w:rPr>
          <w:sz w:val="22"/>
          <w:szCs w:val="22"/>
          <w:lang w:val="sk-SK"/>
        </w:rPr>
        <w:t xml:space="preserve"> vred alebo </w:t>
      </w:r>
      <w:proofErr w:type="spellStart"/>
      <w:r w:rsidRPr="00905199">
        <w:rPr>
          <w:sz w:val="22"/>
          <w:szCs w:val="22"/>
          <w:lang w:val="sk-SK"/>
        </w:rPr>
        <w:t>rekurentný</w:t>
      </w:r>
      <w:proofErr w:type="spellEnd"/>
      <w:r w:rsidRPr="00905199">
        <w:rPr>
          <w:sz w:val="22"/>
          <w:szCs w:val="22"/>
          <w:lang w:val="sk-SK"/>
        </w:rPr>
        <w:t xml:space="preserve"> vred/krvácanie (dve alebo viac odlišných epizód preukázaných vredov alebo krvácania) v anamnéze,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proofErr w:type="spellStart"/>
      <w:r w:rsidRPr="00905199">
        <w:rPr>
          <w:sz w:val="22"/>
          <w:szCs w:val="22"/>
          <w:lang w:val="sk-SK"/>
        </w:rPr>
        <w:t>Cerebrovaskulárne</w:t>
      </w:r>
      <w:proofErr w:type="spellEnd"/>
      <w:r w:rsidRPr="00905199">
        <w:rPr>
          <w:sz w:val="22"/>
          <w:szCs w:val="22"/>
          <w:lang w:val="sk-SK"/>
        </w:rPr>
        <w:t xml:space="preserve"> alebo iné krvácanie,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Neobjasnené poruchy krvotvorby,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Ťažká </w:t>
      </w:r>
      <w:proofErr w:type="spellStart"/>
      <w:r w:rsidRPr="00905199">
        <w:rPr>
          <w:sz w:val="22"/>
          <w:szCs w:val="22"/>
          <w:lang w:val="sk-SK"/>
        </w:rPr>
        <w:t>insuficiencia</w:t>
      </w:r>
      <w:proofErr w:type="spellEnd"/>
      <w:r w:rsidR="00FF7302" w:rsidRPr="00905199">
        <w:rPr>
          <w:sz w:val="22"/>
          <w:szCs w:val="22"/>
          <w:lang w:val="sk-SK"/>
        </w:rPr>
        <w:t xml:space="preserve"> pečene</w:t>
      </w:r>
      <w:r w:rsidRPr="00905199">
        <w:rPr>
          <w:sz w:val="22"/>
          <w:szCs w:val="22"/>
          <w:lang w:val="sk-SK"/>
        </w:rPr>
        <w:t>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Ťažké zlyhanie obličiek,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Ťažké zlyhanie srdca,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Ťažké kardiovaskulárne poruchy, koronárne ochorenie srdca (ochorenie srdca, hypertenzia, angína </w:t>
      </w:r>
      <w:proofErr w:type="spellStart"/>
      <w:r w:rsidRPr="00905199">
        <w:rPr>
          <w:sz w:val="22"/>
          <w:szCs w:val="22"/>
          <w:lang w:val="sk-SK"/>
        </w:rPr>
        <w:t>pe</w:t>
      </w:r>
      <w:r w:rsidR="00FF7302" w:rsidRPr="00905199">
        <w:rPr>
          <w:sz w:val="22"/>
          <w:szCs w:val="22"/>
          <w:lang w:val="sk-SK"/>
        </w:rPr>
        <w:t>k</w:t>
      </w:r>
      <w:r w:rsidRPr="00905199">
        <w:rPr>
          <w:sz w:val="22"/>
          <w:szCs w:val="22"/>
          <w:lang w:val="sk-SK"/>
        </w:rPr>
        <w:t>toris</w:t>
      </w:r>
      <w:proofErr w:type="spellEnd"/>
      <w:r w:rsidRPr="00905199">
        <w:rPr>
          <w:sz w:val="22"/>
          <w:szCs w:val="22"/>
          <w:lang w:val="sk-SK"/>
        </w:rPr>
        <w:t xml:space="preserve">) </w:t>
      </w:r>
      <w:proofErr w:type="spellStart"/>
      <w:r w:rsidRPr="00905199">
        <w:rPr>
          <w:sz w:val="22"/>
          <w:szCs w:val="22"/>
          <w:lang w:val="sk-SK"/>
        </w:rPr>
        <w:t>tachykardia</w:t>
      </w:r>
      <w:proofErr w:type="spellEnd"/>
      <w:r w:rsidRPr="00905199">
        <w:rPr>
          <w:sz w:val="22"/>
          <w:szCs w:val="22"/>
          <w:lang w:val="sk-SK"/>
        </w:rPr>
        <w:t xml:space="preserve">, </w:t>
      </w:r>
      <w:proofErr w:type="spellStart"/>
      <w:r w:rsidRPr="00905199">
        <w:rPr>
          <w:sz w:val="22"/>
          <w:szCs w:val="22"/>
          <w:lang w:val="sk-SK"/>
        </w:rPr>
        <w:t>hypertyreoidizmus</w:t>
      </w:r>
      <w:proofErr w:type="spellEnd"/>
      <w:r w:rsidRPr="00905199">
        <w:rPr>
          <w:sz w:val="22"/>
          <w:szCs w:val="22"/>
          <w:lang w:val="sk-SK"/>
        </w:rPr>
        <w:t xml:space="preserve">, cukrovka, </w:t>
      </w:r>
      <w:proofErr w:type="spellStart"/>
      <w:r w:rsidRPr="00905199">
        <w:rPr>
          <w:sz w:val="22"/>
          <w:szCs w:val="22"/>
          <w:lang w:val="sk-SK"/>
        </w:rPr>
        <w:t>feochromocytóm</w:t>
      </w:r>
      <w:proofErr w:type="spellEnd"/>
      <w:r w:rsidRPr="00905199">
        <w:rPr>
          <w:sz w:val="22"/>
          <w:szCs w:val="22"/>
          <w:lang w:val="sk-SK"/>
        </w:rPr>
        <w:t>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Cievna mozgová príhoda v anamnéze alebo prítomnosť rizikových faktorov vzniku mozgovej cievnej príhody (z dôvodu </w:t>
      </w:r>
      <w:proofErr w:type="spellStart"/>
      <w:r w:rsidRPr="00905199">
        <w:rPr>
          <w:sz w:val="22"/>
          <w:szCs w:val="22"/>
          <w:lang w:val="sk-SK"/>
        </w:rPr>
        <w:t>α-sympatomimetickej</w:t>
      </w:r>
      <w:proofErr w:type="spellEnd"/>
      <w:r w:rsidRPr="00905199">
        <w:rPr>
          <w:sz w:val="22"/>
          <w:szCs w:val="22"/>
          <w:lang w:val="sk-SK"/>
        </w:rPr>
        <w:t xml:space="preserve"> aktivity </w:t>
      </w:r>
      <w:proofErr w:type="spellStart"/>
      <w:r w:rsidRPr="00905199">
        <w:rPr>
          <w:sz w:val="22"/>
          <w:szCs w:val="22"/>
          <w:lang w:val="sk-SK"/>
        </w:rPr>
        <w:t>pseudoefedríniumchloridu</w:t>
      </w:r>
      <w:proofErr w:type="spellEnd"/>
      <w:r w:rsidRPr="00905199">
        <w:rPr>
          <w:sz w:val="22"/>
          <w:szCs w:val="22"/>
          <w:lang w:val="sk-SK"/>
        </w:rPr>
        <w:t>),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Riziko </w:t>
      </w:r>
      <w:proofErr w:type="spellStart"/>
      <w:r w:rsidRPr="00905199">
        <w:rPr>
          <w:sz w:val="22"/>
          <w:szCs w:val="22"/>
          <w:lang w:val="sk-SK"/>
        </w:rPr>
        <w:t>glaukómu</w:t>
      </w:r>
      <w:proofErr w:type="spellEnd"/>
      <w:r w:rsidRPr="00905199">
        <w:rPr>
          <w:sz w:val="22"/>
          <w:szCs w:val="22"/>
          <w:lang w:val="sk-SK"/>
        </w:rPr>
        <w:t xml:space="preserve"> s uzavretým uhlom,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Riziko </w:t>
      </w:r>
      <w:proofErr w:type="spellStart"/>
      <w:r w:rsidRPr="00905199">
        <w:rPr>
          <w:sz w:val="22"/>
          <w:szCs w:val="22"/>
          <w:lang w:val="sk-SK"/>
        </w:rPr>
        <w:t>retencie</w:t>
      </w:r>
      <w:proofErr w:type="spellEnd"/>
      <w:r w:rsidRPr="00905199">
        <w:rPr>
          <w:sz w:val="22"/>
          <w:szCs w:val="22"/>
          <w:lang w:val="sk-SK"/>
        </w:rPr>
        <w:t xml:space="preserve"> moču spojené s </w:t>
      </w:r>
      <w:proofErr w:type="spellStart"/>
      <w:r w:rsidRPr="00905199">
        <w:rPr>
          <w:sz w:val="22"/>
          <w:szCs w:val="22"/>
          <w:lang w:val="sk-SK"/>
        </w:rPr>
        <w:t>uretro-prostatickými</w:t>
      </w:r>
      <w:proofErr w:type="spellEnd"/>
      <w:r w:rsidRPr="00905199">
        <w:rPr>
          <w:sz w:val="22"/>
          <w:szCs w:val="22"/>
          <w:lang w:val="sk-SK"/>
        </w:rPr>
        <w:t xml:space="preserve"> poruchami,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Infarkt myokardu v anamnéze,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Záchvaty v anamnéze,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Systémový </w:t>
      </w:r>
      <w:proofErr w:type="spellStart"/>
      <w:r w:rsidRPr="00905199">
        <w:rPr>
          <w:sz w:val="22"/>
          <w:szCs w:val="22"/>
          <w:lang w:val="sk-SK"/>
        </w:rPr>
        <w:t>lupus</w:t>
      </w:r>
      <w:proofErr w:type="spellEnd"/>
      <w:r w:rsidRPr="00905199">
        <w:rPr>
          <w:sz w:val="22"/>
          <w:szCs w:val="22"/>
          <w:lang w:val="sk-SK"/>
        </w:rPr>
        <w:t xml:space="preserve"> </w:t>
      </w:r>
      <w:proofErr w:type="spellStart"/>
      <w:r w:rsidRPr="00905199">
        <w:rPr>
          <w:sz w:val="22"/>
          <w:szCs w:val="22"/>
          <w:lang w:val="sk-SK"/>
        </w:rPr>
        <w:t>erythematosus</w:t>
      </w:r>
      <w:proofErr w:type="spellEnd"/>
      <w:r w:rsidRPr="00905199">
        <w:rPr>
          <w:sz w:val="22"/>
          <w:szCs w:val="22"/>
          <w:lang w:val="sk-SK"/>
        </w:rPr>
        <w:t>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Súbežné používanie iných </w:t>
      </w:r>
      <w:proofErr w:type="spellStart"/>
      <w:r w:rsidRPr="00905199">
        <w:rPr>
          <w:sz w:val="22"/>
          <w:szCs w:val="22"/>
          <w:lang w:val="sk-SK"/>
        </w:rPr>
        <w:t>vazokonstrikčných</w:t>
      </w:r>
      <w:proofErr w:type="spellEnd"/>
      <w:r w:rsidRPr="00905199">
        <w:rPr>
          <w:sz w:val="22"/>
          <w:szCs w:val="22"/>
          <w:lang w:val="sk-SK"/>
        </w:rPr>
        <w:t xml:space="preserve"> látok používaných ako nosové </w:t>
      </w:r>
      <w:proofErr w:type="spellStart"/>
      <w:r w:rsidRPr="00905199">
        <w:rPr>
          <w:sz w:val="22"/>
          <w:szCs w:val="22"/>
          <w:lang w:val="sk-SK"/>
        </w:rPr>
        <w:t>dekongestíva</w:t>
      </w:r>
      <w:proofErr w:type="spellEnd"/>
      <w:r w:rsidRPr="00905199">
        <w:rPr>
          <w:sz w:val="22"/>
          <w:szCs w:val="22"/>
          <w:lang w:val="sk-SK"/>
        </w:rPr>
        <w:t xml:space="preserve">, či už perorálne podávané alebo podávané do nosa (napr. </w:t>
      </w:r>
      <w:proofErr w:type="spellStart"/>
      <w:r w:rsidRPr="00905199">
        <w:rPr>
          <w:sz w:val="22"/>
          <w:szCs w:val="22"/>
          <w:lang w:val="sk-SK"/>
        </w:rPr>
        <w:t>fenylpropanolamín</w:t>
      </w:r>
      <w:proofErr w:type="spellEnd"/>
      <w:r w:rsidRPr="00905199">
        <w:rPr>
          <w:sz w:val="22"/>
          <w:szCs w:val="22"/>
          <w:lang w:val="sk-SK"/>
        </w:rPr>
        <w:t xml:space="preserve">, </w:t>
      </w:r>
      <w:proofErr w:type="spellStart"/>
      <w:r w:rsidRPr="00905199">
        <w:rPr>
          <w:sz w:val="22"/>
          <w:szCs w:val="22"/>
          <w:lang w:val="sk-SK"/>
        </w:rPr>
        <w:t>fenylefrín</w:t>
      </w:r>
      <w:proofErr w:type="spellEnd"/>
      <w:r w:rsidRPr="00905199">
        <w:rPr>
          <w:sz w:val="22"/>
          <w:szCs w:val="22"/>
          <w:lang w:val="sk-SK"/>
        </w:rPr>
        <w:t xml:space="preserve"> a </w:t>
      </w:r>
      <w:proofErr w:type="spellStart"/>
      <w:r w:rsidRPr="00905199">
        <w:rPr>
          <w:sz w:val="22"/>
          <w:szCs w:val="22"/>
          <w:lang w:val="sk-SK"/>
        </w:rPr>
        <w:t>efedrín</w:t>
      </w:r>
      <w:proofErr w:type="spellEnd"/>
      <w:r w:rsidRPr="00905199">
        <w:rPr>
          <w:sz w:val="22"/>
          <w:szCs w:val="22"/>
          <w:lang w:val="sk-SK"/>
        </w:rPr>
        <w:t>) a </w:t>
      </w:r>
      <w:proofErr w:type="spellStart"/>
      <w:r w:rsidRPr="00905199">
        <w:rPr>
          <w:sz w:val="22"/>
          <w:szCs w:val="22"/>
          <w:lang w:val="sk-SK"/>
        </w:rPr>
        <w:t>metylfenidátu</w:t>
      </w:r>
      <w:proofErr w:type="spellEnd"/>
      <w:r w:rsidRPr="00905199">
        <w:rPr>
          <w:sz w:val="22"/>
          <w:szCs w:val="22"/>
          <w:lang w:val="sk-SK"/>
        </w:rPr>
        <w:t xml:space="preserve"> (pozri časť 4.5),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Súbežné používanie neselektívnych inhibítorov </w:t>
      </w:r>
      <w:proofErr w:type="spellStart"/>
      <w:r w:rsidRPr="00905199">
        <w:rPr>
          <w:sz w:val="22"/>
          <w:szCs w:val="22"/>
          <w:lang w:val="sk-SK"/>
        </w:rPr>
        <w:t>monoaminooxidázy</w:t>
      </w:r>
      <w:proofErr w:type="spellEnd"/>
      <w:r w:rsidRPr="00905199">
        <w:rPr>
          <w:sz w:val="22"/>
          <w:szCs w:val="22"/>
          <w:lang w:val="sk-SK"/>
        </w:rPr>
        <w:t xml:space="preserve"> (</w:t>
      </w:r>
      <w:proofErr w:type="spellStart"/>
      <w:r w:rsidRPr="00905199">
        <w:rPr>
          <w:sz w:val="22"/>
          <w:szCs w:val="22"/>
          <w:lang w:val="sk-SK"/>
        </w:rPr>
        <w:t>IMAO</w:t>
      </w:r>
      <w:proofErr w:type="spellEnd"/>
      <w:r w:rsidRPr="00905199">
        <w:rPr>
          <w:sz w:val="22"/>
          <w:szCs w:val="22"/>
          <w:lang w:val="sk-SK"/>
        </w:rPr>
        <w:t>) (</w:t>
      </w:r>
      <w:proofErr w:type="spellStart"/>
      <w:r w:rsidRPr="00905199">
        <w:rPr>
          <w:sz w:val="22"/>
          <w:szCs w:val="22"/>
          <w:lang w:val="sk-SK"/>
        </w:rPr>
        <w:t>iproniazid</w:t>
      </w:r>
      <w:proofErr w:type="spellEnd"/>
      <w:r w:rsidRPr="00905199">
        <w:rPr>
          <w:sz w:val="22"/>
          <w:szCs w:val="22"/>
          <w:lang w:val="sk-SK"/>
        </w:rPr>
        <w:t xml:space="preserve">) (pozri časť 4.5) alebo používanie inhibítorov </w:t>
      </w:r>
      <w:proofErr w:type="spellStart"/>
      <w:r w:rsidRPr="00905199">
        <w:rPr>
          <w:sz w:val="22"/>
          <w:szCs w:val="22"/>
          <w:lang w:val="sk-SK"/>
        </w:rPr>
        <w:t>monoaminooxidázy</w:t>
      </w:r>
      <w:proofErr w:type="spellEnd"/>
      <w:r w:rsidRPr="00905199">
        <w:rPr>
          <w:sz w:val="22"/>
          <w:szCs w:val="22"/>
          <w:lang w:val="sk-SK"/>
        </w:rPr>
        <w:t xml:space="preserve"> v priebehu posledných dvoch týždňov.</w:t>
      </w:r>
    </w:p>
    <w:p w:rsidR="0000767D" w:rsidRPr="00905199" w:rsidRDefault="0000767D">
      <w:pPr>
        <w:pStyle w:val="Default"/>
        <w:widowControl w:val="0"/>
        <w:ind w:left="284"/>
        <w:rPr>
          <w:sz w:val="22"/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4.4</w:t>
      </w:r>
      <w:r w:rsidRPr="00905199">
        <w:rPr>
          <w:b/>
          <w:szCs w:val="22"/>
          <w:lang w:val="sk-SK"/>
        </w:rPr>
        <w:tab/>
        <w:t>Osobitné upozornenia a opatrenia pri používaní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Súbežnému používaniu </w:t>
      </w:r>
      <w:proofErr w:type="spellStart"/>
      <w:r w:rsidR="002654BB" w:rsidRPr="00905199">
        <w:rPr>
          <w:szCs w:val="22"/>
          <w:lang w:val="sk-SK"/>
        </w:rPr>
        <w:t>Grippecton</w:t>
      </w:r>
      <w:r w:rsidR="00FF7302" w:rsidRPr="00905199">
        <w:rPr>
          <w:szCs w:val="22"/>
          <w:lang w:val="sk-SK"/>
        </w:rPr>
        <w:t>u</w:t>
      </w:r>
      <w:proofErr w:type="spellEnd"/>
      <w:r w:rsidR="002654BB" w:rsidRPr="00905199">
        <w:rPr>
          <w:szCs w:val="22"/>
          <w:lang w:val="sk-SK"/>
        </w:rPr>
        <w:t xml:space="preserve"> 200 mg/30 mg</w:t>
      </w:r>
      <w:r w:rsidRPr="00905199">
        <w:rPr>
          <w:szCs w:val="22"/>
          <w:lang w:val="sk-SK"/>
        </w:rPr>
        <w:t xml:space="preserve"> s inými </w:t>
      </w:r>
      <w:proofErr w:type="spellStart"/>
      <w:r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, vrátane selektívnych inhibítorov </w:t>
      </w:r>
      <w:proofErr w:type="spellStart"/>
      <w:r w:rsidRPr="00905199">
        <w:rPr>
          <w:szCs w:val="22"/>
          <w:lang w:val="sk-SK"/>
        </w:rPr>
        <w:t>cyklooxygenázy</w:t>
      </w:r>
      <w:proofErr w:type="spellEnd"/>
      <w:r w:rsidRPr="00905199">
        <w:rPr>
          <w:szCs w:val="22"/>
          <w:lang w:val="sk-SK"/>
        </w:rPr>
        <w:t xml:space="preserve"> (</w:t>
      </w:r>
      <w:proofErr w:type="spellStart"/>
      <w:r w:rsidRPr="00905199">
        <w:rPr>
          <w:szCs w:val="22"/>
          <w:lang w:val="sk-SK"/>
        </w:rPr>
        <w:t>COX</w:t>
      </w:r>
      <w:proofErr w:type="spellEnd"/>
      <w:r w:rsidRPr="00905199">
        <w:rPr>
          <w:szCs w:val="22"/>
          <w:lang w:val="sk-SK"/>
        </w:rPr>
        <w:t>)</w:t>
      </w:r>
      <w:r w:rsidRPr="00905199">
        <w:rPr>
          <w:szCs w:val="22"/>
          <w:lang w:val="sk-SK"/>
        </w:rPr>
        <w:noBreakHyphen/>
        <w:t>2, sa treba vyhnúť.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Nežiaduce účinky sa môžu zmierniť použitím minimálnej účinnej dávky počas čo najkratšieho času potrebného na potlačenie príznakov (pozri "</w:t>
      </w:r>
      <w:r w:rsidRPr="00905199">
        <w:rPr>
          <w:iCs/>
          <w:lang w:val="sk-SK"/>
        </w:rPr>
        <w:t xml:space="preserve">Účinky na </w:t>
      </w:r>
      <w:proofErr w:type="spellStart"/>
      <w:r w:rsidRPr="00905199">
        <w:rPr>
          <w:iCs/>
          <w:lang w:val="sk-SK"/>
        </w:rPr>
        <w:t>gastrointestinálny</w:t>
      </w:r>
      <w:proofErr w:type="spellEnd"/>
      <w:r w:rsidRPr="00905199">
        <w:rPr>
          <w:iCs/>
          <w:lang w:val="sk-SK"/>
        </w:rPr>
        <w:t xml:space="preserve"> trakt</w:t>
      </w:r>
      <w:r w:rsidRPr="00905199">
        <w:rPr>
          <w:szCs w:val="22"/>
          <w:lang w:val="sk-SK"/>
        </w:rPr>
        <w:t>" a "Kardiovaskulárne a </w:t>
      </w:r>
      <w:proofErr w:type="spellStart"/>
      <w:r w:rsidRPr="00905199">
        <w:rPr>
          <w:szCs w:val="22"/>
          <w:lang w:val="sk-SK"/>
        </w:rPr>
        <w:t>cerebrovaskulárne</w:t>
      </w:r>
      <w:proofErr w:type="spellEnd"/>
      <w:r w:rsidRPr="00905199">
        <w:rPr>
          <w:szCs w:val="22"/>
          <w:lang w:val="sk-SK"/>
        </w:rPr>
        <w:t xml:space="preserve"> účinky" nižšie).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k-SK"/>
        </w:rPr>
      </w:pPr>
      <w:r w:rsidRPr="00905199">
        <w:rPr>
          <w:szCs w:val="22"/>
          <w:lang w:val="sk-SK"/>
        </w:rPr>
        <w:t>Ak príznaky pretrvávajú dlhšie, ako je maximálne odporúčané trvanie liečby týmto liekom (4 dni pre dospelých a 3 dni pre dospievajúcich), liečba sa má prehodnotiť a predovšetkým sa má zvážiť prospešnosť liečby antibiotikami.</w:t>
      </w:r>
    </w:p>
    <w:p w:rsidR="0000767D" w:rsidRPr="00905199" w:rsidRDefault="0000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k-SK"/>
        </w:rPr>
      </w:pPr>
    </w:p>
    <w:p w:rsidR="0000767D" w:rsidRPr="00905199" w:rsidRDefault="00360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Akútna </w:t>
      </w:r>
      <w:proofErr w:type="spellStart"/>
      <w:r w:rsidRPr="00905199">
        <w:rPr>
          <w:szCs w:val="22"/>
          <w:lang w:val="sk-SK"/>
        </w:rPr>
        <w:t>rinosinusitída</w:t>
      </w:r>
      <w:proofErr w:type="spellEnd"/>
      <w:r w:rsidRPr="00905199">
        <w:rPr>
          <w:szCs w:val="22"/>
          <w:lang w:val="sk-SK"/>
        </w:rPr>
        <w:t xml:space="preserve"> s podozrením na vírusový pôvod sa vyznačuje obojstrannými </w:t>
      </w:r>
      <w:proofErr w:type="spellStart"/>
      <w:r w:rsidRPr="00905199">
        <w:rPr>
          <w:szCs w:val="22"/>
          <w:lang w:val="sk-SK"/>
        </w:rPr>
        <w:t>rinologickými</w:t>
      </w:r>
      <w:proofErr w:type="spellEnd"/>
      <w:r w:rsidRPr="00905199">
        <w:rPr>
          <w:szCs w:val="22"/>
          <w:lang w:val="sk-SK"/>
        </w:rPr>
        <w:t xml:space="preserve"> príznakmi strednej závažnosti s prevládajúcim upchatím nosa, so závažnou alebo </w:t>
      </w:r>
      <w:proofErr w:type="spellStart"/>
      <w:r w:rsidRPr="00905199">
        <w:rPr>
          <w:szCs w:val="22"/>
          <w:lang w:val="sk-SK"/>
        </w:rPr>
        <w:t>puriformnou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rinoreou</w:t>
      </w:r>
      <w:proofErr w:type="spellEnd"/>
      <w:r w:rsidRPr="00905199">
        <w:rPr>
          <w:szCs w:val="22"/>
          <w:lang w:val="sk-SK"/>
        </w:rPr>
        <w:t xml:space="preserve">, a vyskytuje sa v epidemickom kontexte. </w:t>
      </w:r>
      <w:proofErr w:type="spellStart"/>
      <w:r w:rsidRPr="00905199">
        <w:rPr>
          <w:szCs w:val="22"/>
          <w:lang w:val="sk-SK"/>
        </w:rPr>
        <w:t>Puriformný</w:t>
      </w:r>
      <w:proofErr w:type="spellEnd"/>
      <w:r w:rsidRPr="00905199">
        <w:rPr>
          <w:szCs w:val="22"/>
          <w:lang w:val="sk-SK"/>
        </w:rPr>
        <w:t xml:space="preserve"> vzhľad </w:t>
      </w:r>
      <w:proofErr w:type="spellStart"/>
      <w:r w:rsidRPr="00905199">
        <w:rPr>
          <w:szCs w:val="22"/>
          <w:lang w:val="sk-SK"/>
        </w:rPr>
        <w:t>rinorey</w:t>
      </w:r>
      <w:proofErr w:type="spellEnd"/>
      <w:r w:rsidRPr="00905199">
        <w:rPr>
          <w:szCs w:val="22"/>
          <w:lang w:val="sk-SK"/>
        </w:rPr>
        <w:t xml:space="preserve"> je častý a systematicky nezodpovedá bakteriálnej </w:t>
      </w:r>
      <w:proofErr w:type="spellStart"/>
      <w:r w:rsidRPr="00905199">
        <w:rPr>
          <w:szCs w:val="22"/>
          <w:lang w:val="sk-SK"/>
        </w:rPr>
        <w:t>superinfekcii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k-SK"/>
        </w:rPr>
      </w:pPr>
    </w:p>
    <w:p w:rsidR="0000767D" w:rsidRPr="00905199" w:rsidRDefault="00360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Bolesť dutín počas prvých dní ochorenia súvisí s upchatím sliznice dutín (akútna </w:t>
      </w:r>
      <w:proofErr w:type="spellStart"/>
      <w:r w:rsidRPr="00905199">
        <w:rPr>
          <w:szCs w:val="22"/>
          <w:lang w:val="sk-SK"/>
        </w:rPr>
        <w:t>kongestívna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rinosinusitída</w:t>
      </w:r>
      <w:proofErr w:type="spellEnd"/>
      <w:r w:rsidRPr="00905199">
        <w:rPr>
          <w:szCs w:val="22"/>
          <w:lang w:val="sk-SK"/>
        </w:rPr>
        <w:t>) a najčastejšie ustúpi spontánne.</w:t>
      </w:r>
    </w:p>
    <w:p w:rsidR="0000767D" w:rsidRPr="00905199" w:rsidRDefault="0000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k-SK"/>
        </w:rPr>
      </w:pPr>
    </w:p>
    <w:p w:rsidR="0000767D" w:rsidRPr="00F93CCF" w:rsidRDefault="00360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V prípade akútnej bakteriálnej </w:t>
      </w:r>
      <w:proofErr w:type="spellStart"/>
      <w:r w:rsidRPr="00905199">
        <w:rPr>
          <w:szCs w:val="22"/>
          <w:lang w:val="sk-SK"/>
        </w:rPr>
        <w:t>s</w:t>
      </w:r>
      <w:r w:rsidR="00905199">
        <w:rPr>
          <w:szCs w:val="22"/>
          <w:lang w:val="sk-SK"/>
        </w:rPr>
        <w:t>i</w:t>
      </w:r>
      <w:r w:rsidRPr="00905199">
        <w:rPr>
          <w:szCs w:val="22"/>
          <w:lang w:val="sk-SK"/>
        </w:rPr>
        <w:t>nusitíd</w:t>
      </w:r>
      <w:r w:rsidRPr="00684ADF">
        <w:rPr>
          <w:szCs w:val="22"/>
          <w:lang w:val="sk-SK"/>
        </w:rPr>
        <w:t>y</w:t>
      </w:r>
      <w:proofErr w:type="spellEnd"/>
      <w:r w:rsidRPr="00684ADF">
        <w:rPr>
          <w:szCs w:val="22"/>
          <w:lang w:val="sk-SK"/>
        </w:rPr>
        <w:t xml:space="preserve"> je odôvodnená liečba antibiotikami.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284" w:hanging="284"/>
        <w:rPr>
          <w:b/>
          <w:bCs/>
          <w:iCs/>
          <w:szCs w:val="22"/>
          <w:lang w:val="sk-SK"/>
        </w:rPr>
      </w:pPr>
      <w:r w:rsidRPr="00905199">
        <w:rPr>
          <w:b/>
          <w:bCs/>
          <w:i/>
          <w:iCs/>
          <w:szCs w:val="22"/>
          <w:lang w:val="sk-SK"/>
        </w:rPr>
        <w:t xml:space="preserve">Osobitné upozornenia súvisiace s </w:t>
      </w:r>
      <w:proofErr w:type="spellStart"/>
      <w:r w:rsidRPr="00905199">
        <w:rPr>
          <w:b/>
          <w:bCs/>
          <w:i/>
          <w:iCs/>
          <w:szCs w:val="22"/>
          <w:lang w:val="sk-SK"/>
        </w:rPr>
        <w:t>pseudoefedríniumchloridom</w:t>
      </w:r>
      <w:proofErr w:type="spellEnd"/>
      <w:r w:rsidRPr="00905199">
        <w:rPr>
          <w:b/>
          <w:bCs/>
          <w:i/>
          <w:iCs/>
          <w:szCs w:val="22"/>
          <w:lang w:val="sk-SK"/>
        </w:rPr>
        <w:t>: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Dávkovanie, odporúčané maximálne trvanie liečby (4 dni pre dospelých a 3 dni pre dospievajúcich) a kontraindikácie sa musia striktne dodržiavať (pozri časť 4.8).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Pacienti majú byť informovaní, že liečba sa musí ukončiť, ak sa u nich vyvinie hypertenzia, </w:t>
      </w:r>
      <w:proofErr w:type="spellStart"/>
      <w:r w:rsidRPr="00905199">
        <w:rPr>
          <w:sz w:val="22"/>
          <w:szCs w:val="22"/>
          <w:lang w:val="sk-SK"/>
        </w:rPr>
        <w:t>tachykardia</w:t>
      </w:r>
      <w:proofErr w:type="spellEnd"/>
      <w:r w:rsidRPr="00905199">
        <w:rPr>
          <w:sz w:val="22"/>
          <w:szCs w:val="22"/>
          <w:lang w:val="sk-SK"/>
        </w:rPr>
        <w:t xml:space="preserve">, </w:t>
      </w:r>
      <w:proofErr w:type="spellStart"/>
      <w:r w:rsidRPr="00905199">
        <w:rPr>
          <w:sz w:val="22"/>
          <w:szCs w:val="22"/>
          <w:lang w:val="sk-SK"/>
        </w:rPr>
        <w:t>palpitácie</w:t>
      </w:r>
      <w:proofErr w:type="spellEnd"/>
      <w:r w:rsidRPr="00905199">
        <w:rPr>
          <w:sz w:val="22"/>
          <w:szCs w:val="22"/>
          <w:lang w:val="sk-SK"/>
        </w:rPr>
        <w:t xml:space="preserve">, srdcové </w:t>
      </w:r>
      <w:proofErr w:type="spellStart"/>
      <w:r w:rsidRPr="00905199">
        <w:rPr>
          <w:sz w:val="22"/>
          <w:szCs w:val="22"/>
          <w:lang w:val="sk-SK"/>
        </w:rPr>
        <w:t>arytmie</w:t>
      </w:r>
      <w:proofErr w:type="spellEnd"/>
      <w:r w:rsidRPr="00905199">
        <w:rPr>
          <w:sz w:val="22"/>
          <w:szCs w:val="22"/>
          <w:lang w:val="sk-SK"/>
        </w:rPr>
        <w:t xml:space="preserve">, </w:t>
      </w:r>
      <w:proofErr w:type="spellStart"/>
      <w:r w:rsidRPr="00905199">
        <w:rPr>
          <w:sz w:val="22"/>
          <w:szCs w:val="22"/>
          <w:lang w:val="sk-SK"/>
        </w:rPr>
        <w:t>nauzea</w:t>
      </w:r>
      <w:proofErr w:type="spellEnd"/>
      <w:r w:rsidRPr="00905199">
        <w:rPr>
          <w:sz w:val="22"/>
          <w:szCs w:val="22"/>
          <w:lang w:val="sk-SK"/>
        </w:rPr>
        <w:t xml:space="preserve"> alebo akékoľvek neurologické príznaky, ako je nástup alebo zhoršenie bolesti hlavy.</w:t>
      </w:r>
    </w:p>
    <w:p w:rsidR="0000767D" w:rsidRPr="00905199" w:rsidRDefault="0000767D">
      <w:pPr>
        <w:pStyle w:val="Default"/>
        <w:widowControl w:val="0"/>
        <w:spacing w:after="87"/>
        <w:rPr>
          <w:sz w:val="22"/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Pred použitím tohto lieku majú pacienti kontaktovať svojho lekára v prípade: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Hypertenzie, ochorenia srdca, </w:t>
      </w:r>
      <w:proofErr w:type="spellStart"/>
      <w:r w:rsidRPr="00905199">
        <w:rPr>
          <w:sz w:val="22"/>
          <w:szCs w:val="22"/>
          <w:lang w:val="sk-SK"/>
        </w:rPr>
        <w:t>hypertyreoidizmu</w:t>
      </w:r>
      <w:proofErr w:type="spellEnd"/>
      <w:r w:rsidRPr="00905199">
        <w:rPr>
          <w:sz w:val="22"/>
          <w:szCs w:val="22"/>
          <w:lang w:val="sk-SK"/>
        </w:rPr>
        <w:t>, psychózy alebo cukrovky,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Súbežného podávania </w:t>
      </w:r>
      <w:proofErr w:type="spellStart"/>
      <w:r w:rsidRPr="00905199">
        <w:rPr>
          <w:sz w:val="22"/>
          <w:szCs w:val="22"/>
          <w:lang w:val="sk-SK"/>
        </w:rPr>
        <w:t>antimigrenóznych</w:t>
      </w:r>
      <w:proofErr w:type="spellEnd"/>
      <w:r w:rsidRPr="00905199">
        <w:rPr>
          <w:sz w:val="22"/>
          <w:szCs w:val="22"/>
          <w:lang w:val="sk-SK"/>
        </w:rPr>
        <w:t xml:space="preserve"> </w:t>
      </w:r>
      <w:r w:rsidR="00FF7302" w:rsidRPr="00905199">
        <w:rPr>
          <w:sz w:val="22"/>
          <w:szCs w:val="22"/>
          <w:lang w:val="sk-SK"/>
        </w:rPr>
        <w:t>liekov</w:t>
      </w:r>
      <w:r w:rsidRPr="00905199">
        <w:rPr>
          <w:sz w:val="22"/>
          <w:szCs w:val="22"/>
          <w:lang w:val="sk-SK"/>
        </w:rPr>
        <w:t xml:space="preserve">, hlavne </w:t>
      </w:r>
      <w:proofErr w:type="spellStart"/>
      <w:r w:rsidRPr="00905199">
        <w:rPr>
          <w:sz w:val="22"/>
          <w:szCs w:val="22"/>
          <w:lang w:val="sk-SK"/>
        </w:rPr>
        <w:t>vazokonstriktorov</w:t>
      </w:r>
      <w:proofErr w:type="spellEnd"/>
      <w:r w:rsidRPr="00905199">
        <w:rPr>
          <w:sz w:val="22"/>
          <w:szCs w:val="22"/>
          <w:lang w:val="sk-SK"/>
        </w:rPr>
        <w:t xml:space="preserve"> </w:t>
      </w:r>
      <w:proofErr w:type="spellStart"/>
      <w:r w:rsidRPr="00905199">
        <w:rPr>
          <w:sz w:val="22"/>
          <w:szCs w:val="22"/>
          <w:lang w:val="sk-SK"/>
        </w:rPr>
        <w:t>ergotamínových</w:t>
      </w:r>
      <w:proofErr w:type="spellEnd"/>
      <w:r w:rsidRPr="00905199">
        <w:rPr>
          <w:sz w:val="22"/>
          <w:szCs w:val="22"/>
          <w:lang w:val="sk-SK"/>
        </w:rPr>
        <w:t xml:space="preserve"> alkaloidov (z dôvodu </w:t>
      </w:r>
      <w:proofErr w:type="spellStart"/>
      <w:r w:rsidRPr="00905199">
        <w:rPr>
          <w:sz w:val="22"/>
          <w:szCs w:val="22"/>
          <w:lang w:val="sk-SK"/>
        </w:rPr>
        <w:t>α-sympatomimetickej</w:t>
      </w:r>
      <w:proofErr w:type="spellEnd"/>
      <w:r w:rsidRPr="00905199">
        <w:rPr>
          <w:sz w:val="22"/>
          <w:szCs w:val="22"/>
          <w:lang w:val="sk-SK"/>
        </w:rPr>
        <w:t xml:space="preserve"> aktivity </w:t>
      </w:r>
      <w:proofErr w:type="spellStart"/>
      <w:r w:rsidRPr="00905199">
        <w:rPr>
          <w:sz w:val="22"/>
          <w:szCs w:val="22"/>
          <w:lang w:val="sk-SK"/>
        </w:rPr>
        <w:t>pseudoefedrínu</w:t>
      </w:r>
      <w:proofErr w:type="spellEnd"/>
      <w:r w:rsidRPr="00905199">
        <w:rPr>
          <w:sz w:val="22"/>
          <w:szCs w:val="22"/>
          <w:lang w:val="sk-SK"/>
        </w:rPr>
        <w:t>),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Zmiešaných ochorení spojivových tkanív – tie zvyšujú riziko aseptickej </w:t>
      </w:r>
      <w:proofErr w:type="spellStart"/>
      <w:r w:rsidRPr="00905199">
        <w:rPr>
          <w:sz w:val="22"/>
          <w:szCs w:val="22"/>
          <w:lang w:val="sk-SK"/>
        </w:rPr>
        <w:t>meningitídy</w:t>
      </w:r>
      <w:proofErr w:type="spellEnd"/>
      <w:r w:rsidRPr="00905199">
        <w:rPr>
          <w:sz w:val="22"/>
          <w:szCs w:val="22"/>
          <w:lang w:val="sk-SK"/>
        </w:rPr>
        <w:t xml:space="preserve"> (pozri časť 4.8),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Neurologických príznakov ako sú záchvaty, halucinácie, poruchy správania, agitácia a </w:t>
      </w:r>
      <w:proofErr w:type="spellStart"/>
      <w:r w:rsidRPr="00905199">
        <w:rPr>
          <w:sz w:val="22"/>
          <w:szCs w:val="22"/>
          <w:lang w:val="sk-SK"/>
        </w:rPr>
        <w:t>insomnia</w:t>
      </w:r>
      <w:proofErr w:type="spellEnd"/>
      <w:r w:rsidRPr="00905199">
        <w:rPr>
          <w:sz w:val="22"/>
          <w:szCs w:val="22"/>
          <w:lang w:val="sk-SK"/>
        </w:rPr>
        <w:t xml:space="preserve">, ktoré boli popísané po systémovom podaní </w:t>
      </w:r>
      <w:proofErr w:type="spellStart"/>
      <w:r w:rsidRPr="00905199">
        <w:rPr>
          <w:sz w:val="22"/>
          <w:szCs w:val="22"/>
          <w:lang w:val="sk-SK"/>
        </w:rPr>
        <w:t>vazokonstriktorov</w:t>
      </w:r>
      <w:proofErr w:type="spellEnd"/>
      <w:r w:rsidRPr="00905199">
        <w:rPr>
          <w:sz w:val="22"/>
          <w:szCs w:val="22"/>
          <w:lang w:val="sk-SK"/>
        </w:rPr>
        <w:t xml:space="preserve">, najmä počas </w:t>
      </w:r>
      <w:proofErr w:type="spellStart"/>
      <w:r w:rsidRPr="00905199">
        <w:rPr>
          <w:sz w:val="22"/>
          <w:szCs w:val="22"/>
          <w:lang w:val="sk-SK"/>
        </w:rPr>
        <w:t>febrilných</w:t>
      </w:r>
      <w:proofErr w:type="spellEnd"/>
      <w:r w:rsidRPr="00905199">
        <w:rPr>
          <w:sz w:val="22"/>
          <w:szCs w:val="22"/>
          <w:lang w:val="sk-SK"/>
        </w:rPr>
        <w:t xml:space="preserve"> epizód alebo pri predávkovaní. Tieto symptómy sa častejšie hlásia u pediatrickej populácii.</w:t>
      </w:r>
    </w:p>
    <w:p w:rsidR="0000767D" w:rsidRPr="00905199" w:rsidRDefault="0000767D">
      <w:pPr>
        <w:pStyle w:val="Default"/>
        <w:widowControl w:val="0"/>
        <w:spacing w:after="87"/>
        <w:rPr>
          <w:sz w:val="22"/>
          <w:szCs w:val="22"/>
          <w:lang w:val="sk-SK"/>
        </w:rPr>
      </w:pPr>
    </w:p>
    <w:p w:rsidR="0000767D" w:rsidRPr="00905199" w:rsidRDefault="003607C1">
      <w:pPr>
        <w:pStyle w:val="Default"/>
        <w:widowControl w:val="0"/>
        <w:spacing w:after="87"/>
        <w:ind w:left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V dôsledku toho je vhodné: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vyhnúť sa podaniu </w:t>
      </w:r>
      <w:proofErr w:type="spellStart"/>
      <w:r w:rsidR="002654BB" w:rsidRPr="00905199">
        <w:rPr>
          <w:sz w:val="22"/>
          <w:szCs w:val="22"/>
          <w:lang w:val="sk-SK"/>
        </w:rPr>
        <w:t>Grippecton</w:t>
      </w:r>
      <w:r w:rsidR="00FF7302" w:rsidRPr="00905199">
        <w:rPr>
          <w:sz w:val="22"/>
          <w:szCs w:val="22"/>
          <w:lang w:val="sk-SK"/>
        </w:rPr>
        <w:t>u</w:t>
      </w:r>
      <w:proofErr w:type="spellEnd"/>
      <w:r w:rsidR="002654BB" w:rsidRPr="00905199">
        <w:rPr>
          <w:sz w:val="22"/>
          <w:szCs w:val="22"/>
          <w:lang w:val="sk-SK"/>
        </w:rPr>
        <w:t xml:space="preserve"> 200 mg/30 mg</w:t>
      </w:r>
      <w:r w:rsidRPr="00905199">
        <w:rPr>
          <w:sz w:val="22"/>
          <w:szCs w:val="22"/>
          <w:lang w:val="sk-SK"/>
        </w:rPr>
        <w:t xml:space="preserve"> buď v kombinácii s liekmi, ktoré môžu znižovať </w:t>
      </w:r>
      <w:proofErr w:type="spellStart"/>
      <w:r w:rsidRPr="00905199">
        <w:rPr>
          <w:sz w:val="22"/>
          <w:szCs w:val="22"/>
          <w:lang w:val="sk-SK"/>
        </w:rPr>
        <w:t>epileptogénny</w:t>
      </w:r>
      <w:proofErr w:type="spellEnd"/>
      <w:r w:rsidRPr="00905199">
        <w:rPr>
          <w:sz w:val="22"/>
          <w:szCs w:val="22"/>
          <w:lang w:val="sk-SK"/>
        </w:rPr>
        <w:t xml:space="preserve"> prah, ako sú deriváty </w:t>
      </w:r>
      <w:proofErr w:type="spellStart"/>
      <w:r w:rsidRPr="00905199">
        <w:rPr>
          <w:sz w:val="22"/>
          <w:szCs w:val="22"/>
          <w:lang w:val="sk-SK"/>
        </w:rPr>
        <w:t>terpénov</w:t>
      </w:r>
      <w:proofErr w:type="spellEnd"/>
      <w:r w:rsidRPr="00905199">
        <w:rPr>
          <w:sz w:val="22"/>
          <w:szCs w:val="22"/>
          <w:lang w:val="sk-SK"/>
        </w:rPr>
        <w:t xml:space="preserve">, </w:t>
      </w:r>
      <w:proofErr w:type="spellStart"/>
      <w:r w:rsidRPr="00905199">
        <w:rPr>
          <w:sz w:val="22"/>
          <w:szCs w:val="22"/>
          <w:lang w:val="sk-SK"/>
        </w:rPr>
        <w:t>klobutinol</w:t>
      </w:r>
      <w:proofErr w:type="spellEnd"/>
      <w:r w:rsidRPr="00905199">
        <w:rPr>
          <w:sz w:val="22"/>
          <w:szCs w:val="22"/>
          <w:lang w:val="sk-SK"/>
        </w:rPr>
        <w:t>, liečivá podobné atropínu a lokálne anestetiká, alebo v prípade záchvatov v anamnéze,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vo všetkých prípadoch striktne dodržiavať odporučené dávkovanie a informovať pacientov o riziku predávkovania, ak sa </w:t>
      </w:r>
      <w:proofErr w:type="spellStart"/>
      <w:r w:rsidR="002654BB" w:rsidRPr="00905199">
        <w:rPr>
          <w:sz w:val="22"/>
          <w:szCs w:val="22"/>
          <w:lang w:val="sk-SK"/>
        </w:rPr>
        <w:t>Grippecton</w:t>
      </w:r>
      <w:proofErr w:type="spellEnd"/>
      <w:r w:rsidR="002654BB" w:rsidRPr="00905199">
        <w:rPr>
          <w:sz w:val="22"/>
          <w:szCs w:val="22"/>
          <w:lang w:val="sk-SK"/>
        </w:rPr>
        <w:t xml:space="preserve"> 200 mg/30 mg</w:t>
      </w:r>
      <w:r w:rsidRPr="00905199">
        <w:rPr>
          <w:sz w:val="22"/>
          <w:szCs w:val="22"/>
          <w:lang w:val="sk-SK"/>
        </w:rPr>
        <w:t xml:space="preserve"> užíva súbežne s inými liekmi obsahujúcimi </w:t>
      </w:r>
      <w:proofErr w:type="spellStart"/>
      <w:r w:rsidRPr="00905199">
        <w:rPr>
          <w:sz w:val="22"/>
          <w:szCs w:val="22"/>
          <w:lang w:val="sk-SK"/>
        </w:rPr>
        <w:t>vazokonstriktory</w:t>
      </w:r>
      <w:proofErr w:type="spellEnd"/>
      <w:r w:rsidRPr="00905199">
        <w:rPr>
          <w:sz w:val="22"/>
          <w:szCs w:val="22"/>
          <w:lang w:val="sk-SK"/>
        </w:rPr>
        <w:t>.</w:t>
      </w:r>
    </w:p>
    <w:p w:rsidR="0000767D" w:rsidRPr="00905199" w:rsidRDefault="0000767D">
      <w:pPr>
        <w:pStyle w:val="Default"/>
        <w:widowControl w:val="0"/>
        <w:spacing w:after="87"/>
        <w:ind w:left="284"/>
        <w:rPr>
          <w:sz w:val="22"/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Pacienti s </w:t>
      </w:r>
      <w:proofErr w:type="spellStart"/>
      <w:r w:rsidRPr="00905199">
        <w:rPr>
          <w:szCs w:val="22"/>
          <w:lang w:val="sk-SK"/>
        </w:rPr>
        <w:t>uretro-prostatickými</w:t>
      </w:r>
      <w:proofErr w:type="spellEnd"/>
      <w:r w:rsidRPr="00905199">
        <w:rPr>
          <w:szCs w:val="22"/>
          <w:lang w:val="sk-SK"/>
        </w:rPr>
        <w:t xml:space="preserve"> poruchami sú náchylnejší na rozvoj symptómov, ako je </w:t>
      </w:r>
      <w:proofErr w:type="spellStart"/>
      <w:r w:rsidRPr="00905199">
        <w:rPr>
          <w:szCs w:val="22"/>
          <w:lang w:val="sk-SK"/>
        </w:rPr>
        <w:t>dyzúria</w:t>
      </w:r>
      <w:proofErr w:type="spellEnd"/>
      <w:r w:rsidRPr="00905199">
        <w:rPr>
          <w:szCs w:val="22"/>
          <w:lang w:val="sk-SK"/>
        </w:rPr>
        <w:t xml:space="preserve"> a retencia moču.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 w:rsidP="0044542B">
      <w:pPr>
        <w:rPr>
          <w:szCs w:val="22"/>
          <w:lang w:val="sk-SK"/>
        </w:rPr>
      </w:pPr>
      <w:r w:rsidRPr="00905199">
        <w:rPr>
          <w:szCs w:val="22"/>
          <w:lang w:val="sk-SK"/>
        </w:rPr>
        <w:t>Starší pacienti môžu byť citlivejší na účinky na centrálny nervový systém (</w:t>
      </w:r>
      <w:proofErr w:type="spellStart"/>
      <w:r w:rsidRPr="00905199">
        <w:rPr>
          <w:szCs w:val="22"/>
          <w:lang w:val="sk-SK"/>
        </w:rPr>
        <w:t>CNS</w:t>
      </w:r>
      <w:proofErr w:type="spellEnd"/>
      <w:r w:rsidRPr="00905199">
        <w:rPr>
          <w:szCs w:val="22"/>
          <w:lang w:val="sk-SK"/>
        </w:rPr>
        <w:t>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284" w:hanging="284"/>
        <w:rPr>
          <w:b/>
          <w:bCs/>
          <w:i/>
          <w:iCs/>
          <w:szCs w:val="22"/>
          <w:lang w:val="sk-SK"/>
        </w:rPr>
      </w:pPr>
      <w:r w:rsidRPr="00905199">
        <w:rPr>
          <w:b/>
          <w:bCs/>
          <w:i/>
          <w:iCs/>
          <w:szCs w:val="22"/>
          <w:lang w:val="sk-SK"/>
        </w:rPr>
        <w:t xml:space="preserve">Opatrenia pri používaní, ktoré súvisia s </w:t>
      </w:r>
      <w:proofErr w:type="spellStart"/>
      <w:r w:rsidRPr="00905199">
        <w:rPr>
          <w:b/>
          <w:bCs/>
          <w:i/>
          <w:iCs/>
          <w:szCs w:val="22"/>
          <w:lang w:val="sk-SK"/>
        </w:rPr>
        <w:t>pseudoefedríniumchloridom</w:t>
      </w:r>
      <w:proofErr w:type="spellEnd"/>
      <w:r w:rsidRPr="00905199">
        <w:rPr>
          <w:b/>
          <w:bCs/>
          <w:i/>
          <w:iCs/>
          <w:szCs w:val="22"/>
          <w:lang w:val="sk-SK"/>
        </w:rPr>
        <w:t>: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U pacientov, ktorí majú podstúpiť plánovaný chirurgický výkon, pri ktorom sa budú používať prchavé </w:t>
      </w:r>
      <w:proofErr w:type="spellStart"/>
      <w:r w:rsidRPr="00905199">
        <w:rPr>
          <w:sz w:val="22"/>
          <w:szCs w:val="22"/>
          <w:lang w:val="sk-SK"/>
        </w:rPr>
        <w:t>halogénované</w:t>
      </w:r>
      <w:proofErr w:type="spellEnd"/>
      <w:r w:rsidRPr="00905199">
        <w:rPr>
          <w:sz w:val="22"/>
          <w:szCs w:val="22"/>
          <w:lang w:val="sk-SK"/>
        </w:rPr>
        <w:t xml:space="preserve"> anestetiká, je vhodnejšie liečbu </w:t>
      </w:r>
      <w:proofErr w:type="spellStart"/>
      <w:r w:rsidR="002654BB" w:rsidRPr="00905199">
        <w:rPr>
          <w:sz w:val="22"/>
          <w:szCs w:val="22"/>
          <w:lang w:val="sk-SK"/>
        </w:rPr>
        <w:t>Grippecton</w:t>
      </w:r>
      <w:r w:rsidR="00476327" w:rsidRPr="00905199">
        <w:rPr>
          <w:sz w:val="22"/>
          <w:szCs w:val="22"/>
          <w:lang w:val="sk-SK"/>
        </w:rPr>
        <w:t>om</w:t>
      </w:r>
      <w:proofErr w:type="spellEnd"/>
      <w:r w:rsidR="002654BB" w:rsidRPr="00905199">
        <w:rPr>
          <w:sz w:val="22"/>
          <w:szCs w:val="22"/>
          <w:lang w:val="sk-SK"/>
        </w:rPr>
        <w:t xml:space="preserve"> 200 mg/30 mg</w:t>
      </w:r>
      <w:r w:rsidRPr="00905199">
        <w:rPr>
          <w:sz w:val="22"/>
          <w:szCs w:val="22"/>
          <w:lang w:val="sk-SK"/>
        </w:rPr>
        <w:t xml:space="preserve"> ukončiť niekoľko dní pred </w:t>
      </w:r>
      <w:r w:rsidRPr="00905199">
        <w:rPr>
          <w:sz w:val="22"/>
          <w:szCs w:val="22"/>
          <w:lang w:val="sk-SK"/>
        </w:rPr>
        <w:lastRenderedPageBreak/>
        <w:t>chirurgickým výkonom s ohľadom na riziko vzniku akútnej hypertenzie (pozri časť 4.5).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Atléti majú byť informovaní, že liečba </w:t>
      </w:r>
      <w:proofErr w:type="spellStart"/>
      <w:r w:rsidRPr="00905199">
        <w:rPr>
          <w:sz w:val="22"/>
          <w:szCs w:val="22"/>
          <w:lang w:val="sk-SK"/>
        </w:rPr>
        <w:t>pseudoefedríniumchloridom</w:t>
      </w:r>
      <w:proofErr w:type="spellEnd"/>
      <w:r w:rsidRPr="00905199">
        <w:rPr>
          <w:sz w:val="22"/>
          <w:szCs w:val="22"/>
          <w:lang w:val="sk-SK"/>
        </w:rPr>
        <w:t xml:space="preserve"> môže viesť k pozitívnym výsledkom antidopingových testov.</w:t>
      </w:r>
    </w:p>
    <w:p w:rsidR="0000767D" w:rsidRPr="00905199" w:rsidRDefault="0000767D" w:rsidP="00AD7007">
      <w:pPr>
        <w:rPr>
          <w:szCs w:val="22"/>
          <w:lang w:val="sk-SK"/>
        </w:rPr>
      </w:pPr>
    </w:p>
    <w:p w:rsidR="0000767D" w:rsidRPr="00905199" w:rsidRDefault="003607C1">
      <w:pPr>
        <w:ind w:left="284" w:hanging="284"/>
        <w:rPr>
          <w:szCs w:val="22"/>
          <w:u w:val="single"/>
          <w:lang w:val="sk-SK"/>
        </w:rPr>
      </w:pPr>
      <w:r w:rsidRPr="00905199">
        <w:rPr>
          <w:szCs w:val="22"/>
          <w:u w:val="single"/>
          <w:lang w:val="sk-SK"/>
        </w:rPr>
        <w:t xml:space="preserve">Interferencia so </w:t>
      </w:r>
      <w:proofErr w:type="spellStart"/>
      <w:r w:rsidRPr="00905199">
        <w:rPr>
          <w:szCs w:val="22"/>
          <w:u w:val="single"/>
          <w:lang w:val="sk-SK"/>
        </w:rPr>
        <w:t>sérologickými</w:t>
      </w:r>
      <w:proofErr w:type="spellEnd"/>
      <w:r w:rsidRPr="00905199">
        <w:rPr>
          <w:szCs w:val="22"/>
          <w:u w:val="single"/>
          <w:lang w:val="sk-SK"/>
        </w:rPr>
        <w:t xml:space="preserve"> testami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Pseudoefedrín</w:t>
      </w:r>
      <w:proofErr w:type="spellEnd"/>
      <w:r w:rsidRPr="00905199">
        <w:rPr>
          <w:szCs w:val="22"/>
          <w:lang w:val="sk-SK"/>
        </w:rPr>
        <w:t xml:space="preserve"> má potenciál znižovať spätné vychytávanie </w:t>
      </w:r>
      <w:proofErr w:type="spellStart"/>
      <w:r w:rsidRPr="00905199">
        <w:rPr>
          <w:szCs w:val="22"/>
          <w:lang w:val="sk-SK"/>
        </w:rPr>
        <w:t>jobenguánu</w:t>
      </w:r>
      <w:proofErr w:type="spellEnd"/>
      <w:r w:rsidRPr="00905199">
        <w:rPr>
          <w:szCs w:val="22"/>
          <w:lang w:val="sk-SK"/>
        </w:rPr>
        <w:t> </w:t>
      </w:r>
      <w:r w:rsidR="00064D60" w:rsidRPr="00AD7007">
        <w:rPr>
          <w:szCs w:val="22"/>
          <w:vertAlign w:val="superscript"/>
          <w:lang w:val="sk-SK"/>
        </w:rPr>
        <w:t>131</w:t>
      </w:r>
      <w:r w:rsidR="00064D60" w:rsidRPr="00AD7007">
        <w:rPr>
          <w:szCs w:val="22"/>
          <w:lang w:val="sk-SK"/>
        </w:rPr>
        <w:t>I</w:t>
      </w:r>
      <w:r w:rsidRPr="00905199">
        <w:rPr>
          <w:szCs w:val="22"/>
          <w:lang w:val="sk-SK"/>
        </w:rPr>
        <w:t xml:space="preserve"> v </w:t>
      </w:r>
      <w:proofErr w:type="spellStart"/>
      <w:r w:rsidRPr="00905199">
        <w:rPr>
          <w:szCs w:val="22"/>
          <w:lang w:val="sk-SK"/>
        </w:rPr>
        <w:t>neuroendokrinných</w:t>
      </w:r>
      <w:proofErr w:type="spellEnd"/>
      <w:r w:rsidRPr="00684ADF">
        <w:rPr>
          <w:szCs w:val="22"/>
          <w:lang w:val="sk-SK"/>
        </w:rPr>
        <w:t xml:space="preserve"> nádoroch, teda interferuje so </w:t>
      </w:r>
      <w:proofErr w:type="spellStart"/>
      <w:r w:rsidRPr="00684ADF">
        <w:rPr>
          <w:szCs w:val="22"/>
          <w:lang w:val="sk-SK"/>
        </w:rPr>
        <w:t>scintigrafiou</w:t>
      </w:r>
      <w:proofErr w:type="spellEnd"/>
      <w:r w:rsidRPr="00684ADF">
        <w:rPr>
          <w:szCs w:val="22"/>
          <w:lang w:val="sk-SK"/>
        </w:rPr>
        <w:t>.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ind w:left="284" w:hanging="284"/>
        <w:rPr>
          <w:b/>
          <w:bCs/>
          <w:i/>
          <w:iCs/>
          <w:szCs w:val="22"/>
          <w:lang w:val="sk-SK"/>
        </w:rPr>
      </w:pPr>
      <w:r w:rsidRPr="00905199">
        <w:rPr>
          <w:b/>
          <w:bCs/>
          <w:i/>
          <w:iCs/>
          <w:szCs w:val="22"/>
          <w:lang w:val="sk-SK"/>
        </w:rPr>
        <w:t xml:space="preserve">Osobitné upozornenia súvisiace s </w:t>
      </w:r>
      <w:proofErr w:type="spellStart"/>
      <w:r w:rsidRPr="00905199">
        <w:rPr>
          <w:b/>
          <w:bCs/>
          <w:i/>
          <w:iCs/>
          <w:szCs w:val="22"/>
          <w:lang w:val="sk-SK"/>
        </w:rPr>
        <w:t>ibupro</w:t>
      </w:r>
      <w:r w:rsidR="000A5984" w:rsidRPr="00905199">
        <w:rPr>
          <w:b/>
          <w:bCs/>
          <w:i/>
          <w:iCs/>
          <w:szCs w:val="22"/>
          <w:lang w:val="sk-SK"/>
        </w:rPr>
        <w:t>fen</w:t>
      </w:r>
      <w:r w:rsidRPr="00905199">
        <w:rPr>
          <w:b/>
          <w:bCs/>
          <w:i/>
          <w:iCs/>
          <w:szCs w:val="22"/>
          <w:lang w:val="sk-SK"/>
        </w:rPr>
        <w:t>om</w:t>
      </w:r>
      <w:proofErr w:type="spellEnd"/>
      <w:r w:rsidRPr="00905199">
        <w:rPr>
          <w:b/>
          <w:bCs/>
          <w:i/>
          <w:iCs/>
          <w:szCs w:val="22"/>
          <w:lang w:val="sk-SK"/>
        </w:rPr>
        <w:t>: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Vznik </w:t>
      </w:r>
      <w:proofErr w:type="spellStart"/>
      <w:r w:rsidRPr="00905199">
        <w:rPr>
          <w:szCs w:val="22"/>
          <w:lang w:val="sk-SK"/>
        </w:rPr>
        <w:t>bronchospazmu</w:t>
      </w:r>
      <w:proofErr w:type="spellEnd"/>
      <w:r w:rsidRPr="00905199">
        <w:rPr>
          <w:szCs w:val="22"/>
          <w:lang w:val="sk-SK"/>
        </w:rPr>
        <w:t xml:space="preserve"> môže byť urýchlený u pacientov trpiacich bronchiálnou astmou alebo alergickým ochorením alebo s týmito ochoreniami v anamnéze. Liek sa v prípadoch astmy nemá užívať bez predošlej konzultácie s lekárom (pozri časť 4.3).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Pacienti, ktorí majú astmu spojenú s chronickou </w:t>
      </w:r>
      <w:proofErr w:type="spellStart"/>
      <w:r w:rsidRPr="00905199">
        <w:rPr>
          <w:szCs w:val="22"/>
          <w:lang w:val="sk-SK"/>
        </w:rPr>
        <w:t>rinitídou</w:t>
      </w:r>
      <w:proofErr w:type="spellEnd"/>
      <w:r w:rsidRPr="00905199">
        <w:rPr>
          <w:szCs w:val="22"/>
          <w:lang w:val="sk-SK"/>
        </w:rPr>
        <w:t xml:space="preserve">, chronickou </w:t>
      </w:r>
      <w:proofErr w:type="spellStart"/>
      <w:r w:rsidRPr="00905199">
        <w:rPr>
          <w:szCs w:val="22"/>
          <w:lang w:val="sk-SK"/>
        </w:rPr>
        <w:t>sinusitídou</w:t>
      </w:r>
      <w:proofErr w:type="spellEnd"/>
      <w:r w:rsidRPr="00905199">
        <w:rPr>
          <w:szCs w:val="22"/>
          <w:lang w:val="sk-SK"/>
        </w:rPr>
        <w:t xml:space="preserve"> a/alebo nosovými polypmi majú pri užívaní kyseliny </w:t>
      </w:r>
      <w:proofErr w:type="spellStart"/>
      <w:r w:rsidRPr="00905199">
        <w:rPr>
          <w:szCs w:val="22"/>
          <w:lang w:val="sk-SK"/>
        </w:rPr>
        <w:t>acetylsalicylovej</w:t>
      </w:r>
      <w:proofErr w:type="spellEnd"/>
      <w:r w:rsidRPr="00905199">
        <w:rPr>
          <w:szCs w:val="22"/>
          <w:lang w:val="sk-SK"/>
        </w:rPr>
        <w:t xml:space="preserve"> a/alebo </w:t>
      </w:r>
      <w:proofErr w:type="spellStart"/>
      <w:r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 vyššie riziko vzniku alergických reakcií. Podávanie </w:t>
      </w:r>
      <w:proofErr w:type="spellStart"/>
      <w:r w:rsidR="002654BB" w:rsidRPr="00905199">
        <w:rPr>
          <w:szCs w:val="22"/>
          <w:lang w:val="sk-SK"/>
        </w:rPr>
        <w:t>Grippecton</w:t>
      </w:r>
      <w:r w:rsidR="00476327" w:rsidRPr="00905199">
        <w:rPr>
          <w:szCs w:val="22"/>
          <w:lang w:val="sk-SK"/>
        </w:rPr>
        <w:t>u</w:t>
      </w:r>
      <w:proofErr w:type="spellEnd"/>
      <w:r w:rsidR="002654BB" w:rsidRPr="00905199">
        <w:rPr>
          <w:szCs w:val="22"/>
          <w:lang w:val="sk-SK"/>
        </w:rPr>
        <w:t xml:space="preserve"> 200 mg/30 mg</w:t>
      </w:r>
      <w:r w:rsidRPr="00905199">
        <w:rPr>
          <w:szCs w:val="22"/>
          <w:lang w:val="sk-SK"/>
        </w:rPr>
        <w:t xml:space="preserve"> môže vyvolať akútny záchvat astmy, zvlášť u niektorých pacientov, ktorí sú alergickí na kyselinu </w:t>
      </w:r>
      <w:proofErr w:type="spellStart"/>
      <w:r w:rsidRPr="00905199">
        <w:rPr>
          <w:szCs w:val="22"/>
          <w:lang w:val="sk-SK"/>
        </w:rPr>
        <w:t>acetylsalicylovú</w:t>
      </w:r>
      <w:proofErr w:type="spellEnd"/>
      <w:r w:rsidRPr="00905199">
        <w:rPr>
          <w:szCs w:val="22"/>
          <w:lang w:val="sk-SK"/>
        </w:rPr>
        <w:t xml:space="preserve"> alebo na </w:t>
      </w:r>
      <w:proofErr w:type="spellStart"/>
      <w:r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 (pozri časť 4.3).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Dlhšie používanie akýchkoľvek liekov proti bolesti hlavy môže </w:t>
      </w:r>
      <w:r w:rsidR="00476327" w:rsidRPr="00905199">
        <w:rPr>
          <w:szCs w:val="22"/>
          <w:lang w:val="sk-SK"/>
        </w:rPr>
        <w:t>bolesť hlavy</w:t>
      </w:r>
      <w:r w:rsidRPr="00905199">
        <w:rPr>
          <w:szCs w:val="22"/>
          <w:lang w:val="sk-SK"/>
        </w:rPr>
        <w:t xml:space="preserve"> zhoršovať. V prípade výskytu t</w:t>
      </w:r>
      <w:r w:rsidR="00476327" w:rsidRPr="00905199">
        <w:rPr>
          <w:szCs w:val="22"/>
          <w:lang w:val="sk-SK"/>
        </w:rPr>
        <w:t>ohto stavu</w:t>
      </w:r>
      <w:r w:rsidRPr="00905199">
        <w:rPr>
          <w:szCs w:val="22"/>
          <w:lang w:val="sk-SK"/>
        </w:rPr>
        <w:t xml:space="preserve"> alebo v prípade podozrenia na</w:t>
      </w:r>
      <w:r w:rsidR="00476327" w:rsidRPr="00905199">
        <w:rPr>
          <w:szCs w:val="22"/>
          <w:lang w:val="sk-SK"/>
        </w:rPr>
        <w:t xml:space="preserve"> tento stav</w:t>
      </w:r>
      <w:r w:rsidRPr="00905199">
        <w:rPr>
          <w:szCs w:val="22"/>
          <w:lang w:val="sk-SK"/>
        </w:rPr>
        <w:t xml:space="preserve"> treba vyhľadať lekársku pomoc a ukončiť liečbu. Má sa vziať do úvahy diagnóza bolesti hlavy spôsobenej nadmerným používaním liekov u pacientov, ktorí majú časté alebo každodenné bolesti hlavy napriek (alebo kvôli) pravidelnému používaniu liekov proti bolesti hlavy.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 w:rsidP="0044542B">
      <w:pPr>
        <w:rPr>
          <w:szCs w:val="22"/>
          <w:lang w:val="sk-SK"/>
        </w:rPr>
      </w:pPr>
      <w:r w:rsidRPr="00905199">
        <w:rPr>
          <w:szCs w:val="22"/>
          <w:lang w:val="sk-SK"/>
        </w:rPr>
        <w:t>Pred použitím tohto lieku sa majú pacienti poradiť so svojim lekárom v prípade, že majú poruchu zrážanlivosti krvi.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284" w:hanging="284"/>
        <w:rPr>
          <w:i/>
          <w:iCs/>
          <w:szCs w:val="22"/>
          <w:lang w:val="sk-SK"/>
        </w:rPr>
      </w:pPr>
      <w:r w:rsidRPr="00905199">
        <w:rPr>
          <w:i/>
          <w:iCs/>
          <w:szCs w:val="22"/>
          <w:lang w:val="sk-SK"/>
        </w:rPr>
        <w:t xml:space="preserve">Účinky na </w:t>
      </w:r>
      <w:proofErr w:type="spellStart"/>
      <w:r w:rsidRPr="00905199">
        <w:rPr>
          <w:i/>
          <w:iCs/>
          <w:szCs w:val="22"/>
          <w:lang w:val="sk-SK"/>
        </w:rPr>
        <w:t>gastrointestinálny</w:t>
      </w:r>
      <w:proofErr w:type="spellEnd"/>
      <w:r w:rsidRPr="00905199">
        <w:rPr>
          <w:i/>
          <w:iCs/>
          <w:szCs w:val="22"/>
          <w:lang w:val="sk-SK"/>
        </w:rPr>
        <w:t xml:space="preserve"> trakt: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Gastrointestinálne</w:t>
      </w:r>
      <w:proofErr w:type="spellEnd"/>
      <w:r w:rsidRPr="00905199">
        <w:rPr>
          <w:szCs w:val="22"/>
          <w:lang w:val="sk-SK"/>
        </w:rPr>
        <w:t xml:space="preserve"> krvácanie, </w:t>
      </w:r>
      <w:proofErr w:type="spellStart"/>
      <w:r w:rsidRPr="00905199">
        <w:rPr>
          <w:szCs w:val="22"/>
          <w:lang w:val="sk-SK"/>
        </w:rPr>
        <w:t>ulcerácia</w:t>
      </w:r>
      <w:proofErr w:type="spellEnd"/>
      <w:r w:rsidRPr="00905199">
        <w:rPr>
          <w:szCs w:val="22"/>
          <w:lang w:val="sk-SK"/>
        </w:rPr>
        <w:t xml:space="preserve"> alebo perforácia, ktoré môžu byť fatálne, boli hlásené pri všetkých </w:t>
      </w:r>
      <w:proofErr w:type="spellStart"/>
      <w:r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 kedykoľvek počas liečby, s varovnými príznakmi alebo predchádzajúcimi </w:t>
      </w:r>
      <w:proofErr w:type="spellStart"/>
      <w:r w:rsidRPr="00905199">
        <w:rPr>
          <w:szCs w:val="22"/>
          <w:lang w:val="sk-SK"/>
        </w:rPr>
        <w:t>gastrointestinálnymi</w:t>
      </w:r>
      <w:proofErr w:type="spellEnd"/>
      <w:r w:rsidRPr="00905199">
        <w:rPr>
          <w:szCs w:val="22"/>
          <w:lang w:val="sk-SK"/>
        </w:rPr>
        <w:t xml:space="preserve"> príhodami v anamnéze alebo bez nich.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Riziko </w:t>
      </w:r>
      <w:proofErr w:type="spellStart"/>
      <w:r w:rsidRPr="00905199">
        <w:rPr>
          <w:szCs w:val="22"/>
          <w:lang w:val="sk-SK"/>
        </w:rPr>
        <w:t>gastrointestinálneho</w:t>
      </w:r>
      <w:proofErr w:type="spellEnd"/>
      <w:r w:rsidRPr="00905199">
        <w:rPr>
          <w:szCs w:val="22"/>
          <w:lang w:val="sk-SK"/>
        </w:rPr>
        <w:t xml:space="preserve"> krvácania, </w:t>
      </w:r>
      <w:proofErr w:type="spellStart"/>
      <w:r w:rsidRPr="00905199">
        <w:rPr>
          <w:szCs w:val="22"/>
          <w:lang w:val="sk-SK"/>
        </w:rPr>
        <w:t>ulcerácie</w:t>
      </w:r>
      <w:proofErr w:type="spellEnd"/>
      <w:r w:rsidRPr="00905199">
        <w:rPr>
          <w:szCs w:val="22"/>
          <w:lang w:val="sk-SK"/>
        </w:rPr>
        <w:t xml:space="preserve"> alebo perforácie, ktoré môžu byť fatálne, sa zvyšuje so zvyšujúcou sa dávkou </w:t>
      </w:r>
      <w:proofErr w:type="spellStart"/>
      <w:r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 u pacientov s vredom v anamnéze, predovšetkým ak bol skomplikovaný krvácaním alebo perforáciou (pozri časť 4.3) a u starších pacientov. Títo pacienti majú začať liečbu najnižšou dostupnou dávkou. U týchto pacientov ako aj u pacientov súbežne užívajúcich nízke dávky kyseliny </w:t>
      </w:r>
      <w:proofErr w:type="spellStart"/>
      <w:r w:rsidRPr="00905199">
        <w:rPr>
          <w:szCs w:val="22"/>
          <w:lang w:val="sk-SK"/>
        </w:rPr>
        <w:t>acetylsalicylovej</w:t>
      </w:r>
      <w:proofErr w:type="spellEnd"/>
      <w:r w:rsidRPr="00905199">
        <w:rPr>
          <w:szCs w:val="22"/>
          <w:lang w:val="sk-SK"/>
        </w:rPr>
        <w:t xml:space="preserve"> alebo iných liekov, ktoré pravdepodobne zvyšujú </w:t>
      </w:r>
      <w:proofErr w:type="spellStart"/>
      <w:r w:rsidRPr="00905199">
        <w:rPr>
          <w:szCs w:val="22"/>
          <w:lang w:val="sk-SK"/>
        </w:rPr>
        <w:t>gastrointestinálne</w:t>
      </w:r>
      <w:proofErr w:type="spellEnd"/>
      <w:r w:rsidRPr="00905199">
        <w:rPr>
          <w:szCs w:val="22"/>
          <w:lang w:val="sk-SK"/>
        </w:rPr>
        <w:t xml:space="preserve"> riziko, sa má zvážiť kombinovaná liečba ochrannými látkami (napr. </w:t>
      </w:r>
      <w:proofErr w:type="spellStart"/>
      <w:r w:rsidRPr="00905199">
        <w:rPr>
          <w:szCs w:val="22"/>
          <w:lang w:val="sk-SK"/>
        </w:rPr>
        <w:t>mi</w:t>
      </w:r>
      <w:r w:rsidR="00B57233" w:rsidRPr="00905199">
        <w:rPr>
          <w:szCs w:val="22"/>
          <w:lang w:val="sk-SK"/>
        </w:rPr>
        <w:t>s</w:t>
      </w:r>
      <w:r w:rsidRPr="00905199">
        <w:rPr>
          <w:szCs w:val="22"/>
          <w:lang w:val="sk-SK"/>
        </w:rPr>
        <w:t>oprostol</w:t>
      </w:r>
      <w:proofErr w:type="spellEnd"/>
      <w:r w:rsidRPr="00905199">
        <w:rPr>
          <w:szCs w:val="22"/>
          <w:lang w:val="sk-SK"/>
        </w:rPr>
        <w:t xml:space="preserve"> alebo inhibítory protónovej pumpy) (pozri nižšie a časť 4.5).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Pacienti s </w:t>
      </w:r>
      <w:proofErr w:type="spellStart"/>
      <w:r w:rsidRPr="00905199">
        <w:rPr>
          <w:szCs w:val="22"/>
          <w:lang w:val="sk-SK"/>
        </w:rPr>
        <w:t>gastrointestinálnou</w:t>
      </w:r>
      <w:proofErr w:type="spellEnd"/>
      <w:r w:rsidRPr="00905199">
        <w:rPr>
          <w:szCs w:val="22"/>
          <w:lang w:val="sk-SK"/>
        </w:rPr>
        <w:t xml:space="preserve"> toxicitou v anamnéze, predovšetkým starší pacienti, majú hlásiť akékoľvek neobvyklé </w:t>
      </w:r>
      <w:proofErr w:type="spellStart"/>
      <w:r w:rsidRPr="00905199">
        <w:rPr>
          <w:szCs w:val="22"/>
          <w:lang w:val="sk-SK"/>
        </w:rPr>
        <w:t>abdominálne</w:t>
      </w:r>
      <w:proofErr w:type="spellEnd"/>
      <w:r w:rsidRPr="00905199">
        <w:rPr>
          <w:szCs w:val="22"/>
          <w:lang w:val="sk-SK"/>
        </w:rPr>
        <w:t xml:space="preserve"> príznaky (hlavne </w:t>
      </w:r>
      <w:proofErr w:type="spellStart"/>
      <w:r w:rsidRPr="00905199">
        <w:rPr>
          <w:szCs w:val="22"/>
          <w:lang w:val="sk-SK"/>
        </w:rPr>
        <w:t>gastrointestinálne</w:t>
      </w:r>
      <w:proofErr w:type="spellEnd"/>
      <w:r w:rsidRPr="00905199">
        <w:rPr>
          <w:szCs w:val="22"/>
          <w:lang w:val="sk-SK"/>
        </w:rPr>
        <w:t xml:space="preserve"> krvácanie) a to hlavne v začiatočných fázach liečby.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Osobitná opatrnosť sa vyžaduje u pacientov súbežne užívajúcich lieky, ktoré môžu zvýšiť riziko </w:t>
      </w:r>
      <w:proofErr w:type="spellStart"/>
      <w:r w:rsidRPr="00905199">
        <w:rPr>
          <w:szCs w:val="22"/>
          <w:lang w:val="sk-SK"/>
        </w:rPr>
        <w:t>ulcerácie</w:t>
      </w:r>
      <w:proofErr w:type="spellEnd"/>
      <w:r w:rsidRPr="00905199">
        <w:rPr>
          <w:szCs w:val="22"/>
          <w:lang w:val="sk-SK"/>
        </w:rPr>
        <w:t xml:space="preserve"> alebo krvácania, ako sú perorálne </w:t>
      </w:r>
      <w:proofErr w:type="spellStart"/>
      <w:r w:rsidRPr="00905199">
        <w:rPr>
          <w:szCs w:val="22"/>
          <w:lang w:val="sk-SK"/>
        </w:rPr>
        <w:t>kortikosteroidy</w:t>
      </w:r>
      <w:proofErr w:type="spellEnd"/>
      <w:r w:rsidRPr="00905199">
        <w:rPr>
          <w:szCs w:val="22"/>
          <w:lang w:val="sk-SK"/>
        </w:rPr>
        <w:t xml:space="preserve">, </w:t>
      </w:r>
      <w:proofErr w:type="spellStart"/>
      <w:r w:rsidRPr="00905199">
        <w:rPr>
          <w:szCs w:val="22"/>
          <w:lang w:val="sk-SK"/>
        </w:rPr>
        <w:t>antikoagulanciá</w:t>
      </w:r>
      <w:proofErr w:type="spellEnd"/>
      <w:r w:rsidRPr="00905199">
        <w:rPr>
          <w:szCs w:val="22"/>
          <w:lang w:val="sk-SK"/>
        </w:rPr>
        <w:t xml:space="preserve"> ako je </w:t>
      </w:r>
      <w:proofErr w:type="spellStart"/>
      <w:r w:rsidRPr="00905199">
        <w:rPr>
          <w:szCs w:val="22"/>
          <w:lang w:val="sk-SK"/>
        </w:rPr>
        <w:t>warfarín</w:t>
      </w:r>
      <w:proofErr w:type="spellEnd"/>
      <w:r w:rsidRPr="00905199">
        <w:rPr>
          <w:szCs w:val="22"/>
          <w:lang w:val="sk-SK"/>
        </w:rPr>
        <w:t xml:space="preserve">, selektívne inhibítory spätného vychytávania </w:t>
      </w:r>
      <w:proofErr w:type="spellStart"/>
      <w:r w:rsidRPr="00905199">
        <w:rPr>
          <w:szCs w:val="22"/>
          <w:lang w:val="sk-SK"/>
        </w:rPr>
        <w:t>sérotonínu</w:t>
      </w:r>
      <w:proofErr w:type="spellEnd"/>
      <w:r w:rsidRPr="00905199">
        <w:rPr>
          <w:szCs w:val="22"/>
          <w:lang w:val="sk-SK"/>
        </w:rPr>
        <w:t xml:space="preserve"> (</w:t>
      </w:r>
      <w:proofErr w:type="spellStart"/>
      <w:r w:rsidRPr="00905199">
        <w:rPr>
          <w:szCs w:val="22"/>
          <w:lang w:val="sk-SK"/>
        </w:rPr>
        <w:t>SSRI</w:t>
      </w:r>
      <w:proofErr w:type="spellEnd"/>
      <w:r w:rsidRPr="00905199">
        <w:rPr>
          <w:szCs w:val="22"/>
          <w:lang w:val="sk-SK"/>
        </w:rPr>
        <w:t xml:space="preserve">) alebo látky proti zrážavosti krvi, ako je kyselina </w:t>
      </w:r>
      <w:proofErr w:type="spellStart"/>
      <w:r w:rsidRPr="00905199">
        <w:rPr>
          <w:szCs w:val="22"/>
          <w:lang w:val="sk-SK"/>
        </w:rPr>
        <w:t>acetylsalicylová</w:t>
      </w:r>
      <w:proofErr w:type="spellEnd"/>
      <w:r w:rsidRPr="00905199">
        <w:rPr>
          <w:szCs w:val="22"/>
          <w:lang w:val="sk-SK"/>
        </w:rPr>
        <w:t xml:space="preserve"> (pozri časť 4.5).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Ak sa vyskytne </w:t>
      </w:r>
      <w:proofErr w:type="spellStart"/>
      <w:r w:rsidRPr="00905199">
        <w:rPr>
          <w:szCs w:val="22"/>
          <w:lang w:val="sk-SK"/>
        </w:rPr>
        <w:t>gastrointestinálne</w:t>
      </w:r>
      <w:proofErr w:type="spellEnd"/>
      <w:r w:rsidRPr="00905199">
        <w:rPr>
          <w:szCs w:val="22"/>
          <w:lang w:val="sk-SK"/>
        </w:rPr>
        <w:t xml:space="preserve"> krvácanie alebo </w:t>
      </w:r>
      <w:proofErr w:type="spellStart"/>
      <w:r w:rsidRPr="00905199">
        <w:rPr>
          <w:szCs w:val="22"/>
          <w:lang w:val="sk-SK"/>
        </w:rPr>
        <w:t>ulcerácia</w:t>
      </w:r>
      <w:proofErr w:type="spellEnd"/>
      <w:r w:rsidRPr="00905199">
        <w:rPr>
          <w:szCs w:val="22"/>
          <w:lang w:val="sk-SK"/>
        </w:rPr>
        <w:t xml:space="preserve">, liečba </w:t>
      </w:r>
      <w:proofErr w:type="spellStart"/>
      <w:r w:rsidR="002654BB" w:rsidRPr="00905199">
        <w:rPr>
          <w:szCs w:val="22"/>
          <w:lang w:val="sk-SK"/>
        </w:rPr>
        <w:t>Grippecton</w:t>
      </w:r>
      <w:r w:rsidR="00B57233" w:rsidRPr="00905199">
        <w:rPr>
          <w:szCs w:val="22"/>
          <w:lang w:val="sk-SK"/>
        </w:rPr>
        <w:t>om</w:t>
      </w:r>
      <w:proofErr w:type="spellEnd"/>
      <w:r w:rsidR="002654BB" w:rsidRPr="00905199">
        <w:rPr>
          <w:szCs w:val="22"/>
          <w:lang w:val="sk-SK"/>
        </w:rPr>
        <w:t xml:space="preserve"> 200 mg/30 mg</w:t>
      </w:r>
      <w:r w:rsidRPr="00905199">
        <w:rPr>
          <w:szCs w:val="22"/>
          <w:lang w:val="sk-SK"/>
        </w:rPr>
        <w:t xml:space="preserve"> sa má okamžite ukončiť.</w:t>
      </w: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lastRenderedPageBreak/>
        <w:t>NSAID</w:t>
      </w:r>
      <w:proofErr w:type="spellEnd"/>
      <w:r w:rsidRPr="00905199">
        <w:rPr>
          <w:szCs w:val="22"/>
          <w:lang w:val="sk-SK"/>
        </w:rPr>
        <w:t xml:space="preserve"> je potrebné podávať s opatrnosťou pacientom s </w:t>
      </w:r>
      <w:proofErr w:type="spellStart"/>
      <w:r w:rsidRPr="00905199">
        <w:rPr>
          <w:szCs w:val="22"/>
          <w:lang w:val="sk-SK"/>
        </w:rPr>
        <w:t>gastrointestinálnym</w:t>
      </w:r>
      <w:proofErr w:type="spellEnd"/>
      <w:r w:rsidRPr="00905199">
        <w:rPr>
          <w:szCs w:val="22"/>
          <w:lang w:val="sk-SK"/>
        </w:rPr>
        <w:t xml:space="preserve"> ochorením v anamnéze (</w:t>
      </w:r>
      <w:proofErr w:type="spellStart"/>
      <w:r w:rsidRPr="00905199">
        <w:rPr>
          <w:szCs w:val="22"/>
          <w:lang w:val="sk-SK"/>
        </w:rPr>
        <w:t>ulcerózna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kolitída</w:t>
      </w:r>
      <w:proofErr w:type="spellEnd"/>
      <w:r w:rsidRPr="00905199">
        <w:rPr>
          <w:szCs w:val="22"/>
          <w:lang w:val="sk-SK"/>
        </w:rPr>
        <w:t xml:space="preserve">, </w:t>
      </w:r>
      <w:proofErr w:type="spellStart"/>
      <w:r w:rsidRPr="00905199">
        <w:rPr>
          <w:szCs w:val="22"/>
          <w:lang w:val="sk-SK"/>
        </w:rPr>
        <w:t>Crohnova</w:t>
      </w:r>
      <w:proofErr w:type="spellEnd"/>
      <w:r w:rsidRPr="00905199">
        <w:rPr>
          <w:szCs w:val="22"/>
          <w:lang w:val="sk-SK"/>
        </w:rPr>
        <w:t xml:space="preserve"> choroba), pretože môže dôjsť k </w:t>
      </w:r>
      <w:proofErr w:type="spellStart"/>
      <w:r w:rsidRPr="00905199">
        <w:rPr>
          <w:szCs w:val="22"/>
          <w:lang w:val="sk-SK"/>
        </w:rPr>
        <w:t>exacerbácii</w:t>
      </w:r>
      <w:proofErr w:type="spellEnd"/>
      <w:r w:rsidRPr="00905199">
        <w:rPr>
          <w:szCs w:val="22"/>
          <w:lang w:val="sk-SK"/>
        </w:rPr>
        <w:t xml:space="preserve"> ich ochorenia (pozri časť 4.8).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Pri súbežnej konzumácii alkoholu</w:t>
      </w:r>
      <w:r w:rsidR="0009189D" w:rsidRPr="00905199">
        <w:rPr>
          <w:szCs w:val="22"/>
          <w:lang w:val="sk-SK"/>
        </w:rPr>
        <w:t xml:space="preserve"> počas užívania </w:t>
      </w:r>
      <w:proofErr w:type="spellStart"/>
      <w:r w:rsidR="0009189D"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 môže byť zvýšený výskyt nežiaducich účinkov súvisiacich s liečivom, a to predovšetkým účinkov týkajúcich sa </w:t>
      </w:r>
      <w:proofErr w:type="spellStart"/>
      <w:r w:rsidRPr="00905199">
        <w:rPr>
          <w:szCs w:val="22"/>
          <w:lang w:val="sk-SK"/>
        </w:rPr>
        <w:t>gastrointestinálneho</w:t>
      </w:r>
      <w:proofErr w:type="spellEnd"/>
      <w:r w:rsidRPr="00905199">
        <w:rPr>
          <w:szCs w:val="22"/>
          <w:lang w:val="sk-SK"/>
        </w:rPr>
        <w:t xml:space="preserve"> traktu alebo centrálneho nervového systému.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284" w:hanging="284"/>
        <w:rPr>
          <w:i/>
          <w:iCs/>
          <w:szCs w:val="22"/>
          <w:lang w:val="sk-SK"/>
        </w:rPr>
      </w:pPr>
      <w:r w:rsidRPr="00905199">
        <w:rPr>
          <w:i/>
          <w:iCs/>
          <w:szCs w:val="22"/>
          <w:lang w:val="sk-SK"/>
        </w:rPr>
        <w:t>Kardiovaskulárne a </w:t>
      </w:r>
      <w:proofErr w:type="spellStart"/>
      <w:r w:rsidRPr="00905199">
        <w:rPr>
          <w:i/>
          <w:iCs/>
          <w:szCs w:val="22"/>
          <w:lang w:val="sk-SK"/>
        </w:rPr>
        <w:t>cerebrovaskulárne</w:t>
      </w:r>
      <w:proofErr w:type="spellEnd"/>
      <w:r w:rsidRPr="00905199">
        <w:rPr>
          <w:i/>
          <w:iCs/>
          <w:szCs w:val="22"/>
          <w:lang w:val="sk-SK"/>
        </w:rPr>
        <w:t xml:space="preserve"> účinky: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tabs>
          <w:tab w:val="left" w:pos="0"/>
        </w:tabs>
        <w:rPr>
          <w:i/>
          <w:szCs w:val="22"/>
          <w:lang w:val="sk-SK"/>
        </w:rPr>
      </w:pPr>
      <w:r w:rsidRPr="00905199">
        <w:rPr>
          <w:i/>
          <w:szCs w:val="22"/>
          <w:lang w:val="sk-SK"/>
        </w:rPr>
        <w:t xml:space="preserve">Kvôli zložke </w:t>
      </w:r>
      <w:proofErr w:type="spellStart"/>
      <w:r w:rsidRPr="00905199">
        <w:rPr>
          <w:i/>
          <w:szCs w:val="22"/>
          <w:lang w:val="sk-SK"/>
        </w:rPr>
        <w:t>pseudoefedríniumchloridu</w:t>
      </w:r>
      <w:proofErr w:type="spellEnd"/>
      <w:r w:rsidRPr="00905199">
        <w:rPr>
          <w:i/>
          <w:szCs w:val="22"/>
          <w:lang w:val="sk-SK"/>
        </w:rPr>
        <w:t xml:space="preserve"> sú nasledujúce prípady kontraindikované (pozri časť 4.3) ťažké kardiovaskulárne poruchy, koronárne ochorenie srdca (ochorenie srdca, </w:t>
      </w:r>
      <w:proofErr w:type="spellStart"/>
      <w:r w:rsidRPr="00905199">
        <w:rPr>
          <w:i/>
          <w:szCs w:val="22"/>
          <w:lang w:val="sk-SK"/>
        </w:rPr>
        <w:t>ang</w:t>
      </w:r>
      <w:r w:rsidR="00BE3A68" w:rsidRPr="00905199">
        <w:rPr>
          <w:i/>
          <w:szCs w:val="22"/>
          <w:lang w:val="sk-SK"/>
        </w:rPr>
        <w:t>i</w:t>
      </w:r>
      <w:r w:rsidRPr="00905199">
        <w:rPr>
          <w:i/>
          <w:szCs w:val="22"/>
          <w:lang w:val="sk-SK"/>
        </w:rPr>
        <w:t>na</w:t>
      </w:r>
      <w:proofErr w:type="spellEnd"/>
      <w:r w:rsidRPr="00905199">
        <w:rPr>
          <w:i/>
          <w:szCs w:val="22"/>
          <w:lang w:val="sk-SK"/>
        </w:rPr>
        <w:t xml:space="preserve"> </w:t>
      </w:r>
      <w:proofErr w:type="spellStart"/>
      <w:r w:rsidRPr="00905199">
        <w:rPr>
          <w:i/>
          <w:szCs w:val="22"/>
          <w:lang w:val="sk-SK"/>
        </w:rPr>
        <w:t>pectoris</w:t>
      </w:r>
      <w:proofErr w:type="spellEnd"/>
      <w:r w:rsidRPr="00905199">
        <w:rPr>
          <w:i/>
          <w:szCs w:val="22"/>
          <w:lang w:val="sk-SK"/>
        </w:rPr>
        <w:t xml:space="preserve">) </w:t>
      </w:r>
      <w:proofErr w:type="spellStart"/>
      <w:r w:rsidRPr="00905199">
        <w:rPr>
          <w:i/>
          <w:lang w:val="sk-SK"/>
        </w:rPr>
        <w:t>tachykardia</w:t>
      </w:r>
      <w:proofErr w:type="spellEnd"/>
      <w:r w:rsidRPr="00905199">
        <w:rPr>
          <w:i/>
          <w:lang w:val="sk-SK"/>
        </w:rPr>
        <w:t xml:space="preserve">, </w:t>
      </w:r>
      <w:proofErr w:type="spellStart"/>
      <w:r w:rsidRPr="00905199">
        <w:rPr>
          <w:i/>
          <w:lang w:val="sk-SK"/>
        </w:rPr>
        <w:t>hypertyreoidizmus</w:t>
      </w:r>
      <w:proofErr w:type="spellEnd"/>
      <w:r w:rsidRPr="00905199">
        <w:rPr>
          <w:i/>
          <w:lang w:val="sk-SK"/>
        </w:rPr>
        <w:t xml:space="preserve">, cukrovka, </w:t>
      </w:r>
      <w:proofErr w:type="spellStart"/>
      <w:r w:rsidRPr="00905199">
        <w:rPr>
          <w:i/>
          <w:lang w:val="sk-SK"/>
        </w:rPr>
        <w:t>feochromocytóm</w:t>
      </w:r>
      <w:proofErr w:type="spellEnd"/>
      <w:r w:rsidRPr="00905199">
        <w:rPr>
          <w:i/>
          <w:lang w:val="sk-SK"/>
        </w:rPr>
        <w:t xml:space="preserve">, cievna mozgová príhoda </w:t>
      </w:r>
      <w:r w:rsidRPr="00905199">
        <w:rPr>
          <w:i/>
          <w:szCs w:val="22"/>
          <w:lang w:val="sk-SK"/>
        </w:rPr>
        <w:t>v anamnéze alebo prítomnosť rizikových faktorov vzniku mozgovej cievnej príhody,</w:t>
      </w:r>
      <w:r w:rsidRPr="00905199">
        <w:rPr>
          <w:i/>
          <w:lang w:val="sk-SK"/>
        </w:rPr>
        <w:t xml:space="preserve"> infarkt myokardu v anamnéze.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Klinické štúdie naznačujú, že užívanie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, predovšetkým vo vysokých dávkach (nad 2 400 mg/deň) sa môže spájať s mierne zvýšeným rizikom </w:t>
      </w:r>
      <w:proofErr w:type="spellStart"/>
      <w:r w:rsidRPr="00905199">
        <w:rPr>
          <w:szCs w:val="22"/>
          <w:lang w:val="sk-SK"/>
        </w:rPr>
        <w:t>arteriálnych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trombotických</w:t>
      </w:r>
      <w:proofErr w:type="spellEnd"/>
      <w:r w:rsidRPr="00905199">
        <w:rPr>
          <w:szCs w:val="22"/>
          <w:lang w:val="sk-SK"/>
        </w:rPr>
        <w:t xml:space="preserve"> príhod (napr. infarkt myokardu alebo mozgová mŕtvica). Vo všeobecnosti epidemiologické štúdie nenaznačujú, že je užívanie nízkych dávok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(t.j. ≤ 1 200 mg/deň) spojené so zvýšeným rizikom </w:t>
      </w:r>
      <w:proofErr w:type="spellStart"/>
      <w:r w:rsidRPr="00905199">
        <w:rPr>
          <w:szCs w:val="22"/>
          <w:lang w:val="sk-SK"/>
        </w:rPr>
        <w:t>arteriálnych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trombotických</w:t>
      </w:r>
      <w:proofErr w:type="spellEnd"/>
      <w:r w:rsidRPr="00905199">
        <w:rPr>
          <w:szCs w:val="22"/>
          <w:lang w:val="sk-SK"/>
        </w:rPr>
        <w:t xml:space="preserve"> príhod.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Pacienti s neliečenou hypertenziou, </w:t>
      </w:r>
      <w:proofErr w:type="spellStart"/>
      <w:r w:rsidRPr="00905199">
        <w:rPr>
          <w:szCs w:val="22"/>
          <w:lang w:val="sk-SK"/>
        </w:rPr>
        <w:t>kongestívnym</w:t>
      </w:r>
      <w:proofErr w:type="spellEnd"/>
      <w:r w:rsidRPr="00905199">
        <w:rPr>
          <w:szCs w:val="22"/>
          <w:lang w:val="sk-SK"/>
        </w:rPr>
        <w:t xml:space="preserve"> ochorením srdca (</w:t>
      </w:r>
      <w:proofErr w:type="spellStart"/>
      <w:r w:rsidRPr="00905199">
        <w:rPr>
          <w:szCs w:val="22"/>
          <w:lang w:val="sk-SK"/>
        </w:rPr>
        <w:t>NYHA</w:t>
      </w:r>
      <w:proofErr w:type="spellEnd"/>
      <w:r w:rsidRPr="00905199">
        <w:rPr>
          <w:szCs w:val="22"/>
          <w:lang w:val="sk-SK"/>
        </w:rPr>
        <w:t> </w:t>
      </w:r>
      <w:proofErr w:type="spellStart"/>
      <w:r w:rsidRPr="00905199">
        <w:rPr>
          <w:szCs w:val="22"/>
          <w:lang w:val="sk-SK"/>
        </w:rPr>
        <w:t>II</w:t>
      </w:r>
      <w:r w:rsidRPr="00905199">
        <w:rPr>
          <w:szCs w:val="22"/>
          <w:lang w:val="sk-SK"/>
        </w:rPr>
        <w:noBreakHyphen/>
        <w:t>III</w:t>
      </w:r>
      <w:proofErr w:type="spellEnd"/>
      <w:r w:rsidRPr="00905199">
        <w:rPr>
          <w:szCs w:val="22"/>
          <w:lang w:val="sk-SK"/>
        </w:rPr>
        <w:t xml:space="preserve">), potvrdeným ischemickým ochorením srdca, periférnym </w:t>
      </w:r>
      <w:proofErr w:type="spellStart"/>
      <w:r w:rsidRPr="00905199">
        <w:rPr>
          <w:szCs w:val="22"/>
          <w:lang w:val="sk-SK"/>
        </w:rPr>
        <w:t>arteriálnym</w:t>
      </w:r>
      <w:proofErr w:type="spellEnd"/>
      <w:r w:rsidRPr="00905199">
        <w:rPr>
          <w:szCs w:val="22"/>
          <w:lang w:val="sk-SK"/>
        </w:rPr>
        <w:t xml:space="preserve"> ochorením a/alebo </w:t>
      </w:r>
      <w:proofErr w:type="spellStart"/>
      <w:r w:rsidRPr="00905199">
        <w:rPr>
          <w:szCs w:val="22"/>
          <w:lang w:val="sk-SK"/>
        </w:rPr>
        <w:t>cerebrovaskulárnym</w:t>
      </w:r>
      <w:proofErr w:type="spellEnd"/>
      <w:r w:rsidRPr="00905199">
        <w:rPr>
          <w:szCs w:val="22"/>
          <w:lang w:val="sk-SK"/>
        </w:rPr>
        <w:t xml:space="preserve"> ochorením sa majú liečiť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om</w:t>
      </w:r>
      <w:proofErr w:type="spellEnd"/>
      <w:r w:rsidRPr="00905199">
        <w:rPr>
          <w:szCs w:val="22"/>
          <w:lang w:val="sk-SK"/>
        </w:rPr>
        <w:t xml:space="preserve"> iba po dôkladnom zvážení a treba sa vyhnúť vysokým dávkam (2 400 mg/deň).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Liečba sa má tiež dôkladne zvážiť pred začatím dlhodobej liečby pacientov s rizikovými faktormi kardiovaskulárnych príhod (napr. hypertenzia, </w:t>
      </w:r>
      <w:proofErr w:type="spellStart"/>
      <w:r w:rsidRPr="00905199">
        <w:rPr>
          <w:szCs w:val="22"/>
          <w:lang w:val="sk-SK"/>
        </w:rPr>
        <w:t>hyperlipidémia</w:t>
      </w:r>
      <w:proofErr w:type="spellEnd"/>
      <w:r w:rsidRPr="00905199">
        <w:rPr>
          <w:szCs w:val="22"/>
          <w:lang w:val="sk-SK"/>
        </w:rPr>
        <w:t xml:space="preserve">, diabetes </w:t>
      </w:r>
      <w:proofErr w:type="spellStart"/>
      <w:r w:rsidRPr="00905199">
        <w:rPr>
          <w:szCs w:val="22"/>
          <w:lang w:val="sk-SK"/>
        </w:rPr>
        <w:t>mellitus</w:t>
      </w:r>
      <w:proofErr w:type="spellEnd"/>
      <w:r w:rsidRPr="00905199">
        <w:rPr>
          <w:szCs w:val="22"/>
          <w:lang w:val="sk-SK"/>
        </w:rPr>
        <w:t xml:space="preserve">, fajčenie), a to predovšetkým, ak sa vyžadujú vysoké dávky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(2 400 mg/deň).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284" w:hanging="284"/>
        <w:rPr>
          <w:i/>
          <w:iCs/>
          <w:szCs w:val="22"/>
          <w:lang w:val="sk-SK"/>
        </w:rPr>
      </w:pPr>
      <w:r w:rsidRPr="00905199">
        <w:rPr>
          <w:i/>
          <w:iCs/>
          <w:szCs w:val="22"/>
          <w:lang w:val="sk-SK"/>
        </w:rPr>
        <w:t>Kožné reakcie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Závažné kožné reakcie, niektoré z nich fatálne, vrátane </w:t>
      </w:r>
      <w:proofErr w:type="spellStart"/>
      <w:r w:rsidRPr="00905199">
        <w:rPr>
          <w:szCs w:val="22"/>
          <w:lang w:val="sk-SK"/>
        </w:rPr>
        <w:t>exfoliatívnej</w:t>
      </w:r>
      <w:proofErr w:type="spellEnd"/>
      <w:r w:rsidRPr="00905199">
        <w:rPr>
          <w:szCs w:val="22"/>
          <w:lang w:val="sk-SK"/>
        </w:rPr>
        <w:t xml:space="preserve"> dermatitídy, </w:t>
      </w:r>
      <w:proofErr w:type="spellStart"/>
      <w:r w:rsidRPr="00905199">
        <w:rPr>
          <w:szCs w:val="22"/>
          <w:lang w:val="sk-SK"/>
        </w:rPr>
        <w:t>Stevensovho-Johnsonovho</w:t>
      </w:r>
      <w:proofErr w:type="spellEnd"/>
      <w:r w:rsidRPr="00905199">
        <w:rPr>
          <w:szCs w:val="22"/>
          <w:lang w:val="sk-SK"/>
        </w:rPr>
        <w:t xml:space="preserve"> syndrómu a toxickej </w:t>
      </w:r>
      <w:proofErr w:type="spellStart"/>
      <w:r w:rsidRPr="00905199">
        <w:rPr>
          <w:szCs w:val="22"/>
          <w:lang w:val="sk-SK"/>
        </w:rPr>
        <w:t>epidermálnej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nekrolýzy</w:t>
      </w:r>
      <w:proofErr w:type="spellEnd"/>
      <w:r w:rsidR="00BE3A68" w:rsidRPr="00905199">
        <w:rPr>
          <w:szCs w:val="22"/>
          <w:lang w:val="sk-SK"/>
        </w:rPr>
        <w:t>,</w:t>
      </w:r>
      <w:r w:rsidRPr="00905199">
        <w:rPr>
          <w:szCs w:val="22"/>
          <w:lang w:val="sk-SK"/>
        </w:rPr>
        <w:t xml:space="preserve"> boli veľmi zriedkavo hlásené v súvislosti s užívaním </w:t>
      </w:r>
      <w:proofErr w:type="spellStart"/>
      <w:r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 (pozri časť 4.8). Pacienti majú najväčšie riziko vzniku týchto reakcií na začiatku liečebného cyklu, pričom vo väčšine prípadov reakcia nastáva počas prvého mesiaca liečby. </w:t>
      </w:r>
      <w:proofErr w:type="spellStart"/>
      <w:r w:rsidR="002654BB" w:rsidRPr="00905199">
        <w:rPr>
          <w:szCs w:val="22"/>
          <w:lang w:val="sk-SK"/>
        </w:rPr>
        <w:t>Grippecton</w:t>
      </w:r>
      <w:proofErr w:type="spellEnd"/>
      <w:r w:rsidR="002654BB" w:rsidRPr="00905199">
        <w:rPr>
          <w:szCs w:val="22"/>
          <w:lang w:val="sk-SK"/>
        </w:rPr>
        <w:t xml:space="preserve"> 200 mg/30 mg</w:t>
      </w:r>
      <w:r w:rsidRPr="00905199">
        <w:rPr>
          <w:szCs w:val="22"/>
          <w:lang w:val="sk-SK"/>
        </w:rPr>
        <w:t xml:space="preserve"> sa má vysadiť pri prvom objavení sa kožnej vyrážky, lézií na sliznici alebo akýchkoľvek iných pr</w:t>
      </w:r>
      <w:r w:rsidR="00BE3A68" w:rsidRPr="00905199">
        <w:rPr>
          <w:szCs w:val="22"/>
          <w:lang w:val="sk-SK"/>
        </w:rPr>
        <w:t>ejav</w:t>
      </w:r>
      <w:r w:rsidRPr="00905199">
        <w:rPr>
          <w:szCs w:val="22"/>
          <w:lang w:val="sk-SK"/>
        </w:rPr>
        <w:t>ov precitlivenosti.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ind w:left="284" w:hanging="284"/>
        <w:rPr>
          <w:b/>
          <w:bCs/>
          <w:i/>
          <w:iCs/>
          <w:szCs w:val="22"/>
          <w:lang w:val="sk-SK"/>
        </w:rPr>
      </w:pPr>
      <w:r w:rsidRPr="00905199">
        <w:rPr>
          <w:b/>
          <w:bCs/>
          <w:i/>
          <w:iCs/>
          <w:szCs w:val="22"/>
          <w:lang w:val="sk-SK"/>
        </w:rPr>
        <w:t>Opatrenia pri používaní, ktoré súvisia s </w:t>
      </w:r>
      <w:proofErr w:type="spellStart"/>
      <w:r w:rsidRPr="00905199">
        <w:rPr>
          <w:b/>
          <w:bCs/>
          <w:i/>
          <w:iCs/>
          <w:szCs w:val="22"/>
          <w:lang w:val="sk-SK"/>
        </w:rPr>
        <w:t>ibupro</w:t>
      </w:r>
      <w:r w:rsidR="000A5984" w:rsidRPr="00905199">
        <w:rPr>
          <w:b/>
          <w:bCs/>
          <w:i/>
          <w:iCs/>
          <w:szCs w:val="22"/>
          <w:lang w:val="sk-SK"/>
        </w:rPr>
        <w:t>fen</w:t>
      </w:r>
      <w:r w:rsidRPr="00905199">
        <w:rPr>
          <w:b/>
          <w:bCs/>
          <w:i/>
          <w:iCs/>
          <w:szCs w:val="22"/>
          <w:lang w:val="sk-SK"/>
        </w:rPr>
        <w:t>om</w:t>
      </w:r>
      <w:proofErr w:type="spellEnd"/>
      <w:r w:rsidRPr="00905199">
        <w:rPr>
          <w:b/>
          <w:bCs/>
          <w:i/>
          <w:iCs/>
          <w:szCs w:val="22"/>
          <w:lang w:val="sk-SK"/>
        </w:rPr>
        <w:t>:</w:t>
      </w:r>
    </w:p>
    <w:p w:rsidR="0000767D" w:rsidRPr="00905199" w:rsidRDefault="0000767D">
      <w:pPr>
        <w:ind w:left="284" w:hanging="284"/>
        <w:rPr>
          <w:szCs w:val="22"/>
          <w:lang w:val="sk-SK"/>
        </w:rPr>
      </w:pP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Starší pacienti: </w:t>
      </w:r>
      <w:proofErr w:type="spellStart"/>
      <w:r w:rsidRPr="00905199">
        <w:rPr>
          <w:sz w:val="22"/>
          <w:szCs w:val="22"/>
          <w:lang w:val="sk-SK"/>
        </w:rPr>
        <w:t>Farmakokinetika</w:t>
      </w:r>
      <w:proofErr w:type="spellEnd"/>
      <w:r w:rsidRPr="00905199">
        <w:rPr>
          <w:sz w:val="22"/>
          <w:szCs w:val="22"/>
          <w:lang w:val="sk-SK"/>
        </w:rPr>
        <w:t xml:space="preserve"> </w:t>
      </w:r>
      <w:proofErr w:type="spellStart"/>
      <w:r w:rsidRPr="00905199">
        <w:rPr>
          <w:sz w:val="22"/>
          <w:szCs w:val="22"/>
          <w:lang w:val="sk-SK"/>
        </w:rPr>
        <w:t>ibupro</w:t>
      </w:r>
      <w:r w:rsidR="000A5984" w:rsidRPr="00905199">
        <w:rPr>
          <w:sz w:val="22"/>
          <w:szCs w:val="22"/>
          <w:lang w:val="sk-SK"/>
        </w:rPr>
        <w:t>fen</w:t>
      </w:r>
      <w:r w:rsidRPr="00905199">
        <w:rPr>
          <w:sz w:val="22"/>
          <w:szCs w:val="22"/>
          <w:lang w:val="sk-SK"/>
        </w:rPr>
        <w:t>u</w:t>
      </w:r>
      <w:proofErr w:type="spellEnd"/>
      <w:r w:rsidRPr="00905199">
        <w:rPr>
          <w:sz w:val="22"/>
          <w:szCs w:val="22"/>
          <w:lang w:val="sk-SK"/>
        </w:rPr>
        <w:t xml:space="preserve"> sa vekom nemení, u starších pacientov nie je potrebná žiadna úprava dávok. Starší pacienti sa však majú starostlivo sledovať, pretože je u nich častejší výskyt nežiaducich účinkov spojených s </w:t>
      </w:r>
      <w:proofErr w:type="spellStart"/>
      <w:r w:rsidRPr="00905199">
        <w:rPr>
          <w:sz w:val="22"/>
          <w:szCs w:val="22"/>
          <w:lang w:val="sk-SK"/>
        </w:rPr>
        <w:t>NSAID</w:t>
      </w:r>
      <w:proofErr w:type="spellEnd"/>
      <w:r w:rsidRPr="00905199">
        <w:rPr>
          <w:sz w:val="22"/>
          <w:szCs w:val="22"/>
          <w:lang w:val="sk-SK"/>
        </w:rPr>
        <w:t xml:space="preserve">, predovšetkým </w:t>
      </w:r>
      <w:proofErr w:type="spellStart"/>
      <w:r w:rsidRPr="00905199">
        <w:rPr>
          <w:sz w:val="22"/>
          <w:szCs w:val="22"/>
          <w:lang w:val="sk-SK"/>
        </w:rPr>
        <w:t>gastrointestinálneho</w:t>
      </w:r>
      <w:proofErr w:type="spellEnd"/>
      <w:r w:rsidRPr="00905199">
        <w:rPr>
          <w:sz w:val="22"/>
          <w:szCs w:val="22"/>
          <w:lang w:val="sk-SK"/>
        </w:rPr>
        <w:t xml:space="preserve"> krvácania a perforácie, ktoré môžu byť fatálne.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 xml:space="preserve">Pri podávaní </w:t>
      </w:r>
      <w:proofErr w:type="spellStart"/>
      <w:r w:rsidRPr="00905199">
        <w:rPr>
          <w:sz w:val="22"/>
          <w:szCs w:val="22"/>
          <w:lang w:val="sk-SK"/>
        </w:rPr>
        <w:t>ibupro</w:t>
      </w:r>
      <w:r w:rsidR="000A5984" w:rsidRPr="00905199">
        <w:rPr>
          <w:sz w:val="22"/>
          <w:szCs w:val="22"/>
          <w:lang w:val="sk-SK"/>
        </w:rPr>
        <w:t>fen</w:t>
      </w:r>
      <w:r w:rsidRPr="00905199">
        <w:rPr>
          <w:sz w:val="22"/>
          <w:szCs w:val="22"/>
          <w:lang w:val="sk-SK"/>
        </w:rPr>
        <w:t>u</w:t>
      </w:r>
      <w:proofErr w:type="spellEnd"/>
      <w:r w:rsidRPr="00905199">
        <w:rPr>
          <w:sz w:val="22"/>
          <w:szCs w:val="22"/>
          <w:lang w:val="sk-SK"/>
        </w:rPr>
        <w:t xml:space="preserve"> pacientom s </w:t>
      </w:r>
      <w:proofErr w:type="spellStart"/>
      <w:r w:rsidRPr="00905199">
        <w:rPr>
          <w:sz w:val="22"/>
          <w:szCs w:val="22"/>
          <w:lang w:val="sk-SK"/>
        </w:rPr>
        <w:t>gastrointestinálnym</w:t>
      </w:r>
      <w:proofErr w:type="spellEnd"/>
      <w:r w:rsidRPr="00905199">
        <w:rPr>
          <w:sz w:val="22"/>
          <w:szCs w:val="22"/>
          <w:lang w:val="sk-SK"/>
        </w:rPr>
        <w:t xml:space="preserve"> ochorením v anamnéze (ako je </w:t>
      </w:r>
      <w:proofErr w:type="spellStart"/>
      <w:r w:rsidRPr="00905199">
        <w:rPr>
          <w:sz w:val="22"/>
          <w:szCs w:val="22"/>
          <w:lang w:val="sk-SK"/>
        </w:rPr>
        <w:t>peptický</w:t>
      </w:r>
      <w:proofErr w:type="spellEnd"/>
      <w:r w:rsidRPr="00905199">
        <w:rPr>
          <w:sz w:val="22"/>
          <w:szCs w:val="22"/>
          <w:lang w:val="sk-SK"/>
        </w:rPr>
        <w:t xml:space="preserve"> vred, hiátová </w:t>
      </w:r>
      <w:proofErr w:type="spellStart"/>
      <w:r w:rsidRPr="00905199">
        <w:rPr>
          <w:sz w:val="22"/>
          <w:szCs w:val="22"/>
          <w:lang w:val="sk-SK"/>
        </w:rPr>
        <w:t>hernia</w:t>
      </w:r>
      <w:proofErr w:type="spellEnd"/>
      <w:r w:rsidRPr="00905199">
        <w:rPr>
          <w:sz w:val="22"/>
          <w:szCs w:val="22"/>
          <w:lang w:val="sk-SK"/>
        </w:rPr>
        <w:t xml:space="preserve"> alebo </w:t>
      </w:r>
      <w:proofErr w:type="spellStart"/>
      <w:r w:rsidRPr="00905199">
        <w:rPr>
          <w:sz w:val="22"/>
          <w:szCs w:val="22"/>
          <w:lang w:val="sk-SK"/>
        </w:rPr>
        <w:t>gastrointestinálne</w:t>
      </w:r>
      <w:proofErr w:type="spellEnd"/>
      <w:r w:rsidRPr="00905199">
        <w:rPr>
          <w:sz w:val="22"/>
          <w:szCs w:val="22"/>
          <w:lang w:val="sk-SK"/>
        </w:rPr>
        <w:t xml:space="preserve"> krvácanie) sa vyžaduje opatrnosť a špeciálne sledovanie.</w:t>
      </w:r>
    </w:p>
    <w:p w:rsidR="0000767D" w:rsidRPr="00905199" w:rsidRDefault="003607C1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U pacientov so zlyhaním srdca, u pacientov s chronick</w:t>
      </w:r>
      <w:r w:rsidR="00BE3A68" w:rsidRPr="00905199">
        <w:rPr>
          <w:sz w:val="22"/>
          <w:szCs w:val="22"/>
          <w:lang w:val="sk-SK"/>
        </w:rPr>
        <w:t>ou</w:t>
      </w:r>
      <w:r w:rsidRPr="00905199">
        <w:rPr>
          <w:sz w:val="22"/>
          <w:szCs w:val="22"/>
          <w:lang w:val="sk-SK"/>
        </w:rPr>
        <w:t xml:space="preserve"> po</w:t>
      </w:r>
      <w:r w:rsidR="00BE3A68" w:rsidRPr="00905199">
        <w:rPr>
          <w:sz w:val="22"/>
          <w:szCs w:val="22"/>
          <w:lang w:val="sk-SK"/>
        </w:rPr>
        <w:t>ruch</w:t>
      </w:r>
      <w:r w:rsidRPr="00905199">
        <w:rPr>
          <w:sz w:val="22"/>
          <w:szCs w:val="22"/>
          <w:lang w:val="sk-SK"/>
        </w:rPr>
        <w:t>ou funkci</w:t>
      </w:r>
      <w:r w:rsidR="00BE3A68" w:rsidRPr="00905199">
        <w:rPr>
          <w:sz w:val="22"/>
          <w:szCs w:val="22"/>
          <w:lang w:val="sk-SK"/>
        </w:rPr>
        <w:t>e</w:t>
      </w:r>
      <w:r w:rsidRPr="00905199">
        <w:rPr>
          <w:sz w:val="22"/>
          <w:szCs w:val="22"/>
          <w:lang w:val="sk-SK"/>
        </w:rPr>
        <w:t xml:space="preserve"> obličiek alebo pečene, u pacientov užívajúcich diuretiká, u pacientov s </w:t>
      </w:r>
      <w:proofErr w:type="spellStart"/>
      <w:r w:rsidRPr="00905199">
        <w:rPr>
          <w:sz w:val="22"/>
          <w:szCs w:val="22"/>
          <w:lang w:val="sk-SK"/>
        </w:rPr>
        <w:t>hypovolémiou</w:t>
      </w:r>
      <w:proofErr w:type="spellEnd"/>
      <w:r w:rsidRPr="00905199">
        <w:rPr>
          <w:sz w:val="22"/>
          <w:szCs w:val="22"/>
          <w:lang w:val="sk-SK"/>
        </w:rPr>
        <w:t xml:space="preserve"> ako násled</w:t>
      </w:r>
      <w:r w:rsidR="00BE3A68" w:rsidRPr="00905199">
        <w:rPr>
          <w:sz w:val="22"/>
          <w:szCs w:val="22"/>
          <w:lang w:val="sk-SK"/>
        </w:rPr>
        <w:t>ok</w:t>
      </w:r>
      <w:r w:rsidRPr="00905199">
        <w:rPr>
          <w:sz w:val="22"/>
          <w:szCs w:val="22"/>
          <w:lang w:val="sk-SK"/>
        </w:rPr>
        <w:t xml:space="preserve"> veľkého chirurgického výkonu a osobitne u starších pacientov sa v úvodných štádiách liečby vyžaduje starostlivé sledovanie objemu moču a funkcie obličiek. U dehydrovaných dospievajúcich existuje riziko po</w:t>
      </w:r>
      <w:r w:rsidR="00BE3A68" w:rsidRPr="00905199">
        <w:rPr>
          <w:sz w:val="22"/>
          <w:szCs w:val="22"/>
          <w:lang w:val="sk-SK"/>
        </w:rPr>
        <w:t>ruchy</w:t>
      </w:r>
      <w:r w:rsidRPr="00905199">
        <w:rPr>
          <w:sz w:val="22"/>
          <w:szCs w:val="22"/>
          <w:lang w:val="sk-SK"/>
        </w:rPr>
        <w:t xml:space="preserve"> funkcie obličiek.</w:t>
      </w:r>
    </w:p>
    <w:p w:rsidR="0000767D" w:rsidRPr="00905199" w:rsidRDefault="003607C1" w:rsidP="0044542B">
      <w:pPr>
        <w:pStyle w:val="Default"/>
        <w:widowControl w:val="0"/>
        <w:numPr>
          <w:ilvl w:val="0"/>
          <w:numId w:val="39"/>
        </w:numPr>
        <w:spacing w:after="87"/>
        <w:ind w:left="284" w:hanging="284"/>
        <w:rPr>
          <w:sz w:val="22"/>
          <w:szCs w:val="22"/>
          <w:lang w:val="sk-SK"/>
        </w:rPr>
      </w:pPr>
      <w:r w:rsidRPr="00905199">
        <w:rPr>
          <w:sz w:val="22"/>
          <w:szCs w:val="22"/>
          <w:lang w:val="sk-SK"/>
        </w:rPr>
        <w:t>Ak sa v priebehu liečby vyskytnú poruchy zraku, má sa vykonať komplexné oftalmologické vyšetrenie.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keepNext/>
        <w:keepLines/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lastRenderedPageBreak/>
        <w:t>4.5</w:t>
      </w:r>
      <w:r w:rsidRPr="00905199">
        <w:rPr>
          <w:b/>
          <w:szCs w:val="22"/>
          <w:lang w:val="sk-SK"/>
        </w:rPr>
        <w:tab/>
        <w:t>Liekové a iné interakcie</w:t>
      </w:r>
    </w:p>
    <w:p w:rsidR="0000767D" w:rsidRPr="00905199" w:rsidRDefault="0000767D">
      <w:pPr>
        <w:keepNext/>
        <w:keepLines/>
        <w:ind w:left="567" w:hanging="567"/>
        <w:rPr>
          <w:b/>
          <w:szCs w:val="22"/>
          <w:lang w:val="sk-SK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Kombinácia </w:t>
            </w:r>
            <w:proofErr w:type="spellStart"/>
            <w:r w:rsidRPr="00905199">
              <w:rPr>
                <w:b/>
                <w:bCs/>
                <w:sz w:val="22"/>
                <w:szCs w:val="22"/>
                <w:lang w:val="sk-SK"/>
              </w:rPr>
              <w:t>pseudoefedrínu</w:t>
            </w:r>
            <w:proofErr w:type="spellEnd"/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 s: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Možná reakcia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Neselektívne inhibítory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monoaminooxidázy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IMAO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) (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iproniazid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Paroxyzmálna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hypertenzia 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hypertermia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ktoré môžu byť fatálne. Z dôvodu dlhodobého účinku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IMAO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sa môže táto interakcia vyskytnúť až do 15 dní po vysadení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IMAO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Iné nepriamo pôsobiace perorálne alebo nazálne podávané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sympatomimetiká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vazokonstri</w:t>
            </w:r>
            <w:r w:rsidR="00905199">
              <w:rPr>
                <w:sz w:val="22"/>
                <w:szCs w:val="22"/>
                <w:lang w:val="sk-SK"/>
              </w:rPr>
              <w:t>k</w:t>
            </w:r>
            <w:r w:rsidRPr="00905199">
              <w:rPr>
                <w:sz w:val="22"/>
                <w:szCs w:val="22"/>
                <w:lang w:val="sk-SK"/>
              </w:rPr>
              <w:t>čné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liečivá,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α-sympatomimetiká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fenylpropanolamín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fenylefrín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efedrín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metylfenidát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Riziko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vazokonstrikcie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a/alebo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hypertenzných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kríz.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Reverzibilné inhibítory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monoaminooxidázy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 A (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RIMA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),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linezolid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dopaminergné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ergotamínové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alkaloidy,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vazokonstrikčné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ergotamínové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alkaloidy: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Riziko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vazokonstrikcie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a/alebo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hypertenzných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kríz.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Prchavé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halogénované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anestetiká: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Perioperatívna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akútna hypertenzia. Niekoľko dní pred plánovaným chirurgickým výkonom vysadiť liečbu </w:t>
            </w:r>
            <w:proofErr w:type="spellStart"/>
            <w:r w:rsidR="002654BB" w:rsidRPr="00905199">
              <w:rPr>
                <w:sz w:val="22"/>
                <w:szCs w:val="22"/>
                <w:lang w:val="sk-SK"/>
              </w:rPr>
              <w:t>Grippecton</w:t>
            </w:r>
            <w:r w:rsidR="003E07B7" w:rsidRPr="00905199">
              <w:rPr>
                <w:sz w:val="22"/>
                <w:szCs w:val="22"/>
                <w:lang w:val="sk-SK"/>
              </w:rPr>
              <w:t>om</w:t>
            </w:r>
            <w:proofErr w:type="spellEnd"/>
            <w:r w:rsidR="002654BB" w:rsidRPr="00905199">
              <w:rPr>
                <w:sz w:val="22"/>
                <w:szCs w:val="22"/>
                <w:lang w:val="sk-SK"/>
              </w:rPr>
              <w:t xml:space="preserve"> 200 mg/30 mg</w:t>
            </w:r>
            <w:r w:rsidRPr="00905199">
              <w:rPr>
                <w:sz w:val="22"/>
                <w:szCs w:val="22"/>
                <w:lang w:val="sk-SK"/>
              </w:rPr>
              <w:t>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G</w:t>
            </w:r>
            <w:r w:rsidR="003E07B7" w:rsidRPr="00905199">
              <w:rPr>
                <w:sz w:val="22"/>
                <w:szCs w:val="22"/>
                <w:lang w:val="sk-SK"/>
              </w:rPr>
              <w:t>u</w:t>
            </w:r>
            <w:r w:rsidRPr="00684ADF">
              <w:rPr>
                <w:sz w:val="22"/>
                <w:szCs w:val="22"/>
                <w:lang w:val="sk-SK"/>
              </w:rPr>
              <w:t>a</w:t>
            </w:r>
            <w:r w:rsidRPr="00F93CCF">
              <w:rPr>
                <w:sz w:val="22"/>
                <w:szCs w:val="22"/>
                <w:lang w:val="sk-SK"/>
              </w:rPr>
              <w:t>netidín</w:t>
            </w:r>
            <w:proofErr w:type="spellEnd"/>
            <w:r w:rsidRPr="00F93CC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F93CCF">
              <w:rPr>
                <w:sz w:val="22"/>
                <w:szCs w:val="22"/>
                <w:lang w:val="sk-SK"/>
              </w:rPr>
              <w:t>rezerpín</w:t>
            </w:r>
            <w:proofErr w:type="spellEnd"/>
            <w:r w:rsidRPr="00F93CC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F93CCF">
              <w:rPr>
                <w:sz w:val="22"/>
                <w:szCs w:val="22"/>
                <w:lang w:val="sk-SK"/>
              </w:rPr>
              <w:t>metyldopa</w:t>
            </w:r>
            <w:proofErr w:type="spellEnd"/>
            <w:r w:rsidRPr="00F93CCF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Môže sa znížiť účinok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pseudoefedrínu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Tricyklické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antidepresíva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Môže sa znížiť alebo zvýšiť účinok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pseudoefedrínu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767D" w:rsidRPr="00F93CCF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Digit</w:t>
            </w:r>
            <w:r w:rsidR="003E07B7" w:rsidRPr="00905199">
              <w:rPr>
                <w:sz w:val="22"/>
                <w:szCs w:val="22"/>
                <w:lang w:val="sk-SK"/>
              </w:rPr>
              <w:t>á</w:t>
            </w:r>
            <w:r w:rsidRPr="00684ADF">
              <w:rPr>
                <w:sz w:val="22"/>
                <w:szCs w:val="22"/>
                <w:lang w:val="sk-SK"/>
              </w:rPr>
              <w:t>lis</w:t>
            </w:r>
            <w:proofErr w:type="spellEnd"/>
            <w:r w:rsidRPr="00684AD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84ADF">
              <w:rPr>
                <w:sz w:val="22"/>
                <w:szCs w:val="22"/>
                <w:lang w:val="sk-SK"/>
              </w:rPr>
              <w:t>chinidín</w:t>
            </w:r>
            <w:proofErr w:type="spellEnd"/>
            <w:r w:rsidRPr="00684ADF">
              <w:rPr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684ADF">
              <w:rPr>
                <w:sz w:val="22"/>
                <w:szCs w:val="22"/>
                <w:lang w:val="sk-SK"/>
              </w:rPr>
              <w:t>tricyklické</w:t>
            </w:r>
            <w:proofErr w:type="spellEnd"/>
            <w:r w:rsidRPr="00684AD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84ADF">
              <w:rPr>
                <w:sz w:val="22"/>
                <w:szCs w:val="22"/>
                <w:lang w:val="sk-SK"/>
              </w:rPr>
              <w:t>antidepresíva</w:t>
            </w:r>
            <w:proofErr w:type="spellEnd"/>
            <w:r w:rsidRPr="00684ADF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Zvýšená frekvencia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arytmie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.</w:t>
            </w:r>
          </w:p>
        </w:tc>
      </w:tr>
    </w:tbl>
    <w:p w:rsidR="0000767D" w:rsidRPr="00905199" w:rsidRDefault="0000767D">
      <w:pPr>
        <w:ind w:left="567" w:hanging="567"/>
        <w:rPr>
          <w:b/>
          <w:szCs w:val="22"/>
          <w:lang w:val="sk-SK"/>
        </w:rPr>
      </w:pPr>
    </w:p>
    <w:p w:rsidR="0000767D" w:rsidRPr="00905199" w:rsidRDefault="0000767D">
      <w:pPr>
        <w:ind w:left="567" w:hanging="567"/>
        <w:rPr>
          <w:b/>
          <w:szCs w:val="22"/>
          <w:lang w:val="sk-SK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Súbežné užívanie </w:t>
            </w:r>
            <w:proofErr w:type="spellStart"/>
            <w:r w:rsidRPr="00905199">
              <w:rPr>
                <w:b/>
                <w:bCs/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b/>
                <w:bCs/>
                <w:sz w:val="22"/>
                <w:szCs w:val="22"/>
                <w:lang w:val="sk-SK"/>
              </w:rPr>
              <w:t>fen</w:t>
            </w:r>
            <w:r w:rsidRPr="00905199">
              <w:rPr>
                <w:b/>
                <w:bCs/>
                <w:sz w:val="22"/>
                <w:szCs w:val="22"/>
                <w:lang w:val="sk-SK"/>
              </w:rPr>
              <w:t>u</w:t>
            </w:r>
            <w:proofErr w:type="spellEnd"/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 s: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Možná reakcia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Iné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NSAID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vrátane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salicylátov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 selektívnych inhibítorov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COX</w:t>
            </w:r>
            <w:r w:rsidRPr="00905199">
              <w:rPr>
                <w:sz w:val="22"/>
                <w:szCs w:val="22"/>
                <w:lang w:val="sk-SK"/>
              </w:rPr>
              <w:noBreakHyphen/>
              <w:t>2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Súbežné podávanie viacerých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NSAID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môže zvýšiť riziko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gastrointestinálnych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vredov a krvácania z dôvodu synergického účinku. Súbežnému užívaniu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r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 inými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NSAID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sa má preto vyhnúť (pozri časť 4.4).</w:t>
            </w:r>
          </w:p>
        </w:tc>
      </w:tr>
      <w:tr w:rsidR="0000767D" w:rsidRPr="00905199">
        <w:trPr>
          <w:trHeight w:val="1447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Digoxín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67D" w:rsidRPr="00905199" w:rsidRDefault="003607C1" w:rsidP="003E07B7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Súbežné užívanie </w:t>
            </w:r>
            <w:proofErr w:type="spellStart"/>
            <w:r w:rsidR="002654BB" w:rsidRPr="00905199">
              <w:rPr>
                <w:sz w:val="22"/>
                <w:szCs w:val="22"/>
                <w:lang w:val="sk-SK"/>
              </w:rPr>
              <w:t>Grippecton</w:t>
            </w:r>
            <w:r w:rsidR="003E07B7"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="002654BB" w:rsidRPr="00905199">
              <w:rPr>
                <w:sz w:val="22"/>
                <w:szCs w:val="22"/>
                <w:lang w:val="sk-SK"/>
              </w:rPr>
              <w:t xml:space="preserve"> 200 mg/30 mg</w:t>
            </w:r>
            <w:r w:rsidRPr="00905199">
              <w:rPr>
                <w:sz w:val="22"/>
                <w:szCs w:val="22"/>
                <w:lang w:val="sk-SK"/>
              </w:rPr>
              <w:t xml:space="preserve"> s liekmi obsahujúcimi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digoxín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môže zvýšiť sérové hladiny týchto liekov. Kontrola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digoxínu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v sére sa pri správnom užívaní </w:t>
            </w:r>
            <w:r w:rsidR="003E07B7" w:rsidRPr="00905199">
              <w:rPr>
                <w:sz w:val="22"/>
                <w:szCs w:val="22"/>
                <w:lang w:val="sk-SK"/>
              </w:rPr>
              <w:t xml:space="preserve">(maximálne počas 4 dní) </w:t>
            </w:r>
            <w:r w:rsidRPr="00905199">
              <w:rPr>
                <w:sz w:val="22"/>
                <w:szCs w:val="22"/>
                <w:lang w:val="sk-SK"/>
              </w:rPr>
              <w:t>spravidla nevyžaduje</w:t>
            </w:r>
            <w:r w:rsidR="003E07B7" w:rsidRPr="00905199">
              <w:rPr>
                <w:sz w:val="22"/>
                <w:szCs w:val="22"/>
                <w:lang w:val="sk-SK"/>
              </w:rPr>
              <w:t>.</w:t>
            </w:r>
            <w:r w:rsidRPr="00905199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Kortikosteroidy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Kortikosteroidy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pretože môžu zvýšiť riziko nežiaducich reakcií, týkajúce sa najmä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traktu (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gastrointestinálne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ulcerácie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alebo krvácanie) (pozri časť 4.3).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Antiagregačné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látky: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Zvýšené riziko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krvácania (pozri časť 4.4).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Kyselina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acetylsalicylová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Súbežné používanie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F93CCF">
              <w:rPr>
                <w:sz w:val="22"/>
                <w:szCs w:val="22"/>
                <w:lang w:val="sk-SK"/>
              </w:rPr>
              <w:t>fen</w:t>
            </w:r>
            <w:r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kyseliny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acetylsalicylovej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sa vo všeobecnosti neodporúča z dôvodu možného zvýšenia výskytu nežiaducich účinkov.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Experimentálne údaje naznačujú, že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môže </w:t>
            </w:r>
            <w:proofErr w:type="spellStart"/>
            <w:r w:rsidR="003E07B7" w:rsidRPr="00905199">
              <w:rPr>
                <w:sz w:val="22"/>
                <w:szCs w:val="22"/>
                <w:lang w:val="sk-SK"/>
              </w:rPr>
              <w:t>kompetitívne</w:t>
            </w:r>
            <w:proofErr w:type="spellEnd"/>
            <w:r w:rsidR="003E07B7"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inhibovať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účinok nízkej dávky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kyseliny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acetylsalicylovej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na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agregáciu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krvných doštičiek, keď sa podávajú súbežne. Aj keď existujú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nejasnosti ohľadom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extrapolácie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týchto </w:t>
            </w:r>
            <w:r w:rsidR="003E07B7" w:rsidRPr="00905199">
              <w:rPr>
                <w:sz w:val="22"/>
                <w:szCs w:val="22"/>
                <w:lang w:val="sk-SK"/>
              </w:rPr>
              <w:t xml:space="preserve">údajov </w:t>
            </w:r>
            <w:r w:rsidRPr="00905199">
              <w:rPr>
                <w:sz w:val="22"/>
                <w:szCs w:val="22"/>
                <w:lang w:val="sk-SK"/>
              </w:rPr>
              <w:t xml:space="preserve">pre klinickú situáciu, možnosť, že pravidelné,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dlhodobé užívanie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r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môže znižovať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kardioprotektívny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účinok nízkej dávky kyseliny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acetylsalicylovej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nemôže byť vylúčená. Žiadny </w:t>
            </w:r>
            <w:r w:rsidRPr="00905199">
              <w:rPr>
                <w:sz w:val="22"/>
                <w:szCs w:val="22"/>
                <w:lang w:val="sk-SK"/>
              </w:rPr>
              <w:lastRenderedPageBreak/>
              <w:t xml:space="preserve">klinicky významný účinok sa nepovažuje za pravdepodobný pre príležitostné použitie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r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(pozri časť 5.1).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lastRenderedPageBreak/>
              <w:t>Antikoagulanciá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(napr.: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warfarín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tiklopidín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klopidogrel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tirofiban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eptifibatid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abciximab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iloprost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NSAID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ako je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môžu zosilniť účinok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antikoagulancií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ako takých (pozri časť 4.4).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Fenytoín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 w:rsidP="003E07B7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Súbežné užívanie </w:t>
            </w:r>
            <w:proofErr w:type="spellStart"/>
            <w:r w:rsidR="002654BB" w:rsidRPr="00905199">
              <w:rPr>
                <w:sz w:val="22"/>
                <w:szCs w:val="22"/>
                <w:lang w:val="sk-SK"/>
              </w:rPr>
              <w:t>Grippecton</w:t>
            </w:r>
            <w:r w:rsidR="003E07B7"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="002654BB" w:rsidRPr="00905199">
              <w:rPr>
                <w:sz w:val="22"/>
                <w:szCs w:val="22"/>
                <w:lang w:val="sk-SK"/>
              </w:rPr>
              <w:t xml:space="preserve"> 200 mg/30 mg</w:t>
            </w:r>
            <w:r w:rsidRPr="00905199">
              <w:rPr>
                <w:sz w:val="22"/>
                <w:szCs w:val="22"/>
                <w:lang w:val="sk-SK"/>
              </w:rPr>
              <w:t xml:space="preserve"> s liekmi obsahujúcimi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fenytoín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môže zvýšiť sérové hladiny týchto liekov. Kontrola sérového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fenytoínu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sa pri správnom používaní </w:t>
            </w:r>
            <w:r w:rsidR="003E07B7" w:rsidRPr="00905199">
              <w:rPr>
                <w:sz w:val="22"/>
                <w:szCs w:val="22"/>
                <w:lang w:val="sk-SK"/>
              </w:rPr>
              <w:t xml:space="preserve">(maximálne počas 4 dní) </w:t>
            </w:r>
            <w:r w:rsidRPr="00905199">
              <w:rPr>
                <w:sz w:val="22"/>
                <w:szCs w:val="22"/>
                <w:lang w:val="sk-SK"/>
              </w:rPr>
              <w:t>zvyčajne nevyžaduje</w:t>
            </w:r>
            <w:r w:rsidR="003E07B7" w:rsidRPr="00905199">
              <w:rPr>
                <w:sz w:val="22"/>
                <w:szCs w:val="22"/>
                <w:lang w:val="sk-SK"/>
              </w:rPr>
              <w:t>.</w:t>
            </w:r>
            <w:r w:rsidRPr="00905199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Selektívne inhibítory spätného vychytávania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sérotonínu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SSRI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Zvýšené riziko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krvácania (pozri časť 4.4).</w:t>
            </w:r>
          </w:p>
        </w:tc>
      </w:tr>
      <w:tr w:rsidR="0000767D" w:rsidRPr="00905199">
        <w:trPr>
          <w:trHeight w:val="1513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67D" w:rsidRPr="00905199" w:rsidRDefault="003607C1" w:rsidP="0044542B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Lítium: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67D" w:rsidRPr="00905199" w:rsidRDefault="003607C1" w:rsidP="003E07B7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Súbežné užívanie </w:t>
            </w:r>
            <w:proofErr w:type="spellStart"/>
            <w:r w:rsidR="002654BB" w:rsidRPr="00905199">
              <w:rPr>
                <w:sz w:val="22"/>
                <w:szCs w:val="22"/>
                <w:lang w:val="sk-SK"/>
              </w:rPr>
              <w:t>Grippecton</w:t>
            </w:r>
            <w:r w:rsidR="003E07B7"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="002654BB" w:rsidRPr="00905199">
              <w:rPr>
                <w:sz w:val="22"/>
                <w:szCs w:val="22"/>
                <w:lang w:val="sk-SK"/>
              </w:rPr>
              <w:t xml:space="preserve"> 200 mg/30 mg</w:t>
            </w:r>
            <w:r w:rsidRPr="00905199">
              <w:rPr>
                <w:sz w:val="22"/>
                <w:szCs w:val="22"/>
                <w:lang w:val="sk-SK"/>
              </w:rPr>
              <w:t xml:space="preserve"> s liekmi obsahujúcimi lítium môže zvýšiť sérové hladiny týchto liekov. Kontrola sérového lítia sa pri správnom používaní </w:t>
            </w:r>
            <w:r w:rsidR="003E07B7" w:rsidRPr="00905199">
              <w:rPr>
                <w:sz w:val="22"/>
                <w:szCs w:val="22"/>
                <w:lang w:val="sk-SK"/>
              </w:rPr>
              <w:t xml:space="preserve">(maximálne počas 4 dní) </w:t>
            </w:r>
            <w:r w:rsidRPr="00905199">
              <w:rPr>
                <w:sz w:val="22"/>
                <w:szCs w:val="22"/>
                <w:lang w:val="sk-SK"/>
              </w:rPr>
              <w:t>spravidla nevyžaduje</w:t>
            </w:r>
            <w:r w:rsidR="003E07B7" w:rsidRPr="00905199">
              <w:rPr>
                <w:sz w:val="22"/>
                <w:szCs w:val="22"/>
                <w:lang w:val="sk-SK"/>
              </w:rPr>
              <w:t>.</w:t>
            </w:r>
            <w:r w:rsidRPr="00905199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Probenecid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sulfinpyrazón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Lieky, ktoré obsahujú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probenecid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sulfinpyrazón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môžu oneskoriť vylučovanie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r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.</w:t>
            </w:r>
          </w:p>
        </w:tc>
      </w:tr>
      <w:tr w:rsidR="0000767D" w:rsidRPr="00905199">
        <w:trPr>
          <w:trHeight w:val="3959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7D" w:rsidRPr="00684ADF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Diuretiká, inhibítory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ACE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blokátory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beta</w:t>
            </w:r>
            <w:r w:rsidR="003E07B7" w:rsidRPr="00905199">
              <w:rPr>
                <w:sz w:val="22"/>
                <w:szCs w:val="22"/>
                <w:lang w:val="sk-SK"/>
              </w:rPr>
              <w:t>-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F93CCF">
              <w:rPr>
                <w:sz w:val="22"/>
                <w:szCs w:val="22"/>
                <w:lang w:val="sk-SK"/>
              </w:rPr>
              <w:t>receptorov a </w:t>
            </w:r>
            <w:proofErr w:type="spellStart"/>
            <w:r w:rsidRPr="00F93CCF">
              <w:rPr>
                <w:sz w:val="22"/>
                <w:szCs w:val="22"/>
                <w:lang w:val="sk-SK"/>
              </w:rPr>
              <w:t>antagon</w:t>
            </w:r>
            <w:r w:rsidRPr="00905199">
              <w:rPr>
                <w:sz w:val="22"/>
                <w:szCs w:val="22"/>
                <w:lang w:val="sk-SK"/>
              </w:rPr>
              <w:t>ist</w:t>
            </w:r>
            <w:r w:rsidR="003E07B7" w:rsidRPr="00905199">
              <w:rPr>
                <w:sz w:val="22"/>
                <w:szCs w:val="22"/>
                <w:lang w:val="sk-SK"/>
              </w:rPr>
              <w:t>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angiotenzínu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NSAID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môžu znížiť účinok diuretík a iných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antihypertenzných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liekov. U niektorých pacientov so zhoršenou funkciou obličiek (napr. dehydratovaní pacienti alebo starší pacienti so zhoršenou funkciou obličiek) môže mať súbežné podávanie inhibítorov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ACE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blokátorov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beta</w:t>
            </w:r>
            <w:r w:rsidRPr="00905199">
              <w:rPr>
                <w:sz w:val="22"/>
                <w:szCs w:val="22"/>
                <w:lang w:val="sk-SK"/>
              </w:rPr>
              <w:noBreakHyphen/>
              <w:t>receptorov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alebo antagonistov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angiotenzínu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látok, ktoré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inhibujú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cyklooxygenázu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za následok ďalšie zhoršenie funkcie obličiek vrátane možného akútneho zlyhania obličiek, ktoré je zvyčajne reverzibilné. Preto sa má táto kombinácia podávať opatrne, predovšetkým u starších pacientov. Pacienti majú byť adekvátne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hydratovaní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je potrebné zvážiť sledovanie funkcie obličiek po začatí súbežnej liečby, a potom pravidelne.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Draslík šetriace diuretiká: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Súbežné podávanie </w:t>
            </w:r>
            <w:proofErr w:type="spellStart"/>
            <w:r w:rsidR="002654BB" w:rsidRPr="00905199">
              <w:rPr>
                <w:sz w:val="22"/>
                <w:szCs w:val="22"/>
                <w:lang w:val="sk-SK"/>
              </w:rPr>
              <w:t>Grippecton</w:t>
            </w:r>
            <w:r w:rsidR="003E07B7"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="002654BB" w:rsidRPr="00905199">
              <w:rPr>
                <w:sz w:val="22"/>
                <w:szCs w:val="22"/>
                <w:lang w:val="sk-SK"/>
              </w:rPr>
              <w:t xml:space="preserve"> 200 mg/30 mg</w:t>
            </w:r>
            <w:r w:rsidRPr="00905199">
              <w:rPr>
                <w:sz w:val="22"/>
                <w:szCs w:val="22"/>
                <w:lang w:val="sk-SK"/>
              </w:rPr>
              <w:t xml:space="preserve"> a draslík šetriacich diuretík môže viesť k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hyperkaliémii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(odporúča sa kontrola sérového draslíka).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Metotrexát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Podávanie </w:t>
            </w:r>
            <w:proofErr w:type="spellStart"/>
            <w:r w:rsidR="002654BB" w:rsidRPr="00905199">
              <w:rPr>
                <w:sz w:val="22"/>
                <w:szCs w:val="22"/>
                <w:lang w:val="sk-SK"/>
              </w:rPr>
              <w:t>Grippecton</w:t>
            </w:r>
            <w:r w:rsidR="003E07B7" w:rsidRPr="00905199">
              <w:rPr>
                <w:sz w:val="22"/>
                <w:szCs w:val="22"/>
                <w:lang w:val="sk-SK"/>
              </w:rPr>
              <w:t>u</w:t>
            </w:r>
            <w:proofErr w:type="spellEnd"/>
            <w:r w:rsidR="002654BB" w:rsidRPr="00905199">
              <w:rPr>
                <w:sz w:val="22"/>
                <w:szCs w:val="22"/>
                <w:lang w:val="sk-SK"/>
              </w:rPr>
              <w:t xml:space="preserve"> 200 mg/30 mg</w:t>
            </w:r>
            <w:r w:rsidRPr="00905199">
              <w:rPr>
                <w:sz w:val="22"/>
                <w:szCs w:val="22"/>
                <w:lang w:val="sk-SK"/>
              </w:rPr>
              <w:t xml:space="preserve"> v priebehu 24 hodín pred alebo po podaní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metotrexátu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môže viesť k zvýšeným koncentráciám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metotrexátu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k zvýšeniu jeho toxického účinku.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Cyklosporín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Riziko poškodenia obličiek súvisiace s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cyklosporínom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sa zvyšuje súbežným podávaním niektorých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nesteroidových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antiflogistík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. Tento účinok nemožno vylúčiť ani pri kombinácii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cyklosporínu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r w:rsidRPr="00905199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Takrolimus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Ak sa tieto dva lieky podávajú súbežne, je zvýšené riziko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nefrotoxicity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Zidovudín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U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HIV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 (+)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hemofilikov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užívajúcich súbežnú liečbu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zidovudínom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r w:rsidRPr="00905199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existuje zvýšené riziko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hemartróz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hematómov.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lastRenderedPageBreak/>
              <w:t xml:space="preserve">Deriváty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sulfonylmočoviny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Klinické zistenia preukázali interakcie medzi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nesteroidovými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antiflogistikami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antidiabetikami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(derivátmi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sulfonylmočoviny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). Hoci interakcie medzi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r w:rsidRPr="00905199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derivátmi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sulfonylmočoviny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neboli doteraz zaznamenané, preventívne sa pri súbežnom užívaní odporúča kontrola hodnôt glukózy v krvi.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Chinolónové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antibiotiká: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Údaje získané na zvieratách naznačujú, že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NSAID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môžu zvyšovať riziko kŕčov v súvislosti s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chinolónovými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antibiotikami. Pacienti užívajúci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NSAID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chinolóny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môžu mať zvýšené riziko rozvoja kŕčov.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Heparíny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; </w:t>
            </w:r>
            <w:proofErr w:type="spellStart"/>
            <w:r w:rsidRPr="00905199">
              <w:rPr>
                <w:i/>
                <w:iCs/>
                <w:sz w:val="22"/>
                <w:szCs w:val="22"/>
                <w:lang w:val="sk-SK"/>
              </w:rPr>
              <w:t>Gingko</w:t>
            </w:r>
            <w:proofErr w:type="spellEnd"/>
            <w:r w:rsidRPr="00905199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i/>
                <w:iCs/>
                <w:sz w:val="22"/>
                <w:szCs w:val="22"/>
                <w:lang w:val="sk-SK"/>
              </w:rPr>
              <w:t>biloba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Zvýšené riziko krvácania.</w:t>
            </w:r>
          </w:p>
        </w:tc>
      </w:tr>
    </w:tbl>
    <w:p w:rsidR="0000767D" w:rsidRPr="00905199" w:rsidRDefault="0000767D" w:rsidP="0044542B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4.6</w:t>
      </w:r>
      <w:r w:rsidRPr="00905199">
        <w:rPr>
          <w:b/>
          <w:szCs w:val="22"/>
          <w:lang w:val="sk-SK"/>
        </w:rPr>
        <w:tab/>
      </w:r>
      <w:proofErr w:type="spellStart"/>
      <w:r w:rsidRPr="00905199">
        <w:rPr>
          <w:b/>
          <w:szCs w:val="22"/>
          <w:lang w:val="sk-SK"/>
        </w:rPr>
        <w:t>Fertilita</w:t>
      </w:r>
      <w:proofErr w:type="spellEnd"/>
      <w:r w:rsidRPr="00905199">
        <w:rPr>
          <w:b/>
          <w:szCs w:val="22"/>
          <w:lang w:val="sk-SK"/>
        </w:rPr>
        <w:t>, gravidita a laktácia</w:t>
      </w:r>
    </w:p>
    <w:p w:rsidR="0000767D" w:rsidRPr="00905199" w:rsidRDefault="0000767D">
      <w:pPr>
        <w:rPr>
          <w:i/>
          <w:szCs w:val="22"/>
          <w:lang w:val="sk-SK"/>
        </w:rPr>
      </w:pPr>
    </w:p>
    <w:p w:rsidR="0000767D" w:rsidRPr="00905199" w:rsidRDefault="003607C1">
      <w:pPr>
        <w:autoSpaceDE w:val="0"/>
        <w:autoSpaceDN w:val="0"/>
        <w:adjustRightInd w:val="0"/>
        <w:rPr>
          <w:bCs/>
          <w:szCs w:val="22"/>
          <w:u w:val="single"/>
          <w:lang w:val="sk-SK"/>
        </w:rPr>
      </w:pPr>
      <w:r w:rsidRPr="00905199">
        <w:rPr>
          <w:bCs/>
          <w:szCs w:val="22"/>
          <w:u w:val="single"/>
          <w:lang w:val="sk-SK"/>
        </w:rPr>
        <w:t>Gravidita</w:t>
      </w:r>
    </w:p>
    <w:p w:rsidR="0000767D" w:rsidRPr="00905199" w:rsidRDefault="0000767D">
      <w:pPr>
        <w:autoSpaceDE w:val="0"/>
        <w:autoSpaceDN w:val="0"/>
        <w:adjustRightInd w:val="0"/>
        <w:rPr>
          <w:b/>
          <w:szCs w:val="22"/>
          <w:lang w:val="sk-SK"/>
        </w:rPr>
      </w:pPr>
    </w:p>
    <w:p w:rsidR="0000767D" w:rsidRPr="00905199" w:rsidRDefault="003607C1">
      <w:pPr>
        <w:autoSpaceDE w:val="0"/>
        <w:autoSpaceDN w:val="0"/>
        <w:adjustRightInd w:val="0"/>
        <w:rPr>
          <w:i/>
          <w:szCs w:val="22"/>
          <w:lang w:val="sk-SK"/>
        </w:rPr>
      </w:pPr>
      <w:proofErr w:type="spellStart"/>
      <w:r w:rsidRPr="00905199">
        <w:rPr>
          <w:i/>
          <w:szCs w:val="22"/>
          <w:lang w:val="sk-SK"/>
        </w:rPr>
        <w:t>Pseudoefedríniumchlorid</w:t>
      </w:r>
      <w:proofErr w:type="spellEnd"/>
      <w:r w:rsidRPr="00905199">
        <w:rPr>
          <w:i/>
          <w:szCs w:val="22"/>
          <w:lang w:val="sk-SK"/>
        </w:rPr>
        <w:t>:</w:t>
      </w:r>
    </w:p>
    <w:p w:rsidR="0000767D" w:rsidRPr="00905199" w:rsidRDefault="0000767D">
      <w:pPr>
        <w:autoSpaceDE w:val="0"/>
        <w:autoSpaceDN w:val="0"/>
        <w:adjustRightInd w:val="0"/>
        <w:rPr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Štúdie na zvieratách preukázali reprodukčnú toxicitu (pozri časť 5.3). Používanie 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 xml:space="preserve"> znižuje prekrvovanie maternice, ale klinické údaje ohľadne účinkov na graviditu nie sú dostatočné.</w:t>
      </w:r>
    </w:p>
    <w:p w:rsidR="0000767D" w:rsidRPr="00905199" w:rsidRDefault="0000767D">
      <w:pPr>
        <w:autoSpaceDE w:val="0"/>
        <w:autoSpaceDN w:val="0"/>
        <w:adjustRightInd w:val="0"/>
        <w:rPr>
          <w:szCs w:val="22"/>
          <w:lang w:val="sk-SK"/>
        </w:rPr>
      </w:pPr>
    </w:p>
    <w:p w:rsidR="0000767D" w:rsidRPr="00905199" w:rsidRDefault="003607C1">
      <w:pPr>
        <w:autoSpaceDE w:val="0"/>
        <w:autoSpaceDN w:val="0"/>
        <w:adjustRightInd w:val="0"/>
        <w:rPr>
          <w:i/>
          <w:szCs w:val="22"/>
          <w:lang w:val="sk-SK"/>
        </w:rPr>
      </w:pPr>
      <w:proofErr w:type="spellStart"/>
      <w:r w:rsidRPr="00905199">
        <w:rPr>
          <w:i/>
          <w:szCs w:val="22"/>
          <w:lang w:val="sk-SK"/>
        </w:rPr>
        <w:t>Ibupro</w:t>
      </w:r>
      <w:r w:rsidR="000A5984" w:rsidRPr="00905199">
        <w:rPr>
          <w:i/>
          <w:szCs w:val="22"/>
          <w:lang w:val="sk-SK"/>
        </w:rPr>
        <w:t>fen</w:t>
      </w:r>
      <w:proofErr w:type="spellEnd"/>
      <w:r w:rsidRPr="00905199">
        <w:rPr>
          <w:i/>
          <w:szCs w:val="22"/>
          <w:lang w:val="sk-SK"/>
        </w:rPr>
        <w:t>:</w:t>
      </w:r>
    </w:p>
    <w:p w:rsidR="0000767D" w:rsidRPr="00905199" w:rsidRDefault="0000767D">
      <w:pPr>
        <w:autoSpaceDE w:val="0"/>
        <w:autoSpaceDN w:val="0"/>
        <w:adjustRightInd w:val="0"/>
        <w:rPr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Inhibícia syntézy </w:t>
      </w:r>
      <w:proofErr w:type="spellStart"/>
      <w:r w:rsidRPr="00905199">
        <w:rPr>
          <w:szCs w:val="22"/>
          <w:lang w:val="sk-SK"/>
        </w:rPr>
        <w:t>prostaglandínu</w:t>
      </w:r>
      <w:proofErr w:type="spellEnd"/>
      <w:r w:rsidRPr="00905199">
        <w:rPr>
          <w:szCs w:val="22"/>
          <w:lang w:val="sk-SK"/>
        </w:rPr>
        <w:t xml:space="preserve"> môže nepriaznivo ovplyvniť tehotenstvo a/alebo vývoj embrya/plodu.</w:t>
      </w:r>
    </w:p>
    <w:p w:rsidR="0000767D" w:rsidRPr="00905199" w:rsidRDefault="0000767D">
      <w:pPr>
        <w:jc w:val="both"/>
        <w:rPr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Údaje z epidemiologických štúdií naznačujú zvýšené riziko potratu a srdcových </w:t>
      </w:r>
      <w:proofErr w:type="spellStart"/>
      <w:r w:rsidRPr="00905199">
        <w:rPr>
          <w:szCs w:val="22"/>
          <w:lang w:val="sk-SK"/>
        </w:rPr>
        <w:t>malformácií</w:t>
      </w:r>
      <w:proofErr w:type="spellEnd"/>
      <w:r w:rsidRPr="00905199">
        <w:rPr>
          <w:szCs w:val="22"/>
          <w:lang w:val="sk-SK"/>
        </w:rPr>
        <w:t xml:space="preserve"> a </w:t>
      </w:r>
      <w:proofErr w:type="spellStart"/>
      <w:r w:rsidRPr="00905199">
        <w:rPr>
          <w:szCs w:val="22"/>
          <w:lang w:val="sk-SK"/>
        </w:rPr>
        <w:t>gastroschízy</w:t>
      </w:r>
      <w:proofErr w:type="spellEnd"/>
      <w:r w:rsidRPr="00905199">
        <w:rPr>
          <w:szCs w:val="22"/>
          <w:lang w:val="sk-SK"/>
        </w:rPr>
        <w:t xml:space="preserve"> po použití inhibítorov syntézy </w:t>
      </w:r>
      <w:proofErr w:type="spellStart"/>
      <w:r w:rsidR="00905199" w:rsidRPr="00905199">
        <w:rPr>
          <w:szCs w:val="22"/>
          <w:lang w:val="sk-SK"/>
        </w:rPr>
        <w:t>prostaglandínu</w:t>
      </w:r>
      <w:proofErr w:type="spellEnd"/>
      <w:r w:rsidRPr="00905199">
        <w:rPr>
          <w:szCs w:val="22"/>
          <w:lang w:val="sk-SK"/>
        </w:rPr>
        <w:t xml:space="preserve"> v skorom štádiu tehotenstva. Predpokladá sa zvyšovanie rizika s dávkou a trvaním liečby.</w:t>
      </w: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lang w:val="sk-SK"/>
        </w:rPr>
        <w:t xml:space="preserve">U zvierat sa preukázalo, že podávanie inhibítorov syntézy </w:t>
      </w:r>
      <w:proofErr w:type="spellStart"/>
      <w:r w:rsidRPr="00905199">
        <w:rPr>
          <w:lang w:val="sk-SK"/>
        </w:rPr>
        <w:t>prostaglandínu</w:t>
      </w:r>
      <w:proofErr w:type="spellEnd"/>
      <w:r w:rsidRPr="00905199">
        <w:rPr>
          <w:lang w:val="sk-SK"/>
        </w:rPr>
        <w:t xml:space="preserve"> má za následok zvýšený výskyt pred- a </w:t>
      </w:r>
      <w:proofErr w:type="spellStart"/>
      <w:r w:rsidRPr="00905199">
        <w:rPr>
          <w:lang w:val="sk-SK"/>
        </w:rPr>
        <w:t>poimplantačných</w:t>
      </w:r>
      <w:proofErr w:type="spellEnd"/>
      <w:r w:rsidRPr="00905199">
        <w:rPr>
          <w:lang w:val="sk-SK"/>
        </w:rPr>
        <w:t xml:space="preserve"> potratov a zvýšenú </w:t>
      </w:r>
      <w:proofErr w:type="spellStart"/>
      <w:r w:rsidRPr="00905199">
        <w:rPr>
          <w:lang w:val="sk-SK"/>
        </w:rPr>
        <w:t>embr</w:t>
      </w:r>
      <w:r w:rsidR="00905199">
        <w:rPr>
          <w:lang w:val="sk-SK"/>
        </w:rPr>
        <w:t>y</w:t>
      </w:r>
      <w:r w:rsidRPr="00905199">
        <w:rPr>
          <w:lang w:val="sk-SK"/>
        </w:rPr>
        <w:t>ofetálnu</w:t>
      </w:r>
      <w:proofErr w:type="spellEnd"/>
      <w:r w:rsidRPr="00905199">
        <w:rPr>
          <w:lang w:val="sk-SK"/>
        </w:rPr>
        <w:t xml:space="preserve"> úmrtnosť. Okrem toho sa u zvierat, ktorým sa podával inhibítor syntézy </w:t>
      </w:r>
      <w:proofErr w:type="spellStart"/>
      <w:r w:rsidRPr="00905199">
        <w:rPr>
          <w:lang w:val="sk-SK"/>
        </w:rPr>
        <w:t>prostaglandínov</w:t>
      </w:r>
      <w:proofErr w:type="spellEnd"/>
      <w:r w:rsidRPr="00905199">
        <w:rPr>
          <w:lang w:val="sk-SK"/>
        </w:rPr>
        <w:t xml:space="preserve"> počas </w:t>
      </w:r>
      <w:proofErr w:type="spellStart"/>
      <w:r w:rsidRPr="00905199">
        <w:rPr>
          <w:lang w:val="sk-SK"/>
        </w:rPr>
        <w:t>organogenetického</w:t>
      </w:r>
      <w:proofErr w:type="spellEnd"/>
      <w:r w:rsidRPr="00905199">
        <w:rPr>
          <w:lang w:val="sk-SK"/>
        </w:rPr>
        <w:t xml:space="preserve"> štádia, hlásil zvýšený výskyt rôznych </w:t>
      </w:r>
      <w:proofErr w:type="spellStart"/>
      <w:r w:rsidRPr="00905199">
        <w:rPr>
          <w:lang w:val="sk-SK"/>
        </w:rPr>
        <w:t>malformácií</w:t>
      </w:r>
      <w:proofErr w:type="spellEnd"/>
      <w:r w:rsidRPr="00905199">
        <w:rPr>
          <w:lang w:val="sk-SK"/>
        </w:rPr>
        <w:t xml:space="preserve">, vrátane kardiovaskulárnych </w:t>
      </w:r>
      <w:proofErr w:type="spellStart"/>
      <w:r w:rsidRPr="00905199">
        <w:rPr>
          <w:lang w:val="sk-SK"/>
        </w:rPr>
        <w:t>malformácií</w:t>
      </w:r>
      <w:proofErr w:type="spellEnd"/>
      <w:r w:rsidRPr="00905199">
        <w:rPr>
          <w:lang w:val="sk-SK"/>
        </w:rPr>
        <w:t>.</w:t>
      </w:r>
    </w:p>
    <w:p w:rsidR="0000767D" w:rsidRPr="00905199" w:rsidRDefault="0000767D">
      <w:pPr>
        <w:pStyle w:val="Zkladntext3"/>
        <w:rPr>
          <w:color w:val="auto"/>
          <w:lang w:val="sk-SK"/>
        </w:rPr>
      </w:pPr>
    </w:p>
    <w:p w:rsidR="0000767D" w:rsidRPr="00905199" w:rsidRDefault="003607C1">
      <w:pPr>
        <w:pStyle w:val="Zkladntext3"/>
        <w:rPr>
          <w:color w:val="auto"/>
          <w:lang w:val="sk-SK"/>
        </w:rPr>
      </w:pPr>
      <w:r w:rsidRPr="00905199">
        <w:rPr>
          <w:color w:val="auto"/>
          <w:lang w:val="sk-SK"/>
        </w:rPr>
        <w:t xml:space="preserve">Počas prvého a druhého </w:t>
      </w:r>
      <w:proofErr w:type="spellStart"/>
      <w:r w:rsidRPr="00905199">
        <w:rPr>
          <w:color w:val="auto"/>
          <w:lang w:val="sk-SK"/>
        </w:rPr>
        <w:t>trimestra</w:t>
      </w:r>
      <w:proofErr w:type="spellEnd"/>
      <w:r w:rsidRPr="00905199">
        <w:rPr>
          <w:color w:val="auto"/>
          <w:lang w:val="sk-SK"/>
        </w:rPr>
        <w:t xml:space="preserve"> gravidity sa </w:t>
      </w:r>
      <w:proofErr w:type="spellStart"/>
      <w:r w:rsidRPr="00905199">
        <w:rPr>
          <w:color w:val="auto"/>
          <w:lang w:val="sk-SK"/>
        </w:rPr>
        <w:t>ibupro</w:t>
      </w:r>
      <w:r w:rsidR="000A5984" w:rsidRPr="00905199">
        <w:rPr>
          <w:color w:val="auto"/>
          <w:lang w:val="sk-SK"/>
        </w:rPr>
        <w:t>fen</w:t>
      </w:r>
      <w:proofErr w:type="spellEnd"/>
      <w:r w:rsidRPr="00905199">
        <w:rPr>
          <w:color w:val="auto"/>
          <w:lang w:val="sk-SK"/>
        </w:rPr>
        <w:t xml:space="preserve"> nemá podávať, ak to nie je úplne nevyhnutné. Ak sa </w:t>
      </w:r>
      <w:proofErr w:type="spellStart"/>
      <w:r w:rsidRPr="00905199">
        <w:rPr>
          <w:color w:val="auto"/>
          <w:lang w:val="sk-SK"/>
        </w:rPr>
        <w:t>ibupro</w:t>
      </w:r>
      <w:r w:rsidR="000A5984" w:rsidRPr="00905199">
        <w:rPr>
          <w:color w:val="auto"/>
          <w:lang w:val="sk-SK"/>
        </w:rPr>
        <w:t>fen</w:t>
      </w:r>
      <w:proofErr w:type="spellEnd"/>
      <w:r w:rsidRPr="00905199">
        <w:rPr>
          <w:color w:val="auto"/>
          <w:lang w:val="sk-SK"/>
        </w:rPr>
        <w:t xml:space="preserve"> použije u ženy, ktorá sa snaží otehotnieť, alebo počas prvého alebo druhého </w:t>
      </w:r>
      <w:proofErr w:type="spellStart"/>
      <w:r w:rsidRPr="00905199">
        <w:rPr>
          <w:color w:val="auto"/>
          <w:lang w:val="sk-SK"/>
        </w:rPr>
        <w:t>trimestra</w:t>
      </w:r>
      <w:proofErr w:type="spellEnd"/>
      <w:r w:rsidRPr="00905199">
        <w:rPr>
          <w:color w:val="auto"/>
          <w:lang w:val="sk-SK"/>
        </w:rPr>
        <w:t xml:space="preserve"> gravidity, má sa použiť čo najnižšia možná dávka pri čo najkratšom čase podávania.</w:t>
      </w:r>
    </w:p>
    <w:p w:rsidR="0000767D" w:rsidRPr="00905199" w:rsidRDefault="0000767D">
      <w:pPr>
        <w:jc w:val="both"/>
        <w:rPr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Počas tretieho </w:t>
      </w:r>
      <w:proofErr w:type="spellStart"/>
      <w:r w:rsidRPr="00905199">
        <w:rPr>
          <w:szCs w:val="22"/>
          <w:lang w:val="sk-SK"/>
        </w:rPr>
        <w:t>trimestra</w:t>
      </w:r>
      <w:proofErr w:type="spellEnd"/>
      <w:r w:rsidRPr="00905199">
        <w:rPr>
          <w:szCs w:val="22"/>
          <w:lang w:val="sk-SK"/>
        </w:rPr>
        <w:t xml:space="preserve"> gravidity môžu všetky inhibítory syntézy </w:t>
      </w:r>
      <w:proofErr w:type="spellStart"/>
      <w:r w:rsidR="00905199" w:rsidRPr="00905199">
        <w:rPr>
          <w:szCs w:val="22"/>
          <w:lang w:val="sk-SK"/>
        </w:rPr>
        <w:t>prostaglandínov</w:t>
      </w:r>
      <w:proofErr w:type="spellEnd"/>
      <w:r w:rsidRPr="00905199">
        <w:rPr>
          <w:szCs w:val="22"/>
          <w:lang w:val="sk-SK"/>
        </w:rPr>
        <w:t xml:space="preserve"> vystaviť </w:t>
      </w:r>
      <w:r w:rsidRPr="00905199">
        <w:rPr>
          <w:b/>
          <w:szCs w:val="22"/>
          <w:lang w:val="sk-SK"/>
        </w:rPr>
        <w:t>plod</w:t>
      </w:r>
      <w:r w:rsidRPr="00905199">
        <w:rPr>
          <w:szCs w:val="22"/>
          <w:lang w:val="sk-SK"/>
        </w:rPr>
        <w:t>:</w:t>
      </w: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-</w:t>
      </w:r>
      <w:proofErr w:type="spellStart"/>
      <w:r w:rsidRPr="00905199">
        <w:rPr>
          <w:szCs w:val="22"/>
          <w:lang w:val="sk-SK"/>
        </w:rPr>
        <w:t>kardiop</w:t>
      </w:r>
      <w:r w:rsidR="003E07B7" w:rsidRPr="00905199">
        <w:rPr>
          <w:szCs w:val="22"/>
          <w:lang w:val="sk-SK"/>
        </w:rPr>
        <w:t>ul</w:t>
      </w:r>
      <w:r w:rsidRPr="00905199">
        <w:rPr>
          <w:szCs w:val="22"/>
          <w:lang w:val="sk-SK"/>
        </w:rPr>
        <w:t>monárnej</w:t>
      </w:r>
      <w:proofErr w:type="spellEnd"/>
      <w:r w:rsidRPr="00905199">
        <w:rPr>
          <w:szCs w:val="22"/>
          <w:lang w:val="sk-SK"/>
        </w:rPr>
        <w:t xml:space="preserve"> toxicite (s predčasným uzavretím </w:t>
      </w:r>
      <w:proofErr w:type="spellStart"/>
      <w:r w:rsidRPr="00905199">
        <w:rPr>
          <w:szCs w:val="22"/>
          <w:lang w:val="sk-SK"/>
        </w:rPr>
        <w:t>ductus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arteriosus</w:t>
      </w:r>
      <w:proofErr w:type="spellEnd"/>
      <w:r w:rsidRPr="00905199">
        <w:rPr>
          <w:szCs w:val="22"/>
          <w:lang w:val="sk-SK"/>
        </w:rPr>
        <w:t xml:space="preserve"> a </w:t>
      </w:r>
      <w:proofErr w:type="spellStart"/>
      <w:r w:rsidRPr="00905199">
        <w:rPr>
          <w:szCs w:val="22"/>
          <w:lang w:val="sk-SK"/>
        </w:rPr>
        <w:t>pulmonárnou</w:t>
      </w:r>
      <w:proofErr w:type="spellEnd"/>
      <w:r w:rsidRPr="00905199">
        <w:rPr>
          <w:szCs w:val="22"/>
          <w:lang w:val="sk-SK"/>
        </w:rPr>
        <w:t xml:space="preserve"> hypertenziou),</w:t>
      </w: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-</w:t>
      </w:r>
      <w:proofErr w:type="spellStart"/>
      <w:r w:rsidRPr="00905199">
        <w:rPr>
          <w:szCs w:val="22"/>
          <w:lang w:val="sk-SK"/>
        </w:rPr>
        <w:t>renálnej</w:t>
      </w:r>
      <w:proofErr w:type="spellEnd"/>
      <w:r w:rsidRPr="00905199">
        <w:rPr>
          <w:szCs w:val="22"/>
          <w:lang w:val="sk-SK"/>
        </w:rPr>
        <w:t xml:space="preserve"> dysfunkcii, ktorá môže pokročiť do zlyhania obličiek s </w:t>
      </w:r>
      <w:proofErr w:type="spellStart"/>
      <w:r w:rsidRPr="00905199">
        <w:rPr>
          <w:szCs w:val="22"/>
          <w:lang w:val="sk-SK"/>
        </w:rPr>
        <w:t>oligohydroamni</w:t>
      </w:r>
      <w:r w:rsidR="003E07B7" w:rsidRPr="00905199">
        <w:rPr>
          <w:szCs w:val="22"/>
          <w:lang w:val="sk-SK"/>
        </w:rPr>
        <w:t>ó</w:t>
      </w:r>
      <w:r w:rsidRPr="00905199">
        <w:rPr>
          <w:szCs w:val="22"/>
          <w:lang w:val="sk-SK"/>
        </w:rPr>
        <w:t>nom</w:t>
      </w:r>
      <w:proofErr w:type="spellEnd"/>
      <w:r w:rsidRPr="00905199">
        <w:rPr>
          <w:szCs w:val="22"/>
          <w:lang w:val="sk-SK"/>
        </w:rPr>
        <w:t>,</w:t>
      </w:r>
    </w:p>
    <w:p w:rsidR="0000767D" w:rsidRPr="00905199" w:rsidRDefault="0000767D">
      <w:pPr>
        <w:jc w:val="both"/>
        <w:rPr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b/>
          <w:szCs w:val="22"/>
          <w:lang w:val="sk-SK"/>
        </w:rPr>
        <w:t>matku a plod na konci gravidity:</w:t>
      </w: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-možnému predĺženiu času krvácania, </w:t>
      </w:r>
      <w:proofErr w:type="spellStart"/>
      <w:r w:rsidRPr="00905199">
        <w:rPr>
          <w:szCs w:val="22"/>
          <w:lang w:val="sk-SK"/>
        </w:rPr>
        <w:t>antiagregačnému</w:t>
      </w:r>
      <w:proofErr w:type="spellEnd"/>
      <w:r w:rsidRPr="00905199">
        <w:rPr>
          <w:szCs w:val="22"/>
          <w:lang w:val="sk-SK"/>
        </w:rPr>
        <w:t xml:space="preserve"> účinku, ktorý sa môže vyskytnúť i po veľmi nízkych dávkach,</w:t>
      </w:r>
    </w:p>
    <w:p w:rsidR="0000767D" w:rsidRPr="00905199" w:rsidRDefault="003607C1">
      <w:pPr>
        <w:tabs>
          <w:tab w:val="left" w:pos="0"/>
          <w:tab w:val="left" w:pos="54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-inhibícii kontrakcií maternice vedúcich k oneskorenému alebo predĺženému pôrodu.</w:t>
      </w:r>
    </w:p>
    <w:p w:rsidR="0000767D" w:rsidRPr="00905199" w:rsidRDefault="0000767D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</w:p>
    <w:p w:rsidR="0000767D" w:rsidRPr="00905199" w:rsidRDefault="003607C1">
      <w:pPr>
        <w:tabs>
          <w:tab w:val="left" w:pos="0"/>
          <w:tab w:val="left" w:pos="54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Preto je použitie tohto lieku:</w:t>
      </w: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Kontraindikované počas tretieho </w:t>
      </w:r>
      <w:proofErr w:type="spellStart"/>
      <w:r w:rsidRPr="00905199">
        <w:rPr>
          <w:szCs w:val="22"/>
          <w:lang w:val="sk-SK"/>
        </w:rPr>
        <w:t>trimestra</w:t>
      </w:r>
      <w:proofErr w:type="spellEnd"/>
      <w:r w:rsidRPr="00905199">
        <w:rPr>
          <w:szCs w:val="22"/>
          <w:lang w:val="sk-SK"/>
        </w:rPr>
        <w:t xml:space="preserve"> gravidity a počas prvého a druhého </w:t>
      </w:r>
      <w:proofErr w:type="spellStart"/>
      <w:r w:rsidRPr="00905199">
        <w:rPr>
          <w:szCs w:val="22"/>
          <w:lang w:val="sk-SK"/>
        </w:rPr>
        <w:t>trimestra</w:t>
      </w:r>
      <w:proofErr w:type="spellEnd"/>
      <w:r w:rsidRPr="00905199">
        <w:rPr>
          <w:szCs w:val="22"/>
          <w:lang w:val="sk-SK"/>
        </w:rPr>
        <w:t xml:space="preserve"> sa má liek podávať iba ak to je úplne nevyhnutné.</w:t>
      </w:r>
    </w:p>
    <w:p w:rsidR="0000767D" w:rsidRPr="00905199" w:rsidRDefault="0000767D">
      <w:pPr>
        <w:autoSpaceDE w:val="0"/>
        <w:autoSpaceDN w:val="0"/>
        <w:adjustRightInd w:val="0"/>
        <w:rPr>
          <w:szCs w:val="22"/>
          <w:lang w:val="sk-SK"/>
        </w:rPr>
      </w:pPr>
    </w:p>
    <w:p w:rsidR="0000767D" w:rsidRPr="00905199" w:rsidRDefault="003607C1">
      <w:pPr>
        <w:keepNext/>
        <w:keepLines/>
        <w:autoSpaceDE w:val="0"/>
        <w:autoSpaceDN w:val="0"/>
        <w:adjustRightInd w:val="0"/>
        <w:rPr>
          <w:bCs/>
          <w:szCs w:val="22"/>
          <w:u w:val="single"/>
          <w:lang w:val="sk-SK"/>
        </w:rPr>
      </w:pPr>
      <w:r w:rsidRPr="00905199">
        <w:rPr>
          <w:bCs/>
          <w:szCs w:val="22"/>
          <w:u w:val="single"/>
          <w:lang w:val="sk-SK"/>
        </w:rPr>
        <w:lastRenderedPageBreak/>
        <w:t>Dojčenie</w:t>
      </w:r>
    </w:p>
    <w:p w:rsidR="0000767D" w:rsidRPr="00905199" w:rsidRDefault="0000767D">
      <w:pPr>
        <w:keepNext/>
        <w:keepLines/>
        <w:autoSpaceDE w:val="0"/>
        <w:autoSpaceDN w:val="0"/>
        <w:adjustRightInd w:val="0"/>
        <w:rPr>
          <w:b/>
          <w:szCs w:val="22"/>
          <w:lang w:val="sk-SK"/>
        </w:rPr>
      </w:pPr>
    </w:p>
    <w:p w:rsidR="0000767D" w:rsidRPr="00905199" w:rsidRDefault="003607C1">
      <w:pPr>
        <w:tabs>
          <w:tab w:val="left" w:pos="0"/>
          <w:tab w:val="left" w:pos="54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Opatrenia, ktoré treba urobiť počas dojčenia</w:t>
      </w:r>
      <w:r w:rsidR="006620DC" w:rsidRPr="00905199">
        <w:rPr>
          <w:szCs w:val="22"/>
          <w:lang w:val="sk-SK"/>
        </w:rPr>
        <w:t>,</w:t>
      </w:r>
      <w:r w:rsidRPr="00905199">
        <w:rPr>
          <w:szCs w:val="22"/>
          <w:lang w:val="sk-SK"/>
        </w:rPr>
        <w:t xml:space="preserve"> vyplývajú z prítomnosti 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 xml:space="preserve"> v lieku: </w:t>
      </w:r>
      <w:proofErr w:type="spellStart"/>
      <w:r w:rsidRPr="00905199">
        <w:rPr>
          <w:szCs w:val="22"/>
          <w:lang w:val="sk-SK"/>
        </w:rPr>
        <w:t>pseudoefedríniumchlorid</w:t>
      </w:r>
      <w:proofErr w:type="spellEnd"/>
      <w:r w:rsidRPr="00905199">
        <w:rPr>
          <w:szCs w:val="22"/>
          <w:lang w:val="sk-SK"/>
        </w:rPr>
        <w:t xml:space="preserve"> sa vylučuje do ľudského materského mlieka. Z hľadiska možných kardiovaskulárnych a neurologických účinkov </w:t>
      </w:r>
      <w:proofErr w:type="spellStart"/>
      <w:r w:rsidRPr="00905199">
        <w:rPr>
          <w:szCs w:val="22"/>
          <w:lang w:val="sk-SK"/>
        </w:rPr>
        <w:t>vazokonstrikčných</w:t>
      </w:r>
      <w:proofErr w:type="spellEnd"/>
      <w:r w:rsidRPr="00905199">
        <w:rPr>
          <w:szCs w:val="22"/>
          <w:lang w:val="sk-SK"/>
        </w:rPr>
        <w:t xml:space="preserve"> liečiv je používanie tohto lieku počas dojčenia kontraindikované.</w:t>
      </w:r>
    </w:p>
    <w:p w:rsidR="0000767D" w:rsidRPr="00905199" w:rsidRDefault="0000767D">
      <w:pPr>
        <w:autoSpaceDE w:val="0"/>
        <w:autoSpaceDN w:val="0"/>
        <w:adjustRightInd w:val="0"/>
        <w:rPr>
          <w:szCs w:val="22"/>
          <w:lang w:val="sk-SK"/>
        </w:rPr>
      </w:pPr>
    </w:p>
    <w:p w:rsidR="0000767D" w:rsidRPr="00905199" w:rsidRDefault="003607C1">
      <w:pPr>
        <w:autoSpaceDE w:val="0"/>
        <w:autoSpaceDN w:val="0"/>
        <w:adjustRightInd w:val="0"/>
        <w:rPr>
          <w:bCs/>
          <w:szCs w:val="22"/>
          <w:u w:val="single"/>
          <w:lang w:val="sk-SK"/>
        </w:rPr>
      </w:pPr>
      <w:proofErr w:type="spellStart"/>
      <w:r w:rsidRPr="00905199">
        <w:rPr>
          <w:bCs/>
          <w:szCs w:val="22"/>
          <w:u w:val="single"/>
          <w:lang w:val="sk-SK"/>
        </w:rPr>
        <w:t>Fertilita</w:t>
      </w:r>
      <w:proofErr w:type="spellEnd"/>
      <w:r w:rsidRPr="00905199">
        <w:rPr>
          <w:bCs/>
          <w:szCs w:val="22"/>
          <w:u w:val="single"/>
          <w:lang w:val="sk-SK"/>
        </w:rPr>
        <w:t>:</w:t>
      </w:r>
    </w:p>
    <w:p w:rsidR="0000767D" w:rsidRPr="00905199" w:rsidRDefault="0000767D">
      <w:pPr>
        <w:autoSpaceDE w:val="0"/>
        <w:autoSpaceDN w:val="0"/>
        <w:adjustRightInd w:val="0"/>
        <w:rPr>
          <w:szCs w:val="22"/>
          <w:lang w:val="sk-SK"/>
        </w:rPr>
      </w:pPr>
    </w:p>
    <w:p w:rsidR="0000767D" w:rsidRPr="00905199" w:rsidRDefault="003607C1">
      <w:pPr>
        <w:autoSpaceDE w:val="0"/>
        <w:autoSpaceDN w:val="0"/>
        <w:adjustRightInd w:val="0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Existujú obmedzené dôkazy, že lieky, ktoré </w:t>
      </w:r>
      <w:proofErr w:type="spellStart"/>
      <w:r w:rsidRPr="00905199">
        <w:rPr>
          <w:szCs w:val="22"/>
          <w:lang w:val="sk-SK"/>
        </w:rPr>
        <w:t>inhibujú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cyklooxygenázu</w:t>
      </w:r>
      <w:proofErr w:type="spellEnd"/>
      <w:r w:rsidRPr="00905199">
        <w:rPr>
          <w:szCs w:val="22"/>
          <w:lang w:val="sk-SK"/>
        </w:rPr>
        <w:t xml:space="preserve">/syntézu </w:t>
      </w:r>
      <w:proofErr w:type="spellStart"/>
      <w:r w:rsidRPr="00905199">
        <w:rPr>
          <w:szCs w:val="22"/>
          <w:lang w:val="sk-SK"/>
        </w:rPr>
        <w:t>prostaglandínov</w:t>
      </w:r>
      <w:proofErr w:type="spellEnd"/>
      <w:r w:rsidRPr="00905199">
        <w:rPr>
          <w:szCs w:val="22"/>
          <w:lang w:val="sk-SK"/>
        </w:rPr>
        <w:t xml:space="preserve">, môžu ovplyvnením ovulácie spôsobiť zníženie </w:t>
      </w:r>
      <w:proofErr w:type="spellStart"/>
      <w:r w:rsidRPr="00905199">
        <w:rPr>
          <w:szCs w:val="22"/>
          <w:lang w:val="sk-SK"/>
        </w:rPr>
        <w:t>fertility</w:t>
      </w:r>
      <w:proofErr w:type="spellEnd"/>
      <w:r w:rsidRPr="00905199">
        <w:rPr>
          <w:szCs w:val="22"/>
          <w:lang w:val="sk-SK"/>
        </w:rPr>
        <w:t xml:space="preserve"> u žien. Tento účinok je po vysadení liečby reverzibilný.</w:t>
      </w:r>
    </w:p>
    <w:p w:rsidR="0000767D" w:rsidRPr="00905199" w:rsidRDefault="0000767D">
      <w:pPr>
        <w:autoSpaceDE w:val="0"/>
        <w:autoSpaceDN w:val="0"/>
        <w:adjustRightInd w:val="0"/>
        <w:rPr>
          <w:b/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4.7</w:t>
      </w:r>
      <w:r w:rsidRPr="00905199">
        <w:rPr>
          <w:b/>
          <w:szCs w:val="22"/>
          <w:lang w:val="sk-SK"/>
        </w:rPr>
        <w:tab/>
        <w:t>Ovplyvnenie schopnosti viesť vozidlá a obsluhovať stroje</w:t>
      </w:r>
    </w:p>
    <w:p w:rsidR="0000767D" w:rsidRPr="00905199" w:rsidRDefault="0000767D">
      <w:pPr>
        <w:ind w:left="567" w:hanging="567"/>
        <w:rPr>
          <w:szCs w:val="22"/>
          <w:lang w:val="sk-SK"/>
        </w:rPr>
      </w:pPr>
    </w:p>
    <w:p w:rsidR="0000767D" w:rsidRPr="00905199" w:rsidRDefault="002654BB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Grippecton</w:t>
      </w:r>
      <w:proofErr w:type="spellEnd"/>
      <w:r w:rsidRPr="00905199">
        <w:rPr>
          <w:szCs w:val="22"/>
          <w:lang w:val="sk-SK"/>
        </w:rPr>
        <w:t xml:space="preserve"> 200 mg/30 mg</w:t>
      </w:r>
      <w:r w:rsidR="003607C1" w:rsidRPr="00905199">
        <w:rPr>
          <w:szCs w:val="22"/>
          <w:lang w:val="sk-SK"/>
        </w:rPr>
        <w:t xml:space="preserve"> má malý alebo mierny vplyv na schopnosť viesť vozidlá a obsluhovať stroje. Pacienti, u ktorých sa vyskytne závrat, neobvyklá bolesť hlavy a poruchy zraku alebo sluchu</w:t>
      </w:r>
      <w:r w:rsidR="006620DC" w:rsidRPr="00905199">
        <w:rPr>
          <w:szCs w:val="22"/>
          <w:lang w:val="sk-SK"/>
        </w:rPr>
        <w:t>,</w:t>
      </w:r>
      <w:r w:rsidR="00913835" w:rsidRPr="00905199">
        <w:rPr>
          <w:szCs w:val="22"/>
          <w:lang w:val="sk-SK"/>
        </w:rPr>
        <w:t xml:space="preserve"> </w:t>
      </w:r>
      <w:r w:rsidR="003607C1" w:rsidRPr="00905199">
        <w:rPr>
          <w:szCs w:val="22"/>
          <w:lang w:val="sk-SK"/>
        </w:rPr>
        <w:t xml:space="preserve"> nemajú viesť vozidlá ani obsluhovať stroje. Jednorazové podanie alebo krátkodobé používanie tohto lieku zvyčajne nevyžaduje žiadne špeciálne opatrenia.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numPr>
          <w:ilvl w:val="1"/>
          <w:numId w:val="10"/>
        </w:numPr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Nežiaduce účinky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Najčastejšie pozorované nežiaduce reakcie súvisiace s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om</w:t>
      </w:r>
      <w:proofErr w:type="spellEnd"/>
      <w:r w:rsidRPr="00905199">
        <w:rPr>
          <w:szCs w:val="22"/>
          <w:lang w:val="sk-SK"/>
        </w:rPr>
        <w:t xml:space="preserve"> sú </w:t>
      </w:r>
      <w:proofErr w:type="spellStart"/>
      <w:r w:rsidRPr="00905199">
        <w:rPr>
          <w:szCs w:val="22"/>
          <w:lang w:val="sk-SK"/>
        </w:rPr>
        <w:t>gastrointestinálneho</w:t>
      </w:r>
      <w:proofErr w:type="spellEnd"/>
      <w:r w:rsidRPr="00905199">
        <w:rPr>
          <w:szCs w:val="22"/>
          <w:lang w:val="sk-SK"/>
        </w:rPr>
        <w:t xml:space="preserve"> charakteru. Môže sa vyskytnúť </w:t>
      </w:r>
      <w:proofErr w:type="spellStart"/>
      <w:r w:rsidRPr="00905199">
        <w:rPr>
          <w:szCs w:val="22"/>
          <w:lang w:val="sk-SK"/>
        </w:rPr>
        <w:t>peptický</w:t>
      </w:r>
      <w:proofErr w:type="spellEnd"/>
      <w:r w:rsidRPr="00905199">
        <w:rPr>
          <w:szCs w:val="22"/>
          <w:lang w:val="sk-SK"/>
        </w:rPr>
        <w:t xml:space="preserve"> vred, perforácia alebo </w:t>
      </w:r>
      <w:proofErr w:type="spellStart"/>
      <w:r w:rsidRPr="00905199">
        <w:rPr>
          <w:szCs w:val="22"/>
          <w:lang w:val="sk-SK"/>
        </w:rPr>
        <w:t>gastrointestinálne</w:t>
      </w:r>
      <w:proofErr w:type="spellEnd"/>
      <w:r w:rsidRPr="00905199">
        <w:rPr>
          <w:szCs w:val="22"/>
          <w:lang w:val="sk-SK"/>
        </w:rPr>
        <w:t xml:space="preserve"> krvácanie, ktoré sú niekedy fatálne, a to hlavne u starších pacientov (pozri časť 4.4). Po podaní boli hlásené </w:t>
      </w:r>
      <w:proofErr w:type="spellStart"/>
      <w:r w:rsidRPr="00905199">
        <w:rPr>
          <w:szCs w:val="22"/>
          <w:lang w:val="sk-SK"/>
        </w:rPr>
        <w:t>nauzea</w:t>
      </w:r>
      <w:proofErr w:type="spellEnd"/>
      <w:r w:rsidRPr="00905199">
        <w:rPr>
          <w:szCs w:val="22"/>
          <w:lang w:val="sk-SK"/>
        </w:rPr>
        <w:t xml:space="preserve">, vracanie, hnačka, </w:t>
      </w:r>
      <w:proofErr w:type="spellStart"/>
      <w:r w:rsidRPr="00905199">
        <w:rPr>
          <w:szCs w:val="22"/>
          <w:lang w:val="sk-SK"/>
        </w:rPr>
        <w:t>flatulencia</w:t>
      </w:r>
      <w:proofErr w:type="spellEnd"/>
      <w:r w:rsidRPr="00905199">
        <w:rPr>
          <w:szCs w:val="22"/>
          <w:lang w:val="sk-SK"/>
        </w:rPr>
        <w:t xml:space="preserve">, zápcha, </w:t>
      </w:r>
      <w:proofErr w:type="spellStart"/>
      <w:r w:rsidR="00913835" w:rsidRPr="00905199">
        <w:rPr>
          <w:szCs w:val="22"/>
          <w:lang w:val="sk-SK"/>
        </w:rPr>
        <w:t>dyspepsia</w:t>
      </w:r>
      <w:proofErr w:type="spellEnd"/>
      <w:r w:rsidR="00913835" w:rsidRPr="00905199">
        <w:rPr>
          <w:szCs w:val="22"/>
          <w:lang w:val="sk-SK"/>
        </w:rPr>
        <w:t xml:space="preserve">, </w:t>
      </w:r>
      <w:proofErr w:type="spellStart"/>
      <w:r w:rsidRPr="00905199">
        <w:rPr>
          <w:szCs w:val="22"/>
          <w:lang w:val="sk-SK"/>
        </w:rPr>
        <w:t>abdominálna</w:t>
      </w:r>
      <w:proofErr w:type="spellEnd"/>
      <w:r w:rsidRPr="00905199">
        <w:rPr>
          <w:szCs w:val="22"/>
          <w:lang w:val="sk-SK"/>
        </w:rPr>
        <w:t xml:space="preserve"> bolesť, </w:t>
      </w:r>
      <w:proofErr w:type="spellStart"/>
      <w:r w:rsidRPr="00905199">
        <w:rPr>
          <w:szCs w:val="22"/>
          <w:lang w:val="sk-SK"/>
        </w:rPr>
        <w:t>meléna</w:t>
      </w:r>
      <w:proofErr w:type="spellEnd"/>
      <w:r w:rsidRPr="00905199">
        <w:rPr>
          <w:szCs w:val="22"/>
          <w:lang w:val="sk-SK"/>
        </w:rPr>
        <w:t xml:space="preserve">, </w:t>
      </w:r>
      <w:proofErr w:type="spellStart"/>
      <w:r w:rsidRPr="00905199">
        <w:rPr>
          <w:szCs w:val="22"/>
          <w:lang w:val="sk-SK"/>
        </w:rPr>
        <w:t>hemateméza</w:t>
      </w:r>
      <w:proofErr w:type="spellEnd"/>
      <w:r w:rsidRPr="00905199">
        <w:rPr>
          <w:szCs w:val="22"/>
          <w:lang w:val="sk-SK"/>
        </w:rPr>
        <w:t xml:space="preserve">, </w:t>
      </w:r>
      <w:proofErr w:type="spellStart"/>
      <w:r w:rsidRPr="00905199">
        <w:rPr>
          <w:szCs w:val="22"/>
          <w:lang w:val="sk-SK"/>
        </w:rPr>
        <w:t>ulcerózna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stomatitída</w:t>
      </w:r>
      <w:proofErr w:type="spellEnd"/>
      <w:r w:rsidRPr="00905199">
        <w:rPr>
          <w:szCs w:val="22"/>
          <w:lang w:val="sk-SK"/>
        </w:rPr>
        <w:t xml:space="preserve">, </w:t>
      </w:r>
      <w:proofErr w:type="spellStart"/>
      <w:r w:rsidRPr="00905199">
        <w:rPr>
          <w:szCs w:val="22"/>
          <w:lang w:val="sk-SK"/>
        </w:rPr>
        <w:t>exacerbácia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kolitídy</w:t>
      </w:r>
      <w:proofErr w:type="spellEnd"/>
      <w:r w:rsidRPr="00905199">
        <w:rPr>
          <w:szCs w:val="22"/>
          <w:lang w:val="sk-SK"/>
        </w:rPr>
        <w:t xml:space="preserve"> a </w:t>
      </w:r>
      <w:proofErr w:type="spellStart"/>
      <w:r w:rsidRPr="00905199">
        <w:rPr>
          <w:szCs w:val="22"/>
          <w:lang w:val="sk-SK"/>
        </w:rPr>
        <w:t>Crohnovej</w:t>
      </w:r>
      <w:proofErr w:type="spellEnd"/>
      <w:r w:rsidRPr="00905199">
        <w:rPr>
          <w:szCs w:val="22"/>
          <w:lang w:val="sk-SK"/>
        </w:rPr>
        <w:t xml:space="preserve"> choroby (pozri časť 4.4 Osobitné upozornenia a opatrenia pri používaní). Menej často sa pozorovala gastritída. Vo všeobecnosti sa riziko vzniku nežiaducich reakcií (predovšetkým rozvoja závažných </w:t>
      </w:r>
      <w:proofErr w:type="spellStart"/>
      <w:r w:rsidRPr="00905199">
        <w:rPr>
          <w:szCs w:val="22"/>
          <w:lang w:val="sk-SK"/>
        </w:rPr>
        <w:t>gastrointestinálnych</w:t>
      </w:r>
      <w:proofErr w:type="spellEnd"/>
      <w:r w:rsidRPr="00905199">
        <w:rPr>
          <w:szCs w:val="22"/>
          <w:lang w:val="sk-SK"/>
        </w:rPr>
        <w:t xml:space="preserve"> komplikácií) zvyšuje so zvyšujúcou sa dávkou a so zvyšujúcim sa trvaním liečby.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Po liečbe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om</w:t>
      </w:r>
      <w:proofErr w:type="spellEnd"/>
      <w:r w:rsidRPr="00905199">
        <w:rPr>
          <w:szCs w:val="22"/>
          <w:lang w:val="sk-SK"/>
        </w:rPr>
        <w:t xml:space="preserve"> boli hlásené reakcie precitlivenosti. Môžu pozostávať z: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(a) Nešpecifickej alergickej reakcie a </w:t>
      </w:r>
      <w:proofErr w:type="spellStart"/>
      <w:r w:rsidRPr="00905199">
        <w:rPr>
          <w:szCs w:val="22"/>
          <w:lang w:val="sk-SK"/>
        </w:rPr>
        <w:t>anafylaxie</w:t>
      </w:r>
      <w:proofErr w:type="spellEnd"/>
      <w:r w:rsidRPr="00905199">
        <w:rPr>
          <w:szCs w:val="22"/>
          <w:lang w:val="sk-SK"/>
        </w:rPr>
        <w:t>,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(b) Reaktivity dýchacieho traktu zahŕňajúcej astmu, zhoršenie astmy, </w:t>
      </w:r>
      <w:proofErr w:type="spellStart"/>
      <w:r w:rsidRPr="00905199">
        <w:rPr>
          <w:szCs w:val="22"/>
          <w:lang w:val="sk-SK"/>
        </w:rPr>
        <w:t>bronchospazmus</w:t>
      </w:r>
      <w:proofErr w:type="spellEnd"/>
      <w:r w:rsidRPr="00905199">
        <w:rPr>
          <w:szCs w:val="22"/>
          <w:lang w:val="sk-SK"/>
        </w:rPr>
        <w:t xml:space="preserve"> alebo </w:t>
      </w:r>
      <w:proofErr w:type="spellStart"/>
      <w:r w:rsidRPr="00905199">
        <w:rPr>
          <w:szCs w:val="22"/>
          <w:lang w:val="sk-SK"/>
        </w:rPr>
        <w:t>dyspnoe</w:t>
      </w:r>
      <w:proofErr w:type="spellEnd"/>
      <w:r w:rsidRPr="00905199">
        <w:rPr>
          <w:szCs w:val="22"/>
          <w:lang w:val="sk-SK"/>
        </w:rPr>
        <w:t>,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(c) Zmiešaných kožných ochorení zahŕňajúcich vyrážky rôzneho druhu, svrbenie, žihľavku, purpuru, </w:t>
      </w:r>
      <w:proofErr w:type="spellStart"/>
      <w:r w:rsidRPr="00905199">
        <w:rPr>
          <w:szCs w:val="22"/>
          <w:lang w:val="sk-SK"/>
        </w:rPr>
        <w:t>angioedém</w:t>
      </w:r>
      <w:proofErr w:type="spellEnd"/>
      <w:r w:rsidRPr="00905199">
        <w:rPr>
          <w:szCs w:val="22"/>
          <w:lang w:val="sk-SK"/>
        </w:rPr>
        <w:t xml:space="preserve"> a zriedkavejšie </w:t>
      </w:r>
      <w:proofErr w:type="spellStart"/>
      <w:r w:rsidRPr="00905199">
        <w:rPr>
          <w:szCs w:val="22"/>
          <w:lang w:val="sk-SK"/>
        </w:rPr>
        <w:t>exfoliatívne</w:t>
      </w:r>
      <w:proofErr w:type="spellEnd"/>
      <w:r w:rsidRPr="00905199">
        <w:rPr>
          <w:szCs w:val="22"/>
          <w:lang w:val="sk-SK"/>
        </w:rPr>
        <w:t xml:space="preserve"> a </w:t>
      </w:r>
      <w:proofErr w:type="spellStart"/>
      <w:r w:rsidRPr="00905199">
        <w:rPr>
          <w:szCs w:val="22"/>
          <w:lang w:val="sk-SK"/>
        </w:rPr>
        <w:t>bulózne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dermatózy</w:t>
      </w:r>
      <w:proofErr w:type="spellEnd"/>
      <w:r w:rsidRPr="00905199">
        <w:rPr>
          <w:szCs w:val="22"/>
          <w:lang w:val="sk-SK"/>
        </w:rPr>
        <w:t xml:space="preserve"> (zahŕňajúce </w:t>
      </w:r>
      <w:proofErr w:type="spellStart"/>
      <w:r w:rsidRPr="00905199">
        <w:rPr>
          <w:szCs w:val="22"/>
          <w:lang w:val="sk-SK"/>
        </w:rPr>
        <w:t>epidermálnu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nekrolýzu</w:t>
      </w:r>
      <w:proofErr w:type="spellEnd"/>
      <w:r w:rsidRPr="00905199">
        <w:rPr>
          <w:szCs w:val="22"/>
          <w:lang w:val="sk-SK"/>
        </w:rPr>
        <w:t xml:space="preserve"> a </w:t>
      </w:r>
      <w:proofErr w:type="spellStart"/>
      <w:r w:rsidRPr="00905199">
        <w:rPr>
          <w:szCs w:val="22"/>
          <w:lang w:val="sk-SK"/>
        </w:rPr>
        <w:t>multiformný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erytém</w:t>
      </w:r>
      <w:proofErr w:type="spellEnd"/>
      <w:r w:rsidRPr="00905199">
        <w:rPr>
          <w:szCs w:val="22"/>
          <w:lang w:val="sk-SK"/>
        </w:rPr>
        <w:t>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U pacientov s existujúcimi </w:t>
      </w:r>
      <w:proofErr w:type="spellStart"/>
      <w:r w:rsidRPr="00905199">
        <w:rPr>
          <w:szCs w:val="22"/>
          <w:lang w:val="sk-SK"/>
        </w:rPr>
        <w:t>autoimunitnými</w:t>
      </w:r>
      <w:proofErr w:type="spellEnd"/>
      <w:r w:rsidRPr="00905199">
        <w:rPr>
          <w:szCs w:val="22"/>
          <w:lang w:val="sk-SK"/>
        </w:rPr>
        <w:t xml:space="preserve"> ochoreniami (ako je systémový </w:t>
      </w:r>
      <w:proofErr w:type="spellStart"/>
      <w:r w:rsidRPr="00905199">
        <w:rPr>
          <w:szCs w:val="22"/>
          <w:lang w:val="sk-SK"/>
        </w:rPr>
        <w:t>lupus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erythematosus</w:t>
      </w:r>
      <w:proofErr w:type="spellEnd"/>
      <w:r w:rsidRPr="00905199">
        <w:rPr>
          <w:szCs w:val="22"/>
          <w:lang w:val="sk-SK"/>
        </w:rPr>
        <w:t xml:space="preserve">, zmiešané ochorenia spojivových tkanív) sa počas liečby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om</w:t>
      </w:r>
      <w:proofErr w:type="spellEnd"/>
      <w:r w:rsidRPr="00905199">
        <w:rPr>
          <w:szCs w:val="22"/>
          <w:lang w:val="sk-SK"/>
        </w:rPr>
        <w:t xml:space="preserve"> pozorovali jednotlivé prípady symptómov aseptickej </w:t>
      </w:r>
      <w:proofErr w:type="spellStart"/>
      <w:r w:rsidRPr="00905199">
        <w:rPr>
          <w:szCs w:val="22"/>
          <w:lang w:val="sk-SK"/>
        </w:rPr>
        <w:t>meningitídy</w:t>
      </w:r>
      <w:proofErr w:type="spellEnd"/>
      <w:r w:rsidRPr="00905199">
        <w:rPr>
          <w:szCs w:val="22"/>
          <w:lang w:val="sk-SK"/>
        </w:rPr>
        <w:t xml:space="preserve">, ako je stuhnutá šija, bolesť hlavy, </w:t>
      </w:r>
      <w:proofErr w:type="spellStart"/>
      <w:r w:rsidRPr="00905199">
        <w:rPr>
          <w:szCs w:val="22"/>
          <w:lang w:val="sk-SK"/>
        </w:rPr>
        <w:t>nauzea</w:t>
      </w:r>
      <w:proofErr w:type="spellEnd"/>
      <w:r w:rsidRPr="00905199">
        <w:rPr>
          <w:szCs w:val="22"/>
          <w:lang w:val="sk-SK"/>
        </w:rPr>
        <w:t>, vracanie, horúčka alebo dezorientácia.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V súvislosti s liečbou </w:t>
      </w:r>
      <w:proofErr w:type="spellStart"/>
      <w:r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 sa hlásil edém, hypertenzia a zlyhanie srdca.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Klinické štúdie naznačujú, že užívanie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, a to predovšetkým vo vysokých dávkach (2 400 mg/deň) môžu súvisieť s mierne zvýšeným rizikom </w:t>
      </w:r>
      <w:proofErr w:type="spellStart"/>
      <w:r w:rsidRPr="00905199">
        <w:rPr>
          <w:szCs w:val="22"/>
          <w:lang w:val="sk-SK"/>
        </w:rPr>
        <w:t>arteriálnych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trombotických</w:t>
      </w:r>
      <w:proofErr w:type="spellEnd"/>
      <w:r w:rsidRPr="00905199">
        <w:rPr>
          <w:szCs w:val="22"/>
          <w:lang w:val="sk-SK"/>
        </w:rPr>
        <w:t xml:space="preserve"> príhod (napríklad infarktu myokardu alebo mozgovej mŕtvice) (pozri časť 4.4).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Nasledujúci zoznam nežiaducich reakcií súvisí so zaznamenanými skúsenosťami s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om</w:t>
      </w:r>
      <w:proofErr w:type="spellEnd"/>
      <w:r w:rsidRPr="00905199">
        <w:rPr>
          <w:szCs w:val="22"/>
          <w:lang w:val="sk-SK"/>
        </w:rPr>
        <w:t xml:space="preserve"> a </w:t>
      </w:r>
      <w:proofErr w:type="spellStart"/>
      <w:r w:rsidRPr="00905199">
        <w:rPr>
          <w:szCs w:val="22"/>
          <w:lang w:val="sk-SK"/>
        </w:rPr>
        <w:t>pseudoefedríniumchloridom</w:t>
      </w:r>
      <w:proofErr w:type="spellEnd"/>
      <w:r w:rsidRPr="00905199">
        <w:rPr>
          <w:szCs w:val="22"/>
          <w:lang w:val="sk-SK"/>
        </w:rPr>
        <w:t xml:space="preserve"> pri </w:t>
      </w:r>
      <w:proofErr w:type="spellStart"/>
      <w:r w:rsidRPr="00905199">
        <w:rPr>
          <w:szCs w:val="22"/>
          <w:lang w:val="sk-SK"/>
        </w:rPr>
        <w:t>OTC</w:t>
      </w:r>
      <w:proofErr w:type="spellEnd"/>
      <w:r w:rsidRPr="00905199">
        <w:rPr>
          <w:szCs w:val="22"/>
          <w:lang w:val="sk-SK"/>
        </w:rPr>
        <w:t xml:space="preserve"> dávkach na krátkodobé použitie. Pri liečbe chronických stavov, pri dlhodobej liečbe, sa môžu vyskytnúť ďalšie nežiaduce účinky.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Pacienti majú byť informovaní, že užívanie </w:t>
      </w:r>
      <w:proofErr w:type="spellStart"/>
      <w:r w:rsidR="002654BB" w:rsidRPr="00905199">
        <w:rPr>
          <w:szCs w:val="22"/>
          <w:lang w:val="sk-SK"/>
        </w:rPr>
        <w:t>Grippecton</w:t>
      </w:r>
      <w:r w:rsidR="005F22C1" w:rsidRPr="00905199">
        <w:rPr>
          <w:szCs w:val="22"/>
          <w:lang w:val="sk-SK"/>
        </w:rPr>
        <w:t>u</w:t>
      </w:r>
      <w:proofErr w:type="spellEnd"/>
      <w:r w:rsidR="002654BB" w:rsidRPr="00905199">
        <w:rPr>
          <w:szCs w:val="22"/>
          <w:lang w:val="sk-SK"/>
        </w:rPr>
        <w:t xml:space="preserve"> 200 mg/30 mg</w:t>
      </w:r>
      <w:r w:rsidRPr="00905199">
        <w:rPr>
          <w:szCs w:val="22"/>
          <w:lang w:val="sk-SK"/>
        </w:rPr>
        <w:t xml:space="preserve"> musia okamžite ukončiť a vyhľadať lekára, ak sa u nich vyskytnú závažné nežiaduce reakcie.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00767D">
      <w:pPr>
        <w:rPr>
          <w:szCs w:val="22"/>
          <w:lang w:val="sk-SK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2"/>
      </w:tblGrid>
      <w:tr w:rsidR="0000767D" w:rsidRPr="00905199">
        <w:trPr>
          <w:trHeight w:val="425"/>
          <w:jc w:val="center"/>
        </w:trPr>
        <w:tc>
          <w:tcPr>
            <w:tcW w:w="3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lastRenderedPageBreak/>
              <w:t>&lt;Veľmi časté (≥ 1/10)&gt;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&lt;Časté (≥ 1/100 až &lt; 1/10)&gt;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&lt;Menej časté (≥ 1/1 000 až &lt; 1/100)&gt;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&lt;Zriedkavé (≥ 1/10 000 až &lt; 1/1 000)&gt;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&lt;Veľmi zriedkavé (&lt; 1/10 000)&gt;</w:t>
            </w:r>
          </w:p>
        </w:tc>
      </w:tr>
      <w:tr w:rsidR="0000767D" w:rsidRPr="00905199">
        <w:trPr>
          <w:trHeight w:val="425"/>
          <w:jc w:val="center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0767D" w:rsidRPr="00905199" w:rsidRDefault="003607C1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&lt;Neznáme (z dostupných údajov)&gt;</w:t>
            </w:r>
          </w:p>
        </w:tc>
      </w:tr>
    </w:tbl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00767D">
      <w:pPr>
        <w:rPr>
          <w:szCs w:val="22"/>
          <w:lang w:val="sk-SK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2462"/>
        <w:gridCol w:w="1750"/>
        <w:gridCol w:w="2838"/>
      </w:tblGrid>
      <w:tr w:rsidR="0000767D" w:rsidRPr="00905199">
        <w:trPr>
          <w:trHeight w:val="2712"/>
        </w:trPr>
        <w:tc>
          <w:tcPr>
            <w:tcW w:w="2589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Infekcie a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nákazy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infekčných zápalov (napr.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nekrotizujúcej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fasciitídy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), aseptická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meningitída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(stuhnutosť šije, bolesť hlavy,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vracanie, horúčka alebo dezorientácia u pacientov s prítomnými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autoimunitnými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ochoreniami (</w:t>
            </w:r>
            <w:r w:rsidR="00905199" w:rsidRPr="00905199">
              <w:rPr>
                <w:sz w:val="22"/>
                <w:szCs w:val="22"/>
                <w:lang w:val="sk-SK"/>
              </w:rPr>
              <w:t>Systémový</w:t>
            </w:r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Lupus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Erythematosus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SLE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), zmiešané ochorenie spojivového tkaniva)</w:t>
            </w:r>
          </w:p>
        </w:tc>
      </w:tr>
      <w:tr w:rsidR="0000767D" w:rsidRPr="00905199">
        <w:trPr>
          <w:trHeight w:val="1563"/>
        </w:trPr>
        <w:tc>
          <w:tcPr>
            <w:tcW w:w="2589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Poruchy krvi a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lymfatického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systému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Poruchy krvotvorby (anémia,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leukopénia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trombocytopénia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pancytopénia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agranulocytóza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)</w:t>
            </w:r>
          </w:p>
        </w:tc>
      </w:tr>
      <w:tr w:rsidR="0000767D" w:rsidRPr="00905199">
        <w:trPr>
          <w:trHeight w:val="1022"/>
        </w:trPr>
        <w:tc>
          <w:tcPr>
            <w:tcW w:w="2589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Poruchy imunitného systému</w:t>
            </w:r>
          </w:p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Reakcie precitlivenosti so žihľavkou, svrbením a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astmatické záchvaty (s poklesom krvného tlaku)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F93CCF">
              <w:rPr>
                <w:sz w:val="22"/>
                <w:szCs w:val="22"/>
                <w:lang w:val="sk-SK"/>
              </w:rPr>
              <w:t>fen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Závažné generalizované reakcie precitlivenosti, pr</w:t>
            </w:r>
            <w:r w:rsidR="002D72FB" w:rsidRPr="00905199">
              <w:rPr>
                <w:sz w:val="22"/>
                <w:szCs w:val="22"/>
                <w:lang w:val="sk-SK"/>
              </w:rPr>
              <w:t>ejavy</w:t>
            </w:r>
            <w:r w:rsidRPr="00905199">
              <w:rPr>
                <w:sz w:val="22"/>
                <w:szCs w:val="22"/>
                <w:lang w:val="sk-SK"/>
              </w:rPr>
              <w:t xml:space="preserve"> môžu byť opuch tváre,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angioedém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dyspnoe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tachykardia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pokles krvného tlaku,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anafylaktický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šok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  <w:vAlign w:val="center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Psychotické reakcie, depresia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Agitácia, halucinácie, úzkosť, abnormálne správanie,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insomnia</w:t>
            </w:r>
            <w:proofErr w:type="spellEnd"/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Poruchy centrálneho nervového systému, ako je bolesť hlavy, závrat, nespavosť, agitácia, podráždenosť alebo únava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Insomnia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, nervozita, úzkosť, nepokoj, tras, halucinácie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Hemoragická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mozgová príhoda, ischemická mozgová príhoda, kŕče, </w:t>
            </w:r>
            <w:r w:rsidRPr="00905199">
              <w:rPr>
                <w:sz w:val="22"/>
                <w:szCs w:val="22"/>
                <w:lang w:val="sk-SK"/>
              </w:rPr>
              <w:lastRenderedPageBreak/>
              <w:t>bolesť hlavy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  <w:vAlign w:val="center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lastRenderedPageBreak/>
              <w:t>Poruchy oka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F93CCF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Poruchy zraku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  <w:vAlign w:val="center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Ti</w:t>
            </w:r>
            <w:r w:rsidR="002D72FB" w:rsidRPr="00905199">
              <w:rPr>
                <w:sz w:val="22"/>
                <w:szCs w:val="22"/>
                <w:lang w:val="sk-SK"/>
              </w:rPr>
              <w:t>n</w:t>
            </w:r>
            <w:r w:rsidRPr="00905199">
              <w:rPr>
                <w:sz w:val="22"/>
                <w:szCs w:val="22"/>
                <w:lang w:val="sk-SK"/>
              </w:rPr>
              <w:t>nitus</w:t>
            </w:r>
            <w:proofErr w:type="spellEnd"/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Palpitácie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, srdcové zlyhanie, infarkt myokardu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Palpitácie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tachykardia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bolesť na hrudi,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arytmia</w:t>
            </w:r>
            <w:proofErr w:type="spellEnd"/>
          </w:p>
        </w:tc>
      </w:tr>
      <w:tr w:rsidR="0000767D" w:rsidRPr="00905199">
        <w:trPr>
          <w:trHeight w:val="425"/>
        </w:trPr>
        <w:tc>
          <w:tcPr>
            <w:tcW w:w="2589" w:type="dxa"/>
            <w:vAlign w:val="center"/>
          </w:tcPr>
          <w:p w:rsidR="0000767D" w:rsidRPr="00F93CCF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Arteriálna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hypertenzia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Hypertenzia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3607C1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905199">
              <w:rPr>
                <w:b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905199">
              <w:rPr>
                <w:b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astmy alebo reakcie precitlivenosti s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bronchospazmom</w:t>
            </w:r>
            <w:proofErr w:type="spellEnd"/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905199">
              <w:rPr>
                <w:b/>
                <w:bCs/>
                <w:sz w:val="22"/>
                <w:szCs w:val="22"/>
                <w:lang w:val="sk-SK"/>
              </w:rPr>
              <w:t>gastrointestinálneho</w:t>
            </w:r>
            <w:proofErr w:type="spellEnd"/>
            <w:r w:rsidRPr="00905199">
              <w:rPr>
                <w:b/>
                <w:bCs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gastrointestinálny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diskomfort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dyspepsia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abdominálna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bolesť,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vracanie,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flatulencia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hnačka, zápcha, slabé krvácanie do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traktu, ktoré môže v zriedkavých prípadoch spôsobiť anémiu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Gastrointestinálne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vredy s krvácaním a/alebo perforáciou, gastritída,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ulcerózna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kolitídy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Crohnovej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choroby (pozri časť 4.4)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Ezofagitída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pankreatitída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tvorba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membranóznych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striktúr</w:t>
            </w:r>
            <w:proofErr w:type="spellEnd"/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Sucho v ústach, smäd,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, vracanie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Dysfunkcia pečene, poškodenie pečene, predovšetkým pri dlhodobej liečbe, zlyhanie pečene, akútna hepatitída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  <w:vAlign w:val="center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Rôzne kožné vyrážky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Bulózn</w:t>
            </w:r>
            <w:r w:rsidR="002D72FB" w:rsidRPr="00905199">
              <w:rPr>
                <w:sz w:val="22"/>
                <w:szCs w:val="22"/>
                <w:lang w:val="sk-SK"/>
              </w:rPr>
              <w:t>e</w:t>
            </w:r>
            <w:proofErr w:type="spellEnd"/>
            <w:r w:rsidR="002D72FB" w:rsidRPr="00905199">
              <w:rPr>
                <w:sz w:val="22"/>
                <w:szCs w:val="22"/>
                <w:lang w:val="sk-SK"/>
              </w:rPr>
              <w:t xml:space="preserve"> reakcie</w:t>
            </w:r>
            <w:r w:rsidRPr="00905199">
              <w:rPr>
                <w:sz w:val="22"/>
                <w:szCs w:val="22"/>
                <w:lang w:val="sk-SK"/>
              </w:rPr>
              <w:t xml:space="preserve"> vrátane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Stevensovho-Johnsonovho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syndrómu a toxickej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epidermálnej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nekrolýzy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Ly</w:t>
            </w:r>
            <w:r w:rsidR="002D72FB" w:rsidRPr="00905199">
              <w:rPr>
                <w:sz w:val="22"/>
                <w:szCs w:val="22"/>
                <w:lang w:val="sk-SK"/>
              </w:rPr>
              <w:t>e</w:t>
            </w:r>
            <w:r w:rsidRPr="00905199">
              <w:rPr>
                <w:sz w:val="22"/>
                <w:szCs w:val="22"/>
                <w:lang w:val="sk-SK"/>
              </w:rPr>
              <w:t>llov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syndróm),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alopécia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, závažné kožné infekcie a počas infekcie ovčích kiahní komplikácie v mäkkých tkanivách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Vyrážka, žihľavka, svrbenie,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hyperhidróza</w:t>
            </w:r>
            <w:proofErr w:type="spellEnd"/>
          </w:p>
        </w:tc>
      </w:tr>
      <w:tr w:rsidR="0000767D" w:rsidRPr="00905199">
        <w:trPr>
          <w:trHeight w:val="1022"/>
        </w:trPr>
        <w:tc>
          <w:tcPr>
            <w:tcW w:w="2589" w:type="dxa"/>
            <w:vAlign w:val="center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b/>
                <w:bCs/>
                <w:sz w:val="22"/>
                <w:szCs w:val="22"/>
                <w:lang w:val="sk-SK"/>
              </w:rPr>
              <w:lastRenderedPageBreak/>
              <w:t>Poruchy obličiek a močových ciest</w:t>
            </w:r>
          </w:p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Poškodenie tkaniva obličiek (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papilárna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nekróza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) </w:t>
            </w:r>
          </w:p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a zvýšené koncentrácie kyseliny močovej v krvi</w:t>
            </w:r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Ibupro</w:t>
            </w:r>
            <w:r w:rsidR="000A5984" w:rsidRPr="00905199">
              <w:rPr>
                <w:sz w:val="22"/>
                <w:szCs w:val="22"/>
                <w:lang w:val="sk-SK"/>
              </w:rPr>
              <w:t>fen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 xml:space="preserve">Zvýšené hladiny sérového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kreatinínu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>, edém (predovšetkým u pacientov s 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arteriálnou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hypertenziou alebo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renálnou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insuficienciou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),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nefrotický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syndróm,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intersticiálna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nefritída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, akútna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renálna</w:t>
            </w:r>
            <w:proofErr w:type="spellEnd"/>
            <w:r w:rsidRPr="0090519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05199">
              <w:rPr>
                <w:sz w:val="22"/>
                <w:szCs w:val="22"/>
                <w:lang w:val="sk-SK"/>
              </w:rPr>
              <w:t>insuficiencia</w:t>
            </w:r>
            <w:proofErr w:type="spellEnd"/>
          </w:p>
        </w:tc>
      </w:tr>
      <w:tr w:rsidR="0000767D" w:rsidRPr="00905199">
        <w:trPr>
          <w:trHeight w:val="425"/>
        </w:trPr>
        <w:tc>
          <w:tcPr>
            <w:tcW w:w="2589" w:type="dxa"/>
          </w:tcPr>
          <w:p w:rsidR="0000767D" w:rsidRPr="00905199" w:rsidRDefault="0000767D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462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905199">
              <w:rPr>
                <w:sz w:val="22"/>
                <w:szCs w:val="22"/>
                <w:lang w:val="sk-SK"/>
              </w:rPr>
              <w:t>Pseudoefedríniumchlorid</w:t>
            </w:r>
            <w:proofErr w:type="spellEnd"/>
          </w:p>
        </w:tc>
        <w:tc>
          <w:tcPr>
            <w:tcW w:w="1750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838" w:type="dxa"/>
          </w:tcPr>
          <w:p w:rsidR="0000767D" w:rsidRPr="00905199" w:rsidRDefault="003607C1">
            <w:pPr>
              <w:pStyle w:val="Default"/>
              <w:rPr>
                <w:sz w:val="22"/>
                <w:szCs w:val="22"/>
                <w:lang w:val="sk-SK"/>
              </w:rPr>
            </w:pPr>
            <w:r w:rsidRPr="00905199">
              <w:rPr>
                <w:sz w:val="22"/>
                <w:szCs w:val="22"/>
                <w:lang w:val="sk-SK"/>
              </w:rPr>
              <w:t>Ťažkosti s močením</w:t>
            </w:r>
          </w:p>
        </w:tc>
      </w:tr>
    </w:tbl>
    <w:p w:rsidR="0000767D" w:rsidRPr="00905199" w:rsidRDefault="0000767D">
      <w:pPr>
        <w:rPr>
          <w:szCs w:val="22"/>
          <w:u w:val="single"/>
          <w:lang w:val="sk-SK"/>
        </w:rPr>
      </w:pPr>
    </w:p>
    <w:p w:rsidR="0000767D" w:rsidRPr="00905199" w:rsidRDefault="0000767D">
      <w:pPr>
        <w:autoSpaceDE w:val="0"/>
        <w:autoSpaceDN w:val="0"/>
        <w:adjustRightInd w:val="0"/>
        <w:rPr>
          <w:szCs w:val="22"/>
          <w:u w:val="single"/>
          <w:lang w:val="sk-SK"/>
        </w:rPr>
      </w:pPr>
    </w:p>
    <w:p w:rsidR="0000767D" w:rsidRPr="00905199" w:rsidRDefault="003607C1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905199">
        <w:rPr>
          <w:szCs w:val="22"/>
          <w:u w:val="single"/>
          <w:lang w:val="sk-SK"/>
        </w:rPr>
        <w:t>Hlásenie podozrení na nežiaduce reakcie</w:t>
      </w:r>
    </w:p>
    <w:p w:rsidR="002D72FB" w:rsidRPr="00AD7007" w:rsidRDefault="003607C1" w:rsidP="002D72FB">
      <w:pPr>
        <w:widowControl w:val="0"/>
        <w:rPr>
          <w:szCs w:val="22"/>
          <w:lang w:val="sk-SK"/>
        </w:rPr>
      </w:pPr>
      <w:r w:rsidRPr="00905199">
        <w:rPr>
          <w:szCs w:val="22"/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 ne</w:t>
      </w:r>
      <w:r w:rsidR="00AC6EB3" w:rsidRPr="00905199">
        <w:rPr>
          <w:szCs w:val="22"/>
          <w:lang w:val="sk-SK"/>
        </w:rPr>
        <w:t xml:space="preserve">žiaduce reakcie prostredníctvom </w:t>
      </w:r>
      <w:r w:rsidR="002D72FB" w:rsidRPr="00AD7007">
        <w:rPr>
          <w:szCs w:val="22"/>
          <w:highlight w:val="lightGray"/>
          <w:lang w:val="sk-SK"/>
        </w:rPr>
        <w:t>národného systému hlásenia uvedeného v </w:t>
      </w:r>
      <w:hyperlink r:id="rId9" w:history="1">
        <w:r w:rsidR="002D72FB" w:rsidRPr="00AD7007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2D72FB" w:rsidRPr="00AD7007">
        <w:rPr>
          <w:szCs w:val="22"/>
          <w:lang w:val="sk-SK"/>
        </w:rPr>
        <w:t>.</w:t>
      </w:r>
    </w:p>
    <w:p w:rsidR="0000767D" w:rsidRPr="00905199" w:rsidRDefault="00AD7007" w:rsidP="002D72FB">
      <w:pPr>
        <w:autoSpaceDE w:val="0"/>
        <w:autoSpaceDN w:val="0"/>
        <w:adjustRightInd w:val="0"/>
        <w:rPr>
          <w:b/>
          <w:szCs w:val="22"/>
          <w:lang w:val="sk-SK"/>
        </w:rPr>
      </w:pPr>
      <w:r w:rsidRPr="00905199" w:rsidDel="00AD7007">
        <w:rPr>
          <w:rFonts w:eastAsia="Calibri"/>
          <w:szCs w:val="22"/>
          <w:lang w:val="sk-SK" w:eastAsia="zh-CN"/>
        </w:rPr>
        <w:t xml:space="preserve"> </w:t>
      </w:r>
    </w:p>
    <w:p w:rsidR="0000767D" w:rsidRPr="00905199" w:rsidRDefault="003607C1" w:rsidP="00AD7007">
      <w:pPr>
        <w:rPr>
          <w:szCs w:val="22"/>
          <w:lang w:val="sk-SK"/>
        </w:rPr>
      </w:pPr>
      <w:r w:rsidRPr="00905199">
        <w:rPr>
          <w:b/>
          <w:szCs w:val="22"/>
          <w:lang w:val="sk-SK"/>
        </w:rPr>
        <w:t>4.9</w:t>
      </w:r>
      <w:r w:rsidRPr="00905199">
        <w:rPr>
          <w:b/>
          <w:szCs w:val="22"/>
          <w:lang w:val="sk-SK"/>
        </w:rPr>
        <w:tab/>
        <w:t>Predávkovanie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>Klinické účinky predávkovania týmto liekom súvisia pravdepodobnejšie s pseudoefedríniumchloridom než s ibupro</w:t>
      </w:r>
      <w:r w:rsidR="000A5984" w:rsidRPr="00905199">
        <w:rPr>
          <w:noProof/>
          <w:szCs w:val="22"/>
          <w:lang w:val="sk-SK"/>
        </w:rPr>
        <w:t>fen</w:t>
      </w:r>
      <w:r w:rsidRPr="00905199">
        <w:rPr>
          <w:noProof/>
          <w:szCs w:val="22"/>
          <w:lang w:val="sk-SK"/>
        </w:rPr>
        <w:t>om. Účinky nekorelujú celkom s užitou dávkou vzhľadom na interindividuálnu citlivosť na sympatomimetické vlastnosti.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sk-SK"/>
        </w:rPr>
      </w:pPr>
      <w:r w:rsidRPr="00905199">
        <w:rPr>
          <w:i/>
          <w:iCs/>
          <w:noProof/>
          <w:szCs w:val="22"/>
          <w:lang w:val="sk-SK"/>
        </w:rPr>
        <w:t>Symptómy sympatomimetického účinku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>Depresia CNS: napr. sedácia, apnoe, cyanóza, kóma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>Stimulácia CNS (ktorá je pravdepodobnejšia u detí): napr. insomnia, halucinácie, záchvaty, tras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>Okrem príznakov už uvedených ako nežiaduce účinky, sa môžu vyskytnúť nasledovné príznaky: hypertenzná kríza, srdcové arytmie, svalová slabosť a svalové napätie, eufória, rozrušenie, smäd, bolesť na hrudi, závrat, tin</w:t>
      </w:r>
      <w:r w:rsidR="002D72FB" w:rsidRPr="00905199">
        <w:rPr>
          <w:noProof/>
          <w:szCs w:val="22"/>
          <w:lang w:val="sk-SK"/>
        </w:rPr>
        <w:t>n</w:t>
      </w:r>
      <w:r w:rsidRPr="00905199">
        <w:rPr>
          <w:noProof/>
          <w:szCs w:val="22"/>
          <w:lang w:val="sk-SK"/>
        </w:rPr>
        <w:t>itus, ataxia, rozmazané videnie, hypotenzia.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sk-SK"/>
        </w:rPr>
      </w:pPr>
      <w:r w:rsidRPr="00905199">
        <w:rPr>
          <w:i/>
          <w:iCs/>
          <w:noProof/>
          <w:szCs w:val="22"/>
          <w:lang w:val="sk-SK"/>
        </w:rPr>
        <w:t>Symptómy súvisiace s ibupro</w:t>
      </w:r>
      <w:r w:rsidR="000A5984" w:rsidRPr="00905199">
        <w:rPr>
          <w:i/>
          <w:iCs/>
          <w:noProof/>
          <w:szCs w:val="22"/>
          <w:lang w:val="sk-SK"/>
        </w:rPr>
        <w:t>fen</w:t>
      </w:r>
      <w:r w:rsidRPr="00905199">
        <w:rPr>
          <w:i/>
          <w:iCs/>
          <w:noProof/>
          <w:szCs w:val="22"/>
          <w:lang w:val="sk-SK"/>
        </w:rPr>
        <w:t>om (ďalšie gastrointestinálne a neurologické symptómy k už uvedeným ako nežiaduce účinky)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>Ospanlivosť, nystagmus, tin</w:t>
      </w:r>
      <w:r w:rsidR="002D72FB" w:rsidRPr="00905199">
        <w:rPr>
          <w:noProof/>
          <w:szCs w:val="22"/>
          <w:lang w:val="sk-SK"/>
        </w:rPr>
        <w:t>n</w:t>
      </w:r>
      <w:r w:rsidRPr="00905199">
        <w:rPr>
          <w:noProof/>
          <w:szCs w:val="22"/>
          <w:lang w:val="sk-SK"/>
        </w:rPr>
        <w:t>itus, hypotenzia, metabolická acidóza, strata vedomia.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sk-SK"/>
        </w:rPr>
      </w:pPr>
      <w:r w:rsidRPr="00905199">
        <w:rPr>
          <w:i/>
          <w:iCs/>
          <w:noProof/>
          <w:szCs w:val="22"/>
          <w:lang w:val="sk-SK"/>
        </w:rPr>
        <w:t>Terapeutické opatrenia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>Nie je dostupné žiadne špecifické antidotum.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>Ak sa pacient dostaví v priebehu jednej hodiny od užitia možnej toxickej dávky</w:t>
      </w:r>
      <w:r w:rsidR="002D72FB" w:rsidRPr="00905199">
        <w:rPr>
          <w:noProof/>
          <w:szCs w:val="22"/>
          <w:lang w:val="sk-SK"/>
        </w:rPr>
        <w:t>,</w:t>
      </w:r>
      <w:r w:rsidRPr="00905199">
        <w:rPr>
          <w:noProof/>
          <w:szCs w:val="22"/>
          <w:lang w:val="sk-SK"/>
        </w:rPr>
        <w:t xml:space="preserve"> má sa zvážiť podanie aktívneho uhlia.</w:t>
      </w:r>
    </w:p>
    <w:p w:rsidR="0000767D" w:rsidRPr="00905199" w:rsidRDefault="003607C1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>Majú sa kontrolovať elektrolyty a urobiť EKG. V prípade kardiovaskulárnej nestability a/alebo symptomatickej nerovnováhy elektrolytov sa má nasadiť symptomatická liečba.</w:t>
      </w:r>
    </w:p>
    <w:p w:rsidR="0000767D" w:rsidRPr="00905199" w:rsidRDefault="0000767D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:rsidR="0000767D" w:rsidRPr="00905199" w:rsidRDefault="0000767D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:rsidR="0000767D" w:rsidRPr="00905199" w:rsidRDefault="003607C1">
      <w:pPr>
        <w:keepNext/>
        <w:keepLines/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5.</w:t>
      </w:r>
      <w:r w:rsidRPr="00905199">
        <w:rPr>
          <w:b/>
          <w:szCs w:val="22"/>
          <w:lang w:val="sk-SK"/>
        </w:rPr>
        <w:tab/>
        <w:t>FARMAKOLOGICKÉ VLASTNOSTI</w:t>
      </w:r>
    </w:p>
    <w:p w:rsidR="0000767D" w:rsidRPr="00905199" w:rsidRDefault="0000767D">
      <w:pPr>
        <w:keepNext/>
        <w:keepLines/>
        <w:rPr>
          <w:b/>
          <w:szCs w:val="22"/>
          <w:lang w:val="sk-SK"/>
        </w:rPr>
      </w:pPr>
    </w:p>
    <w:p w:rsidR="0000767D" w:rsidRPr="00905199" w:rsidRDefault="003607C1">
      <w:pPr>
        <w:keepNext/>
        <w:keepLines/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5.1</w:t>
      </w:r>
      <w:r w:rsidRPr="00905199">
        <w:rPr>
          <w:b/>
          <w:szCs w:val="22"/>
          <w:lang w:val="sk-SK"/>
        </w:rPr>
        <w:tab/>
      </w:r>
      <w:proofErr w:type="spellStart"/>
      <w:r w:rsidRPr="00905199">
        <w:rPr>
          <w:b/>
          <w:szCs w:val="22"/>
          <w:lang w:val="sk-SK"/>
        </w:rPr>
        <w:t>Farmakodynamické</w:t>
      </w:r>
      <w:proofErr w:type="spellEnd"/>
      <w:r w:rsidRPr="00905199">
        <w:rPr>
          <w:b/>
          <w:szCs w:val="22"/>
          <w:lang w:val="sk-SK"/>
        </w:rPr>
        <w:t xml:space="preserve"> vlastnosti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lastRenderedPageBreak/>
        <w:t>Farmakoterapeutická</w:t>
      </w:r>
      <w:proofErr w:type="spellEnd"/>
      <w:r w:rsidRPr="00905199">
        <w:rPr>
          <w:szCs w:val="22"/>
          <w:lang w:val="sk-SK"/>
        </w:rPr>
        <w:t xml:space="preserve"> skupina: </w:t>
      </w:r>
      <w:proofErr w:type="spellStart"/>
      <w:r w:rsidR="00F67FCA">
        <w:rPr>
          <w:szCs w:val="22"/>
          <w:lang w:val="sk-SK"/>
        </w:rPr>
        <w:t>Antitusiká</w:t>
      </w:r>
      <w:proofErr w:type="spellEnd"/>
      <w:r w:rsidR="00F67FCA">
        <w:rPr>
          <w:szCs w:val="22"/>
          <w:lang w:val="sk-SK"/>
        </w:rPr>
        <w:t xml:space="preserve"> a lieky proti nac</w:t>
      </w:r>
      <w:r w:rsidRPr="00905199">
        <w:rPr>
          <w:szCs w:val="22"/>
          <w:lang w:val="sk-SK"/>
        </w:rPr>
        <w:t>hladnuti</w:t>
      </w:r>
      <w:r w:rsidR="00F67FCA">
        <w:rPr>
          <w:szCs w:val="22"/>
          <w:lang w:val="sk-SK"/>
        </w:rPr>
        <w:t>u</w:t>
      </w:r>
      <w:r w:rsidRPr="00905199">
        <w:rPr>
          <w:szCs w:val="22"/>
          <w:lang w:val="sk-SK"/>
        </w:rPr>
        <w:t>, iné</w:t>
      </w:r>
      <w:r w:rsidR="00F67FCA">
        <w:rPr>
          <w:szCs w:val="22"/>
          <w:lang w:val="sk-SK"/>
        </w:rPr>
        <w:t xml:space="preserve"> liečivá</w:t>
      </w:r>
      <w:r w:rsidRPr="00905199">
        <w:rPr>
          <w:szCs w:val="22"/>
          <w:lang w:val="sk-SK"/>
        </w:rPr>
        <w:t xml:space="preserve"> </w:t>
      </w:r>
      <w:r w:rsidR="00F67FCA">
        <w:rPr>
          <w:szCs w:val="22"/>
          <w:lang w:val="sk-SK"/>
        </w:rPr>
        <w:t>proti na</w:t>
      </w:r>
      <w:r w:rsidRPr="00905199">
        <w:rPr>
          <w:szCs w:val="22"/>
          <w:lang w:val="sk-SK"/>
        </w:rPr>
        <w:t>chladnuti</w:t>
      </w:r>
      <w:r w:rsidR="00F67FCA">
        <w:rPr>
          <w:szCs w:val="22"/>
          <w:lang w:val="sk-SK"/>
        </w:rPr>
        <w:t>u</w:t>
      </w:r>
      <w:r w:rsidRPr="00905199">
        <w:rPr>
          <w:szCs w:val="22"/>
          <w:lang w:val="sk-SK"/>
        </w:rPr>
        <w:t>.</w:t>
      </w: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ATC</w:t>
      </w:r>
      <w:proofErr w:type="spellEnd"/>
      <w:r w:rsidRPr="00905199">
        <w:rPr>
          <w:szCs w:val="22"/>
          <w:lang w:val="sk-SK"/>
        </w:rPr>
        <w:t xml:space="preserve"> kód: </w:t>
      </w:r>
      <w:proofErr w:type="spellStart"/>
      <w:r w:rsidRPr="00905199">
        <w:rPr>
          <w:szCs w:val="22"/>
          <w:lang w:val="sk-SK"/>
        </w:rPr>
        <w:t>R05X</w:t>
      </w:r>
      <w:proofErr w:type="spellEnd"/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Pseudoefedríniumchlorid</w:t>
      </w:r>
      <w:proofErr w:type="spellEnd"/>
      <w:r w:rsidRPr="00905199">
        <w:rPr>
          <w:szCs w:val="22"/>
          <w:lang w:val="sk-SK"/>
        </w:rPr>
        <w:t xml:space="preserve"> je </w:t>
      </w:r>
      <w:proofErr w:type="spellStart"/>
      <w:r w:rsidRPr="00905199">
        <w:rPr>
          <w:szCs w:val="22"/>
          <w:lang w:val="sk-SK"/>
        </w:rPr>
        <w:t>sympatomimetikum</w:t>
      </w:r>
      <w:proofErr w:type="spellEnd"/>
      <w:r w:rsidRPr="00905199">
        <w:rPr>
          <w:szCs w:val="22"/>
          <w:lang w:val="sk-SK"/>
        </w:rPr>
        <w:t xml:space="preserve">, ktoré, ak sa podáva systémovo, pôsobí ako nosové </w:t>
      </w:r>
      <w:proofErr w:type="spellStart"/>
      <w:r w:rsidRPr="00905199">
        <w:rPr>
          <w:szCs w:val="22"/>
          <w:lang w:val="sk-SK"/>
        </w:rPr>
        <w:t>dekongestívum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je </w:t>
      </w:r>
      <w:proofErr w:type="spellStart"/>
      <w:r w:rsidRPr="00905199">
        <w:rPr>
          <w:szCs w:val="22"/>
          <w:lang w:val="sk-SK"/>
        </w:rPr>
        <w:t>NSAID</w:t>
      </w:r>
      <w:proofErr w:type="spellEnd"/>
      <w:r w:rsidRPr="00905199">
        <w:rPr>
          <w:szCs w:val="22"/>
          <w:lang w:val="sk-SK"/>
        </w:rPr>
        <w:t xml:space="preserve">, ktoré patrí do triedy liečiv deriváty kyseliny </w:t>
      </w:r>
      <w:proofErr w:type="spellStart"/>
      <w:r w:rsidRPr="00905199">
        <w:rPr>
          <w:szCs w:val="22"/>
          <w:lang w:val="sk-SK"/>
        </w:rPr>
        <w:t>propiónovej</w:t>
      </w:r>
      <w:proofErr w:type="spellEnd"/>
      <w:r w:rsidRPr="00905199">
        <w:rPr>
          <w:szCs w:val="22"/>
          <w:lang w:val="sk-SK"/>
        </w:rPr>
        <w:t xml:space="preserve">. Je to derivát kyseliny </w:t>
      </w:r>
      <w:proofErr w:type="spellStart"/>
      <w:r w:rsidRPr="00905199">
        <w:rPr>
          <w:szCs w:val="22"/>
          <w:lang w:val="sk-SK"/>
        </w:rPr>
        <w:t>arylkarboxylovej</w:t>
      </w:r>
      <w:proofErr w:type="spellEnd"/>
      <w:r w:rsidRPr="00905199">
        <w:rPr>
          <w:szCs w:val="22"/>
          <w:lang w:val="sk-SK"/>
        </w:rPr>
        <w:t xml:space="preserve">, ktorý má analgetické, </w:t>
      </w:r>
      <w:proofErr w:type="spellStart"/>
      <w:r w:rsidRPr="00905199">
        <w:rPr>
          <w:szCs w:val="22"/>
          <w:lang w:val="sk-SK"/>
        </w:rPr>
        <w:t>antipyretické</w:t>
      </w:r>
      <w:proofErr w:type="spellEnd"/>
      <w:r w:rsidRPr="00905199">
        <w:rPr>
          <w:szCs w:val="22"/>
          <w:lang w:val="sk-SK"/>
        </w:rPr>
        <w:t xml:space="preserve"> a protizápalové vlastnosti, ako aj krátkodobo pôsobiaci inhibičný účinok na funkciu </w:t>
      </w:r>
      <w:proofErr w:type="spellStart"/>
      <w:r w:rsidRPr="00905199">
        <w:rPr>
          <w:szCs w:val="22"/>
          <w:lang w:val="sk-SK"/>
        </w:rPr>
        <w:t>trombocytov</w:t>
      </w:r>
      <w:proofErr w:type="spellEnd"/>
      <w:r w:rsidRPr="00905199">
        <w:rPr>
          <w:szCs w:val="22"/>
          <w:lang w:val="sk-SK"/>
        </w:rPr>
        <w:t xml:space="preserve">. Všetky tieto vlastnosti sa spájajú s jeho schopnosťou </w:t>
      </w:r>
      <w:proofErr w:type="spellStart"/>
      <w:r w:rsidRPr="00905199">
        <w:rPr>
          <w:szCs w:val="22"/>
          <w:lang w:val="sk-SK"/>
        </w:rPr>
        <w:t>inhibovať</w:t>
      </w:r>
      <w:proofErr w:type="spellEnd"/>
      <w:r w:rsidRPr="00905199">
        <w:rPr>
          <w:szCs w:val="22"/>
          <w:lang w:val="sk-SK"/>
        </w:rPr>
        <w:t xml:space="preserve"> syntézu </w:t>
      </w:r>
      <w:proofErr w:type="spellStart"/>
      <w:r w:rsidRPr="00905199">
        <w:rPr>
          <w:szCs w:val="22"/>
          <w:lang w:val="sk-SK"/>
        </w:rPr>
        <w:t>prostaglandínov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2654BB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Grippecton</w:t>
      </w:r>
      <w:proofErr w:type="spellEnd"/>
      <w:r w:rsidRPr="00905199">
        <w:rPr>
          <w:szCs w:val="22"/>
          <w:lang w:val="sk-SK"/>
        </w:rPr>
        <w:t xml:space="preserve"> 200 mg/30 mg</w:t>
      </w:r>
      <w:r w:rsidR="003607C1" w:rsidRPr="00905199">
        <w:rPr>
          <w:szCs w:val="22"/>
          <w:lang w:val="sk-SK"/>
        </w:rPr>
        <w:t xml:space="preserve"> je kombináciou </w:t>
      </w:r>
      <w:proofErr w:type="spellStart"/>
      <w:r w:rsidR="003607C1" w:rsidRPr="00905199">
        <w:rPr>
          <w:szCs w:val="22"/>
          <w:lang w:val="sk-SK"/>
        </w:rPr>
        <w:t>vazokonstriktora</w:t>
      </w:r>
      <w:proofErr w:type="spellEnd"/>
      <w:r w:rsidR="003607C1" w:rsidRPr="00905199">
        <w:rPr>
          <w:szCs w:val="22"/>
          <w:lang w:val="sk-SK"/>
        </w:rPr>
        <w:t xml:space="preserve"> (</w:t>
      </w:r>
      <w:proofErr w:type="spellStart"/>
      <w:r w:rsidR="003607C1" w:rsidRPr="00905199">
        <w:rPr>
          <w:szCs w:val="22"/>
          <w:lang w:val="sk-SK"/>
        </w:rPr>
        <w:t>pseudoefedríniumchloridu</w:t>
      </w:r>
      <w:proofErr w:type="spellEnd"/>
      <w:r w:rsidR="003607C1" w:rsidRPr="00905199">
        <w:rPr>
          <w:szCs w:val="22"/>
          <w:lang w:val="sk-SK"/>
        </w:rPr>
        <w:t xml:space="preserve">) s analgetickou dávkou </w:t>
      </w:r>
      <w:proofErr w:type="spellStart"/>
      <w:r w:rsidR="003607C1" w:rsidRPr="00905199">
        <w:rPr>
          <w:szCs w:val="22"/>
          <w:lang w:val="sk-SK"/>
        </w:rPr>
        <w:t>NSAID</w:t>
      </w:r>
      <w:proofErr w:type="spellEnd"/>
      <w:r w:rsidR="003607C1" w:rsidRPr="00905199">
        <w:rPr>
          <w:szCs w:val="22"/>
          <w:lang w:val="sk-SK"/>
        </w:rPr>
        <w:t xml:space="preserve"> (</w:t>
      </w:r>
      <w:proofErr w:type="spellStart"/>
      <w:r w:rsidR="003607C1"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="003607C1" w:rsidRPr="00905199">
        <w:rPr>
          <w:szCs w:val="22"/>
          <w:lang w:val="sk-SK"/>
        </w:rPr>
        <w:t>u</w:t>
      </w:r>
      <w:proofErr w:type="spellEnd"/>
      <w:r w:rsidR="003607C1" w:rsidRPr="00905199">
        <w:rPr>
          <w:szCs w:val="22"/>
          <w:lang w:val="sk-SK"/>
        </w:rPr>
        <w:t>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Experimentálne údaje naznačujú, že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môže </w:t>
      </w:r>
      <w:proofErr w:type="spellStart"/>
      <w:r w:rsidRPr="00905199">
        <w:rPr>
          <w:szCs w:val="22"/>
          <w:lang w:val="sk-SK"/>
        </w:rPr>
        <w:t>kompetitívnym</w:t>
      </w:r>
      <w:proofErr w:type="spellEnd"/>
      <w:r w:rsidRPr="00905199">
        <w:rPr>
          <w:szCs w:val="22"/>
          <w:lang w:val="sk-SK"/>
        </w:rPr>
        <w:t xml:space="preserve"> spôsobom </w:t>
      </w:r>
      <w:proofErr w:type="spellStart"/>
      <w:r w:rsidRPr="00905199">
        <w:rPr>
          <w:szCs w:val="22"/>
          <w:lang w:val="sk-SK"/>
        </w:rPr>
        <w:t>inhibovať</w:t>
      </w:r>
      <w:proofErr w:type="spellEnd"/>
      <w:r w:rsidRPr="00905199">
        <w:rPr>
          <w:szCs w:val="22"/>
          <w:lang w:val="sk-SK"/>
        </w:rPr>
        <w:t xml:space="preserve"> účinok nízkej dávky kyseliny </w:t>
      </w:r>
      <w:proofErr w:type="spellStart"/>
      <w:r w:rsidRPr="00905199">
        <w:rPr>
          <w:szCs w:val="22"/>
          <w:lang w:val="sk-SK"/>
        </w:rPr>
        <w:t>acetylsalicylovej</w:t>
      </w:r>
      <w:proofErr w:type="spellEnd"/>
      <w:r w:rsidRPr="00905199">
        <w:rPr>
          <w:szCs w:val="22"/>
          <w:lang w:val="sk-SK"/>
        </w:rPr>
        <w:t xml:space="preserve"> na </w:t>
      </w:r>
      <w:proofErr w:type="spellStart"/>
      <w:r w:rsidRPr="00905199">
        <w:rPr>
          <w:szCs w:val="22"/>
          <w:lang w:val="sk-SK"/>
        </w:rPr>
        <w:t>agregáciu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trombocytov</w:t>
      </w:r>
      <w:proofErr w:type="spellEnd"/>
      <w:r w:rsidRPr="00905199">
        <w:rPr>
          <w:szCs w:val="22"/>
          <w:lang w:val="sk-SK"/>
        </w:rPr>
        <w:t xml:space="preserve">, keď sa podávajú súčasne. Niektoré </w:t>
      </w:r>
      <w:proofErr w:type="spellStart"/>
      <w:r w:rsidRPr="00905199">
        <w:rPr>
          <w:szCs w:val="22"/>
          <w:lang w:val="sk-SK"/>
        </w:rPr>
        <w:t>farmakodynamické</w:t>
      </w:r>
      <w:proofErr w:type="spellEnd"/>
      <w:r w:rsidRPr="00905199">
        <w:rPr>
          <w:szCs w:val="22"/>
          <w:lang w:val="sk-SK"/>
        </w:rPr>
        <w:t xml:space="preserve"> štúdie ukázali, že ak sa jednorazové dávky 400 mg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podali buď 8 hodín pred podaním alebo do 30 minút po podaní kyseliny </w:t>
      </w:r>
      <w:proofErr w:type="spellStart"/>
      <w:r w:rsidRPr="00905199">
        <w:rPr>
          <w:szCs w:val="22"/>
          <w:lang w:val="sk-SK"/>
        </w:rPr>
        <w:t>acetylsalicylovej</w:t>
      </w:r>
      <w:proofErr w:type="spellEnd"/>
      <w:r w:rsidRPr="00905199">
        <w:rPr>
          <w:szCs w:val="22"/>
          <w:lang w:val="sk-SK"/>
        </w:rPr>
        <w:t xml:space="preserve"> s okamžitým uvoľňovaním (81 mg), znížil sa účinok kyseliny </w:t>
      </w:r>
      <w:proofErr w:type="spellStart"/>
      <w:r w:rsidRPr="00905199">
        <w:rPr>
          <w:szCs w:val="22"/>
          <w:lang w:val="sk-SK"/>
        </w:rPr>
        <w:t>acetylsalicylovej</w:t>
      </w:r>
      <w:proofErr w:type="spellEnd"/>
      <w:r w:rsidRPr="00905199">
        <w:rPr>
          <w:szCs w:val="22"/>
          <w:lang w:val="sk-SK"/>
        </w:rPr>
        <w:t xml:space="preserve"> na tvorbu </w:t>
      </w:r>
      <w:proofErr w:type="spellStart"/>
      <w:r w:rsidRPr="00905199">
        <w:rPr>
          <w:szCs w:val="22"/>
          <w:lang w:val="sk-SK"/>
        </w:rPr>
        <w:t>tromboxánu</w:t>
      </w:r>
      <w:proofErr w:type="spellEnd"/>
      <w:r w:rsidRPr="00905199">
        <w:rPr>
          <w:szCs w:val="22"/>
          <w:lang w:val="sk-SK"/>
        </w:rPr>
        <w:t xml:space="preserve"> alebo na </w:t>
      </w:r>
      <w:proofErr w:type="spellStart"/>
      <w:r w:rsidRPr="00905199">
        <w:rPr>
          <w:szCs w:val="22"/>
          <w:lang w:val="sk-SK"/>
        </w:rPr>
        <w:t>agregáciu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trombocytov</w:t>
      </w:r>
      <w:proofErr w:type="spellEnd"/>
      <w:r w:rsidRPr="00905199">
        <w:rPr>
          <w:szCs w:val="22"/>
          <w:lang w:val="sk-SK"/>
        </w:rPr>
        <w:t xml:space="preserve">. Aj keď existujú neistoty ohľadne </w:t>
      </w:r>
      <w:proofErr w:type="spellStart"/>
      <w:r w:rsidRPr="00905199">
        <w:rPr>
          <w:szCs w:val="22"/>
          <w:lang w:val="sk-SK"/>
        </w:rPr>
        <w:t>extrapolácie</w:t>
      </w:r>
      <w:proofErr w:type="spellEnd"/>
      <w:r w:rsidRPr="00905199">
        <w:rPr>
          <w:szCs w:val="22"/>
          <w:lang w:val="sk-SK"/>
        </w:rPr>
        <w:t xml:space="preserve"> týchto účinkov do klinickej situácie, možnosť, že pravidelné, dlhodobé používanie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bude znižovať </w:t>
      </w:r>
      <w:proofErr w:type="spellStart"/>
      <w:r w:rsidRPr="00905199">
        <w:rPr>
          <w:szCs w:val="22"/>
          <w:lang w:val="sk-SK"/>
        </w:rPr>
        <w:t>kardioprotektívny</w:t>
      </w:r>
      <w:proofErr w:type="spellEnd"/>
      <w:r w:rsidRPr="00905199">
        <w:rPr>
          <w:szCs w:val="22"/>
          <w:lang w:val="sk-SK"/>
        </w:rPr>
        <w:t xml:space="preserve"> účinok nízkej dávky kyseliny </w:t>
      </w:r>
      <w:proofErr w:type="spellStart"/>
      <w:r w:rsidRPr="00905199">
        <w:rPr>
          <w:szCs w:val="22"/>
          <w:lang w:val="sk-SK"/>
        </w:rPr>
        <w:t>acetylsalicylovej</w:t>
      </w:r>
      <w:proofErr w:type="spellEnd"/>
      <w:r w:rsidRPr="00905199">
        <w:rPr>
          <w:szCs w:val="22"/>
          <w:lang w:val="sk-SK"/>
        </w:rPr>
        <w:t xml:space="preserve"> sa nedá vylúčiť. Žiadny klinicky významný účinok sa nepovažuje za pravdepodobný pri príležitostnom použití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(pozri časť 4.5).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5.2</w:t>
      </w:r>
      <w:r w:rsidRPr="00905199">
        <w:rPr>
          <w:b/>
          <w:szCs w:val="22"/>
          <w:lang w:val="sk-SK"/>
        </w:rPr>
        <w:tab/>
      </w:r>
      <w:proofErr w:type="spellStart"/>
      <w:r w:rsidRPr="00905199">
        <w:rPr>
          <w:b/>
          <w:szCs w:val="22"/>
          <w:lang w:val="sk-SK"/>
        </w:rPr>
        <w:t>Farmakokinetické</w:t>
      </w:r>
      <w:proofErr w:type="spellEnd"/>
      <w:r w:rsidRPr="00905199">
        <w:rPr>
          <w:b/>
          <w:szCs w:val="22"/>
          <w:lang w:val="sk-SK"/>
        </w:rPr>
        <w:t xml:space="preserve"> vlastnosti</w:t>
      </w:r>
    </w:p>
    <w:p w:rsidR="0000767D" w:rsidRPr="00905199" w:rsidRDefault="0000767D">
      <w:pPr>
        <w:ind w:left="567" w:hanging="567"/>
        <w:rPr>
          <w:b/>
          <w:bCs/>
          <w:i/>
          <w:iCs/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u w:val="single"/>
          <w:lang w:val="sk-SK"/>
        </w:rPr>
      </w:pPr>
      <w:proofErr w:type="spellStart"/>
      <w:r w:rsidRPr="00905199">
        <w:rPr>
          <w:bCs/>
          <w:iCs/>
          <w:szCs w:val="22"/>
          <w:u w:val="single"/>
          <w:lang w:val="sk-SK"/>
        </w:rPr>
        <w:t>Ibupro</w:t>
      </w:r>
      <w:r w:rsidR="000A5984" w:rsidRPr="00905199">
        <w:rPr>
          <w:bCs/>
          <w:iCs/>
          <w:szCs w:val="22"/>
          <w:u w:val="single"/>
          <w:lang w:val="sk-SK"/>
        </w:rPr>
        <w:t>fen</w:t>
      </w:r>
      <w:proofErr w:type="spellEnd"/>
      <w:r w:rsidRPr="00905199">
        <w:rPr>
          <w:bCs/>
          <w:iCs/>
          <w:szCs w:val="22"/>
          <w:u w:val="single"/>
          <w:lang w:val="sk-SK"/>
        </w:rPr>
        <w:t>:</w:t>
      </w: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Farmakokinetika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je pri terapeutických dávkach lineárna.</w:t>
      </w:r>
    </w:p>
    <w:p w:rsidR="0000767D" w:rsidRPr="00905199" w:rsidRDefault="0000767D">
      <w:pPr>
        <w:tabs>
          <w:tab w:val="clear" w:pos="567"/>
        </w:tabs>
        <w:rPr>
          <w:i/>
          <w:iCs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rPr>
          <w:szCs w:val="22"/>
          <w:lang w:val="sk-SK"/>
        </w:rPr>
      </w:pPr>
      <w:r w:rsidRPr="00905199">
        <w:rPr>
          <w:i/>
          <w:iCs/>
          <w:szCs w:val="22"/>
          <w:lang w:val="sk-SK"/>
        </w:rPr>
        <w:t>Absorpcia:</w:t>
      </w: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Maximálne plazmatické hladiny sa po perorálnom podaní dosiahnu v priebehu 90 minút.</w:t>
      </w: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Po jednorazovej dávke sú maximálne plazmatické hladiny u dospelých proporcionálne k podanej dávke (</w:t>
      </w:r>
      <w:proofErr w:type="spellStart"/>
      <w:r w:rsidRPr="00905199">
        <w:rPr>
          <w:szCs w:val="22"/>
          <w:lang w:val="sk-SK"/>
        </w:rPr>
        <w:t>C</w:t>
      </w:r>
      <w:r w:rsidRPr="00905199">
        <w:rPr>
          <w:szCs w:val="22"/>
          <w:vertAlign w:val="subscript"/>
          <w:lang w:val="sk-SK"/>
        </w:rPr>
        <w:t>max</w:t>
      </w:r>
      <w:proofErr w:type="spellEnd"/>
      <w:r w:rsidRPr="00905199">
        <w:rPr>
          <w:szCs w:val="22"/>
          <w:lang w:val="sk-SK"/>
        </w:rPr>
        <w:t xml:space="preserve"> je 17 ± 3,5 µg/ml pri dávke 200 mg a 30,3 ± 4,7 µg/ml pri dávke 400 mg). Absorpcia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sa predlžuje jedlom.</w:t>
      </w:r>
    </w:p>
    <w:p w:rsidR="0000767D" w:rsidRPr="00905199" w:rsidRDefault="0000767D">
      <w:pPr>
        <w:tabs>
          <w:tab w:val="clear" w:pos="567"/>
        </w:tabs>
        <w:rPr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rPr>
          <w:szCs w:val="22"/>
          <w:lang w:val="sk-SK"/>
        </w:rPr>
      </w:pPr>
      <w:r w:rsidRPr="00905199">
        <w:rPr>
          <w:i/>
          <w:iCs/>
          <w:szCs w:val="22"/>
          <w:lang w:val="sk-SK"/>
        </w:rPr>
        <w:t>Distribúcia</w:t>
      </w: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sa neakumuluje. Väzba na plazmatické proteíny je 99 %.</w:t>
      </w: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V </w:t>
      </w:r>
      <w:proofErr w:type="spellStart"/>
      <w:r w:rsidRPr="00905199">
        <w:rPr>
          <w:szCs w:val="22"/>
          <w:lang w:val="sk-SK"/>
        </w:rPr>
        <w:t>synoviálnej</w:t>
      </w:r>
      <w:proofErr w:type="spellEnd"/>
      <w:r w:rsidRPr="00905199">
        <w:rPr>
          <w:szCs w:val="22"/>
          <w:lang w:val="sk-SK"/>
        </w:rPr>
        <w:t xml:space="preserve"> tekutine sa nachádzajú stabilné hladiny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medzi dvoma až ôsmimi hodinami po podaní, s hodnotou </w:t>
      </w:r>
      <w:proofErr w:type="spellStart"/>
      <w:r w:rsidRPr="00905199">
        <w:rPr>
          <w:szCs w:val="22"/>
          <w:lang w:val="sk-SK"/>
        </w:rPr>
        <w:t>C</w:t>
      </w:r>
      <w:r w:rsidRPr="00905199">
        <w:rPr>
          <w:szCs w:val="22"/>
          <w:vertAlign w:val="subscript"/>
          <w:lang w:val="sk-SK"/>
        </w:rPr>
        <w:t>max</w:t>
      </w:r>
      <w:proofErr w:type="spellEnd"/>
      <w:r w:rsidRPr="00905199">
        <w:rPr>
          <w:szCs w:val="22"/>
          <w:lang w:val="sk-SK"/>
        </w:rPr>
        <w:t xml:space="preserve"> </w:t>
      </w:r>
      <w:r w:rsidR="00111E1B" w:rsidRPr="00905199">
        <w:rPr>
          <w:szCs w:val="22"/>
          <w:lang w:val="sk-SK"/>
        </w:rPr>
        <w:t xml:space="preserve">v </w:t>
      </w:r>
      <w:proofErr w:type="spellStart"/>
      <w:r w:rsidRPr="00905199">
        <w:rPr>
          <w:szCs w:val="22"/>
          <w:lang w:val="sk-SK"/>
        </w:rPr>
        <w:t>synoviálnej</w:t>
      </w:r>
      <w:proofErr w:type="spellEnd"/>
      <w:r w:rsidRPr="00905199">
        <w:rPr>
          <w:szCs w:val="22"/>
          <w:lang w:val="sk-SK"/>
        </w:rPr>
        <w:t xml:space="preserve"> tekutin</w:t>
      </w:r>
      <w:r w:rsidR="00111E1B" w:rsidRPr="00905199">
        <w:rPr>
          <w:szCs w:val="22"/>
          <w:lang w:val="sk-SK"/>
        </w:rPr>
        <w:t>e</w:t>
      </w:r>
      <w:r w:rsidRPr="00905199">
        <w:rPr>
          <w:szCs w:val="22"/>
          <w:lang w:val="sk-SK"/>
        </w:rPr>
        <w:t xml:space="preserve"> asi jednej tretiny hodnoty </w:t>
      </w:r>
      <w:proofErr w:type="spellStart"/>
      <w:r w:rsidRPr="00905199">
        <w:rPr>
          <w:szCs w:val="22"/>
          <w:lang w:val="sk-SK"/>
        </w:rPr>
        <w:t>C</w:t>
      </w:r>
      <w:r w:rsidRPr="00905199">
        <w:rPr>
          <w:szCs w:val="22"/>
          <w:vertAlign w:val="subscript"/>
          <w:lang w:val="sk-SK"/>
        </w:rPr>
        <w:t>max</w:t>
      </w:r>
      <w:proofErr w:type="spellEnd"/>
      <w:r w:rsidRPr="00905199">
        <w:rPr>
          <w:szCs w:val="22"/>
          <w:lang w:val="sk-SK"/>
        </w:rPr>
        <w:t xml:space="preserve"> v plazme. Množstvo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vylúčené do materského mlieka dojčiacich žien je po podaní 400 mg každých 6 hodín nižšie ako 1 mg za 24 hodín.</w:t>
      </w:r>
    </w:p>
    <w:p w:rsidR="0000767D" w:rsidRPr="00905199" w:rsidRDefault="0000767D">
      <w:pPr>
        <w:tabs>
          <w:tab w:val="clear" w:pos="567"/>
        </w:tabs>
        <w:rPr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rPr>
          <w:szCs w:val="22"/>
          <w:lang w:val="sk-SK"/>
        </w:rPr>
      </w:pPr>
      <w:proofErr w:type="spellStart"/>
      <w:r w:rsidRPr="00905199">
        <w:rPr>
          <w:i/>
          <w:iCs/>
          <w:szCs w:val="22"/>
          <w:lang w:val="sk-SK"/>
        </w:rPr>
        <w:t>Biotransformácia</w:t>
      </w:r>
      <w:proofErr w:type="spellEnd"/>
      <w:r w:rsidRPr="00905199">
        <w:rPr>
          <w:i/>
          <w:iCs/>
          <w:szCs w:val="22"/>
          <w:lang w:val="sk-SK"/>
        </w:rPr>
        <w:t>:</w:t>
      </w: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nie je induktor enzýmov. Asi 90 % dávky sa metabolizuje na neaktívne </w:t>
      </w:r>
      <w:proofErr w:type="spellStart"/>
      <w:r w:rsidRPr="00905199">
        <w:rPr>
          <w:szCs w:val="22"/>
          <w:lang w:val="sk-SK"/>
        </w:rPr>
        <w:t>metabolity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tabs>
          <w:tab w:val="clear" w:pos="567"/>
        </w:tabs>
        <w:rPr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rPr>
          <w:szCs w:val="22"/>
          <w:lang w:val="sk-SK"/>
        </w:rPr>
      </w:pPr>
      <w:r w:rsidRPr="00905199">
        <w:rPr>
          <w:i/>
          <w:iCs/>
          <w:szCs w:val="22"/>
          <w:lang w:val="sk-SK"/>
        </w:rPr>
        <w:t>Eliminácia</w:t>
      </w:r>
      <w:r w:rsidRPr="00905199">
        <w:rPr>
          <w:szCs w:val="22"/>
          <w:lang w:val="sk-SK"/>
        </w:rPr>
        <w:t>:</w:t>
      </w: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sa vylučuje hlavne močom.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sa úplne vylúči do 24 hodín, s 10 % v nezmenenej forme a 90 % vo forme neaktívnych </w:t>
      </w:r>
      <w:proofErr w:type="spellStart"/>
      <w:r w:rsidRPr="00905199">
        <w:rPr>
          <w:szCs w:val="22"/>
          <w:lang w:val="sk-SK"/>
        </w:rPr>
        <w:t>metabolitov</w:t>
      </w:r>
      <w:proofErr w:type="spellEnd"/>
      <w:r w:rsidRPr="00905199">
        <w:rPr>
          <w:szCs w:val="22"/>
          <w:lang w:val="sk-SK"/>
        </w:rPr>
        <w:t xml:space="preserve">, ktoré sú predovšetkým </w:t>
      </w:r>
      <w:proofErr w:type="spellStart"/>
      <w:r w:rsidRPr="00905199">
        <w:rPr>
          <w:szCs w:val="22"/>
          <w:lang w:val="sk-SK"/>
        </w:rPr>
        <w:t>konjugátmi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glukuronidu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Polčas eliminácie je približne 2 hodiny.</w:t>
      </w:r>
    </w:p>
    <w:p w:rsidR="0000767D" w:rsidRPr="00905199" w:rsidRDefault="0000767D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Farmakokinetické</w:t>
      </w:r>
      <w:proofErr w:type="spellEnd"/>
      <w:r w:rsidRPr="00905199">
        <w:rPr>
          <w:szCs w:val="22"/>
          <w:lang w:val="sk-SK"/>
        </w:rPr>
        <w:t xml:space="preserve"> parametre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sú iba mierne zmenené u starších pacientov, u pacientov so zlyhaním obličiek a u pacientov s pečeňovou </w:t>
      </w:r>
      <w:proofErr w:type="spellStart"/>
      <w:r w:rsidRPr="00905199">
        <w:rPr>
          <w:szCs w:val="22"/>
          <w:lang w:val="sk-SK"/>
        </w:rPr>
        <w:t>insuficienciou</w:t>
      </w:r>
      <w:proofErr w:type="spellEnd"/>
      <w:r w:rsidRPr="00905199">
        <w:rPr>
          <w:szCs w:val="22"/>
          <w:lang w:val="sk-SK"/>
        </w:rPr>
        <w:t>. Pozorované zmeny nevyžadujú žiadnu úpravu dávky.</w:t>
      </w:r>
    </w:p>
    <w:p w:rsidR="0000767D" w:rsidRPr="00905199" w:rsidRDefault="0000767D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rPr>
          <w:bCs/>
          <w:iCs/>
          <w:szCs w:val="22"/>
          <w:u w:val="single"/>
          <w:lang w:val="sk-SK"/>
        </w:rPr>
      </w:pPr>
      <w:proofErr w:type="spellStart"/>
      <w:r w:rsidRPr="00905199">
        <w:rPr>
          <w:bCs/>
          <w:iCs/>
          <w:szCs w:val="22"/>
          <w:u w:val="single"/>
          <w:lang w:val="sk-SK"/>
        </w:rPr>
        <w:t>Pseudoefedríniumchlorid</w:t>
      </w:r>
      <w:proofErr w:type="spellEnd"/>
      <w:r w:rsidRPr="00905199">
        <w:rPr>
          <w:bCs/>
          <w:iCs/>
          <w:szCs w:val="22"/>
          <w:u w:val="single"/>
          <w:lang w:val="sk-SK"/>
        </w:rPr>
        <w:t>:</w:t>
      </w:r>
    </w:p>
    <w:p w:rsidR="0000767D" w:rsidRPr="00905199" w:rsidRDefault="0000767D">
      <w:pPr>
        <w:tabs>
          <w:tab w:val="clear" w:pos="567"/>
        </w:tabs>
        <w:rPr>
          <w:szCs w:val="22"/>
          <w:lang w:val="sk-SK"/>
        </w:rPr>
      </w:pP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Po perorálnom podaní sa </w:t>
      </w:r>
      <w:proofErr w:type="spellStart"/>
      <w:r w:rsidRPr="00905199">
        <w:rPr>
          <w:szCs w:val="22"/>
          <w:lang w:val="sk-SK"/>
        </w:rPr>
        <w:t>pseudoefedríniumchlorid</w:t>
      </w:r>
      <w:proofErr w:type="spellEnd"/>
      <w:r w:rsidRPr="00905199">
        <w:rPr>
          <w:szCs w:val="22"/>
          <w:lang w:val="sk-SK"/>
        </w:rPr>
        <w:t xml:space="preserve"> z veľkej časti vylučuje nezmenený (70 až 90 %) obličkami.</w:t>
      </w:r>
    </w:p>
    <w:p w:rsidR="0000767D" w:rsidRPr="00905199" w:rsidRDefault="0000767D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>Polčas eliminácie závisí od pH moču.</w:t>
      </w:r>
    </w:p>
    <w:p w:rsidR="0000767D" w:rsidRPr="00905199" w:rsidRDefault="0000767D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Alkalizácia</w:t>
      </w:r>
      <w:proofErr w:type="spellEnd"/>
      <w:r w:rsidRPr="00905199">
        <w:rPr>
          <w:szCs w:val="22"/>
          <w:lang w:val="sk-SK"/>
        </w:rPr>
        <w:t xml:space="preserve"> moču vedie k zvýšenej </w:t>
      </w:r>
      <w:proofErr w:type="spellStart"/>
      <w:r w:rsidRPr="00905199">
        <w:rPr>
          <w:szCs w:val="22"/>
          <w:lang w:val="sk-SK"/>
        </w:rPr>
        <w:t>tubulárnej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reabsorpcii</w:t>
      </w:r>
      <w:proofErr w:type="spellEnd"/>
      <w:r w:rsidRPr="00905199">
        <w:rPr>
          <w:szCs w:val="22"/>
          <w:lang w:val="sk-SK"/>
        </w:rPr>
        <w:t xml:space="preserve">, a tým predlžuje polčas eliminácie 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tabs>
          <w:tab w:val="clear" w:pos="567"/>
        </w:tabs>
        <w:rPr>
          <w:b/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5.3</w:t>
      </w:r>
      <w:r w:rsidRPr="00905199">
        <w:rPr>
          <w:b/>
          <w:szCs w:val="22"/>
          <w:lang w:val="sk-SK"/>
        </w:rPr>
        <w:tab/>
        <w:t>Predklinické údaje o bezpečnosti</w:t>
      </w:r>
    </w:p>
    <w:p w:rsidR="0000767D" w:rsidRPr="00905199" w:rsidRDefault="0000767D">
      <w:pPr>
        <w:jc w:val="both"/>
        <w:rPr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Hodnoty </w:t>
      </w:r>
      <w:proofErr w:type="spellStart"/>
      <w:r w:rsidRPr="00905199">
        <w:rPr>
          <w:szCs w:val="22"/>
          <w:lang w:val="sk-SK"/>
        </w:rPr>
        <w:t>LD</w:t>
      </w:r>
      <w:r w:rsidRPr="00905199">
        <w:rPr>
          <w:szCs w:val="22"/>
          <w:vertAlign w:val="subscript"/>
          <w:lang w:val="sk-SK"/>
        </w:rPr>
        <w:t>50</w:t>
      </w:r>
      <w:proofErr w:type="spellEnd"/>
      <w:r w:rsidRPr="00905199">
        <w:rPr>
          <w:szCs w:val="22"/>
          <w:lang w:val="sk-SK"/>
        </w:rPr>
        <w:t xml:space="preserve"> pre kombináciu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a 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 xml:space="preserve"> v štúdiách </w:t>
      </w:r>
      <w:r w:rsidR="00DF6017" w:rsidRPr="00905199">
        <w:rPr>
          <w:szCs w:val="22"/>
          <w:lang w:val="sk-SK"/>
        </w:rPr>
        <w:t xml:space="preserve"> </w:t>
      </w:r>
      <w:r w:rsidR="00111E1B" w:rsidRPr="00905199">
        <w:rPr>
          <w:szCs w:val="22"/>
          <w:lang w:val="sk-SK"/>
        </w:rPr>
        <w:t xml:space="preserve">akútnej perorálnej </w:t>
      </w:r>
      <w:r w:rsidRPr="00905199">
        <w:rPr>
          <w:szCs w:val="22"/>
          <w:lang w:val="sk-SK"/>
        </w:rPr>
        <w:t>toxicity boli: 2,40 g/kg u myší a 1,45 g/kg u potkanov.</w:t>
      </w:r>
    </w:p>
    <w:p w:rsidR="0000767D" w:rsidRPr="00905199" w:rsidRDefault="0000767D">
      <w:pPr>
        <w:jc w:val="both"/>
        <w:rPr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Nevykonali sa žiadne štúdie toxicity po opakovanom podávaní pre kombináciu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a 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jc w:val="both"/>
        <w:rPr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Pre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ani </w:t>
      </w:r>
      <w:r w:rsidR="00DF6017" w:rsidRPr="00905199">
        <w:rPr>
          <w:szCs w:val="22"/>
          <w:lang w:val="sk-SK"/>
        </w:rPr>
        <w:t xml:space="preserve">pre </w:t>
      </w:r>
      <w:r w:rsidRPr="00905199">
        <w:rPr>
          <w:szCs w:val="22"/>
          <w:lang w:val="sk-SK"/>
        </w:rPr>
        <w:t xml:space="preserve">kombináciu </w:t>
      </w:r>
      <w:proofErr w:type="spellStart"/>
      <w:r w:rsidRPr="00905199">
        <w:rPr>
          <w:szCs w:val="22"/>
          <w:lang w:val="sk-SK"/>
        </w:rPr>
        <w:t>pseudoefedríniumchlorid</w:t>
      </w:r>
      <w:proofErr w:type="spellEnd"/>
      <w:r w:rsidRPr="00905199">
        <w:rPr>
          <w:szCs w:val="22"/>
          <w:lang w:val="sk-SK"/>
        </w:rPr>
        <w:t>/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sa pri použití </w:t>
      </w:r>
      <w:proofErr w:type="spellStart"/>
      <w:r w:rsidRPr="00905199">
        <w:rPr>
          <w:szCs w:val="22"/>
          <w:lang w:val="sk-SK"/>
        </w:rPr>
        <w:t>Amesovho</w:t>
      </w:r>
      <w:proofErr w:type="spellEnd"/>
      <w:r w:rsidRPr="00905199">
        <w:rPr>
          <w:szCs w:val="22"/>
          <w:lang w:val="sk-SK"/>
        </w:rPr>
        <w:t xml:space="preserve"> testu nepozorovala žiadna </w:t>
      </w:r>
      <w:proofErr w:type="spellStart"/>
      <w:r w:rsidRPr="00905199">
        <w:rPr>
          <w:szCs w:val="22"/>
          <w:lang w:val="sk-SK"/>
        </w:rPr>
        <w:t>mutagenita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jc w:val="both"/>
        <w:rPr>
          <w:b/>
          <w:bCs/>
          <w:i/>
          <w:iCs/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Subchronická</w:t>
      </w:r>
      <w:proofErr w:type="spellEnd"/>
      <w:r w:rsidRPr="00905199">
        <w:rPr>
          <w:szCs w:val="22"/>
          <w:lang w:val="sk-SK"/>
        </w:rPr>
        <w:t xml:space="preserve"> a chronická toxicita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 v pokusoch na zvieratách sa prejavila hlavne vo forme lézií a </w:t>
      </w:r>
      <w:proofErr w:type="spellStart"/>
      <w:r w:rsidRPr="00905199">
        <w:rPr>
          <w:szCs w:val="22"/>
          <w:lang w:val="sk-SK"/>
        </w:rPr>
        <w:t>ulceráci</w:t>
      </w:r>
      <w:r w:rsidR="00DF6017" w:rsidRPr="00905199">
        <w:rPr>
          <w:szCs w:val="22"/>
          <w:lang w:val="sk-SK"/>
        </w:rPr>
        <w:t>í</w:t>
      </w:r>
      <w:proofErr w:type="spellEnd"/>
      <w:r w:rsidRPr="00905199">
        <w:rPr>
          <w:szCs w:val="22"/>
          <w:lang w:val="sk-SK"/>
        </w:rPr>
        <w:t xml:space="preserve"> v </w:t>
      </w:r>
      <w:proofErr w:type="spellStart"/>
      <w:r w:rsidRPr="00905199">
        <w:rPr>
          <w:szCs w:val="22"/>
          <w:lang w:val="sk-SK"/>
        </w:rPr>
        <w:t>gastrointestinálnom</w:t>
      </w:r>
      <w:proofErr w:type="spellEnd"/>
      <w:r w:rsidRPr="00905199">
        <w:rPr>
          <w:szCs w:val="22"/>
          <w:lang w:val="sk-SK"/>
        </w:rPr>
        <w:t xml:space="preserve"> trakte. V štúdiách na potkanoch a myšiach sa nenašiel žiaden dôkaz karcinogénneho účinku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b/>
          <w:bCs/>
          <w:i/>
          <w:iCs/>
          <w:strike/>
          <w:szCs w:val="22"/>
          <w:lang w:val="sk-SK"/>
        </w:rPr>
      </w:pPr>
    </w:p>
    <w:p w:rsidR="0000767D" w:rsidRPr="00905199" w:rsidRDefault="003607C1">
      <w:pPr>
        <w:tabs>
          <w:tab w:val="left" w:pos="540"/>
          <w:tab w:val="left" w:pos="851"/>
          <w:tab w:val="left" w:pos="1260"/>
          <w:tab w:val="right" w:pos="7920"/>
        </w:tabs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Štúdie </w:t>
      </w:r>
      <w:proofErr w:type="spellStart"/>
      <w:r w:rsidRPr="00905199">
        <w:rPr>
          <w:szCs w:val="22"/>
          <w:lang w:val="sk-SK"/>
        </w:rPr>
        <w:t>reprotox</w:t>
      </w:r>
      <w:r w:rsidR="00DF6017" w:rsidRPr="00905199">
        <w:rPr>
          <w:szCs w:val="22"/>
          <w:lang w:val="sk-SK"/>
        </w:rPr>
        <w:t>i</w:t>
      </w:r>
      <w:r w:rsidRPr="00905199">
        <w:rPr>
          <w:szCs w:val="22"/>
          <w:lang w:val="sk-SK"/>
        </w:rPr>
        <w:t>city</w:t>
      </w:r>
      <w:proofErr w:type="spellEnd"/>
      <w:r w:rsidRPr="00905199">
        <w:rPr>
          <w:szCs w:val="22"/>
          <w:lang w:val="sk-SK"/>
        </w:rPr>
        <w:t xml:space="preserve"> u myší a potkanov s individuálnymi zložkami (~ 100 mg/kg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r w:rsidRPr="00905199">
        <w:rPr>
          <w:szCs w:val="22"/>
          <w:lang w:val="sk-SK"/>
        </w:rPr>
        <w:t>u</w:t>
      </w:r>
      <w:proofErr w:type="spellEnd"/>
      <w:r w:rsidRPr="00905199">
        <w:rPr>
          <w:szCs w:val="22"/>
          <w:lang w:val="sk-SK"/>
        </w:rPr>
        <w:t xml:space="preserve">; ~ 15 mg/kg </w:t>
      </w:r>
      <w:proofErr w:type="spellStart"/>
      <w:r w:rsidRPr="00905199">
        <w:rPr>
          <w:szCs w:val="22"/>
          <w:lang w:val="sk-SK"/>
        </w:rPr>
        <w:t>pseudoefedríniumchloridu</w:t>
      </w:r>
      <w:proofErr w:type="spellEnd"/>
      <w:r w:rsidRPr="00905199">
        <w:rPr>
          <w:szCs w:val="22"/>
          <w:lang w:val="sk-SK"/>
        </w:rPr>
        <w:t xml:space="preserve">) ani s kombináciou týchto látok neodhalil žiaden náznak materskej alebo </w:t>
      </w:r>
      <w:proofErr w:type="spellStart"/>
      <w:r w:rsidRPr="00905199">
        <w:rPr>
          <w:szCs w:val="22"/>
          <w:lang w:val="sk-SK"/>
        </w:rPr>
        <w:t>fetálnej</w:t>
      </w:r>
      <w:proofErr w:type="spellEnd"/>
      <w:r w:rsidRPr="00905199">
        <w:rPr>
          <w:szCs w:val="22"/>
          <w:lang w:val="sk-SK"/>
        </w:rPr>
        <w:t xml:space="preserve"> toxicity alebo </w:t>
      </w:r>
      <w:proofErr w:type="spellStart"/>
      <w:r w:rsidRPr="00905199">
        <w:rPr>
          <w:szCs w:val="22"/>
          <w:lang w:val="sk-SK"/>
        </w:rPr>
        <w:t>teratogenity</w:t>
      </w:r>
      <w:proofErr w:type="spellEnd"/>
      <w:r w:rsidRPr="00905199">
        <w:rPr>
          <w:szCs w:val="22"/>
          <w:lang w:val="sk-SK"/>
        </w:rPr>
        <w:t>.</w:t>
      </w:r>
    </w:p>
    <w:p w:rsidR="0000767D" w:rsidRPr="00905199" w:rsidRDefault="0000767D">
      <w:pPr>
        <w:jc w:val="both"/>
        <w:rPr>
          <w:i/>
          <w:iCs/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V dávkach toxických pre matku indukoval </w:t>
      </w:r>
      <w:proofErr w:type="spellStart"/>
      <w:r w:rsidRPr="00905199">
        <w:rPr>
          <w:szCs w:val="22"/>
          <w:lang w:val="sk-SK"/>
        </w:rPr>
        <w:t>pseudoefedríniumchlorid</w:t>
      </w:r>
      <w:proofErr w:type="spellEnd"/>
      <w:r w:rsidRPr="00905199">
        <w:rPr>
          <w:szCs w:val="22"/>
          <w:lang w:val="sk-SK"/>
        </w:rPr>
        <w:t xml:space="preserve"> </w:t>
      </w:r>
      <w:proofErr w:type="spellStart"/>
      <w:r w:rsidRPr="00905199">
        <w:rPr>
          <w:szCs w:val="22"/>
          <w:lang w:val="sk-SK"/>
        </w:rPr>
        <w:t>fetotoxicitu</w:t>
      </w:r>
      <w:proofErr w:type="spellEnd"/>
      <w:r w:rsidRPr="00905199">
        <w:rPr>
          <w:szCs w:val="22"/>
          <w:lang w:val="sk-SK"/>
        </w:rPr>
        <w:t xml:space="preserve"> (znížená hmotnosť plodu a oneskorená osifikácia) u potkanov. Pre </w:t>
      </w:r>
      <w:proofErr w:type="spellStart"/>
      <w:r w:rsidRPr="00905199">
        <w:rPr>
          <w:szCs w:val="22"/>
          <w:lang w:val="sk-SK"/>
        </w:rPr>
        <w:t>pseudoefedríniumchlorid</w:t>
      </w:r>
      <w:proofErr w:type="spellEnd"/>
      <w:r w:rsidRPr="00905199">
        <w:rPr>
          <w:szCs w:val="22"/>
          <w:lang w:val="sk-SK"/>
        </w:rPr>
        <w:t xml:space="preserve"> sa nevykonali štúdie </w:t>
      </w:r>
      <w:proofErr w:type="spellStart"/>
      <w:r w:rsidRPr="00905199">
        <w:rPr>
          <w:szCs w:val="22"/>
          <w:lang w:val="sk-SK"/>
        </w:rPr>
        <w:t>fertility</w:t>
      </w:r>
      <w:proofErr w:type="spellEnd"/>
      <w:r w:rsidRPr="00905199">
        <w:rPr>
          <w:szCs w:val="22"/>
          <w:lang w:val="sk-SK"/>
        </w:rPr>
        <w:t xml:space="preserve"> ani </w:t>
      </w:r>
      <w:proofErr w:type="spellStart"/>
      <w:r w:rsidRPr="00905199">
        <w:rPr>
          <w:szCs w:val="22"/>
          <w:lang w:val="sk-SK"/>
        </w:rPr>
        <w:t>peri-postnatálne</w:t>
      </w:r>
      <w:proofErr w:type="spellEnd"/>
      <w:r w:rsidRPr="00905199">
        <w:rPr>
          <w:szCs w:val="22"/>
          <w:lang w:val="sk-SK"/>
        </w:rPr>
        <w:t xml:space="preserve"> štúdie.</w:t>
      </w:r>
    </w:p>
    <w:p w:rsidR="0000767D" w:rsidRPr="00905199" w:rsidRDefault="0000767D">
      <w:pPr>
        <w:jc w:val="both"/>
        <w:rPr>
          <w:i/>
          <w:iCs/>
          <w:szCs w:val="22"/>
          <w:lang w:val="sk-SK"/>
        </w:rPr>
      </w:pPr>
    </w:p>
    <w:p w:rsidR="0000767D" w:rsidRPr="00905199" w:rsidRDefault="003607C1">
      <w:pPr>
        <w:jc w:val="both"/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Publikované štúdie reprodukčnej toxicity preukázali inhibíciu ovulácie u králikov a poruchu implantácie u rôznych druhov zvierat (králiky, potkany a myši). Štúdie u potkanov a králikov preukázali, že </w:t>
      </w:r>
      <w:proofErr w:type="spellStart"/>
      <w:r w:rsidRPr="00905199">
        <w:rPr>
          <w:szCs w:val="22"/>
          <w:lang w:val="sk-SK"/>
        </w:rPr>
        <w:t>ibupro</w:t>
      </w:r>
      <w:r w:rsidR="000A5984" w:rsidRPr="00905199">
        <w:rPr>
          <w:szCs w:val="22"/>
          <w:lang w:val="sk-SK"/>
        </w:rPr>
        <w:t>fen</w:t>
      </w:r>
      <w:proofErr w:type="spellEnd"/>
      <w:r w:rsidRPr="00905199">
        <w:rPr>
          <w:szCs w:val="22"/>
          <w:lang w:val="sk-SK"/>
        </w:rPr>
        <w:t xml:space="preserve"> prechádza placentou a pri dávkach toxických pre matku sa pozoroval zvýšený výskyt </w:t>
      </w:r>
      <w:proofErr w:type="spellStart"/>
      <w:r w:rsidRPr="00905199">
        <w:rPr>
          <w:szCs w:val="22"/>
          <w:lang w:val="sk-SK"/>
        </w:rPr>
        <w:t>malformácií</w:t>
      </w:r>
      <w:proofErr w:type="spellEnd"/>
      <w:r w:rsidRPr="00905199">
        <w:rPr>
          <w:szCs w:val="22"/>
          <w:lang w:val="sk-SK"/>
        </w:rPr>
        <w:t xml:space="preserve"> (napr. </w:t>
      </w:r>
      <w:proofErr w:type="spellStart"/>
      <w:r w:rsidRPr="00905199">
        <w:rPr>
          <w:szCs w:val="22"/>
          <w:lang w:val="sk-SK"/>
        </w:rPr>
        <w:t>ventrikulárne</w:t>
      </w:r>
      <w:proofErr w:type="spellEnd"/>
      <w:r w:rsidRPr="00905199">
        <w:rPr>
          <w:szCs w:val="22"/>
          <w:lang w:val="sk-SK"/>
        </w:rPr>
        <w:t xml:space="preserve"> defekty </w:t>
      </w:r>
      <w:proofErr w:type="spellStart"/>
      <w:r w:rsidRPr="00905199">
        <w:rPr>
          <w:szCs w:val="22"/>
          <w:lang w:val="sk-SK"/>
        </w:rPr>
        <w:t>septa</w:t>
      </w:r>
      <w:proofErr w:type="spellEnd"/>
      <w:r w:rsidRPr="00905199">
        <w:rPr>
          <w:szCs w:val="22"/>
          <w:lang w:val="sk-SK"/>
        </w:rPr>
        <w:t>).</w:t>
      </w:r>
    </w:p>
    <w:p w:rsidR="0000767D" w:rsidRPr="00905199" w:rsidRDefault="0000767D">
      <w:pPr>
        <w:jc w:val="both"/>
        <w:rPr>
          <w:szCs w:val="22"/>
          <w:lang w:val="sk-SK"/>
        </w:rPr>
      </w:pPr>
    </w:p>
    <w:p w:rsidR="0000767D" w:rsidRPr="00905199" w:rsidRDefault="003607C1">
      <w:pPr>
        <w:rPr>
          <w:lang w:val="sk-SK"/>
        </w:rPr>
      </w:pPr>
      <w:r w:rsidRPr="00905199">
        <w:rPr>
          <w:lang w:val="sk-SK"/>
        </w:rPr>
        <w:t xml:space="preserve">Liečivo </w:t>
      </w:r>
      <w:proofErr w:type="spellStart"/>
      <w:r w:rsidRPr="00905199">
        <w:rPr>
          <w:lang w:val="sk-SK"/>
        </w:rPr>
        <w:t>ibupro</w:t>
      </w:r>
      <w:r w:rsidR="000A5984" w:rsidRPr="00905199">
        <w:rPr>
          <w:lang w:val="sk-SK"/>
        </w:rPr>
        <w:t>fen</w:t>
      </w:r>
      <w:proofErr w:type="spellEnd"/>
      <w:r w:rsidRPr="00905199">
        <w:rPr>
          <w:lang w:val="sk-SK"/>
        </w:rPr>
        <w:t xml:space="preserve"> môže </w:t>
      </w:r>
      <w:r w:rsidR="00DF6017" w:rsidRPr="00905199">
        <w:rPr>
          <w:lang w:val="sk-SK"/>
        </w:rPr>
        <w:t>vykazovať</w:t>
      </w:r>
      <w:r w:rsidRPr="00905199">
        <w:rPr>
          <w:lang w:val="sk-SK"/>
        </w:rPr>
        <w:t xml:space="preserve"> environmentálne riziko pre vodné prostredie, hlavne pre ryby.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00767D">
      <w:pPr>
        <w:tabs>
          <w:tab w:val="clear" w:pos="567"/>
        </w:tabs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6.</w:t>
      </w:r>
      <w:r w:rsidRPr="00905199">
        <w:rPr>
          <w:b/>
          <w:szCs w:val="22"/>
          <w:lang w:val="sk-SK"/>
        </w:rPr>
        <w:tab/>
        <w:t>FARMACEUTICKÉ INFORMÁCIE</w:t>
      </w:r>
    </w:p>
    <w:p w:rsidR="0000767D" w:rsidRPr="00905199" w:rsidRDefault="0000767D">
      <w:pPr>
        <w:rPr>
          <w:b/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6.1</w:t>
      </w:r>
      <w:r w:rsidRPr="00905199">
        <w:rPr>
          <w:b/>
          <w:szCs w:val="22"/>
          <w:lang w:val="sk-SK"/>
        </w:rPr>
        <w:tab/>
        <w:t>Zoznam pomocných látok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u w:val="single"/>
          <w:lang w:val="sk-SK"/>
        </w:rPr>
      </w:pPr>
      <w:r w:rsidRPr="00905199">
        <w:rPr>
          <w:szCs w:val="22"/>
          <w:u w:val="single"/>
          <w:lang w:val="sk-SK"/>
        </w:rPr>
        <w:t>Jadro tablety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mikrokryštalická celulóza</w:t>
      </w: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hydrogénfosforečnan</w:t>
      </w:r>
      <w:proofErr w:type="spellEnd"/>
      <w:r w:rsidRPr="00905199">
        <w:rPr>
          <w:szCs w:val="22"/>
          <w:lang w:val="sk-SK"/>
        </w:rPr>
        <w:t xml:space="preserve"> vápenatý bezvodý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 xml:space="preserve">sodná soľ </w:t>
      </w:r>
      <w:proofErr w:type="spellStart"/>
      <w:r w:rsidRPr="00905199">
        <w:rPr>
          <w:szCs w:val="22"/>
          <w:lang w:val="sk-SK"/>
        </w:rPr>
        <w:t>kroskarmelózy</w:t>
      </w:r>
      <w:proofErr w:type="spellEnd"/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kukuričný škrob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koloidný oxid kremičitý, bezvodý</w:t>
      </w: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magnéziumstearát</w:t>
      </w:r>
      <w:proofErr w:type="spellEnd"/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u w:val="single"/>
          <w:lang w:val="sk-SK"/>
        </w:rPr>
      </w:pPr>
      <w:r w:rsidRPr="00905199">
        <w:rPr>
          <w:szCs w:val="22"/>
          <w:u w:val="single"/>
          <w:lang w:val="sk-SK"/>
        </w:rPr>
        <w:t>Obal tablety</w:t>
      </w:r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hypromelóza</w:t>
      </w:r>
      <w:proofErr w:type="spellEnd"/>
    </w:p>
    <w:p w:rsidR="0000767D" w:rsidRPr="00905199" w:rsidRDefault="003607C1">
      <w:pPr>
        <w:rPr>
          <w:szCs w:val="22"/>
          <w:lang w:val="sk-SK"/>
        </w:rPr>
      </w:pPr>
      <w:proofErr w:type="spellStart"/>
      <w:r w:rsidRPr="00905199">
        <w:rPr>
          <w:szCs w:val="22"/>
          <w:lang w:val="sk-SK"/>
        </w:rPr>
        <w:t>makrogol</w:t>
      </w:r>
      <w:proofErr w:type="spellEnd"/>
      <w:r w:rsidRPr="00905199">
        <w:rPr>
          <w:szCs w:val="22"/>
          <w:lang w:val="sk-SK"/>
        </w:rPr>
        <w:t> 400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mastenec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lastRenderedPageBreak/>
        <w:t xml:space="preserve">oxid </w:t>
      </w:r>
      <w:proofErr w:type="spellStart"/>
      <w:r w:rsidRPr="00905199">
        <w:rPr>
          <w:szCs w:val="22"/>
          <w:lang w:val="sk-SK"/>
        </w:rPr>
        <w:t>titaničitý</w:t>
      </w:r>
      <w:proofErr w:type="spellEnd"/>
      <w:r w:rsidRPr="00905199">
        <w:rPr>
          <w:szCs w:val="22"/>
          <w:lang w:val="sk-SK"/>
        </w:rPr>
        <w:t xml:space="preserve"> (E171)</w:t>
      </w: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žltý oxid železitý (E172)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6.2</w:t>
      </w:r>
      <w:r w:rsidRPr="00905199">
        <w:rPr>
          <w:b/>
          <w:szCs w:val="22"/>
          <w:lang w:val="sk-SK"/>
        </w:rPr>
        <w:tab/>
        <w:t>Inkompatibility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 w:rsidP="0044542B">
      <w:pPr>
        <w:rPr>
          <w:szCs w:val="22"/>
          <w:lang w:val="sk-SK"/>
        </w:rPr>
      </w:pPr>
      <w:r w:rsidRPr="00905199">
        <w:rPr>
          <w:szCs w:val="22"/>
          <w:lang w:val="sk-SK"/>
        </w:rPr>
        <w:t>Neaplikovateľné.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6.3</w:t>
      </w:r>
      <w:r w:rsidRPr="00905199">
        <w:rPr>
          <w:b/>
          <w:szCs w:val="22"/>
          <w:lang w:val="sk-SK"/>
        </w:rPr>
        <w:tab/>
        <w:t>Čas použiteľnosti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rPr>
          <w:szCs w:val="22"/>
          <w:lang w:val="sk-SK"/>
        </w:rPr>
      </w:pPr>
      <w:r w:rsidRPr="00905199">
        <w:rPr>
          <w:szCs w:val="22"/>
          <w:lang w:val="sk-SK"/>
        </w:rPr>
        <w:t>30 mesiacov.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6.4</w:t>
      </w:r>
      <w:r w:rsidRPr="00905199">
        <w:rPr>
          <w:b/>
          <w:szCs w:val="22"/>
          <w:lang w:val="sk-SK"/>
        </w:rPr>
        <w:tab/>
        <w:t>Špeciálne upozornenia na uchovávanie</w:t>
      </w:r>
    </w:p>
    <w:p w:rsidR="0000767D" w:rsidRPr="00905199" w:rsidRDefault="0000767D">
      <w:pPr>
        <w:ind w:left="567" w:hanging="567"/>
        <w:rPr>
          <w:b/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szCs w:val="22"/>
          <w:lang w:val="sk-SK"/>
        </w:rPr>
        <w:t>Uchovávajte pri teplote do 30 ºC.</w:t>
      </w:r>
    </w:p>
    <w:p w:rsidR="0000767D" w:rsidRPr="00905199" w:rsidRDefault="0000767D">
      <w:pPr>
        <w:rPr>
          <w:noProof/>
          <w:szCs w:val="22"/>
          <w:lang w:val="sk-SK"/>
        </w:rPr>
      </w:pPr>
    </w:p>
    <w:p w:rsidR="0000767D" w:rsidRPr="00905199" w:rsidRDefault="003607C1">
      <w:pPr>
        <w:numPr>
          <w:ilvl w:val="1"/>
          <w:numId w:val="11"/>
        </w:numPr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Druh obalu a obsah balenia</w:t>
      </w:r>
    </w:p>
    <w:p w:rsidR="0000767D" w:rsidRPr="00905199" w:rsidRDefault="0000767D">
      <w:pPr>
        <w:tabs>
          <w:tab w:val="clear" w:pos="567"/>
        </w:tabs>
        <w:rPr>
          <w:b/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905199">
        <w:rPr>
          <w:szCs w:val="22"/>
          <w:lang w:val="sk-SK"/>
        </w:rPr>
        <w:t xml:space="preserve">Detský bezpečnostný </w:t>
      </w:r>
      <w:proofErr w:type="spellStart"/>
      <w:r w:rsidRPr="00905199">
        <w:rPr>
          <w:szCs w:val="22"/>
          <w:lang w:val="sk-SK"/>
        </w:rPr>
        <w:t>blister</w:t>
      </w:r>
      <w:proofErr w:type="spellEnd"/>
      <w:r w:rsidRPr="00905199">
        <w:rPr>
          <w:szCs w:val="22"/>
          <w:lang w:val="sk-SK"/>
        </w:rPr>
        <w:t xml:space="preserve"> z PVC/</w:t>
      </w:r>
      <w:proofErr w:type="spellStart"/>
      <w:r w:rsidRPr="00905199">
        <w:rPr>
          <w:szCs w:val="22"/>
          <w:lang w:val="sk-SK"/>
        </w:rPr>
        <w:t>PVDC</w:t>
      </w:r>
      <w:proofErr w:type="spellEnd"/>
      <w:r w:rsidRPr="00905199">
        <w:rPr>
          <w:szCs w:val="22"/>
          <w:lang w:val="sk-SK"/>
        </w:rPr>
        <w:t>/hliníkovej fólie.</w:t>
      </w:r>
    </w:p>
    <w:p w:rsidR="0000767D" w:rsidRPr="00905199" w:rsidRDefault="0000767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 w:eastAsia="de-DE"/>
        </w:rPr>
      </w:pPr>
    </w:p>
    <w:p w:rsidR="0000767D" w:rsidRPr="00905199" w:rsidRDefault="003607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905199">
        <w:rPr>
          <w:szCs w:val="22"/>
          <w:lang w:val="sk-SK"/>
        </w:rPr>
        <w:t>Veľkosti balení: 10, 12, 20 alebo 24 filmom obalených tabliet</w:t>
      </w:r>
    </w:p>
    <w:p w:rsidR="0000767D" w:rsidRPr="00905199" w:rsidRDefault="0000767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</w:p>
    <w:p w:rsidR="0000767D" w:rsidRPr="00905199" w:rsidRDefault="003607C1">
      <w:pPr>
        <w:rPr>
          <w:szCs w:val="22"/>
          <w:lang w:val="sk-SK" w:eastAsia="de-DE"/>
        </w:rPr>
      </w:pPr>
      <w:r w:rsidRPr="00905199">
        <w:rPr>
          <w:szCs w:val="22"/>
          <w:lang w:val="sk-SK"/>
        </w:rPr>
        <w:t>Na trh nemusia byť uvedené všetky veľkosti balenia.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outlineLvl w:val="0"/>
        <w:rPr>
          <w:szCs w:val="22"/>
          <w:lang w:val="sk-SK"/>
        </w:rPr>
      </w:pPr>
      <w:r w:rsidRPr="00905199">
        <w:rPr>
          <w:b/>
          <w:szCs w:val="22"/>
          <w:lang w:val="sk-SK"/>
        </w:rPr>
        <w:t>6.6</w:t>
      </w:r>
      <w:r w:rsidRPr="00905199">
        <w:rPr>
          <w:b/>
          <w:szCs w:val="22"/>
          <w:lang w:val="sk-SK"/>
        </w:rPr>
        <w:tab/>
        <w:t>Špeciálne opatrenia na likvidáciu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905199">
        <w:rPr>
          <w:szCs w:val="22"/>
          <w:lang w:val="sk-SK"/>
        </w:rPr>
        <w:t>Všetok nepoužitý liek alebo odpad vzniknutý z lieku sa má zlikvidovať v súlade s národnými požiadavkami.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7.</w:t>
      </w:r>
      <w:r w:rsidRPr="00905199">
        <w:rPr>
          <w:b/>
          <w:szCs w:val="22"/>
          <w:lang w:val="sk-SK"/>
        </w:rPr>
        <w:tab/>
        <w:t>DRŽITEĽ ROZHODNUTIA O REGISTRÁCII</w:t>
      </w:r>
    </w:p>
    <w:p w:rsidR="0000767D" w:rsidRPr="00905199" w:rsidRDefault="0000767D">
      <w:pPr>
        <w:rPr>
          <w:szCs w:val="22"/>
          <w:lang w:val="sk-SK"/>
        </w:rPr>
      </w:pPr>
    </w:p>
    <w:p w:rsidR="00AC6EB3" w:rsidRPr="00905199" w:rsidRDefault="00AC6EB3" w:rsidP="00AC6EB3">
      <w:pPr>
        <w:rPr>
          <w:lang w:val="sk-SK"/>
        </w:rPr>
      </w:pPr>
      <w:proofErr w:type="spellStart"/>
      <w:r w:rsidRPr="00905199">
        <w:rPr>
          <w:lang w:val="sk-SK"/>
        </w:rPr>
        <w:t>Krewel</w:t>
      </w:r>
      <w:proofErr w:type="spellEnd"/>
      <w:r w:rsidRPr="00905199">
        <w:rPr>
          <w:lang w:val="sk-SK"/>
        </w:rPr>
        <w:t xml:space="preserve"> </w:t>
      </w:r>
      <w:proofErr w:type="spellStart"/>
      <w:r w:rsidRPr="00905199">
        <w:rPr>
          <w:lang w:val="sk-SK"/>
        </w:rPr>
        <w:t>Meuselbach</w:t>
      </w:r>
      <w:proofErr w:type="spellEnd"/>
      <w:r w:rsidRPr="00905199">
        <w:rPr>
          <w:lang w:val="sk-SK"/>
        </w:rPr>
        <w:t xml:space="preserve"> </w:t>
      </w:r>
      <w:proofErr w:type="spellStart"/>
      <w:r w:rsidRPr="00905199">
        <w:rPr>
          <w:lang w:val="sk-SK"/>
        </w:rPr>
        <w:t>GmbH</w:t>
      </w:r>
      <w:proofErr w:type="spellEnd"/>
    </w:p>
    <w:p w:rsidR="00AC6EB3" w:rsidRPr="00905199" w:rsidRDefault="00AC6EB3" w:rsidP="00AC6EB3">
      <w:pPr>
        <w:rPr>
          <w:lang w:val="sk-SK"/>
        </w:rPr>
      </w:pPr>
      <w:proofErr w:type="spellStart"/>
      <w:r w:rsidRPr="00905199">
        <w:rPr>
          <w:lang w:val="sk-SK"/>
        </w:rPr>
        <w:t>Krewelstrasse</w:t>
      </w:r>
      <w:proofErr w:type="spellEnd"/>
      <w:r w:rsidRPr="00905199">
        <w:rPr>
          <w:lang w:val="sk-SK"/>
        </w:rPr>
        <w:t xml:space="preserve"> 2</w:t>
      </w:r>
    </w:p>
    <w:p w:rsidR="00AC6EB3" w:rsidRPr="00905199" w:rsidRDefault="00BE4101" w:rsidP="00AC6EB3">
      <w:pPr>
        <w:rPr>
          <w:lang w:val="sk-SK"/>
        </w:rPr>
      </w:pPr>
      <w:r w:rsidRPr="00905199">
        <w:rPr>
          <w:lang w:val="sk-SK"/>
        </w:rPr>
        <w:t xml:space="preserve">D-53783 </w:t>
      </w:r>
      <w:proofErr w:type="spellStart"/>
      <w:r w:rsidRPr="00905199">
        <w:rPr>
          <w:lang w:val="sk-SK"/>
        </w:rPr>
        <w:t>Eitorf</w:t>
      </w:r>
      <w:proofErr w:type="spellEnd"/>
      <w:r w:rsidRPr="00905199">
        <w:rPr>
          <w:lang w:val="sk-SK"/>
        </w:rPr>
        <w:br/>
      </w:r>
      <w:r w:rsidR="00AC6EB3" w:rsidRPr="00905199">
        <w:rPr>
          <w:lang w:val="sk-SK"/>
        </w:rPr>
        <w:t>Nemecko</w:t>
      </w:r>
    </w:p>
    <w:p w:rsidR="00A854BE" w:rsidRPr="00AD7007" w:rsidRDefault="00A854BE" w:rsidP="00A854BE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AD7007">
        <w:rPr>
          <w:rFonts w:ascii="Times New Roman" w:hAnsi="Times New Roman"/>
          <w:sz w:val="22"/>
          <w:szCs w:val="22"/>
          <w:lang w:val="sk-SK"/>
        </w:rPr>
        <w:t>tel.:  +49 2243 / 87-0</w:t>
      </w:r>
    </w:p>
    <w:p w:rsidR="00A854BE" w:rsidRPr="00AD7007" w:rsidRDefault="00A854BE" w:rsidP="00A854BE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AD7007">
        <w:rPr>
          <w:rFonts w:ascii="Times New Roman" w:hAnsi="Times New Roman"/>
          <w:sz w:val="22"/>
          <w:szCs w:val="22"/>
          <w:lang w:val="sk-SK"/>
        </w:rPr>
        <w:t>fax: +49 2243 / 87-175</w:t>
      </w:r>
    </w:p>
    <w:p w:rsidR="00A854BE" w:rsidRPr="00AD7007" w:rsidRDefault="00A854BE" w:rsidP="00A854BE">
      <w:pPr>
        <w:tabs>
          <w:tab w:val="left" w:pos="5380"/>
        </w:tabs>
        <w:rPr>
          <w:szCs w:val="22"/>
          <w:lang w:val="sk-SK"/>
        </w:rPr>
      </w:pPr>
      <w:r w:rsidRPr="00AD7007">
        <w:rPr>
          <w:szCs w:val="22"/>
          <w:lang w:val="sk-SK"/>
        </w:rPr>
        <w:t xml:space="preserve">e-mail: </w:t>
      </w:r>
      <w:hyperlink r:id="rId10" w:history="1">
        <w:r w:rsidRPr="00AD7007">
          <w:rPr>
            <w:rStyle w:val="Hypertextovprepojenie"/>
            <w:szCs w:val="22"/>
            <w:lang w:val="sk-SK"/>
          </w:rPr>
          <w:t>info@krewel-meuselbach.de</w:t>
        </w:r>
      </w:hyperlink>
    </w:p>
    <w:p w:rsidR="0000767D" w:rsidRPr="00AD7007" w:rsidRDefault="0000767D">
      <w:pPr>
        <w:rPr>
          <w:szCs w:val="22"/>
          <w:lang w:val="sk-SK"/>
        </w:rPr>
      </w:pPr>
    </w:p>
    <w:p w:rsidR="00F45984" w:rsidRPr="00905199" w:rsidRDefault="00F45984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8.</w:t>
      </w:r>
      <w:r w:rsidRPr="00905199">
        <w:rPr>
          <w:b/>
          <w:szCs w:val="22"/>
          <w:lang w:val="sk-SK"/>
        </w:rPr>
        <w:tab/>
        <w:t>REGISTRAČNÉ ČÍSLO</w:t>
      </w:r>
    </w:p>
    <w:p w:rsidR="0000767D" w:rsidRPr="00905199" w:rsidRDefault="0000767D">
      <w:pPr>
        <w:rPr>
          <w:i/>
          <w:szCs w:val="22"/>
          <w:lang w:val="sk-SK"/>
        </w:rPr>
      </w:pPr>
    </w:p>
    <w:p w:rsidR="0000767D" w:rsidRDefault="00AD7007">
      <w:pPr>
        <w:rPr>
          <w:szCs w:val="22"/>
          <w:lang w:val="sk-SK"/>
        </w:rPr>
      </w:pPr>
      <w:r w:rsidRPr="00AD7007">
        <w:rPr>
          <w:szCs w:val="22"/>
          <w:lang w:val="sk-SK"/>
        </w:rPr>
        <w:t>07/0143/16-S</w:t>
      </w:r>
    </w:p>
    <w:p w:rsidR="00AD7007" w:rsidRPr="00905199" w:rsidRDefault="00AD7007">
      <w:pPr>
        <w:rPr>
          <w:szCs w:val="22"/>
          <w:lang w:val="sk-SK"/>
        </w:rPr>
      </w:pP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3607C1">
      <w:pPr>
        <w:ind w:left="567" w:hanging="567"/>
        <w:rPr>
          <w:szCs w:val="22"/>
          <w:lang w:val="sk-SK"/>
        </w:rPr>
      </w:pPr>
      <w:r w:rsidRPr="00905199">
        <w:rPr>
          <w:b/>
          <w:szCs w:val="22"/>
          <w:lang w:val="sk-SK"/>
        </w:rPr>
        <w:t>9.</w:t>
      </w:r>
      <w:r w:rsidRPr="00905199">
        <w:rPr>
          <w:b/>
          <w:szCs w:val="22"/>
          <w:lang w:val="sk-SK"/>
        </w:rPr>
        <w:tab/>
        <w:t>DÁTUM PRVEJ REGISTRÁCIE/PREDĹŽENIA REGISTRÁCIE</w:t>
      </w:r>
    </w:p>
    <w:p w:rsidR="0000767D" w:rsidRPr="00905199" w:rsidRDefault="0000767D">
      <w:pPr>
        <w:rPr>
          <w:i/>
          <w:szCs w:val="22"/>
          <w:lang w:val="sk-SK"/>
        </w:rPr>
      </w:pPr>
    </w:p>
    <w:p w:rsidR="0000767D" w:rsidRPr="00905199" w:rsidRDefault="003607C1">
      <w:pPr>
        <w:rPr>
          <w:i/>
          <w:noProof/>
          <w:szCs w:val="22"/>
          <w:lang w:val="sk-SK"/>
        </w:rPr>
      </w:pPr>
      <w:r w:rsidRPr="00905199">
        <w:rPr>
          <w:noProof/>
          <w:szCs w:val="22"/>
          <w:lang w:val="sk-SK"/>
        </w:rPr>
        <w:t xml:space="preserve">Dátum prvej registrácie: </w:t>
      </w:r>
    </w:p>
    <w:p w:rsidR="0000767D" w:rsidRDefault="0000767D">
      <w:pPr>
        <w:rPr>
          <w:szCs w:val="22"/>
          <w:lang w:val="sk-SK"/>
        </w:rPr>
      </w:pPr>
    </w:p>
    <w:p w:rsidR="00AD7007" w:rsidRPr="00905199" w:rsidRDefault="00AD7007">
      <w:pPr>
        <w:rPr>
          <w:szCs w:val="22"/>
          <w:lang w:val="sk-SK"/>
        </w:rPr>
      </w:pPr>
      <w:bookmarkStart w:id="0" w:name="_GoBack"/>
      <w:bookmarkEnd w:id="0"/>
    </w:p>
    <w:p w:rsidR="0000767D" w:rsidRPr="00905199" w:rsidRDefault="003607C1">
      <w:pPr>
        <w:ind w:left="567" w:hanging="567"/>
        <w:rPr>
          <w:b/>
          <w:szCs w:val="22"/>
          <w:lang w:val="sk-SK"/>
        </w:rPr>
      </w:pPr>
      <w:r w:rsidRPr="00905199">
        <w:rPr>
          <w:b/>
          <w:szCs w:val="22"/>
          <w:lang w:val="sk-SK"/>
        </w:rPr>
        <w:t>10.</w:t>
      </w:r>
      <w:r w:rsidRPr="00905199">
        <w:rPr>
          <w:b/>
          <w:szCs w:val="22"/>
          <w:lang w:val="sk-SK"/>
        </w:rPr>
        <w:tab/>
        <w:t>DÁTUM REVÍZIE TEXTU</w:t>
      </w:r>
    </w:p>
    <w:p w:rsidR="0000767D" w:rsidRPr="00905199" w:rsidRDefault="0000767D">
      <w:pPr>
        <w:rPr>
          <w:szCs w:val="22"/>
          <w:lang w:val="sk-SK"/>
        </w:rPr>
      </w:pPr>
    </w:p>
    <w:p w:rsidR="0000767D" w:rsidRPr="00905199" w:rsidRDefault="00AD7007" w:rsidP="00AD7007">
      <w:pPr>
        <w:rPr>
          <w:iCs/>
          <w:szCs w:val="22"/>
          <w:lang w:val="sk-SK"/>
        </w:rPr>
      </w:pPr>
      <w:r>
        <w:rPr>
          <w:szCs w:val="22"/>
          <w:lang w:val="sk-SK"/>
        </w:rPr>
        <w:t>Marec</w:t>
      </w:r>
      <w:r w:rsidR="00DF6017" w:rsidRPr="00905199">
        <w:rPr>
          <w:szCs w:val="22"/>
          <w:lang w:val="sk-SK"/>
        </w:rPr>
        <w:t xml:space="preserve"> 2016</w:t>
      </w:r>
    </w:p>
    <w:sectPr w:rsidR="0000767D" w:rsidRPr="00905199" w:rsidSect="00551D75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C2" w:rsidRDefault="009C3EC2">
      <w:r>
        <w:separator/>
      </w:r>
    </w:p>
  </w:endnote>
  <w:endnote w:type="continuationSeparator" w:id="0">
    <w:p w:rsidR="009C3EC2" w:rsidRDefault="009C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60" w:rsidRDefault="00064D60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AD7007">
      <w:rPr>
        <w:rStyle w:val="slostrany"/>
        <w:rFonts w:ascii="Arial" w:hAnsi="Arial" w:cs="Arial"/>
        <w:noProof/>
      </w:rPr>
      <w:t>15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60" w:rsidRDefault="00064D60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AD7007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C2" w:rsidRDefault="009C3EC2">
      <w:r>
        <w:separator/>
      </w:r>
    </w:p>
  </w:footnote>
  <w:footnote w:type="continuationSeparator" w:id="0">
    <w:p w:rsidR="009C3EC2" w:rsidRDefault="009C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BFB15B"/>
    <w:multiLevelType w:val="hybridMultilevel"/>
    <w:tmpl w:val="1E41DE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794B35"/>
    <w:multiLevelType w:val="hybridMultilevel"/>
    <w:tmpl w:val="3ADDD5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00639A0"/>
    <w:multiLevelType w:val="hybridMultilevel"/>
    <w:tmpl w:val="C5265AA8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>
    <w:nsid w:val="047D2F3F"/>
    <w:multiLevelType w:val="hybridMultilevel"/>
    <w:tmpl w:val="FDFF6F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93D6E90"/>
    <w:multiLevelType w:val="hybridMultilevel"/>
    <w:tmpl w:val="71706992"/>
    <w:lvl w:ilvl="0" w:tplc="9EB2B5EE">
      <w:start w:val="1"/>
      <w:numFmt w:val="bullet"/>
      <w:lvlText w:val=""/>
      <w:lvlJc w:val="left"/>
      <w:rPr>
        <w:rFonts w:ascii="Symbol" w:hAnsi="Symbol" w:hint="default"/>
        <w:color w:val="000000" w:themeColor="text1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6E3A6CFA"/>
    <w:multiLevelType w:val="hybridMultilevel"/>
    <w:tmpl w:val="B1C0B90A"/>
    <w:lvl w:ilvl="0" w:tplc="A9F24A66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1">
    <w:nsid w:val="7AC528D7"/>
    <w:multiLevelType w:val="hybridMultilevel"/>
    <w:tmpl w:val="3A38C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E5FE5"/>
    <w:multiLevelType w:val="hybridMultilevel"/>
    <w:tmpl w:val="44062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5"/>
  </w:num>
  <w:num w:numId="6">
    <w:abstractNumId w:val="25"/>
  </w:num>
  <w:num w:numId="7">
    <w:abstractNumId w:val="24"/>
  </w:num>
  <w:num w:numId="8">
    <w:abstractNumId w:val="11"/>
  </w:num>
  <w:num w:numId="9">
    <w:abstractNumId w:val="34"/>
  </w:num>
  <w:num w:numId="10">
    <w:abstractNumId w:val="35"/>
  </w:num>
  <w:num w:numId="11">
    <w:abstractNumId w:val="20"/>
  </w:num>
  <w:num w:numId="12">
    <w:abstractNumId w:val="17"/>
  </w:num>
  <w:num w:numId="13">
    <w:abstractNumId w:val="5"/>
  </w:num>
  <w:num w:numId="14">
    <w:abstractNumId w:val="33"/>
  </w:num>
  <w:num w:numId="15">
    <w:abstractNumId w:val="22"/>
  </w:num>
  <w:num w:numId="16">
    <w:abstractNumId w:val="39"/>
  </w:num>
  <w:num w:numId="17">
    <w:abstractNumId w:val="12"/>
  </w:num>
  <w:num w:numId="18">
    <w:abstractNumId w:val="4"/>
  </w:num>
  <w:num w:numId="19">
    <w:abstractNumId w:val="21"/>
  </w:num>
  <w:num w:numId="20">
    <w:abstractNumId w:val="7"/>
  </w:num>
  <w:num w:numId="21">
    <w:abstractNumId w:val="9"/>
  </w:num>
  <w:num w:numId="22">
    <w:abstractNumId w:val="28"/>
  </w:num>
  <w:num w:numId="23">
    <w:abstractNumId w:val="32"/>
  </w:num>
  <w:num w:numId="24">
    <w:abstractNumId w:val="27"/>
  </w:num>
  <w:num w:numId="25">
    <w:abstractNumId w:val="16"/>
  </w:num>
  <w:num w:numId="26">
    <w:abstractNumId w:val="14"/>
  </w:num>
  <w:num w:numId="27">
    <w:abstractNumId w:val="23"/>
  </w:num>
  <w:num w:numId="28">
    <w:abstractNumId w:val="26"/>
  </w:num>
  <w:num w:numId="29">
    <w:abstractNumId w:val="18"/>
  </w:num>
  <w:num w:numId="30">
    <w:abstractNumId w:val="13"/>
  </w:num>
  <w:num w:numId="31">
    <w:abstractNumId w:val="30"/>
  </w:num>
  <w:num w:numId="32">
    <w:abstractNumId w:val="31"/>
  </w:num>
  <w:num w:numId="33">
    <w:abstractNumId w:val="29"/>
  </w:num>
  <w:num w:numId="34">
    <w:abstractNumId w:val="19"/>
  </w:num>
  <w:num w:numId="35">
    <w:abstractNumId w:val="8"/>
  </w:num>
  <w:num w:numId="36">
    <w:abstractNumId w:val="40"/>
  </w:num>
  <w:num w:numId="37">
    <w:abstractNumId w:val="3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"/>
  </w:num>
  <w:num w:numId="39">
    <w:abstractNumId w:val="10"/>
  </w:num>
  <w:num w:numId="40">
    <w:abstractNumId w:val="2"/>
  </w:num>
  <w:num w:numId="41">
    <w:abstractNumId w:val="0"/>
  </w:num>
  <w:num w:numId="42">
    <w:abstractNumId w:val="6"/>
  </w:num>
  <w:num w:numId="43">
    <w:abstractNumId w:val="41"/>
  </w:num>
  <w:num w:numId="44">
    <w:abstractNumId w:val="42"/>
  </w:num>
  <w:num w:numId="45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00767D"/>
    <w:rsid w:val="0000767D"/>
    <w:rsid w:val="00064D60"/>
    <w:rsid w:val="0009189D"/>
    <w:rsid w:val="000A5984"/>
    <w:rsid w:val="00111E1B"/>
    <w:rsid w:val="002654BB"/>
    <w:rsid w:val="002D72FB"/>
    <w:rsid w:val="003607C1"/>
    <w:rsid w:val="003E07B7"/>
    <w:rsid w:val="0044542B"/>
    <w:rsid w:val="00476327"/>
    <w:rsid w:val="00541EB4"/>
    <w:rsid w:val="00551D75"/>
    <w:rsid w:val="005F22C1"/>
    <w:rsid w:val="006620DC"/>
    <w:rsid w:val="00682163"/>
    <w:rsid w:val="00684ADF"/>
    <w:rsid w:val="008113A9"/>
    <w:rsid w:val="0081244C"/>
    <w:rsid w:val="008B23F1"/>
    <w:rsid w:val="008B4780"/>
    <w:rsid w:val="008D04EC"/>
    <w:rsid w:val="00905199"/>
    <w:rsid w:val="00913835"/>
    <w:rsid w:val="00931DF2"/>
    <w:rsid w:val="009C3EC2"/>
    <w:rsid w:val="009F6449"/>
    <w:rsid w:val="009F691D"/>
    <w:rsid w:val="00A655A7"/>
    <w:rsid w:val="00A854BE"/>
    <w:rsid w:val="00AC6EB3"/>
    <w:rsid w:val="00AD7007"/>
    <w:rsid w:val="00B57233"/>
    <w:rsid w:val="00B90945"/>
    <w:rsid w:val="00BE3A68"/>
    <w:rsid w:val="00BE4101"/>
    <w:rsid w:val="00C812DF"/>
    <w:rsid w:val="00DF6017"/>
    <w:rsid w:val="00E71BA9"/>
    <w:rsid w:val="00EA055A"/>
    <w:rsid w:val="00F45984"/>
    <w:rsid w:val="00F67FCA"/>
    <w:rsid w:val="00F93CCF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1D75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551D75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551D75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551D75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551D75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551D75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551D75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551D75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551D75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551D75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551D7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551D75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551D75"/>
  </w:style>
  <w:style w:type="paragraph" w:styleId="Zarkazkladnhotextu">
    <w:name w:val="Body Text Indent"/>
    <w:basedOn w:val="Normlny"/>
    <w:rsid w:val="00551D75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551D75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551D7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551D75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551D7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551D75"/>
    <w:rPr>
      <w:sz w:val="16"/>
      <w:szCs w:val="16"/>
    </w:rPr>
  </w:style>
  <w:style w:type="paragraph" w:styleId="Textkomentra">
    <w:name w:val="annotation text"/>
    <w:basedOn w:val="Normlny"/>
    <w:semiHidden/>
    <w:rsid w:val="00551D75"/>
    <w:rPr>
      <w:sz w:val="20"/>
    </w:rPr>
  </w:style>
  <w:style w:type="paragraph" w:customStyle="1" w:styleId="EMEAEnBodyText">
    <w:name w:val="EMEA En Body Text"/>
    <w:basedOn w:val="Normlny"/>
    <w:rsid w:val="00551D75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551D75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551D75"/>
    <w:rPr>
      <w:color w:val="0000FF"/>
      <w:u w:val="single"/>
    </w:rPr>
  </w:style>
  <w:style w:type="paragraph" w:customStyle="1" w:styleId="AHeader1">
    <w:name w:val="AHeader 1"/>
    <w:basedOn w:val="Normlny"/>
    <w:rsid w:val="00551D75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551D75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551D75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551D75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51D75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551D75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551D75"/>
    <w:rPr>
      <w:color w:val="800080"/>
      <w:u w:val="single"/>
    </w:rPr>
  </w:style>
  <w:style w:type="paragraph" w:customStyle="1" w:styleId="Default">
    <w:name w:val="Default"/>
    <w:rsid w:val="00551D75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551D75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551D75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551D75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551D75"/>
    <w:rPr>
      <w:rFonts w:ascii="Verdana" w:eastAsia="Verdana" w:hAnsi="Verdana" w:cs="Verdana"/>
      <w:sz w:val="18"/>
      <w:szCs w:val="18"/>
    </w:rPr>
  </w:style>
  <w:style w:type="paragraph" w:customStyle="1" w:styleId="CM24">
    <w:name w:val="CM24"/>
    <w:basedOn w:val="Default"/>
    <w:next w:val="Default"/>
    <w:uiPriority w:val="99"/>
    <w:rsid w:val="00551D75"/>
    <w:pPr>
      <w:widowControl w:val="0"/>
    </w:pPr>
    <w:rPr>
      <w:rFonts w:eastAsiaTheme="minorEastAsia"/>
      <w:sz w:val="24"/>
      <w:szCs w:val="24"/>
    </w:rPr>
  </w:style>
  <w:style w:type="paragraph" w:styleId="Revzia">
    <w:name w:val="Revision"/>
    <w:hidden/>
    <w:uiPriority w:val="99"/>
    <w:semiHidden/>
    <w:rsid w:val="00551D75"/>
    <w:rPr>
      <w:sz w:val="22"/>
    </w:rPr>
  </w:style>
  <w:style w:type="paragraph" w:styleId="Odsekzoznamu">
    <w:name w:val="List Paragraph"/>
    <w:basedOn w:val="Normlny"/>
    <w:uiPriority w:val="34"/>
    <w:qFormat/>
    <w:rsid w:val="00551D75"/>
    <w:pPr>
      <w:ind w:left="720"/>
      <w:contextualSpacing/>
    </w:pPr>
  </w:style>
  <w:style w:type="character" w:customStyle="1" w:styleId="TextChar">
    <w:name w:val="Text Char"/>
    <w:link w:val="Text"/>
    <w:locked/>
    <w:rsid w:val="00551D75"/>
  </w:style>
  <w:style w:type="paragraph" w:customStyle="1" w:styleId="Text">
    <w:name w:val="Text"/>
    <w:basedOn w:val="Normlny"/>
    <w:link w:val="TextChar"/>
    <w:rsid w:val="00551D75"/>
    <w:pPr>
      <w:tabs>
        <w:tab w:val="clear" w:pos="567"/>
      </w:tabs>
      <w:suppressAutoHyphens/>
      <w:spacing w:before="60" w:after="60" w:line="240" w:lineRule="auto"/>
      <w:ind w:left="936"/>
      <w:jc w:val="both"/>
    </w:pPr>
    <w:rPr>
      <w:sz w:val="20"/>
    </w:rPr>
  </w:style>
  <w:style w:type="paragraph" w:customStyle="1" w:styleId="Aufzhlung">
    <w:name w:val="Aufzählung"/>
    <w:basedOn w:val="Normlny"/>
    <w:link w:val="AufzhlungChar"/>
    <w:rsid w:val="00551D75"/>
    <w:pPr>
      <w:numPr>
        <w:numId w:val="45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551D75"/>
    <w:rPr>
      <w:sz w:val="24"/>
      <w:szCs w:val="24"/>
      <w:shd w:val="clear" w:color="auto" w:fill="FFFFFF"/>
    </w:rPr>
  </w:style>
  <w:style w:type="paragraph" w:customStyle="1" w:styleId="BodyText21">
    <w:name w:val="Body Text 21"/>
    <w:basedOn w:val="Normlny"/>
    <w:rsid w:val="00AC6EB3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BodytextAgency">
    <w:name w:val="Body text (Agency)"/>
    <w:basedOn w:val="Normlny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</w:rPr>
  </w:style>
  <w:style w:type="paragraph" w:customStyle="1" w:styleId="CM24">
    <w:name w:val="CM24"/>
    <w:basedOn w:val="Default"/>
    <w:next w:val="Default"/>
    <w:uiPriority w:val="99"/>
    <w:pPr>
      <w:widowControl w:val="0"/>
    </w:pPr>
    <w:rPr>
      <w:rFonts w:eastAsiaTheme="minorEastAsia"/>
      <w:sz w:val="24"/>
      <w:szCs w:val="24"/>
    </w:rPr>
  </w:style>
  <w:style w:type="paragraph" w:styleId="Revzia">
    <w:name w:val="Revision"/>
    <w:hidden/>
    <w:uiPriority w:val="99"/>
    <w:semiHidden/>
    <w:rPr>
      <w:sz w:val="22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Char">
    <w:name w:val="Text Char"/>
    <w:link w:val="Text"/>
    <w:locked/>
  </w:style>
  <w:style w:type="paragraph" w:customStyle="1" w:styleId="Text">
    <w:name w:val="Text"/>
    <w:basedOn w:val="Normlny"/>
    <w:link w:val="TextChar"/>
    <w:pPr>
      <w:tabs>
        <w:tab w:val="clear" w:pos="567"/>
      </w:tabs>
      <w:suppressAutoHyphens/>
      <w:spacing w:before="60" w:after="60" w:line="240" w:lineRule="auto"/>
      <w:ind w:left="936"/>
      <w:jc w:val="both"/>
    </w:pPr>
    <w:rPr>
      <w:sz w:val="20"/>
    </w:rPr>
  </w:style>
  <w:style w:type="paragraph" w:customStyle="1" w:styleId="Aufzhlung">
    <w:name w:val="Aufzählung"/>
    <w:basedOn w:val="Normlny"/>
    <w:link w:val="AufzhlungChar"/>
    <w:pPr>
      <w:numPr>
        <w:numId w:val="45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Pr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krewel-meuselbac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EF48-EBCC-4478-8F0B-D214081C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15</Pages>
  <Words>5386</Words>
  <Characters>30705</Characters>
  <Application>Microsoft Office Word</Application>
  <DocSecurity>0</DocSecurity>
  <Lines>255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36019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Frankemöll, Sandra</dc:creator>
  <cp:lastModifiedBy>Palkóciová, Eva</cp:lastModifiedBy>
  <cp:revision>18</cp:revision>
  <cp:lastPrinted>2015-08-04T06:24:00Z</cp:lastPrinted>
  <dcterms:created xsi:type="dcterms:W3CDTF">2015-11-06T10:04:00Z</dcterms:created>
  <dcterms:modified xsi:type="dcterms:W3CDTF">2016-03-03T12:04:00Z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