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64" w:rsidRPr="00D101BF" w:rsidRDefault="00A13B64" w:rsidP="009C6769">
      <w:pPr>
        <w:jc w:val="both"/>
        <w:rPr>
          <w:sz w:val="22"/>
          <w:szCs w:val="22"/>
        </w:rPr>
      </w:pPr>
      <w:bookmarkStart w:id="0" w:name="_GoBack"/>
      <w:bookmarkEnd w:id="0"/>
    </w:p>
    <w:p w:rsidR="00A13B64" w:rsidRPr="00D101BF" w:rsidRDefault="00A13B64" w:rsidP="002431FC">
      <w:pPr>
        <w:pStyle w:val="Heading1"/>
        <w:jc w:val="center"/>
      </w:pPr>
      <w:r w:rsidRPr="00D101BF">
        <w:t>SÚHRN CHARAKTERISTICKÝCH VLASTNOSTÍ LIEKU</w:t>
      </w:r>
    </w:p>
    <w:p w:rsidR="00A13B64" w:rsidRDefault="00A13B64" w:rsidP="009C6769">
      <w:pPr>
        <w:jc w:val="both"/>
        <w:rPr>
          <w:sz w:val="22"/>
          <w:szCs w:val="22"/>
        </w:rPr>
      </w:pPr>
    </w:p>
    <w:p w:rsidR="00A13B64" w:rsidRPr="00D101BF" w:rsidRDefault="00A13B64" w:rsidP="009C6769">
      <w:pPr>
        <w:jc w:val="both"/>
        <w:rPr>
          <w:sz w:val="22"/>
          <w:szCs w:val="22"/>
        </w:rPr>
      </w:pPr>
    </w:p>
    <w:p w:rsidR="00A13B64" w:rsidRPr="00D101BF" w:rsidRDefault="00A13B64" w:rsidP="00872522">
      <w:pPr>
        <w:tabs>
          <w:tab w:val="left" w:pos="595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A13B64" w:rsidRDefault="00A13B64">
      <w:pPr>
        <w:tabs>
          <w:tab w:val="left" w:pos="567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1.</w:t>
      </w:r>
      <w:r w:rsidRPr="00D101BF">
        <w:rPr>
          <w:b/>
          <w:bCs/>
          <w:sz w:val="22"/>
          <w:szCs w:val="22"/>
        </w:rPr>
        <w:tab/>
        <w:t>NÁZOV LIEKU</w:t>
      </w:r>
    </w:p>
    <w:p w:rsidR="00A13B64" w:rsidRDefault="00A13B64">
      <w:pPr>
        <w:rPr>
          <w:bCs/>
          <w:sz w:val="22"/>
          <w:szCs w:val="22"/>
        </w:rPr>
      </w:pPr>
    </w:p>
    <w:p w:rsidR="00A13B64" w:rsidRDefault="00A13B64">
      <w:pPr>
        <w:rPr>
          <w:bCs/>
          <w:sz w:val="22"/>
          <w:szCs w:val="22"/>
        </w:rPr>
      </w:pPr>
      <w:r w:rsidRPr="00A735D6">
        <w:rPr>
          <w:bCs/>
          <w:sz w:val="22"/>
          <w:szCs w:val="22"/>
        </w:rPr>
        <w:t>ZOVIRAX</w:t>
      </w: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>50 mg/g dermálny krém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2.</w:t>
      </w:r>
      <w:r w:rsidRPr="00D101BF">
        <w:rPr>
          <w:b/>
          <w:bCs/>
          <w:sz w:val="22"/>
          <w:szCs w:val="22"/>
        </w:rPr>
        <w:tab/>
        <w:t>KVALITATÍVNE A KVANTITATÍVNE ZLOŽENIE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 gram"/>
        </w:smartTagPr>
        <w:r>
          <w:rPr>
            <w:sz w:val="22"/>
            <w:szCs w:val="22"/>
          </w:rPr>
          <w:t>1</w:t>
        </w:r>
        <w:r w:rsidRPr="00D101BF">
          <w:rPr>
            <w:sz w:val="22"/>
            <w:szCs w:val="22"/>
          </w:rPr>
          <w:t xml:space="preserve"> gram</w:t>
        </w:r>
      </w:smartTag>
      <w:r w:rsidRPr="00D101BF">
        <w:rPr>
          <w:sz w:val="22"/>
          <w:szCs w:val="22"/>
        </w:rPr>
        <w:t xml:space="preserve"> dermálneho krému obsahuje 50 mg acikloviru</w:t>
      </w:r>
      <w:r>
        <w:rPr>
          <w:sz w:val="22"/>
          <w:szCs w:val="22"/>
        </w:rPr>
        <w:t>.</w:t>
      </w:r>
    </w:p>
    <w:p w:rsidR="00A13B64" w:rsidRDefault="00A13B64">
      <w:pPr>
        <w:rPr>
          <w:bCs/>
          <w:sz w:val="22"/>
          <w:szCs w:val="22"/>
        </w:rPr>
      </w:pPr>
    </w:p>
    <w:p w:rsidR="00A13B64" w:rsidRDefault="00A13B64">
      <w:pPr>
        <w:rPr>
          <w:noProof/>
          <w:sz w:val="22"/>
          <w:szCs w:val="22"/>
        </w:rPr>
      </w:pPr>
      <w:r w:rsidRPr="00A735D6">
        <w:rPr>
          <w:sz w:val="22"/>
          <w:szCs w:val="22"/>
          <w:u w:val="single"/>
        </w:rPr>
        <w:t>Pomocné látky so známym účinkom</w:t>
      </w:r>
      <w:r>
        <w:rPr>
          <w:sz w:val="22"/>
          <w:szCs w:val="22"/>
          <w:u w:val="single"/>
        </w:rPr>
        <w:t>:</w:t>
      </w:r>
      <w:r>
        <w:rPr>
          <w:noProof/>
          <w:sz w:val="22"/>
          <w:szCs w:val="22"/>
        </w:rPr>
        <w:t xml:space="preserve"> </w:t>
      </w:r>
      <w:r w:rsidRPr="00A735D6">
        <w:rPr>
          <w:noProof/>
          <w:sz w:val="22"/>
          <w:szCs w:val="22"/>
        </w:rPr>
        <w:t>propylénglykol, cetylalkohol a</w:t>
      </w:r>
      <w:r>
        <w:rPr>
          <w:noProof/>
          <w:sz w:val="22"/>
          <w:szCs w:val="22"/>
        </w:rPr>
        <w:t> </w:t>
      </w:r>
      <w:r w:rsidRPr="00A735D6">
        <w:rPr>
          <w:noProof/>
          <w:sz w:val="22"/>
          <w:szCs w:val="22"/>
        </w:rPr>
        <w:t>stearylalkohol</w:t>
      </w:r>
      <w:r>
        <w:rPr>
          <w:noProof/>
          <w:sz w:val="22"/>
          <w:szCs w:val="22"/>
        </w:rPr>
        <w:t>.</w:t>
      </w:r>
    </w:p>
    <w:p w:rsidR="00A13B64" w:rsidRDefault="00A13B64">
      <w:pPr>
        <w:rPr>
          <w:bCs/>
          <w:sz w:val="22"/>
          <w:szCs w:val="22"/>
        </w:rPr>
      </w:pPr>
      <w:r w:rsidRPr="00A735D6">
        <w:rPr>
          <w:sz w:val="22"/>
          <w:szCs w:val="22"/>
        </w:rPr>
        <w:t>Úplný zoznam pomocných látok, pozri časť 6.1.</w:t>
      </w:r>
    </w:p>
    <w:p w:rsidR="00A13B64" w:rsidRDefault="00A13B64">
      <w:pPr>
        <w:rPr>
          <w:bCs/>
          <w:sz w:val="22"/>
          <w:szCs w:val="22"/>
        </w:rPr>
      </w:pPr>
    </w:p>
    <w:p w:rsidR="00A13B64" w:rsidRDefault="00A13B64">
      <w:pPr>
        <w:rPr>
          <w:bCs/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  <w:r w:rsidRPr="00D101BF">
        <w:rPr>
          <w:b/>
          <w:bCs/>
          <w:sz w:val="22"/>
          <w:szCs w:val="22"/>
        </w:rPr>
        <w:t>3.</w:t>
      </w:r>
      <w:r w:rsidRPr="00D101BF">
        <w:rPr>
          <w:b/>
          <w:bCs/>
          <w:sz w:val="22"/>
          <w:szCs w:val="22"/>
        </w:rPr>
        <w:tab/>
        <w:t>LIEKOVÁ FORMA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>Dermálny krém</w:t>
      </w:r>
      <w:r>
        <w:rPr>
          <w:sz w:val="22"/>
          <w:szCs w:val="22"/>
        </w:rPr>
        <w:t>.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>Homogénny biely alebo takmer biely jemný krém.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bCs/>
          <w:sz w:val="22"/>
          <w:szCs w:val="22"/>
        </w:rPr>
      </w:pPr>
    </w:p>
    <w:p w:rsidR="00A13B64" w:rsidRDefault="00A13B64">
      <w:pPr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4.</w:t>
      </w:r>
      <w:r w:rsidRPr="00D101BF">
        <w:rPr>
          <w:b/>
          <w:bCs/>
          <w:sz w:val="22"/>
          <w:szCs w:val="22"/>
        </w:rPr>
        <w:tab/>
        <w:t>KLINICKÉ ÚDAJE</w:t>
      </w:r>
    </w:p>
    <w:p w:rsidR="00A13B64" w:rsidRDefault="00A13B64">
      <w:pPr>
        <w:pStyle w:val="BodyText2"/>
        <w:ind w:left="0" w:firstLine="0"/>
        <w:jc w:val="left"/>
        <w:rPr>
          <w:bCs/>
        </w:rPr>
      </w:pPr>
    </w:p>
    <w:p w:rsidR="00A13B64" w:rsidRDefault="00A13B64">
      <w:pPr>
        <w:pStyle w:val="BodyText2"/>
        <w:ind w:left="0" w:firstLine="0"/>
        <w:jc w:val="left"/>
      </w:pPr>
      <w:r w:rsidRPr="00D101BF">
        <w:rPr>
          <w:b/>
          <w:bCs/>
        </w:rPr>
        <w:t>4.1</w:t>
      </w:r>
      <w:r w:rsidRPr="00D101BF">
        <w:rPr>
          <w:b/>
          <w:bCs/>
        </w:rPr>
        <w:tab/>
        <w:t>Terapeutické indikácie</w:t>
      </w:r>
    </w:p>
    <w:p w:rsidR="00A13B64" w:rsidRDefault="00A13B64">
      <w:pPr>
        <w:pStyle w:val="BodyText2"/>
        <w:ind w:left="0" w:firstLine="0"/>
        <w:jc w:val="left"/>
      </w:pPr>
    </w:p>
    <w:p w:rsidR="00A13B64" w:rsidRDefault="00A13B64">
      <w:pPr>
        <w:pStyle w:val="BodyText2"/>
        <w:ind w:left="0" w:firstLine="0"/>
        <w:jc w:val="left"/>
      </w:pPr>
      <w:r w:rsidRPr="00CE2796">
        <w:t>Zovirax, dermálny krém na opary,</w:t>
      </w:r>
      <w:r w:rsidRPr="00D101BF">
        <w:t xml:space="preserve"> sa používa </w:t>
      </w:r>
      <w:r>
        <w:t xml:space="preserve">u dospelých, dospievajúcich a detí </w:t>
      </w:r>
      <w:r w:rsidRPr="00D101BF">
        <w:t xml:space="preserve">na liečbu infekcií vyvolaných vírusom </w:t>
      </w:r>
      <w:r w:rsidRPr="00D101BF">
        <w:rPr>
          <w:i/>
        </w:rPr>
        <w:t>Herpes simplex</w:t>
      </w:r>
      <w:r w:rsidRPr="00D101BF">
        <w:t xml:space="preserve"> prejavujúcich sa oparmi na perách a tvári (recidivujúci herpes labialis).</w:t>
      </w:r>
    </w:p>
    <w:p w:rsidR="00A13B64" w:rsidRDefault="00A13B64">
      <w:pPr>
        <w:rPr>
          <w:bCs/>
          <w:sz w:val="22"/>
          <w:szCs w:val="22"/>
        </w:rPr>
      </w:pPr>
    </w:p>
    <w:p w:rsidR="00A13B64" w:rsidRDefault="00A13B64">
      <w:pPr>
        <w:tabs>
          <w:tab w:val="left" w:pos="567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4.2</w:t>
      </w:r>
      <w:r w:rsidRPr="00D101BF">
        <w:rPr>
          <w:b/>
          <w:bCs/>
          <w:sz w:val="22"/>
          <w:szCs w:val="22"/>
        </w:rPr>
        <w:tab/>
        <w:t>Dávkovanie a spôsob podávania</w:t>
      </w:r>
    </w:p>
    <w:p w:rsidR="00A13B64" w:rsidRDefault="00A13B64">
      <w:pPr>
        <w:pStyle w:val="BodyTextIndent2"/>
        <w:ind w:left="0" w:firstLine="0"/>
        <w:jc w:val="left"/>
        <w:rPr>
          <w:iCs/>
        </w:rPr>
      </w:pPr>
    </w:p>
    <w:p w:rsidR="00A13B64" w:rsidRDefault="00A13B64">
      <w:pPr>
        <w:pStyle w:val="BodyTextIndent2"/>
        <w:ind w:left="0" w:firstLine="0"/>
        <w:jc w:val="left"/>
        <w:rPr>
          <w:iCs/>
          <w:u w:val="single"/>
        </w:rPr>
      </w:pPr>
      <w:r>
        <w:rPr>
          <w:iCs/>
          <w:u w:val="single"/>
        </w:rPr>
        <w:t>Dávkovanie</w:t>
      </w:r>
    </w:p>
    <w:p w:rsidR="00A13B64" w:rsidRDefault="00A13B64">
      <w:pPr>
        <w:pStyle w:val="BodyTextIndent2"/>
        <w:ind w:left="0" w:firstLine="0"/>
        <w:jc w:val="left"/>
        <w:rPr>
          <w:iCs/>
          <w:u w:val="single"/>
        </w:rPr>
      </w:pPr>
    </w:p>
    <w:p w:rsidR="00A13B64" w:rsidRDefault="00A13B64">
      <w:pPr>
        <w:pStyle w:val="BodyTextIndent2"/>
        <w:ind w:left="0" w:firstLine="0"/>
        <w:jc w:val="left"/>
        <w:rPr>
          <w:i/>
          <w:iCs/>
        </w:rPr>
      </w:pPr>
      <w:r>
        <w:rPr>
          <w:i/>
          <w:iCs/>
        </w:rPr>
        <w:t>D</w:t>
      </w:r>
      <w:r w:rsidRPr="00D101BF">
        <w:rPr>
          <w:i/>
          <w:iCs/>
        </w:rPr>
        <w:t>ospel</w:t>
      </w:r>
      <w:r>
        <w:rPr>
          <w:i/>
          <w:iCs/>
        </w:rPr>
        <w:t>í</w:t>
      </w:r>
      <w:r w:rsidRPr="00D101BF">
        <w:rPr>
          <w:i/>
          <w:iCs/>
        </w:rPr>
        <w:t xml:space="preserve"> a</w:t>
      </w:r>
      <w:r>
        <w:rPr>
          <w:i/>
          <w:iCs/>
        </w:rPr>
        <w:t> </w:t>
      </w:r>
      <w:r w:rsidRPr="00D101BF">
        <w:rPr>
          <w:i/>
          <w:iCs/>
        </w:rPr>
        <w:t>det</w:t>
      </w:r>
      <w:r>
        <w:rPr>
          <w:i/>
          <w:iCs/>
        </w:rPr>
        <w:t>i</w:t>
      </w:r>
    </w:p>
    <w:p w:rsidR="00A13B64" w:rsidRDefault="00A13B64">
      <w:pPr>
        <w:pStyle w:val="BodyTextIndent2"/>
        <w:ind w:left="0" w:firstLine="0"/>
        <w:jc w:val="left"/>
      </w:pPr>
    </w:p>
    <w:p w:rsidR="00A13B64" w:rsidRDefault="00A13B64">
      <w:pPr>
        <w:pStyle w:val="BodyTextIndent2"/>
        <w:ind w:left="0" w:firstLine="0"/>
        <w:jc w:val="left"/>
      </w:pPr>
      <w:r w:rsidRPr="00D101BF">
        <w:t>Zovirax sa nanáša v tenkej vrstve, optimálne už v prodromálnom štádiu, a to na postihnuté miesto a  polcentimetrový okraj zdravej kože. Obvykle sa aplikuje päťkrát denne približne v štvorhodinových intervaloch (s výnimkou noci).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pStyle w:val="BodyTextIndent3"/>
        <w:ind w:left="0" w:firstLine="0"/>
        <w:jc w:val="left"/>
      </w:pPr>
      <w:r w:rsidRPr="00D101BF">
        <w:t>Liečba má trvať 4 dni. Ak nenastane zlepšenie, je možné v liečbe pokračovať ďalších 6 dní.</w:t>
      </w:r>
    </w:p>
    <w:p w:rsidR="00A13B64" w:rsidRDefault="00A13B64">
      <w:pPr>
        <w:pStyle w:val="BodyTextIndent3"/>
        <w:ind w:left="0" w:firstLine="0"/>
        <w:jc w:val="left"/>
      </w:pPr>
      <w:r w:rsidRPr="00D101BF">
        <w:t>Ak pretrvávajú príznaky aj po 10 dňoch liečby, je nutné kontaktovať lekára.</w:t>
      </w:r>
    </w:p>
    <w:p w:rsidR="00A13B64" w:rsidRDefault="00A13B64">
      <w:pPr>
        <w:rPr>
          <w:bCs/>
          <w:sz w:val="22"/>
          <w:szCs w:val="22"/>
        </w:rPr>
      </w:pPr>
    </w:p>
    <w:p w:rsidR="00A13B64" w:rsidRDefault="00A13B64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Spôsob podávania</w:t>
      </w:r>
    </w:p>
    <w:p w:rsidR="00A13B64" w:rsidRDefault="00A13B64">
      <w:pPr>
        <w:rPr>
          <w:bCs/>
          <w:sz w:val="22"/>
          <w:szCs w:val="22"/>
        </w:rPr>
      </w:pPr>
    </w:p>
    <w:p w:rsidR="00A13B64" w:rsidRDefault="00A13B6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Len na dermálne použitie.</w:t>
      </w:r>
    </w:p>
    <w:p w:rsidR="00A13B64" w:rsidRDefault="00A13B64" w:rsidP="00A46B7B">
      <w:pPr>
        <w:pStyle w:val="BodyTextIndent2"/>
        <w:ind w:left="0" w:firstLine="0"/>
        <w:jc w:val="left"/>
      </w:pPr>
    </w:p>
    <w:p w:rsidR="00A13B64" w:rsidRPr="006B5E10" w:rsidRDefault="00A13B64" w:rsidP="00561882">
      <w:pPr>
        <w:ind w:right="72"/>
        <w:rPr>
          <w:sz w:val="22"/>
          <w:szCs w:val="22"/>
        </w:rPr>
      </w:pPr>
      <w:r w:rsidRPr="006B5E10">
        <w:rPr>
          <w:sz w:val="22"/>
          <w:szCs w:val="22"/>
        </w:rPr>
        <w:t>Pred aplikáciou krému a po nej si pacienti majú umyť ruky. Tiež nemajú lézie vystavovať zbytočnému treniu ani sa ich dotýkať uterákom. Takto sa zabráni zhoršeniu lézií alebo prenosu infekcie.</w:t>
      </w:r>
    </w:p>
    <w:p w:rsidR="00A13B64" w:rsidRDefault="00A13B64">
      <w:pPr>
        <w:rPr>
          <w:bCs/>
          <w:sz w:val="22"/>
          <w:szCs w:val="22"/>
        </w:rPr>
      </w:pPr>
    </w:p>
    <w:p w:rsidR="00A13B64" w:rsidRDefault="00A13B64">
      <w:pPr>
        <w:pStyle w:val="BodyTextIndent2"/>
        <w:ind w:left="0" w:firstLine="0"/>
        <w:jc w:val="left"/>
      </w:pPr>
      <w:r w:rsidRPr="00D101BF">
        <w:rPr>
          <w:b/>
          <w:bCs/>
        </w:rPr>
        <w:t>4.3</w:t>
      </w:r>
      <w:r w:rsidRPr="00D101BF">
        <w:rPr>
          <w:b/>
          <w:bCs/>
        </w:rPr>
        <w:tab/>
        <w:t>Kontraindikácie</w:t>
      </w:r>
    </w:p>
    <w:p w:rsidR="00A13B64" w:rsidRDefault="00A13B64">
      <w:pPr>
        <w:pStyle w:val="BodyTextIndent2"/>
        <w:ind w:left="0" w:firstLine="0"/>
        <w:jc w:val="left"/>
      </w:pPr>
    </w:p>
    <w:p w:rsidR="00A13B64" w:rsidRDefault="00A13B64">
      <w:pPr>
        <w:pStyle w:val="BodyTextIndent2"/>
        <w:ind w:left="0" w:firstLine="0"/>
        <w:jc w:val="left"/>
      </w:pPr>
      <w:r w:rsidRPr="00D101BF">
        <w:t xml:space="preserve">Precitlivenosť na </w:t>
      </w:r>
      <w:r>
        <w:t>liečivo, valaciklovir</w:t>
      </w:r>
      <w:r w:rsidRPr="00D101BF">
        <w:t xml:space="preserve"> alebo ktorúkoľvek z pomocných látok uvedených v časti 6.1.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pStyle w:val="BodyTextIndent2"/>
        <w:keepNext/>
        <w:keepLines/>
        <w:ind w:left="0" w:firstLine="0"/>
        <w:jc w:val="left"/>
      </w:pPr>
      <w:r w:rsidRPr="00D101BF">
        <w:rPr>
          <w:b/>
          <w:bCs/>
        </w:rPr>
        <w:t>4.4</w:t>
      </w:r>
      <w:r w:rsidRPr="00D101BF">
        <w:rPr>
          <w:b/>
          <w:bCs/>
        </w:rPr>
        <w:tab/>
        <w:t>Osobitné upozornenia a opatrenia pri používaní</w:t>
      </w:r>
    </w:p>
    <w:p w:rsidR="00A13B64" w:rsidRDefault="00A13B64">
      <w:pPr>
        <w:pStyle w:val="BodyTextIndent2"/>
        <w:keepNext/>
        <w:keepLines/>
        <w:ind w:left="0" w:firstLine="0"/>
        <w:jc w:val="left"/>
      </w:pPr>
    </w:p>
    <w:p w:rsidR="00A13B64" w:rsidRDefault="00A13B64">
      <w:pPr>
        <w:pStyle w:val="BodyTextIndent2"/>
        <w:keepNext/>
        <w:keepLines/>
        <w:ind w:left="0" w:firstLine="0"/>
        <w:jc w:val="left"/>
      </w:pPr>
      <w:r w:rsidRPr="00CE2796">
        <w:t>Zovirax, dermálny krém na opary,</w:t>
      </w:r>
      <w:r w:rsidRPr="00D101BF">
        <w:t xml:space="preserve">sa používa len na opary v oblasti úst a tváre. Neodporúča sa nanášať ho na sliznicu ústnej dutiny a oka. </w:t>
      </w:r>
      <w:r>
        <w:t>Nesmie sa použiť n</w:t>
      </w:r>
      <w:r w:rsidRPr="00D101BF">
        <w:t>a liečbu herpetickej infekcie očí</w:t>
      </w:r>
      <w:r>
        <w:t xml:space="preserve"> a</w:t>
      </w:r>
      <w:r w:rsidRPr="00D101BF">
        <w:t xml:space="preserve"> genitálnej herpetickej infekcie. Obzvlášť potrebné je vyhnúť sa kontaktu krému s očami.</w:t>
      </w:r>
    </w:p>
    <w:p w:rsidR="00A13B64" w:rsidRDefault="00A13B64">
      <w:pPr>
        <w:pStyle w:val="BodyTextIndent2"/>
        <w:keepNext/>
        <w:keepLines/>
        <w:ind w:left="0" w:firstLine="0"/>
        <w:jc w:val="left"/>
      </w:pPr>
    </w:p>
    <w:p w:rsidR="00A13B64" w:rsidRDefault="00A13B64">
      <w:pPr>
        <w:pStyle w:val="BodyTextIndent2"/>
        <w:keepNext/>
        <w:keepLines/>
        <w:ind w:left="0" w:firstLine="0"/>
        <w:jc w:val="left"/>
      </w:pPr>
      <w:r w:rsidRPr="00D101BF">
        <w:t xml:space="preserve">Pacienti s veľmi </w:t>
      </w:r>
      <w:r>
        <w:t>závažnou</w:t>
      </w:r>
      <w:r w:rsidRPr="00D101BF">
        <w:t xml:space="preserve"> formou recidivujúceho oparu majú vyhľadať </w:t>
      </w:r>
      <w:r w:rsidRPr="00315971">
        <w:t>dermatológa</w:t>
      </w:r>
      <w:r w:rsidRPr="00D101BF">
        <w:t>.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pStyle w:val="BodyTextIndent3"/>
        <w:ind w:left="0" w:firstLine="0"/>
        <w:jc w:val="left"/>
      </w:pPr>
      <w:r w:rsidRPr="00D101BF">
        <w:t xml:space="preserve">Zovirax sa neodporúča používať u pacientov s oslabeným imunitným systémom (napr. pacienti s AIDS alebo pacienti po transplantácii kostnej drene). Liečba akejkoľvek infekcie má byť pod dohľadom </w:t>
      </w:r>
      <w:r w:rsidRPr="00315971">
        <w:t>príslušného špecialistu</w:t>
      </w:r>
      <w:r w:rsidRPr="00D101BF">
        <w:t>.</w:t>
      </w:r>
    </w:p>
    <w:p w:rsidR="00A13B64" w:rsidRDefault="00A13B64" w:rsidP="00184A60">
      <w:pPr>
        <w:pStyle w:val="BodyTextIndent2"/>
        <w:ind w:left="0" w:firstLine="0"/>
        <w:jc w:val="left"/>
      </w:pPr>
    </w:p>
    <w:p w:rsidR="00A13B64" w:rsidRPr="00D101BF" w:rsidRDefault="00A13B64" w:rsidP="00184A60">
      <w:pPr>
        <w:pStyle w:val="BodyTextIndent2"/>
        <w:ind w:left="0" w:firstLine="0"/>
        <w:jc w:val="left"/>
      </w:pPr>
      <w:r w:rsidRPr="00D101BF">
        <w:t>Postihnutí oparom sa musia vyhnúť prenosu vírusu na iné miesto alebo na inú osobu, obzvlášť pri otvorenej lézii.</w:t>
      </w:r>
    </w:p>
    <w:p w:rsidR="00A13B64" w:rsidRDefault="00A13B64">
      <w:pPr>
        <w:pStyle w:val="BodyTextIndent3"/>
        <w:ind w:left="0" w:firstLine="0"/>
        <w:jc w:val="left"/>
      </w:pPr>
    </w:p>
    <w:p w:rsidR="00A13B64" w:rsidRDefault="00A13B64">
      <w:pPr>
        <w:pStyle w:val="BodyTextIndent3"/>
        <w:ind w:left="0" w:firstLine="0"/>
        <w:jc w:val="left"/>
      </w:pPr>
      <w:r>
        <w:t>Zovirax obsahuje propylénglykol, cetylalkohol a stearylalkohol.</w:t>
      </w:r>
    </w:p>
    <w:p w:rsidR="00A13B64" w:rsidRDefault="00A13B64">
      <w:pPr>
        <w:pStyle w:val="BodyTextIndent3"/>
        <w:ind w:left="0" w:firstLine="0"/>
        <w:jc w:val="left"/>
      </w:pPr>
      <w:r>
        <w:t>P</w:t>
      </w:r>
      <w:r w:rsidRPr="00D101BF">
        <w:t>ropylénglykol môže vyvolať podráždenie pokožky.</w:t>
      </w:r>
    </w:p>
    <w:p w:rsidR="00A13B64" w:rsidRDefault="00A13B64">
      <w:pPr>
        <w:pStyle w:val="BodyTextIndent3"/>
        <w:ind w:left="0" w:firstLine="0"/>
        <w:jc w:val="left"/>
      </w:pPr>
      <w:r>
        <w:t>C</w:t>
      </w:r>
      <w:r w:rsidRPr="00D101BF">
        <w:t xml:space="preserve">etylalkohol a stearylalkohol môžu vyvolať </w:t>
      </w:r>
      <w:r>
        <w:t>lokálne</w:t>
      </w:r>
      <w:r w:rsidRPr="00D101BF">
        <w:t xml:space="preserve"> kožné reakcie (napr. kontaktnú dermatitídu).</w:t>
      </w:r>
    </w:p>
    <w:p w:rsidR="00A13B64" w:rsidRDefault="00A13B64">
      <w:pPr>
        <w:pStyle w:val="BodyTextIndent3"/>
        <w:ind w:left="0" w:firstLine="0"/>
        <w:jc w:val="left"/>
        <w:rPr>
          <w:bCs/>
        </w:rPr>
      </w:pPr>
    </w:p>
    <w:p w:rsidR="00A13B64" w:rsidRDefault="00A13B64">
      <w:pPr>
        <w:rPr>
          <w:sz w:val="22"/>
          <w:szCs w:val="22"/>
        </w:rPr>
      </w:pPr>
      <w:r w:rsidRPr="00D101BF">
        <w:rPr>
          <w:b/>
          <w:bCs/>
          <w:sz w:val="22"/>
          <w:szCs w:val="22"/>
        </w:rPr>
        <w:t>4.5</w:t>
      </w:r>
      <w:r w:rsidRPr="00D101BF">
        <w:rPr>
          <w:b/>
          <w:bCs/>
          <w:sz w:val="22"/>
          <w:szCs w:val="22"/>
        </w:rPr>
        <w:tab/>
        <w:t>Liekové a iné interakcie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>Pri lokálnom používaní acikloviru neboli hlásené liekové interakcie.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b/>
          <w:bCs/>
          <w:sz w:val="22"/>
          <w:szCs w:val="22"/>
        </w:rPr>
      </w:pPr>
      <w:r w:rsidRPr="00556969">
        <w:rPr>
          <w:b/>
          <w:bCs/>
          <w:sz w:val="22"/>
          <w:szCs w:val="22"/>
        </w:rPr>
        <w:t>4.6</w:t>
      </w:r>
      <w:r w:rsidRPr="00556969">
        <w:rPr>
          <w:b/>
          <w:bCs/>
          <w:sz w:val="22"/>
          <w:szCs w:val="22"/>
        </w:rPr>
        <w:tab/>
        <w:t>Fertilita, gravidita a laktácia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  <w:u w:val="single"/>
        </w:rPr>
      </w:pPr>
      <w:r w:rsidRPr="00A735D6">
        <w:rPr>
          <w:sz w:val="22"/>
          <w:szCs w:val="22"/>
          <w:u w:val="single"/>
        </w:rPr>
        <w:t>Gravidita</w:t>
      </w:r>
    </w:p>
    <w:p w:rsidR="00A13B64" w:rsidRDefault="00A13B64">
      <w:pPr>
        <w:rPr>
          <w:sz w:val="22"/>
          <w:szCs w:val="22"/>
          <w:u w:val="single"/>
        </w:rPr>
      </w:pPr>
    </w:p>
    <w:p w:rsidR="00A13B64" w:rsidRDefault="00A13B64">
      <w:pPr>
        <w:pStyle w:val="BodyTextIndent2"/>
        <w:ind w:left="0" w:firstLine="0"/>
        <w:jc w:val="left"/>
      </w:pPr>
      <w:r w:rsidRPr="00D101BF">
        <w:t xml:space="preserve">U detí žien vystavených počas gravidity akejkoľvek liekovej forme Zoviraxu </w:t>
      </w:r>
      <w:r>
        <w:t>sa nezistil</w:t>
      </w:r>
      <w:r w:rsidRPr="00D101BF">
        <w:t xml:space="preserve"> zvýšený počet vrodených chýb v porovnaní s bežnou populáciou. Pri prítomných vrodených chybách nebolo možné preukázať akúkoľvek súvislosť so Zoviraxom.</w:t>
      </w:r>
    </w:p>
    <w:p w:rsidR="00A13B64" w:rsidRDefault="00A13B64" w:rsidP="00412C37">
      <w:pPr>
        <w:pStyle w:val="BodyTextIndent3"/>
        <w:ind w:left="0" w:firstLine="0"/>
      </w:pPr>
    </w:p>
    <w:p w:rsidR="00A13B64" w:rsidRPr="00D101BF" w:rsidRDefault="00A13B64" w:rsidP="00412C37">
      <w:pPr>
        <w:pStyle w:val="BodyTextIndent3"/>
        <w:ind w:left="0" w:firstLine="0"/>
      </w:pPr>
      <w:r>
        <w:t>Predklinické údaje o bezpečnosti lieku počas gravidity, pozri časť 5.3.</w:t>
      </w:r>
    </w:p>
    <w:p w:rsidR="00A13B64" w:rsidRDefault="00A13B64">
      <w:pPr>
        <w:tabs>
          <w:tab w:val="left" w:pos="0"/>
        </w:tabs>
        <w:rPr>
          <w:sz w:val="22"/>
          <w:szCs w:val="22"/>
        </w:rPr>
      </w:pPr>
    </w:p>
    <w:p w:rsidR="00A13B64" w:rsidRDefault="00A13B64" w:rsidP="00E25CFB">
      <w:pPr>
        <w:tabs>
          <w:tab w:val="left" w:pos="0"/>
        </w:tabs>
        <w:rPr>
          <w:sz w:val="22"/>
          <w:szCs w:val="22"/>
          <w:u w:val="single"/>
        </w:rPr>
      </w:pPr>
      <w:r w:rsidRPr="00D101BF">
        <w:rPr>
          <w:sz w:val="22"/>
          <w:szCs w:val="22"/>
          <w:u w:val="single"/>
        </w:rPr>
        <w:t>Dojčenie</w:t>
      </w:r>
    </w:p>
    <w:p w:rsidR="00A13B64" w:rsidRPr="007361C0" w:rsidRDefault="00A13B64" w:rsidP="00E25CFB">
      <w:pPr>
        <w:tabs>
          <w:tab w:val="left" w:pos="0"/>
        </w:tabs>
        <w:rPr>
          <w:sz w:val="22"/>
          <w:szCs w:val="22"/>
          <w:u w:val="single"/>
        </w:rPr>
      </w:pPr>
    </w:p>
    <w:p w:rsidR="00A13B64" w:rsidRPr="00D101BF" w:rsidRDefault="00A13B64" w:rsidP="00E25CFB">
      <w:pPr>
        <w:tabs>
          <w:tab w:val="left" w:pos="0"/>
        </w:tabs>
        <w:rPr>
          <w:sz w:val="22"/>
          <w:szCs w:val="22"/>
        </w:rPr>
      </w:pPr>
      <w:r w:rsidRPr="00D101BF">
        <w:rPr>
          <w:sz w:val="22"/>
          <w:szCs w:val="22"/>
        </w:rPr>
        <w:t>Systémový účinok acikloviru pri miestnom použití Zoviraxu je veľmi nízky.</w:t>
      </w:r>
      <w:r>
        <w:rPr>
          <w:sz w:val="22"/>
          <w:szCs w:val="22"/>
        </w:rPr>
        <w:t xml:space="preserve"> </w:t>
      </w:r>
      <w:r w:rsidRPr="00D101BF">
        <w:rPr>
          <w:sz w:val="22"/>
          <w:szCs w:val="22"/>
        </w:rPr>
        <w:t xml:space="preserve">Preto </w:t>
      </w:r>
      <w:r>
        <w:rPr>
          <w:sz w:val="22"/>
          <w:szCs w:val="22"/>
        </w:rPr>
        <w:t>sa tento liek počas dojčenia môže použiť</w:t>
      </w:r>
      <w:r w:rsidRPr="00D101BF">
        <w:rPr>
          <w:sz w:val="22"/>
          <w:szCs w:val="22"/>
        </w:rPr>
        <w:t xml:space="preserve"> len vtedy, ak očakávaný terapeutický prínos </w:t>
      </w:r>
      <w:r>
        <w:rPr>
          <w:sz w:val="22"/>
          <w:szCs w:val="22"/>
        </w:rPr>
        <w:t>lieku</w:t>
      </w:r>
      <w:r w:rsidRPr="00D101BF">
        <w:rPr>
          <w:sz w:val="22"/>
          <w:szCs w:val="22"/>
        </w:rPr>
        <w:t xml:space="preserve"> preváži možné riziko.</w:t>
      </w:r>
    </w:p>
    <w:p w:rsidR="00A13B64" w:rsidRDefault="00A13B64">
      <w:pPr>
        <w:tabs>
          <w:tab w:val="left" w:pos="0"/>
        </w:tabs>
        <w:rPr>
          <w:sz w:val="22"/>
          <w:szCs w:val="22"/>
        </w:rPr>
      </w:pPr>
      <w:r w:rsidRPr="00D101BF">
        <w:rPr>
          <w:sz w:val="22"/>
          <w:szCs w:val="22"/>
        </w:rPr>
        <w:t>Obmedzené množstvo údajov u ľudí svedčí o tom, že liečivo preniká do materského mlieka. Množstvo acikloviru prijaté dojčaťom od matky používajúcej dermálny krém Zovirax je však zanedbateľné.</w:t>
      </w:r>
    </w:p>
    <w:p w:rsidR="00A13B64" w:rsidRDefault="00A13B64">
      <w:pPr>
        <w:tabs>
          <w:tab w:val="left" w:pos="0"/>
        </w:tabs>
        <w:rPr>
          <w:sz w:val="22"/>
          <w:szCs w:val="22"/>
        </w:rPr>
      </w:pPr>
    </w:p>
    <w:p w:rsidR="00A13B64" w:rsidRDefault="00A13B64">
      <w:pPr>
        <w:tabs>
          <w:tab w:val="left" w:pos="0"/>
        </w:tabs>
        <w:rPr>
          <w:sz w:val="22"/>
          <w:szCs w:val="22"/>
          <w:u w:val="single"/>
        </w:rPr>
      </w:pPr>
      <w:r w:rsidRPr="00D101BF">
        <w:rPr>
          <w:sz w:val="22"/>
          <w:szCs w:val="22"/>
          <w:u w:val="single"/>
        </w:rPr>
        <w:t>Fertilita</w:t>
      </w:r>
    </w:p>
    <w:p w:rsidR="00A13B64" w:rsidRDefault="00A13B64">
      <w:pPr>
        <w:tabs>
          <w:tab w:val="left" w:pos="0"/>
        </w:tabs>
        <w:rPr>
          <w:sz w:val="22"/>
          <w:szCs w:val="22"/>
        </w:rPr>
      </w:pPr>
    </w:p>
    <w:p w:rsidR="00A13B64" w:rsidRDefault="00A13B64">
      <w:pPr>
        <w:tabs>
          <w:tab w:val="left" w:pos="0"/>
        </w:tabs>
        <w:rPr>
          <w:sz w:val="22"/>
          <w:szCs w:val="22"/>
        </w:rPr>
      </w:pPr>
      <w:r w:rsidRPr="00D101BF">
        <w:rPr>
          <w:sz w:val="22"/>
          <w:szCs w:val="22"/>
        </w:rPr>
        <w:t>S účinkom dermálneho krému Zovirax na fertilitu žien nie sú žiadne skúsenosti.</w:t>
      </w:r>
    </w:p>
    <w:p w:rsidR="00A13B64" w:rsidRDefault="00A13B64">
      <w:pPr>
        <w:tabs>
          <w:tab w:val="left" w:pos="0"/>
        </w:tabs>
        <w:rPr>
          <w:sz w:val="22"/>
          <w:szCs w:val="22"/>
        </w:rPr>
      </w:pPr>
    </w:p>
    <w:p w:rsidR="00A13B64" w:rsidRDefault="00A13B64">
      <w:pPr>
        <w:tabs>
          <w:tab w:val="left" w:pos="0"/>
        </w:tabs>
        <w:rPr>
          <w:sz w:val="22"/>
          <w:szCs w:val="22"/>
        </w:rPr>
      </w:pPr>
      <w:r w:rsidRPr="00D101BF">
        <w:rPr>
          <w:sz w:val="22"/>
          <w:szCs w:val="22"/>
        </w:rPr>
        <w:t>U pacientov s normálnym počtom spermií nemal chronicky perorálne podávaný aciklovir žiadny klinicky signifikantný účinok na počet spermií, na ich motilitu či morfológiu.</w:t>
      </w:r>
    </w:p>
    <w:p w:rsidR="00A13B64" w:rsidRDefault="00A13B64" w:rsidP="00412C37">
      <w:pPr>
        <w:pStyle w:val="BodyTextIndent3"/>
        <w:ind w:left="0" w:firstLine="0"/>
      </w:pPr>
    </w:p>
    <w:p w:rsidR="00A13B64" w:rsidRPr="00D101BF" w:rsidRDefault="00A13B64" w:rsidP="00412C37">
      <w:pPr>
        <w:pStyle w:val="BodyTextIndent3"/>
        <w:ind w:left="0" w:firstLine="0"/>
      </w:pPr>
      <w:r>
        <w:t>Predklinické údaje o vplyve lieku na fertilitu, pozri časť 5.3.</w:t>
      </w:r>
    </w:p>
    <w:p w:rsidR="00A13B64" w:rsidRDefault="00A13B64">
      <w:pPr>
        <w:tabs>
          <w:tab w:val="left" w:pos="0"/>
        </w:tabs>
        <w:rPr>
          <w:sz w:val="22"/>
          <w:szCs w:val="22"/>
        </w:rPr>
      </w:pPr>
    </w:p>
    <w:p w:rsidR="00A13B64" w:rsidRDefault="00A13B64">
      <w:pPr>
        <w:tabs>
          <w:tab w:val="left" w:pos="0"/>
        </w:tabs>
        <w:rPr>
          <w:sz w:val="22"/>
          <w:szCs w:val="22"/>
        </w:rPr>
      </w:pPr>
    </w:p>
    <w:p w:rsidR="00A13B64" w:rsidRDefault="00A13B64">
      <w:pPr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4.7</w:t>
      </w:r>
      <w:r w:rsidRPr="00D101BF">
        <w:rPr>
          <w:b/>
          <w:bCs/>
          <w:sz w:val="22"/>
          <w:szCs w:val="22"/>
        </w:rPr>
        <w:tab/>
        <w:t>Ovplyvnenie schopnosti</w:t>
      </w:r>
      <w:r w:rsidRPr="00D101BF">
        <w:rPr>
          <w:sz w:val="22"/>
          <w:szCs w:val="22"/>
        </w:rPr>
        <w:t xml:space="preserve"> </w:t>
      </w:r>
      <w:r w:rsidRPr="00D101BF">
        <w:rPr>
          <w:b/>
          <w:bCs/>
          <w:sz w:val="22"/>
          <w:szCs w:val="22"/>
        </w:rPr>
        <w:t>viesť vozidlá</w:t>
      </w:r>
      <w:r w:rsidRPr="00D101BF">
        <w:rPr>
          <w:sz w:val="22"/>
          <w:szCs w:val="22"/>
        </w:rPr>
        <w:t xml:space="preserve"> </w:t>
      </w:r>
      <w:r w:rsidRPr="00D101BF">
        <w:rPr>
          <w:b/>
          <w:bCs/>
          <w:sz w:val="22"/>
          <w:szCs w:val="22"/>
        </w:rPr>
        <w:t>a obsluhovať stroje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r w:rsidRPr="00D101BF">
        <w:rPr>
          <w:sz w:val="22"/>
          <w:szCs w:val="22"/>
        </w:rPr>
        <w:t>Pri používaní tohto lieku nie je známe negatívne ovplyvnenie schopnosti viesť vozidlá a obsluhovať stroje.</w:t>
      </w:r>
    </w:p>
    <w:p w:rsidR="00A13B64" w:rsidRDefault="00A13B64">
      <w:pPr>
        <w:pStyle w:val="BodyTextIndent3"/>
        <w:ind w:left="0" w:firstLine="0"/>
        <w:jc w:val="left"/>
      </w:pPr>
    </w:p>
    <w:p w:rsidR="00A13B64" w:rsidRDefault="00A13B64">
      <w:pPr>
        <w:pStyle w:val="BodyTextIndent3"/>
        <w:ind w:left="0" w:firstLine="0"/>
        <w:jc w:val="left"/>
      </w:pPr>
      <w:r w:rsidRPr="00D101BF">
        <w:rPr>
          <w:b/>
          <w:bCs/>
        </w:rPr>
        <w:t>4.8</w:t>
      </w:r>
      <w:r w:rsidRPr="00D101BF">
        <w:rPr>
          <w:b/>
          <w:bCs/>
        </w:rPr>
        <w:tab/>
        <w:t>Nežiaduce účinky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 xml:space="preserve">Na klasifikáciu nežiaducich účinkov </w:t>
      </w:r>
      <w:r>
        <w:rPr>
          <w:sz w:val="22"/>
          <w:szCs w:val="22"/>
        </w:rPr>
        <w:t>sa použila</w:t>
      </w:r>
      <w:r w:rsidRPr="00D101BF">
        <w:rPr>
          <w:sz w:val="22"/>
          <w:szCs w:val="22"/>
        </w:rPr>
        <w:t xml:space="preserve"> konvencia podľa častosti ich výskytu:</w:t>
      </w:r>
    </w:p>
    <w:p w:rsidR="00A13B64" w:rsidRDefault="00A13B64">
      <w:pPr>
        <w:rPr>
          <w:snapToGrid w:val="0"/>
          <w:sz w:val="22"/>
          <w:szCs w:val="22"/>
        </w:rPr>
      </w:pPr>
      <w:r w:rsidRPr="00D101BF">
        <w:rPr>
          <w:snapToGrid w:val="0"/>
          <w:sz w:val="22"/>
          <w:szCs w:val="22"/>
        </w:rPr>
        <w:t xml:space="preserve">veľmi časté </w:t>
      </w:r>
      <w:r>
        <w:rPr>
          <w:snapToGrid w:val="0"/>
          <w:sz w:val="22"/>
          <w:szCs w:val="22"/>
        </w:rPr>
        <w:t>(</w:t>
      </w:r>
      <w:r w:rsidRPr="00D101BF">
        <w:rPr>
          <w:snapToGrid w:val="0"/>
          <w:sz w:val="22"/>
          <w:szCs w:val="22"/>
        </w:rPr>
        <w:t>≥ 1/10</w:t>
      </w:r>
      <w:r>
        <w:rPr>
          <w:snapToGrid w:val="0"/>
          <w:sz w:val="22"/>
          <w:szCs w:val="22"/>
        </w:rPr>
        <w:t>)</w:t>
      </w:r>
      <w:r w:rsidRPr="00D101BF">
        <w:rPr>
          <w:snapToGrid w:val="0"/>
          <w:sz w:val="22"/>
          <w:szCs w:val="22"/>
        </w:rPr>
        <w:t xml:space="preserve">, časté </w:t>
      </w:r>
      <w:r>
        <w:rPr>
          <w:snapToGrid w:val="0"/>
          <w:sz w:val="22"/>
          <w:szCs w:val="22"/>
        </w:rPr>
        <w:t>(</w:t>
      </w:r>
      <w:r w:rsidRPr="00D101BF">
        <w:rPr>
          <w:snapToGrid w:val="0"/>
          <w:sz w:val="22"/>
          <w:szCs w:val="22"/>
        </w:rPr>
        <w:t>≥ 1/100 až &lt; 1/10</w:t>
      </w:r>
      <w:r>
        <w:rPr>
          <w:snapToGrid w:val="0"/>
          <w:sz w:val="22"/>
          <w:szCs w:val="22"/>
        </w:rPr>
        <w:t>)</w:t>
      </w:r>
      <w:r w:rsidRPr="00D101BF">
        <w:rPr>
          <w:snapToGrid w:val="0"/>
          <w:sz w:val="22"/>
          <w:szCs w:val="22"/>
        </w:rPr>
        <w:t xml:space="preserve">, menej časté </w:t>
      </w:r>
      <w:r>
        <w:rPr>
          <w:snapToGrid w:val="0"/>
          <w:sz w:val="22"/>
          <w:szCs w:val="22"/>
        </w:rPr>
        <w:t>(</w:t>
      </w:r>
      <w:r w:rsidRPr="00D101BF">
        <w:rPr>
          <w:snapToGrid w:val="0"/>
          <w:sz w:val="22"/>
          <w:szCs w:val="22"/>
        </w:rPr>
        <w:t>≥ 1/1 000 až &lt; 1/100</w:t>
      </w:r>
      <w:r>
        <w:rPr>
          <w:snapToGrid w:val="0"/>
          <w:sz w:val="22"/>
          <w:szCs w:val="22"/>
        </w:rPr>
        <w:t>)</w:t>
      </w:r>
      <w:r w:rsidRPr="00D101BF">
        <w:rPr>
          <w:snapToGrid w:val="0"/>
          <w:sz w:val="22"/>
          <w:szCs w:val="22"/>
        </w:rPr>
        <w:t xml:space="preserve">, zriedkavé </w:t>
      </w:r>
      <w:r>
        <w:rPr>
          <w:snapToGrid w:val="0"/>
          <w:sz w:val="22"/>
          <w:szCs w:val="22"/>
        </w:rPr>
        <w:t>(</w:t>
      </w:r>
      <w:r w:rsidRPr="00D101BF">
        <w:rPr>
          <w:snapToGrid w:val="0"/>
          <w:sz w:val="22"/>
          <w:szCs w:val="22"/>
        </w:rPr>
        <w:t>≥ 1/10 000 až &lt; 1/1 000</w:t>
      </w:r>
      <w:r>
        <w:rPr>
          <w:snapToGrid w:val="0"/>
          <w:sz w:val="22"/>
          <w:szCs w:val="22"/>
        </w:rPr>
        <w:t>)</w:t>
      </w:r>
      <w:r w:rsidRPr="00D101BF">
        <w:rPr>
          <w:snapToGrid w:val="0"/>
          <w:sz w:val="22"/>
          <w:szCs w:val="22"/>
        </w:rPr>
        <w:t xml:space="preserve">, veľmi zriedkavé </w:t>
      </w:r>
      <w:r>
        <w:rPr>
          <w:snapToGrid w:val="0"/>
          <w:sz w:val="22"/>
          <w:szCs w:val="22"/>
        </w:rPr>
        <w:t>(</w:t>
      </w:r>
      <w:r w:rsidRPr="00D101BF">
        <w:rPr>
          <w:snapToGrid w:val="0"/>
          <w:sz w:val="22"/>
          <w:szCs w:val="22"/>
        </w:rPr>
        <w:t>&lt; 1/10 000</w:t>
      </w:r>
      <w:r>
        <w:rPr>
          <w:snapToGrid w:val="0"/>
          <w:sz w:val="22"/>
          <w:szCs w:val="22"/>
        </w:rPr>
        <w:t>)</w:t>
      </w:r>
      <w:r w:rsidRPr="00D101BF">
        <w:rPr>
          <w:snapToGrid w:val="0"/>
          <w:sz w:val="22"/>
          <w:szCs w:val="22"/>
        </w:rPr>
        <w:t>.</w:t>
      </w:r>
    </w:p>
    <w:p w:rsidR="00A13B64" w:rsidRDefault="00A13B64">
      <w:pPr>
        <w:rPr>
          <w:snapToGrid w:val="0"/>
          <w:sz w:val="22"/>
          <w:szCs w:val="22"/>
        </w:rPr>
      </w:pPr>
    </w:p>
    <w:p w:rsidR="00A13B64" w:rsidRDefault="00A13B64">
      <w:pPr>
        <w:keepNext/>
        <w:keepLines/>
        <w:rPr>
          <w:i/>
          <w:iCs/>
          <w:snapToGrid w:val="0"/>
          <w:sz w:val="22"/>
          <w:szCs w:val="22"/>
        </w:rPr>
      </w:pPr>
      <w:r w:rsidRPr="00D101BF">
        <w:rPr>
          <w:i/>
          <w:iCs/>
          <w:snapToGrid w:val="0"/>
          <w:sz w:val="22"/>
          <w:szCs w:val="22"/>
        </w:rPr>
        <w:t>Poruchy kože a podkožného tkaniva</w:t>
      </w:r>
    </w:p>
    <w:p w:rsidR="00A13B64" w:rsidRDefault="00A13B64">
      <w:pPr>
        <w:keepNext/>
        <w:keepLines/>
        <w:rPr>
          <w:i/>
          <w:iCs/>
          <w:snapToGrid w:val="0"/>
          <w:sz w:val="22"/>
          <w:szCs w:val="22"/>
        </w:rPr>
      </w:pPr>
    </w:p>
    <w:p w:rsidR="00A13B64" w:rsidRDefault="00A13B64">
      <w:pPr>
        <w:keepNext/>
        <w:keepLines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M</w:t>
      </w:r>
      <w:r w:rsidRPr="00D101BF">
        <w:rPr>
          <w:snapToGrid w:val="0"/>
          <w:sz w:val="22"/>
          <w:szCs w:val="22"/>
        </w:rPr>
        <w:t>enej časté</w:t>
      </w:r>
      <w:r>
        <w:rPr>
          <w:snapToGrid w:val="0"/>
          <w:sz w:val="22"/>
          <w:szCs w:val="22"/>
        </w:rPr>
        <w:t>:</w:t>
      </w:r>
    </w:p>
    <w:p w:rsidR="00A13B64" w:rsidRDefault="00A13B64">
      <w:pPr>
        <w:pStyle w:val="ListParagraph"/>
        <w:numPr>
          <w:ilvl w:val="0"/>
          <w:numId w:val="6"/>
          <w:numberingChange w:id="1" w:author="Unknown" w:date="2016-03-07T10:48:00Z" w:original="-"/>
        </w:numPr>
        <w:ind w:left="567" w:hanging="567"/>
      </w:pPr>
      <w:r w:rsidRPr="00340A41">
        <w:rPr>
          <w:snapToGrid w:val="0"/>
          <w:sz w:val="22"/>
          <w:szCs w:val="22"/>
        </w:rPr>
        <w:t>prechodné pálenie alebo pichanie</w:t>
      </w:r>
      <w:r>
        <w:rPr>
          <w:snapToGrid w:val="0"/>
          <w:sz w:val="22"/>
          <w:szCs w:val="22"/>
        </w:rPr>
        <w:t>,</w:t>
      </w:r>
    </w:p>
    <w:p w:rsidR="00A13B64" w:rsidRDefault="00A13B64">
      <w:pPr>
        <w:pStyle w:val="ListParagraph"/>
        <w:numPr>
          <w:ilvl w:val="0"/>
          <w:numId w:val="6"/>
          <w:numberingChange w:id="2" w:author="Unknown" w:date="2016-03-07T10:48:00Z" w:original="-"/>
        </w:numPr>
        <w:ind w:left="567" w:hanging="567"/>
        <w:rPr>
          <w:sz w:val="22"/>
          <w:szCs w:val="22"/>
        </w:rPr>
      </w:pPr>
      <w:r w:rsidRPr="00A735D6">
        <w:rPr>
          <w:snapToGrid w:val="0"/>
          <w:sz w:val="22"/>
          <w:szCs w:val="22"/>
        </w:rPr>
        <w:t>mierny pocit suchosti alebo olupovani</w:t>
      </w:r>
      <w:r>
        <w:rPr>
          <w:snapToGrid w:val="0"/>
          <w:sz w:val="22"/>
          <w:szCs w:val="22"/>
        </w:rPr>
        <w:t>e</w:t>
      </w:r>
      <w:r w:rsidRPr="00A735D6">
        <w:rPr>
          <w:snapToGrid w:val="0"/>
          <w:sz w:val="22"/>
          <w:szCs w:val="22"/>
        </w:rPr>
        <w:t xml:space="preserve"> kože</w:t>
      </w:r>
      <w:r>
        <w:rPr>
          <w:snapToGrid w:val="0"/>
          <w:sz w:val="22"/>
          <w:szCs w:val="22"/>
        </w:rPr>
        <w:t>,</w:t>
      </w:r>
    </w:p>
    <w:p w:rsidR="00A13B64" w:rsidRDefault="00A13B64">
      <w:pPr>
        <w:pStyle w:val="ListParagraph"/>
        <w:numPr>
          <w:ilvl w:val="0"/>
          <w:numId w:val="6"/>
          <w:numberingChange w:id="3" w:author="Unknown" w:date="2016-03-07T10:48:00Z" w:original="-"/>
        </w:numPr>
        <w:ind w:left="567" w:hanging="567"/>
        <w:rPr>
          <w:snapToGrid w:val="0"/>
          <w:sz w:val="22"/>
          <w:szCs w:val="22"/>
        </w:rPr>
      </w:pPr>
      <w:r w:rsidRPr="00A735D6">
        <w:rPr>
          <w:snapToGrid w:val="0"/>
          <w:sz w:val="22"/>
          <w:szCs w:val="22"/>
        </w:rPr>
        <w:t>svrbenie</w:t>
      </w:r>
      <w:r>
        <w:rPr>
          <w:snapToGrid w:val="0"/>
          <w:sz w:val="22"/>
          <w:szCs w:val="22"/>
        </w:rPr>
        <w:t>.</w:t>
      </w:r>
    </w:p>
    <w:p w:rsidR="00A13B64" w:rsidRDefault="00A13B64">
      <w:pPr>
        <w:rPr>
          <w:snapToGrid w:val="0"/>
          <w:sz w:val="22"/>
          <w:szCs w:val="22"/>
        </w:rPr>
      </w:pPr>
    </w:p>
    <w:p w:rsidR="00A13B64" w:rsidRDefault="00A13B64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</w:t>
      </w:r>
      <w:r w:rsidRPr="00D101BF">
        <w:rPr>
          <w:snapToGrid w:val="0"/>
          <w:sz w:val="22"/>
          <w:szCs w:val="22"/>
        </w:rPr>
        <w:t>riedkavé</w:t>
      </w:r>
      <w:r>
        <w:rPr>
          <w:snapToGrid w:val="0"/>
          <w:sz w:val="22"/>
          <w:szCs w:val="22"/>
        </w:rPr>
        <w:t>:</w:t>
      </w:r>
    </w:p>
    <w:p w:rsidR="00A13B64" w:rsidRDefault="00A13B64">
      <w:pPr>
        <w:pStyle w:val="ListParagraph"/>
        <w:numPr>
          <w:ilvl w:val="0"/>
          <w:numId w:val="6"/>
          <w:numberingChange w:id="4" w:author="Unknown" w:date="2016-03-07T10:48:00Z" w:original="-"/>
        </w:numPr>
        <w:ind w:left="567" w:hanging="567"/>
        <w:rPr>
          <w:snapToGrid w:val="0"/>
          <w:sz w:val="22"/>
          <w:szCs w:val="22"/>
        </w:rPr>
      </w:pPr>
      <w:r w:rsidRPr="00A735D6">
        <w:rPr>
          <w:snapToGrid w:val="0"/>
          <w:sz w:val="22"/>
          <w:szCs w:val="22"/>
        </w:rPr>
        <w:t>erytém</w:t>
      </w:r>
      <w:r>
        <w:rPr>
          <w:snapToGrid w:val="0"/>
          <w:sz w:val="22"/>
          <w:szCs w:val="22"/>
        </w:rPr>
        <w:t>,</w:t>
      </w:r>
    </w:p>
    <w:p w:rsidR="00A13B64" w:rsidRDefault="00A13B64">
      <w:pPr>
        <w:pStyle w:val="ListParagraph"/>
        <w:numPr>
          <w:ilvl w:val="0"/>
          <w:numId w:val="6"/>
          <w:numberingChange w:id="5" w:author="Unknown" w:date="2016-03-07T10:48:00Z" w:original="-"/>
        </w:numPr>
        <w:ind w:left="567" w:hanging="567"/>
        <w:rPr>
          <w:sz w:val="22"/>
          <w:szCs w:val="22"/>
        </w:rPr>
      </w:pPr>
      <w:r w:rsidRPr="00A735D6">
        <w:rPr>
          <w:snapToGrid w:val="0"/>
          <w:sz w:val="22"/>
          <w:szCs w:val="22"/>
        </w:rPr>
        <w:t>kontaktná dermatitída po aplikácii; v prípadoch, ke</w:t>
      </w:r>
      <w:r>
        <w:rPr>
          <w:snapToGrid w:val="0"/>
          <w:sz w:val="22"/>
          <w:szCs w:val="22"/>
        </w:rPr>
        <w:t>ď</w:t>
      </w:r>
      <w:r w:rsidRPr="00A735D6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sa uskutočnil</w:t>
      </w:r>
      <w:r w:rsidRPr="00A735D6">
        <w:rPr>
          <w:snapToGrid w:val="0"/>
          <w:sz w:val="22"/>
          <w:szCs w:val="22"/>
        </w:rPr>
        <w:t xml:space="preserve"> test senzitivity sa ukázalo, že príčinou </w:t>
      </w:r>
      <w:r w:rsidRPr="00AA2085">
        <w:rPr>
          <w:sz w:val="22"/>
          <w:szCs w:val="22"/>
        </w:rPr>
        <w:t>precitlivenos</w:t>
      </w:r>
      <w:r>
        <w:rPr>
          <w:sz w:val="22"/>
          <w:szCs w:val="22"/>
        </w:rPr>
        <w:t>ti</w:t>
      </w:r>
      <w:r w:rsidRPr="00AA2085">
        <w:rPr>
          <w:snapToGrid w:val="0"/>
          <w:sz w:val="22"/>
          <w:szCs w:val="22"/>
        </w:rPr>
        <w:t xml:space="preserve"> </w:t>
      </w:r>
      <w:r w:rsidRPr="00A735D6">
        <w:rPr>
          <w:snapToGrid w:val="0"/>
          <w:sz w:val="22"/>
          <w:szCs w:val="22"/>
        </w:rPr>
        <w:t xml:space="preserve">boli skôr pomocné látky než liečivo </w:t>
      </w:r>
      <w:r w:rsidRPr="00A735D6">
        <w:rPr>
          <w:sz w:val="22"/>
          <w:szCs w:val="22"/>
        </w:rPr>
        <w:t>aciklovir.</w:t>
      </w:r>
    </w:p>
    <w:p w:rsidR="00A13B64" w:rsidRDefault="00A13B64">
      <w:pPr>
        <w:rPr>
          <w:iCs/>
          <w:sz w:val="22"/>
          <w:szCs w:val="22"/>
        </w:rPr>
      </w:pPr>
    </w:p>
    <w:p w:rsidR="00A13B64" w:rsidRDefault="00A13B64">
      <w:pPr>
        <w:rPr>
          <w:i/>
          <w:iCs/>
          <w:sz w:val="22"/>
          <w:szCs w:val="22"/>
        </w:rPr>
      </w:pPr>
      <w:r w:rsidRPr="00D101BF">
        <w:rPr>
          <w:i/>
          <w:iCs/>
          <w:sz w:val="22"/>
          <w:szCs w:val="22"/>
        </w:rPr>
        <w:t>Poruchy imunitného systému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Pr="00D101BF">
        <w:rPr>
          <w:sz w:val="22"/>
          <w:szCs w:val="22"/>
        </w:rPr>
        <w:t>eľmi zriedkavé</w:t>
      </w:r>
      <w:r>
        <w:rPr>
          <w:sz w:val="22"/>
          <w:szCs w:val="22"/>
        </w:rPr>
        <w:t>:</w:t>
      </w:r>
    </w:p>
    <w:p w:rsidR="00A13B64" w:rsidRDefault="00A13B64">
      <w:pPr>
        <w:pStyle w:val="ListParagraph"/>
        <w:numPr>
          <w:ilvl w:val="0"/>
          <w:numId w:val="6"/>
          <w:numberingChange w:id="6" w:author="Unknown" w:date="2016-03-07T10:48:00Z" w:original="-"/>
        </w:numPr>
        <w:ind w:left="567" w:hanging="567"/>
        <w:rPr>
          <w:sz w:val="22"/>
          <w:szCs w:val="22"/>
        </w:rPr>
      </w:pPr>
      <w:r w:rsidRPr="00A735D6">
        <w:rPr>
          <w:snapToGrid w:val="0"/>
          <w:sz w:val="22"/>
          <w:szCs w:val="22"/>
        </w:rPr>
        <w:t>reakcia z precitlivenosti vrátane angioedému</w:t>
      </w:r>
      <w:r>
        <w:rPr>
          <w:snapToGrid w:val="0"/>
          <w:sz w:val="22"/>
          <w:szCs w:val="22"/>
        </w:rPr>
        <w:t>.</w:t>
      </w:r>
    </w:p>
    <w:p w:rsidR="00A13B64" w:rsidRDefault="00A13B64">
      <w:pPr>
        <w:rPr>
          <w:sz w:val="22"/>
          <w:szCs w:val="22"/>
        </w:rPr>
      </w:pPr>
    </w:p>
    <w:p w:rsidR="00A13B64" w:rsidRPr="00D101BF" w:rsidRDefault="00A13B64" w:rsidP="00E25CF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A735D6">
        <w:rPr>
          <w:sz w:val="22"/>
          <w:szCs w:val="22"/>
          <w:u w:val="single"/>
        </w:rPr>
        <w:t>Hlásenie podozrení na nežiaduce reakcie</w:t>
      </w:r>
    </w:p>
    <w:p w:rsidR="00A13B64" w:rsidRPr="00D101BF" w:rsidRDefault="00A13B64" w:rsidP="00E25CFB">
      <w:pPr>
        <w:autoSpaceDE w:val="0"/>
        <w:autoSpaceDN w:val="0"/>
        <w:adjustRightInd w:val="0"/>
        <w:rPr>
          <w:sz w:val="22"/>
          <w:szCs w:val="22"/>
        </w:rPr>
      </w:pPr>
      <w:r w:rsidRPr="00A735D6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A735D6">
        <w:rPr>
          <w:sz w:val="22"/>
          <w:szCs w:val="22"/>
          <w:highlight w:val="lightGray"/>
        </w:rPr>
        <w:t>národného systému hlásenia uvedeného v </w:t>
      </w:r>
      <w:hyperlink r:id="rId7" w:history="1">
        <w:r w:rsidRPr="00A735D6">
          <w:rPr>
            <w:rStyle w:val="Hyperlink"/>
            <w:sz w:val="22"/>
            <w:szCs w:val="22"/>
            <w:highlight w:val="lightGray"/>
          </w:rPr>
          <w:t>Prílohe V</w:t>
        </w:r>
      </w:hyperlink>
      <w:r w:rsidRPr="00875C79">
        <w:rPr>
          <w:sz w:val="22"/>
          <w:szCs w:val="22"/>
        </w:rPr>
        <w:t>.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pStyle w:val="BodyTextIndent2"/>
        <w:ind w:left="0" w:firstLine="0"/>
        <w:jc w:val="left"/>
      </w:pPr>
      <w:r w:rsidRPr="00D101BF">
        <w:rPr>
          <w:b/>
          <w:bCs/>
        </w:rPr>
        <w:t>4.9</w:t>
      </w:r>
      <w:r w:rsidRPr="00D101BF">
        <w:rPr>
          <w:b/>
          <w:bCs/>
        </w:rPr>
        <w:tab/>
        <w:t>Predávkovanie</w:t>
      </w:r>
    </w:p>
    <w:p w:rsidR="00A13B64" w:rsidRDefault="00A13B64">
      <w:pPr>
        <w:pStyle w:val="BodyTextIndent2"/>
        <w:ind w:left="0" w:firstLine="0"/>
        <w:jc w:val="left"/>
      </w:pPr>
    </w:p>
    <w:p w:rsidR="00A13B64" w:rsidRDefault="00A13B64">
      <w:pPr>
        <w:pStyle w:val="BodyTextIndent2"/>
        <w:ind w:left="0" w:firstLine="0"/>
        <w:jc w:val="left"/>
      </w:pPr>
      <w:r w:rsidRPr="00D101BF">
        <w:t>Po perorálnom požití celého obsahu tuby (100 mg liečiva) alebo po lokálnej aplikácii</w:t>
      </w:r>
      <w:r>
        <w:t xml:space="preserve"> celého obsahu tuby sa nepozorovali</w:t>
      </w:r>
      <w:r w:rsidRPr="00D101BF">
        <w:t xml:space="preserve"> žiadne nežiaduce účinky.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5.</w:t>
      </w:r>
      <w:r w:rsidRPr="00D101BF">
        <w:rPr>
          <w:b/>
          <w:bCs/>
          <w:sz w:val="22"/>
          <w:szCs w:val="22"/>
        </w:rPr>
        <w:tab/>
        <w:t>FARMAKOLOGICKÉ VLASTNOSTI</w:t>
      </w:r>
    </w:p>
    <w:p w:rsidR="00A13B64" w:rsidRDefault="00A13B64">
      <w:pPr>
        <w:rPr>
          <w:bCs/>
          <w:sz w:val="22"/>
          <w:szCs w:val="22"/>
        </w:rPr>
      </w:pPr>
    </w:p>
    <w:p w:rsidR="00A13B64" w:rsidRDefault="00A13B64">
      <w:pPr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5.1</w:t>
      </w:r>
      <w:r w:rsidRPr="00D101BF">
        <w:rPr>
          <w:b/>
          <w:bCs/>
          <w:sz w:val="22"/>
          <w:szCs w:val="22"/>
        </w:rPr>
        <w:tab/>
        <w:t>Farmakodynamické vlastnosti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 xml:space="preserve">Farmakoterapeutická skupina: </w:t>
      </w:r>
      <w:r>
        <w:rPr>
          <w:sz w:val="22"/>
          <w:szCs w:val="22"/>
        </w:rPr>
        <w:t xml:space="preserve">antibiotiká a chemoterapeutiká používané v dermatológii, antivirotiká, </w:t>
      </w:r>
      <w:r w:rsidRPr="00D101BF">
        <w:rPr>
          <w:sz w:val="22"/>
          <w:szCs w:val="22"/>
        </w:rPr>
        <w:t>ATC kód: D06BB03</w:t>
      </w:r>
      <w:r>
        <w:rPr>
          <w:sz w:val="22"/>
          <w:szCs w:val="22"/>
        </w:rPr>
        <w:t>.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 xml:space="preserve">Aciklovir je syntetický analóg purínového nukleozidu s inhibičným účinkom </w:t>
      </w:r>
      <w:r w:rsidRPr="00D101BF">
        <w:rPr>
          <w:i/>
          <w:iCs/>
          <w:sz w:val="22"/>
          <w:szCs w:val="22"/>
        </w:rPr>
        <w:t>in vitro</w:t>
      </w:r>
      <w:r w:rsidRPr="00D101BF">
        <w:rPr>
          <w:sz w:val="22"/>
          <w:szCs w:val="22"/>
        </w:rPr>
        <w:t xml:space="preserve"> proti ľudským herpetickým vírusom vrátane vírusu </w:t>
      </w:r>
      <w:r w:rsidRPr="00D101BF">
        <w:rPr>
          <w:i/>
          <w:iCs/>
          <w:sz w:val="22"/>
          <w:szCs w:val="22"/>
        </w:rPr>
        <w:t>Herpes simplex</w:t>
      </w:r>
      <w:r w:rsidRPr="00D101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1. a 2. </w:t>
      </w:r>
      <w:r w:rsidRPr="00D101BF">
        <w:rPr>
          <w:sz w:val="22"/>
          <w:szCs w:val="22"/>
        </w:rPr>
        <w:t>typu (</w:t>
      </w:r>
      <w:r>
        <w:rPr>
          <w:sz w:val="22"/>
          <w:szCs w:val="22"/>
        </w:rPr>
        <w:t xml:space="preserve">herpes simplex virus, </w:t>
      </w:r>
      <w:r w:rsidRPr="00D101BF">
        <w:rPr>
          <w:sz w:val="22"/>
          <w:szCs w:val="22"/>
        </w:rPr>
        <w:t>HSV).</w:t>
      </w:r>
    </w:p>
    <w:p w:rsidR="00A13B64" w:rsidRDefault="00A13B64">
      <w:pPr>
        <w:pStyle w:val="BodyTextIndent3"/>
        <w:ind w:left="0" w:firstLine="0"/>
        <w:jc w:val="left"/>
      </w:pPr>
    </w:p>
    <w:p w:rsidR="00A13B64" w:rsidRDefault="00A13B64">
      <w:pPr>
        <w:pStyle w:val="BodyTextIndent3"/>
        <w:ind w:left="0" w:firstLine="0"/>
        <w:jc w:val="left"/>
      </w:pPr>
      <w:r w:rsidRPr="00D101BF">
        <w:t>Toxické pôsobenie na cicavčie bunky je nízke.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pStyle w:val="BodyTextIndent3"/>
        <w:ind w:left="0" w:firstLine="0"/>
        <w:jc w:val="left"/>
      </w:pPr>
      <w:r w:rsidRPr="00D101BF">
        <w:t xml:space="preserve">Po vstupe do infikovanej bunky </w:t>
      </w:r>
      <w:r>
        <w:t>sa</w:t>
      </w:r>
      <w:r w:rsidRPr="00D101BF">
        <w:t xml:space="preserve"> aciklovir fosforyl</w:t>
      </w:r>
      <w:r>
        <w:t>uje</w:t>
      </w:r>
      <w:r w:rsidRPr="00D101BF">
        <w:t xml:space="preserve"> na aktívnu formu trifosfát.</w:t>
      </w:r>
    </w:p>
    <w:p w:rsidR="00A13B64" w:rsidRDefault="00A13B64">
      <w:pPr>
        <w:pStyle w:val="BodyTextIndent3"/>
        <w:ind w:left="0" w:firstLine="0"/>
        <w:jc w:val="left"/>
      </w:pPr>
    </w:p>
    <w:p w:rsidR="00A13B64" w:rsidRDefault="00A13B64">
      <w:pPr>
        <w:pStyle w:val="BodyTextIndent3"/>
        <w:ind w:left="0" w:firstLine="0"/>
        <w:jc w:val="left"/>
      </w:pPr>
      <w:r w:rsidRPr="00D101BF">
        <w:t>Enzým tymidínkináza (TK) zdravých, neinfikovaných buniek nevyužíva aciklovir účinne ako substrát,</w:t>
      </w:r>
      <w:r>
        <w:t xml:space="preserve">  </w:t>
      </w:r>
      <w:r w:rsidRPr="00D101BF">
        <w:t>preto je toxicita voči cicavčím hostiteľským bunkám nízka. TK kódovaná vírusmi HSV však premieňa aciklovir na aciklovir</w:t>
      </w:r>
      <w:r>
        <w:t>-</w:t>
      </w:r>
      <w:r w:rsidRPr="00D101BF">
        <w:t>monofosfát, čo je nukleozidný analóg, ktorý ďalej konvertuje na difosfát a nakoniec bunkovými enzýmami na trifosfát. Aciklovir</w:t>
      </w:r>
      <w:r>
        <w:t>-</w:t>
      </w:r>
      <w:r w:rsidRPr="00D101BF">
        <w:t>trifosfát interferuje s</w:t>
      </w:r>
      <w:r>
        <w:t> vírusovou DNA-</w:t>
      </w:r>
      <w:r w:rsidRPr="00D101BF">
        <w:t xml:space="preserve">polymerázou a inhibuje replikáciu </w:t>
      </w:r>
      <w:r>
        <w:t xml:space="preserve">vírusovej </w:t>
      </w:r>
      <w:r w:rsidRPr="00D101BF">
        <w:t xml:space="preserve">DNA s výsledným ukončením reťazca po jeho inkorporácii do </w:t>
      </w:r>
      <w:r>
        <w:t xml:space="preserve">vírusovej </w:t>
      </w:r>
      <w:r w:rsidRPr="00D101BF">
        <w:t>DNA.</w:t>
      </w:r>
    </w:p>
    <w:p w:rsidR="00A13B64" w:rsidRDefault="00A13B64">
      <w:pPr>
        <w:rPr>
          <w:bCs/>
          <w:sz w:val="22"/>
          <w:szCs w:val="22"/>
        </w:rPr>
      </w:pPr>
    </w:p>
    <w:p w:rsidR="00A13B64" w:rsidRDefault="00A13B64">
      <w:pPr>
        <w:pStyle w:val="BodyTextIndent2"/>
        <w:ind w:left="0" w:firstLine="0"/>
        <w:jc w:val="left"/>
      </w:pPr>
      <w:r w:rsidRPr="00D101BF">
        <w:rPr>
          <w:b/>
          <w:bCs/>
        </w:rPr>
        <w:t>5.2</w:t>
      </w:r>
      <w:r w:rsidRPr="00D101BF">
        <w:rPr>
          <w:b/>
          <w:bCs/>
        </w:rPr>
        <w:tab/>
        <w:t>Farmakokinetické</w:t>
      </w:r>
      <w:r w:rsidRPr="00D101BF">
        <w:t xml:space="preserve"> </w:t>
      </w:r>
      <w:r w:rsidRPr="00D101BF">
        <w:rPr>
          <w:b/>
          <w:bCs/>
        </w:rPr>
        <w:t>vlastnosti</w:t>
      </w:r>
    </w:p>
    <w:p w:rsidR="00A13B64" w:rsidRDefault="00A13B64">
      <w:pPr>
        <w:pStyle w:val="BodyTextIndent2"/>
        <w:ind w:left="0" w:firstLine="0"/>
        <w:jc w:val="left"/>
      </w:pPr>
    </w:p>
    <w:p w:rsidR="00A13B64" w:rsidRDefault="00A13B64">
      <w:pPr>
        <w:pStyle w:val="BodyTextIndent2"/>
        <w:ind w:left="0" w:firstLine="0"/>
        <w:jc w:val="left"/>
        <w:rPr>
          <w:u w:val="single"/>
        </w:rPr>
      </w:pPr>
      <w:r>
        <w:rPr>
          <w:u w:val="single"/>
        </w:rPr>
        <w:t>Absorpcia</w:t>
      </w:r>
    </w:p>
    <w:p w:rsidR="00A13B64" w:rsidRDefault="00A13B64">
      <w:pPr>
        <w:pStyle w:val="BodyTextIndent2"/>
        <w:ind w:left="0" w:firstLine="0"/>
        <w:jc w:val="left"/>
        <w:rPr>
          <w:u w:val="single"/>
        </w:rPr>
      </w:pPr>
    </w:p>
    <w:p w:rsidR="00A13B64" w:rsidRDefault="00A13B64">
      <w:pPr>
        <w:pStyle w:val="BodyTextIndent2"/>
        <w:ind w:left="0" w:firstLine="0"/>
        <w:jc w:val="left"/>
      </w:pPr>
      <w:r w:rsidRPr="00D101BF">
        <w:t>Farmakokinetické štúdie poukazujú len na minimálnu systémovú absorpciu acikloviru po miestnom podaní.</w:t>
      </w:r>
    </w:p>
    <w:p w:rsidR="00A13B64" w:rsidRDefault="00A13B64">
      <w:pPr>
        <w:pStyle w:val="BodyTextIndent2"/>
        <w:ind w:left="0" w:firstLine="0"/>
        <w:jc w:val="left"/>
      </w:pPr>
    </w:p>
    <w:p w:rsidR="00A13B64" w:rsidRDefault="00A13B64">
      <w:pPr>
        <w:pStyle w:val="BodyTextIndent2"/>
        <w:tabs>
          <w:tab w:val="left" w:pos="567"/>
        </w:tabs>
        <w:ind w:left="0" w:firstLine="0"/>
        <w:jc w:val="left"/>
        <w:rPr>
          <w:b/>
          <w:bCs/>
        </w:rPr>
      </w:pPr>
      <w:r w:rsidRPr="00D101BF">
        <w:rPr>
          <w:b/>
          <w:bCs/>
        </w:rPr>
        <w:t>5.3</w:t>
      </w:r>
      <w:r w:rsidRPr="00D101BF">
        <w:rPr>
          <w:b/>
          <w:bCs/>
        </w:rPr>
        <w:tab/>
        <w:t>Predklinické údaje o bezpečnosti</w:t>
      </w:r>
    </w:p>
    <w:p w:rsidR="00A13B64" w:rsidRDefault="00A13B64">
      <w:pPr>
        <w:pStyle w:val="BodyTextIndent2"/>
        <w:ind w:left="0" w:firstLine="0"/>
        <w:jc w:val="left"/>
      </w:pPr>
    </w:p>
    <w:p w:rsidR="00A13B64" w:rsidRDefault="00A13B64">
      <w:pPr>
        <w:pStyle w:val="BodyTextIndent2"/>
        <w:ind w:left="0" w:firstLine="0"/>
        <w:jc w:val="left"/>
      </w:pPr>
      <w:r w:rsidRPr="00D101BF">
        <w:t xml:space="preserve">Výsledky testov mutagenity </w:t>
      </w:r>
      <w:r w:rsidRPr="00D101BF">
        <w:rPr>
          <w:i/>
          <w:iCs/>
        </w:rPr>
        <w:t>in vitro</w:t>
      </w:r>
      <w:r w:rsidRPr="00D101BF">
        <w:t xml:space="preserve"> a </w:t>
      </w:r>
      <w:r w:rsidRPr="00D101BF">
        <w:rPr>
          <w:i/>
          <w:iCs/>
        </w:rPr>
        <w:t>in vivo</w:t>
      </w:r>
      <w:r w:rsidRPr="00D101BF">
        <w:t xml:space="preserve"> ukazujú, že </w:t>
      </w:r>
      <w:r>
        <w:t>použitie</w:t>
      </w:r>
      <w:r w:rsidRPr="00D101BF">
        <w:t xml:space="preserve"> acikloviru u človeka </w:t>
      </w:r>
      <w:r>
        <w:t>nespôsobuje</w:t>
      </w:r>
      <w:r w:rsidRPr="00D101BF">
        <w:t> genetick</w:t>
      </w:r>
      <w:r>
        <w:t>é</w:t>
      </w:r>
      <w:r w:rsidRPr="00D101BF">
        <w:t xml:space="preserve"> zmen</w:t>
      </w:r>
      <w:r>
        <w:t>y</w:t>
      </w:r>
      <w:r w:rsidRPr="00D101BF">
        <w:t>.</w:t>
      </w:r>
    </w:p>
    <w:p w:rsidR="00A13B64" w:rsidRDefault="00A13B64">
      <w:pPr>
        <w:pStyle w:val="BodyTextIndent2"/>
        <w:ind w:left="0" w:firstLine="0"/>
        <w:jc w:val="left"/>
      </w:pPr>
    </w:p>
    <w:p w:rsidR="00A13B64" w:rsidRPr="00D101BF" w:rsidRDefault="00A13B64" w:rsidP="00E25CFB">
      <w:pPr>
        <w:rPr>
          <w:sz w:val="22"/>
          <w:szCs w:val="22"/>
        </w:rPr>
      </w:pPr>
      <w:r w:rsidRPr="00D101BF">
        <w:rPr>
          <w:sz w:val="22"/>
          <w:szCs w:val="22"/>
        </w:rPr>
        <w:t>Pri systémovom podávaní lieku obsahujúceho aciklovir v medzinárodných štandardných testoch na potkanoch, králikoch a myšiach sa nepreukázala jeho embryotoxicita ani teratogenita.</w:t>
      </w:r>
    </w:p>
    <w:p w:rsidR="00A13B64" w:rsidRPr="00D101BF" w:rsidRDefault="00A13B64" w:rsidP="00E25CFB">
      <w:pPr>
        <w:pStyle w:val="BodyTextIndent3"/>
        <w:ind w:left="0" w:firstLine="0"/>
        <w:jc w:val="left"/>
      </w:pPr>
    </w:p>
    <w:p w:rsidR="00A13B64" w:rsidRPr="00D101BF" w:rsidRDefault="00A13B64" w:rsidP="00E25CFB">
      <w:pPr>
        <w:pStyle w:val="BodyTextIndent3"/>
        <w:ind w:left="0" w:firstLine="0"/>
        <w:jc w:val="left"/>
      </w:pPr>
      <w:r w:rsidRPr="00D101BF">
        <w:t xml:space="preserve">V neštandardných testoch na potkanoch </w:t>
      </w:r>
      <w:r>
        <w:t>sa pozoroval</w:t>
      </w:r>
      <w:r w:rsidRPr="00D101BF">
        <w:t xml:space="preserve"> výskyt fetálnych abnormalít, ale len po podaní takých vysokých subkutánnych dávok, ktoré boli pre samice toxické. Klinický význam týchto zistení je neistý.</w:t>
      </w:r>
    </w:p>
    <w:p w:rsidR="00A13B64" w:rsidRDefault="00A13B64">
      <w:pPr>
        <w:pStyle w:val="BodyTextIndent2"/>
        <w:ind w:left="0" w:firstLine="0"/>
        <w:jc w:val="left"/>
      </w:pPr>
    </w:p>
    <w:p w:rsidR="00A13B64" w:rsidRDefault="00A13B64">
      <w:pPr>
        <w:pStyle w:val="BodyTextIndent2"/>
        <w:ind w:left="0" w:firstLine="0"/>
        <w:jc w:val="left"/>
      </w:pPr>
      <w:r w:rsidRPr="00D101BF">
        <w:t>V dlhodobých štúdiách na myšiach a potkanoch sa nezistil kancerogénny účinok acikloviru.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 xml:space="preserve">Prevažne reverzibilné nežiaduce účinky na spermatogenézu súvisiace s celkovou toxicitou u potkanov a psov </w:t>
      </w:r>
      <w:r>
        <w:rPr>
          <w:sz w:val="22"/>
          <w:szCs w:val="22"/>
        </w:rPr>
        <w:t>sa zaznamenali</w:t>
      </w:r>
      <w:r w:rsidRPr="00D101BF">
        <w:rPr>
          <w:sz w:val="22"/>
          <w:szCs w:val="22"/>
        </w:rPr>
        <w:t xml:space="preserve"> len pri dávkach acikloviru</w:t>
      </w:r>
      <w:r>
        <w:rPr>
          <w:sz w:val="22"/>
          <w:szCs w:val="22"/>
        </w:rPr>
        <w:t xml:space="preserve">, ktoré </w:t>
      </w:r>
      <w:r w:rsidRPr="00D101BF">
        <w:rPr>
          <w:sz w:val="22"/>
          <w:szCs w:val="22"/>
        </w:rPr>
        <w:t>vysoko prekrač</w:t>
      </w:r>
      <w:r>
        <w:rPr>
          <w:sz w:val="22"/>
          <w:szCs w:val="22"/>
        </w:rPr>
        <w:t>ovali</w:t>
      </w:r>
      <w:r w:rsidRPr="00D101BF">
        <w:rPr>
          <w:sz w:val="22"/>
          <w:szCs w:val="22"/>
        </w:rPr>
        <w:t xml:space="preserve"> terapeutic</w:t>
      </w:r>
      <w:r>
        <w:rPr>
          <w:sz w:val="22"/>
          <w:szCs w:val="22"/>
        </w:rPr>
        <w:t>ké</w:t>
      </w:r>
      <w:r w:rsidRPr="00D101BF">
        <w:rPr>
          <w:sz w:val="22"/>
          <w:szCs w:val="22"/>
        </w:rPr>
        <w:t xml:space="preserve"> dávky.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>V dvojgeneračnej štúdii u myší sa nezistil žiadny účinok perorálne podávaného acikloviru na fertilitu.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6.</w:t>
      </w:r>
      <w:r w:rsidRPr="00D101BF">
        <w:rPr>
          <w:b/>
          <w:bCs/>
          <w:sz w:val="22"/>
          <w:szCs w:val="22"/>
        </w:rPr>
        <w:tab/>
        <w:t>FARMACEUTICKÉ ÚDAJE</w:t>
      </w:r>
    </w:p>
    <w:p w:rsidR="00A13B64" w:rsidRDefault="00A13B64">
      <w:pPr>
        <w:rPr>
          <w:b/>
          <w:bCs/>
          <w:sz w:val="22"/>
          <w:szCs w:val="22"/>
        </w:rPr>
      </w:pPr>
    </w:p>
    <w:p w:rsidR="00A13B64" w:rsidRDefault="00A13B64">
      <w:pPr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6.1</w:t>
      </w:r>
      <w:r w:rsidRPr="00D101BF">
        <w:rPr>
          <w:b/>
          <w:bCs/>
          <w:sz w:val="22"/>
          <w:szCs w:val="22"/>
        </w:rPr>
        <w:tab/>
        <w:t>Zoznam pomocných látok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>propylénglykol</w:t>
      </w: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>biela vazelína</w:t>
      </w: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>cetylalkohol a stearylalkohol</w:t>
      </w: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>tekutý parafín</w:t>
      </w:r>
    </w:p>
    <w:p w:rsidR="00A13B64" w:rsidRDefault="00A13B64">
      <w:pPr>
        <w:rPr>
          <w:sz w:val="22"/>
          <w:szCs w:val="22"/>
        </w:rPr>
      </w:pPr>
      <w:r>
        <w:rPr>
          <w:sz w:val="22"/>
          <w:szCs w:val="22"/>
        </w:rPr>
        <w:t xml:space="preserve">emulgujúci </w:t>
      </w:r>
      <w:r w:rsidRPr="008C5738">
        <w:rPr>
          <w:sz w:val="22"/>
          <w:szCs w:val="22"/>
        </w:rPr>
        <w:t>monostearoylglycerol</w:t>
      </w: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>poloxamér 407</w:t>
      </w:r>
    </w:p>
    <w:p w:rsidR="00A13B64" w:rsidRDefault="00A13B64">
      <w:pPr>
        <w:rPr>
          <w:sz w:val="22"/>
          <w:szCs w:val="22"/>
        </w:rPr>
      </w:pPr>
      <w:r w:rsidRPr="00AC130F">
        <w:rPr>
          <w:sz w:val="22"/>
          <w:szCs w:val="22"/>
        </w:rPr>
        <w:t>nátriumlaurylsulfát</w:t>
      </w: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>dimetikón 20</w:t>
      </w: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>čistená voda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  <w:r w:rsidRPr="00D101BF">
        <w:rPr>
          <w:b/>
          <w:bCs/>
          <w:sz w:val="22"/>
          <w:szCs w:val="22"/>
        </w:rPr>
        <w:t>6.2</w:t>
      </w:r>
      <w:r w:rsidRPr="00D101BF">
        <w:rPr>
          <w:b/>
          <w:bCs/>
          <w:sz w:val="22"/>
          <w:szCs w:val="22"/>
        </w:rPr>
        <w:tab/>
        <w:t>Inkompatibility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  <w:r w:rsidRPr="00895DD8">
        <w:rPr>
          <w:sz w:val="22"/>
          <w:szCs w:val="22"/>
        </w:rPr>
        <w:t>Nie sú dostupné informácie.</w:t>
      </w:r>
    </w:p>
    <w:p w:rsidR="00A13B64" w:rsidRDefault="00A13B64">
      <w:pPr>
        <w:rPr>
          <w:bCs/>
          <w:sz w:val="22"/>
          <w:szCs w:val="22"/>
        </w:rPr>
      </w:pPr>
    </w:p>
    <w:p w:rsidR="00A13B64" w:rsidRDefault="00A13B64">
      <w:pPr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6.3</w:t>
      </w:r>
      <w:r w:rsidRPr="00D101BF">
        <w:rPr>
          <w:b/>
          <w:bCs/>
          <w:sz w:val="22"/>
          <w:szCs w:val="22"/>
        </w:rPr>
        <w:tab/>
        <w:t>Čas použiteľnosti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  <w:r w:rsidRPr="00E21696">
        <w:rPr>
          <w:sz w:val="22"/>
          <w:szCs w:val="22"/>
        </w:rPr>
        <w:t>Hliníková tuba: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1696">
        <w:rPr>
          <w:sz w:val="22"/>
          <w:szCs w:val="22"/>
        </w:rPr>
        <w:t>3 roky</w:t>
      </w:r>
      <w:r>
        <w:rPr>
          <w:sz w:val="22"/>
          <w:szCs w:val="22"/>
        </w:rPr>
        <w:t>.</w:t>
      </w:r>
    </w:p>
    <w:p w:rsidR="00A13B64" w:rsidRDefault="00A13B64">
      <w:pPr>
        <w:rPr>
          <w:sz w:val="22"/>
          <w:szCs w:val="22"/>
        </w:rPr>
      </w:pPr>
      <w:r w:rsidRPr="00E21696">
        <w:rPr>
          <w:sz w:val="22"/>
          <w:szCs w:val="22"/>
        </w:rPr>
        <w:t>Pumpičkový dispenzer:</w:t>
      </w:r>
      <w:r>
        <w:rPr>
          <w:sz w:val="22"/>
          <w:szCs w:val="22"/>
        </w:rPr>
        <w:tab/>
      </w:r>
      <w:r w:rsidRPr="00E21696">
        <w:rPr>
          <w:sz w:val="22"/>
          <w:szCs w:val="22"/>
        </w:rPr>
        <w:t>2 roky</w:t>
      </w:r>
      <w:r>
        <w:rPr>
          <w:sz w:val="22"/>
          <w:szCs w:val="22"/>
        </w:rPr>
        <w:t>.</w:t>
      </w:r>
    </w:p>
    <w:p w:rsidR="00A13B64" w:rsidRDefault="00A13B64">
      <w:pPr>
        <w:rPr>
          <w:bCs/>
          <w:sz w:val="22"/>
          <w:szCs w:val="22"/>
        </w:rPr>
      </w:pPr>
    </w:p>
    <w:p w:rsidR="00A13B64" w:rsidRDefault="00A13B64">
      <w:pPr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6.4</w:t>
      </w:r>
      <w:r w:rsidRPr="00D101BF">
        <w:rPr>
          <w:b/>
          <w:bCs/>
          <w:sz w:val="22"/>
          <w:szCs w:val="22"/>
        </w:rPr>
        <w:tab/>
        <w:t>Špeciálne upozornenia na uchovávanie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 °C"/>
        </w:smartTagPr>
        <w:r w:rsidRPr="00D101BF">
          <w:rPr>
            <w:sz w:val="22"/>
            <w:szCs w:val="22"/>
          </w:rPr>
          <w:t>25</w:t>
        </w:r>
        <w:r>
          <w:rPr>
            <w:sz w:val="22"/>
            <w:szCs w:val="22"/>
          </w:rPr>
          <w:t> </w:t>
        </w:r>
        <w:r w:rsidRPr="00D101BF">
          <w:rPr>
            <w:sz w:val="22"/>
            <w:szCs w:val="22"/>
          </w:rPr>
          <w:t>°C</w:t>
        </w:r>
      </w:smartTag>
      <w:r w:rsidRPr="00D101BF">
        <w:rPr>
          <w:sz w:val="22"/>
          <w:szCs w:val="22"/>
        </w:rPr>
        <w:t>. Neuchovávajte v chladničke.</w:t>
      </w:r>
    </w:p>
    <w:p w:rsidR="00A13B64" w:rsidRDefault="00A13B64">
      <w:pPr>
        <w:rPr>
          <w:bCs/>
          <w:sz w:val="22"/>
          <w:szCs w:val="22"/>
        </w:rPr>
      </w:pPr>
    </w:p>
    <w:p w:rsidR="00A13B64" w:rsidRDefault="00A13B64">
      <w:pPr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6.5</w:t>
      </w:r>
      <w:r w:rsidRPr="00D101BF">
        <w:rPr>
          <w:b/>
          <w:bCs/>
          <w:sz w:val="22"/>
          <w:szCs w:val="22"/>
        </w:rPr>
        <w:tab/>
        <w:t>Druh obalu a obsah balenia</w:t>
      </w:r>
    </w:p>
    <w:p w:rsidR="00A13B64" w:rsidRPr="00D101BF" w:rsidRDefault="00A13B64" w:rsidP="00E25CFB">
      <w:pPr>
        <w:rPr>
          <w:sz w:val="22"/>
          <w:szCs w:val="22"/>
        </w:rPr>
      </w:pPr>
    </w:p>
    <w:p w:rsidR="00A13B64" w:rsidRDefault="00A13B64">
      <w:pPr>
        <w:pStyle w:val="ListParagraph"/>
        <w:numPr>
          <w:ilvl w:val="0"/>
          <w:numId w:val="7"/>
          <w:numberingChange w:id="7" w:author="Unknown" w:date="2016-03-07T10:48:00Z" w:original="%1:1:4:)"/>
        </w:numPr>
        <w:ind w:left="567" w:hanging="567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A735D6">
        <w:rPr>
          <w:color w:val="000000"/>
          <w:sz w:val="22"/>
          <w:szCs w:val="22"/>
        </w:rPr>
        <w:t>aslepen</w:t>
      </w:r>
      <w:r>
        <w:rPr>
          <w:color w:val="000000"/>
          <w:sz w:val="22"/>
          <w:szCs w:val="22"/>
        </w:rPr>
        <w:t>á</w:t>
      </w:r>
      <w:r w:rsidRPr="00A735D6">
        <w:rPr>
          <w:sz w:val="22"/>
          <w:szCs w:val="22"/>
        </w:rPr>
        <w:t xml:space="preserve"> stlačiteľn</w:t>
      </w:r>
      <w:r>
        <w:rPr>
          <w:sz w:val="22"/>
          <w:szCs w:val="22"/>
        </w:rPr>
        <w:t>á</w:t>
      </w:r>
      <w:r w:rsidRPr="00A735D6">
        <w:rPr>
          <w:sz w:val="22"/>
          <w:szCs w:val="22"/>
        </w:rPr>
        <w:t xml:space="preserve"> hliníkov</w:t>
      </w:r>
      <w:r>
        <w:rPr>
          <w:sz w:val="22"/>
          <w:szCs w:val="22"/>
        </w:rPr>
        <w:t>á</w:t>
      </w:r>
      <w:r w:rsidRPr="00A735D6">
        <w:rPr>
          <w:sz w:val="22"/>
          <w:szCs w:val="22"/>
        </w:rPr>
        <w:t xml:space="preserve"> tub</w:t>
      </w:r>
      <w:r>
        <w:rPr>
          <w:sz w:val="22"/>
          <w:szCs w:val="22"/>
        </w:rPr>
        <w:t>a</w:t>
      </w:r>
      <w:r w:rsidRPr="00A735D6">
        <w:rPr>
          <w:sz w:val="22"/>
          <w:szCs w:val="22"/>
        </w:rPr>
        <w:t xml:space="preserve"> s vnútorným ochranným lakom, uzatvoren</w:t>
      </w:r>
      <w:r>
        <w:rPr>
          <w:sz w:val="22"/>
          <w:szCs w:val="22"/>
        </w:rPr>
        <w:t>á</w:t>
      </w:r>
      <w:r w:rsidRPr="00A735D6">
        <w:rPr>
          <w:sz w:val="22"/>
          <w:szCs w:val="22"/>
        </w:rPr>
        <w:t xml:space="preserve"> bielym </w:t>
      </w:r>
      <w:r>
        <w:rPr>
          <w:sz w:val="22"/>
          <w:szCs w:val="22"/>
        </w:rPr>
        <w:t>polyetylénovým</w:t>
      </w:r>
      <w:r w:rsidRPr="00A735D6">
        <w:rPr>
          <w:sz w:val="22"/>
          <w:szCs w:val="22"/>
        </w:rPr>
        <w:t xml:space="preserve"> skrutkovacím uzáverom s prepichovacím hrotom</w:t>
      </w:r>
      <w:r>
        <w:rPr>
          <w:sz w:val="22"/>
          <w:szCs w:val="22"/>
        </w:rPr>
        <w:t>.</w:t>
      </w:r>
    </w:p>
    <w:p w:rsidR="00A13B64" w:rsidRDefault="00A13B64">
      <w:pPr>
        <w:pStyle w:val="ListParagraph"/>
        <w:ind w:left="567"/>
        <w:rPr>
          <w:sz w:val="22"/>
          <w:szCs w:val="22"/>
        </w:rPr>
      </w:pPr>
      <w:r>
        <w:rPr>
          <w:sz w:val="22"/>
          <w:szCs w:val="22"/>
        </w:rPr>
        <w:t>Veľkosť balenia: 1 x 2 g.</w:t>
      </w:r>
    </w:p>
    <w:p w:rsidR="00A13B64" w:rsidRDefault="00A13B64">
      <w:pPr>
        <w:pStyle w:val="ListParagraph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13B64" w:rsidRDefault="00A13B64">
      <w:pPr>
        <w:pStyle w:val="ListParagraph"/>
        <w:numPr>
          <w:ilvl w:val="0"/>
          <w:numId w:val="7"/>
          <w:numberingChange w:id="8" w:author="Unknown" w:date="2016-03-07T10:48:00Z" w:original="%1:2:4:)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Pr="00A735D6">
        <w:rPr>
          <w:sz w:val="22"/>
          <w:szCs w:val="22"/>
        </w:rPr>
        <w:t>olypropylénov</w:t>
      </w:r>
      <w:r>
        <w:rPr>
          <w:sz w:val="22"/>
          <w:szCs w:val="22"/>
        </w:rPr>
        <w:t>ý</w:t>
      </w:r>
      <w:r w:rsidRPr="00A735D6">
        <w:rPr>
          <w:sz w:val="22"/>
          <w:szCs w:val="22"/>
        </w:rPr>
        <w:t xml:space="preserve"> pumpičkov</w:t>
      </w:r>
      <w:r>
        <w:rPr>
          <w:sz w:val="22"/>
          <w:szCs w:val="22"/>
        </w:rPr>
        <w:t>ý</w:t>
      </w:r>
      <w:r w:rsidRPr="00A735D6">
        <w:rPr>
          <w:sz w:val="22"/>
          <w:szCs w:val="22"/>
        </w:rPr>
        <w:t xml:space="preserve"> dispenzer s bielym polypropylénovým uzáverom.</w:t>
      </w:r>
    </w:p>
    <w:p w:rsidR="00A13B64" w:rsidRDefault="00A13B64">
      <w:pPr>
        <w:ind w:firstLine="567"/>
        <w:rPr>
          <w:sz w:val="22"/>
          <w:szCs w:val="22"/>
        </w:rPr>
      </w:pPr>
      <w:r w:rsidRPr="00D101BF">
        <w:rPr>
          <w:sz w:val="22"/>
          <w:szCs w:val="22"/>
        </w:rPr>
        <w:t xml:space="preserve">Veľkosť balenia: 1 x </w:t>
      </w:r>
      <w:smartTag w:uri="urn:schemas-microsoft-com:office:smarttags" w:element="metricconverter">
        <w:smartTagPr>
          <w:attr w:name="ProductID" w:val="2 g"/>
        </w:smartTagPr>
        <w:r w:rsidRPr="00D101BF">
          <w:rPr>
            <w:sz w:val="22"/>
            <w:szCs w:val="22"/>
          </w:rPr>
          <w:t>2 g</w:t>
        </w:r>
      </w:smartTag>
      <w:r w:rsidRPr="00D101BF">
        <w:rPr>
          <w:sz w:val="22"/>
          <w:szCs w:val="22"/>
        </w:rPr>
        <w:t>.</w:t>
      </w:r>
    </w:p>
    <w:p w:rsidR="00A13B64" w:rsidRPr="00D101BF" w:rsidRDefault="00A13B64" w:rsidP="00E25CFB">
      <w:pPr>
        <w:rPr>
          <w:sz w:val="22"/>
          <w:szCs w:val="22"/>
        </w:rPr>
      </w:pPr>
    </w:p>
    <w:p w:rsidR="00A13B64" w:rsidRPr="00D101BF" w:rsidRDefault="00A13B64" w:rsidP="00E25CFB">
      <w:pPr>
        <w:rPr>
          <w:sz w:val="22"/>
          <w:szCs w:val="22"/>
        </w:rPr>
      </w:pPr>
      <w:r w:rsidRPr="00AA2085">
        <w:rPr>
          <w:sz w:val="22"/>
          <w:szCs w:val="22"/>
        </w:rPr>
        <w:t>Na trh nemusia byť uvedené všetky druhy balenia.</w:t>
      </w:r>
    </w:p>
    <w:p w:rsidR="00A13B64" w:rsidRDefault="00A13B64">
      <w:pPr>
        <w:rPr>
          <w:bCs/>
          <w:sz w:val="22"/>
          <w:szCs w:val="22"/>
        </w:rPr>
      </w:pPr>
    </w:p>
    <w:p w:rsidR="00A13B64" w:rsidRDefault="00A13B64">
      <w:pPr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6.6</w:t>
      </w:r>
      <w:r w:rsidRPr="00D101BF">
        <w:rPr>
          <w:b/>
          <w:bCs/>
          <w:sz w:val="22"/>
          <w:szCs w:val="22"/>
        </w:rPr>
        <w:tab/>
        <w:t>Špeciálne opatrenia na likvidáciu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>Všetok nepoužitý liek alebo odpad vzniknutý z lieku sa má zlikvidovať v súlade s národnými požiadavkami.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bCs/>
          <w:sz w:val="22"/>
          <w:szCs w:val="22"/>
        </w:rPr>
      </w:pPr>
    </w:p>
    <w:p w:rsidR="00A13B64" w:rsidRDefault="00A13B64">
      <w:pPr>
        <w:keepNext/>
        <w:keepLines/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7.</w:t>
      </w:r>
      <w:r w:rsidRPr="00D101BF">
        <w:rPr>
          <w:b/>
          <w:bCs/>
          <w:sz w:val="22"/>
          <w:szCs w:val="22"/>
        </w:rPr>
        <w:tab/>
        <w:t>DRŽITEĽ ROZHODNUTIA O REGISTRÁCII</w:t>
      </w:r>
    </w:p>
    <w:p w:rsidR="00A13B64" w:rsidRDefault="00A13B64">
      <w:pPr>
        <w:keepNext/>
        <w:keepLines/>
        <w:rPr>
          <w:sz w:val="22"/>
          <w:szCs w:val="22"/>
        </w:rPr>
      </w:pPr>
    </w:p>
    <w:p w:rsidR="00A13B64" w:rsidRPr="00602379" w:rsidRDefault="00A13B64" w:rsidP="004E3E0D">
      <w:pPr>
        <w:rPr>
          <w:sz w:val="22"/>
          <w:szCs w:val="22"/>
          <w:lang w:val="cs-CZ"/>
        </w:rPr>
      </w:pPr>
      <w:r w:rsidRPr="00602379">
        <w:rPr>
          <w:sz w:val="22"/>
          <w:szCs w:val="22"/>
          <w:lang w:val="cs-CZ"/>
        </w:rPr>
        <w:t>GlaxoSmithKline Consumer Healthcare Czech Republic s.r.o.</w:t>
      </w:r>
    </w:p>
    <w:p w:rsidR="00A13B64" w:rsidRDefault="00A13B64" w:rsidP="004E3E0D">
      <w:pPr>
        <w:rPr>
          <w:sz w:val="22"/>
          <w:szCs w:val="22"/>
          <w:lang w:val="cs-CZ"/>
        </w:rPr>
      </w:pPr>
      <w:r w:rsidRPr="00602379">
        <w:rPr>
          <w:sz w:val="22"/>
          <w:szCs w:val="22"/>
          <w:lang w:val="cs-CZ"/>
        </w:rPr>
        <w:t>Hvězdova 1734/2c</w:t>
      </w:r>
    </w:p>
    <w:p w:rsidR="00A13B64" w:rsidRDefault="00A13B64" w:rsidP="004E3E0D">
      <w:pPr>
        <w:rPr>
          <w:sz w:val="22"/>
          <w:szCs w:val="22"/>
          <w:lang w:val="cs-CZ"/>
        </w:rPr>
      </w:pPr>
      <w:r w:rsidRPr="00602379">
        <w:rPr>
          <w:sz w:val="22"/>
          <w:szCs w:val="22"/>
          <w:lang w:val="cs-CZ"/>
        </w:rPr>
        <w:t>140 00 Praha 4</w:t>
      </w:r>
    </w:p>
    <w:p w:rsidR="00A13B64" w:rsidRPr="00602379" w:rsidRDefault="00A13B64" w:rsidP="004E3E0D">
      <w:pPr>
        <w:rPr>
          <w:sz w:val="22"/>
          <w:szCs w:val="22"/>
          <w:lang w:val="cs-CZ"/>
        </w:rPr>
      </w:pPr>
      <w:r w:rsidRPr="00602379">
        <w:rPr>
          <w:sz w:val="22"/>
          <w:szCs w:val="22"/>
          <w:lang w:val="cs-CZ"/>
        </w:rPr>
        <w:t xml:space="preserve">Česká republika 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8.</w:t>
      </w:r>
      <w:r w:rsidRPr="00D101BF">
        <w:rPr>
          <w:b/>
          <w:bCs/>
          <w:sz w:val="22"/>
          <w:szCs w:val="22"/>
        </w:rPr>
        <w:tab/>
        <w:t>REGISTRAČNÉ ČÍSLO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b/>
          <w:bCs/>
          <w:sz w:val="22"/>
          <w:szCs w:val="22"/>
        </w:rPr>
      </w:pPr>
      <w:r w:rsidRPr="00D101BF">
        <w:rPr>
          <w:sz w:val="22"/>
          <w:szCs w:val="22"/>
        </w:rPr>
        <w:t>46/0132/86-CS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9.</w:t>
      </w:r>
      <w:r w:rsidRPr="00D101BF">
        <w:rPr>
          <w:b/>
          <w:bCs/>
          <w:sz w:val="22"/>
          <w:szCs w:val="22"/>
        </w:rPr>
        <w:tab/>
        <w:t>DÁTUM PRVEJ REGISTRÁCIE/PREDĹŽENIA REGISTRÁCIE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>Dátum prvej registrácie: 30. decembra 1986</w:t>
      </w:r>
    </w:p>
    <w:p w:rsidR="00A13B64" w:rsidRDefault="00A13B64">
      <w:pPr>
        <w:rPr>
          <w:sz w:val="22"/>
          <w:szCs w:val="22"/>
        </w:rPr>
      </w:pPr>
      <w:r w:rsidRPr="00D101BF">
        <w:rPr>
          <w:sz w:val="22"/>
          <w:szCs w:val="22"/>
        </w:rPr>
        <w:t>Dátum posledného predĺženia registrácie: 30. mája 2007</w:t>
      </w:r>
    </w:p>
    <w:p w:rsidR="00A13B64" w:rsidRDefault="00A13B64">
      <w:pPr>
        <w:rPr>
          <w:sz w:val="22"/>
          <w:szCs w:val="22"/>
        </w:rPr>
      </w:pPr>
    </w:p>
    <w:p w:rsidR="00A13B64" w:rsidRDefault="00A13B64">
      <w:pPr>
        <w:rPr>
          <w:sz w:val="22"/>
          <w:szCs w:val="22"/>
        </w:rPr>
      </w:pPr>
    </w:p>
    <w:p w:rsidR="00A13B64" w:rsidRDefault="00A13B64" w:rsidP="00AA2085">
      <w:pPr>
        <w:tabs>
          <w:tab w:val="left" w:pos="567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10.</w:t>
      </w:r>
      <w:r w:rsidRPr="00D101BF">
        <w:rPr>
          <w:b/>
          <w:bCs/>
          <w:sz w:val="22"/>
          <w:szCs w:val="22"/>
        </w:rPr>
        <w:tab/>
        <w:t>DÁTUM REVÍZIE TEXTU</w:t>
      </w:r>
    </w:p>
    <w:p w:rsidR="00A13B64" w:rsidRDefault="00A13B64">
      <w:pPr>
        <w:rPr>
          <w:sz w:val="22"/>
          <w:szCs w:val="22"/>
        </w:rPr>
      </w:pPr>
    </w:p>
    <w:p w:rsidR="00A13B64" w:rsidRPr="0076238F" w:rsidRDefault="00A13B64" w:rsidP="00E25CFB">
      <w:pPr>
        <w:rPr>
          <w:sz w:val="22"/>
          <w:szCs w:val="22"/>
        </w:rPr>
      </w:pPr>
      <w:r>
        <w:rPr>
          <w:sz w:val="22"/>
          <w:szCs w:val="22"/>
        </w:rPr>
        <w:t>03</w:t>
      </w:r>
      <w:r>
        <w:rPr>
          <w:sz w:val="22"/>
          <w:szCs w:val="22"/>
          <w:lang w:val="en-US"/>
        </w:rPr>
        <w:t>/</w:t>
      </w:r>
      <w:r w:rsidRPr="00D101BF">
        <w:rPr>
          <w:sz w:val="22"/>
          <w:szCs w:val="22"/>
        </w:rPr>
        <w:t>201</w:t>
      </w:r>
      <w:r>
        <w:rPr>
          <w:sz w:val="22"/>
          <w:szCs w:val="22"/>
        </w:rPr>
        <w:t>6</w:t>
      </w:r>
    </w:p>
    <w:sectPr w:rsidR="00A13B64" w:rsidRPr="0076238F" w:rsidSect="00AA208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B64" w:rsidRDefault="00A13B64">
      <w:r>
        <w:separator/>
      </w:r>
    </w:p>
  </w:endnote>
  <w:endnote w:type="continuationSeparator" w:id="0">
    <w:p w:rsidR="00A13B64" w:rsidRDefault="00A13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64" w:rsidRDefault="00A13B64" w:rsidP="008813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3B64" w:rsidRDefault="00A13B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64" w:rsidRDefault="00A13B64">
    <w:pPr>
      <w:pStyle w:val="Footer"/>
      <w:jc w:val="center"/>
      <w:rPr>
        <w:sz w:val="18"/>
        <w:szCs w:val="18"/>
      </w:rPr>
    </w:pPr>
    <w:r w:rsidRPr="00A735D6">
      <w:rPr>
        <w:sz w:val="18"/>
        <w:szCs w:val="18"/>
      </w:rPr>
      <w:fldChar w:fldCharType="begin"/>
    </w:r>
    <w:r w:rsidRPr="00A735D6">
      <w:rPr>
        <w:sz w:val="18"/>
        <w:szCs w:val="18"/>
      </w:rPr>
      <w:instrText xml:space="preserve"> PAGE   \* MERGEFORMAT </w:instrText>
    </w:r>
    <w:r w:rsidRPr="00A735D6">
      <w:rPr>
        <w:sz w:val="18"/>
        <w:szCs w:val="18"/>
      </w:rPr>
      <w:fldChar w:fldCharType="separate"/>
    </w:r>
    <w:r>
      <w:rPr>
        <w:noProof/>
        <w:sz w:val="18"/>
        <w:szCs w:val="18"/>
      </w:rPr>
      <w:t>- 5 -</w:t>
    </w:r>
    <w:r w:rsidRPr="00A735D6"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64" w:rsidRDefault="00A13B64" w:rsidP="00AA2085">
    <w:pPr>
      <w:pStyle w:val="Footer"/>
      <w:jc w:val="center"/>
    </w:pPr>
    <w:fldSimple w:instr="PAGE   \* MERGEFORMAT">
      <w:r>
        <w:rPr>
          <w:noProof/>
        </w:rPr>
        <w:t>- 1 -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B64" w:rsidRDefault="00A13B64">
      <w:r>
        <w:separator/>
      </w:r>
    </w:p>
  </w:footnote>
  <w:footnote w:type="continuationSeparator" w:id="0">
    <w:p w:rsidR="00A13B64" w:rsidRDefault="00A13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64" w:rsidRPr="001D1C36" w:rsidRDefault="00A13B64" w:rsidP="004E3E0D">
    <w:pPr>
      <w:pStyle w:val="Header"/>
      <w:rPr>
        <w:sz w:val="18"/>
        <w:szCs w:val="18"/>
      </w:rPr>
    </w:pPr>
    <w:r w:rsidRPr="001D1C36">
      <w:rPr>
        <w:sz w:val="18"/>
        <w:szCs w:val="18"/>
      </w:rPr>
      <w:t>Schválený text k rozhodnutiu o prevode, ev.</w:t>
    </w:r>
    <w:r>
      <w:rPr>
        <w:sz w:val="18"/>
        <w:szCs w:val="18"/>
      </w:rPr>
      <w:t xml:space="preserve"> </w:t>
    </w:r>
    <w:r w:rsidRPr="001D1C36">
      <w:rPr>
        <w:sz w:val="18"/>
        <w:szCs w:val="18"/>
      </w:rPr>
      <w:t>č.: 2016/</w:t>
    </w:r>
    <w:r>
      <w:rPr>
        <w:sz w:val="18"/>
        <w:szCs w:val="18"/>
      </w:rPr>
      <w:t>00219</w:t>
    </w:r>
    <w:r w:rsidRPr="001D1C36">
      <w:rPr>
        <w:sz w:val="18"/>
        <w:szCs w:val="18"/>
      </w:rPr>
      <w:t>-TR</w:t>
    </w:r>
  </w:p>
  <w:p w:rsidR="00A13B64" w:rsidRDefault="00A13B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3F56"/>
    <w:multiLevelType w:val="hybridMultilevel"/>
    <w:tmpl w:val="AF8E4558"/>
    <w:lvl w:ilvl="0" w:tplc="EFA881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E6DFA"/>
    <w:multiLevelType w:val="hybridMultilevel"/>
    <w:tmpl w:val="C71ACF9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C6FB2"/>
    <w:multiLevelType w:val="hybridMultilevel"/>
    <w:tmpl w:val="8FF2B4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5192A"/>
    <w:multiLevelType w:val="hybridMultilevel"/>
    <w:tmpl w:val="80EE9618"/>
    <w:lvl w:ilvl="0" w:tplc="0A2225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B937A16"/>
    <w:multiLevelType w:val="hybridMultilevel"/>
    <w:tmpl w:val="067AC1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EE004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98B586B"/>
    <w:multiLevelType w:val="hybridMultilevel"/>
    <w:tmpl w:val="FFBEB656"/>
    <w:lvl w:ilvl="0" w:tplc="D50CA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trackRevisions/>
  <w:defaultTabStop w:val="567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769"/>
    <w:rsid w:val="00031BCA"/>
    <w:rsid w:val="00053CBE"/>
    <w:rsid w:val="000616EA"/>
    <w:rsid w:val="000628C1"/>
    <w:rsid w:val="000729A0"/>
    <w:rsid w:val="000771D7"/>
    <w:rsid w:val="000927C9"/>
    <w:rsid w:val="0009524E"/>
    <w:rsid w:val="000A09F8"/>
    <w:rsid w:val="000B0111"/>
    <w:rsid w:val="000C6DB3"/>
    <w:rsid w:val="000E04E2"/>
    <w:rsid w:val="000E3099"/>
    <w:rsid w:val="000E4738"/>
    <w:rsid w:val="000E5891"/>
    <w:rsid w:val="000E7449"/>
    <w:rsid w:val="00101F41"/>
    <w:rsid w:val="001041FE"/>
    <w:rsid w:val="00124B85"/>
    <w:rsid w:val="0012704A"/>
    <w:rsid w:val="00131318"/>
    <w:rsid w:val="00131934"/>
    <w:rsid w:val="001538E1"/>
    <w:rsid w:val="001703E6"/>
    <w:rsid w:val="001758CB"/>
    <w:rsid w:val="00184A60"/>
    <w:rsid w:val="00190AC3"/>
    <w:rsid w:val="001A1D34"/>
    <w:rsid w:val="001A577D"/>
    <w:rsid w:val="001B5DD9"/>
    <w:rsid w:val="001D0605"/>
    <w:rsid w:val="001D1C36"/>
    <w:rsid w:val="001E0831"/>
    <w:rsid w:val="00212848"/>
    <w:rsid w:val="002179CA"/>
    <w:rsid w:val="002261FE"/>
    <w:rsid w:val="00231317"/>
    <w:rsid w:val="0024063C"/>
    <w:rsid w:val="00241ACC"/>
    <w:rsid w:val="002431FC"/>
    <w:rsid w:val="002479AA"/>
    <w:rsid w:val="00271CBC"/>
    <w:rsid w:val="002753E3"/>
    <w:rsid w:val="00295A5A"/>
    <w:rsid w:val="002A242C"/>
    <w:rsid w:val="002A6EF6"/>
    <w:rsid w:val="002B31D3"/>
    <w:rsid w:val="002C16CD"/>
    <w:rsid w:val="002C3098"/>
    <w:rsid w:val="002C442C"/>
    <w:rsid w:val="002D0AA3"/>
    <w:rsid w:val="002E400D"/>
    <w:rsid w:val="002F13F9"/>
    <w:rsid w:val="002F69AB"/>
    <w:rsid w:val="002F7DA4"/>
    <w:rsid w:val="00301FEA"/>
    <w:rsid w:val="00310CF9"/>
    <w:rsid w:val="00315971"/>
    <w:rsid w:val="00322046"/>
    <w:rsid w:val="00323E59"/>
    <w:rsid w:val="003308F6"/>
    <w:rsid w:val="003315EC"/>
    <w:rsid w:val="00333AC0"/>
    <w:rsid w:val="00340A41"/>
    <w:rsid w:val="00355EF9"/>
    <w:rsid w:val="00380561"/>
    <w:rsid w:val="0038428A"/>
    <w:rsid w:val="003879C5"/>
    <w:rsid w:val="00390D5F"/>
    <w:rsid w:val="003926C4"/>
    <w:rsid w:val="003A16A2"/>
    <w:rsid w:val="003A6CDE"/>
    <w:rsid w:val="003F570F"/>
    <w:rsid w:val="00404A68"/>
    <w:rsid w:val="00407F92"/>
    <w:rsid w:val="00410158"/>
    <w:rsid w:val="00411ED3"/>
    <w:rsid w:val="00412C37"/>
    <w:rsid w:val="0041667D"/>
    <w:rsid w:val="00424A17"/>
    <w:rsid w:val="00440278"/>
    <w:rsid w:val="00442C61"/>
    <w:rsid w:val="004437F6"/>
    <w:rsid w:val="00451D89"/>
    <w:rsid w:val="004659A3"/>
    <w:rsid w:val="00477C1B"/>
    <w:rsid w:val="00485F00"/>
    <w:rsid w:val="00497CD9"/>
    <w:rsid w:val="00497FA8"/>
    <w:rsid w:val="004B3A92"/>
    <w:rsid w:val="004E3E0D"/>
    <w:rsid w:val="004F7DB9"/>
    <w:rsid w:val="00506199"/>
    <w:rsid w:val="005323E4"/>
    <w:rsid w:val="0054487F"/>
    <w:rsid w:val="00553DEB"/>
    <w:rsid w:val="005567AF"/>
    <w:rsid w:val="00556969"/>
    <w:rsid w:val="00561882"/>
    <w:rsid w:val="00564C99"/>
    <w:rsid w:val="00564EC0"/>
    <w:rsid w:val="005653D4"/>
    <w:rsid w:val="00571040"/>
    <w:rsid w:val="0057415B"/>
    <w:rsid w:val="00577C03"/>
    <w:rsid w:val="0058098A"/>
    <w:rsid w:val="00596A34"/>
    <w:rsid w:val="005A1526"/>
    <w:rsid w:val="005A30A7"/>
    <w:rsid w:val="005A360F"/>
    <w:rsid w:val="005B3A2F"/>
    <w:rsid w:val="005C2318"/>
    <w:rsid w:val="005C7F7B"/>
    <w:rsid w:val="005E0FFD"/>
    <w:rsid w:val="005E2330"/>
    <w:rsid w:val="005E3EC0"/>
    <w:rsid w:val="005F6341"/>
    <w:rsid w:val="00600156"/>
    <w:rsid w:val="00602379"/>
    <w:rsid w:val="006076AF"/>
    <w:rsid w:val="00610331"/>
    <w:rsid w:val="006142BB"/>
    <w:rsid w:val="00631441"/>
    <w:rsid w:val="00634F74"/>
    <w:rsid w:val="00660E6D"/>
    <w:rsid w:val="00661231"/>
    <w:rsid w:val="00662FEA"/>
    <w:rsid w:val="00674E05"/>
    <w:rsid w:val="006813BE"/>
    <w:rsid w:val="00682708"/>
    <w:rsid w:val="00683C30"/>
    <w:rsid w:val="006937BA"/>
    <w:rsid w:val="006A3883"/>
    <w:rsid w:val="006A4071"/>
    <w:rsid w:val="006B5E10"/>
    <w:rsid w:val="006C49FF"/>
    <w:rsid w:val="006E7521"/>
    <w:rsid w:val="006F2882"/>
    <w:rsid w:val="00704257"/>
    <w:rsid w:val="007060C9"/>
    <w:rsid w:val="007127E3"/>
    <w:rsid w:val="007137B5"/>
    <w:rsid w:val="007316F2"/>
    <w:rsid w:val="007361C0"/>
    <w:rsid w:val="00746B66"/>
    <w:rsid w:val="00750D41"/>
    <w:rsid w:val="007615D3"/>
    <w:rsid w:val="0076238F"/>
    <w:rsid w:val="00763B28"/>
    <w:rsid w:val="0077266E"/>
    <w:rsid w:val="00773E74"/>
    <w:rsid w:val="007A27EB"/>
    <w:rsid w:val="007A4DA2"/>
    <w:rsid w:val="007B1290"/>
    <w:rsid w:val="007B29B5"/>
    <w:rsid w:val="007B2EA7"/>
    <w:rsid w:val="007E351D"/>
    <w:rsid w:val="007E4404"/>
    <w:rsid w:val="007F17A5"/>
    <w:rsid w:val="00816EA1"/>
    <w:rsid w:val="00826114"/>
    <w:rsid w:val="00826CAE"/>
    <w:rsid w:val="00836D0E"/>
    <w:rsid w:val="0085709D"/>
    <w:rsid w:val="00872522"/>
    <w:rsid w:val="00875C79"/>
    <w:rsid w:val="0088134F"/>
    <w:rsid w:val="00882C24"/>
    <w:rsid w:val="008871B3"/>
    <w:rsid w:val="00895CCE"/>
    <w:rsid w:val="00895DD8"/>
    <w:rsid w:val="008B77A1"/>
    <w:rsid w:val="008C5738"/>
    <w:rsid w:val="008D04DB"/>
    <w:rsid w:val="0092130B"/>
    <w:rsid w:val="00924320"/>
    <w:rsid w:val="00963D46"/>
    <w:rsid w:val="009B1C95"/>
    <w:rsid w:val="009C6769"/>
    <w:rsid w:val="009D495F"/>
    <w:rsid w:val="009D6223"/>
    <w:rsid w:val="009F165C"/>
    <w:rsid w:val="009F4DDE"/>
    <w:rsid w:val="00A10304"/>
    <w:rsid w:val="00A11740"/>
    <w:rsid w:val="00A13B64"/>
    <w:rsid w:val="00A1463A"/>
    <w:rsid w:val="00A233EE"/>
    <w:rsid w:val="00A32B43"/>
    <w:rsid w:val="00A34142"/>
    <w:rsid w:val="00A42F05"/>
    <w:rsid w:val="00A46734"/>
    <w:rsid w:val="00A46B7B"/>
    <w:rsid w:val="00A722E3"/>
    <w:rsid w:val="00A735D6"/>
    <w:rsid w:val="00A9267C"/>
    <w:rsid w:val="00AA2085"/>
    <w:rsid w:val="00AC130F"/>
    <w:rsid w:val="00AE7D4A"/>
    <w:rsid w:val="00B005BD"/>
    <w:rsid w:val="00B1582B"/>
    <w:rsid w:val="00B477D9"/>
    <w:rsid w:val="00B6463E"/>
    <w:rsid w:val="00BA7EC6"/>
    <w:rsid w:val="00BB489C"/>
    <w:rsid w:val="00BB635F"/>
    <w:rsid w:val="00BC2F77"/>
    <w:rsid w:val="00BC6D6C"/>
    <w:rsid w:val="00BE755E"/>
    <w:rsid w:val="00BF57F9"/>
    <w:rsid w:val="00C02121"/>
    <w:rsid w:val="00C15030"/>
    <w:rsid w:val="00C27104"/>
    <w:rsid w:val="00C27458"/>
    <w:rsid w:val="00C31DFC"/>
    <w:rsid w:val="00C47E68"/>
    <w:rsid w:val="00C54198"/>
    <w:rsid w:val="00C57DFF"/>
    <w:rsid w:val="00C66A2C"/>
    <w:rsid w:val="00C77E00"/>
    <w:rsid w:val="00C81E5B"/>
    <w:rsid w:val="00C959A2"/>
    <w:rsid w:val="00CB3C7A"/>
    <w:rsid w:val="00CC0CAD"/>
    <w:rsid w:val="00CD2BF8"/>
    <w:rsid w:val="00CE2796"/>
    <w:rsid w:val="00CE534E"/>
    <w:rsid w:val="00CF2106"/>
    <w:rsid w:val="00CF2E22"/>
    <w:rsid w:val="00D101BF"/>
    <w:rsid w:val="00D14BD6"/>
    <w:rsid w:val="00D17F8B"/>
    <w:rsid w:val="00D23C17"/>
    <w:rsid w:val="00D24789"/>
    <w:rsid w:val="00D32C1F"/>
    <w:rsid w:val="00D33751"/>
    <w:rsid w:val="00D51219"/>
    <w:rsid w:val="00D635B7"/>
    <w:rsid w:val="00D72704"/>
    <w:rsid w:val="00D828AD"/>
    <w:rsid w:val="00D82E5E"/>
    <w:rsid w:val="00D96EF6"/>
    <w:rsid w:val="00DA5E9B"/>
    <w:rsid w:val="00E04014"/>
    <w:rsid w:val="00E124C4"/>
    <w:rsid w:val="00E17A69"/>
    <w:rsid w:val="00E21696"/>
    <w:rsid w:val="00E25CFB"/>
    <w:rsid w:val="00E47F0A"/>
    <w:rsid w:val="00E539D3"/>
    <w:rsid w:val="00E576AD"/>
    <w:rsid w:val="00E75FF9"/>
    <w:rsid w:val="00E872C5"/>
    <w:rsid w:val="00EB032F"/>
    <w:rsid w:val="00EB2D2E"/>
    <w:rsid w:val="00EB641B"/>
    <w:rsid w:val="00EC22BC"/>
    <w:rsid w:val="00EC5757"/>
    <w:rsid w:val="00EE31F9"/>
    <w:rsid w:val="00EF0B0D"/>
    <w:rsid w:val="00F1129D"/>
    <w:rsid w:val="00F30059"/>
    <w:rsid w:val="00F50028"/>
    <w:rsid w:val="00F51073"/>
    <w:rsid w:val="00F623AB"/>
    <w:rsid w:val="00F632AF"/>
    <w:rsid w:val="00F66579"/>
    <w:rsid w:val="00F9638F"/>
    <w:rsid w:val="00FB228D"/>
    <w:rsid w:val="00FB5C0C"/>
    <w:rsid w:val="00FC3718"/>
    <w:rsid w:val="00FC3B53"/>
    <w:rsid w:val="00FD083B"/>
    <w:rsid w:val="00FF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7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6769"/>
    <w:pPr>
      <w:keepNext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1D34"/>
    <w:rPr>
      <w:rFonts w:ascii="Cambria" w:hAnsi="Cambria" w:cs="Times New Roman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9C6769"/>
    <w:pPr>
      <w:ind w:left="3240" w:hanging="2880"/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A1D34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C6769"/>
    <w:pPr>
      <w:ind w:left="3261" w:hanging="2880"/>
      <w:jc w:val="both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A1D34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C6769"/>
    <w:pPr>
      <w:ind w:left="3261" w:hanging="3261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A1D34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3F57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1D34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F570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300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3005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E2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2330"/>
    <w:rPr>
      <w:rFonts w:ascii="Tahoma" w:hAnsi="Tahoma" w:cs="Tahoma"/>
      <w:sz w:val="16"/>
      <w:szCs w:val="16"/>
      <w:lang w:eastAsia="sk-SK"/>
    </w:rPr>
  </w:style>
  <w:style w:type="paragraph" w:styleId="Revision">
    <w:name w:val="Revision"/>
    <w:hidden/>
    <w:uiPriority w:val="99"/>
    <w:semiHidden/>
    <w:rsid w:val="007060C9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7060C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7415B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B3A9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B3A9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3A92"/>
    <w:rPr>
      <w:rFonts w:cs="Times New Roman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3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B3A92"/>
    <w:rPr>
      <w:b/>
      <w:bCs/>
    </w:rPr>
  </w:style>
  <w:style w:type="character" w:styleId="FollowedHyperlink">
    <w:name w:val="FollowedHyperlink"/>
    <w:basedOn w:val="DefaultParagraphFont"/>
    <w:uiPriority w:val="99"/>
    <w:semiHidden/>
    <w:rsid w:val="00310CF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1267</Words>
  <Characters>7228</Characters>
  <Application>Microsoft Office Outlook</Application>
  <DocSecurity>0</DocSecurity>
  <Lines>0</Lines>
  <Paragraphs>0</Paragraphs>
  <ScaleCrop>false</ScaleCrop>
  <Company>GlaxoSmithKline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NAVRHOVANÝ STAV</dc:title>
  <dc:subject/>
  <dc:creator>mxm4225</dc:creator>
  <cp:keywords/>
  <dc:description/>
  <cp:lastModifiedBy>sevcekova</cp:lastModifiedBy>
  <cp:revision>3</cp:revision>
  <cp:lastPrinted>2016-01-19T08:03:00Z</cp:lastPrinted>
  <dcterms:created xsi:type="dcterms:W3CDTF">2016-03-07T09:48:00Z</dcterms:created>
  <dcterms:modified xsi:type="dcterms:W3CDTF">2016-03-07T09:48:00Z</dcterms:modified>
</cp:coreProperties>
</file>