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F8" w:rsidRPr="007D1B67" w:rsidRDefault="00B93209" w:rsidP="00794E35">
      <w:pPr>
        <w:widowControl w:val="0"/>
        <w:spacing w:line="240" w:lineRule="auto"/>
        <w:jc w:val="center"/>
        <w:rPr>
          <w:b/>
          <w:szCs w:val="22"/>
        </w:rPr>
      </w:pPr>
      <w:r w:rsidRPr="007D1B67">
        <w:rPr>
          <w:b/>
          <w:szCs w:val="22"/>
        </w:rPr>
        <w:t>SÚHRN CHARAKTERISTICKÝCH VLASTNOSTÍ LIEKU</w:t>
      </w:r>
    </w:p>
    <w:p w:rsidR="008D0CF8" w:rsidRPr="007D1B67" w:rsidRDefault="008D0CF8" w:rsidP="00794E35">
      <w:pPr>
        <w:widowControl w:val="0"/>
        <w:spacing w:line="240" w:lineRule="auto"/>
        <w:rPr>
          <w:b/>
          <w:bCs/>
          <w:iCs/>
          <w:szCs w:val="22"/>
        </w:rPr>
      </w:pPr>
    </w:p>
    <w:p w:rsidR="008D0CF8" w:rsidRPr="007D1B67" w:rsidRDefault="008D0CF8" w:rsidP="00794E35">
      <w:pPr>
        <w:widowControl w:val="0"/>
        <w:spacing w:line="240" w:lineRule="auto"/>
        <w:rPr>
          <w:b/>
          <w:bCs/>
          <w:iCs/>
          <w:szCs w:val="22"/>
        </w:rPr>
      </w:pPr>
    </w:p>
    <w:p w:rsidR="008D0CF8" w:rsidRPr="005B129F" w:rsidRDefault="00B93209" w:rsidP="00794E35">
      <w:pPr>
        <w:widowControl w:val="0"/>
        <w:spacing w:line="240" w:lineRule="auto"/>
        <w:rPr>
          <w:szCs w:val="22"/>
        </w:rPr>
      </w:pPr>
      <w:r w:rsidRPr="005B129F">
        <w:rPr>
          <w:b/>
          <w:szCs w:val="22"/>
        </w:rPr>
        <w:t>1.</w:t>
      </w:r>
      <w:r w:rsidRPr="005B129F">
        <w:rPr>
          <w:szCs w:val="22"/>
        </w:rPr>
        <w:tab/>
      </w:r>
      <w:r w:rsidRPr="005B129F">
        <w:rPr>
          <w:b/>
          <w:szCs w:val="22"/>
        </w:rPr>
        <w:t xml:space="preserve">NÁZOV </w:t>
      </w:r>
      <w:r w:rsidRPr="005B129F">
        <w:rPr>
          <w:b/>
          <w:caps/>
          <w:szCs w:val="22"/>
        </w:rPr>
        <w:t>LIEKU</w:t>
      </w:r>
    </w:p>
    <w:p w:rsidR="008D0CF8" w:rsidRPr="005E5ABC" w:rsidRDefault="008D0CF8" w:rsidP="00794E35">
      <w:pPr>
        <w:spacing w:line="240" w:lineRule="auto"/>
        <w:rPr>
          <w:iCs/>
          <w:szCs w:val="22"/>
        </w:rPr>
      </w:pPr>
    </w:p>
    <w:p w:rsidR="008D0CF8" w:rsidRPr="00CE07E1" w:rsidRDefault="00B93209" w:rsidP="00794E35">
      <w:pPr>
        <w:spacing w:line="240" w:lineRule="auto"/>
        <w:rPr>
          <w:szCs w:val="22"/>
        </w:rPr>
      </w:pPr>
      <w:r w:rsidRPr="00CE07E1">
        <w:rPr>
          <w:szCs w:val="22"/>
        </w:rPr>
        <w:t>Gemcitabine medac 38</w:t>
      </w:r>
      <w:r w:rsidR="002F1F18" w:rsidRPr="00CE07E1">
        <w:rPr>
          <w:szCs w:val="22"/>
        </w:rPr>
        <w:t> mg</w:t>
      </w:r>
      <w:r w:rsidRPr="00CE07E1">
        <w:rPr>
          <w:szCs w:val="22"/>
        </w:rPr>
        <w:t>/ml infúzny koncentrát</w:t>
      </w:r>
    </w:p>
    <w:p w:rsidR="008D0CF8" w:rsidRPr="00CE07E1" w:rsidRDefault="008D0CF8" w:rsidP="00794E35">
      <w:pPr>
        <w:spacing w:line="240" w:lineRule="auto"/>
        <w:rPr>
          <w:szCs w:val="22"/>
        </w:rPr>
      </w:pPr>
    </w:p>
    <w:p w:rsidR="008D0CF8" w:rsidRPr="00CE07E1" w:rsidRDefault="008D0CF8" w:rsidP="00794E35">
      <w:pPr>
        <w:widowControl w:val="0"/>
        <w:spacing w:line="240" w:lineRule="auto"/>
        <w:rPr>
          <w:szCs w:val="22"/>
        </w:rPr>
      </w:pPr>
    </w:p>
    <w:p w:rsidR="008D0CF8" w:rsidRPr="00CE07E1" w:rsidRDefault="00B93209" w:rsidP="00794E35">
      <w:pPr>
        <w:widowControl w:val="0"/>
        <w:spacing w:line="240" w:lineRule="auto"/>
        <w:rPr>
          <w:szCs w:val="22"/>
        </w:rPr>
      </w:pPr>
      <w:r w:rsidRPr="00CE07E1">
        <w:rPr>
          <w:b/>
          <w:szCs w:val="22"/>
        </w:rPr>
        <w:t>2.</w:t>
      </w:r>
      <w:r w:rsidRPr="00CE07E1">
        <w:rPr>
          <w:b/>
          <w:szCs w:val="22"/>
        </w:rPr>
        <w:tab/>
        <w:t>KVALITATÍVNE A KVANTITATÍVNE ZLOŽENIE</w:t>
      </w:r>
    </w:p>
    <w:p w:rsidR="008D0CF8" w:rsidRPr="004C3BBC" w:rsidRDefault="008D0CF8" w:rsidP="00794E35">
      <w:pPr>
        <w:spacing w:line="240" w:lineRule="auto"/>
        <w:rPr>
          <w:szCs w:val="22"/>
        </w:rPr>
      </w:pPr>
    </w:p>
    <w:p w:rsidR="00A060E2" w:rsidRPr="004338D3" w:rsidRDefault="00B93209" w:rsidP="00794E35">
      <w:pPr>
        <w:widowControl w:val="0"/>
        <w:spacing w:line="240" w:lineRule="auto"/>
        <w:rPr>
          <w:szCs w:val="22"/>
        </w:rPr>
      </w:pPr>
      <w:r w:rsidRPr="004C3BBC">
        <w:rPr>
          <w:szCs w:val="22"/>
        </w:rPr>
        <w:t xml:space="preserve">Jeden ml </w:t>
      </w:r>
      <w:r w:rsidR="006A5BFC" w:rsidRPr="00ED1486">
        <w:rPr>
          <w:szCs w:val="22"/>
        </w:rPr>
        <w:t xml:space="preserve">lieku </w:t>
      </w:r>
      <w:r w:rsidRPr="00ED1486">
        <w:rPr>
          <w:szCs w:val="22"/>
        </w:rPr>
        <w:t>Gemcitabine medac</w:t>
      </w:r>
      <w:r w:rsidR="002B4C29" w:rsidRPr="00ED1486">
        <w:rPr>
          <w:szCs w:val="22"/>
        </w:rPr>
        <w:t xml:space="preserve"> </w:t>
      </w:r>
      <w:r w:rsidRPr="00ED1486">
        <w:rPr>
          <w:szCs w:val="22"/>
        </w:rPr>
        <w:t>38</w:t>
      </w:r>
      <w:r w:rsidR="002F1F18" w:rsidRPr="00ED1486">
        <w:rPr>
          <w:szCs w:val="22"/>
        </w:rPr>
        <w:t> mg</w:t>
      </w:r>
      <w:r w:rsidRPr="00ED1486">
        <w:rPr>
          <w:szCs w:val="22"/>
        </w:rPr>
        <w:t>/ml infúzny koncentrát obsahuje gemcitabíniumchlorid, čo zodpovedá 38</w:t>
      </w:r>
      <w:r w:rsidR="002F1F18" w:rsidRPr="004338D3">
        <w:rPr>
          <w:szCs w:val="22"/>
        </w:rPr>
        <w:t> mg</w:t>
      </w:r>
      <w:r w:rsidRPr="004338D3">
        <w:rPr>
          <w:szCs w:val="22"/>
        </w:rPr>
        <w:t xml:space="preserve"> gemcitabínu.</w:t>
      </w:r>
    </w:p>
    <w:p w:rsidR="00A060E2" w:rsidRPr="00A510E9" w:rsidRDefault="00A060E2" w:rsidP="00794E35">
      <w:pPr>
        <w:widowControl w:val="0"/>
        <w:spacing w:line="240" w:lineRule="auto"/>
        <w:rPr>
          <w:szCs w:val="22"/>
        </w:rPr>
      </w:pPr>
    </w:p>
    <w:p w:rsidR="00A060E2" w:rsidRPr="00D55C3F" w:rsidRDefault="00B93209" w:rsidP="00794E35">
      <w:pPr>
        <w:widowControl w:val="0"/>
        <w:spacing w:line="240" w:lineRule="auto"/>
        <w:rPr>
          <w:szCs w:val="22"/>
        </w:rPr>
      </w:pPr>
      <w:r w:rsidRPr="00CC2904">
        <w:rPr>
          <w:szCs w:val="22"/>
        </w:rPr>
        <w:t>Kvantitatívne zloženie všetkých veľkostí balení je uvedené v tabuľke nižšie:</w:t>
      </w:r>
    </w:p>
    <w:p w:rsidR="00A060E2" w:rsidRPr="00F37C27" w:rsidRDefault="00A060E2" w:rsidP="00794E35">
      <w:pPr>
        <w:widowControl w:val="0"/>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8"/>
        <w:gridCol w:w="2309"/>
        <w:gridCol w:w="2332"/>
        <w:gridCol w:w="2310"/>
      </w:tblGrid>
      <w:tr w:rsidR="00D134B7" w:rsidRPr="007D1B67" w:rsidTr="00D134B7">
        <w:tc>
          <w:tcPr>
            <w:tcW w:w="2265" w:type="dxa"/>
            <w:shd w:val="clear" w:color="auto" w:fill="auto"/>
          </w:tcPr>
          <w:p w:rsidR="00A060E2" w:rsidRPr="00D46DC6" w:rsidRDefault="00B93209" w:rsidP="00794E35">
            <w:pPr>
              <w:widowControl w:val="0"/>
              <w:spacing w:line="240" w:lineRule="auto"/>
              <w:rPr>
                <w:szCs w:val="22"/>
              </w:rPr>
            </w:pPr>
            <w:r w:rsidRPr="00615B6B">
              <w:rPr>
                <w:szCs w:val="22"/>
              </w:rPr>
              <w:t>Veľkosť balenia</w:t>
            </w:r>
          </w:p>
        </w:tc>
        <w:tc>
          <w:tcPr>
            <w:tcW w:w="2374" w:type="dxa"/>
            <w:shd w:val="clear" w:color="auto" w:fill="auto"/>
          </w:tcPr>
          <w:p w:rsidR="00A060E2" w:rsidRPr="0080087F" w:rsidRDefault="00B93209" w:rsidP="00794E35">
            <w:pPr>
              <w:widowControl w:val="0"/>
              <w:spacing w:line="240" w:lineRule="auto"/>
              <w:rPr>
                <w:szCs w:val="22"/>
              </w:rPr>
            </w:pPr>
            <w:r w:rsidRPr="008D0E5E">
              <w:rPr>
                <w:szCs w:val="22"/>
              </w:rPr>
              <w:t>Sila</w:t>
            </w:r>
          </w:p>
        </w:tc>
        <w:tc>
          <w:tcPr>
            <w:tcW w:w="2374" w:type="dxa"/>
            <w:shd w:val="clear" w:color="auto" w:fill="auto"/>
          </w:tcPr>
          <w:p w:rsidR="00A060E2" w:rsidRPr="00374CFE" w:rsidRDefault="00B93209" w:rsidP="00794E35">
            <w:pPr>
              <w:widowControl w:val="0"/>
              <w:spacing w:line="240" w:lineRule="auto"/>
              <w:rPr>
                <w:szCs w:val="22"/>
              </w:rPr>
            </w:pPr>
            <w:r w:rsidRPr="003A469C">
              <w:rPr>
                <w:szCs w:val="22"/>
              </w:rPr>
              <w:t>Množstvo gemcitabínu</w:t>
            </w:r>
          </w:p>
          <w:p w:rsidR="00A060E2" w:rsidRPr="00284E7D" w:rsidRDefault="00B93209" w:rsidP="00794E35">
            <w:pPr>
              <w:widowControl w:val="0"/>
              <w:spacing w:line="240" w:lineRule="auto"/>
              <w:rPr>
                <w:szCs w:val="22"/>
              </w:rPr>
            </w:pPr>
            <w:r w:rsidRPr="0072746E">
              <w:rPr>
                <w:szCs w:val="22"/>
              </w:rPr>
              <w:t>(ako hydrochloridu)</w:t>
            </w:r>
          </w:p>
        </w:tc>
        <w:tc>
          <w:tcPr>
            <w:tcW w:w="2374" w:type="dxa"/>
            <w:shd w:val="clear" w:color="auto" w:fill="auto"/>
          </w:tcPr>
          <w:p w:rsidR="00A060E2" w:rsidRPr="007D1B67" w:rsidRDefault="00B93209" w:rsidP="00794E35">
            <w:pPr>
              <w:widowControl w:val="0"/>
              <w:spacing w:line="240" w:lineRule="auto"/>
              <w:rPr>
                <w:szCs w:val="22"/>
              </w:rPr>
            </w:pPr>
            <w:r w:rsidRPr="00794E35">
              <w:rPr>
                <w:szCs w:val="22"/>
              </w:rPr>
              <w:t>Mno</w:t>
            </w:r>
            <w:r w:rsidRPr="007D1B67">
              <w:rPr>
                <w:szCs w:val="22"/>
              </w:rPr>
              <w:t>žstvo roztoku</w:t>
            </w:r>
          </w:p>
        </w:tc>
      </w:tr>
      <w:tr w:rsidR="00D134B7" w:rsidRPr="007D1B67" w:rsidTr="00D134B7">
        <w:tc>
          <w:tcPr>
            <w:tcW w:w="2265" w:type="dxa"/>
            <w:shd w:val="clear" w:color="auto" w:fill="auto"/>
          </w:tcPr>
          <w:p w:rsidR="00A060E2" w:rsidRPr="007D1B67" w:rsidRDefault="00B93209" w:rsidP="00794E35">
            <w:pPr>
              <w:widowControl w:val="0"/>
              <w:spacing w:line="240" w:lineRule="auto"/>
              <w:rPr>
                <w:szCs w:val="22"/>
              </w:rPr>
            </w:pPr>
            <w:r w:rsidRPr="00AD5EA5">
              <w:rPr>
                <w:szCs w:val="22"/>
              </w:rPr>
              <w:t>200 mg/5,3 ml</w:t>
            </w:r>
          </w:p>
        </w:tc>
        <w:tc>
          <w:tcPr>
            <w:tcW w:w="2374" w:type="dxa"/>
            <w:shd w:val="clear" w:color="auto" w:fill="auto"/>
          </w:tcPr>
          <w:p w:rsidR="00A060E2" w:rsidRPr="007D1B67" w:rsidRDefault="00B93209" w:rsidP="00794E35">
            <w:pPr>
              <w:widowControl w:val="0"/>
              <w:spacing w:line="240" w:lineRule="auto"/>
              <w:rPr>
                <w:szCs w:val="22"/>
              </w:rPr>
            </w:pPr>
            <w:r w:rsidRPr="00AD5EA5">
              <w:rPr>
                <w:szCs w:val="22"/>
              </w:rPr>
              <w:t>38 mg/ml</w:t>
            </w:r>
          </w:p>
        </w:tc>
        <w:tc>
          <w:tcPr>
            <w:tcW w:w="2374" w:type="dxa"/>
            <w:shd w:val="clear" w:color="auto" w:fill="auto"/>
          </w:tcPr>
          <w:p w:rsidR="00A060E2" w:rsidRPr="007D1B67" w:rsidRDefault="00B93209" w:rsidP="00794E35">
            <w:pPr>
              <w:widowControl w:val="0"/>
              <w:spacing w:line="240" w:lineRule="auto"/>
              <w:rPr>
                <w:szCs w:val="22"/>
              </w:rPr>
            </w:pPr>
            <w:r w:rsidRPr="00AD5EA5">
              <w:rPr>
                <w:szCs w:val="22"/>
              </w:rPr>
              <w:t>200 mg</w:t>
            </w:r>
          </w:p>
        </w:tc>
        <w:tc>
          <w:tcPr>
            <w:tcW w:w="2374" w:type="dxa"/>
            <w:shd w:val="clear" w:color="auto" w:fill="auto"/>
          </w:tcPr>
          <w:p w:rsidR="00A060E2" w:rsidRPr="007D1B67" w:rsidRDefault="00B93209" w:rsidP="00794E35">
            <w:pPr>
              <w:widowControl w:val="0"/>
              <w:spacing w:line="240" w:lineRule="auto"/>
              <w:rPr>
                <w:szCs w:val="22"/>
              </w:rPr>
            </w:pPr>
            <w:r w:rsidRPr="00AD5EA5">
              <w:rPr>
                <w:szCs w:val="22"/>
              </w:rPr>
              <w:t>5,3 ml</w:t>
            </w:r>
          </w:p>
        </w:tc>
      </w:tr>
      <w:tr w:rsidR="00D134B7" w:rsidRPr="007D1B67" w:rsidTr="00D134B7">
        <w:tc>
          <w:tcPr>
            <w:tcW w:w="2265" w:type="dxa"/>
            <w:shd w:val="clear" w:color="auto" w:fill="auto"/>
          </w:tcPr>
          <w:p w:rsidR="00A060E2" w:rsidRPr="007D1B67" w:rsidRDefault="00B93209" w:rsidP="00794E35">
            <w:pPr>
              <w:widowControl w:val="0"/>
              <w:spacing w:line="240" w:lineRule="auto"/>
              <w:rPr>
                <w:szCs w:val="22"/>
              </w:rPr>
            </w:pPr>
            <w:r w:rsidRPr="00AD5EA5">
              <w:rPr>
                <w:szCs w:val="22"/>
              </w:rPr>
              <w:t>1 g/26,3 ml</w:t>
            </w:r>
          </w:p>
        </w:tc>
        <w:tc>
          <w:tcPr>
            <w:tcW w:w="2374" w:type="dxa"/>
            <w:shd w:val="clear" w:color="auto" w:fill="auto"/>
          </w:tcPr>
          <w:p w:rsidR="00A060E2" w:rsidRPr="007D1B67" w:rsidRDefault="00B93209" w:rsidP="00794E35">
            <w:pPr>
              <w:widowControl w:val="0"/>
              <w:spacing w:line="240" w:lineRule="auto"/>
              <w:rPr>
                <w:szCs w:val="22"/>
              </w:rPr>
            </w:pPr>
            <w:r w:rsidRPr="00AD5EA5">
              <w:rPr>
                <w:szCs w:val="22"/>
              </w:rPr>
              <w:t>38 mg/ml</w:t>
            </w:r>
          </w:p>
        </w:tc>
        <w:tc>
          <w:tcPr>
            <w:tcW w:w="2374" w:type="dxa"/>
            <w:shd w:val="clear" w:color="auto" w:fill="auto"/>
          </w:tcPr>
          <w:p w:rsidR="00A060E2" w:rsidRPr="007D1B67" w:rsidRDefault="00B93209" w:rsidP="00794E35">
            <w:pPr>
              <w:widowControl w:val="0"/>
              <w:spacing w:line="240" w:lineRule="auto"/>
              <w:rPr>
                <w:szCs w:val="22"/>
              </w:rPr>
            </w:pPr>
            <w:smartTag w:uri="urn:schemas-microsoft-com:office:smarttags" w:element="metricconverter">
              <w:smartTagPr>
                <w:attr w:name="ProductID" w:val="1 g"/>
              </w:smartTagPr>
              <w:r w:rsidRPr="00AD5EA5">
                <w:rPr>
                  <w:szCs w:val="22"/>
                </w:rPr>
                <w:t>1 g</w:t>
              </w:r>
            </w:smartTag>
          </w:p>
        </w:tc>
        <w:tc>
          <w:tcPr>
            <w:tcW w:w="2374" w:type="dxa"/>
            <w:shd w:val="clear" w:color="auto" w:fill="auto"/>
          </w:tcPr>
          <w:p w:rsidR="00A060E2" w:rsidRPr="007D1B67" w:rsidRDefault="00B93209" w:rsidP="00794E35">
            <w:pPr>
              <w:widowControl w:val="0"/>
              <w:spacing w:line="240" w:lineRule="auto"/>
              <w:rPr>
                <w:szCs w:val="22"/>
              </w:rPr>
            </w:pPr>
            <w:r w:rsidRPr="00AD5EA5">
              <w:rPr>
                <w:szCs w:val="22"/>
              </w:rPr>
              <w:t>26,3 ml</w:t>
            </w:r>
          </w:p>
        </w:tc>
      </w:tr>
      <w:tr w:rsidR="00D134B7" w:rsidRPr="007D1B67" w:rsidTr="00D134B7">
        <w:tc>
          <w:tcPr>
            <w:tcW w:w="2265" w:type="dxa"/>
            <w:shd w:val="clear" w:color="auto" w:fill="auto"/>
          </w:tcPr>
          <w:p w:rsidR="00A060E2" w:rsidRPr="007D1B67" w:rsidRDefault="00B93209" w:rsidP="00794E35">
            <w:pPr>
              <w:widowControl w:val="0"/>
              <w:spacing w:line="240" w:lineRule="auto"/>
              <w:rPr>
                <w:szCs w:val="22"/>
              </w:rPr>
            </w:pPr>
            <w:r w:rsidRPr="00AD5EA5">
              <w:rPr>
                <w:szCs w:val="22"/>
              </w:rPr>
              <w:t>2 g/52,6 ml</w:t>
            </w:r>
          </w:p>
        </w:tc>
        <w:tc>
          <w:tcPr>
            <w:tcW w:w="2374" w:type="dxa"/>
            <w:shd w:val="clear" w:color="auto" w:fill="auto"/>
          </w:tcPr>
          <w:p w:rsidR="00A060E2" w:rsidRPr="007D1B67" w:rsidRDefault="00B93209" w:rsidP="00794E35">
            <w:pPr>
              <w:widowControl w:val="0"/>
              <w:spacing w:line="240" w:lineRule="auto"/>
              <w:rPr>
                <w:szCs w:val="22"/>
              </w:rPr>
            </w:pPr>
            <w:r w:rsidRPr="00AD5EA5">
              <w:rPr>
                <w:szCs w:val="22"/>
              </w:rPr>
              <w:t>38 mg/ml</w:t>
            </w:r>
          </w:p>
        </w:tc>
        <w:tc>
          <w:tcPr>
            <w:tcW w:w="2374" w:type="dxa"/>
            <w:shd w:val="clear" w:color="auto" w:fill="auto"/>
          </w:tcPr>
          <w:p w:rsidR="00A060E2" w:rsidRPr="007D1B67" w:rsidRDefault="00B93209" w:rsidP="00794E35">
            <w:pPr>
              <w:widowControl w:val="0"/>
              <w:spacing w:line="240" w:lineRule="auto"/>
              <w:rPr>
                <w:szCs w:val="22"/>
              </w:rPr>
            </w:pPr>
            <w:smartTag w:uri="urn:schemas-microsoft-com:office:smarttags" w:element="metricconverter">
              <w:smartTagPr>
                <w:attr w:name="ProductID" w:val="2 g"/>
              </w:smartTagPr>
              <w:r w:rsidRPr="00AD5EA5">
                <w:rPr>
                  <w:szCs w:val="22"/>
                </w:rPr>
                <w:t>2 g</w:t>
              </w:r>
            </w:smartTag>
          </w:p>
        </w:tc>
        <w:tc>
          <w:tcPr>
            <w:tcW w:w="2374" w:type="dxa"/>
            <w:shd w:val="clear" w:color="auto" w:fill="auto"/>
          </w:tcPr>
          <w:p w:rsidR="00A060E2" w:rsidRPr="007D1B67" w:rsidRDefault="00B93209" w:rsidP="00794E35">
            <w:pPr>
              <w:widowControl w:val="0"/>
              <w:spacing w:line="240" w:lineRule="auto"/>
              <w:rPr>
                <w:szCs w:val="22"/>
              </w:rPr>
            </w:pPr>
            <w:r w:rsidRPr="00AD5EA5">
              <w:rPr>
                <w:szCs w:val="22"/>
              </w:rPr>
              <w:t>52,6 ml</w:t>
            </w:r>
          </w:p>
        </w:tc>
      </w:tr>
    </w:tbl>
    <w:p w:rsidR="00A060E2" w:rsidRPr="007D1B67" w:rsidRDefault="00A060E2" w:rsidP="00794E35">
      <w:pPr>
        <w:keepNext/>
        <w:widowControl w:val="0"/>
        <w:spacing w:line="240" w:lineRule="auto"/>
        <w:outlineLvl w:val="0"/>
        <w:rPr>
          <w:szCs w:val="22"/>
          <w:u w:val="single"/>
        </w:rPr>
      </w:pPr>
    </w:p>
    <w:p w:rsidR="008D0CF8" w:rsidRPr="007D1B67" w:rsidRDefault="00B93209" w:rsidP="00794E35">
      <w:pPr>
        <w:keepNext/>
        <w:widowControl w:val="0"/>
        <w:spacing w:line="240" w:lineRule="auto"/>
        <w:outlineLvl w:val="0"/>
        <w:rPr>
          <w:szCs w:val="22"/>
          <w:u w:val="single"/>
        </w:rPr>
      </w:pPr>
      <w:r w:rsidRPr="00AD5EA5">
        <w:rPr>
          <w:szCs w:val="22"/>
          <w:u w:val="single"/>
        </w:rPr>
        <w:t>Pomocné látky so známym účinkom:</w:t>
      </w:r>
    </w:p>
    <w:p w:rsidR="008D0CF8" w:rsidRPr="005B129F" w:rsidRDefault="00B93209" w:rsidP="00794E35">
      <w:pPr>
        <w:spacing w:line="240" w:lineRule="auto"/>
        <w:rPr>
          <w:szCs w:val="22"/>
        </w:rPr>
      </w:pPr>
      <w:r w:rsidRPr="00AD5EA5">
        <w:rPr>
          <w:szCs w:val="22"/>
        </w:rPr>
        <w:t>Každá</w:t>
      </w:r>
      <w:r w:rsidR="00565599" w:rsidRPr="00AD5EA5">
        <w:rPr>
          <w:szCs w:val="22"/>
        </w:rPr>
        <w:t xml:space="preserve"> injekčná</w:t>
      </w:r>
      <w:r w:rsidRPr="008A55DD">
        <w:rPr>
          <w:szCs w:val="22"/>
        </w:rPr>
        <w:t xml:space="preserve"> liekovka </w:t>
      </w:r>
      <w:r w:rsidR="005B129F">
        <w:rPr>
          <w:szCs w:val="22"/>
        </w:rPr>
        <w:t xml:space="preserve">s obsahom 200 mg </w:t>
      </w:r>
      <w:r w:rsidRPr="005B129F">
        <w:rPr>
          <w:szCs w:val="22"/>
        </w:rPr>
        <w:t>gemcitabínu obsahuje 460 mg (20 mmol) sodíka.</w:t>
      </w:r>
    </w:p>
    <w:p w:rsidR="008D0CF8" w:rsidRPr="005B129F" w:rsidRDefault="00B93209" w:rsidP="00794E35">
      <w:pPr>
        <w:spacing w:line="240" w:lineRule="auto"/>
        <w:rPr>
          <w:szCs w:val="22"/>
        </w:rPr>
      </w:pPr>
      <w:r w:rsidRPr="005B129F">
        <w:rPr>
          <w:szCs w:val="22"/>
        </w:rPr>
        <w:t xml:space="preserve">Každá </w:t>
      </w:r>
      <w:r w:rsidR="00565599" w:rsidRPr="005B129F">
        <w:rPr>
          <w:szCs w:val="22"/>
        </w:rPr>
        <w:t xml:space="preserve">injekčná </w:t>
      </w:r>
      <w:r w:rsidRPr="005B129F">
        <w:rPr>
          <w:szCs w:val="22"/>
        </w:rPr>
        <w:t xml:space="preserve">liekovka </w:t>
      </w:r>
      <w:r w:rsidR="005B129F">
        <w:rPr>
          <w:szCs w:val="22"/>
        </w:rPr>
        <w:t xml:space="preserve">s obsahom 1 000 mg </w:t>
      </w:r>
      <w:r w:rsidRPr="005B129F">
        <w:rPr>
          <w:szCs w:val="22"/>
        </w:rPr>
        <w:t>gemcitabínu obsahuje 2 300 mg (100 mmol) sodíka.</w:t>
      </w:r>
    </w:p>
    <w:p w:rsidR="008D0CF8" w:rsidRPr="005B129F" w:rsidRDefault="00B93209" w:rsidP="00794E35">
      <w:pPr>
        <w:spacing w:line="240" w:lineRule="auto"/>
        <w:rPr>
          <w:szCs w:val="22"/>
        </w:rPr>
      </w:pPr>
      <w:r w:rsidRPr="005B129F">
        <w:rPr>
          <w:szCs w:val="22"/>
        </w:rPr>
        <w:t xml:space="preserve">Každá </w:t>
      </w:r>
      <w:r w:rsidR="00565599" w:rsidRPr="005B129F">
        <w:rPr>
          <w:szCs w:val="22"/>
        </w:rPr>
        <w:t xml:space="preserve">injekčná </w:t>
      </w:r>
      <w:r w:rsidRPr="005B129F">
        <w:rPr>
          <w:szCs w:val="22"/>
        </w:rPr>
        <w:t xml:space="preserve">liekovka </w:t>
      </w:r>
      <w:r w:rsidR="005B129F">
        <w:rPr>
          <w:szCs w:val="22"/>
        </w:rPr>
        <w:t xml:space="preserve">s obsahom 2 000  mg </w:t>
      </w:r>
      <w:r w:rsidRPr="005B129F">
        <w:rPr>
          <w:szCs w:val="22"/>
        </w:rPr>
        <w:t>gemcitabínu obsahuje 4 600 mg (200 mmol) sodíka.</w:t>
      </w:r>
    </w:p>
    <w:p w:rsidR="008D0CF8" w:rsidRPr="005E5ABC" w:rsidRDefault="008D0CF8" w:rsidP="00794E35">
      <w:pPr>
        <w:spacing w:line="240" w:lineRule="auto"/>
        <w:rPr>
          <w:szCs w:val="22"/>
        </w:rPr>
      </w:pPr>
    </w:p>
    <w:p w:rsidR="008D0CF8" w:rsidRPr="00CE07E1" w:rsidRDefault="00B93209" w:rsidP="00794E35">
      <w:pPr>
        <w:spacing w:line="240" w:lineRule="auto"/>
        <w:rPr>
          <w:szCs w:val="22"/>
        </w:rPr>
      </w:pPr>
      <w:r w:rsidRPr="00CE07E1">
        <w:rPr>
          <w:szCs w:val="22"/>
        </w:rPr>
        <w:t>Úplný zoznam pomocných látok, pozri časť</w:t>
      </w:r>
      <w:r w:rsidR="002F1F18" w:rsidRPr="00CE07E1">
        <w:rPr>
          <w:szCs w:val="22"/>
        </w:rPr>
        <w:t> </w:t>
      </w:r>
      <w:r w:rsidRPr="00CE07E1">
        <w:rPr>
          <w:szCs w:val="22"/>
        </w:rPr>
        <w:t>6.1.</w:t>
      </w:r>
    </w:p>
    <w:p w:rsidR="008D0CF8" w:rsidRPr="00CE07E1" w:rsidRDefault="008D0CF8" w:rsidP="00794E35">
      <w:pPr>
        <w:spacing w:line="240" w:lineRule="auto"/>
        <w:rPr>
          <w:szCs w:val="22"/>
        </w:rPr>
      </w:pPr>
    </w:p>
    <w:p w:rsidR="008D0CF8" w:rsidRPr="00CE07E1" w:rsidRDefault="008D0CF8" w:rsidP="00794E35">
      <w:pPr>
        <w:spacing w:line="240" w:lineRule="auto"/>
        <w:rPr>
          <w:szCs w:val="22"/>
        </w:rPr>
      </w:pPr>
    </w:p>
    <w:p w:rsidR="008D0CF8" w:rsidRPr="00CE07E1" w:rsidRDefault="00B93209" w:rsidP="00794E35">
      <w:pPr>
        <w:spacing w:line="240" w:lineRule="auto"/>
        <w:rPr>
          <w:b/>
          <w:caps/>
          <w:szCs w:val="22"/>
        </w:rPr>
      </w:pPr>
      <w:r w:rsidRPr="00CE07E1">
        <w:rPr>
          <w:b/>
          <w:szCs w:val="22"/>
        </w:rPr>
        <w:t>3.</w:t>
      </w:r>
      <w:r w:rsidRPr="00CE07E1">
        <w:rPr>
          <w:b/>
          <w:szCs w:val="22"/>
        </w:rPr>
        <w:tab/>
        <w:t xml:space="preserve">LIEKOVÁ </w:t>
      </w:r>
      <w:r w:rsidRPr="00CE07E1">
        <w:rPr>
          <w:b/>
          <w:caps/>
          <w:szCs w:val="22"/>
        </w:rPr>
        <w:t>FORMA</w:t>
      </w:r>
    </w:p>
    <w:p w:rsidR="008D0CF8" w:rsidRPr="004C3BBC" w:rsidRDefault="008D0CF8" w:rsidP="00794E35">
      <w:pPr>
        <w:spacing w:line="240" w:lineRule="auto"/>
        <w:rPr>
          <w:szCs w:val="22"/>
        </w:rPr>
      </w:pPr>
    </w:p>
    <w:p w:rsidR="008D0CF8" w:rsidRPr="00ED1486" w:rsidRDefault="00B93209" w:rsidP="00794E35">
      <w:pPr>
        <w:spacing w:line="240" w:lineRule="auto"/>
        <w:rPr>
          <w:szCs w:val="22"/>
        </w:rPr>
      </w:pPr>
      <w:r w:rsidRPr="00ED1486">
        <w:rPr>
          <w:szCs w:val="22"/>
        </w:rPr>
        <w:t>Infúzny koncentrát</w:t>
      </w:r>
      <w:r w:rsidR="006B26A6" w:rsidRPr="00ED1486">
        <w:rPr>
          <w:szCs w:val="22"/>
        </w:rPr>
        <w:t>.</w:t>
      </w:r>
    </w:p>
    <w:p w:rsidR="008D0CF8" w:rsidRPr="00ED1486" w:rsidRDefault="00B93209" w:rsidP="00794E35">
      <w:pPr>
        <w:spacing w:line="240" w:lineRule="auto"/>
        <w:rPr>
          <w:szCs w:val="22"/>
        </w:rPr>
      </w:pPr>
      <w:r w:rsidRPr="00ED1486">
        <w:rPr>
          <w:szCs w:val="22"/>
        </w:rPr>
        <w:t>Číry, bezfarebný až svetložltý roztok</w:t>
      </w:r>
      <w:r w:rsidR="006B26A6" w:rsidRPr="00ED1486">
        <w:rPr>
          <w:szCs w:val="22"/>
        </w:rPr>
        <w:t>.</w:t>
      </w:r>
    </w:p>
    <w:p w:rsidR="008D0CF8" w:rsidRPr="004338D3" w:rsidRDefault="008D0CF8" w:rsidP="00794E35">
      <w:pPr>
        <w:spacing w:line="240" w:lineRule="auto"/>
        <w:rPr>
          <w:szCs w:val="22"/>
        </w:rPr>
      </w:pPr>
    </w:p>
    <w:p w:rsidR="008D0CF8" w:rsidRPr="00A510E9" w:rsidRDefault="008D0CF8" w:rsidP="00794E35">
      <w:pPr>
        <w:spacing w:line="240" w:lineRule="auto"/>
        <w:rPr>
          <w:szCs w:val="22"/>
        </w:rPr>
      </w:pPr>
    </w:p>
    <w:p w:rsidR="008D0CF8" w:rsidRPr="00D55C3F" w:rsidRDefault="00B93209" w:rsidP="00794E35">
      <w:pPr>
        <w:spacing w:line="240" w:lineRule="auto"/>
        <w:rPr>
          <w:caps/>
          <w:szCs w:val="22"/>
        </w:rPr>
      </w:pPr>
      <w:r w:rsidRPr="00CC2904">
        <w:rPr>
          <w:b/>
          <w:caps/>
          <w:szCs w:val="22"/>
        </w:rPr>
        <w:t>4.</w:t>
      </w:r>
      <w:r w:rsidRPr="00CC2904">
        <w:rPr>
          <w:b/>
          <w:caps/>
          <w:szCs w:val="22"/>
        </w:rPr>
        <w:tab/>
        <w:t>KLINICKÉ ÚDAJE</w:t>
      </w:r>
    </w:p>
    <w:p w:rsidR="008D0CF8" w:rsidRPr="00F37C27" w:rsidRDefault="008D0CF8" w:rsidP="00794E35">
      <w:pPr>
        <w:spacing w:line="240" w:lineRule="auto"/>
        <w:rPr>
          <w:szCs w:val="22"/>
        </w:rPr>
      </w:pPr>
    </w:p>
    <w:p w:rsidR="008D0CF8" w:rsidRPr="00D46DC6" w:rsidRDefault="00B93209" w:rsidP="00794E35">
      <w:pPr>
        <w:spacing w:line="240" w:lineRule="auto"/>
        <w:rPr>
          <w:szCs w:val="22"/>
        </w:rPr>
      </w:pPr>
      <w:r w:rsidRPr="00615B6B">
        <w:rPr>
          <w:b/>
          <w:szCs w:val="22"/>
        </w:rPr>
        <w:t>4.1</w:t>
      </w:r>
      <w:r w:rsidRPr="00615B6B">
        <w:rPr>
          <w:b/>
          <w:szCs w:val="22"/>
        </w:rPr>
        <w:tab/>
        <w:t>Terapeutické indikácie</w:t>
      </w:r>
    </w:p>
    <w:p w:rsidR="008D0CF8" w:rsidRPr="008D0E5E" w:rsidRDefault="008D0CF8" w:rsidP="00794E35">
      <w:pPr>
        <w:spacing w:line="240" w:lineRule="auto"/>
        <w:rPr>
          <w:szCs w:val="22"/>
        </w:rPr>
      </w:pPr>
    </w:p>
    <w:p w:rsidR="008D0CF8" w:rsidRPr="003A469C" w:rsidRDefault="00B93209" w:rsidP="00794E35">
      <w:pPr>
        <w:keepNext/>
        <w:widowControl w:val="0"/>
        <w:spacing w:line="240" w:lineRule="auto"/>
        <w:rPr>
          <w:szCs w:val="22"/>
        </w:rPr>
      </w:pPr>
      <w:r w:rsidRPr="0080087F">
        <w:rPr>
          <w:szCs w:val="22"/>
        </w:rPr>
        <w:t>Gemcitabín je v kombinácii s cisplatinou indikovaný na liečbu pacientov s lokálne pokročilým alebo metastatickým karcinómom močového mechúra.</w:t>
      </w:r>
    </w:p>
    <w:p w:rsidR="008D0CF8" w:rsidRPr="00374CFE" w:rsidRDefault="008D0CF8" w:rsidP="00794E35">
      <w:pPr>
        <w:widowControl w:val="0"/>
        <w:spacing w:line="240" w:lineRule="auto"/>
        <w:rPr>
          <w:szCs w:val="22"/>
        </w:rPr>
      </w:pPr>
    </w:p>
    <w:p w:rsidR="008D0CF8" w:rsidRPr="005049A3" w:rsidRDefault="00B93209" w:rsidP="00794E35">
      <w:pPr>
        <w:keepNext/>
        <w:widowControl w:val="0"/>
        <w:spacing w:line="240" w:lineRule="auto"/>
        <w:rPr>
          <w:szCs w:val="22"/>
        </w:rPr>
      </w:pPr>
      <w:r w:rsidRPr="0072746E">
        <w:rPr>
          <w:szCs w:val="22"/>
        </w:rPr>
        <w:t>Gemcitabín je indikovaný na liečbu pacientov s lokálne pokroči</w:t>
      </w:r>
      <w:r w:rsidRPr="00284E7D">
        <w:rPr>
          <w:szCs w:val="22"/>
        </w:rPr>
        <w:t xml:space="preserve">lým alebo metastatickým adenokarcinómom pankreasu. </w:t>
      </w:r>
    </w:p>
    <w:p w:rsidR="008D0CF8" w:rsidRPr="00F1609D" w:rsidRDefault="008D0CF8" w:rsidP="00794E35">
      <w:pPr>
        <w:widowControl w:val="0"/>
        <w:spacing w:line="240" w:lineRule="auto"/>
        <w:rPr>
          <w:szCs w:val="22"/>
        </w:rPr>
      </w:pPr>
    </w:p>
    <w:p w:rsidR="008D0CF8" w:rsidRPr="00ED1486" w:rsidRDefault="00B93209" w:rsidP="00794E35">
      <w:pPr>
        <w:keepNext/>
        <w:widowControl w:val="0"/>
        <w:spacing w:line="240" w:lineRule="auto"/>
        <w:rPr>
          <w:szCs w:val="22"/>
        </w:rPr>
      </w:pPr>
      <w:r w:rsidRPr="005D0544">
        <w:rPr>
          <w:szCs w:val="22"/>
        </w:rPr>
        <w:t>Gemcitabín je v kombinácii s cisplatinou indikovaný v prvej línii liečby pacientov s lokálne pokročilým alebo metastatickým nemalobunkovým karcinómom pľúc (NSCLC). Monoterapia gemcitabínom môže byť pod</w:t>
      </w:r>
      <w:r w:rsidR="00B1707A">
        <w:rPr>
          <w:szCs w:val="22"/>
        </w:rPr>
        <w:t>áva</w:t>
      </w:r>
      <w:r w:rsidRPr="005D0544">
        <w:rPr>
          <w:szCs w:val="22"/>
        </w:rPr>
        <w:t>n</w:t>
      </w:r>
      <w:r w:rsidRPr="002C3B56">
        <w:rPr>
          <w:szCs w:val="22"/>
        </w:rPr>
        <w:t xml:space="preserve">á podľa uváženia </w:t>
      </w:r>
      <w:r w:rsidRPr="00395254">
        <w:rPr>
          <w:szCs w:val="22"/>
        </w:rPr>
        <w:t>starší</w:t>
      </w:r>
      <w:r w:rsidR="00CE07E1">
        <w:rPr>
          <w:szCs w:val="22"/>
        </w:rPr>
        <w:t>m</w:t>
      </w:r>
      <w:r w:rsidRPr="00CE07E1">
        <w:rPr>
          <w:szCs w:val="22"/>
        </w:rPr>
        <w:t xml:space="preserve"> paciento</w:t>
      </w:r>
      <w:r w:rsidR="00CE07E1">
        <w:rPr>
          <w:szCs w:val="22"/>
        </w:rPr>
        <w:t>m</w:t>
      </w:r>
      <w:r w:rsidRPr="00CE07E1">
        <w:rPr>
          <w:szCs w:val="22"/>
        </w:rPr>
        <w:t xml:space="preserve"> alebo paciento</w:t>
      </w:r>
      <w:r w:rsidR="00CE07E1">
        <w:rPr>
          <w:szCs w:val="22"/>
        </w:rPr>
        <w:t>m</w:t>
      </w:r>
      <w:r w:rsidRPr="00CE07E1">
        <w:rPr>
          <w:szCs w:val="22"/>
        </w:rPr>
        <w:t xml:space="preserve"> </w:t>
      </w:r>
      <w:r w:rsidR="00ED1486">
        <w:rPr>
          <w:szCs w:val="22"/>
        </w:rPr>
        <w:t xml:space="preserve">s výkonnostným stavom </w:t>
      </w:r>
      <w:r w:rsidRPr="00CE07E1">
        <w:rPr>
          <w:szCs w:val="22"/>
        </w:rPr>
        <w:t>(performance status)</w:t>
      </w:r>
      <w:r w:rsidR="00DB2A52" w:rsidRPr="004C3BBC">
        <w:rPr>
          <w:szCs w:val="22"/>
        </w:rPr>
        <w:t> </w:t>
      </w:r>
      <w:r w:rsidRPr="004C3BBC">
        <w:rPr>
          <w:szCs w:val="22"/>
        </w:rPr>
        <w:t>2.</w:t>
      </w:r>
    </w:p>
    <w:p w:rsidR="008D0CF8" w:rsidRPr="004338D3" w:rsidRDefault="008D0CF8" w:rsidP="00794E35">
      <w:pPr>
        <w:widowControl w:val="0"/>
        <w:spacing w:line="240" w:lineRule="auto"/>
        <w:rPr>
          <w:szCs w:val="22"/>
        </w:rPr>
      </w:pPr>
    </w:p>
    <w:p w:rsidR="008D0CF8" w:rsidRPr="00ED1486" w:rsidRDefault="00B93209" w:rsidP="00794E35">
      <w:pPr>
        <w:keepNext/>
        <w:widowControl w:val="0"/>
        <w:spacing w:line="240" w:lineRule="auto"/>
        <w:rPr>
          <w:szCs w:val="22"/>
        </w:rPr>
      </w:pPr>
      <w:r w:rsidRPr="00A510E9">
        <w:rPr>
          <w:szCs w:val="22"/>
        </w:rPr>
        <w:t xml:space="preserve">Gemcitabín je v kombinácii s karboplatinou indikovaný na liečbu pacientok s lokálne pokročilým alebo metastatickým epiteliálnym karcinómom ovária s relapsom po období </w:t>
      </w:r>
      <w:smartTag w:uri="urn:schemas-microsoft-com:office:smarttags" w:element="metricconverter">
        <w:smartTagPr>
          <w:attr w:name="ProductID" w:val="8 °C"/>
        </w:smartTagPr>
        <w:r w:rsidRPr="00A510E9">
          <w:rPr>
            <w:szCs w:val="22"/>
          </w:rPr>
          <w:t>6 a</w:t>
        </w:r>
      </w:smartTag>
      <w:r w:rsidRPr="00A510E9">
        <w:rPr>
          <w:szCs w:val="22"/>
        </w:rPr>
        <w:t xml:space="preserve"> viac mesiacov bez recidív</w:t>
      </w:r>
      <w:r w:rsidR="004C3BBC">
        <w:rPr>
          <w:szCs w:val="22"/>
        </w:rPr>
        <w:t>y</w:t>
      </w:r>
      <w:r w:rsidRPr="004C3BBC">
        <w:rPr>
          <w:szCs w:val="22"/>
        </w:rPr>
        <w:t xml:space="preserve"> po terapii prvej línie založenej na platine. </w:t>
      </w:r>
    </w:p>
    <w:p w:rsidR="008D0CF8" w:rsidRPr="004338D3" w:rsidRDefault="008D0CF8" w:rsidP="00794E35">
      <w:pPr>
        <w:widowControl w:val="0"/>
        <w:spacing w:line="240" w:lineRule="auto"/>
        <w:outlineLvl w:val="0"/>
        <w:rPr>
          <w:szCs w:val="22"/>
        </w:rPr>
      </w:pPr>
    </w:p>
    <w:p w:rsidR="008D0CF8" w:rsidRPr="004338D3" w:rsidRDefault="00B93209" w:rsidP="00794E35">
      <w:pPr>
        <w:spacing w:line="240" w:lineRule="auto"/>
        <w:rPr>
          <w:szCs w:val="22"/>
        </w:rPr>
      </w:pPr>
      <w:r w:rsidRPr="00A510E9">
        <w:rPr>
          <w:szCs w:val="22"/>
        </w:rPr>
        <w:t>Gemcitabín j</w:t>
      </w:r>
      <w:r w:rsidRPr="00CC2904">
        <w:rPr>
          <w:szCs w:val="22"/>
        </w:rPr>
        <w:t xml:space="preserve">e v kombinácii s paklitaxelom indikovaný na liečbu pacientov s neresekovateľným, lokálne </w:t>
      </w:r>
      <w:r w:rsidR="004338D3">
        <w:rPr>
          <w:szCs w:val="22"/>
        </w:rPr>
        <w:t>rekurentným</w:t>
      </w:r>
      <w:r w:rsidRPr="00ED1486">
        <w:rPr>
          <w:szCs w:val="22"/>
        </w:rPr>
        <w:t xml:space="preserve"> alebo metastatickým karcinómom prsníka s relapsom po adjuvantnej</w:t>
      </w:r>
      <w:r w:rsidR="00ED1486">
        <w:rPr>
          <w:szCs w:val="22"/>
        </w:rPr>
        <w:t>/</w:t>
      </w:r>
      <w:r w:rsidRPr="00ED1486">
        <w:rPr>
          <w:szCs w:val="22"/>
        </w:rPr>
        <w:t xml:space="preserve"> </w:t>
      </w:r>
      <w:r w:rsidRPr="00ED1486">
        <w:rPr>
          <w:szCs w:val="22"/>
        </w:rPr>
        <w:lastRenderedPageBreak/>
        <w:t>neoadjuvantnej chemoterapii. Predchádzajúca chemoterapia má zahŕňať antracyklíny, ak nie sú klinicky kontraindikované.</w:t>
      </w:r>
    </w:p>
    <w:p w:rsidR="008D0CF8" w:rsidRPr="00A510E9" w:rsidRDefault="008D0CF8" w:rsidP="00794E35">
      <w:pPr>
        <w:spacing w:line="240" w:lineRule="auto"/>
        <w:rPr>
          <w:szCs w:val="22"/>
        </w:rPr>
      </w:pPr>
    </w:p>
    <w:p w:rsidR="008D0CF8" w:rsidRPr="00CC2904" w:rsidRDefault="00B93209" w:rsidP="00794E35">
      <w:pPr>
        <w:keepNext/>
        <w:spacing w:line="240" w:lineRule="auto"/>
        <w:rPr>
          <w:b/>
          <w:szCs w:val="22"/>
        </w:rPr>
      </w:pPr>
      <w:r w:rsidRPr="00CC2904">
        <w:rPr>
          <w:b/>
          <w:szCs w:val="22"/>
        </w:rPr>
        <w:t>4.2</w:t>
      </w:r>
      <w:r w:rsidRPr="00CC2904">
        <w:rPr>
          <w:b/>
          <w:szCs w:val="22"/>
        </w:rPr>
        <w:tab/>
        <w:t>Dávkovanie a spôsob podávania</w:t>
      </w:r>
    </w:p>
    <w:p w:rsidR="008D0CF8" w:rsidRPr="00D55C3F" w:rsidRDefault="008D0CF8" w:rsidP="00794E35">
      <w:pPr>
        <w:keepNext/>
        <w:spacing w:line="240" w:lineRule="auto"/>
        <w:rPr>
          <w:szCs w:val="22"/>
        </w:rPr>
      </w:pPr>
    </w:p>
    <w:p w:rsidR="008D0CF8" w:rsidRPr="00F37C27" w:rsidRDefault="00B93209" w:rsidP="00794E35">
      <w:pPr>
        <w:keepNext/>
        <w:spacing w:line="240" w:lineRule="auto"/>
        <w:rPr>
          <w:szCs w:val="22"/>
        </w:rPr>
      </w:pPr>
      <w:r w:rsidRPr="00F37C27">
        <w:rPr>
          <w:szCs w:val="22"/>
        </w:rPr>
        <w:t>Gemcitabín môže predpísať len lekár vyškolený v používaní protinádorovej chemoterapie.</w:t>
      </w:r>
    </w:p>
    <w:p w:rsidR="008D0CF8" w:rsidRPr="00615B6B" w:rsidRDefault="008D0CF8" w:rsidP="00794E35">
      <w:pPr>
        <w:widowControl w:val="0"/>
        <w:spacing w:line="240" w:lineRule="auto"/>
        <w:rPr>
          <w:szCs w:val="22"/>
        </w:rPr>
      </w:pPr>
    </w:p>
    <w:p w:rsidR="008D0CF8" w:rsidRPr="00D46DC6" w:rsidRDefault="00B93209" w:rsidP="00794E35">
      <w:pPr>
        <w:keepNext/>
        <w:widowControl w:val="0"/>
        <w:spacing w:line="240" w:lineRule="auto"/>
        <w:outlineLvl w:val="0"/>
        <w:rPr>
          <w:szCs w:val="22"/>
          <w:u w:val="single"/>
        </w:rPr>
      </w:pPr>
      <w:r w:rsidRPr="00D46DC6">
        <w:rPr>
          <w:szCs w:val="22"/>
          <w:u w:val="single"/>
        </w:rPr>
        <w:t>Dávkovanie</w:t>
      </w:r>
    </w:p>
    <w:p w:rsidR="008D0CF8" w:rsidRPr="008D0E5E" w:rsidRDefault="008D0CF8" w:rsidP="00794E35">
      <w:pPr>
        <w:keepNext/>
        <w:widowControl w:val="0"/>
        <w:spacing w:line="240" w:lineRule="auto"/>
        <w:rPr>
          <w:szCs w:val="22"/>
        </w:rPr>
      </w:pPr>
    </w:p>
    <w:p w:rsidR="008D0CF8" w:rsidRPr="0080087F" w:rsidRDefault="00B93209" w:rsidP="00794E35">
      <w:pPr>
        <w:keepNext/>
        <w:widowControl w:val="0"/>
        <w:spacing w:line="240" w:lineRule="auto"/>
        <w:rPr>
          <w:i/>
          <w:szCs w:val="22"/>
          <w:u w:val="single"/>
        </w:rPr>
      </w:pPr>
      <w:r w:rsidRPr="0080087F">
        <w:rPr>
          <w:i/>
          <w:szCs w:val="22"/>
          <w:u w:val="single"/>
        </w:rPr>
        <w:t xml:space="preserve">Karcinóm močového mechúra </w:t>
      </w:r>
    </w:p>
    <w:p w:rsidR="008D0CF8" w:rsidRPr="003A469C" w:rsidRDefault="00B93209" w:rsidP="00794E35">
      <w:pPr>
        <w:keepNext/>
        <w:widowControl w:val="0"/>
        <w:spacing w:line="240" w:lineRule="auto"/>
        <w:rPr>
          <w:i/>
          <w:szCs w:val="22"/>
        </w:rPr>
      </w:pPr>
      <w:r w:rsidRPr="003A469C">
        <w:rPr>
          <w:i/>
          <w:szCs w:val="22"/>
        </w:rPr>
        <w:t>Použitie v kombinácii</w:t>
      </w:r>
    </w:p>
    <w:p w:rsidR="008D0CF8" w:rsidRPr="00CC2904" w:rsidRDefault="00B93209" w:rsidP="00794E35">
      <w:pPr>
        <w:keepNext/>
        <w:widowControl w:val="0"/>
        <w:spacing w:line="240" w:lineRule="auto"/>
        <w:rPr>
          <w:szCs w:val="22"/>
        </w:rPr>
      </w:pPr>
      <w:r w:rsidRPr="00374CFE">
        <w:rPr>
          <w:szCs w:val="22"/>
        </w:rPr>
        <w:t>Odporúčaná dávka gemcitabínu je 1</w:t>
      </w:r>
      <w:r w:rsidR="00616397" w:rsidRPr="00374CFE">
        <w:rPr>
          <w:szCs w:val="22"/>
        </w:rPr>
        <w:t> </w:t>
      </w:r>
      <w:r w:rsidRPr="00374CFE">
        <w:rPr>
          <w:szCs w:val="22"/>
        </w:rPr>
        <w:t>000</w:t>
      </w:r>
      <w:r w:rsidR="002F1F18" w:rsidRPr="00374CFE">
        <w:rPr>
          <w:szCs w:val="22"/>
        </w:rPr>
        <w:t> mg</w:t>
      </w:r>
      <w:r w:rsidRPr="00374CFE">
        <w:rPr>
          <w:szCs w:val="22"/>
        </w:rPr>
        <w:t>/</w:t>
      </w:r>
      <w:r w:rsidR="000B0D10" w:rsidRPr="00374CFE">
        <w:rPr>
          <w:szCs w:val="22"/>
        </w:rPr>
        <w:t>m²</w:t>
      </w:r>
      <w:r w:rsidRPr="00374CFE">
        <w:rPr>
          <w:szCs w:val="22"/>
        </w:rPr>
        <w:t xml:space="preserve"> podávaná 30-minútovou infúziou. Dávka má byť podávaná 1., </w:t>
      </w:r>
      <w:smartTag w:uri="urn:schemas-microsoft-com:office:smarttags" w:element="metricconverter">
        <w:smartTagPr>
          <w:attr w:name="ProductID" w:val="8 °C"/>
        </w:smartTagPr>
        <w:r w:rsidRPr="00374CFE">
          <w:rPr>
            <w:szCs w:val="22"/>
          </w:rPr>
          <w:t>8. a</w:t>
        </w:r>
      </w:smartTag>
      <w:r w:rsidRPr="00374CFE">
        <w:rPr>
          <w:szCs w:val="22"/>
        </w:rPr>
        <w:t xml:space="preserve"> 15.</w:t>
      </w:r>
      <w:r w:rsidR="00DB2A52" w:rsidRPr="0072746E">
        <w:rPr>
          <w:szCs w:val="22"/>
        </w:rPr>
        <w:t> </w:t>
      </w:r>
      <w:r w:rsidRPr="00284E7D">
        <w:rPr>
          <w:szCs w:val="22"/>
        </w:rPr>
        <w:t>deň každého 28</w:t>
      </w:r>
      <w:r w:rsidR="00DB2A52" w:rsidRPr="00284E7D">
        <w:rPr>
          <w:szCs w:val="22"/>
        </w:rPr>
        <w:noBreakHyphen/>
      </w:r>
      <w:r w:rsidRPr="00284E7D">
        <w:rPr>
          <w:szCs w:val="22"/>
        </w:rPr>
        <w:t>dňového cyklu v kombinácii s cisplatinou. Odporúčaná dávka cisplatiny je 70</w:t>
      </w:r>
      <w:r w:rsidR="002F1F18" w:rsidRPr="00284E7D">
        <w:rPr>
          <w:szCs w:val="22"/>
        </w:rPr>
        <w:t> mg</w:t>
      </w:r>
      <w:r w:rsidRPr="00284E7D">
        <w:rPr>
          <w:szCs w:val="22"/>
        </w:rPr>
        <w:t>/</w:t>
      </w:r>
      <w:r w:rsidR="000B0D10" w:rsidRPr="00284E7D">
        <w:rPr>
          <w:szCs w:val="22"/>
        </w:rPr>
        <w:t>m²</w:t>
      </w:r>
      <w:r w:rsidRPr="00284E7D">
        <w:rPr>
          <w:szCs w:val="22"/>
          <w:vertAlign w:val="superscript"/>
        </w:rPr>
        <w:t xml:space="preserve"> </w:t>
      </w:r>
      <w:r w:rsidRPr="00284E7D">
        <w:rPr>
          <w:szCs w:val="22"/>
        </w:rPr>
        <w:t>pod</w:t>
      </w:r>
      <w:r w:rsidR="00D16141">
        <w:rPr>
          <w:szCs w:val="22"/>
        </w:rPr>
        <w:t>áva</w:t>
      </w:r>
      <w:r w:rsidRPr="00D16141">
        <w:rPr>
          <w:szCs w:val="22"/>
        </w:rPr>
        <w:t>ná 1.</w:t>
      </w:r>
      <w:r w:rsidR="00DB2A52" w:rsidRPr="00D16141">
        <w:rPr>
          <w:szCs w:val="22"/>
        </w:rPr>
        <w:t> </w:t>
      </w:r>
      <w:r w:rsidRPr="00CC2904">
        <w:rPr>
          <w:szCs w:val="22"/>
        </w:rPr>
        <w:t>deň po dávke gemcitabínu alebo 2.</w:t>
      </w:r>
      <w:r w:rsidR="00DB2A52" w:rsidRPr="00CC2904">
        <w:rPr>
          <w:szCs w:val="22"/>
        </w:rPr>
        <w:t> </w:t>
      </w:r>
      <w:r w:rsidRPr="00CC2904">
        <w:rPr>
          <w:szCs w:val="22"/>
        </w:rPr>
        <w:t>deň každého 28</w:t>
      </w:r>
      <w:r w:rsidR="00DB2A52" w:rsidRPr="00CC2904">
        <w:rPr>
          <w:szCs w:val="22"/>
        </w:rPr>
        <w:noBreakHyphen/>
      </w:r>
      <w:r w:rsidRPr="00CC2904">
        <w:rPr>
          <w:szCs w:val="22"/>
        </w:rPr>
        <w:t>dňového cyklu. Tento 4</w:t>
      </w:r>
      <w:r w:rsidR="00DB2A52" w:rsidRPr="00D55C3F">
        <w:rPr>
          <w:szCs w:val="22"/>
        </w:rPr>
        <w:noBreakHyphen/>
      </w:r>
      <w:r w:rsidRPr="00D55C3F">
        <w:rPr>
          <w:szCs w:val="22"/>
        </w:rPr>
        <w:t>týždňový cyklus je potom opakovaný. Zníženie dáv</w:t>
      </w:r>
      <w:r w:rsidR="00751C65">
        <w:rPr>
          <w:szCs w:val="22"/>
        </w:rPr>
        <w:t>kovania</w:t>
      </w:r>
      <w:r w:rsidRPr="00D55C3F">
        <w:rPr>
          <w:szCs w:val="22"/>
        </w:rPr>
        <w:t xml:space="preserve"> pri všetkých cykloch alebo pri jednom z cyklov je možné vykonať </w:t>
      </w:r>
      <w:r w:rsidRPr="00CC2904">
        <w:rPr>
          <w:szCs w:val="22"/>
        </w:rPr>
        <w:t xml:space="preserve">individuálne podľa </w:t>
      </w:r>
      <w:r w:rsidR="00D55C3F">
        <w:rPr>
          <w:szCs w:val="22"/>
        </w:rPr>
        <w:t>stupňa</w:t>
      </w:r>
      <w:r w:rsidRPr="00CC2904">
        <w:rPr>
          <w:szCs w:val="22"/>
        </w:rPr>
        <w:t xml:space="preserve"> toxicity u pacienta. </w:t>
      </w:r>
    </w:p>
    <w:p w:rsidR="008D0CF8" w:rsidRPr="00D55C3F" w:rsidRDefault="008D0CF8" w:rsidP="00794E35">
      <w:pPr>
        <w:widowControl w:val="0"/>
        <w:spacing w:line="240" w:lineRule="auto"/>
        <w:rPr>
          <w:szCs w:val="22"/>
        </w:rPr>
      </w:pPr>
    </w:p>
    <w:p w:rsidR="008D0CF8" w:rsidRPr="00F37C27" w:rsidRDefault="00B93209" w:rsidP="00794E35">
      <w:pPr>
        <w:keepNext/>
        <w:widowControl w:val="0"/>
        <w:spacing w:line="240" w:lineRule="auto"/>
        <w:rPr>
          <w:i/>
          <w:szCs w:val="22"/>
          <w:u w:val="single"/>
        </w:rPr>
      </w:pPr>
      <w:r w:rsidRPr="00F37C27">
        <w:rPr>
          <w:i/>
          <w:szCs w:val="22"/>
          <w:u w:val="single"/>
        </w:rPr>
        <w:t xml:space="preserve">Karcinóm pankreasu </w:t>
      </w:r>
    </w:p>
    <w:p w:rsidR="008D0CF8" w:rsidRPr="00F37C27" w:rsidRDefault="00B93209" w:rsidP="00794E35">
      <w:pPr>
        <w:widowControl w:val="0"/>
        <w:spacing w:line="240" w:lineRule="auto"/>
        <w:rPr>
          <w:szCs w:val="22"/>
        </w:rPr>
      </w:pPr>
      <w:r w:rsidRPr="00615B6B">
        <w:rPr>
          <w:szCs w:val="22"/>
        </w:rPr>
        <w:t>Odporúčaná dávka gemcitabínu je 1 000 mg/</w:t>
      </w:r>
      <w:r w:rsidR="000B0D10" w:rsidRPr="00615B6B">
        <w:rPr>
          <w:szCs w:val="22"/>
        </w:rPr>
        <w:t>m²</w:t>
      </w:r>
      <w:r w:rsidRPr="00615B6B">
        <w:rPr>
          <w:szCs w:val="22"/>
        </w:rPr>
        <w:t xml:space="preserve"> podávaná 30-minútovou intravenóznou infúziou. Toto má byť opakované jedenkrát za týždeň po dobu až </w:t>
      </w:r>
      <w:r w:rsidR="00DB2A52" w:rsidRPr="00615B6B">
        <w:rPr>
          <w:szCs w:val="22"/>
        </w:rPr>
        <w:t>7 </w:t>
      </w:r>
      <w:r w:rsidRPr="00615B6B">
        <w:rPr>
          <w:szCs w:val="22"/>
        </w:rPr>
        <w:t>týždňov, potom nasleduje jed</w:t>
      </w:r>
      <w:r w:rsidR="00D55C3F">
        <w:rPr>
          <w:szCs w:val="22"/>
        </w:rPr>
        <w:t xml:space="preserve">en </w:t>
      </w:r>
      <w:r w:rsidRPr="00D55C3F">
        <w:rPr>
          <w:szCs w:val="22"/>
        </w:rPr>
        <w:t>týžd</w:t>
      </w:r>
      <w:r w:rsidR="00D55C3F">
        <w:rPr>
          <w:szCs w:val="22"/>
        </w:rPr>
        <w:t>eň</w:t>
      </w:r>
      <w:r w:rsidRPr="00D55C3F">
        <w:rPr>
          <w:szCs w:val="22"/>
        </w:rPr>
        <w:t xml:space="preserve"> prestávka. Následné cykly pozostávajú z injekcie podávanej jedenkrát za týždeň po dobu 3 za sebou nasledujúcich týždňov s prestávkou každý 4</w:t>
      </w:r>
      <w:r w:rsidR="00DB2A52" w:rsidRPr="00F37C27">
        <w:rPr>
          <w:szCs w:val="22"/>
        </w:rPr>
        <w:t>. </w:t>
      </w:r>
      <w:r w:rsidRPr="00F37C27">
        <w:rPr>
          <w:szCs w:val="22"/>
        </w:rPr>
        <w:t>týždeň</w:t>
      </w:r>
      <w:r w:rsidR="000E6FB0" w:rsidRPr="00F37C27">
        <w:rPr>
          <w:szCs w:val="22"/>
        </w:rPr>
        <w:t>.</w:t>
      </w:r>
      <w:r w:rsidRPr="00F37C27">
        <w:rPr>
          <w:szCs w:val="22"/>
        </w:rPr>
        <w:t xml:space="preserve"> Zníženie dáv</w:t>
      </w:r>
      <w:r w:rsidR="00751C65">
        <w:rPr>
          <w:szCs w:val="22"/>
        </w:rPr>
        <w:t>kovania</w:t>
      </w:r>
      <w:r w:rsidRPr="00F37C27">
        <w:rPr>
          <w:szCs w:val="22"/>
        </w:rPr>
        <w:t xml:space="preserve"> pri všetkých cykloch alebo pri jednom z cyklov je možné vykonať individuálne podľa </w:t>
      </w:r>
      <w:r w:rsidR="00F37C27">
        <w:rPr>
          <w:szCs w:val="22"/>
        </w:rPr>
        <w:t>stupňa</w:t>
      </w:r>
      <w:r w:rsidRPr="00F37C27">
        <w:rPr>
          <w:szCs w:val="22"/>
        </w:rPr>
        <w:t xml:space="preserve"> toxicity u pacienta. </w:t>
      </w:r>
    </w:p>
    <w:p w:rsidR="008D0CF8" w:rsidRPr="00615B6B" w:rsidRDefault="008D0CF8" w:rsidP="00794E35">
      <w:pPr>
        <w:widowControl w:val="0"/>
        <w:spacing w:line="240" w:lineRule="auto"/>
        <w:rPr>
          <w:szCs w:val="22"/>
        </w:rPr>
      </w:pPr>
    </w:p>
    <w:p w:rsidR="008D0CF8" w:rsidRPr="00D46DC6" w:rsidRDefault="00B93209" w:rsidP="00794E35">
      <w:pPr>
        <w:keepNext/>
        <w:widowControl w:val="0"/>
        <w:spacing w:line="240" w:lineRule="auto"/>
        <w:rPr>
          <w:i/>
          <w:szCs w:val="22"/>
          <w:u w:val="single"/>
        </w:rPr>
      </w:pPr>
      <w:r w:rsidRPr="00D46DC6">
        <w:rPr>
          <w:i/>
          <w:szCs w:val="22"/>
          <w:u w:val="single"/>
        </w:rPr>
        <w:t>Nemalobunkový karcinóm pľúc</w:t>
      </w:r>
    </w:p>
    <w:p w:rsidR="008D0CF8" w:rsidRPr="00524666" w:rsidRDefault="00B93209" w:rsidP="00794E35">
      <w:pPr>
        <w:keepNext/>
        <w:widowControl w:val="0"/>
        <w:spacing w:line="240" w:lineRule="auto"/>
        <w:rPr>
          <w:i/>
          <w:szCs w:val="22"/>
        </w:rPr>
      </w:pPr>
      <w:r w:rsidRPr="008D0E5E">
        <w:rPr>
          <w:i/>
          <w:szCs w:val="22"/>
        </w:rPr>
        <w:t>Monoterapia</w:t>
      </w:r>
    </w:p>
    <w:p w:rsidR="008D0CF8" w:rsidRPr="00D46DC6" w:rsidRDefault="00B93209" w:rsidP="00794E35">
      <w:pPr>
        <w:widowControl w:val="0"/>
        <w:spacing w:line="240" w:lineRule="auto"/>
        <w:rPr>
          <w:szCs w:val="22"/>
        </w:rPr>
      </w:pPr>
      <w:r w:rsidRPr="0080087F">
        <w:rPr>
          <w:szCs w:val="22"/>
        </w:rPr>
        <w:t>Odporúčaná dávka gemcitabínu je 1 000 mg/</w:t>
      </w:r>
      <w:r w:rsidR="000B0D10" w:rsidRPr="0080087F">
        <w:rPr>
          <w:szCs w:val="22"/>
        </w:rPr>
        <w:t>m²</w:t>
      </w:r>
      <w:r w:rsidRPr="0080087F">
        <w:rPr>
          <w:szCs w:val="22"/>
        </w:rPr>
        <w:t xml:space="preserve"> podávaná 30</w:t>
      </w:r>
      <w:r w:rsidR="00DB2A52" w:rsidRPr="0080087F">
        <w:rPr>
          <w:szCs w:val="22"/>
        </w:rPr>
        <w:noBreakHyphen/>
      </w:r>
      <w:r w:rsidRPr="0080087F">
        <w:rPr>
          <w:szCs w:val="22"/>
        </w:rPr>
        <w:t>minútovou intravenóznou infúziou. Toto má byť opakované jedenkrát za týždeň po dobu až 3 týždňov, potom nasleduje 1 týždeň bez liečby. Tento 4</w:t>
      </w:r>
      <w:r w:rsidR="00DB2A52" w:rsidRPr="003A469C">
        <w:rPr>
          <w:szCs w:val="22"/>
        </w:rPr>
        <w:noBreakHyphen/>
      </w:r>
      <w:r w:rsidRPr="003A469C">
        <w:rPr>
          <w:szCs w:val="22"/>
        </w:rPr>
        <w:t>týždňový cyklus je potom opakovaný. Zníženie dáv</w:t>
      </w:r>
      <w:r w:rsidR="00370FC6">
        <w:rPr>
          <w:szCs w:val="22"/>
        </w:rPr>
        <w:t>kovania</w:t>
      </w:r>
      <w:r w:rsidRPr="003A469C">
        <w:rPr>
          <w:szCs w:val="22"/>
        </w:rPr>
        <w:t xml:space="preserve"> pri všetkých cykloch alebo pri jednom z cyklov je možné vykonať individuálne podľa </w:t>
      </w:r>
      <w:r w:rsidR="00615B6B">
        <w:rPr>
          <w:szCs w:val="22"/>
        </w:rPr>
        <w:t>stupňa</w:t>
      </w:r>
      <w:r w:rsidRPr="00615B6B">
        <w:rPr>
          <w:szCs w:val="22"/>
        </w:rPr>
        <w:t xml:space="preserve"> toxicity u pacienta. </w:t>
      </w:r>
    </w:p>
    <w:p w:rsidR="008D0CF8" w:rsidRPr="008D0E5E" w:rsidRDefault="008D0CF8" w:rsidP="00794E35">
      <w:pPr>
        <w:widowControl w:val="0"/>
        <w:spacing w:line="240" w:lineRule="auto"/>
        <w:rPr>
          <w:szCs w:val="22"/>
        </w:rPr>
      </w:pPr>
    </w:p>
    <w:p w:rsidR="008D0CF8" w:rsidRPr="0080087F" w:rsidRDefault="00B93209" w:rsidP="00794E35">
      <w:pPr>
        <w:keepNext/>
        <w:widowControl w:val="0"/>
        <w:spacing w:line="240" w:lineRule="auto"/>
        <w:rPr>
          <w:i/>
          <w:szCs w:val="22"/>
        </w:rPr>
      </w:pPr>
      <w:r w:rsidRPr="0080087F">
        <w:rPr>
          <w:i/>
          <w:szCs w:val="22"/>
        </w:rPr>
        <w:t>Použitie v kombinácii</w:t>
      </w:r>
    </w:p>
    <w:p w:rsidR="008D0CF8" w:rsidRPr="008D0E5E" w:rsidRDefault="00B93209" w:rsidP="00794E35">
      <w:pPr>
        <w:widowControl w:val="0"/>
        <w:spacing w:line="240" w:lineRule="auto"/>
        <w:rPr>
          <w:szCs w:val="22"/>
        </w:rPr>
      </w:pPr>
      <w:r w:rsidRPr="003A469C">
        <w:rPr>
          <w:szCs w:val="22"/>
        </w:rPr>
        <w:t>Odporúčaná dávka gemcitabínu je 1 250 mg/</w:t>
      </w:r>
      <w:r w:rsidR="000B0D10" w:rsidRPr="003A469C">
        <w:rPr>
          <w:szCs w:val="22"/>
        </w:rPr>
        <w:t>m²</w:t>
      </w:r>
      <w:r w:rsidRPr="003A469C">
        <w:rPr>
          <w:szCs w:val="22"/>
        </w:rPr>
        <w:t xml:space="preserve"> plochy telesného povrchu podávaná 30</w:t>
      </w:r>
      <w:r w:rsidR="00DB2A52" w:rsidRPr="003A469C">
        <w:rPr>
          <w:szCs w:val="22"/>
        </w:rPr>
        <w:noBreakHyphen/>
      </w:r>
      <w:r w:rsidRPr="003A469C">
        <w:rPr>
          <w:szCs w:val="22"/>
        </w:rPr>
        <w:t xml:space="preserve">minútovou intravenóznou infúziou </w:t>
      </w:r>
      <w:smartTag w:uri="urn:schemas-microsoft-com:office:smarttags" w:element="metricconverter">
        <w:smartTagPr>
          <w:attr w:name="ProductID" w:val="8 °C"/>
        </w:smartTagPr>
        <w:r w:rsidRPr="003A469C">
          <w:rPr>
            <w:szCs w:val="22"/>
          </w:rPr>
          <w:t>1. a</w:t>
        </w:r>
      </w:smartTag>
      <w:r w:rsidRPr="003A469C">
        <w:rPr>
          <w:szCs w:val="22"/>
        </w:rPr>
        <w:t xml:space="preserve"> 8.</w:t>
      </w:r>
      <w:r w:rsidR="00DB2A52" w:rsidRPr="00374CFE">
        <w:rPr>
          <w:szCs w:val="22"/>
        </w:rPr>
        <w:t> </w:t>
      </w:r>
      <w:r w:rsidRPr="00374CFE">
        <w:rPr>
          <w:szCs w:val="22"/>
        </w:rPr>
        <w:t>deň liečebného cyklu (</w:t>
      </w:r>
      <w:r w:rsidR="00DB2A52" w:rsidRPr="00374CFE">
        <w:rPr>
          <w:szCs w:val="22"/>
        </w:rPr>
        <w:t>21 </w:t>
      </w:r>
      <w:r w:rsidRPr="00374CFE">
        <w:rPr>
          <w:szCs w:val="22"/>
        </w:rPr>
        <w:t>dní). Zníženie dáv</w:t>
      </w:r>
      <w:r w:rsidR="004A3EB5">
        <w:rPr>
          <w:szCs w:val="22"/>
        </w:rPr>
        <w:t>kovania</w:t>
      </w:r>
      <w:r w:rsidRPr="00374CFE">
        <w:rPr>
          <w:szCs w:val="22"/>
        </w:rPr>
        <w:t xml:space="preserve"> pri všetkých cykloch alebo pri jednom z cyklov je možné vykonať individuálne podľa </w:t>
      </w:r>
      <w:r w:rsidR="00D46DC6">
        <w:rPr>
          <w:szCs w:val="22"/>
        </w:rPr>
        <w:t>stupňa</w:t>
      </w:r>
      <w:r w:rsidRPr="00D46DC6">
        <w:rPr>
          <w:szCs w:val="22"/>
        </w:rPr>
        <w:t xml:space="preserve"> toxicity u pacienta. </w:t>
      </w:r>
    </w:p>
    <w:p w:rsidR="008D0CF8" w:rsidRPr="0080087F" w:rsidRDefault="00B93209" w:rsidP="00794E35">
      <w:pPr>
        <w:widowControl w:val="0"/>
        <w:spacing w:line="240" w:lineRule="auto"/>
        <w:rPr>
          <w:szCs w:val="22"/>
        </w:rPr>
      </w:pPr>
      <w:r w:rsidRPr="0080087F">
        <w:rPr>
          <w:szCs w:val="22"/>
        </w:rPr>
        <w:t>Cisplatina bola pod</w:t>
      </w:r>
      <w:r w:rsidR="002D7CF9">
        <w:rPr>
          <w:szCs w:val="22"/>
        </w:rPr>
        <w:t>áva</w:t>
      </w:r>
      <w:r w:rsidRPr="0080087F">
        <w:rPr>
          <w:szCs w:val="22"/>
        </w:rPr>
        <w:t>ná v dávkach 75</w:t>
      </w:r>
      <w:r w:rsidR="00DB2A52" w:rsidRPr="0080087F">
        <w:rPr>
          <w:szCs w:val="22"/>
        </w:rPr>
        <w:t> </w:t>
      </w:r>
      <w:r w:rsidRPr="0080087F">
        <w:rPr>
          <w:szCs w:val="22"/>
        </w:rPr>
        <w:t>–</w:t>
      </w:r>
      <w:r w:rsidR="00DB2A52" w:rsidRPr="0080087F">
        <w:rPr>
          <w:szCs w:val="22"/>
        </w:rPr>
        <w:t> </w:t>
      </w:r>
      <w:r w:rsidRPr="0080087F">
        <w:rPr>
          <w:szCs w:val="22"/>
        </w:rPr>
        <w:t>100</w:t>
      </w:r>
      <w:r w:rsidR="002F1F18" w:rsidRPr="0080087F">
        <w:rPr>
          <w:szCs w:val="22"/>
        </w:rPr>
        <w:t> mg</w:t>
      </w:r>
      <w:r w:rsidRPr="0080087F">
        <w:rPr>
          <w:szCs w:val="22"/>
        </w:rPr>
        <w:t>/</w:t>
      </w:r>
      <w:r w:rsidR="000B0D10" w:rsidRPr="0080087F">
        <w:rPr>
          <w:szCs w:val="22"/>
        </w:rPr>
        <w:t>m²</w:t>
      </w:r>
      <w:r w:rsidRPr="0080087F">
        <w:rPr>
          <w:szCs w:val="22"/>
          <w:vertAlign w:val="superscript"/>
        </w:rPr>
        <w:t xml:space="preserve"> </w:t>
      </w:r>
      <w:r w:rsidRPr="0080087F">
        <w:rPr>
          <w:szCs w:val="22"/>
        </w:rPr>
        <w:t>jedenkrát za 3</w:t>
      </w:r>
      <w:r w:rsidR="00DB2A52" w:rsidRPr="0080087F">
        <w:rPr>
          <w:szCs w:val="22"/>
        </w:rPr>
        <w:t> </w:t>
      </w:r>
      <w:r w:rsidRPr="0080087F">
        <w:rPr>
          <w:szCs w:val="22"/>
        </w:rPr>
        <w:t>týždne.</w:t>
      </w:r>
    </w:p>
    <w:p w:rsidR="008D0CF8" w:rsidRPr="003A469C" w:rsidRDefault="008D0CF8" w:rsidP="00794E35">
      <w:pPr>
        <w:widowControl w:val="0"/>
        <w:spacing w:line="240" w:lineRule="auto"/>
        <w:rPr>
          <w:szCs w:val="22"/>
        </w:rPr>
      </w:pPr>
    </w:p>
    <w:p w:rsidR="008D0CF8" w:rsidRPr="00374CFE" w:rsidRDefault="00B93209" w:rsidP="00794E35">
      <w:pPr>
        <w:keepNext/>
        <w:widowControl w:val="0"/>
        <w:spacing w:line="240" w:lineRule="auto"/>
        <w:rPr>
          <w:i/>
          <w:szCs w:val="22"/>
          <w:u w:val="single"/>
        </w:rPr>
      </w:pPr>
      <w:r w:rsidRPr="00374CFE">
        <w:rPr>
          <w:i/>
          <w:szCs w:val="22"/>
          <w:u w:val="single"/>
        </w:rPr>
        <w:t>Karcinóm prsníka</w:t>
      </w:r>
    </w:p>
    <w:p w:rsidR="008D0CF8" w:rsidRPr="00284E7D" w:rsidRDefault="00B93209" w:rsidP="00794E35">
      <w:pPr>
        <w:keepNext/>
        <w:widowControl w:val="0"/>
        <w:spacing w:line="240" w:lineRule="auto"/>
        <w:rPr>
          <w:i/>
          <w:szCs w:val="22"/>
        </w:rPr>
      </w:pPr>
      <w:r w:rsidRPr="0072746E">
        <w:rPr>
          <w:i/>
          <w:szCs w:val="22"/>
        </w:rPr>
        <w:t>Použitie v kombinácii</w:t>
      </w:r>
    </w:p>
    <w:p w:rsidR="008D0CF8" w:rsidRPr="003A469C" w:rsidRDefault="00B93209" w:rsidP="00794E35">
      <w:pPr>
        <w:widowControl w:val="0"/>
        <w:spacing w:line="240" w:lineRule="auto"/>
        <w:rPr>
          <w:szCs w:val="22"/>
        </w:rPr>
      </w:pPr>
      <w:r w:rsidRPr="00284E7D">
        <w:rPr>
          <w:szCs w:val="22"/>
        </w:rPr>
        <w:t>Použitie gemcitabínu v kombinácii s paklitaxelom je odporučené v</w:t>
      </w:r>
      <w:r w:rsidR="00284E7D">
        <w:rPr>
          <w:szCs w:val="22"/>
        </w:rPr>
        <w:t xml:space="preserve"> dávke</w:t>
      </w:r>
      <w:r w:rsidRPr="00524666">
        <w:rPr>
          <w:szCs w:val="22"/>
        </w:rPr>
        <w:t xml:space="preserve"> paklitaxel</w:t>
      </w:r>
      <w:r w:rsidR="00284E7D">
        <w:rPr>
          <w:szCs w:val="22"/>
        </w:rPr>
        <w:t>u</w:t>
      </w:r>
      <w:r w:rsidRPr="00524666">
        <w:rPr>
          <w:szCs w:val="22"/>
        </w:rPr>
        <w:t xml:space="preserve"> (175 mg/</w:t>
      </w:r>
      <w:r w:rsidR="000B0D10" w:rsidRPr="00524666">
        <w:rPr>
          <w:szCs w:val="22"/>
        </w:rPr>
        <w:t>m²</w:t>
      </w:r>
      <w:r w:rsidRPr="00524666">
        <w:rPr>
          <w:szCs w:val="22"/>
        </w:rPr>
        <w:t xml:space="preserve">) </w:t>
      </w:r>
      <w:r w:rsidR="0080087F">
        <w:rPr>
          <w:szCs w:val="22"/>
        </w:rPr>
        <w:t>podáva</w:t>
      </w:r>
      <w:r w:rsidR="00284E7D">
        <w:rPr>
          <w:szCs w:val="22"/>
        </w:rPr>
        <w:t>ného</w:t>
      </w:r>
      <w:r w:rsidRPr="00524666">
        <w:rPr>
          <w:szCs w:val="22"/>
        </w:rPr>
        <w:t xml:space="preserve"> 1.</w:t>
      </w:r>
      <w:r w:rsidR="00DB2A52" w:rsidRPr="00524666">
        <w:rPr>
          <w:szCs w:val="22"/>
        </w:rPr>
        <w:t> </w:t>
      </w:r>
      <w:r w:rsidRPr="00524666">
        <w:rPr>
          <w:szCs w:val="22"/>
        </w:rPr>
        <w:t xml:space="preserve">deň </w:t>
      </w:r>
      <w:r w:rsidR="003A469C">
        <w:rPr>
          <w:szCs w:val="22"/>
        </w:rPr>
        <w:t>približne</w:t>
      </w:r>
      <w:r w:rsidRPr="00524666">
        <w:rPr>
          <w:szCs w:val="22"/>
        </w:rPr>
        <w:t xml:space="preserve"> </w:t>
      </w:r>
      <w:r w:rsidR="00793C63">
        <w:rPr>
          <w:szCs w:val="22"/>
        </w:rPr>
        <w:t xml:space="preserve">3 </w:t>
      </w:r>
      <w:r w:rsidR="00284E7D">
        <w:rPr>
          <w:szCs w:val="22"/>
        </w:rPr>
        <w:t>hodiny</w:t>
      </w:r>
      <w:r w:rsidRPr="00524666">
        <w:rPr>
          <w:szCs w:val="22"/>
        </w:rPr>
        <w:t xml:space="preserve"> intravenózn</w:t>
      </w:r>
      <w:r w:rsidR="003A469C">
        <w:rPr>
          <w:szCs w:val="22"/>
        </w:rPr>
        <w:t>ou</w:t>
      </w:r>
      <w:r w:rsidRPr="00524666">
        <w:rPr>
          <w:szCs w:val="22"/>
        </w:rPr>
        <w:t xml:space="preserve"> infúz</w:t>
      </w:r>
      <w:r w:rsidR="00616397" w:rsidRPr="00524666">
        <w:rPr>
          <w:szCs w:val="22"/>
        </w:rPr>
        <w:t>i</w:t>
      </w:r>
      <w:r w:rsidR="003A469C">
        <w:rPr>
          <w:szCs w:val="22"/>
        </w:rPr>
        <w:t>ou</w:t>
      </w:r>
      <w:r w:rsidR="00616397" w:rsidRPr="00524666">
        <w:rPr>
          <w:szCs w:val="22"/>
        </w:rPr>
        <w:t xml:space="preserve"> nasledovan</w:t>
      </w:r>
      <w:r w:rsidR="003A469C">
        <w:rPr>
          <w:szCs w:val="22"/>
        </w:rPr>
        <w:t>ou</w:t>
      </w:r>
      <w:r w:rsidR="00616397" w:rsidRPr="00524666">
        <w:rPr>
          <w:szCs w:val="22"/>
        </w:rPr>
        <w:t xml:space="preserve"> gemcitabínom (1 </w:t>
      </w:r>
      <w:r w:rsidRPr="0080087F">
        <w:rPr>
          <w:szCs w:val="22"/>
        </w:rPr>
        <w:t>250</w:t>
      </w:r>
      <w:r w:rsidR="002F1F18" w:rsidRPr="0080087F">
        <w:rPr>
          <w:szCs w:val="22"/>
        </w:rPr>
        <w:t> mg</w:t>
      </w:r>
      <w:r w:rsidRPr="0080087F">
        <w:rPr>
          <w:szCs w:val="22"/>
        </w:rPr>
        <w:t>/</w:t>
      </w:r>
      <w:r w:rsidR="000B0D10" w:rsidRPr="0080087F">
        <w:rPr>
          <w:szCs w:val="22"/>
        </w:rPr>
        <w:t>m²</w:t>
      </w:r>
      <w:r w:rsidRPr="0080087F">
        <w:rPr>
          <w:szCs w:val="22"/>
        </w:rPr>
        <w:t>) v</w:t>
      </w:r>
      <w:r w:rsidR="00DB2A52" w:rsidRPr="0080087F">
        <w:rPr>
          <w:szCs w:val="22"/>
        </w:rPr>
        <w:t> </w:t>
      </w:r>
      <w:r w:rsidRPr="0080087F">
        <w:rPr>
          <w:szCs w:val="22"/>
        </w:rPr>
        <w:t>30</w:t>
      </w:r>
      <w:r w:rsidR="00DB2A52" w:rsidRPr="0080087F">
        <w:rPr>
          <w:szCs w:val="22"/>
        </w:rPr>
        <w:noBreakHyphen/>
      </w:r>
      <w:r w:rsidRPr="0080087F">
        <w:rPr>
          <w:szCs w:val="22"/>
        </w:rPr>
        <w:t xml:space="preserve">minútovej intravenóznej infúzii </w:t>
      </w:r>
      <w:smartTag w:uri="urn:schemas-microsoft-com:office:smarttags" w:element="metricconverter">
        <w:smartTagPr>
          <w:attr w:name="ProductID" w:val="8 °C"/>
        </w:smartTagPr>
        <w:r w:rsidRPr="0080087F">
          <w:rPr>
            <w:szCs w:val="22"/>
          </w:rPr>
          <w:t>1. a</w:t>
        </w:r>
      </w:smartTag>
      <w:r w:rsidRPr="0080087F">
        <w:rPr>
          <w:szCs w:val="22"/>
        </w:rPr>
        <w:t xml:space="preserve"> 8.</w:t>
      </w:r>
      <w:r w:rsidR="00DB2A52" w:rsidRPr="0080087F">
        <w:rPr>
          <w:szCs w:val="22"/>
        </w:rPr>
        <w:t> </w:t>
      </w:r>
      <w:r w:rsidRPr="0080087F">
        <w:rPr>
          <w:szCs w:val="22"/>
        </w:rPr>
        <w:t xml:space="preserve">deň </w:t>
      </w:r>
      <w:r w:rsidR="000E6360" w:rsidRPr="0080087F">
        <w:rPr>
          <w:szCs w:val="22"/>
        </w:rPr>
        <w:t xml:space="preserve">každého </w:t>
      </w:r>
      <w:r w:rsidRPr="0080087F">
        <w:rPr>
          <w:szCs w:val="22"/>
        </w:rPr>
        <w:t>21</w:t>
      </w:r>
      <w:r w:rsidR="00DB2A52" w:rsidRPr="0080087F">
        <w:rPr>
          <w:szCs w:val="22"/>
        </w:rPr>
        <w:noBreakHyphen/>
      </w:r>
      <w:r w:rsidRPr="0080087F">
        <w:rPr>
          <w:szCs w:val="22"/>
        </w:rPr>
        <w:t>dňového cyklu. Zníženie dáv</w:t>
      </w:r>
      <w:r w:rsidR="00395254">
        <w:rPr>
          <w:szCs w:val="22"/>
        </w:rPr>
        <w:t>kovania</w:t>
      </w:r>
      <w:r w:rsidRPr="0080087F">
        <w:rPr>
          <w:szCs w:val="22"/>
        </w:rPr>
        <w:t xml:space="preserve"> pri všetkých cykloch alebo pri jednom z </w:t>
      </w:r>
      <w:r w:rsidRPr="003A469C">
        <w:rPr>
          <w:szCs w:val="22"/>
        </w:rPr>
        <w:t xml:space="preserve">cyklov je možné vykonať individuálne podľa </w:t>
      </w:r>
      <w:r w:rsidR="003A469C">
        <w:rPr>
          <w:szCs w:val="22"/>
        </w:rPr>
        <w:t>stupňa</w:t>
      </w:r>
      <w:r w:rsidRPr="003A469C">
        <w:rPr>
          <w:szCs w:val="22"/>
        </w:rPr>
        <w:t xml:space="preserve"> toxicity u pacienta. Pacienti majú mať </w:t>
      </w:r>
      <w:r w:rsidR="00374CFE" w:rsidRPr="003A469C">
        <w:rPr>
          <w:szCs w:val="22"/>
        </w:rPr>
        <w:t>absolútny počet granulocytov najmenej 1 500 (x 10</w:t>
      </w:r>
      <w:r w:rsidR="00374CFE" w:rsidRPr="003A469C">
        <w:rPr>
          <w:szCs w:val="22"/>
          <w:vertAlign w:val="superscript"/>
        </w:rPr>
        <w:t>6</w:t>
      </w:r>
      <w:r w:rsidR="00374CFE">
        <w:rPr>
          <w:szCs w:val="22"/>
        </w:rPr>
        <w:t>/l)</w:t>
      </w:r>
      <w:r w:rsidR="00374CFE" w:rsidRPr="003A469C">
        <w:rPr>
          <w:szCs w:val="22"/>
        </w:rPr>
        <w:t xml:space="preserve"> </w:t>
      </w:r>
      <w:r w:rsidRPr="003A469C">
        <w:rPr>
          <w:szCs w:val="22"/>
        </w:rPr>
        <w:t>pred</w:t>
      </w:r>
      <w:r w:rsidR="00374CFE">
        <w:rPr>
          <w:szCs w:val="22"/>
        </w:rPr>
        <w:t xml:space="preserve"> začatím</w:t>
      </w:r>
      <w:r w:rsidRPr="003A469C">
        <w:rPr>
          <w:szCs w:val="22"/>
        </w:rPr>
        <w:t xml:space="preserve"> pod</w:t>
      </w:r>
      <w:r w:rsidR="003A469C">
        <w:rPr>
          <w:szCs w:val="22"/>
        </w:rPr>
        <w:t>áva</w:t>
      </w:r>
      <w:r w:rsidRPr="003A469C">
        <w:rPr>
          <w:szCs w:val="22"/>
        </w:rPr>
        <w:t>n</w:t>
      </w:r>
      <w:r w:rsidR="00374CFE">
        <w:rPr>
          <w:szCs w:val="22"/>
        </w:rPr>
        <w:t>ia</w:t>
      </w:r>
      <w:r w:rsidRPr="003A469C">
        <w:rPr>
          <w:szCs w:val="22"/>
        </w:rPr>
        <w:t xml:space="preserve"> kombinácie gemcitabín + paklitaxel. </w:t>
      </w:r>
    </w:p>
    <w:p w:rsidR="008D0CF8" w:rsidRPr="00374CFE" w:rsidRDefault="008D0CF8" w:rsidP="00794E35">
      <w:pPr>
        <w:widowControl w:val="0"/>
        <w:spacing w:line="240" w:lineRule="auto"/>
        <w:rPr>
          <w:szCs w:val="22"/>
        </w:rPr>
      </w:pPr>
    </w:p>
    <w:p w:rsidR="008D0CF8" w:rsidRPr="00284E7D" w:rsidRDefault="00B93209" w:rsidP="00794E35">
      <w:pPr>
        <w:keepNext/>
        <w:widowControl w:val="0"/>
        <w:spacing w:line="240" w:lineRule="auto"/>
        <w:rPr>
          <w:i/>
          <w:szCs w:val="22"/>
          <w:u w:val="single"/>
        </w:rPr>
      </w:pPr>
      <w:r w:rsidRPr="0072746E">
        <w:rPr>
          <w:i/>
          <w:szCs w:val="22"/>
          <w:u w:val="single"/>
        </w:rPr>
        <w:t>Karcinóm ovária</w:t>
      </w:r>
    </w:p>
    <w:p w:rsidR="008D0CF8" w:rsidRPr="00600FFB" w:rsidRDefault="00B93209" w:rsidP="00794E35">
      <w:pPr>
        <w:keepNext/>
        <w:widowControl w:val="0"/>
        <w:spacing w:line="240" w:lineRule="auto"/>
        <w:rPr>
          <w:i/>
          <w:szCs w:val="22"/>
        </w:rPr>
      </w:pPr>
      <w:r w:rsidRPr="005049A3">
        <w:rPr>
          <w:i/>
          <w:szCs w:val="22"/>
        </w:rPr>
        <w:t>Použitie v kombinácii</w:t>
      </w:r>
    </w:p>
    <w:p w:rsidR="008D0CF8" w:rsidRPr="005D0544" w:rsidRDefault="00B93209" w:rsidP="00794E35">
      <w:pPr>
        <w:widowControl w:val="0"/>
        <w:spacing w:line="240" w:lineRule="auto"/>
        <w:rPr>
          <w:szCs w:val="22"/>
        </w:rPr>
      </w:pPr>
      <w:r w:rsidRPr="00F1609D">
        <w:rPr>
          <w:szCs w:val="22"/>
        </w:rPr>
        <w:t>Odporúčaná dávka gemcitabínu používaného v kombinácii s karboplatinou je 1 000 mg/</w:t>
      </w:r>
      <w:r w:rsidR="000B0D10" w:rsidRPr="00F1609D">
        <w:rPr>
          <w:szCs w:val="22"/>
        </w:rPr>
        <w:t>m²</w:t>
      </w:r>
      <w:r w:rsidRPr="00F1609D">
        <w:rPr>
          <w:szCs w:val="22"/>
        </w:rPr>
        <w:t xml:space="preserve"> podávaná 30</w:t>
      </w:r>
      <w:r w:rsidR="00DB2A52" w:rsidRPr="00F1609D">
        <w:rPr>
          <w:szCs w:val="22"/>
        </w:rPr>
        <w:noBreakHyphen/>
      </w:r>
      <w:r w:rsidRPr="005D0544">
        <w:rPr>
          <w:szCs w:val="22"/>
        </w:rPr>
        <w:t xml:space="preserve">minútovou intravenóznou infúziou </w:t>
      </w:r>
      <w:smartTag w:uri="urn:schemas-microsoft-com:office:smarttags" w:element="metricconverter">
        <w:smartTagPr>
          <w:attr w:name="ProductID" w:val="8 °C"/>
        </w:smartTagPr>
        <w:r w:rsidRPr="005D0544">
          <w:rPr>
            <w:szCs w:val="22"/>
          </w:rPr>
          <w:t>1. a</w:t>
        </w:r>
      </w:smartTag>
      <w:r w:rsidRPr="005D0544">
        <w:rPr>
          <w:szCs w:val="22"/>
        </w:rPr>
        <w:t xml:space="preserve"> 8.</w:t>
      </w:r>
      <w:r w:rsidR="00DB2A52" w:rsidRPr="005D0544">
        <w:rPr>
          <w:szCs w:val="22"/>
        </w:rPr>
        <w:t> </w:t>
      </w:r>
      <w:r w:rsidRPr="005D0544">
        <w:rPr>
          <w:szCs w:val="22"/>
        </w:rPr>
        <w:t>deň každého 21</w:t>
      </w:r>
      <w:r w:rsidR="00DB2A52" w:rsidRPr="005D0544">
        <w:rPr>
          <w:szCs w:val="22"/>
        </w:rPr>
        <w:noBreakHyphen/>
      </w:r>
      <w:r w:rsidRPr="005D0544">
        <w:rPr>
          <w:szCs w:val="22"/>
        </w:rPr>
        <w:t>dňového cyklu. Po pod</w:t>
      </w:r>
      <w:r w:rsidR="005D0544">
        <w:rPr>
          <w:szCs w:val="22"/>
        </w:rPr>
        <w:t>áva</w:t>
      </w:r>
      <w:r w:rsidRPr="00600FFB">
        <w:rPr>
          <w:szCs w:val="22"/>
        </w:rPr>
        <w:t>ní gemcitabínu je 1.</w:t>
      </w:r>
      <w:r w:rsidR="00DB2A52" w:rsidRPr="00600FFB">
        <w:rPr>
          <w:szCs w:val="22"/>
        </w:rPr>
        <w:t> </w:t>
      </w:r>
      <w:r w:rsidRPr="00F1609D">
        <w:rPr>
          <w:szCs w:val="22"/>
        </w:rPr>
        <w:t>deň pod</w:t>
      </w:r>
      <w:r w:rsidR="005D0544">
        <w:rPr>
          <w:szCs w:val="22"/>
        </w:rPr>
        <w:t>áva</w:t>
      </w:r>
      <w:r w:rsidRPr="00F1609D">
        <w:rPr>
          <w:szCs w:val="22"/>
        </w:rPr>
        <w:t>ná karboplatina v dávke potrebnej na dosiahnutie plochy pod krivkou (AUC) 4,0</w:t>
      </w:r>
      <w:r w:rsidR="002F1F18" w:rsidRPr="00F1609D">
        <w:rPr>
          <w:szCs w:val="22"/>
        </w:rPr>
        <w:t> mg</w:t>
      </w:r>
      <w:r w:rsidRPr="00F1609D">
        <w:rPr>
          <w:szCs w:val="22"/>
        </w:rPr>
        <w:t>/ml/min. Zníženie dáv</w:t>
      </w:r>
      <w:r w:rsidR="00A50A06">
        <w:rPr>
          <w:szCs w:val="22"/>
        </w:rPr>
        <w:t>kovania</w:t>
      </w:r>
      <w:r w:rsidRPr="00F1609D">
        <w:rPr>
          <w:szCs w:val="22"/>
        </w:rPr>
        <w:t xml:space="preserve"> pri všetkých cykloch alebo pri jednom z cyklov je možn</w:t>
      </w:r>
      <w:r w:rsidR="00254AFA">
        <w:rPr>
          <w:szCs w:val="22"/>
        </w:rPr>
        <w:t>é</w:t>
      </w:r>
      <w:r w:rsidRPr="00F1609D">
        <w:rPr>
          <w:szCs w:val="22"/>
        </w:rPr>
        <w:t xml:space="preserve"> vykonať individuálne podľa </w:t>
      </w:r>
      <w:r w:rsidR="002C3B56">
        <w:rPr>
          <w:szCs w:val="22"/>
        </w:rPr>
        <w:t>stupňa</w:t>
      </w:r>
      <w:r w:rsidRPr="00F1609D">
        <w:rPr>
          <w:szCs w:val="22"/>
        </w:rPr>
        <w:t xml:space="preserve"> toxicity u pacienta. </w:t>
      </w:r>
    </w:p>
    <w:p w:rsidR="008D0CF8" w:rsidRPr="002C3B56" w:rsidRDefault="008D0CF8" w:rsidP="00794E35">
      <w:pPr>
        <w:widowControl w:val="0"/>
        <w:spacing w:line="240" w:lineRule="auto"/>
        <w:rPr>
          <w:szCs w:val="22"/>
        </w:rPr>
      </w:pPr>
    </w:p>
    <w:p w:rsidR="008D0CF8" w:rsidRPr="004A3EB5" w:rsidRDefault="00B93209" w:rsidP="00794E35">
      <w:pPr>
        <w:keepNext/>
        <w:widowControl w:val="0"/>
        <w:spacing w:line="240" w:lineRule="auto"/>
        <w:rPr>
          <w:szCs w:val="22"/>
          <w:u w:val="single"/>
        </w:rPr>
      </w:pPr>
      <w:r w:rsidRPr="002C3B56">
        <w:rPr>
          <w:szCs w:val="22"/>
          <w:u w:val="single"/>
        </w:rPr>
        <w:lastRenderedPageBreak/>
        <w:t xml:space="preserve">Sledovanie </w:t>
      </w:r>
      <w:r w:rsidR="00565599" w:rsidRPr="00751C65">
        <w:rPr>
          <w:szCs w:val="22"/>
          <w:u w:val="single"/>
        </w:rPr>
        <w:t xml:space="preserve">možného výskytu </w:t>
      </w:r>
      <w:r w:rsidRPr="00370FC6">
        <w:rPr>
          <w:szCs w:val="22"/>
          <w:u w:val="single"/>
        </w:rPr>
        <w:t>toxicity a úpravy dávky z dôvodu toxicity</w:t>
      </w:r>
    </w:p>
    <w:p w:rsidR="008D0CF8" w:rsidRPr="002D7CF9" w:rsidRDefault="008D0CF8" w:rsidP="00794E35">
      <w:pPr>
        <w:keepNext/>
        <w:widowControl w:val="0"/>
        <w:spacing w:line="240" w:lineRule="auto"/>
        <w:rPr>
          <w:i/>
          <w:szCs w:val="22"/>
          <w:u w:val="single"/>
        </w:rPr>
      </w:pPr>
    </w:p>
    <w:p w:rsidR="008D0CF8" w:rsidRPr="00A50A06" w:rsidRDefault="00B93209" w:rsidP="00794E35">
      <w:pPr>
        <w:keepNext/>
        <w:widowControl w:val="0"/>
        <w:spacing w:line="240" w:lineRule="auto"/>
        <w:rPr>
          <w:i/>
          <w:szCs w:val="22"/>
          <w:u w:val="single"/>
        </w:rPr>
      </w:pPr>
      <w:r w:rsidRPr="00395254">
        <w:rPr>
          <w:i/>
          <w:szCs w:val="22"/>
          <w:u w:val="single"/>
        </w:rPr>
        <w:t>Úpravy dávky z dôvodu nehematologickej toxicity</w:t>
      </w:r>
    </w:p>
    <w:p w:rsidR="008D0CF8" w:rsidRPr="00734ABC" w:rsidRDefault="00B93209" w:rsidP="00794E35">
      <w:pPr>
        <w:widowControl w:val="0"/>
        <w:spacing w:line="240" w:lineRule="auto"/>
        <w:rPr>
          <w:szCs w:val="22"/>
        </w:rPr>
      </w:pPr>
      <w:r w:rsidRPr="00254AFA">
        <w:rPr>
          <w:szCs w:val="22"/>
        </w:rPr>
        <w:t>Majú byť vykonávané pravidelné fyzikálne vyšetrenia a kontroly renálnych a pečeňových funkcií, aby sa zistila prípadná nehematologická toxicita. Zníženie dáv</w:t>
      </w:r>
      <w:r w:rsidR="007D64F3">
        <w:rPr>
          <w:szCs w:val="22"/>
        </w:rPr>
        <w:t>kovania</w:t>
      </w:r>
      <w:r w:rsidRPr="00254AFA">
        <w:rPr>
          <w:szCs w:val="22"/>
        </w:rPr>
        <w:t xml:space="preserve"> pri všetkých cykloch alebo pri jednom z cyklov je možné vykonať individuálne podľa </w:t>
      </w:r>
      <w:r w:rsidR="00734ABC">
        <w:rPr>
          <w:szCs w:val="22"/>
        </w:rPr>
        <w:t>stupňa</w:t>
      </w:r>
      <w:r w:rsidRPr="00254AFA">
        <w:rPr>
          <w:szCs w:val="22"/>
        </w:rPr>
        <w:t xml:space="preserve"> toxici</w:t>
      </w:r>
      <w:r w:rsidRPr="007D64F3">
        <w:rPr>
          <w:szCs w:val="22"/>
        </w:rPr>
        <w:t>ty u pacienta. Všeobecne platí, že pri závažnej (stupeň</w:t>
      </w:r>
      <w:r w:rsidR="00FE4720" w:rsidRPr="007D64F3">
        <w:rPr>
          <w:szCs w:val="22"/>
        </w:rPr>
        <w:t> </w:t>
      </w:r>
      <w:r w:rsidRPr="007D64F3">
        <w:rPr>
          <w:szCs w:val="22"/>
        </w:rPr>
        <w:t>3 alebo 4) nehematologickej toxicite, s výnimkou nauzey</w:t>
      </w:r>
      <w:r w:rsidR="0093252D">
        <w:rPr>
          <w:szCs w:val="22"/>
        </w:rPr>
        <w:t>/</w:t>
      </w:r>
      <w:r w:rsidRPr="007D64F3">
        <w:rPr>
          <w:szCs w:val="22"/>
        </w:rPr>
        <w:t>vracania, má byť terapia gemcitabínom prerušená alebo majú byť znížené dávky v závislosti na rozhodnutí ošetrujúceho lekára. Ďalšie dávky nemaj</w:t>
      </w:r>
      <w:r w:rsidRPr="00734ABC">
        <w:rPr>
          <w:szCs w:val="22"/>
        </w:rPr>
        <w:t>ú byť pod</w:t>
      </w:r>
      <w:r w:rsidR="0073597A">
        <w:rPr>
          <w:szCs w:val="22"/>
        </w:rPr>
        <w:t>áva</w:t>
      </w:r>
      <w:r w:rsidRPr="00734ABC">
        <w:rPr>
          <w:szCs w:val="22"/>
        </w:rPr>
        <w:t xml:space="preserve">né, pokiaľ príznaky toxicity podľa názoru lekára nevymiznú. </w:t>
      </w:r>
    </w:p>
    <w:p w:rsidR="008D0CF8" w:rsidRPr="0093252D" w:rsidRDefault="008D0CF8" w:rsidP="00794E35">
      <w:pPr>
        <w:widowControl w:val="0"/>
        <w:spacing w:line="240" w:lineRule="auto"/>
        <w:rPr>
          <w:szCs w:val="22"/>
        </w:rPr>
      </w:pPr>
    </w:p>
    <w:p w:rsidR="008D0CF8" w:rsidRPr="0003528F" w:rsidRDefault="00B93209" w:rsidP="00794E35">
      <w:pPr>
        <w:widowControl w:val="0"/>
        <w:spacing w:line="240" w:lineRule="auto"/>
        <w:rPr>
          <w:szCs w:val="22"/>
          <w:highlight w:val="yellow"/>
        </w:rPr>
      </w:pPr>
      <w:r w:rsidRPr="0073597A">
        <w:rPr>
          <w:szCs w:val="22"/>
        </w:rPr>
        <w:t>Pre úpravu dávky cisplatiny, karboplatiny a paklitaxelu podávaných v kombinovanej terapii, pozri zodpovedajúci súhrn charakteristických vlastností lieku.</w:t>
      </w:r>
    </w:p>
    <w:p w:rsidR="008D0CF8" w:rsidRPr="00B90CEA" w:rsidRDefault="008D0CF8" w:rsidP="00794E35">
      <w:pPr>
        <w:spacing w:line="240" w:lineRule="auto"/>
        <w:rPr>
          <w:i/>
          <w:szCs w:val="22"/>
        </w:rPr>
      </w:pPr>
    </w:p>
    <w:p w:rsidR="008D0CF8" w:rsidRPr="00495133" w:rsidRDefault="00B93209" w:rsidP="00794E35">
      <w:pPr>
        <w:keepNext/>
        <w:spacing w:line="240" w:lineRule="auto"/>
        <w:rPr>
          <w:i/>
          <w:szCs w:val="22"/>
          <w:u w:val="single"/>
        </w:rPr>
      </w:pPr>
      <w:r w:rsidRPr="00495133">
        <w:rPr>
          <w:i/>
          <w:szCs w:val="22"/>
          <w:u w:val="single"/>
        </w:rPr>
        <w:t>Úpravy dávky z dôvodu hematologickej toxicity</w:t>
      </w:r>
    </w:p>
    <w:p w:rsidR="008D0CF8" w:rsidRPr="00B90CEA" w:rsidRDefault="00B93209" w:rsidP="00794E35">
      <w:pPr>
        <w:keepNext/>
        <w:autoSpaceDE w:val="0"/>
        <w:autoSpaceDN w:val="0"/>
        <w:adjustRightInd w:val="0"/>
        <w:spacing w:line="240" w:lineRule="auto"/>
        <w:rPr>
          <w:i/>
          <w:szCs w:val="22"/>
        </w:rPr>
      </w:pPr>
      <w:r w:rsidRPr="00495133">
        <w:rPr>
          <w:i/>
          <w:szCs w:val="22"/>
        </w:rPr>
        <w:t>Za</w:t>
      </w:r>
      <w:r w:rsidR="00336C25">
        <w:rPr>
          <w:i/>
          <w:szCs w:val="22"/>
        </w:rPr>
        <w:t>čiatok</w:t>
      </w:r>
      <w:r w:rsidRPr="00B90CEA">
        <w:rPr>
          <w:i/>
          <w:szCs w:val="22"/>
        </w:rPr>
        <w:t xml:space="preserve"> cyklu</w:t>
      </w:r>
    </w:p>
    <w:p w:rsidR="008D0CF8" w:rsidRPr="00B90CEA" w:rsidRDefault="00B93209" w:rsidP="00794E35">
      <w:pPr>
        <w:spacing w:line="240" w:lineRule="auto"/>
        <w:rPr>
          <w:szCs w:val="22"/>
        </w:rPr>
      </w:pPr>
      <w:r w:rsidRPr="00B90CEA">
        <w:rPr>
          <w:szCs w:val="22"/>
        </w:rPr>
        <w:t xml:space="preserve">Pri všetkých indikáciách musí byť pacientom pred každou </w:t>
      </w:r>
      <w:r w:rsidR="00B90CEA">
        <w:rPr>
          <w:szCs w:val="22"/>
        </w:rPr>
        <w:t xml:space="preserve">dávkou </w:t>
      </w:r>
      <w:r w:rsidRPr="00B90CEA">
        <w:rPr>
          <w:szCs w:val="22"/>
        </w:rPr>
        <w:t>vykonané vyšetrenie počtu trombocytov a granulocytov. Pred za</w:t>
      </w:r>
      <w:r w:rsidR="00495133">
        <w:rPr>
          <w:szCs w:val="22"/>
        </w:rPr>
        <w:t>čiatkom</w:t>
      </w:r>
      <w:r w:rsidRPr="00B90CEA">
        <w:rPr>
          <w:szCs w:val="22"/>
        </w:rPr>
        <w:t xml:space="preserve"> cyklu majú mať pacienti absolútny počet granulocytov najmenej 1 500 (x 10</w:t>
      </w:r>
      <w:r w:rsidRPr="00B90CEA">
        <w:rPr>
          <w:szCs w:val="22"/>
          <w:vertAlign w:val="superscript"/>
        </w:rPr>
        <w:t>6</w:t>
      </w:r>
      <w:r w:rsidRPr="00B90CEA">
        <w:rPr>
          <w:szCs w:val="22"/>
        </w:rPr>
        <w:t>/l) a počet trombocytov 100 000 (x 10</w:t>
      </w:r>
      <w:r w:rsidRPr="00B90CEA">
        <w:rPr>
          <w:szCs w:val="22"/>
          <w:vertAlign w:val="superscript"/>
        </w:rPr>
        <w:t>6</w:t>
      </w:r>
      <w:r w:rsidRPr="00B90CEA">
        <w:rPr>
          <w:szCs w:val="22"/>
        </w:rPr>
        <w:t>/l).</w:t>
      </w:r>
    </w:p>
    <w:p w:rsidR="008D0CF8" w:rsidRPr="00495133" w:rsidRDefault="008D0CF8" w:rsidP="00794E35">
      <w:pPr>
        <w:widowControl w:val="0"/>
        <w:spacing w:line="240" w:lineRule="auto"/>
        <w:rPr>
          <w:szCs w:val="22"/>
        </w:rPr>
      </w:pPr>
    </w:p>
    <w:p w:rsidR="008D0CF8" w:rsidRPr="00213F3D" w:rsidRDefault="00B93209" w:rsidP="00794E35">
      <w:pPr>
        <w:keepNext/>
        <w:autoSpaceDE w:val="0"/>
        <w:autoSpaceDN w:val="0"/>
        <w:adjustRightInd w:val="0"/>
        <w:spacing w:line="240" w:lineRule="auto"/>
        <w:rPr>
          <w:i/>
          <w:szCs w:val="22"/>
        </w:rPr>
      </w:pPr>
      <w:r w:rsidRPr="00213F3D">
        <w:rPr>
          <w:i/>
          <w:szCs w:val="22"/>
        </w:rPr>
        <w:t>V priebehu cyklu</w:t>
      </w:r>
    </w:p>
    <w:p w:rsidR="008D0CF8" w:rsidRPr="00213F3D" w:rsidRDefault="00B93209" w:rsidP="00794E35">
      <w:pPr>
        <w:autoSpaceDE w:val="0"/>
        <w:autoSpaceDN w:val="0"/>
        <w:adjustRightInd w:val="0"/>
        <w:spacing w:line="240" w:lineRule="auto"/>
        <w:rPr>
          <w:szCs w:val="22"/>
        </w:rPr>
      </w:pPr>
      <w:r w:rsidRPr="00213F3D">
        <w:rPr>
          <w:szCs w:val="22"/>
        </w:rPr>
        <w:t>V priebehu cyklu majú byť dávky gemcitabínu upravené podľa nasled</w:t>
      </w:r>
      <w:r w:rsidR="00213F3D">
        <w:rPr>
          <w:szCs w:val="22"/>
        </w:rPr>
        <w:t>ovných</w:t>
      </w:r>
      <w:r w:rsidRPr="00213F3D">
        <w:rPr>
          <w:szCs w:val="22"/>
        </w:rPr>
        <w:t xml:space="preserve"> tabuliek:</w:t>
      </w:r>
    </w:p>
    <w:p w:rsidR="008D0CF8" w:rsidRPr="00DE0EBB" w:rsidRDefault="008D0CF8" w:rsidP="00794E35">
      <w:pPr>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2693"/>
      </w:tblGrid>
      <w:tr w:rsidR="008D0CF8" w:rsidRPr="007D1B67" w:rsidTr="0015025C">
        <w:tc>
          <w:tcPr>
            <w:tcW w:w="8755" w:type="dxa"/>
            <w:gridSpan w:val="3"/>
          </w:tcPr>
          <w:p w:rsidR="008D0CF8" w:rsidRPr="005A7ECC" w:rsidRDefault="00B93209" w:rsidP="00794E35">
            <w:pPr>
              <w:keepNext/>
              <w:autoSpaceDE w:val="0"/>
              <w:autoSpaceDN w:val="0"/>
              <w:adjustRightInd w:val="0"/>
              <w:spacing w:line="240" w:lineRule="auto"/>
              <w:rPr>
                <w:b/>
                <w:szCs w:val="22"/>
                <w:u w:val="single"/>
              </w:rPr>
            </w:pPr>
            <w:r w:rsidRPr="002F6660">
              <w:rPr>
                <w:b/>
                <w:szCs w:val="22"/>
              </w:rPr>
              <w:t>Úprav</w:t>
            </w:r>
            <w:r w:rsidR="00783826">
              <w:rPr>
                <w:b/>
                <w:szCs w:val="22"/>
              </w:rPr>
              <w:t>a</w:t>
            </w:r>
            <w:r w:rsidRPr="002F6660">
              <w:rPr>
                <w:b/>
                <w:szCs w:val="22"/>
              </w:rPr>
              <w:t xml:space="preserve"> dávky gemcitabínu v monoterapii alebo v kombinácii s cisplatinou v priebehu cyklu pri liečbe karcinómu </w:t>
            </w:r>
            <w:r w:rsidRPr="005A7ECC">
              <w:rPr>
                <w:b/>
                <w:szCs w:val="22"/>
              </w:rPr>
              <w:t>močového mechúra, NSCLC a karcinómu pankreasu</w:t>
            </w:r>
          </w:p>
        </w:tc>
      </w:tr>
      <w:tr w:rsidR="008D0CF8" w:rsidRPr="007D1B67" w:rsidTr="0015025C">
        <w:tc>
          <w:tcPr>
            <w:tcW w:w="3369" w:type="dxa"/>
          </w:tcPr>
          <w:p w:rsidR="008D0CF8" w:rsidRPr="007D1B67" w:rsidRDefault="00B93209" w:rsidP="00502952">
            <w:pPr>
              <w:keepNext/>
              <w:keepLines/>
              <w:tabs>
                <w:tab w:val="clear" w:pos="567"/>
              </w:tabs>
              <w:spacing w:line="240" w:lineRule="auto"/>
              <w:jc w:val="center"/>
              <w:rPr>
                <w:b/>
                <w:bCs/>
                <w:szCs w:val="22"/>
              </w:rPr>
            </w:pPr>
            <w:r w:rsidRPr="00AD5EA5">
              <w:rPr>
                <w:b/>
                <w:szCs w:val="22"/>
              </w:rPr>
              <w:t>Absolútny počet granulocytov</w:t>
            </w:r>
          </w:p>
          <w:p w:rsidR="008D0CF8" w:rsidRPr="007D1B67" w:rsidRDefault="00B93209" w:rsidP="00914233">
            <w:pPr>
              <w:keepNext/>
              <w:keepLines/>
              <w:tabs>
                <w:tab w:val="clear" w:pos="567"/>
              </w:tabs>
              <w:spacing w:line="240" w:lineRule="auto"/>
              <w:jc w:val="center"/>
              <w:rPr>
                <w:b/>
                <w:bCs/>
                <w:szCs w:val="22"/>
              </w:rPr>
            </w:pPr>
            <w:r w:rsidRPr="00AD5EA5">
              <w:rPr>
                <w:b/>
                <w:szCs w:val="22"/>
              </w:rPr>
              <w:t>(x</w:t>
            </w:r>
            <w:r w:rsidR="00010582" w:rsidRPr="00AD5EA5">
              <w:rPr>
                <w:b/>
                <w:szCs w:val="22"/>
              </w:rPr>
              <w:t> </w:t>
            </w:r>
            <w:r w:rsidRPr="00AD5EA5">
              <w:rPr>
                <w:b/>
                <w:szCs w:val="22"/>
              </w:rPr>
              <w:t>10</w:t>
            </w:r>
            <w:r w:rsidRPr="008A55DD">
              <w:rPr>
                <w:b/>
                <w:szCs w:val="22"/>
                <w:vertAlign w:val="superscript"/>
              </w:rPr>
              <w:t>6</w:t>
            </w:r>
            <w:r w:rsidRPr="00644C9F">
              <w:rPr>
                <w:b/>
                <w:szCs w:val="22"/>
              </w:rPr>
              <w:t>/l)</w:t>
            </w:r>
          </w:p>
        </w:tc>
        <w:tc>
          <w:tcPr>
            <w:tcW w:w="2693" w:type="dxa"/>
          </w:tcPr>
          <w:p w:rsidR="008D0CF8" w:rsidRPr="007D1B67" w:rsidRDefault="00B93209" w:rsidP="00794E35">
            <w:pPr>
              <w:keepNext/>
              <w:keepLines/>
              <w:spacing w:line="240" w:lineRule="auto"/>
              <w:ind w:left="153"/>
              <w:jc w:val="center"/>
              <w:rPr>
                <w:b/>
                <w:bCs/>
                <w:szCs w:val="22"/>
              </w:rPr>
            </w:pPr>
            <w:r w:rsidRPr="00AD5EA5">
              <w:rPr>
                <w:b/>
                <w:szCs w:val="22"/>
              </w:rPr>
              <w:t>Počet trombocytov</w:t>
            </w:r>
          </w:p>
          <w:p w:rsidR="008D0CF8" w:rsidRPr="007D1B67" w:rsidRDefault="00B93209" w:rsidP="00794E35">
            <w:pPr>
              <w:keepNext/>
              <w:keepLines/>
              <w:spacing w:line="240" w:lineRule="auto"/>
              <w:ind w:left="153"/>
              <w:jc w:val="center"/>
              <w:rPr>
                <w:b/>
                <w:bCs/>
                <w:szCs w:val="22"/>
              </w:rPr>
            </w:pPr>
            <w:r w:rsidRPr="00AD5EA5">
              <w:rPr>
                <w:b/>
                <w:szCs w:val="22"/>
              </w:rPr>
              <w:t>(x10</w:t>
            </w:r>
            <w:r w:rsidRPr="00AD5EA5">
              <w:rPr>
                <w:b/>
                <w:szCs w:val="22"/>
                <w:vertAlign w:val="superscript"/>
              </w:rPr>
              <w:t>6</w:t>
            </w:r>
            <w:r w:rsidRPr="00AD5EA5">
              <w:rPr>
                <w:b/>
                <w:szCs w:val="22"/>
              </w:rPr>
              <w:t>/l)</w:t>
            </w:r>
          </w:p>
        </w:tc>
        <w:tc>
          <w:tcPr>
            <w:tcW w:w="2693" w:type="dxa"/>
          </w:tcPr>
          <w:p w:rsidR="008D0CF8" w:rsidRPr="002F6660" w:rsidRDefault="00B93209" w:rsidP="00794E35">
            <w:pPr>
              <w:keepNext/>
              <w:keepLines/>
              <w:spacing w:line="240" w:lineRule="auto"/>
              <w:ind w:left="33"/>
              <w:jc w:val="center"/>
              <w:rPr>
                <w:b/>
                <w:bCs/>
                <w:szCs w:val="22"/>
              </w:rPr>
            </w:pPr>
            <w:r w:rsidRPr="00AD5EA5">
              <w:rPr>
                <w:b/>
                <w:szCs w:val="22"/>
              </w:rPr>
              <w:t xml:space="preserve">Percento štandardnej dávky </w:t>
            </w:r>
            <w:r w:rsidR="00DE0EBB">
              <w:rPr>
                <w:b/>
                <w:szCs w:val="22"/>
              </w:rPr>
              <w:t xml:space="preserve">lieku </w:t>
            </w:r>
            <w:r w:rsidRPr="00DE0EBB">
              <w:rPr>
                <w:b/>
                <w:szCs w:val="22"/>
              </w:rPr>
              <w:t>Gemcitabine medac (%)</w:t>
            </w:r>
          </w:p>
        </w:tc>
      </w:tr>
      <w:tr w:rsidR="00F1294D" w:rsidRPr="007D1B67" w:rsidTr="0015025C">
        <w:tc>
          <w:tcPr>
            <w:tcW w:w="3369" w:type="dxa"/>
          </w:tcPr>
          <w:p w:rsidR="00F1294D" w:rsidRPr="007D1B67" w:rsidRDefault="00B93209" w:rsidP="00794E35">
            <w:pPr>
              <w:keepNext/>
              <w:keepLines/>
              <w:spacing w:line="240" w:lineRule="auto"/>
              <w:rPr>
                <w:szCs w:val="22"/>
              </w:rPr>
            </w:pPr>
            <w:r w:rsidRPr="00AD5EA5">
              <w:rPr>
                <w:szCs w:val="22"/>
              </w:rPr>
              <w:t>&gt;</w:t>
            </w:r>
            <w:r w:rsidR="00010582" w:rsidRPr="00AD5EA5">
              <w:rPr>
                <w:szCs w:val="22"/>
              </w:rPr>
              <w:t> </w:t>
            </w:r>
            <w:r w:rsidRPr="00AD5EA5">
              <w:rPr>
                <w:szCs w:val="22"/>
              </w:rPr>
              <w:t>1 000</w:t>
            </w:r>
            <w:r w:rsidRPr="00AD5EA5">
              <w:rPr>
                <w:szCs w:val="22"/>
              </w:rPr>
              <w:tab/>
            </w:r>
            <w:r w:rsidRPr="00AD5EA5">
              <w:rPr>
                <w:szCs w:val="22"/>
              </w:rPr>
              <w:tab/>
            </w:r>
            <w:r w:rsidRPr="00AD5EA5">
              <w:rPr>
                <w:szCs w:val="22"/>
              </w:rPr>
              <w:tab/>
              <w:t>a</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&gt;</w:t>
            </w:r>
            <w:r w:rsidR="00010582" w:rsidRPr="00AD5EA5">
              <w:rPr>
                <w:szCs w:val="22"/>
              </w:rPr>
              <w:t> </w:t>
            </w:r>
            <w:r w:rsidRPr="00AD5EA5">
              <w:rPr>
                <w:szCs w:val="22"/>
              </w:rPr>
              <w:t>100 000</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100</w:t>
            </w:r>
          </w:p>
        </w:tc>
      </w:tr>
      <w:tr w:rsidR="00F1294D" w:rsidRPr="007D1B67" w:rsidTr="0015025C">
        <w:tc>
          <w:tcPr>
            <w:tcW w:w="3369" w:type="dxa"/>
          </w:tcPr>
          <w:p w:rsidR="00F1294D" w:rsidRPr="007D1B67" w:rsidRDefault="00B93209" w:rsidP="00794E35">
            <w:pPr>
              <w:keepNext/>
              <w:keepLines/>
              <w:spacing w:line="240" w:lineRule="auto"/>
              <w:rPr>
                <w:szCs w:val="22"/>
              </w:rPr>
            </w:pPr>
            <w:r w:rsidRPr="00AD5EA5">
              <w:rPr>
                <w:szCs w:val="22"/>
              </w:rPr>
              <w:t>500</w:t>
            </w:r>
            <w:r w:rsidR="00010582" w:rsidRPr="00AD5EA5">
              <w:rPr>
                <w:szCs w:val="22"/>
              </w:rPr>
              <w:t> </w:t>
            </w:r>
            <w:r w:rsidR="00010582" w:rsidRPr="00AD5EA5">
              <w:rPr>
                <w:szCs w:val="22"/>
              </w:rPr>
              <w:noBreakHyphen/>
              <w:t> </w:t>
            </w:r>
            <w:r w:rsidRPr="00AD5EA5">
              <w:rPr>
                <w:szCs w:val="22"/>
              </w:rPr>
              <w:t>1,000</w:t>
            </w:r>
            <w:r w:rsidRPr="00AD5EA5">
              <w:rPr>
                <w:szCs w:val="22"/>
              </w:rPr>
              <w:tab/>
            </w:r>
            <w:r w:rsidRPr="00AD5EA5">
              <w:rPr>
                <w:szCs w:val="22"/>
              </w:rPr>
              <w:tab/>
            </w:r>
            <w:r w:rsidRPr="00AD5EA5">
              <w:rPr>
                <w:szCs w:val="22"/>
              </w:rPr>
              <w:tab/>
              <w:t>alebo</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50 000</w:t>
            </w:r>
            <w:r w:rsidR="00010582" w:rsidRPr="00AD5EA5">
              <w:rPr>
                <w:szCs w:val="22"/>
              </w:rPr>
              <w:t> </w:t>
            </w:r>
            <w:r w:rsidR="00010582" w:rsidRPr="00AD5EA5">
              <w:rPr>
                <w:szCs w:val="22"/>
              </w:rPr>
              <w:noBreakHyphen/>
              <w:t> </w:t>
            </w:r>
            <w:r w:rsidRPr="00AD5EA5">
              <w:rPr>
                <w:szCs w:val="22"/>
              </w:rPr>
              <w:t>100 000</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75</w:t>
            </w:r>
          </w:p>
        </w:tc>
      </w:tr>
      <w:tr w:rsidR="00F1294D" w:rsidRPr="007D1B67" w:rsidTr="0015025C">
        <w:tc>
          <w:tcPr>
            <w:tcW w:w="3369" w:type="dxa"/>
          </w:tcPr>
          <w:p w:rsidR="00F1294D" w:rsidRPr="007D1B67" w:rsidRDefault="00B93209" w:rsidP="00794E35">
            <w:pPr>
              <w:keepNext/>
              <w:keepLines/>
              <w:spacing w:line="240" w:lineRule="auto"/>
              <w:rPr>
                <w:szCs w:val="22"/>
              </w:rPr>
            </w:pPr>
            <w:r w:rsidRPr="00AD5EA5">
              <w:rPr>
                <w:szCs w:val="22"/>
              </w:rPr>
              <w:t>&lt;</w:t>
            </w:r>
            <w:r w:rsidR="00010582" w:rsidRPr="00AD5EA5">
              <w:rPr>
                <w:szCs w:val="22"/>
              </w:rPr>
              <w:t> </w:t>
            </w:r>
            <w:r w:rsidRPr="00AD5EA5">
              <w:rPr>
                <w:szCs w:val="22"/>
              </w:rPr>
              <w:t>500</w:t>
            </w:r>
            <w:r w:rsidRPr="00AD5EA5">
              <w:rPr>
                <w:szCs w:val="22"/>
              </w:rPr>
              <w:tab/>
            </w:r>
            <w:r w:rsidRPr="00AD5EA5">
              <w:rPr>
                <w:szCs w:val="22"/>
              </w:rPr>
              <w:tab/>
            </w:r>
            <w:r w:rsidRPr="00AD5EA5">
              <w:rPr>
                <w:szCs w:val="22"/>
              </w:rPr>
              <w:tab/>
            </w:r>
            <w:r w:rsidRPr="00AD5EA5">
              <w:rPr>
                <w:szCs w:val="22"/>
              </w:rPr>
              <w:tab/>
              <w:t>alebo</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&lt;</w:t>
            </w:r>
            <w:r w:rsidR="00010582" w:rsidRPr="00AD5EA5">
              <w:rPr>
                <w:szCs w:val="22"/>
              </w:rPr>
              <w:t> </w:t>
            </w:r>
            <w:r w:rsidRPr="00AD5EA5">
              <w:rPr>
                <w:szCs w:val="22"/>
              </w:rPr>
              <w:t>50 000</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Vynechaná dávka*</w:t>
            </w:r>
          </w:p>
        </w:tc>
      </w:tr>
    </w:tbl>
    <w:p w:rsidR="008D0CF8" w:rsidRPr="007D1B67" w:rsidRDefault="00B93209" w:rsidP="00794E35">
      <w:pPr>
        <w:keepNext/>
        <w:spacing w:line="240" w:lineRule="auto"/>
        <w:rPr>
          <w:szCs w:val="22"/>
        </w:rPr>
      </w:pPr>
      <w:r w:rsidRPr="00AD5EA5">
        <w:rPr>
          <w:szCs w:val="22"/>
        </w:rPr>
        <w:t>*Vynechaná liečba sa v priebehu cyklu neobnoví pred dosiahnutím absolútneho počtu granulocytov najmenej 500 (x10</w:t>
      </w:r>
      <w:r w:rsidRPr="00AD5EA5">
        <w:rPr>
          <w:szCs w:val="22"/>
          <w:vertAlign w:val="superscript"/>
        </w:rPr>
        <w:t>6</w:t>
      </w:r>
      <w:r w:rsidRPr="008A55DD">
        <w:rPr>
          <w:szCs w:val="22"/>
        </w:rPr>
        <w:t>/l) a počtu trombocytov 50 000 (x10</w:t>
      </w:r>
      <w:r w:rsidRPr="00644C9F">
        <w:rPr>
          <w:szCs w:val="22"/>
          <w:vertAlign w:val="superscript"/>
        </w:rPr>
        <w:t>6</w:t>
      </w:r>
      <w:r w:rsidRPr="00C97179">
        <w:rPr>
          <w:szCs w:val="22"/>
        </w:rPr>
        <w:t>/l).</w:t>
      </w:r>
    </w:p>
    <w:p w:rsidR="008D0CF8" w:rsidRPr="007D1B67" w:rsidRDefault="008D0CF8" w:rsidP="00794E35">
      <w:pPr>
        <w:autoSpaceDE w:val="0"/>
        <w:autoSpaceDN w:val="0"/>
        <w:adjustRightInd w:val="0"/>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835"/>
        <w:gridCol w:w="2724"/>
      </w:tblGrid>
      <w:tr w:rsidR="008D0CF8" w:rsidRPr="007D1B67" w:rsidTr="0015025C">
        <w:tc>
          <w:tcPr>
            <w:tcW w:w="9211" w:type="dxa"/>
            <w:gridSpan w:val="3"/>
          </w:tcPr>
          <w:p w:rsidR="008D0CF8" w:rsidRPr="005A6423" w:rsidRDefault="00B93209" w:rsidP="00794E35">
            <w:pPr>
              <w:autoSpaceDE w:val="0"/>
              <w:autoSpaceDN w:val="0"/>
              <w:adjustRightInd w:val="0"/>
              <w:spacing w:line="240" w:lineRule="auto"/>
              <w:rPr>
                <w:szCs w:val="22"/>
                <w:u w:val="single"/>
              </w:rPr>
            </w:pPr>
            <w:r w:rsidRPr="00AD5EA5">
              <w:rPr>
                <w:b/>
                <w:szCs w:val="22"/>
              </w:rPr>
              <w:t>Úprav</w:t>
            </w:r>
            <w:r w:rsidR="00783826">
              <w:rPr>
                <w:b/>
                <w:szCs w:val="22"/>
              </w:rPr>
              <w:t>a</w:t>
            </w:r>
            <w:r w:rsidRPr="00783826">
              <w:rPr>
                <w:b/>
                <w:szCs w:val="22"/>
              </w:rPr>
              <w:t xml:space="preserve"> dávky gemcitabínu v kombinácii s paklitaxelom v priebehu cyklu pri liečbe karcinómu prsníka</w:t>
            </w:r>
          </w:p>
        </w:tc>
      </w:tr>
      <w:tr w:rsidR="008D0CF8" w:rsidRPr="007D1B67" w:rsidTr="0015025C">
        <w:tc>
          <w:tcPr>
            <w:tcW w:w="3652" w:type="dxa"/>
          </w:tcPr>
          <w:p w:rsidR="008D0CF8" w:rsidRPr="007D1B67" w:rsidRDefault="00B93209" w:rsidP="00502952">
            <w:pPr>
              <w:keepLines/>
              <w:tabs>
                <w:tab w:val="clear" w:pos="567"/>
              </w:tabs>
              <w:spacing w:line="240" w:lineRule="auto"/>
              <w:jc w:val="center"/>
              <w:rPr>
                <w:b/>
                <w:bCs/>
                <w:szCs w:val="22"/>
              </w:rPr>
            </w:pPr>
            <w:r w:rsidRPr="00AD5EA5">
              <w:rPr>
                <w:b/>
                <w:szCs w:val="22"/>
              </w:rPr>
              <w:t>Absolútny počet granulocytov</w:t>
            </w:r>
          </w:p>
          <w:p w:rsidR="008D0CF8" w:rsidRPr="007D1B67" w:rsidRDefault="00B93209" w:rsidP="00794E35">
            <w:pPr>
              <w:autoSpaceDE w:val="0"/>
              <w:autoSpaceDN w:val="0"/>
              <w:adjustRightInd w:val="0"/>
              <w:spacing w:line="240" w:lineRule="auto"/>
              <w:jc w:val="center"/>
              <w:rPr>
                <w:b/>
                <w:szCs w:val="22"/>
                <w:u w:val="single"/>
              </w:rPr>
            </w:pPr>
            <w:r w:rsidRPr="00AD5EA5">
              <w:rPr>
                <w:b/>
                <w:szCs w:val="22"/>
              </w:rPr>
              <w:t>(x</w:t>
            </w:r>
            <w:r w:rsidR="00010582" w:rsidRPr="00AD5EA5">
              <w:rPr>
                <w:b/>
                <w:szCs w:val="22"/>
              </w:rPr>
              <w:t> </w:t>
            </w:r>
            <w:r w:rsidRPr="00AD5EA5">
              <w:rPr>
                <w:b/>
                <w:szCs w:val="22"/>
              </w:rPr>
              <w:t>10</w:t>
            </w:r>
            <w:r w:rsidRPr="008A55DD">
              <w:rPr>
                <w:b/>
                <w:szCs w:val="22"/>
                <w:vertAlign w:val="superscript"/>
              </w:rPr>
              <w:t>6</w:t>
            </w:r>
            <w:r w:rsidRPr="00644C9F">
              <w:rPr>
                <w:b/>
                <w:szCs w:val="22"/>
              </w:rPr>
              <w:t>/l)</w:t>
            </w:r>
          </w:p>
        </w:tc>
        <w:tc>
          <w:tcPr>
            <w:tcW w:w="2835" w:type="dxa"/>
          </w:tcPr>
          <w:p w:rsidR="008D0CF8" w:rsidRPr="007D1B67" w:rsidRDefault="00B93209" w:rsidP="00794E35">
            <w:pPr>
              <w:keepNext/>
              <w:keepLines/>
              <w:spacing w:line="240" w:lineRule="auto"/>
              <w:ind w:left="153"/>
              <w:jc w:val="center"/>
              <w:rPr>
                <w:b/>
                <w:bCs/>
                <w:szCs w:val="22"/>
              </w:rPr>
            </w:pPr>
            <w:r w:rsidRPr="00AD5EA5">
              <w:rPr>
                <w:b/>
                <w:szCs w:val="22"/>
              </w:rPr>
              <w:t>Počet trombocytov</w:t>
            </w:r>
          </w:p>
          <w:p w:rsidR="008D0CF8" w:rsidRPr="007D1B67" w:rsidRDefault="00B93209" w:rsidP="00794E35">
            <w:pPr>
              <w:keepNext/>
              <w:keepLines/>
              <w:spacing w:line="240" w:lineRule="auto"/>
              <w:ind w:left="153"/>
              <w:jc w:val="center"/>
              <w:rPr>
                <w:b/>
                <w:bCs/>
                <w:szCs w:val="22"/>
              </w:rPr>
            </w:pPr>
            <w:r w:rsidRPr="00AD5EA5">
              <w:rPr>
                <w:b/>
                <w:szCs w:val="22"/>
              </w:rPr>
              <w:t>(x</w:t>
            </w:r>
            <w:r w:rsidR="00010582" w:rsidRPr="00AD5EA5">
              <w:rPr>
                <w:b/>
                <w:szCs w:val="22"/>
              </w:rPr>
              <w:t> </w:t>
            </w:r>
            <w:r w:rsidRPr="00AD5EA5">
              <w:rPr>
                <w:b/>
                <w:szCs w:val="22"/>
              </w:rPr>
              <w:t>10</w:t>
            </w:r>
            <w:r w:rsidRPr="008A55DD">
              <w:rPr>
                <w:b/>
                <w:szCs w:val="22"/>
                <w:vertAlign w:val="superscript"/>
              </w:rPr>
              <w:t>6</w:t>
            </w:r>
            <w:r w:rsidRPr="00644C9F">
              <w:rPr>
                <w:b/>
                <w:szCs w:val="22"/>
              </w:rPr>
              <w:t>/l)</w:t>
            </w:r>
          </w:p>
        </w:tc>
        <w:tc>
          <w:tcPr>
            <w:tcW w:w="2724" w:type="dxa"/>
          </w:tcPr>
          <w:p w:rsidR="008D0CF8" w:rsidRPr="002F6660" w:rsidRDefault="00B93209" w:rsidP="00794E35">
            <w:pPr>
              <w:autoSpaceDE w:val="0"/>
              <w:autoSpaceDN w:val="0"/>
              <w:adjustRightInd w:val="0"/>
              <w:spacing w:line="240" w:lineRule="auto"/>
              <w:jc w:val="center"/>
              <w:rPr>
                <w:szCs w:val="22"/>
                <w:u w:val="single"/>
              </w:rPr>
            </w:pPr>
            <w:r w:rsidRPr="00AD5EA5">
              <w:rPr>
                <w:b/>
                <w:szCs w:val="22"/>
              </w:rPr>
              <w:t>Percento štandardnej dávky</w:t>
            </w:r>
            <w:r w:rsidR="00DE0EBB">
              <w:rPr>
                <w:b/>
                <w:szCs w:val="22"/>
              </w:rPr>
              <w:t xml:space="preserve"> lieku</w:t>
            </w:r>
            <w:r w:rsidRPr="00DE0EBB">
              <w:rPr>
                <w:b/>
                <w:szCs w:val="22"/>
              </w:rPr>
              <w:t xml:space="preserve"> Gemcitabine medac (%)</w:t>
            </w:r>
          </w:p>
        </w:tc>
      </w:tr>
      <w:tr w:rsidR="00F1294D" w:rsidRPr="007D1B67" w:rsidTr="0015025C">
        <w:tc>
          <w:tcPr>
            <w:tcW w:w="3652" w:type="dxa"/>
          </w:tcPr>
          <w:p w:rsidR="00F1294D" w:rsidRPr="007D1B67" w:rsidRDefault="00B93209" w:rsidP="00794E35">
            <w:pPr>
              <w:keepNext/>
              <w:keepLines/>
              <w:spacing w:line="240" w:lineRule="auto"/>
              <w:rPr>
                <w:szCs w:val="22"/>
              </w:rPr>
            </w:pPr>
            <w:r w:rsidRPr="00AD5EA5">
              <w:rPr>
                <w:szCs w:val="22"/>
              </w:rPr>
              <w:t>≥</w:t>
            </w:r>
            <w:r w:rsidR="00010582" w:rsidRPr="00AD5EA5">
              <w:rPr>
                <w:szCs w:val="22"/>
              </w:rPr>
              <w:t> </w:t>
            </w:r>
            <w:r w:rsidRPr="00AD5EA5">
              <w:rPr>
                <w:szCs w:val="22"/>
              </w:rPr>
              <w:t>1 200</w:t>
            </w:r>
            <w:r w:rsidRPr="00AD5EA5">
              <w:rPr>
                <w:szCs w:val="22"/>
              </w:rPr>
              <w:tab/>
            </w:r>
            <w:r w:rsidRPr="00AD5EA5">
              <w:rPr>
                <w:szCs w:val="22"/>
              </w:rPr>
              <w:tab/>
            </w:r>
            <w:r w:rsidRPr="00AD5EA5">
              <w:rPr>
                <w:szCs w:val="22"/>
              </w:rPr>
              <w:tab/>
              <w:t xml:space="preserve">a </w:t>
            </w:r>
          </w:p>
        </w:tc>
        <w:tc>
          <w:tcPr>
            <w:tcW w:w="2835" w:type="dxa"/>
          </w:tcPr>
          <w:p w:rsidR="00F1294D" w:rsidRPr="007D1B67" w:rsidRDefault="00B93209" w:rsidP="00794E35">
            <w:pPr>
              <w:keepNext/>
              <w:keepLines/>
              <w:spacing w:line="240" w:lineRule="auto"/>
              <w:ind w:left="153"/>
              <w:jc w:val="center"/>
              <w:rPr>
                <w:szCs w:val="22"/>
              </w:rPr>
            </w:pPr>
            <w:r w:rsidRPr="00AD5EA5">
              <w:rPr>
                <w:szCs w:val="22"/>
              </w:rPr>
              <w:t>&gt;</w:t>
            </w:r>
            <w:r w:rsidR="00010582" w:rsidRPr="00AD5EA5">
              <w:rPr>
                <w:szCs w:val="22"/>
              </w:rPr>
              <w:t> </w:t>
            </w:r>
            <w:r w:rsidRPr="00AD5EA5">
              <w:rPr>
                <w:szCs w:val="22"/>
              </w:rPr>
              <w:t>75 000</w:t>
            </w:r>
          </w:p>
        </w:tc>
        <w:tc>
          <w:tcPr>
            <w:tcW w:w="2724" w:type="dxa"/>
          </w:tcPr>
          <w:p w:rsidR="00F1294D" w:rsidRPr="007D1B67" w:rsidRDefault="00B93209" w:rsidP="00794E35">
            <w:pPr>
              <w:keepNext/>
              <w:keepLines/>
              <w:spacing w:line="240" w:lineRule="auto"/>
              <w:ind w:left="153"/>
              <w:jc w:val="center"/>
              <w:rPr>
                <w:szCs w:val="22"/>
              </w:rPr>
            </w:pPr>
            <w:r w:rsidRPr="00AD5EA5">
              <w:rPr>
                <w:szCs w:val="22"/>
              </w:rPr>
              <w:t>100</w:t>
            </w:r>
          </w:p>
        </w:tc>
      </w:tr>
      <w:tr w:rsidR="00F1294D" w:rsidRPr="007D1B67" w:rsidTr="0015025C">
        <w:tc>
          <w:tcPr>
            <w:tcW w:w="3652" w:type="dxa"/>
          </w:tcPr>
          <w:p w:rsidR="00F1294D" w:rsidRPr="007D1B67" w:rsidRDefault="00B93209" w:rsidP="00794E35">
            <w:pPr>
              <w:keepNext/>
              <w:keepLines/>
              <w:spacing w:line="240" w:lineRule="auto"/>
              <w:rPr>
                <w:szCs w:val="22"/>
              </w:rPr>
            </w:pPr>
            <w:r w:rsidRPr="00AD5EA5">
              <w:rPr>
                <w:szCs w:val="22"/>
              </w:rPr>
              <w:t>1 000</w:t>
            </w:r>
            <w:r w:rsidR="00010582" w:rsidRPr="00AD5EA5">
              <w:rPr>
                <w:szCs w:val="22"/>
              </w:rPr>
              <w:t> </w:t>
            </w:r>
            <w:r w:rsidR="00010582" w:rsidRPr="00AD5EA5">
              <w:rPr>
                <w:szCs w:val="22"/>
              </w:rPr>
              <w:noBreakHyphen/>
              <w:t> </w:t>
            </w:r>
            <w:r w:rsidRPr="00AD5EA5">
              <w:rPr>
                <w:szCs w:val="22"/>
              </w:rPr>
              <w:t>&lt;</w:t>
            </w:r>
            <w:r w:rsidR="00010582" w:rsidRPr="008A55DD">
              <w:rPr>
                <w:szCs w:val="22"/>
              </w:rPr>
              <w:t> </w:t>
            </w:r>
            <w:r w:rsidRPr="00644C9F">
              <w:rPr>
                <w:szCs w:val="22"/>
              </w:rPr>
              <w:t>1 200</w:t>
            </w:r>
            <w:r w:rsidRPr="00644C9F">
              <w:rPr>
                <w:szCs w:val="22"/>
              </w:rPr>
              <w:tab/>
            </w:r>
            <w:r w:rsidRPr="00644C9F">
              <w:rPr>
                <w:szCs w:val="22"/>
              </w:rPr>
              <w:tab/>
              <w:t>alebo</w:t>
            </w:r>
          </w:p>
        </w:tc>
        <w:tc>
          <w:tcPr>
            <w:tcW w:w="2835" w:type="dxa"/>
          </w:tcPr>
          <w:p w:rsidR="00F1294D" w:rsidRPr="007D1B67" w:rsidRDefault="00B93209" w:rsidP="00794E35">
            <w:pPr>
              <w:keepNext/>
              <w:keepLines/>
              <w:spacing w:line="240" w:lineRule="auto"/>
              <w:ind w:left="153"/>
              <w:jc w:val="center"/>
              <w:rPr>
                <w:szCs w:val="22"/>
              </w:rPr>
            </w:pPr>
            <w:r w:rsidRPr="00AD5EA5">
              <w:rPr>
                <w:szCs w:val="22"/>
              </w:rPr>
              <w:t>50 000</w:t>
            </w:r>
            <w:r w:rsidR="00010582" w:rsidRPr="00AD5EA5">
              <w:rPr>
                <w:szCs w:val="22"/>
              </w:rPr>
              <w:t> </w:t>
            </w:r>
            <w:r w:rsidR="00010582" w:rsidRPr="00AD5EA5">
              <w:rPr>
                <w:szCs w:val="22"/>
              </w:rPr>
              <w:noBreakHyphen/>
              <w:t> </w:t>
            </w:r>
            <w:r w:rsidRPr="00AD5EA5">
              <w:rPr>
                <w:szCs w:val="22"/>
              </w:rPr>
              <w:t>75 000</w:t>
            </w:r>
          </w:p>
        </w:tc>
        <w:tc>
          <w:tcPr>
            <w:tcW w:w="2724" w:type="dxa"/>
          </w:tcPr>
          <w:p w:rsidR="00F1294D" w:rsidRPr="007D1B67" w:rsidRDefault="00B93209" w:rsidP="00794E35">
            <w:pPr>
              <w:keepNext/>
              <w:keepLines/>
              <w:spacing w:line="240" w:lineRule="auto"/>
              <w:ind w:left="153"/>
              <w:jc w:val="center"/>
              <w:rPr>
                <w:szCs w:val="22"/>
              </w:rPr>
            </w:pPr>
            <w:r w:rsidRPr="00AD5EA5">
              <w:rPr>
                <w:szCs w:val="22"/>
              </w:rPr>
              <w:t>75</w:t>
            </w:r>
          </w:p>
        </w:tc>
      </w:tr>
      <w:tr w:rsidR="00F1294D" w:rsidRPr="007D1B67" w:rsidTr="0015025C">
        <w:tc>
          <w:tcPr>
            <w:tcW w:w="3652" w:type="dxa"/>
          </w:tcPr>
          <w:p w:rsidR="00F1294D" w:rsidRPr="007D1B67" w:rsidRDefault="00B93209" w:rsidP="00794E35">
            <w:pPr>
              <w:keepNext/>
              <w:keepLines/>
              <w:spacing w:line="240" w:lineRule="auto"/>
              <w:rPr>
                <w:szCs w:val="22"/>
              </w:rPr>
            </w:pPr>
            <w:r w:rsidRPr="00AD5EA5">
              <w:rPr>
                <w:szCs w:val="22"/>
              </w:rPr>
              <w:t>700</w:t>
            </w:r>
            <w:r w:rsidR="00010582" w:rsidRPr="00AD5EA5">
              <w:rPr>
                <w:szCs w:val="22"/>
              </w:rPr>
              <w:t> </w:t>
            </w:r>
            <w:r w:rsidR="00010582" w:rsidRPr="00AD5EA5">
              <w:rPr>
                <w:szCs w:val="22"/>
              </w:rPr>
              <w:noBreakHyphen/>
              <w:t> </w:t>
            </w:r>
            <w:r w:rsidRPr="00AD5EA5">
              <w:rPr>
                <w:szCs w:val="22"/>
              </w:rPr>
              <w:t>&lt;</w:t>
            </w:r>
            <w:r w:rsidR="00010582" w:rsidRPr="008A55DD">
              <w:rPr>
                <w:szCs w:val="22"/>
              </w:rPr>
              <w:t> </w:t>
            </w:r>
            <w:r w:rsidRPr="00644C9F">
              <w:rPr>
                <w:szCs w:val="22"/>
              </w:rPr>
              <w:t>1 000</w:t>
            </w:r>
            <w:r w:rsidRPr="00644C9F">
              <w:rPr>
                <w:szCs w:val="22"/>
              </w:rPr>
              <w:tab/>
            </w:r>
            <w:r w:rsidRPr="00644C9F">
              <w:rPr>
                <w:szCs w:val="22"/>
              </w:rPr>
              <w:tab/>
              <w:t>a</w:t>
            </w:r>
          </w:p>
        </w:tc>
        <w:tc>
          <w:tcPr>
            <w:tcW w:w="2835" w:type="dxa"/>
          </w:tcPr>
          <w:p w:rsidR="00F1294D" w:rsidRPr="007D1B67" w:rsidRDefault="00B93209" w:rsidP="00794E35">
            <w:pPr>
              <w:keepNext/>
              <w:keepLines/>
              <w:spacing w:line="240" w:lineRule="auto"/>
              <w:ind w:left="153"/>
              <w:jc w:val="center"/>
              <w:rPr>
                <w:szCs w:val="22"/>
              </w:rPr>
            </w:pPr>
            <w:r w:rsidRPr="00AD5EA5">
              <w:rPr>
                <w:szCs w:val="22"/>
              </w:rPr>
              <w:t>≥</w:t>
            </w:r>
            <w:r w:rsidR="00010582" w:rsidRPr="00AD5EA5">
              <w:rPr>
                <w:szCs w:val="22"/>
              </w:rPr>
              <w:t> </w:t>
            </w:r>
            <w:r w:rsidRPr="00AD5EA5">
              <w:rPr>
                <w:szCs w:val="22"/>
              </w:rPr>
              <w:t>50 000</w:t>
            </w:r>
          </w:p>
        </w:tc>
        <w:tc>
          <w:tcPr>
            <w:tcW w:w="2724" w:type="dxa"/>
          </w:tcPr>
          <w:p w:rsidR="00F1294D" w:rsidRPr="007D1B67" w:rsidRDefault="00B93209" w:rsidP="00794E35">
            <w:pPr>
              <w:keepNext/>
              <w:keepLines/>
              <w:spacing w:line="240" w:lineRule="auto"/>
              <w:ind w:left="153"/>
              <w:jc w:val="center"/>
              <w:rPr>
                <w:szCs w:val="22"/>
              </w:rPr>
            </w:pPr>
            <w:r w:rsidRPr="00AD5EA5">
              <w:rPr>
                <w:szCs w:val="22"/>
              </w:rPr>
              <w:t>50</w:t>
            </w:r>
          </w:p>
        </w:tc>
      </w:tr>
      <w:tr w:rsidR="00F1294D" w:rsidRPr="007D1B67" w:rsidTr="0015025C">
        <w:tc>
          <w:tcPr>
            <w:tcW w:w="3652" w:type="dxa"/>
          </w:tcPr>
          <w:p w:rsidR="00F1294D" w:rsidRPr="007D1B67" w:rsidRDefault="00B93209" w:rsidP="00794E35">
            <w:pPr>
              <w:keepNext/>
              <w:keepLines/>
              <w:spacing w:line="240" w:lineRule="auto"/>
              <w:rPr>
                <w:szCs w:val="22"/>
              </w:rPr>
            </w:pPr>
            <w:r w:rsidRPr="00AD5EA5">
              <w:rPr>
                <w:szCs w:val="22"/>
              </w:rPr>
              <w:t>&lt;</w:t>
            </w:r>
            <w:r w:rsidR="00010582" w:rsidRPr="00AD5EA5">
              <w:rPr>
                <w:szCs w:val="22"/>
              </w:rPr>
              <w:t> </w:t>
            </w:r>
            <w:r w:rsidRPr="00AD5EA5">
              <w:rPr>
                <w:szCs w:val="22"/>
              </w:rPr>
              <w:t>700</w:t>
            </w:r>
            <w:r w:rsidRPr="00AD5EA5">
              <w:rPr>
                <w:szCs w:val="22"/>
              </w:rPr>
              <w:tab/>
            </w:r>
            <w:r w:rsidRPr="00AD5EA5">
              <w:rPr>
                <w:szCs w:val="22"/>
              </w:rPr>
              <w:tab/>
            </w:r>
            <w:r w:rsidRPr="00AD5EA5">
              <w:rPr>
                <w:szCs w:val="22"/>
              </w:rPr>
              <w:tab/>
            </w:r>
            <w:r w:rsidRPr="00AD5EA5">
              <w:rPr>
                <w:szCs w:val="22"/>
              </w:rPr>
              <w:tab/>
              <w:t>alebo</w:t>
            </w:r>
          </w:p>
        </w:tc>
        <w:tc>
          <w:tcPr>
            <w:tcW w:w="2835" w:type="dxa"/>
          </w:tcPr>
          <w:p w:rsidR="00F1294D" w:rsidRPr="007D1B67" w:rsidRDefault="00B93209" w:rsidP="00794E35">
            <w:pPr>
              <w:keepNext/>
              <w:keepLines/>
              <w:spacing w:line="240" w:lineRule="auto"/>
              <w:ind w:left="153"/>
              <w:jc w:val="center"/>
              <w:rPr>
                <w:szCs w:val="22"/>
              </w:rPr>
            </w:pPr>
            <w:r w:rsidRPr="00AD5EA5">
              <w:rPr>
                <w:szCs w:val="22"/>
              </w:rPr>
              <w:t>&lt;</w:t>
            </w:r>
            <w:r w:rsidR="00010582" w:rsidRPr="00AD5EA5">
              <w:rPr>
                <w:szCs w:val="22"/>
              </w:rPr>
              <w:t> </w:t>
            </w:r>
            <w:r w:rsidRPr="00AD5EA5">
              <w:rPr>
                <w:szCs w:val="22"/>
              </w:rPr>
              <w:t>50 000</w:t>
            </w:r>
          </w:p>
        </w:tc>
        <w:tc>
          <w:tcPr>
            <w:tcW w:w="2724" w:type="dxa"/>
          </w:tcPr>
          <w:p w:rsidR="00F1294D" w:rsidRPr="007D1B67" w:rsidRDefault="00B93209" w:rsidP="00794E35">
            <w:pPr>
              <w:keepNext/>
              <w:keepLines/>
              <w:tabs>
                <w:tab w:val="left" w:pos="1059"/>
                <w:tab w:val="center" w:pos="1330"/>
              </w:tabs>
              <w:spacing w:line="240" w:lineRule="auto"/>
              <w:ind w:left="153"/>
              <w:jc w:val="center"/>
              <w:rPr>
                <w:szCs w:val="22"/>
              </w:rPr>
            </w:pPr>
            <w:r w:rsidRPr="00AD5EA5">
              <w:rPr>
                <w:szCs w:val="22"/>
              </w:rPr>
              <w:t>Vynechaná dávka*</w:t>
            </w:r>
          </w:p>
        </w:tc>
      </w:tr>
    </w:tbl>
    <w:p w:rsidR="008D0CF8" w:rsidRPr="00783826" w:rsidRDefault="00B93209" w:rsidP="00794E35">
      <w:pPr>
        <w:autoSpaceDE w:val="0"/>
        <w:autoSpaceDN w:val="0"/>
        <w:adjustRightInd w:val="0"/>
        <w:spacing w:line="240" w:lineRule="auto"/>
        <w:rPr>
          <w:szCs w:val="22"/>
          <w:u w:val="single"/>
        </w:rPr>
      </w:pPr>
      <w:r w:rsidRPr="00AD5EA5">
        <w:rPr>
          <w:szCs w:val="22"/>
        </w:rPr>
        <w:t xml:space="preserve">*Vynechaná liečba sa v priebehu cyklu neobnoví. Liečba </w:t>
      </w:r>
      <w:r w:rsidR="002F6660">
        <w:rPr>
          <w:szCs w:val="22"/>
        </w:rPr>
        <w:t>začne</w:t>
      </w:r>
      <w:r w:rsidRPr="00723215">
        <w:rPr>
          <w:szCs w:val="22"/>
        </w:rPr>
        <w:t xml:space="preserve"> 1. deň nasledujúceho cyklu, ak absolútny počet granulocytov dosiahne najmenej 1 500 (x</w:t>
      </w:r>
      <w:r w:rsidR="00010582" w:rsidRPr="00723215">
        <w:rPr>
          <w:szCs w:val="22"/>
        </w:rPr>
        <w:t> </w:t>
      </w:r>
      <w:r w:rsidRPr="00783826">
        <w:rPr>
          <w:szCs w:val="22"/>
        </w:rPr>
        <w:t>10</w:t>
      </w:r>
      <w:r w:rsidRPr="00783826">
        <w:rPr>
          <w:szCs w:val="22"/>
          <w:vertAlign w:val="superscript"/>
        </w:rPr>
        <w:t>6</w:t>
      </w:r>
      <w:r w:rsidRPr="00783826">
        <w:rPr>
          <w:szCs w:val="22"/>
        </w:rPr>
        <w:t>/l) a poč</w:t>
      </w:r>
      <w:r w:rsidR="002F6660">
        <w:rPr>
          <w:szCs w:val="22"/>
        </w:rPr>
        <w:t>et</w:t>
      </w:r>
      <w:r w:rsidRPr="002F6660">
        <w:rPr>
          <w:szCs w:val="22"/>
        </w:rPr>
        <w:t xml:space="preserve"> trombocytov 100 000</w:t>
      </w:r>
      <w:r w:rsidR="00AF413B" w:rsidRPr="005A7ECC">
        <w:rPr>
          <w:szCs w:val="22"/>
        </w:rPr>
        <w:t> </w:t>
      </w:r>
      <w:r w:rsidRPr="005A7ECC">
        <w:rPr>
          <w:szCs w:val="22"/>
        </w:rPr>
        <w:t>(x</w:t>
      </w:r>
      <w:r w:rsidR="00010582" w:rsidRPr="00723215">
        <w:rPr>
          <w:szCs w:val="22"/>
        </w:rPr>
        <w:t> </w:t>
      </w:r>
      <w:r w:rsidRPr="00723215">
        <w:rPr>
          <w:szCs w:val="22"/>
        </w:rPr>
        <w:t>10</w:t>
      </w:r>
      <w:r w:rsidRPr="00783826">
        <w:rPr>
          <w:szCs w:val="22"/>
          <w:vertAlign w:val="superscript"/>
        </w:rPr>
        <w:t>6</w:t>
      </w:r>
      <w:r w:rsidRPr="00783826">
        <w:rPr>
          <w:szCs w:val="22"/>
        </w:rPr>
        <w:t>/l).</w:t>
      </w:r>
    </w:p>
    <w:p w:rsidR="008D0CF8" w:rsidRPr="005A6423" w:rsidRDefault="008D0CF8" w:rsidP="00794E35">
      <w:pPr>
        <w:autoSpaceDE w:val="0"/>
        <w:autoSpaceDN w:val="0"/>
        <w:adjustRightInd w:val="0"/>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2693"/>
      </w:tblGrid>
      <w:tr w:rsidR="008D0CF8" w:rsidRPr="007D1B67" w:rsidTr="0015025C">
        <w:tc>
          <w:tcPr>
            <w:tcW w:w="8755" w:type="dxa"/>
            <w:gridSpan w:val="3"/>
          </w:tcPr>
          <w:p w:rsidR="008D0CF8" w:rsidRPr="00D61422" w:rsidRDefault="00B93209" w:rsidP="00794E35">
            <w:pPr>
              <w:keepNext/>
              <w:keepLines/>
              <w:autoSpaceDE w:val="0"/>
              <w:autoSpaceDN w:val="0"/>
              <w:adjustRightInd w:val="0"/>
              <w:spacing w:line="240" w:lineRule="auto"/>
              <w:rPr>
                <w:b/>
                <w:szCs w:val="22"/>
                <w:u w:val="single"/>
              </w:rPr>
            </w:pPr>
            <w:r w:rsidRPr="005A6423">
              <w:rPr>
                <w:b/>
                <w:szCs w:val="22"/>
              </w:rPr>
              <w:lastRenderedPageBreak/>
              <w:t>Úprav</w:t>
            </w:r>
            <w:r w:rsidR="00783826">
              <w:rPr>
                <w:b/>
                <w:szCs w:val="22"/>
              </w:rPr>
              <w:t>a</w:t>
            </w:r>
            <w:r w:rsidRPr="005A6423">
              <w:rPr>
                <w:b/>
                <w:szCs w:val="22"/>
              </w:rPr>
              <w:t xml:space="preserve"> dávky gemcitabínu v kombinácii s karboplatinou v priebehu cyklu pri liečbe karcinómu ovária</w:t>
            </w:r>
          </w:p>
        </w:tc>
      </w:tr>
      <w:tr w:rsidR="008D0CF8" w:rsidRPr="007D1B67" w:rsidTr="0015025C">
        <w:tc>
          <w:tcPr>
            <w:tcW w:w="3369" w:type="dxa"/>
          </w:tcPr>
          <w:p w:rsidR="008D0CF8" w:rsidRPr="007D1B67" w:rsidRDefault="00B93209" w:rsidP="00502952">
            <w:pPr>
              <w:keepNext/>
              <w:keepLines/>
              <w:tabs>
                <w:tab w:val="clear" w:pos="567"/>
              </w:tabs>
              <w:spacing w:line="240" w:lineRule="auto"/>
              <w:jc w:val="center"/>
              <w:rPr>
                <w:b/>
                <w:bCs/>
                <w:szCs w:val="22"/>
              </w:rPr>
            </w:pPr>
            <w:r w:rsidRPr="00AD5EA5">
              <w:rPr>
                <w:b/>
                <w:szCs w:val="22"/>
              </w:rPr>
              <w:t>Absolútny počet granulocytov</w:t>
            </w:r>
          </w:p>
          <w:p w:rsidR="008D0CF8" w:rsidRPr="007D1B67" w:rsidRDefault="00B93209" w:rsidP="00914233">
            <w:pPr>
              <w:keepNext/>
              <w:keepLines/>
              <w:tabs>
                <w:tab w:val="clear" w:pos="567"/>
              </w:tabs>
              <w:spacing w:line="240" w:lineRule="auto"/>
              <w:jc w:val="center"/>
              <w:rPr>
                <w:b/>
                <w:bCs/>
                <w:szCs w:val="22"/>
              </w:rPr>
            </w:pPr>
            <w:r w:rsidRPr="00AD5EA5">
              <w:rPr>
                <w:b/>
                <w:szCs w:val="22"/>
              </w:rPr>
              <w:t>(x 10</w:t>
            </w:r>
            <w:r w:rsidRPr="00AD5EA5">
              <w:rPr>
                <w:b/>
                <w:szCs w:val="22"/>
                <w:vertAlign w:val="superscript"/>
              </w:rPr>
              <w:t>6</w:t>
            </w:r>
            <w:r w:rsidRPr="00AD5EA5">
              <w:rPr>
                <w:b/>
                <w:szCs w:val="22"/>
              </w:rPr>
              <w:t>/l)</w:t>
            </w:r>
          </w:p>
        </w:tc>
        <w:tc>
          <w:tcPr>
            <w:tcW w:w="2693" w:type="dxa"/>
          </w:tcPr>
          <w:p w:rsidR="008D0CF8" w:rsidRPr="007D1B67" w:rsidRDefault="00B93209" w:rsidP="00794E35">
            <w:pPr>
              <w:keepNext/>
              <w:keepLines/>
              <w:spacing w:line="240" w:lineRule="auto"/>
              <w:ind w:left="153"/>
              <w:jc w:val="center"/>
              <w:rPr>
                <w:b/>
                <w:bCs/>
                <w:szCs w:val="22"/>
              </w:rPr>
            </w:pPr>
            <w:r w:rsidRPr="00AD5EA5">
              <w:rPr>
                <w:b/>
                <w:szCs w:val="22"/>
              </w:rPr>
              <w:t>Počet trombocytov</w:t>
            </w:r>
          </w:p>
          <w:p w:rsidR="008D0CF8" w:rsidRPr="007D1B67" w:rsidRDefault="00B93209" w:rsidP="00794E35">
            <w:pPr>
              <w:keepNext/>
              <w:keepLines/>
              <w:spacing w:line="240" w:lineRule="auto"/>
              <w:ind w:left="153"/>
              <w:jc w:val="center"/>
              <w:rPr>
                <w:b/>
                <w:bCs/>
                <w:szCs w:val="22"/>
              </w:rPr>
            </w:pPr>
            <w:r w:rsidRPr="00AD5EA5">
              <w:rPr>
                <w:b/>
                <w:szCs w:val="22"/>
              </w:rPr>
              <w:t>(x 10</w:t>
            </w:r>
            <w:r w:rsidRPr="00AD5EA5">
              <w:rPr>
                <w:b/>
                <w:szCs w:val="22"/>
                <w:vertAlign w:val="superscript"/>
              </w:rPr>
              <w:t>6</w:t>
            </w:r>
            <w:r w:rsidRPr="00AD5EA5">
              <w:rPr>
                <w:b/>
                <w:szCs w:val="22"/>
              </w:rPr>
              <w:t>/l)</w:t>
            </w:r>
          </w:p>
        </w:tc>
        <w:tc>
          <w:tcPr>
            <w:tcW w:w="2693" w:type="dxa"/>
          </w:tcPr>
          <w:p w:rsidR="008D0CF8" w:rsidRPr="00D61422" w:rsidRDefault="00B93209" w:rsidP="00794E35">
            <w:pPr>
              <w:keepNext/>
              <w:keepLines/>
              <w:spacing w:line="240" w:lineRule="auto"/>
              <w:ind w:left="33"/>
              <w:jc w:val="center"/>
              <w:rPr>
                <w:b/>
                <w:bCs/>
                <w:szCs w:val="22"/>
              </w:rPr>
            </w:pPr>
            <w:r w:rsidRPr="00AD5EA5">
              <w:rPr>
                <w:b/>
                <w:szCs w:val="22"/>
              </w:rPr>
              <w:t xml:space="preserve">Percento štandardnej dávky </w:t>
            </w:r>
            <w:r w:rsidR="005A6423">
              <w:rPr>
                <w:b/>
                <w:szCs w:val="22"/>
              </w:rPr>
              <w:t xml:space="preserve">lieku </w:t>
            </w:r>
            <w:r w:rsidRPr="005A6423">
              <w:rPr>
                <w:b/>
                <w:szCs w:val="22"/>
              </w:rPr>
              <w:t>Gemcitabine medac (%)</w:t>
            </w:r>
          </w:p>
        </w:tc>
      </w:tr>
      <w:tr w:rsidR="00F1294D" w:rsidRPr="007D1B67" w:rsidTr="0015025C">
        <w:tc>
          <w:tcPr>
            <w:tcW w:w="3369" w:type="dxa"/>
          </w:tcPr>
          <w:p w:rsidR="00F1294D" w:rsidRPr="007D1B67" w:rsidRDefault="00B93209" w:rsidP="00794E35">
            <w:pPr>
              <w:keepNext/>
              <w:keepLines/>
              <w:spacing w:line="240" w:lineRule="auto"/>
              <w:rPr>
                <w:szCs w:val="22"/>
              </w:rPr>
            </w:pPr>
            <w:r w:rsidRPr="00AD5EA5">
              <w:rPr>
                <w:szCs w:val="22"/>
              </w:rPr>
              <w:t>&gt;</w:t>
            </w:r>
            <w:r w:rsidR="00010582" w:rsidRPr="00AD5EA5">
              <w:rPr>
                <w:szCs w:val="22"/>
              </w:rPr>
              <w:t> </w:t>
            </w:r>
            <w:r w:rsidRPr="00AD5EA5">
              <w:rPr>
                <w:szCs w:val="22"/>
              </w:rPr>
              <w:t>1 500</w:t>
            </w:r>
            <w:r w:rsidRPr="00AD5EA5">
              <w:rPr>
                <w:szCs w:val="22"/>
              </w:rPr>
              <w:tab/>
            </w:r>
            <w:r w:rsidRPr="00AD5EA5">
              <w:rPr>
                <w:szCs w:val="22"/>
              </w:rPr>
              <w:tab/>
            </w:r>
            <w:r w:rsidRPr="00AD5EA5">
              <w:rPr>
                <w:szCs w:val="22"/>
              </w:rPr>
              <w:tab/>
              <w:t xml:space="preserve">a </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w:t>
            </w:r>
            <w:r w:rsidR="0068020A" w:rsidRPr="00AD5EA5">
              <w:rPr>
                <w:szCs w:val="22"/>
              </w:rPr>
              <w:t> </w:t>
            </w:r>
            <w:r w:rsidRPr="00AD5EA5">
              <w:rPr>
                <w:szCs w:val="22"/>
              </w:rPr>
              <w:t>100 000</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100</w:t>
            </w:r>
          </w:p>
        </w:tc>
      </w:tr>
      <w:tr w:rsidR="00F1294D" w:rsidRPr="007D1B67" w:rsidTr="0015025C">
        <w:tc>
          <w:tcPr>
            <w:tcW w:w="3369" w:type="dxa"/>
          </w:tcPr>
          <w:p w:rsidR="00F1294D" w:rsidRPr="007D1B67" w:rsidRDefault="00B93209" w:rsidP="00794E35">
            <w:pPr>
              <w:keepNext/>
              <w:keepLines/>
              <w:spacing w:line="240" w:lineRule="auto"/>
              <w:rPr>
                <w:szCs w:val="22"/>
              </w:rPr>
            </w:pPr>
            <w:r w:rsidRPr="00AD5EA5">
              <w:rPr>
                <w:szCs w:val="22"/>
              </w:rPr>
              <w:t>1 000</w:t>
            </w:r>
            <w:r w:rsidR="00010582" w:rsidRPr="00AD5EA5">
              <w:rPr>
                <w:szCs w:val="22"/>
              </w:rPr>
              <w:t> </w:t>
            </w:r>
            <w:r w:rsidR="00010582" w:rsidRPr="00AD5EA5">
              <w:rPr>
                <w:szCs w:val="22"/>
              </w:rPr>
              <w:noBreakHyphen/>
              <w:t> </w:t>
            </w:r>
            <w:r w:rsidRPr="00AD5EA5">
              <w:rPr>
                <w:szCs w:val="22"/>
              </w:rPr>
              <w:t>1 500</w:t>
            </w:r>
            <w:r w:rsidRPr="00AD5EA5">
              <w:rPr>
                <w:szCs w:val="22"/>
              </w:rPr>
              <w:tab/>
            </w:r>
            <w:r w:rsidRPr="00AD5EA5">
              <w:rPr>
                <w:szCs w:val="22"/>
              </w:rPr>
              <w:tab/>
              <w:t xml:space="preserve">alebo </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75 000</w:t>
            </w:r>
            <w:r w:rsidR="0068020A" w:rsidRPr="00AD5EA5">
              <w:rPr>
                <w:szCs w:val="22"/>
              </w:rPr>
              <w:t> </w:t>
            </w:r>
            <w:r w:rsidR="0068020A" w:rsidRPr="00AD5EA5">
              <w:rPr>
                <w:szCs w:val="22"/>
              </w:rPr>
              <w:noBreakHyphen/>
              <w:t> </w:t>
            </w:r>
            <w:r w:rsidRPr="008A55DD">
              <w:rPr>
                <w:szCs w:val="22"/>
              </w:rPr>
              <w:t>100 000</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50</w:t>
            </w:r>
          </w:p>
        </w:tc>
      </w:tr>
      <w:tr w:rsidR="00F1294D" w:rsidRPr="007D1B67" w:rsidTr="0015025C">
        <w:tc>
          <w:tcPr>
            <w:tcW w:w="3369" w:type="dxa"/>
          </w:tcPr>
          <w:p w:rsidR="00F1294D" w:rsidRPr="007D1B67" w:rsidRDefault="00B93209" w:rsidP="00794E35">
            <w:pPr>
              <w:keepNext/>
              <w:keepLines/>
              <w:spacing w:line="240" w:lineRule="auto"/>
              <w:rPr>
                <w:szCs w:val="22"/>
              </w:rPr>
            </w:pPr>
            <w:r w:rsidRPr="00AD5EA5">
              <w:rPr>
                <w:szCs w:val="22"/>
              </w:rPr>
              <w:t>&lt;</w:t>
            </w:r>
            <w:r w:rsidR="00010582" w:rsidRPr="00AD5EA5">
              <w:rPr>
                <w:szCs w:val="22"/>
              </w:rPr>
              <w:t> </w:t>
            </w:r>
            <w:r w:rsidRPr="00AD5EA5">
              <w:rPr>
                <w:szCs w:val="22"/>
              </w:rPr>
              <w:t>1 000</w:t>
            </w:r>
            <w:r w:rsidR="000A573A" w:rsidRPr="008A55DD">
              <w:rPr>
                <w:szCs w:val="22"/>
              </w:rPr>
              <w:tab/>
            </w:r>
            <w:r w:rsidR="000A573A" w:rsidRPr="008A55DD">
              <w:rPr>
                <w:szCs w:val="22"/>
              </w:rPr>
              <w:tab/>
            </w:r>
            <w:r w:rsidRPr="00644C9F">
              <w:rPr>
                <w:szCs w:val="22"/>
              </w:rPr>
              <w:tab/>
              <w:t xml:space="preserve">alebo </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&lt;</w:t>
            </w:r>
            <w:r w:rsidR="0068020A" w:rsidRPr="00AD5EA5">
              <w:rPr>
                <w:szCs w:val="22"/>
              </w:rPr>
              <w:t> </w:t>
            </w:r>
            <w:r w:rsidRPr="00AD5EA5">
              <w:rPr>
                <w:szCs w:val="22"/>
              </w:rPr>
              <w:t>75 000</w:t>
            </w:r>
          </w:p>
        </w:tc>
        <w:tc>
          <w:tcPr>
            <w:tcW w:w="2693" w:type="dxa"/>
          </w:tcPr>
          <w:p w:rsidR="00F1294D" w:rsidRPr="007D1B67" w:rsidRDefault="00B93209" w:rsidP="00794E35">
            <w:pPr>
              <w:keepNext/>
              <w:keepLines/>
              <w:spacing w:line="240" w:lineRule="auto"/>
              <w:ind w:left="153"/>
              <w:jc w:val="center"/>
              <w:rPr>
                <w:szCs w:val="22"/>
              </w:rPr>
            </w:pPr>
            <w:r w:rsidRPr="00AD5EA5">
              <w:rPr>
                <w:szCs w:val="22"/>
              </w:rPr>
              <w:t>Vynechaná dávka*</w:t>
            </w:r>
          </w:p>
        </w:tc>
      </w:tr>
    </w:tbl>
    <w:p w:rsidR="008D0CF8" w:rsidRPr="008F5036" w:rsidRDefault="00B93209" w:rsidP="00794E35">
      <w:pPr>
        <w:autoSpaceDE w:val="0"/>
        <w:autoSpaceDN w:val="0"/>
        <w:adjustRightInd w:val="0"/>
        <w:spacing w:line="240" w:lineRule="auto"/>
        <w:rPr>
          <w:bCs/>
          <w:szCs w:val="22"/>
        </w:rPr>
      </w:pPr>
      <w:r w:rsidRPr="00AD5EA5">
        <w:rPr>
          <w:szCs w:val="22"/>
        </w:rPr>
        <w:t xml:space="preserve">*Vynechaná liečba sa v priebehu cyklu neobnoví. Liečba </w:t>
      </w:r>
      <w:r w:rsidR="00914233">
        <w:rPr>
          <w:szCs w:val="22"/>
        </w:rPr>
        <w:t>začne</w:t>
      </w:r>
      <w:r w:rsidRPr="008F5036">
        <w:rPr>
          <w:szCs w:val="22"/>
        </w:rPr>
        <w:t xml:space="preserve"> 1. deň nasledujúceho cyklu, ak absolútny počet granulocytov dosiahne najmenej 1 500 (x</w:t>
      </w:r>
      <w:r w:rsidR="0068020A" w:rsidRPr="008F5036">
        <w:rPr>
          <w:szCs w:val="22"/>
        </w:rPr>
        <w:t> </w:t>
      </w:r>
      <w:r w:rsidRPr="008F5036">
        <w:rPr>
          <w:szCs w:val="22"/>
        </w:rPr>
        <w:t>10</w:t>
      </w:r>
      <w:r w:rsidRPr="008F5036">
        <w:rPr>
          <w:szCs w:val="22"/>
          <w:vertAlign w:val="superscript"/>
        </w:rPr>
        <w:t>6</w:t>
      </w:r>
      <w:r w:rsidRPr="008F5036">
        <w:rPr>
          <w:szCs w:val="22"/>
        </w:rPr>
        <w:t>/l) a poč</w:t>
      </w:r>
      <w:r w:rsidR="00EF54A7">
        <w:rPr>
          <w:szCs w:val="22"/>
        </w:rPr>
        <w:t>et</w:t>
      </w:r>
      <w:r w:rsidRPr="008F5036">
        <w:rPr>
          <w:szCs w:val="22"/>
        </w:rPr>
        <w:t xml:space="preserve"> trombocytov 100 000</w:t>
      </w:r>
      <w:r w:rsidR="00AF413B" w:rsidRPr="008F5036">
        <w:rPr>
          <w:szCs w:val="22"/>
        </w:rPr>
        <w:t> </w:t>
      </w:r>
      <w:r w:rsidRPr="008F5036">
        <w:rPr>
          <w:szCs w:val="22"/>
        </w:rPr>
        <w:t>(x</w:t>
      </w:r>
      <w:r w:rsidR="0068020A" w:rsidRPr="008F5036">
        <w:rPr>
          <w:szCs w:val="22"/>
        </w:rPr>
        <w:t> </w:t>
      </w:r>
      <w:r w:rsidRPr="008F5036">
        <w:rPr>
          <w:szCs w:val="22"/>
        </w:rPr>
        <w:t>10</w:t>
      </w:r>
      <w:r w:rsidRPr="008F5036">
        <w:rPr>
          <w:szCs w:val="22"/>
          <w:vertAlign w:val="superscript"/>
        </w:rPr>
        <w:t>6</w:t>
      </w:r>
      <w:r w:rsidRPr="008F5036">
        <w:rPr>
          <w:szCs w:val="22"/>
        </w:rPr>
        <w:t>/l).</w:t>
      </w:r>
    </w:p>
    <w:p w:rsidR="008D0CF8" w:rsidRPr="00146E54" w:rsidRDefault="008D0CF8" w:rsidP="00794E35">
      <w:pPr>
        <w:autoSpaceDE w:val="0"/>
        <w:autoSpaceDN w:val="0"/>
        <w:adjustRightInd w:val="0"/>
        <w:spacing w:line="240" w:lineRule="auto"/>
        <w:rPr>
          <w:szCs w:val="22"/>
          <w:u w:val="single"/>
        </w:rPr>
      </w:pPr>
    </w:p>
    <w:p w:rsidR="008D0CF8" w:rsidRPr="00BD534B" w:rsidRDefault="00B93209" w:rsidP="00794E35">
      <w:pPr>
        <w:keepNext/>
        <w:spacing w:line="240" w:lineRule="auto"/>
        <w:rPr>
          <w:i/>
          <w:szCs w:val="22"/>
        </w:rPr>
      </w:pPr>
      <w:r w:rsidRPr="00BD534B">
        <w:rPr>
          <w:i/>
          <w:szCs w:val="22"/>
        </w:rPr>
        <w:t>Úpravy dávky z dôvodu hematologickej toxicity v nasledujúcich cykloch, pre všetky indikácie</w:t>
      </w:r>
    </w:p>
    <w:p w:rsidR="008D0CF8" w:rsidRPr="00146E54" w:rsidRDefault="00B93209" w:rsidP="00794E35">
      <w:pPr>
        <w:keepNext/>
        <w:spacing w:line="240" w:lineRule="auto"/>
        <w:rPr>
          <w:szCs w:val="22"/>
        </w:rPr>
      </w:pPr>
      <w:r w:rsidRPr="00BD534B">
        <w:rPr>
          <w:szCs w:val="22"/>
        </w:rPr>
        <w:t>Dávka gemcitabínu má byť znížená na 75</w:t>
      </w:r>
      <w:r w:rsidR="001974BB" w:rsidRPr="00BD534B">
        <w:rPr>
          <w:szCs w:val="22"/>
        </w:rPr>
        <w:t> %</w:t>
      </w:r>
      <w:r w:rsidRPr="00BD534B">
        <w:rPr>
          <w:szCs w:val="22"/>
        </w:rPr>
        <w:t xml:space="preserve"> pôvodnej dávky</w:t>
      </w:r>
      <w:r w:rsidR="00EC3425" w:rsidRPr="00BD534B">
        <w:rPr>
          <w:szCs w:val="22"/>
        </w:rPr>
        <w:t xml:space="preserve"> v z</w:t>
      </w:r>
      <w:r w:rsidR="008F5036">
        <w:rPr>
          <w:szCs w:val="22"/>
        </w:rPr>
        <w:t>ačiatočnom</w:t>
      </w:r>
      <w:r w:rsidR="00EC3425" w:rsidRPr="00146E54">
        <w:rPr>
          <w:szCs w:val="22"/>
        </w:rPr>
        <w:t xml:space="preserve"> cykle v prípade </w:t>
      </w:r>
      <w:r w:rsidRPr="00146E54">
        <w:rPr>
          <w:szCs w:val="22"/>
        </w:rPr>
        <w:t>nasled</w:t>
      </w:r>
      <w:r w:rsidR="00146E54">
        <w:rPr>
          <w:szCs w:val="22"/>
        </w:rPr>
        <w:t>ovných</w:t>
      </w:r>
      <w:r w:rsidRPr="00146E54">
        <w:rPr>
          <w:szCs w:val="22"/>
        </w:rPr>
        <w:t xml:space="preserve"> hematologických toxicít:</w:t>
      </w:r>
    </w:p>
    <w:p w:rsidR="008D0CF8" w:rsidRPr="00BD534B" w:rsidRDefault="008D0CF8" w:rsidP="00794E35">
      <w:pPr>
        <w:spacing w:line="240" w:lineRule="auto"/>
        <w:rPr>
          <w:szCs w:val="22"/>
        </w:rPr>
      </w:pPr>
    </w:p>
    <w:p w:rsidR="008D0CF8" w:rsidRPr="006A1142" w:rsidRDefault="006A1142" w:rsidP="007D1B67">
      <w:pPr>
        <w:keepNext/>
        <w:numPr>
          <w:ilvl w:val="0"/>
          <w:numId w:val="24"/>
        </w:numPr>
        <w:tabs>
          <w:tab w:val="clear" w:pos="720"/>
          <w:tab w:val="num" w:pos="567"/>
        </w:tabs>
        <w:spacing w:line="240" w:lineRule="auto"/>
        <w:ind w:left="600" w:hanging="600"/>
        <w:rPr>
          <w:b/>
          <w:szCs w:val="22"/>
        </w:rPr>
      </w:pPr>
      <w:r>
        <w:rPr>
          <w:szCs w:val="22"/>
        </w:rPr>
        <w:t>a</w:t>
      </w:r>
      <w:r w:rsidR="00B93209" w:rsidRPr="006A1142">
        <w:rPr>
          <w:szCs w:val="22"/>
        </w:rPr>
        <w:t>bsolútny počet granulocytov &lt; 500</w:t>
      </w:r>
      <w:r w:rsidR="0068020A" w:rsidRPr="006A1142">
        <w:rPr>
          <w:szCs w:val="22"/>
        </w:rPr>
        <w:t> </w:t>
      </w:r>
      <w:r w:rsidR="00B93209" w:rsidRPr="006A1142">
        <w:rPr>
          <w:szCs w:val="22"/>
        </w:rPr>
        <w:t>x</w:t>
      </w:r>
      <w:r w:rsidR="0068020A" w:rsidRPr="006A1142">
        <w:rPr>
          <w:szCs w:val="22"/>
        </w:rPr>
        <w:t> </w:t>
      </w:r>
      <w:r w:rsidR="00B93209" w:rsidRPr="006A1142">
        <w:rPr>
          <w:szCs w:val="22"/>
        </w:rPr>
        <w:t>10</w:t>
      </w:r>
      <w:r w:rsidR="00B93209" w:rsidRPr="006A1142">
        <w:rPr>
          <w:szCs w:val="22"/>
          <w:vertAlign w:val="superscript"/>
        </w:rPr>
        <w:t>6</w:t>
      </w:r>
      <w:r w:rsidR="00B93209" w:rsidRPr="006A1142">
        <w:rPr>
          <w:szCs w:val="22"/>
        </w:rPr>
        <w:t>/l</w:t>
      </w:r>
      <w:r w:rsidR="00B93209" w:rsidRPr="006A1142">
        <w:rPr>
          <w:b/>
          <w:szCs w:val="22"/>
        </w:rPr>
        <w:t xml:space="preserve"> </w:t>
      </w:r>
      <w:r w:rsidR="00B93209" w:rsidRPr="006A1142">
        <w:rPr>
          <w:szCs w:val="22"/>
        </w:rPr>
        <w:t xml:space="preserve">po dobu viac ako 5 dní </w:t>
      </w:r>
    </w:p>
    <w:p w:rsidR="008D0CF8" w:rsidRPr="00A30BE5" w:rsidRDefault="006A1142" w:rsidP="005B129F">
      <w:pPr>
        <w:keepNext/>
        <w:numPr>
          <w:ilvl w:val="0"/>
          <w:numId w:val="24"/>
        </w:numPr>
        <w:tabs>
          <w:tab w:val="clear" w:pos="720"/>
          <w:tab w:val="num" w:pos="567"/>
        </w:tabs>
        <w:spacing w:line="240" w:lineRule="auto"/>
        <w:ind w:left="600" w:hanging="600"/>
        <w:rPr>
          <w:b/>
          <w:szCs w:val="22"/>
        </w:rPr>
      </w:pPr>
      <w:r>
        <w:rPr>
          <w:szCs w:val="22"/>
        </w:rPr>
        <w:t>a</w:t>
      </w:r>
      <w:r w:rsidR="00B93209" w:rsidRPr="006A1142">
        <w:rPr>
          <w:szCs w:val="22"/>
        </w:rPr>
        <w:t>bsolútny počet granulocytov &lt; 100</w:t>
      </w:r>
      <w:r w:rsidR="0068020A" w:rsidRPr="006A1142">
        <w:rPr>
          <w:szCs w:val="22"/>
        </w:rPr>
        <w:t> </w:t>
      </w:r>
      <w:r w:rsidR="00B93209" w:rsidRPr="006A1142">
        <w:rPr>
          <w:szCs w:val="22"/>
        </w:rPr>
        <w:t>x</w:t>
      </w:r>
      <w:r w:rsidR="0068020A" w:rsidRPr="006A1142">
        <w:rPr>
          <w:szCs w:val="22"/>
        </w:rPr>
        <w:t> </w:t>
      </w:r>
      <w:r w:rsidR="00B93209" w:rsidRPr="006A1142">
        <w:rPr>
          <w:szCs w:val="22"/>
        </w:rPr>
        <w:t>10</w:t>
      </w:r>
      <w:r w:rsidR="00B93209" w:rsidRPr="006A1142">
        <w:rPr>
          <w:szCs w:val="22"/>
          <w:vertAlign w:val="superscript"/>
        </w:rPr>
        <w:t>6</w:t>
      </w:r>
      <w:r w:rsidR="00B93209" w:rsidRPr="006A1142">
        <w:rPr>
          <w:szCs w:val="22"/>
        </w:rPr>
        <w:t>/l</w:t>
      </w:r>
      <w:r w:rsidR="00B93209" w:rsidRPr="006A1142">
        <w:rPr>
          <w:b/>
          <w:szCs w:val="22"/>
        </w:rPr>
        <w:t xml:space="preserve"> </w:t>
      </w:r>
      <w:r w:rsidR="00B93209" w:rsidRPr="006A1142">
        <w:rPr>
          <w:szCs w:val="22"/>
        </w:rPr>
        <w:t>po dobu viac ako 3 dní</w:t>
      </w:r>
    </w:p>
    <w:p w:rsidR="008D0CF8" w:rsidRPr="006A1142" w:rsidRDefault="006A1142" w:rsidP="005E5ABC">
      <w:pPr>
        <w:keepNext/>
        <w:numPr>
          <w:ilvl w:val="0"/>
          <w:numId w:val="24"/>
        </w:numPr>
        <w:tabs>
          <w:tab w:val="clear" w:pos="720"/>
          <w:tab w:val="num" w:pos="567"/>
        </w:tabs>
        <w:spacing w:line="240" w:lineRule="auto"/>
        <w:ind w:left="600" w:hanging="600"/>
        <w:rPr>
          <w:szCs w:val="22"/>
        </w:rPr>
      </w:pPr>
      <w:r>
        <w:rPr>
          <w:szCs w:val="22"/>
        </w:rPr>
        <w:t>f</w:t>
      </w:r>
      <w:r w:rsidR="00B93209" w:rsidRPr="006A1142">
        <w:rPr>
          <w:szCs w:val="22"/>
        </w:rPr>
        <w:t>ebrilná neutropénia</w:t>
      </w:r>
    </w:p>
    <w:p w:rsidR="008D0CF8" w:rsidRPr="00A30BE5" w:rsidRDefault="006A1142" w:rsidP="00CE07E1">
      <w:pPr>
        <w:keepNext/>
        <w:numPr>
          <w:ilvl w:val="0"/>
          <w:numId w:val="24"/>
        </w:numPr>
        <w:tabs>
          <w:tab w:val="clear" w:pos="720"/>
          <w:tab w:val="num" w:pos="567"/>
        </w:tabs>
        <w:spacing w:line="240" w:lineRule="auto"/>
        <w:ind w:left="600" w:hanging="600"/>
        <w:rPr>
          <w:szCs w:val="22"/>
        </w:rPr>
      </w:pPr>
      <w:r>
        <w:rPr>
          <w:szCs w:val="22"/>
        </w:rPr>
        <w:t>p</w:t>
      </w:r>
      <w:r w:rsidR="00B93209" w:rsidRPr="006A1142">
        <w:rPr>
          <w:szCs w:val="22"/>
        </w:rPr>
        <w:t>očet trombocytov &lt; 25 000 x 10</w:t>
      </w:r>
      <w:r w:rsidR="00B93209" w:rsidRPr="006A1142">
        <w:rPr>
          <w:szCs w:val="22"/>
          <w:vertAlign w:val="superscript"/>
        </w:rPr>
        <w:t>6</w:t>
      </w:r>
      <w:r w:rsidR="00B93209" w:rsidRPr="006A1142">
        <w:rPr>
          <w:szCs w:val="22"/>
        </w:rPr>
        <w:t>/l</w:t>
      </w:r>
    </w:p>
    <w:p w:rsidR="008D0CF8" w:rsidRPr="00A30BE5" w:rsidRDefault="006A1142" w:rsidP="00CE07E1">
      <w:pPr>
        <w:numPr>
          <w:ilvl w:val="0"/>
          <w:numId w:val="24"/>
        </w:numPr>
        <w:tabs>
          <w:tab w:val="clear" w:pos="720"/>
          <w:tab w:val="num" w:pos="567"/>
        </w:tabs>
        <w:spacing w:line="240" w:lineRule="auto"/>
        <w:ind w:left="600" w:hanging="600"/>
        <w:rPr>
          <w:szCs w:val="22"/>
        </w:rPr>
      </w:pPr>
      <w:r>
        <w:rPr>
          <w:szCs w:val="22"/>
        </w:rPr>
        <w:t>o</w:t>
      </w:r>
      <w:r w:rsidR="00B93209" w:rsidRPr="00A30BE5">
        <w:rPr>
          <w:szCs w:val="22"/>
        </w:rPr>
        <w:t>dloženie cyklu o viac ako 1</w:t>
      </w:r>
      <w:r w:rsidR="0068020A" w:rsidRPr="00A30BE5">
        <w:rPr>
          <w:szCs w:val="22"/>
        </w:rPr>
        <w:t> </w:t>
      </w:r>
      <w:r w:rsidR="00B93209" w:rsidRPr="00A30BE5">
        <w:rPr>
          <w:szCs w:val="22"/>
        </w:rPr>
        <w:t xml:space="preserve">týždeň z dôvodu toxicity </w:t>
      </w:r>
    </w:p>
    <w:p w:rsidR="008D0CF8" w:rsidRPr="00A30BE5" w:rsidRDefault="008D0CF8" w:rsidP="00794E35">
      <w:pPr>
        <w:widowControl w:val="0"/>
        <w:spacing w:line="240" w:lineRule="auto"/>
        <w:rPr>
          <w:szCs w:val="22"/>
        </w:rPr>
      </w:pPr>
    </w:p>
    <w:p w:rsidR="008D0CF8" w:rsidRPr="00EE0479" w:rsidRDefault="00B93209" w:rsidP="00794E35">
      <w:pPr>
        <w:keepNext/>
        <w:widowControl w:val="0"/>
        <w:spacing w:line="240" w:lineRule="auto"/>
        <w:rPr>
          <w:szCs w:val="22"/>
          <w:u w:val="single"/>
        </w:rPr>
      </w:pPr>
      <w:r w:rsidRPr="00EE0479">
        <w:rPr>
          <w:szCs w:val="22"/>
          <w:u w:val="single"/>
        </w:rPr>
        <w:t>Spôsob podávania</w:t>
      </w:r>
    </w:p>
    <w:p w:rsidR="008D0CF8" w:rsidRPr="007E2E0E" w:rsidRDefault="008D0CF8" w:rsidP="00794E35">
      <w:pPr>
        <w:keepNext/>
        <w:widowControl w:val="0"/>
        <w:spacing w:line="240" w:lineRule="auto"/>
        <w:rPr>
          <w:szCs w:val="22"/>
        </w:rPr>
      </w:pPr>
    </w:p>
    <w:p w:rsidR="008D0CF8" w:rsidRPr="006A1142" w:rsidRDefault="00B93209" w:rsidP="00794E35">
      <w:pPr>
        <w:keepNext/>
        <w:widowControl w:val="0"/>
        <w:spacing w:line="240" w:lineRule="auto"/>
        <w:rPr>
          <w:szCs w:val="22"/>
        </w:rPr>
      </w:pPr>
      <w:r w:rsidRPr="008F3ED0">
        <w:rPr>
          <w:szCs w:val="22"/>
        </w:rPr>
        <w:t>Gemcitabín</w:t>
      </w:r>
      <w:r w:rsidRPr="008F3ED0">
        <w:rPr>
          <w:bCs/>
          <w:szCs w:val="22"/>
        </w:rPr>
        <w:t xml:space="preserve"> </w:t>
      </w:r>
      <w:r w:rsidRPr="008F3ED0">
        <w:rPr>
          <w:szCs w:val="22"/>
        </w:rPr>
        <w:t>sa počas infúzie dobre znáša a môže byť podávaný ambulantne</w:t>
      </w:r>
      <w:r w:rsidR="00EC3425" w:rsidRPr="008F3ED0">
        <w:rPr>
          <w:szCs w:val="22"/>
        </w:rPr>
        <w:t>. Všeobecne platí, že v prípade</w:t>
      </w:r>
      <w:r w:rsidRPr="008F3ED0">
        <w:rPr>
          <w:szCs w:val="22"/>
        </w:rPr>
        <w:t xml:space="preserve"> extravazálneho pod</w:t>
      </w:r>
      <w:r w:rsidR="00793C63">
        <w:rPr>
          <w:szCs w:val="22"/>
        </w:rPr>
        <w:t>áva</w:t>
      </w:r>
      <w:r w:rsidRPr="008F3ED0">
        <w:rPr>
          <w:szCs w:val="22"/>
        </w:rPr>
        <w:t xml:space="preserve">nia má byť infúzia ihneď prerušená a opäť </w:t>
      </w:r>
      <w:r w:rsidR="00BD534B">
        <w:rPr>
          <w:szCs w:val="22"/>
        </w:rPr>
        <w:t>sa má začať</w:t>
      </w:r>
      <w:r w:rsidRPr="00BD534B">
        <w:rPr>
          <w:szCs w:val="22"/>
        </w:rPr>
        <w:t xml:space="preserve"> aplikáci</w:t>
      </w:r>
      <w:r w:rsidR="00BD534B">
        <w:rPr>
          <w:szCs w:val="22"/>
        </w:rPr>
        <w:t>a</w:t>
      </w:r>
      <w:r w:rsidRPr="00BD534B">
        <w:rPr>
          <w:szCs w:val="22"/>
        </w:rPr>
        <w:t xml:space="preserve"> do inej cievy. Pacient má byť po pod</w:t>
      </w:r>
      <w:r w:rsidR="00A30BE5">
        <w:rPr>
          <w:szCs w:val="22"/>
        </w:rPr>
        <w:t>áva</w:t>
      </w:r>
      <w:r w:rsidRPr="00BD534B">
        <w:rPr>
          <w:szCs w:val="22"/>
        </w:rPr>
        <w:t xml:space="preserve">ní dôsledne </w:t>
      </w:r>
      <w:r w:rsidR="00EE0479">
        <w:rPr>
          <w:szCs w:val="22"/>
        </w:rPr>
        <w:t>monitoro</w:t>
      </w:r>
      <w:r w:rsidRPr="00BD534B">
        <w:rPr>
          <w:szCs w:val="22"/>
        </w:rPr>
        <w:t xml:space="preserve">vaný. </w:t>
      </w:r>
    </w:p>
    <w:p w:rsidR="008D0CF8" w:rsidRPr="00A30BE5" w:rsidRDefault="008D0CF8" w:rsidP="00794E35">
      <w:pPr>
        <w:keepNext/>
        <w:widowControl w:val="0"/>
        <w:spacing w:line="240" w:lineRule="auto"/>
        <w:rPr>
          <w:szCs w:val="22"/>
        </w:rPr>
      </w:pPr>
    </w:p>
    <w:p w:rsidR="008D0CF8" w:rsidRPr="00EE0479" w:rsidRDefault="00B93209" w:rsidP="00794E35">
      <w:pPr>
        <w:keepNext/>
        <w:widowControl w:val="0"/>
        <w:spacing w:line="240" w:lineRule="auto"/>
        <w:rPr>
          <w:szCs w:val="22"/>
          <w:u w:val="single"/>
        </w:rPr>
      </w:pPr>
      <w:r w:rsidRPr="00EE0479">
        <w:rPr>
          <w:szCs w:val="22"/>
          <w:u w:val="single"/>
        </w:rPr>
        <w:t>Osobitné skupiny pacientov</w:t>
      </w:r>
    </w:p>
    <w:p w:rsidR="008D0CF8" w:rsidRPr="007E2E0E" w:rsidRDefault="008D0CF8" w:rsidP="00794E35">
      <w:pPr>
        <w:keepNext/>
        <w:widowControl w:val="0"/>
        <w:spacing w:line="240" w:lineRule="auto"/>
        <w:rPr>
          <w:i/>
          <w:szCs w:val="22"/>
        </w:rPr>
      </w:pPr>
    </w:p>
    <w:p w:rsidR="008D0CF8" w:rsidRPr="008F3ED0" w:rsidRDefault="00B93209" w:rsidP="00794E35">
      <w:pPr>
        <w:keepNext/>
        <w:widowControl w:val="0"/>
        <w:spacing w:line="240" w:lineRule="auto"/>
        <w:rPr>
          <w:szCs w:val="22"/>
        </w:rPr>
      </w:pPr>
      <w:r w:rsidRPr="008F3ED0">
        <w:rPr>
          <w:i/>
          <w:szCs w:val="22"/>
          <w:u w:val="single"/>
        </w:rPr>
        <w:t>Pacienti s poruchou funkcie obličiek alebo pečene</w:t>
      </w:r>
    </w:p>
    <w:p w:rsidR="008D0CF8" w:rsidRPr="000D3788" w:rsidRDefault="00B93209" w:rsidP="00794E35">
      <w:pPr>
        <w:widowControl w:val="0"/>
        <w:spacing w:line="240" w:lineRule="auto"/>
        <w:rPr>
          <w:szCs w:val="22"/>
        </w:rPr>
      </w:pPr>
      <w:r w:rsidRPr="007A2CBE">
        <w:rPr>
          <w:szCs w:val="22"/>
        </w:rPr>
        <w:t xml:space="preserve">Vzhľadom k nedostatočným informáciám z klinických štúdií, ktoré by umožňovali jasné odporúčania na dávkovanie </w:t>
      </w:r>
      <w:r w:rsidR="000D3788">
        <w:rPr>
          <w:szCs w:val="22"/>
        </w:rPr>
        <w:t>pre tieto skupiny pacientov</w:t>
      </w:r>
      <w:r w:rsidRPr="000D3788">
        <w:rPr>
          <w:szCs w:val="22"/>
        </w:rPr>
        <w:t>, má byť gemcitabín týmto pacientom podávaný so zvýšenou opatrnosťou (pozri časti</w:t>
      </w:r>
      <w:r w:rsidR="00EF3AEE" w:rsidRPr="000D3788">
        <w:rPr>
          <w:szCs w:val="22"/>
        </w:rPr>
        <w:t> </w:t>
      </w:r>
      <w:smartTag w:uri="urn:schemas-microsoft-com:office:smarttags" w:element="metricconverter">
        <w:smartTagPr>
          <w:attr w:name="ProductID" w:val="8 °C"/>
        </w:smartTagPr>
        <w:r w:rsidRPr="000D3788">
          <w:rPr>
            <w:szCs w:val="22"/>
          </w:rPr>
          <w:t>4.4 a</w:t>
        </w:r>
      </w:smartTag>
      <w:r w:rsidRPr="000D3788">
        <w:rPr>
          <w:szCs w:val="22"/>
        </w:rPr>
        <w:t xml:space="preserve"> 5.2). </w:t>
      </w:r>
    </w:p>
    <w:p w:rsidR="008D0CF8" w:rsidRPr="008F3ED0" w:rsidRDefault="008D0CF8" w:rsidP="00794E35">
      <w:pPr>
        <w:widowControl w:val="0"/>
        <w:spacing w:line="240" w:lineRule="auto"/>
        <w:rPr>
          <w:i/>
          <w:szCs w:val="22"/>
        </w:rPr>
      </w:pPr>
    </w:p>
    <w:p w:rsidR="008D0CF8" w:rsidRPr="00746470" w:rsidRDefault="00B93209" w:rsidP="00794E35">
      <w:pPr>
        <w:keepNext/>
        <w:widowControl w:val="0"/>
        <w:spacing w:line="240" w:lineRule="auto"/>
        <w:rPr>
          <w:i/>
          <w:szCs w:val="22"/>
          <w:u w:val="single"/>
        </w:rPr>
      </w:pPr>
      <w:r w:rsidRPr="007A2CBE">
        <w:rPr>
          <w:i/>
          <w:szCs w:val="22"/>
          <w:u w:val="single"/>
        </w:rPr>
        <w:t>Starší ľudia (&gt;</w:t>
      </w:r>
      <w:r w:rsidR="00EF3AEE" w:rsidRPr="00572A41">
        <w:rPr>
          <w:i/>
          <w:szCs w:val="22"/>
          <w:u w:val="single"/>
        </w:rPr>
        <w:t> </w:t>
      </w:r>
      <w:r w:rsidRPr="005D1AB4">
        <w:rPr>
          <w:i/>
          <w:szCs w:val="22"/>
          <w:u w:val="single"/>
        </w:rPr>
        <w:t>65</w:t>
      </w:r>
      <w:r w:rsidR="00EF3AEE" w:rsidRPr="00F30153">
        <w:rPr>
          <w:i/>
          <w:szCs w:val="22"/>
          <w:u w:val="single"/>
        </w:rPr>
        <w:t> </w:t>
      </w:r>
      <w:r w:rsidRPr="002829DC">
        <w:rPr>
          <w:i/>
          <w:szCs w:val="22"/>
          <w:u w:val="single"/>
        </w:rPr>
        <w:t>rokov)</w:t>
      </w:r>
    </w:p>
    <w:p w:rsidR="008D0CF8" w:rsidRPr="008F3ED0" w:rsidRDefault="00B93209" w:rsidP="00794E35">
      <w:pPr>
        <w:widowControl w:val="0"/>
        <w:spacing w:line="240" w:lineRule="auto"/>
        <w:rPr>
          <w:szCs w:val="22"/>
        </w:rPr>
      </w:pPr>
      <w:r w:rsidRPr="004F14FC">
        <w:rPr>
          <w:szCs w:val="22"/>
        </w:rPr>
        <w:t xml:space="preserve">Gemcitabín bol u pacientov </w:t>
      </w:r>
      <w:r w:rsidR="000D3788">
        <w:rPr>
          <w:szCs w:val="22"/>
        </w:rPr>
        <w:t xml:space="preserve">vo veku </w:t>
      </w:r>
      <w:r w:rsidRPr="000D3788">
        <w:rPr>
          <w:szCs w:val="22"/>
        </w:rPr>
        <w:t>starších ako 65 rokov dobre tolerovaný. Neexistuje žiadny dôkaz o potrebe úpravy dávok u starších ľudí, okrem tých, ktoré sa odporúčajú pre všetkých pacientov (pozri časť</w:t>
      </w:r>
      <w:r w:rsidR="00EF3AEE" w:rsidRPr="008F3ED0">
        <w:rPr>
          <w:szCs w:val="22"/>
        </w:rPr>
        <w:t> </w:t>
      </w:r>
      <w:r w:rsidRPr="008F3ED0">
        <w:rPr>
          <w:szCs w:val="22"/>
        </w:rPr>
        <w:t>5.2).</w:t>
      </w:r>
    </w:p>
    <w:p w:rsidR="008D0CF8" w:rsidRPr="007A2CBE" w:rsidRDefault="008D0CF8" w:rsidP="00794E35">
      <w:pPr>
        <w:widowControl w:val="0"/>
        <w:spacing w:line="240" w:lineRule="auto"/>
        <w:rPr>
          <w:szCs w:val="22"/>
        </w:rPr>
      </w:pPr>
    </w:p>
    <w:p w:rsidR="008D0CF8" w:rsidRPr="005D1AB4" w:rsidRDefault="00B93209" w:rsidP="00794E35">
      <w:pPr>
        <w:keepNext/>
        <w:widowControl w:val="0"/>
        <w:spacing w:line="240" w:lineRule="auto"/>
        <w:rPr>
          <w:i/>
          <w:szCs w:val="22"/>
          <w:u w:val="single"/>
        </w:rPr>
      </w:pPr>
      <w:r w:rsidRPr="00572A41">
        <w:rPr>
          <w:i/>
          <w:szCs w:val="22"/>
          <w:u w:val="single"/>
        </w:rPr>
        <w:t>Pediatrická populácia</w:t>
      </w:r>
    </w:p>
    <w:p w:rsidR="008D0CF8" w:rsidRPr="000D3788" w:rsidRDefault="00B93209" w:rsidP="00794E35">
      <w:pPr>
        <w:spacing w:line="240" w:lineRule="auto"/>
        <w:rPr>
          <w:szCs w:val="22"/>
        </w:rPr>
      </w:pPr>
      <w:r w:rsidRPr="00F30153">
        <w:rPr>
          <w:szCs w:val="22"/>
        </w:rPr>
        <w:t>Gemcitabín sa skúmal v obmedzených štúdiách fázy</w:t>
      </w:r>
      <w:r w:rsidR="0068020A" w:rsidRPr="002829DC">
        <w:rPr>
          <w:szCs w:val="22"/>
        </w:rPr>
        <w:t> </w:t>
      </w:r>
      <w:r w:rsidRPr="00746470">
        <w:rPr>
          <w:szCs w:val="22"/>
        </w:rPr>
        <w:t>I a</w:t>
      </w:r>
      <w:r w:rsidR="0068020A" w:rsidRPr="004F14FC">
        <w:rPr>
          <w:szCs w:val="22"/>
        </w:rPr>
        <w:t> </w:t>
      </w:r>
      <w:r w:rsidRPr="001801AD">
        <w:rPr>
          <w:szCs w:val="22"/>
        </w:rPr>
        <w:t xml:space="preserve">II u detí s rôznymi typmi tumorov. Tieto štúdie </w:t>
      </w:r>
      <w:r w:rsidR="0088228A" w:rsidRPr="00373A5F">
        <w:rPr>
          <w:szCs w:val="22"/>
        </w:rPr>
        <w:t>neposkytli</w:t>
      </w:r>
      <w:r w:rsidRPr="00F04502">
        <w:rPr>
          <w:szCs w:val="22"/>
        </w:rPr>
        <w:t xml:space="preserve"> dostatočné údaje na stanovenie účinnosti a bezpečnosti gemcitabínu u detí. Použitie gemcitabínu u detí </w:t>
      </w:r>
      <w:r w:rsidR="000D3788">
        <w:rPr>
          <w:szCs w:val="22"/>
        </w:rPr>
        <w:t xml:space="preserve">vo veku </w:t>
      </w:r>
      <w:r w:rsidRPr="000D3788">
        <w:rPr>
          <w:szCs w:val="22"/>
        </w:rPr>
        <w:t>mladších ako 18 rokov sa preto neodporúča.</w:t>
      </w:r>
    </w:p>
    <w:p w:rsidR="008D0CF8" w:rsidRPr="008F3ED0" w:rsidRDefault="008D0CF8" w:rsidP="00794E35">
      <w:pPr>
        <w:spacing w:line="240" w:lineRule="auto"/>
        <w:rPr>
          <w:szCs w:val="22"/>
        </w:rPr>
      </w:pPr>
    </w:p>
    <w:p w:rsidR="008D0CF8" w:rsidRPr="00572A41" w:rsidRDefault="00B93209" w:rsidP="00794E35">
      <w:pPr>
        <w:spacing w:line="240" w:lineRule="auto"/>
        <w:rPr>
          <w:szCs w:val="22"/>
        </w:rPr>
      </w:pPr>
      <w:r w:rsidRPr="007A2CBE">
        <w:rPr>
          <w:b/>
          <w:szCs w:val="22"/>
        </w:rPr>
        <w:t>4.3</w:t>
      </w:r>
      <w:r w:rsidRPr="007A2CBE">
        <w:rPr>
          <w:b/>
          <w:szCs w:val="22"/>
        </w:rPr>
        <w:tab/>
        <w:t>Kontraindikácie</w:t>
      </w:r>
    </w:p>
    <w:p w:rsidR="008D0CF8" w:rsidRPr="005D1AB4" w:rsidRDefault="008D0CF8" w:rsidP="00794E35">
      <w:pPr>
        <w:spacing w:line="240" w:lineRule="auto"/>
        <w:rPr>
          <w:szCs w:val="22"/>
        </w:rPr>
      </w:pPr>
    </w:p>
    <w:p w:rsidR="008D0CF8" w:rsidRPr="00373A5F" w:rsidRDefault="00B93209" w:rsidP="00794E35">
      <w:pPr>
        <w:spacing w:line="240" w:lineRule="auto"/>
        <w:rPr>
          <w:szCs w:val="22"/>
        </w:rPr>
      </w:pPr>
      <w:r w:rsidRPr="00F30153">
        <w:rPr>
          <w:szCs w:val="22"/>
        </w:rPr>
        <w:t>Precitlivenosť na liečivo alebo na ktorúkoľvek z pomocných látok uvedených v</w:t>
      </w:r>
      <w:r w:rsidR="00EF3AEE" w:rsidRPr="002829DC">
        <w:rPr>
          <w:szCs w:val="22"/>
        </w:rPr>
        <w:t> </w:t>
      </w:r>
      <w:r w:rsidRPr="00746470">
        <w:rPr>
          <w:szCs w:val="22"/>
        </w:rPr>
        <w:t>časti</w:t>
      </w:r>
      <w:r w:rsidR="00EF3AEE" w:rsidRPr="004F14FC">
        <w:rPr>
          <w:szCs w:val="22"/>
        </w:rPr>
        <w:t> </w:t>
      </w:r>
      <w:r w:rsidRPr="001801AD">
        <w:rPr>
          <w:szCs w:val="22"/>
        </w:rPr>
        <w:t>6.1.</w:t>
      </w:r>
    </w:p>
    <w:p w:rsidR="008D0CF8" w:rsidRPr="00F04502" w:rsidRDefault="008D0CF8" w:rsidP="00794E35">
      <w:pPr>
        <w:spacing w:line="240" w:lineRule="auto"/>
        <w:rPr>
          <w:szCs w:val="22"/>
        </w:rPr>
      </w:pPr>
    </w:p>
    <w:p w:rsidR="008D0CF8" w:rsidRPr="00E5116C" w:rsidRDefault="00D53D29" w:rsidP="00794E35">
      <w:pPr>
        <w:spacing w:line="240" w:lineRule="auto"/>
        <w:rPr>
          <w:szCs w:val="22"/>
        </w:rPr>
      </w:pPr>
      <w:r>
        <w:rPr>
          <w:szCs w:val="22"/>
        </w:rPr>
        <w:t>Dojčenie</w:t>
      </w:r>
      <w:bookmarkStart w:id="0" w:name="_GoBack"/>
      <w:bookmarkEnd w:id="0"/>
      <w:r w:rsidR="00B93209" w:rsidRPr="00EB2819">
        <w:rPr>
          <w:szCs w:val="22"/>
        </w:rPr>
        <w:t xml:space="preserve"> (pozri časť</w:t>
      </w:r>
      <w:r w:rsidR="00EF3AEE" w:rsidRPr="00F67012">
        <w:rPr>
          <w:szCs w:val="22"/>
        </w:rPr>
        <w:t> </w:t>
      </w:r>
      <w:r w:rsidR="00B93209" w:rsidRPr="001F1786">
        <w:rPr>
          <w:szCs w:val="22"/>
        </w:rPr>
        <w:t>4.6).</w:t>
      </w:r>
    </w:p>
    <w:p w:rsidR="008D0CF8" w:rsidRPr="00197979" w:rsidRDefault="008D0CF8" w:rsidP="00794E35">
      <w:pPr>
        <w:spacing w:line="240" w:lineRule="auto"/>
        <w:rPr>
          <w:szCs w:val="22"/>
        </w:rPr>
      </w:pPr>
    </w:p>
    <w:p w:rsidR="008D0CF8" w:rsidRPr="00422002" w:rsidRDefault="00B93209" w:rsidP="00794E35">
      <w:pPr>
        <w:keepNext/>
        <w:keepLines/>
        <w:spacing w:line="240" w:lineRule="auto"/>
        <w:rPr>
          <w:szCs w:val="22"/>
        </w:rPr>
      </w:pPr>
      <w:r w:rsidRPr="001A6293">
        <w:rPr>
          <w:b/>
          <w:szCs w:val="22"/>
        </w:rPr>
        <w:t>4.4</w:t>
      </w:r>
      <w:r w:rsidRPr="001A6293">
        <w:rPr>
          <w:b/>
          <w:szCs w:val="22"/>
        </w:rPr>
        <w:tab/>
        <w:t>Osobitné upozornenia a opatrenia pri používaní</w:t>
      </w:r>
    </w:p>
    <w:p w:rsidR="008D0CF8" w:rsidRPr="00243ED9" w:rsidRDefault="008D0CF8" w:rsidP="00794E35">
      <w:pPr>
        <w:keepNext/>
        <w:keepLines/>
        <w:spacing w:line="240" w:lineRule="auto"/>
        <w:rPr>
          <w:szCs w:val="22"/>
        </w:rPr>
      </w:pPr>
    </w:p>
    <w:p w:rsidR="008D0CF8" w:rsidRPr="005D1AB4" w:rsidRDefault="00B93209" w:rsidP="00794E35">
      <w:pPr>
        <w:keepNext/>
        <w:keepLines/>
        <w:spacing w:line="240" w:lineRule="auto"/>
        <w:rPr>
          <w:szCs w:val="22"/>
        </w:rPr>
      </w:pPr>
      <w:r w:rsidRPr="00B73DB3">
        <w:rPr>
          <w:szCs w:val="22"/>
        </w:rPr>
        <w:t xml:space="preserve">Bolo </w:t>
      </w:r>
      <w:r w:rsidR="008F3ED0">
        <w:rPr>
          <w:szCs w:val="22"/>
        </w:rPr>
        <w:t>preuk</w:t>
      </w:r>
      <w:r w:rsidRPr="008F3ED0">
        <w:rPr>
          <w:szCs w:val="22"/>
        </w:rPr>
        <w:t>ázané, že predĺženie doby</w:t>
      </w:r>
      <w:r w:rsidR="00EF3AEE" w:rsidRPr="007A2CBE">
        <w:rPr>
          <w:szCs w:val="22"/>
        </w:rPr>
        <w:t xml:space="preserve"> infúzie a zvýšená frekvencia dávkovania </w:t>
      </w:r>
      <w:r w:rsidRPr="00572A41">
        <w:rPr>
          <w:szCs w:val="22"/>
        </w:rPr>
        <w:t>zvyšujú toxicitu.</w:t>
      </w:r>
    </w:p>
    <w:p w:rsidR="008D0CF8" w:rsidRPr="00F30153" w:rsidRDefault="008D0CF8" w:rsidP="00794E35">
      <w:pPr>
        <w:spacing w:line="240" w:lineRule="auto"/>
        <w:rPr>
          <w:szCs w:val="22"/>
        </w:rPr>
      </w:pPr>
    </w:p>
    <w:p w:rsidR="008D0CF8" w:rsidRPr="00F30153" w:rsidRDefault="00B93209" w:rsidP="00794E35">
      <w:pPr>
        <w:keepNext/>
        <w:spacing w:line="240" w:lineRule="auto"/>
        <w:rPr>
          <w:szCs w:val="22"/>
          <w:u w:val="single"/>
        </w:rPr>
      </w:pPr>
      <w:r w:rsidRPr="00F30153">
        <w:rPr>
          <w:szCs w:val="22"/>
          <w:u w:val="single"/>
        </w:rPr>
        <w:lastRenderedPageBreak/>
        <w:t>Hematologická toxicita</w:t>
      </w:r>
    </w:p>
    <w:p w:rsidR="008D0CF8" w:rsidRPr="002829DC" w:rsidRDefault="00B93209" w:rsidP="00794E35">
      <w:pPr>
        <w:spacing w:line="240" w:lineRule="auto"/>
        <w:rPr>
          <w:szCs w:val="22"/>
        </w:rPr>
      </w:pPr>
      <w:r w:rsidRPr="00F30153">
        <w:rPr>
          <w:szCs w:val="22"/>
        </w:rPr>
        <w:t xml:space="preserve">Gemcitabín môže tlmiť funkciu kostnej drene, čo sa prejavuje leukopéniou, trombocytopéniou a anémiou. </w:t>
      </w:r>
    </w:p>
    <w:p w:rsidR="008D0CF8" w:rsidRPr="002829DC" w:rsidRDefault="00B93209" w:rsidP="00794E35">
      <w:pPr>
        <w:spacing w:line="240" w:lineRule="auto"/>
        <w:rPr>
          <w:szCs w:val="22"/>
        </w:rPr>
      </w:pPr>
      <w:r w:rsidRPr="00746470">
        <w:rPr>
          <w:szCs w:val="22"/>
        </w:rPr>
        <w:t>U pacientov používajúcich gemcitabín, má byť pred každou dávkou vykonaná kontrola počtu trombocytov, leukocytov a granulocytov. Pokiaľ sa potvrdí útlm činnosti kostnej drene vyvolaný liečbou, m</w:t>
      </w:r>
      <w:r w:rsidR="005D1AB4">
        <w:rPr>
          <w:szCs w:val="22"/>
        </w:rPr>
        <w:t>á</w:t>
      </w:r>
      <w:r w:rsidRPr="005D1AB4">
        <w:rPr>
          <w:szCs w:val="22"/>
        </w:rPr>
        <w:t xml:space="preserve"> sa zvážiť prerušenie alebo modifikácia liečby (pozri časť</w:t>
      </w:r>
      <w:r w:rsidR="00D4071E" w:rsidRPr="005D1AB4">
        <w:rPr>
          <w:szCs w:val="22"/>
        </w:rPr>
        <w:t> </w:t>
      </w:r>
      <w:r w:rsidRPr="00F30153">
        <w:rPr>
          <w:szCs w:val="22"/>
        </w:rPr>
        <w:t>4.2). Myelosupresia je však krátkodobá a obvykle nevedie k re</w:t>
      </w:r>
      <w:r w:rsidRPr="002829DC">
        <w:rPr>
          <w:szCs w:val="22"/>
        </w:rPr>
        <w:t xml:space="preserve">dukcii dávky a len vzácne vedie k prerušeniu liečby. </w:t>
      </w:r>
    </w:p>
    <w:p w:rsidR="008D0CF8" w:rsidRPr="002829DC" w:rsidRDefault="00B93209" w:rsidP="00794E35">
      <w:pPr>
        <w:spacing w:line="240" w:lineRule="auto"/>
        <w:rPr>
          <w:szCs w:val="22"/>
        </w:rPr>
      </w:pPr>
      <w:r w:rsidRPr="002829DC">
        <w:rPr>
          <w:szCs w:val="22"/>
        </w:rPr>
        <w:t xml:space="preserve">Po ukončení </w:t>
      </w:r>
      <w:r w:rsidR="002829DC">
        <w:rPr>
          <w:szCs w:val="22"/>
        </w:rPr>
        <w:t>podávania</w:t>
      </w:r>
      <w:r w:rsidRPr="002829DC">
        <w:rPr>
          <w:szCs w:val="22"/>
        </w:rPr>
        <w:t xml:space="preserve"> gemcitabín</w:t>
      </w:r>
      <w:r w:rsidR="002829DC">
        <w:rPr>
          <w:szCs w:val="22"/>
        </w:rPr>
        <w:t>u</w:t>
      </w:r>
      <w:r w:rsidRPr="002829DC">
        <w:rPr>
          <w:szCs w:val="22"/>
        </w:rPr>
        <w:t xml:space="preserve"> môže pokračovať zhoršovanie krvného obrazu periférnej krvi. U</w:t>
      </w:r>
      <w:r w:rsidR="00D4071E" w:rsidRPr="002829DC">
        <w:rPr>
          <w:szCs w:val="22"/>
        </w:rPr>
        <w:t> </w:t>
      </w:r>
      <w:r w:rsidRPr="002829DC">
        <w:rPr>
          <w:szCs w:val="22"/>
        </w:rPr>
        <w:t>pacientov s poruchou funkcie kostnej drene má liečba za</w:t>
      </w:r>
      <w:r w:rsidR="00F30153">
        <w:rPr>
          <w:szCs w:val="22"/>
        </w:rPr>
        <w:t>čať</w:t>
      </w:r>
      <w:r w:rsidRPr="00F30153">
        <w:rPr>
          <w:szCs w:val="22"/>
        </w:rPr>
        <w:t xml:space="preserve"> so zvýšenou opatrnosťou. Podobne ako pri in</w:t>
      </w:r>
      <w:r w:rsidR="00746470">
        <w:rPr>
          <w:szCs w:val="22"/>
        </w:rPr>
        <w:t>ých</w:t>
      </w:r>
      <w:r w:rsidRPr="00F30153">
        <w:rPr>
          <w:szCs w:val="22"/>
        </w:rPr>
        <w:t xml:space="preserve"> cytotoxic</w:t>
      </w:r>
      <w:r w:rsidR="00EC3425" w:rsidRPr="002829DC">
        <w:rPr>
          <w:szCs w:val="22"/>
        </w:rPr>
        <w:t>k</w:t>
      </w:r>
      <w:r w:rsidR="00746470">
        <w:rPr>
          <w:szCs w:val="22"/>
        </w:rPr>
        <w:t>ých</w:t>
      </w:r>
      <w:r w:rsidR="00EC3425" w:rsidRPr="002829DC">
        <w:rPr>
          <w:szCs w:val="22"/>
        </w:rPr>
        <w:t xml:space="preserve"> liečb</w:t>
      </w:r>
      <w:r w:rsidR="00746470">
        <w:rPr>
          <w:szCs w:val="22"/>
        </w:rPr>
        <w:t>ach</w:t>
      </w:r>
      <w:r w:rsidR="00EC3425" w:rsidRPr="002829DC">
        <w:rPr>
          <w:szCs w:val="22"/>
        </w:rPr>
        <w:t xml:space="preserve">, musí byť v prípade </w:t>
      </w:r>
      <w:r w:rsidRPr="002829DC">
        <w:rPr>
          <w:szCs w:val="22"/>
        </w:rPr>
        <w:t>pod</w:t>
      </w:r>
      <w:r w:rsidR="00F30153">
        <w:rPr>
          <w:szCs w:val="22"/>
        </w:rPr>
        <w:t>áva</w:t>
      </w:r>
      <w:r w:rsidRPr="00F30153">
        <w:rPr>
          <w:szCs w:val="22"/>
        </w:rPr>
        <w:t>nia gemcitabínu spoločne s iným chemoterapeutikom zvážené riziko kumulatívnej supresie kostnej drene.</w:t>
      </w:r>
    </w:p>
    <w:p w:rsidR="008D0CF8" w:rsidRPr="00746470" w:rsidRDefault="008D0CF8" w:rsidP="00794E35">
      <w:pPr>
        <w:spacing w:line="240" w:lineRule="auto"/>
        <w:rPr>
          <w:szCs w:val="22"/>
        </w:rPr>
      </w:pPr>
    </w:p>
    <w:p w:rsidR="008D0CF8" w:rsidRPr="008D7D61" w:rsidRDefault="00B93209" w:rsidP="00794E35">
      <w:pPr>
        <w:keepNext/>
        <w:spacing w:line="240" w:lineRule="auto"/>
        <w:rPr>
          <w:szCs w:val="22"/>
          <w:u w:val="single"/>
        </w:rPr>
      </w:pPr>
      <w:r w:rsidRPr="004F14FC">
        <w:rPr>
          <w:szCs w:val="22"/>
          <w:u w:val="single"/>
        </w:rPr>
        <w:t>Porucha funkcie pečene a obličiek</w:t>
      </w:r>
    </w:p>
    <w:p w:rsidR="008D0CF8" w:rsidRPr="00373A5F" w:rsidRDefault="00B93209" w:rsidP="00794E35">
      <w:pPr>
        <w:spacing w:line="240" w:lineRule="auto"/>
        <w:rPr>
          <w:szCs w:val="22"/>
        </w:rPr>
      </w:pPr>
      <w:r w:rsidRPr="001801AD">
        <w:rPr>
          <w:szCs w:val="22"/>
        </w:rPr>
        <w:t>Gemcitabín má byť podávaný so zvýšenou opatrnosťou pacientom s poruchou funkcie pečene alebo s poruchou funkcie obličiek vzhľadom k nedostatočným informáciám z klinických štúdií, ktoré by dovoľovali stanoviť jasné odporúčania na dávkovanie v tejto populácii pacientov (pozri časť</w:t>
      </w:r>
      <w:r w:rsidR="00D4071E" w:rsidRPr="00373A5F">
        <w:rPr>
          <w:szCs w:val="22"/>
        </w:rPr>
        <w:t> </w:t>
      </w:r>
      <w:r w:rsidRPr="00373A5F">
        <w:rPr>
          <w:szCs w:val="22"/>
        </w:rPr>
        <w:t>4.2).</w:t>
      </w:r>
    </w:p>
    <w:p w:rsidR="008D0CF8" w:rsidRPr="00F04502" w:rsidRDefault="008D0CF8" w:rsidP="00794E35">
      <w:pPr>
        <w:spacing w:line="240" w:lineRule="auto"/>
        <w:rPr>
          <w:szCs w:val="22"/>
        </w:rPr>
      </w:pPr>
    </w:p>
    <w:p w:rsidR="008D0CF8" w:rsidRPr="008D7D61" w:rsidRDefault="00B93209" w:rsidP="00794E35">
      <w:pPr>
        <w:spacing w:line="240" w:lineRule="auto"/>
        <w:rPr>
          <w:szCs w:val="22"/>
        </w:rPr>
      </w:pPr>
      <w:r w:rsidRPr="00F04502">
        <w:rPr>
          <w:szCs w:val="22"/>
        </w:rPr>
        <w:t>Podávanie gemcitabínu pacientom s prítomnými metastázami v pečeni alebo s prekonan</w:t>
      </w:r>
      <w:r w:rsidR="008D7D61">
        <w:rPr>
          <w:szCs w:val="22"/>
        </w:rPr>
        <w:t>ou</w:t>
      </w:r>
      <w:r w:rsidRPr="008D7D61">
        <w:rPr>
          <w:szCs w:val="22"/>
        </w:rPr>
        <w:t xml:space="preserve"> hepatitíd</w:t>
      </w:r>
      <w:r w:rsidR="008D7D61">
        <w:rPr>
          <w:szCs w:val="22"/>
        </w:rPr>
        <w:t>ou v anamnéze</w:t>
      </w:r>
      <w:r w:rsidRPr="008D7D61">
        <w:rPr>
          <w:szCs w:val="22"/>
        </w:rPr>
        <w:t>, alkoholizm</w:t>
      </w:r>
      <w:r w:rsidR="001801AD">
        <w:rPr>
          <w:szCs w:val="22"/>
        </w:rPr>
        <w:t>om</w:t>
      </w:r>
      <w:r w:rsidRPr="008D7D61">
        <w:rPr>
          <w:szCs w:val="22"/>
        </w:rPr>
        <w:t xml:space="preserve"> alebo cirhóz</w:t>
      </w:r>
      <w:r w:rsidR="001801AD">
        <w:rPr>
          <w:szCs w:val="22"/>
        </w:rPr>
        <w:t>ou pečene</w:t>
      </w:r>
      <w:r w:rsidRPr="008D7D61">
        <w:rPr>
          <w:szCs w:val="22"/>
        </w:rPr>
        <w:t xml:space="preserve"> môže viesť k exacerbácii poruchy funkcie pečene. </w:t>
      </w:r>
    </w:p>
    <w:p w:rsidR="008D0CF8" w:rsidRPr="001801AD" w:rsidRDefault="008D0CF8" w:rsidP="00794E35">
      <w:pPr>
        <w:spacing w:line="240" w:lineRule="auto"/>
        <w:rPr>
          <w:szCs w:val="22"/>
        </w:rPr>
      </w:pPr>
    </w:p>
    <w:p w:rsidR="008D0CF8" w:rsidRPr="00F04502" w:rsidRDefault="00B93209" w:rsidP="00794E35">
      <w:pPr>
        <w:keepNext/>
        <w:spacing w:line="240" w:lineRule="auto"/>
        <w:rPr>
          <w:szCs w:val="22"/>
        </w:rPr>
      </w:pPr>
      <w:r w:rsidRPr="00373A5F">
        <w:rPr>
          <w:szCs w:val="22"/>
        </w:rPr>
        <w:t>Pravidelne má byť vykonávaná laboratórna kontrola renálnych a pečeňových funkcií (vrátane virologický</w:t>
      </w:r>
      <w:r w:rsidRPr="00F04502">
        <w:rPr>
          <w:szCs w:val="22"/>
        </w:rPr>
        <w:t>ch testov).</w:t>
      </w:r>
    </w:p>
    <w:p w:rsidR="008D0CF8" w:rsidRPr="00EB2819" w:rsidRDefault="008D0CF8" w:rsidP="00794E35">
      <w:pPr>
        <w:spacing w:line="240" w:lineRule="auto"/>
        <w:rPr>
          <w:szCs w:val="22"/>
        </w:rPr>
      </w:pPr>
    </w:p>
    <w:p w:rsidR="008D0CF8" w:rsidRPr="00F67012" w:rsidRDefault="00B93209" w:rsidP="00794E35">
      <w:pPr>
        <w:keepNext/>
        <w:spacing w:line="240" w:lineRule="auto"/>
        <w:rPr>
          <w:szCs w:val="22"/>
          <w:u w:val="single"/>
        </w:rPr>
      </w:pPr>
      <w:r w:rsidRPr="00F67012">
        <w:rPr>
          <w:szCs w:val="22"/>
          <w:u w:val="single"/>
        </w:rPr>
        <w:t>Súbežná rádioterapia</w:t>
      </w:r>
    </w:p>
    <w:p w:rsidR="008D0CF8" w:rsidRPr="00E5116C" w:rsidRDefault="00B93209" w:rsidP="00794E35">
      <w:pPr>
        <w:spacing w:line="240" w:lineRule="auto"/>
        <w:rPr>
          <w:szCs w:val="22"/>
        </w:rPr>
      </w:pPr>
      <w:r w:rsidRPr="001F1786">
        <w:rPr>
          <w:szCs w:val="22"/>
        </w:rPr>
        <w:t xml:space="preserve">Súbežná rádioterapia (aplikovaná spoločne alebo s odstupom </w:t>
      </w:r>
      <w:r w:rsidR="00273A92" w:rsidRPr="001F1786">
        <w:rPr>
          <w:szCs w:val="22"/>
        </w:rPr>
        <w:t>≤ </w:t>
      </w:r>
      <w:r w:rsidRPr="001F1786">
        <w:rPr>
          <w:szCs w:val="22"/>
        </w:rPr>
        <w:t>7 dní): bola hlásená toxicita (podrobnosti a odporúčania pre použitie, pozri časť</w:t>
      </w:r>
      <w:r w:rsidR="00D4071E" w:rsidRPr="00E5116C">
        <w:rPr>
          <w:szCs w:val="22"/>
        </w:rPr>
        <w:t> </w:t>
      </w:r>
      <w:r w:rsidRPr="00E5116C">
        <w:rPr>
          <w:szCs w:val="22"/>
        </w:rPr>
        <w:t>4.5).</w:t>
      </w:r>
    </w:p>
    <w:p w:rsidR="008D0CF8" w:rsidRPr="00197979" w:rsidRDefault="008D0CF8" w:rsidP="00794E35">
      <w:pPr>
        <w:spacing w:line="240" w:lineRule="auto"/>
        <w:rPr>
          <w:szCs w:val="22"/>
        </w:rPr>
      </w:pPr>
    </w:p>
    <w:p w:rsidR="008D0CF8" w:rsidRPr="00F04502" w:rsidRDefault="00B93209" w:rsidP="00794E35">
      <w:pPr>
        <w:keepNext/>
        <w:spacing w:line="240" w:lineRule="auto"/>
        <w:rPr>
          <w:szCs w:val="22"/>
          <w:u w:val="single"/>
        </w:rPr>
      </w:pPr>
      <w:r w:rsidRPr="00197979">
        <w:rPr>
          <w:szCs w:val="22"/>
          <w:u w:val="single"/>
        </w:rPr>
        <w:t>Vakcináci</w:t>
      </w:r>
      <w:r w:rsidRPr="00373A5F">
        <w:rPr>
          <w:szCs w:val="22"/>
          <w:u w:val="single"/>
        </w:rPr>
        <w:t>a</w:t>
      </w:r>
      <w:r w:rsidRPr="00F04502">
        <w:rPr>
          <w:szCs w:val="22"/>
          <w:u w:val="single"/>
        </w:rPr>
        <w:t xml:space="preserve"> živ</w:t>
      </w:r>
      <w:r w:rsidR="00F04502">
        <w:rPr>
          <w:szCs w:val="22"/>
          <w:u w:val="single"/>
        </w:rPr>
        <w:t>ými</w:t>
      </w:r>
      <w:r w:rsidRPr="00F04502">
        <w:rPr>
          <w:szCs w:val="22"/>
          <w:u w:val="single"/>
        </w:rPr>
        <w:t xml:space="preserve"> očkovac</w:t>
      </w:r>
      <w:r w:rsidR="00F04502">
        <w:rPr>
          <w:szCs w:val="22"/>
          <w:u w:val="single"/>
        </w:rPr>
        <w:t>ími</w:t>
      </w:r>
      <w:r w:rsidRPr="00F04502">
        <w:rPr>
          <w:szCs w:val="22"/>
          <w:u w:val="single"/>
        </w:rPr>
        <w:t xml:space="preserve"> látk</w:t>
      </w:r>
      <w:r w:rsidR="00F04502">
        <w:rPr>
          <w:szCs w:val="22"/>
          <w:u w:val="single"/>
        </w:rPr>
        <w:t>ami</w:t>
      </w:r>
    </w:p>
    <w:p w:rsidR="008D0CF8" w:rsidRPr="00F67012" w:rsidRDefault="001F1786" w:rsidP="00794E35">
      <w:pPr>
        <w:spacing w:line="240" w:lineRule="auto"/>
        <w:rPr>
          <w:szCs w:val="22"/>
        </w:rPr>
      </w:pPr>
      <w:r>
        <w:rPr>
          <w:szCs w:val="22"/>
        </w:rPr>
        <w:t>U</w:t>
      </w:r>
      <w:r w:rsidR="00B93209" w:rsidRPr="00EB2819">
        <w:rPr>
          <w:szCs w:val="22"/>
        </w:rPr>
        <w:t xml:space="preserve"> paciento</w:t>
      </w:r>
      <w:r>
        <w:rPr>
          <w:szCs w:val="22"/>
        </w:rPr>
        <w:t>v</w:t>
      </w:r>
      <w:r w:rsidR="00B93209" w:rsidRPr="00EB2819">
        <w:rPr>
          <w:szCs w:val="22"/>
        </w:rPr>
        <w:t xml:space="preserve"> liečených gemcitabínom </w:t>
      </w:r>
      <w:r>
        <w:rPr>
          <w:szCs w:val="22"/>
        </w:rPr>
        <w:t>sa</w:t>
      </w:r>
      <w:r w:rsidR="00B93209" w:rsidRPr="00EB2819">
        <w:rPr>
          <w:szCs w:val="22"/>
        </w:rPr>
        <w:t xml:space="preserve"> </w:t>
      </w:r>
      <w:r>
        <w:rPr>
          <w:szCs w:val="22"/>
        </w:rPr>
        <w:t>ne</w:t>
      </w:r>
      <w:r w:rsidR="00B93209" w:rsidRPr="00EB2819">
        <w:rPr>
          <w:szCs w:val="22"/>
        </w:rPr>
        <w:t>odpor</w:t>
      </w:r>
      <w:r>
        <w:rPr>
          <w:szCs w:val="22"/>
        </w:rPr>
        <w:t>úča</w:t>
      </w:r>
      <w:r w:rsidR="00B93209" w:rsidRPr="00EB2819">
        <w:rPr>
          <w:szCs w:val="22"/>
        </w:rPr>
        <w:t xml:space="preserve"> podávanie očkovacej látky proti žltej zimnici alebo očkovanie inými živými atenuovanými očkovacími látkami (pozri časť</w:t>
      </w:r>
      <w:r w:rsidR="00D4071E" w:rsidRPr="00F67012">
        <w:rPr>
          <w:szCs w:val="22"/>
        </w:rPr>
        <w:t> </w:t>
      </w:r>
      <w:r w:rsidR="00B93209" w:rsidRPr="00F67012">
        <w:rPr>
          <w:szCs w:val="22"/>
        </w:rPr>
        <w:t>4.5).</w:t>
      </w:r>
    </w:p>
    <w:p w:rsidR="008D0CF8" w:rsidRPr="001F1786" w:rsidRDefault="008D0CF8" w:rsidP="00794E35">
      <w:pPr>
        <w:spacing w:line="240" w:lineRule="auto"/>
        <w:rPr>
          <w:szCs w:val="22"/>
        </w:rPr>
      </w:pPr>
    </w:p>
    <w:p w:rsidR="008D0CF8" w:rsidRPr="00E5116C" w:rsidRDefault="00B93209" w:rsidP="007D1B67">
      <w:pPr>
        <w:tabs>
          <w:tab w:val="clear" w:pos="567"/>
        </w:tabs>
        <w:autoSpaceDE w:val="0"/>
        <w:autoSpaceDN w:val="0"/>
        <w:adjustRightInd w:val="0"/>
        <w:spacing w:line="240" w:lineRule="auto"/>
        <w:rPr>
          <w:color w:val="000000"/>
          <w:szCs w:val="22"/>
          <w:u w:val="single"/>
        </w:rPr>
      </w:pPr>
      <w:r w:rsidRPr="00E5116C">
        <w:rPr>
          <w:color w:val="000000"/>
          <w:szCs w:val="22"/>
          <w:u w:val="single"/>
        </w:rPr>
        <w:t xml:space="preserve">Syndróm posteriórnej reverzibilnej encefalopatie </w:t>
      </w:r>
    </w:p>
    <w:p w:rsidR="008D0CF8" w:rsidRPr="00E5116C" w:rsidRDefault="00B93209" w:rsidP="00794E35">
      <w:pPr>
        <w:spacing w:line="240" w:lineRule="auto"/>
        <w:rPr>
          <w:szCs w:val="22"/>
        </w:rPr>
      </w:pPr>
      <w:r w:rsidRPr="00E5116C">
        <w:rPr>
          <w:color w:val="000000"/>
          <w:szCs w:val="22"/>
        </w:rPr>
        <w:t>U pacientov, ktorým bol podávaný gemcitabín v</w:t>
      </w:r>
      <w:r w:rsidR="00EB2819">
        <w:rPr>
          <w:color w:val="000000"/>
          <w:szCs w:val="22"/>
        </w:rPr>
        <w:t> </w:t>
      </w:r>
      <w:r w:rsidRPr="00EB2819">
        <w:rPr>
          <w:color w:val="000000"/>
          <w:szCs w:val="22"/>
        </w:rPr>
        <w:t>monoterapii</w:t>
      </w:r>
      <w:r w:rsidR="00EB2819">
        <w:rPr>
          <w:color w:val="000000"/>
          <w:szCs w:val="22"/>
        </w:rPr>
        <w:t xml:space="preserve"> alebo</w:t>
      </w:r>
      <w:r w:rsidRPr="00EB2819">
        <w:rPr>
          <w:color w:val="000000"/>
          <w:szCs w:val="22"/>
        </w:rPr>
        <w:t xml:space="preserve"> v kombinácii s inými chemoterapeutikami, boli </w:t>
      </w:r>
      <w:r w:rsidR="00F67012">
        <w:rPr>
          <w:color w:val="000000"/>
          <w:szCs w:val="22"/>
        </w:rPr>
        <w:t xml:space="preserve">zaznamenané </w:t>
      </w:r>
      <w:r w:rsidRPr="00EB2819">
        <w:rPr>
          <w:color w:val="000000"/>
          <w:szCs w:val="22"/>
        </w:rPr>
        <w:t>hlásenia syndrómu posteriórnej reverzibilnej encefalopatie (PRES – posterior reversible encephalopathy syndrome) s možnými závažnými dôsledkami. U väčšiny pacientov, ktorí prekonali PRES, bola hlásená akútna hy</w:t>
      </w:r>
      <w:r w:rsidRPr="00F67012">
        <w:rPr>
          <w:color w:val="000000"/>
          <w:szCs w:val="22"/>
        </w:rPr>
        <w:t>pertenzia a záchvaty, rovnako tak môžu byť prítomné symptómy ako je bolesť hlavy, letargia, zmätenosť a slepota. Diagnóza je najlepšie stanovená pomocou magnetickej rezonancie (MRI). Ak boli k dispozícii vhodné podporné opatrenia, bol PRES typicky reverzibilný. V prípade, že sa PRES vyvinie počas terapie, m</w:t>
      </w:r>
      <w:r w:rsidR="00F67012">
        <w:rPr>
          <w:color w:val="000000"/>
          <w:szCs w:val="22"/>
        </w:rPr>
        <w:t>á</w:t>
      </w:r>
      <w:r w:rsidRPr="00F67012">
        <w:rPr>
          <w:color w:val="000000"/>
          <w:szCs w:val="22"/>
        </w:rPr>
        <w:t xml:space="preserve"> byť podávanie gemcitabínu trvale prerušené a zároveň treba uskutočniť podporné opatrenia, vrátane </w:t>
      </w:r>
      <w:r w:rsidR="00552A37" w:rsidRPr="001F1786">
        <w:rPr>
          <w:color w:val="000000"/>
          <w:szCs w:val="22"/>
        </w:rPr>
        <w:t xml:space="preserve">kontroly </w:t>
      </w:r>
      <w:r w:rsidRPr="00E5116C">
        <w:rPr>
          <w:color w:val="000000"/>
          <w:szCs w:val="22"/>
        </w:rPr>
        <w:t>krvného tlaku a liečby záchvatov.</w:t>
      </w:r>
    </w:p>
    <w:p w:rsidR="008D0CF8" w:rsidRPr="00197979" w:rsidRDefault="008D0CF8" w:rsidP="00794E35">
      <w:pPr>
        <w:spacing w:line="240" w:lineRule="auto"/>
        <w:rPr>
          <w:szCs w:val="22"/>
        </w:rPr>
      </w:pPr>
    </w:p>
    <w:p w:rsidR="008D0CF8" w:rsidRPr="001A6293" w:rsidRDefault="00B93209" w:rsidP="00794E35">
      <w:pPr>
        <w:keepNext/>
        <w:spacing w:line="240" w:lineRule="auto"/>
        <w:rPr>
          <w:szCs w:val="22"/>
          <w:u w:val="single"/>
        </w:rPr>
      </w:pPr>
      <w:r w:rsidRPr="001A6293">
        <w:rPr>
          <w:szCs w:val="22"/>
          <w:u w:val="single"/>
        </w:rPr>
        <w:t>Kardiovaskulárne poruchy</w:t>
      </w:r>
    </w:p>
    <w:p w:rsidR="008D0CF8" w:rsidRPr="00E5116C" w:rsidRDefault="00B93209" w:rsidP="00794E35">
      <w:pPr>
        <w:spacing w:line="240" w:lineRule="auto"/>
        <w:rPr>
          <w:szCs w:val="22"/>
        </w:rPr>
      </w:pPr>
      <w:r w:rsidRPr="00422002">
        <w:rPr>
          <w:szCs w:val="22"/>
        </w:rPr>
        <w:t>Z dôvodu rizika srdcových a/alebo vaskulárnych porúch pri podávaní gemcitabínu, musí byť venovaná zvláštna pozornosť pacientom s</w:t>
      </w:r>
      <w:r w:rsidR="00E5116C">
        <w:rPr>
          <w:szCs w:val="22"/>
        </w:rPr>
        <w:t xml:space="preserve"> </w:t>
      </w:r>
      <w:r w:rsidRPr="00E5116C">
        <w:rPr>
          <w:szCs w:val="22"/>
        </w:rPr>
        <w:t>kardiovaskulárny</w:t>
      </w:r>
      <w:r w:rsidR="00E5116C">
        <w:rPr>
          <w:szCs w:val="22"/>
        </w:rPr>
        <w:t>mi</w:t>
      </w:r>
      <w:r w:rsidRPr="00E5116C">
        <w:rPr>
          <w:szCs w:val="22"/>
        </w:rPr>
        <w:t xml:space="preserve"> príhod</w:t>
      </w:r>
      <w:r w:rsidR="00E5116C">
        <w:rPr>
          <w:szCs w:val="22"/>
        </w:rPr>
        <w:t>ami v anamnéze</w:t>
      </w:r>
      <w:r w:rsidRPr="00E5116C">
        <w:rPr>
          <w:szCs w:val="22"/>
        </w:rPr>
        <w:t>.</w:t>
      </w:r>
    </w:p>
    <w:p w:rsidR="008D0CF8" w:rsidRPr="00197979" w:rsidRDefault="008D0CF8" w:rsidP="00794E35">
      <w:pPr>
        <w:spacing w:line="240" w:lineRule="auto"/>
        <w:rPr>
          <w:szCs w:val="22"/>
        </w:rPr>
      </w:pPr>
    </w:p>
    <w:p w:rsidR="008D0CF8" w:rsidRPr="001A6293" w:rsidRDefault="00B93209" w:rsidP="007D1B67">
      <w:pPr>
        <w:tabs>
          <w:tab w:val="clear" w:pos="567"/>
        </w:tabs>
        <w:autoSpaceDE w:val="0"/>
        <w:autoSpaceDN w:val="0"/>
        <w:adjustRightInd w:val="0"/>
        <w:spacing w:line="240" w:lineRule="auto"/>
        <w:rPr>
          <w:i/>
          <w:color w:val="000000"/>
          <w:szCs w:val="22"/>
        </w:rPr>
      </w:pPr>
      <w:r w:rsidRPr="001A6293">
        <w:rPr>
          <w:i/>
          <w:color w:val="000000"/>
          <w:szCs w:val="22"/>
        </w:rPr>
        <w:t xml:space="preserve">Syndróm kapilárneho úniku </w:t>
      </w:r>
    </w:p>
    <w:p w:rsidR="008D0CF8" w:rsidRPr="001A6293" w:rsidRDefault="00B93209" w:rsidP="00794E35">
      <w:pPr>
        <w:spacing w:line="240" w:lineRule="auto"/>
        <w:rPr>
          <w:szCs w:val="22"/>
        </w:rPr>
      </w:pPr>
      <w:r w:rsidRPr="001A6293">
        <w:rPr>
          <w:color w:val="000000"/>
          <w:szCs w:val="22"/>
        </w:rPr>
        <w:t xml:space="preserve">U pacientov, ktorým bol podávaný gemcitabín v monoterapii </w:t>
      </w:r>
      <w:r w:rsidR="00197979">
        <w:rPr>
          <w:color w:val="000000"/>
          <w:szCs w:val="22"/>
        </w:rPr>
        <w:t>alebo</w:t>
      </w:r>
      <w:r w:rsidRPr="00197979">
        <w:rPr>
          <w:color w:val="000000"/>
          <w:szCs w:val="22"/>
        </w:rPr>
        <w:t xml:space="preserve"> v kombinácii s inými chemoterapeutikami, boli hlásené prípady syndrómu kapilárneho úniku (pozri časť</w:t>
      </w:r>
      <w:r w:rsidR="00D4071E" w:rsidRPr="001A6293">
        <w:rPr>
          <w:color w:val="000000"/>
          <w:szCs w:val="22"/>
        </w:rPr>
        <w:t> </w:t>
      </w:r>
      <w:r w:rsidRPr="001A6293">
        <w:rPr>
          <w:color w:val="000000"/>
          <w:szCs w:val="22"/>
        </w:rPr>
        <w:t>4.8). Tento stav je pri včasnej diagnostike a vhodnom terapeutickom zásahu obvykle liečiteľný, ale boli hlásené prípady končiace úmrtím. Pri tomto stave dochádza k systémovej kapilárnej hyperpermeabilite, počas ktorej uniká tekutina a proteíny z intravasku</w:t>
      </w:r>
      <w:r w:rsidRPr="00422002">
        <w:rPr>
          <w:color w:val="000000"/>
          <w:szCs w:val="22"/>
        </w:rPr>
        <w:t>lárneho priestoru do interstícia. Klinické príznaky zahŕňajú generalizovaný edém, nárast telesnej hmotnosti, hypoalbuminémiu, závažnú hypotenziu, akútn</w:t>
      </w:r>
      <w:r w:rsidR="001A6293">
        <w:rPr>
          <w:color w:val="000000"/>
          <w:szCs w:val="22"/>
        </w:rPr>
        <w:t>u</w:t>
      </w:r>
      <w:r w:rsidRPr="00422002">
        <w:rPr>
          <w:color w:val="000000"/>
          <w:szCs w:val="22"/>
        </w:rPr>
        <w:t xml:space="preserve"> </w:t>
      </w:r>
      <w:r w:rsidR="001A6293">
        <w:rPr>
          <w:color w:val="000000"/>
          <w:szCs w:val="22"/>
        </w:rPr>
        <w:t>poruchu funkcie</w:t>
      </w:r>
      <w:r w:rsidRPr="001A6293">
        <w:rPr>
          <w:color w:val="000000"/>
          <w:szCs w:val="22"/>
        </w:rPr>
        <w:t xml:space="preserve"> obličiek a pľúcny edém. Ak sa vyvinie tento syndróm počas terapie gemcitabínom, má sa podávanie gemcitabínu prerušiť a je potrebné za</w:t>
      </w:r>
      <w:r w:rsidR="00422002">
        <w:rPr>
          <w:color w:val="000000"/>
          <w:szCs w:val="22"/>
        </w:rPr>
        <w:t>ča</w:t>
      </w:r>
      <w:r w:rsidRPr="001A6293">
        <w:rPr>
          <w:color w:val="000000"/>
          <w:szCs w:val="22"/>
        </w:rPr>
        <w:t xml:space="preserve">ť podporné </w:t>
      </w:r>
      <w:r w:rsidR="00243ED9">
        <w:rPr>
          <w:color w:val="000000"/>
          <w:szCs w:val="22"/>
        </w:rPr>
        <w:t>opatrenia</w:t>
      </w:r>
      <w:r w:rsidRPr="001A6293">
        <w:rPr>
          <w:color w:val="000000"/>
          <w:szCs w:val="22"/>
        </w:rPr>
        <w:t xml:space="preserve">. Syndróm kapilárneho </w:t>
      </w:r>
      <w:r w:rsidRPr="001A6293">
        <w:rPr>
          <w:color w:val="000000"/>
          <w:szCs w:val="22"/>
        </w:rPr>
        <w:lastRenderedPageBreak/>
        <w:t>úniku sa môže objaviť v neskorších cykloch a v literatúre je sp</w:t>
      </w:r>
      <w:r w:rsidR="00B73DB3">
        <w:rPr>
          <w:color w:val="000000"/>
          <w:szCs w:val="22"/>
        </w:rPr>
        <w:t>ája</w:t>
      </w:r>
      <w:r w:rsidRPr="001A6293">
        <w:rPr>
          <w:color w:val="000000"/>
          <w:szCs w:val="22"/>
        </w:rPr>
        <w:t>ný so syndrómom respiračnej tiesne dospelých.</w:t>
      </w:r>
    </w:p>
    <w:p w:rsidR="008D0CF8" w:rsidRPr="00422002" w:rsidRDefault="008D0CF8" w:rsidP="00794E35">
      <w:pPr>
        <w:spacing w:line="240" w:lineRule="auto"/>
        <w:rPr>
          <w:szCs w:val="22"/>
        </w:rPr>
      </w:pPr>
    </w:p>
    <w:p w:rsidR="008D0CF8" w:rsidRPr="00243ED9" w:rsidRDefault="00B93209" w:rsidP="00794E35">
      <w:pPr>
        <w:keepNext/>
        <w:spacing w:line="240" w:lineRule="auto"/>
        <w:rPr>
          <w:szCs w:val="22"/>
          <w:u w:val="single"/>
        </w:rPr>
      </w:pPr>
      <w:r w:rsidRPr="00243ED9">
        <w:rPr>
          <w:szCs w:val="22"/>
          <w:u w:val="single"/>
        </w:rPr>
        <w:t>Pľúcne poruchy</w:t>
      </w:r>
    </w:p>
    <w:p w:rsidR="008D0CF8" w:rsidRPr="00A363DB" w:rsidRDefault="00B93209" w:rsidP="00794E35">
      <w:pPr>
        <w:spacing w:line="240" w:lineRule="auto"/>
        <w:rPr>
          <w:szCs w:val="22"/>
        </w:rPr>
      </w:pPr>
      <w:r w:rsidRPr="00B73DB3">
        <w:rPr>
          <w:szCs w:val="22"/>
        </w:rPr>
        <w:t>V súvislosti s liečbou gemcitabínom bol zaznamenaný výskyt pľúcnych porúch, niekedy závažných (ako je pľúcny edém, intersticiálna pneumonitída alebo syndróm respiračnej tiesne dospelých - ARDS). Etiológia týchto účinkov nie je známa. V týchto prípadoch má byť zvážené prerušenie liečby gemcitabínom.</w:t>
      </w:r>
      <w:r w:rsidRPr="00A363DB">
        <w:rPr>
          <w:szCs w:val="22"/>
        </w:rPr>
        <w:t xml:space="preserve"> Včasn</w:t>
      </w:r>
      <w:r w:rsidR="00471610">
        <w:rPr>
          <w:szCs w:val="22"/>
        </w:rPr>
        <w:t>ý začiatok</w:t>
      </w:r>
      <w:r w:rsidRPr="00A363DB">
        <w:rPr>
          <w:szCs w:val="22"/>
        </w:rPr>
        <w:t xml:space="preserve"> podpornej liečby môže pomôcť </w:t>
      </w:r>
      <w:r w:rsidR="00471610">
        <w:rPr>
          <w:szCs w:val="22"/>
        </w:rPr>
        <w:t xml:space="preserve">k </w:t>
      </w:r>
      <w:r w:rsidRPr="00A363DB">
        <w:rPr>
          <w:szCs w:val="22"/>
        </w:rPr>
        <w:t>zmierneniu stav</w:t>
      </w:r>
      <w:r w:rsidR="00004C8F">
        <w:rPr>
          <w:szCs w:val="22"/>
        </w:rPr>
        <w:t>u</w:t>
      </w:r>
      <w:r w:rsidRPr="00A363DB">
        <w:rPr>
          <w:szCs w:val="22"/>
        </w:rPr>
        <w:t xml:space="preserve">. </w:t>
      </w:r>
    </w:p>
    <w:p w:rsidR="008D0CF8" w:rsidRPr="002205DE" w:rsidRDefault="008D0CF8" w:rsidP="00794E35">
      <w:pPr>
        <w:spacing w:line="240" w:lineRule="auto"/>
        <w:rPr>
          <w:szCs w:val="22"/>
        </w:rPr>
      </w:pPr>
    </w:p>
    <w:p w:rsidR="008D0CF8" w:rsidRPr="00471610" w:rsidRDefault="00B93209" w:rsidP="00794E35">
      <w:pPr>
        <w:keepNext/>
        <w:spacing w:line="240" w:lineRule="auto"/>
        <w:rPr>
          <w:szCs w:val="22"/>
          <w:u w:val="single"/>
        </w:rPr>
      </w:pPr>
      <w:r w:rsidRPr="00826A22">
        <w:rPr>
          <w:szCs w:val="22"/>
          <w:u w:val="single"/>
        </w:rPr>
        <w:t>Porucha funkcie obličiek</w:t>
      </w:r>
    </w:p>
    <w:p w:rsidR="008D0CF8" w:rsidRPr="00004C8F" w:rsidRDefault="00B93209" w:rsidP="00794E35">
      <w:pPr>
        <w:spacing w:line="240" w:lineRule="auto"/>
        <w:rPr>
          <w:i/>
          <w:szCs w:val="22"/>
        </w:rPr>
      </w:pPr>
      <w:r w:rsidRPr="004D04D0">
        <w:rPr>
          <w:i/>
          <w:szCs w:val="22"/>
        </w:rPr>
        <w:t>Hemolyticko-uremický syndróm</w:t>
      </w:r>
    </w:p>
    <w:p w:rsidR="008D0CF8" w:rsidRPr="00DA4450" w:rsidRDefault="00B93209" w:rsidP="00794E35">
      <w:pPr>
        <w:spacing w:line="240" w:lineRule="auto"/>
        <w:rPr>
          <w:szCs w:val="22"/>
        </w:rPr>
      </w:pPr>
      <w:r w:rsidRPr="002B1EB2">
        <w:rPr>
          <w:szCs w:val="22"/>
        </w:rPr>
        <w:t>U pacientov liečených gemcitabínom bol zriedka zaznamenaný klinický nález zodpovedajúci hemolyticko-uremickému syndrómu (HUS</w:t>
      </w:r>
      <w:r w:rsidR="007E19CE">
        <w:rPr>
          <w:szCs w:val="22"/>
        </w:rPr>
        <w:t>)</w:t>
      </w:r>
      <w:r w:rsidRPr="007E19CE">
        <w:rPr>
          <w:szCs w:val="22"/>
        </w:rPr>
        <w:t xml:space="preserve"> </w:t>
      </w:r>
      <w:r w:rsidR="007E19CE">
        <w:rPr>
          <w:szCs w:val="22"/>
        </w:rPr>
        <w:t>(</w:t>
      </w:r>
      <w:r w:rsidRPr="007E19CE">
        <w:rPr>
          <w:szCs w:val="22"/>
        </w:rPr>
        <w:t>pozri časť</w:t>
      </w:r>
      <w:r w:rsidR="00EF3AEE" w:rsidRPr="007E19CE">
        <w:rPr>
          <w:szCs w:val="22"/>
        </w:rPr>
        <w:t> </w:t>
      </w:r>
      <w:r w:rsidRPr="007E19CE">
        <w:rPr>
          <w:szCs w:val="22"/>
        </w:rPr>
        <w:t xml:space="preserve">4.8). HUS je život ohrozujúce ochorenie. Terapia gemcitabínom má byť prerušená pri akýchkoľvek prvých príznakoch mikroangiopatickej hemolytickej anémie, ako je napríklad rýchly pokles </w:t>
      </w:r>
      <w:r w:rsidR="00DA4450">
        <w:rPr>
          <w:szCs w:val="22"/>
        </w:rPr>
        <w:t xml:space="preserve">hladiny </w:t>
      </w:r>
      <w:r w:rsidRPr="007E19CE">
        <w:rPr>
          <w:szCs w:val="22"/>
        </w:rPr>
        <w:t>hemoglobínu so sú</w:t>
      </w:r>
      <w:r w:rsidR="00D0206F">
        <w:rPr>
          <w:szCs w:val="22"/>
        </w:rPr>
        <w:t>bež</w:t>
      </w:r>
      <w:r w:rsidRPr="007E19CE">
        <w:rPr>
          <w:szCs w:val="22"/>
        </w:rPr>
        <w:t>nou trombocytopéniou, zvýšen</w:t>
      </w:r>
      <w:r w:rsidR="00DA4450">
        <w:rPr>
          <w:szCs w:val="22"/>
        </w:rPr>
        <w:t>ím</w:t>
      </w:r>
      <w:r w:rsidRPr="007E19CE">
        <w:rPr>
          <w:szCs w:val="22"/>
        </w:rPr>
        <w:t xml:space="preserve"> sérových </w:t>
      </w:r>
      <w:r w:rsidRPr="00D0206F">
        <w:rPr>
          <w:szCs w:val="22"/>
        </w:rPr>
        <w:t>hladín bilirubínu, sérového kreatinínu, dusíka močoviny v krvi alebo LDH. Renálne zlyhani</w:t>
      </w:r>
      <w:r w:rsidR="00DA4450">
        <w:rPr>
          <w:szCs w:val="22"/>
        </w:rPr>
        <w:t>e</w:t>
      </w:r>
      <w:r w:rsidRPr="00D0206F">
        <w:rPr>
          <w:szCs w:val="22"/>
        </w:rPr>
        <w:t xml:space="preserve"> môž</w:t>
      </w:r>
      <w:r w:rsidR="00DA4450">
        <w:rPr>
          <w:szCs w:val="22"/>
        </w:rPr>
        <w:t>e</w:t>
      </w:r>
      <w:r w:rsidRPr="00D0206F">
        <w:rPr>
          <w:szCs w:val="22"/>
        </w:rPr>
        <w:t xml:space="preserve"> byť nevratné i po ukončení liečby a potom môže byť nevyhnutná dialýza. </w:t>
      </w:r>
    </w:p>
    <w:p w:rsidR="008D0CF8" w:rsidRPr="00743ADB" w:rsidRDefault="008D0CF8" w:rsidP="00794E35">
      <w:pPr>
        <w:spacing w:line="240" w:lineRule="auto"/>
        <w:rPr>
          <w:szCs w:val="22"/>
        </w:rPr>
      </w:pPr>
    </w:p>
    <w:p w:rsidR="008D0CF8" w:rsidRPr="00A437A5" w:rsidRDefault="00B93209" w:rsidP="00794E35">
      <w:pPr>
        <w:keepNext/>
        <w:spacing w:line="240" w:lineRule="auto"/>
        <w:rPr>
          <w:szCs w:val="22"/>
          <w:u w:val="single"/>
        </w:rPr>
      </w:pPr>
      <w:r w:rsidRPr="00A437A5">
        <w:rPr>
          <w:szCs w:val="22"/>
          <w:u w:val="single"/>
        </w:rPr>
        <w:t>Fertilita</w:t>
      </w:r>
    </w:p>
    <w:p w:rsidR="008D0CF8" w:rsidRPr="002C6A1B" w:rsidRDefault="00B93209" w:rsidP="00794E35">
      <w:pPr>
        <w:spacing w:line="240" w:lineRule="auto"/>
        <w:rPr>
          <w:szCs w:val="22"/>
        </w:rPr>
      </w:pPr>
      <w:r w:rsidRPr="00A437A5">
        <w:rPr>
          <w:szCs w:val="22"/>
        </w:rPr>
        <w:t>V</w:t>
      </w:r>
      <w:r w:rsidR="002C6A1B">
        <w:rPr>
          <w:szCs w:val="22"/>
        </w:rPr>
        <w:t xml:space="preserve"> reprodukčných </w:t>
      </w:r>
      <w:r w:rsidRPr="002C6A1B">
        <w:rPr>
          <w:szCs w:val="22"/>
        </w:rPr>
        <w:t xml:space="preserve">štúdiách spôsoboval gemcitabín </w:t>
      </w:r>
      <w:r w:rsidR="00A437A5">
        <w:rPr>
          <w:szCs w:val="22"/>
        </w:rPr>
        <w:t>u</w:t>
      </w:r>
      <w:r w:rsidRPr="002C6A1B">
        <w:rPr>
          <w:szCs w:val="22"/>
        </w:rPr>
        <w:t xml:space="preserve"> myších samco</w:t>
      </w:r>
      <w:r w:rsidR="00A437A5">
        <w:rPr>
          <w:szCs w:val="22"/>
        </w:rPr>
        <w:t>v</w:t>
      </w:r>
      <w:r w:rsidRPr="002C6A1B">
        <w:rPr>
          <w:szCs w:val="22"/>
        </w:rPr>
        <w:t xml:space="preserve"> hypospermatogenézu (pozri časť</w:t>
      </w:r>
      <w:r w:rsidR="00D4071E" w:rsidRPr="002C6A1B">
        <w:rPr>
          <w:szCs w:val="22"/>
        </w:rPr>
        <w:t> </w:t>
      </w:r>
      <w:r w:rsidRPr="002C6A1B">
        <w:rPr>
          <w:szCs w:val="22"/>
        </w:rPr>
        <w:t xml:space="preserve">5.3). Z tohto dôvodu má byť mužom liečeným gemcitabínom odporučené </w:t>
      </w:r>
      <w:r w:rsidR="00024E8C">
        <w:rPr>
          <w:szCs w:val="22"/>
        </w:rPr>
        <w:t>nesplodiť</w:t>
      </w:r>
      <w:r w:rsidR="00DA4450">
        <w:rPr>
          <w:szCs w:val="22"/>
        </w:rPr>
        <w:t xml:space="preserve"> dieťa</w:t>
      </w:r>
      <w:r w:rsidRPr="00DA4450">
        <w:rPr>
          <w:szCs w:val="22"/>
        </w:rPr>
        <w:t xml:space="preserve"> počas liečby a po dobu až 6 mesiacov po ukončení liečby a z dôvodu možnej neplodnosti po</w:t>
      </w:r>
      <w:r w:rsidR="00A44D46">
        <w:rPr>
          <w:szCs w:val="22"/>
        </w:rPr>
        <w:t>čas</w:t>
      </w:r>
      <w:r w:rsidRPr="00DA4450">
        <w:rPr>
          <w:szCs w:val="22"/>
        </w:rPr>
        <w:t xml:space="preserve"> liečb</w:t>
      </w:r>
      <w:r w:rsidR="00A44D46">
        <w:rPr>
          <w:szCs w:val="22"/>
        </w:rPr>
        <w:t>y</w:t>
      </w:r>
      <w:r w:rsidRPr="00DA4450">
        <w:rPr>
          <w:szCs w:val="22"/>
        </w:rPr>
        <w:t xml:space="preserve"> gemcitabínom vyhľadať pred liečbou odbornú pomoc, týkajúcu </w:t>
      </w:r>
      <w:r w:rsidRPr="00743ADB">
        <w:rPr>
          <w:szCs w:val="22"/>
        </w:rPr>
        <w:t xml:space="preserve">sa možnosti uchovania spermií </w:t>
      </w:r>
      <w:r w:rsidR="003C639C">
        <w:rPr>
          <w:szCs w:val="22"/>
        </w:rPr>
        <w:t>kryokonzerváciou</w:t>
      </w:r>
      <w:r w:rsidR="003C639C" w:rsidRPr="00743ADB">
        <w:rPr>
          <w:szCs w:val="22"/>
        </w:rPr>
        <w:t xml:space="preserve"> </w:t>
      </w:r>
      <w:r w:rsidRPr="00743ADB">
        <w:rPr>
          <w:szCs w:val="22"/>
        </w:rPr>
        <w:t>(pozri časť</w:t>
      </w:r>
      <w:r w:rsidR="00D4071E" w:rsidRPr="002C6A1B">
        <w:rPr>
          <w:szCs w:val="22"/>
        </w:rPr>
        <w:t> </w:t>
      </w:r>
      <w:r w:rsidRPr="002C6A1B">
        <w:rPr>
          <w:szCs w:val="22"/>
        </w:rPr>
        <w:t>4.6).</w:t>
      </w:r>
    </w:p>
    <w:p w:rsidR="008D0CF8" w:rsidRPr="00A437A5" w:rsidRDefault="008D0CF8" w:rsidP="00794E35">
      <w:pPr>
        <w:spacing w:line="240" w:lineRule="auto"/>
        <w:rPr>
          <w:szCs w:val="22"/>
        </w:rPr>
      </w:pPr>
    </w:p>
    <w:p w:rsidR="008D0CF8" w:rsidRPr="00024E8C" w:rsidRDefault="00B93209" w:rsidP="00794E35">
      <w:pPr>
        <w:keepNext/>
        <w:spacing w:line="240" w:lineRule="auto"/>
        <w:rPr>
          <w:szCs w:val="22"/>
          <w:u w:val="single"/>
        </w:rPr>
      </w:pPr>
      <w:r w:rsidRPr="00024E8C">
        <w:rPr>
          <w:szCs w:val="22"/>
          <w:u w:val="single"/>
        </w:rPr>
        <w:t>Sodík</w:t>
      </w:r>
    </w:p>
    <w:p w:rsidR="008D0CF8" w:rsidRPr="00DA4450" w:rsidRDefault="00B93209" w:rsidP="00794E35">
      <w:pPr>
        <w:spacing w:line="240" w:lineRule="auto"/>
        <w:rPr>
          <w:szCs w:val="22"/>
        </w:rPr>
      </w:pPr>
      <w:r w:rsidRPr="00024E8C">
        <w:rPr>
          <w:szCs w:val="22"/>
        </w:rPr>
        <w:t xml:space="preserve">Každá </w:t>
      </w:r>
      <w:r w:rsidR="00565599" w:rsidRPr="00024E8C">
        <w:rPr>
          <w:szCs w:val="22"/>
        </w:rPr>
        <w:t xml:space="preserve">injekčná </w:t>
      </w:r>
      <w:r w:rsidRPr="00024E8C">
        <w:rPr>
          <w:szCs w:val="22"/>
        </w:rPr>
        <w:t xml:space="preserve">liekovka </w:t>
      </w:r>
      <w:r w:rsidR="00DA4450">
        <w:rPr>
          <w:szCs w:val="22"/>
        </w:rPr>
        <w:t xml:space="preserve">s obsahom 200 mg </w:t>
      </w:r>
      <w:r w:rsidRPr="00DA4450">
        <w:rPr>
          <w:szCs w:val="22"/>
        </w:rPr>
        <w:t>gem</w:t>
      </w:r>
      <w:r w:rsidR="00247DCC" w:rsidRPr="00DA4450">
        <w:rPr>
          <w:szCs w:val="22"/>
        </w:rPr>
        <w:t>citabínu obsahuje 460 mg (20 mmol</w:t>
      </w:r>
      <w:r w:rsidRPr="00DA4450">
        <w:rPr>
          <w:szCs w:val="22"/>
        </w:rPr>
        <w:t>) sodíka.</w:t>
      </w:r>
    </w:p>
    <w:p w:rsidR="008D0CF8" w:rsidRPr="00DA4450" w:rsidRDefault="00B93209" w:rsidP="00794E35">
      <w:pPr>
        <w:spacing w:line="240" w:lineRule="auto"/>
        <w:rPr>
          <w:szCs w:val="22"/>
        </w:rPr>
      </w:pPr>
      <w:r w:rsidRPr="00DA4450">
        <w:rPr>
          <w:szCs w:val="22"/>
        </w:rPr>
        <w:t xml:space="preserve">Každá </w:t>
      </w:r>
      <w:r w:rsidR="00565599" w:rsidRPr="00DA4450">
        <w:rPr>
          <w:szCs w:val="22"/>
        </w:rPr>
        <w:t xml:space="preserve">injekčná </w:t>
      </w:r>
      <w:r w:rsidRPr="00DA4450">
        <w:rPr>
          <w:szCs w:val="22"/>
        </w:rPr>
        <w:t>liekovka</w:t>
      </w:r>
      <w:r w:rsidR="00F96911" w:rsidRPr="00DA4450">
        <w:rPr>
          <w:szCs w:val="22"/>
        </w:rPr>
        <w:t xml:space="preserve"> </w:t>
      </w:r>
      <w:r w:rsidR="00DA4450">
        <w:rPr>
          <w:szCs w:val="22"/>
        </w:rPr>
        <w:t xml:space="preserve">s obsahom </w:t>
      </w:r>
      <w:r w:rsidR="00DA4450" w:rsidRPr="00B94B98">
        <w:rPr>
          <w:szCs w:val="22"/>
        </w:rPr>
        <w:t xml:space="preserve">1 000 mg </w:t>
      </w:r>
      <w:r w:rsidR="00F96911" w:rsidRPr="00DA4450">
        <w:rPr>
          <w:szCs w:val="22"/>
        </w:rPr>
        <w:t>gemcitabínu obsahuje 2</w:t>
      </w:r>
      <w:r w:rsidR="00273A92" w:rsidRPr="00DA4450">
        <w:rPr>
          <w:szCs w:val="22"/>
        </w:rPr>
        <w:t> </w:t>
      </w:r>
      <w:r w:rsidR="00F96911" w:rsidRPr="00DA4450">
        <w:rPr>
          <w:szCs w:val="22"/>
        </w:rPr>
        <w:t>300 mg (100</w:t>
      </w:r>
      <w:r w:rsidRPr="00DA4450">
        <w:rPr>
          <w:szCs w:val="22"/>
        </w:rPr>
        <w:t> mmol) sodíka.</w:t>
      </w:r>
    </w:p>
    <w:p w:rsidR="008D0CF8" w:rsidRPr="00DA4450" w:rsidRDefault="00B93209" w:rsidP="00794E35">
      <w:pPr>
        <w:spacing w:line="240" w:lineRule="auto"/>
        <w:rPr>
          <w:szCs w:val="22"/>
        </w:rPr>
      </w:pPr>
      <w:r w:rsidRPr="00DA4450">
        <w:rPr>
          <w:szCs w:val="22"/>
        </w:rPr>
        <w:t xml:space="preserve">Každá </w:t>
      </w:r>
      <w:r w:rsidR="00565599" w:rsidRPr="00DA4450">
        <w:rPr>
          <w:szCs w:val="22"/>
        </w:rPr>
        <w:t xml:space="preserve">injekčná </w:t>
      </w:r>
      <w:r w:rsidRPr="00DA4450">
        <w:rPr>
          <w:szCs w:val="22"/>
        </w:rPr>
        <w:t xml:space="preserve">liekovka </w:t>
      </w:r>
      <w:r w:rsidR="00DA4450">
        <w:rPr>
          <w:szCs w:val="22"/>
        </w:rPr>
        <w:t xml:space="preserve">s obsahom </w:t>
      </w:r>
      <w:r w:rsidR="00DA4450" w:rsidRPr="00B94B98">
        <w:rPr>
          <w:szCs w:val="22"/>
        </w:rPr>
        <w:t xml:space="preserve">2 000 mg </w:t>
      </w:r>
      <w:r w:rsidR="00F96911" w:rsidRPr="00DA4450">
        <w:rPr>
          <w:szCs w:val="22"/>
        </w:rPr>
        <w:t>gemcitabínu obsahuje 4 600 mg (200</w:t>
      </w:r>
      <w:r w:rsidRPr="00DA4450">
        <w:rPr>
          <w:szCs w:val="22"/>
        </w:rPr>
        <w:t> mmol) sodíka.</w:t>
      </w:r>
    </w:p>
    <w:p w:rsidR="008D0CF8" w:rsidRPr="002C6A1B" w:rsidRDefault="00B93209" w:rsidP="00794E35">
      <w:pPr>
        <w:spacing w:line="240" w:lineRule="auto"/>
        <w:rPr>
          <w:szCs w:val="22"/>
        </w:rPr>
      </w:pPr>
      <w:r w:rsidRPr="00743ADB">
        <w:rPr>
          <w:szCs w:val="22"/>
        </w:rPr>
        <w:t>Má sa vziať do úvahy u pacientov na diéte s kontrolovaným obsahom sodíka.</w:t>
      </w:r>
    </w:p>
    <w:p w:rsidR="008D0CF8" w:rsidRPr="00A437A5" w:rsidRDefault="008D0CF8" w:rsidP="00794E35">
      <w:pPr>
        <w:spacing w:line="240" w:lineRule="auto"/>
        <w:rPr>
          <w:szCs w:val="22"/>
        </w:rPr>
      </w:pPr>
    </w:p>
    <w:p w:rsidR="008D0CF8" w:rsidRPr="00024E8C" w:rsidRDefault="00B93209" w:rsidP="00794E35">
      <w:pPr>
        <w:spacing w:line="240" w:lineRule="auto"/>
        <w:rPr>
          <w:szCs w:val="22"/>
        </w:rPr>
      </w:pPr>
      <w:r w:rsidRPr="00024E8C">
        <w:rPr>
          <w:b/>
          <w:szCs w:val="22"/>
        </w:rPr>
        <w:t>4.5</w:t>
      </w:r>
      <w:r w:rsidRPr="00024E8C">
        <w:rPr>
          <w:b/>
          <w:szCs w:val="22"/>
        </w:rPr>
        <w:tab/>
        <w:t>Liekové a iné interakcie</w:t>
      </w:r>
    </w:p>
    <w:p w:rsidR="00AB3B9F" w:rsidRDefault="00AB3B9F" w:rsidP="00794E35">
      <w:pPr>
        <w:keepNext/>
        <w:widowControl w:val="0"/>
        <w:spacing w:line="240" w:lineRule="auto"/>
        <w:ind w:left="567" w:hanging="567"/>
        <w:outlineLvl w:val="0"/>
        <w:rPr>
          <w:szCs w:val="22"/>
        </w:rPr>
      </w:pPr>
    </w:p>
    <w:p w:rsidR="008D0CF8" w:rsidRPr="003C639C" w:rsidRDefault="00B93209" w:rsidP="00794E35">
      <w:pPr>
        <w:keepNext/>
        <w:widowControl w:val="0"/>
        <w:spacing w:line="240" w:lineRule="auto"/>
        <w:ind w:left="567" w:hanging="567"/>
        <w:outlineLvl w:val="0"/>
        <w:rPr>
          <w:szCs w:val="22"/>
        </w:rPr>
      </w:pPr>
      <w:r w:rsidRPr="003C639C">
        <w:rPr>
          <w:szCs w:val="22"/>
        </w:rPr>
        <w:t>Neuskutočnili sa žiadne interakčné štúdie (pozri časť</w:t>
      </w:r>
      <w:r w:rsidR="00C95FED" w:rsidRPr="003C639C">
        <w:rPr>
          <w:szCs w:val="22"/>
        </w:rPr>
        <w:t> </w:t>
      </w:r>
      <w:r w:rsidRPr="003C639C">
        <w:rPr>
          <w:szCs w:val="22"/>
        </w:rPr>
        <w:t>5.2).</w:t>
      </w:r>
    </w:p>
    <w:p w:rsidR="008D0CF8" w:rsidRPr="00AB3B9F" w:rsidRDefault="008D0CF8" w:rsidP="00794E35">
      <w:pPr>
        <w:keepNext/>
        <w:widowControl w:val="0"/>
        <w:spacing w:line="240" w:lineRule="auto"/>
        <w:ind w:left="567" w:hanging="567"/>
        <w:outlineLvl w:val="0"/>
        <w:rPr>
          <w:szCs w:val="22"/>
        </w:rPr>
      </w:pPr>
    </w:p>
    <w:p w:rsidR="008D0CF8" w:rsidRPr="009D061C" w:rsidRDefault="00B93209" w:rsidP="00794E35">
      <w:pPr>
        <w:keepNext/>
        <w:widowControl w:val="0"/>
        <w:spacing w:line="240" w:lineRule="auto"/>
        <w:ind w:left="567" w:hanging="567"/>
        <w:outlineLvl w:val="0"/>
        <w:rPr>
          <w:szCs w:val="22"/>
          <w:u w:val="single"/>
        </w:rPr>
      </w:pPr>
      <w:r w:rsidRPr="009D061C">
        <w:rPr>
          <w:szCs w:val="22"/>
          <w:u w:val="single"/>
        </w:rPr>
        <w:t>Rádioterapia</w:t>
      </w:r>
    </w:p>
    <w:p w:rsidR="008D0CF8" w:rsidRPr="00746CFA" w:rsidRDefault="00B93209" w:rsidP="00794E35">
      <w:pPr>
        <w:keepNext/>
        <w:widowControl w:val="0"/>
        <w:spacing w:line="240" w:lineRule="auto"/>
        <w:rPr>
          <w:szCs w:val="22"/>
        </w:rPr>
      </w:pPr>
      <w:r w:rsidRPr="00BF4462">
        <w:rPr>
          <w:szCs w:val="22"/>
        </w:rPr>
        <w:t xml:space="preserve">Súbežná rádioterapia (aplikovaná spoločne alebo s odstupom </w:t>
      </w:r>
      <w:r w:rsidR="00273A92" w:rsidRPr="00BF4462">
        <w:rPr>
          <w:szCs w:val="22"/>
        </w:rPr>
        <w:t>≤</w:t>
      </w:r>
      <w:r w:rsidRPr="00BF4462">
        <w:rPr>
          <w:szCs w:val="22"/>
        </w:rPr>
        <w:t xml:space="preserve"> 7 dní) - toxicita spojená s multimodálnou liečbou je závislá od mnohých rôznych faktorov, medzi ktoré patrí dávka gemcitabínu, frekvencia podávania gemcitabínu, dávka radiácie, </w:t>
      </w:r>
      <w:r w:rsidR="00E143DB" w:rsidRPr="00746CFA">
        <w:rPr>
          <w:szCs w:val="22"/>
        </w:rPr>
        <w:t xml:space="preserve">metóda pre </w:t>
      </w:r>
      <w:r w:rsidRPr="00746CFA">
        <w:rPr>
          <w:szCs w:val="22"/>
        </w:rPr>
        <w:t>plánova</w:t>
      </w:r>
      <w:r w:rsidR="00E143DB" w:rsidRPr="00746CFA">
        <w:rPr>
          <w:szCs w:val="22"/>
        </w:rPr>
        <w:t>nie</w:t>
      </w:r>
      <w:r w:rsidRPr="00746CFA">
        <w:rPr>
          <w:szCs w:val="22"/>
        </w:rPr>
        <w:t xml:space="preserve"> rádioterapie, cieľové tkanivo a cieľový objem. Predklinické a klinické štúdie preukázali, že gemcitabín má rádiosenzibilizačn</w:t>
      </w:r>
      <w:r w:rsidR="00344D5C">
        <w:rPr>
          <w:szCs w:val="22"/>
        </w:rPr>
        <w:t>ú aktivitu</w:t>
      </w:r>
      <w:r w:rsidRPr="00746CFA">
        <w:rPr>
          <w:szCs w:val="22"/>
        </w:rPr>
        <w:t>. V jednom klinickom skúšaní, v ktor</w:t>
      </w:r>
      <w:r w:rsidR="009D061C">
        <w:rPr>
          <w:szCs w:val="22"/>
        </w:rPr>
        <w:t>om</w:t>
      </w:r>
      <w:r w:rsidRPr="00BF4462">
        <w:rPr>
          <w:szCs w:val="22"/>
        </w:rPr>
        <w:t xml:space="preserve"> bol gemcitabín podávaný v dávke 1 000 mg/</w:t>
      </w:r>
      <w:r w:rsidR="000B0D10" w:rsidRPr="00746CFA">
        <w:rPr>
          <w:szCs w:val="22"/>
        </w:rPr>
        <w:t>m²</w:t>
      </w:r>
      <w:r w:rsidRPr="00746CFA">
        <w:rPr>
          <w:szCs w:val="22"/>
        </w:rPr>
        <w:t xml:space="preserve"> súbežne s terapeutickým ožarovaním hrudníka nepretržite po dobu až 6</w:t>
      </w:r>
      <w:r w:rsidR="00273A92" w:rsidRPr="00746CFA">
        <w:rPr>
          <w:szCs w:val="22"/>
        </w:rPr>
        <w:t> </w:t>
      </w:r>
      <w:r w:rsidRPr="00746CFA">
        <w:rPr>
          <w:szCs w:val="22"/>
        </w:rPr>
        <w:t xml:space="preserve">týždňov pacientom s nemalobunkovým karcinómom pľúc, bola pozorovaná významná toxicita v podobe </w:t>
      </w:r>
      <w:r w:rsidR="00BF4462">
        <w:rPr>
          <w:szCs w:val="22"/>
        </w:rPr>
        <w:t>závažn</w:t>
      </w:r>
      <w:r w:rsidR="0088228A" w:rsidRPr="00BF4462">
        <w:rPr>
          <w:szCs w:val="22"/>
        </w:rPr>
        <w:t>ej</w:t>
      </w:r>
      <w:r w:rsidRPr="00BF4462">
        <w:rPr>
          <w:szCs w:val="22"/>
        </w:rPr>
        <w:t xml:space="preserve"> a potenciálne život ohrozujúcej mukozitídy, najmä ezofagitídy a pneumonitídy, a to najmä u pacientov liečených veľký</w:t>
      </w:r>
      <w:r w:rsidRPr="00746CFA">
        <w:rPr>
          <w:szCs w:val="22"/>
        </w:rPr>
        <w:t xml:space="preserve">mi dávkami rádioterapie (medián </w:t>
      </w:r>
      <w:r w:rsidR="00565599" w:rsidRPr="00746CFA">
        <w:rPr>
          <w:szCs w:val="22"/>
        </w:rPr>
        <w:t xml:space="preserve">liečebného </w:t>
      </w:r>
      <w:r w:rsidRPr="00746CFA">
        <w:rPr>
          <w:szCs w:val="22"/>
        </w:rPr>
        <w:t>objemu 4 795 cm</w:t>
      </w:r>
      <w:r w:rsidRPr="00746CFA">
        <w:rPr>
          <w:szCs w:val="22"/>
          <w:vertAlign w:val="superscript"/>
        </w:rPr>
        <w:t>3</w:t>
      </w:r>
      <w:r w:rsidRPr="00746CFA">
        <w:rPr>
          <w:szCs w:val="22"/>
        </w:rPr>
        <w:t>). Nasledujúce štúdie, ako je štúdia fázy</w:t>
      </w:r>
      <w:r w:rsidR="00AF413B" w:rsidRPr="006D732F">
        <w:rPr>
          <w:szCs w:val="22"/>
        </w:rPr>
        <w:t> </w:t>
      </w:r>
      <w:r w:rsidRPr="006D732F">
        <w:rPr>
          <w:szCs w:val="22"/>
        </w:rPr>
        <w:t>II u nemalobunkového karcinómu pľúc, kde bolo v priebehu 6 týždňov vykonávané ožarovanie hrudníka v dávkach 66</w:t>
      </w:r>
      <w:r w:rsidR="009B05D3" w:rsidRPr="006D732F">
        <w:rPr>
          <w:szCs w:val="22"/>
        </w:rPr>
        <w:t> </w:t>
      </w:r>
      <w:r w:rsidRPr="006D732F">
        <w:rPr>
          <w:szCs w:val="22"/>
        </w:rPr>
        <w:t>Gy spoločne so sú</w:t>
      </w:r>
      <w:r w:rsidR="00746CFA">
        <w:rPr>
          <w:szCs w:val="22"/>
        </w:rPr>
        <w:t>bež</w:t>
      </w:r>
      <w:r w:rsidRPr="00746CFA">
        <w:rPr>
          <w:szCs w:val="22"/>
        </w:rPr>
        <w:t>nou liečbou gemcitabínom (600 mg/</w:t>
      </w:r>
      <w:r w:rsidR="000B0D10" w:rsidRPr="006D732F">
        <w:rPr>
          <w:szCs w:val="22"/>
        </w:rPr>
        <w:t>m²</w:t>
      </w:r>
      <w:r w:rsidRPr="006D732F">
        <w:rPr>
          <w:szCs w:val="22"/>
        </w:rPr>
        <w:t>, štyrikrát) a cisplatinou (80 mg/</w:t>
      </w:r>
      <w:r w:rsidR="000B0D10" w:rsidRPr="006D732F">
        <w:rPr>
          <w:szCs w:val="22"/>
        </w:rPr>
        <w:t>m²</w:t>
      </w:r>
      <w:r w:rsidRPr="006D732F">
        <w:rPr>
          <w:szCs w:val="22"/>
        </w:rPr>
        <w:t>, dvakrát) naznačili, že spoločne s rádioterapiou je možné podávať gemcitabín v nižších dávkach s predpovedateľnou toxicitou. Optimálna schéma pre bezpečné podávanie gemcitabínu pri terapeuti</w:t>
      </w:r>
      <w:r w:rsidR="00EC3425" w:rsidRPr="006D732F">
        <w:rPr>
          <w:szCs w:val="22"/>
        </w:rPr>
        <w:t>ck</w:t>
      </w:r>
      <w:r w:rsidR="00746CFA">
        <w:rPr>
          <w:szCs w:val="22"/>
        </w:rPr>
        <w:t>ých dávkach</w:t>
      </w:r>
      <w:r w:rsidR="00EC3425" w:rsidRPr="00746CFA">
        <w:rPr>
          <w:szCs w:val="22"/>
        </w:rPr>
        <w:t xml:space="preserve"> ožarovan</w:t>
      </w:r>
      <w:r w:rsidR="00746CFA">
        <w:rPr>
          <w:szCs w:val="22"/>
        </w:rPr>
        <w:t>ia</w:t>
      </w:r>
      <w:r w:rsidR="00EC3425" w:rsidRPr="00746CFA">
        <w:rPr>
          <w:szCs w:val="22"/>
        </w:rPr>
        <w:t xml:space="preserve"> nebola doposiaľ </w:t>
      </w:r>
      <w:r w:rsidRPr="00746CFA">
        <w:rPr>
          <w:szCs w:val="22"/>
        </w:rPr>
        <w:t xml:space="preserve">pri všetkých typoch nádorov stanovená. </w:t>
      </w:r>
    </w:p>
    <w:p w:rsidR="008D0CF8" w:rsidRPr="006D732F" w:rsidRDefault="008D0CF8" w:rsidP="00794E35">
      <w:pPr>
        <w:autoSpaceDE w:val="0"/>
        <w:autoSpaceDN w:val="0"/>
        <w:adjustRightInd w:val="0"/>
        <w:spacing w:line="240" w:lineRule="auto"/>
        <w:rPr>
          <w:szCs w:val="22"/>
        </w:rPr>
      </w:pPr>
    </w:p>
    <w:p w:rsidR="008D0CF8" w:rsidRPr="006D732F" w:rsidRDefault="00B93209" w:rsidP="00794E35">
      <w:pPr>
        <w:autoSpaceDE w:val="0"/>
        <w:autoSpaceDN w:val="0"/>
        <w:adjustRightInd w:val="0"/>
        <w:spacing w:line="240" w:lineRule="auto"/>
        <w:rPr>
          <w:strike/>
          <w:szCs w:val="22"/>
        </w:rPr>
      </w:pPr>
      <w:r w:rsidRPr="00017F82">
        <w:rPr>
          <w:szCs w:val="22"/>
        </w:rPr>
        <w:t>Nesúbežná rádioterapia (aplikovaná s odstupom &gt;</w:t>
      </w:r>
      <w:r w:rsidR="00273A92" w:rsidRPr="00017F82">
        <w:rPr>
          <w:szCs w:val="22"/>
        </w:rPr>
        <w:t> </w:t>
      </w:r>
      <w:r w:rsidRPr="00017F82">
        <w:rPr>
          <w:szCs w:val="22"/>
        </w:rPr>
        <w:t xml:space="preserve">7 dní) – analýza údajov nenaznačuje zvýšenie toxicity, s výnimkou </w:t>
      </w:r>
      <w:r w:rsidR="00746CFA">
        <w:rPr>
          <w:szCs w:val="22"/>
        </w:rPr>
        <w:t>návratu</w:t>
      </w:r>
      <w:r w:rsidR="00746CFA" w:rsidRPr="00746CFA">
        <w:rPr>
          <w:szCs w:val="22"/>
        </w:rPr>
        <w:t xml:space="preserve"> </w:t>
      </w:r>
      <w:r w:rsidRPr="00746CFA">
        <w:rPr>
          <w:szCs w:val="22"/>
        </w:rPr>
        <w:t xml:space="preserve">reakcie </w:t>
      </w:r>
      <w:r w:rsidR="00746CFA">
        <w:rPr>
          <w:szCs w:val="22"/>
        </w:rPr>
        <w:t>z</w:t>
      </w:r>
      <w:r w:rsidRPr="00746CFA">
        <w:rPr>
          <w:szCs w:val="22"/>
        </w:rPr>
        <w:t xml:space="preserve"> ožiarenie (radiation recall), pokiaľ je gemcitabín pod</w:t>
      </w:r>
      <w:r w:rsidR="00746CFA">
        <w:rPr>
          <w:szCs w:val="22"/>
        </w:rPr>
        <w:t>áva</w:t>
      </w:r>
      <w:r w:rsidRPr="00746CFA">
        <w:rPr>
          <w:szCs w:val="22"/>
        </w:rPr>
        <w:t xml:space="preserve">ný viac </w:t>
      </w:r>
      <w:r w:rsidRPr="00746CFA">
        <w:rPr>
          <w:szCs w:val="22"/>
        </w:rPr>
        <w:lastRenderedPageBreak/>
        <w:t>než 7</w:t>
      </w:r>
      <w:r w:rsidR="00273A92" w:rsidRPr="00746CFA">
        <w:rPr>
          <w:szCs w:val="22"/>
        </w:rPr>
        <w:t> </w:t>
      </w:r>
      <w:r w:rsidRPr="006D732F">
        <w:rPr>
          <w:szCs w:val="22"/>
        </w:rPr>
        <w:t>dní pred ožarovaním alebo po ňom. Údaje naznačujú, že podávanie gemcitabínu môže za</w:t>
      </w:r>
      <w:r w:rsidR="006D732F">
        <w:rPr>
          <w:szCs w:val="22"/>
        </w:rPr>
        <w:t xml:space="preserve">čať </w:t>
      </w:r>
      <w:r w:rsidRPr="006D732F">
        <w:rPr>
          <w:szCs w:val="22"/>
        </w:rPr>
        <w:t xml:space="preserve">po </w:t>
      </w:r>
      <w:r w:rsidR="00B214E7" w:rsidRPr="006D732F">
        <w:rPr>
          <w:szCs w:val="22"/>
        </w:rPr>
        <w:t>od</w:t>
      </w:r>
      <w:r w:rsidRPr="006D732F">
        <w:rPr>
          <w:szCs w:val="22"/>
        </w:rPr>
        <w:t>znení akútnych účinkov</w:t>
      </w:r>
      <w:r w:rsidR="00017F82">
        <w:rPr>
          <w:szCs w:val="22"/>
        </w:rPr>
        <w:t xml:space="preserve"> z</w:t>
      </w:r>
      <w:r w:rsidRPr="006D732F">
        <w:rPr>
          <w:szCs w:val="22"/>
        </w:rPr>
        <w:t xml:space="preserve"> ožarovania alebo as</w:t>
      </w:r>
      <w:r w:rsidR="00EC3425" w:rsidRPr="006D732F">
        <w:rPr>
          <w:szCs w:val="22"/>
        </w:rPr>
        <w:t>poň jeden týždeň po ožarovaní.</w:t>
      </w:r>
    </w:p>
    <w:p w:rsidR="008D0CF8" w:rsidRPr="00017F82" w:rsidRDefault="008D0CF8" w:rsidP="00794E35">
      <w:pPr>
        <w:autoSpaceDE w:val="0"/>
        <w:autoSpaceDN w:val="0"/>
        <w:adjustRightInd w:val="0"/>
        <w:spacing w:line="240" w:lineRule="auto"/>
        <w:rPr>
          <w:szCs w:val="22"/>
        </w:rPr>
      </w:pPr>
    </w:p>
    <w:p w:rsidR="008D0CF8" w:rsidRPr="00893DEB" w:rsidRDefault="00B93209" w:rsidP="00794E35">
      <w:pPr>
        <w:autoSpaceDE w:val="0"/>
        <w:autoSpaceDN w:val="0"/>
        <w:adjustRightInd w:val="0"/>
        <w:spacing w:line="240" w:lineRule="auto"/>
        <w:rPr>
          <w:szCs w:val="22"/>
        </w:rPr>
      </w:pPr>
      <w:r w:rsidRPr="00893DEB">
        <w:rPr>
          <w:szCs w:val="22"/>
        </w:rPr>
        <w:t>Radiačné poškodenie cieľov</w:t>
      </w:r>
      <w:r w:rsidR="00893DEB">
        <w:rPr>
          <w:szCs w:val="22"/>
        </w:rPr>
        <w:t>ých</w:t>
      </w:r>
      <w:r w:rsidRPr="00893DEB">
        <w:rPr>
          <w:szCs w:val="22"/>
        </w:rPr>
        <w:t xml:space="preserve"> tkan</w:t>
      </w:r>
      <w:r w:rsidR="00893DEB">
        <w:rPr>
          <w:szCs w:val="22"/>
        </w:rPr>
        <w:t>ív</w:t>
      </w:r>
      <w:r w:rsidRPr="00893DEB">
        <w:rPr>
          <w:szCs w:val="22"/>
        </w:rPr>
        <w:t xml:space="preserve"> (napr. ezofagitída, kolitída a pneumonitída) boli hlásené ako v spojitosti so súbežným, tak i s nes</w:t>
      </w:r>
      <w:r w:rsidR="00EC3425" w:rsidRPr="00893DEB">
        <w:rPr>
          <w:szCs w:val="22"/>
        </w:rPr>
        <w:t>úbežným podávaním gemcitabínu.</w:t>
      </w:r>
    </w:p>
    <w:p w:rsidR="008D0CF8" w:rsidRPr="004E5FA5" w:rsidRDefault="008D0CF8" w:rsidP="00794E35">
      <w:pPr>
        <w:autoSpaceDE w:val="0"/>
        <w:autoSpaceDN w:val="0"/>
        <w:adjustRightInd w:val="0"/>
        <w:spacing w:line="240" w:lineRule="auto"/>
        <w:rPr>
          <w:szCs w:val="22"/>
        </w:rPr>
      </w:pPr>
    </w:p>
    <w:p w:rsidR="008D0CF8" w:rsidRPr="00FF3010" w:rsidRDefault="00B93209" w:rsidP="00794E35">
      <w:pPr>
        <w:keepNext/>
        <w:autoSpaceDE w:val="0"/>
        <w:autoSpaceDN w:val="0"/>
        <w:adjustRightInd w:val="0"/>
        <w:spacing w:line="240" w:lineRule="auto"/>
        <w:rPr>
          <w:szCs w:val="22"/>
          <w:u w:val="single"/>
        </w:rPr>
      </w:pPr>
      <w:r w:rsidRPr="00344D5C">
        <w:rPr>
          <w:szCs w:val="22"/>
          <w:u w:val="single"/>
        </w:rPr>
        <w:t>Ostatné</w:t>
      </w:r>
    </w:p>
    <w:p w:rsidR="008D0CF8" w:rsidRPr="00FF3010" w:rsidRDefault="00B93209" w:rsidP="00794E35">
      <w:pPr>
        <w:autoSpaceDE w:val="0"/>
        <w:autoSpaceDN w:val="0"/>
        <w:adjustRightInd w:val="0"/>
        <w:spacing w:line="240" w:lineRule="auto"/>
        <w:rPr>
          <w:szCs w:val="22"/>
        </w:rPr>
      </w:pPr>
      <w:r w:rsidRPr="00FF3010">
        <w:rPr>
          <w:szCs w:val="22"/>
        </w:rPr>
        <w:t xml:space="preserve">Vzhľadom na riziko systémového, možno </w:t>
      </w:r>
      <w:r w:rsidR="00FF3010">
        <w:rPr>
          <w:szCs w:val="22"/>
        </w:rPr>
        <w:t>fa</w:t>
      </w:r>
      <w:r w:rsidRPr="00FF3010">
        <w:rPr>
          <w:szCs w:val="22"/>
        </w:rPr>
        <w:t>tálneho ochorenia, najmä pri imunosup</w:t>
      </w:r>
      <w:r w:rsidR="00893DEB">
        <w:rPr>
          <w:szCs w:val="22"/>
        </w:rPr>
        <w:t>resívnych</w:t>
      </w:r>
      <w:r w:rsidRPr="004E5FA5">
        <w:rPr>
          <w:szCs w:val="22"/>
        </w:rPr>
        <w:t xml:space="preserve"> pacientoch, sa neodporúča podávať očkovaciu látku proti žltej zimnici a in</w:t>
      </w:r>
      <w:r w:rsidRPr="00344D5C">
        <w:rPr>
          <w:szCs w:val="22"/>
        </w:rPr>
        <w:t>é živé atenuované očkovacie látky.</w:t>
      </w:r>
    </w:p>
    <w:p w:rsidR="008D0CF8" w:rsidRPr="0078021D" w:rsidRDefault="008D0CF8" w:rsidP="00794E35">
      <w:pPr>
        <w:spacing w:line="240" w:lineRule="auto"/>
        <w:rPr>
          <w:szCs w:val="22"/>
        </w:rPr>
      </w:pPr>
    </w:p>
    <w:p w:rsidR="008D0CF8" w:rsidRPr="000E5C08" w:rsidRDefault="00B93209" w:rsidP="00794E35">
      <w:pPr>
        <w:spacing w:line="240" w:lineRule="auto"/>
        <w:rPr>
          <w:szCs w:val="22"/>
        </w:rPr>
      </w:pPr>
      <w:r w:rsidRPr="000E5C08">
        <w:rPr>
          <w:b/>
          <w:szCs w:val="22"/>
        </w:rPr>
        <w:t>4.6</w:t>
      </w:r>
      <w:r w:rsidRPr="000E5C08">
        <w:rPr>
          <w:b/>
          <w:szCs w:val="22"/>
        </w:rPr>
        <w:tab/>
        <w:t xml:space="preserve">Fertilita, gravidita a laktácia </w:t>
      </w:r>
    </w:p>
    <w:p w:rsidR="008D0CF8" w:rsidRPr="00A97E24" w:rsidRDefault="008D0CF8" w:rsidP="00794E35">
      <w:pPr>
        <w:spacing w:line="240" w:lineRule="auto"/>
        <w:rPr>
          <w:szCs w:val="22"/>
        </w:rPr>
      </w:pPr>
    </w:p>
    <w:p w:rsidR="008D0CF8" w:rsidRPr="000B7A45" w:rsidRDefault="00B93209" w:rsidP="00794E35">
      <w:pPr>
        <w:keepNext/>
        <w:widowControl w:val="0"/>
        <w:autoSpaceDE w:val="0"/>
        <w:autoSpaceDN w:val="0"/>
        <w:adjustRightInd w:val="0"/>
        <w:spacing w:line="240" w:lineRule="auto"/>
        <w:rPr>
          <w:szCs w:val="22"/>
          <w:u w:val="single"/>
        </w:rPr>
      </w:pPr>
      <w:r w:rsidRPr="000B7A45">
        <w:rPr>
          <w:szCs w:val="22"/>
          <w:u w:val="single"/>
        </w:rPr>
        <w:t>Gravidita</w:t>
      </w:r>
    </w:p>
    <w:p w:rsidR="008D0CF8" w:rsidRPr="000E5C08" w:rsidRDefault="000E5C08" w:rsidP="00794E35">
      <w:pPr>
        <w:keepNext/>
        <w:widowControl w:val="0"/>
        <w:autoSpaceDE w:val="0"/>
        <w:autoSpaceDN w:val="0"/>
        <w:adjustRightInd w:val="0"/>
        <w:spacing w:line="240" w:lineRule="auto"/>
        <w:rPr>
          <w:szCs w:val="22"/>
        </w:rPr>
      </w:pPr>
      <w:r>
        <w:rPr>
          <w:szCs w:val="22"/>
        </w:rPr>
        <w:t>Nie sú k dispozícii a</w:t>
      </w:r>
      <w:r w:rsidR="00B93209" w:rsidRPr="000E5C08">
        <w:rPr>
          <w:szCs w:val="22"/>
        </w:rPr>
        <w:t>dekvátne údaje o použití gemcitabínu u gravidných žien. Štúdie na zvieratách preukázali reprodukčnú toxicitu (pozri časť</w:t>
      </w:r>
      <w:r w:rsidR="008D1D6B" w:rsidRPr="000E5C08">
        <w:rPr>
          <w:szCs w:val="22"/>
        </w:rPr>
        <w:t> </w:t>
      </w:r>
      <w:r w:rsidR="00B93209" w:rsidRPr="000E5C08">
        <w:rPr>
          <w:szCs w:val="22"/>
        </w:rPr>
        <w:t xml:space="preserve">5.3). Vzhľadom na výsledky získané zo štúdií na zvieratách a vzhľadom k mechanizmu účinku gemcitabínu, nemá byť tento </w:t>
      </w:r>
      <w:r w:rsidR="00A97E24">
        <w:rPr>
          <w:szCs w:val="22"/>
        </w:rPr>
        <w:t>liek</w:t>
      </w:r>
      <w:r w:rsidR="00B93209" w:rsidRPr="000E5C08">
        <w:rPr>
          <w:szCs w:val="22"/>
        </w:rPr>
        <w:t xml:space="preserve"> v tehotenstve používaný, pokiaľ to nie je nevyhnutne nutné. Ženy majú byť poučené</w:t>
      </w:r>
      <w:r w:rsidR="00BD6A8B">
        <w:rPr>
          <w:szCs w:val="22"/>
        </w:rPr>
        <w:t>, aby ne</w:t>
      </w:r>
      <w:r w:rsidR="00B93209" w:rsidRPr="000E5C08">
        <w:rPr>
          <w:szCs w:val="22"/>
        </w:rPr>
        <w:t>otehotne</w:t>
      </w:r>
      <w:r w:rsidR="00BD6A8B">
        <w:rPr>
          <w:szCs w:val="22"/>
        </w:rPr>
        <w:t>li</w:t>
      </w:r>
      <w:r w:rsidR="00B93209" w:rsidRPr="000E5C08">
        <w:rPr>
          <w:szCs w:val="22"/>
        </w:rPr>
        <w:t xml:space="preserve"> počas liečby gemcitabínom a</w:t>
      </w:r>
      <w:r w:rsidR="00BD6A8B">
        <w:rPr>
          <w:szCs w:val="22"/>
        </w:rPr>
        <w:t xml:space="preserve"> o </w:t>
      </w:r>
      <w:r w:rsidR="00B93209" w:rsidRPr="000E5C08">
        <w:rPr>
          <w:szCs w:val="22"/>
        </w:rPr>
        <w:t xml:space="preserve">nutnosti to oznámiť okamžite svojmu lekárovi, ak napriek tomu dôjde k tehotenstvu. </w:t>
      </w:r>
    </w:p>
    <w:p w:rsidR="008D0CF8" w:rsidRPr="00A97E24" w:rsidRDefault="008D0CF8" w:rsidP="00794E35">
      <w:pPr>
        <w:autoSpaceDE w:val="0"/>
        <w:autoSpaceDN w:val="0"/>
        <w:adjustRightInd w:val="0"/>
        <w:spacing w:line="240" w:lineRule="auto"/>
        <w:rPr>
          <w:szCs w:val="22"/>
        </w:rPr>
      </w:pPr>
    </w:p>
    <w:p w:rsidR="008D0CF8" w:rsidRPr="000E5C08" w:rsidRDefault="0078021D" w:rsidP="00794E35">
      <w:pPr>
        <w:keepNext/>
        <w:autoSpaceDE w:val="0"/>
        <w:autoSpaceDN w:val="0"/>
        <w:adjustRightInd w:val="0"/>
        <w:spacing w:line="240" w:lineRule="auto"/>
        <w:rPr>
          <w:szCs w:val="22"/>
          <w:u w:val="single"/>
        </w:rPr>
      </w:pPr>
      <w:r>
        <w:rPr>
          <w:szCs w:val="22"/>
          <w:u w:val="single"/>
        </w:rPr>
        <w:t>Dojčenie</w:t>
      </w:r>
    </w:p>
    <w:p w:rsidR="008D0CF8" w:rsidRPr="000B7A45" w:rsidRDefault="00B93209" w:rsidP="00794E35">
      <w:pPr>
        <w:autoSpaceDE w:val="0"/>
        <w:autoSpaceDN w:val="0"/>
        <w:adjustRightInd w:val="0"/>
        <w:spacing w:line="240" w:lineRule="auto"/>
        <w:rPr>
          <w:szCs w:val="22"/>
        </w:rPr>
      </w:pPr>
      <w:r w:rsidRPr="00A97E24">
        <w:rPr>
          <w:szCs w:val="22"/>
        </w:rPr>
        <w:t xml:space="preserve">Nie je známe, či sa gemcitabín vylučuje do </w:t>
      </w:r>
      <w:r w:rsidR="006E6565" w:rsidRPr="00A97E24">
        <w:rPr>
          <w:szCs w:val="22"/>
        </w:rPr>
        <w:t xml:space="preserve">ľudského </w:t>
      </w:r>
      <w:r w:rsidRPr="00A97E24">
        <w:rPr>
          <w:szCs w:val="22"/>
        </w:rPr>
        <w:t xml:space="preserve">mlieka, a preto nemôžu byť vylúčené vedľajšie účinky u </w:t>
      </w:r>
      <w:r w:rsidR="000B7A45">
        <w:rPr>
          <w:szCs w:val="22"/>
        </w:rPr>
        <w:t>dojčiat</w:t>
      </w:r>
      <w:r w:rsidRPr="00A97E24">
        <w:rPr>
          <w:szCs w:val="22"/>
        </w:rPr>
        <w:t xml:space="preserve">. </w:t>
      </w:r>
      <w:r w:rsidR="00280DA2">
        <w:rPr>
          <w:szCs w:val="22"/>
        </w:rPr>
        <w:t>Dojčenie</w:t>
      </w:r>
      <w:r w:rsidR="006E6565" w:rsidRPr="000B7A45">
        <w:rPr>
          <w:szCs w:val="22"/>
        </w:rPr>
        <w:t xml:space="preserve"> má </w:t>
      </w:r>
      <w:r w:rsidRPr="000B7A45">
        <w:rPr>
          <w:szCs w:val="22"/>
        </w:rPr>
        <w:t>byť počas liečby gemcitabínom</w:t>
      </w:r>
      <w:r w:rsidR="006E6565" w:rsidRPr="000B7A45">
        <w:rPr>
          <w:szCs w:val="22"/>
        </w:rPr>
        <w:t xml:space="preserve"> ukončen</w:t>
      </w:r>
      <w:r w:rsidR="00280DA2">
        <w:rPr>
          <w:szCs w:val="22"/>
        </w:rPr>
        <w:t>é</w:t>
      </w:r>
      <w:r w:rsidRPr="000B7A45">
        <w:rPr>
          <w:szCs w:val="22"/>
        </w:rPr>
        <w:t>.</w:t>
      </w:r>
    </w:p>
    <w:p w:rsidR="008D0CF8" w:rsidRPr="00964F03" w:rsidRDefault="008D0CF8" w:rsidP="00794E35">
      <w:pPr>
        <w:autoSpaceDE w:val="0"/>
        <w:autoSpaceDN w:val="0"/>
        <w:adjustRightInd w:val="0"/>
        <w:spacing w:line="240" w:lineRule="auto"/>
        <w:rPr>
          <w:szCs w:val="22"/>
        </w:rPr>
      </w:pPr>
    </w:p>
    <w:p w:rsidR="008D0CF8" w:rsidRPr="00650EA1" w:rsidRDefault="00B93209" w:rsidP="00794E35">
      <w:pPr>
        <w:keepNext/>
        <w:autoSpaceDE w:val="0"/>
        <w:autoSpaceDN w:val="0"/>
        <w:adjustRightInd w:val="0"/>
        <w:spacing w:line="240" w:lineRule="auto"/>
        <w:rPr>
          <w:szCs w:val="22"/>
          <w:u w:val="single"/>
        </w:rPr>
      </w:pPr>
      <w:r w:rsidRPr="00650EA1">
        <w:rPr>
          <w:szCs w:val="22"/>
          <w:u w:val="single"/>
        </w:rPr>
        <w:t>Fertilita</w:t>
      </w:r>
    </w:p>
    <w:p w:rsidR="008D0CF8" w:rsidRPr="00650EA1" w:rsidRDefault="00B93209" w:rsidP="00794E35">
      <w:pPr>
        <w:spacing w:line="240" w:lineRule="auto"/>
        <w:rPr>
          <w:szCs w:val="22"/>
        </w:rPr>
      </w:pPr>
      <w:r w:rsidRPr="00650EA1">
        <w:rPr>
          <w:szCs w:val="22"/>
        </w:rPr>
        <w:t>V</w:t>
      </w:r>
      <w:r w:rsidR="00964F03">
        <w:rPr>
          <w:szCs w:val="22"/>
        </w:rPr>
        <w:t xml:space="preserve"> reprodukčných </w:t>
      </w:r>
      <w:r w:rsidRPr="00964F03">
        <w:rPr>
          <w:szCs w:val="22"/>
        </w:rPr>
        <w:t xml:space="preserve">štúdiách spôsoboval gemcitabín </w:t>
      </w:r>
      <w:r w:rsidR="00650EA1">
        <w:rPr>
          <w:szCs w:val="22"/>
        </w:rPr>
        <w:t>u</w:t>
      </w:r>
      <w:r w:rsidRPr="00964F03">
        <w:rPr>
          <w:szCs w:val="22"/>
        </w:rPr>
        <w:t xml:space="preserve"> myších samco</w:t>
      </w:r>
      <w:r w:rsidR="00650EA1">
        <w:rPr>
          <w:szCs w:val="22"/>
        </w:rPr>
        <w:t>v</w:t>
      </w:r>
      <w:r w:rsidRPr="00964F03">
        <w:rPr>
          <w:szCs w:val="22"/>
        </w:rPr>
        <w:t xml:space="preserve"> hypospermatogenézu (pozri časť</w:t>
      </w:r>
      <w:r w:rsidR="008D1D6B" w:rsidRPr="00964F03">
        <w:rPr>
          <w:szCs w:val="22"/>
        </w:rPr>
        <w:t> </w:t>
      </w:r>
      <w:r w:rsidRPr="00964F03">
        <w:rPr>
          <w:szCs w:val="22"/>
        </w:rPr>
        <w:t xml:space="preserve">5.3). Z tohto dôvodu má byť mužom liečeným gemcitabínom odporučené </w:t>
      </w:r>
      <w:r w:rsidR="00725DAA">
        <w:rPr>
          <w:szCs w:val="22"/>
        </w:rPr>
        <w:t>nesplodiť dieťa</w:t>
      </w:r>
      <w:r w:rsidRPr="00964F03">
        <w:rPr>
          <w:szCs w:val="22"/>
        </w:rPr>
        <w:t xml:space="preserve"> počas liečby a po dobu až 6 mesiacov po ukončení liečby a z dôvodu možnej neplodnosti po</w:t>
      </w:r>
      <w:r w:rsidR="009A7423">
        <w:rPr>
          <w:szCs w:val="22"/>
        </w:rPr>
        <w:t>čas</w:t>
      </w:r>
      <w:r w:rsidRPr="00964F03">
        <w:rPr>
          <w:szCs w:val="22"/>
        </w:rPr>
        <w:t xml:space="preserve"> liečb</w:t>
      </w:r>
      <w:r w:rsidR="009A7423">
        <w:rPr>
          <w:szCs w:val="22"/>
        </w:rPr>
        <w:t>y</w:t>
      </w:r>
      <w:r w:rsidRPr="00964F03">
        <w:rPr>
          <w:szCs w:val="22"/>
        </w:rPr>
        <w:t xml:space="preserve"> gemcitabínom vyhľadať pred liečbou odbornú pomoc, týkajúcu sa možnosti uchovania spermií </w:t>
      </w:r>
      <w:r w:rsidR="00725DAA">
        <w:rPr>
          <w:szCs w:val="22"/>
        </w:rPr>
        <w:t>kryokonzerváciou</w:t>
      </w:r>
      <w:r w:rsidRPr="00964F03">
        <w:rPr>
          <w:szCs w:val="22"/>
        </w:rPr>
        <w:t>.</w:t>
      </w:r>
    </w:p>
    <w:p w:rsidR="008D0CF8" w:rsidRPr="00725DAA" w:rsidRDefault="008D0CF8" w:rsidP="00794E35">
      <w:pPr>
        <w:spacing w:line="240" w:lineRule="auto"/>
        <w:rPr>
          <w:szCs w:val="22"/>
        </w:rPr>
      </w:pPr>
    </w:p>
    <w:p w:rsidR="008D0CF8" w:rsidRPr="000B26A3" w:rsidRDefault="00B93209" w:rsidP="00794E35">
      <w:pPr>
        <w:spacing w:line="240" w:lineRule="auto"/>
        <w:rPr>
          <w:szCs w:val="22"/>
        </w:rPr>
      </w:pPr>
      <w:r w:rsidRPr="000B26A3">
        <w:rPr>
          <w:b/>
          <w:szCs w:val="22"/>
        </w:rPr>
        <w:t>4.7</w:t>
      </w:r>
      <w:r w:rsidRPr="000B26A3">
        <w:rPr>
          <w:b/>
          <w:szCs w:val="22"/>
        </w:rPr>
        <w:tab/>
        <w:t>Ovplyvnenie schopnosti viesť vozidlá a obsluhovať stroje</w:t>
      </w:r>
    </w:p>
    <w:p w:rsidR="008D0CF8" w:rsidRPr="00BD6A8B" w:rsidRDefault="008D0CF8" w:rsidP="00794E35">
      <w:pPr>
        <w:spacing w:line="240" w:lineRule="auto"/>
        <w:rPr>
          <w:szCs w:val="22"/>
        </w:rPr>
      </w:pPr>
    </w:p>
    <w:p w:rsidR="008D0CF8" w:rsidRPr="00741215" w:rsidRDefault="00B93209" w:rsidP="00794E35">
      <w:pPr>
        <w:spacing w:line="240" w:lineRule="auto"/>
        <w:rPr>
          <w:szCs w:val="22"/>
        </w:rPr>
      </w:pPr>
      <w:r w:rsidRPr="00F32AAF">
        <w:rPr>
          <w:szCs w:val="22"/>
        </w:rPr>
        <w:t xml:space="preserve">Neuskutočnili sa žiadne štúdie o účinkoch na schopnosť viesť motorové vozidlá a obsluhovať stroje. </w:t>
      </w:r>
      <w:r w:rsidR="00F32AAF">
        <w:rPr>
          <w:szCs w:val="22"/>
        </w:rPr>
        <w:t>Preu</w:t>
      </w:r>
      <w:r w:rsidRPr="00F32AAF">
        <w:rPr>
          <w:szCs w:val="22"/>
        </w:rPr>
        <w:t xml:space="preserve">kázalo sa však, že gemcitabín spôsobuje miernu až stredne závažnú ospalosť, najmä v kombinácii s konzumáciou alkoholu. Pacienti majú byť </w:t>
      </w:r>
      <w:r w:rsidR="00741215">
        <w:rPr>
          <w:szCs w:val="22"/>
        </w:rPr>
        <w:t>upozornení, aby</w:t>
      </w:r>
      <w:r w:rsidRPr="00F32AAF">
        <w:rPr>
          <w:szCs w:val="22"/>
        </w:rPr>
        <w:t xml:space="preserve"> </w:t>
      </w:r>
      <w:r w:rsidR="00741215">
        <w:rPr>
          <w:szCs w:val="22"/>
        </w:rPr>
        <w:t>ne</w:t>
      </w:r>
      <w:r w:rsidRPr="00F32AAF">
        <w:rPr>
          <w:szCs w:val="22"/>
        </w:rPr>
        <w:t>v</w:t>
      </w:r>
      <w:r w:rsidR="00741215">
        <w:rPr>
          <w:szCs w:val="22"/>
        </w:rPr>
        <w:t>iedli</w:t>
      </w:r>
      <w:r w:rsidRPr="00F32AAF">
        <w:rPr>
          <w:szCs w:val="22"/>
        </w:rPr>
        <w:t xml:space="preserve"> motorov</w:t>
      </w:r>
      <w:r w:rsidR="00741215">
        <w:rPr>
          <w:szCs w:val="22"/>
        </w:rPr>
        <w:t>é</w:t>
      </w:r>
      <w:r w:rsidRPr="00F32AAF">
        <w:rPr>
          <w:szCs w:val="22"/>
        </w:rPr>
        <w:t xml:space="preserve"> vozid</w:t>
      </w:r>
      <w:r w:rsidR="00741215">
        <w:rPr>
          <w:szCs w:val="22"/>
        </w:rPr>
        <w:t>lá</w:t>
      </w:r>
      <w:r w:rsidRPr="00F32AAF">
        <w:rPr>
          <w:szCs w:val="22"/>
        </w:rPr>
        <w:t xml:space="preserve"> a </w:t>
      </w:r>
      <w:r w:rsidR="00741215">
        <w:rPr>
          <w:szCs w:val="22"/>
        </w:rPr>
        <w:t>ne</w:t>
      </w:r>
      <w:r w:rsidRPr="00F32AAF">
        <w:rPr>
          <w:szCs w:val="22"/>
        </w:rPr>
        <w:t>obsluhova</w:t>
      </w:r>
      <w:r w:rsidR="00741215">
        <w:rPr>
          <w:szCs w:val="22"/>
        </w:rPr>
        <w:t>li</w:t>
      </w:r>
      <w:r w:rsidRPr="00F32AAF">
        <w:rPr>
          <w:szCs w:val="22"/>
        </w:rPr>
        <w:t xml:space="preserve"> stroj</w:t>
      </w:r>
      <w:r w:rsidR="00741215">
        <w:rPr>
          <w:szCs w:val="22"/>
        </w:rPr>
        <w:t>e</w:t>
      </w:r>
      <w:r w:rsidRPr="00F32AAF">
        <w:rPr>
          <w:szCs w:val="22"/>
        </w:rPr>
        <w:t xml:space="preserve"> do doby, kým sa </w:t>
      </w:r>
      <w:r w:rsidR="00741215">
        <w:rPr>
          <w:szCs w:val="22"/>
        </w:rPr>
        <w:t>ne</w:t>
      </w:r>
      <w:r w:rsidRPr="00F32AAF">
        <w:rPr>
          <w:szCs w:val="22"/>
        </w:rPr>
        <w:t>preukáže, že im</w:t>
      </w:r>
      <w:r w:rsidR="00741215">
        <w:rPr>
          <w:szCs w:val="22"/>
        </w:rPr>
        <w:t xml:space="preserve"> liek</w:t>
      </w:r>
      <w:r w:rsidRPr="00F32AAF">
        <w:rPr>
          <w:szCs w:val="22"/>
        </w:rPr>
        <w:t xml:space="preserve"> nespôsobuje ospalosť. </w:t>
      </w:r>
    </w:p>
    <w:p w:rsidR="008D0CF8" w:rsidRPr="00E80640" w:rsidRDefault="008D0CF8" w:rsidP="00794E35">
      <w:pPr>
        <w:spacing w:line="240" w:lineRule="auto"/>
        <w:rPr>
          <w:szCs w:val="22"/>
        </w:rPr>
      </w:pPr>
    </w:p>
    <w:p w:rsidR="008D0CF8" w:rsidRPr="00873328" w:rsidRDefault="00B93209" w:rsidP="00794E35">
      <w:pPr>
        <w:numPr>
          <w:ilvl w:val="1"/>
          <w:numId w:val="21"/>
        </w:numPr>
        <w:spacing w:line="240" w:lineRule="auto"/>
        <w:ind w:left="0" w:firstLine="0"/>
        <w:rPr>
          <w:b/>
          <w:szCs w:val="22"/>
        </w:rPr>
      </w:pPr>
      <w:r w:rsidRPr="00873328">
        <w:rPr>
          <w:b/>
          <w:szCs w:val="22"/>
        </w:rPr>
        <w:t>Nežiaduce účinky</w:t>
      </w:r>
    </w:p>
    <w:p w:rsidR="008D0CF8" w:rsidRPr="00364A1B" w:rsidRDefault="008D0CF8" w:rsidP="00794E35">
      <w:pPr>
        <w:spacing w:line="240" w:lineRule="auto"/>
        <w:rPr>
          <w:szCs w:val="22"/>
        </w:rPr>
      </w:pPr>
    </w:p>
    <w:p w:rsidR="008D0CF8" w:rsidRPr="00364A1B" w:rsidRDefault="00B93209" w:rsidP="00794E35">
      <w:pPr>
        <w:keepNext/>
        <w:widowControl w:val="0"/>
        <w:spacing w:line="240" w:lineRule="auto"/>
        <w:rPr>
          <w:color w:val="000000"/>
          <w:szCs w:val="22"/>
        </w:rPr>
      </w:pPr>
      <w:r w:rsidRPr="001B708E">
        <w:rPr>
          <w:color w:val="000000"/>
          <w:szCs w:val="22"/>
        </w:rPr>
        <w:t>Najčastejšie hlásené vedľajšie reakcie spojené s liečbou gemcitabínom zahŕňajú</w:t>
      </w:r>
      <w:r w:rsidR="0061073D">
        <w:rPr>
          <w:color w:val="000000"/>
          <w:szCs w:val="22"/>
        </w:rPr>
        <w:t>:</w:t>
      </w:r>
      <w:r w:rsidRPr="0061073D">
        <w:rPr>
          <w:b/>
          <w:szCs w:val="22"/>
        </w:rPr>
        <w:t xml:space="preserve"> </w:t>
      </w:r>
      <w:r w:rsidRPr="00873328">
        <w:rPr>
          <w:color w:val="000000"/>
          <w:szCs w:val="22"/>
        </w:rPr>
        <w:t>u približne 60</w:t>
      </w:r>
      <w:r w:rsidR="008D1D6B" w:rsidRPr="00873328">
        <w:rPr>
          <w:color w:val="000000"/>
          <w:szCs w:val="22"/>
        </w:rPr>
        <w:t> </w:t>
      </w:r>
      <w:r w:rsidRPr="00873328">
        <w:rPr>
          <w:color w:val="000000"/>
          <w:szCs w:val="22"/>
        </w:rPr>
        <w:t xml:space="preserve">% pacientov bola hlásená nauzea </w:t>
      </w:r>
      <w:r w:rsidRPr="00364A1B">
        <w:rPr>
          <w:color w:val="000000"/>
          <w:szCs w:val="22"/>
        </w:rPr>
        <w:t>s vracaním alebo bez vracania, zvýšené hodnoty pečeňových transamináz (AST/ALT) a alkalickej fosfatázy; u približne 50</w:t>
      </w:r>
      <w:r w:rsidR="008D1D6B" w:rsidRPr="001B708E">
        <w:rPr>
          <w:color w:val="000000"/>
          <w:szCs w:val="22"/>
        </w:rPr>
        <w:t> </w:t>
      </w:r>
      <w:r w:rsidRPr="001B708E">
        <w:rPr>
          <w:color w:val="000000"/>
          <w:szCs w:val="22"/>
        </w:rPr>
        <w:t xml:space="preserve">% pacientov </w:t>
      </w:r>
      <w:r w:rsidR="00873328">
        <w:rPr>
          <w:color w:val="000000"/>
          <w:szCs w:val="22"/>
        </w:rPr>
        <w:t xml:space="preserve">bola hlásená </w:t>
      </w:r>
      <w:r w:rsidRPr="00873328">
        <w:rPr>
          <w:color w:val="000000"/>
          <w:szCs w:val="22"/>
        </w:rPr>
        <w:t>proteinúria a hematúria; u 10</w:t>
      </w:r>
      <w:r w:rsidR="00273A92" w:rsidRPr="00873328">
        <w:rPr>
          <w:color w:val="000000"/>
          <w:szCs w:val="22"/>
        </w:rPr>
        <w:t> </w:t>
      </w:r>
      <w:r w:rsidR="00273A92" w:rsidRPr="00873328">
        <w:rPr>
          <w:color w:val="000000"/>
          <w:szCs w:val="22"/>
        </w:rPr>
        <w:noBreakHyphen/>
        <w:t> </w:t>
      </w:r>
      <w:r w:rsidRPr="00873328">
        <w:rPr>
          <w:color w:val="000000"/>
          <w:szCs w:val="22"/>
        </w:rPr>
        <w:t>40</w:t>
      </w:r>
      <w:r w:rsidR="001974BB" w:rsidRPr="00873328">
        <w:rPr>
          <w:color w:val="000000"/>
          <w:szCs w:val="22"/>
        </w:rPr>
        <w:t> %</w:t>
      </w:r>
      <w:r w:rsidRPr="00873328">
        <w:rPr>
          <w:color w:val="000000"/>
          <w:szCs w:val="22"/>
        </w:rPr>
        <w:t xml:space="preserve"> pacientov bol</w:t>
      </w:r>
      <w:r w:rsidR="00364A1B">
        <w:rPr>
          <w:color w:val="000000"/>
          <w:szCs w:val="22"/>
        </w:rPr>
        <w:t>a</w:t>
      </w:r>
      <w:r w:rsidRPr="00873328">
        <w:rPr>
          <w:color w:val="000000"/>
          <w:szCs w:val="22"/>
        </w:rPr>
        <w:t xml:space="preserve"> hlásená d</w:t>
      </w:r>
      <w:r w:rsidR="00364A1B">
        <w:rPr>
          <w:color w:val="000000"/>
          <w:szCs w:val="22"/>
        </w:rPr>
        <w:t>ýchavičnosť</w:t>
      </w:r>
      <w:r w:rsidRPr="00873328">
        <w:rPr>
          <w:color w:val="000000"/>
          <w:szCs w:val="22"/>
        </w:rPr>
        <w:t xml:space="preserve"> (najvyšší výskyt u pacientov s pľúcnym nádorom); alergick</w:t>
      </w:r>
      <w:r w:rsidRPr="00364A1B">
        <w:rPr>
          <w:color w:val="000000"/>
          <w:szCs w:val="22"/>
        </w:rPr>
        <w:t>é kožné vyrážky sa vyskytli približne u</w:t>
      </w:r>
      <w:r w:rsidR="008D1D6B" w:rsidRPr="00364A1B">
        <w:rPr>
          <w:color w:val="000000"/>
          <w:szCs w:val="22"/>
        </w:rPr>
        <w:t> </w:t>
      </w:r>
      <w:r w:rsidRPr="00364A1B">
        <w:rPr>
          <w:color w:val="000000"/>
          <w:szCs w:val="22"/>
        </w:rPr>
        <w:t>25</w:t>
      </w:r>
      <w:r w:rsidR="008D1D6B" w:rsidRPr="00364A1B">
        <w:rPr>
          <w:color w:val="000000"/>
          <w:szCs w:val="22"/>
        </w:rPr>
        <w:t> </w:t>
      </w:r>
      <w:r w:rsidRPr="00364A1B">
        <w:rPr>
          <w:color w:val="000000"/>
          <w:szCs w:val="22"/>
        </w:rPr>
        <w:t>% pacientov a u</w:t>
      </w:r>
      <w:r w:rsidR="008D1D6B" w:rsidRPr="00364A1B">
        <w:rPr>
          <w:color w:val="000000"/>
          <w:szCs w:val="22"/>
        </w:rPr>
        <w:t> </w:t>
      </w:r>
      <w:r w:rsidRPr="00364A1B">
        <w:rPr>
          <w:color w:val="000000"/>
          <w:szCs w:val="22"/>
        </w:rPr>
        <w:t>10</w:t>
      </w:r>
      <w:r w:rsidR="008D1D6B" w:rsidRPr="00364A1B">
        <w:rPr>
          <w:color w:val="000000"/>
          <w:szCs w:val="22"/>
        </w:rPr>
        <w:t> </w:t>
      </w:r>
      <w:r w:rsidRPr="00364A1B">
        <w:rPr>
          <w:color w:val="000000"/>
          <w:szCs w:val="22"/>
        </w:rPr>
        <w:t>% pacientov boli spojené so svrbením.</w:t>
      </w:r>
    </w:p>
    <w:p w:rsidR="008D0CF8" w:rsidRPr="001B708E" w:rsidRDefault="008D0CF8" w:rsidP="00794E35">
      <w:pPr>
        <w:widowControl w:val="0"/>
        <w:spacing w:line="240" w:lineRule="auto"/>
        <w:rPr>
          <w:color w:val="000000"/>
          <w:szCs w:val="22"/>
        </w:rPr>
      </w:pPr>
    </w:p>
    <w:p w:rsidR="008D0CF8" w:rsidRPr="007D1B67" w:rsidRDefault="00B93209" w:rsidP="00794E35">
      <w:pPr>
        <w:keepNext/>
        <w:widowControl w:val="0"/>
        <w:spacing w:line="240" w:lineRule="auto"/>
        <w:rPr>
          <w:szCs w:val="22"/>
        </w:rPr>
      </w:pPr>
      <w:r w:rsidRPr="000F14B5">
        <w:rPr>
          <w:szCs w:val="22"/>
        </w:rPr>
        <w:t>Frekvencia výskytu nežiaducich reakcií a ich závažnosť sú ovplyvnené dávkou, rýchlosťou infúzie a intervalmi medzi dávkami (pozri časť</w:t>
      </w:r>
      <w:r w:rsidR="008D1D6B" w:rsidRPr="00FB0BB5">
        <w:rPr>
          <w:szCs w:val="22"/>
        </w:rPr>
        <w:t> </w:t>
      </w:r>
      <w:r w:rsidRPr="000C6005">
        <w:rPr>
          <w:szCs w:val="22"/>
        </w:rPr>
        <w:t>4.4). Zníženie počtu</w:t>
      </w:r>
      <w:r w:rsidRPr="000466F4">
        <w:rPr>
          <w:szCs w:val="22"/>
        </w:rPr>
        <w:t xml:space="preserve"> trombocytov, leukocytov a granulocytov patrí medzi nežiaduce reakcie, ktoré limitujú dávku (pozri časť</w:t>
      </w:r>
      <w:r w:rsidR="008D1D6B" w:rsidRPr="006A7B5A">
        <w:rPr>
          <w:szCs w:val="22"/>
        </w:rPr>
        <w:t> </w:t>
      </w:r>
      <w:r w:rsidRPr="007040C1">
        <w:rPr>
          <w:szCs w:val="22"/>
        </w:rPr>
        <w:t xml:space="preserve">4.2). </w:t>
      </w:r>
    </w:p>
    <w:p w:rsidR="008D0CF8" w:rsidRPr="007D1B67" w:rsidRDefault="008D0CF8" w:rsidP="00794E35">
      <w:pPr>
        <w:widowControl w:val="0"/>
        <w:autoSpaceDE w:val="0"/>
        <w:autoSpaceDN w:val="0"/>
        <w:adjustRightInd w:val="0"/>
        <w:spacing w:line="240" w:lineRule="auto"/>
        <w:rPr>
          <w:iCs/>
          <w:color w:val="000000"/>
          <w:szCs w:val="22"/>
        </w:rPr>
      </w:pPr>
    </w:p>
    <w:p w:rsidR="008D0CF8" w:rsidRPr="007D1B67" w:rsidRDefault="00B93209" w:rsidP="00794E35">
      <w:pPr>
        <w:keepNext/>
        <w:autoSpaceDE w:val="0"/>
        <w:autoSpaceDN w:val="0"/>
        <w:adjustRightInd w:val="0"/>
        <w:spacing w:line="240" w:lineRule="auto"/>
        <w:rPr>
          <w:color w:val="000000"/>
          <w:szCs w:val="22"/>
          <w:u w:val="single"/>
        </w:rPr>
      </w:pPr>
      <w:r w:rsidRPr="00AD5EA5">
        <w:rPr>
          <w:color w:val="000000"/>
          <w:szCs w:val="22"/>
          <w:u w:val="single"/>
        </w:rPr>
        <w:t>Údaje z klinických skúšaní</w:t>
      </w:r>
    </w:p>
    <w:p w:rsidR="008D0CF8" w:rsidRPr="007D1B67" w:rsidRDefault="00B93209" w:rsidP="00794E35">
      <w:pPr>
        <w:keepNext/>
        <w:autoSpaceDE w:val="0"/>
        <w:autoSpaceDN w:val="0"/>
        <w:adjustRightInd w:val="0"/>
        <w:spacing w:line="240" w:lineRule="auto"/>
        <w:rPr>
          <w:szCs w:val="22"/>
        </w:rPr>
      </w:pPr>
      <w:r w:rsidRPr="00AD5EA5">
        <w:rPr>
          <w:color w:val="000000"/>
          <w:szCs w:val="22"/>
        </w:rPr>
        <w:t xml:space="preserve">Frekvencie sú definované takto: </w:t>
      </w:r>
      <w:r w:rsidRPr="00AD5EA5">
        <w:rPr>
          <w:szCs w:val="22"/>
        </w:rPr>
        <w:t>veľmi časté (≥</w:t>
      </w:r>
      <w:r w:rsidR="00586863" w:rsidRPr="008A55DD">
        <w:rPr>
          <w:szCs w:val="22"/>
        </w:rPr>
        <w:t> </w:t>
      </w:r>
      <w:r w:rsidRPr="00644C9F">
        <w:rPr>
          <w:szCs w:val="22"/>
        </w:rPr>
        <w:t>1/10), časté (≥</w:t>
      </w:r>
      <w:r w:rsidR="00586863" w:rsidRPr="00C97179">
        <w:rPr>
          <w:szCs w:val="22"/>
        </w:rPr>
        <w:t> </w:t>
      </w:r>
      <w:r w:rsidR="006D2847" w:rsidRPr="001D7910">
        <w:rPr>
          <w:szCs w:val="22"/>
        </w:rPr>
        <w:t>1/100 až &lt;</w:t>
      </w:r>
      <w:r w:rsidR="00586863" w:rsidRPr="00A637E8">
        <w:rPr>
          <w:szCs w:val="22"/>
        </w:rPr>
        <w:t> </w:t>
      </w:r>
      <w:r w:rsidRPr="00310F47">
        <w:rPr>
          <w:szCs w:val="22"/>
        </w:rPr>
        <w:t>1/10), menej časté (≥</w:t>
      </w:r>
      <w:r w:rsidR="00586863" w:rsidRPr="00401889">
        <w:rPr>
          <w:szCs w:val="22"/>
        </w:rPr>
        <w:t> </w:t>
      </w:r>
      <w:r w:rsidR="006D2847" w:rsidRPr="00822D12">
        <w:rPr>
          <w:szCs w:val="22"/>
        </w:rPr>
        <w:t>1/1 000 až &lt;</w:t>
      </w:r>
      <w:r w:rsidR="00586863" w:rsidRPr="00E505EC">
        <w:rPr>
          <w:szCs w:val="22"/>
        </w:rPr>
        <w:t> </w:t>
      </w:r>
      <w:r w:rsidRPr="00200C51">
        <w:rPr>
          <w:szCs w:val="22"/>
        </w:rPr>
        <w:t>1/100), zriedkavé (≥</w:t>
      </w:r>
      <w:r w:rsidR="00586863" w:rsidRPr="00000C94">
        <w:rPr>
          <w:szCs w:val="22"/>
        </w:rPr>
        <w:t> </w:t>
      </w:r>
      <w:r w:rsidRPr="003341A5">
        <w:rPr>
          <w:szCs w:val="22"/>
        </w:rPr>
        <w:t>1/10</w:t>
      </w:r>
      <w:r w:rsidR="006D2847" w:rsidRPr="00792A7D">
        <w:rPr>
          <w:szCs w:val="22"/>
        </w:rPr>
        <w:t> 000 až &lt;</w:t>
      </w:r>
      <w:r w:rsidR="00586863" w:rsidRPr="00032B25">
        <w:rPr>
          <w:szCs w:val="22"/>
        </w:rPr>
        <w:t> </w:t>
      </w:r>
      <w:r w:rsidRPr="00CD1120">
        <w:rPr>
          <w:szCs w:val="22"/>
        </w:rPr>
        <w:t>1/1</w:t>
      </w:r>
      <w:r w:rsidR="006D2847" w:rsidRPr="001F39C3">
        <w:rPr>
          <w:szCs w:val="22"/>
        </w:rPr>
        <w:t> 000), veľmi zriedkavé (&lt;</w:t>
      </w:r>
      <w:r w:rsidR="00586863" w:rsidRPr="00097C64">
        <w:rPr>
          <w:szCs w:val="22"/>
        </w:rPr>
        <w:t> </w:t>
      </w:r>
      <w:r w:rsidRPr="00FD0F32">
        <w:rPr>
          <w:szCs w:val="22"/>
        </w:rPr>
        <w:t>1/10</w:t>
      </w:r>
      <w:r w:rsidR="006D2847" w:rsidRPr="00DD4BCE">
        <w:rPr>
          <w:szCs w:val="22"/>
        </w:rPr>
        <w:t> </w:t>
      </w:r>
      <w:r w:rsidRPr="00057E1E">
        <w:rPr>
          <w:szCs w:val="22"/>
        </w:rPr>
        <w:t>000)</w:t>
      </w:r>
      <w:r w:rsidRPr="001A4A53">
        <w:rPr>
          <w:color w:val="000000"/>
          <w:szCs w:val="22"/>
        </w:rPr>
        <w:t>.</w:t>
      </w:r>
    </w:p>
    <w:p w:rsidR="008D0CF8" w:rsidRPr="007D1B67" w:rsidRDefault="008D0CF8" w:rsidP="00794E35">
      <w:pPr>
        <w:widowControl w:val="0"/>
        <w:spacing w:line="240" w:lineRule="auto"/>
        <w:rPr>
          <w:color w:val="000000"/>
          <w:szCs w:val="22"/>
        </w:rPr>
      </w:pPr>
    </w:p>
    <w:p w:rsidR="008D0CF8" w:rsidRPr="000F14B5" w:rsidRDefault="00B93209" w:rsidP="00794E35">
      <w:pPr>
        <w:spacing w:line="240" w:lineRule="auto"/>
        <w:rPr>
          <w:color w:val="000000"/>
          <w:szCs w:val="22"/>
        </w:rPr>
      </w:pPr>
      <w:r w:rsidRPr="00AD5EA5">
        <w:rPr>
          <w:color w:val="000000"/>
          <w:szCs w:val="22"/>
        </w:rPr>
        <w:lastRenderedPageBreak/>
        <w:t>Nasledujú</w:t>
      </w:r>
      <w:r w:rsidR="00E143DB" w:rsidRPr="00AD5EA5">
        <w:rPr>
          <w:color w:val="000000"/>
          <w:szCs w:val="22"/>
        </w:rPr>
        <w:t>ci zoznam</w:t>
      </w:r>
      <w:r w:rsidRPr="00AD5EA5">
        <w:rPr>
          <w:color w:val="000000"/>
          <w:szCs w:val="22"/>
        </w:rPr>
        <w:t xml:space="preserve"> </w:t>
      </w:r>
      <w:r w:rsidR="00E143DB" w:rsidRPr="008A55DD">
        <w:rPr>
          <w:color w:val="000000"/>
          <w:szCs w:val="22"/>
        </w:rPr>
        <w:t>n</w:t>
      </w:r>
      <w:r w:rsidRPr="00644C9F">
        <w:rPr>
          <w:color w:val="000000"/>
          <w:szCs w:val="22"/>
        </w:rPr>
        <w:t>ežiaducich účinkov a frekvencií je založen</w:t>
      </w:r>
      <w:r w:rsidR="001B708E">
        <w:rPr>
          <w:color w:val="000000"/>
          <w:szCs w:val="22"/>
        </w:rPr>
        <w:t>ý</w:t>
      </w:r>
      <w:r w:rsidRPr="000F14B5">
        <w:rPr>
          <w:color w:val="000000"/>
          <w:szCs w:val="22"/>
        </w:rPr>
        <w:t xml:space="preserve"> na údajoch z klinických </w:t>
      </w:r>
      <w:r w:rsidR="000F14B5">
        <w:rPr>
          <w:color w:val="000000"/>
          <w:szCs w:val="22"/>
        </w:rPr>
        <w:t>skúšaní</w:t>
      </w:r>
      <w:r w:rsidRPr="000F14B5">
        <w:rPr>
          <w:color w:val="000000"/>
          <w:szCs w:val="22"/>
        </w:rPr>
        <w:t xml:space="preserve">. V rámci jednotlivých skupín frekvencií sú nežiaduce účinky zoradené podľa klesajúcej závažnosti. </w:t>
      </w:r>
    </w:p>
    <w:p w:rsidR="008D0CF8" w:rsidRPr="00FB0BB5" w:rsidRDefault="008D0CF8" w:rsidP="00794E35">
      <w:pPr>
        <w:spacing w:line="240" w:lineRule="auto"/>
        <w:rPr>
          <w:color w:val="000000"/>
          <w:szCs w:val="22"/>
        </w:rPr>
      </w:pPr>
    </w:p>
    <w:p w:rsidR="008D0CF8" w:rsidRPr="000C6005" w:rsidRDefault="00B93209" w:rsidP="00794E35">
      <w:pPr>
        <w:keepNext/>
        <w:keepLines/>
        <w:spacing w:line="240" w:lineRule="auto"/>
        <w:rPr>
          <w:szCs w:val="22"/>
          <w:u w:val="single"/>
        </w:rPr>
      </w:pPr>
      <w:r w:rsidRPr="000C6005">
        <w:rPr>
          <w:szCs w:val="22"/>
          <w:u w:val="single"/>
        </w:rPr>
        <w:t>Infekcie a nákazy</w:t>
      </w:r>
    </w:p>
    <w:p w:rsidR="008D0CF8" w:rsidRPr="000466F4" w:rsidRDefault="00B93209" w:rsidP="00794E35">
      <w:pPr>
        <w:keepNext/>
        <w:keepLines/>
        <w:spacing w:line="240" w:lineRule="auto"/>
        <w:rPr>
          <w:szCs w:val="22"/>
        </w:rPr>
      </w:pPr>
      <w:r w:rsidRPr="000466F4">
        <w:rPr>
          <w:szCs w:val="22"/>
        </w:rPr>
        <w:t>Časté: Infekcie</w:t>
      </w:r>
    </w:p>
    <w:p w:rsidR="008D0CF8" w:rsidRPr="007040C1" w:rsidRDefault="00B93209" w:rsidP="00794E35">
      <w:pPr>
        <w:widowControl w:val="0"/>
        <w:spacing w:line="240" w:lineRule="auto"/>
        <w:rPr>
          <w:szCs w:val="22"/>
        </w:rPr>
      </w:pPr>
      <w:r w:rsidRPr="006A7B5A">
        <w:rPr>
          <w:szCs w:val="22"/>
        </w:rPr>
        <w:t>Menej časté: Sepsa</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Poruchy krvi a lymfatického systému</w:t>
      </w:r>
    </w:p>
    <w:p w:rsidR="008D0CF8" w:rsidRPr="000466F4" w:rsidRDefault="00B93209" w:rsidP="00794E35">
      <w:pPr>
        <w:widowControl w:val="0"/>
        <w:spacing w:line="240" w:lineRule="auto"/>
        <w:rPr>
          <w:szCs w:val="22"/>
        </w:rPr>
      </w:pPr>
      <w:r w:rsidRPr="00AD5EA5">
        <w:rPr>
          <w:szCs w:val="22"/>
        </w:rPr>
        <w:t>Veľmi časté: Leukopénia (neutropénia stupeň 3</w:t>
      </w:r>
      <w:r w:rsidR="00586863" w:rsidRPr="00AD5EA5">
        <w:rPr>
          <w:szCs w:val="22"/>
        </w:rPr>
        <w:t> </w:t>
      </w:r>
      <w:r w:rsidRPr="00AD5EA5">
        <w:rPr>
          <w:szCs w:val="22"/>
        </w:rPr>
        <w:t>=</w:t>
      </w:r>
      <w:r w:rsidR="00586863" w:rsidRPr="008A55DD">
        <w:rPr>
          <w:szCs w:val="22"/>
        </w:rPr>
        <w:t> </w:t>
      </w:r>
      <w:r w:rsidRPr="00644C9F">
        <w:rPr>
          <w:szCs w:val="22"/>
        </w:rPr>
        <w:t>19,3</w:t>
      </w:r>
      <w:r w:rsidR="001974BB" w:rsidRPr="00C97179">
        <w:rPr>
          <w:szCs w:val="22"/>
        </w:rPr>
        <w:t> </w:t>
      </w:r>
      <w:r w:rsidRPr="001D7910">
        <w:rPr>
          <w:szCs w:val="22"/>
        </w:rPr>
        <w:t>%; stupeň 4</w:t>
      </w:r>
      <w:r w:rsidR="00586863" w:rsidRPr="00A637E8">
        <w:rPr>
          <w:szCs w:val="22"/>
        </w:rPr>
        <w:t> </w:t>
      </w:r>
      <w:r w:rsidRPr="00310F47">
        <w:rPr>
          <w:szCs w:val="22"/>
        </w:rPr>
        <w:t>=</w:t>
      </w:r>
      <w:r w:rsidR="00586863" w:rsidRPr="00401889">
        <w:rPr>
          <w:szCs w:val="22"/>
        </w:rPr>
        <w:t> </w:t>
      </w:r>
      <w:r w:rsidRPr="00822D12">
        <w:rPr>
          <w:szCs w:val="22"/>
        </w:rPr>
        <w:t>6</w:t>
      </w:r>
      <w:r w:rsidR="001974BB" w:rsidRPr="00E505EC">
        <w:rPr>
          <w:szCs w:val="22"/>
        </w:rPr>
        <w:t> %</w:t>
      </w:r>
      <w:r w:rsidRPr="00200C51">
        <w:rPr>
          <w:szCs w:val="22"/>
        </w:rPr>
        <w:t xml:space="preserve">), </w:t>
      </w:r>
      <w:r w:rsidR="00FB0BB5">
        <w:rPr>
          <w:szCs w:val="22"/>
        </w:rPr>
        <w:t>ú</w:t>
      </w:r>
      <w:r w:rsidRPr="00FB0BB5">
        <w:rPr>
          <w:szCs w:val="22"/>
        </w:rPr>
        <w:t>tlm funkcie kostnej drene je obvykle mierny až stredne závažný a väčšinou ovplyvňuje</w:t>
      </w:r>
      <w:r w:rsidR="001974BB" w:rsidRPr="000C6005">
        <w:rPr>
          <w:szCs w:val="22"/>
        </w:rPr>
        <w:t xml:space="preserve"> počet granulocytov (pozri časť </w:t>
      </w:r>
      <w:r w:rsidRPr="000C6005">
        <w:rPr>
          <w:szCs w:val="22"/>
        </w:rPr>
        <w:t>4.2), trombocytopénia, anémia</w:t>
      </w:r>
    </w:p>
    <w:p w:rsidR="008D0CF8" w:rsidRPr="007040C1" w:rsidRDefault="00B93209" w:rsidP="00794E35">
      <w:pPr>
        <w:widowControl w:val="0"/>
        <w:spacing w:line="240" w:lineRule="auto"/>
        <w:rPr>
          <w:iCs/>
          <w:szCs w:val="22"/>
        </w:rPr>
      </w:pPr>
      <w:r w:rsidRPr="006A7B5A">
        <w:rPr>
          <w:szCs w:val="22"/>
        </w:rPr>
        <w:t>Časté: Febrilná neutropénia</w:t>
      </w:r>
    </w:p>
    <w:p w:rsidR="00985E28" w:rsidRPr="007D1B67" w:rsidRDefault="00B93209" w:rsidP="00794E35">
      <w:pPr>
        <w:widowControl w:val="0"/>
        <w:spacing w:line="240" w:lineRule="auto"/>
        <w:rPr>
          <w:szCs w:val="22"/>
        </w:rPr>
      </w:pPr>
      <w:r w:rsidRPr="00AD5EA5">
        <w:rPr>
          <w:szCs w:val="22"/>
        </w:rPr>
        <w:t>Menej časté: Trombotická mikroangiopatia</w:t>
      </w:r>
    </w:p>
    <w:p w:rsidR="008D0CF8" w:rsidRPr="007D1B67" w:rsidRDefault="00B93209" w:rsidP="00794E35">
      <w:pPr>
        <w:widowControl w:val="0"/>
        <w:spacing w:line="240" w:lineRule="auto"/>
        <w:rPr>
          <w:szCs w:val="22"/>
        </w:rPr>
      </w:pPr>
      <w:r w:rsidRPr="00AD5EA5">
        <w:rPr>
          <w:szCs w:val="22"/>
        </w:rPr>
        <w:t>Veľmi zriedkavé: Trombocytóza</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Poruchy imunitného systému</w:t>
      </w:r>
    </w:p>
    <w:p w:rsidR="008D0CF8" w:rsidRPr="007D1B67" w:rsidRDefault="00B93209" w:rsidP="00794E35">
      <w:pPr>
        <w:widowControl w:val="0"/>
        <w:spacing w:line="240" w:lineRule="auto"/>
        <w:rPr>
          <w:szCs w:val="22"/>
        </w:rPr>
      </w:pPr>
      <w:r w:rsidRPr="00AD5EA5">
        <w:rPr>
          <w:szCs w:val="22"/>
        </w:rPr>
        <w:t>Veľmi zriedkavé: Anafylaktoidná reakcia</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Poruchy metabolizmu a výživy</w:t>
      </w:r>
    </w:p>
    <w:p w:rsidR="008D0CF8" w:rsidRPr="007D1B67" w:rsidRDefault="00B93209" w:rsidP="00794E35">
      <w:pPr>
        <w:widowControl w:val="0"/>
        <w:spacing w:line="240" w:lineRule="auto"/>
        <w:rPr>
          <w:szCs w:val="22"/>
        </w:rPr>
      </w:pPr>
      <w:r w:rsidRPr="00AD5EA5">
        <w:rPr>
          <w:szCs w:val="22"/>
        </w:rPr>
        <w:t>Časté: Anorexia</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Poruchy nervového systému</w:t>
      </w:r>
    </w:p>
    <w:p w:rsidR="008D0CF8" w:rsidRPr="007D1B67" w:rsidRDefault="00B93209" w:rsidP="00794E35">
      <w:pPr>
        <w:widowControl w:val="0"/>
        <w:spacing w:line="240" w:lineRule="auto"/>
        <w:rPr>
          <w:szCs w:val="22"/>
        </w:rPr>
      </w:pPr>
      <w:r w:rsidRPr="00AD5EA5">
        <w:rPr>
          <w:szCs w:val="22"/>
        </w:rPr>
        <w:t>Časté: Bolesť hlavy, nespavosť, ospalosť</w:t>
      </w:r>
    </w:p>
    <w:p w:rsidR="008D0CF8" w:rsidRPr="00AD5EA5" w:rsidRDefault="00B93209" w:rsidP="00794E35">
      <w:pPr>
        <w:widowControl w:val="0"/>
        <w:spacing w:line="240" w:lineRule="auto"/>
        <w:rPr>
          <w:szCs w:val="22"/>
        </w:rPr>
      </w:pPr>
      <w:r w:rsidRPr="00AD5EA5">
        <w:rPr>
          <w:szCs w:val="22"/>
        </w:rPr>
        <w:t>Menej časté: Cievna mozgová príhoda</w:t>
      </w:r>
    </w:p>
    <w:p w:rsidR="008D0CF8" w:rsidRPr="001D7910" w:rsidRDefault="00B93209" w:rsidP="00794E35">
      <w:pPr>
        <w:widowControl w:val="0"/>
        <w:spacing w:line="240" w:lineRule="auto"/>
        <w:rPr>
          <w:szCs w:val="22"/>
        </w:rPr>
      </w:pPr>
      <w:r w:rsidRPr="00AD5EA5">
        <w:rPr>
          <w:szCs w:val="22"/>
        </w:rPr>
        <w:t>Veľmi zriedkavé: Syndróm posteriórnej r</w:t>
      </w:r>
      <w:r w:rsidRPr="008A55DD">
        <w:rPr>
          <w:szCs w:val="22"/>
        </w:rPr>
        <w:t>everzibilnej encefalopatie (pozri časť</w:t>
      </w:r>
      <w:r w:rsidR="00EF3AEE" w:rsidRPr="00644C9F">
        <w:rPr>
          <w:szCs w:val="22"/>
        </w:rPr>
        <w:t> </w:t>
      </w:r>
      <w:r w:rsidRPr="00C97179">
        <w:rPr>
          <w:szCs w:val="22"/>
        </w:rPr>
        <w:t>4.4)</w:t>
      </w:r>
    </w:p>
    <w:p w:rsidR="008D0CF8" w:rsidRPr="00A637E8"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310F47">
        <w:rPr>
          <w:szCs w:val="22"/>
          <w:u w:val="single"/>
        </w:rPr>
        <w:t>Poruchy srdca a srdcovej činnosti</w:t>
      </w:r>
    </w:p>
    <w:p w:rsidR="008D0CF8" w:rsidRPr="007D1B67" w:rsidRDefault="00B93209" w:rsidP="00794E35">
      <w:pPr>
        <w:widowControl w:val="0"/>
        <w:spacing w:line="240" w:lineRule="auto"/>
        <w:rPr>
          <w:szCs w:val="22"/>
        </w:rPr>
      </w:pPr>
      <w:r w:rsidRPr="00AD5EA5">
        <w:rPr>
          <w:szCs w:val="22"/>
        </w:rPr>
        <w:t>Menej časté: Arytmie, prevažne supraventrikulárnej povahy, zlyhanie srdca</w:t>
      </w:r>
    </w:p>
    <w:p w:rsidR="008D0CF8" w:rsidRPr="007D1B67" w:rsidRDefault="00B93209" w:rsidP="00794E35">
      <w:pPr>
        <w:widowControl w:val="0"/>
        <w:spacing w:line="240" w:lineRule="auto"/>
        <w:rPr>
          <w:szCs w:val="22"/>
        </w:rPr>
      </w:pPr>
      <w:r w:rsidRPr="00AD5EA5">
        <w:rPr>
          <w:szCs w:val="22"/>
        </w:rPr>
        <w:t>Zriedkavé: Infarkt myokardu</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Poruchy ciev</w:t>
      </w:r>
    </w:p>
    <w:p w:rsidR="008D0CF8" w:rsidRPr="007D1B67" w:rsidRDefault="00B93209" w:rsidP="00794E35">
      <w:pPr>
        <w:widowControl w:val="0"/>
        <w:spacing w:line="240" w:lineRule="auto"/>
        <w:rPr>
          <w:szCs w:val="22"/>
        </w:rPr>
      </w:pPr>
      <w:r w:rsidRPr="00AD5EA5">
        <w:rPr>
          <w:szCs w:val="22"/>
        </w:rPr>
        <w:t>Zriedkavé: Klinické prejavy periférnej vaskulitídy a gangrény, hypotenzia</w:t>
      </w:r>
    </w:p>
    <w:p w:rsidR="008D0CF8" w:rsidRPr="007D1B67" w:rsidRDefault="00B93209" w:rsidP="00794E35">
      <w:pPr>
        <w:widowControl w:val="0"/>
        <w:spacing w:line="240" w:lineRule="auto"/>
        <w:rPr>
          <w:szCs w:val="22"/>
        </w:rPr>
      </w:pPr>
      <w:r w:rsidRPr="00AD5EA5">
        <w:rPr>
          <w:szCs w:val="22"/>
        </w:rPr>
        <w:t>Veľmi zriedkavé: Syndróm kapilárneho úniku (pozri časť</w:t>
      </w:r>
      <w:r w:rsidR="00EF3AEE" w:rsidRPr="00AD5EA5">
        <w:rPr>
          <w:szCs w:val="22"/>
        </w:rPr>
        <w:t> </w:t>
      </w:r>
      <w:r w:rsidRPr="00AD5EA5">
        <w:rPr>
          <w:szCs w:val="22"/>
        </w:rPr>
        <w:t>4.4).</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Poruchy dýchacej sústavy, hrudníka a mediastína</w:t>
      </w:r>
    </w:p>
    <w:p w:rsidR="008D0CF8" w:rsidRPr="007D1B67" w:rsidRDefault="00B93209" w:rsidP="00794E35">
      <w:pPr>
        <w:widowControl w:val="0"/>
        <w:spacing w:line="240" w:lineRule="auto"/>
        <w:rPr>
          <w:szCs w:val="22"/>
        </w:rPr>
      </w:pPr>
      <w:r w:rsidRPr="00AD5EA5">
        <w:rPr>
          <w:szCs w:val="22"/>
        </w:rPr>
        <w:t>Veľmi časté: Dyspnoe – obvykle mierna a rýchle ustupujúca bez nutnosti liečby</w:t>
      </w:r>
    </w:p>
    <w:p w:rsidR="008D0CF8" w:rsidRPr="007D1B67" w:rsidRDefault="00B93209" w:rsidP="00794E35">
      <w:pPr>
        <w:widowControl w:val="0"/>
        <w:spacing w:line="240" w:lineRule="auto"/>
        <w:rPr>
          <w:szCs w:val="22"/>
        </w:rPr>
      </w:pPr>
      <w:r w:rsidRPr="00AD5EA5">
        <w:rPr>
          <w:szCs w:val="22"/>
        </w:rPr>
        <w:t>Časté: Kašeľ, rinitída</w:t>
      </w:r>
    </w:p>
    <w:p w:rsidR="008D0CF8" w:rsidRPr="007D1B67" w:rsidRDefault="00B93209" w:rsidP="00794E35">
      <w:pPr>
        <w:widowControl w:val="0"/>
        <w:spacing w:line="240" w:lineRule="auto"/>
        <w:rPr>
          <w:szCs w:val="22"/>
        </w:rPr>
      </w:pPr>
      <w:r w:rsidRPr="00AD5EA5">
        <w:rPr>
          <w:szCs w:val="22"/>
        </w:rPr>
        <w:t>Menej časté: Intersticiálna pneumonitída (pozri časť</w:t>
      </w:r>
      <w:r w:rsidR="00EF3AEE" w:rsidRPr="00AD5EA5">
        <w:rPr>
          <w:szCs w:val="22"/>
        </w:rPr>
        <w:t> </w:t>
      </w:r>
      <w:r w:rsidRPr="008A55DD">
        <w:rPr>
          <w:szCs w:val="22"/>
        </w:rPr>
        <w:t>4.4), bronchospazmus – obvykle mierny a prechodný, ale môže vyžadovať parenterálnu liečbu</w:t>
      </w:r>
    </w:p>
    <w:p w:rsidR="008D0CF8" w:rsidRPr="007D1B67" w:rsidRDefault="00B93209" w:rsidP="00794E35">
      <w:pPr>
        <w:widowControl w:val="0"/>
        <w:spacing w:line="240" w:lineRule="auto"/>
        <w:rPr>
          <w:szCs w:val="22"/>
        </w:rPr>
      </w:pPr>
      <w:r w:rsidRPr="00AD5EA5">
        <w:rPr>
          <w:szCs w:val="22"/>
        </w:rPr>
        <w:t>Zriedkavé: Pľúcny edém, syndróm dychovej tiesne dospelých (pozri časť</w:t>
      </w:r>
      <w:r w:rsidR="00EF3AEE" w:rsidRPr="00AD5EA5">
        <w:rPr>
          <w:szCs w:val="22"/>
        </w:rPr>
        <w:t> </w:t>
      </w:r>
      <w:r w:rsidRPr="00AD5EA5">
        <w:rPr>
          <w:szCs w:val="22"/>
        </w:rPr>
        <w:t>4.4)</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Poruchy gastrointestinálneho traktu</w:t>
      </w:r>
    </w:p>
    <w:p w:rsidR="008D0CF8" w:rsidRPr="007D1B67" w:rsidRDefault="00B93209" w:rsidP="00794E35">
      <w:pPr>
        <w:widowControl w:val="0"/>
        <w:spacing w:line="240" w:lineRule="auto"/>
        <w:rPr>
          <w:szCs w:val="22"/>
        </w:rPr>
      </w:pPr>
      <w:r w:rsidRPr="00AD5EA5">
        <w:rPr>
          <w:szCs w:val="22"/>
        </w:rPr>
        <w:t>Veľmi časté: Vracanie, nauzea</w:t>
      </w:r>
    </w:p>
    <w:p w:rsidR="008D0CF8" w:rsidRPr="007D1B67" w:rsidRDefault="00B93209" w:rsidP="00794E35">
      <w:pPr>
        <w:widowControl w:val="0"/>
        <w:spacing w:line="240" w:lineRule="auto"/>
        <w:rPr>
          <w:szCs w:val="22"/>
        </w:rPr>
      </w:pPr>
      <w:r w:rsidRPr="00AD5EA5">
        <w:rPr>
          <w:szCs w:val="22"/>
        </w:rPr>
        <w:t>Časté: Hnačka, stomatidída a ulcerácia v ústach, zápcha</w:t>
      </w:r>
    </w:p>
    <w:p w:rsidR="008D0CF8" w:rsidRPr="007D1B67" w:rsidRDefault="00B93209" w:rsidP="00794E35">
      <w:pPr>
        <w:widowControl w:val="0"/>
        <w:spacing w:line="240" w:lineRule="auto"/>
        <w:rPr>
          <w:szCs w:val="22"/>
        </w:rPr>
      </w:pPr>
      <w:r w:rsidRPr="00AD5EA5">
        <w:rPr>
          <w:szCs w:val="22"/>
        </w:rPr>
        <w:t>Veľmi zriedkavé: Ischemická kolitída</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Poruchy pečene a žlčových ciest</w:t>
      </w:r>
    </w:p>
    <w:p w:rsidR="008D0CF8" w:rsidRPr="000466F4" w:rsidRDefault="00B93209" w:rsidP="00794E35">
      <w:pPr>
        <w:widowControl w:val="0"/>
        <w:spacing w:line="240" w:lineRule="auto"/>
        <w:rPr>
          <w:iCs/>
          <w:szCs w:val="22"/>
        </w:rPr>
      </w:pPr>
      <w:r w:rsidRPr="00AD5EA5">
        <w:rPr>
          <w:szCs w:val="22"/>
        </w:rPr>
        <w:t>Veľmi časté: Zvýšen</w:t>
      </w:r>
      <w:r w:rsidR="000C6005">
        <w:rPr>
          <w:szCs w:val="22"/>
        </w:rPr>
        <w:t>ie</w:t>
      </w:r>
      <w:r w:rsidRPr="000C6005">
        <w:rPr>
          <w:szCs w:val="22"/>
        </w:rPr>
        <w:t xml:space="preserve"> hladiny pečeňových transamináz (AST </w:t>
      </w:r>
      <w:r w:rsidRPr="000466F4">
        <w:rPr>
          <w:szCs w:val="22"/>
        </w:rPr>
        <w:t>a ALT) a alkalickej fosfatázy</w:t>
      </w:r>
    </w:p>
    <w:p w:rsidR="008D0CF8" w:rsidRPr="007040C1" w:rsidRDefault="00B93209" w:rsidP="00794E35">
      <w:pPr>
        <w:widowControl w:val="0"/>
        <w:spacing w:line="240" w:lineRule="auto"/>
        <w:rPr>
          <w:iCs/>
          <w:szCs w:val="22"/>
        </w:rPr>
      </w:pPr>
      <w:r w:rsidRPr="006A7B5A">
        <w:rPr>
          <w:szCs w:val="22"/>
        </w:rPr>
        <w:t>Časté: Zvýšená hladina bilirubínu</w:t>
      </w:r>
    </w:p>
    <w:p w:rsidR="008D0CF8" w:rsidRPr="007D1B67" w:rsidRDefault="00B93209" w:rsidP="00794E35">
      <w:pPr>
        <w:widowControl w:val="0"/>
        <w:spacing w:line="240" w:lineRule="auto"/>
        <w:rPr>
          <w:iCs/>
          <w:szCs w:val="22"/>
        </w:rPr>
      </w:pPr>
      <w:r w:rsidRPr="00AD5EA5">
        <w:rPr>
          <w:szCs w:val="22"/>
        </w:rPr>
        <w:t>Menej časté: Závažná hepatotoxicita, vrátane pečeňového zlyhania a úmrtia</w:t>
      </w:r>
    </w:p>
    <w:p w:rsidR="008D0CF8" w:rsidRPr="007D1B67" w:rsidRDefault="00B93209" w:rsidP="00794E35">
      <w:pPr>
        <w:widowControl w:val="0"/>
        <w:spacing w:line="240" w:lineRule="auto"/>
        <w:rPr>
          <w:szCs w:val="22"/>
        </w:rPr>
      </w:pPr>
      <w:r w:rsidRPr="00AD5EA5">
        <w:rPr>
          <w:szCs w:val="22"/>
        </w:rPr>
        <w:t>Zriedkavé: Zvýšená hladina gamaglutamyltransferázy (GGT)</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Poruchy kože a podkožného tkaniva</w:t>
      </w:r>
    </w:p>
    <w:p w:rsidR="008D0CF8" w:rsidRPr="007D1B67" w:rsidRDefault="00B93209" w:rsidP="00794E35">
      <w:pPr>
        <w:widowControl w:val="0"/>
        <w:spacing w:line="240" w:lineRule="auto"/>
        <w:rPr>
          <w:szCs w:val="22"/>
        </w:rPr>
      </w:pPr>
      <w:r w:rsidRPr="00AD5EA5">
        <w:rPr>
          <w:szCs w:val="22"/>
        </w:rPr>
        <w:t>Veľmi časté: Alergická kožná vyrážka často spojená so svrbením, alopécia</w:t>
      </w:r>
    </w:p>
    <w:p w:rsidR="008D0CF8" w:rsidRPr="007D1B67" w:rsidRDefault="00B93209" w:rsidP="00794E35">
      <w:pPr>
        <w:widowControl w:val="0"/>
        <w:spacing w:line="240" w:lineRule="auto"/>
        <w:rPr>
          <w:szCs w:val="22"/>
        </w:rPr>
      </w:pPr>
      <w:r w:rsidRPr="00AD5EA5">
        <w:rPr>
          <w:szCs w:val="22"/>
        </w:rPr>
        <w:t>Časté: Svrbenie, potenie</w:t>
      </w:r>
    </w:p>
    <w:p w:rsidR="008D0CF8" w:rsidRPr="000466F4" w:rsidRDefault="00B93209" w:rsidP="00794E35">
      <w:pPr>
        <w:widowControl w:val="0"/>
        <w:spacing w:line="240" w:lineRule="auto"/>
        <w:rPr>
          <w:szCs w:val="22"/>
        </w:rPr>
      </w:pPr>
      <w:r w:rsidRPr="00AD5EA5">
        <w:rPr>
          <w:szCs w:val="22"/>
        </w:rPr>
        <w:t xml:space="preserve">Zriedkavé: Závažné kožné reakcie, vrátane deskvamácie a bulóznych kožných výsevov, ulcerácia, </w:t>
      </w:r>
      <w:r w:rsidRPr="00AD5EA5">
        <w:rPr>
          <w:szCs w:val="22"/>
        </w:rPr>
        <w:lastRenderedPageBreak/>
        <w:t xml:space="preserve">tvorba pľuzgierov a vredov, </w:t>
      </w:r>
      <w:r w:rsidR="00A969A7">
        <w:rPr>
          <w:szCs w:val="22"/>
        </w:rPr>
        <w:t>o</w:t>
      </w:r>
      <w:r w:rsidR="000466F4">
        <w:rPr>
          <w:szCs w:val="22"/>
        </w:rPr>
        <w:t>lupovanie</w:t>
      </w:r>
      <w:r w:rsidR="000466F4" w:rsidRPr="000466F4">
        <w:rPr>
          <w:szCs w:val="22"/>
        </w:rPr>
        <w:t xml:space="preserve"> </w:t>
      </w:r>
      <w:r w:rsidRPr="000466F4">
        <w:rPr>
          <w:szCs w:val="22"/>
        </w:rPr>
        <w:t>kože</w:t>
      </w:r>
    </w:p>
    <w:p w:rsidR="008D0CF8" w:rsidRPr="00C947FE" w:rsidRDefault="00B93209" w:rsidP="00794E35">
      <w:pPr>
        <w:widowControl w:val="0"/>
        <w:spacing w:line="240" w:lineRule="auto"/>
        <w:rPr>
          <w:iCs/>
          <w:szCs w:val="22"/>
        </w:rPr>
      </w:pPr>
      <w:r w:rsidRPr="006A7B5A">
        <w:rPr>
          <w:szCs w:val="22"/>
        </w:rPr>
        <w:t>Veľmi zriedkavé</w:t>
      </w:r>
      <w:r w:rsidRPr="00C947FE">
        <w:rPr>
          <w:color w:val="000000"/>
          <w:szCs w:val="22"/>
        </w:rPr>
        <w:t xml:space="preserve">: </w:t>
      </w:r>
      <w:r w:rsidRPr="00C947FE">
        <w:rPr>
          <w:szCs w:val="22"/>
        </w:rPr>
        <w:t>Toxická epidermálna nekrolýza, Stevensov-Johnsonov syndróm</w:t>
      </w:r>
    </w:p>
    <w:p w:rsidR="008D0CF8" w:rsidRPr="007040C1" w:rsidRDefault="008D0CF8" w:rsidP="00794E35">
      <w:pPr>
        <w:widowControl w:val="0"/>
        <w:spacing w:line="240" w:lineRule="auto"/>
        <w:rPr>
          <w:iCs/>
          <w:szCs w:val="22"/>
        </w:rPr>
      </w:pPr>
    </w:p>
    <w:p w:rsidR="008D0CF8" w:rsidRPr="007D1B67" w:rsidRDefault="00B93209" w:rsidP="00794E35">
      <w:pPr>
        <w:widowControl w:val="0"/>
        <w:spacing w:line="240" w:lineRule="auto"/>
        <w:rPr>
          <w:szCs w:val="22"/>
          <w:u w:val="single"/>
        </w:rPr>
      </w:pPr>
      <w:r w:rsidRPr="00AD5EA5">
        <w:rPr>
          <w:szCs w:val="22"/>
          <w:u w:val="single"/>
        </w:rPr>
        <w:t>Poruchy kostrovej a svalovej sústavy a spojivového tkaniva</w:t>
      </w:r>
    </w:p>
    <w:p w:rsidR="008D0CF8" w:rsidRPr="007D1B67" w:rsidRDefault="00B93209" w:rsidP="00794E35">
      <w:pPr>
        <w:widowControl w:val="0"/>
        <w:spacing w:line="240" w:lineRule="auto"/>
        <w:rPr>
          <w:szCs w:val="22"/>
        </w:rPr>
      </w:pPr>
      <w:r w:rsidRPr="00AD5EA5">
        <w:rPr>
          <w:szCs w:val="22"/>
        </w:rPr>
        <w:t>Časté: Bolesť chrbta, bolesť svalov</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Poruchy obličiek a močových ciest</w:t>
      </w:r>
    </w:p>
    <w:p w:rsidR="008D0CF8" w:rsidRPr="007D1B67" w:rsidRDefault="00B93209" w:rsidP="00794E35">
      <w:pPr>
        <w:widowControl w:val="0"/>
        <w:spacing w:line="240" w:lineRule="auto"/>
        <w:rPr>
          <w:szCs w:val="22"/>
        </w:rPr>
      </w:pPr>
      <w:r w:rsidRPr="00AD5EA5">
        <w:rPr>
          <w:szCs w:val="22"/>
        </w:rPr>
        <w:t>Veľmi časté: Hematúria, mierna proteinúria</w:t>
      </w:r>
    </w:p>
    <w:p w:rsidR="008D0CF8" w:rsidRPr="007D1B67" w:rsidRDefault="00B93209" w:rsidP="00794E35">
      <w:pPr>
        <w:widowControl w:val="0"/>
        <w:spacing w:line="240" w:lineRule="auto"/>
        <w:rPr>
          <w:szCs w:val="22"/>
        </w:rPr>
      </w:pPr>
      <w:r w:rsidRPr="00AD5EA5">
        <w:rPr>
          <w:szCs w:val="22"/>
        </w:rPr>
        <w:t>Menej časté: Renálne zlyhanie (pozri časť</w:t>
      </w:r>
      <w:r w:rsidR="00EF3AEE" w:rsidRPr="00AD5EA5">
        <w:rPr>
          <w:szCs w:val="22"/>
        </w:rPr>
        <w:t> </w:t>
      </w:r>
      <w:r w:rsidRPr="00AD5EA5">
        <w:rPr>
          <w:szCs w:val="22"/>
        </w:rPr>
        <w:t>4.4), hemolyticko-uremický syndróm (pozri časť</w:t>
      </w:r>
      <w:r w:rsidR="00EF3AEE" w:rsidRPr="00AD5EA5">
        <w:rPr>
          <w:szCs w:val="22"/>
        </w:rPr>
        <w:t> </w:t>
      </w:r>
      <w:r w:rsidRPr="00AD5EA5">
        <w:rPr>
          <w:szCs w:val="22"/>
        </w:rPr>
        <w:t>4.4)</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szCs w:val="22"/>
          <w:u w:val="single"/>
        </w:rPr>
      </w:pPr>
      <w:r w:rsidRPr="00AD5EA5">
        <w:rPr>
          <w:szCs w:val="22"/>
          <w:u w:val="single"/>
        </w:rPr>
        <w:t>Celkové poruchy a reakcie v mieste podania</w:t>
      </w:r>
    </w:p>
    <w:p w:rsidR="008D0CF8" w:rsidRPr="007D1B67" w:rsidRDefault="00B93209" w:rsidP="00794E35">
      <w:pPr>
        <w:widowControl w:val="0"/>
        <w:spacing w:line="240" w:lineRule="auto"/>
        <w:rPr>
          <w:szCs w:val="22"/>
        </w:rPr>
      </w:pPr>
      <w:r w:rsidRPr="00AD5EA5">
        <w:rPr>
          <w:szCs w:val="22"/>
        </w:rPr>
        <w:t xml:space="preserve">Veľmi časté: Symptómy podobné chrípke – najčastejšími príznakmi sú horúčka, bolesť hlavy, zimnica, bolesť svalov, slabosť a anorexia. Boli hlásené tiež kašeľ, rinitída, </w:t>
      </w:r>
      <w:r w:rsidR="00C947FE">
        <w:rPr>
          <w:szCs w:val="22"/>
        </w:rPr>
        <w:t>nepokoj</w:t>
      </w:r>
      <w:r w:rsidRPr="007040C1">
        <w:rPr>
          <w:szCs w:val="22"/>
        </w:rPr>
        <w:t>, potenie a problémy so spánkom.</w:t>
      </w:r>
    </w:p>
    <w:p w:rsidR="008D0CF8" w:rsidRPr="007D1B67" w:rsidRDefault="00B93209" w:rsidP="00794E35">
      <w:pPr>
        <w:widowControl w:val="0"/>
        <w:spacing w:line="240" w:lineRule="auto"/>
        <w:rPr>
          <w:szCs w:val="22"/>
        </w:rPr>
      </w:pPr>
      <w:r w:rsidRPr="00AD5EA5">
        <w:rPr>
          <w:szCs w:val="22"/>
        </w:rPr>
        <w:t>Edém/periférny edém – vrátane edému tváre. Edém je obvykle reverzibilný po ukončení liečby.</w:t>
      </w:r>
    </w:p>
    <w:p w:rsidR="008D0CF8" w:rsidRPr="007D1B67" w:rsidRDefault="00B93209" w:rsidP="00794E35">
      <w:pPr>
        <w:widowControl w:val="0"/>
        <w:spacing w:line="240" w:lineRule="auto"/>
        <w:rPr>
          <w:szCs w:val="22"/>
        </w:rPr>
      </w:pPr>
      <w:r w:rsidRPr="00AD5EA5">
        <w:rPr>
          <w:szCs w:val="22"/>
        </w:rPr>
        <w:t>Časté: Horúčka, slabosť, zimnica</w:t>
      </w:r>
    </w:p>
    <w:p w:rsidR="008D0CF8" w:rsidRPr="007040C1" w:rsidRDefault="00B93209" w:rsidP="00794E35">
      <w:pPr>
        <w:widowControl w:val="0"/>
        <w:spacing w:line="240" w:lineRule="auto"/>
        <w:rPr>
          <w:szCs w:val="22"/>
        </w:rPr>
      </w:pPr>
      <w:r w:rsidRPr="00AD5EA5">
        <w:rPr>
          <w:szCs w:val="22"/>
        </w:rPr>
        <w:t>Zriedkavé: Reakcia v mieste podania</w:t>
      </w:r>
      <w:r w:rsidR="007040C1">
        <w:rPr>
          <w:szCs w:val="22"/>
        </w:rPr>
        <w:t xml:space="preserve"> injekcie</w:t>
      </w:r>
      <w:r w:rsidRPr="007040C1">
        <w:rPr>
          <w:szCs w:val="22"/>
        </w:rPr>
        <w:t xml:space="preserve"> – obvykle miernej povahy</w:t>
      </w:r>
    </w:p>
    <w:p w:rsidR="008D0CF8" w:rsidRPr="007D1B67" w:rsidRDefault="008D0CF8" w:rsidP="00794E35">
      <w:pPr>
        <w:widowControl w:val="0"/>
        <w:spacing w:line="240" w:lineRule="auto"/>
        <w:rPr>
          <w:szCs w:val="22"/>
        </w:rPr>
      </w:pPr>
    </w:p>
    <w:p w:rsidR="008D0CF8" w:rsidRPr="007D1B67" w:rsidRDefault="00B93209" w:rsidP="00794E35">
      <w:pPr>
        <w:widowControl w:val="0"/>
        <w:spacing w:line="240" w:lineRule="auto"/>
        <w:rPr>
          <w:iCs/>
          <w:szCs w:val="22"/>
          <w:u w:val="single"/>
        </w:rPr>
      </w:pPr>
      <w:r w:rsidRPr="00AD5EA5">
        <w:rPr>
          <w:szCs w:val="22"/>
          <w:u w:val="single"/>
        </w:rPr>
        <w:t>Úrazy, otravy a komplikácie liečebného postupu</w:t>
      </w:r>
    </w:p>
    <w:p w:rsidR="008D0CF8" w:rsidRPr="007D1B67" w:rsidRDefault="00B93209" w:rsidP="00794E35">
      <w:pPr>
        <w:widowControl w:val="0"/>
        <w:spacing w:line="240" w:lineRule="auto"/>
        <w:rPr>
          <w:szCs w:val="22"/>
        </w:rPr>
      </w:pPr>
      <w:r w:rsidRPr="00AD5EA5">
        <w:rPr>
          <w:szCs w:val="22"/>
        </w:rPr>
        <w:t>Zriedkavé: Radiačná toxicita (pozri časť</w:t>
      </w:r>
      <w:r w:rsidR="00EF3AEE" w:rsidRPr="00AD5EA5">
        <w:rPr>
          <w:szCs w:val="22"/>
        </w:rPr>
        <w:t> </w:t>
      </w:r>
      <w:r w:rsidRPr="00AD5EA5">
        <w:rPr>
          <w:szCs w:val="22"/>
        </w:rPr>
        <w:t>4.5), návrat reakcie z ožarovania („radiation recall“)</w:t>
      </w:r>
    </w:p>
    <w:p w:rsidR="008D0CF8" w:rsidRPr="007D1B67" w:rsidRDefault="008D0CF8" w:rsidP="00794E35">
      <w:pPr>
        <w:widowControl w:val="0"/>
        <w:spacing w:line="240" w:lineRule="auto"/>
        <w:rPr>
          <w:szCs w:val="22"/>
        </w:rPr>
      </w:pPr>
    </w:p>
    <w:p w:rsidR="008D0CF8" w:rsidRPr="007D1B67" w:rsidRDefault="00B93209" w:rsidP="00794E35">
      <w:pPr>
        <w:keepNext/>
        <w:spacing w:line="240" w:lineRule="auto"/>
        <w:rPr>
          <w:i/>
          <w:color w:val="000000"/>
          <w:szCs w:val="22"/>
          <w:u w:val="single"/>
        </w:rPr>
      </w:pPr>
      <w:r w:rsidRPr="00AD5EA5">
        <w:rPr>
          <w:i/>
          <w:color w:val="000000"/>
          <w:szCs w:val="22"/>
          <w:u w:val="single"/>
        </w:rPr>
        <w:t>Použitie v kombinácii pri liečbe karcinómu prsníka</w:t>
      </w:r>
    </w:p>
    <w:p w:rsidR="008D0CF8" w:rsidRPr="007D1B67" w:rsidRDefault="00B93209" w:rsidP="00794E35">
      <w:pPr>
        <w:keepNext/>
        <w:spacing w:line="240" w:lineRule="auto"/>
        <w:rPr>
          <w:color w:val="000000"/>
          <w:szCs w:val="22"/>
          <w:highlight w:val="yellow"/>
        </w:rPr>
      </w:pPr>
      <w:r w:rsidRPr="00AD5EA5">
        <w:rPr>
          <w:color w:val="000000"/>
          <w:szCs w:val="22"/>
        </w:rPr>
        <w:t>Frekvencia hematologickej toxicity stupňa</w:t>
      </w:r>
      <w:r w:rsidR="00586863" w:rsidRPr="00AD5EA5">
        <w:rPr>
          <w:color w:val="000000"/>
          <w:szCs w:val="22"/>
        </w:rPr>
        <w:t> </w:t>
      </w:r>
      <w:smartTag w:uri="urn:schemas-microsoft-com:office:smarttags" w:element="metricconverter">
        <w:smartTagPr>
          <w:attr w:name="ProductID" w:val="8 °C"/>
        </w:smartTagPr>
        <w:r w:rsidRPr="00AD5EA5">
          <w:rPr>
            <w:color w:val="000000"/>
            <w:szCs w:val="22"/>
          </w:rPr>
          <w:t>3 a</w:t>
        </w:r>
      </w:smartTag>
      <w:r w:rsidRPr="00AD5EA5">
        <w:rPr>
          <w:color w:val="000000"/>
          <w:szCs w:val="22"/>
        </w:rPr>
        <w:t xml:space="preserve"> 4, prevažne neutropénia, sa zvyšuje, pokiaľ sa </w:t>
      </w:r>
      <w:r w:rsidRPr="00AD5EA5">
        <w:rPr>
          <w:szCs w:val="22"/>
        </w:rPr>
        <w:t>gemcitabín</w:t>
      </w:r>
      <w:r w:rsidRPr="001D3CB1">
        <w:rPr>
          <w:color w:val="000000"/>
          <w:szCs w:val="22"/>
        </w:rPr>
        <w:t xml:space="preserve"> použije v kombinácii s paklitaxelom. Zvýšenie týchto nežiaducich reakcií však nie je spojené so zvýšeným výskytom infekcií alebo </w:t>
      </w:r>
      <w:r w:rsidR="00AD5EA5">
        <w:rPr>
          <w:color w:val="000000"/>
          <w:szCs w:val="22"/>
        </w:rPr>
        <w:t>hemoragických príhod</w:t>
      </w:r>
      <w:r w:rsidRPr="00AD5EA5">
        <w:rPr>
          <w:color w:val="000000"/>
          <w:szCs w:val="22"/>
        </w:rPr>
        <w:t>. Pri podávaní gemcitabínu v kombinácii s paklitaxelom sa častejšie objavuje únava a febrilná neutropénia. Únava, ktorá nie je spojená s anémiou, obvykle ustúpi po prvom cykle.</w:t>
      </w:r>
      <w:r w:rsidRPr="00AD5EA5">
        <w:rPr>
          <w:color w:val="000000"/>
          <w:szCs w:val="22"/>
          <w:highlight w:val="yellow"/>
        </w:rPr>
        <w:t xml:space="preserve"> </w:t>
      </w:r>
    </w:p>
    <w:p w:rsidR="008D0CF8" w:rsidRPr="007D1B67" w:rsidRDefault="008D0CF8" w:rsidP="00794E35">
      <w:pPr>
        <w:spacing w:line="240" w:lineRule="auto"/>
        <w:rPr>
          <w:color w:val="000000"/>
          <w:szCs w:val="22"/>
          <w:highlight w:val="yellow"/>
        </w:rPr>
      </w:pPr>
    </w:p>
    <w:p w:rsidR="008D0CF8" w:rsidRPr="007D1B67" w:rsidRDefault="008D0CF8" w:rsidP="00794E35">
      <w:pPr>
        <w:keepNext/>
        <w:spacing w:line="240" w:lineRule="auto"/>
        <w:rPr>
          <w:color w:val="000000"/>
          <w:szCs w:val="22"/>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8D0CF8" w:rsidRPr="007D1B67" w:rsidTr="0015025C">
        <w:trPr>
          <w:cantSplit/>
        </w:trPr>
        <w:tc>
          <w:tcPr>
            <w:tcW w:w="8010" w:type="dxa"/>
            <w:gridSpan w:val="5"/>
            <w:tcBorders>
              <w:top w:val="single" w:sz="4" w:space="0" w:color="auto"/>
              <w:bottom w:val="single" w:sz="4" w:space="0" w:color="auto"/>
            </w:tcBorders>
          </w:tcPr>
          <w:p w:rsidR="008D0CF8" w:rsidRPr="007D1B67" w:rsidRDefault="00B93209" w:rsidP="00794E35">
            <w:pPr>
              <w:keepNext/>
              <w:spacing w:line="240" w:lineRule="auto"/>
              <w:jc w:val="center"/>
              <w:rPr>
                <w:color w:val="000000"/>
                <w:szCs w:val="22"/>
              </w:rPr>
            </w:pPr>
            <w:r w:rsidRPr="00AD5EA5">
              <w:rPr>
                <w:color w:val="000000"/>
                <w:szCs w:val="22"/>
              </w:rPr>
              <w:t>Nežiaduce účinky stupňa</w:t>
            </w:r>
            <w:r w:rsidR="00586863" w:rsidRPr="00AD5EA5">
              <w:rPr>
                <w:color w:val="000000"/>
                <w:szCs w:val="22"/>
              </w:rPr>
              <w:t> </w:t>
            </w:r>
            <w:smartTag w:uri="urn:schemas-microsoft-com:office:smarttags" w:element="metricconverter">
              <w:smartTagPr>
                <w:attr w:name="ProductID" w:val="8 °C"/>
              </w:smartTagPr>
              <w:r w:rsidRPr="00AD5EA5">
                <w:rPr>
                  <w:color w:val="000000"/>
                  <w:szCs w:val="22"/>
                </w:rPr>
                <w:t>3 a</w:t>
              </w:r>
            </w:smartTag>
            <w:r w:rsidRPr="00AD5EA5">
              <w:rPr>
                <w:color w:val="000000"/>
                <w:szCs w:val="22"/>
              </w:rPr>
              <w:t xml:space="preserve"> 4</w:t>
            </w:r>
          </w:p>
          <w:p w:rsidR="008D0CF8" w:rsidRPr="007D1B67" w:rsidRDefault="00B93209" w:rsidP="00794E35">
            <w:pPr>
              <w:keepNext/>
              <w:spacing w:line="240" w:lineRule="auto"/>
              <w:jc w:val="center"/>
              <w:rPr>
                <w:color w:val="000000"/>
                <w:szCs w:val="22"/>
              </w:rPr>
            </w:pPr>
            <w:r w:rsidRPr="00AD5EA5">
              <w:rPr>
                <w:color w:val="000000"/>
                <w:szCs w:val="22"/>
              </w:rPr>
              <w:t>Paklitaxel verzus gemcitabín + paklitaxel</w:t>
            </w:r>
          </w:p>
          <w:p w:rsidR="008D0CF8" w:rsidRPr="007D1B67" w:rsidRDefault="008D0CF8" w:rsidP="00794E35">
            <w:pPr>
              <w:keepNext/>
              <w:keepLines/>
              <w:tabs>
                <w:tab w:val="clear" w:pos="567"/>
              </w:tabs>
              <w:spacing w:line="240" w:lineRule="auto"/>
              <w:jc w:val="center"/>
              <w:rPr>
                <w:bCs/>
                <w:szCs w:val="22"/>
                <w:highlight w:val="yellow"/>
              </w:rPr>
            </w:pPr>
          </w:p>
        </w:tc>
      </w:tr>
      <w:tr w:rsidR="008D0CF8" w:rsidRPr="007D1B67" w:rsidTr="0015025C">
        <w:trPr>
          <w:cantSplit/>
        </w:trPr>
        <w:tc>
          <w:tcPr>
            <w:tcW w:w="3150" w:type="dxa"/>
            <w:vMerge w:val="restart"/>
            <w:tcBorders>
              <w:top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4860" w:type="dxa"/>
            <w:gridSpan w:val="4"/>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Počet (%) pacientov</w:t>
            </w:r>
          </w:p>
        </w:tc>
      </w:tr>
      <w:tr w:rsidR="008D0CF8" w:rsidRPr="007D1B67" w:rsidTr="0015025C">
        <w:trPr>
          <w:cantSplit/>
        </w:trPr>
        <w:tc>
          <w:tcPr>
            <w:tcW w:w="3150" w:type="dxa"/>
            <w:vMerge/>
            <w:tcBorders>
              <w:top w:val="single" w:sz="4" w:space="0" w:color="auto"/>
              <w:bottom w:val="single" w:sz="4" w:space="0" w:color="auto"/>
              <w:right w:val="single" w:sz="4" w:space="0" w:color="auto"/>
            </w:tcBorders>
            <w:vAlign w:val="center"/>
          </w:tcPr>
          <w:p w:rsidR="008D0CF8" w:rsidRPr="007D1B67" w:rsidRDefault="008D0CF8" w:rsidP="00794E35">
            <w:pPr>
              <w:keepNext/>
              <w:spacing w:line="240" w:lineRule="auto"/>
              <w:jc w:val="center"/>
              <w:rPr>
                <w:bCs/>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Paklitaxel</w:t>
            </w:r>
            <w:r w:rsidRPr="00AD5EA5">
              <w:rPr>
                <w:szCs w:val="22"/>
              </w:rPr>
              <w:br/>
              <w:t>(</w:t>
            </w:r>
            <w:r w:rsidR="001D3CB1">
              <w:rPr>
                <w:szCs w:val="22"/>
              </w:rPr>
              <w:t>n</w:t>
            </w:r>
            <w:r w:rsidR="00586863" w:rsidRPr="00AD5EA5">
              <w:rPr>
                <w:szCs w:val="22"/>
              </w:rPr>
              <w:t> </w:t>
            </w:r>
            <w:r w:rsidRPr="001D3CB1">
              <w:rPr>
                <w:szCs w:val="22"/>
              </w:rPr>
              <w:t>=</w:t>
            </w:r>
            <w:r w:rsidR="00586863" w:rsidRPr="001D3CB1">
              <w:rPr>
                <w:szCs w:val="22"/>
              </w:rPr>
              <w:t> </w:t>
            </w:r>
            <w:r w:rsidRPr="001D3CB1">
              <w:rPr>
                <w:szCs w:val="22"/>
              </w:rPr>
              <w:t>259)</w:t>
            </w:r>
          </w:p>
        </w:tc>
        <w:tc>
          <w:tcPr>
            <w:tcW w:w="2520" w:type="dxa"/>
            <w:gridSpan w:val="2"/>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Gemcitabín plus paklitaxel (</w:t>
            </w:r>
            <w:r w:rsidR="001D3CB1">
              <w:rPr>
                <w:szCs w:val="22"/>
              </w:rPr>
              <w:t>n</w:t>
            </w:r>
            <w:r w:rsidR="00586863" w:rsidRPr="00AD5EA5">
              <w:rPr>
                <w:szCs w:val="22"/>
              </w:rPr>
              <w:t> </w:t>
            </w:r>
            <w:r w:rsidRPr="001D3CB1">
              <w:rPr>
                <w:szCs w:val="22"/>
              </w:rPr>
              <w:t>=</w:t>
            </w:r>
            <w:r w:rsidR="00586863" w:rsidRPr="001D3CB1">
              <w:rPr>
                <w:szCs w:val="22"/>
              </w:rPr>
              <w:t> </w:t>
            </w:r>
            <w:r w:rsidRPr="001D3CB1">
              <w:rPr>
                <w:szCs w:val="22"/>
              </w:rPr>
              <w:t>262)</w:t>
            </w:r>
          </w:p>
        </w:tc>
      </w:tr>
      <w:tr w:rsidR="008D0CF8" w:rsidRPr="007D1B67" w:rsidTr="0015025C">
        <w:trPr>
          <w:cantSplit/>
        </w:trPr>
        <w:tc>
          <w:tcPr>
            <w:tcW w:w="3150" w:type="dxa"/>
            <w:vMerge/>
            <w:tcBorders>
              <w:top w:val="single" w:sz="4" w:space="0" w:color="auto"/>
              <w:bottom w:val="single" w:sz="4" w:space="0" w:color="auto"/>
              <w:right w:val="single" w:sz="4" w:space="0" w:color="auto"/>
            </w:tcBorders>
            <w:vAlign w:val="center"/>
          </w:tcPr>
          <w:p w:rsidR="008D0CF8" w:rsidRPr="007D1B67" w:rsidRDefault="008D0CF8" w:rsidP="00794E35">
            <w:pPr>
              <w:keepNext/>
              <w:spacing w:line="240" w:lineRule="auto"/>
              <w:jc w:val="center"/>
              <w:rPr>
                <w:bCs/>
                <w:szCs w:val="22"/>
              </w:rPr>
            </w:pP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3</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4</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3</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4</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Laboratórne</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tcBorders>
          </w:tcPr>
          <w:p w:rsidR="008D0CF8" w:rsidRPr="007D1B67" w:rsidRDefault="008D0CF8" w:rsidP="00794E35">
            <w:pPr>
              <w:keepNext/>
              <w:keepLines/>
              <w:tabs>
                <w:tab w:val="clear" w:pos="567"/>
              </w:tabs>
              <w:spacing w:line="240" w:lineRule="auto"/>
              <w:jc w:val="center"/>
              <w:rPr>
                <w:bCs/>
                <w:szCs w:val="22"/>
              </w:rPr>
            </w:pP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Anémia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5 (1,9)</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 (0,4)</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15 (5,7)</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3 (1,1)</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Trombocytopénia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14 (5,3)</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 (0,4)</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Neutropénia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11 (4,2)</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17 (6,6)*</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82 (31,3)</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45 (17,2)*</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Nelaboratórne</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tcBorders>
          </w:tcPr>
          <w:p w:rsidR="008D0CF8" w:rsidRPr="007D1B67" w:rsidRDefault="008D0CF8" w:rsidP="00794E35">
            <w:pPr>
              <w:keepNext/>
              <w:keepLines/>
              <w:tabs>
                <w:tab w:val="clear" w:pos="567"/>
              </w:tabs>
              <w:spacing w:line="240" w:lineRule="auto"/>
              <w:jc w:val="center"/>
              <w:rPr>
                <w:bCs/>
                <w:szCs w:val="22"/>
              </w:rPr>
            </w:pP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Febrilná neutropénia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3 (1,2)</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12 (4,6)</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 (0,4)</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Únava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3 (1,2)</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 (0,4)</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15 (5,7)</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2 (0,8)</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Hnačka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5 (1,9)</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8 (3,1)</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Motorická neuropatia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2 (0,8)</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6 (2,3)</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 (0,4)</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Senzorická neuropatia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9 (3,5)</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14 (5,3)</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 (0,4)</w:t>
            </w:r>
          </w:p>
        </w:tc>
      </w:tr>
    </w:tbl>
    <w:p w:rsidR="008D0CF8" w:rsidRPr="001D3CB1" w:rsidRDefault="00B93209" w:rsidP="00794E35">
      <w:pPr>
        <w:keepNext/>
        <w:keepLines/>
        <w:tabs>
          <w:tab w:val="clear" w:pos="567"/>
        </w:tabs>
        <w:spacing w:line="240" w:lineRule="auto"/>
        <w:ind w:left="180"/>
        <w:rPr>
          <w:szCs w:val="22"/>
        </w:rPr>
      </w:pPr>
      <w:r w:rsidRPr="00AD5EA5">
        <w:rPr>
          <w:szCs w:val="22"/>
        </w:rPr>
        <w:t>*Neutropénia stupňa</w:t>
      </w:r>
      <w:r w:rsidR="00651F1E" w:rsidRPr="00AD5EA5">
        <w:rPr>
          <w:szCs w:val="22"/>
        </w:rPr>
        <w:t> </w:t>
      </w:r>
      <w:r w:rsidRPr="00AD5EA5">
        <w:rPr>
          <w:szCs w:val="22"/>
        </w:rPr>
        <w:t>4 trvajúca dlhšie ako 7</w:t>
      </w:r>
      <w:r w:rsidR="00651F1E" w:rsidRPr="00AD5EA5">
        <w:rPr>
          <w:szCs w:val="22"/>
        </w:rPr>
        <w:t> </w:t>
      </w:r>
      <w:r w:rsidRPr="00AD5EA5">
        <w:rPr>
          <w:szCs w:val="22"/>
        </w:rPr>
        <w:t xml:space="preserve">dní sa prejavila </w:t>
      </w:r>
      <w:r w:rsidR="008A55DD">
        <w:rPr>
          <w:szCs w:val="22"/>
        </w:rPr>
        <w:t>u</w:t>
      </w:r>
      <w:r w:rsidRPr="00AD5EA5">
        <w:rPr>
          <w:szCs w:val="22"/>
        </w:rPr>
        <w:t xml:space="preserve"> 12,6</w:t>
      </w:r>
      <w:r w:rsidR="001974BB" w:rsidRPr="00AD5EA5">
        <w:rPr>
          <w:szCs w:val="22"/>
        </w:rPr>
        <w:t> %</w:t>
      </w:r>
      <w:r w:rsidRPr="00AD5EA5">
        <w:rPr>
          <w:szCs w:val="22"/>
        </w:rPr>
        <w:t xml:space="preserve"> pacientov v skupine kombinovanej liečby a </w:t>
      </w:r>
      <w:r w:rsidR="008A55DD">
        <w:rPr>
          <w:szCs w:val="22"/>
        </w:rPr>
        <w:t>u</w:t>
      </w:r>
      <w:r w:rsidRPr="00AD5EA5">
        <w:rPr>
          <w:szCs w:val="22"/>
        </w:rPr>
        <w:t xml:space="preserve"> 5</w:t>
      </w:r>
      <w:r w:rsidR="00651F1E" w:rsidRPr="00AD5EA5">
        <w:rPr>
          <w:szCs w:val="22"/>
        </w:rPr>
        <w:t>,0</w:t>
      </w:r>
      <w:r w:rsidR="001974BB" w:rsidRPr="001D3CB1">
        <w:rPr>
          <w:szCs w:val="22"/>
        </w:rPr>
        <w:t> %</w:t>
      </w:r>
      <w:r w:rsidRPr="001D3CB1">
        <w:rPr>
          <w:szCs w:val="22"/>
        </w:rPr>
        <w:t xml:space="preserve"> pacientov v </w:t>
      </w:r>
      <w:r w:rsidR="00EC3425" w:rsidRPr="001D3CB1">
        <w:rPr>
          <w:szCs w:val="22"/>
        </w:rPr>
        <w:t>skupine samotného paklitaxelu.</w:t>
      </w:r>
    </w:p>
    <w:p w:rsidR="008D0CF8" w:rsidRPr="008A55DD" w:rsidRDefault="008D0CF8" w:rsidP="00794E35">
      <w:pPr>
        <w:spacing w:line="240" w:lineRule="auto"/>
        <w:rPr>
          <w:szCs w:val="22"/>
          <w:highlight w:val="yellow"/>
        </w:rPr>
      </w:pPr>
    </w:p>
    <w:p w:rsidR="008D0CF8" w:rsidRPr="007D1B67" w:rsidRDefault="00B93209" w:rsidP="00794E35">
      <w:pPr>
        <w:keepNext/>
        <w:spacing w:line="240" w:lineRule="auto"/>
        <w:rPr>
          <w:i/>
          <w:color w:val="000000"/>
          <w:szCs w:val="22"/>
          <w:u w:val="single"/>
        </w:rPr>
      </w:pPr>
      <w:r w:rsidRPr="008A55DD">
        <w:rPr>
          <w:i/>
          <w:color w:val="000000"/>
          <w:szCs w:val="22"/>
          <w:u w:val="single"/>
        </w:rPr>
        <w:lastRenderedPageBreak/>
        <w:t>Použitie v kombinácii pri liečbe karcinómu močového mechúra</w:t>
      </w:r>
    </w:p>
    <w:p w:rsidR="008D0CF8" w:rsidRPr="007D1B67" w:rsidRDefault="008D0CF8" w:rsidP="00794E35">
      <w:pPr>
        <w:keepNext/>
        <w:spacing w:line="240" w:lineRule="auto"/>
        <w:rPr>
          <w:color w:val="000000"/>
          <w:szCs w:val="22"/>
          <w:highlight w:val="yellow"/>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8D0CF8" w:rsidRPr="007D1B67" w:rsidTr="0015025C">
        <w:trPr>
          <w:cantSplit/>
        </w:trPr>
        <w:tc>
          <w:tcPr>
            <w:tcW w:w="8010" w:type="dxa"/>
            <w:gridSpan w:val="5"/>
            <w:tcBorders>
              <w:top w:val="single" w:sz="4" w:space="0" w:color="auto"/>
              <w:bottom w:val="single" w:sz="4" w:space="0" w:color="auto"/>
            </w:tcBorders>
          </w:tcPr>
          <w:p w:rsidR="008D0CF8" w:rsidRPr="007D1B67" w:rsidRDefault="00B93209" w:rsidP="00794E35">
            <w:pPr>
              <w:keepNext/>
              <w:spacing w:line="240" w:lineRule="auto"/>
              <w:jc w:val="center"/>
              <w:rPr>
                <w:color w:val="000000"/>
                <w:szCs w:val="22"/>
              </w:rPr>
            </w:pPr>
            <w:r w:rsidRPr="00AD5EA5">
              <w:rPr>
                <w:color w:val="000000"/>
                <w:szCs w:val="22"/>
              </w:rPr>
              <w:t>Nežiaduce účinky stupňa</w:t>
            </w:r>
            <w:r w:rsidR="00651F1E" w:rsidRPr="00AD5EA5">
              <w:rPr>
                <w:color w:val="000000"/>
                <w:szCs w:val="22"/>
              </w:rPr>
              <w:t> </w:t>
            </w:r>
            <w:smartTag w:uri="urn:schemas-microsoft-com:office:smarttags" w:element="metricconverter">
              <w:smartTagPr>
                <w:attr w:name="ProductID" w:val="8 °C"/>
              </w:smartTagPr>
              <w:r w:rsidRPr="00AD5EA5">
                <w:rPr>
                  <w:color w:val="000000"/>
                  <w:szCs w:val="22"/>
                </w:rPr>
                <w:t>3 a</w:t>
              </w:r>
            </w:smartTag>
            <w:r w:rsidRPr="00AD5EA5">
              <w:rPr>
                <w:color w:val="000000"/>
                <w:szCs w:val="22"/>
              </w:rPr>
              <w:t xml:space="preserve"> 4</w:t>
            </w:r>
          </w:p>
          <w:p w:rsidR="008D0CF8" w:rsidRPr="007D1B67" w:rsidRDefault="00B93209" w:rsidP="00794E35">
            <w:pPr>
              <w:keepNext/>
              <w:spacing w:line="240" w:lineRule="auto"/>
              <w:jc w:val="center"/>
              <w:rPr>
                <w:color w:val="000000"/>
                <w:szCs w:val="22"/>
              </w:rPr>
            </w:pPr>
            <w:r w:rsidRPr="00AD5EA5">
              <w:rPr>
                <w:color w:val="000000"/>
                <w:szCs w:val="22"/>
              </w:rPr>
              <w:t>MVAC verzus gemcitabín + cisplatina</w:t>
            </w:r>
          </w:p>
          <w:p w:rsidR="008D0CF8" w:rsidRPr="007D1B67" w:rsidRDefault="008D0CF8" w:rsidP="00794E35">
            <w:pPr>
              <w:keepNext/>
              <w:keepLines/>
              <w:tabs>
                <w:tab w:val="clear" w:pos="567"/>
              </w:tabs>
              <w:spacing w:line="240" w:lineRule="auto"/>
              <w:jc w:val="center"/>
              <w:rPr>
                <w:bCs/>
                <w:szCs w:val="22"/>
                <w:highlight w:val="yellow"/>
              </w:rPr>
            </w:pPr>
          </w:p>
        </w:tc>
      </w:tr>
      <w:tr w:rsidR="008D0CF8" w:rsidRPr="007D1B67" w:rsidTr="0015025C">
        <w:trPr>
          <w:cantSplit/>
        </w:trPr>
        <w:tc>
          <w:tcPr>
            <w:tcW w:w="3150" w:type="dxa"/>
            <w:vMerge w:val="restart"/>
            <w:tcBorders>
              <w:top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highlight w:val="yellow"/>
              </w:rPr>
            </w:pPr>
          </w:p>
        </w:tc>
        <w:tc>
          <w:tcPr>
            <w:tcW w:w="4860" w:type="dxa"/>
            <w:gridSpan w:val="4"/>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Počet (%) pacientov</w:t>
            </w:r>
          </w:p>
        </w:tc>
      </w:tr>
      <w:tr w:rsidR="008D0CF8" w:rsidRPr="007D1B67" w:rsidTr="0015025C">
        <w:trPr>
          <w:cantSplit/>
        </w:trPr>
        <w:tc>
          <w:tcPr>
            <w:tcW w:w="3150" w:type="dxa"/>
            <w:vMerge/>
            <w:tcBorders>
              <w:top w:val="single" w:sz="4" w:space="0" w:color="auto"/>
              <w:bottom w:val="single" w:sz="4" w:space="0" w:color="auto"/>
              <w:right w:val="single" w:sz="4" w:space="0" w:color="auto"/>
            </w:tcBorders>
            <w:vAlign w:val="center"/>
          </w:tcPr>
          <w:p w:rsidR="008D0CF8" w:rsidRPr="007D1B67" w:rsidRDefault="008D0CF8" w:rsidP="00794E35">
            <w:pPr>
              <w:keepNext/>
              <w:spacing w:line="240" w:lineRule="auto"/>
              <w:jc w:val="center"/>
              <w:rPr>
                <w:bCs/>
                <w:szCs w:val="22"/>
                <w:highlight w:val="yellow"/>
              </w:rPr>
            </w:pPr>
          </w:p>
        </w:tc>
        <w:tc>
          <w:tcPr>
            <w:tcW w:w="2340" w:type="dxa"/>
            <w:gridSpan w:val="2"/>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MVAC (metotrexát, vinblastín, doxorubicín a cisplatina)</w:t>
            </w:r>
            <w:r w:rsidRPr="00AD5EA5">
              <w:rPr>
                <w:szCs w:val="22"/>
              </w:rPr>
              <w:br/>
              <w:t>(</w:t>
            </w:r>
            <w:r w:rsidR="00D67C5C">
              <w:rPr>
                <w:szCs w:val="22"/>
              </w:rPr>
              <w:t>n</w:t>
            </w:r>
            <w:r w:rsidR="00D67C5C" w:rsidRPr="00AD5EA5">
              <w:rPr>
                <w:szCs w:val="22"/>
              </w:rPr>
              <w:t> </w:t>
            </w:r>
            <w:r w:rsidRPr="008A55DD">
              <w:rPr>
                <w:szCs w:val="22"/>
              </w:rPr>
              <w:t>=</w:t>
            </w:r>
            <w:r w:rsidR="00651F1E" w:rsidRPr="00644C9F">
              <w:rPr>
                <w:szCs w:val="22"/>
              </w:rPr>
              <w:t> </w:t>
            </w:r>
            <w:r w:rsidRPr="00C97179">
              <w:rPr>
                <w:szCs w:val="22"/>
              </w:rPr>
              <w:t>196)</w:t>
            </w:r>
          </w:p>
        </w:tc>
        <w:tc>
          <w:tcPr>
            <w:tcW w:w="2520" w:type="dxa"/>
            <w:gridSpan w:val="2"/>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Gemcitabín + cisplatina</w:t>
            </w:r>
          </w:p>
          <w:p w:rsidR="008D0CF8" w:rsidRPr="007D1B67" w:rsidRDefault="00B93209" w:rsidP="00794E35">
            <w:pPr>
              <w:keepNext/>
              <w:keepLines/>
              <w:tabs>
                <w:tab w:val="clear" w:pos="567"/>
              </w:tabs>
              <w:spacing w:line="240" w:lineRule="auto"/>
              <w:jc w:val="center"/>
              <w:rPr>
                <w:bCs/>
                <w:szCs w:val="22"/>
              </w:rPr>
            </w:pPr>
            <w:r w:rsidRPr="00AD5EA5">
              <w:rPr>
                <w:szCs w:val="22"/>
              </w:rPr>
              <w:t>(</w:t>
            </w:r>
            <w:r w:rsidR="00D67C5C">
              <w:rPr>
                <w:szCs w:val="22"/>
              </w:rPr>
              <w:t>n</w:t>
            </w:r>
            <w:r w:rsidR="00651F1E" w:rsidRPr="00AD5EA5">
              <w:rPr>
                <w:szCs w:val="22"/>
              </w:rPr>
              <w:t> </w:t>
            </w:r>
            <w:r w:rsidRPr="00AD5EA5">
              <w:rPr>
                <w:szCs w:val="22"/>
              </w:rPr>
              <w:t>=</w:t>
            </w:r>
            <w:r w:rsidR="00651F1E" w:rsidRPr="008A55DD">
              <w:rPr>
                <w:szCs w:val="22"/>
              </w:rPr>
              <w:t> </w:t>
            </w:r>
            <w:r w:rsidRPr="00644C9F">
              <w:rPr>
                <w:szCs w:val="22"/>
              </w:rPr>
              <w:t>200)</w:t>
            </w:r>
          </w:p>
        </w:tc>
      </w:tr>
      <w:tr w:rsidR="008D0CF8" w:rsidRPr="007D1B67" w:rsidTr="0015025C">
        <w:trPr>
          <w:cantSplit/>
        </w:trPr>
        <w:tc>
          <w:tcPr>
            <w:tcW w:w="3150" w:type="dxa"/>
            <w:vMerge/>
            <w:tcBorders>
              <w:top w:val="single" w:sz="4" w:space="0" w:color="auto"/>
              <w:bottom w:val="single" w:sz="4" w:space="0" w:color="auto"/>
              <w:right w:val="single" w:sz="4" w:space="0" w:color="auto"/>
            </w:tcBorders>
            <w:vAlign w:val="center"/>
          </w:tcPr>
          <w:p w:rsidR="008D0CF8" w:rsidRPr="007D1B67" w:rsidRDefault="008D0CF8" w:rsidP="00794E35">
            <w:pPr>
              <w:keepNext/>
              <w:spacing w:line="240" w:lineRule="auto"/>
              <w:jc w:val="center"/>
              <w:rPr>
                <w:bCs/>
                <w:szCs w:val="22"/>
                <w:highlight w:val="yellow"/>
              </w:rPr>
            </w:pP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3</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4</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3</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4</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Laboratórne</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tcBorders>
          </w:tcPr>
          <w:p w:rsidR="008D0CF8" w:rsidRPr="007D1B67" w:rsidRDefault="008D0CF8" w:rsidP="00794E35">
            <w:pPr>
              <w:keepNext/>
              <w:keepLines/>
              <w:tabs>
                <w:tab w:val="clear" w:pos="567"/>
              </w:tabs>
              <w:spacing w:line="240" w:lineRule="auto"/>
              <w:jc w:val="center"/>
              <w:rPr>
                <w:bCs/>
                <w:szCs w:val="22"/>
              </w:rPr>
            </w:pP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Anémia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30 (16)</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4 (2)</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47 (24)</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7 (4)</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Trombocytopénia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15 (8)</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25 (13)</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57 (29)</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57 (29)</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Nelaboratórne</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tcBorders>
          </w:tcPr>
          <w:p w:rsidR="008D0CF8" w:rsidRPr="007D1B67" w:rsidRDefault="008D0CF8" w:rsidP="00794E35">
            <w:pPr>
              <w:keepNext/>
              <w:keepLines/>
              <w:tabs>
                <w:tab w:val="clear" w:pos="567"/>
              </w:tabs>
              <w:spacing w:line="240" w:lineRule="auto"/>
              <w:jc w:val="center"/>
              <w:rPr>
                <w:bCs/>
                <w:szCs w:val="22"/>
              </w:rPr>
            </w:pP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Nauzea a vracanie</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37 (19)</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3 (2)</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44 (22)</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 (0)</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Hnačka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15 (8)</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 (1)</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6 (3)</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 (0)</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Infekcia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19 (10)</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10 (5)</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4 (2)</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 (1)</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Stomatitída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34 (18)</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8 (4)</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2 (1)</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 (0)</w:t>
            </w:r>
          </w:p>
        </w:tc>
      </w:tr>
    </w:tbl>
    <w:p w:rsidR="008D0CF8" w:rsidRPr="007D1B67" w:rsidRDefault="008D0CF8" w:rsidP="00794E35">
      <w:pPr>
        <w:spacing w:line="240" w:lineRule="auto"/>
        <w:rPr>
          <w:color w:val="000000"/>
          <w:szCs w:val="22"/>
          <w:highlight w:val="yellow"/>
        </w:rPr>
      </w:pPr>
    </w:p>
    <w:p w:rsidR="008D0CF8" w:rsidRPr="007D1B67" w:rsidRDefault="00B93209" w:rsidP="00794E35">
      <w:pPr>
        <w:keepNext/>
        <w:widowControl w:val="0"/>
        <w:spacing w:line="240" w:lineRule="auto"/>
        <w:rPr>
          <w:i/>
          <w:color w:val="000000"/>
          <w:szCs w:val="22"/>
          <w:u w:val="single"/>
        </w:rPr>
      </w:pPr>
      <w:r w:rsidRPr="00AD5EA5">
        <w:rPr>
          <w:i/>
          <w:color w:val="000000"/>
          <w:szCs w:val="22"/>
          <w:u w:val="single"/>
        </w:rPr>
        <w:t>Použitie v kombinácii pri liečbe karcinómu ovária</w:t>
      </w:r>
    </w:p>
    <w:p w:rsidR="008D0CF8" w:rsidRPr="007D1B67" w:rsidRDefault="00B93209" w:rsidP="00794E35">
      <w:pPr>
        <w:keepNext/>
        <w:widowControl w:val="0"/>
        <w:spacing w:line="240" w:lineRule="auto"/>
        <w:rPr>
          <w:color w:val="000000"/>
          <w:szCs w:val="22"/>
        </w:rPr>
      </w:pPr>
      <w:r w:rsidRPr="00AD5EA5">
        <w:rPr>
          <w:color w:val="000000"/>
          <w:szCs w:val="22"/>
        </w:rPr>
        <w:t xml:space="preserve"> </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8D0CF8" w:rsidRPr="007D1B67" w:rsidTr="0015025C">
        <w:trPr>
          <w:cantSplit/>
        </w:trPr>
        <w:tc>
          <w:tcPr>
            <w:tcW w:w="8010" w:type="dxa"/>
            <w:gridSpan w:val="5"/>
            <w:tcBorders>
              <w:top w:val="single" w:sz="4" w:space="0" w:color="auto"/>
              <w:bottom w:val="single" w:sz="4" w:space="0" w:color="auto"/>
            </w:tcBorders>
          </w:tcPr>
          <w:p w:rsidR="008D0CF8" w:rsidRPr="007D1B67" w:rsidRDefault="00B93209" w:rsidP="00794E35">
            <w:pPr>
              <w:keepNext/>
              <w:widowControl w:val="0"/>
              <w:spacing w:line="240" w:lineRule="auto"/>
              <w:jc w:val="center"/>
              <w:rPr>
                <w:color w:val="000000"/>
                <w:szCs w:val="22"/>
              </w:rPr>
            </w:pPr>
            <w:r w:rsidRPr="00AD5EA5">
              <w:rPr>
                <w:color w:val="000000"/>
                <w:szCs w:val="22"/>
              </w:rPr>
              <w:t xml:space="preserve">Nežiaduce účinky stupňa </w:t>
            </w:r>
            <w:smartTag w:uri="urn:schemas-microsoft-com:office:smarttags" w:element="metricconverter">
              <w:smartTagPr>
                <w:attr w:name="ProductID" w:val="8 °C"/>
              </w:smartTagPr>
              <w:r w:rsidRPr="00AD5EA5">
                <w:rPr>
                  <w:color w:val="000000"/>
                  <w:szCs w:val="22"/>
                </w:rPr>
                <w:t>3 a</w:t>
              </w:r>
            </w:smartTag>
            <w:r w:rsidRPr="00AD5EA5">
              <w:rPr>
                <w:color w:val="000000"/>
                <w:szCs w:val="22"/>
              </w:rPr>
              <w:t xml:space="preserve"> 4</w:t>
            </w:r>
          </w:p>
          <w:p w:rsidR="008D0CF8" w:rsidRPr="007D1B67" w:rsidRDefault="00B93209" w:rsidP="00794E35">
            <w:pPr>
              <w:keepNext/>
              <w:keepLines/>
              <w:tabs>
                <w:tab w:val="clear" w:pos="567"/>
              </w:tabs>
              <w:spacing w:line="240" w:lineRule="auto"/>
              <w:jc w:val="center"/>
              <w:rPr>
                <w:bCs/>
                <w:szCs w:val="22"/>
              </w:rPr>
            </w:pPr>
            <w:r w:rsidRPr="00AD5EA5">
              <w:rPr>
                <w:color w:val="000000"/>
                <w:szCs w:val="22"/>
              </w:rPr>
              <w:t xml:space="preserve">Karboplatina verzus gemcitabín + </w:t>
            </w:r>
            <w:r w:rsidR="00AB6ACA" w:rsidRPr="00AD5EA5">
              <w:rPr>
                <w:color w:val="000000"/>
                <w:szCs w:val="22"/>
              </w:rPr>
              <w:t>karboplatina</w:t>
            </w:r>
          </w:p>
        </w:tc>
      </w:tr>
      <w:tr w:rsidR="008D0CF8" w:rsidRPr="007D1B67" w:rsidTr="0015025C">
        <w:trPr>
          <w:cantSplit/>
        </w:trPr>
        <w:tc>
          <w:tcPr>
            <w:tcW w:w="3150" w:type="dxa"/>
            <w:vMerge w:val="restart"/>
            <w:tcBorders>
              <w:top w:val="single" w:sz="4" w:space="0" w:color="auto"/>
              <w:bottom w:val="single" w:sz="4" w:space="0" w:color="auto"/>
              <w:right w:val="single" w:sz="4" w:space="0" w:color="auto"/>
            </w:tcBorders>
          </w:tcPr>
          <w:p w:rsidR="008D0CF8" w:rsidRPr="00AD5EA5" w:rsidRDefault="008D0CF8" w:rsidP="00794E35">
            <w:pPr>
              <w:keepNext/>
              <w:keepLines/>
              <w:tabs>
                <w:tab w:val="clear" w:pos="567"/>
              </w:tabs>
              <w:spacing w:line="240" w:lineRule="auto"/>
              <w:jc w:val="center"/>
              <w:rPr>
                <w:bCs/>
                <w:szCs w:val="22"/>
              </w:rPr>
            </w:pPr>
          </w:p>
        </w:tc>
        <w:tc>
          <w:tcPr>
            <w:tcW w:w="4860" w:type="dxa"/>
            <w:gridSpan w:val="4"/>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Počet (%) pacientov</w:t>
            </w:r>
          </w:p>
        </w:tc>
      </w:tr>
      <w:tr w:rsidR="008D0CF8" w:rsidRPr="007D1B67" w:rsidTr="0015025C">
        <w:trPr>
          <w:cantSplit/>
        </w:trPr>
        <w:tc>
          <w:tcPr>
            <w:tcW w:w="3150" w:type="dxa"/>
            <w:vMerge/>
            <w:tcBorders>
              <w:top w:val="single" w:sz="4" w:space="0" w:color="auto"/>
              <w:bottom w:val="single" w:sz="4" w:space="0" w:color="auto"/>
              <w:right w:val="single" w:sz="4" w:space="0" w:color="auto"/>
            </w:tcBorders>
            <w:vAlign w:val="center"/>
          </w:tcPr>
          <w:p w:rsidR="008D0CF8" w:rsidRPr="00794E35" w:rsidRDefault="008D0CF8" w:rsidP="00794E35">
            <w:pPr>
              <w:keepNext/>
              <w:spacing w:line="240" w:lineRule="auto"/>
              <w:jc w:val="center"/>
              <w:rPr>
                <w:bCs/>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794E35">
              <w:rPr>
                <w:szCs w:val="22"/>
              </w:rPr>
              <w:t>Karboplatina</w:t>
            </w:r>
          </w:p>
          <w:p w:rsidR="008D0CF8" w:rsidRPr="007D1B67" w:rsidRDefault="00B93209" w:rsidP="00794E35">
            <w:pPr>
              <w:keepNext/>
              <w:keepLines/>
              <w:tabs>
                <w:tab w:val="clear" w:pos="567"/>
              </w:tabs>
              <w:spacing w:line="240" w:lineRule="auto"/>
              <w:jc w:val="center"/>
              <w:rPr>
                <w:bCs/>
                <w:szCs w:val="22"/>
              </w:rPr>
            </w:pPr>
            <w:r w:rsidRPr="00AD5EA5">
              <w:rPr>
                <w:szCs w:val="22"/>
              </w:rPr>
              <w:t>(</w:t>
            </w:r>
            <w:r w:rsidR="00A637E8">
              <w:rPr>
                <w:szCs w:val="22"/>
              </w:rPr>
              <w:t>n</w:t>
            </w:r>
            <w:r w:rsidR="00651F1E" w:rsidRPr="00AD5EA5">
              <w:rPr>
                <w:szCs w:val="22"/>
              </w:rPr>
              <w:t> </w:t>
            </w:r>
            <w:r w:rsidRPr="00AD5EA5">
              <w:rPr>
                <w:szCs w:val="22"/>
              </w:rPr>
              <w:t>=</w:t>
            </w:r>
            <w:r w:rsidR="00651F1E" w:rsidRPr="008A55DD">
              <w:rPr>
                <w:szCs w:val="22"/>
              </w:rPr>
              <w:t> </w:t>
            </w:r>
            <w:r w:rsidRPr="00644C9F">
              <w:rPr>
                <w:szCs w:val="22"/>
              </w:rPr>
              <w:t>174)</w:t>
            </w:r>
          </w:p>
        </w:tc>
        <w:tc>
          <w:tcPr>
            <w:tcW w:w="2520" w:type="dxa"/>
            <w:gridSpan w:val="2"/>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Gemcitabín + karboplatina</w:t>
            </w:r>
          </w:p>
          <w:p w:rsidR="008D0CF8" w:rsidRPr="007D1B67" w:rsidRDefault="00B93209" w:rsidP="00794E35">
            <w:pPr>
              <w:keepNext/>
              <w:keepLines/>
              <w:tabs>
                <w:tab w:val="clear" w:pos="567"/>
              </w:tabs>
              <w:spacing w:line="240" w:lineRule="auto"/>
              <w:jc w:val="center"/>
              <w:rPr>
                <w:bCs/>
                <w:szCs w:val="22"/>
              </w:rPr>
            </w:pPr>
            <w:r w:rsidRPr="00AD5EA5">
              <w:rPr>
                <w:szCs w:val="22"/>
              </w:rPr>
              <w:t>(</w:t>
            </w:r>
            <w:r w:rsidR="00A637E8">
              <w:rPr>
                <w:szCs w:val="22"/>
              </w:rPr>
              <w:t>n</w:t>
            </w:r>
            <w:r w:rsidR="00651F1E" w:rsidRPr="00AD5EA5">
              <w:rPr>
                <w:szCs w:val="22"/>
              </w:rPr>
              <w:t> </w:t>
            </w:r>
            <w:r w:rsidRPr="00AD5EA5">
              <w:rPr>
                <w:szCs w:val="22"/>
              </w:rPr>
              <w:t>=</w:t>
            </w:r>
            <w:r w:rsidR="00651F1E" w:rsidRPr="008A55DD">
              <w:rPr>
                <w:szCs w:val="22"/>
              </w:rPr>
              <w:t> </w:t>
            </w:r>
            <w:r w:rsidRPr="00644C9F">
              <w:rPr>
                <w:szCs w:val="22"/>
              </w:rPr>
              <w:t>175)</w:t>
            </w:r>
          </w:p>
        </w:tc>
      </w:tr>
      <w:tr w:rsidR="008D0CF8" w:rsidRPr="007D1B67" w:rsidTr="0015025C">
        <w:trPr>
          <w:cantSplit/>
        </w:trPr>
        <w:tc>
          <w:tcPr>
            <w:tcW w:w="3150" w:type="dxa"/>
            <w:vMerge/>
            <w:tcBorders>
              <w:top w:val="single" w:sz="4" w:space="0" w:color="auto"/>
              <w:bottom w:val="single" w:sz="4" w:space="0" w:color="auto"/>
              <w:right w:val="single" w:sz="4" w:space="0" w:color="auto"/>
            </w:tcBorders>
            <w:vAlign w:val="center"/>
          </w:tcPr>
          <w:p w:rsidR="008D0CF8" w:rsidRPr="00794E35" w:rsidRDefault="008D0CF8" w:rsidP="00794E35">
            <w:pPr>
              <w:keepNext/>
              <w:spacing w:line="240" w:lineRule="auto"/>
              <w:jc w:val="center"/>
              <w:rPr>
                <w:bCs/>
                <w:szCs w:val="22"/>
              </w:rPr>
            </w:pP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794E35">
              <w:rPr>
                <w:szCs w:val="22"/>
              </w:rPr>
              <w:t>Stupeň 3</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4</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3</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Stupeň 4</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Laboratórne</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tcBorders>
          </w:tcPr>
          <w:p w:rsidR="008D0CF8" w:rsidRPr="007D1B67" w:rsidRDefault="008D0CF8" w:rsidP="00794E35">
            <w:pPr>
              <w:keepNext/>
              <w:keepLines/>
              <w:tabs>
                <w:tab w:val="clear" w:pos="567"/>
              </w:tabs>
              <w:spacing w:line="240" w:lineRule="auto"/>
              <w:jc w:val="center"/>
              <w:rPr>
                <w:bCs/>
                <w:szCs w:val="22"/>
              </w:rPr>
            </w:pP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Anémia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10 (5,7)</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4 (2,3)</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39 (22,3)</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9 (5,1)</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Neutropénia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19 (10,9)</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2 (1,1)</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73 (41,7)</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50 (28,6)</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Trombocytopénia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18 (10,3)</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2 (1,1)</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53 (30,3)</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8 (4,6)</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Leukopénia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11 (6,3)</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 (0,6)</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84 (48,0)</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9 (5,1)</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Nelaboratórne</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8D0CF8" w:rsidP="00794E35">
            <w:pPr>
              <w:keepNext/>
              <w:keepLines/>
              <w:tabs>
                <w:tab w:val="clear" w:pos="567"/>
              </w:tabs>
              <w:spacing w:line="240" w:lineRule="auto"/>
              <w:jc w:val="center"/>
              <w:rPr>
                <w:bCs/>
                <w:szCs w:val="22"/>
              </w:rPr>
            </w:pPr>
          </w:p>
        </w:tc>
        <w:tc>
          <w:tcPr>
            <w:tcW w:w="1260" w:type="dxa"/>
            <w:tcBorders>
              <w:top w:val="single" w:sz="4" w:space="0" w:color="auto"/>
              <w:left w:val="single" w:sz="4" w:space="0" w:color="auto"/>
              <w:bottom w:val="single" w:sz="4" w:space="0" w:color="auto"/>
            </w:tcBorders>
          </w:tcPr>
          <w:p w:rsidR="008D0CF8" w:rsidRPr="007D1B67" w:rsidRDefault="008D0CF8" w:rsidP="00794E35">
            <w:pPr>
              <w:keepNext/>
              <w:keepLines/>
              <w:tabs>
                <w:tab w:val="clear" w:pos="567"/>
              </w:tabs>
              <w:spacing w:line="240" w:lineRule="auto"/>
              <w:jc w:val="center"/>
              <w:rPr>
                <w:bCs/>
                <w:szCs w:val="22"/>
              </w:rPr>
            </w:pP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Krvácanie</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 (0,0)</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 (0,0)</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3 (1,8)</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(0,0)</w:t>
            </w:r>
          </w:p>
        </w:tc>
      </w:tr>
      <w:tr w:rsidR="008D0CF8" w:rsidRPr="007D1B67" w:rsidTr="0015025C">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ind w:left="563"/>
              <w:rPr>
                <w:bCs/>
                <w:szCs w:val="22"/>
              </w:rPr>
            </w:pPr>
            <w:r w:rsidRPr="00AD5EA5">
              <w:rPr>
                <w:szCs w:val="22"/>
              </w:rPr>
              <w:t>Febrilná neutropénia</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 (0,0)</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 (0,0)</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2 (1,1)</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(0,0)</w:t>
            </w:r>
          </w:p>
        </w:tc>
      </w:tr>
      <w:tr w:rsidR="008D0CF8" w:rsidRPr="007D1B67" w:rsidTr="0015025C">
        <w:trPr>
          <w:trHeight w:val="70"/>
        </w:trPr>
        <w:tc>
          <w:tcPr>
            <w:tcW w:w="3150" w:type="dxa"/>
            <w:tcBorders>
              <w:top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rPr>
                <w:bCs/>
                <w:szCs w:val="22"/>
              </w:rPr>
            </w:pPr>
            <w:r w:rsidRPr="00AD5EA5">
              <w:rPr>
                <w:szCs w:val="22"/>
              </w:rPr>
              <w:tab/>
              <w:t>Infekcia bez</w:t>
            </w:r>
            <w:r w:rsidR="00651F1E" w:rsidRPr="00AD5EA5">
              <w:rPr>
                <w:szCs w:val="22"/>
              </w:rPr>
              <w:t xml:space="preserve"> </w:t>
            </w:r>
            <w:r w:rsidRPr="00AD5EA5">
              <w:rPr>
                <w:szCs w:val="22"/>
              </w:rPr>
              <w:t>neutropénie</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 (0)</w:t>
            </w:r>
          </w:p>
        </w:tc>
        <w:tc>
          <w:tcPr>
            <w:tcW w:w="117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 (0,0)</w:t>
            </w:r>
          </w:p>
        </w:tc>
        <w:tc>
          <w:tcPr>
            <w:tcW w:w="1260" w:type="dxa"/>
            <w:tcBorders>
              <w:top w:val="single" w:sz="4" w:space="0" w:color="auto"/>
              <w:left w:val="single" w:sz="4" w:space="0" w:color="auto"/>
              <w:bottom w:val="single" w:sz="4" w:space="0" w:color="auto"/>
              <w:right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(0,0)</w:t>
            </w:r>
          </w:p>
        </w:tc>
        <w:tc>
          <w:tcPr>
            <w:tcW w:w="1260" w:type="dxa"/>
            <w:tcBorders>
              <w:top w:val="single" w:sz="4" w:space="0" w:color="auto"/>
              <w:left w:val="single" w:sz="4" w:space="0" w:color="auto"/>
              <w:bottom w:val="single" w:sz="4" w:space="0" w:color="auto"/>
            </w:tcBorders>
          </w:tcPr>
          <w:p w:rsidR="008D0CF8" w:rsidRPr="007D1B67" w:rsidRDefault="00B93209" w:rsidP="00794E35">
            <w:pPr>
              <w:keepNext/>
              <w:keepLines/>
              <w:tabs>
                <w:tab w:val="clear" w:pos="567"/>
              </w:tabs>
              <w:spacing w:line="240" w:lineRule="auto"/>
              <w:jc w:val="center"/>
              <w:rPr>
                <w:bCs/>
                <w:szCs w:val="22"/>
              </w:rPr>
            </w:pPr>
            <w:r w:rsidRPr="00AD5EA5">
              <w:rPr>
                <w:szCs w:val="22"/>
              </w:rPr>
              <w:t>1 (0,6)</w:t>
            </w:r>
          </w:p>
        </w:tc>
      </w:tr>
    </w:tbl>
    <w:p w:rsidR="008D0CF8" w:rsidRPr="00AD5EA5" w:rsidRDefault="00B93209" w:rsidP="00794E35">
      <w:pPr>
        <w:spacing w:line="240" w:lineRule="auto"/>
        <w:rPr>
          <w:szCs w:val="22"/>
        </w:rPr>
      </w:pPr>
      <w:r w:rsidRPr="00AD5EA5">
        <w:rPr>
          <w:szCs w:val="22"/>
        </w:rPr>
        <w:t>Senzorická neuropatia bola tiež častejšia v skupine kombinovanej liečby oproti skupine s</w:t>
      </w:r>
      <w:r w:rsidR="00401889">
        <w:rPr>
          <w:szCs w:val="22"/>
        </w:rPr>
        <w:t> </w:t>
      </w:r>
      <w:r w:rsidRPr="00AD5EA5">
        <w:rPr>
          <w:szCs w:val="22"/>
        </w:rPr>
        <w:t>karboplatinou</w:t>
      </w:r>
      <w:r w:rsidR="00401889">
        <w:rPr>
          <w:szCs w:val="22"/>
        </w:rPr>
        <w:t>.</w:t>
      </w:r>
    </w:p>
    <w:p w:rsidR="008D0CF8" w:rsidRPr="008A55DD" w:rsidRDefault="008D0CF8" w:rsidP="00794E35">
      <w:pPr>
        <w:spacing w:line="240" w:lineRule="auto"/>
        <w:rPr>
          <w:b/>
          <w:szCs w:val="22"/>
        </w:rPr>
      </w:pPr>
    </w:p>
    <w:p w:rsidR="008D0CF8" w:rsidRPr="007D1B67" w:rsidRDefault="00B93209" w:rsidP="007D1B67">
      <w:pPr>
        <w:tabs>
          <w:tab w:val="clear" w:pos="567"/>
        </w:tabs>
        <w:autoSpaceDE w:val="0"/>
        <w:autoSpaceDN w:val="0"/>
        <w:adjustRightInd w:val="0"/>
        <w:spacing w:line="240" w:lineRule="auto"/>
        <w:rPr>
          <w:color w:val="000000"/>
          <w:szCs w:val="22"/>
          <w:u w:val="single"/>
        </w:rPr>
      </w:pPr>
      <w:r w:rsidRPr="00644C9F">
        <w:rPr>
          <w:color w:val="000000"/>
          <w:szCs w:val="22"/>
          <w:u w:val="single"/>
        </w:rPr>
        <w:t xml:space="preserve">Hlásenie podozrení na nežiaduce reakcie </w:t>
      </w:r>
    </w:p>
    <w:p w:rsidR="005613C8" w:rsidRPr="007D1B67" w:rsidRDefault="00B93209" w:rsidP="00794E35">
      <w:pPr>
        <w:spacing w:line="240" w:lineRule="auto"/>
        <w:rPr>
          <w:color w:val="000000"/>
          <w:szCs w:val="22"/>
        </w:rPr>
      </w:pPr>
      <w:r w:rsidRPr="00AD5EA5">
        <w:rPr>
          <w:color w:val="000000"/>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651F1E" w:rsidRPr="008A55DD">
        <w:rPr>
          <w:color w:val="000000"/>
          <w:szCs w:val="22"/>
        </w:rPr>
        <w:t>prostredníctvom</w:t>
      </w:r>
      <w:r w:rsidR="00651F1E" w:rsidRPr="00644C9F">
        <w:rPr>
          <w:color w:val="000000"/>
          <w:szCs w:val="22"/>
          <w:lang w:val="ro-RO"/>
        </w:rPr>
        <w:t xml:space="preserve"> </w:t>
      </w:r>
      <w:r w:rsidR="00822D12" w:rsidRPr="002D426E">
        <w:rPr>
          <w:noProof/>
          <w:szCs w:val="22"/>
          <w:highlight w:val="lightGray"/>
        </w:rPr>
        <w:t xml:space="preserve">národného systému hlásenia uvedeného v </w:t>
      </w:r>
      <w:hyperlink r:id="rId8" w:history="1">
        <w:r w:rsidR="00822D12" w:rsidRPr="002D426E">
          <w:rPr>
            <w:rStyle w:val="Hypertextovprepojenie"/>
            <w:noProof/>
            <w:szCs w:val="22"/>
            <w:highlight w:val="lightGray"/>
          </w:rPr>
          <w:t>Prílohe V</w:t>
        </w:r>
      </w:hyperlink>
      <w:r w:rsidR="00822D12">
        <w:rPr>
          <w:color w:val="000000"/>
          <w:szCs w:val="22"/>
        </w:rPr>
        <w:t>.</w:t>
      </w:r>
    </w:p>
    <w:p w:rsidR="008D0CF8" w:rsidRPr="007D1B67" w:rsidRDefault="008D0CF8" w:rsidP="00794E35">
      <w:pPr>
        <w:spacing w:line="240" w:lineRule="auto"/>
        <w:rPr>
          <w:szCs w:val="22"/>
          <w:lang w:eastAsia="zh-CN"/>
        </w:rPr>
      </w:pPr>
    </w:p>
    <w:p w:rsidR="008D0CF8" w:rsidRPr="007D1B67" w:rsidRDefault="00B93209" w:rsidP="00794E35">
      <w:pPr>
        <w:keepNext/>
        <w:keepLines/>
        <w:spacing w:line="240" w:lineRule="auto"/>
        <w:rPr>
          <w:szCs w:val="22"/>
        </w:rPr>
      </w:pPr>
      <w:r w:rsidRPr="007D1B67">
        <w:rPr>
          <w:b/>
          <w:szCs w:val="22"/>
        </w:rPr>
        <w:t>4.9</w:t>
      </w:r>
      <w:r w:rsidRPr="007D1B67">
        <w:rPr>
          <w:b/>
          <w:szCs w:val="22"/>
        </w:rPr>
        <w:tab/>
        <w:t>Predávkovanie</w:t>
      </w:r>
    </w:p>
    <w:p w:rsidR="008D0CF8" w:rsidRPr="005B129F" w:rsidRDefault="008D0CF8" w:rsidP="00794E35">
      <w:pPr>
        <w:keepNext/>
        <w:keepLines/>
        <w:spacing w:line="240" w:lineRule="auto"/>
        <w:rPr>
          <w:szCs w:val="22"/>
        </w:rPr>
      </w:pPr>
    </w:p>
    <w:p w:rsidR="008D0CF8" w:rsidRPr="00CE07E1" w:rsidRDefault="00B93209" w:rsidP="00794E35">
      <w:pPr>
        <w:keepNext/>
        <w:keepLines/>
        <w:spacing w:line="240" w:lineRule="auto"/>
        <w:rPr>
          <w:szCs w:val="22"/>
        </w:rPr>
      </w:pPr>
      <w:r w:rsidRPr="005E5ABC">
        <w:rPr>
          <w:szCs w:val="22"/>
        </w:rPr>
        <w:t>Nie je známe žiadne antidotum proti predávkovaniu gemcitabínom. Dávky až 5 700 mg/</w:t>
      </w:r>
      <w:r w:rsidR="000B0D10" w:rsidRPr="00CE07E1">
        <w:rPr>
          <w:szCs w:val="22"/>
        </w:rPr>
        <w:t>m²</w:t>
      </w:r>
      <w:r w:rsidRPr="00CE07E1">
        <w:rPr>
          <w:szCs w:val="22"/>
        </w:rPr>
        <w:t xml:space="preserve"> boli podávané intravenóznou infúziou po dobu 30</w:t>
      </w:r>
      <w:r w:rsidR="003E2A7D" w:rsidRPr="00CE07E1">
        <w:rPr>
          <w:szCs w:val="22"/>
        </w:rPr>
        <w:t> </w:t>
      </w:r>
      <w:r w:rsidRPr="00CE07E1">
        <w:rPr>
          <w:szCs w:val="22"/>
        </w:rPr>
        <w:t>minút každé 2</w:t>
      </w:r>
      <w:r w:rsidR="003E2A7D" w:rsidRPr="00CE07E1">
        <w:rPr>
          <w:szCs w:val="22"/>
        </w:rPr>
        <w:t> </w:t>
      </w:r>
      <w:r w:rsidRPr="00CE07E1">
        <w:rPr>
          <w:szCs w:val="22"/>
        </w:rPr>
        <w:t xml:space="preserve">týždne s klinicky akceptovateľnou toxicitou. Pri podozrení na predávkovanie musí byť pacient monitorovaný, treba kontrolovať jeho krvný obraz a v prípade potreby je potrebné </w:t>
      </w:r>
      <w:r w:rsidR="00E505EC">
        <w:rPr>
          <w:szCs w:val="22"/>
        </w:rPr>
        <w:t>zača</w:t>
      </w:r>
      <w:r w:rsidRPr="00CE07E1">
        <w:rPr>
          <w:szCs w:val="22"/>
        </w:rPr>
        <w:t xml:space="preserve">ť </w:t>
      </w:r>
      <w:r w:rsidR="00E505EC">
        <w:rPr>
          <w:szCs w:val="22"/>
        </w:rPr>
        <w:t xml:space="preserve">s </w:t>
      </w:r>
      <w:r w:rsidRPr="00CE07E1">
        <w:rPr>
          <w:szCs w:val="22"/>
        </w:rPr>
        <w:t>podporn</w:t>
      </w:r>
      <w:r w:rsidR="00E505EC">
        <w:rPr>
          <w:szCs w:val="22"/>
        </w:rPr>
        <w:t>ou</w:t>
      </w:r>
      <w:r w:rsidRPr="00CE07E1">
        <w:rPr>
          <w:szCs w:val="22"/>
        </w:rPr>
        <w:t xml:space="preserve"> liečb</w:t>
      </w:r>
      <w:r w:rsidR="00E505EC">
        <w:rPr>
          <w:szCs w:val="22"/>
        </w:rPr>
        <w:t>ou</w:t>
      </w:r>
      <w:r w:rsidRPr="00CE07E1">
        <w:rPr>
          <w:szCs w:val="22"/>
        </w:rPr>
        <w:t xml:space="preserve">. </w:t>
      </w:r>
    </w:p>
    <w:p w:rsidR="008D0CF8" w:rsidRPr="004C3BBC" w:rsidRDefault="008D0CF8" w:rsidP="00794E35">
      <w:pPr>
        <w:spacing w:line="240" w:lineRule="auto"/>
        <w:rPr>
          <w:szCs w:val="22"/>
        </w:rPr>
      </w:pPr>
    </w:p>
    <w:p w:rsidR="008D0CF8" w:rsidRPr="00ED1486" w:rsidRDefault="008D0CF8" w:rsidP="00794E35">
      <w:pPr>
        <w:spacing w:line="240" w:lineRule="auto"/>
        <w:rPr>
          <w:szCs w:val="22"/>
        </w:rPr>
      </w:pPr>
    </w:p>
    <w:p w:rsidR="008D0CF8" w:rsidRPr="00A510E9" w:rsidRDefault="00B93209" w:rsidP="00794E35">
      <w:pPr>
        <w:keepNext/>
        <w:keepLines/>
        <w:spacing w:line="240" w:lineRule="auto"/>
        <w:rPr>
          <w:szCs w:val="22"/>
        </w:rPr>
      </w:pPr>
      <w:r w:rsidRPr="004338D3">
        <w:rPr>
          <w:b/>
          <w:szCs w:val="22"/>
        </w:rPr>
        <w:lastRenderedPageBreak/>
        <w:t>5.</w:t>
      </w:r>
      <w:r w:rsidRPr="004338D3">
        <w:rPr>
          <w:b/>
          <w:szCs w:val="22"/>
        </w:rPr>
        <w:tab/>
        <w:t>FARMAKOLOGICKÉ VLASTNOSTI</w:t>
      </w:r>
    </w:p>
    <w:p w:rsidR="008D0CF8" w:rsidRPr="00CC2904" w:rsidRDefault="008D0CF8" w:rsidP="00794E35">
      <w:pPr>
        <w:keepNext/>
        <w:keepLines/>
        <w:spacing w:line="240" w:lineRule="auto"/>
        <w:rPr>
          <w:b/>
          <w:szCs w:val="22"/>
        </w:rPr>
      </w:pPr>
    </w:p>
    <w:p w:rsidR="008D0CF8" w:rsidRPr="00F37C27" w:rsidRDefault="00B93209" w:rsidP="00794E35">
      <w:pPr>
        <w:keepNext/>
        <w:keepLines/>
        <w:spacing w:line="240" w:lineRule="auto"/>
        <w:rPr>
          <w:szCs w:val="22"/>
        </w:rPr>
      </w:pPr>
      <w:r w:rsidRPr="00D55C3F">
        <w:rPr>
          <w:b/>
          <w:szCs w:val="22"/>
        </w:rPr>
        <w:t xml:space="preserve">5.1 </w:t>
      </w:r>
      <w:r w:rsidRPr="00D55C3F">
        <w:rPr>
          <w:b/>
          <w:szCs w:val="22"/>
        </w:rPr>
        <w:tab/>
        <w:t>Farmakodynamické vlastnosti</w:t>
      </w:r>
    </w:p>
    <w:p w:rsidR="008D0CF8" w:rsidRPr="00615B6B" w:rsidRDefault="008D0CF8" w:rsidP="00794E35">
      <w:pPr>
        <w:keepNext/>
        <w:keepLines/>
        <w:spacing w:line="240" w:lineRule="auto"/>
        <w:rPr>
          <w:szCs w:val="22"/>
        </w:rPr>
      </w:pPr>
    </w:p>
    <w:p w:rsidR="008D0CF8" w:rsidRPr="008D0E5E" w:rsidRDefault="00B93209" w:rsidP="00794E35">
      <w:pPr>
        <w:spacing w:line="240" w:lineRule="auto"/>
        <w:rPr>
          <w:szCs w:val="22"/>
        </w:rPr>
      </w:pPr>
      <w:r w:rsidRPr="00D46DC6">
        <w:rPr>
          <w:szCs w:val="22"/>
        </w:rPr>
        <w:t>Farmakoterapeutická skupina: analógy pyrimidínu, ATC kód: L01BC05</w:t>
      </w:r>
    </w:p>
    <w:p w:rsidR="008D0CF8" w:rsidRPr="0080087F" w:rsidRDefault="008D0CF8" w:rsidP="00794E35">
      <w:pPr>
        <w:spacing w:line="240" w:lineRule="auto"/>
        <w:rPr>
          <w:szCs w:val="22"/>
        </w:rPr>
      </w:pPr>
    </w:p>
    <w:p w:rsidR="008D0CF8" w:rsidRPr="00374CFE" w:rsidRDefault="00B93209" w:rsidP="00794E35">
      <w:pPr>
        <w:keepNext/>
        <w:spacing w:line="240" w:lineRule="auto"/>
        <w:rPr>
          <w:szCs w:val="22"/>
          <w:u w:val="single"/>
        </w:rPr>
      </w:pPr>
      <w:r w:rsidRPr="003A469C">
        <w:rPr>
          <w:szCs w:val="22"/>
          <w:u w:val="single"/>
        </w:rPr>
        <w:t>Cytotoxická aktivita v bunkových kultúrach</w:t>
      </w:r>
    </w:p>
    <w:p w:rsidR="008D0CF8" w:rsidRPr="007D64F3" w:rsidRDefault="00B93209" w:rsidP="00794E35">
      <w:pPr>
        <w:keepNext/>
        <w:spacing w:line="240" w:lineRule="auto"/>
        <w:rPr>
          <w:szCs w:val="22"/>
        </w:rPr>
      </w:pPr>
      <w:r w:rsidRPr="0072746E">
        <w:rPr>
          <w:szCs w:val="22"/>
        </w:rPr>
        <w:t>Gemcitabín vykazuje signifikantné cytotoxické účinky proti rôznym myším i</w:t>
      </w:r>
      <w:r w:rsidRPr="005049A3">
        <w:rPr>
          <w:szCs w:val="22"/>
        </w:rPr>
        <w:t xml:space="preserve"> ľudským kultúram nádorových buniek. Jeho účinok je fázovo špecifický, pretože gemcitabín primárne usmrcuje bunky, v ktorých prebieha syntéza DNA (S-fáza), a za určitých podmienok blokuje </w:t>
      </w:r>
      <w:r w:rsidR="0055155B">
        <w:rPr>
          <w:szCs w:val="22"/>
        </w:rPr>
        <w:t>progresiu</w:t>
      </w:r>
      <w:r w:rsidR="0055155B" w:rsidRPr="005049A3">
        <w:rPr>
          <w:szCs w:val="22"/>
        </w:rPr>
        <w:t xml:space="preserve"> </w:t>
      </w:r>
      <w:r w:rsidRPr="005049A3">
        <w:rPr>
          <w:szCs w:val="22"/>
        </w:rPr>
        <w:t xml:space="preserve">buniek </w:t>
      </w:r>
      <w:r w:rsidR="0055155B">
        <w:rPr>
          <w:szCs w:val="22"/>
        </w:rPr>
        <w:t>z prechodu</w:t>
      </w:r>
      <w:r w:rsidR="00E143DB" w:rsidRPr="00F1609D">
        <w:rPr>
          <w:szCs w:val="22"/>
        </w:rPr>
        <w:t xml:space="preserve"> fáz </w:t>
      </w:r>
      <w:r w:rsidRPr="005D0544">
        <w:rPr>
          <w:szCs w:val="22"/>
        </w:rPr>
        <w:t>G</w:t>
      </w:r>
      <w:r w:rsidRPr="002C3B56">
        <w:rPr>
          <w:szCs w:val="22"/>
          <w:vertAlign w:val="subscript"/>
        </w:rPr>
        <w:t>1</w:t>
      </w:r>
      <w:r w:rsidR="0055155B">
        <w:rPr>
          <w:szCs w:val="22"/>
        </w:rPr>
        <w:t>/</w:t>
      </w:r>
      <w:r w:rsidRPr="002D7CF9">
        <w:rPr>
          <w:szCs w:val="22"/>
        </w:rPr>
        <w:t>S</w:t>
      </w:r>
      <w:r w:rsidR="00EB12EA" w:rsidRPr="00395254">
        <w:rPr>
          <w:szCs w:val="22"/>
        </w:rPr>
        <w:t>.</w:t>
      </w:r>
      <w:r w:rsidRPr="00A50A06">
        <w:rPr>
          <w:szCs w:val="22"/>
        </w:rPr>
        <w:t xml:space="preserve"> </w:t>
      </w:r>
      <w:r w:rsidRPr="00794E35">
        <w:rPr>
          <w:i/>
          <w:szCs w:val="22"/>
        </w:rPr>
        <w:t>In vitro</w:t>
      </w:r>
      <w:r w:rsidRPr="00A50A06">
        <w:rPr>
          <w:szCs w:val="22"/>
        </w:rPr>
        <w:t xml:space="preserve"> je cytotoxický účin</w:t>
      </w:r>
      <w:r w:rsidRPr="00254AFA">
        <w:rPr>
          <w:szCs w:val="22"/>
        </w:rPr>
        <w:t>ok gemcitabínu</w:t>
      </w:r>
      <w:r w:rsidR="003341A5">
        <w:rPr>
          <w:szCs w:val="22"/>
        </w:rPr>
        <w:t xml:space="preserve"> </w:t>
      </w:r>
      <w:r w:rsidRPr="00254AFA">
        <w:rPr>
          <w:szCs w:val="22"/>
        </w:rPr>
        <w:t xml:space="preserve">závislý </w:t>
      </w:r>
      <w:r w:rsidR="003341A5">
        <w:rPr>
          <w:szCs w:val="22"/>
        </w:rPr>
        <w:t>od</w:t>
      </w:r>
      <w:r w:rsidRPr="00254AFA">
        <w:rPr>
          <w:szCs w:val="22"/>
        </w:rPr>
        <w:t xml:space="preserve"> koncentráci</w:t>
      </w:r>
      <w:r w:rsidR="003341A5">
        <w:rPr>
          <w:szCs w:val="22"/>
        </w:rPr>
        <w:t>e</w:t>
      </w:r>
      <w:r w:rsidRPr="00254AFA">
        <w:rPr>
          <w:szCs w:val="22"/>
        </w:rPr>
        <w:t xml:space="preserve"> a čas</w:t>
      </w:r>
      <w:r w:rsidR="003341A5">
        <w:rPr>
          <w:szCs w:val="22"/>
        </w:rPr>
        <w:t>u</w:t>
      </w:r>
      <w:r w:rsidRPr="00254AFA">
        <w:rPr>
          <w:szCs w:val="22"/>
        </w:rPr>
        <w:t>.</w:t>
      </w:r>
    </w:p>
    <w:p w:rsidR="008D0CF8" w:rsidRPr="00734ABC" w:rsidRDefault="008D0CF8" w:rsidP="00794E35">
      <w:pPr>
        <w:spacing w:line="240" w:lineRule="auto"/>
        <w:rPr>
          <w:szCs w:val="22"/>
        </w:rPr>
      </w:pPr>
    </w:p>
    <w:p w:rsidR="008D0CF8" w:rsidRPr="0073597A" w:rsidRDefault="00B93209" w:rsidP="00794E35">
      <w:pPr>
        <w:keepNext/>
        <w:spacing w:line="240" w:lineRule="auto"/>
        <w:rPr>
          <w:szCs w:val="22"/>
          <w:u w:val="single"/>
        </w:rPr>
      </w:pPr>
      <w:r w:rsidRPr="0093252D">
        <w:rPr>
          <w:szCs w:val="22"/>
          <w:u w:val="single"/>
        </w:rPr>
        <w:t>Protinádorový účinok v predklinických modeloch</w:t>
      </w:r>
    </w:p>
    <w:p w:rsidR="008D0CF8" w:rsidRPr="00495133" w:rsidRDefault="00B93209" w:rsidP="00794E35">
      <w:pPr>
        <w:keepNext/>
        <w:spacing w:line="240" w:lineRule="auto"/>
        <w:rPr>
          <w:szCs w:val="22"/>
        </w:rPr>
      </w:pPr>
      <w:r w:rsidRPr="0003528F">
        <w:rPr>
          <w:szCs w:val="22"/>
        </w:rPr>
        <w:t xml:space="preserve">Na zvieracích modeloch nádorov je protinádorová aktivita gemcitabínu závislá </w:t>
      </w:r>
      <w:r w:rsidR="00032B25">
        <w:rPr>
          <w:szCs w:val="22"/>
        </w:rPr>
        <w:t>od</w:t>
      </w:r>
      <w:r w:rsidRPr="0003528F">
        <w:rPr>
          <w:szCs w:val="22"/>
        </w:rPr>
        <w:t xml:space="preserve"> schém</w:t>
      </w:r>
      <w:r w:rsidR="00032B25">
        <w:rPr>
          <w:szCs w:val="22"/>
        </w:rPr>
        <w:t>y</w:t>
      </w:r>
      <w:r w:rsidRPr="0003528F">
        <w:rPr>
          <w:szCs w:val="22"/>
        </w:rPr>
        <w:t xml:space="preserve"> dávkovania. Ak je gemcitabín podávaný každý deň, </w:t>
      </w:r>
      <w:r w:rsidR="00CD1120">
        <w:rPr>
          <w:szCs w:val="22"/>
        </w:rPr>
        <w:t>pozoruje sa</w:t>
      </w:r>
      <w:r w:rsidRPr="0003528F">
        <w:rPr>
          <w:szCs w:val="22"/>
        </w:rPr>
        <w:t xml:space="preserve"> vysoká morta</w:t>
      </w:r>
      <w:r w:rsidRPr="00B90CEA">
        <w:rPr>
          <w:szCs w:val="22"/>
        </w:rPr>
        <w:t>lita zvierat, ale s minimálnym protinádorovým účinkom. Ak je však gemcitabín podávaný každý tretí alebo štvrtý deň, môže byť podávaný v neletálnych dávkach so značným protinádorovým účinkom proti širokému spektru nádorov u myší.</w:t>
      </w:r>
    </w:p>
    <w:p w:rsidR="008D0CF8" w:rsidRPr="00213F3D" w:rsidRDefault="008D0CF8" w:rsidP="00794E35">
      <w:pPr>
        <w:spacing w:line="240" w:lineRule="auto"/>
        <w:rPr>
          <w:szCs w:val="22"/>
        </w:rPr>
      </w:pPr>
    </w:p>
    <w:p w:rsidR="008D0CF8" w:rsidRPr="002F6660" w:rsidRDefault="00B93209" w:rsidP="00794E35">
      <w:pPr>
        <w:keepNext/>
        <w:spacing w:line="240" w:lineRule="auto"/>
        <w:rPr>
          <w:szCs w:val="22"/>
          <w:u w:val="single"/>
        </w:rPr>
      </w:pPr>
      <w:r w:rsidRPr="00DE0EBB">
        <w:rPr>
          <w:szCs w:val="22"/>
          <w:u w:val="single"/>
        </w:rPr>
        <w:t>Mechanizumus účinku</w:t>
      </w:r>
    </w:p>
    <w:p w:rsidR="008D0CF8" w:rsidRPr="00A30BE5" w:rsidRDefault="00B93209" w:rsidP="00794E35">
      <w:pPr>
        <w:spacing w:line="240" w:lineRule="auto"/>
        <w:rPr>
          <w:szCs w:val="22"/>
        </w:rPr>
      </w:pPr>
      <w:r w:rsidRPr="005A7ECC">
        <w:rPr>
          <w:szCs w:val="22"/>
        </w:rPr>
        <w:t xml:space="preserve">Bunkový metabolizmus a mechanizmus účinku: Gemcitabín (dFdC), ktorý je antimetabolitom pyrimidínu, je metabolizovaný intracelulárne pomocou nukleozidkinázy na </w:t>
      </w:r>
      <w:r w:rsidR="002D5C96" w:rsidRPr="00723215">
        <w:rPr>
          <w:szCs w:val="22"/>
        </w:rPr>
        <w:t>aktívny</w:t>
      </w:r>
      <w:r w:rsidR="00B50269" w:rsidRPr="00783826">
        <w:rPr>
          <w:szCs w:val="22"/>
        </w:rPr>
        <w:t xml:space="preserve"> </w:t>
      </w:r>
      <w:r w:rsidR="002D5C96" w:rsidRPr="005A6423">
        <w:rPr>
          <w:szCs w:val="22"/>
        </w:rPr>
        <w:t xml:space="preserve">nukleozid difosfát </w:t>
      </w:r>
      <w:r w:rsidR="00B50269" w:rsidRPr="00D61422">
        <w:rPr>
          <w:szCs w:val="22"/>
        </w:rPr>
        <w:t xml:space="preserve">(dFdCDP) a </w:t>
      </w:r>
      <w:r w:rsidR="002D5C96" w:rsidRPr="00502952">
        <w:rPr>
          <w:szCs w:val="22"/>
        </w:rPr>
        <w:t xml:space="preserve">aktívny nukleozid trifosfát </w:t>
      </w:r>
      <w:r w:rsidR="00B50269" w:rsidRPr="00914233">
        <w:rPr>
          <w:szCs w:val="22"/>
        </w:rPr>
        <w:t>(dFdCTP)</w:t>
      </w:r>
      <w:r w:rsidRPr="00EF54A7">
        <w:rPr>
          <w:szCs w:val="22"/>
        </w:rPr>
        <w:t>. Cytotoxický účinok ge</w:t>
      </w:r>
      <w:r w:rsidRPr="008F5036">
        <w:rPr>
          <w:szCs w:val="22"/>
        </w:rPr>
        <w:t xml:space="preserve">mcitabínu spočíva v inhibícii syntézy DNA dvomi mechanizmami pomocou dFdCDP a dFdCTP. Pri prvom, dFdCDP inhibuje ribonukleotid reduktázu, ktorá je jediná zodpovedná za katalýzu reakcií </w:t>
      </w:r>
      <w:r w:rsidR="001F39C3">
        <w:rPr>
          <w:szCs w:val="22"/>
        </w:rPr>
        <w:t>produku</w:t>
      </w:r>
      <w:r w:rsidRPr="008F5036">
        <w:rPr>
          <w:szCs w:val="22"/>
        </w:rPr>
        <w:t>júcich deoxynukleozidtrifosfáty (dCTP) pre syntézu DNA. Inhibícia</w:t>
      </w:r>
      <w:r w:rsidRPr="00146E54">
        <w:rPr>
          <w:szCs w:val="22"/>
        </w:rPr>
        <w:t xml:space="preserve"> tohto enzýmu pomocou dFdCDP je príčinou zníženia koncentrácie deoxynukleoti</w:t>
      </w:r>
      <w:r w:rsidR="00EC3425" w:rsidRPr="00BD534B">
        <w:rPr>
          <w:szCs w:val="22"/>
        </w:rPr>
        <w:t xml:space="preserve">dov všeobecne, v tomto prípade </w:t>
      </w:r>
      <w:r w:rsidRPr="006A1142">
        <w:rPr>
          <w:szCs w:val="22"/>
        </w:rPr>
        <w:t>predovšetkým koncentrácie dCTP. Pri druhom, dFdCTP súťaží s dCTP o zaradenie do reťazca DNA (autopotenciácia).</w:t>
      </w:r>
    </w:p>
    <w:p w:rsidR="008D0CF8" w:rsidRPr="00EE0479" w:rsidRDefault="008D0CF8" w:rsidP="00794E35">
      <w:pPr>
        <w:spacing w:line="240" w:lineRule="auto"/>
        <w:rPr>
          <w:szCs w:val="22"/>
        </w:rPr>
      </w:pPr>
    </w:p>
    <w:p w:rsidR="008D0CF8" w:rsidRPr="00F30153" w:rsidRDefault="00B93209" w:rsidP="00794E35">
      <w:pPr>
        <w:keepNext/>
        <w:spacing w:line="240" w:lineRule="auto"/>
        <w:rPr>
          <w:szCs w:val="22"/>
        </w:rPr>
      </w:pPr>
      <w:r w:rsidRPr="007E2E0E">
        <w:rPr>
          <w:szCs w:val="22"/>
        </w:rPr>
        <w:t>Podobne môže byť malé množstvo gemcit</w:t>
      </w:r>
      <w:r w:rsidRPr="008F3ED0">
        <w:rPr>
          <w:szCs w:val="22"/>
        </w:rPr>
        <w:t>abínu inkorporované aj do RNA. Tým teda znížená intracelulárna koncentrácia dCTP potencuje inkorporáciu dFdCTP do DNA. DNA polymeráza epsilon nie je schopná odstraňovať gemcitabín a opraviť rastúce vlákna DNA. Po inkorporácii gemcitabínu do DNA je do rastú</w:t>
      </w:r>
      <w:r w:rsidRPr="007A2CBE">
        <w:rPr>
          <w:szCs w:val="22"/>
        </w:rPr>
        <w:t xml:space="preserve">ceho reťazca DNA pripojený ešte </w:t>
      </w:r>
      <w:r w:rsidR="00097C64">
        <w:rPr>
          <w:szCs w:val="22"/>
        </w:rPr>
        <w:t>ďalší</w:t>
      </w:r>
      <w:r w:rsidRPr="007A2CBE">
        <w:rPr>
          <w:szCs w:val="22"/>
        </w:rPr>
        <w:t xml:space="preserve"> nukleotid. Po tomto pripojení nastáva kompletná inhibícia ďalšej syntézy DNA (</w:t>
      </w:r>
      <w:r w:rsidR="001D7EBC" w:rsidRPr="00572A41">
        <w:rPr>
          <w:szCs w:val="22"/>
        </w:rPr>
        <w:t>skryté ukončenie reťazca</w:t>
      </w:r>
      <w:r w:rsidRPr="005D1AB4">
        <w:rPr>
          <w:szCs w:val="22"/>
        </w:rPr>
        <w:t xml:space="preserve">). Po inkorporácii do DNA sa zdá, že gemcitabín indukuje programovanú bunkovú smrť známu ako apoptóza. </w:t>
      </w:r>
    </w:p>
    <w:p w:rsidR="008D0CF8" w:rsidRPr="002829DC" w:rsidRDefault="008D0CF8" w:rsidP="00794E35">
      <w:pPr>
        <w:spacing w:line="240" w:lineRule="auto"/>
        <w:rPr>
          <w:szCs w:val="22"/>
        </w:rPr>
      </w:pPr>
    </w:p>
    <w:p w:rsidR="008D0CF8" w:rsidRPr="001801AD" w:rsidRDefault="00B93209" w:rsidP="00794E35">
      <w:pPr>
        <w:keepNext/>
        <w:tabs>
          <w:tab w:val="left" w:pos="0"/>
          <w:tab w:val="left" w:pos="850"/>
          <w:tab w:val="left" w:pos="1440"/>
        </w:tabs>
        <w:suppressAutoHyphens/>
        <w:spacing w:line="240" w:lineRule="auto"/>
        <w:ind w:hanging="11"/>
        <w:rPr>
          <w:spacing w:val="-3"/>
          <w:szCs w:val="22"/>
          <w:u w:val="single"/>
        </w:rPr>
      </w:pPr>
      <w:r w:rsidRPr="00746470">
        <w:rPr>
          <w:spacing w:val="-3"/>
          <w:szCs w:val="22"/>
          <w:u w:val="single"/>
        </w:rPr>
        <w:t xml:space="preserve">Klinické </w:t>
      </w:r>
      <w:r w:rsidRPr="004F14FC">
        <w:rPr>
          <w:spacing w:val="-3"/>
          <w:szCs w:val="22"/>
          <w:u w:val="single"/>
        </w:rPr>
        <w:t>údaje</w:t>
      </w:r>
    </w:p>
    <w:p w:rsidR="008D0CF8" w:rsidRPr="00F04502" w:rsidRDefault="00B93209" w:rsidP="00794E35">
      <w:pPr>
        <w:keepNext/>
        <w:tabs>
          <w:tab w:val="left" w:pos="0"/>
          <w:tab w:val="left" w:pos="850"/>
          <w:tab w:val="left" w:pos="1440"/>
        </w:tabs>
        <w:suppressAutoHyphens/>
        <w:spacing w:line="240" w:lineRule="auto"/>
        <w:ind w:hanging="11"/>
        <w:rPr>
          <w:i/>
          <w:spacing w:val="-3"/>
          <w:szCs w:val="22"/>
          <w:u w:val="single"/>
        </w:rPr>
      </w:pPr>
      <w:r w:rsidRPr="00373A5F">
        <w:rPr>
          <w:i/>
          <w:spacing w:val="-3"/>
          <w:szCs w:val="22"/>
          <w:u w:val="single"/>
        </w:rPr>
        <w:t>Karcinóm močového mechúra</w:t>
      </w:r>
    </w:p>
    <w:p w:rsidR="008D0CF8" w:rsidRPr="000E5C08" w:rsidRDefault="00B93209" w:rsidP="00794E35">
      <w:pPr>
        <w:tabs>
          <w:tab w:val="left" w:pos="-2880"/>
          <w:tab w:val="left" w:pos="0"/>
          <w:tab w:val="left" w:pos="1440"/>
        </w:tabs>
        <w:suppressAutoHyphens/>
        <w:spacing w:line="240" w:lineRule="auto"/>
        <w:ind w:hanging="11"/>
        <w:rPr>
          <w:spacing w:val="-3"/>
          <w:szCs w:val="22"/>
        </w:rPr>
      </w:pPr>
      <w:r w:rsidRPr="00EB2819">
        <w:rPr>
          <w:spacing w:val="-3"/>
          <w:szCs w:val="22"/>
        </w:rPr>
        <w:t>Randomizovaná štúdia fázy</w:t>
      </w:r>
      <w:r w:rsidR="003E2A7D" w:rsidRPr="00F67012">
        <w:rPr>
          <w:spacing w:val="-3"/>
          <w:szCs w:val="22"/>
        </w:rPr>
        <w:t> </w:t>
      </w:r>
      <w:r w:rsidRPr="001F1786">
        <w:rPr>
          <w:spacing w:val="-3"/>
          <w:szCs w:val="22"/>
        </w:rPr>
        <w:t>III vykonaná so 405</w:t>
      </w:r>
      <w:r w:rsidR="003E2A7D" w:rsidRPr="00E5116C">
        <w:rPr>
          <w:spacing w:val="-3"/>
          <w:szCs w:val="22"/>
        </w:rPr>
        <w:t> </w:t>
      </w:r>
      <w:r w:rsidRPr="00197979">
        <w:rPr>
          <w:spacing w:val="-3"/>
          <w:szCs w:val="22"/>
        </w:rPr>
        <w:t>pacientmi s pokročilým alebo metastatickým karcinómom z prechodných buniek urotelu, nepreukázal</w:t>
      </w:r>
      <w:r w:rsidR="00FD0F32">
        <w:rPr>
          <w:spacing w:val="-3"/>
          <w:szCs w:val="22"/>
        </w:rPr>
        <w:t>a</w:t>
      </w:r>
      <w:r w:rsidRPr="00197979">
        <w:rPr>
          <w:spacing w:val="-3"/>
          <w:szCs w:val="22"/>
        </w:rPr>
        <w:t xml:space="preserve"> rozdiel medzi dvomi liečebnými skupinami, </w:t>
      </w:r>
      <w:r w:rsidRPr="001A6293">
        <w:rPr>
          <w:szCs w:val="22"/>
        </w:rPr>
        <w:t>gemcitabín</w:t>
      </w:r>
      <w:r w:rsidRPr="00422002">
        <w:rPr>
          <w:spacing w:val="-3"/>
          <w:szCs w:val="22"/>
        </w:rPr>
        <w:t>/cisplatina oproti metotrexát/</w:t>
      </w:r>
      <w:r w:rsidRPr="00243ED9">
        <w:rPr>
          <w:spacing w:val="-3"/>
          <w:szCs w:val="22"/>
        </w:rPr>
        <w:t>vinblastín/adriamycín/cisplatina (MVAC), pokiaľ sa jedná o strednú dobu prežitia (</w:t>
      </w:r>
      <w:smartTag w:uri="urn:schemas-microsoft-com:office:smarttags" w:element="metricconverter">
        <w:smartTagPr>
          <w:attr w:name="ProductID" w:val="8 °C"/>
        </w:smartTagPr>
        <w:r w:rsidRPr="00243ED9">
          <w:rPr>
            <w:spacing w:val="-3"/>
            <w:szCs w:val="22"/>
          </w:rPr>
          <w:t>12,8 a</w:t>
        </w:r>
      </w:smartTag>
      <w:r w:rsidRPr="00243ED9">
        <w:rPr>
          <w:spacing w:val="-3"/>
          <w:szCs w:val="22"/>
        </w:rPr>
        <w:t xml:space="preserve"> 14,8</w:t>
      </w:r>
      <w:r w:rsidR="003E2A7D" w:rsidRPr="00B73DB3">
        <w:rPr>
          <w:spacing w:val="-3"/>
          <w:szCs w:val="22"/>
        </w:rPr>
        <w:t> </w:t>
      </w:r>
      <w:r w:rsidRPr="00A363DB">
        <w:rPr>
          <w:spacing w:val="-3"/>
          <w:szCs w:val="22"/>
        </w:rPr>
        <w:t>mesiaca v uvedenom poradí, p</w:t>
      </w:r>
      <w:r w:rsidR="002B788E" w:rsidRPr="002205DE">
        <w:rPr>
          <w:spacing w:val="-3"/>
          <w:szCs w:val="22"/>
        </w:rPr>
        <w:t> </w:t>
      </w:r>
      <w:r w:rsidRPr="00826A22">
        <w:rPr>
          <w:spacing w:val="-3"/>
          <w:szCs w:val="22"/>
        </w:rPr>
        <w:t>=</w:t>
      </w:r>
      <w:r w:rsidR="002B788E" w:rsidRPr="004D04D0">
        <w:rPr>
          <w:spacing w:val="-3"/>
          <w:szCs w:val="22"/>
        </w:rPr>
        <w:t> </w:t>
      </w:r>
      <w:r w:rsidRPr="002B1EB2">
        <w:rPr>
          <w:spacing w:val="-3"/>
          <w:szCs w:val="22"/>
        </w:rPr>
        <w:t>0,547), dobu do progresie ochorenia (</w:t>
      </w:r>
      <w:smartTag w:uri="urn:schemas-microsoft-com:office:smarttags" w:element="metricconverter">
        <w:smartTagPr>
          <w:attr w:name="ProductID" w:val="8 °C"/>
        </w:smartTagPr>
        <w:r w:rsidRPr="002B1EB2">
          <w:rPr>
            <w:spacing w:val="-3"/>
            <w:szCs w:val="22"/>
          </w:rPr>
          <w:t>7,4 a</w:t>
        </w:r>
      </w:smartTag>
      <w:r w:rsidRPr="002B1EB2">
        <w:rPr>
          <w:spacing w:val="-3"/>
          <w:szCs w:val="22"/>
        </w:rPr>
        <w:t xml:space="preserve"> 7,6</w:t>
      </w:r>
      <w:r w:rsidR="002B788E" w:rsidRPr="00D0206F">
        <w:rPr>
          <w:spacing w:val="-3"/>
          <w:szCs w:val="22"/>
        </w:rPr>
        <w:t> </w:t>
      </w:r>
      <w:r w:rsidRPr="00DA4450">
        <w:rPr>
          <w:spacing w:val="-3"/>
          <w:szCs w:val="22"/>
        </w:rPr>
        <w:t>mesiaca v uvedenom poradí, p</w:t>
      </w:r>
      <w:r w:rsidR="002B788E" w:rsidRPr="00743ADB">
        <w:rPr>
          <w:spacing w:val="-3"/>
          <w:szCs w:val="22"/>
        </w:rPr>
        <w:t> </w:t>
      </w:r>
      <w:r w:rsidRPr="00A437A5">
        <w:rPr>
          <w:spacing w:val="-3"/>
          <w:szCs w:val="22"/>
        </w:rPr>
        <w:t>=</w:t>
      </w:r>
      <w:r w:rsidR="002B788E" w:rsidRPr="00024E8C">
        <w:rPr>
          <w:spacing w:val="-3"/>
          <w:szCs w:val="22"/>
        </w:rPr>
        <w:t> </w:t>
      </w:r>
      <w:r w:rsidRPr="003C639C">
        <w:rPr>
          <w:spacing w:val="-3"/>
          <w:szCs w:val="22"/>
        </w:rPr>
        <w:t>0,842) a početnosť odpovedí na liečbu (49,4</w:t>
      </w:r>
      <w:r w:rsidR="001974BB" w:rsidRPr="00AB3B9F">
        <w:rPr>
          <w:spacing w:val="-3"/>
          <w:szCs w:val="22"/>
        </w:rPr>
        <w:t> %</w:t>
      </w:r>
      <w:r w:rsidRPr="009D061C">
        <w:rPr>
          <w:spacing w:val="-3"/>
          <w:szCs w:val="22"/>
        </w:rPr>
        <w:t xml:space="preserve"> a 45,7</w:t>
      </w:r>
      <w:r w:rsidR="001974BB" w:rsidRPr="00BF4462">
        <w:rPr>
          <w:spacing w:val="-3"/>
          <w:szCs w:val="22"/>
        </w:rPr>
        <w:t> </w:t>
      </w:r>
      <w:r w:rsidR="001974BB" w:rsidRPr="00746CFA">
        <w:rPr>
          <w:spacing w:val="-3"/>
          <w:szCs w:val="22"/>
        </w:rPr>
        <w:t>%</w:t>
      </w:r>
      <w:r w:rsidRPr="006D732F">
        <w:rPr>
          <w:spacing w:val="-3"/>
          <w:szCs w:val="22"/>
        </w:rPr>
        <w:t xml:space="preserve"> v uvedenom poradí, p</w:t>
      </w:r>
      <w:r w:rsidR="002B788E" w:rsidRPr="00017F82">
        <w:rPr>
          <w:spacing w:val="-3"/>
          <w:szCs w:val="22"/>
        </w:rPr>
        <w:t> </w:t>
      </w:r>
      <w:r w:rsidRPr="00893DEB">
        <w:rPr>
          <w:spacing w:val="-3"/>
          <w:szCs w:val="22"/>
        </w:rPr>
        <w:t>=</w:t>
      </w:r>
      <w:r w:rsidR="002B788E" w:rsidRPr="004E5FA5">
        <w:rPr>
          <w:spacing w:val="-3"/>
          <w:szCs w:val="22"/>
        </w:rPr>
        <w:t> </w:t>
      </w:r>
      <w:r w:rsidRPr="00344D5C">
        <w:rPr>
          <w:spacing w:val="-3"/>
          <w:szCs w:val="22"/>
        </w:rPr>
        <w:t xml:space="preserve">0,512). Kombinácia </w:t>
      </w:r>
      <w:r w:rsidRPr="00FF3010">
        <w:rPr>
          <w:szCs w:val="22"/>
        </w:rPr>
        <w:t>gemcitabínu</w:t>
      </w:r>
      <w:r w:rsidRPr="0078021D">
        <w:rPr>
          <w:spacing w:val="-3"/>
          <w:szCs w:val="22"/>
        </w:rPr>
        <w:t xml:space="preserve"> a cisplatiny mala lepší profil toxicity oproti MVAC.</w:t>
      </w:r>
    </w:p>
    <w:p w:rsidR="008D0CF8" w:rsidRPr="00A97E24" w:rsidRDefault="008D0CF8" w:rsidP="00794E35">
      <w:pPr>
        <w:tabs>
          <w:tab w:val="left" w:pos="-2880"/>
          <w:tab w:val="left" w:pos="0"/>
          <w:tab w:val="left" w:pos="1440"/>
        </w:tabs>
        <w:suppressAutoHyphens/>
        <w:spacing w:line="240" w:lineRule="auto"/>
        <w:rPr>
          <w:spacing w:val="-3"/>
          <w:szCs w:val="22"/>
        </w:rPr>
      </w:pPr>
    </w:p>
    <w:p w:rsidR="008D0CF8" w:rsidRPr="000B7A45" w:rsidRDefault="00B93209" w:rsidP="00794E35">
      <w:pPr>
        <w:keepNext/>
        <w:tabs>
          <w:tab w:val="left" w:pos="0"/>
          <w:tab w:val="left" w:pos="850"/>
          <w:tab w:val="left" w:pos="1440"/>
        </w:tabs>
        <w:suppressAutoHyphens/>
        <w:spacing w:line="240" w:lineRule="auto"/>
        <w:ind w:hanging="11"/>
        <w:rPr>
          <w:spacing w:val="-3"/>
          <w:szCs w:val="22"/>
          <w:u w:val="single"/>
        </w:rPr>
      </w:pPr>
      <w:r w:rsidRPr="00A97E24">
        <w:rPr>
          <w:i/>
          <w:spacing w:val="-3"/>
          <w:szCs w:val="22"/>
          <w:u w:val="single"/>
        </w:rPr>
        <w:t>Karcinóm pankreasu</w:t>
      </w:r>
    </w:p>
    <w:p w:rsidR="008D0CF8" w:rsidRPr="007D1B67" w:rsidRDefault="00B93209" w:rsidP="00794E35">
      <w:pPr>
        <w:tabs>
          <w:tab w:val="left" w:pos="-2880"/>
          <w:tab w:val="left" w:pos="0"/>
          <w:tab w:val="left" w:pos="1440"/>
        </w:tabs>
        <w:suppressAutoHyphens/>
        <w:spacing w:line="240" w:lineRule="auto"/>
        <w:ind w:hanging="11"/>
        <w:rPr>
          <w:spacing w:val="-3"/>
          <w:szCs w:val="22"/>
        </w:rPr>
      </w:pPr>
      <w:r w:rsidRPr="00964F03">
        <w:rPr>
          <w:spacing w:val="-3"/>
          <w:szCs w:val="22"/>
        </w:rPr>
        <w:t>V randomizovanej štúdii fázy</w:t>
      </w:r>
      <w:r w:rsidR="002B788E" w:rsidRPr="00650EA1">
        <w:rPr>
          <w:spacing w:val="-3"/>
          <w:szCs w:val="22"/>
        </w:rPr>
        <w:t> </w:t>
      </w:r>
      <w:r w:rsidRPr="00725DAA">
        <w:rPr>
          <w:spacing w:val="-3"/>
          <w:szCs w:val="22"/>
        </w:rPr>
        <w:t>III so 126</w:t>
      </w:r>
      <w:r w:rsidR="002B788E" w:rsidRPr="000B26A3">
        <w:rPr>
          <w:spacing w:val="-3"/>
          <w:szCs w:val="22"/>
        </w:rPr>
        <w:t> </w:t>
      </w:r>
      <w:r w:rsidRPr="00BD6A8B">
        <w:rPr>
          <w:spacing w:val="-3"/>
          <w:szCs w:val="22"/>
        </w:rPr>
        <w:t xml:space="preserve">pacientmi s pokročilým alebo metastatickým karcinómom pankreasu preukázal </w:t>
      </w:r>
      <w:r w:rsidRPr="00F32AAF">
        <w:rPr>
          <w:szCs w:val="22"/>
        </w:rPr>
        <w:t>gemcitabín</w:t>
      </w:r>
      <w:r w:rsidRPr="00741215">
        <w:rPr>
          <w:spacing w:val="-3"/>
          <w:szCs w:val="22"/>
        </w:rPr>
        <w:t xml:space="preserve"> št</w:t>
      </w:r>
      <w:r w:rsidRPr="00E80640">
        <w:rPr>
          <w:spacing w:val="-3"/>
          <w:szCs w:val="22"/>
        </w:rPr>
        <w:t>atisticky významne vyšší po</w:t>
      </w:r>
      <w:r w:rsidR="00EC3425" w:rsidRPr="00873328">
        <w:rPr>
          <w:spacing w:val="-3"/>
          <w:szCs w:val="22"/>
        </w:rPr>
        <w:t>mer klinick</w:t>
      </w:r>
      <w:r w:rsidR="00BF1F0B" w:rsidRPr="00364A1B">
        <w:rPr>
          <w:spacing w:val="-3"/>
          <w:szCs w:val="22"/>
        </w:rPr>
        <w:t>y výhodnej</w:t>
      </w:r>
      <w:r w:rsidR="00EC3425" w:rsidRPr="001B708E">
        <w:rPr>
          <w:spacing w:val="-3"/>
          <w:szCs w:val="22"/>
        </w:rPr>
        <w:t xml:space="preserve"> odpovedi oproti 5</w:t>
      </w:r>
      <w:r w:rsidR="00EC3425" w:rsidRPr="001B708E">
        <w:rPr>
          <w:spacing w:val="-3"/>
          <w:szCs w:val="22"/>
        </w:rPr>
        <w:noBreakHyphen/>
      </w:r>
      <w:r w:rsidRPr="000F14B5">
        <w:rPr>
          <w:spacing w:val="-3"/>
          <w:szCs w:val="22"/>
        </w:rPr>
        <w:t>fluóruracilu (23,8</w:t>
      </w:r>
      <w:r w:rsidR="001974BB" w:rsidRPr="00FB0BB5">
        <w:rPr>
          <w:spacing w:val="-3"/>
          <w:szCs w:val="22"/>
        </w:rPr>
        <w:t> %</w:t>
      </w:r>
      <w:r w:rsidRPr="000C6005">
        <w:rPr>
          <w:spacing w:val="-3"/>
          <w:szCs w:val="22"/>
        </w:rPr>
        <w:t xml:space="preserve"> a 4,8</w:t>
      </w:r>
      <w:r w:rsidR="001974BB" w:rsidRPr="000466F4">
        <w:rPr>
          <w:spacing w:val="-3"/>
          <w:szCs w:val="22"/>
        </w:rPr>
        <w:t> %</w:t>
      </w:r>
      <w:r w:rsidRPr="006A7B5A">
        <w:rPr>
          <w:spacing w:val="-3"/>
          <w:szCs w:val="22"/>
        </w:rPr>
        <w:t xml:space="preserve"> v uvedenom poradí, p</w:t>
      </w:r>
      <w:r w:rsidR="002B788E" w:rsidRPr="007040C1">
        <w:rPr>
          <w:spacing w:val="-3"/>
          <w:szCs w:val="22"/>
        </w:rPr>
        <w:t> </w:t>
      </w:r>
      <w:r w:rsidRPr="00AD5EA5">
        <w:rPr>
          <w:spacing w:val="-3"/>
          <w:szCs w:val="22"/>
        </w:rPr>
        <w:t>=</w:t>
      </w:r>
      <w:r w:rsidR="002B788E" w:rsidRPr="001D3CB1">
        <w:rPr>
          <w:spacing w:val="-3"/>
          <w:szCs w:val="22"/>
        </w:rPr>
        <w:t> </w:t>
      </w:r>
      <w:r w:rsidRPr="008A55DD">
        <w:rPr>
          <w:spacing w:val="-3"/>
          <w:szCs w:val="22"/>
        </w:rPr>
        <w:t>0,0022). U pacientov liečených</w:t>
      </w:r>
      <w:r w:rsidR="00EC3425" w:rsidRPr="00644C9F">
        <w:rPr>
          <w:spacing w:val="-3"/>
          <w:szCs w:val="22"/>
        </w:rPr>
        <w:t xml:space="preserve"> </w:t>
      </w:r>
      <w:r w:rsidR="00EC3425" w:rsidRPr="00C97179">
        <w:rPr>
          <w:spacing w:val="-3"/>
          <w:szCs w:val="22"/>
        </w:rPr>
        <w:t>gemcitabínom bol</w:t>
      </w:r>
      <w:r w:rsidR="001A4A53">
        <w:rPr>
          <w:spacing w:val="-3"/>
          <w:szCs w:val="22"/>
        </w:rPr>
        <w:t>o</w:t>
      </w:r>
      <w:r w:rsidR="00EC3425" w:rsidRPr="00C97179">
        <w:rPr>
          <w:spacing w:val="-3"/>
          <w:szCs w:val="22"/>
        </w:rPr>
        <w:t xml:space="preserve"> v porovnaní </w:t>
      </w:r>
      <w:r w:rsidRPr="001D7910">
        <w:rPr>
          <w:spacing w:val="-3"/>
          <w:szCs w:val="22"/>
        </w:rPr>
        <w:t>s 5</w:t>
      </w:r>
      <w:r w:rsidR="002B788E" w:rsidRPr="00A637E8">
        <w:rPr>
          <w:spacing w:val="-3"/>
          <w:szCs w:val="22"/>
        </w:rPr>
        <w:noBreakHyphen/>
      </w:r>
      <w:r w:rsidRPr="00310F47">
        <w:rPr>
          <w:spacing w:val="-3"/>
          <w:szCs w:val="22"/>
        </w:rPr>
        <w:t>fluóruracilom tiež pozorované štatisticky významné predĺženie doby do progresie z 0,9 na 2,3</w:t>
      </w:r>
      <w:r w:rsidR="002B788E" w:rsidRPr="00401889">
        <w:rPr>
          <w:spacing w:val="-3"/>
          <w:szCs w:val="22"/>
        </w:rPr>
        <w:t> </w:t>
      </w:r>
      <w:r w:rsidRPr="00822D12">
        <w:rPr>
          <w:spacing w:val="-3"/>
          <w:szCs w:val="22"/>
        </w:rPr>
        <w:t>mesiaca (</w:t>
      </w:r>
      <w:r w:rsidR="00722475">
        <w:rPr>
          <w:spacing w:val="-3"/>
          <w:szCs w:val="22"/>
        </w:rPr>
        <w:t>p hodnota log-rank testu</w:t>
      </w:r>
      <w:r w:rsidR="002B788E" w:rsidRPr="00822D12">
        <w:rPr>
          <w:spacing w:val="-3"/>
          <w:szCs w:val="22"/>
        </w:rPr>
        <w:t> </w:t>
      </w:r>
      <w:r w:rsidRPr="00822D12">
        <w:rPr>
          <w:spacing w:val="-3"/>
          <w:szCs w:val="22"/>
        </w:rPr>
        <w:t>&lt;</w:t>
      </w:r>
      <w:r w:rsidR="002B788E" w:rsidRPr="00822D12">
        <w:rPr>
          <w:spacing w:val="-3"/>
          <w:szCs w:val="22"/>
        </w:rPr>
        <w:t> </w:t>
      </w:r>
      <w:r w:rsidRPr="00822D12">
        <w:rPr>
          <w:spacing w:val="-3"/>
          <w:szCs w:val="22"/>
        </w:rPr>
        <w:t>0,0002) a štatisticky významné predĺženie strednej doby prežitia zo 4,4 na 5,7</w:t>
      </w:r>
      <w:r w:rsidR="002B788E" w:rsidRPr="00E505EC">
        <w:rPr>
          <w:spacing w:val="-3"/>
          <w:szCs w:val="22"/>
        </w:rPr>
        <w:t> </w:t>
      </w:r>
      <w:r w:rsidRPr="00200C51">
        <w:rPr>
          <w:spacing w:val="-3"/>
          <w:szCs w:val="22"/>
        </w:rPr>
        <w:t>mesiaca (</w:t>
      </w:r>
      <w:r w:rsidR="00722475">
        <w:rPr>
          <w:spacing w:val="-3"/>
          <w:szCs w:val="22"/>
        </w:rPr>
        <w:t>p hodnota log-rank testu</w:t>
      </w:r>
      <w:r w:rsidR="002B788E" w:rsidRPr="0055155B">
        <w:rPr>
          <w:spacing w:val="-3"/>
          <w:szCs w:val="22"/>
        </w:rPr>
        <w:t> </w:t>
      </w:r>
      <w:r w:rsidRPr="0055155B">
        <w:rPr>
          <w:spacing w:val="-3"/>
          <w:szCs w:val="22"/>
        </w:rPr>
        <w:t>&lt;</w:t>
      </w:r>
      <w:r w:rsidR="002B788E" w:rsidRPr="0055155B">
        <w:rPr>
          <w:spacing w:val="-3"/>
          <w:szCs w:val="22"/>
        </w:rPr>
        <w:t> </w:t>
      </w:r>
      <w:r w:rsidRPr="0055155B">
        <w:rPr>
          <w:spacing w:val="-3"/>
          <w:szCs w:val="22"/>
        </w:rPr>
        <w:t>0,0024).</w:t>
      </w:r>
    </w:p>
    <w:p w:rsidR="008D0CF8" w:rsidRPr="007D1B67" w:rsidRDefault="008D0CF8" w:rsidP="00794E35">
      <w:pPr>
        <w:tabs>
          <w:tab w:val="left" w:pos="-2880"/>
          <w:tab w:val="left" w:pos="0"/>
          <w:tab w:val="left" w:pos="1440"/>
        </w:tabs>
        <w:suppressAutoHyphens/>
        <w:spacing w:line="240" w:lineRule="auto"/>
        <w:ind w:hanging="11"/>
        <w:rPr>
          <w:spacing w:val="-3"/>
          <w:szCs w:val="22"/>
        </w:rPr>
      </w:pPr>
    </w:p>
    <w:p w:rsidR="008D0CF8" w:rsidRPr="007D1B67" w:rsidRDefault="00B93209" w:rsidP="00794E35">
      <w:pPr>
        <w:keepNext/>
        <w:tabs>
          <w:tab w:val="left" w:pos="0"/>
          <w:tab w:val="left" w:pos="850"/>
          <w:tab w:val="left" w:pos="1440"/>
        </w:tabs>
        <w:suppressAutoHyphens/>
        <w:spacing w:line="240" w:lineRule="auto"/>
        <w:rPr>
          <w:i/>
          <w:spacing w:val="-3"/>
          <w:szCs w:val="22"/>
          <w:u w:val="single"/>
        </w:rPr>
      </w:pPr>
      <w:r w:rsidRPr="00AD5EA5">
        <w:rPr>
          <w:i/>
          <w:spacing w:val="-3"/>
          <w:szCs w:val="22"/>
          <w:u w:val="single"/>
        </w:rPr>
        <w:lastRenderedPageBreak/>
        <w:t>Nemalobunkový karcinóm pľúc</w:t>
      </w:r>
    </w:p>
    <w:p w:rsidR="008D0CF8" w:rsidRPr="007D1B67" w:rsidRDefault="00B93209" w:rsidP="00794E35">
      <w:pPr>
        <w:tabs>
          <w:tab w:val="left" w:pos="-2880"/>
          <w:tab w:val="left" w:pos="0"/>
          <w:tab w:val="left" w:pos="1440"/>
        </w:tabs>
        <w:suppressAutoHyphens/>
        <w:spacing w:line="240" w:lineRule="auto"/>
        <w:ind w:hanging="11"/>
        <w:rPr>
          <w:spacing w:val="-3"/>
          <w:szCs w:val="22"/>
        </w:rPr>
      </w:pPr>
      <w:r w:rsidRPr="00AD5EA5">
        <w:rPr>
          <w:spacing w:val="-3"/>
          <w:szCs w:val="22"/>
        </w:rPr>
        <w:t>V randomizovanej štúdii fázy</w:t>
      </w:r>
      <w:r w:rsidR="002B788E" w:rsidRPr="001D3CB1">
        <w:rPr>
          <w:spacing w:val="-3"/>
          <w:szCs w:val="22"/>
        </w:rPr>
        <w:t> </w:t>
      </w:r>
      <w:r w:rsidRPr="008A55DD">
        <w:rPr>
          <w:spacing w:val="-3"/>
          <w:szCs w:val="22"/>
        </w:rPr>
        <w:t>III s</w:t>
      </w:r>
      <w:r w:rsidR="002B788E" w:rsidRPr="00644C9F">
        <w:rPr>
          <w:spacing w:val="-3"/>
          <w:szCs w:val="22"/>
        </w:rPr>
        <w:t> </w:t>
      </w:r>
      <w:r w:rsidRPr="00C97179">
        <w:rPr>
          <w:spacing w:val="-3"/>
          <w:szCs w:val="22"/>
        </w:rPr>
        <w:t>522</w:t>
      </w:r>
      <w:r w:rsidR="002B788E" w:rsidRPr="001D7910">
        <w:rPr>
          <w:spacing w:val="-3"/>
          <w:szCs w:val="22"/>
        </w:rPr>
        <w:t> </w:t>
      </w:r>
      <w:r w:rsidRPr="00A637E8">
        <w:rPr>
          <w:spacing w:val="-3"/>
          <w:szCs w:val="22"/>
        </w:rPr>
        <w:t xml:space="preserve">pacientmi s inoperabilným, lokálne pokročilým alebo metastatickým NSCLC preukázal </w:t>
      </w:r>
      <w:r w:rsidRPr="00310F47">
        <w:rPr>
          <w:szCs w:val="22"/>
        </w:rPr>
        <w:t>gemcitabín</w:t>
      </w:r>
      <w:r w:rsidRPr="00401889">
        <w:rPr>
          <w:spacing w:val="-3"/>
          <w:szCs w:val="22"/>
        </w:rPr>
        <w:t xml:space="preserve"> v kombinácii s cisplatinou štatisticky významne vyššiu početnosť odpovedí oproti samotnej </w:t>
      </w:r>
      <w:r w:rsidRPr="00822D12">
        <w:rPr>
          <w:spacing w:val="-3"/>
          <w:szCs w:val="22"/>
        </w:rPr>
        <w:t>cisplatine (31,0</w:t>
      </w:r>
      <w:r w:rsidR="001974BB" w:rsidRPr="00822D12">
        <w:rPr>
          <w:spacing w:val="-3"/>
          <w:szCs w:val="22"/>
        </w:rPr>
        <w:t> %</w:t>
      </w:r>
      <w:r w:rsidRPr="00E505EC">
        <w:rPr>
          <w:spacing w:val="-3"/>
          <w:szCs w:val="22"/>
        </w:rPr>
        <w:t xml:space="preserve"> a 12,0</w:t>
      </w:r>
      <w:r w:rsidR="001974BB" w:rsidRPr="00200C51">
        <w:rPr>
          <w:spacing w:val="-3"/>
          <w:szCs w:val="22"/>
        </w:rPr>
        <w:t> %</w:t>
      </w:r>
      <w:r w:rsidRPr="00000C94">
        <w:rPr>
          <w:spacing w:val="-3"/>
          <w:szCs w:val="22"/>
        </w:rPr>
        <w:t xml:space="preserve"> v uvedenom poradí, p</w:t>
      </w:r>
      <w:r w:rsidR="002B788E" w:rsidRPr="003341A5">
        <w:rPr>
          <w:spacing w:val="-3"/>
          <w:szCs w:val="22"/>
        </w:rPr>
        <w:t> </w:t>
      </w:r>
      <w:r w:rsidRPr="00792A7D">
        <w:rPr>
          <w:spacing w:val="-3"/>
          <w:szCs w:val="22"/>
        </w:rPr>
        <w:t>&lt;</w:t>
      </w:r>
      <w:r w:rsidR="002B788E" w:rsidRPr="00032B25">
        <w:rPr>
          <w:spacing w:val="-3"/>
          <w:szCs w:val="22"/>
        </w:rPr>
        <w:t> </w:t>
      </w:r>
      <w:r w:rsidRPr="00CD1120">
        <w:rPr>
          <w:spacing w:val="-3"/>
          <w:szCs w:val="22"/>
        </w:rPr>
        <w:t>0,0001). Pri pacientoch liečených gemcitabínom a cisplatinou bolo pri porovnaní s pacientmi liečenými cisplatinou pozorované štatisticky významné predĺženie doby do progresie z 3,7 na 5,6</w:t>
      </w:r>
      <w:r w:rsidR="002B788E" w:rsidRPr="001F39C3">
        <w:rPr>
          <w:spacing w:val="-3"/>
          <w:szCs w:val="22"/>
        </w:rPr>
        <w:t> </w:t>
      </w:r>
      <w:r w:rsidRPr="00097C64">
        <w:rPr>
          <w:spacing w:val="-3"/>
          <w:szCs w:val="22"/>
        </w:rPr>
        <w:t>mesiaca (</w:t>
      </w:r>
      <w:r w:rsidR="00385A52">
        <w:rPr>
          <w:spacing w:val="-3"/>
          <w:szCs w:val="22"/>
        </w:rPr>
        <w:t xml:space="preserve">p hodnota log-rank testu </w:t>
      </w:r>
      <w:r w:rsidRPr="00DD4BCE">
        <w:rPr>
          <w:spacing w:val="-3"/>
          <w:szCs w:val="22"/>
        </w:rPr>
        <w:t>&lt;</w:t>
      </w:r>
      <w:r w:rsidR="002B788E" w:rsidRPr="00057E1E">
        <w:rPr>
          <w:spacing w:val="-3"/>
          <w:szCs w:val="22"/>
        </w:rPr>
        <w:t> </w:t>
      </w:r>
      <w:r w:rsidRPr="001A4A53">
        <w:rPr>
          <w:spacing w:val="-3"/>
          <w:szCs w:val="22"/>
        </w:rPr>
        <w:t>0,0012) a štatisticky významné predĺženie strednej doby prežitia z 7,6 na 9,1 mesiaca (</w:t>
      </w:r>
      <w:r w:rsidR="00385A52">
        <w:rPr>
          <w:spacing w:val="-3"/>
          <w:szCs w:val="22"/>
        </w:rPr>
        <w:t>p hodnota log-rank testu</w:t>
      </w:r>
      <w:r w:rsidR="002B788E" w:rsidRPr="00722475">
        <w:rPr>
          <w:spacing w:val="-3"/>
          <w:szCs w:val="22"/>
        </w:rPr>
        <w:t> </w:t>
      </w:r>
      <w:r w:rsidRPr="0004357C">
        <w:rPr>
          <w:spacing w:val="-3"/>
          <w:szCs w:val="22"/>
        </w:rPr>
        <w:t>&lt;</w:t>
      </w:r>
      <w:r w:rsidR="002B788E" w:rsidRPr="00385A52">
        <w:rPr>
          <w:spacing w:val="-3"/>
          <w:szCs w:val="22"/>
        </w:rPr>
        <w:t> </w:t>
      </w:r>
      <w:r w:rsidRPr="00385A52">
        <w:rPr>
          <w:spacing w:val="-3"/>
          <w:szCs w:val="22"/>
        </w:rPr>
        <w:t>0,004).</w:t>
      </w:r>
    </w:p>
    <w:p w:rsidR="008D0CF8" w:rsidRPr="007D1B67" w:rsidRDefault="00B93209" w:rsidP="00794E35">
      <w:pPr>
        <w:tabs>
          <w:tab w:val="left" w:pos="-2880"/>
          <w:tab w:val="left" w:pos="0"/>
          <w:tab w:val="left" w:pos="1440"/>
        </w:tabs>
        <w:suppressAutoHyphens/>
        <w:spacing w:line="240" w:lineRule="auto"/>
        <w:ind w:hanging="11"/>
        <w:rPr>
          <w:spacing w:val="-3"/>
          <w:szCs w:val="22"/>
        </w:rPr>
      </w:pPr>
      <w:r w:rsidRPr="00AD5EA5">
        <w:rPr>
          <w:spacing w:val="-3"/>
          <w:szCs w:val="22"/>
        </w:rPr>
        <w:t>V ďalšej randomizovanej štúdii fázy III</w:t>
      </w:r>
      <w:r w:rsidR="002B788E" w:rsidRPr="001D3CB1">
        <w:rPr>
          <w:spacing w:val="-3"/>
          <w:szCs w:val="22"/>
        </w:rPr>
        <w:t> </w:t>
      </w:r>
      <w:r w:rsidRPr="008A55DD">
        <w:rPr>
          <w:spacing w:val="-3"/>
          <w:szCs w:val="22"/>
        </w:rPr>
        <w:t>so 135</w:t>
      </w:r>
      <w:r w:rsidR="002B788E" w:rsidRPr="00644C9F">
        <w:rPr>
          <w:spacing w:val="-3"/>
          <w:szCs w:val="22"/>
        </w:rPr>
        <w:t> </w:t>
      </w:r>
      <w:r w:rsidRPr="00C97179">
        <w:rPr>
          <w:spacing w:val="-3"/>
          <w:szCs w:val="22"/>
        </w:rPr>
        <w:t>pacientmi s NSCLC v</w:t>
      </w:r>
      <w:r w:rsidR="002B788E" w:rsidRPr="001D7910">
        <w:rPr>
          <w:spacing w:val="-3"/>
          <w:szCs w:val="22"/>
        </w:rPr>
        <w:t> </w:t>
      </w:r>
      <w:r w:rsidRPr="00A637E8">
        <w:rPr>
          <w:spacing w:val="-3"/>
          <w:szCs w:val="22"/>
        </w:rPr>
        <w:t>štádiu</w:t>
      </w:r>
      <w:r w:rsidR="002B788E" w:rsidRPr="00310F47">
        <w:rPr>
          <w:spacing w:val="-3"/>
          <w:szCs w:val="22"/>
        </w:rPr>
        <w:t> </w:t>
      </w:r>
      <w:r w:rsidRPr="00401889">
        <w:rPr>
          <w:spacing w:val="-3"/>
          <w:szCs w:val="22"/>
        </w:rPr>
        <w:t>IIIB alebo</w:t>
      </w:r>
      <w:r w:rsidR="002B788E" w:rsidRPr="00822D12">
        <w:rPr>
          <w:spacing w:val="-3"/>
          <w:szCs w:val="22"/>
        </w:rPr>
        <w:t> </w:t>
      </w:r>
      <w:r w:rsidRPr="00822D12">
        <w:rPr>
          <w:spacing w:val="-3"/>
          <w:szCs w:val="22"/>
        </w:rPr>
        <w:t xml:space="preserve">IV bola kombinácia gemcitabínu a cisplatiny </w:t>
      </w:r>
      <w:r w:rsidR="002C31C1">
        <w:rPr>
          <w:spacing w:val="-3"/>
          <w:szCs w:val="22"/>
        </w:rPr>
        <w:t>preukázala</w:t>
      </w:r>
      <w:r w:rsidRPr="00822D12">
        <w:rPr>
          <w:spacing w:val="-3"/>
          <w:szCs w:val="22"/>
        </w:rPr>
        <w:t xml:space="preserve"> šta</w:t>
      </w:r>
      <w:r w:rsidRPr="00E505EC">
        <w:rPr>
          <w:spacing w:val="-3"/>
          <w:szCs w:val="22"/>
        </w:rPr>
        <w:t>tisticky vyšš</w:t>
      </w:r>
      <w:r w:rsidR="002C31C1">
        <w:rPr>
          <w:spacing w:val="-3"/>
          <w:szCs w:val="22"/>
        </w:rPr>
        <w:t>iu</w:t>
      </w:r>
      <w:r w:rsidRPr="00E505EC">
        <w:rPr>
          <w:spacing w:val="-3"/>
          <w:szCs w:val="22"/>
        </w:rPr>
        <w:t xml:space="preserve"> početnosť odpovedí na liečbu ako kombinácia cisplatiny a etopozidu (40,6</w:t>
      </w:r>
      <w:r w:rsidR="001974BB" w:rsidRPr="00200C51">
        <w:rPr>
          <w:spacing w:val="-3"/>
          <w:szCs w:val="22"/>
        </w:rPr>
        <w:t> %</w:t>
      </w:r>
      <w:r w:rsidRPr="00000C94">
        <w:rPr>
          <w:spacing w:val="-3"/>
          <w:szCs w:val="22"/>
        </w:rPr>
        <w:t xml:space="preserve"> a 21,2</w:t>
      </w:r>
      <w:r w:rsidR="001974BB" w:rsidRPr="003341A5">
        <w:rPr>
          <w:spacing w:val="-3"/>
          <w:szCs w:val="22"/>
        </w:rPr>
        <w:t> %</w:t>
      </w:r>
      <w:r w:rsidR="00C27173" w:rsidRPr="00792A7D">
        <w:rPr>
          <w:spacing w:val="-3"/>
          <w:szCs w:val="22"/>
        </w:rPr>
        <w:t xml:space="preserve"> v uvedenom poradí, p</w:t>
      </w:r>
      <w:r w:rsidR="002B788E" w:rsidRPr="00032B25">
        <w:rPr>
          <w:spacing w:val="-3"/>
          <w:szCs w:val="22"/>
        </w:rPr>
        <w:t> </w:t>
      </w:r>
      <w:r w:rsidR="00C27173" w:rsidRPr="00CD1120">
        <w:rPr>
          <w:spacing w:val="-3"/>
          <w:szCs w:val="22"/>
        </w:rPr>
        <w:t>=</w:t>
      </w:r>
      <w:r w:rsidR="002B788E" w:rsidRPr="001F39C3">
        <w:rPr>
          <w:spacing w:val="-3"/>
          <w:szCs w:val="22"/>
        </w:rPr>
        <w:t> </w:t>
      </w:r>
      <w:r w:rsidR="00C27173" w:rsidRPr="00097C64">
        <w:rPr>
          <w:spacing w:val="-3"/>
          <w:szCs w:val="22"/>
        </w:rPr>
        <w:t>0,025).</w:t>
      </w:r>
      <w:r w:rsidRPr="00FD0F32">
        <w:rPr>
          <w:spacing w:val="-3"/>
          <w:szCs w:val="22"/>
        </w:rPr>
        <w:t xml:space="preserve"> Štatisticky významné predĺženie doby do progresie z 4,3 na 6,9</w:t>
      </w:r>
      <w:r w:rsidR="000643EB" w:rsidRPr="00DD4BCE">
        <w:rPr>
          <w:spacing w:val="-3"/>
          <w:szCs w:val="22"/>
        </w:rPr>
        <w:t> </w:t>
      </w:r>
      <w:r w:rsidRPr="00057E1E">
        <w:rPr>
          <w:spacing w:val="-3"/>
          <w:szCs w:val="22"/>
        </w:rPr>
        <w:t>mesiaca (p</w:t>
      </w:r>
      <w:r w:rsidR="000643EB" w:rsidRPr="001A4A53">
        <w:rPr>
          <w:spacing w:val="-3"/>
          <w:szCs w:val="22"/>
        </w:rPr>
        <w:t> </w:t>
      </w:r>
      <w:r w:rsidRPr="00722475">
        <w:rPr>
          <w:spacing w:val="-3"/>
          <w:szCs w:val="22"/>
        </w:rPr>
        <w:t>=</w:t>
      </w:r>
      <w:r w:rsidR="000643EB" w:rsidRPr="0004357C">
        <w:rPr>
          <w:spacing w:val="-3"/>
          <w:szCs w:val="22"/>
        </w:rPr>
        <w:t> </w:t>
      </w:r>
      <w:r w:rsidRPr="00385A52">
        <w:rPr>
          <w:spacing w:val="-3"/>
          <w:szCs w:val="22"/>
        </w:rPr>
        <w:t>0,014) bolo pozorované u pacientov liečených ge</w:t>
      </w:r>
      <w:r w:rsidRPr="002C31C1">
        <w:rPr>
          <w:spacing w:val="-3"/>
          <w:szCs w:val="22"/>
        </w:rPr>
        <w:t>mcitabínom a cisplatinou v porovnaní s pacientmi liečenými etopozidom a cisplatinou.</w:t>
      </w:r>
    </w:p>
    <w:p w:rsidR="008D0CF8" w:rsidRPr="007D1B67" w:rsidRDefault="00B93209" w:rsidP="00794E35">
      <w:pPr>
        <w:tabs>
          <w:tab w:val="left" w:pos="-2880"/>
          <w:tab w:val="left" w:pos="0"/>
          <w:tab w:val="left" w:pos="1440"/>
        </w:tabs>
        <w:suppressAutoHyphens/>
        <w:spacing w:line="240" w:lineRule="auto"/>
        <w:ind w:hanging="11"/>
        <w:rPr>
          <w:spacing w:val="-3"/>
          <w:szCs w:val="22"/>
        </w:rPr>
      </w:pPr>
      <w:r w:rsidRPr="00AD5EA5">
        <w:rPr>
          <w:spacing w:val="-3"/>
          <w:szCs w:val="22"/>
        </w:rPr>
        <w:t>Pri oboch štúdiách bola</w:t>
      </w:r>
      <w:r w:rsidR="00E93CE5">
        <w:rPr>
          <w:spacing w:val="-3"/>
          <w:szCs w:val="22"/>
        </w:rPr>
        <w:t xml:space="preserve"> znášanlivosť</w:t>
      </w:r>
      <w:r w:rsidRPr="00AD5EA5">
        <w:rPr>
          <w:spacing w:val="-3"/>
          <w:szCs w:val="22"/>
        </w:rPr>
        <w:t xml:space="preserve"> podobná v oboch liečebných skupinách.</w:t>
      </w:r>
    </w:p>
    <w:p w:rsidR="008D0CF8" w:rsidRPr="007D1B67" w:rsidRDefault="008D0CF8" w:rsidP="00794E35">
      <w:pPr>
        <w:tabs>
          <w:tab w:val="left" w:pos="-2880"/>
          <w:tab w:val="left" w:pos="0"/>
          <w:tab w:val="left" w:pos="1440"/>
        </w:tabs>
        <w:suppressAutoHyphens/>
        <w:spacing w:line="240" w:lineRule="auto"/>
        <w:ind w:hanging="11"/>
        <w:rPr>
          <w:spacing w:val="-3"/>
          <w:szCs w:val="22"/>
        </w:rPr>
      </w:pPr>
    </w:p>
    <w:p w:rsidR="008D0CF8" w:rsidRPr="007D1B67" w:rsidRDefault="00B93209" w:rsidP="00794E35">
      <w:pPr>
        <w:keepNext/>
        <w:tabs>
          <w:tab w:val="left" w:pos="0"/>
          <w:tab w:val="left" w:pos="850"/>
          <w:tab w:val="left" w:pos="1440"/>
        </w:tabs>
        <w:suppressAutoHyphens/>
        <w:spacing w:line="240" w:lineRule="auto"/>
        <w:rPr>
          <w:i/>
          <w:spacing w:val="-3"/>
          <w:szCs w:val="22"/>
          <w:u w:val="single"/>
        </w:rPr>
      </w:pPr>
      <w:r w:rsidRPr="00AD5EA5">
        <w:rPr>
          <w:i/>
          <w:spacing w:val="-3"/>
          <w:szCs w:val="22"/>
          <w:u w:val="single"/>
        </w:rPr>
        <w:t>Karcinóm ovária</w:t>
      </w:r>
    </w:p>
    <w:p w:rsidR="008D0CF8" w:rsidRPr="007D1B67" w:rsidRDefault="00B93209" w:rsidP="00794E35">
      <w:pPr>
        <w:tabs>
          <w:tab w:val="left" w:pos="-2880"/>
          <w:tab w:val="left" w:pos="0"/>
          <w:tab w:val="left" w:pos="1440"/>
        </w:tabs>
        <w:suppressAutoHyphens/>
        <w:spacing w:line="240" w:lineRule="auto"/>
        <w:ind w:hanging="11"/>
        <w:rPr>
          <w:spacing w:val="-3"/>
          <w:szCs w:val="22"/>
        </w:rPr>
      </w:pPr>
      <w:r w:rsidRPr="00AD5EA5">
        <w:rPr>
          <w:spacing w:val="-3"/>
          <w:szCs w:val="22"/>
        </w:rPr>
        <w:t>V randomizovanej štúdii fázy</w:t>
      </w:r>
      <w:r w:rsidR="000643EB" w:rsidRPr="001D3CB1">
        <w:rPr>
          <w:spacing w:val="-3"/>
          <w:szCs w:val="22"/>
        </w:rPr>
        <w:t> </w:t>
      </w:r>
      <w:r w:rsidRPr="008A55DD">
        <w:rPr>
          <w:spacing w:val="-3"/>
          <w:szCs w:val="22"/>
        </w:rPr>
        <w:t>III bolo 356</w:t>
      </w:r>
      <w:r w:rsidR="000643EB" w:rsidRPr="00644C9F">
        <w:rPr>
          <w:spacing w:val="-3"/>
          <w:szCs w:val="22"/>
        </w:rPr>
        <w:t> </w:t>
      </w:r>
      <w:r w:rsidRPr="00C97179">
        <w:rPr>
          <w:spacing w:val="-3"/>
          <w:szCs w:val="22"/>
        </w:rPr>
        <w:t>pacientok s pokročilým epiteliálnym</w:t>
      </w:r>
      <w:r w:rsidRPr="001D7910">
        <w:rPr>
          <w:spacing w:val="-3"/>
          <w:szCs w:val="22"/>
        </w:rPr>
        <w:t xml:space="preserve"> karcinómom ovária s relapsom po </w:t>
      </w:r>
      <w:smartTag w:uri="urn:schemas-microsoft-com:office:smarttags" w:element="metricconverter">
        <w:smartTagPr>
          <w:attr w:name="ProductID" w:val="8 °C"/>
        </w:smartTagPr>
        <w:r w:rsidRPr="001D7910">
          <w:rPr>
            <w:spacing w:val="-3"/>
            <w:szCs w:val="22"/>
          </w:rPr>
          <w:t>6 a</w:t>
        </w:r>
      </w:smartTag>
      <w:r w:rsidRPr="001D7910">
        <w:rPr>
          <w:spacing w:val="-3"/>
          <w:szCs w:val="22"/>
        </w:rPr>
        <w:t xml:space="preserve"> viac mesiacoch po ukončenej terapii založenej na platine randomizovaných na liečbu gemcitabínom a karboplatinou (GCb), alebo len karboplatinou (Cb). U pacientok liečených GCb bolo pri porovnaní s pacientkami liečenými C</w:t>
      </w:r>
      <w:r w:rsidRPr="00A637E8">
        <w:rPr>
          <w:spacing w:val="-3"/>
          <w:szCs w:val="22"/>
        </w:rPr>
        <w:t>b pozorované štatisticky významné predĺženie doby do progresie ochorenia z 5</w:t>
      </w:r>
      <w:r w:rsidR="00D612B2" w:rsidRPr="00310F47">
        <w:rPr>
          <w:spacing w:val="-3"/>
          <w:szCs w:val="22"/>
        </w:rPr>
        <w:t>,8 na 8,6</w:t>
      </w:r>
      <w:r w:rsidR="000643EB" w:rsidRPr="00401889">
        <w:rPr>
          <w:spacing w:val="-3"/>
          <w:szCs w:val="22"/>
        </w:rPr>
        <w:t> </w:t>
      </w:r>
      <w:r w:rsidR="00D612B2" w:rsidRPr="00822D12">
        <w:rPr>
          <w:spacing w:val="-3"/>
          <w:szCs w:val="22"/>
        </w:rPr>
        <w:t>mesiacov (</w:t>
      </w:r>
      <w:r w:rsidR="004572DE">
        <w:rPr>
          <w:spacing w:val="-3"/>
          <w:szCs w:val="22"/>
        </w:rPr>
        <w:t>p hodnota log-rank testu</w:t>
      </w:r>
      <w:r w:rsidR="000643EB" w:rsidRPr="00822D12">
        <w:rPr>
          <w:spacing w:val="-3"/>
          <w:szCs w:val="22"/>
        </w:rPr>
        <w:t> </w:t>
      </w:r>
      <w:r w:rsidR="00D612B2" w:rsidRPr="00E505EC">
        <w:rPr>
          <w:spacing w:val="-3"/>
          <w:szCs w:val="22"/>
        </w:rPr>
        <w:t>=</w:t>
      </w:r>
      <w:r w:rsidR="000643EB" w:rsidRPr="00200C51">
        <w:rPr>
          <w:spacing w:val="-3"/>
          <w:szCs w:val="22"/>
        </w:rPr>
        <w:t> </w:t>
      </w:r>
      <w:r w:rsidRPr="00000C94">
        <w:rPr>
          <w:spacing w:val="-3"/>
          <w:szCs w:val="22"/>
        </w:rPr>
        <w:t>0,0038). Rozdiely v početnosti odpovedí 47,2</w:t>
      </w:r>
      <w:r w:rsidR="001974BB" w:rsidRPr="003341A5">
        <w:rPr>
          <w:spacing w:val="-3"/>
          <w:szCs w:val="22"/>
        </w:rPr>
        <w:t> %</w:t>
      </w:r>
      <w:r w:rsidRPr="00792A7D">
        <w:rPr>
          <w:spacing w:val="-3"/>
          <w:szCs w:val="22"/>
        </w:rPr>
        <w:t xml:space="preserve"> v skupine GCb oproti 30,9</w:t>
      </w:r>
      <w:r w:rsidR="001974BB" w:rsidRPr="00032B25">
        <w:rPr>
          <w:spacing w:val="-3"/>
          <w:szCs w:val="22"/>
        </w:rPr>
        <w:t> %</w:t>
      </w:r>
      <w:r w:rsidRPr="00CD1120">
        <w:rPr>
          <w:spacing w:val="-3"/>
          <w:szCs w:val="22"/>
        </w:rPr>
        <w:t xml:space="preserve"> u Cb skupiny (p</w:t>
      </w:r>
      <w:r w:rsidR="000643EB" w:rsidRPr="001F39C3">
        <w:rPr>
          <w:spacing w:val="-3"/>
          <w:szCs w:val="22"/>
        </w:rPr>
        <w:t> </w:t>
      </w:r>
      <w:r w:rsidRPr="00097C64">
        <w:rPr>
          <w:spacing w:val="-3"/>
          <w:szCs w:val="22"/>
        </w:rPr>
        <w:t>=</w:t>
      </w:r>
      <w:r w:rsidR="000643EB" w:rsidRPr="00FD0F32">
        <w:rPr>
          <w:spacing w:val="-3"/>
          <w:szCs w:val="22"/>
        </w:rPr>
        <w:t> </w:t>
      </w:r>
      <w:r w:rsidRPr="00FD0F32">
        <w:rPr>
          <w:spacing w:val="-3"/>
          <w:szCs w:val="22"/>
        </w:rPr>
        <w:t>0,0016) a strednej dobe prežitia 18 mesiacov (GCb) opr</w:t>
      </w:r>
      <w:r w:rsidRPr="00DD4BCE">
        <w:rPr>
          <w:spacing w:val="-3"/>
          <w:szCs w:val="22"/>
        </w:rPr>
        <w:t>oti 17,3 (Cb) (p</w:t>
      </w:r>
      <w:r w:rsidR="000643EB" w:rsidRPr="00057E1E">
        <w:rPr>
          <w:spacing w:val="-3"/>
          <w:szCs w:val="22"/>
        </w:rPr>
        <w:t> </w:t>
      </w:r>
      <w:r w:rsidRPr="001A4A53">
        <w:rPr>
          <w:spacing w:val="-3"/>
          <w:szCs w:val="22"/>
        </w:rPr>
        <w:t>=</w:t>
      </w:r>
      <w:r w:rsidR="000643EB" w:rsidRPr="00722475">
        <w:rPr>
          <w:spacing w:val="-3"/>
          <w:szCs w:val="22"/>
        </w:rPr>
        <w:t> </w:t>
      </w:r>
      <w:r w:rsidRPr="0004357C">
        <w:rPr>
          <w:spacing w:val="-3"/>
          <w:szCs w:val="22"/>
        </w:rPr>
        <w:t>0,73) uprednostňujú GCb skupinu.</w:t>
      </w:r>
    </w:p>
    <w:p w:rsidR="008D0CF8" w:rsidRPr="007D1B67" w:rsidRDefault="008D0CF8" w:rsidP="00794E35">
      <w:pPr>
        <w:tabs>
          <w:tab w:val="left" w:pos="-2880"/>
          <w:tab w:val="left" w:pos="0"/>
          <w:tab w:val="left" w:pos="1440"/>
        </w:tabs>
        <w:suppressAutoHyphens/>
        <w:spacing w:line="240" w:lineRule="auto"/>
        <w:ind w:hanging="11"/>
        <w:rPr>
          <w:spacing w:val="-3"/>
          <w:szCs w:val="22"/>
        </w:rPr>
      </w:pPr>
    </w:p>
    <w:p w:rsidR="008D0CF8" w:rsidRPr="007D1B67" w:rsidRDefault="00B93209" w:rsidP="00794E35">
      <w:pPr>
        <w:keepNext/>
        <w:tabs>
          <w:tab w:val="left" w:pos="0"/>
          <w:tab w:val="left" w:pos="850"/>
          <w:tab w:val="left" w:pos="1440"/>
        </w:tabs>
        <w:suppressAutoHyphens/>
        <w:spacing w:line="240" w:lineRule="auto"/>
        <w:ind w:hanging="11"/>
        <w:rPr>
          <w:i/>
          <w:spacing w:val="-3"/>
          <w:szCs w:val="22"/>
          <w:u w:val="single"/>
        </w:rPr>
      </w:pPr>
      <w:r w:rsidRPr="00AD5EA5">
        <w:rPr>
          <w:i/>
          <w:spacing w:val="-3"/>
          <w:szCs w:val="22"/>
          <w:u w:val="single"/>
        </w:rPr>
        <w:t>Karcinóm prsníka</w:t>
      </w:r>
    </w:p>
    <w:p w:rsidR="008D0CF8" w:rsidRPr="002C31C1" w:rsidRDefault="00B93209" w:rsidP="00794E35">
      <w:pPr>
        <w:spacing w:line="240" w:lineRule="auto"/>
        <w:rPr>
          <w:szCs w:val="22"/>
        </w:rPr>
      </w:pPr>
      <w:r w:rsidRPr="00AD5EA5">
        <w:rPr>
          <w:spacing w:val="-3"/>
          <w:szCs w:val="22"/>
        </w:rPr>
        <w:t>V randomizovanej štúdii fázy</w:t>
      </w:r>
      <w:r w:rsidR="000643EB" w:rsidRPr="001D3CB1">
        <w:rPr>
          <w:spacing w:val="-3"/>
          <w:szCs w:val="22"/>
        </w:rPr>
        <w:t> </w:t>
      </w:r>
      <w:r w:rsidRPr="008A55DD">
        <w:rPr>
          <w:spacing w:val="-3"/>
          <w:szCs w:val="22"/>
        </w:rPr>
        <w:t>III s</w:t>
      </w:r>
      <w:r w:rsidR="000643EB" w:rsidRPr="00644C9F">
        <w:rPr>
          <w:spacing w:val="-3"/>
          <w:szCs w:val="22"/>
        </w:rPr>
        <w:t> </w:t>
      </w:r>
      <w:r w:rsidRPr="00C97179">
        <w:rPr>
          <w:spacing w:val="-3"/>
          <w:szCs w:val="22"/>
        </w:rPr>
        <w:t>529</w:t>
      </w:r>
      <w:r w:rsidR="000643EB" w:rsidRPr="001D7910">
        <w:rPr>
          <w:spacing w:val="-3"/>
          <w:szCs w:val="22"/>
        </w:rPr>
        <w:t> </w:t>
      </w:r>
      <w:r w:rsidRPr="00A637E8">
        <w:rPr>
          <w:spacing w:val="-3"/>
          <w:szCs w:val="22"/>
        </w:rPr>
        <w:t>pacientkami s inoperabilným, lokálne rekurentným alebo metastatickým karcinómom prsníka s relapsom po adjuvantnej</w:t>
      </w:r>
      <w:r w:rsidR="004572DE">
        <w:rPr>
          <w:spacing w:val="-3"/>
          <w:szCs w:val="22"/>
        </w:rPr>
        <w:t>/</w:t>
      </w:r>
      <w:r w:rsidRPr="00A637E8">
        <w:rPr>
          <w:spacing w:val="-3"/>
          <w:szCs w:val="22"/>
        </w:rPr>
        <w:t>neoadjuvantnej chemoterapii</w:t>
      </w:r>
      <w:r w:rsidRPr="00310F47">
        <w:rPr>
          <w:spacing w:val="-3"/>
          <w:szCs w:val="22"/>
        </w:rPr>
        <w:t xml:space="preserve"> preukázal gemcitabín v kombinácii s paklitaxelom štatisticky významné predĺženie doby do dokumentovanej progresie ochorenia z 3,98 na 6,14</w:t>
      </w:r>
      <w:r w:rsidR="000643EB" w:rsidRPr="00401889">
        <w:rPr>
          <w:spacing w:val="-3"/>
          <w:szCs w:val="22"/>
        </w:rPr>
        <w:t> </w:t>
      </w:r>
      <w:r w:rsidRPr="00822D12">
        <w:rPr>
          <w:spacing w:val="-3"/>
          <w:szCs w:val="22"/>
        </w:rPr>
        <w:t>mesiaca (</w:t>
      </w:r>
      <w:r w:rsidR="004572DE">
        <w:rPr>
          <w:spacing w:val="-3"/>
          <w:szCs w:val="22"/>
        </w:rPr>
        <w:t>p hodnota log-rank testu</w:t>
      </w:r>
      <w:r w:rsidR="000643EB" w:rsidRPr="00822D12">
        <w:rPr>
          <w:spacing w:val="-3"/>
          <w:szCs w:val="22"/>
        </w:rPr>
        <w:t> </w:t>
      </w:r>
      <w:r w:rsidRPr="00E505EC">
        <w:rPr>
          <w:spacing w:val="-3"/>
          <w:szCs w:val="22"/>
        </w:rPr>
        <w:t>=</w:t>
      </w:r>
      <w:r w:rsidR="000643EB" w:rsidRPr="00200C51">
        <w:rPr>
          <w:spacing w:val="-3"/>
          <w:szCs w:val="22"/>
        </w:rPr>
        <w:t> </w:t>
      </w:r>
      <w:r w:rsidRPr="00000C94">
        <w:rPr>
          <w:spacing w:val="-3"/>
          <w:szCs w:val="22"/>
        </w:rPr>
        <w:t>0,0002) v porovnaní s paklitaxelom samotným. Po 377</w:t>
      </w:r>
      <w:r w:rsidR="000643EB" w:rsidRPr="003341A5">
        <w:rPr>
          <w:spacing w:val="-3"/>
          <w:szCs w:val="22"/>
        </w:rPr>
        <w:t> </w:t>
      </w:r>
      <w:r w:rsidRPr="00792A7D">
        <w:rPr>
          <w:spacing w:val="-3"/>
          <w:szCs w:val="22"/>
        </w:rPr>
        <w:t>úmrtiach bola celková doba prežitia 18,6</w:t>
      </w:r>
      <w:r w:rsidR="000643EB" w:rsidRPr="00032B25">
        <w:rPr>
          <w:spacing w:val="-3"/>
          <w:szCs w:val="22"/>
        </w:rPr>
        <w:t> </w:t>
      </w:r>
      <w:r w:rsidRPr="00CD1120">
        <w:rPr>
          <w:spacing w:val="-3"/>
          <w:szCs w:val="22"/>
        </w:rPr>
        <w:t>m</w:t>
      </w:r>
      <w:r w:rsidRPr="001F39C3">
        <w:rPr>
          <w:spacing w:val="-3"/>
          <w:szCs w:val="22"/>
        </w:rPr>
        <w:t>esiaca u pacientov liečených gemcitabínom a paklitaxelom oproti 15,8</w:t>
      </w:r>
      <w:r w:rsidR="000643EB" w:rsidRPr="00097C64">
        <w:rPr>
          <w:spacing w:val="-3"/>
          <w:szCs w:val="22"/>
        </w:rPr>
        <w:t> </w:t>
      </w:r>
      <w:r w:rsidRPr="00FD0F32">
        <w:rPr>
          <w:spacing w:val="-3"/>
          <w:szCs w:val="22"/>
        </w:rPr>
        <w:t>mesiaca (</w:t>
      </w:r>
      <w:r w:rsidR="004572DE">
        <w:rPr>
          <w:spacing w:val="-3"/>
          <w:szCs w:val="22"/>
        </w:rPr>
        <w:t>p hodnota log-rank testu</w:t>
      </w:r>
      <w:r w:rsidR="000643EB" w:rsidRPr="00FD0F32">
        <w:rPr>
          <w:spacing w:val="-3"/>
          <w:szCs w:val="22"/>
        </w:rPr>
        <w:t> </w:t>
      </w:r>
      <w:r w:rsidRPr="00DD4BCE">
        <w:rPr>
          <w:spacing w:val="-3"/>
          <w:szCs w:val="22"/>
        </w:rPr>
        <w:t>=</w:t>
      </w:r>
      <w:r w:rsidR="000643EB" w:rsidRPr="00057E1E">
        <w:rPr>
          <w:spacing w:val="-3"/>
          <w:szCs w:val="22"/>
        </w:rPr>
        <w:t> </w:t>
      </w:r>
      <w:r w:rsidRPr="001A4A53">
        <w:rPr>
          <w:spacing w:val="-3"/>
          <w:szCs w:val="22"/>
        </w:rPr>
        <w:t>0,0489, HR</w:t>
      </w:r>
      <w:r w:rsidR="000643EB" w:rsidRPr="00722475">
        <w:rPr>
          <w:spacing w:val="-3"/>
          <w:szCs w:val="22"/>
        </w:rPr>
        <w:t> </w:t>
      </w:r>
      <w:r w:rsidRPr="0004357C">
        <w:rPr>
          <w:spacing w:val="-3"/>
          <w:szCs w:val="22"/>
        </w:rPr>
        <w:t xml:space="preserve">0,82) u </w:t>
      </w:r>
      <w:r w:rsidR="00DC10FA" w:rsidRPr="00385A52">
        <w:rPr>
          <w:spacing w:val="-3"/>
          <w:szCs w:val="22"/>
        </w:rPr>
        <w:t xml:space="preserve">pacientov </w:t>
      </w:r>
      <w:r w:rsidRPr="00385A52">
        <w:rPr>
          <w:spacing w:val="-3"/>
          <w:szCs w:val="22"/>
        </w:rPr>
        <w:t xml:space="preserve">liečených paklitaxelom a celková </w:t>
      </w:r>
      <w:r w:rsidR="00347054" w:rsidRPr="002C31C1">
        <w:rPr>
          <w:spacing w:val="-3"/>
          <w:szCs w:val="22"/>
        </w:rPr>
        <w:t xml:space="preserve">početnosť </w:t>
      </w:r>
      <w:r w:rsidRPr="002C31C1">
        <w:rPr>
          <w:spacing w:val="-3"/>
          <w:szCs w:val="22"/>
        </w:rPr>
        <w:t>odpovedí bola 41,4</w:t>
      </w:r>
      <w:r w:rsidR="001974BB" w:rsidRPr="002C31C1">
        <w:rPr>
          <w:spacing w:val="-3"/>
          <w:szCs w:val="22"/>
        </w:rPr>
        <w:t> %</w:t>
      </w:r>
      <w:r w:rsidRPr="002C31C1">
        <w:rPr>
          <w:spacing w:val="-3"/>
          <w:szCs w:val="22"/>
        </w:rPr>
        <w:t xml:space="preserve"> a 26,2</w:t>
      </w:r>
      <w:r w:rsidR="001974BB" w:rsidRPr="002C31C1">
        <w:rPr>
          <w:spacing w:val="-3"/>
          <w:szCs w:val="22"/>
        </w:rPr>
        <w:t> %</w:t>
      </w:r>
      <w:r w:rsidR="00D612B2" w:rsidRPr="002C31C1">
        <w:rPr>
          <w:spacing w:val="-3"/>
          <w:szCs w:val="22"/>
        </w:rPr>
        <w:t xml:space="preserve"> v uvedenom poradí (p</w:t>
      </w:r>
      <w:r w:rsidR="00AF413B" w:rsidRPr="002C31C1">
        <w:rPr>
          <w:spacing w:val="-3"/>
          <w:szCs w:val="22"/>
        </w:rPr>
        <w:t> </w:t>
      </w:r>
      <w:r w:rsidR="00D612B2" w:rsidRPr="002C31C1">
        <w:rPr>
          <w:spacing w:val="-3"/>
          <w:szCs w:val="22"/>
        </w:rPr>
        <w:t>=</w:t>
      </w:r>
      <w:r w:rsidR="00AF413B" w:rsidRPr="002C31C1">
        <w:rPr>
          <w:spacing w:val="-3"/>
          <w:szCs w:val="22"/>
        </w:rPr>
        <w:t> </w:t>
      </w:r>
      <w:r w:rsidRPr="002C31C1">
        <w:rPr>
          <w:spacing w:val="-3"/>
          <w:szCs w:val="22"/>
        </w:rPr>
        <w:t>0,0002).</w:t>
      </w:r>
    </w:p>
    <w:p w:rsidR="008D0CF8" w:rsidRPr="00E93CE5" w:rsidRDefault="008D0CF8" w:rsidP="00794E35">
      <w:pPr>
        <w:spacing w:line="240" w:lineRule="auto"/>
        <w:rPr>
          <w:szCs w:val="22"/>
        </w:rPr>
      </w:pPr>
    </w:p>
    <w:p w:rsidR="008D0CF8" w:rsidRPr="004572DE" w:rsidRDefault="00B93209" w:rsidP="00794E35">
      <w:pPr>
        <w:keepNext/>
        <w:keepLines/>
        <w:spacing w:line="240" w:lineRule="auto"/>
        <w:rPr>
          <w:szCs w:val="22"/>
        </w:rPr>
      </w:pPr>
      <w:r w:rsidRPr="004572DE">
        <w:rPr>
          <w:b/>
          <w:szCs w:val="22"/>
        </w:rPr>
        <w:t>5.2</w:t>
      </w:r>
      <w:r w:rsidRPr="004572DE">
        <w:rPr>
          <w:b/>
          <w:szCs w:val="22"/>
        </w:rPr>
        <w:tab/>
        <w:t>Farmakokinetické vlastnosti</w:t>
      </w:r>
    </w:p>
    <w:p w:rsidR="008D0CF8" w:rsidRPr="00587EDE" w:rsidRDefault="008D0CF8" w:rsidP="00794E35">
      <w:pPr>
        <w:keepNext/>
        <w:keepLines/>
        <w:spacing w:line="240" w:lineRule="auto"/>
        <w:rPr>
          <w:szCs w:val="22"/>
        </w:rPr>
      </w:pPr>
    </w:p>
    <w:p w:rsidR="008D0CF8" w:rsidRPr="007D1B67" w:rsidRDefault="00B93209" w:rsidP="00794E35">
      <w:pPr>
        <w:keepNext/>
        <w:keepLines/>
        <w:spacing w:line="240" w:lineRule="auto"/>
        <w:rPr>
          <w:szCs w:val="22"/>
        </w:rPr>
      </w:pPr>
      <w:r w:rsidRPr="00B331D6">
        <w:rPr>
          <w:szCs w:val="22"/>
        </w:rPr>
        <w:t>Farmakokinetika gemcitabínu bola skúmaná v siedmych štúdiách u 353</w:t>
      </w:r>
      <w:r w:rsidR="000643EB" w:rsidRPr="00B331D6">
        <w:rPr>
          <w:szCs w:val="22"/>
        </w:rPr>
        <w:t> </w:t>
      </w:r>
      <w:r w:rsidRPr="00B331D6">
        <w:rPr>
          <w:szCs w:val="22"/>
        </w:rPr>
        <w:t>pacientov. Vekové rozpätie 121</w:t>
      </w:r>
      <w:r w:rsidR="000643EB" w:rsidRPr="00FD0C96">
        <w:rPr>
          <w:szCs w:val="22"/>
        </w:rPr>
        <w:t> </w:t>
      </w:r>
      <w:r w:rsidRPr="00FD0C96">
        <w:rPr>
          <w:szCs w:val="22"/>
        </w:rPr>
        <w:t>žien a</w:t>
      </w:r>
      <w:r w:rsidR="000643EB" w:rsidRPr="00FD0C96">
        <w:rPr>
          <w:szCs w:val="22"/>
        </w:rPr>
        <w:t> </w:t>
      </w:r>
      <w:r w:rsidRPr="00FD0C96">
        <w:rPr>
          <w:szCs w:val="22"/>
        </w:rPr>
        <w:t>232</w:t>
      </w:r>
      <w:r w:rsidR="000643EB" w:rsidRPr="00FD0C96">
        <w:rPr>
          <w:szCs w:val="22"/>
        </w:rPr>
        <w:t> </w:t>
      </w:r>
      <w:r w:rsidRPr="00FD0C96">
        <w:rPr>
          <w:szCs w:val="22"/>
        </w:rPr>
        <w:t>mužov sa pohybovalo od 29 do 79</w:t>
      </w:r>
      <w:r w:rsidR="000643EB" w:rsidRPr="00FD0C96">
        <w:rPr>
          <w:szCs w:val="22"/>
        </w:rPr>
        <w:t> </w:t>
      </w:r>
      <w:r w:rsidRPr="00FD0C96">
        <w:rPr>
          <w:szCs w:val="22"/>
        </w:rPr>
        <w:t>rokov. Približne 45</w:t>
      </w:r>
      <w:r w:rsidR="001974BB" w:rsidRPr="00FD0C96">
        <w:rPr>
          <w:szCs w:val="22"/>
        </w:rPr>
        <w:t> %</w:t>
      </w:r>
      <w:r w:rsidRPr="00FD0C96">
        <w:rPr>
          <w:szCs w:val="22"/>
        </w:rPr>
        <w:t xml:space="preserve"> z týchto pacientov malo nemalobunkový karcinóm pľúc a 35</w:t>
      </w:r>
      <w:r w:rsidR="001974BB" w:rsidRPr="00FD0C96">
        <w:rPr>
          <w:szCs w:val="22"/>
        </w:rPr>
        <w:t> %</w:t>
      </w:r>
      <w:r w:rsidRPr="00FD0C96">
        <w:rPr>
          <w:szCs w:val="22"/>
        </w:rPr>
        <w:t xml:space="preserve"> paciento</w:t>
      </w:r>
      <w:r w:rsidR="00587EDE">
        <w:rPr>
          <w:szCs w:val="22"/>
        </w:rPr>
        <w:t>m</w:t>
      </w:r>
      <w:r w:rsidRPr="00B331D6">
        <w:rPr>
          <w:szCs w:val="22"/>
        </w:rPr>
        <w:t xml:space="preserve"> bol diagnostikovaný karcinóm pankreasu. Nasledujúce farmakokinetické parametre boli získané na základe dá</w:t>
      </w:r>
      <w:r w:rsidR="00D612B2" w:rsidRPr="00FD0C96">
        <w:rPr>
          <w:szCs w:val="22"/>
        </w:rPr>
        <w:t>vok pohybujúcich sa od 500 do 2 </w:t>
      </w:r>
      <w:r w:rsidRPr="00FD0C96">
        <w:rPr>
          <w:szCs w:val="22"/>
        </w:rPr>
        <w:t>592</w:t>
      </w:r>
      <w:r w:rsidR="002F1F18" w:rsidRPr="002062DD">
        <w:rPr>
          <w:szCs w:val="22"/>
        </w:rPr>
        <w:t> mg</w:t>
      </w:r>
      <w:r w:rsidRPr="008038C3">
        <w:rPr>
          <w:szCs w:val="22"/>
        </w:rPr>
        <w:t>/</w:t>
      </w:r>
      <w:r w:rsidR="000B0D10" w:rsidRPr="008038C3">
        <w:rPr>
          <w:szCs w:val="22"/>
        </w:rPr>
        <w:t>m²</w:t>
      </w:r>
      <w:r w:rsidRPr="008038C3">
        <w:rPr>
          <w:szCs w:val="22"/>
        </w:rPr>
        <w:t>, ktoré boli podávané infúziou trvajúcou od 0,4 do 1,2</w:t>
      </w:r>
      <w:r w:rsidR="000643EB" w:rsidRPr="00834E16">
        <w:rPr>
          <w:szCs w:val="22"/>
        </w:rPr>
        <w:t> </w:t>
      </w:r>
      <w:r w:rsidRPr="00834E16">
        <w:rPr>
          <w:szCs w:val="22"/>
        </w:rPr>
        <w:t xml:space="preserve">hodiny. </w:t>
      </w:r>
    </w:p>
    <w:p w:rsidR="008D0CF8" w:rsidRPr="007D1B67" w:rsidRDefault="008D0CF8" w:rsidP="00794E35">
      <w:pPr>
        <w:keepNext/>
        <w:widowControl w:val="0"/>
        <w:spacing w:line="240" w:lineRule="auto"/>
        <w:rPr>
          <w:szCs w:val="22"/>
        </w:rPr>
      </w:pPr>
    </w:p>
    <w:p w:rsidR="008D0CF8" w:rsidRPr="007D1B67" w:rsidRDefault="00B93209" w:rsidP="00794E35">
      <w:pPr>
        <w:keepNext/>
        <w:widowControl w:val="0"/>
        <w:spacing w:line="240" w:lineRule="auto"/>
        <w:rPr>
          <w:szCs w:val="22"/>
        </w:rPr>
      </w:pPr>
      <w:r w:rsidRPr="00AD5EA5">
        <w:rPr>
          <w:szCs w:val="22"/>
        </w:rPr>
        <w:t>Maximálne plazmatické koncentrácie (získané v priebehu 5</w:t>
      </w:r>
      <w:r w:rsidRPr="001D3CB1">
        <w:rPr>
          <w:szCs w:val="22"/>
        </w:rPr>
        <w:t xml:space="preserve"> minút po dokončení infúzie) sa pohybovali od 3,2 do 45,5</w:t>
      </w:r>
      <w:r w:rsidR="00D612B2" w:rsidRPr="008A55DD">
        <w:rPr>
          <w:szCs w:val="22"/>
        </w:rPr>
        <w:t> </w:t>
      </w:r>
      <w:r w:rsidRPr="00644C9F">
        <w:rPr>
          <w:szCs w:val="22"/>
        </w:rPr>
        <w:t xml:space="preserve">μg/ml. Plazmatické koncentrácie </w:t>
      </w:r>
      <w:r w:rsidR="00B331D6">
        <w:rPr>
          <w:szCs w:val="22"/>
        </w:rPr>
        <w:t>východiskovej</w:t>
      </w:r>
      <w:r w:rsidRPr="00644C9F">
        <w:rPr>
          <w:szCs w:val="22"/>
        </w:rPr>
        <w:t xml:space="preserve"> látky po </w:t>
      </w:r>
      <w:r w:rsidR="00FD0C96">
        <w:rPr>
          <w:szCs w:val="22"/>
        </w:rPr>
        <w:t>podávaní</w:t>
      </w:r>
      <w:r w:rsidRPr="00644C9F">
        <w:rPr>
          <w:szCs w:val="22"/>
        </w:rPr>
        <w:t xml:space="preserve"> dávky 1 000 mg/</w:t>
      </w:r>
      <w:r w:rsidR="000B0D10" w:rsidRPr="00C97179">
        <w:rPr>
          <w:szCs w:val="22"/>
        </w:rPr>
        <w:t>m²</w:t>
      </w:r>
      <w:r w:rsidR="00771127" w:rsidRPr="001D7910">
        <w:rPr>
          <w:szCs w:val="22"/>
        </w:rPr>
        <w:t>/30</w:t>
      </w:r>
      <w:r w:rsidRPr="00A637E8">
        <w:rPr>
          <w:szCs w:val="22"/>
        </w:rPr>
        <w:t xml:space="preserve"> minút boli väčšie ako 5</w:t>
      </w:r>
      <w:r w:rsidR="00D612B2" w:rsidRPr="00310F47">
        <w:rPr>
          <w:szCs w:val="22"/>
        </w:rPr>
        <w:t> </w:t>
      </w:r>
      <w:r w:rsidRPr="00401889">
        <w:rPr>
          <w:szCs w:val="22"/>
        </w:rPr>
        <w:t>μg/ml približne 30 minút po ukončení infúzie a väčšie ako 0,4</w:t>
      </w:r>
      <w:r w:rsidR="00D612B2" w:rsidRPr="00822D12">
        <w:rPr>
          <w:szCs w:val="22"/>
        </w:rPr>
        <w:t> </w:t>
      </w:r>
      <w:r w:rsidRPr="00822D12">
        <w:rPr>
          <w:szCs w:val="22"/>
        </w:rPr>
        <w:t>μg/ml počas ďalšej nasledujúc</w:t>
      </w:r>
      <w:r w:rsidRPr="00E505EC">
        <w:rPr>
          <w:szCs w:val="22"/>
        </w:rPr>
        <w:t>ej hodiny.</w:t>
      </w:r>
    </w:p>
    <w:p w:rsidR="008D0CF8" w:rsidRPr="007D1B67" w:rsidRDefault="008D0CF8" w:rsidP="00794E35">
      <w:pPr>
        <w:spacing w:line="240" w:lineRule="auto"/>
        <w:rPr>
          <w:szCs w:val="22"/>
        </w:rPr>
      </w:pPr>
    </w:p>
    <w:p w:rsidR="008D0CF8" w:rsidRPr="007D1B67" w:rsidRDefault="00B93209" w:rsidP="00794E35">
      <w:pPr>
        <w:keepNext/>
        <w:spacing w:line="240" w:lineRule="auto"/>
        <w:rPr>
          <w:szCs w:val="22"/>
          <w:u w:val="single"/>
        </w:rPr>
      </w:pPr>
      <w:r w:rsidRPr="00AD5EA5">
        <w:rPr>
          <w:szCs w:val="22"/>
          <w:u w:val="single"/>
        </w:rPr>
        <w:t>Distribúcia</w:t>
      </w:r>
    </w:p>
    <w:p w:rsidR="008D0CF8" w:rsidRPr="007D1B67" w:rsidRDefault="00B93209" w:rsidP="00794E35">
      <w:pPr>
        <w:spacing w:line="240" w:lineRule="auto"/>
        <w:rPr>
          <w:szCs w:val="22"/>
        </w:rPr>
      </w:pPr>
      <w:r w:rsidRPr="00AD5EA5">
        <w:rPr>
          <w:szCs w:val="22"/>
        </w:rPr>
        <w:t>Distribučný objem centrálneho kompartmentu bol pri ženách 12,4 l/</w:t>
      </w:r>
      <w:r w:rsidR="000B0D10" w:rsidRPr="001D3CB1">
        <w:rPr>
          <w:szCs w:val="22"/>
        </w:rPr>
        <w:t>m²</w:t>
      </w:r>
      <w:r w:rsidRPr="008A55DD">
        <w:rPr>
          <w:szCs w:val="22"/>
        </w:rPr>
        <w:t xml:space="preserve"> a 17,5 l/</w:t>
      </w:r>
      <w:r w:rsidR="000B0D10" w:rsidRPr="00644C9F">
        <w:rPr>
          <w:szCs w:val="22"/>
        </w:rPr>
        <w:t>m²</w:t>
      </w:r>
      <w:r w:rsidRPr="00C97179">
        <w:rPr>
          <w:szCs w:val="22"/>
        </w:rPr>
        <w:t xml:space="preserve"> u mužov (interindividuálna variabilita bola 91,9</w:t>
      </w:r>
      <w:r w:rsidR="001974BB" w:rsidRPr="001D7910">
        <w:rPr>
          <w:szCs w:val="22"/>
        </w:rPr>
        <w:t> %</w:t>
      </w:r>
      <w:r w:rsidRPr="00A637E8">
        <w:rPr>
          <w:szCs w:val="22"/>
        </w:rPr>
        <w:t>). Distribučný objem periférneho kompartmentu bol 47,4 l/</w:t>
      </w:r>
      <w:r w:rsidR="000B0D10" w:rsidRPr="00310F47">
        <w:rPr>
          <w:szCs w:val="22"/>
        </w:rPr>
        <w:t>m²</w:t>
      </w:r>
      <w:r w:rsidRPr="00401889">
        <w:rPr>
          <w:szCs w:val="22"/>
        </w:rPr>
        <w:t>. Objem perifern</w:t>
      </w:r>
      <w:r w:rsidR="008038C3">
        <w:rPr>
          <w:szCs w:val="22"/>
        </w:rPr>
        <w:t>e</w:t>
      </w:r>
      <w:r w:rsidRPr="00401889">
        <w:rPr>
          <w:szCs w:val="22"/>
        </w:rPr>
        <w:t>ho kompartmentu</w:t>
      </w:r>
      <w:r w:rsidRPr="00822D12">
        <w:rPr>
          <w:szCs w:val="22"/>
        </w:rPr>
        <w:t xml:space="preserve"> nebol citlivý na pohlavie.</w:t>
      </w:r>
      <w:r w:rsidR="000643EB" w:rsidRPr="00822D12">
        <w:rPr>
          <w:szCs w:val="22"/>
        </w:rPr>
        <w:t xml:space="preserve"> </w:t>
      </w:r>
      <w:r w:rsidRPr="00E505EC">
        <w:rPr>
          <w:szCs w:val="22"/>
        </w:rPr>
        <w:t>Väzba na plazmatické proteíny sa ukázala byť zanedbateľnou.</w:t>
      </w:r>
    </w:p>
    <w:p w:rsidR="008D0CF8" w:rsidRPr="007D1B67" w:rsidRDefault="00B93209" w:rsidP="00794E35">
      <w:pPr>
        <w:spacing w:line="240" w:lineRule="auto"/>
        <w:rPr>
          <w:szCs w:val="22"/>
        </w:rPr>
      </w:pPr>
      <w:r w:rsidRPr="00AD5EA5">
        <w:rPr>
          <w:szCs w:val="22"/>
        </w:rPr>
        <w:t>Polčas: pohyboval sa v rozsahu od 42 do 94</w:t>
      </w:r>
      <w:r w:rsidR="000643EB" w:rsidRPr="001D3CB1">
        <w:rPr>
          <w:szCs w:val="22"/>
        </w:rPr>
        <w:t> </w:t>
      </w:r>
      <w:r w:rsidRPr="008A55DD">
        <w:rPr>
          <w:szCs w:val="22"/>
        </w:rPr>
        <w:t xml:space="preserve">minút v závislosti od veku a pohlavia. Pri doporučenej dávkovacej schéme sa </w:t>
      </w:r>
      <w:r w:rsidR="00834E16">
        <w:rPr>
          <w:szCs w:val="22"/>
        </w:rPr>
        <w:t xml:space="preserve">má </w:t>
      </w:r>
      <w:r w:rsidRPr="008A55DD">
        <w:rPr>
          <w:szCs w:val="22"/>
        </w:rPr>
        <w:t>eliminácia gemcitabínu</w:t>
      </w:r>
      <w:r w:rsidRPr="00644C9F">
        <w:rPr>
          <w:szCs w:val="22"/>
        </w:rPr>
        <w:t xml:space="preserve"> prakticky dokončiť v rozsahu 5 až 11</w:t>
      </w:r>
      <w:r w:rsidR="000643EB" w:rsidRPr="00C97179">
        <w:rPr>
          <w:szCs w:val="22"/>
        </w:rPr>
        <w:t> </w:t>
      </w:r>
      <w:r w:rsidRPr="001D7910">
        <w:rPr>
          <w:szCs w:val="22"/>
        </w:rPr>
        <w:t>hodín od začiatku infúzie. Pri pod</w:t>
      </w:r>
      <w:r w:rsidR="007121C2">
        <w:rPr>
          <w:szCs w:val="22"/>
        </w:rPr>
        <w:t>áva</w:t>
      </w:r>
      <w:r w:rsidRPr="001D7910">
        <w:rPr>
          <w:szCs w:val="22"/>
        </w:rPr>
        <w:t>ní jeden krát týždenne sa gemcitabín neakumuluje.</w:t>
      </w:r>
    </w:p>
    <w:p w:rsidR="008D0CF8" w:rsidRPr="007D1B67" w:rsidRDefault="008D0CF8" w:rsidP="00794E35">
      <w:pPr>
        <w:spacing w:line="240" w:lineRule="auto"/>
        <w:rPr>
          <w:szCs w:val="22"/>
        </w:rPr>
      </w:pPr>
    </w:p>
    <w:p w:rsidR="008D0CF8" w:rsidRPr="007D1B67" w:rsidRDefault="00B93209" w:rsidP="00794E35">
      <w:pPr>
        <w:keepNext/>
        <w:spacing w:line="240" w:lineRule="auto"/>
        <w:rPr>
          <w:szCs w:val="22"/>
        </w:rPr>
      </w:pPr>
      <w:r w:rsidRPr="00AD5EA5">
        <w:rPr>
          <w:szCs w:val="22"/>
          <w:u w:val="single"/>
        </w:rPr>
        <w:lastRenderedPageBreak/>
        <w:t>Biotransformácia</w:t>
      </w:r>
    </w:p>
    <w:p w:rsidR="008D0CF8" w:rsidRPr="007D1B67" w:rsidRDefault="00B93209" w:rsidP="00794E35">
      <w:pPr>
        <w:spacing w:line="240" w:lineRule="auto"/>
        <w:rPr>
          <w:szCs w:val="22"/>
        </w:rPr>
      </w:pPr>
      <w:r w:rsidRPr="00AD5EA5">
        <w:rPr>
          <w:szCs w:val="22"/>
        </w:rPr>
        <w:t xml:space="preserve">Gemcitabín je rýchlo </w:t>
      </w:r>
      <w:r w:rsidR="002346AB" w:rsidRPr="001D3CB1">
        <w:rPr>
          <w:szCs w:val="22"/>
        </w:rPr>
        <w:t>metabolizovaný</w:t>
      </w:r>
      <w:r w:rsidRPr="008A55DD">
        <w:rPr>
          <w:szCs w:val="22"/>
        </w:rPr>
        <w:t xml:space="preserve"> prostredníctvom cytidíndeaminázy v pečeni, obličkách, krvi a v ďalších tka</w:t>
      </w:r>
      <w:r w:rsidRPr="00644C9F">
        <w:rPr>
          <w:szCs w:val="22"/>
        </w:rPr>
        <w:t>nivách. Intracelulárny metabolizmus gemcitabínu produkuje gemcitabín mono-, di- a trifosfát</w:t>
      </w:r>
      <w:r w:rsidR="008F51C5">
        <w:rPr>
          <w:szCs w:val="22"/>
        </w:rPr>
        <w:t>y</w:t>
      </w:r>
      <w:r w:rsidRPr="00644C9F">
        <w:rPr>
          <w:szCs w:val="22"/>
        </w:rPr>
        <w:t xml:space="preserve"> (dFdCMP, dFdCDP a dFdCTP), z ktorých dFdCDP a dFdCTP sú považované za aktívne metabolity. Tieto intracelulárne metabolity neboli nájdené v plazme alebo v moči. Prim</w:t>
      </w:r>
      <w:r w:rsidRPr="00C97179">
        <w:rPr>
          <w:szCs w:val="22"/>
        </w:rPr>
        <w:t>árny metabolit 2'</w:t>
      </w:r>
      <w:r w:rsidR="0072599A" w:rsidRPr="001D7910">
        <w:rPr>
          <w:szCs w:val="22"/>
        </w:rPr>
        <w:noBreakHyphen/>
      </w:r>
      <w:r w:rsidRPr="00A637E8">
        <w:rPr>
          <w:szCs w:val="22"/>
        </w:rPr>
        <w:t>deoxy</w:t>
      </w:r>
      <w:r w:rsidR="0072599A" w:rsidRPr="00310F47">
        <w:rPr>
          <w:szCs w:val="22"/>
        </w:rPr>
        <w:noBreakHyphen/>
      </w:r>
      <w:r w:rsidRPr="00401889">
        <w:rPr>
          <w:szCs w:val="22"/>
        </w:rPr>
        <w:t>2',2'</w:t>
      </w:r>
      <w:r w:rsidR="0072599A" w:rsidRPr="00822D12">
        <w:rPr>
          <w:szCs w:val="22"/>
        </w:rPr>
        <w:noBreakHyphen/>
      </w:r>
      <w:r w:rsidRPr="00822D12">
        <w:rPr>
          <w:szCs w:val="22"/>
        </w:rPr>
        <w:t>difluoruridín (dFdU) nie je aktívny a objavuje sa v plazme a v moči.</w:t>
      </w:r>
    </w:p>
    <w:p w:rsidR="008D0CF8" w:rsidRPr="007D1B67" w:rsidRDefault="008D0CF8" w:rsidP="00794E35">
      <w:pPr>
        <w:spacing w:line="240" w:lineRule="auto"/>
        <w:rPr>
          <w:szCs w:val="22"/>
        </w:rPr>
      </w:pPr>
    </w:p>
    <w:p w:rsidR="008D0CF8" w:rsidRPr="007D1B67" w:rsidRDefault="00B93209" w:rsidP="00794E35">
      <w:pPr>
        <w:keepNext/>
        <w:spacing w:line="240" w:lineRule="auto"/>
        <w:rPr>
          <w:szCs w:val="22"/>
          <w:u w:val="single"/>
        </w:rPr>
      </w:pPr>
      <w:r w:rsidRPr="00AD5EA5">
        <w:rPr>
          <w:szCs w:val="22"/>
          <w:u w:val="single"/>
        </w:rPr>
        <w:t>Eliminácia</w:t>
      </w:r>
    </w:p>
    <w:p w:rsidR="008D0CF8" w:rsidRPr="007D1B67" w:rsidRDefault="00B93209" w:rsidP="00794E35">
      <w:pPr>
        <w:spacing w:line="240" w:lineRule="auto"/>
        <w:rPr>
          <w:szCs w:val="22"/>
        </w:rPr>
      </w:pPr>
      <w:r w:rsidRPr="00AD5EA5">
        <w:rPr>
          <w:szCs w:val="22"/>
        </w:rPr>
        <w:t>Systémový klírens sa pohybuje v rozsahu od 29,2 l/h/</w:t>
      </w:r>
      <w:r w:rsidR="000B0D10" w:rsidRPr="001D3CB1">
        <w:rPr>
          <w:szCs w:val="22"/>
        </w:rPr>
        <w:t>m²</w:t>
      </w:r>
      <w:r w:rsidRPr="008A55DD">
        <w:rPr>
          <w:szCs w:val="22"/>
        </w:rPr>
        <w:t xml:space="preserve"> do 92,2 </w:t>
      </w:r>
      <w:r w:rsidR="00D612B2" w:rsidRPr="00644C9F">
        <w:rPr>
          <w:szCs w:val="22"/>
        </w:rPr>
        <w:t>l</w:t>
      </w:r>
      <w:r w:rsidRPr="00C97179">
        <w:rPr>
          <w:szCs w:val="22"/>
        </w:rPr>
        <w:t>/h/</w:t>
      </w:r>
      <w:r w:rsidR="000B0D10" w:rsidRPr="001D7910">
        <w:rPr>
          <w:szCs w:val="22"/>
        </w:rPr>
        <w:t>m²</w:t>
      </w:r>
      <w:r w:rsidRPr="00A637E8">
        <w:rPr>
          <w:szCs w:val="22"/>
        </w:rPr>
        <w:t xml:space="preserve"> v závislosti od veku a pohlavia (interindividuálna variabilita bola 52,2</w:t>
      </w:r>
      <w:r w:rsidR="001974BB" w:rsidRPr="00310F47">
        <w:rPr>
          <w:szCs w:val="22"/>
        </w:rPr>
        <w:t> %</w:t>
      </w:r>
      <w:r w:rsidRPr="00401889">
        <w:rPr>
          <w:szCs w:val="22"/>
        </w:rPr>
        <w:t>)</w:t>
      </w:r>
      <w:r w:rsidRPr="00822D12">
        <w:rPr>
          <w:szCs w:val="22"/>
        </w:rPr>
        <w:t>. Klírens pri ženách je nižší približne o 25</w:t>
      </w:r>
      <w:r w:rsidR="001974BB" w:rsidRPr="00822D12">
        <w:rPr>
          <w:szCs w:val="22"/>
        </w:rPr>
        <w:t> %</w:t>
      </w:r>
      <w:r w:rsidRPr="00E505EC">
        <w:rPr>
          <w:szCs w:val="22"/>
        </w:rPr>
        <w:t xml:space="preserve"> v porovnaní s hodnotami u mužov. Aj keď je klírens </w:t>
      </w:r>
      <w:r w:rsidR="00BF1F0B" w:rsidRPr="00200C51">
        <w:rPr>
          <w:szCs w:val="22"/>
        </w:rPr>
        <w:t>rýchly</w:t>
      </w:r>
      <w:r w:rsidRPr="00000C94">
        <w:rPr>
          <w:szCs w:val="22"/>
        </w:rPr>
        <w:t xml:space="preserve"> zdá sa, že sa u mužov </w:t>
      </w:r>
      <w:r w:rsidR="00FF52F7">
        <w:rPr>
          <w:szCs w:val="22"/>
        </w:rPr>
        <w:t>a</w:t>
      </w:r>
      <w:r w:rsidRPr="00000C94">
        <w:rPr>
          <w:szCs w:val="22"/>
        </w:rPr>
        <w:t xml:space="preserve"> žien s vekom znižuje. Pri odporúčanej dávke gemcitabínu 1 000 mg/</w:t>
      </w:r>
      <w:r w:rsidR="000B0D10" w:rsidRPr="003341A5">
        <w:rPr>
          <w:szCs w:val="22"/>
        </w:rPr>
        <w:t>m²</w:t>
      </w:r>
      <w:r w:rsidRPr="00792A7D">
        <w:rPr>
          <w:szCs w:val="22"/>
        </w:rPr>
        <w:t xml:space="preserve"> pod</w:t>
      </w:r>
      <w:r w:rsidR="009F51A3">
        <w:rPr>
          <w:szCs w:val="22"/>
        </w:rPr>
        <w:t>áva</w:t>
      </w:r>
      <w:r w:rsidRPr="00792A7D">
        <w:rPr>
          <w:szCs w:val="22"/>
        </w:rPr>
        <w:t>nej ak</w:t>
      </w:r>
      <w:r w:rsidR="009B05D3" w:rsidRPr="00032B25">
        <w:rPr>
          <w:szCs w:val="22"/>
        </w:rPr>
        <w:t xml:space="preserve">o 30-minútová infúzia, nemusia </w:t>
      </w:r>
      <w:r w:rsidRPr="00CD1120">
        <w:rPr>
          <w:szCs w:val="22"/>
        </w:rPr>
        <w:t>nižšie hodnoty k</w:t>
      </w:r>
      <w:r w:rsidRPr="001F39C3">
        <w:rPr>
          <w:szCs w:val="22"/>
        </w:rPr>
        <w:t>lírensu u žien a mužov vyžadovať zníženie dávky gemcitabínu.</w:t>
      </w:r>
    </w:p>
    <w:p w:rsidR="008D0CF8" w:rsidRPr="007D1B67" w:rsidRDefault="00B93209" w:rsidP="00794E35">
      <w:pPr>
        <w:spacing w:line="240" w:lineRule="auto"/>
        <w:rPr>
          <w:szCs w:val="22"/>
          <w:highlight w:val="yellow"/>
        </w:rPr>
      </w:pPr>
      <w:r w:rsidRPr="00AD5EA5">
        <w:rPr>
          <w:szCs w:val="22"/>
        </w:rPr>
        <w:t>Exkrécia močom: v nezmenenej forme sa vylúči menej ako 10</w:t>
      </w:r>
      <w:r w:rsidR="001974BB" w:rsidRPr="001D3CB1">
        <w:rPr>
          <w:szCs w:val="22"/>
        </w:rPr>
        <w:t> %</w:t>
      </w:r>
      <w:r w:rsidRPr="008A55DD">
        <w:rPr>
          <w:szCs w:val="22"/>
        </w:rPr>
        <w:t xml:space="preserve"> podanej látky.</w:t>
      </w:r>
    </w:p>
    <w:p w:rsidR="008D0CF8" w:rsidRPr="007D1B67" w:rsidRDefault="00B93209" w:rsidP="00794E35">
      <w:pPr>
        <w:spacing w:line="240" w:lineRule="auto"/>
        <w:rPr>
          <w:szCs w:val="22"/>
        </w:rPr>
      </w:pPr>
      <w:r w:rsidRPr="00AD5EA5">
        <w:rPr>
          <w:szCs w:val="22"/>
        </w:rPr>
        <w:t>Renálny klírens sa pohyboval od 2 do 7 l/h/</w:t>
      </w:r>
      <w:r w:rsidR="000B0D10" w:rsidRPr="001D3CB1">
        <w:rPr>
          <w:szCs w:val="22"/>
        </w:rPr>
        <w:t>m²</w:t>
      </w:r>
      <w:r w:rsidRPr="008A55DD">
        <w:rPr>
          <w:szCs w:val="22"/>
        </w:rPr>
        <w:t>.</w:t>
      </w:r>
    </w:p>
    <w:p w:rsidR="008D0CF8" w:rsidRPr="007D1B67" w:rsidRDefault="008D0CF8" w:rsidP="00794E35">
      <w:pPr>
        <w:spacing w:line="240" w:lineRule="auto"/>
        <w:rPr>
          <w:szCs w:val="22"/>
        </w:rPr>
      </w:pPr>
    </w:p>
    <w:p w:rsidR="008D0CF8" w:rsidRPr="007D1B67" w:rsidRDefault="00B93209" w:rsidP="00794E35">
      <w:pPr>
        <w:keepNext/>
        <w:spacing w:line="240" w:lineRule="auto"/>
        <w:rPr>
          <w:szCs w:val="22"/>
        </w:rPr>
      </w:pPr>
      <w:r w:rsidRPr="00AD5EA5">
        <w:rPr>
          <w:szCs w:val="22"/>
        </w:rPr>
        <w:t>V priebehu týždňa nasledujúceho po pod</w:t>
      </w:r>
      <w:r w:rsidR="00BB6BA2">
        <w:rPr>
          <w:szCs w:val="22"/>
        </w:rPr>
        <w:t>áva</w:t>
      </w:r>
      <w:r w:rsidRPr="00AD5EA5">
        <w:rPr>
          <w:szCs w:val="22"/>
        </w:rPr>
        <w:t>ní sa vylúči 92 až 98</w:t>
      </w:r>
      <w:r w:rsidR="001974BB" w:rsidRPr="001D3CB1">
        <w:rPr>
          <w:szCs w:val="22"/>
        </w:rPr>
        <w:t> %</w:t>
      </w:r>
      <w:r w:rsidRPr="008A55DD">
        <w:rPr>
          <w:szCs w:val="22"/>
        </w:rPr>
        <w:t xml:space="preserve"> pod</w:t>
      </w:r>
      <w:r w:rsidR="008D2865">
        <w:rPr>
          <w:szCs w:val="22"/>
        </w:rPr>
        <w:t>áva</w:t>
      </w:r>
      <w:r w:rsidRPr="00644C9F">
        <w:rPr>
          <w:szCs w:val="22"/>
        </w:rPr>
        <w:t>nej dávky gemcitabínu, 99</w:t>
      </w:r>
      <w:r w:rsidR="001974BB" w:rsidRPr="00C97179">
        <w:rPr>
          <w:szCs w:val="22"/>
        </w:rPr>
        <w:t> %</w:t>
      </w:r>
      <w:r w:rsidRPr="001D7910">
        <w:rPr>
          <w:szCs w:val="22"/>
        </w:rPr>
        <w:t xml:space="preserve"> močom, prevažne vo forme dFdU a 1</w:t>
      </w:r>
      <w:r w:rsidR="001974BB" w:rsidRPr="00A637E8">
        <w:rPr>
          <w:szCs w:val="22"/>
        </w:rPr>
        <w:t> %</w:t>
      </w:r>
      <w:r w:rsidRPr="00310F47">
        <w:rPr>
          <w:szCs w:val="22"/>
        </w:rPr>
        <w:t xml:space="preserve"> dávky je vylúčené v stolici.</w:t>
      </w:r>
    </w:p>
    <w:p w:rsidR="008D0CF8" w:rsidRPr="007D1B67" w:rsidRDefault="008D0CF8" w:rsidP="00794E35">
      <w:pPr>
        <w:spacing w:line="240" w:lineRule="auto"/>
        <w:rPr>
          <w:szCs w:val="22"/>
        </w:rPr>
      </w:pPr>
    </w:p>
    <w:p w:rsidR="008D0CF8" w:rsidRPr="007D1B67" w:rsidRDefault="00B93209" w:rsidP="00794E35">
      <w:pPr>
        <w:keepNext/>
        <w:spacing w:line="240" w:lineRule="auto"/>
        <w:rPr>
          <w:szCs w:val="22"/>
          <w:u w:val="single"/>
        </w:rPr>
      </w:pPr>
      <w:r w:rsidRPr="00AD5EA5">
        <w:rPr>
          <w:szCs w:val="22"/>
          <w:u w:val="single"/>
        </w:rPr>
        <w:t>Kinetika dFdCTP</w:t>
      </w:r>
    </w:p>
    <w:p w:rsidR="008D0CF8" w:rsidRPr="007D1B67" w:rsidRDefault="00B93209" w:rsidP="00794E35">
      <w:pPr>
        <w:spacing w:line="240" w:lineRule="auto"/>
        <w:rPr>
          <w:szCs w:val="22"/>
        </w:rPr>
      </w:pPr>
      <w:r w:rsidRPr="00AD5EA5">
        <w:rPr>
          <w:szCs w:val="22"/>
        </w:rPr>
        <w:t>Tento metabolit sa môže nachádzať v mononukleárnych</w:t>
      </w:r>
      <w:r w:rsidRPr="001D3CB1">
        <w:rPr>
          <w:szCs w:val="22"/>
        </w:rPr>
        <w:t xml:space="preserve"> bunkách periférnej krvi a nižšie uvedené informácie sa týkajú týchto buniek. Intracelulárna koncentrácia sa zvyšuje úmerne </w:t>
      </w:r>
      <w:r w:rsidR="00D612B2" w:rsidRPr="008A55DD">
        <w:rPr>
          <w:szCs w:val="22"/>
        </w:rPr>
        <w:t>dávke gemcitabínu od 35</w:t>
      </w:r>
      <w:r w:rsidR="00B3293E" w:rsidRPr="00644C9F">
        <w:rPr>
          <w:szCs w:val="22"/>
        </w:rPr>
        <w:t> </w:t>
      </w:r>
      <w:r w:rsidR="00D612B2" w:rsidRPr="00C97179">
        <w:rPr>
          <w:szCs w:val="22"/>
        </w:rPr>
        <w:noBreakHyphen/>
      </w:r>
      <w:r w:rsidR="00B3293E" w:rsidRPr="001D7910">
        <w:rPr>
          <w:szCs w:val="22"/>
        </w:rPr>
        <w:t> </w:t>
      </w:r>
      <w:r w:rsidR="00D612B2" w:rsidRPr="00A637E8">
        <w:rPr>
          <w:szCs w:val="22"/>
        </w:rPr>
        <w:t>350 mg/</w:t>
      </w:r>
      <w:r w:rsidR="000B0D10" w:rsidRPr="00310F47">
        <w:rPr>
          <w:szCs w:val="22"/>
        </w:rPr>
        <w:t>m²</w:t>
      </w:r>
      <w:r w:rsidRPr="00401889">
        <w:rPr>
          <w:szCs w:val="22"/>
        </w:rPr>
        <w:t>/30 minút, kedy je dosiahnutá koncentrácia v ustálenom stave 0,4</w:t>
      </w:r>
      <w:r w:rsidR="00E97AAF" w:rsidRPr="00822D12">
        <w:rPr>
          <w:szCs w:val="22"/>
        </w:rPr>
        <w:t> </w:t>
      </w:r>
      <w:r w:rsidRPr="00822D12">
        <w:rPr>
          <w:szCs w:val="22"/>
        </w:rPr>
        <w:t>-</w:t>
      </w:r>
      <w:r w:rsidR="00E97AAF" w:rsidRPr="00E505EC">
        <w:rPr>
          <w:szCs w:val="22"/>
        </w:rPr>
        <w:t> </w:t>
      </w:r>
      <w:r w:rsidRPr="00200C51">
        <w:rPr>
          <w:szCs w:val="22"/>
        </w:rPr>
        <w:t>5</w:t>
      </w:r>
      <w:r w:rsidR="009B05D3" w:rsidRPr="00000C94">
        <w:rPr>
          <w:szCs w:val="22"/>
        </w:rPr>
        <w:t> </w:t>
      </w:r>
      <w:r w:rsidRPr="003341A5">
        <w:rPr>
          <w:szCs w:val="22"/>
        </w:rPr>
        <w:t>μg/ml. Pri koncentrácii gemc</w:t>
      </w:r>
      <w:r w:rsidRPr="00792A7D">
        <w:rPr>
          <w:szCs w:val="22"/>
        </w:rPr>
        <w:t>itabínu v plazme nad 5</w:t>
      </w:r>
      <w:r w:rsidR="00B3293E" w:rsidRPr="00032B25">
        <w:rPr>
          <w:szCs w:val="22"/>
        </w:rPr>
        <w:t> </w:t>
      </w:r>
      <w:r w:rsidRPr="00CD1120">
        <w:rPr>
          <w:szCs w:val="22"/>
        </w:rPr>
        <w:t xml:space="preserve">μg/ml sa hladiny dFdCTP nezvyšujú, čo naznačuje, že </w:t>
      </w:r>
      <w:r w:rsidR="00CD6E4D" w:rsidRPr="001F39C3">
        <w:rPr>
          <w:szCs w:val="22"/>
        </w:rPr>
        <w:t xml:space="preserve">jeho tvorba </w:t>
      </w:r>
      <w:r w:rsidRPr="00097C64">
        <w:rPr>
          <w:szCs w:val="22"/>
        </w:rPr>
        <w:t>je v týchto bunkách saturovaná.</w:t>
      </w:r>
    </w:p>
    <w:p w:rsidR="008D0CF8" w:rsidRPr="007D1B67" w:rsidRDefault="00B93209" w:rsidP="00794E35">
      <w:pPr>
        <w:spacing w:line="240" w:lineRule="auto"/>
        <w:rPr>
          <w:szCs w:val="22"/>
        </w:rPr>
      </w:pPr>
      <w:r w:rsidRPr="00AD5EA5">
        <w:rPr>
          <w:szCs w:val="22"/>
        </w:rPr>
        <w:t>Polčas</w:t>
      </w:r>
      <w:r w:rsidR="00D612B2" w:rsidRPr="001D3CB1">
        <w:rPr>
          <w:szCs w:val="22"/>
        </w:rPr>
        <w:t xml:space="preserve"> terminálnej eliminácie: 0,7 </w:t>
      </w:r>
      <w:r w:rsidR="00D612B2" w:rsidRPr="001D3CB1">
        <w:rPr>
          <w:szCs w:val="22"/>
        </w:rPr>
        <w:noBreakHyphen/>
        <w:t> </w:t>
      </w:r>
      <w:r w:rsidRPr="008A55DD">
        <w:rPr>
          <w:szCs w:val="22"/>
        </w:rPr>
        <w:t>12 hodín.</w:t>
      </w:r>
    </w:p>
    <w:p w:rsidR="008D0CF8" w:rsidRPr="007D1B67" w:rsidRDefault="008D0CF8" w:rsidP="00794E35">
      <w:pPr>
        <w:spacing w:line="240" w:lineRule="auto"/>
        <w:rPr>
          <w:szCs w:val="22"/>
        </w:rPr>
      </w:pPr>
    </w:p>
    <w:p w:rsidR="00771127" w:rsidRPr="001D3CB1" w:rsidRDefault="00B93209" w:rsidP="00794E35">
      <w:pPr>
        <w:keepNext/>
        <w:spacing w:line="240" w:lineRule="auto"/>
        <w:rPr>
          <w:szCs w:val="22"/>
          <w:u w:val="single"/>
        </w:rPr>
      </w:pPr>
      <w:r w:rsidRPr="00AD5EA5">
        <w:rPr>
          <w:szCs w:val="22"/>
          <w:u w:val="single"/>
        </w:rPr>
        <w:t>Kinetika dFdU</w:t>
      </w:r>
    </w:p>
    <w:p w:rsidR="008D0CF8" w:rsidRPr="007D1B67" w:rsidRDefault="00B93209" w:rsidP="00794E35">
      <w:pPr>
        <w:keepNext/>
        <w:spacing w:line="240" w:lineRule="auto"/>
        <w:rPr>
          <w:szCs w:val="22"/>
        </w:rPr>
      </w:pPr>
      <w:r w:rsidRPr="008A55DD">
        <w:rPr>
          <w:szCs w:val="22"/>
        </w:rPr>
        <w:t>Maximálna plazmatická koncentrácia (3</w:t>
      </w:r>
      <w:r w:rsidR="00E97AAF" w:rsidRPr="00644C9F">
        <w:rPr>
          <w:szCs w:val="22"/>
        </w:rPr>
        <w:t> </w:t>
      </w:r>
      <w:r w:rsidR="00E97AAF" w:rsidRPr="00644C9F">
        <w:rPr>
          <w:szCs w:val="22"/>
        </w:rPr>
        <w:noBreakHyphen/>
        <w:t> </w:t>
      </w:r>
      <w:r w:rsidRPr="00C97179">
        <w:rPr>
          <w:szCs w:val="22"/>
        </w:rPr>
        <w:t>15</w:t>
      </w:r>
      <w:r w:rsidR="00E97AAF" w:rsidRPr="001D7910">
        <w:rPr>
          <w:szCs w:val="22"/>
        </w:rPr>
        <w:t> </w:t>
      </w:r>
      <w:r w:rsidRPr="00A637E8">
        <w:rPr>
          <w:szCs w:val="22"/>
        </w:rPr>
        <w:t>minút po ukončení 30</w:t>
      </w:r>
      <w:r w:rsidR="00E97AAF" w:rsidRPr="00310F47">
        <w:rPr>
          <w:szCs w:val="22"/>
        </w:rPr>
        <w:noBreakHyphen/>
      </w:r>
      <w:r w:rsidRPr="00401889">
        <w:rPr>
          <w:szCs w:val="22"/>
        </w:rPr>
        <w:t>minútové in</w:t>
      </w:r>
      <w:r w:rsidRPr="00822D12">
        <w:rPr>
          <w:szCs w:val="22"/>
        </w:rPr>
        <w:t>fúzie, 1 000 mg/</w:t>
      </w:r>
      <w:r w:rsidR="000B0D10" w:rsidRPr="00822D12">
        <w:rPr>
          <w:szCs w:val="22"/>
        </w:rPr>
        <w:t>m²</w:t>
      </w:r>
      <w:r w:rsidRPr="00E505EC">
        <w:rPr>
          <w:szCs w:val="22"/>
        </w:rPr>
        <w:t>): 28</w:t>
      </w:r>
      <w:r w:rsidRPr="00E505EC">
        <w:rPr>
          <w:szCs w:val="22"/>
        </w:rPr>
        <w:noBreakHyphen/>
        <w:t>52 µg/ml. Minimálna koncentrácia po pod</w:t>
      </w:r>
      <w:r w:rsidR="008E61BB">
        <w:rPr>
          <w:szCs w:val="22"/>
        </w:rPr>
        <w:t>áva</w:t>
      </w:r>
      <w:r w:rsidRPr="00E505EC">
        <w:rPr>
          <w:szCs w:val="22"/>
        </w:rPr>
        <w:t xml:space="preserve">ní jedenkrát za týždeň: </w:t>
      </w:r>
      <w:r w:rsidR="00B3293E" w:rsidRPr="00200C51">
        <w:rPr>
          <w:szCs w:val="22"/>
        </w:rPr>
        <w:t>0,07 </w:t>
      </w:r>
      <w:r w:rsidR="00B3293E" w:rsidRPr="00200C51">
        <w:rPr>
          <w:szCs w:val="22"/>
        </w:rPr>
        <w:noBreakHyphen/>
        <w:t> </w:t>
      </w:r>
      <w:r w:rsidRPr="00000C94">
        <w:rPr>
          <w:szCs w:val="22"/>
        </w:rPr>
        <w:t>1,12</w:t>
      </w:r>
      <w:r w:rsidR="009B05D3" w:rsidRPr="003341A5">
        <w:rPr>
          <w:szCs w:val="22"/>
        </w:rPr>
        <w:t> </w:t>
      </w:r>
      <w:r w:rsidR="00771127" w:rsidRPr="00792A7D">
        <w:rPr>
          <w:szCs w:val="22"/>
        </w:rPr>
        <w:t xml:space="preserve">μg/ml bez evidentnej </w:t>
      </w:r>
      <w:r w:rsidR="007500B8">
        <w:rPr>
          <w:szCs w:val="22"/>
        </w:rPr>
        <w:t>a</w:t>
      </w:r>
      <w:r w:rsidRPr="00032B25">
        <w:rPr>
          <w:szCs w:val="22"/>
        </w:rPr>
        <w:t>kumulácie. Trojfázov</w:t>
      </w:r>
      <w:r w:rsidR="007500B8">
        <w:rPr>
          <w:szCs w:val="22"/>
        </w:rPr>
        <w:t>ý graf</w:t>
      </w:r>
      <w:r w:rsidR="00EB12EA" w:rsidRPr="00CD1120">
        <w:rPr>
          <w:szCs w:val="22"/>
        </w:rPr>
        <w:t xml:space="preserve"> </w:t>
      </w:r>
      <w:r w:rsidRPr="001F39C3">
        <w:rPr>
          <w:szCs w:val="22"/>
        </w:rPr>
        <w:t>plazmatick</w:t>
      </w:r>
      <w:r w:rsidR="00EB12EA" w:rsidRPr="00097C64">
        <w:rPr>
          <w:szCs w:val="22"/>
        </w:rPr>
        <w:t>e</w:t>
      </w:r>
      <w:r w:rsidR="007500B8">
        <w:rPr>
          <w:szCs w:val="22"/>
        </w:rPr>
        <w:t>j</w:t>
      </w:r>
      <w:r w:rsidRPr="00FD0F32">
        <w:rPr>
          <w:szCs w:val="22"/>
        </w:rPr>
        <w:t xml:space="preserve"> koncentráci</w:t>
      </w:r>
      <w:r w:rsidR="00EB12EA" w:rsidRPr="00DD4BCE">
        <w:rPr>
          <w:szCs w:val="22"/>
        </w:rPr>
        <w:t>e</w:t>
      </w:r>
      <w:r w:rsidRPr="00057E1E">
        <w:rPr>
          <w:szCs w:val="22"/>
        </w:rPr>
        <w:t xml:space="preserve"> </w:t>
      </w:r>
      <w:r w:rsidR="00EB12EA" w:rsidRPr="001A4A53">
        <w:rPr>
          <w:szCs w:val="22"/>
        </w:rPr>
        <w:t>a</w:t>
      </w:r>
      <w:r w:rsidRPr="00722475">
        <w:rPr>
          <w:szCs w:val="22"/>
        </w:rPr>
        <w:t xml:space="preserve"> čas</w:t>
      </w:r>
      <w:r w:rsidR="00EB12EA" w:rsidRPr="0004357C">
        <w:rPr>
          <w:szCs w:val="22"/>
        </w:rPr>
        <w:t>u</w:t>
      </w:r>
      <w:r w:rsidRPr="002C31C1">
        <w:rPr>
          <w:szCs w:val="22"/>
        </w:rPr>
        <w:t>, priemerný eliminačný polčas terminálnej fázy – 65</w:t>
      </w:r>
      <w:r w:rsidR="00E97AAF" w:rsidRPr="00E93CE5">
        <w:rPr>
          <w:szCs w:val="22"/>
        </w:rPr>
        <w:t> </w:t>
      </w:r>
      <w:r w:rsidRPr="004572DE">
        <w:rPr>
          <w:szCs w:val="22"/>
        </w:rPr>
        <w:t>hodín (rozmedzie 33</w:t>
      </w:r>
      <w:r w:rsidR="00B3293E" w:rsidRPr="004572DE">
        <w:rPr>
          <w:szCs w:val="22"/>
        </w:rPr>
        <w:t> </w:t>
      </w:r>
      <w:r w:rsidRPr="00587EDE">
        <w:rPr>
          <w:szCs w:val="22"/>
        </w:rPr>
        <w:t>–</w:t>
      </w:r>
      <w:r w:rsidR="00B3293E" w:rsidRPr="00587EDE">
        <w:rPr>
          <w:szCs w:val="22"/>
        </w:rPr>
        <w:t> </w:t>
      </w:r>
      <w:r w:rsidRPr="00587EDE">
        <w:rPr>
          <w:szCs w:val="22"/>
        </w:rPr>
        <w:t>8</w:t>
      </w:r>
      <w:r w:rsidRPr="00B331D6">
        <w:rPr>
          <w:szCs w:val="22"/>
        </w:rPr>
        <w:t>4</w:t>
      </w:r>
      <w:r w:rsidR="00E97AAF" w:rsidRPr="00FD0C96">
        <w:rPr>
          <w:szCs w:val="22"/>
        </w:rPr>
        <w:t> </w:t>
      </w:r>
      <w:r w:rsidRPr="002062DD">
        <w:rPr>
          <w:szCs w:val="22"/>
        </w:rPr>
        <w:t>hodín).</w:t>
      </w:r>
    </w:p>
    <w:p w:rsidR="008D0CF8" w:rsidRPr="007D1B67" w:rsidRDefault="00B93209" w:rsidP="00794E35">
      <w:pPr>
        <w:spacing w:line="240" w:lineRule="auto"/>
        <w:rPr>
          <w:szCs w:val="22"/>
        </w:rPr>
      </w:pPr>
      <w:r w:rsidRPr="00AD5EA5">
        <w:rPr>
          <w:szCs w:val="22"/>
        </w:rPr>
        <w:t>Vzni</w:t>
      </w:r>
      <w:r w:rsidR="00D612B2" w:rsidRPr="001D3CB1">
        <w:rPr>
          <w:szCs w:val="22"/>
        </w:rPr>
        <w:t xml:space="preserve">k dFdU z </w:t>
      </w:r>
      <w:r w:rsidR="001B180B">
        <w:rPr>
          <w:szCs w:val="22"/>
        </w:rPr>
        <w:t>východiskovej</w:t>
      </w:r>
      <w:r w:rsidR="00D612B2" w:rsidRPr="001D3CB1">
        <w:rPr>
          <w:szCs w:val="22"/>
        </w:rPr>
        <w:t xml:space="preserve"> látky: 91 % </w:t>
      </w:r>
      <w:r w:rsidR="00D612B2" w:rsidRPr="001D3CB1">
        <w:rPr>
          <w:szCs w:val="22"/>
        </w:rPr>
        <w:noBreakHyphen/>
        <w:t> </w:t>
      </w:r>
      <w:r w:rsidRPr="008A55DD">
        <w:rPr>
          <w:szCs w:val="22"/>
        </w:rPr>
        <w:t>98 %.</w:t>
      </w:r>
    </w:p>
    <w:p w:rsidR="008D0CF8" w:rsidRPr="007D1B67" w:rsidRDefault="00B93209" w:rsidP="00794E35">
      <w:pPr>
        <w:spacing w:line="240" w:lineRule="auto"/>
        <w:rPr>
          <w:szCs w:val="22"/>
        </w:rPr>
      </w:pPr>
      <w:r w:rsidRPr="00AD5EA5">
        <w:rPr>
          <w:szCs w:val="22"/>
        </w:rPr>
        <w:t>Stredný distribučný objem centrálneho kompartmentu: 18 l/</w:t>
      </w:r>
      <w:r w:rsidR="000B0D10" w:rsidRPr="001D3CB1">
        <w:rPr>
          <w:szCs w:val="22"/>
        </w:rPr>
        <w:t>m²</w:t>
      </w:r>
      <w:r w:rsidR="00D612B2" w:rsidRPr="008A55DD">
        <w:rPr>
          <w:szCs w:val="22"/>
        </w:rPr>
        <w:t xml:space="preserve"> (rozmedzie 11 </w:t>
      </w:r>
      <w:r w:rsidR="00D612B2" w:rsidRPr="008A55DD">
        <w:rPr>
          <w:szCs w:val="22"/>
        </w:rPr>
        <w:noBreakHyphen/>
        <w:t> </w:t>
      </w:r>
      <w:r w:rsidRPr="00644C9F">
        <w:rPr>
          <w:szCs w:val="22"/>
        </w:rPr>
        <w:t>22 l/</w:t>
      </w:r>
      <w:r w:rsidR="000B0D10" w:rsidRPr="00C97179">
        <w:rPr>
          <w:szCs w:val="22"/>
        </w:rPr>
        <w:t>m²</w:t>
      </w:r>
      <w:r w:rsidRPr="001D7910">
        <w:rPr>
          <w:szCs w:val="22"/>
        </w:rPr>
        <w:t>).</w:t>
      </w:r>
    </w:p>
    <w:p w:rsidR="008D0CF8" w:rsidRPr="007D1B67" w:rsidRDefault="00B93209" w:rsidP="00794E35">
      <w:pPr>
        <w:spacing w:line="240" w:lineRule="auto"/>
        <w:rPr>
          <w:szCs w:val="22"/>
        </w:rPr>
      </w:pPr>
      <w:r w:rsidRPr="00AD5EA5">
        <w:rPr>
          <w:szCs w:val="22"/>
        </w:rPr>
        <w:t>Stredný distribučný objem (Vss) v ustálenom stave: 150 l/</w:t>
      </w:r>
      <w:r w:rsidR="000B0D10" w:rsidRPr="001D3CB1">
        <w:rPr>
          <w:szCs w:val="22"/>
        </w:rPr>
        <w:t>m²</w:t>
      </w:r>
      <w:r w:rsidR="00D612B2" w:rsidRPr="008A55DD">
        <w:rPr>
          <w:szCs w:val="22"/>
        </w:rPr>
        <w:t xml:space="preserve"> (rozmedzie 96 </w:t>
      </w:r>
      <w:r w:rsidR="00D612B2" w:rsidRPr="008A55DD">
        <w:rPr>
          <w:szCs w:val="22"/>
        </w:rPr>
        <w:noBreakHyphen/>
        <w:t> </w:t>
      </w:r>
      <w:r w:rsidRPr="00644C9F">
        <w:rPr>
          <w:szCs w:val="22"/>
        </w:rPr>
        <w:t>228 l/</w:t>
      </w:r>
      <w:r w:rsidR="000B0D10" w:rsidRPr="00C97179">
        <w:rPr>
          <w:szCs w:val="22"/>
        </w:rPr>
        <w:t>m²</w:t>
      </w:r>
      <w:r w:rsidRPr="001D7910">
        <w:rPr>
          <w:szCs w:val="22"/>
        </w:rPr>
        <w:t>).</w:t>
      </w:r>
    </w:p>
    <w:p w:rsidR="008D0CF8" w:rsidRPr="007D1B67" w:rsidRDefault="00B93209" w:rsidP="00794E35">
      <w:pPr>
        <w:spacing w:line="240" w:lineRule="auto"/>
        <w:rPr>
          <w:szCs w:val="22"/>
        </w:rPr>
      </w:pPr>
      <w:r w:rsidRPr="00AD5EA5">
        <w:rPr>
          <w:szCs w:val="22"/>
        </w:rPr>
        <w:t xml:space="preserve">Tkanivová distribúcia: </w:t>
      </w:r>
      <w:r w:rsidRPr="001D3CB1">
        <w:rPr>
          <w:szCs w:val="22"/>
        </w:rPr>
        <w:t>rozsiahla.</w:t>
      </w:r>
    </w:p>
    <w:p w:rsidR="008D0CF8" w:rsidRPr="007D1B67" w:rsidRDefault="00B93209" w:rsidP="00794E35">
      <w:pPr>
        <w:spacing w:line="240" w:lineRule="auto"/>
        <w:rPr>
          <w:szCs w:val="22"/>
        </w:rPr>
      </w:pPr>
      <w:r w:rsidRPr="00AD5EA5">
        <w:rPr>
          <w:szCs w:val="22"/>
        </w:rPr>
        <w:t>Stredný zjavný klírens: 2,5 l/h/</w:t>
      </w:r>
      <w:r w:rsidR="000B0D10" w:rsidRPr="001D3CB1">
        <w:rPr>
          <w:szCs w:val="22"/>
        </w:rPr>
        <w:t>m²</w:t>
      </w:r>
      <w:r w:rsidR="00D612B2" w:rsidRPr="008A55DD">
        <w:rPr>
          <w:szCs w:val="22"/>
        </w:rPr>
        <w:t xml:space="preserve"> (rozmedzie 1 </w:t>
      </w:r>
      <w:r w:rsidR="00D612B2" w:rsidRPr="008A55DD">
        <w:rPr>
          <w:szCs w:val="22"/>
        </w:rPr>
        <w:noBreakHyphen/>
        <w:t> </w:t>
      </w:r>
      <w:r w:rsidRPr="00644C9F">
        <w:rPr>
          <w:szCs w:val="22"/>
        </w:rPr>
        <w:t>4 l/h/</w:t>
      </w:r>
      <w:r w:rsidR="000B0D10" w:rsidRPr="00C97179">
        <w:rPr>
          <w:szCs w:val="22"/>
        </w:rPr>
        <w:t>m²</w:t>
      </w:r>
      <w:r w:rsidRPr="001D7910">
        <w:rPr>
          <w:szCs w:val="22"/>
        </w:rPr>
        <w:t>).</w:t>
      </w:r>
    </w:p>
    <w:p w:rsidR="008D0CF8" w:rsidRPr="007D1B67" w:rsidRDefault="00B93209" w:rsidP="00794E35">
      <w:pPr>
        <w:spacing w:line="240" w:lineRule="auto"/>
        <w:rPr>
          <w:szCs w:val="22"/>
        </w:rPr>
      </w:pPr>
      <w:r w:rsidRPr="00AD5EA5">
        <w:rPr>
          <w:szCs w:val="22"/>
        </w:rPr>
        <w:t xml:space="preserve">Exkrécia močom: </w:t>
      </w:r>
      <w:r w:rsidR="00BC668D">
        <w:rPr>
          <w:szCs w:val="22"/>
        </w:rPr>
        <w:t>úpln</w:t>
      </w:r>
      <w:r w:rsidRPr="00AD5EA5">
        <w:rPr>
          <w:szCs w:val="22"/>
        </w:rPr>
        <w:t>á.</w:t>
      </w:r>
    </w:p>
    <w:p w:rsidR="008D0CF8" w:rsidRPr="007D1B67" w:rsidRDefault="008D0CF8" w:rsidP="00794E35">
      <w:pPr>
        <w:spacing w:line="240" w:lineRule="auto"/>
        <w:rPr>
          <w:szCs w:val="22"/>
        </w:rPr>
      </w:pPr>
    </w:p>
    <w:p w:rsidR="008D0CF8" w:rsidRPr="007D1B67" w:rsidRDefault="00B93209" w:rsidP="00794E35">
      <w:pPr>
        <w:keepNext/>
        <w:spacing w:line="240" w:lineRule="auto"/>
        <w:rPr>
          <w:szCs w:val="22"/>
          <w:u w:val="single"/>
        </w:rPr>
      </w:pPr>
      <w:r w:rsidRPr="00AD5EA5">
        <w:rPr>
          <w:szCs w:val="22"/>
          <w:u w:val="single"/>
        </w:rPr>
        <w:t>Gemcitabín a paklitaxel v kombinovanej terapii</w:t>
      </w:r>
    </w:p>
    <w:p w:rsidR="008D0CF8" w:rsidRPr="007D1B67" w:rsidRDefault="00B93209" w:rsidP="00794E35">
      <w:pPr>
        <w:spacing w:line="240" w:lineRule="auto"/>
        <w:rPr>
          <w:szCs w:val="22"/>
        </w:rPr>
      </w:pPr>
      <w:r w:rsidRPr="00AD5EA5">
        <w:rPr>
          <w:szCs w:val="22"/>
        </w:rPr>
        <w:t>Kombinovaná terapia neo</w:t>
      </w:r>
      <w:r w:rsidR="002346AB" w:rsidRPr="001D3CB1">
        <w:rPr>
          <w:szCs w:val="22"/>
        </w:rPr>
        <w:t>v</w:t>
      </w:r>
      <w:r w:rsidRPr="008A55DD">
        <w:rPr>
          <w:szCs w:val="22"/>
        </w:rPr>
        <w:t>plyvňuje farmakokinetické parametre gemcitabínu ani paklitaxelu.</w:t>
      </w:r>
    </w:p>
    <w:p w:rsidR="008D0CF8" w:rsidRPr="007D1B67" w:rsidRDefault="008D0CF8" w:rsidP="00794E35">
      <w:pPr>
        <w:spacing w:line="240" w:lineRule="auto"/>
        <w:rPr>
          <w:szCs w:val="22"/>
          <w:u w:val="single"/>
        </w:rPr>
      </w:pPr>
    </w:p>
    <w:p w:rsidR="008D0CF8" w:rsidRPr="007D1B67" w:rsidRDefault="00B93209" w:rsidP="00794E35">
      <w:pPr>
        <w:keepNext/>
        <w:spacing w:line="240" w:lineRule="auto"/>
        <w:rPr>
          <w:szCs w:val="22"/>
          <w:u w:val="single"/>
        </w:rPr>
      </w:pPr>
      <w:r w:rsidRPr="00AD5EA5">
        <w:rPr>
          <w:szCs w:val="22"/>
          <w:u w:val="single"/>
        </w:rPr>
        <w:t xml:space="preserve">Gemcitabín a </w:t>
      </w:r>
      <w:r w:rsidRPr="001D3CB1">
        <w:rPr>
          <w:szCs w:val="22"/>
          <w:u w:val="single"/>
        </w:rPr>
        <w:t>karboplatina v kombinovanej terapii</w:t>
      </w:r>
    </w:p>
    <w:p w:rsidR="008D0CF8" w:rsidRPr="007D1B67" w:rsidRDefault="00B93209" w:rsidP="00794E35">
      <w:pPr>
        <w:spacing w:line="240" w:lineRule="auto"/>
        <w:rPr>
          <w:szCs w:val="22"/>
        </w:rPr>
      </w:pPr>
      <w:r w:rsidRPr="00AD5EA5">
        <w:rPr>
          <w:szCs w:val="22"/>
        </w:rPr>
        <w:t xml:space="preserve">Pri podávaní v kombinácii s karboplatinou nebola farmakokinetika gemcitabínu ovplyvnená. </w:t>
      </w:r>
    </w:p>
    <w:p w:rsidR="008D0CF8" w:rsidRPr="007D1B67" w:rsidRDefault="008D0CF8" w:rsidP="00794E35">
      <w:pPr>
        <w:spacing w:line="240" w:lineRule="auto"/>
        <w:rPr>
          <w:szCs w:val="22"/>
        </w:rPr>
      </w:pPr>
    </w:p>
    <w:p w:rsidR="008D0CF8" w:rsidRPr="007D1B67" w:rsidRDefault="00B93209" w:rsidP="00794E35">
      <w:pPr>
        <w:keepNext/>
        <w:spacing w:line="240" w:lineRule="auto"/>
        <w:rPr>
          <w:szCs w:val="22"/>
          <w:u w:val="single"/>
        </w:rPr>
      </w:pPr>
      <w:r w:rsidRPr="00AD5EA5">
        <w:rPr>
          <w:szCs w:val="22"/>
          <w:u w:val="single"/>
        </w:rPr>
        <w:t>Porucha funkcie obličiek</w:t>
      </w:r>
    </w:p>
    <w:p w:rsidR="008D0CF8" w:rsidRPr="00310F47" w:rsidRDefault="00B93209" w:rsidP="00794E35">
      <w:pPr>
        <w:spacing w:line="240" w:lineRule="auto"/>
        <w:rPr>
          <w:szCs w:val="22"/>
        </w:rPr>
      </w:pPr>
      <w:r w:rsidRPr="00AD5EA5">
        <w:rPr>
          <w:szCs w:val="22"/>
        </w:rPr>
        <w:t>Mierna až stredne závažná porucha funkcie obličiek (GFR od 30</w:t>
      </w:r>
      <w:r w:rsidR="00C97912" w:rsidRPr="001D3CB1">
        <w:rPr>
          <w:szCs w:val="22"/>
        </w:rPr>
        <w:t> </w:t>
      </w:r>
      <w:r w:rsidRPr="008A55DD">
        <w:rPr>
          <w:szCs w:val="22"/>
        </w:rPr>
        <w:t>ml/min do 80</w:t>
      </w:r>
      <w:r w:rsidR="00C97912" w:rsidRPr="00644C9F">
        <w:rPr>
          <w:szCs w:val="22"/>
        </w:rPr>
        <w:t> </w:t>
      </w:r>
      <w:r w:rsidRPr="00C97179">
        <w:rPr>
          <w:szCs w:val="22"/>
        </w:rPr>
        <w:t>ml/min) nemá žiadny stály výz</w:t>
      </w:r>
      <w:r w:rsidRPr="001D7910">
        <w:rPr>
          <w:szCs w:val="22"/>
        </w:rPr>
        <w:t>namný vplyv na farmakokinetiku gemcitabínu</w:t>
      </w:r>
      <w:r w:rsidRPr="00A637E8">
        <w:rPr>
          <w:i/>
          <w:szCs w:val="22"/>
        </w:rPr>
        <w:t>.</w:t>
      </w:r>
    </w:p>
    <w:p w:rsidR="008D0CF8" w:rsidRPr="00401889" w:rsidRDefault="008D0CF8" w:rsidP="00794E35">
      <w:pPr>
        <w:spacing w:line="240" w:lineRule="auto"/>
        <w:rPr>
          <w:szCs w:val="22"/>
        </w:rPr>
      </w:pPr>
    </w:p>
    <w:p w:rsidR="008D0CF8" w:rsidRPr="00822D12" w:rsidRDefault="00B93209" w:rsidP="00794E35">
      <w:pPr>
        <w:spacing w:line="240" w:lineRule="auto"/>
        <w:rPr>
          <w:szCs w:val="22"/>
        </w:rPr>
      </w:pPr>
      <w:r w:rsidRPr="00822D12">
        <w:rPr>
          <w:b/>
          <w:szCs w:val="22"/>
        </w:rPr>
        <w:t>5.3</w:t>
      </w:r>
      <w:r w:rsidRPr="00822D12">
        <w:rPr>
          <w:b/>
          <w:szCs w:val="22"/>
        </w:rPr>
        <w:tab/>
        <w:t>Predklinické údaje o bezpečnosti</w:t>
      </w:r>
    </w:p>
    <w:p w:rsidR="008D0CF8" w:rsidRPr="00E505EC" w:rsidRDefault="008D0CF8" w:rsidP="00794E35">
      <w:pPr>
        <w:spacing w:line="240" w:lineRule="auto"/>
        <w:rPr>
          <w:szCs w:val="22"/>
        </w:rPr>
      </w:pPr>
    </w:p>
    <w:p w:rsidR="008D0CF8" w:rsidRPr="007D1B67" w:rsidRDefault="00B93209" w:rsidP="00794E35">
      <w:pPr>
        <w:keepNext/>
        <w:widowControl w:val="0"/>
        <w:spacing w:line="240" w:lineRule="auto"/>
        <w:rPr>
          <w:szCs w:val="22"/>
        </w:rPr>
      </w:pPr>
      <w:r w:rsidRPr="00200C51">
        <w:rPr>
          <w:szCs w:val="22"/>
        </w:rPr>
        <w:t>V štúdiách toxicity po opakovanom pod</w:t>
      </w:r>
      <w:r w:rsidR="00915A2C">
        <w:rPr>
          <w:szCs w:val="22"/>
        </w:rPr>
        <w:t>áva</w:t>
      </w:r>
      <w:r w:rsidRPr="00200C51">
        <w:rPr>
          <w:szCs w:val="22"/>
        </w:rPr>
        <w:t xml:space="preserve">ní u myší a psov, trvajúcich až 6 mesiacov, bol hlavným nálezom reverzibilný útlm krvotvorby závislý </w:t>
      </w:r>
      <w:r w:rsidR="00376BB3">
        <w:rPr>
          <w:szCs w:val="22"/>
        </w:rPr>
        <w:t>od</w:t>
      </w:r>
      <w:r w:rsidRPr="00200C51">
        <w:rPr>
          <w:szCs w:val="22"/>
        </w:rPr>
        <w:t xml:space="preserve"> dávkovacej schém</w:t>
      </w:r>
      <w:r w:rsidR="00376BB3">
        <w:rPr>
          <w:szCs w:val="22"/>
        </w:rPr>
        <w:t>y</w:t>
      </w:r>
      <w:r w:rsidRPr="00200C51">
        <w:rPr>
          <w:szCs w:val="22"/>
        </w:rPr>
        <w:t xml:space="preserve"> a dávk</w:t>
      </w:r>
      <w:r w:rsidR="00376BB3">
        <w:rPr>
          <w:szCs w:val="22"/>
        </w:rPr>
        <w:t>y</w:t>
      </w:r>
      <w:r w:rsidRPr="00200C51">
        <w:rPr>
          <w:szCs w:val="22"/>
        </w:rPr>
        <w:t xml:space="preserve">. </w:t>
      </w:r>
    </w:p>
    <w:p w:rsidR="008D0CF8" w:rsidRPr="007D1B67" w:rsidRDefault="008D0CF8" w:rsidP="00794E35">
      <w:pPr>
        <w:spacing w:line="240" w:lineRule="auto"/>
        <w:rPr>
          <w:szCs w:val="22"/>
        </w:rPr>
      </w:pPr>
    </w:p>
    <w:p w:rsidR="008D0CF8" w:rsidRPr="007D1B67" w:rsidRDefault="00B93209" w:rsidP="00794E35">
      <w:pPr>
        <w:keepNext/>
        <w:spacing w:line="240" w:lineRule="auto"/>
        <w:rPr>
          <w:szCs w:val="22"/>
        </w:rPr>
      </w:pPr>
      <w:r w:rsidRPr="00AD5EA5">
        <w:rPr>
          <w:szCs w:val="22"/>
        </w:rPr>
        <w:lastRenderedPageBreak/>
        <w:t>Ge</w:t>
      </w:r>
      <w:r w:rsidRPr="001D3CB1">
        <w:rPr>
          <w:szCs w:val="22"/>
        </w:rPr>
        <w:t xml:space="preserve">mcitabín je mutagénny v </w:t>
      </w:r>
      <w:r w:rsidRPr="008A55DD">
        <w:rPr>
          <w:i/>
          <w:szCs w:val="22"/>
        </w:rPr>
        <w:t>in vitro</w:t>
      </w:r>
      <w:r w:rsidRPr="00644C9F">
        <w:rPr>
          <w:szCs w:val="22"/>
        </w:rPr>
        <w:t xml:space="preserve"> teste </w:t>
      </w:r>
      <w:r w:rsidR="00491A51">
        <w:rPr>
          <w:szCs w:val="22"/>
        </w:rPr>
        <w:t xml:space="preserve">na </w:t>
      </w:r>
      <w:r w:rsidRPr="00644C9F">
        <w:rPr>
          <w:szCs w:val="22"/>
        </w:rPr>
        <w:t xml:space="preserve">mutagenitu a v </w:t>
      </w:r>
      <w:r w:rsidRPr="00C97179">
        <w:rPr>
          <w:i/>
          <w:szCs w:val="22"/>
        </w:rPr>
        <w:t xml:space="preserve">in vivo </w:t>
      </w:r>
      <w:r w:rsidRPr="001D7910">
        <w:rPr>
          <w:szCs w:val="22"/>
        </w:rPr>
        <w:t>mikronukleárnom teste kostnej drene. Dlhodobé štúdie na zvieratách stanovujúce karcinogénny potenciál gemcitabínu neboli uskutočnené.</w:t>
      </w:r>
    </w:p>
    <w:p w:rsidR="008D0CF8" w:rsidRPr="007D1B67" w:rsidRDefault="008D0CF8" w:rsidP="00794E35">
      <w:pPr>
        <w:spacing w:line="240" w:lineRule="auto"/>
        <w:rPr>
          <w:szCs w:val="22"/>
        </w:rPr>
      </w:pPr>
    </w:p>
    <w:p w:rsidR="008D0CF8" w:rsidRPr="007D1B67" w:rsidRDefault="00B93209" w:rsidP="00794E35">
      <w:pPr>
        <w:keepNext/>
        <w:spacing w:line="240" w:lineRule="auto"/>
        <w:rPr>
          <w:szCs w:val="22"/>
        </w:rPr>
      </w:pPr>
      <w:r w:rsidRPr="00AD5EA5">
        <w:rPr>
          <w:szCs w:val="22"/>
        </w:rPr>
        <w:t>V</w:t>
      </w:r>
      <w:r w:rsidR="00491A51">
        <w:rPr>
          <w:szCs w:val="22"/>
        </w:rPr>
        <w:t xml:space="preserve"> reprodukčných </w:t>
      </w:r>
      <w:r w:rsidR="00B214E7" w:rsidRPr="001D3CB1">
        <w:rPr>
          <w:szCs w:val="22"/>
        </w:rPr>
        <w:t>štúdiách</w:t>
      </w:r>
      <w:r w:rsidRPr="008A55DD">
        <w:rPr>
          <w:szCs w:val="22"/>
        </w:rPr>
        <w:t xml:space="preserve"> spôsoboval gemcitabín u myších samcov </w:t>
      </w:r>
      <w:r w:rsidRPr="00644C9F">
        <w:rPr>
          <w:szCs w:val="22"/>
        </w:rPr>
        <w:t xml:space="preserve">reverzibilnú hypospermatogenézu. Vplyv na fertilitu samíc nebol zistený. </w:t>
      </w:r>
    </w:p>
    <w:p w:rsidR="008D0CF8" w:rsidRPr="007D1B67" w:rsidRDefault="008D0CF8" w:rsidP="00794E35">
      <w:pPr>
        <w:spacing w:line="240" w:lineRule="auto"/>
        <w:rPr>
          <w:szCs w:val="22"/>
        </w:rPr>
      </w:pPr>
    </w:p>
    <w:p w:rsidR="008D0CF8" w:rsidRPr="008A55DD" w:rsidRDefault="00B93209" w:rsidP="00794E35">
      <w:pPr>
        <w:spacing w:line="240" w:lineRule="auto"/>
        <w:rPr>
          <w:szCs w:val="22"/>
        </w:rPr>
      </w:pPr>
      <w:r w:rsidRPr="00AD5EA5">
        <w:rPr>
          <w:szCs w:val="22"/>
        </w:rPr>
        <w:t xml:space="preserve">Vyhodnotenie experimentálnych štúdií na zvieratách preukázalo reprodukčnú toxicitu, napr. vrodené chyby a iné účinky na vývoj embrya alebo plodu, na priebeh gravidity alebo peri- a </w:t>
      </w:r>
      <w:r w:rsidRPr="001D3CB1">
        <w:rPr>
          <w:szCs w:val="22"/>
        </w:rPr>
        <w:t>postnatálny vývoj.</w:t>
      </w:r>
    </w:p>
    <w:p w:rsidR="008D0CF8" w:rsidRPr="00644C9F" w:rsidRDefault="008D0CF8" w:rsidP="00794E35">
      <w:pPr>
        <w:spacing w:line="240" w:lineRule="auto"/>
        <w:rPr>
          <w:szCs w:val="22"/>
        </w:rPr>
      </w:pPr>
    </w:p>
    <w:p w:rsidR="008D0CF8" w:rsidRPr="00C97179" w:rsidRDefault="008D0CF8" w:rsidP="00794E35">
      <w:pPr>
        <w:spacing w:line="240" w:lineRule="auto"/>
        <w:rPr>
          <w:szCs w:val="22"/>
        </w:rPr>
      </w:pPr>
    </w:p>
    <w:p w:rsidR="008D0CF8" w:rsidRPr="00A637E8" w:rsidRDefault="00B93209" w:rsidP="00794E35">
      <w:pPr>
        <w:spacing w:line="240" w:lineRule="auto"/>
        <w:rPr>
          <w:b/>
          <w:szCs w:val="22"/>
        </w:rPr>
      </w:pPr>
      <w:r w:rsidRPr="001D7910">
        <w:rPr>
          <w:b/>
          <w:szCs w:val="22"/>
        </w:rPr>
        <w:t>6.</w:t>
      </w:r>
      <w:r w:rsidRPr="001D7910">
        <w:rPr>
          <w:b/>
          <w:szCs w:val="22"/>
        </w:rPr>
        <w:tab/>
        <w:t>FARMACEUTICKÉ INFORMÁCIE</w:t>
      </w:r>
    </w:p>
    <w:p w:rsidR="008D0CF8" w:rsidRPr="00310F47" w:rsidRDefault="008D0CF8" w:rsidP="00794E35">
      <w:pPr>
        <w:spacing w:line="240" w:lineRule="auto"/>
        <w:rPr>
          <w:szCs w:val="22"/>
        </w:rPr>
      </w:pPr>
    </w:p>
    <w:p w:rsidR="008D0CF8" w:rsidRPr="00822D12" w:rsidRDefault="00B93209" w:rsidP="00794E35">
      <w:pPr>
        <w:spacing w:line="240" w:lineRule="auto"/>
        <w:rPr>
          <w:b/>
          <w:szCs w:val="22"/>
        </w:rPr>
      </w:pPr>
      <w:r w:rsidRPr="00401889">
        <w:rPr>
          <w:b/>
          <w:szCs w:val="22"/>
        </w:rPr>
        <w:t>6.1</w:t>
      </w:r>
      <w:r w:rsidRPr="00401889">
        <w:rPr>
          <w:b/>
          <w:szCs w:val="22"/>
        </w:rPr>
        <w:tab/>
        <w:t>Zoznam pomocných látok</w:t>
      </w:r>
    </w:p>
    <w:p w:rsidR="008D0CF8" w:rsidRPr="00E505EC" w:rsidRDefault="008D0CF8" w:rsidP="00794E35">
      <w:pPr>
        <w:spacing w:line="240" w:lineRule="auto"/>
        <w:ind w:left="567"/>
        <w:rPr>
          <w:szCs w:val="22"/>
        </w:rPr>
      </w:pPr>
    </w:p>
    <w:p w:rsidR="00485A5D" w:rsidRDefault="00485A5D" w:rsidP="00794E35">
      <w:pPr>
        <w:spacing w:line="240" w:lineRule="auto"/>
      </w:pPr>
      <w:r>
        <w:t>Hydrogenfosforečnan sodný, dihydrát</w:t>
      </w:r>
    </w:p>
    <w:p w:rsidR="00485A5D" w:rsidRDefault="00485A5D" w:rsidP="00794E35">
      <w:pPr>
        <w:spacing w:line="240" w:lineRule="auto"/>
      </w:pPr>
      <w:r>
        <w:t xml:space="preserve">Dihydrogenfosforečnan sodný, dihydrát </w:t>
      </w:r>
    </w:p>
    <w:p w:rsidR="008D0CF8" w:rsidRPr="001F39C3" w:rsidRDefault="00B93209" w:rsidP="00794E35">
      <w:pPr>
        <w:spacing w:line="240" w:lineRule="auto"/>
        <w:rPr>
          <w:szCs w:val="22"/>
        </w:rPr>
      </w:pPr>
      <w:r w:rsidRPr="00CD1120">
        <w:rPr>
          <w:szCs w:val="22"/>
        </w:rPr>
        <w:t>Hydroxid sodný (</w:t>
      </w:r>
      <w:r w:rsidR="00485A5D">
        <w:rPr>
          <w:szCs w:val="22"/>
        </w:rPr>
        <w:t>na</w:t>
      </w:r>
      <w:r w:rsidRPr="00CD1120">
        <w:rPr>
          <w:szCs w:val="22"/>
        </w:rPr>
        <w:t xml:space="preserve"> úpravu pH)</w:t>
      </w:r>
    </w:p>
    <w:p w:rsidR="008D0CF8" w:rsidRPr="00FD0F32" w:rsidRDefault="00B93209" w:rsidP="00794E35">
      <w:pPr>
        <w:spacing w:line="240" w:lineRule="auto"/>
        <w:rPr>
          <w:szCs w:val="22"/>
        </w:rPr>
      </w:pPr>
      <w:r w:rsidRPr="00097C64">
        <w:rPr>
          <w:szCs w:val="22"/>
        </w:rPr>
        <w:t>Kyselina chlorovodíková (</w:t>
      </w:r>
      <w:r w:rsidR="00485A5D">
        <w:rPr>
          <w:szCs w:val="22"/>
        </w:rPr>
        <w:t>na</w:t>
      </w:r>
      <w:r w:rsidRPr="00097C64">
        <w:rPr>
          <w:szCs w:val="22"/>
        </w:rPr>
        <w:t xml:space="preserve"> úpravu pH)</w:t>
      </w:r>
    </w:p>
    <w:p w:rsidR="008D0CF8" w:rsidRPr="00057E1E" w:rsidRDefault="00B93209" w:rsidP="00794E35">
      <w:pPr>
        <w:spacing w:line="240" w:lineRule="auto"/>
        <w:rPr>
          <w:szCs w:val="22"/>
        </w:rPr>
      </w:pPr>
      <w:r w:rsidRPr="00DD4BCE">
        <w:rPr>
          <w:szCs w:val="22"/>
        </w:rPr>
        <w:t xml:space="preserve">Polyetylénglykol 400 </w:t>
      </w:r>
    </w:p>
    <w:p w:rsidR="008D0CF8" w:rsidRPr="0004357C" w:rsidRDefault="00B93209" w:rsidP="00794E35">
      <w:pPr>
        <w:spacing w:line="240" w:lineRule="auto"/>
        <w:rPr>
          <w:szCs w:val="22"/>
        </w:rPr>
      </w:pPr>
      <w:r w:rsidRPr="001A4A53">
        <w:rPr>
          <w:szCs w:val="22"/>
        </w:rPr>
        <w:t xml:space="preserve">Voda na </w:t>
      </w:r>
      <w:r w:rsidRPr="00722475">
        <w:rPr>
          <w:szCs w:val="22"/>
        </w:rPr>
        <w:t>injekci</w:t>
      </w:r>
      <w:r w:rsidR="00485A5D">
        <w:rPr>
          <w:szCs w:val="22"/>
        </w:rPr>
        <w:t>e</w:t>
      </w:r>
    </w:p>
    <w:p w:rsidR="008D0CF8" w:rsidRPr="002C31C1" w:rsidRDefault="008D0CF8" w:rsidP="00794E35">
      <w:pPr>
        <w:spacing w:line="240" w:lineRule="auto"/>
        <w:rPr>
          <w:szCs w:val="22"/>
        </w:rPr>
      </w:pPr>
    </w:p>
    <w:p w:rsidR="008D0CF8" w:rsidRPr="004572DE" w:rsidRDefault="00B93209" w:rsidP="00794E35">
      <w:pPr>
        <w:spacing w:line="240" w:lineRule="auto"/>
        <w:rPr>
          <w:szCs w:val="22"/>
        </w:rPr>
      </w:pPr>
      <w:r w:rsidRPr="00E93CE5">
        <w:rPr>
          <w:b/>
          <w:szCs w:val="22"/>
        </w:rPr>
        <w:t>6.2</w:t>
      </w:r>
      <w:r w:rsidRPr="00E93CE5">
        <w:rPr>
          <w:b/>
          <w:szCs w:val="22"/>
        </w:rPr>
        <w:tab/>
        <w:t>Inkompatibility</w:t>
      </w:r>
    </w:p>
    <w:p w:rsidR="008D0CF8" w:rsidRPr="00587EDE" w:rsidRDefault="008D0CF8" w:rsidP="00794E35">
      <w:pPr>
        <w:spacing w:line="240" w:lineRule="auto"/>
        <w:rPr>
          <w:szCs w:val="22"/>
        </w:rPr>
      </w:pPr>
    </w:p>
    <w:p w:rsidR="008D0CF8" w:rsidRPr="007D1B67" w:rsidRDefault="00B93209" w:rsidP="00794E35">
      <w:pPr>
        <w:spacing w:line="240" w:lineRule="auto"/>
        <w:rPr>
          <w:szCs w:val="22"/>
        </w:rPr>
      </w:pPr>
      <w:r w:rsidRPr="00B331D6">
        <w:rPr>
          <w:szCs w:val="22"/>
        </w:rPr>
        <w:t>Tento liek sa nesmie miešať s inými liekmi okrem tých, ktoré sú uvedené v časti</w:t>
      </w:r>
      <w:r w:rsidR="00C97912" w:rsidRPr="00FD0C96">
        <w:rPr>
          <w:szCs w:val="22"/>
        </w:rPr>
        <w:t> </w:t>
      </w:r>
      <w:r w:rsidRPr="002062DD">
        <w:rPr>
          <w:szCs w:val="22"/>
        </w:rPr>
        <w:t>6.6.</w:t>
      </w:r>
    </w:p>
    <w:p w:rsidR="008D0CF8" w:rsidRPr="00AD5EA5" w:rsidRDefault="008D0CF8" w:rsidP="00794E35">
      <w:pPr>
        <w:spacing w:line="240" w:lineRule="auto"/>
        <w:rPr>
          <w:szCs w:val="22"/>
        </w:rPr>
      </w:pPr>
    </w:p>
    <w:p w:rsidR="008D0CF8" w:rsidRPr="008A55DD" w:rsidRDefault="00B93209" w:rsidP="00794E35">
      <w:pPr>
        <w:spacing w:line="240" w:lineRule="auto"/>
        <w:rPr>
          <w:szCs w:val="22"/>
        </w:rPr>
      </w:pPr>
      <w:r w:rsidRPr="001D3CB1">
        <w:rPr>
          <w:b/>
          <w:szCs w:val="22"/>
        </w:rPr>
        <w:t>6.3</w:t>
      </w:r>
      <w:r w:rsidRPr="001D3CB1">
        <w:rPr>
          <w:b/>
          <w:szCs w:val="22"/>
        </w:rPr>
        <w:tab/>
        <w:t>Čas použiteľnosti</w:t>
      </w:r>
    </w:p>
    <w:p w:rsidR="008D0CF8" w:rsidRPr="00644C9F" w:rsidRDefault="008D0CF8" w:rsidP="00794E35">
      <w:pPr>
        <w:spacing w:line="240" w:lineRule="auto"/>
        <w:rPr>
          <w:szCs w:val="22"/>
        </w:rPr>
      </w:pPr>
    </w:p>
    <w:p w:rsidR="008D0CF8" w:rsidRPr="001D7910" w:rsidRDefault="00B93209" w:rsidP="00794E35">
      <w:pPr>
        <w:spacing w:line="240" w:lineRule="auto"/>
        <w:rPr>
          <w:i/>
          <w:szCs w:val="22"/>
        </w:rPr>
      </w:pPr>
      <w:r w:rsidRPr="00C97179">
        <w:rPr>
          <w:i/>
          <w:szCs w:val="22"/>
        </w:rPr>
        <w:t>Neotvorená injekčná liekovka:</w:t>
      </w:r>
    </w:p>
    <w:p w:rsidR="008D0CF8" w:rsidRPr="007D1B67" w:rsidRDefault="00B93209" w:rsidP="00794E35">
      <w:pPr>
        <w:spacing w:line="240" w:lineRule="auto"/>
        <w:rPr>
          <w:szCs w:val="22"/>
        </w:rPr>
      </w:pPr>
      <w:r w:rsidRPr="00A637E8">
        <w:rPr>
          <w:szCs w:val="22"/>
        </w:rPr>
        <w:t>2</w:t>
      </w:r>
      <w:r w:rsidR="00C97912" w:rsidRPr="00310F47">
        <w:rPr>
          <w:szCs w:val="22"/>
        </w:rPr>
        <w:t> </w:t>
      </w:r>
      <w:r w:rsidRPr="00401889">
        <w:rPr>
          <w:szCs w:val="22"/>
        </w:rPr>
        <w:t>roky</w:t>
      </w:r>
    </w:p>
    <w:p w:rsidR="008D0CF8" w:rsidRPr="00AD5EA5" w:rsidRDefault="008D0CF8" w:rsidP="00794E35">
      <w:pPr>
        <w:spacing w:line="240" w:lineRule="auto"/>
        <w:rPr>
          <w:szCs w:val="22"/>
        </w:rPr>
      </w:pPr>
    </w:p>
    <w:p w:rsidR="008D0CF8" w:rsidRPr="008A55DD" w:rsidRDefault="00B93209" w:rsidP="00794E35">
      <w:pPr>
        <w:spacing w:line="240" w:lineRule="auto"/>
        <w:rPr>
          <w:i/>
          <w:szCs w:val="22"/>
        </w:rPr>
      </w:pPr>
      <w:r w:rsidRPr="001D3CB1">
        <w:rPr>
          <w:i/>
          <w:szCs w:val="22"/>
        </w:rPr>
        <w:t xml:space="preserve">Po </w:t>
      </w:r>
      <w:r w:rsidR="00F66B72">
        <w:rPr>
          <w:i/>
          <w:szCs w:val="22"/>
        </w:rPr>
        <w:t>z</w:t>
      </w:r>
      <w:r w:rsidRPr="001D3CB1">
        <w:rPr>
          <w:i/>
          <w:szCs w:val="22"/>
        </w:rPr>
        <w:t>riedení:</w:t>
      </w:r>
    </w:p>
    <w:p w:rsidR="008D0CF8" w:rsidRPr="00000C94" w:rsidRDefault="00B93209" w:rsidP="00794E35">
      <w:pPr>
        <w:spacing w:line="240" w:lineRule="auto"/>
        <w:rPr>
          <w:szCs w:val="22"/>
        </w:rPr>
      </w:pPr>
      <w:r w:rsidRPr="00644C9F">
        <w:rPr>
          <w:szCs w:val="22"/>
        </w:rPr>
        <w:t xml:space="preserve">Chemická a fyzikálna stabilita </w:t>
      </w:r>
      <w:r w:rsidR="00355546" w:rsidRPr="00C97179">
        <w:rPr>
          <w:szCs w:val="22"/>
        </w:rPr>
        <w:t xml:space="preserve">pri používaní </w:t>
      </w:r>
      <w:r w:rsidRPr="001D7910">
        <w:rPr>
          <w:szCs w:val="22"/>
        </w:rPr>
        <w:t xml:space="preserve">po </w:t>
      </w:r>
      <w:r w:rsidR="00063D58">
        <w:rPr>
          <w:szCs w:val="22"/>
        </w:rPr>
        <w:t>z</w:t>
      </w:r>
      <w:r w:rsidRPr="001D7910">
        <w:rPr>
          <w:szCs w:val="22"/>
        </w:rPr>
        <w:t>riedení roztok</w:t>
      </w:r>
      <w:r w:rsidRPr="00A637E8">
        <w:rPr>
          <w:szCs w:val="22"/>
        </w:rPr>
        <w:t>om glukózy 50 mg/ml (5 %) bola preukázaná po dobu 15</w:t>
      </w:r>
      <w:r w:rsidR="00C97912" w:rsidRPr="00310F47">
        <w:rPr>
          <w:szCs w:val="22"/>
        </w:rPr>
        <w:t> </w:t>
      </w:r>
      <w:r w:rsidRPr="00401889">
        <w:rPr>
          <w:szCs w:val="22"/>
        </w:rPr>
        <w:t xml:space="preserve">dní pri teplote </w:t>
      </w:r>
      <w:smartTag w:uri="urn:schemas-microsoft-com:office:smarttags" w:element="metricconverter">
        <w:smartTagPr>
          <w:attr w:name="ProductID" w:val="8 °C"/>
        </w:smartTagPr>
        <w:r w:rsidRPr="00401889">
          <w:rPr>
            <w:szCs w:val="22"/>
          </w:rPr>
          <w:t>20 °C</w:t>
        </w:r>
        <w:r w:rsidR="00C97912" w:rsidRPr="00822D12">
          <w:rPr>
            <w:szCs w:val="22"/>
          </w:rPr>
          <w:t> </w:t>
        </w:r>
      </w:smartTag>
      <w:r w:rsidRPr="00822D12">
        <w:rPr>
          <w:szCs w:val="22"/>
        </w:rPr>
        <w:t>±</w:t>
      </w:r>
      <w:r w:rsidR="00C97912" w:rsidRPr="00E505EC">
        <w:rPr>
          <w:szCs w:val="22"/>
        </w:rPr>
        <w:t> </w:t>
      </w:r>
      <w:smartTag w:uri="urn:schemas-microsoft-com:office:smarttags" w:element="metricconverter">
        <w:smartTagPr>
          <w:attr w:name="ProductID" w:val="8 °C"/>
        </w:smartTagPr>
        <w:r w:rsidRPr="00200C51">
          <w:rPr>
            <w:szCs w:val="22"/>
          </w:rPr>
          <w:t>5 °C</w:t>
        </w:r>
      </w:smartTag>
      <w:r w:rsidRPr="00200C51">
        <w:rPr>
          <w:szCs w:val="22"/>
        </w:rPr>
        <w:t xml:space="preserve"> chr</w:t>
      </w:r>
      <w:r w:rsidR="00E36274">
        <w:rPr>
          <w:szCs w:val="22"/>
        </w:rPr>
        <w:t>áneného</w:t>
      </w:r>
      <w:r w:rsidRPr="00200C51">
        <w:rPr>
          <w:szCs w:val="22"/>
        </w:rPr>
        <w:t xml:space="preserve"> pred svetlom. </w:t>
      </w:r>
    </w:p>
    <w:p w:rsidR="008D0CF8" w:rsidRPr="003341A5" w:rsidRDefault="008D0CF8" w:rsidP="00794E35">
      <w:pPr>
        <w:spacing w:line="240" w:lineRule="auto"/>
        <w:rPr>
          <w:szCs w:val="22"/>
        </w:rPr>
      </w:pPr>
    </w:p>
    <w:p w:rsidR="008D0CF8" w:rsidRPr="001A4A53" w:rsidRDefault="00B93209" w:rsidP="00794E35">
      <w:pPr>
        <w:spacing w:line="240" w:lineRule="auto"/>
        <w:rPr>
          <w:szCs w:val="22"/>
        </w:rPr>
      </w:pPr>
      <w:r w:rsidRPr="00792A7D">
        <w:rPr>
          <w:szCs w:val="22"/>
        </w:rPr>
        <w:t xml:space="preserve">Chemická a fyzikálna stabilita </w:t>
      </w:r>
      <w:r w:rsidR="00355546" w:rsidRPr="00032B25">
        <w:rPr>
          <w:szCs w:val="22"/>
        </w:rPr>
        <w:t xml:space="preserve">pri používaní </w:t>
      </w:r>
      <w:r w:rsidRPr="00CD1120">
        <w:rPr>
          <w:szCs w:val="22"/>
        </w:rPr>
        <w:t xml:space="preserve">po </w:t>
      </w:r>
      <w:r w:rsidR="00654202">
        <w:rPr>
          <w:szCs w:val="22"/>
        </w:rPr>
        <w:t>z</w:t>
      </w:r>
      <w:r w:rsidRPr="00CD1120">
        <w:rPr>
          <w:szCs w:val="22"/>
        </w:rPr>
        <w:t xml:space="preserve">riedení roztokom chloridu sodného 9 mg/ml (0,9 %) bola preukázaná po dobu 98 dní pri teplote </w:t>
      </w:r>
      <w:smartTag w:uri="urn:schemas-microsoft-com:office:smarttags" w:element="metricconverter">
        <w:smartTagPr>
          <w:attr w:name="ProductID" w:val="8 °C"/>
        </w:smartTagPr>
        <w:r w:rsidRPr="00CD1120">
          <w:rPr>
            <w:szCs w:val="22"/>
          </w:rPr>
          <w:t>20 </w:t>
        </w:r>
        <w:r w:rsidRPr="001F39C3">
          <w:rPr>
            <w:szCs w:val="22"/>
          </w:rPr>
          <w:t>°C</w:t>
        </w:r>
        <w:r w:rsidR="00C97912" w:rsidRPr="00097C64">
          <w:rPr>
            <w:szCs w:val="22"/>
          </w:rPr>
          <w:t> </w:t>
        </w:r>
      </w:smartTag>
      <w:r w:rsidRPr="00FD0F32">
        <w:rPr>
          <w:szCs w:val="22"/>
        </w:rPr>
        <w:t>±</w:t>
      </w:r>
      <w:r w:rsidR="00C97912" w:rsidRPr="00DD4BCE">
        <w:rPr>
          <w:szCs w:val="22"/>
        </w:rPr>
        <w:t> </w:t>
      </w:r>
      <w:smartTag w:uri="urn:schemas-microsoft-com:office:smarttags" w:element="metricconverter">
        <w:smartTagPr>
          <w:attr w:name="ProductID" w:val="8 °C"/>
        </w:smartTagPr>
        <w:r w:rsidRPr="00057E1E">
          <w:rPr>
            <w:szCs w:val="22"/>
          </w:rPr>
          <w:t>5 °C</w:t>
        </w:r>
      </w:smartTag>
      <w:r w:rsidRPr="00057E1E">
        <w:rPr>
          <w:szCs w:val="22"/>
        </w:rPr>
        <w:t xml:space="preserve"> chr</w:t>
      </w:r>
      <w:r w:rsidR="00E36274">
        <w:rPr>
          <w:szCs w:val="22"/>
        </w:rPr>
        <w:t>áneného</w:t>
      </w:r>
      <w:r w:rsidRPr="00057E1E">
        <w:rPr>
          <w:szCs w:val="22"/>
        </w:rPr>
        <w:t xml:space="preserve"> pred svetlom.</w:t>
      </w:r>
    </w:p>
    <w:p w:rsidR="008D0CF8" w:rsidRPr="00722475" w:rsidRDefault="008D0CF8" w:rsidP="00794E35">
      <w:pPr>
        <w:spacing w:line="240" w:lineRule="auto"/>
        <w:rPr>
          <w:szCs w:val="22"/>
        </w:rPr>
      </w:pPr>
    </w:p>
    <w:p w:rsidR="008D0CF8" w:rsidRPr="004572DE" w:rsidRDefault="00B93209" w:rsidP="00794E35">
      <w:pPr>
        <w:spacing w:line="240" w:lineRule="auto"/>
        <w:rPr>
          <w:szCs w:val="22"/>
        </w:rPr>
      </w:pPr>
      <w:r w:rsidRPr="0004357C">
        <w:rPr>
          <w:szCs w:val="22"/>
        </w:rPr>
        <w:t>Riedenie roztokom chloridu sodného 9</w:t>
      </w:r>
      <w:r w:rsidR="002F1F18" w:rsidRPr="002C31C1">
        <w:rPr>
          <w:szCs w:val="22"/>
        </w:rPr>
        <w:t> mg</w:t>
      </w:r>
      <w:r w:rsidRPr="00E93CE5">
        <w:rPr>
          <w:szCs w:val="22"/>
        </w:rPr>
        <w:t>/ml (0,9 %) a roztokom glukózy 50 mg/ml (5 %) bolo testované pre dve koncentrácie, 10,0 mg/ml a 1,0 mg/ml gemcitabínu.</w:t>
      </w:r>
    </w:p>
    <w:p w:rsidR="008D0CF8" w:rsidRPr="00587EDE" w:rsidRDefault="008D0CF8" w:rsidP="00794E35">
      <w:pPr>
        <w:spacing w:line="240" w:lineRule="auto"/>
        <w:rPr>
          <w:szCs w:val="22"/>
        </w:rPr>
      </w:pPr>
    </w:p>
    <w:p w:rsidR="008D0CF8" w:rsidRPr="00FD0C96" w:rsidRDefault="00B93209" w:rsidP="00794E35">
      <w:pPr>
        <w:spacing w:line="240" w:lineRule="auto"/>
        <w:rPr>
          <w:szCs w:val="22"/>
        </w:rPr>
      </w:pPr>
      <w:r w:rsidRPr="00B331D6">
        <w:rPr>
          <w:szCs w:val="22"/>
        </w:rPr>
        <w:t xml:space="preserve">Z mikrobiologického hľadiska má byť liek použitý okamžite. </w:t>
      </w:r>
    </w:p>
    <w:p w:rsidR="008D0CF8" w:rsidRPr="00A228BC" w:rsidRDefault="00B93209" w:rsidP="00794E35">
      <w:pPr>
        <w:spacing w:line="240" w:lineRule="auto"/>
        <w:rPr>
          <w:szCs w:val="22"/>
        </w:rPr>
      </w:pPr>
      <w:r w:rsidRPr="002062DD">
        <w:rPr>
          <w:szCs w:val="22"/>
        </w:rPr>
        <w:t>Ak nie je liek použitý okamžite, za dobu a podmienky uchovávania lieku pred použitím je zodpovedný používateľ a normálne táto doba nem</w:t>
      </w:r>
      <w:r w:rsidR="000D285A">
        <w:rPr>
          <w:szCs w:val="22"/>
        </w:rPr>
        <w:t>á byť</w:t>
      </w:r>
      <w:r w:rsidRPr="002062DD">
        <w:rPr>
          <w:szCs w:val="22"/>
        </w:rPr>
        <w:t xml:space="preserve"> dlhšia ako 24 hodín pri teplote </w:t>
      </w:r>
      <w:smartTag w:uri="urn:schemas-microsoft-com:office:smarttags" w:element="metricconverter">
        <w:smartTagPr>
          <w:attr w:name="ProductID" w:val="2 °C"/>
        </w:smartTagPr>
        <w:r w:rsidR="003547FC" w:rsidRPr="00834E16">
          <w:rPr>
            <w:szCs w:val="22"/>
          </w:rPr>
          <w:t>2 </w:t>
        </w:r>
        <w:r w:rsidRPr="007121C2">
          <w:rPr>
            <w:szCs w:val="22"/>
          </w:rPr>
          <w:t>°C</w:t>
        </w:r>
      </w:smartTag>
      <w:r w:rsidRPr="007121C2">
        <w:rPr>
          <w:szCs w:val="22"/>
        </w:rPr>
        <w:t xml:space="preserve"> </w:t>
      </w:r>
      <w:r w:rsidR="0079420D">
        <w:rPr>
          <w:szCs w:val="22"/>
        </w:rPr>
        <w:t>-</w:t>
      </w:r>
      <w:r w:rsidRPr="007121C2">
        <w:rPr>
          <w:szCs w:val="22"/>
        </w:rPr>
        <w:t xml:space="preserve"> </w:t>
      </w:r>
      <w:smartTag w:uri="urn:schemas-microsoft-com:office:smarttags" w:element="metricconverter">
        <w:smartTagPr>
          <w:attr w:name="ProductID" w:val="8 °C"/>
        </w:smartTagPr>
        <w:r w:rsidR="003547FC" w:rsidRPr="00D05550">
          <w:rPr>
            <w:szCs w:val="22"/>
          </w:rPr>
          <w:t>8 </w:t>
        </w:r>
        <w:r w:rsidRPr="00FF52F7">
          <w:rPr>
            <w:szCs w:val="22"/>
          </w:rPr>
          <w:t>°C</w:t>
        </w:r>
      </w:smartTag>
      <w:r w:rsidRPr="00FF52F7">
        <w:rPr>
          <w:szCs w:val="22"/>
        </w:rPr>
        <w:t xml:space="preserve">, ak riedenie neprebehlo za kontrolovaných a </w:t>
      </w:r>
      <w:r w:rsidRPr="009F51A3">
        <w:rPr>
          <w:szCs w:val="22"/>
        </w:rPr>
        <w:t>validovaných aseptických podmienok.</w:t>
      </w:r>
    </w:p>
    <w:p w:rsidR="008D0CF8" w:rsidRPr="00BB6BA2" w:rsidRDefault="008D0CF8" w:rsidP="00794E35">
      <w:pPr>
        <w:spacing w:line="240" w:lineRule="auto"/>
        <w:rPr>
          <w:szCs w:val="22"/>
        </w:rPr>
      </w:pPr>
    </w:p>
    <w:p w:rsidR="008D0CF8" w:rsidRPr="001B180B" w:rsidRDefault="00B93209" w:rsidP="00794E35">
      <w:pPr>
        <w:spacing w:line="240" w:lineRule="auto"/>
        <w:rPr>
          <w:szCs w:val="22"/>
        </w:rPr>
      </w:pPr>
      <w:r w:rsidRPr="008D2865">
        <w:rPr>
          <w:szCs w:val="22"/>
        </w:rPr>
        <w:t>Tento liek je určený len na jednorazové použitie a</w:t>
      </w:r>
      <w:r w:rsidR="00287F2D">
        <w:rPr>
          <w:szCs w:val="22"/>
        </w:rPr>
        <w:t xml:space="preserve"> všetok </w:t>
      </w:r>
      <w:r w:rsidRPr="008D2865">
        <w:rPr>
          <w:szCs w:val="22"/>
        </w:rPr>
        <w:t xml:space="preserve">nepoužitý </w:t>
      </w:r>
      <w:r w:rsidR="00B53E00" w:rsidRPr="008E61BB">
        <w:rPr>
          <w:szCs w:val="22"/>
        </w:rPr>
        <w:t>ro</w:t>
      </w:r>
      <w:r w:rsidR="00287F2D">
        <w:rPr>
          <w:szCs w:val="22"/>
        </w:rPr>
        <w:t>ztok sa má</w:t>
      </w:r>
      <w:r w:rsidRPr="007500B8">
        <w:rPr>
          <w:szCs w:val="22"/>
        </w:rPr>
        <w:t xml:space="preserve"> zlikvidovať v súlade s </w:t>
      </w:r>
      <w:r w:rsidR="00287F2D">
        <w:rPr>
          <w:szCs w:val="22"/>
        </w:rPr>
        <w:t>národnými</w:t>
      </w:r>
      <w:r w:rsidRPr="007500B8">
        <w:rPr>
          <w:szCs w:val="22"/>
        </w:rPr>
        <w:t xml:space="preserve"> p</w:t>
      </w:r>
      <w:r w:rsidR="00287F2D">
        <w:rPr>
          <w:szCs w:val="22"/>
        </w:rPr>
        <w:t>ožiadavkami</w:t>
      </w:r>
      <w:r w:rsidRPr="007500B8">
        <w:rPr>
          <w:szCs w:val="22"/>
        </w:rPr>
        <w:t>.</w:t>
      </w:r>
    </w:p>
    <w:p w:rsidR="008D0CF8" w:rsidRPr="00BC668D" w:rsidRDefault="008D0CF8" w:rsidP="00794E35">
      <w:pPr>
        <w:spacing w:line="240" w:lineRule="auto"/>
        <w:rPr>
          <w:szCs w:val="22"/>
        </w:rPr>
      </w:pPr>
    </w:p>
    <w:p w:rsidR="008D0CF8" w:rsidRPr="00915A2C" w:rsidRDefault="00B93209" w:rsidP="00794E35">
      <w:pPr>
        <w:spacing w:line="240" w:lineRule="auto"/>
        <w:rPr>
          <w:b/>
          <w:szCs w:val="22"/>
        </w:rPr>
      </w:pPr>
      <w:r w:rsidRPr="00DF71B0">
        <w:rPr>
          <w:b/>
          <w:szCs w:val="22"/>
        </w:rPr>
        <w:t>6.4</w:t>
      </w:r>
      <w:r w:rsidRPr="00DF71B0">
        <w:rPr>
          <w:b/>
          <w:szCs w:val="22"/>
        </w:rPr>
        <w:tab/>
        <w:t>Špeciálne upozornenia na uchovávanie</w:t>
      </w:r>
    </w:p>
    <w:p w:rsidR="008D0CF8" w:rsidRPr="00376BB3" w:rsidRDefault="008D0CF8" w:rsidP="00794E35">
      <w:pPr>
        <w:spacing w:line="240" w:lineRule="auto"/>
        <w:rPr>
          <w:szCs w:val="22"/>
        </w:rPr>
      </w:pPr>
    </w:p>
    <w:p w:rsidR="008D0CF8" w:rsidRPr="007D1B67" w:rsidRDefault="00B93209" w:rsidP="00794E35">
      <w:pPr>
        <w:spacing w:line="240" w:lineRule="auto"/>
        <w:rPr>
          <w:szCs w:val="22"/>
        </w:rPr>
      </w:pPr>
      <w:r w:rsidRPr="00957297">
        <w:rPr>
          <w:szCs w:val="22"/>
        </w:rPr>
        <w:t>Tento liek nevyžaduje žiadne zvláštne podmienky na u</w:t>
      </w:r>
      <w:r w:rsidRPr="00491A51">
        <w:rPr>
          <w:szCs w:val="22"/>
        </w:rPr>
        <w:t>chovávanie.</w:t>
      </w:r>
    </w:p>
    <w:p w:rsidR="008D0CF8" w:rsidRPr="00AD5EA5" w:rsidRDefault="008D0CF8" w:rsidP="00794E35">
      <w:pPr>
        <w:spacing w:line="240" w:lineRule="auto"/>
        <w:rPr>
          <w:szCs w:val="22"/>
        </w:rPr>
      </w:pPr>
    </w:p>
    <w:p w:rsidR="008D0CF8" w:rsidRPr="008A55DD" w:rsidRDefault="00B93209" w:rsidP="00794E35">
      <w:pPr>
        <w:numPr>
          <w:ilvl w:val="1"/>
          <w:numId w:val="22"/>
        </w:numPr>
        <w:spacing w:line="240" w:lineRule="auto"/>
        <w:ind w:left="0" w:firstLine="0"/>
        <w:rPr>
          <w:b/>
          <w:szCs w:val="22"/>
        </w:rPr>
      </w:pPr>
      <w:r w:rsidRPr="001D3CB1">
        <w:rPr>
          <w:b/>
          <w:szCs w:val="22"/>
        </w:rPr>
        <w:t>Druh obalu a obsah balenia</w:t>
      </w:r>
    </w:p>
    <w:p w:rsidR="008D0CF8" w:rsidRPr="00644C9F" w:rsidRDefault="008D0CF8" w:rsidP="00794E35">
      <w:pPr>
        <w:spacing w:line="240" w:lineRule="auto"/>
        <w:rPr>
          <w:szCs w:val="22"/>
        </w:rPr>
      </w:pPr>
    </w:p>
    <w:p w:rsidR="008D0CF8" w:rsidRPr="00822D12" w:rsidRDefault="005D0329" w:rsidP="00794E35">
      <w:pPr>
        <w:spacing w:line="240" w:lineRule="auto"/>
        <w:rPr>
          <w:szCs w:val="22"/>
        </w:rPr>
      </w:pPr>
      <w:r w:rsidRPr="00C97179">
        <w:rPr>
          <w:szCs w:val="22"/>
        </w:rPr>
        <w:lastRenderedPageBreak/>
        <w:t>Injekčné liekovky z číreho skla typu I s objemom 6 ml, 25 ml alebo 50 ml</w:t>
      </w:r>
      <w:r w:rsidR="00B93209" w:rsidRPr="001D7910">
        <w:rPr>
          <w:szCs w:val="22"/>
        </w:rPr>
        <w:t xml:space="preserve">, </w:t>
      </w:r>
      <w:r w:rsidRPr="00A637E8">
        <w:rPr>
          <w:szCs w:val="22"/>
        </w:rPr>
        <w:t xml:space="preserve">uzatvorené </w:t>
      </w:r>
      <w:r w:rsidR="008C1443" w:rsidRPr="00310F47">
        <w:rPr>
          <w:szCs w:val="22"/>
        </w:rPr>
        <w:t>gumovými zátkami</w:t>
      </w:r>
      <w:r w:rsidR="00B93209" w:rsidRPr="00401889">
        <w:rPr>
          <w:szCs w:val="22"/>
        </w:rPr>
        <w:t>.</w:t>
      </w:r>
    </w:p>
    <w:p w:rsidR="008D0CF8" w:rsidRPr="00822D12" w:rsidRDefault="008D0CF8" w:rsidP="00794E35">
      <w:pPr>
        <w:spacing w:line="240" w:lineRule="auto"/>
        <w:rPr>
          <w:szCs w:val="22"/>
        </w:rPr>
      </w:pPr>
    </w:p>
    <w:p w:rsidR="008D0CF8" w:rsidRPr="00000C94" w:rsidRDefault="00B93209" w:rsidP="00794E35">
      <w:pPr>
        <w:spacing w:line="240" w:lineRule="auto"/>
        <w:rPr>
          <w:szCs w:val="22"/>
        </w:rPr>
      </w:pPr>
      <w:r w:rsidRPr="00E505EC">
        <w:rPr>
          <w:szCs w:val="22"/>
        </w:rPr>
        <w:t>Veľkosti balenia: škatuľa obsahuje 1 a</w:t>
      </w:r>
      <w:r w:rsidR="002826C7">
        <w:rPr>
          <w:szCs w:val="22"/>
        </w:rPr>
        <w:t>lebo</w:t>
      </w:r>
      <w:r w:rsidRPr="00E505EC">
        <w:rPr>
          <w:szCs w:val="22"/>
        </w:rPr>
        <w:t xml:space="preserve"> 5 injekčných liekoviek obsahujúcich 200 mg, 1 000 mg alebo 2 000 mg </w:t>
      </w:r>
      <w:r w:rsidRPr="00200C51">
        <w:rPr>
          <w:szCs w:val="22"/>
        </w:rPr>
        <w:t>gemcitabínu.</w:t>
      </w:r>
    </w:p>
    <w:p w:rsidR="008D0CF8" w:rsidRPr="003341A5" w:rsidRDefault="008D0CF8" w:rsidP="00794E35">
      <w:pPr>
        <w:spacing w:line="240" w:lineRule="auto"/>
        <w:rPr>
          <w:szCs w:val="22"/>
        </w:rPr>
      </w:pPr>
    </w:p>
    <w:p w:rsidR="008D0CF8" w:rsidRPr="00032B25" w:rsidRDefault="00B93209" w:rsidP="00794E35">
      <w:pPr>
        <w:spacing w:line="240" w:lineRule="auto"/>
        <w:rPr>
          <w:szCs w:val="22"/>
        </w:rPr>
      </w:pPr>
      <w:r w:rsidRPr="00792A7D">
        <w:rPr>
          <w:b/>
          <w:szCs w:val="22"/>
        </w:rPr>
        <w:t>6.6</w:t>
      </w:r>
      <w:r w:rsidRPr="00792A7D">
        <w:rPr>
          <w:b/>
          <w:szCs w:val="22"/>
        </w:rPr>
        <w:tab/>
        <w:t>Špeciálne opatrenia na likvidáciu a iné zaobchádzanie s liekom</w:t>
      </w:r>
    </w:p>
    <w:p w:rsidR="008D0CF8" w:rsidRPr="00CD1120" w:rsidRDefault="008D0CF8" w:rsidP="00794E35">
      <w:pPr>
        <w:spacing w:line="240" w:lineRule="auto"/>
        <w:rPr>
          <w:szCs w:val="22"/>
        </w:rPr>
      </w:pPr>
    </w:p>
    <w:p w:rsidR="008D0CF8" w:rsidRPr="00097C64" w:rsidRDefault="00B93209" w:rsidP="00794E35">
      <w:pPr>
        <w:spacing w:line="240" w:lineRule="auto"/>
        <w:rPr>
          <w:i/>
          <w:szCs w:val="22"/>
        </w:rPr>
      </w:pPr>
      <w:r w:rsidRPr="001F39C3">
        <w:rPr>
          <w:i/>
          <w:szCs w:val="22"/>
        </w:rPr>
        <w:t>Riedenie:</w:t>
      </w:r>
    </w:p>
    <w:p w:rsidR="008D0CF8" w:rsidRPr="00FD0F32" w:rsidRDefault="008D0CF8" w:rsidP="00794E35">
      <w:pPr>
        <w:spacing w:line="240" w:lineRule="auto"/>
        <w:rPr>
          <w:szCs w:val="22"/>
        </w:rPr>
      </w:pPr>
    </w:p>
    <w:p w:rsidR="008D0CF8" w:rsidRPr="002C31C1" w:rsidRDefault="004D4794" w:rsidP="00794E35">
      <w:pPr>
        <w:spacing w:line="240" w:lineRule="auto"/>
        <w:rPr>
          <w:szCs w:val="22"/>
        </w:rPr>
      </w:pPr>
      <w:r>
        <w:rPr>
          <w:szCs w:val="22"/>
        </w:rPr>
        <w:t>Preu</w:t>
      </w:r>
      <w:r w:rsidR="00B93209" w:rsidRPr="00DD4BCE">
        <w:rPr>
          <w:szCs w:val="22"/>
        </w:rPr>
        <w:t>kázalo sa, že tento liek je kompatibilný len s roztokom chloridu sodného 9 mg/ml (0,9</w:t>
      </w:r>
      <w:r w:rsidR="002F1F18" w:rsidRPr="00057E1E">
        <w:rPr>
          <w:szCs w:val="22"/>
        </w:rPr>
        <w:t> </w:t>
      </w:r>
      <w:r w:rsidR="00B93209" w:rsidRPr="001A4A53">
        <w:rPr>
          <w:szCs w:val="22"/>
        </w:rPr>
        <w:t>%) a</w:t>
      </w:r>
      <w:r w:rsidR="005F2C69">
        <w:rPr>
          <w:szCs w:val="22"/>
        </w:rPr>
        <w:t xml:space="preserve">lebo </w:t>
      </w:r>
      <w:r w:rsidR="00B93209" w:rsidRPr="001A4A53">
        <w:rPr>
          <w:szCs w:val="22"/>
        </w:rPr>
        <w:t>roztokom glukózy 50 mg/ml (5,0 %). Takže len tieto rozpúšťadlá sa majú</w:t>
      </w:r>
      <w:r w:rsidR="00B93209" w:rsidRPr="00722475">
        <w:rPr>
          <w:szCs w:val="22"/>
        </w:rPr>
        <w:t xml:space="preserve"> používať na </w:t>
      </w:r>
      <w:r w:rsidR="00BF1F0B" w:rsidRPr="0004357C">
        <w:rPr>
          <w:szCs w:val="22"/>
        </w:rPr>
        <w:t>riedenie</w:t>
      </w:r>
      <w:r w:rsidR="00140A49">
        <w:rPr>
          <w:szCs w:val="22"/>
        </w:rPr>
        <w:t>.</w:t>
      </w:r>
    </w:p>
    <w:p w:rsidR="008D0CF8" w:rsidRPr="00E93CE5" w:rsidRDefault="008D0CF8" w:rsidP="00794E35">
      <w:pPr>
        <w:spacing w:line="240" w:lineRule="auto"/>
        <w:rPr>
          <w:szCs w:val="22"/>
        </w:rPr>
      </w:pPr>
    </w:p>
    <w:p w:rsidR="008D0CF8" w:rsidRPr="00FF52F7" w:rsidRDefault="00B93209" w:rsidP="00794E35">
      <w:pPr>
        <w:spacing w:line="240" w:lineRule="auto"/>
        <w:rPr>
          <w:szCs w:val="22"/>
        </w:rPr>
      </w:pPr>
      <w:r w:rsidRPr="004572DE">
        <w:rPr>
          <w:szCs w:val="22"/>
        </w:rPr>
        <w:t>Stabil</w:t>
      </w:r>
      <w:r w:rsidR="00FE0034" w:rsidRPr="00587EDE">
        <w:rPr>
          <w:szCs w:val="22"/>
        </w:rPr>
        <w:t>it</w:t>
      </w:r>
      <w:r w:rsidRPr="00587EDE">
        <w:rPr>
          <w:szCs w:val="22"/>
        </w:rPr>
        <w:t xml:space="preserve">a </w:t>
      </w:r>
      <w:r w:rsidR="00BF1F0B" w:rsidRPr="00B331D6">
        <w:rPr>
          <w:szCs w:val="22"/>
        </w:rPr>
        <w:t xml:space="preserve">pri používaní </w:t>
      </w:r>
      <w:r w:rsidRPr="00FD0C96">
        <w:rPr>
          <w:szCs w:val="22"/>
        </w:rPr>
        <w:t xml:space="preserve">po </w:t>
      </w:r>
      <w:r w:rsidR="00634AB2" w:rsidRPr="002062DD">
        <w:rPr>
          <w:szCs w:val="22"/>
        </w:rPr>
        <w:t xml:space="preserve">ďalšom </w:t>
      </w:r>
      <w:r w:rsidRPr="00834E16">
        <w:rPr>
          <w:szCs w:val="22"/>
        </w:rPr>
        <w:t>riedení roztokom chloridu sodného 9</w:t>
      </w:r>
      <w:r w:rsidR="002F1F18" w:rsidRPr="007121C2">
        <w:rPr>
          <w:szCs w:val="22"/>
        </w:rPr>
        <w:t> mg</w:t>
      </w:r>
      <w:r w:rsidRPr="00D05550">
        <w:rPr>
          <w:szCs w:val="22"/>
        </w:rPr>
        <w:t>/ml (0,9 %) a roztokom glukózy 50 mg/ml (5 %) bola testovan</w:t>
      </w:r>
      <w:r w:rsidR="00140A49">
        <w:rPr>
          <w:szCs w:val="22"/>
        </w:rPr>
        <w:t>á</w:t>
      </w:r>
      <w:r w:rsidRPr="00D05550">
        <w:rPr>
          <w:szCs w:val="22"/>
        </w:rPr>
        <w:t xml:space="preserve"> pre dve koncentrácie, 10,0 mg/ml a 1,0 mg/ml gemcitabínu.</w:t>
      </w:r>
    </w:p>
    <w:p w:rsidR="008D0CF8" w:rsidRPr="009F51A3" w:rsidRDefault="008D0CF8" w:rsidP="00794E35">
      <w:pPr>
        <w:spacing w:line="240" w:lineRule="auto"/>
        <w:rPr>
          <w:szCs w:val="22"/>
        </w:rPr>
      </w:pPr>
    </w:p>
    <w:p w:rsidR="008D0CF8" w:rsidRPr="008D2865" w:rsidRDefault="00B93209" w:rsidP="00794E35">
      <w:pPr>
        <w:spacing w:line="240" w:lineRule="auto"/>
        <w:rPr>
          <w:szCs w:val="22"/>
        </w:rPr>
      </w:pPr>
      <w:r w:rsidRPr="00A228BC">
        <w:rPr>
          <w:szCs w:val="22"/>
        </w:rPr>
        <w:t>Kompatibilita s inými liečivami sa neskúm</w:t>
      </w:r>
      <w:r w:rsidRPr="00BB6BA2">
        <w:rPr>
          <w:szCs w:val="22"/>
        </w:rPr>
        <w:t xml:space="preserve">ala. Preto sa neodporúča miešať tento liek s inými liečivami. </w:t>
      </w:r>
    </w:p>
    <w:p w:rsidR="008D0CF8" w:rsidRPr="008E61BB" w:rsidRDefault="008D0CF8" w:rsidP="00794E35">
      <w:pPr>
        <w:spacing w:line="240" w:lineRule="auto"/>
        <w:rPr>
          <w:szCs w:val="22"/>
        </w:rPr>
      </w:pPr>
    </w:p>
    <w:p w:rsidR="008D0CF8" w:rsidRPr="001B180B" w:rsidRDefault="00B93209" w:rsidP="00794E35">
      <w:pPr>
        <w:spacing w:line="240" w:lineRule="auto"/>
        <w:rPr>
          <w:szCs w:val="22"/>
        </w:rPr>
      </w:pPr>
      <w:r w:rsidRPr="007500B8">
        <w:rPr>
          <w:szCs w:val="22"/>
        </w:rPr>
        <w:t>Parenterálne lieky musia byť pred pod</w:t>
      </w:r>
      <w:r w:rsidR="00D66BCB">
        <w:rPr>
          <w:szCs w:val="22"/>
        </w:rPr>
        <w:t>áva</w:t>
      </w:r>
      <w:r w:rsidRPr="007500B8">
        <w:rPr>
          <w:szCs w:val="22"/>
        </w:rPr>
        <w:t xml:space="preserve">ním vizuálne skontrolované, ak to roztok a balenie umožňuje, či neobsahujú častice alebo či nedošlo k zmene farby.  </w:t>
      </w:r>
    </w:p>
    <w:p w:rsidR="008D0CF8" w:rsidRPr="00BC668D" w:rsidRDefault="008D0CF8" w:rsidP="00794E35">
      <w:pPr>
        <w:spacing w:line="240" w:lineRule="auto"/>
        <w:rPr>
          <w:szCs w:val="22"/>
        </w:rPr>
      </w:pPr>
    </w:p>
    <w:p w:rsidR="008D0CF8" w:rsidRPr="00957297" w:rsidRDefault="00D66BCB" w:rsidP="00794E35">
      <w:pPr>
        <w:spacing w:line="240" w:lineRule="auto"/>
        <w:rPr>
          <w:szCs w:val="22"/>
        </w:rPr>
      </w:pPr>
      <w:r>
        <w:rPr>
          <w:szCs w:val="22"/>
        </w:rPr>
        <w:t>Všetok n</w:t>
      </w:r>
      <w:r w:rsidR="00B93209" w:rsidRPr="00DF71B0">
        <w:rPr>
          <w:szCs w:val="22"/>
        </w:rPr>
        <w:t>epoužitý liek alebo odpad vzniknutý</w:t>
      </w:r>
      <w:r w:rsidR="00B93209" w:rsidRPr="00376BB3">
        <w:rPr>
          <w:szCs w:val="22"/>
        </w:rPr>
        <w:t xml:space="preserve"> z lieku </w:t>
      </w:r>
      <w:r>
        <w:rPr>
          <w:szCs w:val="22"/>
        </w:rPr>
        <w:t>sa má zlikvidovať v súlade s národn</w:t>
      </w:r>
      <w:r w:rsidR="00A14DD4">
        <w:rPr>
          <w:szCs w:val="22"/>
        </w:rPr>
        <w:t>ý</w:t>
      </w:r>
      <w:r>
        <w:rPr>
          <w:szCs w:val="22"/>
        </w:rPr>
        <w:t>mi požiadavkami</w:t>
      </w:r>
      <w:r w:rsidR="00B93209" w:rsidRPr="00376BB3">
        <w:rPr>
          <w:szCs w:val="22"/>
        </w:rPr>
        <w:t>.</w:t>
      </w:r>
    </w:p>
    <w:p w:rsidR="008D0CF8" w:rsidRPr="00133060" w:rsidRDefault="008D0CF8" w:rsidP="00794E35">
      <w:pPr>
        <w:spacing w:line="240" w:lineRule="auto"/>
        <w:rPr>
          <w:szCs w:val="22"/>
        </w:rPr>
      </w:pPr>
    </w:p>
    <w:p w:rsidR="008D0CF8" w:rsidRPr="00063D58" w:rsidRDefault="00B93209" w:rsidP="00794E35">
      <w:pPr>
        <w:spacing w:line="240" w:lineRule="auto"/>
        <w:rPr>
          <w:i/>
          <w:szCs w:val="22"/>
        </w:rPr>
      </w:pPr>
      <w:r w:rsidRPr="00F66B72">
        <w:rPr>
          <w:i/>
          <w:szCs w:val="22"/>
        </w:rPr>
        <w:t>Pokyny pre bezpečné zaobchádzanie s cytotoxickými liekmi:</w:t>
      </w:r>
    </w:p>
    <w:p w:rsidR="008D0CF8" w:rsidRPr="005F2C69" w:rsidRDefault="00B93209" w:rsidP="00794E35">
      <w:pPr>
        <w:spacing w:line="240" w:lineRule="auto"/>
        <w:rPr>
          <w:szCs w:val="22"/>
        </w:rPr>
      </w:pPr>
      <w:r w:rsidRPr="005C4899">
        <w:rPr>
          <w:szCs w:val="22"/>
        </w:rPr>
        <w:t xml:space="preserve">Pri príprave a </w:t>
      </w:r>
      <w:r w:rsidR="00BF1F0B" w:rsidRPr="00654202">
        <w:rPr>
          <w:szCs w:val="22"/>
        </w:rPr>
        <w:t>zaobchádzaní s</w:t>
      </w:r>
      <w:r w:rsidR="00234A6A">
        <w:rPr>
          <w:szCs w:val="22"/>
        </w:rPr>
        <w:t> cytotoxickými liekmi</w:t>
      </w:r>
      <w:r w:rsidRPr="00287F2D">
        <w:rPr>
          <w:szCs w:val="22"/>
        </w:rPr>
        <w:t xml:space="preserve"> sa musí postupovať podľa obvyklých bezpečnostných pokynov pre cytotoxické</w:t>
      </w:r>
      <w:r w:rsidRPr="00805508">
        <w:rPr>
          <w:szCs w:val="22"/>
        </w:rPr>
        <w:t xml:space="preserve"> l</w:t>
      </w:r>
      <w:r w:rsidR="00234A6A">
        <w:rPr>
          <w:szCs w:val="22"/>
        </w:rPr>
        <w:t>ieky</w:t>
      </w:r>
      <w:r w:rsidRPr="00805508">
        <w:rPr>
          <w:szCs w:val="22"/>
        </w:rPr>
        <w:t>. Tehotné zamestnankyne ne</w:t>
      </w:r>
      <w:r w:rsidR="00EE5633">
        <w:rPr>
          <w:szCs w:val="22"/>
        </w:rPr>
        <w:t>smú manipulovať s cytotoxickými liekmi</w:t>
      </w:r>
      <w:r w:rsidRPr="00805508">
        <w:rPr>
          <w:szCs w:val="22"/>
        </w:rPr>
        <w:t>. Prípravu injekčných roztokov cytotoxických látok musí vykonať vyškolený odborný personál so znalosťou používa</w:t>
      </w:r>
      <w:r w:rsidR="00A36481">
        <w:rPr>
          <w:szCs w:val="22"/>
        </w:rPr>
        <w:t>nia takýchto</w:t>
      </w:r>
      <w:r w:rsidRPr="00805508">
        <w:rPr>
          <w:szCs w:val="22"/>
        </w:rPr>
        <w:t xml:space="preserve"> liekov</w:t>
      </w:r>
      <w:r w:rsidR="00A36481">
        <w:rPr>
          <w:szCs w:val="22"/>
        </w:rPr>
        <w:t>.</w:t>
      </w:r>
      <w:r w:rsidR="00BF1F0B" w:rsidRPr="004D4794">
        <w:rPr>
          <w:szCs w:val="22"/>
        </w:rPr>
        <w:t xml:space="preserve"> </w:t>
      </w:r>
      <w:r w:rsidR="00A36481">
        <w:rPr>
          <w:szCs w:val="22"/>
        </w:rPr>
        <w:t>M</w:t>
      </w:r>
      <w:r w:rsidRPr="004D4794">
        <w:rPr>
          <w:szCs w:val="22"/>
        </w:rPr>
        <w:t xml:space="preserve">á </w:t>
      </w:r>
      <w:r w:rsidR="00BF1F0B" w:rsidRPr="004D4794">
        <w:rPr>
          <w:szCs w:val="22"/>
        </w:rPr>
        <w:t xml:space="preserve">sa </w:t>
      </w:r>
      <w:r w:rsidR="00A36481">
        <w:rPr>
          <w:szCs w:val="22"/>
        </w:rPr>
        <w:t xml:space="preserve">to </w:t>
      </w:r>
      <w:r w:rsidRPr="004D4794">
        <w:rPr>
          <w:szCs w:val="22"/>
        </w:rPr>
        <w:t>uskutočniť vo vyhradenom priestore. Pracovný povrch sa má pokryť jed</w:t>
      </w:r>
      <w:r w:rsidRPr="005F2C69">
        <w:rPr>
          <w:szCs w:val="22"/>
        </w:rPr>
        <w:t>norazovým absorpčným papierom potiahnutým fóliou z plast</w:t>
      </w:r>
      <w:r w:rsidR="003D510C">
        <w:rPr>
          <w:szCs w:val="22"/>
        </w:rPr>
        <w:t>u</w:t>
      </w:r>
      <w:r w:rsidRPr="005F2C69">
        <w:rPr>
          <w:szCs w:val="22"/>
        </w:rPr>
        <w:t xml:space="preserve">. </w:t>
      </w:r>
    </w:p>
    <w:p w:rsidR="008D0CF8" w:rsidRPr="00234A6A" w:rsidRDefault="00B93209" w:rsidP="00794E35">
      <w:pPr>
        <w:spacing w:line="240" w:lineRule="auto"/>
        <w:rPr>
          <w:szCs w:val="22"/>
        </w:rPr>
      </w:pPr>
      <w:r w:rsidRPr="00140A49">
        <w:rPr>
          <w:szCs w:val="22"/>
        </w:rPr>
        <w:t>Je potrebné používať vhodnú ochranu očí, jednorazové rukavice, ochrannú masku a zásteru na jednorazové použitie. Na zabránenie náhodnému kontaktu s očami je potrebné dodržiavať preventív</w:t>
      </w:r>
      <w:r w:rsidRPr="00FF444A">
        <w:rPr>
          <w:szCs w:val="22"/>
        </w:rPr>
        <w:t xml:space="preserve">ne opatrenia. Ak dôjde k náhodnej kontaminácii, oči sa majú dôkladne a ihneď prepláchnuť vodou. </w:t>
      </w:r>
    </w:p>
    <w:p w:rsidR="008D0CF8" w:rsidRPr="003D510C" w:rsidRDefault="00B93209" w:rsidP="00794E35">
      <w:pPr>
        <w:spacing w:line="240" w:lineRule="auto"/>
        <w:rPr>
          <w:szCs w:val="22"/>
        </w:rPr>
      </w:pPr>
      <w:r w:rsidRPr="00EE5633">
        <w:rPr>
          <w:szCs w:val="22"/>
        </w:rPr>
        <w:t xml:space="preserve">Injekčné striekačky a infúzne sety sa majú zbierať opatrne, aby sa zabránilo vytekaniu (odporúča sa používanie Luer lock konektorov). Na minimalizáciu tlaku a </w:t>
      </w:r>
      <w:r w:rsidRPr="004B5362">
        <w:rPr>
          <w:szCs w:val="22"/>
        </w:rPr>
        <w:t xml:space="preserve">možnej tvorby aerosólov sa majú používať ihly s veľkým priemerom. </w:t>
      </w:r>
      <w:r w:rsidR="009D7744">
        <w:rPr>
          <w:szCs w:val="22"/>
        </w:rPr>
        <w:t xml:space="preserve">Výskyt týchto prípadov </w:t>
      </w:r>
      <w:r w:rsidRPr="004B5362">
        <w:rPr>
          <w:szCs w:val="22"/>
        </w:rPr>
        <w:t>sa môže znížiť tiež používaním odv</w:t>
      </w:r>
      <w:r w:rsidR="009D7744">
        <w:rPr>
          <w:szCs w:val="22"/>
        </w:rPr>
        <w:t>zdušňovacej</w:t>
      </w:r>
      <w:r w:rsidRPr="004B5362">
        <w:rPr>
          <w:szCs w:val="22"/>
        </w:rPr>
        <w:t xml:space="preserve"> ihly. </w:t>
      </w:r>
    </w:p>
    <w:p w:rsidR="008D0CF8" w:rsidRPr="00AC04F7" w:rsidRDefault="00B93209" w:rsidP="00794E35">
      <w:pPr>
        <w:spacing w:line="240" w:lineRule="auto"/>
        <w:rPr>
          <w:szCs w:val="22"/>
        </w:rPr>
      </w:pPr>
      <w:r w:rsidRPr="009D7744">
        <w:rPr>
          <w:szCs w:val="22"/>
        </w:rPr>
        <w:t xml:space="preserve">Pri skutočnom rozliatí alebo vytekaní sa má roztok zotrieť s použitím ochranných rukavíc. S </w:t>
      </w:r>
      <w:r w:rsidR="00A637DC" w:rsidRPr="009E2698">
        <w:rPr>
          <w:szCs w:val="22"/>
        </w:rPr>
        <w:t xml:space="preserve">exkrementami </w:t>
      </w:r>
      <w:r w:rsidRPr="00AC04F7">
        <w:rPr>
          <w:szCs w:val="22"/>
        </w:rPr>
        <w:t xml:space="preserve">a zvratkami sa musí zaobchádzať opatrne. </w:t>
      </w:r>
    </w:p>
    <w:p w:rsidR="008D0CF8" w:rsidRPr="00DA26FB" w:rsidRDefault="008D0CF8" w:rsidP="00794E35">
      <w:pPr>
        <w:spacing w:line="240" w:lineRule="auto"/>
        <w:rPr>
          <w:szCs w:val="22"/>
        </w:rPr>
      </w:pPr>
    </w:p>
    <w:p w:rsidR="008D0CF8" w:rsidRPr="00896E4A" w:rsidRDefault="00B93209" w:rsidP="00794E35">
      <w:pPr>
        <w:spacing w:line="240" w:lineRule="auto"/>
        <w:rPr>
          <w:i/>
          <w:szCs w:val="22"/>
        </w:rPr>
      </w:pPr>
      <w:r w:rsidRPr="00896E4A">
        <w:rPr>
          <w:i/>
          <w:szCs w:val="22"/>
        </w:rPr>
        <w:t>Likvidácia:</w:t>
      </w:r>
    </w:p>
    <w:p w:rsidR="008D0CF8" w:rsidRPr="00896E4A" w:rsidRDefault="00B93209" w:rsidP="00794E35">
      <w:pPr>
        <w:spacing w:line="240" w:lineRule="auto"/>
        <w:rPr>
          <w:szCs w:val="22"/>
        </w:rPr>
      </w:pPr>
      <w:r w:rsidRPr="00B24BC1">
        <w:rPr>
          <w:szCs w:val="22"/>
        </w:rPr>
        <w:t xml:space="preserve">Likvidácii predmetov používaných na </w:t>
      </w:r>
      <w:r w:rsidR="00BF1F0B" w:rsidRPr="00A14DD4">
        <w:rPr>
          <w:szCs w:val="22"/>
        </w:rPr>
        <w:t>prípravu t</w:t>
      </w:r>
      <w:r w:rsidRPr="00A14DD4">
        <w:rPr>
          <w:szCs w:val="22"/>
        </w:rPr>
        <w:t xml:space="preserve">ohto lieku sa má venovať primeraná pozornosť a opatrnosť. </w:t>
      </w:r>
      <w:r w:rsidR="00AC04F7">
        <w:rPr>
          <w:szCs w:val="22"/>
        </w:rPr>
        <w:t>Všetok n</w:t>
      </w:r>
      <w:r w:rsidRPr="00AC04F7">
        <w:rPr>
          <w:szCs w:val="22"/>
        </w:rPr>
        <w:t xml:space="preserve">epoužitý liek alebo kontaminované materiály sa majú umiestniť do nádoby pre vysoko rizikový odpad. Ostré predmety (ihly, injekčné striekačky, injekčné liekovky, atď.) sa majú umiestniť do vhodnej pevnej nádoby. Personál, ktorý zbiera a likviduje tento odpad, treba poučiť o jeho nebezpečenstve. Odpadový materiál sa má zlikvidovať spálením. </w:t>
      </w:r>
      <w:r w:rsidR="00896E4A">
        <w:rPr>
          <w:szCs w:val="22"/>
        </w:rPr>
        <w:t>Všetok n</w:t>
      </w:r>
      <w:r w:rsidRPr="00AC04F7">
        <w:rPr>
          <w:szCs w:val="22"/>
        </w:rPr>
        <w:t>epoužitý liek alebo od</w:t>
      </w:r>
      <w:r w:rsidRPr="00DA26FB">
        <w:rPr>
          <w:szCs w:val="22"/>
        </w:rPr>
        <w:t xml:space="preserve">pad vzniknutý z lieku </w:t>
      </w:r>
      <w:r w:rsidR="00896E4A">
        <w:rPr>
          <w:szCs w:val="22"/>
        </w:rPr>
        <w:t>sa má zlikvidovať v súlade s národn</w:t>
      </w:r>
      <w:r w:rsidR="00A14DD4">
        <w:rPr>
          <w:szCs w:val="22"/>
        </w:rPr>
        <w:t>ý</w:t>
      </w:r>
      <w:r w:rsidR="00896E4A">
        <w:rPr>
          <w:szCs w:val="22"/>
        </w:rPr>
        <w:t>mi požiadavkami</w:t>
      </w:r>
      <w:r w:rsidR="00896E4A" w:rsidRPr="00376BB3">
        <w:rPr>
          <w:szCs w:val="22"/>
        </w:rPr>
        <w:t>.</w:t>
      </w:r>
    </w:p>
    <w:p w:rsidR="008D0CF8" w:rsidRDefault="008D0CF8" w:rsidP="00794E35">
      <w:pPr>
        <w:spacing w:line="240" w:lineRule="auto"/>
        <w:rPr>
          <w:szCs w:val="22"/>
        </w:rPr>
      </w:pPr>
    </w:p>
    <w:p w:rsidR="00366714" w:rsidRPr="00B24BC1" w:rsidRDefault="00366714" w:rsidP="00794E35">
      <w:pPr>
        <w:spacing w:line="240" w:lineRule="auto"/>
        <w:rPr>
          <w:szCs w:val="22"/>
        </w:rPr>
      </w:pPr>
    </w:p>
    <w:p w:rsidR="008D0CF8" w:rsidRPr="00366714" w:rsidRDefault="00B93209" w:rsidP="00794E35">
      <w:pPr>
        <w:keepNext/>
        <w:keepLines/>
        <w:spacing w:line="240" w:lineRule="auto"/>
        <w:rPr>
          <w:szCs w:val="22"/>
        </w:rPr>
      </w:pPr>
      <w:r w:rsidRPr="00366714">
        <w:rPr>
          <w:b/>
          <w:szCs w:val="22"/>
        </w:rPr>
        <w:t>7.</w:t>
      </w:r>
      <w:r w:rsidRPr="00366714">
        <w:rPr>
          <w:b/>
          <w:szCs w:val="22"/>
        </w:rPr>
        <w:tab/>
        <w:t>DRŽITEĽ ROZHODNUTIA O REGISTRÁCII</w:t>
      </w:r>
    </w:p>
    <w:p w:rsidR="008D0CF8" w:rsidRPr="004C0A70" w:rsidRDefault="008D0CF8" w:rsidP="00794E35">
      <w:pPr>
        <w:keepNext/>
        <w:keepLines/>
        <w:spacing w:line="240" w:lineRule="auto"/>
        <w:rPr>
          <w:szCs w:val="22"/>
        </w:rPr>
      </w:pPr>
    </w:p>
    <w:p w:rsidR="008D0CF8" w:rsidRPr="007D1B67" w:rsidRDefault="004C0A70" w:rsidP="00794E35">
      <w:pPr>
        <w:keepNext/>
        <w:keepLines/>
        <w:spacing w:line="240" w:lineRule="auto"/>
        <w:rPr>
          <w:szCs w:val="22"/>
        </w:rPr>
      </w:pPr>
      <w:r>
        <w:rPr>
          <w:szCs w:val="22"/>
        </w:rPr>
        <w:t>m</w:t>
      </w:r>
      <w:r w:rsidR="00B93209" w:rsidRPr="004C0A70">
        <w:rPr>
          <w:szCs w:val="22"/>
        </w:rPr>
        <w:t>edac</w:t>
      </w:r>
      <w:r>
        <w:rPr>
          <w:szCs w:val="22"/>
        </w:rPr>
        <w:t xml:space="preserve"> </w:t>
      </w:r>
      <w:r w:rsidR="00B93209" w:rsidRPr="00AD5EA5">
        <w:rPr>
          <w:szCs w:val="22"/>
        </w:rPr>
        <w:t>Gesellschaft für klinische Spezialpräparate mbH</w:t>
      </w:r>
    </w:p>
    <w:p w:rsidR="008D0CF8" w:rsidRPr="007D1B67" w:rsidRDefault="00B93209" w:rsidP="00794E35">
      <w:pPr>
        <w:spacing w:line="240" w:lineRule="auto"/>
        <w:rPr>
          <w:szCs w:val="22"/>
        </w:rPr>
      </w:pPr>
      <w:r w:rsidRPr="00AD5EA5">
        <w:rPr>
          <w:szCs w:val="22"/>
        </w:rPr>
        <w:t>Theaterstr. 6</w:t>
      </w:r>
    </w:p>
    <w:p w:rsidR="00E670FF" w:rsidRPr="007D1B67" w:rsidRDefault="00B93209" w:rsidP="00794E35">
      <w:pPr>
        <w:spacing w:line="240" w:lineRule="auto"/>
        <w:rPr>
          <w:szCs w:val="22"/>
        </w:rPr>
      </w:pPr>
      <w:r w:rsidRPr="00AD5EA5">
        <w:rPr>
          <w:szCs w:val="22"/>
        </w:rPr>
        <w:t>22880 Wedel</w:t>
      </w:r>
    </w:p>
    <w:p w:rsidR="008D0CF8" w:rsidRPr="007D1B67" w:rsidRDefault="00B93209" w:rsidP="00794E35">
      <w:pPr>
        <w:spacing w:line="240" w:lineRule="auto"/>
        <w:rPr>
          <w:szCs w:val="22"/>
        </w:rPr>
      </w:pPr>
      <w:r w:rsidRPr="00AD5EA5">
        <w:rPr>
          <w:szCs w:val="22"/>
        </w:rPr>
        <w:lastRenderedPageBreak/>
        <w:t>Nemecko</w:t>
      </w:r>
    </w:p>
    <w:p w:rsidR="008D0CF8" w:rsidRPr="001D3CB1" w:rsidRDefault="00B93209" w:rsidP="00794E35">
      <w:pPr>
        <w:spacing w:line="240" w:lineRule="auto"/>
        <w:rPr>
          <w:szCs w:val="22"/>
        </w:rPr>
      </w:pPr>
      <w:r w:rsidRPr="00AD5EA5">
        <w:rPr>
          <w:szCs w:val="22"/>
        </w:rPr>
        <w:t xml:space="preserve">Tel.: </w:t>
      </w:r>
      <w:r w:rsidRPr="00AD5EA5">
        <w:rPr>
          <w:szCs w:val="22"/>
        </w:rPr>
        <w:tab/>
        <w:t>+49 4103 8006-0</w:t>
      </w:r>
    </w:p>
    <w:p w:rsidR="008D0CF8" w:rsidRPr="00644C9F" w:rsidRDefault="00B93209" w:rsidP="00794E35">
      <w:pPr>
        <w:spacing w:line="240" w:lineRule="auto"/>
        <w:rPr>
          <w:szCs w:val="22"/>
        </w:rPr>
      </w:pPr>
      <w:r w:rsidRPr="008A55DD">
        <w:rPr>
          <w:szCs w:val="22"/>
        </w:rPr>
        <w:t xml:space="preserve">Fax: </w:t>
      </w:r>
      <w:r w:rsidRPr="008A55DD">
        <w:rPr>
          <w:szCs w:val="22"/>
        </w:rPr>
        <w:tab/>
        <w:t>+49 4103 8006-100</w:t>
      </w:r>
    </w:p>
    <w:p w:rsidR="008D0CF8" w:rsidRPr="00C97179" w:rsidRDefault="008D0CF8" w:rsidP="00794E35">
      <w:pPr>
        <w:spacing w:line="240" w:lineRule="auto"/>
        <w:rPr>
          <w:szCs w:val="22"/>
        </w:rPr>
      </w:pPr>
    </w:p>
    <w:p w:rsidR="008D0CF8" w:rsidRPr="001D7910" w:rsidRDefault="008D0CF8" w:rsidP="00794E35">
      <w:pPr>
        <w:spacing w:line="240" w:lineRule="auto"/>
        <w:rPr>
          <w:szCs w:val="22"/>
        </w:rPr>
      </w:pPr>
    </w:p>
    <w:p w:rsidR="008D0CF8" w:rsidRPr="00401889" w:rsidRDefault="00B93209" w:rsidP="00794E35">
      <w:pPr>
        <w:spacing w:line="240" w:lineRule="auto"/>
        <w:rPr>
          <w:b/>
          <w:szCs w:val="22"/>
        </w:rPr>
      </w:pPr>
      <w:r w:rsidRPr="00A637E8">
        <w:rPr>
          <w:b/>
          <w:szCs w:val="22"/>
        </w:rPr>
        <w:t>8.</w:t>
      </w:r>
      <w:r w:rsidRPr="00A637E8">
        <w:rPr>
          <w:b/>
          <w:szCs w:val="22"/>
        </w:rPr>
        <w:tab/>
        <w:t>RE</w:t>
      </w:r>
      <w:r w:rsidR="005D0329" w:rsidRPr="00310F47">
        <w:rPr>
          <w:b/>
          <w:szCs w:val="22"/>
        </w:rPr>
        <w:t>GISTRAČNÉ ČÍSLO</w:t>
      </w:r>
    </w:p>
    <w:p w:rsidR="008D0CF8" w:rsidRPr="007D1B67" w:rsidRDefault="008D0CF8" w:rsidP="00794E35">
      <w:pPr>
        <w:keepNext/>
        <w:widowControl w:val="0"/>
        <w:spacing w:line="240" w:lineRule="auto"/>
        <w:ind w:left="567" w:hanging="567"/>
        <w:rPr>
          <w:szCs w:val="22"/>
        </w:rPr>
      </w:pPr>
    </w:p>
    <w:p w:rsidR="008D0CF8" w:rsidRPr="00794E35" w:rsidRDefault="001632DD" w:rsidP="00794E35">
      <w:pPr>
        <w:spacing w:line="240" w:lineRule="auto"/>
        <w:rPr>
          <w:szCs w:val="22"/>
        </w:rPr>
      </w:pPr>
      <w:r w:rsidRPr="00794E35">
        <w:rPr>
          <w:szCs w:val="22"/>
        </w:rPr>
        <w:t>Registračné č.:</w:t>
      </w:r>
      <w:r w:rsidRPr="001632DD">
        <w:t xml:space="preserve"> </w:t>
      </w:r>
      <w:r w:rsidRPr="001632DD">
        <w:rPr>
          <w:szCs w:val="22"/>
        </w:rPr>
        <w:t>44/0122/16-S</w:t>
      </w:r>
    </w:p>
    <w:p w:rsidR="008D0CF8" w:rsidRDefault="008D0CF8" w:rsidP="00794E35">
      <w:pPr>
        <w:spacing w:line="240" w:lineRule="auto"/>
        <w:rPr>
          <w:szCs w:val="22"/>
        </w:rPr>
      </w:pPr>
    </w:p>
    <w:p w:rsidR="001632DD" w:rsidRPr="001D3CB1" w:rsidRDefault="001632DD" w:rsidP="00794E35">
      <w:pPr>
        <w:spacing w:line="240" w:lineRule="auto"/>
        <w:rPr>
          <w:szCs w:val="22"/>
        </w:rPr>
      </w:pPr>
    </w:p>
    <w:p w:rsidR="008D0CF8" w:rsidRPr="00C97179" w:rsidRDefault="00B93209" w:rsidP="00794E35">
      <w:pPr>
        <w:spacing w:line="240" w:lineRule="auto"/>
        <w:rPr>
          <w:szCs w:val="22"/>
        </w:rPr>
      </w:pPr>
      <w:r w:rsidRPr="008A55DD">
        <w:rPr>
          <w:b/>
          <w:szCs w:val="22"/>
        </w:rPr>
        <w:t>9.</w:t>
      </w:r>
      <w:r w:rsidRPr="008A55DD">
        <w:rPr>
          <w:b/>
          <w:szCs w:val="22"/>
        </w:rPr>
        <w:tab/>
      </w:r>
      <w:r w:rsidRPr="00644C9F">
        <w:rPr>
          <w:b/>
          <w:szCs w:val="22"/>
        </w:rPr>
        <w:t>DÁTUM PRVEJ REGISTRÁCIE/PREDĹŽENIA REGISTRÁCIE</w:t>
      </w:r>
    </w:p>
    <w:p w:rsidR="00462593" w:rsidRPr="007D1B67" w:rsidRDefault="00462593" w:rsidP="00794E35">
      <w:pPr>
        <w:keepNext/>
        <w:widowControl w:val="0"/>
        <w:spacing w:line="240" w:lineRule="auto"/>
        <w:rPr>
          <w:szCs w:val="22"/>
        </w:rPr>
      </w:pPr>
    </w:p>
    <w:p w:rsidR="00462593" w:rsidRPr="007D1B67" w:rsidRDefault="00B93209" w:rsidP="00794E35">
      <w:pPr>
        <w:keepNext/>
        <w:widowControl w:val="0"/>
        <w:spacing w:line="240" w:lineRule="auto"/>
        <w:rPr>
          <w:szCs w:val="22"/>
        </w:rPr>
      </w:pPr>
      <w:r w:rsidRPr="00AD5EA5">
        <w:rPr>
          <w:szCs w:val="22"/>
        </w:rPr>
        <w:t>Dátum prvej registrácie:</w:t>
      </w:r>
    </w:p>
    <w:p w:rsidR="008D0CF8" w:rsidRPr="00AD5EA5" w:rsidRDefault="008D0CF8" w:rsidP="00794E35">
      <w:pPr>
        <w:spacing w:line="240" w:lineRule="auto"/>
        <w:rPr>
          <w:szCs w:val="22"/>
        </w:rPr>
      </w:pPr>
    </w:p>
    <w:p w:rsidR="008D0CF8" w:rsidRPr="001D3CB1" w:rsidRDefault="008D0CF8" w:rsidP="00794E35">
      <w:pPr>
        <w:spacing w:line="240" w:lineRule="auto"/>
        <w:rPr>
          <w:szCs w:val="22"/>
        </w:rPr>
      </w:pPr>
    </w:p>
    <w:p w:rsidR="008D0CF8" w:rsidRPr="00644C9F" w:rsidRDefault="00B93209" w:rsidP="00794E35">
      <w:pPr>
        <w:spacing w:line="240" w:lineRule="auto"/>
        <w:rPr>
          <w:b/>
          <w:szCs w:val="22"/>
        </w:rPr>
      </w:pPr>
      <w:r w:rsidRPr="008A55DD">
        <w:rPr>
          <w:b/>
          <w:szCs w:val="22"/>
        </w:rPr>
        <w:t>10.</w:t>
      </w:r>
      <w:r w:rsidRPr="008A55DD">
        <w:rPr>
          <w:b/>
          <w:szCs w:val="22"/>
        </w:rPr>
        <w:tab/>
        <w:t>DÁTUM REVÍZIE TEXTU</w:t>
      </w:r>
    </w:p>
    <w:p w:rsidR="008D0CF8" w:rsidRPr="007D1B67" w:rsidRDefault="008D0CF8" w:rsidP="00794E35">
      <w:pPr>
        <w:keepNext/>
        <w:widowControl w:val="0"/>
        <w:spacing w:line="240" w:lineRule="auto"/>
        <w:ind w:left="567" w:hanging="567"/>
        <w:rPr>
          <w:szCs w:val="22"/>
        </w:rPr>
      </w:pPr>
    </w:p>
    <w:p w:rsidR="008D0CF8" w:rsidRPr="007D1B67" w:rsidRDefault="003303C1" w:rsidP="00794E35">
      <w:pPr>
        <w:keepNext/>
        <w:widowControl w:val="0"/>
        <w:spacing w:line="240" w:lineRule="auto"/>
        <w:rPr>
          <w:szCs w:val="22"/>
        </w:rPr>
      </w:pPr>
      <w:r w:rsidRPr="00AD5EA5">
        <w:rPr>
          <w:szCs w:val="22"/>
        </w:rPr>
        <w:t>0</w:t>
      </w:r>
      <w:r w:rsidR="00B3463E">
        <w:rPr>
          <w:szCs w:val="22"/>
        </w:rPr>
        <w:t>3</w:t>
      </w:r>
      <w:r w:rsidRPr="00AD5EA5">
        <w:rPr>
          <w:szCs w:val="22"/>
        </w:rPr>
        <w:t>/2016</w:t>
      </w:r>
    </w:p>
    <w:p w:rsidR="008D0CF8" w:rsidRPr="00AD5EA5" w:rsidRDefault="008D0CF8" w:rsidP="00794E35">
      <w:pPr>
        <w:spacing w:line="240" w:lineRule="auto"/>
        <w:rPr>
          <w:szCs w:val="22"/>
        </w:rPr>
      </w:pPr>
    </w:p>
    <w:p w:rsidR="00CF3135" w:rsidRPr="001D3CB1" w:rsidRDefault="00CF3135" w:rsidP="00794E35">
      <w:pPr>
        <w:spacing w:line="240" w:lineRule="auto"/>
        <w:rPr>
          <w:szCs w:val="22"/>
        </w:rPr>
      </w:pPr>
    </w:p>
    <w:sectPr w:rsidR="00CF3135" w:rsidRPr="001D3CB1" w:rsidSect="00794E35">
      <w:footerReference w:type="default" r:id="rId9"/>
      <w:headerReference w:type="first" r:id="rId10"/>
      <w:footerReference w:type="first" r:id="rId11"/>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6E" w:rsidRDefault="002D426E">
      <w:r>
        <w:separator/>
      </w:r>
    </w:p>
  </w:endnote>
  <w:endnote w:type="continuationSeparator" w:id="0">
    <w:p w:rsidR="002D426E" w:rsidRDefault="002D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Helvetica">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Verdan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7E1" w:rsidRPr="00794E35" w:rsidRDefault="00CE07E1">
    <w:pPr>
      <w:pStyle w:val="Pta"/>
      <w:jc w:val="center"/>
      <w:rPr>
        <w:rFonts w:ascii="Times New Roman" w:hAnsi="Times New Roman"/>
        <w:sz w:val="18"/>
        <w:szCs w:val="18"/>
      </w:rPr>
    </w:pPr>
    <w:r w:rsidRPr="00794E35">
      <w:rPr>
        <w:rFonts w:ascii="Times New Roman" w:hAnsi="Times New Roman"/>
        <w:sz w:val="18"/>
        <w:szCs w:val="18"/>
      </w:rPr>
      <w:fldChar w:fldCharType="begin"/>
    </w:r>
    <w:r w:rsidRPr="00794E35">
      <w:rPr>
        <w:rFonts w:ascii="Times New Roman" w:hAnsi="Times New Roman"/>
        <w:sz w:val="18"/>
        <w:szCs w:val="18"/>
      </w:rPr>
      <w:instrText>PAGE   \* MERGEFORMAT</w:instrText>
    </w:r>
    <w:r w:rsidRPr="00794E35">
      <w:rPr>
        <w:rFonts w:ascii="Times New Roman" w:hAnsi="Times New Roman"/>
        <w:sz w:val="18"/>
        <w:szCs w:val="18"/>
      </w:rPr>
      <w:fldChar w:fldCharType="separate"/>
    </w:r>
    <w:r w:rsidR="00D53D29">
      <w:rPr>
        <w:rFonts w:ascii="Times New Roman" w:hAnsi="Times New Roman"/>
        <w:noProof/>
        <w:sz w:val="18"/>
        <w:szCs w:val="18"/>
      </w:rPr>
      <w:t>4</w:t>
    </w:r>
    <w:r w:rsidRPr="00794E35">
      <w:rPr>
        <w:rFonts w:ascii="Times New Roman" w:hAnsi="Times New Roman"/>
        <w:sz w:val="18"/>
        <w:szCs w:val="18"/>
      </w:rPr>
      <w:fldChar w:fldCharType="end"/>
    </w:r>
  </w:p>
  <w:p w:rsidR="003C0E65" w:rsidRPr="00570D74" w:rsidRDefault="003C0E65" w:rsidP="00794E35">
    <w:pPr>
      <w:pStyle w:val="Pta"/>
      <w:tabs>
        <w:tab w:val="clear" w:pos="8930"/>
        <w:tab w:val="right" w:pos="8931"/>
      </w:tabs>
      <w:ind w:right="96"/>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7E1" w:rsidRPr="00794E35" w:rsidRDefault="00CE07E1">
    <w:pPr>
      <w:pStyle w:val="Pta"/>
      <w:jc w:val="center"/>
      <w:rPr>
        <w:rFonts w:ascii="Times New Roman" w:hAnsi="Times New Roman"/>
        <w:sz w:val="18"/>
        <w:szCs w:val="18"/>
      </w:rPr>
    </w:pPr>
    <w:r w:rsidRPr="00794E35">
      <w:rPr>
        <w:rFonts w:ascii="Times New Roman" w:hAnsi="Times New Roman"/>
        <w:sz w:val="18"/>
        <w:szCs w:val="18"/>
      </w:rPr>
      <w:fldChar w:fldCharType="begin"/>
    </w:r>
    <w:r w:rsidRPr="00794E35">
      <w:rPr>
        <w:rFonts w:ascii="Times New Roman" w:hAnsi="Times New Roman"/>
        <w:sz w:val="18"/>
        <w:szCs w:val="18"/>
      </w:rPr>
      <w:instrText>PAGE   \* MERGEFORMAT</w:instrText>
    </w:r>
    <w:r w:rsidRPr="00794E35">
      <w:rPr>
        <w:rFonts w:ascii="Times New Roman" w:hAnsi="Times New Roman"/>
        <w:sz w:val="18"/>
        <w:szCs w:val="18"/>
      </w:rPr>
      <w:fldChar w:fldCharType="separate"/>
    </w:r>
    <w:r w:rsidR="00D53D29">
      <w:rPr>
        <w:rFonts w:ascii="Times New Roman" w:hAnsi="Times New Roman"/>
        <w:noProof/>
        <w:sz w:val="18"/>
        <w:szCs w:val="18"/>
      </w:rPr>
      <w:t>1</w:t>
    </w:r>
    <w:r w:rsidRPr="00794E35">
      <w:rPr>
        <w:rFonts w:ascii="Times New Roman" w:hAnsi="Times New Roman"/>
        <w:sz w:val="18"/>
        <w:szCs w:val="18"/>
      </w:rPr>
      <w:fldChar w:fldCharType="end"/>
    </w:r>
  </w:p>
  <w:p w:rsidR="000A4C2B" w:rsidRPr="00570D74" w:rsidRDefault="000A4C2B" w:rsidP="00794E35">
    <w:pPr>
      <w:pStyle w:val="Pta"/>
      <w:tabs>
        <w:tab w:val="clear" w:pos="8930"/>
        <w:tab w:val="right" w:pos="9214"/>
      </w:tabs>
      <w:ind w:right="96"/>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6E" w:rsidRDefault="002D426E">
      <w:r>
        <w:separator/>
      </w:r>
    </w:p>
  </w:footnote>
  <w:footnote w:type="continuationSeparator" w:id="0">
    <w:p w:rsidR="002D426E" w:rsidRDefault="002D4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82D" w:rsidRPr="00794E35" w:rsidRDefault="00C1682D" w:rsidP="00794E35">
    <w:pPr>
      <w:tabs>
        <w:tab w:val="center" w:pos="4153"/>
        <w:tab w:val="right" w:pos="8306"/>
      </w:tabs>
      <w:spacing w:line="240" w:lineRule="auto"/>
      <w:rPr>
        <w:sz w:val="18"/>
      </w:rPr>
    </w:pPr>
    <w:r w:rsidRPr="00C1682D">
      <w:rPr>
        <w:sz w:val="18"/>
      </w:rPr>
      <w:t>Schválený text k rozhodnutiu o</w:t>
    </w:r>
    <w:r>
      <w:rPr>
        <w:sz w:val="18"/>
      </w:rPr>
      <w:t> </w:t>
    </w:r>
    <w:r w:rsidRPr="00C1682D">
      <w:rPr>
        <w:sz w:val="18"/>
      </w:rPr>
      <w:t>registrácii</w:t>
    </w:r>
    <w:r>
      <w:rPr>
        <w:sz w:val="18"/>
      </w:rPr>
      <w:t>, ev. č.: 2015/01256-REG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CA9C96"/>
    <w:lvl w:ilvl="0">
      <w:start w:val="1"/>
      <w:numFmt w:val="bullet"/>
      <w:pStyle w:val="Zoznamsodrkami"/>
      <w:lvlText w:val=""/>
      <w:lvlJc w:val="left"/>
      <w:pPr>
        <w:tabs>
          <w:tab w:val="num" w:pos="360"/>
        </w:tabs>
        <w:ind w:left="360" w:hanging="360"/>
      </w:pPr>
      <w:rPr>
        <w:rFonts w:ascii="Symbol" w:hAnsi="Symbol" w:hint="default"/>
      </w:rPr>
    </w:lvl>
  </w:abstractNum>
  <w:abstractNum w:abstractNumId="1">
    <w:nsid w:val="01AA7C9A"/>
    <w:multiLevelType w:val="hybridMultilevel"/>
    <w:tmpl w:val="F0488B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4"/>
  </w:num>
  <w:num w:numId="22">
    <w:abstractNumId w:val="3"/>
  </w:num>
  <w:num w:numId="23">
    <w:abstractNumId w:val="2"/>
  </w:num>
  <w:num w:numId="2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891B47"/>
    <w:rsid w:val="00000C94"/>
    <w:rsid w:val="00004C8F"/>
    <w:rsid w:val="00010582"/>
    <w:rsid w:val="00015EFA"/>
    <w:rsid w:val="00017F82"/>
    <w:rsid w:val="00024E8C"/>
    <w:rsid w:val="00032B25"/>
    <w:rsid w:val="0003528F"/>
    <w:rsid w:val="0004357C"/>
    <w:rsid w:val="00043F7E"/>
    <w:rsid w:val="000466F4"/>
    <w:rsid w:val="00052F1D"/>
    <w:rsid w:val="00057E1E"/>
    <w:rsid w:val="00063D58"/>
    <w:rsid w:val="000643EB"/>
    <w:rsid w:val="00097C64"/>
    <w:rsid w:val="000A418A"/>
    <w:rsid w:val="000A4C2B"/>
    <w:rsid w:val="000A573A"/>
    <w:rsid w:val="000B0D10"/>
    <w:rsid w:val="000B26A3"/>
    <w:rsid w:val="000B7A45"/>
    <w:rsid w:val="000C6005"/>
    <w:rsid w:val="000D285A"/>
    <w:rsid w:val="000D3788"/>
    <w:rsid w:val="000E5C08"/>
    <w:rsid w:val="000E6360"/>
    <w:rsid w:val="000E6FB0"/>
    <w:rsid w:val="000F14B5"/>
    <w:rsid w:val="00133060"/>
    <w:rsid w:val="00140A49"/>
    <w:rsid w:val="00146E54"/>
    <w:rsid w:val="0015025C"/>
    <w:rsid w:val="001632DD"/>
    <w:rsid w:val="001773EC"/>
    <w:rsid w:val="001801AD"/>
    <w:rsid w:val="001974BB"/>
    <w:rsid w:val="00197979"/>
    <w:rsid w:val="001A1146"/>
    <w:rsid w:val="001A4A53"/>
    <w:rsid w:val="001A6293"/>
    <w:rsid w:val="001B180B"/>
    <w:rsid w:val="001B708E"/>
    <w:rsid w:val="001C2339"/>
    <w:rsid w:val="001D0720"/>
    <w:rsid w:val="001D0E7A"/>
    <w:rsid w:val="001D3CB1"/>
    <w:rsid w:val="001D7910"/>
    <w:rsid w:val="001D7EBC"/>
    <w:rsid w:val="001E6BEB"/>
    <w:rsid w:val="001F1786"/>
    <w:rsid w:val="001F2716"/>
    <w:rsid w:val="001F39C3"/>
    <w:rsid w:val="001F4659"/>
    <w:rsid w:val="00200C51"/>
    <w:rsid w:val="002062DD"/>
    <w:rsid w:val="00213F3D"/>
    <w:rsid w:val="002205DE"/>
    <w:rsid w:val="00221751"/>
    <w:rsid w:val="00225248"/>
    <w:rsid w:val="00233AA7"/>
    <w:rsid w:val="002346AB"/>
    <w:rsid w:val="00234A6A"/>
    <w:rsid w:val="00243ED9"/>
    <w:rsid w:val="00246338"/>
    <w:rsid w:val="00247DCC"/>
    <w:rsid w:val="00254AFA"/>
    <w:rsid w:val="00273963"/>
    <w:rsid w:val="00273A92"/>
    <w:rsid w:val="00280DA2"/>
    <w:rsid w:val="002826C7"/>
    <w:rsid w:val="002829DC"/>
    <w:rsid w:val="00284E7D"/>
    <w:rsid w:val="00285761"/>
    <w:rsid w:val="00287F2D"/>
    <w:rsid w:val="002B1EB2"/>
    <w:rsid w:val="002B27E4"/>
    <w:rsid w:val="002B4999"/>
    <w:rsid w:val="002B4C29"/>
    <w:rsid w:val="002B788E"/>
    <w:rsid w:val="002C31C1"/>
    <w:rsid w:val="002C3B56"/>
    <w:rsid w:val="002C6A1B"/>
    <w:rsid w:val="002D426E"/>
    <w:rsid w:val="002D5C96"/>
    <w:rsid w:val="002D7CF9"/>
    <w:rsid w:val="002E1FB7"/>
    <w:rsid w:val="002F1F18"/>
    <w:rsid w:val="002F6660"/>
    <w:rsid w:val="00305AA6"/>
    <w:rsid w:val="00306F3C"/>
    <w:rsid w:val="0030793C"/>
    <w:rsid w:val="00310F47"/>
    <w:rsid w:val="003303C1"/>
    <w:rsid w:val="003341A5"/>
    <w:rsid w:val="00336C25"/>
    <w:rsid w:val="00340048"/>
    <w:rsid w:val="00344D5C"/>
    <w:rsid w:val="00346267"/>
    <w:rsid w:val="00347054"/>
    <w:rsid w:val="003547FC"/>
    <w:rsid w:val="00355546"/>
    <w:rsid w:val="00364A10"/>
    <w:rsid w:val="00364A1B"/>
    <w:rsid w:val="00366714"/>
    <w:rsid w:val="003670D9"/>
    <w:rsid w:val="00370FC6"/>
    <w:rsid w:val="00373A5F"/>
    <w:rsid w:val="00374CFE"/>
    <w:rsid w:val="00376BB3"/>
    <w:rsid w:val="00385A52"/>
    <w:rsid w:val="00392FA3"/>
    <w:rsid w:val="0039427F"/>
    <w:rsid w:val="00395254"/>
    <w:rsid w:val="003A469C"/>
    <w:rsid w:val="003C0E65"/>
    <w:rsid w:val="003C639C"/>
    <w:rsid w:val="003D510C"/>
    <w:rsid w:val="003E2A7D"/>
    <w:rsid w:val="00401889"/>
    <w:rsid w:val="00417CE0"/>
    <w:rsid w:val="00422002"/>
    <w:rsid w:val="004338D3"/>
    <w:rsid w:val="0044333F"/>
    <w:rsid w:val="00450C2F"/>
    <w:rsid w:val="00454954"/>
    <w:rsid w:val="004572DE"/>
    <w:rsid w:val="00462593"/>
    <w:rsid w:val="00471610"/>
    <w:rsid w:val="00483E88"/>
    <w:rsid w:val="00485A5D"/>
    <w:rsid w:val="00491A51"/>
    <w:rsid w:val="00495133"/>
    <w:rsid w:val="004A3EB5"/>
    <w:rsid w:val="004B5362"/>
    <w:rsid w:val="004C0A70"/>
    <w:rsid w:val="004C3BBC"/>
    <w:rsid w:val="004C7767"/>
    <w:rsid w:val="004D04D0"/>
    <w:rsid w:val="004D4794"/>
    <w:rsid w:val="004E5FA5"/>
    <w:rsid w:val="004F14FC"/>
    <w:rsid w:val="004F6BE0"/>
    <w:rsid w:val="00502952"/>
    <w:rsid w:val="005049A3"/>
    <w:rsid w:val="005112F0"/>
    <w:rsid w:val="00524666"/>
    <w:rsid w:val="005410F4"/>
    <w:rsid w:val="00550F26"/>
    <w:rsid w:val="0055155B"/>
    <w:rsid w:val="00552A37"/>
    <w:rsid w:val="005613C8"/>
    <w:rsid w:val="00565599"/>
    <w:rsid w:val="00570D74"/>
    <w:rsid w:val="00572A41"/>
    <w:rsid w:val="00586472"/>
    <w:rsid w:val="00586863"/>
    <w:rsid w:val="00587EDE"/>
    <w:rsid w:val="005A4C48"/>
    <w:rsid w:val="005A6423"/>
    <w:rsid w:val="005A7ECC"/>
    <w:rsid w:val="005B129F"/>
    <w:rsid w:val="005C4899"/>
    <w:rsid w:val="005D0329"/>
    <w:rsid w:val="005D0544"/>
    <w:rsid w:val="005D1AB4"/>
    <w:rsid w:val="005E5ABC"/>
    <w:rsid w:val="005F2C69"/>
    <w:rsid w:val="00600FFB"/>
    <w:rsid w:val="0061073D"/>
    <w:rsid w:val="00615B6B"/>
    <w:rsid w:val="00616397"/>
    <w:rsid w:val="0063253E"/>
    <w:rsid w:val="00634AB2"/>
    <w:rsid w:val="00644C9F"/>
    <w:rsid w:val="00650EA1"/>
    <w:rsid w:val="00651F1E"/>
    <w:rsid w:val="006526AD"/>
    <w:rsid w:val="00654202"/>
    <w:rsid w:val="00672F29"/>
    <w:rsid w:val="0068020A"/>
    <w:rsid w:val="006A1142"/>
    <w:rsid w:val="006A5BFC"/>
    <w:rsid w:val="006A7B5A"/>
    <w:rsid w:val="006B26A6"/>
    <w:rsid w:val="006C5971"/>
    <w:rsid w:val="006D2847"/>
    <w:rsid w:val="006D732F"/>
    <w:rsid w:val="006E6565"/>
    <w:rsid w:val="006E74BC"/>
    <w:rsid w:val="007040C1"/>
    <w:rsid w:val="007121C2"/>
    <w:rsid w:val="00722475"/>
    <w:rsid w:val="00723215"/>
    <w:rsid w:val="00723DEA"/>
    <w:rsid w:val="0072599A"/>
    <w:rsid w:val="00725DAA"/>
    <w:rsid w:val="0072746E"/>
    <w:rsid w:val="00734ABC"/>
    <w:rsid w:val="0073597A"/>
    <w:rsid w:val="00741215"/>
    <w:rsid w:val="00743ADB"/>
    <w:rsid w:val="00746470"/>
    <w:rsid w:val="00746CFA"/>
    <w:rsid w:val="007500B8"/>
    <w:rsid w:val="00751C65"/>
    <w:rsid w:val="007556B3"/>
    <w:rsid w:val="0076621D"/>
    <w:rsid w:val="00771127"/>
    <w:rsid w:val="0078021D"/>
    <w:rsid w:val="00783826"/>
    <w:rsid w:val="00792A7D"/>
    <w:rsid w:val="00793C63"/>
    <w:rsid w:val="0079420D"/>
    <w:rsid w:val="00794E35"/>
    <w:rsid w:val="007A2CBE"/>
    <w:rsid w:val="007D1B67"/>
    <w:rsid w:val="007D64F3"/>
    <w:rsid w:val="007E19CE"/>
    <w:rsid w:val="007E2E0E"/>
    <w:rsid w:val="007F011B"/>
    <w:rsid w:val="0080087F"/>
    <w:rsid w:val="008038C3"/>
    <w:rsid w:val="00805508"/>
    <w:rsid w:val="00807B88"/>
    <w:rsid w:val="00822D12"/>
    <w:rsid w:val="00826A22"/>
    <w:rsid w:val="00834E16"/>
    <w:rsid w:val="00847E09"/>
    <w:rsid w:val="00873328"/>
    <w:rsid w:val="0088228A"/>
    <w:rsid w:val="00891B47"/>
    <w:rsid w:val="00893DEB"/>
    <w:rsid w:val="00896E4A"/>
    <w:rsid w:val="008A55DD"/>
    <w:rsid w:val="008C1443"/>
    <w:rsid w:val="008C32D4"/>
    <w:rsid w:val="008C656B"/>
    <w:rsid w:val="008D0CF8"/>
    <w:rsid w:val="008D0E5E"/>
    <w:rsid w:val="008D1D6B"/>
    <w:rsid w:val="008D2865"/>
    <w:rsid w:val="008D7D61"/>
    <w:rsid w:val="008E24A4"/>
    <w:rsid w:val="008E61BB"/>
    <w:rsid w:val="008F3ED0"/>
    <w:rsid w:val="008F5036"/>
    <w:rsid w:val="008F51C5"/>
    <w:rsid w:val="0090778C"/>
    <w:rsid w:val="00914233"/>
    <w:rsid w:val="00915A2C"/>
    <w:rsid w:val="0093045A"/>
    <w:rsid w:val="0093252D"/>
    <w:rsid w:val="00940416"/>
    <w:rsid w:val="00955F80"/>
    <w:rsid w:val="00957297"/>
    <w:rsid w:val="00962C6E"/>
    <w:rsid w:val="00964F03"/>
    <w:rsid w:val="00985E28"/>
    <w:rsid w:val="009A7423"/>
    <w:rsid w:val="009B05D3"/>
    <w:rsid w:val="009B429F"/>
    <w:rsid w:val="009C54CE"/>
    <w:rsid w:val="009D061C"/>
    <w:rsid w:val="009D7744"/>
    <w:rsid w:val="009E2698"/>
    <w:rsid w:val="009F51A3"/>
    <w:rsid w:val="00A05E84"/>
    <w:rsid w:val="00A060E2"/>
    <w:rsid w:val="00A14DD4"/>
    <w:rsid w:val="00A228BC"/>
    <w:rsid w:val="00A30BE5"/>
    <w:rsid w:val="00A32AFA"/>
    <w:rsid w:val="00A363DB"/>
    <w:rsid w:val="00A36481"/>
    <w:rsid w:val="00A437A5"/>
    <w:rsid w:val="00A44D46"/>
    <w:rsid w:val="00A4542B"/>
    <w:rsid w:val="00A50A06"/>
    <w:rsid w:val="00A510E9"/>
    <w:rsid w:val="00A637DC"/>
    <w:rsid w:val="00A637E8"/>
    <w:rsid w:val="00A851DC"/>
    <w:rsid w:val="00A969A7"/>
    <w:rsid w:val="00A97E24"/>
    <w:rsid w:val="00AB1C36"/>
    <w:rsid w:val="00AB3B9F"/>
    <w:rsid w:val="00AB6ACA"/>
    <w:rsid w:val="00AC04F7"/>
    <w:rsid w:val="00AD5EA5"/>
    <w:rsid w:val="00AF3BE3"/>
    <w:rsid w:val="00AF413B"/>
    <w:rsid w:val="00B05EFB"/>
    <w:rsid w:val="00B14806"/>
    <w:rsid w:val="00B1707A"/>
    <w:rsid w:val="00B214E7"/>
    <w:rsid w:val="00B24BC1"/>
    <w:rsid w:val="00B3293E"/>
    <w:rsid w:val="00B331D6"/>
    <w:rsid w:val="00B3463E"/>
    <w:rsid w:val="00B36693"/>
    <w:rsid w:val="00B50269"/>
    <w:rsid w:val="00B53E00"/>
    <w:rsid w:val="00B73DB3"/>
    <w:rsid w:val="00B84E67"/>
    <w:rsid w:val="00B90CEA"/>
    <w:rsid w:val="00B90FB0"/>
    <w:rsid w:val="00B93209"/>
    <w:rsid w:val="00BB6BA2"/>
    <w:rsid w:val="00BC668D"/>
    <w:rsid w:val="00BD534B"/>
    <w:rsid w:val="00BD6A8B"/>
    <w:rsid w:val="00BE0D23"/>
    <w:rsid w:val="00BF1F0B"/>
    <w:rsid w:val="00BF4462"/>
    <w:rsid w:val="00C1682D"/>
    <w:rsid w:val="00C27173"/>
    <w:rsid w:val="00C70780"/>
    <w:rsid w:val="00C947FE"/>
    <w:rsid w:val="00C95FED"/>
    <w:rsid w:val="00C97179"/>
    <w:rsid w:val="00C97912"/>
    <w:rsid w:val="00CA7B5F"/>
    <w:rsid w:val="00CC2904"/>
    <w:rsid w:val="00CD1120"/>
    <w:rsid w:val="00CD6E4D"/>
    <w:rsid w:val="00CE07E1"/>
    <w:rsid w:val="00CF3135"/>
    <w:rsid w:val="00CF34F2"/>
    <w:rsid w:val="00CF604F"/>
    <w:rsid w:val="00D0206F"/>
    <w:rsid w:val="00D05550"/>
    <w:rsid w:val="00D134B7"/>
    <w:rsid w:val="00D16141"/>
    <w:rsid w:val="00D17EC3"/>
    <w:rsid w:val="00D4071E"/>
    <w:rsid w:val="00D444CC"/>
    <w:rsid w:val="00D46DC6"/>
    <w:rsid w:val="00D53D29"/>
    <w:rsid w:val="00D55C3F"/>
    <w:rsid w:val="00D612B2"/>
    <w:rsid w:val="00D61422"/>
    <w:rsid w:val="00D66BCB"/>
    <w:rsid w:val="00D67C5C"/>
    <w:rsid w:val="00DA26FB"/>
    <w:rsid w:val="00DA29DF"/>
    <w:rsid w:val="00DA4450"/>
    <w:rsid w:val="00DB1EF5"/>
    <w:rsid w:val="00DB2A52"/>
    <w:rsid w:val="00DC10FA"/>
    <w:rsid w:val="00DD0683"/>
    <w:rsid w:val="00DD4A13"/>
    <w:rsid w:val="00DD4BCE"/>
    <w:rsid w:val="00DD7A62"/>
    <w:rsid w:val="00DE0EBB"/>
    <w:rsid w:val="00DE7231"/>
    <w:rsid w:val="00DF71B0"/>
    <w:rsid w:val="00E143DB"/>
    <w:rsid w:val="00E36274"/>
    <w:rsid w:val="00E505EC"/>
    <w:rsid w:val="00E5116C"/>
    <w:rsid w:val="00E61C6B"/>
    <w:rsid w:val="00E670FF"/>
    <w:rsid w:val="00E80640"/>
    <w:rsid w:val="00E93CE5"/>
    <w:rsid w:val="00E97AAF"/>
    <w:rsid w:val="00EB12EA"/>
    <w:rsid w:val="00EB2819"/>
    <w:rsid w:val="00EC3425"/>
    <w:rsid w:val="00ED1486"/>
    <w:rsid w:val="00EE0479"/>
    <w:rsid w:val="00EE14A2"/>
    <w:rsid w:val="00EE5633"/>
    <w:rsid w:val="00EF3AEE"/>
    <w:rsid w:val="00EF4A15"/>
    <w:rsid w:val="00EF54A7"/>
    <w:rsid w:val="00F04502"/>
    <w:rsid w:val="00F1294D"/>
    <w:rsid w:val="00F12F0D"/>
    <w:rsid w:val="00F1609D"/>
    <w:rsid w:val="00F2018D"/>
    <w:rsid w:val="00F21804"/>
    <w:rsid w:val="00F30153"/>
    <w:rsid w:val="00F32AAF"/>
    <w:rsid w:val="00F37C27"/>
    <w:rsid w:val="00F64D68"/>
    <w:rsid w:val="00F66B72"/>
    <w:rsid w:val="00F67012"/>
    <w:rsid w:val="00F718C2"/>
    <w:rsid w:val="00F96911"/>
    <w:rsid w:val="00FB0BB5"/>
    <w:rsid w:val="00FC1E46"/>
    <w:rsid w:val="00FD0C96"/>
    <w:rsid w:val="00FD0F32"/>
    <w:rsid w:val="00FD28F2"/>
    <w:rsid w:val="00FD3608"/>
    <w:rsid w:val="00FE0034"/>
    <w:rsid w:val="00FE4720"/>
    <w:rsid w:val="00FE6C1C"/>
    <w:rsid w:val="00FF3010"/>
    <w:rsid w:val="00FF444A"/>
    <w:rsid w:val="00FF5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3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pPr>
      <w:tabs>
        <w:tab w:val="left" w:pos="567"/>
      </w:tabs>
      <w:spacing w:line="260" w:lineRule="exact"/>
    </w:pPr>
    <w:rPr>
      <w:sz w:val="22"/>
    </w:rPr>
  </w:style>
  <w:style w:type="paragraph" w:styleId="Nadpis1">
    <w:name w:val="heading 1"/>
    <w:basedOn w:val="Normlny"/>
    <w:next w:val="Normlny"/>
    <w:link w:val="Nadpis1Char"/>
    <w:uiPriority w:val="99"/>
    <w:qFormat/>
    <w:pPr>
      <w:spacing w:before="240" w:after="120"/>
      <w:ind w:left="357" w:hanging="357"/>
      <w:outlineLvl w:val="0"/>
    </w:pPr>
    <w:rPr>
      <w:b/>
      <w:caps/>
      <w:sz w:val="26"/>
    </w:rPr>
  </w:style>
  <w:style w:type="paragraph" w:styleId="Nadpis2">
    <w:name w:val="heading 2"/>
    <w:basedOn w:val="Normlny"/>
    <w:next w:val="Normlny"/>
    <w:link w:val="Nadpis2Char"/>
    <w:uiPriority w:val="99"/>
    <w:qFormat/>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pPr>
      <w:keepNext/>
      <w:keepLines/>
      <w:spacing w:before="120" w:after="80"/>
      <w:outlineLvl w:val="2"/>
    </w:pPr>
    <w:rPr>
      <w:b/>
      <w:kern w:val="28"/>
      <w:sz w:val="24"/>
    </w:rPr>
  </w:style>
  <w:style w:type="paragraph" w:styleId="Nadpis4">
    <w:name w:val="heading 4"/>
    <w:basedOn w:val="Normlny"/>
    <w:next w:val="Normlny"/>
    <w:link w:val="Nadpis4Char"/>
    <w:uiPriority w:val="99"/>
    <w:qFormat/>
    <w:pPr>
      <w:keepNext/>
      <w:jc w:val="both"/>
      <w:outlineLvl w:val="3"/>
    </w:pPr>
    <w:rPr>
      <w:b/>
      <w:noProof/>
    </w:rPr>
  </w:style>
  <w:style w:type="paragraph" w:styleId="Nadpis5">
    <w:name w:val="heading 5"/>
    <w:basedOn w:val="Normlny"/>
    <w:next w:val="Normlny"/>
    <w:link w:val="Nadpis5Char"/>
    <w:uiPriority w:val="99"/>
    <w:qFormat/>
    <w:pPr>
      <w:keepNext/>
      <w:jc w:val="both"/>
      <w:outlineLvl w:val="4"/>
    </w:pPr>
    <w:rPr>
      <w:noProof/>
    </w:rPr>
  </w:style>
  <w:style w:type="paragraph" w:styleId="Nadpis6">
    <w:name w:val="heading 6"/>
    <w:basedOn w:val="Normlny"/>
    <w:next w:val="Normlny"/>
    <w:link w:val="Nadpis6Char"/>
    <w:uiPriority w:val="99"/>
    <w:qFormat/>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pPr>
      <w:keepNext/>
      <w:ind w:left="567" w:hanging="567"/>
      <w:jc w:val="both"/>
      <w:outlineLvl w:val="7"/>
    </w:pPr>
    <w:rPr>
      <w:b/>
      <w:i/>
    </w:rPr>
  </w:style>
  <w:style w:type="paragraph" w:styleId="Nadpis9">
    <w:name w:val="heading 9"/>
    <w:basedOn w:val="Normlny"/>
    <w:next w:val="Normlny"/>
    <w:link w:val="Nadpis9Char"/>
    <w:uiPriority w:val="99"/>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sk-SK" w:eastAsia="sk-SK"/>
    </w:rPr>
  </w:style>
  <w:style w:type="character" w:customStyle="1" w:styleId="Nadpis2Char">
    <w:name w:val="Nadpis 2 Char"/>
    <w:link w:val="Nadpis2"/>
    <w:uiPriority w:val="99"/>
    <w:locked/>
    <w:rPr>
      <w:rFonts w:ascii="Cambria" w:hAnsi="Cambria" w:cs="Times New Roman"/>
      <w:b/>
      <w:bCs/>
      <w:i/>
      <w:iCs/>
      <w:sz w:val="28"/>
      <w:szCs w:val="28"/>
      <w:lang w:val="sk-SK" w:eastAsia="sk-SK"/>
    </w:rPr>
  </w:style>
  <w:style w:type="character" w:customStyle="1" w:styleId="Nadpis3Char">
    <w:name w:val="Nadpis 3 Char"/>
    <w:link w:val="Nadpis3"/>
    <w:uiPriority w:val="99"/>
    <w:locked/>
    <w:rPr>
      <w:rFonts w:ascii="Cambria" w:hAnsi="Cambria" w:cs="Times New Roman"/>
      <w:b/>
      <w:bCs/>
      <w:sz w:val="26"/>
      <w:szCs w:val="26"/>
      <w:lang w:val="sk-SK" w:eastAsia="sk-SK"/>
    </w:rPr>
  </w:style>
  <w:style w:type="character" w:customStyle="1" w:styleId="Nadpis4Char">
    <w:name w:val="Nadpis 4 Char"/>
    <w:link w:val="Nadpis4"/>
    <w:uiPriority w:val="99"/>
    <w:locked/>
    <w:rPr>
      <w:rFonts w:ascii="Calibri" w:hAnsi="Calibri" w:cs="Times New Roman"/>
      <w:b/>
      <w:bCs/>
      <w:sz w:val="28"/>
      <w:szCs w:val="28"/>
      <w:lang w:val="sk-SK" w:eastAsia="sk-SK"/>
    </w:rPr>
  </w:style>
  <w:style w:type="character" w:customStyle="1" w:styleId="Nadpis5Char">
    <w:name w:val="Nadpis 5 Char"/>
    <w:link w:val="Nadpis5"/>
    <w:uiPriority w:val="99"/>
    <w:locked/>
    <w:rPr>
      <w:rFonts w:ascii="Calibri" w:hAnsi="Calibri" w:cs="Times New Roman"/>
      <w:b/>
      <w:bCs/>
      <w:i/>
      <w:iCs/>
      <w:sz w:val="26"/>
      <w:szCs w:val="26"/>
      <w:lang w:val="sk-SK" w:eastAsia="sk-SK"/>
    </w:rPr>
  </w:style>
  <w:style w:type="character" w:customStyle="1" w:styleId="Nadpis6Char">
    <w:name w:val="Nadpis 6 Char"/>
    <w:link w:val="Nadpis6"/>
    <w:uiPriority w:val="99"/>
    <w:locked/>
    <w:rPr>
      <w:rFonts w:ascii="Calibri" w:hAnsi="Calibri" w:cs="Times New Roman"/>
      <w:b/>
      <w:bCs/>
      <w:lang w:val="sk-SK" w:eastAsia="sk-SK"/>
    </w:rPr>
  </w:style>
  <w:style w:type="character" w:customStyle="1" w:styleId="Nadpis7Char">
    <w:name w:val="Nadpis 7 Char"/>
    <w:link w:val="Nadpis7"/>
    <w:uiPriority w:val="99"/>
    <w:locked/>
    <w:rPr>
      <w:rFonts w:ascii="Calibri" w:hAnsi="Calibri" w:cs="Times New Roman"/>
      <w:sz w:val="24"/>
      <w:szCs w:val="24"/>
      <w:lang w:val="sk-SK" w:eastAsia="sk-SK"/>
    </w:rPr>
  </w:style>
  <w:style w:type="character" w:customStyle="1" w:styleId="Nadpis8Char">
    <w:name w:val="Nadpis 8 Char"/>
    <w:link w:val="Nadpis8"/>
    <w:uiPriority w:val="99"/>
    <w:locked/>
    <w:rPr>
      <w:rFonts w:ascii="Calibri" w:hAnsi="Calibri" w:cs="Times New Roman"/>
      <w:i/>
      <w:iCs/>
      <w:sz w:val="24"/>
      <w:szCs w:val="24"/>
      <w:lang w:val="sk-SK" w:eastAsia="sk-SK"/>
    </w:rPr>
  </w:style>
  <w:style w:type="character" w:customStyle="1" w:styleId="Nadpis9Char">
    <w:name w:val="Nadpis 9 Char"/>
    <w:link w:val="Nadpis9"/>
    <w:uiPriority w:val="99"/>
    <w:locked/>
    <w:rPr>
      <w:rFonts w:ascii="Cambria" w:hAnsi="Cambria" w:cs="Times New Roman"/>
      <w:lang w:val="sk-SK" w:eastAsia="sk-SK"/>
    </w:rPr>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character" w:customStyle="1" w:styleId="HlavikaChar">
    <w:name w:val="Hlavička Char"/>
    <w:link w:val="Hlavika"/>
    <w:uiPriority w:val="99"/>
    <w:locked/>
    <w:rPr>
      <w:rFonts w:cs="Times New Roman"/>
      <w:sz w:val="20"/>
      <w:szCs w:val="20"/>
      <w:lang w:val="sk-SK" w:eastAsia="sk-SK"/>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customStyle="1" w:styleId="PtaChar">
    <w:name w:val="Päta Char"/>
    <w:link w:val="Pta"/>
    <w:uiPriority w:val="99"/>
    <w:locked/>
    <w:rPr>
      <w:rFonts w:cs="Times New Roman"/>
      <w:sz w:val="20"/>
      <w:szCs w:val="20"/>
      <w:lang w:val="sk-SK" w:eastAsia="sk-SK"/>
    </w:rPr>
  </w:style>
  <w:style w:type="character" w:styleId="slostrany">
    <w:name w:val="page number"/>
    <w:uiPriority w:val="99"/>
    <w:rPr>
      <w:rFonts w:cs="Times New Roman"/>
      <w:lang w:val="sk-SK" w:eastAsia="sk-SK"/>
    </w:rPr>
  </w:style>
  <w:style w:type="paragraph" w:styleId="Zarkazkladnhotextu">
    <w:name w:val="Body Text Indent"/>
    <w:basedOn w:val="Normlny"/>
    <w:link w:val="ZarkazkladnhotextuChar"/>
    <w:uiPriority w:val="99"/>
    <w:pPr>
      <w:tabs>
        <w:tab w:val="clear" w:pos="567"/>
      </w:tabs>
      <w:autoSpaceDE w:val="0"/>
      <w:autoSpaceDN w:val="0"/>
      <w:adjustRightInd w:val="0"/>
      <w:spacing w:line="240" w:lineRule="auto"/>
      <w:ind w:left="720"/>
      <w:jc w:val="both"/>
    </w:pPr>
    <w:rPr>
      <w:szCs w:val="22"/>
    </w:rPr>
  </w:style>
  <w:style w:type="character" w:customStyle="1" w:styleId="ZarkazkladnhotextuChar">
    <w:name w:val="Zarážka základného textu Char"/>
    <w:link w:val="Zarkazkladnhotextu"/>
    <w:uiPriority w:val="99"/>
    <w:locked/>
    <w:rPr>
      <w:rFonts w:cs="Times New Roman"/>
      <w:sz w:val="20"/>
      <w:szCs w:val="20"/>
      <w:lang w:val="sk-SK" w:eastAsia="sk-SK"/>
    </w:rPr>
  </w:style>
  <w:style w:type="paragraph" w:styleId="Zkladntext3">
    <w:name w:val="Body Text 3"/>
    <w:basedOn w:val="Normlny"/>
    <w:link w:val="Zkladntext3Char"/>
    <w:uiPriority w:val="99"/>
    <w:pPr>
      <w:tabs>
        <w:tab w:val="clear" w:pos="567"/>
      </w:tabs>
      <w:autoSpaceDE w:val="0"/>
      <w:autoSpaceDN w:val="0"/>
      <w:adjustRightInd w:val="0"/>
      <w:spacing w:line="240" w:lineRule="auto"/>
      <w:jc w:val="both"/>
    </w:pPr>
    <w:rPr>
      <w:color w:val="0000FF"/>
      <w:szCs w:val="22"/>
    </w:rPr>
  </w:style>
  <w:style w:type="character" w:customStyle="1" w:styleId="Zkladntext3Char">
    <w:name w:val="Základný text 3 Char"/>
    <w:link w:val="Zkladntext3"/>
    <w:uiPriority w:val="99"/>
    <w:locked/>
    <w:rPr>
      <w:rFonts w:cs="Times New Roman"/>
      <w:sz w:val="16"/>
      <w:szCs w:val="16"/>
      <w:lang w:val="sk-SK" w:eastAsia="sk-SK"/>
    </w:rPr>
  </w:style>
  <w:style w:type="paragraph" w:styleId="Zarkazkladnhotextu2">
    <w:name w:val="Body Text Indent 2"/>
    <w:basedOn w:val="Normlny"/>
    <w:link w:val="Zarkazkladnhotextu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arkazkladnhotextu2Char">
    <w:name w:val="Zarážka základného textu 2 Char"/>
    <w:link w:val="Zarkazkladnhotextu2"/>
    <w:uiPriority w:val="99"/>
    <w:locked/>
    <w:rPr>
      <w:rFonts w:cs="Times New Roman"/>
      <w:sz w:val="20"/>
      <w:szCs w:val="20"/>
      <w:lang w:val="sk-SK" w:eastAsia="sk-SK"/>
    </w:rPr>
  </w:style>
  <w:style w:type="paragraph" w:styleId="Zkladntext">
    <w:name w:val="Body Text"/>
    <w:basedOn w:val="Normlny"/>
    <w:link w:val="ZkladntextChar"/>
    <w:uiPriority w:val="99"/>
    <w:pPr>
      <w:tabs>
        <w:tab w:val="clear" w:pos="567"/>
      </w:tabs>
      <w:spacing w:line="240" w:lineRule="auto"/>
    </w:pPr>
    <w:rPr>
      <w:i/>
      <w:color w:val="008000"/>
    </w:rPr>
  </w:style>
  <w:style w:type="character" w:customStyle="1" w:styleId="ZkladntextChar">
    <w:name w:val="Základný text Char"/>
    <w:link w:val="Zkladntext"/>
    <w:uiPriority w:val="99"/>
    <w:locked/>
    <w:rPr>
      <w:rFonts w:cs="Times New Roman"/>
      <w:sz w:val="20"/>
      <w:szCs w:val="20"/>
      <w:lang w:val="sk-SK" w:eastAsia="sk-SK"/>
    </w:rPr>
  </w:style>
  <w:style w:type="paragraph" w:styleId="Zkladntext2">
    <w:name w:val="Body Text 2"/>
    <w:basedOn w:val="Normlny"/>
    <w:link w:val="Zkladn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2Char">
    <w:name w:val="Základný text 2 Char"/>
    <w:link w:val="Zkladntext2"/>
    <w:uiPriority w:val="99"/>
    <w:locked/>
    <w:rPr>
      <w:rFonts w:cs="Times New Roman"/>
      <w:sz w:val="20"/>
      <w:szCs w:val="20"/>
      <w:lang w:val="sk-SK" w:eastAsia="sk-SK"/>
    </w:rPr>
  </w:style>
  <w:style w:type="character" w:styleId="Odkaznakomentr">
    <w:name w:val="annotation reference"/>
    <w:uiPriority w:val="99"/>
    <w:semiHidden/>
    <w:rPr>
      <w:rFonts w:cs="Times New Roman"/>
      <w:sz w:val="16"/>
      <w:szCs w:val="16"/>
      <w:lang w:val="sk-SK" w:eastAsia="sk-SK"/>
    </w:rPr>
  </w:style>
  <w:style w:type="paragraph" w:styleId="Textkomentra">
    <w:name w:val="annotation text"/>
    <w:basedOn w:val="Normlny"/>
    <w:link w:val="TextkomentraChar"/>
    <w:uiPriority w:val="99"/>
    <w:semiHidden/>
    <w:rPr>
      <w:sz w:val="20"/>
    </w:rPr>
  </w:style>
  <w:style w:type="character" w:customStyle="1" w:styleId="TextkomentraChar">
    <w:name w:val="Text komentára Char"/>
    <w:link w:val="Textkomentra"/>
    <w:uiPriority w:val="99"/>
    <w:semiHidden/>
    <w:locked/>
    <w:rPr>
      <w:rFonts w:cs="Times New Roman"/>
      <w:sz w:val="20"/>
      <w:szCs w:val="20"/>
      <w:lang w:val="sk-SK" w:eastAsia="sk-SK"/>
    </w:rPr>
  </w:style>
  <w:style w:type="paragraph" w:customStyle="1" w:styleId="EMEAEnBodyText">
    <w:name w:val="EMEA En Body Text"/>
    <w:basedOn w:val="Normlny"/>
    <w:uiPriority w:val="99"/>
    <w:pPr>
      <w:tabs>
        <w:tab w:val="clear" w:pos="567"/>
      </w:tabs>
      <w:spacing w:before="120" w:after="120" w:line="240" w:lineRule="auto"/>
      <w:jc w:val="both"/>
    </w:pPr>
  </w:style>
  <w:style w:type="paragraph" w:styleId="truktradokumentu">
    <w:name w:val="Document Map"/>
    <w:basedOn w:val="Normlny"/>
    <w:link w:val="truktradokumentuChar"/>
    <w:uiPriority w:val="99"/>
    <w:semiHidden/>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Pr>
      <w:rFonts w:ascii="Tahoma" w:hAnsi="Tahoma" w:cs="Tahoma"/>
      <w:sz w:val="16"/>
      <w:szCs w:val="16"/>
      <w:lang w:val="sk-SK" w:eastAsia="sk-SK"/>
    </w:rPr>
  </w:style>
  <w:style w:type="character" w:styleId="Hypertextovprepojenie">
    <w:name w:val="Hyperlink"/>
    <w:uiPriority w:val="99"/>
    <w:rPr>
      <w:rFonts w:cs="Times New Roman"/>
      <w:color w:val="0000FF"/>
      <w:u w:val="single"/>
      <w:lang w:val="sk-SK" w:eastAsia="sk-SK"/>
    </w:rPr>
  </w:style>
  <w:style w:type="paragraph" w:customStyle="1" w:styleId="AHeader1">
    <w:name w:val="AHeader 1"/>
    <w:basedOn w:val="Normlny"/>
    <w:uiPriority w:val="99"/>
    <w:pPr>
      <w:numPr>
        <w:numId w:val="23"/>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pPr>
      <w:numPr>
        <w:ilvl w:val="1"/>
      </w:numPr>
      <w:tabs>
        <w:tab w:val="num" w:pos="570"/>
      </w:tabs>
    </w:pPr>
    <w:rPr>
      <w:sz w:val="22"/>
    </w:rPr>
  </w:style>
  <w:style w:type="paragraph" w:customStyle="1" w:styleId="AHeader3">
    <w:name w:val="AHeader 3"/>
    <w:basedOn w:val="AHeader2"/>
    <w:uiPriority w:val="99"/>
    <w:pPr>
      <w:numPr>
        <w:ilvl w:val="2"/>
      </w:numPr>
      <w:tabs>
        <w:tab w:val="num" w:pos="720"/>
      </w:tabs>
    </w:pPr>
  </w:style>
  <w:style w:type="paragraph" w:customStyle="1" w:styleId="AHeader2abc">
    <w:name w:val="AHeader 2 abc"/>
    <w:basedOn w:val="AHeader3"/>
    <w:uiPriority w:val="99"/>
    <w:pPr>
      <w:numPr>
        <w:ilvl w:val="3"/>
      </w:numPr>
      <w:tabs>
        <w:tab w:val="clear" w:pos="1276"/>
        <w:tab w:val="num" w:pos="720"/>
      </w:tabs>
      <w:ind w:left="720" w:hanging="720"/>
      <w:jc w:val="both"/>
    </w:pPr>
    <w:rPr>
      <w:b w:val="0"/>
      <w:bCs w:val="0"/>
    </w:rPr>
  </w:style>
  <w:style w:type="paragraph" w:customStyle="1" w:styleId="AHeader3abc">
    <w:name w:val="AHeader 3 abc"/>
    <w:basedOn w:val="AHeader2abc"/>
    <w:uiPriority w:val="99"/>
    <w:pPr>
      <w:numPr>
        <w:ilvl w:val="4"/>
      </w:numPr>
      <w:tabs>
        <w:tab w:val="num" w:pos="1080"/>
      </w:tabs>
    </w:pPr>
  </w:style>
  <w:style w:type="paragraph" w:styleId="Zarkazkladnhotextu3">
    <w:name w:val="Body Text Indent 3"/>
    <w:basedOn w:val="Normlny"/>
    <w:link w:val="Zarkazkladnhotextu3Char"/>
    <w:uiPriority w:val="99"/>
    <w:pPr>
      <w:tabs>
        <w:tab w:val="left" w:pos="1134"/>
      </w:tabs>
      <w:autoSpaceDE w:val="0"/>
      <w:autoSpaceDN w:val="0"/>
      <w:adjustRightInd w:val="0"/>
      <w:ind w:left="633"/>
      <w:jc w:val="both"/>
    </w:pPr>
    <w:rPr>
      <w:szCs w:val="21"/>
    </w:rPr>
  </w:style>
  <w:style w:type="character" w:customStyle="1" w:styleId="Zarkazkladnhotextu3Char">
    <w:name w:val="Zarážka základného textu 3 Char"/>
    <w:link w:val="Zarkazkladnhotextu3"/>
    <w:uiPriority w:val="99"/>
    <w:locked/>
    <w:rPr>
      <w:rFonts w:cs="Times New Roman"/>
      <w:sz w:val="16"/>
      <w:szCs w:val="16"/>
      <w:lang w:val="sk-SK" w:eastAsia="sk-SK"/>
    </w:rPr>
  </w:style>
  <w:style w:type="character" w:styleId="PouitHypertextovPrepojenie">
    <w:name w:val="FollowedHyperlink"/>
    <w:uiPriority w:val="99"/>
    <w:rPr>
      <w:rFonts w:cs="Times New Roman"/>
      <w:color w:val="800080"/>
      <w:u w:val="single"/>
      <w:lang w:val="sk-SK" w:eastAsia="sk-SK"/>
    </w:rPr>
  </w:style>
  <w:style w:type="paragraph" w:customStyle="1" w:styleId="Default">
    <w:name w:val="Default"/>
    <w:uiPriority w:val="99"/>
    <w:pPr>
      <w:autoSpaceDE w:val="0"/>
      <w:autoSpaceDN w:val="0"/>
      <w:adjustRightInd w:val="0"/>
    </w:pPr>
  </w:style>
  <w:style w:type="paragraph" w:styleId="Normlnywebov">
    <w:name w:val="Normal (Web)"/>
    <w:basedOn w:val="Normlny"/>
    <w:uiPriority w:val="99"/>
    <w:pPr>
      <w:tabs>
        <w:tab w:val="clear" w:pos="567"/>
      </w:tabs>
      <w:spacing w:before="100" w:beforeAutospacing="1" w:after="100" w:afterAutospacing="1" w:line="240" w:lineRule="auto"/>
    </w:pPr>
    <w:rPr>
      <w:sz w:val="24"/>
      <w:szCs w:val="24"/>
    </w:rPr>
  </w:style>
  <w:style w:type="paragraph" w:styleId="Normlnysozarkami">
    <w:name w:val="Normal Indent"/>
    <w:basedOn w:val="Normlny"/>
    <w:uiPriority w:val="99"/>
    <w:pPr>
      <w:tabs>
        <w:tab w:val="clear" w:pos="567"/>
      </w:tabs>
      <w:spacing w:after="120" w:line="240" w:lineRule="auto"/>
      <w:ind w:left="720"/>
    </w:pPr>
  </w:style>
  <w:style w:type="paragraph" w:styleId="Predmetkomentra">
    <w:name w:val="annotation subject"/>
    <w:basedOn w:val="Textkomentra"/>
    <w:next w:val="Textkomentra"/>
    <w:link w:val="PredmetkomentraChar"/>
    <w:uiPriority w:val="99"/>
    <w:semiHidden/>
    <w:rPr>
      <w:b/>
      <w:bCs/>
    </w:rPr>
  </w:style>
  <w:style w:type="character" w:customStyle="1" w:styleId="PredmetkomentraChar">
    <w:name w:val="Predmet komentára Char"/>
    <w:link w:val="Predmetkomentra"/>
    <w:uiPriority w:val="99"/>
    <w:semiHidden/>
    <w:locked/>
    <w:rPr>
      <w:rFonts w:cs="Times New Roman"/>
      <w:b/>
      <w:bCs/>
      <w:sz w:val="20"/>
      <w:szCs w:val="20"/>
      <w:lang w:val="sk-SK" w:eastAsia="sk-SK"/>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sk-SK" w:eastAsia="sk-SK"/>
    </w:rPr>
  </w:style>
  <w:style w:type="paragraph" w:styleId="Textvysvetlivky">
    <w:name w:val="endnote text"/>
    <w:basedOn w:val="Normlny"/>
    <w:link w:val="TextvysvetlivkyChar"/>
    <w:uiPriority w:val="99"/>
    <w:semiHidden/>
    <w:pPr>
      <w:spacing w:line="240" w:lineRule="auto"/>
    </w:pPr>
  </w:style>
  <w:style w:type="character" w:customStyle="1" w:styleId="TextvysvetlivkyChar">
    <w:name w:val="Text vysvetlivky Char"/>
    <w:link w:val="Textvysvetlivky"/>
    <w:uiPriority w:val="99"/>
    <w:semiHidden/>
    <w:locked/>
    <w:rPr>
      <w:rFonts w:cs="Times New Roman"/>
      <w:sz w:val="20"/>
      <w:szCs w:val="20"/>
      <w:lang w:val="sk-SK" w:eastAsia="sk-SK"/>
    </w:rPr>
  </w:style>
  <w:style w:type="table" w:styleId="Mriekatabuky">
    <w:name w:val="Table Grid"/>
    <w:basedOn w:val="Normlnatabu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kursiv">
    <w:name w:val="Blocktext &quot;kursiv&quot;"/>
    <w:basedOn w:val="Oznaitext"/>
    <w:uiPriority w:val="99"/>
    <w:pPr>
      <w:tabs>
        <w:tab w:val="clear" w:pos="567"/>
      </w:tabs>
      <w:spacing w:after="60" w:line="240" w:lineRule="auto"/>
      <w:ind w:left="0" w:right="0"/>
      <w:jc w:val="both"/>
    </w:pPr>
    <w:rPr>
      <w:i/>
      <w:sz w:val="24"/>
    </w:rPr>
  </w:style>
  <w:style w:type="paragraph" w:styleId="Oznaitext">
    <w:name w:val="Block Text"/>
    <w:basedOn w:val="Normlny"/>
    <w:uiPriority w:val="99"/>
    <w:pPr>
      <w:spacing w:after="120"/>
      <w:ind w:left="1440" w:right="1440"/>
    </w:pPr>
  </w:style>
  <w:style w:type="paragraph" w:styleId="Hlavikaobsahu">
    <w:name w:val="TOC Heading"/>
    <w:basedOn w:val="Normlny"/>
    <w:uiPriority w:val="99"/>
    <w:qFormat/>
    <w:pPr>
      <w:tabs>
        <w:tab w:val="clear" w:pos="567"/>
        <w:tab w:val="left" w:pos="7649"/>
        <w:tab w:val="left" w:pos="7920"/>
      </w:tabs>
      <w:spacing w:after="240" w:line="359" w:lineRule="atLeast"/>
    </w:pPr>
    <w:rPr>
      <w:rFonts w:ascii="Times" w:hAnsi="Times"/>
      <w:b/>
    </w:rPr>
  </w:style>
  <w:style w:type="paragraph" w:customStyle="1" w:styleId="mdTblEntryMod">
    <w:name w:val="md_Tbl Entry/Mod"/>
    <w:basedOn w:val="Normlny"/>
    <w:uiPriority w:val="99"/>
    <w:pPr>
      <w:keepNext/>
      <w:keepLines/>
      <w:tabs>
        <w:tab w:val="clear" w:pos="567"/>
      </w:tabs>
      <w:spacing w:line="259" w:lineRule="atLeast"/>
    </w:pPr>
    <w:rPr>
      <w:sz w:val="20"/>
    </w:rPr>
  </w:style>
  <w:style w:type="paragraph" w:customStyle="1" w:styleId="mdTblEntryC">
    <w:name w:val="md_Tbl Entry/C"/>
    <w:basedOn w:val="Normlny"/>
    <w:uiPriority w:val="99"/>
    <w:pPr>
      <w:keepNext/>
      <w:keepLines/>
      <w:tabs>
        <w:tab w:val="clear" w:pos="567"/>
      </w:tabs>
      <w:spacing w:line="259" w:lineRule="atLeast"/>
      <w:jc w:val="center"/>
    </w:pPr>
    <w:rPr>
      <w:sz w:val="20"/>
    </w:rPr>
  </w:style>
  <w:style w:type="paragraph" w:customStyle="1" w:styleId="FigFootnote">
    <w:name w:val="Fig Footnote"/>
    <w:basedOn w:val="Normlny"/>
    <w:next w:val="Normlny"/>
    <w:uiPriority w:val="99"/>
    <w:pPr>
      <w:keepNext/>
      <w:keepLines/>
      <w:tabs>
        <w:tab w:val="clear" w:pos="567"/>
      </w:tabs>
      <w:spacing w:line="259" w:lineRule="atLeast"/>
      <w:ind w:left="2304"/>
    </w:pPr>
    <w:rPr>
      <w:sz w:val="20"/>
    </w:rPr>
  </w:style>
  <w:style w:type="paragraph" w:styleId="Zoznamsodrkami">
    <w:name w:val="List Bullet"/>
    <w:basedOn w:val="Normlny"/>
    <w:uiPriority w:val="99"/>
    <w:pPr>
      <w:numPr>
        <w:numId w:val="1"/>
      </w:numPr>
      <w:tabs>
        <w:tab w:val="clear" w:pos="360"/>
        <w:tab w:val="clear" w:pos="567"/>
        <w:tab w:val="num" w:pos="570"/>
        <w:tab w:val="num" w:pos="720"/>
      </w:tabs>
    </w:pPr>
  </w:style>
  <w:style w:type="paragraph" w:styleId="Revzia">
    <w:name w:val="Revision"/>
    <w:hidden/>
    <w:uiPriority w:val="99"/>
    <w:semiHidde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785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16</Pages>
  <Words>6353</Words>
  <Characters>36215</Characters>
  <Application>Microsoft Office Word</Application>
  <DocSecurity>0</DocSecurity>
  <Lines>301</Lines>
  <Paragraphs>84</Paragraphs>
  <ScaleCrop>false</ScaleCrop>
  <HeadingPairs>
    <vt:vector size="2" baseType="variant">
      <vt:variant>
        <vt:lpstr>Titel</vt:lpstr>
      </vt:variant>
      <vt:variant>
        <vt:i4>1</vt:i4>
      </vt:variant>
    </vt:vector>
  </HeadingPairs>
  <TitlesOfParts>
    <vt:vector size="1" baseType="lpstr">
      <vt:lpstr>Z29710</vt:lpstr>
    </vt:vector>
  </TitlesOfParts>
  <Manager>K021</Manager>
  <Company>Zebra Translations Limited</Company>
  <LinksUpToDate>false</LinksUpToDate>
  <CharactersWithSpaces>42484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Z29710</dc:title>
  <dc:subject>Gemcitabine medac 38 mg/ml SPC - SK</dc:subject>
  <dc:creator>S053</dc:creator>
  <cp:lastModifiedBy>Košuthová, Katarína</cp:lastModifiedBy>
  <cp:revision>245</cp:revision>
  <cp:lastPrinted>2016-01-20T08:38:00Z</cp:lastPrinted>
  <dcterms:created xsi:type="dcterms:W3CDTF">2016-02-03T11:17:00Z</dcterms:created>
  <dcterms:modified xsi:type="dcterms:W3CDTF">2016-03-08T10:02:00Z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General-EMEA/381614/2006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1.2</vt:lpwstr>
  </property>
  <property fmtid="{D5CDD505-2E9C-101B-9397-08002B2CF9AE}" pid="9" name="DM_Owner">
    <vt:lpwstr>Holemarova Zuzana</vt:lpwstr>
  </property>
  <property fmtid="{D5CDD505-2E9C-101B-9397-08002B2CF9AE}" pid="10" name="DM_Creation_Date">
    <vt:lpwstr>11/10/2006 14:31:47</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14:31:47</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EMEA/381614/2006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381614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OS_LastOpenTime">
    <vt:lpwstr>2/2/2016 3:16:19 PM</vt:lpwstr>
  </property>
  <property fmtid="{D5CDD505-2E9C-101B-9397-08002B2CF9AE}" pid="33" name="OS_LastOpenUser">
    <vt:lpwstr>MISCHEC</vt:lpwstr>
  </property>
</Properties>
</file>