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13657" w14:textId="77777777" w:rsidR="00FB0BDE" w:rsidRPr="00853032" w:rsidRDefault="00FB0BDE" w:rsidP="00853032">
      <w:pPr>
        <w:tabs>
          <w:tab w:val="center" w:pos="1378"/>
        </w:tabs>
        <w:spacing w:after="0" w:line="240" w:lineRule="auto"/>
        <w:ind w:left="0" w:firstLine="0"/>
        <w:jc w:val="center"/>
        <w:rPr>
          <w:b/>
        </w:rPr>
      </w:pPr>
      <w:r w:rsidRPr="00853032">
        <w:rPr>
          <w:b/>
        </w:rPr>
        <w:t>SÚHRN CHARAKTERISTICKÝCH VLASTNOSTÍ LIEKU</w:t>
      </w:r>
    </w:p>
    <w:p w14:paraId="075E7F80" w14:textId="77777777" w:rsidR="00FB0BDE" w:rsidRPr="00853032" w:rsidRDefault="00FB0BDE" w:rsidP="00853032">
      <w:pPr>
        <w:tabs>
          <w:tab w:val="center" w:pos="1378"/>
        </w:tabs>
        <w:spacing w:after="0" w:line="240" w:lineRule="auto"/>
        <w:ind w:left="0" w:firstLine="0"/>
        <w:jc w:val="both"/>
        <w:rPr>
          <w:b/>
        </w:rPr>
      </w:pPr>
    </w:p>
    <w:p w14:paraId="4F4E0773" w14:textId="77777777" w:rsidR="00FB0BDE" w:rsidRPr="00853032" w:rsidRDefault="00FB0BDE" w:rsidP="00853032">
      <w:pPr>
        <w:tabs>
          <w:tab w:val="center" w:pos="1378"/>
        </w:tabs>
        <w:spacing w:after="0" w:line="240" w:lineRule="auto"/>
        <w:ind w:left="0" w:firstLine="0"/>
        <w:jc w:val="both"/>
        <w:rPr>
          <w:b/>
        </w:rPr>
      </w:pPr>
    </w:p>
    <w:p w14:paraId="7F809839" w14:textId="77777777" w:rsidR="003744E6" w:rsidRPr="00853032" w:rsidRDefault="00FB0BDE" w:rsidP="00853032">
      <w:pPr>
        <w:tabs>
          <w:tab w:val="center" w:pos="1378"/>
        </w:tabs>
        <w:spacing w:after="0" w:line="240" w:lineRule="auto"/>
        <w:ind w:left="0" w:firstLine="0"/>
        <w:jc w:val="both"/>
      </w:pPr>
      <w:r w:rsidRPr="00853032">
        <w:rPr>
          <w:b/>
        </w:rPr>
        <w:t>1.</w:t>
      </w:r>
      <w:r w:rsidR="00E734C5" w:rsidRPr="00853032">
        <w:rPr>
          <w:b/>
        </w:rPr>
        <w:tab/>
      </w:r>
      <w:r w:rsidRPr="00853032">
        <w:rPr>
          <w:b/>
        </w:rPr>
        <w:t>NÁZOV LIEKU</w:t>
      </w:r>
    </w:p>
    <w:p w14:paraId="035CAD8F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157AFB54" w14:textId="77777777" w:rsidR="003744E6" w:rsidRPr="00853032" w:rsidRDefault="00F0742B" w:rsidP="00853032">
      <w:pPr>
        <w:spacing w:after="0" w:line="240" w:lineRule="auto"/>
        <w:ind w:left="0" w:firstLine="0"/>
        <w:jc w:val="both"/>
      </w:pPr>
      <w:r w:rsidRPr="00853032">
        <w:t>Olopatadine Warren 1 mg/ml očná roztoková instilácia</w:t>
      </w:r>
    </w:p>
    <w:p w14:paraId="2A0877B8" w14:textId="77777777" w:rsidR="003744E6" w:rsidRDefault="003744E6" w:rsidP="00853032">
      <w:pPr>
        <w:spacing w:after="0" w:line="240" w:lineRule="auto"/>
        <w:ind w:left="0" w:firstLine="0"/>
        <w:jc w:val="both"/>
      </w:pPr>
    </w:p>
    <w:p w14:paraId="21E59C25" w14:textId="77777777" w:rsidR="00853032" w:rsidRPr="00853032" w:rsidRDefault="00853032" w:rsidP="00853032">
      <w:pPr>
        <w:spacing w:after="0" w:line="240" w:lineRule="auto"/>
        <w:ind w:left="0" w:firstLine="0"/>
        <w:jc w:val="both"/>
      </w:pPr>
    </w:p>
    <w:p w14:paraId="00A40A2B" w14:textId="77777777" w:rsidR="003744E6" w:rsidRPr="00853032" w:rsidRDefault="00A175AD" w:rsidP="00853032">
      <w:pPr>
        <w:pStyle w:val="Nadpis1"/>
        <w:tabs>
          <w:tab w:val="center" w:pos="3136"/>
        </w:tabs>
        <w:spacing w:line="240" w:lineRule="auto"/>
        <w:ind w:left="0" w:firstLine="0"/>
        <w:jc w:val="both"/>
      </w:pPr>
      <w:r w:rsidRPr="00853032">
        <w:t>2.</w:t>
      </w:r>
      <w:r w:rsidR="00E734C5" w:rsidRPr="00853032">
        <w:tab/>
        <w:t>KVALITATÍVNE A KVANTITATÍVNE ZLOŽENIE</w:t>
      </w:r>
    </w:p>
    <w:p w14:paraId="3026B51E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57FEFACB" w14:textId="45CB2CA3" w:rsidR="003744E6" w:rsidRDefault="00E734C5" w:rsidP="00853032">
      <w:pPr>
        <w:spacing w:after="0" w:line="240" w:lineRule="auto"/>
        <w:ind w:left="10"/>
        <w:jc w:val="both"/>
      </w:pPr>
      <w:r w:rsidRPr="00853032">
        <w:t>1 ml roztoku obsahuje 1 mg olopatadínu (</w:t>
      </w:r>
      <w:r w:rsidR="00F0742B" w:rsidRPr="00853032">
        <w:t>ako olopatadíniumchlorid</w:t>
      </w:r>
      <w:r w:rsidR="00FB0BDE" w:rsidRPr="00853032">
        <w:t>).</w:t>
      </w:r>
    </w:p>
    <w:p w14:paraId="6BE81A3E" w14:textId="77777777" w:rsidR="00853032" w:rsidRPr="00853032" w:rsidRDefault="00853032" w:rsidP="00853032">
      <w:pPr>
        <w:spacing w:after="0" w:line="240" w:lineRule="auto"/>
        <w:ind w:left="10"/>
        <w:jc w:val="both"/>
      </w:pPr>
    </w:p>
    <w:p w14:paraId="4243B29C" w14:textId="1E7C30D9" w:rsidR="003744E6" w:rsidRDefault="00F0742B" w:rsidP="00853032">
      <w:pPr>
        <w:spacing w:after="0" w:line="240" w:lineRule="auto"/>
        <w:ind w:left="0" w:firstLine="0"/>
        <w:jc w:val="both"/>
        <w:rPr>
          <w:lang w:eastAsia="sk-SK"/>
        </w:rPr>
      </w:pPr>
      <w:r w:rsidRPr="00853032">
        <w:rPr>
          <w:lang w:eastAsia="sk-SK"/>
        </w:rPr>
        <w:t xml:space="preserve">Jedna kvapka obsahuje 30 </w:t>
      </w:r>
      <w:r w:rsidR="00853032">
        <w:rPr>
          <w:lang w:eastAsia="sk-SK"/>
        </w:rPr>
        <w:t>mg</w:t>
      </w:r>
      <w:r w:rsidRPr="00853032">
        <w:rPr>
          <w:lang w:eastAsia="sk-SK"/>
        </w:rPr>
        <w:t xml:space="preserve"> olopatadínu (ako olopatadíniumchlorid)</w:t>
      </w:r>
      <w:r w:rsidR="00FB0BDE" w:rsidRPr="00853032">
        <w:rPr>
          <w:lang w:eastAsia="sk-SK"/>
        </w:rPr>
        <w:t>.</w:t>
      </w:r>
    </w:p>
    <w:p w14:paraId="3A27EEB4" w14:textId="77777777" w:rsidR="00853032" w:rsidRPr="00853032" w:rsidRDefault="00853032" w:rsidP="00853032">
      <w:pPr>
        <w:spacing w:after="0" w:line="240" w:lineRule="auto"/>
        <w:ind w:left="0" w:firstLine="0"/>
        <w:jc w:val="both"/>
      </w:pPr>
    </w:p>
    <w:p w14:paraId="28FD35AD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rPr>
          <w:u w:val="single"/>
        </w:rPr>
        <w:t>Pomocná látka so známym účinkom</w:t>
      </w:r>
      <w:r w:rsidR="00F0742B" w:rsidRPr="00853032">
        <w:t>: 1 ml roztoku obsahuje 0,1 mg benzalkóniumchloridu.</w:t>
      </w:r>
    </w:p>
    <w:p w14:paraId="1500EFDD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5FFEA5BC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Úplný zoznam pomocných látok, pozri časť 6.1.</w:t>
      </w:r>
    </w:p>
    <w:p w14:paraId="4728FCD5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0A784190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4277DE0B" w14:textId="77777777" w:rsidR="003744E6" w:rsidRPr="00853032" w:rsidRDefault="00FB0BDE" w:rsidP="00853032">
      <w:pPr>
        <w:pStyle w:val="Nadpis1"/>
        <w:tabs>
          <w:tab w:val="center" w:pos="1561"/>
        </w:tabs>
        <w:spacing w:line="240" w:lineRule="auto"/>
        <w:ind w:left="0" w:firstLine="0"/>
        <w:jc w:val="both"/>
      </w:pPr>
      <w:r w:rsidRPr="00853032">
        <w:t>3.</w:t>
      </w:r>
      <w:r w:rsidR="00E734C5" w:rsidRPr="00853032">
        <w:tab/>
        <w:t>LIEKOVÁ FORMA</w:t>
      </w:r>
    </w:p>
    <w:p w14:paraId="0B8E36B3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69D51750" w14:textId="1D6AC130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Očná roztoková instilácia.</w:t>
      </w:r>
    </w:p>
    <w:p w14:paraId="2EEC514C" w14:textId="77777777" w:rsidR="003744E6" w:rsidRPr="00853032" w:rsidRDefault="00FB0BDE" w:rsidP="00853032">
      <w:pPr>
        <w:spacing w:after="0" w:line="240" w:lineRule="auto"/>
        <w:ind w:left="10"/>
        <w:jc w:val="both"/>
      </w:pPr>
      <w:r w:rsidRPr="00853032">
        <w:t xml:space="preserve">Roztok je číra a bezfarebná kvapalina, </w:t>
      </w:r>
      <w:r w:rsidRPr="00853032">
        <w:rPr>
          <w:i/>
        </w:rPr>
        <w:t>takmer bez prítomnosti častíc</w:t>
      </w:r>
      <w:r w:rsidRPr="00853032">
        <w:t>.</w:t>
      </w:r>
    </w:p>
    <w:p w14:paraId="3AF7A667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49B7966F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2312F213" w14:textId="77777777" w:rsidR="003744E6" w:rsidRPr="00853032" w:rsidRDefault="00FB0BDE" w:rsidP="00853032">
      <w:pPr>
        <w:pStyle w:val="Nadpis1"/>
        <w:tabs>
          <w:tab w:val="center" w:pos="1554"/>
        </w:tabs>
        <w:spacing w:line="240" w:lineRule="auto"/>
        <w:ind w:left="0" w:firstLine="0"/>
        <w:jc w:val="both"/>
      </w:pPr>
      <w:r w:rsidRPr="00853032">
        <w:t>4.</w:t>
      </w:r>
      <w:r w:rsidR="00E734C5" w:rsidRPr="00853032">
        <w:tab/>
        <w:t>KLINICKÉ ÚDAJE</w:t>
      </w:r>
    </w:p>
    <w:p w14:paraId="28DD7CE6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540D4DA8" w14:textId="77777777" w:rsidR="003744E6" w:rsidRPr="00853032" w:rsidRDefault="00FB0BDE" w:rsidP="00853032">
      <w:pPr>
        <w:tabs>
          <w:tab w:val="center" w:pos="1677"/>
        </w:tabs>
        <w:spacing w:after="0" w:line="240" w:lineRule="auto"/>
        <w:ind w:left="0" w:firstLine="0"/>
        <w:jc w:val="both"/>
      </w:pPr>
      <w:r w:rsidRPr="00853032">
        <w:rPr>
          <w:b/>
        </w:rPr>
        <w:t>4.1</w:t>
      </w:r>
      <w:r w:rsidR="00E734C5" w:rsidRPr="00853032">
        <w:rPr>
          <w:b/>
        </w:rPr>
        <w:tab/>
        <w:t>Terapeutické indikácie</w:t>
      </w:r>
    </w:p>
    <w:p w14:paraId="1D691886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63DE9522" w14:textId="77777777" w:rsidR="003744E6" w:rsidRPr="00853032" w:rsidRDefault="00FB0BDE" w:rsidP="00853032">
      <w:pPr>
        <w:spacing w:after="0" w:line="240" w:lineRule="auto"/>
        <w:ind w:left="10"/>
        <w:jc w:val="both"/>
      </w:pPr>
      <w:r w:rsidRPr="00853032">
        <w:t>Liečba očných prejavov a príznakov</w:t>
      </w:r>
      <w:r w:rsidR="00E734C5" w:rsidRPr="00853032">
        <w:t xml:space="preserve"> sezónnej alergickej konjunktivitídy. </w:t>
      </w:r>
    </w:p>
    <w:p w14:paraId="6D0C2BFD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070085AB" w14:textId="77777777" w:rsidR="003744E6" w:rsidRPr="00853032" w:rsidRDefault="00E734C5" w:rsidP="00853032">
      <w:pPr>
        <w:tabs>
          <w:tab w:val="center" w:pos="2100"/>
        </w:tabs>
        <w:spacing w:after="0" w:line="240" w:lineRule="auto"/>
        <w:ind w:left="0" w:firstLine="0"/>
        <w:jc w:val="both"/>
      </w:pPr>
      <w:r w:rsidRPr="00853032">
        <w:rPr>
          <w:b/>
        </w:rPr>
        <w:t>4.2</w:t>
      </w:r>
      <w:r w:rsidRPr="00853032">
        <w:rPr>
          <w:rFonts w:eastAsia="Arial"/>
          <w:b/>
        </w:rPr>
        <w:tab/>
      </w:r>
      <w:r w:rsidRPr="00853032">
        <w:rPr>
          <w:b/>
        </w:rPr>
        <w:t>Dávkovanie a spôsob podávania</w:t>
      </w:r>
    </w:p>
    <w:p w14:paraId="3A14B53B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4779768B" w14:textId="77777777" w:rsidR="003744E6" w:rsidRPr="00853032" w:rsidRDefault="00E734C5" w:rsidP="00853032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853032">
        <w:rPr>
          <w:lang w:val="sk-SK"/>
        </w:rPr>
        <w:t>Dávkovanie</w:t>
      </w:r>
      <w:r w:rsidRPr="00853032">
        <w:rPr>
          <w:u w:val="none"/>
          <w:lang w:val="sk-SK"/>
        </w:rPr>
        <w:t xml:space="preserve"> </w:t>
      </w:r>
    </w:p>
    <w:p w14:paraId="19C591BC" w14:textId="23820570" w:rsidR="003744E6" w:rsidRPr="00853032" w:rsidRDefault="00AB2132" w:rsidP="00853032">
      <w:pPr>
        <w:spacing w:after="0" w:line="240" w:lineRule="auto"/>
        <w:ind w:left="10"/>
        <w:jc w:val="both"/>
      </w:pPr>
      <w:r w:rsidRPr="00853032">
        <w:t>Dávk</w:t>
      </w:r>
      <w:r>
        <w:t>a</w:t>
      </w:r>
      <w:r w:rsidRPr="00853032">
        <w:t xml:space="preserve"> </w:t>
      </w:r>
      <w:r w:rsidR="00E734C5" w:rsidRPr="00853032">
        <w:t xml:space="preserve">je jedna kvapka </w:t>
      </w:r>
      <w:r w:rsidR="00FB0BDE" w:rsidRPr="00853032">
        <w:t xml:space="preserve">lieku Olopatadine Warren </w:t>
      </w:r>
      <w:r w:rsidR="00E734C5" w:rsidRPr="00853032">
        <w:t>do spojovkového vaku postih</w:t>
      </w:r>
      <w:r w:rsidR="00FB0BDE" w:rsidRPr="00853032">
        <w:t>nutého oka (očí) dvakrát denne (po 8 hodinách</w:t>
      </w:r>
      <w:r w:rsidR="00E734C5" w:rsidRPr="00853032">
        <w:t>).</w:t>
      </w:r>
      <w:r w:rsidR="00FB0BDE" w:rsidRPr="00853032">
        <w:t xml:space="preserve"> Pokiaľ je to potrebné, l</w:t>
      </w:r>
      <w:r w:rsidR="00E734C5" w:rsidRPr="00853032">
        <w:t>iečba môže pokračovať až po dobu štyroch mesiacov</w:t>
      </w:r>
      <w:r w:rsidR="00FB0BDE" w:rsidRPr="00853032">
        <w:t>.</w:t>
      </w:r>
    </w:p>
    <w:p w14:paraId="4B74879A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50830286" w14:textId="77777777" w:rsidR="003744E6" w:rsidRPr="00853032" w:rsidRDefault="00FB0BDE" w:rsidP="00853032">
      <w:pPr>
        <w:spacing w:after="0" w:line="240" w:lineRule="auto"/>
        <w:ind w:left="10"/>
        <w:jc w:val="both"/>
      </w:pPr>
      <w:r w:rsidRPr="00853032">
        <w:rPr>
          <w:i/>
        </w:rPr>
        <w:t xml:space="preserve">Použitie u starších pacientov </w:t>
      </w:r>
    </w:p>
    <w:p w14:paraId="4D04B7E1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U star</w:t>
      </w:r>
      <w:r w:rsidR="00FB0BDE" w:rsidRPr="00853032">
        <w:t>ších pacientov nie je potrebná</w:t>
      </w:r>
      <w:r w:rsidRPr="00853032">
        <w:t xml:space="preserve"> žiadna úprava dávky.</w:t>
      </w:r>
      <w:r w:rsidR="00FB0BDE" w:rsidRPr="00853032">
        <w:t xml:space="preserve"> </w:t>
      </w:r>
    </w:p>
    <w:p w14:paraId="490F0D7A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6184D9E2" w14:textId="77777777" w:rsidR="003744E6" w:rsidRPr="00853032" w:rsidRDefault="00FB0BDE" w:rsidP="00853032">
      <w:pPr>
        <w:spacing w:after="0" w:line="240" w:lineRule="auto"/>
        <w:ind w:left="10"/>
        <w:jc w:val="both"/>
        <w:rPr>
          <w:i/>
        </w:rPr>
      </w:pPr>
      <w:r w:rsidRPr="00853032">
        <w:rPr>
          <w:i/>
        </w:rPr>
        <w:t xml:space="preserve">Pediatrická populácia </w:t>
      </w:r>
    </w:p>
    <w:p w14:paraId="40A7A7C4" w14:textId="77777777" w:rsidR="003744E6" w:rsidRPr="00853032" w:rsidRDefault="00FB0BDE" w:rsidP="00853032">
      <w:pPr>
        <w:spacing w:after="0" w:line="240" w:lineRule="auto"/>
        <w:ind w:left="10"/>
        <w:jc w:val="both"/>
      </w:pPr>
      <w:r w:rsidRPr="00853032">
        <w:t xml:space="preserve">Olopatadine Warren </w:t>
      </w:r>
      <w:r w:rsidR="00E734C5" w:rsidRPr="00853032">
        <w:t>sa môže používať u pediatrických pacientov vo veku tro</w:t>
      </w:r>
      <w:r w:rsidR="00BE21FF" w:rsidRPr="00853032">
        <w:t xml:space="preserve">ch rokov a starších v rovnakej </w:t>
      </w:r>
      <w:r w:rsidR="00E734C5" w:rsidRPr="00853032">
        <w:t xml:space="preserve">dávke ako u dospelých. Bezpečnosť a účinnosť </w:t>
      </w:r>
      <w:r w:rsidRPr="00853032">
        <w:t xml:space="preserve">lieku Olopatadine Warren </w:t>
      </w:r>
      <w:r w:rsidR="00E734C5" w:rsidRPr="00853032">
        <w:t xml:space="preserve">u detí vo veku do 3 rokov nebola stanovená. Nie sú k dispozícii žiadne údaje. </w:t>
      </w:r>
    </w:p>
    <w:p w14:paraId="7ADBDCEC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5FB737F4" w14:textId="70D54075" w:rsidR="003744E6" w:rsidRPr="00853032" w:rsidRDefault="00AB2132" w:rsidP="00853032">
      <w:pPr>
        <w:spacing w:after="0" w:line="240" w:lineRule="auto"/>
        <w:ind w:left="10"/>
        <w:jc w:val="both"/>
      </w:pPr>
      <w:r>
        <w:rPr>
          <w:i/>
        </w:rPr>
        <w:t>Porucha funkcie pečene a obličiek</w:t>
      </w:r>
    </w:p>
    <w:p w14:paraId="12EA6CFA" w14:textId="4016CEB3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 xml:space="preserve">Olopatadín vo </w:t>
      </w:r>
      <w:r w:rsidR="00D67AEE" w:rsidRPr="00853032">
        <w:t>forme očnej instilácie (Olopatadine Warren</w:t>
      </w:r>
      <w:r w:rsidRPr="00853032">
        <w:t>) sa neskúma</w:t>
      </w:r>
      <w:r w:rsidR="00D67AEE" w:rsidRPr="00853032">
        <w:t xml:space="preserve">l u pacientov s renálnym alebo </w:t>
      </w:r>
      <w:r w:rsidRPr="00853032">
        <w:t>hepatálnym ochorením. Neočakáva sa však, že by bola potrebná akákoľvek úprava</w:t>
      </w:r>
      <w:r w:rsidR="00D67AEE" w:rsidRPr="00853032">
        <w:t xml:space="preserve"> dávky pri </w:t>
      </w:r>
      <w:r w:rsidR="00AB2132">
        <w:t>poruche funkcie pečene alebo obličiek</w:t>
      </w:r>
      <w:r w:rsidRPr="00853032">
        <w:t xml:space="preserve"> (pozri časť 5.2).</w:t>
      </w:r>
    </w:p>
    <w:p w14:paraId="4663646C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6E106683" w14:textId="77777777" w:rsidR="00D67AEE" w:rsidRPr="00853032" w:rsidRDefault="00E734C5" w:rsidP="00853032">
      <w:pPr>
        <w:spacing w:after="0" w:line="240" w:lineRule="auto"/>
        <w:ind w:left="10"/>
        <w:jc w:val="both"/>
        <w:rPr>
          <w:u w:val="single" w:color="000000"/>
        </w:rPr>
      </w:pPr>
      <w:r w:rsidRPr="00853032">
        <w:rPr>
          <w:u w:val="single" w:color="000000"/>
        </w:rPr>
        <w:t>Spôsob podávania</w:t>
      </w:r>
    </w:p>
    <w:p w14:paraId="0639A348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Iba na</w:t>
      </w:r>
      <w:r w:rsidR="0006295C" w:rsidRPr="00853032">
        <w:t xml:space="preserve"> podanie do oka</w:t>
      </w:r>
      <w:r w:rsidRPr="00853032">
        <w:t>.</w:t>
      </w:r>
    </w:p>
    <w:p w14:paraId="6C39C603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7F6E5E84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lastRenderedPageBreak/>
        <w:t xml:space="preserve">V prípade súbežnej liečby s inými topickými očnými liekmi, je potrebné medzi následnými aplikáciami dodržať interval päť až desať minút. Očné masti </w:t>
      </w:r>
      <w:r w:rsidR="00BE21FF" w:rsidRPr="00853032">
        <w:t>sa majú aplikovať ako posledné.</w:t>
      </w:r>
    </w:p>
    <w:p w14:paraId="482CF0DA" w14:textId="77777777" w:rsidR="00BE21FF" w:rsidRPr="00853032" w:rsidRDefault="00BE21FF" w:rsidP="00853032">
      <w:pPr>
        <w:tabs>
          <w:tab w:val="center" w:pos="1368"/>
        </w:tabs>
        <w:spacing w:after="0" w:line="240" w:lineRule="auto"/>
        <w:ind w:left="0" w:firstLine="0"/>
        <w:jc w:val="both"/>
        <w:rPr>
          <w:b/>
        </w:rPr>
      </w:pPr>
    </w:p>
    <w:p w14:paraId="7F20C19E" w14:textId="77777777" w:rsidR="003744E6" w:rsidRPr="00853032" w:rsidRDefault="00D67AEE" w:rsidP="00853032">
      <w:pPr>
        <w:tabs>
          <w:tab w:val="center" w:pos="1368"/>
        </w:tabs>
        <w:spacing w:after="0" w:line="240" w:lineRule="auto"/>
        <w:ind w:left="0" w:firstLine="0"/>
        <w:jc w:val="both"/>
      </w:pPr>
      <w:r w:rsidRPr="00853032">
        <w:rPr>
          <w:b/>
        </w:rPr>
        <w:t>4.3</w:t>
      </w:r>
      <w:r w:rsidR="00E734C5" w:rsidRPr="00853032">
        <w:rPr>
          <w:b/>
        </w:rPr>
        <w:tab/>
        <w:t xml:space="preserve">Kontraindikácie </w:t>
      </w:r>
    </w:p>
    <w:p w14:paraId="26B0D637" w14:textId="77777777" w:rsidR="00643E99" w:rsidRPr="00853032" w:rsidRDefault="00643E99" w:rsidP="00853032">
      <w:pPr>
        <w:spacing w:after="0" w:line="240" w:lineRule="auto"/>
        <w:ind w:left="0" w:firstLine="0"/>
        <w:jc w:val="both"/>
      </w:pPr>
    </w:p>
    <w:p w14:paraId="6916D3B8" w14:textId="77777777" w:rsidR="003744E6" w:rsidRPr="00853032" w:rsidRDefault="00BE21FF" w:rsidP="00853032">
      <w:pPr>
        <w:spacing w:after="0" w:line="240" w:lineRule="auto"/>
        <w:ind w:left="0" w:firstLine="0"/>
        <w:jc w:val="both"/>
        <w:rPr>
          <w:noProof/>
        </w:rPr>
      </w:pPr>
      <w:r w:rsidRPr="00853032">
        <w:t xml:space="preserve">Precitlivenosť na liečivo alebo na </w:t>
      </w:r>
      <w:r w:rsidRPr="00853032">
        <w:rPr>
          <w:noProof/>
        </w:rPr>
        <w:t>ktorúkoľvek</w:t>
      </w:r>
      <w:r w:rsidRPr="00853032">
        <w:t xml:space="preserve"> z pomocných látok </w:t>
      </w:r>
      <w:r w:rsidRPr="00853032">
        <w:rPr>
          <w:noProof/>
        </w:rPr>
        <w:t>uvedených v časti 6.1.</w:t>
      </w:r>
    </w:p>
    <w:p w14:paraId="2BC52E95" w14:textId="77777777" w:rsidR="00BE21FF" w:rsidRPr="00853032" w:rsidRDefault="00BE21FF" w:rsidP="00853032">
      <w:pPr>
        <w:spacing w:after="0" w:line="240" w:lineRule="auto"/>
        <w:ind w:left="0" w:firstLine="0"/>
        <w:jc w:val="both"/>
      </w:pPr>
    </w:p>
    <w:p w14:paraId="4698E3D1" w14:textId="77777777" w:rsidR="003744E6" w:rsidRPr="00853032" w:rsidRDefault="00D67AEE" w:rsidP="00853032">
      <w:pPr>
        <w:pStyle w:val="Nadpis3"/>
        <w:tabs>
          <w:tab w:val="center" w:pos="2851"/>
        </w:tabs>
        <w:spacing w:after="0" w:line="240" w:lineRule="auto"/>
        <w:ind w:left="0" w:firstLine="0"/>
        <w:jc w:val="both"/>
      </w:pPr>
      <w:r w:rsidRPr="00853032">
        <w:t>4.4</w:t>
      </w:r>
      <w:r w:rsidR="00E734C5" w:rsidRPr="00853032">
        <w:tab/>
        <w:t>Osobitné upozornenia a opatrenia pri používaní</w:t>
      </w:r>
      <w:r w:rsidR="00E734C5" w:rsidRPr="00853032">
        <w:rPr>
          <w:b w:val="0"/>
        </w:rPr>
        <w:t xml:space="preserve"> </w:t>
      </w:r>
    </w:p>
    <w:p w14:paraId="7268B306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35A8CED0" w14:textId="77777777" w:rsidR="003744E6" w:rsidRPr="00853032" w:rsidRDefault="00BE21FF" w:rsidP="00853032">
      <w:pPr>
        <w:spacing w:after="0" w:line="240" w:lineRule="auto"/>
        <w:ind w:left="10"/>
        <w:jc w:val="both"/>
      </w:pPr>
      <w:r w:rsidRPr="00853032">
        <w:t>Olopatadine Warren</w:t>
      </w:r>
      <w:r w:rsidR="00E734C5" w:rsidRPr="00853032">
        <w:t xml:space="preserve"> je antialergický/antihistamínový liek a hoci s</w:t>
      </w:r>
      <w:r w:rsidR="0036759D" w:rsidRPr="00853032">
        <w:t xml:space="preserve">a podáva topicky, absorbuje sa </w:t>
      </w:r>
      <w:r w:rsidR="00E734C5" w:rsidRPr="00853032">
        <w:t>systémovo. Ak sa vyskytnú závažné reakcie alebo precitlivenosť, prerušte túto liečbu.</w:t>
      </w:r>
    </w:p>
    <w:p w14:paraId="2812CF1D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74A0654C" w14:textId="77777777" w:rsidR="003744E6" w:rsidRPr="00853032" w:rsidRDefault="00C36AAC" w:rsidP="00853032">
      <w:pPr>
        <w:spacing w:after="0" w:line="240" w:lineRule="auto"/>
        <w:ind w:left="10"/>
        <w:jc w:val="both"/>
      </w:pPr>
      <w:r w:rsidRPr="00853032">
        <w:t>Olopatadine Warren</w:t>
      </w:r>
      <w:r w:rsidR="00E734C5" w:rsidRPr="00853032">
        <w:t xml:space="preserve"> obsahuje benzalkóniumchlorid, ktorý môže spôsobiť podráždenie očí. </w:t>
      </w:r>
    </w:p>
    <w:p w14:paraId="485B05AD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66F59B6E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Uvádza sa, že benzalkóniumchlorid tiež spôsobuje bodkovanú keratopatiu a/alebo toxickú ulceratívnu keratopatiu. Vyžaduje sa prísne monitorovanie pri častom alebo predĺženom používaní u pacientov so suchým okom, alebo pri stavoch, kedy je oslabená rohovka.</w:t>
      </w:r>
    </w:p>
    <w:p w14:paraId="7758C624" w14:textId="77777777" w:rsidR="003744E6" w:rsidRPr="00853032" w:rsidRDefault="00E734C5" w:rsidP="00853032">
      <w:pPr>
        <w:spacing w:after="0" w:line="240" w:lineRule="auto"/>
        <w:ind w:left="0" w:firstLine="0"/>
        <w:jc w:val="both"/>
      </w:pPr>
      <w:r w:rsidRPr="00853032">
        <w:t xml:space="preserve"> </w:t>
      </w:r>
    </w:p>
    <w:p w14:paraId="23B64499" w14:textId="77777777" w:rsidR="003744E6" w:rsidRPr="00853032" w:rsidRDefault="00E734C5" w:rsidP="00853032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853032">
        <w:rPr>
          <w:lang w:val="sk-SK"/>
        </w:rPr>
        <w:t>Kontaktné šošovky</w:t>
      </w:r>
    </w:p>
    <w:p w14:paraId="22725C41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O benzalkóniu je známe, že odfarbuje mäkké kontaktné šošovky. Vyhnite sa kontaktu s mäkkými kontaktnými šošovkami. Pacienti majú byť poučení, aby si pred podaním očných kvapiek vybrali kontaktné šošovky a počkali minimálne 15 minút po instilácii, predtým ako si opäť založia kontaktné šošovky.</w:t>
      </w:r>
    </w:p>
    <w:p w14:paraId="1849E5B5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65FE1E27" w14:textId="77777777" w:rsidR="003744E6" w:rsidRPr="00853032" w:rsidRDefault="00C36AAC" w:rsidP="00853032">
      <w:pPr>
        <w:pStyle w:val="Nadpis3"/>
        <w:tabs>
          <w:tab w:val="center" w:pos="1719"/>
        </w:tabs>
        <w:spacing w:after="0" w:line="240" w:lineRule="auto"/>
        <w:ind w:left="0" w:firstLine="0"/>
        <w:jc w:val="both"/>
      </w:pPr>
      <w:r w:rsidRPr="00853032">
        <w:t>4.5</w:t>
      </w:r>
      <w:r w:rsidR="00E734C5" w:rsidRPr="00853032">
        <w:tab/>
        <w:t>Liekové a iné interakcie</w:t>
      </w:r>
    </w:p>
    <w:p w14:paraId="60D7B05B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4D958C5E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Neuskutočnili sa žiadne štú</w:t>
      </w:r>
      <w:r w:rsidR="00C36AAC" w:rsidRPr="00853032">
        <w:t>die interakcií s inými liekmi.</w:t>
      </w:r>
    </w:p>
    <w:p w14:paraId="7D36CEE8" w14:textId="77777777" w:rsidR="00C36AAC" w:rsidRPr="00853032" w:rsidRDefault="00C36AAC" w:rsidP="00853032">
      <w:pPr>
        <w:spacing w:after="0" w:line="240" w:lineRule="auto"/>
        <w:ind w:left="10"/>
        <w:jc w:val="both"/>
      </w:pPr>
    </w:p>
    <w:p w14:paraId="3AAC958A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Štúdie</w:t>
      </w:r>
      <w:r w:rsidRPr="00853032">
        <w:rPr>
          <w:i/>
        </w:rPr>
        <w:t xml:space="preserve"> in vitro </w:t>
      </w:r>
      <w:r w:rsidRPr="00853032">
        <w:t>ukázali, že olopatadín neinhibuje metabolické rea</w:t>
      </w:r>
      <w:r w:rsidR="0036759D" w:rsidRPr="00853032">
        <w:t>kcie, ktoré zahŕňajú</w:t>
      </w:r>
      <w:r w:rsidR="00F77A52">
        <w:t xml:space="preserve"> </w:t>
      </w:r>
      <w:r w:rsidRPr="00853032">
        <w:t>izoenzýmy 1A2, 2C8, 2C9, 2C19, 2D6, 2E1 a 3A4 cytochrómu P-450</w:t>
      </w:r>
      <w:r w:rsidR="0036759D" w:rsidRPr="00853032">
        <w:t xml:space="preserve">. Tieto výsledky naznačujú, že </w:t>
      </w:r>
      <w:r w:rsidRPr="00853032">
        <w:t>nie je pravdepodobné, že by olopatadín mal za následok metabolické interakcie s inými súčasne podávanými účinnými látkami.</w:t>
      </w:r>
    </w:p>
    <w:p w14:paraId="09F1A155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15C6F753" w14:textId="77777777" w:rsidR="003744E6" w:rsidRPr="00853032" w:rsidRDefault="00C36AAC" w:rsidP="00853032">
      <w:pPr>
        <w:tabs>
          <w:tab w:val="center" w:pos="1949"/>
        </w:tabs>
        <w:spacing w:after="0" w:line="240" w:lineRule="auto"/>
        <w:ind w:left="0" w:firstLine="0"/>
        <w:jc w:val="both"/>
      </w:pPr>
      <w:r w:rsidRPr="00853032">
        <w:rPr>
          <w:b/>
        </w:rPr>
        <w:t>4.6</w:t>
      </w:r>
      <w:r w:rsidR="00E734C5" w:rsidRPr="00853032">
        <w:rPr>
          <w:b/>
        </w:rPr>
        <w:tab/>
        <w:t>Fertilita, gravidita a laktácia</w:t>
      </w:r>
      <w:r w:rsidR="00E734C5" w:rsidRPr="00853032">
        <w:t xml:space="preserve"> </w:t>
      </w:r>
    </w:p>
    <w:p w14:paraId="0D0ADC89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74BB1BC7" w14:textId="77777777" w:rsidR="00C36AAC" w:rsidRPr="00F77A52" w:rsidRDefault="00C36AAC" w:rsidP="00853032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F77A52">
        <w:t>Fertilita</w:t>
      </w:r>
    </w:p>
    <w:p w14:paraId="4925A158" w14:textId="77777777" w:rsidR="00C36AAC" w:rsidRPr="00853032" w:rsidRDefault="00C36AAC" w:rsidP="00853032">
      <w:pPr>
        <w:spacing w:after="0" w:line="240" w:lineRule="auto"/>
        <w:ind w:left="10"/>
        <w:jc w:val="both"/>
      </w:pPr>
      <w:r w:rsidRPr="00853032">
        <w:t>Neboli vykonané štúdie na vyhodnotenie účinku pri lokálnom očnom podaní olopatadínu na ľudskú fertilitu.</w:t>
      </w:r>
    </w:p>
    <w:p w14:paraId="43AB9724" w14:textId="77777777" w:rsidR="00C36AAC" w:rsidRPr="00853032" w:rsidRDefault="00C36AAC" w:rsidP="00853032">
      <w:pPr>
        <w:spacing w:after="0" w:line="240" w:lineRule="auto"/>
        <w:ind w:left="0" w:firstLine="0"/>
        <w:jc w:val="both"/>
      </w:pPr>
    </w:p>
    <w:p w14:paraId="28D228AE" w14:textId="77777777" w:rsidR="003744E6" w:rsidRPr="00F77A52" w:rsidRDefault="00E734C5" w:rsidP="00853032">
      <w:pPr>
        <w:pStyle w:val="Nadpis2"/>
        <w:spacing w:after="0" w:line="240" w:lineRule="auto"/>
        <w:ind w:left="10"/>
        <w:jc w:val="both"/>
      </w:pPr>
      <w:r w:rsidRPr="00F77A52">
        <w:t>Gravidita</w:t>
      </w:r>
    </w:p>
    <w:p w14:paraId="216F6491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Nie sú k dispozícii žiadne alebo existujú iba obmedzené údaje o používaní očného olopatadínu u gravidných žien.</w:t>
      </w:r>
    </w:p>
    <w:p w14:paraId="4971E1D9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30F20D23" w14:textId="37F4BB1D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 xml:space="preserve">Štúdie na zvieratách preukázali reprodukčnú toxicitu po </w:t>
      </w:r>
      <w:r w:rsidR="00EE212C" w:rsidRPr="00853032">
        <w:t>syst</w:t>
      </w:r>
      <w:r w:rsidR="00EE212C">
        <w:t>émov</w:t>
      </w:r>
      <w:r w:rsidR="00EE212C" w:rsidRPr="00853032">
        <w:t xml:space="preserve">om </w:t>
      </w:r>
      <w:r w:rsidRPr="00853032">
        <w:t xml:space="preserve">podaní (pozri časť 5.3). </w:t>
      </w:r>
    </w:p>
    <w:p w14:paraId="50EEC03F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72520421" w14:textId="42BB093F" w:rsidR="003744E6" w:rsidRPr="00853032" w:rsidRDefault="00EE212C" w:rsidP="00853032">
      <w:pPr>
        <w:spacing w:after="0" w:line="240" w:lineRule="auto"/>
        <w:ind w:left="10"/>
        <w:jc w:val="both"/>
      </w:pPr>
      <w:r>
        <w:t>Podávanie o</w:t>
      </w:r>
      <w:r w:rsidRPr="00853032">
        <w:t>lopatadín</w:t>
      </w:r>
      <w:r>
        <w:t>u</w:t>
      </w:r>
      <w:r w:rsidRPr="00853032">
        <w:t xml:space="preserve"> </w:t>
      </w:r>
      <w:r w:rsidR="00E734C5" w:rsidRPr="00853032">
        <w:t>sa neodporúča počas gravidity a u žien, ktoré môžu otehotnieť a nepoužívajú antikoncepciu.</w:t>
      </w:r>
      <w:r w:rsidR="00D67AEE" w:rsidRPr="00853032">
        <w:t xml:space="preserve"> </w:t>
      </w:r>
    </w:p>
    <w:p w14:paraId="4F755E9F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64BBE4AF" w14:textId="77777777" w:rsidR="003744E6" w:rsidRPr="00F77A52" w:rsidRDefault="00C36AAC" w:rsidP="00853032">
      <w:pPr>
        <w:pStyle w:val="Nadpis2"/>
        <w:spacing w:after="0" w:line="240" w:lineRule="auto"/>
        <w:ind w:left="10"/>
        <w:jc w:val="both"/>
      </w:pPr>
      <w:r w:rsidRPr="00F77A52">
        <w:t>Dojčenie</w:t>
      </w:r>
    </w:p>
    <w:p w14:paraId="1740EF22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Dostupné údaje u zvierat preukázali vylučovanie olopatadínu do mlieka po perorálnom podaní (podrobnosti pozri v časti 5.3).</w:t>
      </w:r>
    </w:p>
    <w:p w14:paraId="3122B1DC" w14:textId="77777777" w:rsidR="00A175AD" w:rsidRPr="00853032" w:rsidRDefault="00A175AD" w:rsidP="00853032">
      <w:pPr>
        <w:spacing w:after="0" w:line="240" w:lineRule="auto"/>
        <w:ind w:left="0" w:firstLine="0"/>
        <w:jc w:val="both"/>
      </w:pPr>
    </w:p>
    <w:p w14:paraId="1B0E1BD7" w14:textId="77777777" w:rsidR="003744E6" w:rsidRPr="00853032" w:rsidRDefault="00E734C5" w:rsidP="00853032">
      <w:pPr>
        <w:spacing w:after="0" w:line="240" w:lineRule="auto"/>
        <w:ind w:left="0" w:firstLine="0"/>
        <w:jc w:val="both"/>
      </w:pPr>
      <w:r w:rsidRPr="00853032">
        <w:t>Riziko pre novoro</w:t>
      </w:r>
      <w:r w:rsidR="00A175AD" w:rsidRPr="00853032">
        <w:t>dencov/dojčatá nemožno vylúčiť.</w:t>
      </w:r>
    </w:p>
    <w:p w14:paraId="074ED58F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7663893E" w14:textId="77777777" w:rsidR="003744E6" w:rsidRPr="00853032" w:rsidRDefault="00C36AAC" w:rsidP="00853032">
      <w:pPr>
        <w:spacing w:after="0" w:line="240" w:lineRule="auto"/>
        <w:ind w:left="10"/>
        <w:jc w:val="both"/>
      </w:pPr>
      <w:r w:rsidRPr="00853032">
        <w:t>Olopatadine Warren</w:t>
      </w:r>
      <w:r w:rsidR="00E734C5" w:rsidRPr="00853032">
        <w:t xml:space="preserve"> s</w:t>
      </w:r>
      <w:r w:rsidR="00A175AD" w:rsidRPr="00853032">
        <w:t>a nemá používať počas dojčenia.</w:t>
      </w:r>
    </w:p>
    <w:p w14:paraId="6394F580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649B1194" w14:textId="77777777" w:rsidR="003744E6" w:rsidRPr="00853032" w:rsidRDefault="000E79F4" w:rsidP="00853032">
      <w:pPr>
        <w:pStyle w:val="Nadpis3"/>
        <w:tabs>
          <w:tab w:val="center" w:pos="3280"/>
        </w:tabs>
        <w:spacing w:after="0" w:line="240" w:lineRule="auto"/>
        <w:ind w:left="0" w:firstLine="0"/>
        <w:jc w:val="both"/>
        <w:rPr>
          <w:lang w:val="sk-SK"/>
        </w:rPr>
      </w:pPr>
      <w:r w:rsidRPr="00853032">
        <w:t>4.7</w:t>
      </w:r>
      <w:r w:rsidR="00E734C5" w:rsidRPr="00853032">
        <w:tab/>
      </w:r>
      <w:r w:rsidR="00E734C5" w:rsidRPr="00853032">
        <w:rPr>
          <w:lang w:val="sk-SK"/>
        </w:rPr>
        <w:t>Ovplyvnenie schopnosti viesť vozidlá a obsluhovať stroje</w:t>
      </w:r>
      <w:r w:rsidR="00E734C5" w:rsidRPr="00853032">
        <w:rPr>
          <w:b w:val="0"/>
          <w:lang w:val="sk-SK"/>
        </w:rPr>
        <w:t xml:space="preserve"> </w:t>
      </w:r>
    </w:p>
    <w:p w14:paraId="2BFE520E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569E9D28" w14:textId="77777777" w:rsidR="003744E6" w:rsidRPr="00853032" w:rsidRDefault="00C36AAC" w:rsidP="00853032">
      <w:pPr>
        <w:spacing w:after="0" w:line="240" w:lineRule="auto"/>
        <w:ind w:left="0" w:firstLine="0"/>
        <w:jc w:val="both"/>
      </w:pPr>
      <w:r w:rsidRPr="00853032">
        <w:t xml:space="preserve">Olopatadine Warren 1 mg/ml očná roztoková instilácia </w:t>
      </w:r>
      <w:r w:rsidR="00E734C5" w:rsidRPr="00853032">
        <w:t>nemá žiadny alebo má zanedbateľný vpl</w:t>
      </w:r>
      <w:r w:rsidRPr="00853032">
        <w:t>yv na schopnosť viesť vozidlá obsluhovať stroje.</w:t>
      </w:r>
    </w:p>
    <w:p w14:paraId="1DFFD89B" w14:textId="77777777" w:rsidR="000E79F4" w:rsidRPr="00853032" w:rsidRDefault="000E79F4" w:rsidP="00853032">
      <w:pPr>
        <w:spacing w:after="0" w:line="240" w:lineRule="auto"/>
        <w:ind w:left="0" w:firstLine="0"/>
        <w:jc w:val="both"/>
      </w:pPr>
    </w:p>
    <w:p w14:paraId="7B257A50" w14:textId="1C5E9B31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 xml:space="preserve">Tak ako pri akejkoľvek inej očnej instilácii, dočasné rozmazané videnie alebo iné zrakové poruchy môžu ovplyvniť schopnosť viesť vozidlá a obsluhovať stroje. Ak sa po instilácii prejavuje rozmazané videnie, pacient musí počkať, pokiaľ sa </w:t>
      </w:r>
      <w:r w:rsidR="00EC623A">
        <w:t>videnie upraví</w:t>
      </w:r>
      <w:bookmarkStart w:id="0" w:name="_GoBack"/>
      <w:bookmarkEnd w:id="0"/>
      <w:r w:rsidRPr="00853032">
        <w:t>, než začne viesť vozidlo alebo obsluhovať stroje.</w:t>
      </w:r>
    </w:p>
    <w:p w14:paraId="67D23E41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07AB32BC" w14:textId="77777777" w:rsidR="003744E6" w:rsidRPr="00853032" w:rsidRDefault="000E79F4" w:rsidP="00853032">
      <w:pPr>
        <w:tabs>
          <w:tab w:val="center" w:pos="1426"/>
        </w:tabs>
        <w:spacing w:after="0" w:line="240" w:lineRule="auto"/>
        <w:ind w:left="0" w:firstLine="0"/>
        <w:jc w:val="both"/>
      </w:pPr>
      <w:r w:rsidRPr="00853032">
        <w:rPr>
          <w:b/>
        </w:rPr>
        <w:t>4.8</w:t>
      </w:r>
      <w:r w:rsidR="00E734C5" w:rsidRPr="00853032">
        <w:rPr>
          <w:b/>
        </w:rPr>
        <w:tab/>
        <w:t>Nežiaduce účinky</w:t>
      </w:r>
    </w:p>
    <w:p w14:paraId="4DC61815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4396C9E7" w14:textId="77777777" w:rsidR="003744E6" w:rsidRPr="00853032" w:rsidRDefault="00E734C5" w:rsidP="00853032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853032">
        <w:rPr>
          <w:lang w:val="sk-SK"/>
        </w:rPr>
        <w:t>Súhrn bezpečnostného profilu</w:t>
      </w:r>
    </w:p>
    <w:p w14:paraId="0ACC6874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 xml:space="preserve">V klinických štúdiách zahŕňajúcich 1680 pacientov sa </w:t>
      </w:r>
      <w:r w:rsidR="000E79F4" w:rsidRPr="00853032">
        <w:t xml:space="preserve">olopatadín 1 mg/ml očná roztoková instilácia podávala jedenkrát až štyrikrát </w:t>
      </w:r>
      <w:r w:rsidRPr="00853032">
        <w:t>denne do obidvoch očí počas až štyroch mesiacov ako monoterapi</w:t>
      </w:r>
      <w:r w:rsidR="000E79F4" w:rsidRPr="00853032">
        <w:t xml:space="preserve">a alebo ako prídavná terapia k </w:t>
      </w:r>
      <w:r w:rsidRPr="00853032">
        <w:t>10 mg loratadínu. Dá sa očakávať, že približne 4,5% pacientov mô</w:t>
      </w:r>
      <w:r w:rsidR="000E79F4" w:rsidRPr="00853032">
        <w:t>že mať skúsenosť s nežiaducimi účinkami v súvislosti s podaním očnej roztokovej instilácie olopatadín 1mg/1ml</w:t>
      </w:r>
      <w:r w:rsidRPr="00853032">
        <w:t>; avšak len 1,6% pacientov prerušilo klinické štúdie z dôv</w:t>
      </w:r>
      <w:r w:rsidR="000E79F4" w:rsidRPr="00853032">
        <w:t>odu týchto nežiaducich účinkov</w:t>
      </w:r>
      <w:r w:rsidRPr="00853032">
        <w:t>. V klinických štúdiách sa nezaznamenali žiadne závažné oftalmologické</w:t>
      </w:r>
      <w:r w:rsidR="000E79F4" w:rsidRPr="00853032">
        <w:t xml:space="preserve"> </w:t>
      </w:r>
      <w:r w:rsidRPr="00853032">
        <w:t>alebo systémové nežiaduce r</w:t>
      </w:r>
      <w:r w:rsidR="000E79F4" w:rsidRPr="00853032">
        <w:t>eakcie v súvislosti s očnou roztokovou instiláciou olopatadín 1mg/m</w:t>
      </w:r>
      <w:r w:rsidR="00F971C9" w:rsidRPr="00853032">
        <w:t>l</w:t>
      </w:r>
      <w:r w:rsidRPr="00853032">
        <w:t>. Najčaste</w:t>
      </w:r>
      <w:r w:rsidR="00F971C9" w:rsidRPr="00853032">
        <w:t>jšie hláseným nežiaducim účinkom</w:t>
      </w:r>
      <w:r w:rsidRPr="00853032">
        <w:t xml:space="preserve"> v súvislosti s liečbou bola očná bolesť, zaznamenaná s celkovým výskytom 0,7%.</w:t>
      </w:r>
    </w:p>
    <w:p w14:paraId="5ECFF332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6AB1A2D2" w14:textId="77777777" w:rsidR="003744E6" w:rsidRPr="00853032" w:rsidRDefault="00E734C5" w:rsidP="00853032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853032">
        <w:rPr>
          <w:lang w:val="sk-SK"/>
        </w:rPr>
        <w:t>Tabuľkový prehľad nežiaducich reakcií</w:t>
      </w:r>
    </w:p>
    <w:p w14:paraId="3BC05471" w14:textId="0FC1F2C0" w:rsidR="003744E6" w:rsidRPr="00853032" w:rsidRDefault="00F971C9" w:rsidP="00853032">
      <w:pPr>
        <w:spacing w:after="0" w:line="240" w:lineRule="auto"/>
        <w:ind w:left="10"/>
        <w:jc w:val="both"/>
      </w:pPr>
      <w:r w:rsidRPr="00853032">
        <w:t>Nasledujúce nežiaduce účinky</w:t>
      </w:r>
      <w:r w:rsidR="00E734C5" w:rsidRPr="00853032">
        <w:t xml:space="preserve"> boli hlásené počas klinických štúdií a </w:t>
      </w:r>
      <w:r w:rsidR="00EE212C">
        <w:t>dát po uvedení lieku na trh</w:t>
      </w:r>
      <w:r w:rsidR="00E734C5" w:rsidRPr="00853032">
        <w:t xml:space="preserve"> a sú klasifikované podľa nasledujúceho zvyčajného hodnotenia: veľmi časté (≥1/10), časté (≥1/100 až &lt;1/10), menej časté (≥1/1,000 až &lt;1/100), zriedkavé (&gt;1/10,000 až &lt;1/1000), veľmi zriedkavé (&lt;1/10,000) alebo neznáme (</w:t>
      </w:r>
      <w:r w:rsidRPr="00853032">
        <w:t xml:space="preserve">z dostupných </w:t>
      </w:r>
      <w:r w:rsidR="003A077F">
        <w:t>údajov</w:t>
      </w:r>
      <w:r w:rsidRPr="00853032">
        <w:t xml:space="preserve">). V rámci </w:t>
      </w:r>
      <w:r w:rsidR="00E734C5" w:rsidRPr="00853032">
        <w:t>každého zoskupenia</w:t>
      </w:r>
      <w:r w:rsidRPr="00853032">
        <w:t xml:space="preserve"> početnosti sú nežiaduce účinky</w:t>
      </w:r>
      <w:r w:rsidR="00E734C5" w:rsidRPr="00853032">
        <w:t xml:space="preserve"> uvedené v poradí klesajúcej závažnosti. </w:t>
      </w:r>
    </w:p>
    <w:p w14:paraId="5C743A15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tbl>
      <w:tblPr>
        <w:tblStyle w:val="TableGrid"/>
        <w:tblW w:w="9072" w:type="dxa"/>
        <w:tblInd w:w="-5" w:type="dxa"/>
        <w:tblCellMar>
          <w:top w:w="55" w:type="dxa"/>
          <w:left w:w="106" w:type="dxa"/>
          <w:right w:w="34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4961"/>
      </w:tblGrid>
      <w:tr w:rsidR="003744E6" w:rsidRPr="00853032" w14:paraId="55096709" w14:textId="77777777" w:rsidTr="00F77A52">
        <w:trPr>
          <w:trHeight w:val="51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18F5" w14:textId="77777777" w:rsidR="003744E6" w:rsidRPr="00853032" w:rsidRDefault="00E734C5" w:rsidP="00853032">
            <w:pPr>
              <w:spacing w:after="0" w:line="240" w:lineRule="auto"/>
              <w:ind w:left="0" w:hanging="109"/>
              <w:jc w:val="both"/>
            </w:pPr>
            <w:r w:rsidRPr="00853032">
              <w:rPr>
                <w:b/>
              </w:rPr>
              <w:t>Klasifikácia podľa súst</w:t>
            </w:r>
            <w:r w:rsidR="00F971C9" w:rsidRPr="00853032">
              <w:rPr>
                <w:b/>
              </w:rPr>
              <w:t>avy orgánov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6D54" w14:textId="77777777" w:rsidR="003744E6" w:rsidRPr="00853032" w:rsidRDefault="00F971C9" w:rsidP="00853032">
            <w:pPr>
              <w:spacing w:after="0" w:line="240" w:lineRule="auto"/>
              <w:ind w:left="0" w:firstLine="0"/>
              <w:jc w:val="both"/>
            </w:pPr>
            <w:r w:rsidRPr="00853032">
              <w:rPr>
                <w:b/>
              </w:rPr>
              <w:t>Frekvencia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394F" w14:textId="77777777" w:rsidR="003744E6" w:rsidRPr="00853032" w:rsidRDefault="00F971C9" w:rsidP="00853032">
            <w:pPr>
              <w:spacing w:after="0" w:line="240" w:lineRule="auto"/>
              <w:ind w:left="0" w:firstLine="0"/>
              <w:jc w:val="both"/>
            </w:pPr>
            <w:r w:rsidRPr="00853032">
              <w:rPr>
                <w:b/>
              </w:rPr>
              <w:t>Nežiaduce reakcie</w:t>
            </w:r>
          </w:p>
        </w:tc>
      </w:tr>
      <w:tr w:rsidR="003744E6" w:rsidRPr="00853032" w14:paraId="3FAB8DBE" w14:textId="77777777" w:rsidTr="00F77A52">
        <w:trPr>
          <w:trHeight w:val="26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AE37" w14:textId="77777777" w:rsidR="003744E6" w:rsidRPr="00853032" w:rsidRDefault="00F971C9" w:rsidP="00853032">
            <w:pPr>
              <w:spacing w:after="0" w:line="240" w:lineRule="auto"/>
              <w:ind w:left="0" w:firstLine="0"/>
              <w:jc w:val="both"/>
            </w:pPr>
            <w:r w:rsidRPr="00853032">
              <w:t>Infekcie a nákazy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6E0B" w14:textId="77777777" w:rsidR="003744E6" w:rsidRPr="00853032" w:rsidRDefault="00F971C9" w:rsidP="00853032">
            <w:pPr>
              <w:spacing w:after="0" w:line="240" w:lineRule="auto"/>
              <w:ind w:left="0" w:firstLine="0"/>
              <w:jc w:val="both"/>
            </w:pPr>
            <w:r w:rsidRPr="00853032">
              <w:t>Menej časté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4B5A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rinitída </w:t>
            </w:r>
          </w:p>
        </w:tc>
      </w:tr>
      <w:tr w:rsidR="003744E6" w:rsidRPr="00853032" w14:paraId="40DC042C" w14:textId="77777777" w:rsidTr="00F77A52">
        <w:trPr>
          <w:trHeight w:val="26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87E4" w14:textId="77777777" w:rsidR="003744E6" w:rsidRPr="00853032" w:rsidRDefault="00F971C9" w:rsidP="00853032">
            <w:pPr>
              <w:spacing w:after="0" w:line="240" w:lineRule="auto"/>
              <w:ind w:left="0" w:firstLine="0"/>
              <w:jc w:val="both"/>
            </w:pPr>
            <w:r w:rsidRPr="00853032">
              <w:t>Poruchy imunitného systému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15CF" w14:textId="77777777" w:rsidR="003744E6" w:rsidRPr="00853032" w:rsidRDefault="00F971C9" w:rsidP="00853032">
            <w:pPr>
              <w:spacing w:after="0" w:line="240" w:lineRule="auto"/>
              <w:ind w:left="0" w:firstLine="0"/>
              <w:jc w:val="both"/>
            </w:pPr>
            <w:r w:rsidRPr="00853032">
              <w:t>Neznáme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9A2F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hypersenzitivita, opuch tváre </w:t>
            </w:r>
          </w:p>
        </w:tc>
      </w:tr>
      <w:tr w:rsidR="003744E6" w:rsidRPr="00853032" w14:paraId="704F5CCF" w14:textId="77777777" w:rsidTr="00F77A52">
        <w:trPr>
          <w:trHeight w:val="26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D2A4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>Poruchy nervového systému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C26F" w14:textId="77777777" w:rsidR="003744E6" w:rsidRPr="00853032" w:rsidRDefault="00F971C9" w:rsidP="00853032">
            <w:pPr>
              <w:spacing w:after="0" w:line="240" w:lineRule="auto"/>
              <w:ind w:left="0" w:firstLine="0"/>
              <w:jc w:val="both"/>
            </w:pPr>
            <w:r w:rsidRPr="00853032">
              <w:t>Časté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E289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bolesť hlavy, dysgeúzia </w:t>
            </w:r>
          </w:p>
        </w:tc>
      </w:tr>
      <w:tr w:rsidR="003744E6" w:rsidRPr="00853032" w14:paraId="7780A270" w14:textId="77777777" w:rsidTr="00F77A52">
        <w:trPr>
          <w:trHeight w:val="26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A8767F" w14:textId="77777777" w:rsidR="003744E6" w:rsidRPr="00853032" w:rsidRDefault="003744E6" w:rsidP="00853032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C55E" w14:textId="77777777" w:rsidR="003744E6" w:rsidRPr="00853032" w:rsidRDefault="00F971C9" w:rsidP="00853032">
            <w:pPr>
              <w:spacing w:after="0" w:line="240" w:lineRule="auto"/>
              <w:ind w:left="0" w:firstLine="0"/>
              <w:jc w:val="both"/>
            </w:pPr>
            <w:r w:rsidRPr="00853032">
              <w:t>Menej časté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A22F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závrat, znížená citlivosť </w:t>
            </w:r>
          </w:p>
        </w:tc>
      </w:tr>
      <w:tr w:rsidR="003744E6" w:rsidRPr="00853032" w14:paraId="454D754D" w14:textId="77777777" w:rsidTr="00F77A52">
        <w:trPr>
          <w:trHeight w:val="26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99D3" w14:textId="77777777" w:rsidR="003744E6" w:rsidRPr="00853032" w:rsidRDefault="003744E6" w:rsidP="00853032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064D" w14:textId="77777777" w:rsidR="003744E6" w:rsidRPr="00853032" w:rsidRDefault="00F971C9" w:rsidP="00853032">
            <w:pPr>
              <w:spacing w:after="0" w:line="240" w:lineRule="auto"/>
              <w:ind w:left="0" w:firstLine="0"/>
              <w:jc w:val="both"/>
            </w:pPr>
            <w:r w:rsidRPr="00853032">
              <w:t>Neznáme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78DD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ospalosť </w:t>
            </w:r>
          </w:p>
        </w:tc>
      </w:tr>
      <w:tr w:rsidR="003744E6" w:rsidRPr="00853032" w14:paraId="38B6AADF" w14:textId="77777777" w:rsidTr="00F77A52">
        <w:trPr>
          <w:trHeight w:val="51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DB98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>Poruchy oka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4123" w14:textId="77777777" w:rsidR="003744E6" w:rsidRPr="00853032" w:rsidRDefault="00F971C9" w:rsidP="00853032">
            <w:pPr>
              <w:spacing w:after="0" w:line="240" w:lineRule="auto"/>
              <w:ind w:left="0" w:firstLine="0"/>
              <w:jc w:val="both"/>
            </w:pPr>
            <w:r w:rsidRPr="00853032">
              <w:t>Časté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E3A2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očná bolesť, podráždenie oka, suché oko, abnormálny pocit v očiach </w:t>
            </w:r>
          </w:p>
        </w:tc>
      </w:tr>
      <w:tr w:rsidR="003744E6" w:rsidRPr="00853032" w14:paraId="6F320BDD" w14:textId="77777777" w:rsidTr="00F77A52">
        <w:trPr>
          <w:trHeight w:val="2045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C611F0" w14:textId="77777777" w:rsidR="003744E6" w:rsidRPr="00853032" w:rsidRDefault="003744E6" w:rsidP="00853032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17BB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Menej časté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17DC" w14:textId="335C95B0" w:rsidR="003744E6" w:rsidRPr="00853032" w:rsidRDefault="00E734C5" w:rsidP="006B6A2A">
            <w:pPr>
              <w:spacing w:after="0" w:line="240" w:lineRule="auto"/>
              <w:ind w:left="0" w:hanging="8"/>
              <w:jc w:val="both"/>
            </w:pPr>
            <w:r w:rsidRPr="00853032">
              <w:t>erózia rohovky, poškodenie epitelu rohovky, porušená funkcia epitelu rohovky, bodkovaná keratitída, keratitída, sfarbenie rohovky, očný sekrét, fotofóbia, rozmazané videnie, znížená zraková ostrosť, blefarospazmus, očný diskomfort, svrbenie</w:t>
            </w:r>
            <w:r w:rsidR="00F971C9" w:rsidRPr="00853032">
              <w:t xml:space="preserve"> oka, konjunktiválne folikuly, </w:t>
            </w:r>
            <w:r w:rsidRPr="00853032">
              <w:t xml:space="preserve">konjunktiválne poruchy, pocit cudzieho telieska v očiach, zvýšené slzenie, erytém očných viečok, edém očných viečok, </w:t>
            </w:r>
            <w:r w:rsidR="006B6A2A">
              <w:t>choroba</w:t>
            </w:r>
            <w:r w:rsidR="006B6A2A" w:rsidRPr="00853032">
              <w:t xml:space="preserve"> očn</w:t>
            </w:r>
            <w:r w:rsidR="006B6A2A">
              <w:t>ého</w:t>
            </w:r>
            <w:r w:rsidR="006B6A2A" w:rsidRPr="00853032">
              <w:t xml:space="preserve"> vieč</w:t>
            </w:r>
            <w:r w:rsidR="006B6A2A">
              <w:t>ka</w:t>
            </w:r>
            <w:r w:rsidRPr="00853032">
              <w:t xml:space="preserve">, očná hyperémia </w:t>
            </w:r>
          </w:p>
        </w:tc>
      </w:tr>
      <w:tr w:rsidR="003744E6" w:rsidRPr="00853032" w14:paraId="6AA545AB" w14:textId="77777777" w:rsidTr="00F77A52">
        <w:trPr>
          <w:trHeight w:val="769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1F49" w14:textId="77777777" w:rsidR="003744E6" w:rsidRPr="00853032" w:rsidRDefault="003744E6" w:rsidP="00853032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130E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Neznáme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CA58" w14:textId="77777777" w:rsidR="003744E6" w:rsidRPr="00853032" w:rsidRDefault="00E734C5" w:rsidP="00853032">
            <w:pPr>
              <w:spacing w:after="0" w:line="240" w:lineRule="auto"/>
              <w:ind w:left="0" w:hanging="32"/>
              <w:jc w:val="both"/>
            </w:pPr>
            <w:r w:rsidRPr="00853032">
              <w:t xml:space="preserve">edém rohovky, očný edém, opuch oka, zápal spojiviek, rozšírenie zreníc, poruchy zraku, chrasta na okraji očného viečka </w:t>
            </w:r>
          </w:p>
        </w:tc>
      </w:tr>
      <w:tr w:rsidR="003744E6" w:rsidRPr="00853032" w14:paraId="5B5564E0" w14:textId="77777777" w:rsidTr="00F77A52">
        <w:trPr>
          <w:trHeight w:val="51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97B2" w14:textId="77777777" w:rsidR="003744E6" w:rsidRPr="00853032" w:rsidRDefault="00E734C5" w:rsidP="00F77A52">
            <w:pPr>
              <w:spacing w:after="0" w:line="240" w:lineRule="auto"/>
              <w:ind w:left="0" w:firstLine="0"/>
              <w:jc w:val="both"/>
            </w:pPr>
            <w:r w:rsidRPr="00853032">
              <w:t>Por</w:t>
            </w:r>
            <w:r w:rsidR="00F971C9" w:rsidRPr="00853032">
              <w:t>uchy dýchacej sústavy, hrudníka</w:t>
            </w:r>
            <w:r w:rsidR="00F77A52">
              <w:t xml:space="preserve"> a mediastína</w:t>
            </w:r>
            <w:r w:rsidRPr="00853032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7B0D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Časté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9770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nazálna suchosť </w:t>
            </w:r>
          </w:p>
        </w:tc>
      </w:tr>
      <w:tr w:rsidR="003744E6" w:rsidRPr="00853032" w14:paraId="2E4C5284" w14:textId="77777777" w:rsidTr="00F77A52">
        <w:trPr>
          <w:trHeight w:val="264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C043" w14:textId="77777777" w:rsidR="003744E6" w:rsidRPr="00853032" w:rsidRDefault="003744E6" w:rsidP="00853032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B0D8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Neznáme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1486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dýchavičnosť, sinusitída </w:t>
            </w:r>
          </w:p>
        </w:tc>
      </w:tr>
      <w:tr w:rsidR="003744E6" w:rsidRPr="00853032" w14:paraId="34DCEB3F" w14:textId="77777777" w:rsidTr="00F77A52">
        <w:trPr>
          <w:trHeight w:val="2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52EB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Poruchy gastrointestinálneho traktu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C75B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Neznáme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BA91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nevoľnosť, vracanie, </w:t>
            </w:r>
          </w:p>
        </w:tc>
      </w:tr>
      <w:tr w:rsidR="003744E6" w:rsidRPr="00853032" w14:paraId="5A1EE5CE" w14:textId="77777777" w:rsidTr="00F77A52">
        <w:trPr>
          <w:trHeight w:val="51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ADED" w14:textId="77777777" w:rsidR="003744E6" w:rsidRPr="00853032" w:rsidRDefault="00E734C5" w:rsidP="00F77A52">
            <w:pPr>
              <w:spacing w:after="0" w:line="240" w:lineRule="auto"/>
              <w:ind w:left="0" w:firstLine="0"/>
              <w:jc w:val="both"/>
            </w:pPr>
            <w:r w:rsidRPr="00853032">
              <w:t>Po</w:t>
            </w:r>
            <w:r w:rsidR="00F77A52">
              <w:t>ruchy kože a podkožného tkaniva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1A81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Menej časté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87F0" w14:textId="77777777" w:rsidR="003744E6" w:rsidRPr="00853032" w:rsidRDefault="00E734C5" w:rsidP="00853032">
            <w:pPr>
              <w:spacing w:after="0" w:line="240" w:lineRule="auto"/>
              <w:ind w:left="0" w:hanging="1"/>
              <w:jc w:val="both"/>
            </w:pPr>
            <w:r w:rsidRPr="00853032">
              <w:t xml:space="preserve">kontaktná dermatitída, pocit pálenia pokožky, suchá koža </w:t>
            </w:r>
          </w:p>
        </w:tc>
      </w:tr>
      <w:tr w:rsidR="003744E6" w:rsidRPr="00853032" w14:paraId="69C742D5" w14:textId="77777777" w:rsidTr="00F77A52">
        <w:trPr>
          <w:trHeight w:val="26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E94C" w14:textId="77777777" w:rsidR="003744E6" w:rsidRPr="00853032" w:rsidRDefault="003744E6" w:rsidP="00853032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042A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Neznáme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AD55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dermatitída, erytém </w:t>
            </w:r>
          </w:p>
        </w:tc>
      </w:tr>
      <w:tr w:rsidR="003744E6" w:rsidRPr="00853032" w14:paraId="4AC19DE3" w14:textId="77777777" w:rsidTr="00F77A52">
        <w:trPr>
          <w:trHeight w:val="26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E4FC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Celkové poruchy a reakcie v mieste podania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57D7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Časté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80BD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únava </w:t>
            </w:r>
          </w:p>
        </w:tc>
      </w:tr>
      <w:tr w:rsidR="003744E6" w:rsidRPr="00853032" w14:paraId="5855A1B5" w14:textId="77777777" w:rsidTr="00F77A52">
        <w:trPr>
          <w:trHeight w:val="264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F565" w14:textId="77777777" w:rsidR="003744E6" w:rsidRPr="00853032" w:rsidRDefault="003744E6" w:rsidP="00853032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D4B2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Neznáme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8290" w14:textId="77777777" w:rsidR="003744E6" w:rsidRPr="00853032" w:rsidRDefault="00E734C5" w:rsidP="00853032">
            <w:pPr>
              <w:spacing w:after="0" w:line="240" w:lineRule="auto"/>
              <w:ind w:left="0" w:firstLine="0"/>
              <w:jc w:val="both"/>
            </w:pPr>
            <w:r w:rsidRPr="00853032">
              <w:t xml:space="preserve">asténia, malátnosť </w:t>
            </w:r>
          </w:p>
        </w:tc>
      </w:tr>
    </w:tbl>
    <w:p w14:paraId="68297CF6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1AABCBE7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 xml:space="preserve">Prípady kalcifikácie rohovky boli hlásené veľmi zriedkavo v súvislosti s použitím očných kvapiek s obsahom fosfátu u niektorých pacientov s významne poškodenými rohovkami. </w:t>
      </w:r>
    </w:p>
    <w:p w14:paraId="4BBA0AEC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3B41EDCE" w14:textId="77777777" w:rsidR="003744E6" w:rsidRPr="00853032" w:rsidRDefault="00E734C5" w:rsidP="00853032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853032">
        <w:rPr>
          <w:lang w:val="sk-SK"/>
        </w:rPr>
        <w:t>Hlásenie podozrení na nežiaduce reakcie</w:t>
      </w:r>
      <w:r w:rsidRPr="00853032">
        <w:rPr>
          <w:u w:val="none"/>
          <w:lang w:val="sk-SK"/>
        </w:rPr>
        <w:t xml:space="preserve"> </w:t>
      </w:r>
    </w:p>
    <w:p w14:paraId="6B4CCB27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prostredníctvom </w:t>
      </w:r>
      <w:r w:rsidRPr="00853032">
        <w:rPr>
          <w:shd w:val="clear" w:color="auto" w:fill="C0C0C0"/>
        </w:rPr>
        <w:t>národného systému hlásenia uvedeného</w:t>
      </w:r>
      <w:r w:rsidRPr="00853032">
        <w:t xml:space="preserve"> </w:t>
      </w:r>
      <w:r w:rsidRPr="00853032">
        <w:rPr>
          <w:shd w:val="clear" w:color="auto" w:fill="C0C0C0"/>
        </w:rPr>
        <w:t xml:space="preserve">v </w:t>
      </w:r>
      <w:r w:rsidRPr="00853032">
        <w:rPr>
          <w:color w:val="0000FF"/>
          <w:u w:val="single" w:color="0000FF"/>
          <w:shd w:val="clear" w:color="auto" w:fill="C0C0C0"/>
        </w:rPr>
        <w:t>Prílohe V</w:t>
      </w:r>
      <w:r w:rsidRPr="00853032">
        <w:t xml:space="preserve">. </w:t>
      </w:r>
    </w:p>
    <w:p w14:paraId="7C1A96C4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2316EA4C" w14:textId="77777777" w:rsidR="003744E6" w:rsidRPr="00853032" w:rsidRDefault="00F971C9" w:rsidP="00853032">
      <w:pPr>
        <w:pStyle w:val="Nadpis3"/>
        <w:tabs>
          <w:tab w:val="center" w:pos="1302"/>
        </w:tabs>
        <w:spacing w:after="0" w:line="240" w:lineRule="auto"/>
        <w:ind w:left="0" w:firstLine="0"/>
        <w:jc w:val="both"/>
      </w:pPr>
      <w:r w:rsidRPr="00853032">
        <w:t>4.9</w:t>
      </w:r>
      <w:r w:rsidR="00E734C5" w:rsidRPr="00853032">
        <w:tab/>
        <w:t>Predávkovanie</w:t>
      </w:r>
    </w:p>
    <w:p w14:paraId="41271A49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14283099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Nie sú k dispozícii žiadne údaje u ľudí, pokiaľ ide o predávkovani</w:t>
      </w:r>
      <w:r w:rsidR="000B5936" w:rsidRPr="00853032">
        <w:t xml:space="preserve">e pri náhodnom alebo úmyselnom </w:t>
      </w:r>
      <w:r w:rsidRPr="00853032">
        <w:t xml:space="preserve">požití. Olopatadín má nízky stupeň akútnej toxicity u zvierat. Náhodné </w:t>
      </w:r>
      <w:r w:rsidR="000B5936" w:rsidRPr="00853032">
        <w:t>požitie celého obsahu fľaštičky lieku Olopatadin</w:t>
      </w:r>
      <w:r w:rsidR="00D11A12" w:rsidRPr="00853032">
        <w:t>e</w:t>
      </w:r>
      <w:r w:rsidR="000B5936" w:rsidRPr="00853032">
        <w:t xml:space="preserve"> Warren 1 m</w:t>
      </w:r>
      <w:r w:rsidR="00D11A12" w:rsidRPr="00853032">
        <w:t>g/ml očná roztoková instilácia</w:t>
      </w:r>
      <w:r w:rsidR="000B5936" w:rsidRPr="00853032">
        <w:t xml:space="preserve"> </w:t>
      </w:r>
      <w:r w:rsidRPr="00853032">
        <w:t>by poskytlo maximálnu systémovú expozíciu 5 mg ol</w:t>
      </w:r>
      <w:r w:rsidR="000B5936" w:rsidRPr="00853032">
        <w:t xml:space="preserve">opatadínu. Takáto expozícia by </w:t>
      </w:r>
      <w:r w:rsidRPr="00853032">
        <w:t>mala za následok konečnú dávku 0,5 mg/kg u dieťaťa s hmotno</w:t>
      </w:r>
      <w:r w:rsidR="000B5936" w:rsidRPr="00853032">
        <w:t xml:space="preserve">sťou 10 kg, pri predpokladanej </w:t>
      </w:r>
      <w:r w:rsidRPr="00853032">
        <w:t>100%-nej absorpcii.</w:t>
      </w:r>
      <w:r w:rsidR="000B5936" w:rsidRPr="00853032">
        <w:t xml:space="preserve"> </w:t>
      </w:r>
    </w:p>
    <w:p w14:paraId="64DD1B65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1170EC47" w14:textId="77777777" w:rsidR="003744E6" w:rsidRPr="00853032" w:rsidRDefault="000B5936" w:rsidP="00853032">
      <w:pPr>
        <w:spacing w:after="0" w:line="240" w:lineRule="auto"/>
        <w:ind w:left="10"/>
        <w:jc w:val="both"/>
      </w:pPr>
      <w:r w:rsidRPr="00853032">
        <w:t>Predĺženie</w:t>
      </w:r>
      <w:r w:rsidR="00E734C5" w:rsidRPr="00853032">
        <w:t xml:space="preserve"> QT</w:t>
      </w:r>
      <w:r w:rsidRPr="00853032">
        <w:t>c intervalu u psov sa pozorovalo</w:t>
      </w:r>
      <w:r w:rsidR="00E734C5" w:rsidRPr="00853032">
        <w:t xml:space="preserve"> len pri expozíciách, kt</w:t>
      </w:r>
      <w:r w:rsidRPr="00853032">
        <w:t xml:space="preserve">oré sa považovali za expozície </w:t>
      </w:r>
      <w:r w:rsidR="00E734C5" w:rsidRPr="00853032">
        <w:t>v dostatočne veľkom nadbytku nad maximálnu expozíciu pre človek</w:t>
      </w:r>
      <w:r w:rsidRPr="00853032">
        <w:t>a, čo naznačuje malú relevanciu</w:t>
      </w:r>
      <w:r w:rsidR="00E734C5" w:rsidRPr="00853032">
        <w:t xml:space="preserve"> pre klinické použitie. Perorálna dávka 5 mg sa podávala dvakrát d</w:t>
      </w:r>
      <w:r w:rsidRPr="00853032">
        <w:t xml:space="preserve">enne počas 2,5 dňa 102 zdravým </w:t>
      </w:r>
      <w:r w:rsidR="00E734C5" w:rsidRPr="00853032">
        <w:t>mladým a starším dobrovoľníkom mužského a žens</w:t>
      </w:r>
      <w:r w:rsidRPr="00853032">
        <w:t>kého pohlavia bez signifikantného predlženia</w:t>
      </w:r>
      <w:r w:rsidR="00E734C5" w:rsidRPr="00853032">
        <w:t xml:space="preserve"> intervalu QTc v porovnaní s placebom. Rozsah maximálnych koncent</w:t>
      </w:r>
      <w:r w:rsidRPr="00853032">
        <w:t xml:space="preserve">rácií olopatadínu v plazme pri </w:t>
      </w:r>
      <w:r w:rsidR="00E734C5" w:rsidRPr="00853032">
        <w:t>ustálenom stave (35 až 127 ng/ml) pozorovaný v tejto štúdii p</w:t>
      </w:r>
      <w:r w:rsidRPr="00853032">
        <w:t xml:space="preserve">redstavuje najmenej 70-násobnú </w:t>
      </w:r>
      <w:r w:rsidR="00E734C5" w:rsidRPr="00853032">
        <w:t>toleranciu pre topický olopatadín, pokiaľ ide o účinky na kardiálnu repolarizáciu.</w:t>
      </w:r>
      <w:r w:rsidRPr="00853032">
        <w:t xml:space="preserve"> </w:t>
      </w:r>
    </w:p>
    <w:p w14:paraId="34251990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0E5284E1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V prí</w:t>
      </w:r>
      <w:r w:rsidR="000B5936" w:rsidRPr="00853032">
        <w:t>pade predávkovania sa má začať</w:t>
      </w:r>
      <w:r w:rsidRPr="00853032">
        <w:t xml:space="preserve"> vhodný monitoring a liečba pacienta.</w:t>
      </w:r>
    </w:p>
    <w:p w14:paraId="0EC05DDE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04DDD4FC" w14:textId="77777777" w:rsidR="00827D66" w:rsidRPr="00853032" w:rsidRDefault="00827D66" w:rsidP="00853032">
      <w:pPr>
        <w:spacing w:after="0" w:line="240" w:lineRule="auto"/>
        <w:ind w:left="0" w:firstLine="0"/>
        <w:jc w:val="both"/>
      </w:pPr>
    </w:p>
    <w:p w14:paraId="4D407806" w14:textId="77777777" w:rsidR="003744E6" w:rsidRPr="00853032" w:rsidRDefault="00827D66" w:rsidP="00853032">
      <w:pPr>
        <w:pStyle w:val="Nadpis1"/>
        <w:tabs>
          <w:tab w:val="center" w:pos="2441"/>
        </w:tabs>
        <w:spacing w:line="240" w:lineRule="auto"/>
        <w:ind w:left="0" w:firstLine="0"/>
        <w:jc w:val="both"/>
      </w:pPr>
      <w:r w:rsidRPr="00853032">
        <w:t>5.</w:t>
      </w:r>
      <w:r w:rsidR="00E734C5" w:rsidRPr="00853032">
        <w:tab/>
        <w:t>FARMAKOLOGICKÉ VLASTNOSTI</w:t>
      </w:r>
    </w:p>
    <w:p w14:paraId="3D496C06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44C206F5" w14:textId="77777777" w:rsidR="003744E6" w:rsidRPr="00853032" w:rsidRDefault="00827D66" w:rsidP="00853032">
      <w:pPr>
        <w:pStyle w:val="Nadpis2"/>
        <w:tabs>
          <w:tab w:val="center" w:pos="2019"/>
        </w:tabs>
        <w:spacing w:after="0" w:line="240" w:lineRule="auto"/>
        <w:ind w:left="0" w:firstLine="0"/>
        <w:jc w:val="both"/>
      </w:pPr>
      <w:r w:rsidRPr="00853032">
        <w:rPr>
          <w:b/>
          <w:u w:val="none"/>
        </w:rPr>
        <w:t>5.1</w:t>
      </w:r>
      <w:r w:rsidR="00E734C5" w:rsidRPr="00853032">
        <w:rPr>
          <w:b/>
          <w:u w:val="none"/>
        </w:rPr>
        <w:tab/>
        <w:t>Farmakodynamické vlastnosti</w:t>
      </w:r>
    </w:p>
    <w:p w14:paraId="6291CA9B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0E1681D7" w14:textId="01E75649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 xml:space="preserve">Farmakoterapeutická skupina: oftalmologiká; </w:t>
      </w:r>
      <w:r w:rsidR="003B0BCF" w:rsidRPr="00853032">
        <w:t>dekonges</w:t>
      </w:r>
      <w:r w:rsidR="003B0BCF">
        <w:t>čné liečivá</w:t>
      </w:r>
      <w:r w:rsidR="003B0BCF" w:rsidRPr="00853032">
        <w:t xml:space="preserve"> </w:t>
      </w:r>
      <w:r w:rsidRPr="00853032">
        <w:t>a antialergiká; iné antialergiká.</w:t>
      </w:r>
      <w:r w:rsidR="00827D66" w:rsidRPr="00853032">
        <w:t xml:space="preserve"> </w:t>
      </w:r>
    </w:p>
    <w:p w14:paraId="107FCD4E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11F3E5A8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ATC kód: S01GX 09</w:t>
      </w:r>
    </w:p>
    <w:p w14:paraId="54BE19F9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1BF74B49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Olopatadín je účinným selektívnym antialergickým/antihistamínovým liečivom, ktoréh</w:t>
      </w:r>
      <w:r w:rsidR="00827D66" w:rsidRPr="00853032">
        <w:t xml:space="preserve">o účinky sa </w:t>
      </w:r>
      <w:r w:rsidRPr="00853032">
        <w:t>uplatňujú prostredníctvom účinku viacerých odlišných mec</w:t>
      </w:r>
      <w:r w:rsidR="00827D66" w:rsidRPr="00853032">
        <w:t>hanizmov. Antagonizuje histamín</w:t>
      </w:r>
      <w:r w:rsidRPr="00853032">
        <w:t xml:space="preserve"> (primárny mediátor alergickej odozvy u ľudí) a zabraňuje hi</w:t>
      </w:r>
      <w:r w:rsidR="00827D66" w:rsidRPr="00853032">
        <w:t xml:space="preserve">stamínom indukovanej zápalovej </w:t>
      </w:r>
      <w:r w:rsidRPr="00853032">
        <w:t>produkcii cytokínu epitelo</w:t>
      </w:r>
      <w:r w:rsidR="00827D66" w:rsidRPr="00853032">
        <w:t xml:space="preserve">vými bunkami spojovky človeka. </w:t>
      </w:r>
    </w:p>
    <w:p w14:paraId="79100396" w14:textId="22E5DDBA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 xml:space="preserve">Údaje z </w:t>
      </w:r>
      <w:r w:rsidRPr="00853032">
        <w:rPr>
          <w:i/>
        </w:rPr>
        <w:t xml:space="preserve">in vitro </w:t>
      </w:r>
      <w:r w:rsidRPr="00853032">
        <w:t xml:space="preserve">štúdií naznačujú, že môže pôsobiť na žírne bunky spojovky človeka tak, aby sa inhibovalo uvoľňovanie pro-zápalových mediátorov. U pacientov s priechodnými nosovoslznými kanálmi, </w:t>
      </w:r>
      <w:r w:rsidR="00827D66" w:rsidRPr="00853032">
        <w:t>topické očné podávanie lieku Olopatadine Warren1 mg/ml očná roztoková instilácia</w:t>
      </w:r>
      <w:r w:rsidRPr="00853032">
        <w:t xml:space="preserve"> poukazovalo na zníženie nosných </w:t>
      </w:r>
      <w:r w:rsidR="003B0BCF">
        <w:t>prejavov</w:t>
      </w:r>
      <w:r w:rsidR="003B0BCF" w:rsidRPr="00853032">
        <w:t xml:space="preserve"> </w:t>
      </w:r>
      <w:r w:rsidRPr="00853032">
        <w:t xml:space="preserve">a symptómov, ktoré sú často sprievodným znakom sezónnej alergickej konjunktivitídy. Nevytvára klinicky signifikantnú zmenu priemeru zrenice. </w:t>
      </w:r>
    </w:p>
    <w:p w14:paraId="76668A0C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56CAF89A" w14:textId="77777777" w:rsidR="003744E6" w:rsidRPr="00853032" w:rsidRDefault="00827D66" w:rsidP="00504EAA">
      <w:pPr>
        <w:keepNext/>
        <w:tabs>
          <w:tab w:val="center" w:pos="1933"/>
        </w:tabs>
        <w:spacing w:after="0" w:line="240" w:lineRule="auto"/>
        <w:ind w:left="0" w:firstLine="0"/>
        <w:jc w:val="both"/>
      </w:pPr>
      <w:r w:rsidRPr="00853032">
        <w:rPr>
          <w:b/>
        </w:rPr>
        <w:t>5.2</w:t>
      </w:r>
      <w:r w:rsidR="00E734C5" w:rsidRPr="00853032">
        <w:rPr>
          <w:b/>
        </w:rPr>
        <w:tab/>
        <w:t>Farmakokinetické vlastnosti</w:t>
      </w:r>
      <w:r w:rsidR="00E734C5" w:rsidRPr="00853032">
        <w:t xml:space="preserve"> </w:t>
      </w:r>
    </w:p>
    <w:p w14:paraId="43B00ABB" w14:textId="77777777" w:rsidR="003744E6" w:rsidRPr="00853032" w:rsidRDefault="003744E6" w:rsidP="00504EAA">
      <w:pPr>
        <w:keepNext/>
        <w:spacing w:after="0" w:line="240" w:lineRule="auto"/>
        <w:ind w:left="0" w:firstLine="0"/>
        <w:jc w:val="both"/>
      </w:pPr>
    </w:p>
    <w:p w14:paraId="53987928" w14:textId="77777777" w:rsidR="003744E6" w:rsidRPr="00853032" w:rsidRDefault="00E734C5" w:rsidP="00504EAA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853032">
        <w:rPr>
          <w:lang w:val="sk-SK"/>
        </w:rPr>
        <w:t>Absorpcia</w:t>
      </w:r>
      <w:r w:rsidRPr="00853032">
        <w:rPr>
          <w:u w:val="none"/>
          <w:lang w:val="sk-SK"/>
        </w:rPr>
        <w:t xml:space="preserve"> </w:t>
      </w:r>
    </w:p>
    <w:p w14:paraId="1B6CC97A" w14:textId="6777ECAE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Olopatadín sa absorbuje systémovo, rovnako ako iné topicky po</w:t>
      </w:r>
      <w:r w:rsidR="00827D66" w:rsidRPr="00853032">
        <w:t xml:space="preserve">dávané lieky. Avšak, systémová </w:t>
      </w:r>
      <w:r w:rsidRPr="00853032">
        <w:t>absorpcia topicky aplikovaného olopatadínu je minimálna pri koncen</w:t>
      </w:r>
      <w:r w:rsidR="00827D66" w:rsidRPr="00853032">
        <w:t xml:space="preserve">tráciách v plazme v rozsahu od </w:t>
      </w:r>
      <w:r w:rsidRPr="00853032">
        <w:t>hodnoty nižšej ako je limit kvantitatívneho stanovenia vzorky (&lt; 0,5</w:t>
      </w:r>
      <w:r w:rsidR="00827D66" w:rsidRPr="00853032">
        <w:t xml:space="preserve"> ng/ml) až do 1,3 ng/ml. Tieto </w:t>
      </w:r>
      <w:r w:rsidRPr="00853032">
        <w:t>koncentrácie sú 50- až 200-násobne nižšie ako koncentrácie po dob</w:t>
      </w:r>
      <w:r w:rsidR="00827D66" w:rsidRPr="00853032">
        <w:t xml:space="preserve">re tolerovaných perorálnych </w:t>
      </w:r>
      <w:r w:rsidRPr="00853032">
        <w:t>dávkach.</w:t>
      </w:r>
      <w:r w:rsidR="00827D66" w:rsidRPr="00853032">
        <w:t xml:space="preserve"> </w:t>
      </w:r>
    </w:p>
    <w:p w14:paraId="377A0DE9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60746D26" w14:textId="77777777" w:rsidR="003744E6" w:rsidRPr="00853032" w:rsidRDefault="00E734C5" w:rsidP="00853032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853032">
        <w:rPr>
          <w:lang w:val="sk-SK"/>
        </w:rPr>
        <w:t>Eliminácia</w:t>
      </w:r>
      <w:r w:rsidRPr="00853032">
        <w:rPr>
          <w:u w:val="none"/>
          <w:lang w:val="sk-SK"/>
        </w:rPr>
        <w:t xml:space="preserve"> </w:t>
      </w:r>
    </w:p>
    <w:p w14:paraId="6D8C2BE9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Podľa farmakokinetických štúdií po perorálnom podávaní, polčas olopatadínu v plazme predstavoval približne osem až dvanásť hodín a eliminácia sa uskutočňovala prevažne prostredníctvom renálnej exkrécie. Približne 60 až 70% dávky sa zachytilo v moči vo forme účinnej látky. Dva metabolity, mono-desmetyl a N-oxid, sa detegovali v moči v nízkych koncentráciách.</w:t>
      </w:r>
    </w:p>
    <w:p w14:paraId="357D7312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28B442E5" w14:textId="7EBFC452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 xml:space="preserve">Pretože olopatadín sa vylučuje do moču primárne v nezmenenej forme liečiva, zhoršenie renálnej funkcie mení farmakokinetiku olopatadínu pri maximálnych koncentráciách v plazme 2,3-násobne viac u pacientov so závažným renálnym poškodením (priemerný klírens kreatinínu 13,0 ml/min) v porovnaní so zdravými dospelými osobami. Po 10 mg perorálnej dávke u pacientov, ktorí podstúpili hemodialýzu (bez urinárnej produkcie), koncentrácie olopatadínu v plazme boli signifikantne nižšie v deň hemodialýzy ako v deň, kedy nepodstúpili hemodialýzu, čo naznačuje, že olopatadín sa </w:t>
      </w:r>
      <w:r w:rsidR="00D70320">
        <w:t>dá</w:t>
      </w:r>
      <w:r w:rsidR="00D70320" w:rsidRPr="00853032">
        <w:t xml:space="preserve"> </w:t>
      </w:r>
      <w:r w:rsidRPr="00853032">
        <w:t>odstrániť hemodialýzou.</w:t>
      </w:r>
    </w:p>
    <w:p w14:paraId="26771E5D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42D4A117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Štúdie porovnávajúce farmakokinetiky 10 mg perorálnych dá</w:t>
      </w:r>
      <w:r w:rsidR="0036759D" w:rsidRPr="00853032">
        <w:t xml:space="preserve">vok olopatadínu u mladých osôb </w:t>
      </w:r>
      <w:r w:rsidRPr="00853032">
        <w:t>(priemerný vek 21 rokov) a starších osôb (priemerný vek 74 rokov) nep</w:t>
      </w:r>
      <w:r w:rsidR="00827D66" w:rsidRPr="00853032">
        <w:t xml:space="preserve">reukázali žiadne signifikantné </w:t>
      </w:r>
      <w:r w:rsidRPr="00853032">
        <w:t>rozdiely v plazmatických koncentráciách (AUC), viazaní prote</w:t>
      </w:r>
      <w:r w:rsidR="00827D66" w:rsidRPr="00853032">
        <w:t xml:space="preserve">ínu alebo exkrécii nezmeneného </w:t>
      </w:r>
      <w:r w:rsidRPr="00853032">
        <w:t>pôvodného lieku a metabolitov močom.</w:t>
      </w:r>
    </w:p>
    <w:p w14:paraId="7234B7E2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6B7F52B5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Štúdia renálneho poškodenia po perorálnej dávke olopatadínu sa usku</w:t>
      </w:r>
      <w:r w:rsidR="00827D66" w:rsidRPr="00853032">
        <w:t>točnila u pacientov so závažným</w:t>
      </w:r>
      <w:r w:rsidRPr="00853032">
        <w:t xml:space="preserve"> renálnym poškodením. Výsledky naznačujú, že pre túto populáciu sa pri použití </w:t>
      </w:r>
      <w:r w:rsidR="00827D66" w:rsidRPr="00853032">
        <w:t xml:space="preserve">očnej roztokovej instilácie olopatadín 1mg/ml </w:t>
      </w:r>
      <w:r w:rsidRPr="00853032">
        <w:t>môžu</w:t>
      </w:r>
      <w:r w:rsidR="00827D66" w:rsidRPr="00853032">
        <w:t xml:space="preserve"> </w:t>
      </w:r>
      <w:r w:rsidRPr="00853032">
        <w:t>očakávať o niečo vyššie koncentrácie v plazme. Pretože koncentrá</w:t>
      </w:r>
      <w:r w:rsidR="00827D66" w:rsidRPr="00853032">
        <w:t xml:space="preserve">cie v plazme po topickom očnom </w:t>
      </w:r>
      <w:r w:rsidRPr="00853032">
        <w:t>podaní olopatadínu sú 50- až 200-násobne nižšie ako po dobre tol</w:t>
      </w:r>
      <w:r w:rsidR="00827D66" w:rsidRPr="00853032">
        <w:t xml:space="preserve">erovaných perorálnych dávkach, </w:t>
      </w:r>
      <w:r w:rsidRPr="00853032">
        <w:t>nepredpokladá sa, že by bolo potrebné prispôsobenie dávky u starších osôb alebo u populácie s renálnym poškodením. Metabolizmus pečene je menej významnou ce</w:t>
      </w:r>
      <w:r w:rsidR="00827D66" w:rsidRPr="00853032">
        <w:t xml:space="preserve">stou eliminácie. Nepredpokladá </w:t>
      </w:r>
      <w:r w:rsidRPr="00853032">
        <w:t>sa, že by bolo potrebné prispôsobenie dávky pri hepatálnom poškodení.</w:t>
      </w:r>
    </w:p>
    <w:p w14:paraId="0E94E277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00C0BAB0" w14:textId="77777777" w:rsidR="003744E6" w:rsidRPr="00853032" w:rsidRDefault="00827D66" w:rsidP="00853032">
      <w:pPr>
        <w:pStyle w:val="Nadpis3"/>
        <w:tabs>
          <w:tab w:val="center" w:pos="2141"/>
        </w:tabs>
        <w:spacing w:after="0" w:line="240" w:lineRule="auto"/>
        <w:ind w:left="0" w:firstLine="0"/>
        <w:jc w:val="both"/>
      </w:pPr>
      <w:r w:rsidRPr="00853032">
        <w:t>5.3</w:t>
      </w:r>
      <w:r w:rsidR="00E734C5" w:rsidRPr="00853032">
        <w:tab/>
      </w:r>
      <w:r w:rsidR="00E734C5" w:rsidRPr="00853032">
        <w:rPr>
          <w:lang w:val="sk-SK"/>
        </w:rPr>
        <w:t>Predklinické údaje o bezpečnosti</w:t>
      </w:r>
      <w:r w:rsidR="00E734C5" w:rsidRPr="00853032">
        <w:rPr>
          <w:b w:val="0"/>
        </w:rPr>
        <w:t xml:space="preserve"> </w:t>
      </w:r>
    </w:p>
    <w:p w14:paraId="7CC6A20A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6B434B00" w14:textId="07F07170" w:rsidR="003744E6" w:rsidRPr="00853032" w:rsidRDefault="00B7632E" w:rsidP="00853032">
      <w:pPr>
        <w:spacing w:after="0" w:line="240" w:lineRule="auto"/>
        <w:ind w:left="10"/>
        <w:jc w:val="both"/>
      </w:pPr>
      <w:r>
        <w:t>Pred</w:t>
      </w:r>
      <w:r w:rsidRPr="00853032">
        <w:t xml:space="preserve">klinické </w:t>
      </w:r>
      <w:r w:rsidR="00E734C5" w:rsidRPr="00853032">
        <w:t>údaje získané na základe obvyklých farmakologických štúdií bezpečnosti, toxicity po opakovanom</w:t>
      </w:r>
      <w:r w:rsidR="00827D66" w:rsidRPr="00853032">
        <w:t xml:space="preserve"> podaní</w:t>
      </w:r>
      <w:r w:rsidR="00E734C5" w:rsidRPr="00853032">
        <w:t>, genotoxicity, karcinogénneho potenciálu a reprodukčnej toxic</w:t>
      </w:r>
      <w:r w:rsidR="00827D66" w:rsidRPr="00853032">
        <w:t xml:space="preserve">ity neodhalili žiadne osobitné </w:t>
      </w:r>
      <w:r w:rsidR="00E734C5" w:rsidRPr="00853032">
        <w:t>riziko pre ľudí.</w:t>
      </w:r>
    </w:p>
    <w:p w14:paraId="0FA11DA3" w14:textId="77777777" w:rsidR="003744E6" w:rsidRPr="00853032" w:rsidRDefault="00E734C5" w:rsidP="00853032">
      <w:pPr>
        <w:spacing w:after="0" w:line="240" w:lineRule="auto"/>
        <w:ind w:left="0" w:firstLine="0"/>
        <w:jc w:val="both"/>
      </w:pPr>
      <w:r w:rsidRPr="00853032">
        <w:t xml:space="preserve"> </w:t>
      </w:r>
    </w:p>
    <w:p w14:paraId="32FAB994" w14:textId="2E3C7A6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 xml:space="preserve">Štúdie na zvieratách preukázali znížený rast dojčených mláďat samíc, ktoré dostávali </w:t>
      </w:r>
      <w:r w:rsidR="00D70320" w:rsidRPr="00853032">
        <w:t>syst</w:t>
      </w:r>
      <w:r w:rsidR="00D70320">
        <w:t>é</w:t>
      </w:r>
      <w:r w:rsidR="00D70320" w:rsidRPr="00853032">
        <w:t>m</w:t>
      </w:r>
      <w:r w:rsidR="00D70320">
        <w:t>ov</w:t>
      </w:r>
      <w:r w:rsidR="00D70320" w:rsidRPr="00853032">
        <w:t xml:space="preserve">é </w:t>
      </w:r>
      <w:r w:rsidRPr="00853032">
        <w:t>dávky olopatadínu, značne presahujúce maximálnu hladinu odporúč</w:t>
      </w:r>
      <w:r w:rsidR="00057449" w:rsidRPr="00853032">
        <w:t xml:space="preserve">anú na očné použitie u človeka. </w:t>
      </w:r>
      <w:r w:rsidRPr="00853032">
        <w:t xml:space="preserve">Olopatadín bol zistený v mlieku dojčiacich potkanov po perorálnom podaní. </w:t>
      </w:r>
    </w:p>
    <w:p w14:paraId="57AE218E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4E4A26AB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0DBA3F0C" w14:textId="77777777" w:rsidR="003744E6" w:rsidRPr="00853032" w:rsidRDefault="00C75D00" w:rsidP="00504EAA">
      <w:pPr>
        <w:pStyle w:val="Nadpis1"/>
        <w:tabs>
          <w:tab w:val="center" w:pos="2355"/>
        </w:tabs>
        <w:spacing w:line="240" w:lineRule="auto"/>
        <w:ind w:left="0" w:firstLine="0"/>
        <w:jc w:val="both"/>
      </w:pPr>
      <w:r w:rsidRPr="00853032">
        <w:t>6.</w:t>
      </w:r>
      <w:r w:rsidR="00E734C5" w:rsidRPr="00853032">
        <w:tab/>
        <w:t xml:space="preserve">FARMACEUTICKÉ INFORMÁCIE </w:t>
      </w:r>
    </w:p>
    <w:p w14:paraId="3D11696E" w14:textId="77777777" w:rsidR="003744E6" w:rsidRPr="00853032" w:rsidRDefault="003744E6" w:rsidP="00504EAA">
      <w:pPr>
        <w:keepNext/>
        <w:spacing w:after="0" w:line="240" w:lineRule="auto"/>
        <w:ind w:left="0" w:firstLine="0"/>
        <w:jc w:val="both"/>
      </w:pPr>
    </w:p>
    <w:p w14:paraId="60067208" w14:textId="77777777" w:rsidR="003744E6" w:rsidRPr="00853032" w:rsidRDefault="00C75D00" w:rsidP="00504EAA">
      <w:pPr>
        <w:pStyle w:val="Nadpis2"/>
        <w:tabs>
          <w:tab w:val="center" w:pos="1815"/>
        </w:tabs>
        <w:spacing w:after="0" w:line="240" w:lineRule="auto"/>
        <w:ind w:left="0" w:firstLine="0"/>
        <w:jc w:val="both"/>
        <w:rPr>
          <w:lang w:val="sk-SK"/>
        </w:rPr>
      </w:pPr>
      <w:r w:rsidRPr="00853032">
        <w:rPr>
          <w:b/>
          <w:u w:val="none"/>
        </w:rPr>
        <w:t>6.1</w:t>
      </w:r>
      <w:r w:rsidR="00E734C5" w:rsidRPr="00853032">
        <w:rPr>
          <w:b/>
          <w:u w:val="none"/>
        </w:rPr>
        <w:tab/>
      </w:r>
      <w:r w:rsidR="00E734C5" w:rsidRPr="00853032">
        <w:rPr>
          <w:b/>
          <w:u w:val="none"/>
          <w:lang w:val="sk-SK"/>
        </w:rPr>
        <w:t>Zoznam pomocných látok</w:t>
      </w:r>
      <w:r w:rsidR="00E734C5" w:rsidRPr="00853032">
        <w:rPr>
          <w:u w:val="none"/>
          <w:lang w:val="sk-SK"/>
        </w:rPr>
        <w:t xml:space="preserve"> </w:t>
      </w:r>
    </w:p>
    <w:p w14:paraId="72518B46" w14:textId="77777777" w:rsidR="003744E6" w:rsidRPr="00853032" w:rsidRDefault="003744E6" w:rsidP="00504EAA">
      <w:pPr>
        <w:keepNext/>
        <w:spacing w:after="0" w:line="240" w:lineRule="auto"/>
        <w:ind w:left="0" w:firstLine="0"/>
        <w:jc w:val="both"/>
      </w:pPr>
    </w:p>
    <w:p w14:paraId="3D58EBA0" w14:textId="61309B68" w:rsidR="00057449" w:rsidRPr="00853032" w:rsidRDefault="00057449" w:rsidP="00853032">
      <w:pPr>
        <w:spacing w:after="0" w:line="240" w:lineRule="auto"/>
        <w:ind w:left="10"/>
        <w:jc w:val="both"/>
      </w:pPr>
      <w:r w:rsidRPr="00853032">
        <w:t xml:space="preserve">Benzalkóniumchlorid </w:t>
      </w:r>
    </w:p>
    <w:p w14:paraId="175421E2" w14:textId="77777777" w:rsidR="003744E6" w:rsidRPr="00853032" w:rsidRDefault="00057449" w:rsidP="00853032">
      <w:pPr>
        <w:spacing w:after="0" w:line="240" w:lineRule="auto"/>
        <w:ind w:left="10"/>
        <w:jc w:val="both"/>
      </w:pPr>
      <w:r w:rsidRPr="00853032">
        <w:t xml:space="preserve">Chlorid sodný </w:t>
      </w:r>
    </w:p>
    <w:p w14:paraId="11A49CE4" w14:textId="77777777" w:rsidR="00057449" w:rsidRPr="00853032" w:rsidRDefault="00083604" w:rsidP="00853032">
      <w:pPr>
        <w:spacing w:after="0" w:line="240" w:lineRule="auto"/>
        <w:ind w:left="10"/>
        <w:jc w:val="both"/>
      </w:pPr>
      <w:r>
        <w:t xml:space="preserve">Bezvodý </w:t>
      </w:r>
      <w:r w:rsidR="00D70320">
        <w:t>hydrogén</w:t>
      </w:r>
      <w:r>
        <w:t>fosforečnan</w:t>
      </w:r>
      <w:r w:rsidR="00057449" w:rsidRPr="00853032">
        <w:t xml:space="preserve"> sodn</w:t>
      </w:r>
      <w:r>
        <w:t>ý</w:t>
      </w:r>
      <w:r w:rsidR="00057449" w:rsidRPr="00853032">
        <w:t xml:space="preserve"> (E339)</w:t>
      </w:r>
    </w:p>
    <w:p w14:paraId="73239CBC" w14:textId="77777777" w:rsidR="00097398" w:rsidRPr="00853032" w:rsidRDefault="00083604" w:rsidP="00853032">
      <w:pPr>
        <w:spacing w:after="0" w:line="240" w:lineRule="auto"/>
        <w:ind w:left="10"/>
        <w:jc w:val="both"/>
      </w:pPr>
      <w:r>
        <w:t>K</w:t>
      </w:r>
      <w:r w:rsidR="00E734C5" w:rsidRPr="00853032">
        <w:t>yselina chloro</w:t>
      </w:r>
      <w:r w:rsidR="00097398" w:rsidRPr="00853032">
        <w:t>vodíková (E507) (na úpravu pH)</w:t>
      </w:r>
      <w:r>
        <w:t xml:space="preserve"> </w:t>
      </w:r>
      <w:r w:rsidRPr="00853032">
        <w:t>a/alebo</w:t>
      </w:r>
    </w:p>
    <w:p w14:paraId="3840C432" w14:textId="77777777" w:rsidR="00097398" w:rsidRPr="00853032" w:rsidRDefault="00083604" w:rsidP="00853032">
      <w:pPr>
        <w:spacing w:after="0" w:line="240" w:lineRule="auto"/>
        <w:ind w:left="10"/>
        <w:jc w:val="both"/>
      </w:pPr>
      <w:r>
        <w:t>H</w:t>
      </w:r>
      <w:r w:rsidR="00E734C5" w:rsidRPr="00853032">
        <w:t>ydrox</w:t>
      </w:r>
      <w:r w:rsidR="00097398" w:rsidRPr="00853032">
        <w:t>id sodný (E524) (na úpravu pH)</w:t>
      </w:r>
    </w:p>
    <w:p w14:paraId="27B37B39" w14:textId="77777777" w:rsidR="003744E6" w:rsidRPr="00853032" w:rsidRDefault="00083604" w:rsidP="00853032">
      <w:pPr>
        <w:spacing w:after="0" w:line="240" w:lineRule="auto"/>
        <w:ind w:left="10"/>
        <w:jc w:val="both"/>
      </w:pPr>
      <w:r>
        <w:t>V</w:t>
      </w:r>
      <w:r w:rsidR="00C43B36" w:rsidRPr="00853032">
        <w:t>oda na injekciu</w:t>
      </w:r>
      <w:r w:rsidR="00E734C5" w:rsidRPr="00853032">
        <w:t xml:space="preserve"> </w:t>
      </w:r>
    </w:p>
    <w:p w14:paraId="2B8AF101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0C4C8F27" w14:textId="77777777" w:rsidR="003744E6" w:rsidRPr="00853032" w:rsidRDefault="00C75D00" w:rsidP="00504EAA">
      <w:pPr>
        <w:keepNext/>
        <w:tabs>
          <w:tab w:val="center" w:pos="1338"/>
        </w:tabs>
        <w:spacing w:after="0" w:line="240" w:lineRule="auto"/>
        <w:ind w:left="0" w:firstLine="0"/>
        <w:jc w:val="both"/>
      </w:pPr>
      <w:r w:rsidRPr="00853032">
        <w:rPr>
          <w:b/>
        </w:rPr>
        <w:t>6.2</w:t>
      </w:r>
      <w:r w:rsidR="00E734C5" w:rsidRPr="00853032">
        <w:rPr>
          <w:b/>
        </w:rPr>
        <w:tab/>
        <w:t>Inkompatibility</w:t>
      </w:r>
      <w:r w:rsidR="00E734C5" w:rsidRPr="00853032">
        <w:t xml:space="preserve"> </w:t>
      </w:r>
    </w:p>
    <w:p w14:paraId="701C9233" w14:textId="77777777" w:rsidR="003744E6" w:rsidRPr="00853032" w:rsidRDefault="003744E6" w:rsidP="00504EAA">
      <w:pPr>
        <w:keepNext/>
        <w:spacing w:after="0" w:line="240" w:lineRule="auto"/>
        <w:ind w:left="0" w:firstLine="0"/>
        <w:jc w:val="both"/>
      </w:pPr>
    </w:p>
    <w:p w14:paraId="13218FDD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Nevykonali sa štúdie kompatibility, preto sa tento liek nesmie miešať s inými liekmi.</w:t>
      </w:r>
    </w:p>
    <w:p w14:paraId="0998C2F7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447C419E" w14:textId="77777777" w:rsidR="003744E6" w:rsidRPr="00853032" w:rsidRDefault="00057449" w:rsidP="00504EAA">
      <w:pPr>
        <w:keepNext/>
        <w:tabs>
          <w:tab w:val="left" w:pos="567"/>
        </w:tabs>
        <w:spacing w:after="0" w:line="240" w:lineRule="auto"/>
        <w:ind w:left="10"/>
        <w:jc w:val="both"/>
      </w:pPr>
      <w:r w:rsidRPr="00853032">
        <w:rPr>
          <w:b/>
        </w:rPr>
        <w:t>6.3</w:t>
      </w:r>
      <w:r w:rsidRPr="00853032">
        <w:rPr>
          <w:b/>
        </w:rPr>
        <w:tab/>
      </w:r>
      <w:r w:rsidR="00E734C5" w:rsidRPr="00853032">
        <w:rPr>
          <w:b/>
        </w:rPr>
        <w:t>Čas použiteľnosti</w:t>
      </w:r>
    </w:p>
    <w:p w14:paraId="6DEE139A" w14:textId="77777777" w:rsidR="003744E6" w:rsidRPr="00853032" w:rsidRDefault="003744E6" w:rsidP="00504EAA">
      <w:pPr>
        <w:keepNext/>
        <w:spacing w:after="0" w:line="240" w:lineRule="auto"/>
        <w:ind w:left="0" w:firstLine="0"/>
        <w:jc w:val="both"/>
      </w:pPr>
    </w:p>
    <w:p w14:paraId="6172E68A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3 roky</w:t>
      </w:r>
    </w:p>
    <w:p w14:paraId="1003360B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Spotrebovať do štyroch týždňov po prvom otvorení.</w:t>
      </w:r>
      <w:r w:rsidR="0036759D" w:rsidRPr="00853032">
        <w:t xml:space="preserve"> </w:t>
      </w:r>
    </w:p>
    <w:p w14:paraId="663D0BC7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4EF9AB95" w14:textId="77777777" w:rsidR="003744E6" w:rsidRPr="00853032" w:rsidRDefault="00C75D00" w:rsidP="00504EAA">
      <w:pPr>
        <w:keepNext/>
        <w:tabs>
          <w:tab w:val="center" w:pos="2444"/>
        </w:tabs>
        <w:spacing w:after="0" w:line="240" w:lineRule="auto"/>
        <w:ind w:left="0" w:firstLine="0"/>
        <w:jc w:val="both"/>
      </w:pPr>
      <w:r w:rsidRPr="00853032">
        <w:rPr>
          <w:b/>
        </w:rPr>
        <w:t>6.4</w:t>
      </w:r>
      <w:r w:rsidR="00E734C5" w:rsidRPr="00853032">
        <w:rPr>
          <w:b/>
        </w:rPr>
        <w:tab/>
        <w:t xml:space="preserve"> Špeciálne upozornenia na uchovávanie</w:t>
      </w:r>
      <w:r w:rsidR="00E734C5" w:rsidRPr="00853032">
        <w:t xml:space="preserve"> </w:t>
      </w:r>
    </w:p>
    <w:p w14:paraId="5B38483F" w14:textId="77777777" w:rsidR="003744E6" w:rsidRPr="00853032" w:rsidRDefault="003744E6" w:rsidP="00504EAA">
      <w:pPr>
        <w:keepNext/>
        <w:spacing w:after="0" w:line="240" w:lineRule="auto"/>
        <w:ind w:left="0" w:firstLine="0"/>
        <w:jc w:val="both"/>
      </w:pPr>
    </w:p>
    <w:p w14:paraId="19387FEA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Tento liek nevyžaduje žiadne špeciálne podmienky na uchovávanie.</w:t>
      </w:r>
    </w:p>
    <w:p w14:paraId="2790047C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5B08BFAB" w14:textId="77777777" w:rsidR="003744E6" w:rsidRPr="00853032" w:rsidRDefault="00C75D00" w:rsidP="00504EAA">
      <w:pPr>
        <w:pStyle w:val="Nadpis3"/>
        <w:tabs>
          <w:tab w:val="center" w:pos="1895"/>
        </w:tabs>
        <w:spacing w:after="0" w:line="240" w:lineRule="auto"/>
        <w:ind w:left="0" w:firstLine="0"/>
        <w:jc w:val="both"/>
        <w:rPr>
          <w:lang w:val="sk-SK"/>
        </w:rPr>
      </w:pPr>
      <w:r w:rsidRPr="00853032">
        <w:t>6.5</w:t>
      </w:r>
      <w:r w:rsidR="00E734C5" w:rsidRPr="00853032">
        <w:tab/>
      </w:r>
      <w:r w:rsidR="00E734C5" w:rsidRPr="00853032">
        <w:rPr>
          <w:lang w:val="sk-SK"/>
        </w:rPr>
        <w:t xml:space="preserve">Druh obalu a obsah balenia </w:t>
      </w:r>
    </w:p>
    <w:p w14:paraId="79ADECEB" w14:textId="77777777" w:rsidR="003744E6" w:rsidRPr="00853032" w:rsidRDefault="003744E6" w:rsidP="00504EAA">
      <w:pPr>
        <w:keepNext/>
        <w:spacing w:after="0" w:line="240" w:lineRule="auto"/>
        <w:ind w:left="0" w:firstLine="0"/>
        <w:jc w:val="both"/>
      </w:pPr>
    </w:p>
    <w:p w14:paraId="2066DF7F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 xml:space="preserve">5 ml </w:t>
      </w:r>
      <w:r w:rsidR="00C75D00" w:rsidRPr="00853032">
        <w:t xml:space="preserve">biele fľaštičky </w:t>
      </w:r>
      <w:r w:rsidRPr="00853032">
        <w:t xml:space="preserve">z </w:t>
      </w:r>
      <w:r w:rsidR="00B841B4" w:rsidRPr="00853032">
        <w:t>LDPE</w:t>
      </w:r>
      <w:r w:rsidRPr="00853032">
        <w:t>, s</w:t>
      </w:r>
      <w:r w:rsidR="00E72BF1" w:rsidRPr="00853032">
        <w:t xml:space="preserve"> priehľadnou </w:t>
      </w:r>
      <w:r w:rsidR="00C75D00" w:rsidRPr="00853032">
        <w:t xml:space="preserve">LDPE </w:t>
      </w:r>
      <w:r w:rsidR="00E72BF1" w:rsidRPr="00853032">
        <w:t xml:space="preserve">dýzou </w:t>
      </w:r>
      <w:r w:rsidR="00C75D00" w:rsidRPr="00853032">
        <w:t xml:space="preserve">a s bielym </w:t>
      </w:r>
      <w:r w:rsidR="00B841B4" w:rsidRPr="00853032">
        <w:t xml:space="preserve">skrutkovacím </w:t>
      </w:r>
      <w:r w:rsidR="00C75D00" w:rsidRPr="00853032">
        <w:t>HDPE uzáverom s poistným systémom.</w:t>
      </w:r>
    </w:p>
    <w:p w14:paraId="2598C2CF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70765776" w14:textId="77777777" w:rsidR="00C75D00" w:rsidRPr="00853032" w:rsidRDefault="00C75D00" w:rsidP="00853032">
      <w:pPr>
        <w:spacing w:after="0" w:line="240" w:lineRule="auto"/>
        <w:ind w:left="10"/>
        <w:jc w:val="both"/>
      </w:pPr>
      <w:r w:rsidRPr="00853032">
        <w:t>Každá fľaštička obsahuje 5 ml lieku Olopatadine Warren 1 mg/ml očná roztoková instilácia</w:t>
      </w:r>
      <w:r w:rsidR="00083604">
        <w:t>.</w:t>
      </w:r>
    </w:p>
    <w:p w14:paraId="07064906" w14:textId="77777777" w:rsidR="00C75D00" w:rsidRPr="00853032" w:rsidRDefault="00C75D00" w:rsidP="00853032">
      <w:pPr>
        <w:spacing w:after="0" w:line="240" w:lineRule="auto"/>
        <w:ind w:left="10"/>
        <w:jc w:val="both"/>
      </w:pPr>
    </w:p>
    <w:p w14:paraId="172C2819" w14:textId="77777777" w:rsidR="00C75D00" w:rsidRPr="00853032" w:rsidRDefault="00C75D00" w:rsidP="00853032">
      <w:pPr>
        <w:spacing w:after="0" w:line="240" w:lineRule="auto"/>
        <w:ind w:left="10"/>
        <w:jc w:val="both"/>
      </w:pPr>
      <w:r w:rsidRPr="00853032">
        <w:t>Veľkosti b</w:t>
      </w:r>
      <w:r w:rsidR="00E734C5" w:rsidRPr="00853032">
        <w:t>alenia</w:t>
      </w:r>
      <w:r w:rsidRPr="00853032">
        <w:t>:</w:t>
      </w:r>
      <w:r w:rsidR="00E734C5" w:rsidRPr="00853032">
        <w:t xml:space="preserve"> </w:t>
      </w:r>
      <w:r w:rsidRPr="00853032">
        <w:tab/>
        <w:t>1 fľaštička x 5ml</w:t>
      </w:r>
    </w:p>
    <w:p w14:paraId="140B1469" w14:textId="77777777" w:rsidR="00B81ACA" w:rsidRPr="00853032" w:rsidRDefault="0036759D" w:rsidP="00853032">
      <w:pPr>
        <w:spacing w:after="0" w:line="240" w:lineRule="auto"/>
        <w:ind w:left="10"/>
        <w:jc w:val="both"/>
      </w:pPr>
      <w:r w:rsidRPr="00853032">
        <w:tab/>
      </w:r>
      <w:r w:rsidR="00C75D00" w:rsidRPr="00853032">
        <w:tab/>
      </w:r>
      <w:r w:rsidR="00C75D00" w:rsidRPr="00853032">
        <w:tab/>
      </w:r>
      <w:r w:rsidR="00C75D00" w:rsidRPr="00853032">
        <w:tab/>
        <w:t>3 fľaštičky x 5m</w:t>
      </w:r>
    </w:p>
    <w:p w14:paraId="081AC502" w14:textId="77777777" w:rsidR="00C75D00" w:rsidRPr="00853032" w:rsidRDefault="00C75D00" w:rsidP="00853032">
      <w:pPr>
        <w:spacing w:after="0" w:line="240" w:lineRule="auto"/>
        <w:ind w:left="10"/>
        <w:jc w:val="both"/>
      </w:pPr>
    </w:p>
    <w:p w14:paraId="06048E6F" w14:textId="77777777" w:rsidR="003744E6" w:rsidRPr="00853032" w:rsidRDefault="00E734C5" w:rsidP="00853032">
      <w:pPr>
        <w:spacing w:after="0" w:line="240" w:lineRule="auto"/>
        <w:ind w:left="10"/>
        <w:jc w:val="both"/>
      </w:pPr>
      <w:r w:rsidRPr="00853032">
        <w:t>Na trh nemusia byť uvedené všetky veľkosti balenia.</w:t>
      </w:r>
    </w:p>
    <w:p w14:paraId="77D8EE58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583CA4BF" w14:textId="77777777" w:rsidR="003744E6" w:rsidRPr="00853032" w:rsidRDefault="00B81ACA" w:rsidP="00853032">
      <w:pPr>
        <w:tabs>
          <w:tab w:val="center" w:pos="2188"/>
        </w:tabs>
        <w:spacing w:after="0" w:line="240" w:lineRule="auto"/>
        <w:ind w:left="0" w:firstLine="0"/>
        <w:jc w:val="both"/>
      </w:pPr>
      <w:r w:rsidRPr="00853032">
        <w:rPr>
          <w:b/>
        </w:rPr>
        <w:t>6.6</w:t>
      </w:r>
      <w:r w:rsidRPr="00853032">
        <w:rPr>
          <w:b/>
        </w:rPr>
        <w:tab/>
      </w:r>
      <w:r w:rsidR="00E734C5" w:rsidRPr="00853032">
        <w:rPr>
          <w:b/>
        </w:rPr>
        <w:t>Špeciálne opatrenia na likvidáciu</w:t>
      </w:r>
    </w:p>
    <w:p w14:paraId="29891A1D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0BBBA580" w14:textId="77777777" w:rsidR="003744E6" w:rsidRPr="00853032" w:rsidRDefault="00B81ACA" w:rsidP="00853032">
      <w:pPr>
        <w:spacing w:after="0" w:line="240" w:lineRule="auto"/>
        <w:ind w:left="0" w:firstLine="0"/>
        <w:jc w:val="both"/>
      </w:pPr>
      <w:r w:rsidRPr="00853032">
        <w:t>Všetok nepoužitý liek alebo odpad vzniknutý z lieku sa má zlikvidovať v súlade s národnými požiadavkami.</w:t>
      </w:r>
    </w:p>
    <w:p w14:paraId="38C8E69C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0E43B09D" w14:textId="77777777" w:rsidR="003744E6" w:rsidRPr="00853032" w:rsidRDefault="00B81ACA" w:rsidP="00853032">
      <w:pPr>
        <w:pStyle w:val="Nadpis1"/>
        <w:tabs>
          <w:tab w:val="center" w:pos="2844"/>
        </w:tabs>
        <w:spacing w:line="240" w:lineRule="auto"/>
        <w:ind w:left="0" w:firstLine="0"/>
        <w:jc w:val="both"/>
      </w:pPr>
      <w:r w:rsidRPr="00853032">
        <w:t>7.</w:t>
      </w:r>
      <w:r w:rsidR="00E734C5" w:rsidRPr="00853032">
        <w:tab/>
        <w:t>DRŽITEĽ ROZHODNUTIA O REGISTRÁCII</w:t>
      </w:r>
      <w:r w:rsidR="00E734C5" w:rsidRPr="00853032">
        <w:rPr>
          <w:b w:val="0"/>
        </w:rPr>
        <w:t xml:space="preserve"> </w:t>
      </w:r>
    </w:p>
    <w:p w14:paraId="55DB2484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5314BF9B" w14:textId="77777777" w:rsidR="00B81ACA" w:rsidRPr="00853032" w:rsidRDefault="00B81ACA" w:rsidP="00853032">
      <w:pPr>
        <w:pStyle w:val="Default"/>
        <w:jc w:val="both"/>
        <w:rPr>
          <w:sz w:val="22"/>
          <w:szCs w:val="22"/>
        </w:rPr>
      </w:pPr>
      <w:r w:rsidRPr="00853032">
        <w:rPr>
          <w:sz w:val="22"/>
          <w:szCs w:val="22"/>
        </w:rPr>
        <w:t>WARREN GENERICS s.r.o.</w:t>
      </w:r>
    </w:p>
    <w:p w14:paraId="5E078D7A" w14:textId="77777777" w:rsidR="00B81ACA" w:rsidRPr="00853032" w:rsidRDefault="00B81ACA" w:rsidP="00853032">
      <w:pPr>
        <w:pStyle w:val="Default"/>
        <w:tabs>
          <w:tab w:val="left" w:pos="5580"/>
        </w:tabs>
        <w:jc w:val="both"/>
        <w:rPr>
          <w:sz w:val="22"/>
          <w:szCs w:val="22"/>
        </w:rPr>
      </w:pPr>
      <w:r w:rsidRPr="00853032">
        <w:rPr>
          <w:sz w:val="22"/>
          <w:szCs w:val="22"/>
        </w:rPr>
        <w:t>U Staré tvrze 285/21</w:t>
      </w:r>
    </w:p>
    <w:p w14:paraId="62CB57F0" w14:textId="77777777" w:rsidR="00B81ACA" w:rsidRPr="00853032" w:rsidRDefault="00B81ACA" w:rsidP="00853032">
      <w:pPr>
        <w:pStyle w:val="Default"/>
        <w:jc w:val="both"/>
        <w:rPr>
          <w:sz w:val="22"/>
          <w:szCs w:val="22"/>
        </w:rPr>
      </w:pPr>
      <w:r w:rsidRPr="00853032">
        <w:rPr>
          <w:sz w:val="22"/>
          <w:szCs w:val="22"/>
        </w:rPr>
        <w:t>196 00 Praha 9</w:t>
      </w:r>
    </w:p>
    <w:p w14:paraId="2DF96B21" w14:textId="77777777" w:rsidR="003744E6" w:rsidRPr="00853032" w:rsidRDefault="00B81ACA" w:rsidP="00853032">
      <w:pPr>
        <w:spacing w:after="0" w:line="240" w:lineRule="auto"/>
        <w:ind w:left="0" w:firstLine="0"/>
        <w:jc w:val="both"/>
      </w:pPr>
      <w:r w:rsidRPr="00853032">
        <w:t>Česká republika</w:t>
      </w:r>
    </w:p>
    <w:p w14:paraId="548F9BC4" w14:textId="77777777" w:rsidR="003744E6" w:rsidRPr="00853032" w:rsidRDefault="003744E6" w:rsidP="00853032">
      <w:pPr>
        <w:spacing w:after="0" w:line="240" w:lineRule="auto"/>
        <w:ind w:left="0" w:firstLine="0"/>
        <w:jc w:val="both"/>
      </w:pPr>
    </w:p>
    <w:p w14:paraId="245792AF" w14:textId="77777777" w:rsidR="003744E6" w:rsidRDefault="00643E99" w:rsidP="00853032">
      <w:pPr>
        <w:tabs>
          <w:tab w:val="center" w:pos="1775"/>
        </w:tabs>
        <w:spacing w:after="0" w:line="240" w:lineRule="auto"/>
        <w:ind w:left="0" w:firstLine="0"/>
        <w:jc w:val="both"/>
        <w:rPr>
          <w:b/>
        </w:rPr>
      </w:pPr>
      <w:r w:rsidRPr="00853032">
        <w:rPr>
          <w:b/>
        </w:rPr>
        <w:t>8.</w:t>
      </w:r>
      <w:r w:rsidR="00E734C5" w:rsidRPr="00853032">
        <w:rPr>
          <w:b/>
        </w:rPr>
        <w:tab/>
        <w:t>REGISTRAČNÉ ČÍSLO</w:t>
      </w:r>
      <w:r w:rsidR="0036759D" w:rsidRPr="00853032">
        <w:rPr>
          <w:b/>
        </w:rPr>
        <w:t xml:space="preserve"> </w:t>
      </w:r>
    </w:p>
    <w:p w14:paraId="4EA30D4E" w14:textId="77777777" w:rsidR="00355C25" w:rsidRPr="00853032" w:rsidRDefault="00355C25" w:rsidP="00853032">
      <w:pPr>
        <w:tabs>
          <w:tab w:val="center" w:pos="1775"/>
        </w:tabs>
        <w:spacing w:after="0" w:line="240" w:lineRule="auto"/>
        <w:ind w:left="0" w:firstLine="0"/>
        <w:jc w:val="both"/>
      </w:pPr>
    </w:p>
    <w:p w14:paraId="604238FC" w14:textId="77777777" w:rsidR="003744E6" w:rsidRPr="00853032" w:rsidRDefault="002D097C" w:rsidP="00853032">
      <w:pPr>
        <w:spacing w:after="0" w:line="240" w:lineRule="auto"/>
        <w:ind w:left="0" w:firstLine="0"/>
        <w:jc w:val="both"/>
      </w:pPr>
      <w:r w:rsidRPr="002D097C">
        <w:t>64/0178/16-S</w:t>
      </w:r>
    </w:p>
    <w:p w14:paraId="6790F89B" w14:textId="77777777" w:rsidR="00B81ACA" w:rsidRPr="00853032" w:rsidRDefault="00B81ACA" w:rsidP="00853032">
      <w:pPr>
        <w:spacing w:after="0" w:line="240" w:lineRule="auto"/>
        <w:ind w:left="0" w:firstLine="0"/>
        <w:jc w:val="both"/>
      </w:pPr>
    </w:p>
    <w:p w14:paraId="3F9E4313" w14:textId="77777777" w:rsidR="003744E6" w:rsidRDefault="00E734C5" w:rsidP="00853032">
      <w:pPr>
        <w:pStyle w:val="Nadpis1"/>
        <w:tabs>
          <w:tab w:val="center" w:pos="3742"/>
        </w:tabs>
        <w:spacing w:line="240" w:lineRule="auto"/>
        <w:ind w:left="0" w:firstLine="0"/>
        <w:jc w:val="both"/>
      </w:pPr>
      <w:r w:rsidRPr="00853032">
        <w:t>9</w:t>
      </w:r>
      <w:r w:rsidR="00B81ACA" w:rsidRPr="00853032">
        <w:t>.</w:t>
      </w:r>
      <w:r w:rsidRPr="00853032">
        <w:tab/>
        <w:t>DÁTUM PRVEJ REGISTRÁCIE/PREDĹŽENIA REGISTRÁCIE</w:t>
      </w:r>
    </w:p>
    <w:p w14:paraId="358017E7" w14:textId="77777777" w:rsidR="00355C25" w:rsidRPr="00EC623A" w:rsidRDefault="00355C25" w:rsidP="00EC623A"/>
    <w:p w14:paraId="434BA664" w14:textId="20C6C464" w:rsidR="00355C25" w:rsidRPr="00853032" w:rsidRDefault="00101942" w:rsidP="00853032">
      <w:pPr>
        <w:spacing w:after="0" w:line="240" w:lineRule="auto"/>
        <w:ind w:left="0" w:firstLine="0"/>
        <w:jc w:val="both"/>
      </w:pPr>
      <w:r w:rsidRPr="00101942">
        <w:t xml:space="preserve">Dátum prvej registrácie: </w:t>
      </w:r>
    </w:p>
    <w:p w14:paraId="483B12A2" w14:textId="77777777" w:rsidR="00643E99" w:rsidRPr="00853032" w:rsidRDefault="00643E99" w:rsidP="00853032">
      <w:pPr>
        <w:spacing w:after="0" w:line="240" w:lineRule="auto"/>
        <w:ind w:left="0" w:firstLine="0"/>
        <w:jc w:val="both"/>
      </w:pPr>
    </w:p>
    <w:p w14:paraId="1D46B58F" w14:textId="77777777" w:rsidR="00C05950" w:rsidRPr="00853032" w:rsidRDefault="00C05950" w:rsidP="00853032">
      <w:pPr>
        <w:pStyle w:val="Nadpis1"/>
        <w:spacing w:line="240" w:lineRule="auto"/>
        <w:ind w:left="0" w:firstLine="0"/>
        <w:jc w:val="both"/>
      </w:pPr>
      <w:r w:rsidRPr="00853032">
        <w:t>10.</w:t>
      </w:r>
      <w:r w:rsidRPr="00853032">
        <w:tab/>
        <w:t>DÁTUM REVÍZIE TEXTU</w:t>
      </w:r>
    </w:p>
    <w:p w14:paraId="3CAFE739" w14:textId="77777777" w:rsidR="00806336" w:rsidRPr="00853032" w:rsidRDefault="00806336" w:rsidP="00853032">
      <w:pPr>
        <w:spacing w:after="0" w:line="240" w:lineRule="auto"/>
        <w:ind w:left="10"/>
        <w:jc w:val="both"/>
      </w:pPr>
    </w:p>
    <w:p w14:paraId="434638FE" w14:textId="77777777" w:rsidR="00806336" w:rsidRPr="00853032" w:rsidRDefault="002D097C" w:rsidP="00853032">
      <w:pPr>
        <w:spacing w:after="0" w:line="240" w:lineRule="auto"/>
        <w:ind w:left="10"/>
        <w:jc w:val="both"/>
      </w:pPr>
      <w:r>
        <w:t>Apríl 2016</w:t>
      </w:r>
    </w:p>
    <w:sectPr w:rsidR="00806336" w:rsidRPr="00853032" w:rsidSect="00EC623A">
      <w:footerReference w:type="default" r:id="rId8"/>
      <w:headerReference w:type="first" r:id="rId9"/>
      <w:footerReference w:type="first" r:id="rId10"/>
      <w:pgSz w:w="11900" w:h="16840" w:code="9"/>
      <w:pgMar w:top="1418" w:right="1418" w:bottom="1418" w:left="1418" w:header="743" w:footer="74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D8ABF" w14:textId="77777777" w:rsidR="00713366" w:rsidRDefault="00713366">
      <w:pPr>
        <w:spacing w:after="0" w:line="240" w:lineRule="auto"/>
      </w:pPr>
      <w:r>
        <w:separator/>
      </w:r>
    </w:p>
  </w:endnote>
  <w:endnote w:type="continuationSeparator" w:id="0">
    <w:p w14:paraId="2404BFFD" w14:textId="77777777" w:rsidR="00713366" w:rsidRDefault="0071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A090F" w14:textId="737EA8C1" w:rsidR="00504EAA" w:rsidRDefault="00EB27D2" w:rsidP="00504EAA">
    <w:pPr>
      <w:pStyle w:val="Zpat"/>
      <w:jc w:val="center"/>
    </w:pPr>
    <w:r>
      <w:fldChar w:fldCharType="begin"/>
    </w:r>
    <w:r w:rsidR="00504EAA">
      <w:instrText xml:space="preserve"> PAGE   \* MERGEFORMAT </w:instrText>
    </w:r>
    <w:r>
      <w:fldChar w:fldCharType="separate"/>
    </w:r>
    <w:r w:rsidR="00EC623A">
      <w:rPr>
        <w:noProof/>
      </w:rPr>
      <w:t>3</w:t>
    </w:r>
    <w:r>
      <w:fldChar w:fldCharType="end"/>
    </w:r>
    <w:r w:rsidR="00504EAA">
      <w:t>/</w:t>
    </w:r>
    <w:fldSimple w:instr=" NUMPAGES   \* MERGEFORMAT ">
      <w:r w:rsidR="00EC623A">
        <w:rPr>
          <w:noProof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44037" w14:textId="77777777" w:rsidR="00097398" w:rsidRDefault="00097398" w:rsidP="00097398">
    <w:pPr>
      <w:pStyle w:val="Zp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391B2" w14:textId="77777777" w:rsidR="00713366" w:rsidRDefault="00713366">
      <w:pPr>
        <w:spacing w:after="0" w:line="240" w:lineRule="auto"/>
      </w:pPr>
      <w:r>
        <w:separator/>
      </w:r>
    </w:p>
  </w:footnote>
  <w:footnote w:type="continuationSeparator" w:id="0">
    <w:p w14:paraId="64D0E890" w14:textId="77777777" w:rsidR="00713366" w:rsidRDefault="0071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A234D" w14:textId="77777777" w:rsidR="00AB2132" w:rsidRPr="00D654B1" w:rsidRDefault="00AB2132" w:rsidP="00AB2132">
    <w:pPr>
      <w:pStyle w:val="Zhlav"/>
      <w:rPr>
        <w:sz w:val="18"/>
        <w:szCs w:val="18"/>
      </w:rPr>
    </w:pPr>
    <w:r w:rsidRPr="00D654B1">
      <w:rPr>
        <w:sz w:val="18"/>
        <w:szCs w:val="18"/>
      </w:rPr>
      <w:t>Schválený text k rozhodnutiu o registrácii, ev. č.: 2014/05081-REG</w:t>
    </w:r>
  </w:p>
  <w:p w14:paraId="35993377" w14:textId="77777777" w:rsidR="00A175AD" w:rsidRPr="00A175AD" w:rsidRDefault="00A175AD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7E0C"/>
    <w:multiLevelType w:val="hybridMultilevel"/>
    <w:tmpl w:val="B4D01F8A"/>
    <w:lvl w:ilvl="0" w:tplc="4BCC28FC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2E6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4C8B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253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A86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E04E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61F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D6BF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0CB6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1656CA"/>
    <w:multiLevelType w:val="hybridMultilevel"/>
    <w:tmpl w:val="77CA1864"/>
    <w:lvl w:ilvl="0" w:tplc="03A649F6">
      <w:start w:val="1"/>
      <w:numFmt w:val="bullet"/>
      <w:lvlText w:val="-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82CC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EE6E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16051A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76EC4C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6776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0600E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089E1A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107C62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D7287D"/>
    <w:multiLevelType w:val="hybridMultilevel"/>
    <w:tmpl w:val="0458FB14"/>
    <w:lvl w:ilvl="0" w:tplc="C9B6D7BC">
      <w:start w:val="1"/>
      <w:numFmt w:val="decimal"/>
      <w:lvlText w:val="%1."/>
      <w:lvlJc w:val="left"/>
      <w:pPr>
        <w:ind w:left="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6E494E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648DE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0A278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7ABB4A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6EFF8A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06F018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E66346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282F6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847A08"/>
    <w:multiLevelType w:val="hybridMultilevel"/>
    <w:tmpl w:val="BEBA8ED8"/>
    <w:lvl w:ilvl="0" w:tplc="674C3490">
      <w:start w:val="1"/>
      <w:numFmt w:val="bullet"/>
      <w:lvlText w:val="•"/>
      <w:lvlJc w:val="left"/>
      <w:pPr>
        <w:ind w:left="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1ADD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E5C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C229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DAA7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EAF7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44D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8C6E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20E7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E21EC0"/>
    <w:multiLevelType w:val="hybridMultilevel"/>
    <w:tmpl w:val="D42C3680"/>
    <w:lvl w:ilvl="0" w:tplc="4A948AFA">
      <w:start w:val="1"/>
      <w:numFmt w:val="bullet"/>
      <w:lvlText w:val="•"/>
      <w:lvlJc w:val="left"/>
      <w:pPr>
        <w:ind w:left="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6EF3C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4C2CE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41C4C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4140E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CAEC96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9E1382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C26B4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4A21F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2C02DF"/>
    <w:multiLevelType w:val="hybridMultilevel"/>
    <w:tmpl w:val="C8805FA4"/>
    <w:lvl w:ilvl="0" w:tplc="9954CB08">
      <w:start w:val="1"/>
      <w:numFmt w:val="bullet"/>
      <w:lvlText w:val=""/>
      <w:lvlJc w:val="left"/>
      <w:pPr>
        <w:ind w:left="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CB11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82B3B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2380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D87EA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745FE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FC7A1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A471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30BC1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F34A71"/>
    <w:multiLevelType w:val="hybridMultilevel"/>
    <w:tmpl w:val="294E1D58"/>
    <w:lvl w:ilvl="0" w:tplc="1C2C34A6">
      <w:start w:val="1"/>
      <w:numFmt w:val="upperLetter"/>
      <w:lvlText w:val="%1."/>
      <w:lvlJc w:val="left"/>
      <w:pPr>
        <w:ind w:left="17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C0674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2AD1C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E142E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AE442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CEADA0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CA5436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2A498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A0C12A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44E6"/>
    <w:rsid w:val="00057449"/>
    <w:rsid w:val="0006295C"/>
    <w:rsid w:val="00083604"/>
    <w:rsid w:val="00097398"/>
    <w:rsid w:val="000B5936"/>
    <w:rsid w:val="000E79F4"/>
    <w:rsid w:val="00100F6D"/>
    <w:rsid w:val="00101942"/>
    <w:rsid w:val="00107ECD"/>
    <w:rsid w:val="001119D6"/>
    <w:rsid w:val="00184AD0"/>
    <w:rsid w:val="001A486D"/>
    <w:rsid w:val="002D097C"/>
    <w:rsid w:val="002F4E46"/>
    <w:rsid w:val="00355C25"/>
    <w:rsid w:val="00356256"/>
    <w:rsid w:val="0036759D"/>
    <w:rsid w:val="003744E6"/>
    <w:rsid w:val="003A077F"/>
    <w:rsid w:val="003B0BCF"/>
    <w:rsid w:val="003E1366"/>
    <w:rsid w:val="00487694"/>
    <w:rsid w:val="00504EAA"/>
    <w:rsid w:val="00643E99"/>
    <w:rsid w:val="00687A8F"/>
    <w:rsid w:val="006B6A2A"/>
    <w:rsid w:val="00713366"/>
    <w:rsid w:val="007700A7"/>
    <w:rsid w:val="007C0519"/>
    <w:rsid w:val="00806336"/>
    <w:rsid w:val="00827D66"/>
    <w:rsid w:val="00853032"/>
    <w:rsid w:val="009335B6"/>
    <w:rsid w:val="009677C3"/>
    <w:rsid w:val="00996835"/>
    <w:rsid w:val="009E2D29"/>
    <w:rsid w:val="00A175AD"/>
    <w:rsid w:val="00AB2132"/>
    <w:rsid w:val="00B7632E"/>
    <w:rsid w:val="00B81ACA"/>
    <w:rsid w:val="00B841B4"/>
    <w:rsid w:val="00BE21FF"/>
    <w:rsid w:val="00C05950"/>
    <w:rsid w:val="00C36AAC"/>
    <w:rsid w:val="00C43B36"/>
    <w:rsid w:val="00C75D00"/>
    <w:rsid w:val="00CF433F"/>
    <w:rsid w:val="00D11A12"/>
    <w:rsid w:val="00D654B1"/>
    <w:rsid w:val="00D67AEE"/>
    <w:rsid w:val="00D70320"/>
    <w:rsid w:val="00E72BF1"/>
    <w:rsid w:val="00E734C5"/>
    <w:rsid w:val="00EB27D2"/>
    <w:rsid w:val="00EC623A"/>
    <w:rsid w:val="00EC6B50"/>
    <w:rsid w:val="00EE212C"/>
    <w:rsid w:val="00F0742B"/>
    <w:rsid w:val="00F77A52"/>
    <w:rsid w:val="00F85602"/>
    <w:rsid w:val="00F971C9"/>
    <w:rsid w:val="00FB0BDE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294A9960"/>
  <w15:docId w15:val="{BF6942AD-01E9-40D9-B011-12FE2044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2F4E46"/>
    <w:pPr>
      <w:spacing w:after="5" w:line="248" w:lineRule="auto"/>
      <w:ind w:left="41" w:hanging="10"/>
    </w:pPr>
    <w:rPr>
      <w:rFonts w:ascii="Times New Roman" w:eastAsia="Times New Roman" w:hAnsi="Times New Roman" w:cs="Times New Roman"/>
      <w:color w:val="000000"/>
      <w:lang w:val="sk-SK"/>
    </w:rPr>
  </w:style>
  <w:style w:type="paragraph" w:styleId="Nadpis1">
    <w:name w:val="heading 1"/>
    <w:next w:val="Normln"/>
    <w:link w:val="Nadpis1Char"/>
    <w:uiPriority w:val="9"/>
    <w:unhideWhenUsed/>
    <w:qFormat/>
    <w:rsid w:val="002F4E46"/>
    <w:pPr>
      <w:keepNext/>
      <w:keepLines/>
      <w:spacing w:after="0"/>
      <w:ind w:left="4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rsid w:val="002F4E46"/>
    <w:pPr>
      <w:keepNext/>
      <w:keepLines/>
      <w:spacing w:after="3"/>
      <w:ind w:left="41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dpis3">
    <w:name w:val="heading 3"/>
    <w:next w:val="Normln"/>
    <w:link w:val="Nadpis3Char"/>
    <w:uiPriority w:val="9"/>
    <w:unhideWhenUsed/>
    <w:qFormat/>
    <w:rsid w:val="002F4E46"/>
    <w:pPr>
      <w:keepNext/>
      <w:keepLines/>
      <w:spacing w:after="5" w:line="248" w:lineRule="auto"/>
      <w:ind w:left="41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F4E46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1Char">
    <w:name w:val="Nadpis 1 Char"/>
    <w:link w:val="Nadpis1"/>
    <w:rsid w:val="002F4E46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3Char">
    <w:name w:val="Nadpis 3 Char"/>
    <w:link w:val="Nadpis3"/>
    <w:rsid w:val="002F4E46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2F4E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B5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936"/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Default">
    <w:name w:val="Default"/>
    <w:uiPriority w:val="99"/>
    <w:rsid w:val="00B81A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FB0BD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17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5AD"/>
    <w:rPr>
      <w:rFonts w:ascii="Times New Roman" w:eastAsia="Times New Roman" w:hAnsi="Times New Roman" w:cs="Times New Roman"/>
      <w:color w:val="000000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4B1"/>
    <w:rPr>
      <w:rFonts w:ascii="Tahoma" w:eastAsia="Times New Roman" w:hAnsi="Tahoma" w:cs="Tahoma"/>
      <w:color w:val="000000"/>
      <w:sz w:val="16"/>
      <w:szCs w:val="16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EE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21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212C"/>
    <w:rPr>
      <w:rFonts w:ascii="Times New Roman" w:eastAsia="Times New Roman" w:hAnsi="Times New Roman" w:cs="Times New Roman"/>
      <w:color w:val="000000"/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1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212C"/>
    <w:rPr>
      <w:rFonts w:ascii="Times New Roman" w:eastAsia="Times New Roman" w:hAnsi="Times New Roman" w:cs="Times New Roman"/>
      <w:b/>
      <w:bCs/>
      <w:color w:val="000000"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B0955-2353-4426-B34B-47CEDBA4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2028</Words>
  <Characters>11967</Characters>
  <Application>Microsoft Office Word</Application>
  <DocSecurity>0</DocSecurity>
  <Lines>99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7</cp:revision>
  <dcterms:created xsi:type="dcterms:W3CDTF">2016-03-21T08:03:00Z</dcterms:created>
  <dcterms:modified xsi:type="dcterms:W3CDTF">2016-03-23T08:32:00Z</dcterms:modified>
</cp:coreProperties>
</file>