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A4" w:rsidRPr="00AD6B0E" w:rsidRDefault="005A00A4" w:rsidP="004701E5">
      <w:pPr>
        <w:rPr>
          <w:sz w:val="18"/>
          <w:szCs w:val="18"/>
        </w:rPr>
      </w:pPr>
      <w:r w:rsidRPr="00AD6B0E">
        <w:rPr>
          <w:sz w:val="18"/>
          <w:szCs w:val="18"/>
        </w:rPr>
        <w:t xml:space="preserve">Schválený text k rozhodnutiu o registrácii, ev. č.: </w:t>
      </w:r>
      <w:r w:rsidR="00641EFF" w:rsidRPr="00AD6B0E">
        <w:rPr>
          <w:sz w:val="18"/>
          <w:szCs w:val="18"/>
        </w:rPr>
        <w:t>2015/00604-REG, 2015/00605-REG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b/>
          <w:bCs/>
          <w:caps/>
          <w:sz w:val="20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AD6B0E">
        <w:rPr>
          <w:b/>
          <w:caps/>
          <w:sz w:val="22"/>
          <w:szCs w:val="22"/>
        </w:rPr>
        <w:t>Súhrn charakteristických vlastností lieku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center"/>
        <w:rPr>
          <w:bCs/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A00A4" w:rsidRPr="00AD6B0E" w:rsidRDefault="005A00A4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Názov LIEKU</w:t>
      </w:r>
    </w:p>
    <w:p w:rsidR="005A00A4" w:rsidRPr="00AD6B0E" w:rsidRDefault="005A00A4" w:rsidP="004701E5">
      <w:pPr>
        <w:pStyle w:val="Product"/>
        <w:spacing w:after="0" w:line="240" w:lineRule="auto"/>
        <w:ind w:left="0"/>
        <w:jc w:val="both"/>
        <w:rPr>
          <w:sz w:val="22"/>
          <w:szCs w:val="22"/>
        </w:rPr>
      </w:pPr>
    </w:p>
    <w:p w:rsidR="00D06490" w:rsidRPr="00AD6B0E" w:rsidRDefault="00826FE1" w:rsidP="004701E5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proofErr w:type="spellStart"/>
      <w:r w:rsidRPr="00AD6B0E">
        <w:rPr>
          <w:b w:val="0"/>
          <w:sz w:val="22"/>
          <w:szCs w:val="22"/>
        </w:rPr>
        <w:t>Memantín</w:t>
      </w:r>
      <w:proofErr w:type="spellEnd"/>
      <w:r w:rsidRPr="00AD6B0E">
        <w:rPr>
          <w:b w:val="0"/>
          <w:sz w:val="22"/>
          <w:szCs w:val="22"/>
        </w:rPr>
        <w:t xml:space="preserve"> </w:t>
      </w:r>
      <w:proofErr w:type="spellStart"/>
      <w:r w:rsidRPr="00AD6B0E">
        <w:rPr>
          <w:b w:val="0"/>
          <w:sz w:val="22"/>
          <w:szCs w:val="22"/>
        </w:rPr>
        <w:t>Cipla</w:t>
      </w:r>
      <w:proofErr w:type="spellEnd"/>
      <w:r w:rsidRPr="00AD6B0E">
        <w:rPr>
          <w:b w:val="0"/>
          <w:sz w:val="22"/>
          <w:szCs w:val="22"/>
        </w:rPr>
        <w:t xml:space="preserve"> 10 mg filmom obalené tablety</w:t>
      </w:r>
    </w:p>
    <w:p w:rsidR="00826FE1" w:rsidRPr="00AD6B0E" w:rsidRDefault="00826FE1" w:rsidP="004701E5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proofErr w:type="spellStart"/>
      <w:r w:rsidRPr="00AD6B0E">
        <w:rPr>
          <w:b w:val="0"/>
          <w:sz w:val="22"/>
          <w:szCs w:val="22"/>
        </w:rPr>
        <w:t>Memantín</w:t>
      </w:r>
      <w:proofErr w:type="spellEnd"/>
      <w:r w:rsidRPr="00AD6B0E">
        <w:rPr>
          <w:b w:val="0"/>
          <w:sz w:val="22"/>
          <w:szCs w:val="22"/>
        </w:rPr>
        <w:t xml:space="preserve"> </w:t>
      </w:r>
      <w:proofErr w:type="spellStart"/>
      <w:r w:rsidRPr="00AD6B0E">
        <w:rPr>
          <w:b w:val="0"/>
          <w:sz w:val="22"/>
          <w:szCs w:val="22"/>
        </w:rPr>
        <w:t>Cipla</w:t>
      </w:r>
      <w:proofErr w:type="spellEnd"/>
      <w:r w:rsidRPr="00AD6B0E">
        <w:rPr>
          <w:b w:val="0"/>
          <w:sz w:val="22"/>
          <w:szCs w:val="22"/>
        </w:rPr>
        <w:t xml:space="preserve"> 20 mg filmom obalené tablety</w:t>
      </w:r>
    </w:p>
    <w:p w:rsidR="00B841C2" w:rsidRPr="00AD6B0E" w:rsidRDefault="00B841C2" w:rsidP="004701E5">
      <w:pPr>
        <w:pStyle w:val="Product"/>
        <w:spacing w:after="0" w:line="240" w:lineRule="auto"/>
        <w:ind w:left="0"/>
        <w:jc w:val="both"/>
        <w:rPr>
          <w:iCs/>
          <w:sz w:val="22"/>
          <w:szCs w:val="22"/>
        </w:rPr>
      </w:pPr>
    </w:p>
    <w:p w:rsidR="00641EFF" w:rsidRPr="00AD6B0E" w:rsidRDefault="00641EFF" w:rsidP="004701E5">
      <w:pPr>
        <w:pStyle w:val="Product"/>
        <w:spacing w:after="0" w:line="240" w:lineRule="auto"/>
        <w:ind w:left="0"/>
        <w:jc w:val="both"/>
        <w:rPr>
          <w:iCs/>
          <w:sz w:val="22"/>
          <w:szCs w:val="22"/>
        </w:rPr>
      </w:pPr>
    </w:p>
    <w:p w:rsidR="005A00A4" w:rsidRPr="00AD6B0E" w:rsidRDefault="005A00A4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7A1066" w:rsidRPr="00AD6B0E" w:rsidRDefault="00AA147B" w:rsidP="004701E5">
      <w:pPr>
        <w:pStyle w:val="Bodytext"/>
        <w:spacing w:after="0" w:line="240" w:lineRule="auto"/>
        <w:ind w:left="0"/>
        <w:rPr>
          <w:rFonts w:eastAsia="Calibri"/>
          <w:color w:val="000000"/>
          <w:sz w:val="22"/>
          <w:szCs w:val="22"/>
        </w:rPr>
      </w:pPr>
      <w:proofErr w:type="spellStart"/>
      <w:r w:rsidRPr="00AD6B0E">
        <w:rPr>
          <w:rFonts w:eastAsia="Calibri"/>
          <w:color w:val="000000"/>
          <w:sz w:val="22"/>
          <w:szCs w:val="22"/>
        </w:rPr>
        <w:t>Memantín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AD6B0E">
        <w:rPr>
          <w:rFonts w:eastAsia="Calibri"/>
          <w:color w:val="000000"/>
          <w:sz w:val="22"/>
          <w:szCs w:val="22"/>
        </w:rPr>
        <w:t>Cipla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10 mg filmom obalené tablety</w:t>
      </w:r>
    </w:p>
    <w:p w:rsidR="007A1066" w:rsidRPr="00AD6B0E" w:rsidRDefault="00AA147B" w:rsidP="004701E5">
      <w:pPr>
        <w:pStyle w:val="Bodytext"/>
        <w:spacing w:after="0" w:line="240" w:lineRule="auto"/>
        <w:ind w:left="0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 xml:space="preserve">Každá filmom obalená tableta obsahuje 10 mg </w:t>
      </w:r>
      <w:proofErr w:type="spellStart"/>
      <w:r w:rsidRPr="00AD6B0E">
        <w:rPr>
          <w:rFonts w:eastAsia="Calibri"/>
          <w:color w:val="000000"/>
          <w:sz w:val="22"/>
          <w:szCs w:val="22"/>
        </w:rPr>
        <w:t>memantíniumchloridu</w:t>
      </w:r>
      <w:proofErr w:type="spellEnd"/>
      <w:r w:rsidRPr="00AD6B0E">
        <w:rPr>
          <w:rFonts w:eastAsia="Calibri"/>
          <w:color w:val="000000"/>
          <w:sz w:val="22"/>
          <w:szCs w:val="22"/>
        </w:rPr>
        <w:t>, čo zodpovedá 8,31 mg</w:t>
      </w:r>
    </w:p>
    <w:p w:rsidR="007A1066" w:rsidRPr="00AD6B0E" w:rsidRDefault="00AA147B" w:rsidP="004701E5">
      <w:pPr>
        <w:pStyle w:val="Bodytext"/>
        <w:spacing w:after="0" w:line="240" w:lineRule="auto"/>
        <w:ind w:left="0"/>
        <w:rPr>
          <w:rFonts w:eastAsia="Calibri"/>
          <w:color w:val="000000"/>
          <w:sz w:val="22"/>
          <w:szCs w:val="22"/>
        </w:rPr>
      </w:pPr>
      <w:proofErr w:type="spellStart"/>
      <w:r w:rsidRPr="00AD6B0E">
        <w:rPr>
          <w:rFonts w:eastAsia="Calibri"/>
          <w:color w:val="000000"/>
          <w:sz w:val="22"/>
          <w:szCs w:val="22"/>
        </w:rPr>
        <w:t>memantínu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</w:t>
      </w:r>
    </w:p>
    <w:p w:rsidR="007A1066" w:rsidRPr="00AD6B0E" w:rsidRDefault="007A1066" w:rsidP="004701E5">
      <w:pPr>
        <w:pStyle w:val="Bodytext"/>
        <w:spacing w:after="0" w:line="240" w:lineRule="auto"/>
        <w:ind w:left="0"/>
        <w:rPr>
          <w:rFonts w:eastAsia="Calibri"/>
          <w:color w:val="000000"/>
          <w:sz w:val="22"/>
          <w:szCs w:val="22"/>
        </w:rPr>
      </w:pPr>
    </w:p>
    <w:p w:rsidR="007A1066" w:rsidRPr="00AD6B0E" w:rsidRDefault="00AA147B" w:rsidP="004701E5">
      <w:pPr>
        <w:pStyle w:val="Bodytext"/>
        <w:spacing w:after="0" w:line="240" w:lineRule="auto"/>
        <w:ind w:left="0"/>
        <w:rPr>
          <w:rFonts w:eastAsia="Calibri"/>
          <w:color w:val="000000"/>
          <w:sz w:val="22"/>
          <w:szCs w:val="22"/>
        </w:rPr>
      </w:pPr>
      <w:proofErr w:type="spellStart"/>
      <w:r w:rsidRPr="00AD6B0E">
        <w:rPr>
          <w:rFonts w:eastAsia="Calibri"/>
          <w:color w:val="000000"/>
          <w:sz w:val="22"/>
          <w:szCs w:val="22"/>
        </w:rPr>
        <w:t>Memantín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AD6B0E">
        <w:rPr>
          <w:rFonts w:eastAsia="Calibri"/>
          <w:color w:val="000000"/>
          <w:sz w:val="22"/>
          <w:szCs w:val="22"/>
        </w:rPr>
        <w:t>Cipla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20 mg filmom obalené tablety</w:t>
      </w:r>
    </w:p>
    <w:p w:rsidR="007A1066" w:rsidRPr="00AD6B0E" w:rsidRDefault="007A1066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Každá filmom obalená tableta obsahuje 20 mg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memantíniumchloridu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 čo zodpovedá 16,62 mg</w:t>
      </w:r>
    </w:p>
    <w:p w:rsidR="007A1066" w:rsidRPr="00AD6B0E" w:rsidRDefault="007A1066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="00AA147B" w:rsidRPr="00AD6B0E">
        <w:rPr>
          <w:rFonts w:eastAsia="Calibri"/>
          <w:color w:val="000000"/>
          <w:sz w:val="22"/>
          <w:szCs w:val="22"/>
        </w:rPr>
        <w:t xml:space="preserve">. </w:t>
      </w:r>
    </w:p>
    <w:p w:rsidR="00826FE1" w:rsidRPr="00AD6B0E" w:rsidRDefault="00826FE1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AD6B0E">
        <w:rPr>
          <w:sz w:val="22"/>
          <w:szCs w:val="22"/>
        </w:rPr>
        <w:t>Úplný zoznam pomocných látok, pozri časť 6.1.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Lieková forma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630A1D" w:rsidRPr="00AD6B0E" w:rsidRDefault="008B52A9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D6B0E">
        <w:rPr>
          <w:sz w:val="22"/>
          <w:szCs w:val="22"/>
        </w:rPr>
        <w:t>Filmom obalená tableta</w:t>
      </w:r>
    </w:p>
    <w:p w:rsidR="00B841C2" w:rsidRPr="00AD6B0E" w:rsidRDefault="00B841C2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  <w:u w:val="single"/>
        </w:rPr>
      </w:pPr>
      <w:proofErr w:type="spellStart"/>
      <w:r w:rsidRPr="00AD6B0E">
        <w:rPr>
          <w:rFonts w:eastAsia="Calibri"/>
          <w:color w:val="000000"/>
          <w:sz w:val="22"/>
          <w:szCs w:val="22"/>
          <w:u w:val="single"/>
        </w:rPr>
        <w:t>Memantín</w:t>
      </w:r>
      <w:proofErr w:type="spellEnd"/>
      <w:r w:rsidRPr="00AD6B0E">
        <w:rPr>
          <w:rFonts w:eastAsia="Calibri"/>
          <w:color w:val="000000"/>
          <w:sz w:val="22"/>
          <w:szCs w:val="22"/>
          <w:u w:val="single"/>
        </w:rPr>
        <w:t xml:space="preserve"> </w:t>
      </w:r>
      <w:proofErr w:type="spellStart"/>
      <w:r w:rsidRPr="00AD6B0E">
        <w:rPr>
          <w:rFonts w:eastAsia="Calibri"/>
          <w:color w:val="000000"/>
          <w:sz w:val="22"/>
          <w:szCs w:val="22"/>
          <w:u w:val="single"/>
        </w:rPr>
        <w:t>Cipla</w:t>
      </w:r>
      <w:proofErr w:type="spellEnd"/>
      <w:r w:rsidRPr="00AD6B0E">
        <w:rPr>
          <w:rFonts w:eastAsia="Calibri"/>
          <w:color w:val="000000"/>
          <w:sz w:val="22"/>
          <w:szCs w:val="22"/>
          <w:u w:val="single"/>
        </w:rPr>
        <w:t xml:space="preserve"> 10 mg filmom obalené tablety</w:t>
      </w: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Biele až takmer biele bikonvexné filmom obalené tablety oválneho tvaru so skosenými hranami, na jednej strane s vyrytým „10“ a na druhej strane s deliacou ryhou.</w:t>
      </w:r>
    </w:p>
    <w:p w:rsidR="002F796E" w:rsidRPr="00AD6B0E" w:rsidRDefault="002F796E" w:rsidP="004701E5">
      <w:pPr>
        <w:jc w:val="both"/>
        <w:rPr>
          <w:rFonts w:eastAsia="Calibri"/>
          <w:color w:val="000000"/>
          <w:sz w:val="22"/>
          <w:szCs w:val="22"/>
        </w:rPr>
      </w:pP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Dĺžka: 13,00mm ± 0,20mm</w:t>
      </w: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Hrúbka:  5,50mm ± 0,20mm</w:t>
      </w:r>
    </w:p>
    <w:p w:rsidR="002F796E" w:rsidRPr="00AD6B0E" w:rsidRDefault="002F796E" w:rsidP="004701E5">
      <w:pPr>
        <w:jc w:val="both"/>
        <w:rPr>
          <w:rFonts w:eastAsia="Calibri"/>
          <w:color w:val="000000"/>
          <w:sz w:val="22"/>
          <w:szCs w:val="22"/>
        </w:rPr>
      </w:pP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Tableta sa môže rozdeliť na rovnaké dávky.</w:t>
      </w:r>
    </w:p>
    <w:p w:rsidR="002F796E" w:rsidRPr="00AD6B0E" w:rsidRDefault="002F796E" w:rsidP="004701E5">
      <w:pPr>
        <w:jc w:val="both"/>
        <w:rPr>
          <w:rFonts w:eastAsia="Calibri"/>
          <w:color w:val="000000"/>
          <w:sz w:val="22"/>
          <w:szCs w:val="22"/>
        </w:rPr>
      </w:pP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  <w:u w:val="single"/>
        </w:rPr>
      </w:pPr>
      <w:proofErr w:type="spellStart"/>
      <w:r w:rsidRPr="00AD6B0E">
        <w:rPr>
          <w:rFonts w:eastAsia="Calibri"/>
          <w:color w:val="000000"/>
          <w:sz w:val="22"/>
          <w:szCs w:val="22"/>
          <w:u w:val="single"/>
        </w:rPr>
        <w:t>Memantín</w:t>
      </w:r>
      <w:proofErr w:type="spellEnd"/>
      <w:r w:rsidRPr="00AD6B0E">
        <w:rPr>
          <w:rFonts w:eastAsia="Calibri"/>
          <w:color w:val="000000"/>
          <w:sz w:val="22"/>
          <w:szCs w:val="22"/>
          <w:u w:val="single"/>
        </w:rPr>
        <w:t xml:space="preserve"> </w:t>
      </w:r>
      <w:proofErr w:type="spellStart"/>
      <w:r w:rsidRPr="00AD6B0E">
        <w:rPr>
          <w:rFonts w:eastAsia="Calibri"/>
          <w:color w:val="000000"/>
          <w:sz w:val="22"/>
          <w:szCs w:val="22"/>
          <w:u w:val="single"/>
        </w:rPr>
        <w:t>Cipla</w:t>
      </w:r>
      <w:proofErr w:type="spellEnd"/>
      <w:r w:rsidRPr="00AD6B0E">
        <w:rPr>
          <w:rFonts w:eastAsia="Calibri"/>
          <w:color w:val="000000"/>
          <w:sz w:val="22"/>
          <w:szCs w:val="22"/>
          <w:u w:val="single"/>
        </w:rPr>
        <w:t xml:space="preserve"> 10 mg filmom obalené tablety </w:t>
      </w: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Svetločervené až sivo-červené bikonvexné filmom obalené tablety oválneho tvaru so skosenými hranami na jednej strane s vyrytým „20“ a na druhej strane hladké.</w:t>
      </w:r>
    </w:p>
    <w:p w:rsidR="002F796E" w:rsidRPr="00AD6B0E" w:rsidRDefault="002F796E" w:rsidP="004701E5">
      <w:pPr>
        <w:jc w:val="both"/>
        <w:rPr>
          <w:rFonts w:eastAsia="Calibri"/>
          <w:color w:val="000000"/>
          <w:sz w:val="22"/>
          <w:szCs w:val="22"/>
        </w:rPr>
      </w:pP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 xml:space="preserve">Dĺžka: 15,30mm ± 0,20mm </w:t>
      </w:r>
    </w:p>
    <w:p w:rsidR="002F796E" w:rsidRPr="00AD6B0E" w:rsidRDefault="00AA147B" w:rsidP="004701E5">
      <w:pPr>
        <w:jc w:val="both"/>
        <w:rPr>
          <w:rFonts w:eastAsia="Calibri"/>
          <w:color w:val="000000"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Hrúbka:  6,20mm ± 0,20mm</w:t>
      </w:r>
    </w:p>
    <w:p w:rsidR="002D5302" w:rsidRPr="00AD6B0E" w:rsidRDefault="002D5302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2F796E" w:rsidRPr="00AD6B0E" w:rsidRDefault="002F796E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Klinické údaje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5A00A4" w:rsidRPr="00AD6B0E" w:rsidRDefault="005A00A4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4.1</w:t>
      </w:r>
      <w:r w:rsidRPr="00AD6B0E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841578" w:rsidRPr="00AD6B0E" w:rsidRDefault="008B52A9" w:rsidP="004701E5">
      <w:pPr>
        <w:rPr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Liečba dospelých pacientov  s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Alzheimerovou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chorobou stredného až ťažkého stupňa.</w:t>
      </w:r>
    </w:p>
    <w:p w:rsidR="006B0D80" w:rsidRPr="00AD6B0E" w:rsidRDefault="006B0D80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4.2</w:t>
      </w:r>
      <w:r w:rsidRPr="00AD6B0E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CC00D6" w:rsidRPr="00AD6B0E" w:rsidRDefault="00CC00D6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8B52A9" w:rsidP="004701E5">
      <w:pPr>
        <w:pStyle w:val="Bodytext"/>
        <w:spacing w:after="0" w:line="240" w:lineRule="auto"/>
        <w:ind w:left="0"/>
        <w:jc w:val="both"/>
        <w:rPr>
          <w:kern w:val="2"/>
          <w:sz w:val="22"/>
          <w:szCs w:val="22"/>
        </w:rPr>
      </w:pPr>
      <w:r w:rsidRPr="00AD6B0E">
        <w:rPr>
          <w:sz w:val="22"/>
          <w:szCs w:val="22"/>
        </w:rPr>
        <w:t xml:space="preserve">Liečbu má začať a sledovať lekár, skúsený v diagnostike a liečbe </w:t>
      </w:r>
      <w:proofErr w:type="spellStart"/>
      <w:r w:rsidRPr="00AD6B0E">
        <w:rPr>
          <w:sz w:val="22"/>
          <w:szCs w:val="22"/>
        </w:rPr>
        <w:t>Alzheimerovej</w:t>
      </w:r>
      <w:proofErr w:type="spellEnd"/>
      <w:r w:rsidRPr="00AD6B0E">
        <w:rPr>
          <w:sz w:val="22"/>
          <w:szCs w:val="22"/>
        </w:rPr>
        <w:t xml:space="preserve"> demencie.</w:t>
      </w:r>
    </w:p>
    <w:p w:rsidR="00CC00D6" w:rsidRPr="00AD6B0E" w:rsidRDefault="00CC00D6" w:rsidP="004701E5">
      <w:pPr>
        <w:tabs>
          <w:tab w:val="left" w:pos="0"/>
        </w:tabs>
        <w:rPr>
          <w:sz w:val="22"/>
          <w:szCs w:val="22"/>
          <w:u w:val="single"/>
        </w:rPr>
      </w:pPr>
    </w:p>
    <w:p w:rsidR="00841578" w:rsidRPr="00AD6B0E" w:rsidRDefault="008B52A9" w:rsidP="004701E5">
      <w:pPr>
        <w:tabs>
          <w:tab w:val="left" w:pos="0"/>
        </w:tabs>
        <w:rPr>
          <w:sz w:val="22"/>
          <w:szCs w:val="22"/>
          <w:u w:val="single"/>
        </w:rPr>
      </w:pPr>
      <w:r w:rsidRPr="00AD6B0E">
        <w:rPr>
          <w:sz w:val="22"/>
          <w:szCs w:val="22"/>
          <w:u w:val="single"/>
        </w:rPr>
        <w:t>Dávkovanie</w:t>
      </w:r>
    </w:p>
    <w:p w:rsidR="00841578" w:rsidRPr="00AD6B0E" w:rsidRDefault="00841578" w:rsidP="004701E5">
      <w:pPr>
        <w:rPr>
          <w:b/>
          <w:i/>
          <w:sz w:val="22"/>
          <w:szCs w:val="22"/>
        </w:rPr>
      </w:pP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Terapia sa má začať len vtedy, ak je opatrovník schopný pravidelne kontrolovať, ako pacient užíva lieky. Diagnóza má byť stanovená podľa súčasných diagnostických odporúčaní. Tolerancia a dávkovanie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majú byť pravidelne prehodnocované, pokiaľ možno do troch mesiacov po začatí liečby. Ďalej má byť klinický prínos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a tolerancia liečby vyhodnocovaná v pravidelných intervaloch podľa aktuálnych terapeutických postupov. V udržiavacej liečbe sa môže pokračovať, pokiaľ je pre pacienta prínosom a zároveň liečbu </w:t>
      </w:r>
      <w:proofErr w:type="spellStart"/>
      <w:r w:rsidRPr="00AD6B0E">
        <w:rPr>
          <w:sz w:val="22"/>
          <w:szCs w:val="22"/>
        </w:rPr>
        <w:t>memantínom</w:t>
      </w:r>
      <w:proofErr w:type="spellEnd"/>
      <w:r w:rsidRPr="00AD6B0E">
        <w:rPr>
          <w:sz w:val="22"/>
          <w:szCs w:val="22"/>
        </w:rPr>
        <w:t xml:space="preserve"> toleruje. Prerušenie liečby</w:t>
      </w:r>
    </w:p>
    <w:p w:rsidR="00CC00D6" w:rsidRPr="00AD6B0E" w:rsidRDefault="008B52A9" w:rsidP="004701E5">
      <w:pPr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memantínom</w:t>
      </w:r>
      <w:proofErr w:type="spellEnd"/>
      <w:r w:rsidRPr="00AD6B0E">
        <w:rPr>
          <w:sz w:val="22"/>
          <w:szCs w:val="22"/>
        </w:rPr>
        <w:t xml:space="preserve"> sa má zvážiť v prípade, keď nebude prítomný preukázateľný terapeutický prínos alebo</w:t>
      </w:r>
    </w:p>
    <w:p w:rsidR="00841578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pacient nebude tolerovať liečbu.</w:t>
      </w:r>
    </w:p>
    <w:p w:rsidR="00CC00D6" w:rsidRPr="00AD6B0E" w:rsidRDefault="00CC00D6" w:rsidP="004701E5">
      <w:pPr>
        <w:rPr>
          <w:sz w:val="22"/>
          <w:szCs w:val="22"/>
        </w:rPr>
      </w:pPr>
    </w:p>
    <w:p w:rsidR="00CC00D6" w:rsidRPr="00AD6B0E" w:rsidRDefault="008B52A9" w:rsidP="004701E5">
      <w:pPr>
        <w:rPr>
          <w:i/>
          <w:sz w:val="22"/>
          <w:szCs w:val="22"/>
        </w:rPr>
      </w:pPr>
      <w:r w:rsidRPr="00AD6B0E">
        <w:rPr>
          <w:i/>
          <w:sz w:val="22"/>
          <w:szCs w:val="22"/>
        </w:rPr>
        <w:t>Dospelí: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Titrácia dávky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Maximálna denná dávka je 20 mg denne. Aby sa znížilo riziko nežiaducich účinkov, udržiavacia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dávka sa dosahuje vzostupnou titráciou o 5 mg týždenne počas prvých 3 týždňov liečby nasledovne: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4701E5">
      <w:pPr>
        <w:rPr>
          <w:i/>
          <w:sz w:val="22"/>
          <w:szCs w:val="22"/>
        </w:rPr>
      </w:pPr>
      <w:r w:rsidRPr="00AD6B0E">
        <w:rPr>
          <w:i/>
          <w:sz w:val="22"/>
          <w:szCs w:val="22"/>
        </w:rPr>
        <w:t>Týždeň č. 1 (deň 1-7):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Pacient má užívať polovicu 10 mg filmom obalenej tablety (5 mg) denne počas 7 dní.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4701E5">
      <w:pPr>
        <w:rPr>
          <w:i/>
          <w:sz w:val="22"/>
          <w:szCs w:val="22"/>
        </w:rPr>
      </w:pPr>
      <w:r w:rsidRPr="00AD6B0E">
        <w:rPr>
          <w:i/>
          <w:sz w:val="22"/>
          <w:szCs w:val="22"/>
        </w:rPr>
        <w:t>Týždeň č. 2 (deň 8-14):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Pacient má užívať jednu 10 mg filmom obalenú tabletu (10 mg) denne počas 7 dní.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4701E5">
      <w:pPr>
        <w:rPr>
          <w:i/>
          <w:sz w:val="22"/>
          <w:szCs w:val="22"/>
        </w:rPr>
      </w:pPr>
      <w:r w:rsidRPr="00AD6B0E">
        <w:rPr>
          <w:i/>
          <w:sz w:val="22"/>
          <w:szCs w:val="22"/>
        </w:rPr>
        <w:t>Týždeň č. 3 (deň 15-21):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Pacient má užívať jednu a pol 10 mg filmom obalenej tablety (15 mg) denne počas 7 dní.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841578" w:rsidRPr="00AD6B0E" w:rsidRDefault="008B52A9" w:rsidP="004701E5">
      <w:pPr>
        <w:rPr>
          <w:sz w:val="22"/>
          <w:szCs w:val="22"/>
        </w:rPr>
      </w:pPr>
      <w:r w:rsidRPr="00AD6B0E">
        <w:rPr>
          <w:i/>
          <w:sz w:val="22"/>
          <w:szCs w:val="22"/>
        </w:rPr>
        <w:t>Od týždňa č. 4 ďalej: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Pacient má užívať </w:t>
      </w:r>
      <w:r w:rsidR="00AA147B" w:rsidRPr="00AD6B0E">
        <w:rPr>
          <w:sz w:val="22"/>
          <w:szCs w:val="22"/>
        </w:rPr>
        <w:t>jednu 20 mg /</w:t>
      </w:r>
      <w:r w:rsidR="00641EFF" w:rsidRPr="00AD6B0E">
        <w:rPr>
          <w:sz w:val="22"/>
          <w:szCs w:val="22"/>
        </w:rPr>
        <w:t xml:space="preserve"> </w:t>
      </w:r>
      <w:r w:rsidR="00CC00D6" w:rsidRPr="00AD6B0E">
        <w:rPr>
          <w:sz w:val="22"/>
          <w:szCs w:val="22"/>
        </w:rPr>
        <w:t xml:space="preserve">dve 10 mg filmom obalené tablety (20 mg) </w:t>
      </w:r>
      <w:r w:rsidR="00202958" w:rsidRPr="00AD6B0E">
        <w:rPr>
          <w:sz w:val="22"/>
          <w:szCs w:val="22"/>
        </w:rPr>
        <w:t xml:space="preserve">jedenkrát </w:t>
      </w:r>
      <w:r w:rsidR="00CC00D6" w:rsidRPr="00AD6B0E">
        <w:rPr>
          <w:sz w:val="22"/>
          <w:szCs w:val="22"/>
        </w:rPr>
        <w:t>denne.</w:t>
      </w:r>
    </w:p>
    <w:p w:rsidR="00202958" w:rsidRPr="00AD6B0E" w:rsidRDefault="00202958" w:rsidP="004701E5">
      <w:pPr>
        <w:rPr>
          <w:sz w:val="22"/>
          <w:szCs w:val="22"/>
        </w:rPr>
      </w:pPr>
    </w:p>
    <w:p w:rsidR="00CC00D6" w:rsidRPr="00AD6B0E" w:rsidRDefault="00AA147B" w:rsidP="004701E5">
      <w:pPr>
        <w:rPr>
          <w:i/>
          <w:sz w:val="22"/>
          <w:szCs w:val="22"/>
        </w:rPr>
      </w:pPr>
      <w:r w:rsidRPr="00AD6B0E">
        <w:rPr>
          <w:i/>
          <w:sz w:val="22"/>
          <w:szCs w:val="22"/>
        </w:rPr>
        <w:t>Udržiavacia dávka</w:t>
      </w:r>
    </w:p>
    <w:p w:rsidR="00CC00D6" w:rsidRPr="00AD6B0E" w:rsidRDefault="00CC00D6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Odporúčaná udržiavacia dávka je 20 mg denne.</w:t>
      </w:r>
    </w:p>
    <w:p w:rsidR="00CC00D6" w:rsidRPr="00AD6B0E" w:rsidRDefault="00CC00D6" w:rsidP="004701E5">
      <w:pPr>
        <w:rPr>
          <w:sz w:val="22"/>
          <w:szCs w:val="22"/>
        </w:rPr>
      </w:pP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i/>
          <w:sz w:val="22"/>
          <w:szCs w:val="22"/>
        </w:rPr>
        <w:t>Starší pacienti</w:t>
      </w:r>
      <w:r w:rsidRPr="00AD6B0E">
        <w:rPr>
          <w:sz w:val="22"/>
          <w:szCs w:val="22"/>
        </w:rPr>
        <w:t>: Na základe klinických štúdií je dávka odporúčaná pre pacientov nad 65 rokov 20 mg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denne (dve 10 mg tablety jedenkrát denne), ako bolo popísané vyššie.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i/>
          <w:sz w:val="22"/>
          <w:szCs w:val="22"/>
        </w:rPr>
        <w:t>Poškodenie obličiek</w:t>
      </w:r>
      <w:r w:rsidRPr="00AD6B0E">
        <w:rPr>
          <w:sz w:val="22"/>
          <w:szCs w:val="22"/>
        </w:rPr>
        <w:t>: U pacientov s mierne porušenou funkciou obličiek (</w:t>
      </w:r>
      <w:proofErr w:type="spellStart"/>
      <w:r w:rsidRPr="00AD6B0E">
        <w:rPr>
          <w:sz w:val="22"/>
          <w:szCs w:val="22"/>
        </w:rPr>
        <w:t>klírens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kreatinínu</w:t>
      </w:r>
      <w:proofErr w:type="spellEnd"/>
      <w:r w:rsidRPr="00AD6B0E">
        <w:rPr>
          <w:sz w:val="22"/>
          <w:szCs w:val="22"/>
        </w:rPr>
        <w:t xml:space="preserve"> 50-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80 ml/min) sa nevyžaduje úprava dávky. U pacientov so stredne ťažkým obličkovým poškodením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(</w:t>
      </w:r>
      <w:proofErr w:type="spellStart"/>
      <w:r w:rsidRPr="00AD6B0E">
        <w:rPr>
          <w:sz w:val="22"/>
          <w:szCs w:val="22"/>
        </w:rPr>
        <w:t>klírens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kreatinínu</w:t>
      </w:r>
      <w:proofErr w:type="spellEnd"/>
      <w:r w:rsidRPr="00AD6B0E">
        <w:rPr>
          <w:sz w:val="22"/>
          <w:szCs w:val="22"/>
        </w:rPr>
        <w:t xml:space="preserve"> 30-49 ml/min) má byť denná dávka 10 mg denne. Ak dávka je dobre tolerovaná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minimálne 7 dní liečby, môže byť zvýšená až do 20 mg/deň podľa štandardnej titračnej schémy.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U pacientov s ťažko porušenou funkciou obličiek (</w:t>
      </w:r>
      <w:proofErr w:type="spellStart"/>
      <w:r w:rsidRPr="00AD6B0E">
        <w:rPr>
          <w:sz w:val="22"/>
          <w:szCs w:val="22"/>
        </w:rPr>
        <w:t>klírens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kreatinínu</w:t>
      </w:r>
      <w:proofErr w:type="spellEnd"/>
      <w:r w:rsidRPr="00AD6B0E">
        <w:rPr>
          <w:sz w:val="22"/>
          <w:szCs w:val="22"/>
        </w:rPr>
        <w:t xml:space="preserve"> 5-29 ml/min) má byť denná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dávka 10 mg denne.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i/>
          <w:sz w:val="22"/>
          <w:szCs w:val="22"/>
        </w:rPr>
        <w:t>Poškodenie pečene</w:t>
      </w:r>
      <w:r w:rsidRPr="00AD6B0E">
        <w:rPr>
          <w:sz w:val="22"/>
          <w:szCs w:val="22"/>
        </w:rPr>
        <w:t>: U pacientov s mierne až stredne ťažkou poruchou funkcie pečene (</w:t>
      </w:r>
      <w:proofErr w:type="spellStart"/>
      <w:r w:rsidRPr="00AD6B0E">
        <w:rPr>
          <w:sz w:val="22"/>
          <w:szCs w:val="22"/>
        </w:rPr>
        <w:t>Child-Pugh</w:t>
      </w:r>
      <w:proofErr w:type="spellEnd"/>
      <w:r w:rsidRPr="00AD6B0E">
        <w:rPr>
          <w:sz w:val="22"/>
          <w:szCs w:val="22"/>
        </w:rPr>
        <w:t xml:space="preserve"> A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a </w:t>
      </w:r>
      <w:proofErr w:type="spellStart"/>
      <w:r w:rsidRPr="00AD6B0E">
        <w:rPr>
          <w:sz w:val="22"/>
          <w:szCs w:val="22"/>
        </w:rPr>
        <w:t>Child-Pugh</w:t>
      </w:r>
      <w:proofErr w:type="spellEnd"/>
      <w:r w:rsidRPr="00AD6B0E">
        <w:rPr>
          <w:sz w:val="22"/>
          <w:szCs w:val="22"/>
        </w:rPr>
        <w:t xml:space="preserve"> B) nie je potrebná úprava dávky. U pacientov s vážne poškodenou funkciou pečene nie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sú dostupné údaje o užívaní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. Podanie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Cipla</w:t>
      </w:r>
      <w:proofErr w:type="spellEnd"/>
      <w:r w:rsidRPr="00AD6B0E">
        <w:rPr>
          <w:sz w:val="22"/>
          <w:szCs w:val="22"/>
        </w:rPr>
        <w:t xml:space="preserve"> sa neodporúča pacientom s ťažko</w:t>
      </w:r>
    </w:p>
    <w:p w:rsidR="00CC00D6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poškodenou funkciou pečene.</w:t>
      </w:r>
    </w:p>
    <w:p w:rsidR="00CC00D6" w:rsidRPr="00AD6B0E" w:rsidRDefault="00CC00D6" w:rsidP="004701E5">
      <w:pPr>
        <w:rPr>
          <w:i/>
          <w:sz w:val="22"/>
          <w:szCs w:val="22"/>
        </w:rPr>
      </w:pPr>
    </w:p>
    <w:p w:rsidR="00CC00D6" w:rsidRPr="00AD6B0E" w:rsidRDefault="008B52A9" w:rsidP="00260F1C">
      <w:pPr>
        <w:rPr>
          <w:sz w:val="22"/>
          <w:szCs w:val="22"/>
        </w:rPr>
      </w:pPr>
      <w:r w:rsidRPr="00AD6B0E">
        <w:rPr>
          <w:i/>
          <w:sz w:val="22"/>
          <w:szCs w:val="22"/>
        </w:rPr>
        <w:t>Pediatrická populácia</w:t>
      </w:r>
      <w:r w:rsidRPr="00AD6B0E">
        <w:rPr>
          <w:sz w:val="22"/>
          <w:szCs w:val="22"/>
        </w:rPr>
        <w:t xml:space="preserve">: </w:t>
      </w:r>
      <w:r w:rsidR="00AA147B" w:rsidRPr="00AD6B0E">
        <w:rPr>
          <w:sz w:val="22"/>
          <w:szCs w:val="22"/>
        </w:rPr>
        <w:t>K dispozícii nie sú žiadne údaje.</w:t>
      </w:r>
      <w:r w:rsidR="00260F1C" w:rsidRPr="00AD6B0E">
        <w:rPr>
          <w:szCs w:val="22"/>
        </w:rPr>
        <w:t xml:space="preserve"> </w:t>
      </w:r>
    </w:p>
    <w:p w:rsidR="00CC00D6" w:rsidRPr="00AD6B0E" w:rsidRDefault="00CC00D6" w:rsidP="004701E5">
      <w:pPr>
        <w:rPr>
          <w:sz w:val="22"/>
          <w:szCs w:val="22"/>
          <w:u w:val="single"/>
        </w:rPr>
      </w:pPr>
    </w:p>
    <w:p w:rsidR="00841578" w:rsidRPr="00AD6B0E" w:rsidRDefault="008B52A9" w:rsidP="004701E5">
      <w:pPr>
        <w:rPr>
          <w:sz w:val="22"/>
          <w:szCs w:val="22"/>
          <w:u w:val="single"/>
        </w:rPr>
      </w:pPr>
      <w:r w:rsidRPr="00AD6B0E">
        <w:rPr>
          <w:sz w:val="22"/>
          <w:szCs w:val="22"/>
          <w:u w:val="single"/>
        </w:rPr>
        <w:t>Spôsob podávania</w:t>
      </w:r>
    </w:p>
    <w:p w:rsidR="00841578" w:rsidRPr="00AD6B0E" w:rsidRDefault="00841578" w:rsidP="004701E5">
      <w:pPr>
        <w:rPr>
          <w:sz w:val="22"/>
          <w:szCs w:val="22"/>
        </w:rPr>
      </w:pPr>
    </w:p>
    <w:p w:rsidR="00CC00D6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Cipla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sa má podávať </w:t>
      </w:r>
      <w:r w:rsidR="002C4865" w:rsidRPr="00AD6B0E">
        <w:rPr>
          <w:rFonts w:ascii="TimesNewRoman" w:eastAsiaTheme="minorHAnsi" w:hAnsi="TimesNewRoman" w:cs="TimesNewRoman"/>
          <w:sz w:val="22"/>
          <w:szCs w:val="22"/>
        </w:rPr>
        <w:t xml:space="preserve">perorálne </w:t>
      </w:r>
      <w:r w:rsidR="00CC00D6" w:rsidRPr="00AD6B0E">
        <w:rPr>
          <w:rFonts w:ascii="TimesNewRoman" w:eastAsiaTheme="minorHAnsi" w:hAnsi="TimesNewRoman" w:cs="TimesNewRoman"/>
          <w:sz w:val="22"/>
          <w:szCs w:val="22"/>
        </w:rPr>
        <w:t>jedenkrát denne a má sa užívať vždy v rovnakú dennú dobu.</w:t>
      </w:r>
    </w:p>
    <w:p w:rsidR="00840BBE" w:rsidRPr="00AD6B0E" w:rsidRDefault="008B52A9" w:rsidP="004701E5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Filmom obalené tablety sa môžu užívať s jedlom alebo bez jedla.</w:t>
      </w:r>
    </w:p>
    <w:p w:rsidR="00826FE1" w:rsidRPr="00AD6B0E" w:rsidRDefault="00826FE1" w:rsidP="004701E5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lastRenderedPageBreak/>
        <w:t>4.3</w:t>
      </w:r>
      <w:r w:rsidRPr="00AD6B0E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A00A4" w:rsidRPr="00AD6B0E" w:rsidRDefault="005A00A4" w:rsidP="004701E5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AD6B0E">
        <w:rPr>
          <w:sz w:val="22"/>
          <w:szCs w:val="22"/>
        </w:rPr>
        <w:t xml:space="preserve">Precitlivenosť na liečivo alebo na ktorúkoľvek z pomocných látok uvedených v časti 6.1. </w:t>
      </w:r>
    </w:p>
    <w:p w:rsidR="005A00A4" w:rsidRPr="00AD6B0E" w:rsidRDefault="008B52A9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D6B0E">
        <w:rPr>
          <w:sz w:val="22"/>
          <w:szCs w:val="22"/>
        </w:rPr>
        <w:t xml:space="preserve"> </w:t>
      </w: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4.4</w:t>
      </w:r>
      <w:r w:rsidRPr="00AD6B0E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 xml:space="preserve">U pacientov s epilepsiou, so záchvatmi kŕčov v minulosti alebo s </w:t>
      </w:r>
      <w:proofErr w:type="spellStart"/>
      <w:r w:rsidRPr="00AD6B0E">
        <w:rPr>
          <w:sz w:val="22"/>
          <w:szCs w:val="22"/>
        </w:rPr>
        <w:t>predispozičnými</w:t>
      </w:r>
      <w:proofErr w:type="spellEnd"/>
      <w:r w:rsidRPr="00AD6B0E">
        <w:rPr>
          <w:sz w:val="22"/>
          <w:szCs w:val="22"/>
        </w:rPr>
        <w:t xml:space="preserve"> faktormi na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epilepsiu sa odporúča opatrnosť.</w:t>
      </w:r>
    </w:p>
    <w:p w:rsidR="00C03D9D" w:rsidRPr="00AD6B0E" w:rsidRDefault="00C03D9D" w:rsidP="004701E5">
      <w:pPr>
        <w:keepNext/>
        <w:tabs>
          <w:tab w:val="left" w:pos="709"/>
        </w:tabs>
        <w:rPr>
          <w:sz w:val="22"/>
          <w:szCs w:val="22"/>
        </w:rPr>
      </w:pP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 xml:space="preserve">Súbežnému užívaniu </w:t>
      </w:r>
      <w:proofErr w:type="spellStart"/>
      <w:r w:rsidRPr="00AD6B0E">
        <w:rPr>
          <w:sz w:val="22"/>
          <w:szCs w:val="22"/>
        </w:rPr>
        <w:t>N-metyl-D-aspartát</w:t>
      </w:r>
      <w:proofErr w:type="spellEnd"/>
      <w:r w:rsidRPr="00AD6B0E">
        <w:rPr>
          <w:sz w:val="22"/>
          <w:szCs w:val="22"/>
        </w:rPr>
        <w:t xml:space="preserve"> (NMDA)-antagonistov ako je </w:t>
      </w:r>
      <w:proofErr w:type="spellStart"/>
      <w:r w:rsidRPr="00AD6B0E">
        <w:rPr>
          <w:sz w:val="22"/>
          <w:szCs w:val="22"/>
        </w:rPr>
        <w:t>amantadín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ketamín</w:t>
      </w:r>
      <w:proofErr w:type="spellEnd"/>
      <w:r w:rsidRPr="00AD6B0E">
        <w:rPr>
          <w:sz w:val="22"/>
          <w:szCs w:val="22"/>
        </w:rPr>
        <w:t xml:space="preserve"> alebo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dextrometorfán</w:t>
      </w:r>
      <w:proofErr w:type="spellEnd"/>
      <w:r w:rsidRPr="00AD6B0E">
        <w:rPr>
          <w:sz w:val="22"/>
          <w:szCs w:val="22"/>
        </w:rPr>
        <w:t xml:space="preserve"> s </w:t>
      </w:r>
      <w:proofErr w:type="spellStart"/>
      <w:r w:rsidRPr="00AD6B0E">
        <w:rPr>
          <w:sz w:val="22"/>
          <w:szCs w:val="22"/>
        </w:rPr>
        <w:t>memantínom</w:t>
      </w:r>
      <w:proofErr w:type="spellEnd"/>
      <w:r w:rsidRPr="00AD6B0E">
        <w:rPr>
          <w:sz w:val="22"/>
          <w:szCs w:val="22"/>
        </w:rPr>
        <w:t xml:space="preserve"> sa má vyhýbať. Tieto látky účinkujú na ten istý </w:t>
      </w:r>
      <w:proofErr w:type="spellStart"/>
      <w:r w:rsidRPr="00AD6B0E">
        <w:rPr>
          <w:sz w:val="22"/>
          <w:szCs w:val="22"/>
        </w:rPr>
        <w:t>receptorový</w:t>
      </w:r>
      <w:proofErr w:type="spellEnd"/>
      <w:r w:rsidRPr="00AD6B0E">
        <w:rPr>
          <w:sz w:val="22"/>
          <w:szCs w:val="22"/>
        </w:rPr>
        <w:t xml:space="preserve"> systém ako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memantín</w:t>
      </w:r>
      <w:proofErr w:type="spellEnd"/>
      <w:r w:rsidRPr="00AD6B0E">
        <w:rPr>
          <w:sz w:val="22"/>
          <w:szCs w:val="22"/>
        </w:rPr>
        <w:t>, preto pri ich súčasnom užívaní môžu byť častejšie alebo výraznejšie nežiaduce reakcie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(najmä týkajúce sa centrálneho nervového systému /CNS/) (pozri tiež časť 4.5).</w:t>
      </w:r>
    </w:p>
    <w:p w:rsidR="00C03D9D" w:rsidRPr="00AD6B0E" w:rsidRDefault="00C03D9D" w:rsidP="004701E5">
      <w:pPr>
        <w:keepNext/>
        <w:tabs>
          <w:tab w:val="left" w:pos="709"/>
        </w:tabs>
        <w:rPr>
          <w:sz w:val="22"/>
          <w:szCs w:val="22"/>
        </w:rPr>
      </w:pP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Niektoré faktory, ktoré môžu zvýšiť pH moču (pozri časť 5.2 „Eliminácia“), vyžadujú starostlivé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sledovanie pacienta. Tieto faktory zahŕňajú drastické zmeny diéty, napr. z mäsitej na vegetariánsku,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 xml:space="preserve">alebo masívny príjem </w:t>
      </w:r>
      <w:proofErr w:type="spellStart"/>
      <w:r w:rsidRPr="00AD6B0E">
        <w:rPr>
          <w:sz w:val="22"/>
          <w:szCs w:val="22"/>
        </w:rPr>
        <w:t>alkalizujúcich</w:t>
      </w:r>
      <w:proofErr w:type="spellEnd"/>
      <w:r w:rsidRPr="00AD6B0E">
        <w:rPr>
          <w:sz w:val="22"/>
          <w:szCs w:val="22"/>
        </w:rPr>
        <w:t xml:space="preserve"> žalúdočných </w:t>
      </w:r>
      <w:proofErr w:type="spellStart"/>
      <w:r w:rsidRPr="00AD6B0E">
        <w:rPr>
          <w:sz w:val="22"/>
          <w:szCs w:val="22"/>
        </w:rPr>
        <w:t>pufrov</w:t>
      </w:r>
      <w:proofErr w:type="spellEnd"/>
      <w:r w:rsidRPr="00AD6B0E">
        <w:rPr>
          <w:sz w:val="22"/>
          <w:szCs w:val="22"/>
        </w:rPr>
        <w:t>. Močové pH sa môže zvýšiť tiež pri stavoch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renálnej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tubulárnej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acidózy</w:t>
      </w:r>
      <w:proofErr w:type="spellEnd"/>
      <w:r w:rsidRPr="00AD6B0E">
        <w:rPr>
          <w:sz w:val="22"/>
          <w:szCs w:val="22"/>
        </w:rPr>
        <w:t xml:space="preserve"> (RTA) alebo pri ťažkých infekciách močového traktu bakteriálnymi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 xml:space="preserve">kmeňmi </w:t>
      </w:r>
      <w:proofErr w:type="spellStart"/>
      <w:r w:rsidR="00AA147B" w:rsidRPr="00AD6B0E">
        <w:rPr>
          <w:i/>
          <w:sz w:val="22"/>
          <w:szCs w:val="22"/>
        </w:rPr>
        <w:t>Proteus</w:t>
      </w:r>
      <w:proofErr w:type="spellEnd"/>
      <w:r w:rsidR="00C03D9D" w:rsidRPr="00AD6B0E">
        <w:rPr>
          <w:sz w:val="22"/>
          <w:szCs w:val="22"/>
        </w:rPr>
        <w:t>.</w:t>
      </w:r>
    </w:p>
    <w:p w:rsidR="00C03D9D" w:rsidRPr="00AD6B0E" w:rsidRDefault="00C03D9D" w:rsidP="004701E5">
      <w:pPr>
        <w:keepNext/>
        <w:tabs>
          <w:tab w:val="left" w:pos="709"/>
        </w:tabs>
        <w:rPr>
          <w:sz w:val="22"/>
          <w:szCs w:val="22"/>
        </w:rPr>
      </w:pP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Vo väčšine klinických štúdií boli vylúčení pacienti s nedávnym infarktom myokardu,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 xml:space="preserve">dekompenzovaným </w:t>
      </w:r>
      <w:proofErr w:type="spellStart"/>
      <w:r w:rsidRPr="00AD6B0E">
        <w:rPr>
          <w:sz w:val="22"/>
          <w:szCs w:val="22"/>
        </w:rPr>
        <w:t>kongestívnym</w:t>
      </w:r>
      <w:proofErr w:type="spellEnd"/>
      <w:r w:rsidRPr="00AD6B0E">
        <w:rPr>
          <w:sz w:val="22"/>
          <w:szCs w:val="22"/>
        </w:rPr>
        <w:t xml:space="preserve"> srdcovým zlyhaním (NYHA III-IV) alebo nekontrolovanou</w:t>
      </w:r>
    </w:p>
    <w:p w:rsidR="00C03D9D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hypertenziou. Dôsledkom toho je fakt, že k dispozícii je len obmedzené množstvo údajov a pacienti</w:t>
      </w:r>
    </w:p>
    <w:p w:rsidR="00033D62" w:rsidRPr="00AD6B0E" w:rsidRDefault="008B52A9" w:rsidP="004701E5">
      <w:pPr>
        <w:keepNext/>
        <w:tabs>
          <w:tab w:val="left" w:pos="709"/>
        </w:tabs>
        <w:rPr>
          <w:sz w:val="22"/>
          <w:szCs w:val="22"/>
        </w:rPr>
      </w:pPr>
      <w:r w:rsidRPr="00AD6B0E">
        <w:rPr>
          <w:sz w:val="22"/>
          <w:szCs w:val="22"/>
        </w:rPr>
        <w:t>s týmito ochoreniami majú byť starostlivo sledovaní.</w:t>
      </w:r>
    </w:p>
    <w:p w:rsidR="00033D62" w:rsidRPr="00AD6B0E" w:rsidRDefault="00033D62" w:rsidP="004701E5">
      <w:pPr>
        <w:pStyle w:val="Hlavika"/>
        <w:spacing w:after="0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4.5</w:t>
      </w:r>
      <w:r w:rsidRPr="00AD6B0E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V dôsledku farmakologických efektov a mechanizmu účinku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sa môžu objaviť nasledovné</w:t>
      </w:r>
    </w:p>
    <w:p w:rsidR="007B6B0B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interakcie:</w:t>
      </w:r>
    </w:p>
    <w:p w:rsidR="002C4865" w:rsidRPr="00AD6B0E" w:rsidRDefault="002C4865" w:rsidP="004701E5">
      <w:pPr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• Mechanizmus účinku naznačuje, že účinky </w:t>
      </w:r>
      <w:proofErr w:type="spellStart"/>
      <w:r w:rsidRPr="00AD6B0E">
        <w:rPr>
          <w:sz w:val="22"/>
          <w:szCs w:val="22"/>
        </w:rPr>
        <w:t>L-dopy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dopamínergických</w:t>
      </w:r>
      <w:proofErr w:type="spellEnd"/>
      <w:r w:rsidRPr="00AD6B0E">
        <w:rPr>
          <w:sz w:val="22"/>
          <w:szCs w:val="22"/>
        </w:rPr>
        <w:t xml:space="preserve"> </w:t>
      </w:r>
      <w:proofErr w:type="spellStart"/>
      <w:r w:rsidRPr="00AD6B0E">
        <w:rPr>
          <w:sz w:val="22"/>
          <w:szCs w:val="22"/>
        </w:rPr>
        <w:t>agonistov</w:t>
      </w:r>
      <w:proofErr w:type="spellEnd"/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a </w:t>
      </w:r>
      <w:proofErr w:type="spellStart"/>
      <w:r w:rsidRPr="00AD6B0E">
        <w:rPr>
          <w:sz w:val="22"/>
          <w:szCs w:val="22"/>
        </w:rPr>
        <w:t>anticholínergík</w:t>
      </w:r>
      <w:proofErr w:type="spellEnd"/>
      <w:r w:rsidRPr="00AD6B0E">
        <w:rPr>
          <w:sz w:val="22"/>
          <w:szCs w:val="22"/>
        </w:rPr>
        <w:t xml:space="preserve"> môžu byť pri súčasnom užívaní </w:t>
      </w:r>
      <w:proofErr w:type="spellStart"/>
      <w:r w:rsidRPr="00AD6B0E">
        <w:rPr>
          <w:sz w:val="22"/>
          <w:szCs w:val="22"/>
        </w:rPr>
        <w:t>NMDA-antagonistov</w:t>
      </w:r>
      <w:proofErr w:type="spellEnd"/>
      <w:r w:rsidRPr="00AD6B0E">
        <w:rPr>
          <w:sz w:val="22"/>
          <w:szCs w:val="22"/>
        </w:rPr>
        <w:t xml:space="preserve">, ako je </w:t>
      </w:r>
      <w:proofErr w:type="spellStart"/>
      <w:r w:rsidRPr="00AD6B0E">
        <w:rPr>
          <w:sz w:val="22"/>
          <w:szCs w:val="22"/>
        </w:rPr>
        <w:t>memantín</w:t>
      </w:r>
      <w:proofErr w:type="spellEnd"/>
      <w:r w:rsidRPr="00AD6B0E">
        <w:rPr>
          <w:sz w:val="22"/>
          <w:szCs w:val="22"/>
        </w:rPr>
        <w:t>,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zosilnené. Účinky barbiturátov alebo </w:t>
      </w:r>
      <w:proofErr w:type="spellStart"/>
      <w:r w:rsidRPr="00AD6B0E">
        <w:rPr>
          <w:sz w:val="22"/>
          <w:szCs w:val="22"/>
        </w:rPr>
        <w:t>neuroleptík</w:t>
      </w:r>
      <w:proofErr w:type="spellEnd"/>
      <w:r w:rsidRPr="00AD6B0E">
        <w:rPr>
          <w:sz w:val="22"/>
          <w:szCs w:val="22"/>
        </w:rPr>
        <w:t xml:space="preserve"> môžu byť naopak znížené. Súčasné podávanie</w:t>
      </w:r>
    </w:p>
    <w:p w:rsidR="00C03D9D" w:rsidRPr="00AD6B0E" w:rsidRDefault="008B52A9" w:rsidP="004701E5">
      <w:pPr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a </w:t>
      </w:r>
      <w:proofErr w:type="spellStart"/>
      <w:r w:rsidRPr="00AD6B0E">
        <w:rPr>
          <w:sz w:val="22"/>
          <w:szCs w:val="22"/>
        </w:rPr>
        <w:t>myorelaxancií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dantrolénu</w:t>
      </w:r>
      <w:proofErr w:type="spellEnd"/>
      <w:r w:rsidRPr="00AD6B0E">
        <w:rPr>
          <w:sz w:val="22"/>
          <w:szCs w:val="22"/>
        </w:rPr>
        <w:t xml:space="preserve"> alebo </w:t>
      </w:r>
      <w:proofErr w:type="spellStart"/>
      <w:r w:rsidRPr="00AD6B0E">
        <w:rPr>
          <w:sz w:val="22"/>
          <w:szCs w:val="22"/>
        </w:rPr>
        <w:t>baklofénu</w:t>
      </w:r>
      <w:proofErr w:type="spellEnd"/>
      <w:r w:rsidRPr="00AD6B0E">
        <w:rPr>
          <w:sz w:val="22"/>
          <w:szCs w:val="22"/>
        </w:rPr>
        <w:t>, môže modifikovať ich účinky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a vyžadovať úpravu dávok.</w:t>
      </w:r>
    </w:p>
    <w:p w:rsidR="00C03D9D" w:rsidRPr="00AD6B0E" w:rsidRDefault="00C03D9D" w:rsidP="004701E5">
      <w:pPr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• Musí sa vyhnúť súčasnému užitiu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a </w:t>
      </w:r>
      <w:proofErr w:type="spellStart"/>
      <w:r w:rsidRPr="00AD6B0E">
        <w:rPr>
          <w:sz w:val="22"/>
          <w:szCs w:val="22"/>
        </w:rPr>
        <w:t>amantadínu</w:t>
      </w:r>
      <w:proofErr w:type="spellEnd"/>
      <w:r w:rsidRPr="00AD6B0E">
        <w:rPr>
          <w:sz w:val="22"/>
          <w:szCs w:val="22"/>
        </w:rPr>
        <w:t xml:space="preserve">, a to pre riziko </w:t>
      </w:r>
      <w:proofErr w:type="spellStart"/>
      <w:r w:rsidRPr="00AD6B0E">
        <w:rPr>
          <w:sz w:val="22"/>
          <w:szCs w:val="22"/>
        </w:rPr>
        <w:t>farmakotoxickej</w:t>
      </w:r>
      <w:proofErr w:type="spellEnd"/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psychózy. Obe látky sú chemicky príbuzné </w:t>
      </w:r>
      <w:proofErr w:type="spellStart"/>
      <w:r w:rsidRPr="00AD6B0E">
        <w:rPr>
          <w:sz w:val="22"/>
          <w:szCs w:val="22"/>
        </w:rPr>
        <w:t>NMDA-antagonistom</w:t>
      </w:r>
      <w:proofErr w:type="spellEnd"/>
      <w:r w:rsidRPr="00AD6B0E">
        <w:rPr>
          <w:sz w:val="22"/>
          <w:szCs w:val="22"/>
        </w:rPr>
        <w:t>. To isté môže platiť pre</w:t>
      </w:r>
    </w:p>
    <w:p w:rsidR="00C03D9D" w:rsidRPr="00AD6B0E" w:rsidRDefault="008B52A9" w:rsidP="004701E5">
      <w:pPr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ketamín</w:t>
      </w:r>
      <w:proofErr w:type="spellEnd"/>
      <w:r w:rsidRPr="00AD6B0E">
        <w:rPr>
          <w:sz w:val="22"/>
          <w:szCs w:val="22"/>
        </w:rPr>
        <w:t xml:space="preserve"> a </w:t>
      </w:r>
      <w:proofErr w:type="spellStart"/>
      <w:r w:rsidRPr="00AD6B0E">
        <w:rPr>
          <w:sz w:val="22"/>
          <w:szCs w:val="22"/>
        </w:rPr>
        <w:t>dextrometorfán</w:t>
      </w:r>
      <w:proofErr w:type="spellEnd"/>
      <w:r w:rsidRPr="00AD6B0E">
        <w:rPr>
          <w:sz w:val="22"/>
          <w:szCs w:val="22"/>
        </w:rPr>
        <w:t xml:space="preserve"> (pozri tiež časť 4.4). Existuje len jedna publikovaná </w:t>
      </w:r>
      <w:proofErr w:type="spellStart"/>
      <w:r w:rsidRPr="00AD6B0E">
        <w:rPr>
          <w:sz w:val="22"/>
          <w:szCs w:val="22"/>
        </w:rPr>
        <w:t>kazuistika</w:t>
      </w:r>
      <w:proofErr w:type="spellEnd"/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o možnom riziku kombinácie </w:t>
      </w:r>
      <w:proofErr w:type="spellStart"/>
      <w:r w:rsidRPr="00AD6B0E">
        <w:rPr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 xml:space="preserve"> a </w:t>
      </w:r>
      <w:proofErr w:type="spellStart"/>
      <w:r w:rsidRPr="00AD6B0E">
        <w:rPr>
          <w:sz w:val="22"/>
          <w:szCs w:val="22"/>
        </w:rPr>
        <w:t>fenytoínu</w:t>
      </w:r>
      <w:proofErr w:type="spellEnd"/>
      <w:r w:rsidRPr="00AD6B0E">
        <w:rPr>
          <w:sz w:val="22"/>
          <w:szCs w:val="22"/>
        </w:rPr>
        <w:t>.</w:t>
      </w:r>
    </w:p>
    <w:p w:rsidR="002C4865" w:rsidRPr="00AD6B0E" w:rsidRDefault="002C4865" w:rsidP="004701E5">
      <w:pPr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• Iné liečivá, ako sú </w:t>
      </w:r>
      <w:proofErr w:type="spellStart"/>
      <w:r w:rsidRPr="00AD6B0E">
        <w:rPr>
          <w:sz w:val="22"/>
          <w:szCs w:val="22"/>
        </w:rPr>
        <w:t>cimetidín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ranitidín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prokaínamid</w:t>
      </w:r>
      <w:proofErr w:type="spellEnd"/>
      <w:r w:rsidRPr="00AD6B0E">
        <w:rPr>
          <w:sz w:val="22"/>
          <w:szCs w:val="22"/>
        </w:rPr>
        <w:t xml:space="preserve">, </w:t>
      </w:r>
      <w:proofErr w:type="spellStart"/>
      <w:r w:rsidRPr="00AD6B0E">
        <w:rPr>
          <w:sz w:val="22"/>
          <w:szCs w:val="22"/>
        </w:rPr>
        <w:t>chinidín</w:t>
      </w:r>
      <w:proofErr w:type="spellEnd"/>
      <w:r w:rsidRPr="00AD6B0E">
        <w:rPr>
          <w:sz w:val="22"/>
          <w:szCs w:val="22"/>
        </w:rPr>
        <w:t>, chinín a nikotín, ktoré používajú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ten istý obličkový katiónový transportný systém ako </w:t>
      </w:r>
      <w:proofErr w:type="spellStart"/>
      <w:r w:rsidRPr="00AD6B0E">
        <w:rPr>
          <w:sz w:val="22"/>
          <w:szCs w:val="22"/>
        </w:rPr>
        <w:t>amantadín</w:t>
      </w:r>
      <w:proofErr w:type="spellEnd"/>
      <w:r w:rsidRPr="00AD6B0E">
        <w:rPr>
          <w:sz w:val="22"/>
          <w:szCs w:val="22"/>
        </w:rPr>
        <w:t xml:space="preserve">, môžu tiež </w:t>
      </w:r>
      <w:proofErr w:type="spellStart"/>
      <w:r w:rsidRPr="00AD6B0E">
        <w:rPr>
          <w:sz w:val="22"/>
          <w:szCs w:val="22"/>
        </w:rPr>
        <w:t>interagovať</w:t>
      </w:r>
      <w:proofErr w:type="spellEnd"/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s </w:t>
      </w:r>
      <w:proofErr w:type="spellStart"/>
      <w:r w:rsidRPr="00AD6B0E">
        <w:rPr>
          <w:sz w:val="22"/>
          <w:szCs w:val="22"/>
        </w:rPr>
        <w:t>memantínom</w:t>
      </w:r>
      <w:proofErr w:type="spellEnd"/>
      <w:r w:rsidRPr="00AD6B0E">
        <w:rPr>
          <w:sz w:val="22"/>
          <w:szCs w:val="22"/>
        </w:rPr>
        <w:t xml:space="preserve"> a viesť tak k potenciálnemu riziku zvýšených plazmatických hladín.</w:t>
      </w:r>
    </w:p>
    <w:p w:rsidR="002C4865" w:rsidRPr="00AD6B0E" w:rsidRDefault="002C4865" w:rsidP="004701E5">
      <w:pPr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• Ak sa </w:t>
      </w:r>
      <w:proofErr w:type="spellStart"/>
      <w:r w:rsidRPr="00AD6B0E">
        <w:rPr>
          <w:sz w:val="22"/>
          <w:szCs w:val="22"/>
        </w:rPr>
        <w:t>memantín</w:t>
      </w:r>
      <w:proofErr w:type="spellEnd"/>
      <w:r w:rsidRPr="00AD6B0E">
        <w:rPr>
          <w:sz w:val="22"/>
          <w:szCs w:val="22"/>
        </w:rPr>
        <w:t xml:space="preserve"> používa súčasne s </w:t>
      </w:r>
      <w:proofErr w:type="spellStart"/>
      <w:r w:rsidRPr="00AD6B0E">
        <w:rPr>
          <w:sz w:val="22"/>
          <w:szCs w:val="22"/>
        </w:rPr>
        <w:t>hydrochlórotiazidom</w:t>
      </w:r>
      <w:proofErr w:type="spellEnd"/>
      <w:r w:rsidRPr="00AD6B0E">
        <w:rPr>
          <w:sz w:val="22"/>
          <w:szCs w:val="22"/>
        </w:rPr>
        <w:t xml:space="preserve"> (HCT) alebo akoukoľvek kombináciou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HCT, je tu možnosť zníženia sérovej hladiny HCT.</w:t>
      </w:r>
    </w:p>
    <w:p w:rsidR="002C4865" w:rsidRPr="00AD6B0E" w:rsidRDefault="002C4865" w:rsidP="004701E5">
      <w:pPr>
        <w:rPr>
          <w:sz w:val="22"/>
          <w:szCs w:val="22"/>
        </w:rPr>
      </w:pP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• Pri </w:t>
      </w:r>
      <w:proofErr w:type="spellStart"/>
      <w:r w:rsidRPr="00AD6B0E">
        <w:rPr>
          <w:sz w:val="22"/>
          <w:szCs w:val="22"/>
        </w:rPr>
        <w:t>postmarketingovom</w:t>
      </w:r>
      <w:proofErr w:type="spellEnd"/>
      <w:r w:rsidRPr="00AD6B0E">
        <w:rPr>
          <w:sz w:val="22"/>
          <w:szCs w:val="22"/>
        </w:rPr>
        <w:t xml:space="preserve"> sledovaní boli zaznamenané ojedinelé prípady zvýšenia hodnôt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 xml:space="preserve">medzinárodného normalizovaného pomeru (INR) u pacientov užívajúcich súčasne </w:t>
      </w:r>
      <w:proofErr w:type="spellStart"/>
      <w:r w:rsidRPr="00AD6B0E">
        <w:rPr>
          <w:sz w:val="22"/>
          <w:szCs w:val="22"/>
        </w:rPr>
        <w:t>warfarín</w:t>
      </w:r>
      <w:proofErr w:type="spellEnd"/>
      <w:r w:rsidRPr="00AD6B0E">
        <w:rPr>
          <w:sz w:val="22"/>
          <w:szCs w:val="22"/>
        </w:rPr>
        <w:t>. Aj</w:t>
      </w:r>
    </w:p>
    <w:p w:rsidR="00C03D9D" w:rsidRPr="00AD6B0E" w:rsidRDefault="008B52A9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t>keď priama súvislosť nebola potvrdená, u pacientov, ktorí sú súčasne liečení perorálnymi</w:t>
      </w:r>
    </w:p>
    <w:p w:rsidR="00C03D9D" w:rsidRPr="00AD6B0E" w:rsidRDefault="008B52A9" w:rsidP="004701E5">
      <w:pPr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antikoagulanciami</w:t>
      </w:r>
      <w:proofErr w:type="spellEnd"/>
      <w:r w:rsidRPr="00AD6B0E">
        <w:rPr>
          <w:sz w:val="22"/>
          <w:szCs w:val="22"/>
        </w:rPr>
        <w:t xml:space="preserve">, sa </w:t>
      </w:r>
      <w:proofErr w:type="spellStart"/>
      <w:r w:rsidRPr="00AD6B0E">
        <w:rPr>
          <w:sz w:val="22"/>
          <w:szCs w:val="22"/>
        </w:rPr>
        <w:t>doporučuje</w:t>
      </w:r>
      <w:proofErr w:type="spellEnd"/>
      <w:r w:rsidRPr="00AD6B0E">
        <w:rPr>
          <w:sz w:val="22"/>
          <w:szCs w:val="22"/>
        </w:rPr>
        <w:t xml:space="preserve"> dôkladné sledovanie </w:t>
      </w:r>
      <w:proofErr w:type="spellStart"/>
      <w:r w:rsidRPr="00AD6B0E">
        <w:rPr>
          <w:sz w:val="22"/>
          <w:szCs w:val="22"/>
        </w:rPr>
        <w:t>protrombínového</w:t>
      </w:r>
      <w:proofErr w:type="spellEnd"/>
      <w:r w:rsidRPr="00AD6B0E">
        <w:rPr>
          <w:sz w:val="22"/>
          <w:szCs w:val="22"/>
        </w:rPr>
        <w:t xml:space="preserve"> času alebo INR.</w:t>
      </w:r>
    </w:p>
    <w:p w:rsidR="00C03D9D" w:rsidRPr="00AD6B0E" w:rsidRDefault="00C03D9D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Pri jednorazovej dávke vo </w:t>
      </w:r>
      <w:proofErr w:type="spellStart"/>
      <w:r w:rsidRPr="00AD6B0E">
        <w:rPr>
          <w:rFonts w:eastAsiaTheme="minorHAnsi"/>
          <w:sz w:val="22"/>
          <w:szCs w:val="22"/>
        </w:rPr>
        <w:t>farmakokinetíckých</w:t>
      </w:r>
      <w:proofErr w:type="spellEnd"/>
      <w:r w:rsidRPr="00AD6B0E">
        <w:rPr>
          <w:rFonts w:eastAsiaTheme="minorHAnsi"/>
          <w:sz w:val="22"/>
          <w:szCs w:val="22"/>
        </w:rPr>
        <w:t xml:space="preserve"> ( FK) štúdiách u mladých zdravých dobrovoľníkov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nebola pozorovaná žiadna významná interakcia liečiv </w:t>
      </w:r>
      <w:proofErr w:type="spellStart"/>
      <w:r w:rsidRPr="00AD6B0E">
        <w:rPr>
          <w:rFonts w:eastAsiaTheme="minorHAnsi"/>
          <w:sz w:val="22"/>
          <w:szCs w:val="22"/>
        </w:rPr>
        <w:t>memantínu</w:t>
      </w:r>
      <w:proofErr w:type="spellEnd"/>
      <w:r w:rsidRPr="00AD6B0E">
        <w:rPr>
          <w:rFonts w:eastAsiaTheme="minorHAnsi"/>
          <w:sz w:val="22"/>
          <w:szCs w:val="22"/>
        </w:rPr>
        <w:t xml:space="preserve"> s </w:t>
      </w:r>
      <w:proofErr w:type="spellStart"/>
      <w:r w:rsidRPr="00AD6B0E">
        <w:rPr>
          <w:rFonts w:eastAsiaTheme="minorHAnsi"/>
          <w:sz w:val="22"/>
          <w:szCs w:val="22"/>
        </w:rPr>
        <w:t>glyburidom</w:t>
      </w:r>
      <w:proofErr w:type="spellEnd"/>
      <w:r w:rsidRPr="00AD6B0E">
        <w:rPr>
          <w:rFonts w:eastAsiaTheme="minorHAnsi"/>
          <w:sz w:val="22"/>
          <w:szCs w:val="22"/>
        </w:rPr>
        <w:t>/</w:t>
      </w:r>
      <w:proofErr w:type="spellStart"/>
      <w:r w:rsidRPr="00AD6B0E">
        <w:rPr>
          <w:rFonts w:eastAsiaTheme="minorHAnsi"/>
          <w:sz w:val="22"/>
          <w:szCs w:val="22"/>
        </w:rPr>
        <w:t>metformínom</w:t>
      </w:r>
      <w:proofErr w:type="spellEnd"/>
      <w:r w:rsidRPr="00AD6B0E">
        <w:rPr>
          <w:rFonts w:eastAsiaTheme="minorHAnsi"/>
          <w:sz w:val="22"/>
          <w:szCs w:val="22"/>
        </w:rPr>
        <w:t xml:space="preserve"> alebo s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lastRenderedPageBreak/>
        <w:t>donepezilom</w:t>
      </w:r>
      <w:proofErr w:type="spellEnd"/>
      <w:r w:rsidRPr="00AD6B0E">
        <w:rPr>
          <w:rFonts w:eastAsiaTheme="minorHAnsi"/>
          <w:sz w:val="22"/>
          <w:szCs w:val="22"/>
        </w:rPr>
        <w:t>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V klinickej štúdii u mladých zdravých jedincov nebol pozorovaný žiaden významný účinok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memantínu</w:t>
      </w:r>
      <w:proofErr w:type="spellEnd"/>
      <w:r w:rsidRPr="00AD6B0E">
        <w:rPr>
          <w:rFonts w:eastAsiaTheme="minorHAnsi"/>
          <w:sz w:val="22"/>
          <w:szCs w:val="22"/>
        </w:rPr>
        <w:t xml:space="preserve"> na </w:t>
      </w:r>
      <w:proofErr w:type="spellStart"/>
      <w:r w:rsidRPr="00AD6B0E">
        <w:rPr>
          <w:rFonts w:eastAsiaTheme="minorHAnsi"/>
          <w:sz w:val="22"/>
          <w:szCs w:val="22"/>
        </w:rPr>
        <w:t>farmakokinetiku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galantamínu</w:t>
      </w:r>
      <w:proofErr w:type="spellEnd"/>
      <w:r w:rsidRPr="00AD6B0E">
        <w:rPr>
          <w:rFonts w:eastAsiaTheme="minorHAnsi"/>
          <w:sz w:val="22"/>
          <w:szCs w:val="22"/>
        </w:rPr>
        <w:t>.</w:t>
      </w:r>
    </w:p>
    <w:p w:rsidR="00570E33" w:rsidRPr="00AD6B0E" w:rsidRDefault="00570E33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Memantín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r w:rsidRPr="00AD6B0E">
        <w:rPr>
          <w:rFonts w:eastAsiaTheme="minorHAnsi"/>
          <w:i/>
          <w:iCs/>
          <w:sz w:val="22"/>
          <w:szCs w:val="22"/>
        </w:rPr>
        <w:t xml:space="preserve">in </w:t>
      </w:r>
      <w:proofErr w:type="spellStart"/>
      <w:r w:rsidRPr="00AD6B0E">
        <w:rPr>
          <w:rFonts w:eastAsiaTheme="minorHAnsi"/>
          <w:i/>
          <w:iCs/>
          <w:sz w:val="22"/>
          <w:szCs w:val="22"/>
        </w:rPr>
        <w:t>vitro</w:t>
      </w:r>
      <w:proofErr w:type="spellEnd"/>
      <w:r w:rsidRPr="00AD6B0E">
        <w:rPr>
          <w:rFonts w:eastAsiaTheme="minorHAnsi"/>
          <w:i/>
          <w:iCs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neinhibuje</w:t>
      </w:r>
      <w:proofErr w:type="spellEnd"/>
      <w:r w:rsidRPr="00AD6B0E">
        <w:rPr>
          <w:rFonts w:eastAsiaTheme="minorHAnsi"/>
          <w:sz w:val="22"/>
          <w:szCs w:val="22"/>
        </w:rPr>
        <w:t xml:space="preserve"> CYP 1A2, 2A6, 2C9, 2D6, 2E1, 3A, </w:t>
      </w:r>
      <w:proofErr w:type="spellStart"/>
      <w:r w:rsidRPr="00AD6B0E">
        <w:rPr>
          <w:rFonts w:eastAsiaTheme="minorHAnsi"/>
          <w:sz w:val="22"/>
          <w:szCs w:val="22"/>
        </w:rPr>
        <w:t>flavín</w:t>
      </w:r>
      <w:proofErr w:type="spellEnd"/>
      <w:r w:rsidRPr="00AD6B0E">
        <w:rPr>
          <w:rFonts w:eastAsiaTheme="minorHAnsi"/>
          <w:sz w:val="22"/>
          <w:szCs w:val="22"/>
        </w:rPr>
        <w:t xml:space="preserve"> obsahujúcu </w:t>
      </w:r>
      <w:proofErr w:type="spellStart"/>
      <w:r w:rsidRPr="00AD6B0E">
        <w:rPr>
          <w:rFonts w:eastAsiaTheme="minorHAnsi"/>
          <w:sz w:val="22"/>
          <w:szCs w:val="22"/>
        </w:rPr>
        <w:t>monoxygenázu</w:t>
      </w:r>
      <w:proofErr w:type="spellEnd"/>
      <w:r w:rsidRPr="00AD6B0E">
        <w:rPr>
          <w:rFonts w:eastAsiaTheme="minorHAnsi"/>
          <w:sz w:val="22"/>
          <w:szCs w:val="22"/>
        </w:rPr>
        <w:t>,</w:t>
      </w:r>
    </w:p>
    <w:p w:rsidR="00C03D9D" w:rsidRPr="00AD6B0E" w:rsidRDefault="008B52A9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epoxid </w:t>
      </w:r>
      <w:proofErr w:type="spellStart"/>
      <w:r w:rsidRPr="00AD6B0E">
        <w:rPr>
          <w:rFonts w:eastAsiaTheme="minorHAnsi"/>
          <w:sz w:val="22"/>
          <w:szCs w:val="22"/>
        </w:rPr>
        <w:t>hydrolázu</w:t>
      </w:r>
      <w:proofErr w:type="spellEnd"/>
      <w:r w:rsidRPr="00AD6B0E">
        <w:rPr>
          <w:rFonts w:eastAsiaTheme="minorHAnsi"/>
          <w:sz w:val="22"/>
          <w:szCs w:val="22"/>
        </w:rPr>
        <w:t xml:space="preserve"> alebo </w:t>
      </w:r>
      <w:proofErr w:type="spellStart"/>
      <w:r w:rsidRPr="00AD6B0E">
        <w:rPr>
          <w:rFonts w:eastAsiaTheme="minorHAnsi"/>
          <w:sz w:val="22"/>
          <w:szCs w:val="22"/>
        </w:rPr>
        <w:t>sulfatión</w:t>
      </w:r>
      <w:proofErr w:type="spellEnd"/>
      <w:r w:rsidRPr="00AD6B0E">
        <w:rPr>
          <w:rFonts w:eastAsiaTheme="minorHAnsi"/>
          <w:sz w:val="22"/>
          <w:szCs w:val="22"/>
        </w:rPr>
        <w:t>.</w:t>
      </w:r>
    </w:p>
    <w:p w:rsidR="00C03D9D" w:rsidRPr="00AD6B0E" w:rsidRDefault="00C03D9D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4.6</w:t>
      </w:r>
      <w:r w:rsidRPr="00AD6B0E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AD6B0E">
        <w:rPr>
          <w:rFonts w:ascii="Times New Roman" w:hAnsi="Times New Roman"/>
          <w:i w:val="0"/>
          <w:sz w:val="22"/>
          <w:szCs w:val="22"/>
        </w:rPr>
        <w:t>Fertilita</w:t>
      </w:r>
      <w:proofErr w:type="spellEnd"/>
      <w:r w:rsidRPr="00AD6B0E">
        <w:rPr>
          <w:rFonts w:ascii="Times New Roman" w:hAnsi="Times New Roman"/>
          <w:i w:val="0"/>
          <w:sz w:val="22"/>
          <w:szCs w:val="22"/>
        </w:rPr>
        <w:t>, gravidita a laktácia</w:t>
      </w:r>
    </w:p>
    <w:p w:rsidR="00AA126E" w:rsidRPr="00AD6B0E" w:rsidRDefault="00AA126E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7B6B0B" w:rsidRPr="00AD6B0E" w:rsidRDefault="008B52A9" w:rsidP="004701E5">
      <w:pPr>
        <w:keepNext/>
        <w:rPr>
          <w:sz w:val="22"/>
          <w:szCs w:val="22"/>
          <w:u w:val="single"/>
        </w:rPr>
      </w:pPr>
      <w:r w:rsidRPr="00AD6B0E">
        <w:rPr>
          <w:sz w:val="22"/>
          <w:szCs w:val="22"/>
          <w:u w:val="single"/>
        </w:rPr>
        <w:t>Gravidita</w:t>
      </w:r>
    </w:p>
    <w:p w:rsidR="00C03D9D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hAnsi="Times New Roman" w:cs="Times New Roman"/>
          <w:sz w:val="22"/>
          <w:szCs w:val="22"/>
          <w:lang w:val="sk-SK"/>
        </w:rPr>
        <w:t xml:space="preserve">Nie sú k dispozícii žiadne klinické údaje o gravidných ženách vystavených účinku </w:t>
      </w:r>
      <w:proofErr w:type="spellStart"/>
      <w:r w:rsidRPr="00AD6B0E">
        <w:rPr>
          <w:rFonts w:ascii="Times New Roman" w:hAnsi="Times New Roman" w:cs="Times New Roman"/>
          <w:sz w:val="22"/>
          <w:szCs w:val="22"/>
          <w:lang w:val="sk-SK"/>
        </w:rPr>
        <w:t>memantínu</w:t>
      </w:r>
      <w:proofErr w:type="spellEnd"/>
      <w:r w:rsidRPr="00AD6B0E">
        <w:rPr>
          <w:rFonts w:ascii="Times New Roman" w:hAnsi="Times New Roman" w:cs="Times New Roman"/>
          <w:sz w:val="22"/>
          <w:szCs w:val="22"/>
          <w:lang w:val="sk-SK"/>
        </w:rPr>
        <w:t>. Štúdie</w:t>
      </w:r>
    </w:p>
    <w:p w:rsidR="00C03D9D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hAnsi="Times New Roman" w:cs="Times New Roman"/>
          <w:sz w:val="22"/>
          <w:szCs w:val="22"/>
          <w:lang w:val="sk-SK"/>
        </w:rPr>
        <w:t>na zvieratách naznačujú potenciál pre znížený vnútromaternicový rast pri expozičných hladinách</w:t>
      </w:r>
    </w:p>
    <w:p w:rsidR="00C03D9D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hAnsi="Times New Roman" w:cs="Times New Roman"/>
          <w:sz w:val="22"/>
          <w:szCs w:val="22"/>
          <w:lang w:val="sk-SK"/>
        </w:rPr>
        <w:t>identických alebo mierne vyšších ako u ľudí (pozri časť 5.3). Nie je známe potenciálne riziko pre ľudí.</w:t>
      </w:r>
    </w:p>
    <w:p w:rsidR="007B6B0B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AD6B0E">
        <w:rPr>
          <w:rFonts w:ascii="Times New Roman" w:hAnsi="Times New Roman" w:cs="Times New Roman"/>
          <w:sz w:val="22"/>
          <w:szCs w:val="22"/>
          <w:lang w:val="sk-SK"/>
        </w:rPr>
        <w:t>Memantín</w:t>
      </w:r>
      <w:proofErr w:type="spellEnd"/>
      <w:r w:rsidRPr="00AD6B0E">
        <w:rPr>
          <w:rFonts w:ascii="Times New Roman" w:hAnsi="Times New Roman" w:cs="Times New Roman"/>
          <w:sz w:val="22"/>
          <w:szCs w:val="22"/>
          <w:lang w:val="sk-SK"/>
        </w:rPr>
        <w:t xml:space="preserve"> má byť užívaný počas gravidity iba v nevyhnutných prípadoch.</w:t>
      </w:r>
    </w:p>
    <w:p w:rsidR="00C03D9D" w:rsidRPr="00AD6B0E" w:rsidRDefault="00C03D9D" w:rsidP="004701E5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7B6B0B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Nie je známe, či sa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u žien vylučuje do materského mlieka, ale ak vezmeme do úvahy</w:t>
      </w:r>
    </w:p>
    <w:p w:rsidR="005A00A4" w:rsidRPr="00AD6B0E" w:rsidRDefault="008B52A9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lipofilitu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tejto látky, je to pravdepodobné. Ženy, ktoré užívajú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 nemajú dojčiť.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Fertilita</w:t>
      </w:r>
      <w:proofErr w:type="spellEnd"/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 predklinických štúdiách samčej a samičej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fertility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neboli zaznamenané žiadne nežiaduce účinky</w:t>
      </w:r>
    </w:p>
    <w:p w:rsidR="00C03D9D" w:rsidRPr="00AD6B0E" w:rsidRDefault="008B52A9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sz w:val="22"/>
          <w:szCs w:val="22"/>
        </w:rPr>
        <w:t>.</w:t>
      </w:r>
    </w:p>
    <w:p w:rsidR="00C03D9D" w:rsidRPr="00AD6B0E" w:rsidRDefault="00C03D9D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4.7</w:t>
      </w:r>
      <w:r w:rsidRPr="00AD6B0E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Alzheimerova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choroba stredného až ťažkého stupňa samotná obvykle spôsobuje zhoršenie schopnosti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viesť vozidlá a obsluhovať stroje. Navyše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Cipla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má menší až stredný vplyv na schopnosť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viesť vozidlá a obsluhovať stroje, takže ambulantných pacientov je potrebné upozorniť, aby si dávali</w:t>
      </w:r>
    </w:p>
    <w:p w:rsidR="00AA126E" w:rsidRPr="00AD6B0E" w:rsidRDefault="008B52A9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špeciálny pozor.</w:t>
      </w:r>
    </w:p>
    <w:p w:rsidR="00C03D9D" w:rsidRPr="00AD6B0E" w:rsidRDefault="00C03D9D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4.8</w:t>
      </w:r>
      <w:r w:rsidRPr="00AD6B0E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A00A4" w:rsidRPr="00AD6B0E" w:rsidRDefault="005A00A4" w:rsidP="004701E5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7B6B0B" w:rsidRPr="00AD6B0E" w:rsidRDefault="008B52A9" w:rsidP="004701E5">
      <w:pPr>
        <w:pStyle w:val="Zkladntext"/>
        <w:spacing w:after="0"/>
        <w:rPr>
          <w:sz w:val="22"/>
          <w:szCs w:val="22"/>
          <w:u w:val="single"/>
        </w:rPr>
      </w:pPr>
      <w:r w:rsidRPr="00AD6B0E">
        <w:rPr>
          <w:sz w:val="22"/>
          <w:szCs w:val="22"/>
          <w:u w:val="single"/>
        </w:rPr>
        <w:t>Súhrn bezpečnostného profilu</w:t>
      </w:r>
    </w:p>
    <w:p w:rsidR="007B6B0B" w:rsidRPr="00AD6B0E" w:rsidRDefault="007B6B0B" w:rsidP="004701E5">
      <w:pPr>
        <w:pStyle w:val="Zkladntext"/>
        <w:spacing w:after="0"/>
        <w:rPr>
          <w:sz w:val="22"/>
          <w:szCs w:val="22"/>
          <w:u w:val="single"/>
        </w:rPr>
      </w:pP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V klinických </w:t>
      </w:r>
      <w:r w:rsidR="00AA147B" w:rsidRPr="00AD6B0E">
        <w:rPr>
          <w:rFonts w:eastAsiaTheme="minorHAnsi"/>
          <w:sz w:val="22"/>
          <w:szCs w:val="22"/>
        </w:rPr>
        <w:t>štúdiách miernej až ťažkej demenci</w:t>
      </w:r>
      <w:r w:rsidR="006079EE" w:rsidRPr="00AD6B0E">
        <w:rPr>
          <w:rFonts w:eastAsiaTheme="minorHAnsi"/>
          <w:sz w:val="22"/>
          <w:szCs w:val="22"/>
        </w:rPr>
        <w:t>e</w:t>
      </w:r>
      <w:r w:rsidR="00AA147B" w:rsidRPr="00AD6B0E">
        <w:rPr>
          <w:rFonts w:eastAsiaTheme="minorHAnsi"/>
          <w:sz w:val="22"/>
          <w:szCs w:val="22"/>
        </w:rPr>
        <w:t>,</w:t>
      </w:r>
      <w:r w:rsidR="00CF4AEE" w:rsidRPr="00AD6B0E">
        <w:rPr>
          <w:rFonts w:eastAsiaTheme="minorHAnsi"/>
          <w:sz w:val="22"/>
          <w:szCs w:val="22"/>
        </w:rPr>
        <w:t xml:space="preserve"> ktoré zahŕňali 1784 pacientov liečených </w:t>
      </w:r>
      <w:proofErr w:type="spellStart"/>
      <w:r w:rsidR="00826FE1" w:rsidRPr="00AD6B0E">
        <w:rPr>
          <w:rFonts w:eastAsiaTheme="minorHAnsi"/>
          <w:sz w:val="22"/>
          <w:szCs w:val="22"/>
        </w:rPr>
        <w:t>memantínom</w:t>
      </w:r>
      <w:proofErr w:type="spellEnd"/>
      <w:r w:rsidR="00826FE1" w:rsidRPr="00AD6B0E">
        <w:rPr>
          <w:rFonts w:eastAsiaTheme="minorHAnsi"/>
          <w:sz w:val="22"/>
          <w:szCs w:val="22"/>
        </w:rPr>
        <w:t xml:space="preserve"> </w:t>
      </w:r>
      <w:r w:rsidR="00570E33" w:rsidRPr="00AD6B0E">
        <w:rPr>
          <w:rFonts w:eastAsiaTheme="minorHAnsi"/>
          <w:sz w:val="22"/>
          <w:szCs w:val="22"/>
        </w:rPr>
        <w:t xml:space="preserve">a </w:t>
      </w:r>
      <w:r w:rsidR="00CF4AEE" w:rsidRPr="00AD6B0E">
        <w:rPr>
          <w:rFonts w:eastAsiaTheme="minorHAnsi"/>
          <w:sz w:val="22"/>
          <w:szCs w:val="22"/>
        </w:rPr>
        <w:t xml:space="preserve">1595 pacientov, ktorí užívali </w:t>
      </w:r>
      <w:proofErr w:type="spellStart"/>
      <w:r w:rsidR="00CF4AEE" w:rsidRPr="00AD6B0E">
        <w:rPr>
          <w:rFonts w:eastAsiaTheme="minorHAnsi"/>
          <w:sz w:val="22"/>
          <w:szCs w:val="22"/>
        </w:rPr>
        <w:t>placebo</w:t>
      </w:r>
      <w:proofErr w:type="spellEnd"/>
      <w:r w:rsidR="00CF4AEE" w:rsidRPr="00AD6B0E">
        <w:rPr>
          <w:rFonts w:eastAsiaTheme="minorHAnsi"/>
          <w:sz w:val="22"/>
          <w:szCs w:val="22"/>
        </w:rPr>
        <w:t>, sa celkový výskyt nežiaducich účinkov pri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liečbe 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 nelíšil od výskytu pri </w:t>
      </w:r>
      <w:proofErr w:type="spellStart"/>
      <w:r w:rsidRPr="00AD6B0E">
        <w:rPr>
          <w:rFonts w:eastAsiaTheme="minorHAnsi"/>
          <w:sz w:val="22"/>
          <w:szCs w:val="22"/>
        </w:rPr>
        <w:t>placebe</w:t>
      </w:r>
      <w:proofErr w:type="spellEnd"/>
      <w:r w:rsidRPr="00AD6B0E">
        <w:rPr>
          <w:rFonts w:eastAsiaTheme="minorHAnsi"/>
          <w:sz w:val="22"/>
          <w:szCs w:val="22"/>
        </w:rPr>
        <w:t xml:space="preserve"> a nežiaduce účinky boli obvykle miernej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až strednej závažnosti. Najčastejšie sa vyskytujúce nežiaduce účinky s vyšším výskytom v skupine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s 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voči </w:t>
      </w:r>
      <w:proofErr w:type="spellStart"/>
      <w:r w:rsidRPr="00AD6B0E">
        <w:rPr>
          <w:rFonts w:eastAsiaTheme="minorHAnsi"/>
          <w:sz w:val="22"/>
          <w:szCs w:val="22"/>
        </w:rPr>
        <w:t>placebovej</w:t>
      </w:r>
      <w:proofErr w:type="spellEnd"/>
      <w:r w:rsidRPr="00AD6B0E">
        <w:rPr>
          <w:rFonts w:eastAsiaTheme="minorHAnsi"/>
          <w:sz w:val="22"/>
          <w:szCs w:val="22"/>
        </w:rPr>
        <w:t xml:space="preserve"> skupine boli závraty (6,3% voči 5,6%), bolesti hlavy (5,2% voči 3,9%),</w:t>
      </w:r>
      <w:r w:rsidR="00CF4AEE" w:rsidRPr="00AD6B0E">
        <w:rPr>
          <w:rFonts w:eastAsiaTheme="minorHAnsi"/>
          <w:sz w:val="22"/>
          <w:szCs w:val="22"/>
        </w:rPr>
        <w:t>zápcha (4,6% voči 2,6%), ospalosť (3,4% voči 2,2%) a hypertenzia (4,1% voči 2,8%).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Nasledujúce nežiaduce účinky v doleuvedenej tabuľke boli zozbierané z klinických štúdií s 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a z obdobia od jeho uvedenia na trh. V rámci jednotlivých skupín frekvencií sú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nežiaduce účinky usporiadané v poradí klesajúcej závažnosti.</w:t>
      </w:r>
    </w:p>
    <w:p w:rsidR="00570E33" w:rsidRPr="00AD6B0E" w:rsidRDefault="00570E33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F4AEE" w:rsidRPr="00AD6B0E" w:rsidRDefault="008B52A9" w:rsidP="004701E5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</w:rPr>
      </w:pPr>
      <w:r w:rsidRPr="00AD6B0E">
        <w:rPr>
          <w:rFonts w:eastAsiaTheme="minorHAnsi"/>
          <w:i/>
          <w:iCs/>
          <w:sz w:val="22"/>
          <w:szCs w:val="22"/>
        </w:rPr>
        <w:t>Tabuľkový zoznam nežiaducich reakcií</w:t>
      </w:r>
    </w:p>
    <w:p w:rsidR="00CF4AEE" w:rsidRPr="00AD6B0E" w:rsidRDefault="008B52A9" w:rsidP="004701E5">
      <w:pPr>
        <w:pStyle w:val="Zkladntext"/>
        <w:spacing w:after="0"/>
        <w:rPr>
          <w:sz w:val="22"/>
          <w:szCs w:val="22"/>
          <w:u w:val="single"/>
        </w:rPr>
      </w:pPr>
      <w:r w:rsidRPr="00AD6B0E">
        <w:rPr>
          <w:rFonts w:eastAsiaTheme="minorHAnsi"/>
          <w:sz w:val="22"/>
          <w:szCs w:val="22"/>
        </w:rPr>
        <w:t>Nežiaduce účinky sú zoradené podľa tried orgánových systémov pri použití nasledovnej konvencie:</w:t>
      </w:r>
    </w:p>
    <w:p w:rsidR="00CF4AEE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veľmi časté (</w:t>
      </w:r>
      <w:r w:rsidRPr="00AD6B0E">
        <w:rPr>
          <w:rFonts w:ascii="SymbolMT" w:eastAsia="SymbolMT" w:hAnsi="TimesNewRoman" w:cs="SymbolMT"/>
          <w:sz w:val="22"/>
          <w:szCs w:val="22"/>
        </w:rPr>
        <w:t>≥</w:t>
      </w:r>
      <w:r w:rsidRPr="00AD6B0E">
        <w:rPr>
          <w:rFonts w:ascii="TimesNewRoman" w:eastAsiaTheme="minorHAnsi" w:hAnsi="TimesNewRoman" w:cs="TimesNewRoman"/>
          <w:sz w:val="22"/>
          <w:szCs w:val="22"/>
        </w:rPr>
        <w:t>1/10), časté (</w:t>
      </w:r>
      <w:r w:rsidRPr="00AD6B0E">
        <w:rPr>
          <w:rFonts w:ascii="SymbolMT" w:eastAsia="SymbolMT" w:hAnsi="TimesNewRoman" w:cs="SymbolMT"/>
          <w:sz w:val="22"/>
          <w:szCs w:val="22"/>
        </w:rPr>
        <w:t>≥</w:t>
      </w:r>
      <w:r w:rsidRPr="00AD6B0E">
        <w:rPr>
          <w:rFonts w:ascii="TimesNewRoman" w:eastAsiaTheme="minorHAnsi" w:hAnsi="TimesNewRoman" w:cs="TimesNewRoman"/>
          <w:sz w:val="22"/>
          <w:szCs w:val="22"/>
        </w:rPr>
        <w:t>1/100 až &lt;1/10), menej časté (</w:t>
      </w:r>
      <w:r w:rsidRPr="00AD6B0E">
        <w:rPr>
          <w:rFonts w:ascii="SymbolMT" w:eastAsia="SymbolMT" w:hAnsi="TimesNewRoman" w:cs="SymbolMT"/>
          <w:sz w:val="22"/>
          <w:szCs w:val="22"/>
        </w:rPr>
        <w:t>≥</w:t>
      </w:r>
      <w:r w:rsidRPr="00AD6B0E">
        <w:rPr>
          <w:rFonts w:ascii="TimesNewRoman" w:eastAsiaTheme="minorHAnsi" w:hAnsi="TimesNewRoman" w:cs="TimesNewRoman"/>
          <w:sz w:val="22"/>
          <w:szCs w:val="22"/>
        </w:rPr>
        <w:t>1/1 000 až &lt;1/100), zriedkavé (</w:t>
      </w:r>
      <w:r w:rsidRPr="00AD6B0E">
        <w:rPr>
          <w:rFonts w:ascii="SymbolMT" w:eastAsia="SymbolMT" w:hAnsi="TimesNewRoman" w:cs="SymbolMT"/>
          <w:sz w:val="22"/>
          <w:szCs w:val="22"/>
        </w:rPr>
        <w:t>≥</w:t>
      </w:r>
      <w:r w:rsidRPr="00AD6B0E">
        <w:rPr>
          <w:rFonts w:ascii="TimesNewRoman" w:eastAsiaTheme="minorHAnsi" w:hAnsi="TimesNewRoman" w:cs="TimesNewRoman"/>
          <w:sz w:val="22"/>
          <w:szCs w:val="22"/>
        </w:rPr>
        <w:t>1/10 000</w:t>
      </w:r>
    </w:p>
    <w:p w:rsidR="00CF4AEE" w:rsidRPr="00AD6B0E" w:rsidRDefault="008B52A9" w:rsidP="004701E5">
      <w:pPr>
        <w:pStyle w:val="Zkladntext"/>
        <w:spacing w:after="0"/>
        <w:rPr>
          <w:sz w:val="22"/>
          <w:szCs w:val="22"/>
          <w:u w:val="single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až &lt;1/1 000), veľmi zriedkavé (&lt;1/10 000), neznáme (nedajú sa určiť z dostupných údajov).</w:t>
      </w:r>
    </w:p>
    <w:p w:rsidR="00CF4AEE" w:rsidRPr="00AD6B0E" w:rsidRDefault="00CF4AEE" w:rsidP="004701E5">
      <w:pPr>
        <w:pStyle w:val="Zkladntext"/>
        <w:spacing w:after="0"/>
        <w:rPr>
          <w:sz w:val="22"/>
          <w:szCs w:val="22"/>
          <w:u w:val="single"/>
        </w:rPr>
      </w:pPr>
    </w:p>
    <w:p w:rsidR="00CF4AEE" w:rsidRPr="00AD6B0E" w:rsidRDefault="00CF4AEE" w:rsidP="004701E5">
      <w:pPr>
        <w:pStyle w:val="Normlnywebov"/>
        <w:spacing w:before="0" w:beforeAutospacing="0" w:after="0" w:afterAutospacing="0"/>
        <w:ind w:left="-90" w:right="14"/>
        <w:contextualSpacing/>
        <w:rPr>
          <w:sz w:val="22"/>
          <w:szCs w:val="22"/>
          <w:lang w:val="sk-SK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53"/>
        <w:gridCol w:w="2283"/>
        <w:gridCol w:w="3196"/>
      </w:tblGrid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8B52A9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 w:eastAsia="en-IN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 w:eastAsia="en-IN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Plesňové infekcie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Precitlivenosť na liek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A9B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Ospalosť</w:t>
            </w:r>
          </w:p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Zmätenosť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Halucinácie</w:t>
            </w:r>
            <w:r w:rsidRPr="00AD6B0E">
              <w:rPr>
                <w:color w:val="000000"/>
                <w:sz w:val="22"/>
                <w:szCs w:val="22"/>
                <w:vertAlign w:val="superscript"/>
                <w:lang w:val="sk-SK"/>
              </w:rPr>
              <w:t>1</w:t>
            </w:r>
          </w:p>
          <w:p w:rsidR="00CF4AEE" w:rsidRPr="00AD6B0E" w:rsidRDefault="00AA147B" w:rsidP="00AD6B0E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Psychotic</w:t>
            </w:r>
            <w:r w:rsidR="00AD6B0E" w:rsidRPr="00AD6B0E">
              <w:rPr>
                <w:color w:val="000000"/>
                <w:sz w:val="22"/>
                <w:szCs w:val="22"/>
                <w:lang w:val="sk-SK"/>
              </w:rPr>
              <w:t>ké</w:t>
            </w:r>
            <w:r w:rsidRPr="00AD6B0E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AD6B0E" w:rsidRPr="00AD6B0E">
              <w:rPr>
                <w:color w:val="000000"/>
                <w:sz w:val="22"/>
                <w:szCs w:val="22"/>
                <w:lang w:val="sk-SK"/>
              </w:rPr>
              <w:t>reakcie</w:t>
            </w:r>
            <w:r w:rsidR="00AD6B0E" w:rsidRPr="00AD6B0E">
              <w:rPr>
                <w:color w:val="000000"/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Závrat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Por</w:t>
            </w:r>
            <w:r>
              <w:rPr>
                <w:color w:val="000000"/>
                <w:sz w:val="22"/>
                <w:szCs w:val="22"/>
                <w:lang w:val="sk-SK"/>
              </w:rPr>
              <w:t>uch</w:t>
            </w:r>
            <w:bookmarkStart w:id="0" w:name="_GoBack"/>
            <w:bookmarkEnd w:id="0"/>
            <w:r w:rsidRPr="00AD6B0E">
              <w:rPr>
                <w:color w:val="000000"/>
                <w:sz w:val="22"/>
                <w:szCs w:val="22"/>
                <w:lang w:val="sk-SK"/>
              </w:rPr>
              <w:t>a rovnováhy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Nesprávna chôdza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Záchvaty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Srdcové zlyhávanie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Hypertenzia</w:t>
            </w:r>
          </w:p>
          <w:p w:rsidR="00CF4AEE" w:rsidRPr="00AD6B0E" w:rsidRDefault="00AD6B0E" w:rsidP="00AD6B0E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Žilová trombóza</w:t>
            </w:r>
            <w:r w:rsidR="00AA147B" w:rsidRPr="00AD6B0E">
              <w:rPr>
                <w:color w:val="000000"/>
                <w:sz w:val="22"/>
                <w:szCs w:val="22"/>
                <w:lang w:val="sk-SK"/>
              </w:rPr>
              <w:t xml:space="preserve">/ </w:t>
            </w:r>
            <w:proofErr w:type="spellStart"/>
            <w:r w:rsidRPr="00AD6B0E">
              <w:rPr>
                <w:color w:val="000000"/>
                <w:sz w:val="22"/>
                <w:szCs w:val="22"/>
                <w:lang w:val="sk-SK"/>
              </w:rPr>
              <w:t>tromboembólia</w:t>
            </w:r>
            <w:proofErr w:type="spellEnd"/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A9B" w:rsidRPr="00AD6B0E" w:rsidRDefault="00EA4A9B" w:rsidP="004701E5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</w:rPr>
              <w:t>Poruchy dýchacej sústavy, hrudníka a</w:t>
            </w:r>
          </w:p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proofErr w:type="spellStart"/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A147B" w:rsidP="00AD6B0E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proofErr w:type="spellStart"/>
            <w:r w:rsidRPr="00AD6B0E">
              <w:rPr>
                <w:color w:val="000000"/>
                <w:sz w:val="22"/>
                <w:szCs w:val="22"/>
                <w:lang w:val="sk-SK"/>
              </w:rPr>
              <w:t>Dyspnoe</w:t>
            </w:r>
            <w:proofErr w:type="spellEnd"/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Zápcha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Vracanie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Pankreatitída</w:t>
            </w:r>
            <w:r w:rsidRPr="00AD6B0E">
              <w:rPr>
                <w:color w:val="000000"/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 xml:space="preserve">Zvýšené </w:t>
            </w:r>
            <w:r w:rsidR="00D4541D">
              <w:rPr>
                <w:color w:val="000000"/>
                <w:sz w:val="22"/>
                <w:szCs w:val="22"/>
                <w:lang w:val="sk-SK"/>
              </w:rPr>
              <w:t xml:space="preserve">hodnoty </w:t>
            </w:r>
            <w:r w:rsidRPr="00AD6B0E">
              <w:rPr>
                <w:color w:val="000000"/>
                <w:sz w:val="22"/>
                <w:szCs w:val="22"/>
                <w:lang w:val="sk-SK"/>
              </w:rPr>
              <w:t>test</w:t>
            </w:r>
            <w:r w:rsidR="00D4541D">
              <w:rPr>
                <w:color w:val="000000"/>
                <w:sz w:val="22"/>
                <w:szCs w:val="22"/>
                <w:lang w:val="sk-SK"/>
              </w:rPr>
              <w:t>ov</w:t>
            </w:r>
            <w:r w:rsidRPr="00AD6B0E">
              <w:rPr>
                <w:color w:val="000000"/>
                <w:sz w:val="22"/>
                <w:szCs w:val="22"/>
                <w:lang w:val="sk-SK"/>
              </w:rPr>
              <w:t xml:space="preserve"> na funkciu pečene</w:t>
            </w:r>
          </w:p>
          <w:p w:rsidR="00CF4AEE" w:rsidRPr="00AD6B0E" w:rsidRDefault="00AD6B0E" w:rsidP="00AD6B0E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Hepatitída</w:t>
            </w:r>
          </w:p>
        </w:tc>
      </w:tr>
      <w:tr w:rsidR="00CF4AEE" w:rsidRPr="00AD6B0E" w:rsidTr="00F15A9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A9B" w:rsidRPr="00AD6B0E" w:rsidRDefault="00EA4A9B" w:rsidP="004701E5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</w:rPr>
              <w:t>Celkové poruchy a reakcie v mieste</w:t>
            </w:r>
          </w:p>
          <w:p w:rsidR="00CF4AEE" w:rsidRPr="00AD6B0E" w:rsidRDefault="00EA4A9B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rFonts w:ascii="TimesNewRoman" w:eastAsiaTheme="minorHAnsi" w:hAnsi="TimesNewRoman" w:cs="TimesNewRoman"/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Časté</w:t>
            </w:r>
          </w:p>
          <w:p w:rsidR="00CF4AEE" w:rsidRPr="00AD6B0E" w:rsidRDefault="00CF4AE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Bolesť hlavy</w:t>
            </w:r>
          </w:p>
          <w:p w:rsidR="00CF4AEE" w:rsidRPr="00AD6B0E" w:rsidRDefault="00AD6B0E" w:rsidP="004701E5">
            <w:pPr>
              <w:pStyle w:val="Normlnywebov"/>
              <w:spacing w:before="0" w:beforeAutospacing="0" w:after="0" w:afterAutospacing="0"/>
              <w:rPr>
                <w:color w:val="000000"/>
                <w:lang w:val="sk-SK"/>
              </w:rPr>
            </w:pPr>
            <w:r w:rsidRPr="00AD6B0E">
              <w:rPr>
                <w:color w:val="000000"/>
                <w:sz w:val="22"/>
                <w:szCs w:val="22"/>
                <w:lang w:val="sk-SK"/>
              </w:rPr>
              <w:t>Únava</w:t>
            </w:r>
          </w:p>
        </w:tc>
      </w:tr>
    </w:tbl>
    <w:p w:rsidR="00CF4AEE" w:rsidRPr="00AD6B0E" w:rsidRDefault="00CF4AEE" w:rsidP="004701E5">
      <w:pPr>
        <w:pStyle w:val="Normlnywebov"/>
        <w:spacing w:before="0" w:beforeAutospacing="0" w:after="0" w:afterAutospacing="0"/>
        <w:ind w:left="-90" w:right="14"/>
        <w:contextualSpacing/>
        <w:rPr>
          <w:sz w:val="22"/>
          <w:szCs w:val="22"/>
          <w:lang w:val="sk-SK"/>
        </w:rPr>
      </w:pPr>
    </w:p>
    <w:p w:rsidR="00CF4AEE" w:rsidRPr="00AD6B0E" w:rsidRDefault="00AA147B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1 </w:t>
      </w:r>
      <w:r w:rsidR="00CF4AEE" w:rsidRPr="00AD6B0E">
        <w:rPr>
          <w:rFonts w:ascii="TimesNewRoman" w:eastAsiaTheme="minorHAnsi" w:hAnsi="TimesNewRoman" w:cs="TimesNewRoman"/>
          <w:sz w:val="22"/>
          <w:szCs w:val="22"/>
        </w:rPr>
        <w:t xml:space="preserve">Halucinácie boli pozorované hlavne u pacientov s ťažkým stupňom </w:t>
      </w:r>
      <w:proofErr w:type="spellStart"/>
      <w:r w:rsidR="00CF4AEE" w:rsidRPr="00AD6B0E">
        <w:rPr>
          <w:rFonts w:ascii="TimesNewRoman" w:eastAsiaTheme="minorHAnsi" w:hAnsi="TimesNewRoman" w:cs="TimesNewRoman"/>
          <w:sz w:val="22"/>
          <w:szCs w:val="22"/>
        </w:rPr>
        <w:t>Alzheimerovej</w:t>
      </w:r>
      <w:proofErr w:type="spellEnd"/>
      <w:r w:rsidR="00CF4AEE" w:rsidRPr="00AD6B0E">
        <w:rPr>
          <w:rFonts w:ascii="TimesNewRoman" w:eastAsiaTheme="minorHAnsi" w:hAnsi="TimesNewRoman" w:cs="TimesNewRoman"/>
          <w:sz w:val="22"/>
          <w:szCs w:val="22"/>
        </w:rPr>
        <w:t xml:space="preserve"> choroby.</w:t>
      </w:r>
    </w:p>
    <w:p w:rsidR="00CF4AEE" w:rsidRPr="00AD6B0E" w:rsidRDefault="00AA147B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2 </w:t>
      </w:r>
      <w:r w:rsidR="00CF4AEE" w:rsidRPr="00AD6B0E">
        <w:rPr>
          <w:rFonts w:ascii="TimesNewRoman" w:eastAsiaTheme="minorHAnsi" w:hAnsi="TimesNewRoman" w:cs="TimesNewRoman"/>
          <w:sz w:val="22"/>
          <w:szCs w:val="22"/>
        </w:rPr>
        <w:t xml:space="preserve">Ojedinelé prípady zaznamenané z </w:t>
      </w:r>
      <w:proofErr w:type="spellStart"/>
      <w:r w:rsidR="00CF4AEE" w:rsidRPr="00AD6B0E">
        <w:rPr>
          <w:rFonts w:ascii="TimesNewRoman" w:eastAsiaTheme="minorHAnsi" w:hAnsi="TimesNewRoman" w:cs="TimesNewRoman"/>
          <w:sz w:val="22"/>
          <w:szCs w:val="22"/>
        </w:rPr>
        <w:t>postmarketingového</w:t>
      </w:r>
      <w:proofErr w:type="spellEnd"/>
      <w:r w:rsidR="00CF4AEE" w:rsidRPr="00AD6B0E">
        <w:rPr>
          <w:rFonts w:ascii="TimesNewRoman" w:eastAsiaTheme="minorHAnsi" w:hAnsi="TimesNewRoman" w:cs="TimesNewRoman"/>
          <w:sz w:val="22"/>
          <w:szCs w:val="22"/>
        </w:rPr>
        <w:t xml:space="preserve"> sledovania.</w:t>
      </w:r>
    </w:p>
    <w:p w:rsidR="00CF4AEE" w:rsidRPr="00AD6B0E" w:rsidRDefault="00CF4AEE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CF4AEE" w:rsidRPr="00AD6B0E" w:rsidRDefault="00CF4AEE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Alzheimerova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choroba býva sprevádzaná depresiou, samovražednými predstavami 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suicídiom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CF4AEE" w:rsidRPr="00AD6B0E" w:rsidRDefault="00CF4AEE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postmarketingovom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sledovaní boli tieto udalosti hlásené u pacientov liečených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memantínom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CF4AEE" w:rsidRPr="00AD6B0E" w:rsidRDefault="00CF4AEE" w:rsidP="004701E5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8B49CE" w:rsidRPr="00AD6B0E" w:rsidRDefault="008B52A9" w:rsidP="004701E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D6B0E">
        <w:rPr>
          <w:noProof/>
          <w:sz w:val="22"/>
          <w:szCs w:val="22"/>
          <w:u w:val="single"/>
        </w:rPr>
        <w:t>Hlásenie podozrení na nežiaduce reakcie</w:t>
      </w:r>
    </w:p>
    <w:p w:rsidR="008B49CE" w:rsidRPr="00AD6B0E" w:rsidRDefault="008B52A9" w:rsidP="004701E5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D6B0E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Pr="00AD6B0E">
        <w:rPr>
          <w:noProof/>
          <w:sz w:val="22"/>
          <w:szCs w:val="22"/>
        </w:rPr>
        <w:t>prostredníctvom národného systému hlásenia uvedeného v Prílohe V.</w:t>
      </w:r>
    </w:p>
    <w:p w:rsidR="005A00A4" w:rsidRPr="00AD6B0E" w:rsidRDefault="005A00A4" w:rsidP="004701E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4.9</w:t>
      </w:r>
      <w:r w:rsidRPr="00AD6B0E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A00A4" w:rsidRPr="00AD6B0E" w:rsidRDefault="005A00A4" w:rsidP="004701E5">
      <w:pPr>
        <w:jc w:val="both"/>
        <w:rPr>
          <w:iCs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Z klinických štúdií a </w:t>
      </w:r>
      <w:proofErr w:type="spellStart"/>
      <w:r w:rsidRPr="00AD6B0E">
        <w:rPr>
          <w:rFonts w:eastAsiaTheme="minorHAnsi"/>
          <w:sz w:val="22"/>
          <w:szCs w:val="22"/>
        </w:rPr>
        <w:t>post-marketingovej</w:t>
      </w:r>
      <w:proofErr w:type="spellEnd"/>
      <w:r w:rsidRPr="00AD6B0E">
        <w:rPr>
          <w:rFonts w:eastAsiaTheme="minorHAnsi"/>
          <w:sz w:val="22"/>
          <w:szCs w:val="22"/>
        </w:rPr>
        <w:t xml:space="preserve"> praxe sú dostupné len obmedzené skúsenosti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s predávkovaním.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i/>
          <w:iCs/>
          <w:sz w:val="22"/>
          <w:szCs w:val="22"/>
        </w:rPr>
        <w:t>Symptómy</w:t>
      </w:r>
      <w:r w:rsidRPr="00AD6B0E">
        <w:rPr>
          <w:rFonts w:eastAsiaTheme="minorHAnsi"/>
          <w:sz w:val="22"/>
          <w:szCs w:val="22"/>
        </w:rPr>
        <w:t xml:space="preserve">: Pomerne široký interval predávkovania (od 200 mg do 105 mg/deň počas 3 </w:t>
      </w:r>
      <w:proofErr w:type="spellStart"/>
      <w:r w:rsidRPr="00AD6B0E">
        <w:rPr>
          <w:rFonts w:eastAsiaTheme="minorHAnsi"/>
          <w:sz w:val="22"/>
          <w:szCs w:val="22"/>
        </w:rPr>
        <w:t>dní,</w:t>
      </w:r>
      <w:r w:rsidR="00E24193" w:rsidRPr="00AD6B0E">
        <w:rPr>
          <w:rFonts w:eastAsiaTheme="minorHAnsi"/>
          <w:sz w:val="22"/>
          <w:szCs w:val="22"/>
        </w:rPr>
        <w:t>v</w:t>
      </w:r>
      <w:proofErr w:type="spellEnd"/>
      <w:r w:rsidR="00E24193" w:rsidRPr="00AD6B0E">
        <w:rPr>
          <w:rFonts w:eastAsiaTheme="minorHAnsi"/>
          <w:sz w:val="22"/>
          <w:szCs w:val="22"/>
        </w:rPr>
        <w:t> uvedenom poradí</w:t>
      </w:r>
      <w:r w:rsidR="00C03D9D" w:rsidRPr="00AD6B0E">
        <w:rPr>
          <w:rFonts w:eastAsiaTheme="minorHAnsi"/>
          <w:sz w:val="22"/>
          <w:szCs w:val="22"/>
        </w:rPr>
        <w:t>)</w:t>
      </w:r>
      <w:r w:rsidR="00E24193" w:rsidRPr="00AD6B0E">
        <w:rPr>
          <w:rFonts w:eastAsiaTheme="minorHAnsi"/>
          <w:sz w:val="22"/>
          <w:szCs w:val="22"/>
        </w:rPr>
        <w:t xml:space="preserve"> </w:t>
      </w:r>
      <w:r w:rsidR="00C03D9D" w:rsidRPr="00AD6B0E">
        <w:rPr>
          <w:rFonts w:eastAsiaTheme="minorHAnsi"/>
          <w:sz w:val="22"/>
          <w:szCs w:val="22"/>
        </w:rPr>
        <w:t>je spojený buď s príznakmi ako sú únava, slabosť a/alebo hnačka, alebo so žiadnymi príznakmi. V</w:t>
      </w:r>
      <w:r w:rsidR="00E24193" w:rsidRPr="00AD6B0E">
        <w:rPr>
          <w:rFonts w:eastAsiaTheme="minorHAnsi"/>
          <w:sz w:val="22"/>
          <w:szCs w:val="22"/>
        </w:rPr>
        <w:t xml:space="preserve"> </w:t>
      </w:r>
      <w:r w:rsidR="00C03D9D" w:rsidRPr="00AD6B0E">
        <w:rPr>
          <w:rFonts w:eastAsiaTheme="minorHAnsi"/>
          <w:sz w:val="22"/>
          <w:szCs w:val="22"/>
        </w:rPr>
        <w:t>prípadoch predávkovania nižšími dávkami ako 140 mg dávkou alebo neznámou dávkou sa u</w:t>
      </w:r>
      <w:r w:rsidR="00E24193" w:rsidRPr="00AD6B0E">
        <w:rPr>
          <w:rFonts w:eastAsiaTheme="minorHAnsi"/>
          <w:sz w:val="22"/>
          <w:szCs w:val="22"/>
        </w:rPr>
        <w:t> </w:t>
      </w:r>
      <w:r w:rsidR="00C03D9D" w:rsidRPr="00AD6B0E">
        <w:rPr>
          <w:rFonts w:eastAsiaTheme="minorHAnsi"/>
          <w:sz w:val="22"/>
          <w:szCs w:val="22"/>
        </w:rPr>
        <w:t>pacienta</w:t>
      </w:r>
      <w:r w:rsidR="00E24193" w:rsidRPr="00AD6B0E">
        <w:rPr>
          <w:rFonts w:eastAsiaTheme="minorHAnsi"/>
          <w:sz w:val="22"/>
          <w:szCs w:val="22"/>
        </w:rPr>
        <w:t xml:space="preserve"> </w:t>
      </w:r>
      <w:r w:rsidR="00C03D9D" w:rsidRPr="00AD6B0E">
        <w:rPr>
          <w:rFonts w:eastAsiaTheme="minorHAnsi"/>
          <w:sz w:val="22"/>
          <w:szCs w:val="22"/>
        </w:rPr>
        <w:t xml:space="preserve">prejavili príznaky ovplyvnenia centrálneho nervového systému (zmätenosť, ospanlivosť, </w:t>
      </w:r>
      <w:proofErr w:type="spellStart"/>
      <w:r w:rsidR="00C03D9D" w:rsidRPr="00AD6B0E">
        <w:rPr>
          <w:rFonts w:eastAsiaTheme="minorHAnsi"/>
          <w:sz w:val="22"/>
          <w:szCs w:val="22"/>
        </w:rPr>
        <w:t>somnolencia</w:t>
      </w:r>
      <w:proofErr w:type="spellEnd"/>
      <w:r w:rsidR="00C03D9D" w:rsidRPr="00AD6B0E">
        <w:rPr>
          <w:rFonts w:eastAsiaTheme="minorHAnsi"/>
          <w:sz w:val="22"/>
          <w:szCs w:val="22"/>
        </w:rPr>
        <w:t>,</w:t>
      </w:r>
      <w:r w:rsidR="00E24193" w:rsidRPr="00AD6B0E">
        <w:rPr>
          <w:rFonts w:eastAsiaTheme="minorHAnsi"/>
          <w:sz w:val="22"/>
          <w:szCs w:val="22"/>
        </w:rPr>
        <w:t xml:space="preserve"> </w:t>
      </w:r>
      <w:r w:rsidR="00C03D9D" w:rsidRPr="00AD6B0E">
        <w:rPr>
          <w:rFonts w:eastAsiaTheme="minorHAnsi"/>
          <w:sz w:val="22"/>
          <w:szCs w:val="22"/>
        </w:rPr>
        <w:t xml:space="preserve">závraty, nepokoj, agresivita, halucinácie a poruchy chôdze) a/alebo ťažkosti </w:t>
      </w:r>
      <w:proofErr w:type="spellStart"/>
      <w:r w:rsidR="00C03D9D" w:rsidRPr="00AD6B0E">
        <w:rPr>
          <w:rFonts w:eastAsiaTheme="minorHAnsi"/>
          <w:sz w:val="22"/>
          <w:szCs w:val="22"/>
        </w:rPr>
        <w:t>gastrointestinálneho</w:t>
      </w:r>
      <w:proofErr w:type="spellEnd"/>
      <w:r w:rsidR="00E24193" w:rsidRPr="00AD6B0E">
        <w:rPr>
          <w:rFonts w:eastAsiaTheme="minorHAnsi"/>
          <w:sz w:val="22"/>
          <w:szCs w:val="22"/>
        </w:rPr>
        <w:t xml:space="preserve"> </w:t>
      </w:r>
      <w:r w:rsidR="00C03D9D" w:rsidRPr="00AD6B0E">
        <w:rPr>
          <w:rFonts w:eastAsiaTheme="minorHAnsi"/>
          <w:sz w:val="22"/>
          <w:szCs w:val="22"/>
        </w:rPr>
        <w:t>pôvodu (zvracanie a hnačka).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Vo veľmi extrémnom prípade predávkovania, pacient prežil perorálne užitú dávku v celkovom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množstve 2000 mg </w:t>
      </w:r>
      <w:proofErr w:type="spellStart"/>
      <w:r w:rsidRPr="00AD6B0E">
        <w:rPr>
          <w:rFonts w:eastAsiaTheme="minorHAnsi"/>
          <w:sz w:val="22"/>
          <w:szCs w:val="22"/>
        </w:rPr>
        <w:t>memantínu</w:t>
      </w:r>
      <w:proofErr w:type="spellEnd"/>
      <w:r w:rsidRPr="00AD6B0E">
        <w:rPr>
          <w:rFonts w:eastAsiaTheme="minorHAnsi"/>
          <w:sz w:val="22"/>
          <w:szCs w:val="22"/>
        </w:rPr>
        <w:t xml:space="preserve"> s účinkami na centrálny nervový systém (kóma počas 10 dní, a neskôr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diplopia</w:t>
      </w:r>
      <w:proofErr w:type="spellEnd"/>
      <w:r w:rsidRPr="00AD6B0E">
        <w:rPr>
          <w:rFonts w:eastAsiaTheme="minorHAnsi"/>
          <w:sz w:val="22"/>
          <w:szCs w:val="22"/>
        </w:rPr>
        <w:t xml:space="preserve"> a nepokoj). Pacientovi bola podaná symptomatická liečba a </w:t>
      </w:r>
      <w:proofErr w:type="spellStart"/>
      <w:r w:rsidRPr="00AD6B0E">
        <w:rPr>
          <w:rFonts w:eastAsiaTheme="minorHAnsi"/>
          <w:sz w:val="22"/>
          <w:szCs w:val="22"/>
        </w:rPr>
        <w:t>plazmaferéza</w:t>
      </w:r>
      <w:proofErr w:type="spellEnd"/>
      <w:r w:rsidRPr="00AD6B0E">
        <w:rPr>
          <w:rFonts w:eastAsiaTheme="minorHAnsi"/>
          <w:sz w:val="22"/>
          <w:szCs w:val="22"/>
        </w:rPr>
        <w:t>. Pacient sa zotavil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bez trvalých následkov na zdraví.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V inom prípade značného predávkovania pacient taktiež prežil a zotavil sa. Po užití 400 mg perorálnej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lastRenderedPageBreak/>
        <w:t>dávky sa u pacienta prejavili príznaky ovplyvnenia centrálneho nervového systému (ako je nepokoj,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psychóza, zrakové halucinácie, stav pred vznikom kŕčov, ospalosť, </w:t>
      </w:r>
      <w:proofErr w:type="spellStart"/>
      <w:r w:rsidRPr="00AD6B0E">
        <w:rPr>
          <w:rFonts w:eastAsiaTheme="minorHAnsi"/>
          <w:sz w:val="22"/>
          <w:szCs w:val="22"/>
        </w:rPr>
        <w:t>stupor</w:t>
      </w:r>
      <w:proofErr w:type="spellEnd"/>
      <w:r w:rsidRPr="00AD6B0E">
        <w:rPr>
          <w:rFonts w:eastAsiaTheme="minorHAnsi"/>
          <w:sz w:val="22"/>
          <w:szCs w:val="22"/>
        </w:rPr>
        <w:t xml:space="preserve"> a bezvedomie).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i/>
          <w:iCs/>
          <w:sz w:val="22"/>
          <w:szCs w:val="22"/>
        </w:rPr>
        <w:t>Liečba</w:t>
      </w:r>
      <w:r w:rsidRPr="00AD6B0E">
        <w:rPr>
          <w:rFonts w:eastAsiaTheme="minorHAnsi"/>
          <w:sz w:val="22"/>
          <w:szCs w:val="22"/>
        </w:rPr>
        <w:t>: V prípade predávkovania má byť liečba symptomatická. Nie je dostupné žiadne špecifické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antidotum</w:t>
      </w:r>
      <w:proofErr w:type="spellEnd"/>
      <w:r w:rsidRPr="00AD6B0E">
        <w:rPr>
          <w:rFonts w:eastAsiaTheme="minorHAnsi"/>
          <w:sz w:val="22"/>
          <w:szCs w:val="22"/>
        </w:rPr>
        <w:t xml:space="preserve"> pri intoxikácii alebo pri predávkovaní. Štandardné klinické postupy na odstránenie liečiva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z tela, napr. výplach žalúdka, čierne uhlie (prerušenie možného </w:t>
      </w:r>
      <w:proofErr w:type="spellStart"/>
      <w:r w:rsidRPr="00AD6B0E">
        <w:rPr>
          <w:rFonts w:eastAsiaTheme="minorHAnsi"/>
          <w:sz w:val="22"/>
          <w:szCs w:val="22"/>
        </w:rPr>
        <w:t>entero</w:t>
      </w:r>
      <w:proofErr w:type="spellEnd"/>
      <w:r w:rsidRPr="00AD6B0E">
        <w:rPr>
          <w:rFonts w:eastAsiaTheme="minorHAnsi"/>
          <w:sz w:val="22"/>
          <w:szCs w:val="22"/>
        </w:rPr>
        <w:t xml:space="preserve">- </w:t>
      </w:r>
      <w:proofErr w:type="spellStart"/>
      <w:r w:rsidRPr="00AD6B0E">
        <w:rPr>
          <w:rFonts w:eastAsiaTheme="minorHAnsi"/>
          <w:sz w:val="22"/>
          <w:szCs w:val="22"/>
        </w:rPr>
        <w:t>hepatálneho</w:t>
      </w:r>
      <w:proofErr w:type="spellEnd"/>
      <w:r w:rsidRPr="00AD6B0E">
        <w:rPr>
          <w:rFonts w:eastAsiaTheme="minorHAnsi"/>
          <w:sz w:val="22"/>
          <w:szCs w:val="22"/>
        </w:rPr>
        <w:t xml:space="preserve"> obehu),</w:t>
      </w: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acidifikácia</w:t>
      </w:r>
      <w:proofErr w:type="spellEnd"/>
      <w:r w:rsidRPr="00AD6B0E">
        <w:rPr>
          <w:rFonts w:eastAsiaTheme="minorHAnsi"/>
          <w:sz w:val="22"/>
          <w:szCs w:val="22"/>
        </w:rPr>
        <w:t xml:space="preserve"> moču; nútená </w:t>
      </w:r>
      <w:proofErr w:type="spellStart"/>
      <w:r w:rsidRPr="00AD6B0E">
        <w:rPr>
          <w:rFonts w:eastAsiaTheme="minorHAnsi"/>
          <w:sz w:val="22"/>
          <w:szCs w:val="22"/>
        </w:rPr>
        <w:t>diuréza</w:t>
      </w:r>
      <w:proofErr w:type="spellEnd"/>
      <w:r w:rsidRPr="00AD6B0E">
        <w:rPr>
          <w:rFonts w:eastAsiaTheme="minorHAnsi"/>
          <w:sz w:val="22"/>
          <w:szCs w:val="22"/>
        </w:rPr>
        <w:t xml:space="preserve"> má byť používaná primerane .</w:t>
      </w:r>
    </w:p>
    <w:p w:rsidR="00C03D9D" w:rsidRPr="00AD6B0E" w:rsidRDefault="00C03D9D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C03D9D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V prípade náznakov a symptómov nadmernej celkovej stimulácie centrálneho nervového systému</w:t>
      </w:r>
    </w:p>
    <w:p w:rsidR="007B6B0B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eastAsiaTheme="minorHAnsi" w:hAnsi="Times New Roman" w:cs="Times New Roman"/>
          <w:sz w:val="22"/>
          <w:szCs w:val="22"/>
          <w:lang w:val="sk-SK"/>
        </w:rPr>
        <w:t>(CNS), sa má starostlivo zvážiť symptomatická klinická liečba.</w:t>
      </w:r>
    </w:p>
    <w:p w:rsidR="007B6B0B" w:rsidRPr="00AD6B0E" w:rsidRDefault="007B6B0B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5449A5" w:rsidRPr="00AD6B0E" w:rsidRDefault="005449A5" w:rsidP="004701E5">
      <w:pPr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Farmakologické vlastnosti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5.1</w:t>
      </w:r>
      <w:r w:rsidRPr="00AD6B0E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AD6B0E">
        <w:rPr>
          <w:rFonts w:ascii="Times New Roman" w:hAnsi="Times New Roman"/>
          <w:i w:val="0"/>
          <w:sz w:val="22"/>
          <w:szCs w:val="22"/>
        </w:rPr>
        <w:t>Farmakodynamické</w:t>
      </w:r>
      <w:proofErr w:type="spellEnd"/>
      <w:r w:rsidRPr="00AD6B0E">
        <w:rPr>
          <w:rFonts w:ascii="Times New Roman" w:hAnsi="Times New Roman"/>
          <w:i w:val="0"/>
          <w:sz w:val="22"/>
          <w:szCs w:val="22"/>
        </w:rPr>
        <w:t xml:space="preserve"> vlastnosti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Farmakoterapeutická</w:t>
      </w:r>
      <w:proofErr w:type="spellEnd"/>
      <w:r w:rsidRPr="00AD6B0E">
        <w:rPr>
          <w:rFonts w:eastAsiaTheme="minorHAnsi"/>
          <w:sz w:val="22"/>
          <w:szCs w:val="22"/>
        </w:rPr>
        <w:t xml:space="preserve"> skupina: </w:t>
      </w:r>
      <w:proofErr w:type="spellStart"/>
      <w:r w:rsidRPr="00AD6B0E">
        <w:rPr>
          <w:rFonts w:eastAsiaTheme="minorHAnsi"/>
          <w:sz w:val="22"/>
          <w:szCs w:val="22"/>
        </w:rPr>
        <w:t>Psychoanaleptiká</w:t>
      </w:r>
      <w:proofErr w:type="spellEnd"/>
      <w:r w:rsidRPr="00AD6B0E">
        <w:rPr>
          <w:rFonts w:eastAsiaTheme="minorHAnsi"/>
          <w:sz w:val="22"/>
          <w:szCs w:val="22"/>
        </w:rPr>
        <w:t>, iné liečivá proti demencii, ATC kód: N06DX01.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Vzrastá množstvo dôkazov o tom, že porušená funkcia </w:t>
      </w:r>
      <w:proofErr w:type="spellStart"/>
      <w:r w:rsidRPr="00AD6B0E">
        <w:rPr>
          <w:rFonts w:eastAsiaTheme="minorHAnsi"/>
          <w:sz w:val="22"/>
          <w:szCs w:val="22"/>
        </w:rPr>
        <w:t>glutamátergickej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neurotransmisie</w:t>
      </w:r>
      <w:proofErr w:type="spellEnd"/>
      <w:r w:rsidRPr="00AD6B0E">
        <w:rPr>
          <w:rFonts w:eastAsiaTheme="minorHAnsi"/>
          <w:sz w:val="22"/>
          <w:szCs w:val="22"/>
        </w:rPr>
        <w:t>, najmä na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NMDA-receptoroch</w:t>
      </w:r>
      <w:proofErr w:type="spellEnd"/>
      <w:r w:rsidRPr="00AD6B0E">
        <w:rPr>
          <w:rFonts w:eastAsiaTheme="minorHAnsi"/>
          <w:sz w:val="22"/>
          <w:szCs w:val="22"/>
        </w:rPr>
        <w:t xml:space="preserve">, sa podieľa na vzniku príznakov aj na progresii ochorenia u </w:t>
      </w:r>
      <w:proofErr w:type="spellStart"/>
      <w:r w:rsidRPr="00AD6B0E">
        <w:rPr>
          <w:rFonts w:eastAsiaTheme="minorHAnsi"/>
          <w:sz w:val="22"/>
          <w:szCs w:val="22"/>
        </w:rPr>
        <w:t>neurodegeneratívnej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demencie.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Memantín</w:t>
      </w:r>
      <w:proofErr w:type="spellEnd"/>
      <w:r w:rsidRPr="00AD6B0E">
        <w:rPr>
          <w:rFonts w:eastAsiaTheme="minorHAnsi"/>
          <w:sz w:val="22"/>
          <w:szCs w:val="22"/>
        </w:rPr>
        <w:t xml:space="preserve"> je na napätí závislý, </w:t>
      </w:r>
      <w:proofErr w:type="spellStart"/>
      <w:r w:rsidRPr="00AD6B0E">
        <w:rPr>
          <w:rFonts w:eastAsiaTheme="minorHAnsi"/>
          <w:sz w:val="22"/>
          <w:szCs w:val="22"/>
        </w:rPr>
        <w:t>nekompetitívny</w:t>
      </w:r>
      <w:proofErr w:type="spellEnd"/>
      <w:r w:rsidRPr="00AD6B0E">
        <w:rPr>
          <w:rFonts w:eastAsiaTheme="minorHAnsi"/>
          <w:sz w:val="22"/>
          <w:szCs w:val="22"/>
        </w:rPr>
        <w:t xml:space="preserve"> antagonista NMDA receptorov strednej afinity.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Zmierňuje účinky patologicky zvýšených tonických hladín </w:t>
      </w:r>
      <w:proofErr w:type="spellStart"/>
      <w:r w:rsidRPr="00AD6B0E">
        <w:rPr>
          <w:rFonts w:eastAsiaTheme="minorHAnsi"/>
          <w:sz w:val="22"/>
          <w:szCs w:val="22"/>
        </w:rPr>
        <w:t>glutamátu</w:t>
      </w:r>
      <w:proofErr w:type="spellEnd"/>
      <w:r w:rsidRPr="00AD6B0E">
        <w:rPr>
          <w:rFonts w:eastAsiaTheme="minorHAnsi"/>
          <w:sz w:val="22"/>
          <w:szCs w:val="22"/>
        </w:rPr>
        <w:t xml:space="preserve">, ktoré môžu viesť k </w:t>
      </w:r>
      <w:proofErr w:type="spellStart"/>
      <w:r w:rsidRPr="00AD6B0E">
        <w:rPr>
          <w:rFonts w:eastAsiaTheme="minorHAnsi"/>
          <w:sz w:val="22"/>
          <w:szCs w:val="22"/>
        </w:rPr>
        <w:t>neuronálnej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dysfunkcii.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i/>
          <w:iCs/>
          <w:sz w:val="22"/>
          <w:szCs w:val="22"/>
        </w:rPr>
        <w:t xml:space="preserve">Klinické štúdie: </w:t>
      </w:r>
      <w:proofErr w:type="spellStart"/>
      <w:r w:rsidRPr="00AD6B0E">
        <w:rPr>
          <w:rFonts w:eastAsiaTheme="minorHAnsi"/>
          <w:sz w:val="22"/>
          <w:szCs w:val="22"/>
        </w:rPr>
        <w:t>Pivotná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monoterapeutická</w:t>
      </w:r>
      <w:proofErr w:type="spellEnd"/>
      <w:r w:rsidRPr="00AD6B0E">
        <w:rPr>
          <w:rFonts w:eastAsiaTheme="minorHAnsi"/>
          <w:sz w:val="22"/>
          <w:szCs w:val="22"/>
        </w:rPr>
        <w:t xml:space="preserve"> štúdia v populácii pacientov trpiacich </w:t>
      </w:r>
      <w:proofErr w:type="spellStart"/>
      <w:r w:rsidRPr="00AD6B0E">
        <w:rPr>
          <w:rFonts w:eastAsiaTheme="minorHAnsi"/>
          <w:sz w:val="22"/>
          <w:szCs w:val="22"/>
        </w:rPr>
        <w:t>Alzheimerovou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chorobou stredného až ťažkého stupňa (celkové skóre MMSE (mini </w:t>
      </w:r>
      <w:proofErr w:type="spellStart"/>
      <w:r w:rsidRPr="00AD6B0E">
        <w:rPr>
          <w:rFonts w:eastAsiaTheme="minorHAnsi"/>
          <w:sz w:val="22"/>
          <w:szCs w:val="22"/>
        </w:rPr>
        <w:t>mental</w:t>
      </w:r>
      <w:proofErr w:type="spellEnd"/>
      <w:r w:rsidRPr="00AD6B0E">
        <w:rPr>
          <w:rFonts w:eastAsiaTheme="minorHAnsi"/>
          <w:sz w:val="22"/>
          <w:szCs w:val="22"/>
        </w:rPr>
        <w:t xml:space="preserve"> state </w:t>
      </w:r>
      <w:proofErr w:type="spellStart"/>
      <w:r w:rsidRPr="00AD6B0E">
        <w:rPr>
          <w:rFonts w:eastAsiaTheme="minorHAnsi"/>
          <w:sz w:val="22"/>
          <w:szCs w:val="22"/>
        </w:rPr>
        <w:t>examination</w:t>
      </w:r>
      <w:proofErr w:type="spellEnd"/>
      <w:r w:rsidRPr="00AD6B0E">
        <w:rPr>
          <w:rFonts w:eastAsiaTheme="minorHAnsi"/>
          <w:sz w:val="22"/>
          <w:szCs w:val="22"/>
        </w:rPr>
        <w:t>) na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začiatku liečby 3-14) zahŕňala 252 ambulantne liečených pacientov. Štúdia preukázala priaznivý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účinok liečby 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v porovnaní s </w:t>
      </w:r>
      <w:proofErr w:type="spellStart"/>
      <w:r w:rsidRPr="00AD6B0E">
        <w:rPr>
          <w:rFonts w:eastAsiaTheme="minorHAnsi"/>
          <w:sz w:val="22"/>
          <w:szCs w:val="22"/>
        </w:rPr>
        <w:t>placebom</w:t>
      </w:r>
      <w:proofErr w:type="spellEnd"/>
      <w:r w:rsidRPr="00AD6B0E">
        <w:rPr>
          <w:rFonts w:eastAsiaTheme="minorHAnsi"/>
          <w:sz w:val="22"/>
          <w:szCs w:val="22"/>
        </w:rPr>
        <w:t xml:space="preserve"> po 6-tich mesiacov (analýza pozorovaných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prípadov - významnosť rozdielov pre </w:t>
      </w:r>
      <w:proofErr w:type="spellStart"/>
      <w:r w:rsidRPr="00AD6B0E">
        <w:rPr>
          <w:rFonts w:eastAsiaTheme="minorHAnsi"/>
          <w:sz w:val="22"/>
          <w:szCs w:val="22"/>
        </w:rPr>
        <w:t>CIBIC-plus</w:t>
      </w:r>
      <w:proofErr w:type="spellEnd"/>
      <w:r w:rsidRPr="00AD6B0E">
        <w:rPr>
          <w:rFonts w:eastAsiaTheme="minorHAnsi"/>
          <w:sz w:val="22"/>
          <w:szCs w:val="22"/>
        </w:rPr>
        <w:t xml:space="preserve"> (</w:t>
      </w:r>
      <w:proofErr w:type="spellStart"/>
      <w:r w:rsidRPr="00AD6B0E">
        <w:rPr>
          <w:rFonts w:eastAsiaTheme="minorHAnsi"/>
          <w:sz w:val="22"/>
          <w:szCs w:val="22"/>
        </w:rPr>
        <w:t>cases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analysis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for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the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clinician´s</w:t>
      </w:r>
      <w:proofErr w:type="spellEnd"/>
      <w:r w:rsidRPr="00AD6B0E">
        <w:rPr>
          <w:rFonts w:eastAsiaTheme="minorHAnsi"/>
          <w:sz w:val="22"/>
          <w:szCs w:val="22"/>
        </w:rPr>
        <w:t xml:space="preserve"> interview </w:t>
      </w:r>
      <w:proofErr w:type="spellStart"/>
      <w:r w:rsidRPr="00AD6B0E">
        <w:rPr>
          <w:rFonts w:eastAsiaTheme="minorHAnsi"/>
          <w:sz w:val="22"/>
          <w:szCs w:val="22"/>
        </w:rPr>
        <w:t>based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impression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of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change</w:t>
      </w:r>
      <w:proofErr w:type="spellEnd"/>
      <w:r w:rsidRPr="00AD6B0E">
        <w:rPr>
          <w:rFonts w:eastAsiaTheme="minorHAnsi"/>
          <w:sz w:val="22"/>
          <w:szCs w:val="22"/>
        </w:rPr>
        <w:t xml:space="preserve">): p=0,025; pre </w:t>
      </w:r>
      <w:proofErr w:type="spellStart"/>
      <w:r w:rsidRPr="00AD6B0E">
        <w:rPr>
          <w:rFonts w:eastAsiaTheme="minorHAnsi"/>
          <w:sz w:val="22"/>
          <w:szCs w:val="22"/>
        </w:rPr>
        <w:t>ADCS-ADLsev</w:t>
      </w:r>
      <w:proofErr w:type="spellEnd"/>
      <w:r w:rsidRPr="00AD6B0E">
        <w:rPr>
          <w:rFonts w:eastAsiaTheme="minorHAnsi"/>
          <w:sz w:val="22"/>
          <w:szCs w:val="22"/>
        </w:rPr>
        <w:t xml:space="preserve"> (</w:t>
      </w:r>
      <w:proofErr w:type="spellStart"/>
      <w:r w:rsidRPr="00AD6B0E">
        <w:rPr>
          <w:rFonts w:eastAsiaTheme="minorHAnsi"/>
          <w:sz w:val="22"/>
          <w:szCs w:val="22"/>
        </w:rPr>
        <w:t>Alzheimer´s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disease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cooperative</w:t>
      </w:r>
      <w:proofErr w:type="spellEnd"/>
      <w:r w:rsidRPr="00AD6B0E">
        <w:rPr>
          <w:rFonts w:eastAsiaTheme="minorHAnsi"/>
          <w:sz w:val="22"/>
          <w:szCs w:val="22"/>
        </w:rPr>
        <w:t xml:space="preserve"> study –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activities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of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daily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living</w:t>
      </w:r>
      <w:proofErr w:type="spellEnd"/>
      <w:r w:rsidRPr="00AD6B0E">
        <w:rPr>
          <w:rFonts w:eastAsiaTheme="minorHAnsi"/>
          <w:sz w:val="22"/>
          <w:szCs w:val="22"/>
        </w:rPr>
        <w:t xml:space="preserve">): p=0,003; pre SIB (severe </w:t>
      </w:r>
      <w:proofErr w:type="spellStart"/>
      <w:r w:rsidRPr="00AD6B0E">
        <w:rPr>
          <w:rFonts w:eastAsiaTheme="minorHAnsi"/>
          <w:sz w:val="22"/>
          <w:szCs w:val="22"/>
        </w:rPr>
        <w:t>impairment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battery</w:t>
      </w:r>
      <w:proofErr w:type="spellEnd"/>
      <w:r w:rsidRPr="00AD6B0E">
        <w:rPr>
          <w:rFonts w:eastAsiaTheme="minorHAnsi"/>
          <w:sz w:val="22"/>
          <w:szCs w:val="22"/>
        </w:rPr>
        <w:t>): p=0,002).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Pivotná</w:t>
      </w:r>
      <w:proofErr w:type="spellEnd"/>
      <w:r w:rsidRPr="00AD6B0E">
        <w:rPr>
          <w:rFonts w:eastAsiaTheme="minorHAnsi"/>
          <w:sz w:val="22"/>
          <w:szCs w:val="22"/>
        </w:rPr>
        <w:t xml:space="preserve"> štúdia s 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v </w:t>
      </w:r>
      <w:proofErr w:type="spellStart"/>
      <w:r w:rsidRPr="00AD6B0E">
        <w:rPr>
          <w:rFonts w:eastAsiaTheme="minorHAnsi"/>
          <w:sz w:val="22"/>
          <w:szCs w:val="22"/>
        </w:rPr>
        <w:t>monoterapii</w:t>
      </w:r>
      <w:proofErr w:type="spellEnd"/>
      <w:r w:rsidRPr="00AD6B0E">
        <w:rPr>
          <w:rFonts w:eastAsiaTheme="minorHAnsi"/>
          <w:sz w:val="22"/>
          <w:szCs w:val="22"/>
        </w:rPr>
        <w:t xml:space="preserve"> v liečbe </w:t>
      </w:r>
      <w:proofErr w:type="spellStart"/>
      <w:r w:rsidRPr="00AD6B0E">
        <w:rPr>
          <w:rFonts w:eastAsiaTheme="minorHAnsi"/>
          <w:sz w:val="22"/>
          <w:szCs w:val="22"/>
        </w:rPr>
        <w:t>Alzheimerovej</w:t>
      </w:r>
      <w:proofErr w:type="spellEnd"/>
      <w:r w:rsidRPr="00AD6B0E">
        <w:rPr>
          <w:rFonts w:eastAsiaTheme="minorHAnsi"/>
          <w:sz w:val="22"/>
          <w:szCs w:val="22"/>
        </w:rPr>
        <w:t xml:space="preserve"> choroby mierneho až stredného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stupňa (celkové skóre MMSE na začiatku liečby 10-22) zahŕňala 403 pacientov. U pacientov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liečených </w:t>
      </w:r>
      <w:proofErr w:type="spellStart"/>
      <w:r w:rsidRPr="00AD6B0E">
        <w:rPr>
          <w:rFonts w:eastAsiaTheme="minorHAnsi"/>
          <w:sz w:val="22"/>
          <w:szCs w:val="22"/>
        </w:rPr>
        <w:t>memantínom</w:t>
      </w:r>
      <w:proofErr w:type="spellEnd"/>
      <w:r w:rsidRPr="00AD6B0E">
        <w:rPr>
          <w:rFonts w:eastAsiaTheme="minorHAnsi"/>
          <w:sz w:val="22"/>
          <w:szCs w:val="22"/>
        </w:rPr>
        <w:t xml:space="preserve"> bol pozorovaný štatisticky </w:t>
      </w:r>
      <w:proofErr w:type="spellStart"/>
      <w:r w:rsidRPr="00AD6B0E">
        <w:rPr>
          <w:rFonts w:eastAsiaTheme="minorHAnsi"/>
          <w:sz w:val="22"/>
          <w:szCs w:val="22"/>
        </w:rPr>
        <w:t>signifikantne</w:t>
      </w:r>
      <w:proofErr w:type="spellEnd"/>
      <w:r w:rsidRPr="00AD6B0E">
        <w:rPr>
          <w:rFonts w:eastAsiaTheme="minorHAnsi"/>
          <w:sz w:val="22"/>
          <w:szCs w:val="22"/>
        </w:rPr>
        <w:t xml:space="preserve"> lepší účinok v porovnaní s pacientmi,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ktorým bolo podávané </w:t>
      </w:r>
      <w:proofErr w:type="spellStart"/>
      <w:r w:rsidRPr="00AD6B0E">
        <w:rPr>
          <w:rFonts w:eastAsiaTheme="minorHAnsi"/>
          <w:sz w:val="22"/>
          <w:szCs w:val="22"/>
        </w:rPr>
        <w:t>placebo</w:t>
      </w:r>
      <w:proofErr w:type="spellEnd"/>
      <w:r w:rsidRPr="00AD6B0E">
        <w:rPr>
          <w:rFonts w:eastAsiaTheme="minorHAnsi"/>
          <w:sz w:val="22"/>
          <w:szCs w:val="22"/>
        </w:rPr>
        <w:t>, v primárnych ukazovateľoch v 24. týždni prevodom hodnôt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>z posledného dokumentovaného vyšetrenia (analýza LOCF (</w:t>
      </w:r>
      <w:proofErr w:type="spellStart"/>
      <w:r w:rsidRPr="00AD6B0E">
        <w:rPr>
          <w:rFonts w:eastAsiaTheme="minorHAnsi"/>
          <w:sz w:val="22"/>
          <w:szCs w:val="22"/>
        </w:rPr>
        <w:t>last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observation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carried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forward</w:t>
      </w:r>
      <w:proofErr w:type="spellEnd"/>
      <w:r w:rsidRPr="00AD6B0E">
        <w:rPr>
          <w:rFonts w:eastAsiaTheme="minorHAnsi"/>
          <w:sz w:val="22"/>
          <w:szCs w:val="22"/>
        </w:rPr>
        <w:t>)):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ADAS-cog</w:t>
      </w:r>
      <w:proofErr w:type="spellEnd"/>
      <w:r w:rsidRPr="00AD6B0E">
        <w:rPr>
          <w:rFonts w:eastAsiaTheme="minorHAnsi"/>
          <w:sz w:val="22"/>
          <w:szCs w:val="22"/>
        </w:rPr>
        <w:t xml:space="preserve"> (p=0,003) (</w:t>
      </w:r>
      <w:proofErr w:type="spellStart"/>
      <w:r w:rsidRPr="00AD6B0E">
        <w:rPr>
          <w:rFonts w:eastAsiaTheme="minorHAnsi"/>
          <w:sz w:val="22"/>
          <w:szCs w:val="22"/>
        </w:rPr>
        <w:t>Alzheimer´s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disease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assessment</w:t>
      </w:r>
      <w:proofErr w:type="spellEnd"/>
      <w:r w:rsidRPr="00AD6B0E">
        <w:rPr>
          <w:rFonts w:eastAsiaTheme="minorHAnsi"/>
          <w:sz w:val="22"/>
          <w:szCs w:val="22"/>
        </w:rPr>
        <w:t xml:space="preserve"> </w:t>
      </w:r>
      <w:proofErr w:type="spellStart"/>
      <w:r w:rsidRPr="00AD6B0E">
        <w:rPr>
          <w:rFonts w:eastAsiaTheme="minorHAnsi"/>
          <w:sz w:val="22"/>
          <w:szCs w:val="22"/>
        </w:rPr>
        <w:t>scale</w:t>
      </w:r>
      <w:proofErr w:type="spellEnd"/>
      <w:r w:rsidRPr="00AD6B0E">
        <w:rPr>
          <w:rFonts w:eastAsiaTheme="minorHAnsi"/>
          <w:sz w:val="22"/>
          <w:szCs w:val="22"/>
        </w:rPr>
        <w:t xml:space="preserve">) a </w:t>
      </w:r>
      <w:proofErr w:type="spellStart"/>
      <w:r w:rsidRPr="00AD6B0E">
        <w:rPr>
          <w:rFonts w:eastAsiaTheme="minorHAnsi"/>
          <w:sz w:val="22"/>
          <w:szCs w:val="22"/>
        </w:rPr>
        <w:t>CIBIC-plus</w:t>
      </w:r>
      <w:proofErr w:type="spellEnd"/>
      <w:r w:rsidRPr="00AD6B0E">
        <w:rPr>
          <w:rFonts w:eastAsiaTheme="minorHAnsi"/>
          <w:sz w:val="22"/>
          <w:szCs w:val="22"/>
        </w:rPr>
        <w:t xml:space="preserve"> (p=0,004). V ďalšej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monoterapeutickej</w:t>
      </w:r>
      <w:proofErr w:type="spellEnd"/>
      <w:r w:rsidRPr="00AD6B0E">
        <w:rPr>
          <w:rFonts w:eastAsiaTheme="minorHAnsi"/>
          <w:sz w:val="22"/>
          <w:szCs w:val="22"/>
        </w:rPr>
        <w:t xml:space="preserve"> štúdii v liečbe </w:t>
      </w:r>
      <w:proofErr w:type="spellStart"/>
      <w:r w:rsidRPr="00AD6B0E">
        <w:rPr>
          <w:rFonts w:eastAsiaTheme="minorHAnsi"/>
          <w:sz w:val="22"/>
          <w:szCs w:val="22"/>
        </w:rPr>
        <w:t>Alzheimerovej</w:t>
      </w:r>
      <w:proofErr w:type="spellEnd"/>
      <w:r w:rsidRPr="00AD6B0E">
        <w:rPr>
          <w:rFonts w:eastAsiaTheme="minorHAnsi"/>
          <w:sz w:val="22"/>
          <w:szCs w:val="22"/>
        </w:rPr>
        <w:t xml:space="preserve"> choroby mierneho až stredného stupňa bolo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AD6B0E">
        <w:rPr>
          <w:rFonts w:eastAsiaTheme="minorHAnsi"/>
          <w:sz w:val="22"/>
          <w:szCs w:val="22"/>
        </w:rPr>
        <w:t>randomizovaných</w:t>
      </w:r>
      <w:proofErr w:type="spellEnd"/>
      <w:r w:rsidRPr="00AD6B0E">
        <w:rPr>
          <w:rFonts w:eastAsiaTheme="minorHAnsi"/>
          <w:sz w:val="22"/>
          <w:szCs w:val="22"/>
        </w:rPr>
        <w:t xml:space="preserve"> celkovo 470 pacientov (celkové skóre MMSE na začiatku liečby 11-23).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6B0E">
        <w:rPr>
          <w:rFonts w:eastAsiaTheme="minorHAnsi"/>
          <w:sz w:val="22"/>
          <w:szCs w:val="22"/>
        </w:rPr>
        <w:t xml:space="preserve">V </w:t>
      </w:r>
      <w:proofErr w:type="spellStart"/>
      <w:r w:rsidRPr="00AD6B0E">
        <w:rPr>
          <w:rFonts w:eastAsiaTheme="minorHAnsi"/>
          <w:sz w:val="22"/>
          <w:szCs w:val="22"/>
        </w:rPr>
        <w:t>prospektívne</w:t>
      </w:r>
      <w:proofErr w:type="spellEnd"/>
      <w:r w:rsidRPr="00AD6B0E">
        <w:rPr>
          <w:rFonts w:eastAsiaTheme="minorHAnsi"/>
          <w:sz w:val="22"/>
          <w:szCs w:val="22"/>
        </w:rPr>
        <w:t xml:space="preserve"> definovanej primárnej analýze nebola dosiahnutá štatistická významnosť v primárnom</w:t>
      </w:r>
    </w:p>
    <w:p w:rsidR="002F7B0D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 New Roman" w:eastAsiaTheme="minorHAnsi" w:hAnsi="Times New Roman" w:cs="Times New Roman"/>
          <w:sz w:val="22"/>
          <w:szCs w:val="22"/>
          <w:lang w:val="sk-SK"/>
        </w:rPr>
        <w:t>ukazovateli účinnosti v 24. týždni.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Meta-analýza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pacientov s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Alzheimerovou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chorobou stredného až ťažkého stupňa (celkové skóre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MMSE &lt; 20) zo šiestich,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placebom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kontrolovaných, 6-mesačných klinických štúdií vo fáze III.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(vrátane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monoterapeutických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štúdií a štúdií s pacientmi na ustálenej dávke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inihibítorov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acetylcholínesterázy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) preukázala štatisticky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signifikantný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účinok v prospech liečby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memantínom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v kognitívnej, globálnej a funkčnej oblasti. Pri identifikovaní pacientov so súčasným zhoršením vo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všetkých troch oblastiach výsledky ukázali štatisticky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signifikantný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účinok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prevencii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zhoršenia. Až u dvojnásobného počtu pacientov na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placebe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porovnaní s pacientmi na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memantíne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sa</w:t>
      </w:r>
    </w:p>
    <w:p w:rsidR="006A6F52" w:rsidRPr="00AD6B0E" w:rsidRDefault="008B52A9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D6B0E">
        <w:rPr>
          <w:rFonts w:ascii="TimesNewRoman" w:eastAsiaTheme="minorHAnsi" w:hAnsi="TimesNewRoman" w:cs="TimesNewRoman"/>
          <w:sz w:val="22"/>
          <w:szCs w:val="22"/>
          <w:lang w:val="sk-SK"/>
        </w:rPr>
        <w:t>preukázalo zhoršenie vo všetkých troch oblastiach (21% voči 11%, p&lt;0,0001).</w:t>
      </w:r>
    </w:p>
    <w:p w:rsidR="006A6F52" w:rsidRPr="00AD6B0E" w:rsidRDefault="006A6F52" w:rsidP="004701E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lastRenderedPageBreak/>
        <w:t>5.2</w:t>
      </w:r>
      <w:r w:rsidRPr="00AD6B0E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AD6B0E">
        <w:rPr>
          <w:rFonts w:ascii="Times New Roman" w:hAnsi="Times New Roman"/>
          <w:i w:val="0"/>
          <w:sz w:val="22"/>
          <w:szCs w:val="22"/>
        </w:rPr>
        <w:t>Farmakokinetické</w:t>
      </w:r>
      <w:proofErr w:type="spellEnd"/>
      <w:r w:rsidRPr="00AD6B0E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:rsidR="002B4DC0" w:rsidRPr="00AD6B0E" w:rsidRDefault="002B4DC0" w:rsidP="004701E5">
      <w:pPr>
        <w:ind w:left="708"/>
        <w:jc w:val="both"/>
        <w:rPr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Absorpcia: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má absolútnu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biodostupnosť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približne 100%. </w:t>
      </w:r>
      <w:r w:rsidR="00F15A97" w:rsidRPr="00AD6B0E">
        <w:rPr>
          <w:rFonts w:ascii="TimesNewRoman" w:eastAsiaTheme="minorHAnsi" w:hAnsi="TimesNewRoman" w:cs="TimesNewRoman"/>
          <w:sz w:val="22"/>
          <w:szCs w:val="22"/>
        </w:rPr>
        <w:t>T</w:t>
      </w:r>
      <w:r w:rsidR="00260F1C" w:rsidRPr="00AD6B0E">
        <w:rPr>
          <w:sz w:val="22"/>
          <w:szCs w:val="22"/>
          <w:vertAlign w:val="subscript"/>
        </w:rPr>
        <w:t xml:space="preserve"> max</w:t>
      </w:r>
      <w:r w:rsidR="00260F1C" w:rsidRPr="00AD6B0E">
        <w:rPr>
          <w:sz w:val="22"/>
          <w:szCs w:val="22"/>
        </w:rPr>
        <w:t> </w:t>
      </w:r>
      <w:r w:rsidR="00AA147B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je medzi 3 a 8 hodín. Nie sú dôkazy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o tom, že by potrava ovplyvňovala absorpciu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Distribúcia: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Denné dávky 20 mg vedú k rovnovážnym plazmatickým koncentráciám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rozmedzí od 70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do 150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ng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/ml (0,5-1 </w:t>
      </w:r>
      <w:r w:rsidR="00260F1C" w:rsidRPr="00AD6B0E">
        <w:rPr>
          <w:sz w:val="22"/>
          <w:szCs w:val="22"/>
        </w:rPr>
        <w:t>µ</w:t>
      </w: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mol) s veľkými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interindividuálnymi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variáciami. Keď sa podávali denné dávky 5 až 30 mg, priemerný pomer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cerebrospinálny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likvor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(CSF)/sérum bol vypočítaný na 0,52. Objem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distribúcie je okolo 10 l/kg. Približne 45%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sa viaže na plazmatické proteíny.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Biotransformácia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U ľudí je asi 80% cirkulujúceho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memantínového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materiálu prítomného v podobe materskej látky.</w:t>
      </w:r>
    </w:p>
    <w:p w:rsidR="00F15A97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Hlavnými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metabolitmi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u ľudí sú N-3,5-dimetyl-gludantán, izomerická zmes 4- a 6-hydroxy-memantínu a 1-nitrózo-3,5-dimetyl-adamantán. Žiaden z týchto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metabolitov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nevykazuje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NMDA-antagonistickú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aktivitu. </w:t>
      </w:r>
      <w:r w:rsidR="00AA147B" w:rsidRPr="00AD6B0E">
        <w:rPr>
          <w:rFonts w:eastAsiaTheme="minorHAnsi"/>
          <w:i/>
          <w:iCs/>
          <w:sz w:val="22"/>
          <w:szCs w:val="22"/>
        </w:rPr>
        <w:t xml:space="preserve">In </w:t>
      </w:r>
      <w:proofErr w:type="spellStart"/>
      <w:r w:rsidR="00AA147B" w:rsidRPr="00AD6B0E">
        <w:rPr>
          <w:rFonts w:eastAsiaTheme="minorHAnsi"/>
          <w:i/>
          <w:iCs/>
          <w:sz w:val="22"/>
          <w:szCs w:val="22"/>
        </w:rPr>
        <w:t>vitro</w:t>
      </w:r>
      <w:proofErr w:type="spellEnd"/>
      <w:r w:rsidR="006A6F52" w:rsidRPr="00AD6B0E">
        <w:rPr>
          <w:rFonts w:ascii="TimesNewRoman,Italic" w:eastAsiaTheme="minorHAnsi" w:hAnsi="TimesNewRoman,Italic" w:cs="TimesNewRoman,Italic"/>
          <w:i/>
          <w:iCs/>
          <w:sz w:val="22"/>
          <w:szCs w:val="22"/>
        </w:rPr>
        <w:t xml:space="preserve"> </w:t>
      </w:r>
      <w:r w:rsidR="006A6F52" w:rsidRPr="00AD6B0E">
        <w:rPr>
          <w:rFonts w:ascii="TimesNewRoman" w:eastAsiaTheme="minorHAnsi" w:hAnsi="TimesNewRoman" w:cs="TimesNewRoman"/>
          <w:sz w:val="22"/>
          <w:szCs w:val="22"/>
        </w:rPr>
        <w:t xml:space="preserve">sa nezistil metabolizmus </w:t>
      </w:r>
      <w:proofErr w:type="spellStart"/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katalyzovaný</w:t>
      </w:r>
      <w:proofErr w:type="spellEnd"/>
      <w:r w:rsidR="006A6F52" w:rsidRPr="00AD6B0E">
        <w:rPr>
          <w:rFonts w:ascii="TimesNewRoman" w:eastAsiaTheme="minorHAnsi" w:hAnsi="TimesNewRoman" w:cs="TimesNewRoman"/>
          <w:sz w:val="22"/>
          <w:szCs w:val="22"/>
        </w:rPr>
        <w:t xml:space="preserve"> niektorým</w:t>
      </w:r>
      <w:r w:rsidR="00F15A97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r w:rsidR="006A6F52" w:rsidRPr="00AD6B0E">
        <w:rPr>
          <w:rFonts w:ascii="TimesNewRoman" w:eastAsiaTheme="minorHAnsi" w:hAnsi="TimesNewRoman" w:cs="TimesNewRoman"/>
          <w:sz w:val="22"/>
          <w:szCs w:val="22"/>
        </w:rPr>
        <w:t xml:space="preserve">z </w:t>
      </w:r>
      <w:proofErr w:type="spellStart"/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cytochrómov</w:t>
      </w:r>
      <w:proofErr w:type="spellEnd"/>
      <w:r w:rsidR="006A6F52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</w:p>
    <w:p w:rsidR="00737975" w:rsidRPr="00AD6B0E" w:rsidRDefault="006A6F52" w:rsidP="004701E5">
      <w:pPr>
        <w:autoSpaceDE w:val="0"/>
        <w:autoSpaceDN w:val="0"/>
        <w:adjustRightInd w:val="0"/>
        <w:rPr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P 450.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 štúdii s použitím perorálne podávaného </w:t>
      </w:r>
      <w:r w:rsidR="00260F1C" w:rsidRPr="00AD6B0E">
        <w:rPr>
          <w:sz w:val="22"/>
          <w:szCs w:val="22"/>
          <w:vertAlign w:val="superscript"/>
        </w:rPr>
        <w:t>14</w:t>
      </w:r>
      <w:r w:rsidRPr="00AD6B0E">
        <w:rPr>
          <w:rFonts w:ascii="TimesNewRoman" w:eastAsiaTheme="minorHAnsi" w:hAnsi="TimesNewRoman" w:cs="TimesNewRoman"/>
          <w:sz w:val="22"/>
          <w:szCs w:val="22"/>
        </w:rPr>
        <w:t>C-memantínu vymizlo priemerne 84% dávky v priebehu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20 dní, pričom viac ako 99% sa vylúčilo obličkami.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Eliminácia: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sa vylučuje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monoexponenciálnym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spôsobom s konečným t</w:t>
      </w:r>
      <w:r w:rsidR="00260F1C" w:rsidRPr="00AD6B0E">
        <w:rPr>
          <w:sz w:val="22"/>
          <w:szCs w:val="22"/>
          <w:vertAlign w:val="subscript"/>
        </w:rPr>
        <w:t>½</w:t>
      </w:r>
      <w:r w:rsidR="00AA147B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r w:rsidRPr="00AD6B0E">
        <w:rPr>
          <w:rFonts w:ascii="TimesNewRoman" w:eastAsiaTheme="minorHAnsi" w:hAnsi="TimesNewRoman" w:cs="TimesNewRoman"/>
          <w:sz w:val="22"/>
          <w:szCs w:val="22"/>
        </w:rPr>
        <w:t>od 60 do 100 hodín.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U dobrovoľníkov s normálnymi funkciami obličiek dosahuje celkový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klírens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(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Cl</w:t>
      </w:r>
      <w:r w:rsidR="00F15A97" w:rsidRPr="00AD6B0E">
        <w:rPr>
          <w:sz w:val="22"/>
          <w:szCs w:val="22"/>
          <w:vertAlign w:val="subscript"/>
        </w:rPr>
        <w:t>tot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) množstvo do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170 ml/min/1,73 m</w:t>
      </w:r>
      <w:r w:rsidR="00F15A97" w:rsidRPr="00AD6B0E">
        <w:rPr>
          <w:sz w:val="22"/>
          <w:szCs w:val="22"/>
          <w:vertAlign w:val="superscript"/>
        </w:rPr>
        <w:t>2</w:t>
      </w:r>
      <w:r w:rsidR="00AA147B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a časť celkového obličkového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klírensu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sa dosahuje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tubulárnou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sekréciou.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Obličkový transport zahŕňa tiež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tubulárnu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reabsorpciu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 pravdepodobne sprostredkovanú katiónovými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transportnými proteínmi. Rýchlosť obličkovej eliminácie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môže byť za alkalických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podmienok moču znížená, faktor zníženia sa pohybuje od 7 do 9 (pozri časť 4.4).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Alkalizácia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moču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môže byť výsledkom drastických zmien diéty, napr. z mäsovej na vegetariánsku, alebo masívneho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príjmu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alkalizujúcich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žalúdočných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pufrov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Linearita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Štúdie na dobrovoľníkoch demonštrovali lineárnu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farmakokinetiku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dávkovom rozpätí 10 až 40 mg.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u w:val="single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Farmakokinetický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/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>farmakodynamický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  <w:u w:val="single"/>
        </w:rPr>
        <w:t xml:space="preserve"> vzťah: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Pri dávke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20 mg denne hladiny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CSF zodpovedajú hodnote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k</w:t>
      </w:r>
      <w:r w:rsidR="00F15A97" w:rsidRPr="00AD6B0E">
        <w:rPr>
          <w:sz w:val="22"/>
          <w:szCs w:val="22"/>
          <w:vertAlign w:val="subscript"/>
        </w:rPr>
        <w:t>i</w:t>
      </w:r>
      <w:proofErr w:type="spellEnd"/>
      <w:r w:rsidR="00AA147B"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(</w:t>
      </w:r>
      <w:proofErr w:type="spellStart"/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k</w:t>
      </w:r>
      <w:r w:rsidR="00F15A97" w:rsidRPr="00AD6B0E">
        <w:rPr>
          <w:sz w:val="22"/>
          <w:szCs w:val="22"/>
          <w:vertAlign w:val="subscript"/>
        </w:rPr>
        <w:t>i</w:t>
      </w:r>
      <w:r w:rsidR="006A6F52" w:rsidRPr="00AD6B0E">
        <w:rPr>
          <w:rFonts w:ascii="TimesNewRoman" w:eastAsiaTheme="minorHAnsi" w:hAnsi="TimesNewRoman" w:cs="TimesNewRoman"/>
          <w:sz w:val="22"/>
          <w:szCs w:val="22"/>
        </w:rPr>
        <w:t>=inhibičná</w:t>
      </w:r>
      <w:proofErr w:type="spellEnd"/>
    </w:p>
    <w:p w:rsidR="006A6F52" w:rsidRPr="00AD6B0E" w:rsidRDefault="006A6F52" w:rsidP="004701E5">
      <w:pPr>
        <w:autoSpaceDE w:val="0"/>
        <w:autoSpaceDN w:val="0"/>
        <w:adjustRightInd w:val="0"/>
        <w:rPr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konštanta)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, ktorá je 0,5 </w:t>
      </w:r>
      <w:r w:rsidR="00910160" w:rsidRPr="00AD6B0E">
        <w:rPr>
          <w:sz w:val="22"/>
          <w:szCs w:val="22"/>
        </w:rPr>
        <w:t>µ</w:t>
      </w: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mol v ľudskom frontálnom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kortexe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6A6F52" w:rsidRPr="00AD6B0E" w:rsidRDefault="006A6F52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5A00A4" w:rsidRPr="00AD6B0E" w:rsidRDefault="005A00A4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5.3</w:t>
      </w:r>
      <w:r w:rsidRPr="00AD6B0E">
        <w:rPr>
          <w:rFonts w:ascii="Times New Roman" w:hAnsi="Times New Roman"/>
          <w:i w:val="0"/>
          <w:sz w:val="22"/>
          <w:szCs w:val="22"/>
        </w:rPr>
        <w:tab/>
      </w:r>
      <w:r w:rsidR="008B52A9" w:rsidRPr="00AD6B0E">
        <w:rPr>
          <w:rFonts w:ascii="Times New Roman" w:hAnsi="Times New Roman"/>
          <w:i w:val="0"/>
          <w:sz w:val="22"/>
          <w:szCs w:val="22"/>
        </w:rPr>
        <w:t>Predklinické údaje o bezpečnosti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 krátkodobých štúdiách u potkanov indukoval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, podobne ako iné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NMDA-antagonisty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neuronálnu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vakuolizáciu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nekrózu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(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Olneyho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lézie) len po dávkach, vedúcich k veľmi vysokým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sérovým koncentráciám.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Ataxia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a iné predklinické príznaky predchádzali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vakuolizácii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nekróze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Keďže takéto účinky neboli pozorované v dlhodobých štúdiách u hlodavcov ani u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nehlodavcov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klinický význam týchto zistení zostáva nejasný.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V štúdiách toxicity po opakovanej dávke u hlodavcov a psov, ale nie u opíc, sa premenlivo pozorovali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očné zmeny. Špecifické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oftalmoskopické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vyšetrenia v klinických štúdiách s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memantínom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však žiadne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takéto zmeny neodhalili.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U hlodavcov sa pozorovala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fosfolipidóza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pľúcnych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makrofágoch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dôsledku nahromadenia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v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lyzozómoch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. Tento účinok je známy aj u iných liečiv s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kationovými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amfifilickými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vlastnosťami. Je možný vzťah medzi touto akumuláciou 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vakuolizáciou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pozorovanou v pľúcach.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lastRenderedPageBreak/>
        <w:t>Tento účinok bol pozorovaný u hlodavcov len pri vysokých dávkach. Klinický význam týchto zistení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je nejasný.</w:t>
      </w:r>
    </w:p>
    <w:p w:rsidR="006A6F52" w:rsidRPr="00AD6B0E" w:rsidRDefault="006A6F52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Pri štandardných vyšetreniach sa po testovaní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nezistila žiadna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genotoxicita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V celoživotných štúdiách na myšiach a potkanoch sa nedokázala žiadna karcinogenita.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</w:t>
      </w:r>
      <w:proofErr w:type="spellEnd"/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nebol u potkanov a králikov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teratogénny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, dokonca ani pri dávkach toxických pre matku,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a nezaznamenali sa žiadne nežiaduce účinky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memantínu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 xml:space="preserve"> na </w:t>
      </w:r>
      <w:proofErr w:type="spellStart"/>
      <w:r w:rsidRPr="00AD6B0E">
        <w:rPr>
          <w:rFonts w:ascii="TimesNewRoman" w:eastAsiaTheme="minorHAnsi" w:hAnsi="TimesNewRoman" w:cs="TimesNewRoman"/>
          <w:sz w:val="22"/>
          <w:szCs w:val="22"/>
        </w:rPr>
        <w:t>fertilitu</w:t>
      </w:r>
      <w:proofErr w:type="spellEnd"/>
      <w:r w:rsidRPr="00AD6B0E">
        <w:rPr>
          <w:rFonts w:ascii="TimesNewRoman" w:eastAsiaTheme="minorHAnsi" w:hAnsi="TimesNewRoman" w:cs="TimesNewRoman"/>
          <w:sz w:val="22"/>
          <w:szCs w:val="22"/>
        </w:rPr>
        <w:t>. U potkanov sa zistilo zníženie</w:t>
      </w:r>
    </w:p>
    <w:p w:rsidR="006A6F52" w:rsidRPr="00AD6B0E" w:rsidRDefault="008B52A9" w:rsidP="004701E5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rastu plodu pri expozičných hladinách, ktoré boli identické alebo mierne vyššie ako expozičné hladiny</w:t>
      </w:r>
    </w:p>
    <w:p w:rsidR="002F7B0D" w:rsidRPr="00AD6B0E" w:rsidRDefault="008B52A9" w:rsidP="004701E5">
      <w:pPr>
        <w:rPr>
          <w:sz w:val="22"/>
          <w:szCs w:val="22"/>
        </w:rPr>
      </w:pPr>
      <w:r w:rsidRPr="00AD6B0E">
        <w:rPr>
          <w:rFonts w:ascii="TimesNewRoman" w:eastAsiaTheme="minorHAnsi" w:hAnsi="TimesNewRoman" w:cs="TimesNewRoman"/>
          <w:sz w:val="22"/>
          <w:szCs w:val="22"/>
        </w:rPr>
        <w:t>u ľudí</w:t>
      </w:r>
      <w:r w:rsidRPr="00AD6B0E">
        <w:rPr>
          <w:sz w:val="22"/>
          <w:szCs w:val="22"/>
        </w:rPr>
        <w:t>.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1B5108" w:rsidRPr="00AD6B0E" w:rsidRDefault="001B5108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Farmaceutické informácie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6.1</w:t>
      </w:r>
      <w:r w:rsidRPr="00AD6B0E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4274CA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Jadro tablety: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mikrokryštalická celulóza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krospovidón</w:t>
      </w:r>
      <w:proofErr w:type="spellEnd"/>
      <w:r w:rsidRPr="00AD6B0E">
        <w:rPr>
          <w:sz w:val="22"/>
          <w:szCs w:val="22"/>
        </w:rPr>
        <w:t xml:space="preserve"> (Typ B)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koloidný oxid kremičitý bezvodý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mastenec</w:t>
      </w:r>
    </w:p>
    <w:p w:rsidR="004274CA" w:rsidRPr="00AD6B0E" w:rsidRDefault="00AA147B" w:rsidP="004701E5">
      <w:pPr>
        <w:jc w:val="both"/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magnéziumstearát</w:t>
      </w:r>
      <w:proofErr w:type="spellEnd"/>
      <w:r w:rsidR="00A26013" w:rsidRPr="00AD6B0E">
        <w:rPr>
          <w:sz w:val="22"/>
          <w:szCs w:val="22"/>
        </w:rPr>
        <w:t>.</w:t>
      </w:r>
    </w:p>
    <w:p w:rsidR="004701E5" w:rsidRPr="00AD6B0E" w:rsidRDefault="004701E5" w:rsidP="004701E5">
      <w:pPr>
        <w:jc w:val="both"/>
        <w:rPr>
          <w:sz w:val="22"/>
          <w:szCs w:val="22"/>
        </w:rPr>
      </w:pPr>
    </w:p>
    <w:p w:rsidR="004274CA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Obal tablety: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hypromelóza</w:t>
      </w:r>
      <w:proofErr w:type="spellEnd"/>
      <w:r w:rsidRPr="00AD6B0E">
        <w:rPr>
          <w:sz w:val="22"/>
          <w:szCs w:val="22"/>
        </w:rPr>
        <w:t xml:space="preserve"> 2910 (6cps)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proofErr w:type="spellStart"/>
      <w:r w:rsidRPr="00AD6B0E">
        <w:rPr>
          <w:sz w:val="22"/>
          <w:szCs w:val="22"/>
        </w:rPr>
        <w:t>makrogol</w:t>
      </w:r>
      <w:proofErr w:type="spellEnd"/>
      <w:r w:rsidRPr="00AD6B0E">
        <w:rPr>
          <w:sz w:val="22"/>
          <w:szCs w:val="22"/>
        </w:rPr>
        <w:t xml:space="preserve"> 400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 xml:space="preserve">oxid </w:t>
      </w:r>
      <w:proofErr w:type="spellStart"/>
      <w:r w:rsidRPr="00AD6B0E">
        <w:rPr>
          <w:sz w:val="22"/>
          <w:szCs w:val="22"/>
        </w:rPr>
        <w:t>titaničitý</w:t>
      </w:r>
      <w:proofErr w:type="spellEnd"/>
      <w:r w:rsidRPr="00AD6B0E">
        <w:rPr>
          <w:sz w:val="22"/>
          <w:szCs w:val="22"/>
        </w:rPr>
        <w:t xml:space="preserve"> (E171)</w:t>
      </w:r>
      <w:r w:rsidR="00A26013" w:rsidRPr="00AD6B0E">
        <w:rPr>
          <w:sz w:val="22"/>
          <w:szCs w:val="22"/>
        </w:rPr>
        <w:t>.</w:t>
      </w:r>
    </w:p>
    <w:p w:rsidR="004701E5" w:rsidRPr="00AD6B0E" w:rsidRDefault="004701E5" w:rsidP="004701E5">
      <w:pPr>
        <w:jc w:val="both"/>
        <w:rPr>
          <w:sz w:val="22"/>
          <w:szCs w:val="22"/>
        </w:rPr>
      </w:pP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 xml:space="preserve">Okrem toho pre 20 mg filmom obalené tablety: 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žltý oxid železitý (E172)</w:t>
      </w:r>
    </w:p>
    <w:p w:rsidR="004701E5" w:rsidRPr="00AD6B0E" w:rsidRDefault="00AA147B" w:rsidP="004701E5">
      <w:pPr>
        <w:jc w:val="both"/>
        <w:rPr>
          <w:sz w:val="22"/>
          <w:szCs w:val="22"/>
        </w:rPr>
      </w:pPr>
      <w:r w:rsidRPr="00AD6B0E">
        <w:rPr>
          <w:sz w:val="22"/>
          <w:szCs w:val="22"/>
        </w:rPr>
        <w:t>červený oxid železitý (E172).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AD6B0E" w:rsidRDefault="005A00A4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6.2</w:t>
      </w:r>
      <w:r w:rsidRPr="00AD6B0E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D6B0E">
        <w:rPr>
          <w:sz w:val="22"/>
          <w:szCs w:val="22"/>
        </w:rPr>
        <w:t xml:space="preserve">Neaplikovateľné. 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6.3</w:t>
      </w:r>
      <w:r w:rsidRPr="00AD6B0E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A00A4" w:rsidRPr="00AD6B0E" w:rsidRDefault="005A00A4" w:rsidP="004701E5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Zarkazkladnhotextu"/>
        <w:spacing w:line="240" w:lineRule="auto"/>
        <w:ind w:left="0"/>
        <w:rPr>
          <w:sz w:val="22"/>
          <w:szCs w:val="22"/>
        </w:rPr>
      </w:pPr>
      <w:r w:rsidRPr="00AD6B0E">
        <w:rPr>
          <w:sz w:val="22"/>
          <w:szCs w:val="22"/>
        </w:rPr>
        <w:t>3 roky</w:t>
      </w:r>
    </w:p>
    <w:p w:rsidR="005A00A4" w:rsidRPr="00AD6B0E" w:rsidRDefault="005A00A4" w:rsidP="004701E5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6.4</w:t>
      </w:r>
      <w:r w:rsidRPr="00AD6B0E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5A00A4" w:rsidRPr="00AD6B0E" w:rsidRDefault="008B52A9" w:rsidP="004701E5">
      <w:pPr>
        <w:jc w:val="both"/>
        <w:rPr>
          <w:noProof/>
          <w:sz w:val="22"/>
          <w:szCs w:val="22"/>
        </w:rPr>
      </w:pPr>
      <w:r w:rsidRPr="00AD6B0E">
        <w:rPr>
          <w:noProof/>
          <w:sz w:val="22"/>
          <w:szCs w:val="22"/>
        </w:rPr>
        <w:t>Tento liek nevyžaduje žiadne zvláštne teplotné podmienky na uchovávanie.</w:t>
      </w:r>
    </w:p>
    <w:p w:rsidR="004701E5" w:rsidRPr="00AD6B0E" w:rsidRDefault="008B52A9" w:rsidP="004701E5">
      <w:pPr>
        <w:jc w:val="both"/>
        <w:rPr>
          <w:noProof/>
          <w:sz w:val="22"/>
          <w:szCs w:val="22"/>
        </w:rPr>
      </w:pPr>
      <w:r w:rsidRPr="00AD6B0E">
        <w:rPr>
          <w:noProof/>
          <w:sz w:val="22"/>
          <w:szCs w:val="22"/>
        </w:rPr>
        <w:t>Uchovávajte v pôvodnom balení na ochranu pred svetlom</w:t>
      </w:r>
    </w:p>
    <w:p w:rsidR="00892636" w:rsidRPr="00AD6B0E" w:rsidRDefault="00892636" w:rsidP="004701E5">
      <w:pPr>
        <w:jc w:val="both"/>
        <w:rPr>
          <w:sz w:val="22"/>
          <w:szCs w:val="22"/>
        </w:rPr>
      </w:pPr>
    </w:p>
    <w:p w:rsidR="005A00A4" w:rsidRPr="00AD6B0E" w:rsidRDefault="008B52A9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6.5</w:t>
      </w:r>
      <w:r w:rsidRPr="00AD6B0E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AD6B0E">
        <w:rPr>
          <w:rFonts w:ascii="Times New Roman" w:hAnsi="Times New Roman"/>
          <w:i w:val="0"/>
          <w:sz w:val="22"/>
          <w:szCs w:val="22"/>
        </w:rPr>
        <w:br/>
      </w:r>
    </w:p>
    <w:p w:rsidR="004274CA" w:rsidRPr="00AD6B0E" w:rsidRDefault="00AA147B" w:rsidP="004701E5">
      <w:pPr>
        <w:jc w:val="both"/>
        <w:rPr>
          <w:bCs/>
          <w:sz w:val="22"/>
          <w:szCs w:val="22"/>
        </w:rPr>
      </w:pPr>
      <w:r w:rsidRPr="00AD6B0E">
        <w:rPr>
          <w:rFonts w:eastAsia="Calibri"/>
          <w:color w:val="000000"/>
          <w:sz w:val="22"/>
          <w:szCs w:val="22"/>
        </w:rPr>
        <w:t>PVC/</w:t>
      </w:r>
      <w:proofErr w:type="spellStart"/>
      <w:r w:rsidRPr="00AD6B0E">
        <w:rPr>
          <w:rFonts w:eastAsia="Calibri"/>
          <w:color w:val="000000"/>
          <w:sz w:val="22"/>
          <w:szCs w:val="22"/>
        </w:rPr>
        <w:t>PVdC-Aluminum</w:t>
      </w:r>
      <w:proofErr w:type="spellEnd"/>
      <w:r w:rsidRPr="00AD6B0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AD6B0E">
        <w:rPr>
          <w:rFonts w:eastAsia="Calibri"/>
          <w:color w:val="000000"/>
          <w:sz w:val="22"/>
          <w:szCs w:val="22"/>
        </w:rPr>
        <w:t>blister</w:t>
      </w:r>
      <w:proofErr w:type="spellEnd"/>
    </w:p>
    <w:p w:rsidR="004701E5" w:rsidRPr="00AD6B0E" w:rsidRDefault="004701E5" w:rsidP="004701E5">
      <w:pPr>
        <w:jc w:val="both"/>
        <w:rPr>
          <w:bCs/>
          <w:sz w:val="22"/>
          <w:szCs w:val="22"/>
        </w:rPr>
      </w:pPr>
    </w:p>
    <w:p w:rsidR="004701E5" w:rsidRPr="00AD6B0E" w:rsidRDefault="00AA147B" w:rsidP="004701E5">
      <w:pPr>
        <w:jc w:val="both"/>
        <w:rPr>
          <w:bCs/>
          <w:sz w:val="22"/>
          <w:szCs w:val="22"/>
        </w:rPr>
      </w:pPr>
      <w:proofErr w:type="spellStart"/>
      <w:r w:rsidRPr="00AD6B0E">
        <w:rPr>
          <w:bCs/>
          <w:sz w:val="22"/>
          <w:szCs w:val="22"/>
        </w:rPr>
        <w:t>Blistre</w:t>
      </w:r>
      <w:proofErr w:type="spellEnd"/>
      <w:r w:rsidRPr="00AD6B0E">
        <w:rPr>
          <w:bCs/>
          <w:sz w:val="22"/>
          <w:szCs w:val="22"/>
        </w:rPr>
        <w:t xml:space="preserve"> budú zabalené do škatuľky na základe schválených veľkostí balení.</w:t>
      </w:r>
    </w:p>
    <w:p w:rsidR="004701E5" w:rsidRPr="00AD6B0E" w:rsidRDefault="004701E5" w:rsidP="004701E5">
      <w:pPr>
        <w:rPr>
          <w:bCs/>
          <w:sz w:val="22"/>
          <w:szCs w:val="22"/>
        </w:rPr>
      </w:pPr>
    </w:p>
    <w:p w:rsidR="004701E5" w:rsidRPr="00AD6B0E" w:rsidRDefault="00AA147B" w:rsidP="004701E5">
      <w:pPr>
        <w:rPr>
          <w:bCs/>
          <w:sz w:val="22"/>
          <w:szCs w:val="22"/>
        </w:rPr>
      </w:pPr>
      <w:r w:rsidRPr="00AD6B0E">
        <w:rPr>
          <w:bCs/>
          <w:sz w:val="22"/>
          <w:szCs w:val="22"/>
        </w:rPr>
        <w:t xml:space="preserve">1x7, 2x7, 4x7, 6x7, 7x7, 8x7, 10x7, 12x7, 14x7, 1x14, 2x14, 3x14, 4x14, 5x14, 6x14, 7x14, 8x14, </w:t>
      </w:r>
      <w:r w:rsidR="00C23D11" w:rsidRPr="00AD6B0E">
        <w:rPr>
          <w:bCs/>
          <w:sz w:val="22"/>
          <w:szCs w:val="22"/>
        </w:rPr>
        <w:t xml:space="preserve">1x10, </w:t>
      </w:r>
      <w:r w:rsidRPr="00AD6B0E">
        <w:rPr>
          <w:bCs/>
          <w:sz w:val="22"/>
          <w:szCs w:val="22"/>
        </w:rPr>
        <w:t>3x10,</w:t>
      </w:r>
      <w:r w:rsidR="00C23D11" w:rsidRPr="00AD6B0E">
        <w:rPr>
          <w:bCs/>
          <w:sz w:val="22"/>
          <w:szCs w:val="22"/>
        </w:rPr>
        <w:t xml:space="preserve"> </w:t>
      </w:r>
      <w:r w:rsidRPr="00AD6B0E">
        <w:rPr>
          <w:bCs/>
          <w:sz w:val="22"/>
          <w:szCs w:val="22"/>
        </w:rPr>
        <w:t xml:space="preserve">5x10,10x10. </w:t>
      </w:r>
    </w:p>
    <w:p w:rsidR="004701E5" w:rsidRPr="00AD6B0E" w:rsidRDefault="004701E5" w:rsidP="004701E5">
      <w:pPr>
        <w:rPr>
          <w:bCs/>
          <w:sz w:val="22"/>
          <w:szCs w:val="22"/>
        </w:rPr>
      </w:pPr>
    </w:p>
    <w:p w:rsidR="004701E5" w:rsidRPr="00AD6B0E" w:rsidRDefault="00AA147B" w:rsidP="004701E5">
      <w:pPr>
        <w:rPr>
          <w:sz w:val="22"/>
          <w:szCs w:val="22"/>
        </w:rPr>
      </w:pPr>
      <w:proofErr w:type="spellStart"/>
      <w:r w:rsidRPr="00AD6B0E">
        <w:rPr>
          <w:bCs/>
          <w:sz w:val="22"/>
          <w:szCs w:val="22"/>
        </w:rPr>
        <w:t>Multibalenia</w:t>
      </w:r>
      <w:proofErr w:type="spellEnd"/>
      <w:r w:rsidRPr="00AD6B0E">
        <w:rPr>
          <w:bCs/>
          <w:sz w:val="22"/>
          <w:szCs w:val="22"/>
        </w:rPr>
        <w:t>: 20-násobky (t.j. 20x7, 20x10, 20x14) v papierovej škatuľke.</w:t>
      </w:r>
    </w:p>
    <w:p w:rsidR="004701E5" w:rsidRPr="00AD6B0E" w:rsidRDefault="004701E5" w:rsidP="004701E5">
      <w:pPr>
        <w:rPr>
          <w:sz w:val="22"/>
          <w:szCs w:val="22"/>
        </w:rPr>
      </w:pPr>
    </w:p>
    <w:p w:rsidR="004274CA" w:rsidRPr="00AD6B0E" w:rsidRDefault="00AA147B" w:rsidP="004701E5">
      <w:pPr>
        <w:rPr>
          <w:sz w:val="22"/>
          <w:szCs w:val="22"/>
        </w:rPr>
      </w:pPr>
      <w:r w:rsidRPr="00AD6B0E">
        <w:rPr>
          <w:sz w:val="22"/>
          <w:szCs w:val="22"/>
        </w:rPr>
        <w:lastRenderedPageBreak/>
        <w:t>Na trh nemusia byť uvedené všetky veľkosti balenia.</w:t>
      </w:r>
    </w:p>
    <w:p w:rsidR="006D7981" w:rsidRPr="00AD6B0E" w:rsidRDefault="006D7981" w:rsidP="004701E5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6.6</w:t>
      </w:r>
      <w:r w:rsidRPr="00AD6B0E">
        <w:rPr>
          <w:rFonts w:ascii="Times New Roman" w:hAnsi="Times New Roman"/>
          <w:i w:val="0"/>
          <w:sz w:val="22"/>
          <w:szCs w:val="22"/>
        </w:rPr>
        <w:tab/>
        <w:t> Špeciálne opatrenia na likvidáciu a iné zaobchádzanie s liekom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4274CA" w:rsidRPr="00AD6B0E" w:rsidRDefault="004274CA" w:rsidP="004701E5">
      <w:pPr>
        <w:autoSpaceDE w:val="0"/>
        <w:autoSpaceDN w:val="0"/>
        <w:adjustRightInd w:val="0"/>
        <w:rPr>
          <w:sz w:val="22"/>
          <w:szCs w:val="22"/>
        </w:rPr>
      </w:pPr>
      <w:r w:rsidRPr="00AD6B0E">
        <w:rPr>
          <w:sz w:val="22"/>
          <w:szCs w:val="22"/>
        </w:rPr>
        <w:t xml:space="preserve">Všetok nepoužitý liek alebo odpad vzniknutý z lieku sa má </w:t>
      </w:r>
      <w:r w:rsidR="004701E5" w:rsidRPr="00AD6B0E">
        <w:rPr>
          <w:sz w:val="22"/>
          <w:szCs w:val="22"/>
        </w:rPr>
        <w:t>vrátiť do lekárne</w:t>
      </w:r>
      <w:r w:rsidRPr="00AD6B0E">
        <w:rPr>
          <w:sz w:val="22"/>
          <w:szCs w:val="22"/>
        </w:rPr>
        <w:t>.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E012CD" w:rsidRPr="00AD6B0E" w:rsidRDefault="00E012CD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Držiteľ rozhodnutia o registrácii</w:t>
      </w:r>
    </w:p>
    <w:p w:rsidR="005A00A4" w:rsidRPr="00AD6B0E" w:rsidRDefault="005A00A4" w:rsidP="004701E5">
      <w:pPr>
        <w:jc w:val="both"/>
        <w:rPr>
          <w:sz w:val="22"/>
          <w:szCs w:val="22"/>
        </w:rPr>
      </w:pPr>
    </w:p>
    <w:p w:rsidR="004274CA" w:rsidRPr="00AD6B0E" w:rsidRDefault="008B52A9" w:rsidP="004701E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</w:pP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Cipla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 EU </w:t>
      </w: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Limited</w:t>
      </w:r>
      <w:proofErr w:type="spellEnd"/>
    </w:p>
    <w:p w:rsidR="004274CA" w:rsidRPr="00AD6B0E" w:rsidRDefault="008B52A9" w:rsidP="004701E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</w:pP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Hillbrow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 </w:t>
      </w: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House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, </w:t>
      </w: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Hillbrow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 </w:t>
      </w: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Road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, </w:t>
      </w:r>
    </w:p>
    <w:p w:rsidR="004274CA" w:rsidRPr="00AD6B0E" w:rsidRDefault="008B52A9" w:rsidP="004701E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</w:pP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Esher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 </w:t>
      </w:r>
      <w:proofErr w:type="spellStart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Surrey</w:t>
      </w:r>
      <w:proofErr w:type="spellEnd"/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, </w:t>
      </w:r>
    </w:p>
    <w:p w:rsidR="004274CA" w:rsidRPr="00AD6B0E" w:rsidRDefault="008B52A9" w:rsidP="004701E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</w:pPr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 xml:space="preserve">KT1O 9NW, </w:t>
      </w:r>
    </w:p>
    <w:p w:rsidR="004274CA" w:rsidRPr="00AD6B0E" w:rsidRDefault="008B52A9" w:rsidP="004701E5">
      <w:pPr>
        <w:pStyle w:val="Default"/>
        <w:jc w:val="both"/>
        <w:rPr>
          <w:b/>
          <w:sz w:val="22"/>
          <w:szCs w:val="22"/>
          <w:lang w:val="sk-SK"/>
        </w:rPr>
      </w:pPr>
      <w:r w:rsidRPr="00AD6B0E">
        <w:rPr>
          <w:rFonts w:ascii="Times New Roman" w:eastAsia="Times New Roman" w:hAnsi="Times New Roman" w:cs="Times New Roman"/>
          <w:color w:val="auto"/>
          <w:sz w:val="22"/>
          <w:szCs w:val="22"/>
          <w:lang w:val="sk-SK" w:eastAsia="sk-SK"/>
        </w:rPr>
        <w:t>Spojené kráľovstvo</w:t>
      </w:r>
    </w:p>
    <w:p w:rsidR="005A00A4" w:rsidRPr="00AD6B0E" w:rsidRDefault="005A00A4" w:rsidP="004701E5">
      <w:pPr>
        <w:jc w:val="both"/>
        <w:rPr>
          <w:sz w:val="22"/>
          <w:szCs w:val="22"/>
        </w:rPr>
      </w:pPr>
    </w:p>
    <w:p w:rsidR="005A00A4" w:rsidRPr="00AD6B0E" w:rsidRDefault="005A00A4" w:rsidP="004701E5">
      <w:pPr>
        <w:jc w:val="both"/>
        <w:rPr>
          <w:sz w:val="22"/>
          <w:szCs w:val="22"/>
        </w:rPr>
      </w:pPr>
    </w:p>
    <w:p w:rsidR="005A00A4" w:rsidRPr="00AD6B0E" w:rsidRDefault="005A00A4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RegistraČné čísl</w:t>
      </w:r>
      <w:r w:rsidR="004274CA" w:rsidRPr="00AD6B0E">
        <w:rPr>
          <w:rFonts w:ascii="Times New Roman" w:hAnsi="Times New Roman"/>
          <w:i w:val="0"/>
          <w:sz w:val="22"/>
          <w:szCs w:val="22"/>
        </w:rPr>
        <w:t>A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4701E5" w:rsidRPr="00AD6B0E" w:rsidRDefault="004701E5" w:rsidP="004701E5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proofErr w:type="spellStart"/>
      <w:r w:rsidRPr="00AD6B0E">
        <w:rPr>
          <w:b w:val="0"/>
          <w:sz w:val="22"/>
          <w:szCs w:val="22"/>
        </w:rPr>
        <w:t>Memantín</w:t>
      </w:r>
      <w:proofErr w:type="spellEnd"/>
      <w:r w:rsidRPr="00AD6B0E">
        <w:rPr>
          <w:b w:val="0"/>
          <w:sz w:val="22"/>
          <w:szCs w:val="22"/>
        </w:rPr>
        <w:t xml:space="preserve"> </w:t>
      </w:r>
      <w:proofErr w:type="spellStart"/>
      <w:r w:rsidRPr="00AD6B0E">
        <w:rPr>
          <w:b w:val="0"/>
          <w:sz w:val="22"/>
          <w:szCs w:val="22"/>
        </w:rPr>
        <w:t>Cipla</w:t>
      </w:r>
      <w:proofErr w:type="spellEnd"/>
      <w:r w:rsidRPr="00AD6B0E">
        <w:rPr>
          <w:b w:val="0"/>
          <w:sz w:val="22"/>
          <w:szCs w:val="22"/>
        </w:rPr>
        <w:t xml:space="preserve"> 10 mg filmom obalené tablety</w:t>
      </w:r>
      <w:r w:rsidR="00A95D11" w:rsidRPr="00AD6B0E">
        <w:rPr>
          <w:b w:val="0"/>
          <w:sz w:val="22"/>
          <w:szCs w:val="22"/>
        </w:rPr>
        <w:t>:</w:t>
      </w:r>
      <w:r w:rsidR="00A95D11" w:rsidRPr="00AD6B0E">
        <w:t xml:space="preserve"> </w:t>
      </w:r>
      <w:r w:rsidR="00A95D11" w:rsidRPr="00AD6B0E">
        <w:rPr>
          <w:b w:val="0"/>
          <w:sz w:val="22"/>
          <w:szCs w:val="22"/>
        </w:rPr>
        <w:t>06/0165/16-S</w:t>
      </w:r>
    </w:p>
    <w:p w:rsidR="004701E5" w:rsidRPr="00AD6B0E" w:rsidRDefault="008B52A9" w:rsidP="004701E5">
      <w:pPr>
        <w:pStyle w:val="Product"/>
        <w:spacing w:after="0" w:line="240" w:lineRule="auto"/>
        <w:ind w:left="0"/>
        <w:jc w:val="both"/>
      </w:pPr>
      <w:proofErr w:type="spellStart"/>
      <w:r w:rsidRPr="00AD6B0E">
        <w:rPr>
          <w:b w:val="0"/>
          <w:sz w:val="22"/>
          <w:szCs w:val="22"/>
        </w:rPr>
        <w:t>Memantín</w:t>
      </w:r>
      <w:proofErr w:type="spellEnd"/>
      <w:r w:rsidRPr="00AD6B0E">
        <w:rPr>
          <w:b w:val="0"/>
          <w:sz w:val="22"/>
          <w:szCs w:val="22"/>
        </w:rPr>
        <w:t xml:space="preserve"> </w:t>
      </w:r>
      <w:proofErr w:type="spellStart"/>
      <w:r w:rsidRPr="00AD6B0E">
        <w:rPr>
          <w:b w:val="0"/>
          <w:sz w:val="22"/>
          <w:szCs w:val="22"/>
        </w:rPr>
        <w:t>Cipla</w:t>
      </w:r>
      <w:proofErr w:type="spellEnd"/>
      <w:r w:rsidRPr="00AD6B0E">
        <w:rPr>
          <w:b w:val="0"/>
          <w:sz w:val="22"/>
          <w:szCs w:val="22"/>
        </w:rPr>
        <w:t xml:space="preserve"> 20 mg filmom obalené tablety</w:t>
      </w:r>
      <w:r w:rsidR="00AA147B" w:rsidRPr="00AD6B0E">
        <w:rPr>
          <w:b w:val="0"/>
          <w:sz w:val="22"/>
          <w:szCs w:val="22"/>
        </w:rPr>
        <w:t>:</w:t>
      </w:r>
      <w:r w:rsidR="00AA147B" w:rsidRPr="00AD6B0E">
        <w:t xml:space="preserve"> </w:t>
      </w:r>
      <w:r w:rsidR="00AA147B" w:rsidRPr="00AD6B0E">
        <w:rPr>
          <w:b w:val="0"/>
          <w:sz w:val="22"/>
          <w:szCs w:val="22"/>
        </w:rPr>
        <w:t>06/0166/16-S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B4192E" w:rsidRPr="00AD6B0E" w:rsidRDefault="00B4192E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B4192E" w:rsidRPr="00AD6B0E" w:rsidRDefault="00B4192E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5A00A4" w:rsidP="004701E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AD6B0E" w:rsidRDefault="008B52A9" w:rsidP="004701E5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AD6B0E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A00A4" w:rsidRPr="00AD6B0E" w:rsidRDefault="005A00A4" w:rsidP="004701E5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AD6B0E" w:rsidRDefault="00F85D07" w:rsidP="004701E5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Apríl</w:t>
      </w:r>
      <w:r w:rsidR="00A95D11" w:rsidRPr="00AD6B0E">
        <w:rPr>
          <w:sz w:val="22"/>
          <w:szCs w:val="22"/>
        </w:rPr>
        <w:t xml:space="preserve"> 2016</w:t>
      </w:r>
    </w:p>
    <w:p w:rsidR="00D726F9" w:rsidRPr="00AD6B0E" w:rsidRDefault="00D726F9" w:rsidP="004701E5">
      <w:pPr>
        <w:rPr>
          <w:sz w:val="22"/>
          <w:szCs w:val="22"/>
        </w:rPr>
      </w:pPr>
    </w:p>
    <w:sectPr w:rsidR="00D726F9" w:rsidRPr="00AD6B0E" w:rsidSect="004064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30" w:rsidRDefault="00A04D30" w:rsidP="00641EFF">
      <w:r>
        <w:separator/>
      </w:r>
    </w:p>
  </w:endnote>
  <w:endnote w:type="continuationSeparator" w:id="0">
    <w:p w:rsidR="00A04D30" w:rsidRDefault="00A04D30" w:rsidP="00641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819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5D11" w:rsidRDefault="00BA0448">
        <w:pPr>
          <w:pStyle w:val="Pta"/>
          <w:jc w:val="center"/>
        </w:pPr>
        <w:r w:rsidRPr="00AD6B0E">
          <w:rPr>
            <w:sz w:val="22"/>
            <w:szCs w:val="22"/>
          </w:rPr>
          <w:fldChar w:fldCharType="begin"/>
        </w:r>
        <w:r w:rsidR="00AA147B" w:rsidRPr="00AD6B0E">
          <w:rPr>
            <w:sz w:val="22"/>
            <w:szCs w:val="22"/>
          </w:rPr>
          <w:instrText xml:space="preserve"> PAGE   \* MERGEFORMAT </w:instrText>
        </w:r>
        <w:r w:rsidRPr="00AD6B0E">
          <w:rPr>
            <w:sz w:val="22"/>
            <w:szCs w:val="22"/>
          </w:rPr>
          <w:fldChar w:fldCharType="separate"/>
        </w:r>
        <w:r w:rsidR="00973F31">
          <w:rPr>
            <w:noProof/>
            <w:sz w:val="22"/>
            <w:szCs w:val="22"/>
          </w:rPr>
          <w:t>9</w:t>
        </w:r>
        <w:r w:rsidRPr="00AD6B0E">
          <w:rPr>
            <w:sz w:val="22"/>
            <w:szCs w:val="22"/>
          </w:rPr>
          <w:fldChar w:fldCharType="end"/>
        </w:r>
      </w:p>
    </w:sdtContent>
  </w:sdt>
  <w:p w:rsidR="00A95D11" w:rsidRDefault="00A95D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30" w:rsidRDefault="00A04D30" w:rsidP="00641EFF">
      <w:r>
        <w:separator/>
      </w:r>
    </w:p>
  </w:footnote>
  <w:footnote w:type="continuationSeparator" w:id="0">
    <w:p w:rsidR="00A04D30" w:rsidRDefault="00A04D30" w:rsidP="00641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44CDE"/>
    <w:multiLevelType w:val="hybridMultilevel"/>
    <w:tmpl w:val="451E1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F6AFB"/>
    <w:multiLevelType w:val="hybridMultilevel"/>
    <w:tmpl w:val="DB549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E0F8D"/>
    <w:multiLevelType w:val="hybridMultilevel"/>
    <w:tmpl w:val="6BE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7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06162"/>
    <w:multiLevelType w:val="hybridMultilevel"/>
    <w:tmpl w:val="6EC617FE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C67264"/>
    <w:multiLevelType w:val="hybridMultilevel"/>
    <w:tmpl w:val="84867D22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0A4"/>
    <w:rsid w:val="00033D62"/>
    <w:rsid w:val="0003777F"/>
    <w:rsid w:val="00054913"/>
    <w:rsid w:val="00062F67"/>
    <w:rsid w:val="000A4965"/>
    <w:rsid w:val="000A712B"/>
    <w:rsid w:val="000E5CAA"/>
    <w:rsid w:val="000F4200"/>
    <w:rsid w:val="00104CA6"/>
    <w:rsid w:val="001B5108"/>
    <w:rsid w:val="00202958"/>
    <w:rsid w:val="00211623"/>
    <w:rsid w:val="00260F1C"/>
    <w:rsid w:val="00290782"/>
    <w:rsid w:val="002A1E04"/>
    <w:rsid w:val="002A65D3"/>
    <w:rsid w:val="002B4DC0"/>
    <w:rsid w:val="002C4865"/>
    <w:rsid w:val="002C61E3"/>
    <w:rsid w:val="002D5302"/>
    <w:rsid w:val="002F796E"/>
    <w:rsid w:val="002F7B0D"/>
    <w:rsid w:val="003029FB"/>
    <w:rsid w:val="00306C6C"/>
    <w:rsid w:val="003601BC"/>
    <w:rsid w:val="003A0770"/>
    <w:rsid w:val="003D4D4E"/>
    <w:rsid w:val="00406410"/>
    <w:rsid w:val="004274CA"/>
    <w:rsid w:val="004701E5"/>
    <w:rsid w:val="00532817"/>
    <w:rsid w:val="005449A5"/>
    <w:rsid w:val="00554A2D"/>
    <w:rsid w:val="00570E33"/>
    <w:rsid w:val="005A00A4"/>
    <w:rsid w:val="006079EE"/>
    <w:rsid w:val="00630A1D"/>
    <w:rsid w:val="00641EFF"/>
    <w:rsid w:val="00684465"/>
    <w:rsid w:val="00690F8B"/>
    <w:rsid w:val="006A6F52"/>
    <w:rsid w:val="006B0D80"/>
    <w:rsid w:val="006D7981"/>
    <w:rsid w:val="00737975"/>
    <w:rsid w:val="0074528E"/>
    <w:rsid w:val="00795D27"/>
    <w:rsid w:val="007A0D93"/>
    <w:rsid w:val="007A1066"/>
    <w:rsid w:val="007B5297"/>
    <w:rsid w:val="007B6B0B"/>
    <w:rsid w:val="008230CC"/>
    <w:rsid w:val="00826FE1"/>
    <w:rsid w:val="00840BBE"/>
    <w:rsid w:val="00841578"/>
    <w:rsid w:val="008433AD"/>
    <w:rsid w:val="0084689E"/>
    <w:rsid w:val="00892636"/>
    <w:rsid w:val="008A37A8"/>
    <w:rsid w:val="008A3F96"/>
    <w:rsid w:val="008B49CE"/>
    <w:rsid w:val="008B52A9"/>
    <w:rsid w:val="008D3E2F"/>
    <w:rsid w:val="008F60C8"/>
    <w:rsid w:val="008F7348"/>
    <w:rsid w:val="00910160"/>
    <w:rsid w:val="00943F33"/>
    <w:rsid w:val="00946A34"/>
    <w:rsid w:val="00962A4E"/>
    <w:rsid w:val="00973F31"/>
    <w:rsid w:val="009A2051"/>
    <w:rsid w:val="009B2D4D"/>
    <w:rsid w:val="00A04D30"/>
    <w:rsid w:val="00A14EF1"/>
    <w:rsid w:val="00A26013"/>
    <w:rsid w:val="00A27BF7"/>
    <w:rsid w:val="00A45A4A"/>
    <w:rsid w:val="00A50833"/>
    <w:rsid w:val="00A95D11"/>
    <w:rsid w:val="00AA126E"/>
    <w:rsid w:val="00AA147B"/>
    <w:rsid w:val="00AD6B0E"/>
    <w:rsid w:val="00B020B7"/>
    <w:rsid w:val="00B03AFE"/>
    <w:rsid w:val="00B4192E"/>
    <w:rsid w:val="00B53DA4"/>
    <w:rsid w:val="00B841C2"/>
    <w:rsid w:val="00B90B14"/>
    <w:rsid w:val="00BA0448"/>
    <w:rsid w:val="00BA32FE"/>
    <w:rsid w:val="00BD3859"/>
    <w:rsid w:val="00BE0F1A"/>
    <w:rsid w:val="00BE263C"/>
    <w:rsid w:val="00BE40C4"/>
    <w:rsid w:val="00C03D9D"/>
    <w:rsid w:val="00C06ADA"/>
    <w:rsid w:val="00C23D11"/>
    <w:rsid w:val="00CA486A"/>
    <w:rsid w:val="00CA4CBA"/>
    <w:rsid w:val="00CC00D6"/>
    <w:rsid w:val="00CF296E"/>
    <w:rsid w:val="00CF4AEE"/>
    <w:rsid w:val="00D03ADC"/>
    <w:rsid w:val="00D06490"/>
    <w:rsid w:val="00D36ED5"/>
    <w:rsid w:val="00D4541D"/>
    <w:rsid w:val="00D5426C"/>
    <w:rsid w:val="00D61AE6"/>
    <w:rsid w:val="00D726F9"/>
    <w:rsid w:val="00D74979"/>
    <w:rsid w:val="00D7549C"/>
    <w:rsid w:val="00D76AE6"/>
    <w:rsid w:val="00DB52F3"/>
    <w:rsid w:val="00DB7981"/>
    <w:rsid w:val="00E012CD"/>
    <w:rsid w:val="00E24193"/>
    <w:rsid w:val="00E24EEE"/>
    <w:rsid w:val="00E31F1B"/>
    <w:rsid w:val="00E53B13"/>
    <w:rsid w:val="00E86E9A"/>
    <w:rsid w:val="00EA4A9B"/>
    <w:rsid w:val="00F00941"/>
    <w:rsid w:val="00F0640D"/>
    <w:rsid w:val="00F15A97"/>
    <w:rsid w:val="00F521E8"/>
    <w:rsid w:val="00F7598F"/>
    <w:rsid w:val="00F8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uiPriority w:val="99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">
    <w:name w:val="Comment Subject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Predvolenpsmoodseku"/>
    <w:rsid w:val="00AA126E"/>
  </w:style>
  <w:style w:type="table" w:styleId="Mriekatabuky">
    <w:name w:val="Table Grid"/>
    <w:basedOn w:val="Normlnatabuka"/>
    <w:uiPriority w:val="59"/>
    <w:rsid w:val="000A4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B6B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B6B0B"/>
    <w:rPr>
      <w:rFonts w:ascii="Times New Roman" w:eastAsia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B6B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B6B0B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F7B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F7B0D"/>
    <w:rPr>
      <w:rFonts w:ascii="Times New Roman" w:eastAsia="Times New Roman" w:hAnsi="Times New Roman" w:cs="Times New Roman"/>
      <w:sz w:val="24"/>
      <w:szCs w:val="24"/>
    </w:rPr>
  </w:style>
  <w:style w:type="paragraph" w:styleId="Oznaitext">
    <w:name w:val="Block Text"/>
    <w:basedOn w:val="Normlny"/>
    <w:rsid w:val="002F7B0D"/>
    <w:pPr>
      <w:widowControl w:val="0"/>
      <w:ind w:left="426" w:right="-426" w:hanging="426"/>
      <w:jc w:val="both"/>
    </w:pPr>
    <w:rPr>
      <w:szCs w:val="20"/>
    </w:rPr>
  </w:style>
  <w:style w:type="paragraph" w:styleId="Pta">
    <w:name w:val="footer"/>
    <w:basedOn w:val="Normlny"/>
    <w:link w:val="PtaChar"/>
    <w:uiPriority w:val="99"/>
    <w:unhideWhenUsed/>
    <w:rsid w:val="00641E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1EF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2419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1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1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"/>
    <w:uiPriority w:val="99"/>
    <w:rsid w:val="005A00A4"/>
    <w:pPr>
      <w:spacing w:after="200" w:line="360" w:lineRule="exact"/>
      <w:ind w:left="851"/>
    </w:pPr>
  </w:style>
  <w:style w:type="paragraph" w:styleId="Zhlav">
    <w:name w:val="header"/>
    <w:basedOn w:val="Normln"/>
    <w:link w:val="ZhlavChar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ZhlavChar">
    <w:name w:val="Záhlaví Char"/>
    <w:basedOn w:val="Standardnpsmoodstavce"/>
    <w:link w:val="Zhlav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">
    <w:name w:val="Comment Subject"/>
    <w:basedOn w:val="Textkomente"/>
    <w:next w:val="Textkomente"/>
    <w:semiHidden/>
    <w:rsid w:val="00054913"/>
    <w:pPr>
      <w:ind w:left="567" w:hanging="567"/>
    </w:pPr>
    <w:rPr>
      <w:b/>
      <w:bCs/>
      <w:lang w:eastAsia="sk-SK"/>
    </w:rPr>
  </w:style>
  <w:style w:type="paragraph" w:styleId="Textkomente">
    <w:name w:val="annotation text"/>
    <w:basedOn w:val="Normln"/>
    <w:link w:val="TextkomenteChar"/>
    <w:uiPriority w:val="99"/>
    <w:unhideWhenUsed/>
    <w:rsid w:val="000549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Standardnpsmoodstavce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web">
    <w:name w:val="Normal (Web)"/>
    <w:basedOn w:val="Normln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Standardnpsmoodstavce"/>
    <w:rsid w:val="00AA126E"/>
  </w:style>
  <w:style w:type="table" w:styleId="Mkatabulky">
    <w:name w:val="Table Grid"/>
    <w:basedOn w:val="Normlntabulka"/>
    <w:uiPriority w:val="59"/>
    <w:rsid w:val="000A4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B6B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B6B0B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6B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6B0B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7B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7B0D"/>
    <w:rPr>
      <w:rFonts w:ascii="Times New Roman" w:eastAsia="Times New Roman" w:hAnsi="Times New Roman" w:cs="Times New Roman"/>
      <w:sz w:val="24"/>
      <w:szCs w:val="24"/>
    </w:rPr>
  </w:style>
  <w:style w:type="paragraph" w:styleId="Textvbloku">
    <w:name w:val="Block Text"/>
    <w:basedOn w:val="Normln"/>
    <w:rsid w:val="002F7B0D"/>
    <w:pPr>
      <w:widowControl w:val="0"/>
      <w:ind w:left="426" w:right="-426" w:hanging="426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3136</Words>
  <Characters>17879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 sulejova</cp:lastModifiedBy>
  <cp:revision>75</cp:revision>
  <dcterms:created xsi:type="dcterms:W3CDTF">2014-07-04T11:49:00Z</dcterms:created>
  <dcterms:modified xsi:type="dcterms:W3CDTF">2016-04-05T07:40:00Z</dcterms:modified>
</cp:coreProperties>
</file>