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2D3" w:rsidRDefault="003452D3" w:rsidP="004E2F7C">
      <w:pPr>
        <w:rPr>
          <w:b/>
          <w:sz w:val="22"/>
          <w:szCs w:val="22"/>
        </w:rPr>
      </w:pPr>
    </w:p>
    <w:p w:rsidR="003452D3" w:rsidRPr="002B1FB5" w:rsidRDefault="003452D3">
      <w:pPr>
        <w:jc w:val="center"/>
        <w:rPr>
          <w:b/>
          <w:sz w:val="22"/>
          <w:szCs w:val="22"/>
        </w:rPr>
      </w:pPr>
      <w:r w:rsidRPr="002B1FB5">
        <w:rPr>
          <w:b/>
          <w:sz w:val="22"/>
          <w:szCs w:val="22"/>
        </w:rPr>
        <w:t>SÚHRN CHARAKTERISTICKÝCH VLASTNOSTÍ LIEKU</w:t>
      </w:r>
    </w:p>
    <w:p w:rsidR="003452D3" w:rsidRPr="000D7487" w:rsidRDefault="003452D3">
      <w:pPr>
        <w:jc w:val="center"/>
        <w:rPr>
          <w:b/>
          <w:sz w:val="22"/>
          <w:szCs w:val="22"/>
        </w:rPr>
      </w:pPr>
    </w:p>
    <w:p w:rsidR="003452D3" w:rsidRPr="00FB23AC" w:rsidRDefault="003452D3" w:rsidP="00844806">
      <w:pPr>
        <w:jc w:val="center"/>
        <w:rPr>
          <w:b/>
          <w:sz w:val="22"/>
          <w:szCs w:val="22"/>
        </w:rPr>
      </w:pPr>
    </w:p>
    <w:p w:rsidR="003452D3" w:rsidRPr="00082BFE" w:rsidRDefault="003452D3" w:rsidP="00844806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NÁZOV LIEKU</w:t>
      </w:r>
    </w:p>
    <w:p w:rsidR="003452D3" w:rsidRPr="00082BFE" w:rsidRDefault="003452D3" w:rsidP="00844806">
      <w:pPr>
        <w:rPr>
          <w:b/>
          <w:sz w:val="22"/>
          <w:szCs w:val="22"/>
        </w:rPr>
      </w:pPr>
    </w:p>
    <w:p w:rsidR="003452D3" w:rsidRPr="00082BFE" w:rsidRDefault="003452D3" w:rsidP="00844806">
      <w:pPr>
        <w:pStyle w:val="Nadpis5"/>
        <w:rPr>
          <w:b w:val="0"/>
          <w:bCs/>
          <w:sz w:val="22"/>
          <w:szCs w:val="22"/>
        </w:rPr>
      </w:pPr>
      <w:r w:rsidRPr="00082BFE">
        <w:rPr>
          <w:b w:val="0"/>
          <w:sz w:val="22"/>
          <w:szCs w:val="22"/>
        </w:rPr>
        <w:t xml:space="preserve">RANITAL </w:t>
      </w:r>
      <w:r w:rsidRPr="00082BFE">
        <w:rPr>
          <w:b w:val="0"/>
          <w:noProof/>
          <w:sz w:val="22"/>
          <w:szCs w:val="22"/>
        </w:rPr>
        <w:t>50 mg/2 ml</w:t>
      </w:r>
    </w:p>
    <w:p w:rsidR="003452D3" w:rsidRPr="00A404E3" w:rsidRDefault="003452D3" w:rsidP="007D7BDC">
      <w:pPr>
        <w:rPr>
          <w:sz w:val="22"/>
          <w:szCs w:val="22"/>
        </w:rPr>
      </w:pPr>
      <w:r w:rsidRPr="002B1FB5">
        <w:rPr>
          <w:sz w:val="22"/>
          <w:szCs w:val="22"/>
        </w:rPr>
        <w:t>I</w:t>
      </w:r>
      <w:r w:rsidRPr="00A404E3">
        <w:rPr>
          <w:sz w:val="22"/>
          <w:szCs w:val="22"/>
        </w:rPr>
        <w:t>njekčný roztok</w:t>
      </w:r>
    </w:p>
    <w:p w:rsidR="003452D3" w:rsidRPr="000D7487" w:rsidRDefault="003452D3" w:rsidP="00844806">
      <w:pPr>
        <w:rPr>
          <w:sz w:val="22"/>
          <w:szCs w:val="22"/>
        </w:rPr>
      </w:pPr>
    </w:p>
    <w:p w:rsidR="003452D3" w:rsidRPr="00FB23AC" w:rsidRDefault="003452D3" w:rsidP="00844806">
      <w:pPr>
        <w:rPr>
          <w:sz w:val="22"/>
          <w:szCs w:val="22"/>
        </w:rPr>
      </w:pPr>
    </w:p>
    <w:p w:rsidR="003452D3" w:rsidRPr="00082BFE" w:rsidRDefault="003452D3" w:rsidP="00844806">
      <w:pPr>
        <w:pStyle w:val="Nadpis5"/>
        <w:numPr>
          <w:ilvl w:val="0"/>
          <w:numId w:val="5"/>
        </w:numPr>
        <w:ind w:left="360"/>
        <w:rPr>
          <w:sz w:val="22"/>
          <w:szCs w:val="22"/>
          <w:lang w:eastAsia="sk-SK"/>
        </w:rPr>
      </w:pPr>
      <w:r w:rsidRPr="00082BFE">
        <w:rPr>
          <w:sz w:val="22"/>
          <w:szCs w:val="22"/>
          <w:lang w:eastAsia="sk-SK"/>
        </w:rPr>
        <w:t>KVALITATÍVNE A KVANTITATÍVNE ZLOŽENIE</w:t>
      </w:r>
    </w:p>
    <w:p w:rsidR="003452D3" w:rsidRPr="00082BFE" w:rsidRDefault="003452D3" w:rsidP="00844806">
      <w:pPr>
        <w:rPr>
          <w:sz w:val="22"/>
          <w:szCs w:val="22"/>
        </w:rPr>
      </w:pPr>
    </w:p>
    <w:p w:rsidR="003452D3" w:rsidRPr="00082BFE" w:rsidRDefault="003452D3" w:rsidP="00844806">
      <w:pPr>
        <w:rPr>
          <w:noProof/>
          <w:sz w:val="22"/>
          <w:szCs w:val="22"/>
        </w:rPr>
      </w:pPr>
      <w:r w:rsidRPr="00082BFE">
        <w:rPr>
          <w:noProof/>
          <w:sz w:val="22"/>
          <w:szCs w:val="22"/>
        </w:rPr>
        <w:t>Každé 2 ml injekčného roztoku (1 ampulka) obsahujú 50 mg ranitidínu vo forme ranitidíniumchloridu.</w:t>
      </w:r>
    </w:p>
    <w:p w:rsidR="003452D3" w:rsidRPr="00082BFE" w:rsidRDefault="003452D3" w:rsidP="00844806">
      <w:pPr>
        <w:rPr>
          <w:noProof/>
          <w:sz w:val="22"/>
          <w:szCs w:val="22"/>
        </w:rPr>
      </w:pPr>
    </w:p>
    <w:p w:rsidR="003452D3" w:rsidRPr="00082BFE" w:rsidRDefault="003452D3" w:rsidP="00844806">
      <w:pPr>
        <w:rPr>
          <w:noProof/>
          <w:sz w:val="22"/>
          <w:szCs w:val="22"/>
        </w:rPr>
      </w:pPr>
      <w:r w:rsidRPr="00082BFE">
        <w:rPr>
          <w:noProof/>
          <w:sz w:val="22"/>
          <w:szCs w:val="22"/>
        </w:rPr>
        <w:t>Každý ml injekčného roztoku obsahuje 25 mg ranitidínu vo forme ranitidíniumchloridu.</w:t>
      </w:r>
    </w:p>
    <w:p w:rsidR="003452D3" w:rsidRPr="00082BFE" w:rsidRDefault="003452D3" w:rsidP="00844806">
      <w:pPr>
        <w:rPr>
          <w:noProof/>
          <w:sz w:val="22"/>
          <w:szCs w:val="22"/>
        </w:rPr>
      </w:pPr>
    </w:p>
    <w:p w:rsidR="003452D3" w:rsidRDefault="003452D3" w:rsidP="004E2F7C">
      <w:pPr>
        <w:jc w:val="both"/>
        <w:rPr>
          <w:sz w:val="22"/>
          <w:szCs w:val="22"/>
        </w:rPr>
      </w:pPr>
      <w:r w:rsidRPr="00082BFE">
        <w:rPr>
          <w:noProof/>
          <w:sz w:val="22"/>
          <w:szCs w:val="22"/>
        </w:rPr>
        <w:t xml:space="preserve">Pomocná látka so známym účinkom: </w:t>
      </w:r>
      <w:r w:rsidRPr="00082BFE">
        <w:rPr>
          <w:sz w:val="22"/>
          <w:szCs w:val="22"/>
        </w:rPr>
        <w:t xml:space="preserve">Ranital obsahuje menej ako 1 mmol sodíka (23 mg) v jednej dávke, t.j. je takmer bez obsahu sodíka. </w:t>
      </w:r>
    </w:p>
    <w:p w:rsidR="003452D3" w:rsidRPr="00082BFE" w:rsidRDefault="003452D3" w:rsidP="00844806">
      <w:pPr>
        <w:rPr>
          <w:noProof/>
          <w:sz w:val="22"/>
          <w:szCs w:val="22"/>
        </w:rPr>
      </w:pPr>
    </w:p>
    <w:p w:rsidR="003452D3" w:rsidRPr="00082BFE" w:rsidRDefault="003452D3" w:rsidP="00844806">
      <w:pPr>
        <w:rPr>
          <w:sz w:val="22"/>
          <w:szCs w:val="22"/>
        </w:rPr>
      </w:pPr>
      <w:r w:rsidRPr="00082BFE">
        <w:rPr>
          <w:noProof/>
          <w:sz w:val="22"/>
          <w:szCs w:val="22"/>
        </w:rPr>
        <w:t>Úplný zoznam pomocných látok, pozri časť 6.1.</w:t>
      </w:r>
    </w:p>
    <w:p w:rsidR="003452D3" w:rsidRPr="00082BFE" w:rsidRDefault="003452D3" w:rsidP="00844806">
      <w:pPr>
        <w:rPr>
          <w:sz w:val="22"/>
          <w:szCs w:val="22"/>
        </w:rPr>
      </w:pPr>
    </w:p>
    <w:p w:rsidR="003452D3" w:rsidRPr="00082BFE" w:rsidRDefault="003452D3" w:rsidP="00844806">
      <w:pPr>
        <w:rPr>
          <w:sz w:val="22"/>
          <w:szCs w:val="22"/>
        </w:rPr>
      </w:pPr>
    </w:p>
    <w:p w:rsidR="003452D3" w:rsidRPr="00082BFE" w:rsidRDefault="003452D3" w:rsidP="00844806">
      <w:pPr>
        <w:numPr>
          <w:ilvl w:val="0"/>
          <w:numId w:val="6"/>
        </w:numPr>
        <w:tabs>
          <w:tab w:val="clear" w:pos="360"/>
          <w:tab w:val="num" w:pos="720"/>
        </w:tabs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LIEKOVÁ FORMA</w:t>
      </w:r>
    </w:p>
    <w:p w:rsidR="003452D3" w:rsidRPr="00082BFE" w:rsidRDefault="003452D3" w:rsidP="00844806">
      <w:pPr>
        <w:rPr>
          <w:b/>
          <w:sz w:val="22"/>
          <w:szCs w:val="22"/>
        </w:rPr>
      </w:pPr>
    </w:p>
    <w:p w:rsidR="003452D3" w:rsidRPr="00082BFE" w:rsidRDefault="003452D3" w:rsidP="00844806">
      <w:pPr>
        <w:rPr>
          <w:sz w:val="22"/>
          <w:szCs w:val="22"/>
        </w:rPr>
      </w:pPr>
      <w:r w:rsidRPr="00082BFE">
        <w:rPr>
          <w:sz w:val="22"/>
          <w:szCs w:val="22"/>
        </w:rPr>
        <w:t>Injekčný roztok</w:t>
      </w:r>
    </w:p>
    <w:p w:rsidR="003452D3" w:rsidRPr="00082BFE" w:rsidRDefault="003452D3" w:rsidP="00844806">
      <w:pPr>
        <w:rPr>
          <w:sz w:val="22"/>
          <w:szCs w:val="22"/>
        </w:rPr>
      </w:pPr>
      <w:r w:rsidRPr="00082BFE">
        <w:rPr>
          <w:sz w:val="22"/>
          <w:szCs w:val="22"/>
        </w:rPr>
        <w:t>Žltkastý až žltý číry roztok takmer bez viditeľných častíc.</w:t>
      </w:r>
    </w:p>
    <w:p w:rsidR="003452D3" w:rsidRPr="00082BFE" w:rsidRDefault="003452D3" w:rsidP="00844806">
      <w:pPr>
        <w:rPr>
          <w:sz w:val="22"/>
          <w:szCs w:val="22"/>
        </w:rPr>
      </w:pPr>
    </w:p>
    <w:p w:rsidR="003452D3" w:rsidRPr="00082BFE" w:rsidRDefault="003452D3" w:rsidP="00844806">
      <w:pPr>
        <w:rPr>
          <w:sz w:val="22"/>
          <w:szCs w:val="22"/>
        </w:rPr>
      </w:pPr>
    </w:p>
    <w:p w:rsidR="003452D3" w:rsidRPr="00082BFE" w:rsidRDefault="003452D3" w:rsidP="00A03167">
      <w:pPr>
        <w:numPr>
          <w:ilvl w:val="0"/>
          <w:numId w:val="6"/>
        </w:numPr>
        <w:tabs>
          <w:tab w:val="clear" w:pos="360"/>
          <w:tab w:val="num" w:pos="720"/>
        </w:tabs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KLINICKÉ ÚDAJE</w:t>
      </w:r>
    </w:p>
    <w:p w:rsidR="003452D3" w:rsidRPr="00082BFE" w:rsidRDefault="003452D3" w:rsidP="00844806">
      <w:pPr>
        <w:rPr>
          <w:b/>
          <w:sz w:val="22"/>
          <w:szCs w:val="22"/>
        </w:rPr>
      </w:pPr>
    </w:p>
    <w:p w:rsidR="003452D3" w:rsidRPr="00082BFE" w:rsidRDefault="003452D3" w:rsidP="00A03167">
      <w:pPr>
        <w:numPr>
          <w:ilvl w:val="1"/>
          <w:numId w:val="6"/>
        </w:numPr>
        <w:tabs>
          <w:tab w:val="clear" w:pos="360"/>
          <w:tab w:val="num" w:pos="720"/>
        </w:tabs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Terapeutické indikácie</w:t>
      </w:r>
    </w:p>
    <w:p w:rsidR="003452D3" w:rsidRPr="00082BFE" w:rsidRDefault="003452D3" w:rsidP="00844806">
      <w:pPr>
        <w:rPr>
          <w:b/>
          <w:sz w:val="22"/>
          <w:szCs w:val="22"/>
        </w:rPr>
      </w:pPr>
    </w:p>
    <w:p w:rsidR="003452D3" w:rsidRPr="00082BFE" w:rsidRDefault="003452D3" w:rsidP="00844806">
      <w:pPr>
        <w:numPr>
          <w:ilvl w:val="0"/>
          <w:numId w:val="9"/>
        </w:numPr>
        <w:tabs>
          <w:tab w:val="clear" w:pos="720"/>
          <w:tab w:val="num" w:pos="360"/>
        </w:tabs>
        <w:ind w:hanging="720"/>
        <w:rPr>
          <w:noProof/>
          <w:sz w:val="22"/>
          <w:szCs w:val="22"/>
        </w:rPr>
      </w:pPr>
      <w:r w:rsidRPr="00082BFE">
        <w:rPr>
          <w:noProof/>
          <w:sz w:val="22"/>
          <w:szCs w:val="22"/>
        </w:rPr>
        <w:t>krátkodobá a udržiavacia liečba akútnych dvanástnikových vredov</w:t>
      </w:r>
    </w:p>
    <w:p w:rsidR="00062FFD" w:rsidRPr="00DE7A2C" w:rsidRDefault="003452D3" w:rsidP="00DE7A2C">
      <w:pPr>
        <w:numPr>
          <w:ilvl w:val="0"/>
          <w:numId w:val="9"/>
        </w:numPr>
        <w:tabs>
          <w:tab w:val="clear" w:pos="720"/>
          <w:tab w:val="num" w:pos="360"/>
        </w:tabs>
        <w:ind w:hanging="720"/>
        <w:rPr>
          <w:noProof/>
          <w:sz w:val="22"/>
          <w:szCs w:val="22"/>
        </w:rPr>
      </w:pPr>
      <w:r w:rsidRPr="00082BFE">
        <w:rPr>
          <w:noProof/>
          <w:sz w:val="22"/>
          <w:szCs w:val="22"/>
        </w:rPr>
        <w:t>krátkodobá a udržiavacia liečba akútnych benígnych žalúdočných vredov</w:t>
      </w:r>
    </w:p>
    <w:p w:rsidR="003452D3" w:rsidRPr="00082BFE" w:rsidRDefault="003452D3" w:rsidP="00844806">
      <w:pPr>
        <w:numPr>
          <w:ilvl w:val="0"/>
          <w:numId w:val="9"/>
        </w:numPr>
        <w:tabs>
          <w:tab w:val="clear" w:pos="720"/>
          <w:tab w:val="num" w:pos="360"/>
        </w:tabs>
        <w:ind w:hanging="720"/>
        <w:rPr>
          <w:noProof/>
          <w:sz w:val="22"/>
          <w:szCs w:val="22"/>
        </w:rPr>
      </w:pPr>
      <w:r w:rsidRPr="00082BFE">
        <w:rPr>
          <w:noProof/>
          <w:sz w:val="22"/>
          <w:szCs w:val="22"/>
        </w:rPr>
        <w:t>refluxná ezofagitída</w:t>
      </w:r>
    </w:p>
    <w:p w:rsidR="003452D3" w:rsidRPr="00082BFE" w:rsidRDefault="003452D3" w:rsidP="00E26DB5">
      <w:pPr>
        <w:numPr>
          <w:ilvl w:val="0"/>
          <w:numId w:val="9"/>
        </w:numPr>
        <w:tabs>
          <w:tab w:val="clear" w:pos="720"/>
          <w:tab w:val="num" w:pos="360"/>
        </w:tabs>
        <w:ind w:hanging="720"/>
        <w:rPr>
          <w:noProof/>
          <w:sz w:val="22"/>
          <w:szCs w:val="22"/>
        </w:rPr>
      </w:pPr>
      <w:r w:rsidRPr="00082BFE">
        <w:rPr>
          <w:noProof/>
          <w:sz w:val="22"/>
          <w:szCs w:val="22"/>
        </w:rPr>
        <w:t>Zollingerov-Elisonov syndróm</w:t>
      </w:r>
    </w:p>
    <w:p w:rsidR="003452D3" w:rsidRPr="00082BFE" w:rsidRDefault="003452D3" w:rsidP="00E26DB5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noProof/>
          <w:sz w:val="22"/>
          <w:szCs w:val="22"/>
        </w:rPr>
      </w:pPr>
      <w:r w:rsidRPr="00082BFE">
        <w:rPr>
          <w:noProof/>
          <w:sz w:val="22"/>
          <w:szCs w:val="22"/>
        </w:rPr>
        <w:t>profylaxia aspirácie žalúdočnej kyseliny počas celkovej anestézie u pacientov s hroziacim rizikom aspirácie kyseliny</w:t>
      </w:r>
    </w:p>
    <w:p w:rsidR="003452D3" w:rsidRPr="00082BFE" w:rsidRDefault="003452D3" w:rsidP="00E26DB5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noProof/>
          <w:sz w:val="22"/>
          <w:szCs w:val="22"/>
        </w:rPr>
      </w:pPr>
      <w:r w:rsidRPr="00082BFE">
        <w:rPr>
          <w:noProof/>
          <w:sz w:val="22"/>
          <w:szCs w:val="22"/>
        </w:rPr>
        <w:t xml:space="preserve">profylaxia </w:t>
      </w:r>
      <w:r w:rsidRPr="000F0FC4">
        <w:rPr>
          <w:noProof/>
          <w:sz w:val="22"/>
          <w:szCs w:val="22"/>
        </w:rPr>
        <w:t>k</w:t>
      </w:r>
      <w:r w:rsidRPr="00062FFD">
        <w:rPr>
          <w:noProof/>
          <w:sz w:val="22"/>
          <w:szCs w:val="22"/>
        </w:rPr>
        <w:t>rvácania v hornej časti gastrointestinálneho traktu a prevencia rekurentných krvácavých vredov (stresových vredov)</w:t>
      </w:r>
    </w:p>
    <w:p w:rsidR="003452D3" w:rsidRPr="00082BFE" w:rsidRDefault="003452D3" w:rsidP="00E26DB5">
      <w:pPr>
        <w:rPr>
          <w:noProof/>
          <w:sz w:val="22"/>
          <w:szCs w:val="22"/>
        </w:rPr>
      </w:pPr>
    </w:p>
    <w:p w:rsidR="003452D3" w:rsidRPr="00082BFE" w:rsidRDefault="003452D3" w:rsidP="00A21734">
      <w:pPr>
        <w:rPr>
          <w:i/>
          <w:noProof/>
          <w:sz w:val="22"/>
          <w:szCs w:val="22"/>
        </w:rPr>
      </w:pPr>
      <w:r w:rsidRPr="00082BFE">
        <w:rPr>
          <w:i/>
          <w:noProof/>
          <w:sz w:val="22"/>
          <w:szCs w:val="22"/>
        </w:rPr>
        <w:t>Pediatrická populácia (od 6 mesiacov do 18 rokov)</w:t>
      </w:r>
    </w:p>
    <w:p w:rsidR="003452D3" w:rsidRPr="00082BFE" w:rsidRDefault="003452D3" w:rsidP="00A21734">
      <w:pPr>
        <w:rPr>
          <w:i/>
          <w:noProof/>
          <w:sz w:val="22"/>
          <w:szCs w:val="22"/>
        </w:rPr>
      </w:pPr>
    </w:p>
    <w:p w:rsidR="003452D3" w:rsidRPr="00082BFE" w:rsidRDefault="003452D3" w:rsidP="00A21734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noProof/>
          <w:sz w:val="22"/>
          <w:szCs w:val="22"/>
        </w:rPr>
      </w:pPr>
      <w:r w:rsidRPr="00082BFE">
        <w:rPr>
          <w:noProof/>
          <w:sz w:val="22"/>
          <w:szCs w:val="22"/>
        </w:rPr>
        <w:t>krátkodobá liečba peptického vredu</w:t>
      </w:r>
    </w:p>
    <w:p w:rsidR="003452D3" w:rsidRPr="00082BFE" w:rsidRDefault="003452D3" w:rsidP="00A21734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noProof/>
          <w:sz w:val="22"/>
          <w:szCs w:val="22"/>
        </w:rPr>
      </w:pPr>
      <w:r w:rsidRPr="00082BFE">
        <w:rPr>
          <w:noProof/>
          <w:sz w:val="22"/>
          <w:szCs w:val="22"/>
        </w:rPr>
        <w:t>liečba gastroezofageálneho refluxu, vrátane refluxnej ezofagitídy a zmiernenia príznakov gastroezofageálnej refluxnej choroby</w:t>
      </w:r>
    </w:p>
    <w:p w:rsidR="003452D3" w:rsidRPr="00082BFE" w:rsidRDefault="003452D3" w:rsidP="00E26DB5">
      <w:pPr>
        <w:rPr>
          <w:noProof/>
          <w:sz w:val="22"/>
          <w:szCs w:val="22"/>
        </w:rPr>
      </w:pPr>
    </w:p>
    <w:p w:rsidR="003452D3" w:rsidRPr="00082BFE" w:rsidRDefault="003452D3" w:rsidP="00E26DB5">
      <w:pPr>
        <w:rPr>
          <w:noProof/>
          <w:sz w:val="22"/>
          <w:szCs w:val="22"/>
        </w:rPr>
      </w:pPr>
      <w:r w:rsidRPr="00DE7A2C">
        <w:rPr>
          <w:noProof/>
          <w:sz w:val="22"/>
          <w:szCs w:val="22"/>
        </w:rPr>
        <w:t>Ranital je určený pre nemocničných pacientov s patologickými hypersekrečnými stavmi, pre pacientov, ktorí neodpovedajú na perorálnu liečbu a na krátkodobú liečbu pacientov, ktorí nemôžu užívať liek perorálne.</w:t>
      </w:r>
    </w:p>
    <w:p w:rsidR="003452D3" w:rsidRPr="00082BFE" w:rsidRDefault="003452D3" w:rsidP="00A03167">
      <w:pPr>
        <w:rPr>
          <w:noProof/>
          <w:sz w:val="22"/>
          <w:szCs w:val="22"/>
        </w:rPr>
      </w:pPr>
    </w:p>
    <w:p w:rsidR="003452D3" w:rsidRPr="00082BFE" w:rsidRDefault="003452D3" w:rsidP="00A03167">
      <w:pPr>
        <w:numPr>
          <w:ilvl w:val="1"/>
          <w:numId w:val="4"/>
        </w:numPr>
        <w:tabs>
          <w:tab w:val="clear" w:pos="360"/>
          <w:tab w:val="num" w:pos="720"/>
        </w:tabs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Dávkovanie a spôsob podávania</w:t>
      </w:r>
    </w:p>
    <w:p w:rsidR="003452D3" w:rsidRPr="004E2F7C" w:rsidRDefault="003452D3" w:rsidP="00A03167">
      <w:pPr>
        <w:rPr>
          <w:sz w:val="22"/>
          <w:szCs w:val="22"/>
          <w:u w:val="single"/>
        </w:rPr>
      </w:pPr>
    </w:p>
    <w:p w:rsidR="003452D3" w:rsidRPr="00082BFE" w:rsidRDefault="003452D3" w:rsidP="00A03167">
      <w:pPr>
        <w:jc w:val="both"/>
        <w:rPr>
          <w:b/>
          <w:sz w:val="22"/>
          <w:szCs w:val="22"/>
          <w:u w:val="single"/>
        </w:rPr>
      </w:pPr>
      <w:r w:rsidRPr="004E2F7C">
        <w:rPr>
          <w:b/>
          <w:sz w:val="22"/>
          <w:szCs w:val="22"/>
          <w:u w:val="single"/>
        </w:rPr>
        <w:t>Dávkovanie</w:t>
      </w:r>
    </w:p>
    <w:p w:rsidR="00EB6166" w:rsidRDefault="00EB6166" w:rsidP="00A03167">
      <w:pPr>
        <w:jc w:val="both"/>
        <w:rPr>
          <w:i/>
          <w:sz w:val="22"/>
          <w:szCs w:val="22"/>
          <w:u w:val="single"/>
        </w:rPr>
      </w:pPr>
    </w:p>
    <w:p w:rsidR="003452D3" w:rsidRPr="004E2F7C" w:rsidRDefault="003452D3" w:rsidP="00A03167">
      <w:pPr>
        <w:jc w:val="both"/>
        <w:rPr>
          <w:i/>
          <w:sz w:val="22"/>
          <w:szCs w:val="22"/>
          <w:u w:val="single"/>
        </w:rPr>
      </w:pPr>
      <w:r w:rsidRPr="004E2F7C">
        <w:rPr>
          <w:i/>
          <w:sz w:val="22"/>
          <w:szCs w:val="22"/>
          <w:u w:val="single"/>
        </w:rPr>
        <w:t>Dospel</w:t>
      </w:r>
      <w:r>
        <w:rPr>
          <w:i/>
          <w:sz w:val="22"/>
          <w:szCs w:val="22"/>
          <w:u w:val="single"/>
        </w:rPr>
        <w:t xml:space="preserve">í a </w:t>
      </w:r>
      <w:r w:rsidRPr="004E2F7C">
        <w:rPr>
          <w:i/>
          <w:sz w:val="22"/>
          <w:szCs w:val="22"/>
          <w:u w:val="single"/>
        </w:rPr>
        <w:t>dospievajúci (12 rokov a</w:t>
      </w:r>
      <w:r w:rsidRPr="00F13525">
        <w:rPr>
          <w:i/>
          <w:sz w:val="22"/>
          <w:szCs w:val="22"/>
          <w:u w:val="single"/>
        </w:rPr>
        <w:t> </w:t>
      </w:r>
      <w:r w:rsidRPr="00082BFE">
        <w:rPr>
          <w:i/>
          <w:sz w:val="22"/>
          <w:szCs w:val="22"/>
          <w:u w:val="single"/>
        </w:rPr>
        <w:t>viac</w:t>
      </w:r>
      <w:r w:rsidRPr="004E2F7C">
        <w:rPr>
          <w:i/>
          <w:sz w:val="22"/>
          <w:szCs w:val="22"/>
          <w:u w:val="single"/>
        </w:rPr>
        <w:t>) s</w:t>
      </w:r>
      <w:r w:rsidRPr="00F13525">
        <w:rPr>
          <w:i/>
          <w:sz w:val="22"/>
          <w:szCs w:val="22"/>
          <w:u w:val="single"/>
        </w:rPr>
        <w:t> </w:t>
      </w:r>
      <w:r w:rsidRPr="004E2F7C">
        <w:rPr>
          <w:i/>
          <w:sz w:val="22"/>
          <w:szCs w:val="22"/>
          <w:u w:val="single"/>
        </w:rPr>
        <w:t>normálnou funkciou obličiek</w:t>
      </w:r>
    </w:p>
    <w:p w:rsidR="003452D3" w:rsidRPr="00082BFE" w:rsidRDefault="003452D3" w:rsidP="00E4536B">
      <w:pPr>
        <w:rPr>
          <w:i/>
          <w:sz w:val="22"/>
          <w:szCs w:val="22"/>
        </w:rPr>
      </w:pPr>
    </w:p>
    <w:p w:rsidR="003452D3" w:rsidRPr="004E2F7C" w:rsidRDefault="0028174E" w:rsidP="00E4536B">
      <w:pPr>
        <w:rPr>
          <w:b/>
          <w:sz w:val="22"/>
          <w:szCs w:val="22"/>
        </w:rPr>
      </w:pPr>
      <w:r w:rsidRPr="004E2F7C">
        <w:rPr>
          <w:b/>
          <w:noProof/>
          <w:sz w:val="22"/>
          <w:szCs w:val="22"/>
        </w:rPr>
        <w:t>Profylaxia aspirácie žalúdočnej kyseliny počas celkovej anestézie u pacientov s hroziacim rizikom aspirácie kyseliny</w:t>
      </w:r>
    </w:p>
    <w:p w:rsidR="003452D3" w:rsidRPr="004E2F7C" w:rsidRDefault="0028174E" w:rsidP="00E4536B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F24AA8">
        <w:rPr>
          <w:sz w:val="22"/>
          <w:szCs w:val="22"/>
        </w:rPr>
        <w:t> </w:t>
      </w:r>
      <w:r w:rsidR="003452D3" w:rsidRPr="00082BFE">
        <w:rPr>
          <w:sz w:val="22"/>
          <w:szCs w:val="22"/>
        </w:rPr>
        <w:t>ml Ranitalu (zodpovedajúcich 50</w:t>
      </w:r>
      <w:r w:rsidR="00F24AA8">
        <w:rPr>
          <w:sz w:val="22"/>
          <w:szCs w:val="22"/>
        </w:rPr>
        <w:t> </w:t>
      </w:r>
      <w:r w:rsidR="003452D3" w:rsidRPr="00082BFE">
        <w:rPr>
          <w:sz w:val="22"/>
          <w:szCs w:val="22"/>
        </w:rPr>
        <w:t xml:space="preserve">mg ranitidínu) sa má </w:t>
      </w:r>
      <w:r w:rsidR="003452D3" w:rsidRPr="00FF7493">
        <w:rPr>
          <w:sz w:val="22"/>
          <w:szCs w:val="22"/>
        </w:rPr>
        <w:t>podať intravenózne pred operáciou približne 1 hodinu pred podaním anestézie (pozri „Spôsob podávania“). Ak je to nevyhnutné, podávanie sa môže opakovať po 6 až 8 hodinách.</w:t>
      </w:r>
    </w:p>
    <w:p w:rsidR="003452D3" w:rsidRPr="00082BFE" w:rsidRDefault="003452D3" w:rsidP="00E4536B">
      <w:pPr>
        <w:rPr>
          <w:i/>
          <w:sz w:val="22"/>
          <w:szCs w:val="22"/>
        </w:rPr>
      </w:pPr>
    </w:p>
    <w:p w:rsidR="003452D3" w:rsidRPr="00FF7493" w:rsidRDefault="0028174E" w:rsidP="00A62807">
      <w:pPr>
        <w:rPr>
          <w:b/>
          <w:sz w:val="22"/>
          <w:szCs w:val="22"/>
        </w:rPr>
      </w:pPr>
      <w:r w:rsidRPr="004E2F7C">
        <w:rPr>
          <w:b/>
          <w:noProof/>
          <w:sz w:val="22"/>
          <w:szCs w:val="22"/>
        </w:rPr>
        <w:t>Profylaxia krvácania v hornej časti gastrointestinálneho traktu a prevencia rekurentných krvácavých vredov (stresových vredov)</w:t>
      </w:r>
    </w:p>
    <w:p w:rsidR="00F24AA8" w:rsidRDefault="003452D3" w:rsidP="00E4536B">
      <w:pPr>
        <w:rPr>
          <w:sz w:val="22"/>
          <w:szCs w:val="22"/>
        </w:rPr>
      </w:pPr>
      <w:r w:rsidRPr="002B1FB5">
        <w:rPr>
          <w:sz w:val="22"/>
          <w:szCs w:val="22"/>
        </w:rPr>
        <w:t xml:space="preserve">Podať sa má </w:t>
      </w:r>
      <w:r w:rsidR="00F24AA8">
        <w:rPr>
          <w:sz w:val="22"/>
          <w:szCs w:val="22"/>
        </w:rPr>
        <w:t>2 </w:t>
      </w:r>
      <w:r w:rsidRPr="00A404E3">
        <w:rPr>
          <w:sz w:val="22"/>
          <w:szCs w:val="22"/>
        </w:rPr>
        <w:t>ml Ranitalu</w:t>
      </w:r>
      <w:r w:rsidR="0093126C">
        <w:rPr>
          <w:sz w:val="22"/>
          <w:szCs w:val="22"/>
        </w:rPr>
        <w:t xml:space="preserve"> každých 6-8 hodín</w:t>
      </w:r>
      <w:r w:rsidRPr="00A404E3">
        <w:rPr>
          <w:sz w:val="22"/>
          <w:szCs w:val="22"/>
        </w:rPr>
        <w:t>(čo zodpovedá celkovo 150-200</w:t>
      </w:r>
      <w:r w:rsidR="00F24AA8">
        <w:rPr>
          <w:sz w:val="22"/>
          <w:szCs w:val="22"/>
        </w:rPr>
        <w:t> </w:t>
      </w:r>
      <w:r w:rsidRPr="00A404E3">
        <w:rPr>
          <w:sz w:val="22"/>
          <w:szCs w:val="22"/>
        </w:rPr>
        <w:t>mg ranitidínu/deň)</w:t>
      </w:r>
      <w:r w:rsidRPr="00A22D74">
        <w:rPr>
          <w:sz w:val="22"/>
          <w:szCs w:val="22"/>
        </w:rPr>
        <w:t xml:space="preserve"> formou intraven</w:t>
      </w:r>
      <w:r w:rsidRPr="000D7487">
        <w:rPr>
          <w:sz w:val="22"/>
          <w:szCs w:val="22"/>
        </w:rPr>
        <w:t>óznej injekcie alebo krátkodobej infúzie</w:t>
      </w:r>
      <w:r w:rsidRPr="00FB23AC">
        <w:rPr>
          <w:sz w:val="22"/>
          <w:szCs w:val="22"/>
        </w:rPr>
        <w:t>, alebo ako</w:t>
      </w:r>
      <w:r w:rsidRPr="00082BFE">
        <w:rPr>
          <w:sz w:val="22"/>
          <w:szCs w:val="22"/>
        </w:rPr>
        <w:t xml:space="preserve"> kontinuálna infúzia s rýchlosťou </w:t>
      </w:r>
    </w:p>
    <w:p w:rsidR="003452D3" w:rsidRPr="00082BFE" w:rsidRDefault="003452D3" w:rsidP="00E4536B">
      <w:pPr>
        <w:rPr>
          <w:sz w:val="22"/>
          <w:szCs w:val="22"/>
        </w:rPr>
      </w:pPr>
      <w:r w:rsidRPr="00082BFE">
        <w:rPr>
          <w:sz w:val="22"/>
          <w:szCs w:val="22"/>
        </w:rPr>
        <w:t>0,125</w:t>
      </w:r>
      <w:r w:rsidR="00F24AA8">
        <w:rPr>
          <w:sz w:val="22"/>
          <w:szCs w:val="22"/>
        </w:rPr>
        <w:noBreakHyphen/>
      </w:r>
      <w:r w:rsidRPr="00082BFE">
        <w:rPr>
          <w:sz w:val="22"/>
          <w:szCs w:val="22"/>
        </w:rPr>
        <w:t>0,250</w:t>
      </w:r>
      <w:r w:rsidR="00F24AA8">
        <w:rPr>
          <w:sz w:val="22"/>
          <w:szCs w:val="22"/>
        </w:rPr>
        <w:t> </w:t>
      </w:r>
      <w:r w:rsidRPr="00082BFE">
        <w:rPr>
          <w:sz w:val="22"/>
          <w:szCs w:val="22"/>
        </w:rPr>
        <w:t xml:space="preserve">mg ranitidínu/kg telesnej hmotnosti/hodinu (pozri „Spôsob použitia“). </w:t>
      </w:r>
    </w:p>
    <w:p w:rsidR="003452D3" w:rsidRPr="004E2F7C" w:rsidRDefault="003452D3" w:rsidP="00E4536B">
      <w:pPr>
        <w:rPr>
          <w:sz w:val="22"/>
          <w:szCs w:val="22"/>
        </w:rPr>
      </w:pPr>
      <w:r w:rsidRPr="00082BFE">
        <w:rPr>
          <w:sz w:val="22"/>
          <w:szCs w:val="22"/>
        </w:rPr>
        <w:t>Intravenózna liečba môže pokračovať, až kým nie je znova možný perorálny príjem potravy. Pacienti, u</w:t>
      </w:r>
      <w:r w:rsidR="00F24AA8">
        <w:rPr>
          <w:sz w:val="22"/>
          <w:szCs w:val="22"/>
        </w:rPr>
        <w:t> </w:t>
      </w:r>
      <w:r w:rsidRPr="00082BFE">
        <w:rPr>
          <w:sz w:val="22"/>
          <w:szCs w:val="22"/>
        </w:rPr>
        <w:t xml:space="preserve">ktorých </w:t>
      </w:r>
      <w:r>
        <w:rPr>
          <w:sz w:val="22"/>
          <w:szCs w:val="22"/>
        </w:rPr>
        <w:t>bude ešte stále</w:t>
      </w:r>
      <w:r w:rsidRPr="00FF7493">
        <w:rPr>
          <w:sz w:val="22"/>
          <w:szCs w:val="22"/>
        </w:rPr>
        <w:t xml:space="preserve"> prítomné zvýšené riziko</w:t>
      </w:r>
      <w:r w:rsidR="00F24AA8">
        <w:rPr>
          <w:sz w:val="22"/>
          <w:szCs w:val="22"/>
        </w:rPr>
        <w:t xml:space="preserve"> krvácania</w:t>
      </w:r>
      <w:r w:rsidRPr="00FF7493">
        <w:rPr>
          <w:sz w:val="22"/>
          <w:szCs w:val="22"/>
        </w:rPr>
        <w:t xml:space="preserve">, majú </w:t>
      </w:r>
      <w:r w:rsidR="00F24AA8">
        <w:rPr>
          <w:sz w:val="22"/>
          <w:szCs w:val="22"/>
        </w:rPr>
        <w:t xml:space="preserve">byť </w:t>
      </w:r>
      <w:r w:rsidRPr="00FF7493">
        <w:rPr>
          <w:sz w:val="22"/>
          <w:szCs w:val="22"/>
        </w:rPr>
        <w:t xml:space="preserve">počas </w:t>
      </w:r>
      <w:r>
        <w:rPr>
          <w:sz w:val="22"/>
          <w:szCs w:val="22"/>
        </w:rPr>
        <w:t>pretrvávania rizika</w:t>
      </w:r>
      <w:r w:rsidRPr="00FF7493">
        <w:rPr>
          <w:sz w:val="22"/>
          <w:szCs w:val="22"/>
        </w:rPr>
        <w:t xml:space="preserve"> </w:t>
      </w:r>
      <w:r w:rsidR="00F24AA8">
        <w:rPr>
          <w:sz w:val="22"/>
          <w:szCs w:val="22"/>
        </w:rPr>
        <w:t>liečení</w:t>
      </w:r>
      <w:r w:rsidRPr="00FF7493">
        <w:rPr>
          <w:sz w:val="22"/>
          <w:szCs w:val="22"/>
        </w:rPr>
        <w:t xml:space="preserve"> peroráln</w:t>
      </w:r>
      <w:r>
        <w:rPr>
          <w:sz w:val="22"/>
          <w:szCs w:val="22"/>
        </w:rPr>
        <w:t>ou</w:t>
      </w:r>
      <w:r w:rsidRPr="00FF7493">
        <w:rPr>
          <w:sz w:val="22"/>
          <w:szCs w:val="22"/>
        </w:rPr>
        <w:t xml:space="preserve"> liekov</w:t>
      </w:r>
      <w:r>
        <w:rPr>
          <w:sz w:val="22"/>
          <w:szCs w:val="22"/>
        </w:rPr>
        <w:t>ou</w:t>
      </w:r>
      <w:r w:rsidRPr="00FF7493">
        <w:rPr>
          <w:sz w:val="22"/>
          <w:szCs w:val="22"/>
        </w:rPr>
        <w:t xml:space="preserve"> form</w:t>
      </w:r>
      <w:r>
        <w:rPr>
          <w:sz w:val="22"/>
          <w:szCs w:val="22"/>
        </w:rPr>
        <w:t>ou</w:t>
      </w:r>
      <w:r w:rsidRPr="00FF7493">
        <w:rPr>
          <w:sz w:val="22"/>
          <w:szCs w:val="22"/>
        </w:rPr>
        <w:t xml:space="preserve"> 150</w:t>
      </w:r>
      <w:r w:rsidR="00F24AA8">
        <w:rPr>
          <w:sz w:val="22"/>
          <w:szCs w:val="22"/>
        </w:rPr>
        <w:t> </w:t>
      </w:r>
      <w:r w:rsidRPr="00FF7493">
        <w:rPr>
          <w:sz w:val="22"/>
          <w:szCs w:val="22"/>
        </w:rPr>
        <w:t xml:space="preserve">mg ranitidínu </w:t>
      </w:r>
      <w:r w:rsidR="00F24AA8">
        <w:rPr>
          <w:sz w:val="22"/>
          <w:szCs w:val="22"/>
        </w:rPr>
        <w:t>v</w:t>
      </w:r>
      <w:r w:rsidRPr="00082BFE">
        <w:rPr>
          <w:sz w:val="22"/>
          <w:szCs w:val="22"/>
        </w:rPr>
        <w:t xml:space="preserve"> </w:t>
      </w:r>
      <w:r w:rsidRPr="00FF7493">
        <w:rPr>
          <w:sz w:val="22"/>
          <w:szCs w:val="22"/>
        </w:rPr>
        <w:t>zvyčajn</w:t>
      </w:r>
      <w:r w:rsidR="00F24AA8">
        <w:rPr>
          <w:sz w:val="22"/>
          <w:szCs w:val="22"/>
        </w:rPr>
        <w:t>om dávkovacom režime.</w:t>
      </w:r>
    </w:p>
    <w:p w:rsidR="008D5291" w:rsidRDefault="008D5291" w:rsidP="004E2F7C">
      <w:pPr>
        <w:rPr>
          <w:noProof/>
          <w:sz w:val="22"/>
          <w:szCs w:val="22"/>
        </w:rPr>
      </w:pPr>
    </w:p>
    <w:p w:rsidR="0028174E" w:rsidRPr="004E2F7C" w:rsidRDefault="008D5291" w:rsidP="00E4536B">
      <w:pPr>
        <w:rPr>
          <w:b/>
          <w:noProof/>
          <w:sz w:val="22"/>
          <w:szCs w:val="22"/>
        </w:rPr>
      </w:pPr>
      <w:r w:rsidRPr="004E2F7C">
        <w:rPr>
          <w:b/>
          <w:noProof/>
          <w:sz w:val="22"/>
          <w:szCs w:val="22"/>
        </w:rPr>
        <w:t>Krátkodobá a udržiavacia liečba akútnych dvanástnikových vredov</w:t>
      </w:r>
      <w:r w:rsidR="00F24AA8" w:rsidRPr="00F24AA8">
        <w:rPr>
          <w:b/>
          <w:noProof/>
          <w:sz w:val="22"/>
          <w:szCs w:val="22"/>
        </w:rPr>
        <w:t xml:space="preserve"> a </w:t>
      </w:r>
      <w:r w:rsidR="00F24AA8" w:rsidRPr="004E2F7C">
        <w:rPr>
          <w:b/>
          <w:noProof/>
          <w:sz w:val="22"/>
          <w:szCs w:val="22"/>
        </w:rPr>
        <w:t>akútnych benígnych žalúdočných vredov</w:t>
      </w:r>
      <w:r w:rsidR="003F0BB9">
        <w:rPr>
          <w:b/>
          <w:noProof/>
          <w:sz w:val="22"/>
          <w:szCs w:val="22"/>
        </w:rPr>
        <w:t>, refluxná ezofagitída</w:t>
      </w:r>
      <w:r w:rsidR="003F0BB9" w:rsidRPr="003F0BB9">
        <w:rPr>
          <w:b/>
          <w:noProof/>
          <w:sz w:val="22"/>
          <w:szCs w:val="22"/>
        </w:rPr>
        <w:t xml:space="preserve">, </w:t>
      </w:r>
      <w:r w:rsidR="003F0BB9" w:rsidRPr="004E2F7C">
        <w:rPr>
          <w:b/>
          <w:noProof/>
          <w:sz w:val="22"/>
          <w:szCs w:val="22"/>
        </w:rPr>
        <w:t>Zollingerov-Elisonov syndróm</w:t>
      </w:r>
      <w:r w:rsidR="00F24AA8" w:rsidRPr="004E2F7C">
        <w:rPr>
          <w:b/>
          <w:noProof/>
          <w:sz w:val="22"/>
          <w:szCs w:val="22"/>
        </w:rPr>
        <w:t xml:space="preserve"> </w:t>
      </w:r>
    </w:p>
    <w:p w:rsidR="008D5291" w:rsidRPr="004E2F7C" w:rsidRDefault="003F0BB9" w:rsidP="00E4536B">
      <w:pPr>
        <w:rPr>
          <w:sz w:val="22"/>
          <w:szCs w:val="22"/>
        </w:rPr>
      </w:pPr>
      <w:r w:rsidRPr="004E2F7C">
        <w:rPr>
          <w:sz w:val="22"/>
          <w:szCs w:val="22"/>
        </w:rPr>
        <w:t>2 ml Ranitalu (zodpovedajúcich 50 mg</w:t>
      </w:r>
      <w:r>
        <w:rPr>
          <w:sz w:val="22"/>
          <w:szCs w:val="22"/>
        </w:rPr>
        <w:t xml:space="preserve"> ranitidínu</w:t>
      </w:r>
      <w:r w:rsidRPr="004E2F7C">
        <w:rPr>
          <w:sz w:val="22"/>
          <w:szCs w:val="22"/>
        </w:rPr>
        <w:t>)</w:t>
      </w:r>
      <w:r>
        <w:rPr>
          <w:sz w:val="22"/>
          <w:szCs w:val="22"/>
        </w:rPr>
        <w:t xml:space="preserve"> sa má podávať intravenózne alebo intramuskulárne každých 6 až 8 hodín</w:t>
      </w:r>
      <w:r w:rsidR="00E60502">
        <w:rPr>
          <w:sz w:val="22"/>
          <w:szCs w:val="22"/>
        </w:rPr>
        <w:t xml:space="preserve"> (pozri nižšie časť „Spôsob podávania“)</w:t>
      </w:r>
      <w:r>
        <w:rPr>
          <w:sz w:val="22"/>
          <w:szCs w:val="22"/>
        </w:rPr>
        <w:t>.</w:t>
      </w:r>
    </w:p>
    <w:p w:rsidR="008D5291" w:rsidRDefault="008D5291" w:rsidP="00E4536B">
      <w:pPr>
        <w:rPr>
          <w:i/>
          <w:sz w:val="22"/>
          <w:szCs w:val="22"/>
        </w:rPr>
      </w:pPr>
    </w:p>
    <w:p w:rsidR="003452D3" w:rsidRPr="004E2F7C" w:rsidRDefault="003452D3" w:rsidP="00E4536B">
      <w:pPr>
        <w:rPr>
          <w:i/>
          <w:sz w:val="22"/>
          <w:szCs w:val="22"/>
          <w:u w:val="single"/>
        </w:rPr>
      </w:pPr>
      <w:r w:rsidRPr="004E2F7C">
        <w:rPr>
          <w:i/>
          <w:sz w:val="22"/>
          <w:szCs w:val="22"/>
          <w:u w:val="single"/>
        </w:rPr>
        <w:t>Pediatrická populácia</w:t>
      </w:r>
    </w:p>
    <w:p w:rsidR="003452D3" w:rsidRPr="002B1FB5" w:rsidRDefault="003452D3" w:rsidP="00E4536B">
      <w:pPr>
        <w:rPr>
          <w:sz w:val="22"/>
          <w:szCs w:val="22"/>
        </w:rPr>
      </w:pPr>
    </w:p>
    <w:p w:rsidR="003452D3" w:rsidRDefault="003452D3" w:rsidP="00E4536B">
      <w:pPr>
        <w:rPr>
          <w:i/>
          <w:sz w:val="22"/>
          <w:szCs w:val="22"/>
        </w:rPr>
      </w:pPr>
      <w:r w:rsidRPr="00A404E3">
        <w:rPr>
          <w:i/>
          <w:sz w:val="22"/>
          <w:szCs w:val="22"/>
        </w:rPr>
        <w:t>Deti a</w:t>
      </w:r>
      <w:r w:rsidRPr="00A22D74">
        <w:rPr>
          <w:i/>
          <w:sz w:val="22"/>
          <w:szCs w:val="22"/>
        </w:rPr>
        <w:t xml:space="preserve"> dojčatá</w:t>
      </w:r>
      <w:r w:rsidRPr="000D7487">
        <w:rPr>
          <w:i/>
          <w:sz w:val="22"/>
          <w:szCs w:val="22"/>
        </w:rPr>
        <w:t xml:space="preserve"> (od 6 mesiacov do 11 rokov)</w:t>
      </w:r>
    </w:p>
    <w:p w:rsidR="00C90829" w:rsidRDefault="00C90829" w:rsidP="00E4536B">
      <w:pPr>
        <w:rPr>
          <w:i/>
          <w:sz w:val="22"/>
          <w:szCs w:val="22"/>
        </w:rPr>
      </w:pPr>
    </w:p>
    <w:p w:rsidR="003452D3" w:rsidRPr="00FF7493" w:rsidRDefault="003452D3" w:rsidP="00E4536B">
      <w:pPr>
        <w:rPr>
          <w:sz w:val="22"/>
          <w:szCs w:val="22"/>
        </w:rPr>
      </w:pPr>
      <w:r w:rsidRPr="00082BFE">
        <w:rPr>
          <w:sz w:val="22"/>
          <w:szCs w:val="22"/>
        </w:rPr>
        <w:t>Ranital</w:t>
      </w:r>
      <w:r w:rsidRPr="00FF7493">
        <w:rPr>
          <w:sz w:val="22"/>
          <w:szCs w:val="22"/>
        </w:rPr>
        <w:t xml:space="preserve"> 50 mg/2 ml sa môže podávať ako pomalá, najmenej 2 minúty trvajúca, i.v. injekcia až do maximálne 50 mg každých 6 až 8 hodín.</w:t>
      </w:r>
    </w:p>
    <w:p w:rsidR="00E01987" w:rsidRPr="00082BFE" w:rsidRDefault="00E01987" w:rsidP="00E01987">
      <w:pPr>
        <w:rPr>
          <w:sz w:val="22"/>
          <w:szCs w:val="22"/>
        </w:rPr>
      </w:pPr>
      <w:r w:rsidRPr="002B1FB5">
        <w:rPr>
          <w:sz w:val="22"/>
          <w:szCs w:val="22"/>
        </w:rPr>
        <w:t>Pozri časť</w:t>
      </w:r>
      <w:r w:rsidRPr="00A404E3">
        <w:rPr>
          <w:sz w:val="22"/>
          <w:szCs w:val="22"/>
        </w:rPr>
        <w:t xml:space="preserve"> 5.2. </w:t>
      </w:r>
      <w:r w:rsidRPr="00A22D74">
        <w:rPr>
          <w:sz w:val="22"/>
          <w:szCs w:val="22"/>
        </w:rPr>
        <w:t xml:space="preserve">Farmakokinetické vlastnosti - </w:t>
      </w:r>
      <w:r w:rsidRPr="000D7487">
        <w:rPr>
          <w:sz w:val="22"/>
          <w:szCs w:val="22"/>
        </w:rPr>
        <w:t>Špeciálne populácie pacientov.</w:t>
      </w:r>
    </w:p>
    <w:p w:rsidR="003452D3" w:rsidRPr="00FF7493" w:rsidRDefault="003452D3" w:rsidP="00E4536B">
      <w:pPr>
        <w:rPr>
          <w:sz w:val="22"/>
          <w:szCs w:val="22"/>
        </w:rPr>
      </w:pPr>
    </w:p>
    <w:p w:rsidR="003452D3" w:rsidRPr="00FF7493" w:rsidRDefault="003452D3" w:rsidP="00E4536B">
      <w:pPr>
        <w:rPr>
          <w:b/>
          <w:sz w:val="22"/>
          <w:szCs w:val="22"/>
        </w:rPr>
      </w:pPr>
      <w:r w:rsidRPr="00FF7493">
        <w:rPr>
          <w:b/>
          <w:sz w:val="22"/>
          <w:szCs w:val="22"/>
        </w:rPr>
        <w:t>Liečba akútnych peptických vredov a gastroezofageálneho refluxu</w:t>
      </w:r>
    </w:p>
    <w:p w:rsidR="003452D3" w:rsidRPr="000D7487" w:rsidRDefault="003452D3" w:rsidP="00E4536B">
      <w:pPr>
        <w:rPr>
          <w:sz w:val="22"/>
          <w:szCs w:val="22"/>
        </w:rPr>
      </w:pPr>
      <w:r w:rsidRPr="002B1FB5">
        <w:rPr>
          <w:sz w:val="22"/>
          <w:szCs w:val="22"/>
        </w:rPr>
        <w:t>Intravenózna</w:t>
      </w:r>
      <w:r w:rsidRPr="00A404E3">
        <w:rPr>
          <w:sz w:val="22"/>
          <w:szCs w:val="22"/>
        </w:rPr>
        <w:t xml:space="preserve"> liečba u </w:t>
      </w:r>
      <w:r w:rsidRPr="00A22D74">
        <w:rPr>
          <w:sz w:val="22"/>
          <w:szCs w:val="22"/>
        </w:rPr>
        <w:t>detí s </w:t>
      </w:r>
      <w:r w:rsidRPr="000D7487">
        <w:rPr>
          <w:sz w:val="22"/>
          <w:szCs w:val="22"/>
        </w:rPr>
        <w:t>peptickým vredom sa indikuje len v prípade ak perorálna liečba nie je možná.</w:t>
      </w:r>
    </w:p>
    <w:p w:rsidR="003452D3" w:rsidRPr="00FB23AC" w:rsidRDefault="003452D3" w:rsidP="00E4536B">
      <w:pPr>
        <w:rPr>
          <w:sz w:val="22"/>
          <w:szCs w:val="22"/>
        </w:rPr>
      </w:pPr>
    </w:p>
    <w:p w:rsidR="003452D3" w:rsidRPr="00082BFE" w:rsidRDefault="003452D3" w:rsidP="00E4536B">
      <w:pPr>
        <w:rPr>
          <w:sz w:val="22"/>
          <w:szCs w:val="22"/>
        </w:rPr>
      </w:pPr>
      <w:r w:rsidRPr="00FB23AC">
        <w:rPr>
          <w:sz w:val="22"/>
          <w:szCs w:val="22"/>
        </w:rPr>
        <w:t>Na liečbu akútnej peptidickej vredovej choroby a gastroezofageálneho refluxu u detských pacientov</w:t>
      </w:r>
      <w:r w:rsidRPr="00082BFE">
        <w:rPr>
          <w:sz w:val="22"/>
          <w:szCs w:val="22"/>
        </w:rPr>
        <w:t xml:space="preserve"> sa môže podávať Ranital 50 mg/2 ml v dávkach, ktoré sa ukázali účinné u týchto ochorení u dospelých a sú účinné pre potlačenie žalúdočnej kyseliny u kriticky chorých detí. Počiatočná dávka (2,0 mg/kg alebo 2,5 mg/kg, maximálne 50 mg) sa môže podávať v pomalej intravenóznej infúzii počas najmenej </w:t>
      </w:r>
      <w:r w:rsidRPr="00830A0A">
        <w:rPr>
          <w:sz w:val="22"/>
          <w:szCs w:val="22"/>
        </w:rPr>
        <w:t>10 minút, a to buď injekčnou pumpou, po ktorej nasleduje 3 ml výplach fyziologickým roztokom počas najmenej 5</w:t>
      </w:r>
      <w:r w:rsidRPr="00082BFE">
        <w:rPr>
          <w:sz w:val="22"/>
          <w:szCs w:val="22"/>
        </w:rPr>
        <w:t xml:space="preserve"> minút, alebo po zriedení fyziologickým roztokom do 20 ml. Udržanie hodnoty pH &gt; 4,0 možno dosiahnuť prerušovanou infúziou 1,5 mg/kg každých 6 až 8 hodín. Alternatívne môže byť liečba kontinuálna, s podaním nárazovej dávky 0,45 mg/kg nasledovaným kontinuálnou infúziou 0,15 mg/kg/hod.</w:t>
      </w:r>
    </w:p>
    <w:p w:rsidR="00652516" w:rsidRPr="00082BFE" w:rsidRDefault="00652516" w:rsidP="00E4536B">
      <w:pPr>
        <w:rPr>
          <w:sz w:val="22"/>
          <w:szCs w:val="22"/>
        </w:rPr>
      </w:pPr>
    </w:p>
    <w:p w:rsidR="003452D3" w:rsidRPr="00082BFE" w:rsidRDefault="003452D3" w:rsidP="00E4536B">
      <w:pPr>
        <w:rPr>
          <w:i/>
          <w:sz w:val="22"/>
          <w:szCs w:val="22"/>
        </w:rPr>
      </w:pPr>
      <w:r w:rsidRPr="00082BFE">
        <w:rPr>
          <w:i/>
          <w:sz w:val="22"/>
          <w:szCs w:val="22"/>
        </w:rPr>
        <w:t>Novorodenci (do 1 mesiaca)</w:t>
      </w:r>
    </w:p>
    <w:p w:rsidR="003452D3" w:rsidRPr="00082BFE" w:rsidRDefault="003452D3" w:rsidP="00E4536B">
      <w:pPr>
        <w:rPr>
          <w:sz w:val="22"/>
          <w:szCs w:val="22"/>
        </w:rPr>
      </w:pPr>
    </w:p>
    <w:p w:rsidR="003452D3" w:rsidRPr="00082BFE" w:rsidRDefault="003452D3" w:rsidP="00950693">
      <w:pPr>
        <w:rPr>
          <w:sz w:val="22"/>
          <w:szCs w:val="22"/>
        </w:rPr>
      </w:pPr>
      <w:r w:rsidRPr="00082BFE">
        <w:rPr>
          <w:sz w:val="22"/>
          <w:szCs w:val="22"/>
        </w:rPr>
        <w:t>Pozri časť 5.2 Farmakokinetické vlastnosti - Špeciálne populácie pacientov</w:t>
      </w:r>
      <w:r w:rsidRPr="00082BFE" w:rsidDel="007C7E49">
        <w:rPr>
          <w:sz w:val="22"/>
          <w:szCs w:val="22"/>
        </w:rPr>
        <w:t xml:space="preserve"> </w:t>
      </w:r>
    </w:p>
    <w:p w:rsidR="003452D3" w:rsidRPr="00082BFE" w:rsidRDefault="003452D3" w:rsidP="00E4536B">
      <w:pPr>
        <w:rPr>
          <w:sz w:val="22"/>
          <w:szCs w:val="22"/>
        </w:rPr>
      </w:pPr>
    </w:p>
    <w:p w:rsidR="003452D3" w:rsidRPr="00FF7493" w:rsidRDefault="003452D3" w:rsidP="00E4536B">
      <w:pPr>
        <w:rPr>
          <w:sz w:val="22"/>
          <w:szCs w:val="22"/>
        </w:rPr>
      </w:pPr>
    </w:p>
    <w:p w:rsidR="003452D3" w:rsidRPr="004E2F7C" w:rsidRDefault="003452D3" w:rsidP="00767867">
      <w:pPr>
        <w:rPr>
          <w:i/>
          <w:sz w:val="22"/>
          <w:szCs w:val="22"/>
          <w:u w:val="single"/>
        </w:rPr>
      </w:pPr>
      <w:r w:rsidRPr="004E2F7C">
        <w:rPr>
          <w:i/>
          <w:sz w:val="22"/>
          <w:szCs w:val="22"/>
          <w:u w:val="single"/>
        </w:rPr>
        <w:t>Dávkovanie u pacientov s poškodením funkcie obličiek</w:t>
      </w:r>
    </w:p>
    <w:p w:rsidR="003452D3" w:rsidRPr="004E2F7C" w:rsidRDefault="003452D3" w:rsidP="00767867">
      <w:pPr>
        <w:rPr>
          <w:sz w:val="22"/>
          <w:szCs w:val="22"/>
          <w:u w:val="single"/>
        </w:rPr>
      </w:pPr>
    </w:p>
    <w:p w:rsidR="003452D3" w:rsidRPr="004E2F7C" w:rsidRDefault="003452D3" w:rsidP="004E2F7C">
      <w:pPr>
        <w:jc w:val="both"/>
        <w:rPr>
          <w:sz w:val="22"/>
          <w:szCs w:val="22"/>
        </w:rPr>
      </w:pPr>
      <w:r w:rsidRPr="004E2F7C">
        <w:rPr>
          <w:sz w:val="22"/>
          <w:szCs w:val="22"/>
        </w:rPr>
        <w:t>Odporúčania dávky sú nasledovné</w:t>
      </w:r>
      <w:r w:rsidRPr="00082BFE">
        <w:rPr>
          <w:sz w:val="22"/>
          <w:szCs w:val="22"/>
        </w:rPr>
        <w:t>, stanovené</w:t>
      </w:r>
      <w:r w:rsidRPr="004E2F7C">
        <w:rPr>
          <w:sz w:val="22"/>
          <w:szCs w:val="22"/>
        </w:rPr>
        <w:t xml:space="preserve"> </w:t>
      </w:r>
      <w:r w:rsidRPr="00082BFE">
        <w:rPr>
          <w:sz w:val="22"/>
          <w:szCs w:val="22"/>
        </w:rPr>
        <w:t>na základe</w:t>
      </w:r>
      <w:r w:rsidRPr="004E2F7C">
        <w:rPr>
          <w:sz w:val="22"/>
          <w:szCs w:val="22"/>
        </w:rPr>
        <w:t xml:space="preserve"> klírensu kreatinínu (ml/min), alebo hladiny kreatinínu v</w:t>
      </w:r>
      <w:r w:rsidRPr="00F13525">
        <w:rPr>
          <w:sz w:val="22"/>
          <w:szCs w:val="22"/>
        </w:rPr>
        <w:t> </w:t>
      </w:r>
      <w:r w:rsidRPr="004E2F7C">
        <w:rPr>
          <w:sz w:val="22"/>
          <w:szCs w:val="22"/>
        </w:rPr>
        <w:t>sére (mg/100</w:t>
      </w:r>
      <w:r w:rsidR="00D218D1">
        <w:rPr>
          <w:sz w:val="22"/>
          <w:szCs w:val="22"/>
        </w:rPr>
        <w:t> </w:t>
      </w:r>
      <w:r w:rsidRPr="004E2F7C">
        <w:rPr>
          <w:sz w:val="22"/>
          <w:szCs w:val="22"/>
        </w:rPr>
        <w:t>ml):</w:t>
      </w:r>
    </w:p>
    <w:p w:rsidR="003452D3" w:rsidRPr="00082BFE" w:rsidRDefault="003452D3" w:rsidP="00767867">
      <w:pPr>
        <w:rPr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404"/>
        <w:gridCol w:w="2406"/>
        <w:gridCol w:w="2406"/>
        <w:gridCol w:w="2406"/>
      </w:tblGrid>
      <w:tr w:rsidR="003452D3" w:rsidRPr="00082BFE" w:rsidTr="00E31E1F">
        <w:trPr>
          <w:jc w:val="center"/>
        </w:trPr>
        <w:tc>
          <w:tcPr>
            <w:tcW w:w="1315" w:type="dxa"/>
          </w:tcPr>
          <w:p w:rsidR="003452D3" w:rsidRPr="004E2F7C" w:rsidRDefault="003452D3" w:rsidP="00AD6D96">
            <w:pPr>
              <w:rPr>
                <w:rFonts w:ascii="New York" w:hAnsi="New York"/>
                <w:b/>
              </w:rPr>
            </w:pPr>
            <w:r w:rsidRPr="004E2F7C">
              <w:rPr>
                <w:rFonts w:ascii="New York" w:hAnsi="New York"/>
                <w:b/>
                <w:sz w:val="22"/>
                <w:szCs w:val="22"/>
              </w:rPr>
              <w:t>Klírens kreatinínu (ml/min)</w:t>
            </w:r>
          </w:p>
        </w:tc>
        <w:tc>
          <w:tcPr>
            <w:tcW w:w="1316" w:type="dxa"/>
          </w:tcPr>
          <w:p w:rsidR="003452D3" w:rsidRPr="004E2F7C" w:rsidRDefault="003452D3" w:rsidP="00AD6D96">
            <w:pPr>
              <w:rPr>
                <w:rFonts w:ascii="New York" w:hAnsi="New York"/>
                <w:b/>
              </w:rPr>
            </w:pPr>
            <w:r w:rsidRPr="004E2F7C">
              <w:rPr>
                <w:rFonts w:ascii="New York" w:hAnsi="New York"/>
                <w:b/>
                <w:sz w:val="22"/>
                <w:szCs w:val="22"/>
              </w:rPr>
              <w:t>Kreatinín v sére (cca)*</w:t>
            </w:r>
          </w:p>
          <w:p w:rsidR="003452D3" w:rsidRPr="004E2F7C" w:rsidRDefault="003452D3" w:rsidP="00D218D1">
            <w:pPr>
              <w:rPr>
                <w:rFonts w:ascii="New York" w:hAnsi="New York"/>
                <w:b/>
              </w:rPr>
            </w:pPr>
            <w:r w:rsidRPr="004E2F7C">
              <w:rPr>
                <w:rFonts w:ascii="New York" w:hAnsi="New York"/>
                <w:b/>
                <w:sz w:val="22"/>
                <w:szCs w:val="22"/>
              </w:rPr>
              <w:t>(mg/100</w:t>
            </w:r>
            <w:r w:rsidR="00D218D1" w:rsidRPr="004E2F7C">
              <w:rPr>
                <w:rFonts w:ascii="New York" w:hAnsi="New York"/>
                <w:b/>
                <w:sz w:val="22"/>
                <w:szCs w:val="22"/>
              </w:rPr>
              <w:t> </w:t>
            </w:r>
            <w:r w:rsidRPr="004E2F7C">
              <w:rPr>
                <w:rFonts w:ascii="New York" w:hAnsi="New York"/>
                <w:b/>
                <w:sz w:val="22"/>
                <w:szCs w:val="22"/>
              </w:rPr>
              <w:t>ml)</w:t>
            </w:r>
          </w:p>
        </w:tc>
        <w:tc>
          <w:tcPr>
            <w:tcW w:w="1316" w:type="dxa"/>
          </w:tcPr>
          <w:p w:rsidR="003452D3" w:rsidRPr="004E2F7C" w:rsidRDefault="00D218D1" w:rsidP="00AD6D96">
            <w:pPr>
              <w:rPr>
                <w:rFonts w:ascii="New York" w:hAnsi="New York"/>
                <w:b/>
              </w:rPr>
            </w:pPr>
            <w:r w:rsidRPr="004E2F7C">
              <w:rPr>
                <w:rFonts w:ascii="New York" w:hAnsi="New York"/>
                <w:b/>
                <w:sz w:val="22"/>
                <w:szCs w:val="22"/>
              </w:rPr>
              <w:t>r</w:t>
            </w:r>
            <w:r w:rsidR="003452D3" w:rsidRPr="004E2F7C">
              <w:rPr>
                <w:rFonts w:ascii="New York" w:hAnsi="New York"/>
                <w:b/>
                <w:sz w:val="22"/>
                <w:szCs w:val="22"/>
              </w:rPr>
              <w:t>anitidín</w:t>
            </w:r>
          </w:p>
          <w:p w:rsidR="003452D3" w:rsidRPr="004E2F7C" w:rsidRDefault="003452D3" w:rsidP="00AD6D96">
            <w:pPr>
              <w:rPr>
                <w:rFonts w:ascii="New York" w:hAnsi="New York"/>
                <w:b/>
              </w:rPr>
            </w:pPr>
            <w:r w:rsidRPr="004E2F7C">
              <w:rPr>
                <w:rFonts w:ascii="New York" w:hAnsi="New York"/>
                <w:b/>
                <w:sz w:val="22"/>
                <w:szCs w:val="22"/>
              </w:rPr>
              <w:t>Jednotlivá dávka (i.v.)</w:t>
            </w:r>
          </w:p>
        </w:tc>
        <w:tc>
          <w:tcPr>
            <w:tcW w:w="1316" w:type="dxa"/>
          </w:tcPr>
          <w:p w:rsidR="003452D3" w:rsidRPr="004E2F7C" w:rsidRDefault="003452D3" w:rsidP="00AD6D96">
            <w:pPr>
              <w:rPr>
                <w:rFonts w:ascii="New York" w:hAnsi="New York"/>
                <w:b/>
              </w:rPr>
            </w:pPr>
            <w:r w:rsidRPr="004E2F7C">
              <w:rPr>
                <w:rFonts w:ascii="New York" w:hAnsi="New York"/>
                <w:b/>
                <w:sz w:val="22"/>
                <w:szCs w:val="22"/>
              </w:rPr>
              <w:t>Denná dávka (i.v.)</w:t>
            </w:r>
          </w:p>
        </w:tc>
      </w:tr>
      <w:tr w:rsidR="003452D3" w:rsidRPr="00082BFE" w:rsidTr="00E31E1F">
        <w:trPr>
          <w:jc w:val="center"/>
        </w:trPr>
        <w:tc>
          <w:tcPr>
            <w:tcW w:w="1315" w:type="dxa"/>
          </w:tcPr>
          <w:p w:rsidR="003452D3" w:rsidRPr="004E2F7C" w:rsidRDefault="003452D3" w:rsidP="00AD6D96">
            <w:pPr>
              <w:rPr>
                <w:rFonts w:ascii="New York" w:hAnsi="New York"/>
              </w:rPr>
            </w:pPr>
            <w:r w:rsidRPr="004E2F7C">
              <w:rPr>
                <w:rFonts w:ascii="New York" w:hAnsi="New York"/>
                <w:sz w:val="22"/>
                <w:szCs w:val="22"/>
              </w:rPr>
              <w:t>≤30</w:t>
            </w:r>
          </w:p>
        </w:tc>
        <w:tc>
          <w:tcPr>
            <w:tcW w:w="1316" w:type="dxa"/>
          </w:tcPr>
          <w:p w:rsidR="003452D3" w:rsidRPr="004E2F7C" w:rsidRDefault="003452D3" w:rsidP="00AD6D96">
            <w:pPr>
              <w:rPr>
                <w:rFonts w:ascii="New York" w:hAnsi="New York"/>
              </w:rPr>
            </w:pPr>
            <w:r w:rsidRPr="004E2F7C">
              <w:rPr>
                <w:rFonts w:ascii="New York" w:hAnsi="New York"/>
                <w:sz w:val="22"/>
                <w:szCs w:val="22"/>
              </w:rPr>
              <w:t>&gt;2,6</w:t>
            </w:r>
          </w:p>
        </w:tc>
        <w:tc>
          <w:tcPr>
            <w:tcW w:w="1316" w:type="dxa"/>
          </w:tcPr>
          <w:p w:rsidR="003452D3" w:rsidRPr="004E2F7C" w:rsidRDefault="003452D3" w:rsidP="00D218D1">
            <w:pPr>
              <w:rPr>
                <w:rFonts w:ascii="New York" w:hAnsi="New York"/>
              </w:rPr>
            </w:pPr>
            <w:r w:rsidRPr="004E2F7C">
              <w:rPr>
                <w:rFonts w:ascii="New York" w:hAnsi="New York"/>
                <w:sz w:val="22"/>
                <w:szCs w:val="22"/>
              </w:rPr>
              <w:t>25</w:t>
            </w:r>
            <w:r w:rsidR="00D218D1" w:rsidRPr="004E2F7C">
              <w:rPr>
                <w:rFonts w:ascii="New York" w:hAnsi="New York"/>
                <w:sz w:val="22"/>
                <w:szCs w:val="22"/>
              </w:rPr>
              <w:t> </w:t>
            </w:r>
            <w:r w:rsidRPr="004E2F7C">
              <w:rPr>
                <w:rFonts w:ascii="New York" w:hAnsi="New York"/>
                <w:sz w:val="22"/>
                <w:szCs w:val="22"/>
              </w:rPr>
              <w:t>mg ranitidínu (</w:t>
            </w:r>
            <w:r w:rsidR="00D218D1" w:rsidRPr="004E2F7C">
              <w:rPr>
                <w:rFonts w:ascii="New York" w:hAnsi="New York"/>
                <w:sz w:val="22"/>
                <w:szCs w:val="22"/>
              </w:rPr>
              <w:t>1 </w:t>
            </w:r>
            <w:r w:rsidRPr="004E2F7C">
              <w:rPr>
                <w:rFonts w:ascii="New York" w:hAnsi="New York"/>
                <w:sz w:val="22"/>
                <w:szCs w:val="22"/>
              </w:rPr>
              <w:t>ml roztoku na injekciu)</w:t>
            </w:r>
          </w:p>
        </w:tc>
        <w:tc>
          <w:tcPr>
            <w:tcW w:w="1316" w:type="dxa"/>
          </w:tcPr>
          <w:p w:rsidR="003452D3" w:rsidRPr="004E2F7C" w:rsidRDefault="003452D3" w:rsidP="0093126C">
            <w:pPr>
              <w:rPr>
                <w:rFonts w:ascii="New York" w:hAnsi="New York"/>
              </w:rPr>
            </w:pPr>
            <w:r w:rsidRPr="004E2F7C">
              <w:rPr>
                <w:rFonts w:ascii="New York" w:hAnsi="New York"/>
                <w:sz w:val="22"/>
                <w:szCs w:val="22"/>
              </w:rPr>
              <w:t>75 – 100</w:t>
            </w:r>
            <w:r w:rsidR="00D218D1" w:rsidRPr="004E2F7C">
              <w:rPr>
                <w:rFonts w:ascii="New York" w:hAnsi="New York"/>
                <w:sz w:val="22"/>
                <w:szCs w:val="22"/>
              </w:rPr>
              <w:t> </w:t>
            </w:r>
            <w:r w:rsidRPr="004E2F7C">
              <w:rPr>
                <w:rFonts w:ascii="New York" w:hAnsi="New York"/>
                <w:sz w:val="22"/>
                <w:szCs w:val="22"/>
              </w:rPr>
              <w:t xml:space="preserve">mg ranitidínu </w:t>
            </w:r>
          </w:p>
        </w:tc>
      </w:tr>
      <w:tr w:rsidR="003452D3" w:rsidRPr="00082BFE" w:rsidTr="00E31E1F">
        <w:trPr>
          <w:jc w:val="center"/>
        </w:trPr>
        <w:tc>
          <w:tcPr>
            <w:tcW w:w="1315" w:type="dxa"/>
          </w:tcPr>
          <w:p w:rsidR="003452D3" w:rsidRPr="004E2F7C" w:rsidRDefault="003452D3" w:rsidP="00AD6D96">
            <w:pPr>
              <w:rPr>
                <w:rFonts w:ascii="New York" w:hAnsi="New York"/>
              </w:rPr>
            </w:pPr>
            <w:r w:rsidRPr="004E2F7C">
              <w:rPr>
                <w:rFonts w:ascii="New York" w:hAnsi="New York"/>
                <w:sz w:val="22"/>
                <w:szCs w:val="22"/>
              </w:rPr>
              <w:t>&gt;30</w:t>
            </w:r>
          </w:p>
        </w:tc>
        <w:tc>
          <w:tcPr>
            <w:tcW w:w="1316" w:type="dxa"/>
          </w:tcPr>
          <w:p w:rsidR="003452D3" w:rsidRPr="004E2F7C" w:rsidRDefault="003452D3" w:rsidP="00AD6D96">
            <w:pPr>
              <w:rPr>
                <w:rFonts w:ascii="New York" w:hAnsi="New York"/>
              </w:rPr>
            </w:pPr>
            <w:r w:rsidRPr="004E2F7C">
              <w:rPr>
                <w:rFonts w:ascii="New York" w:hAnsi="New York"/>
                <w:sz w:val="22"/>
                <w:szCs w:val="22"/>
              </w:rPr>
              <w:t>&lt;2,6</w:t>
            </w:r>
          </w:p>
        </w:tc>
        <w:tc>
          <w:tcPr>
            <w:tcW w:w="1316" w:type="dxa"/>
          </w:tcPr>
          <w:p w:rsidR="003452D3" w:rsidRPr="004E2F7C" w:rsidRDefault="003452D3" w:rsidP="00D218D1">
            <w:pPr>
              <w:rPr>
                <w:rFonts w:ascii="New York" w:hAnsi="New York"/>
              </w:rPr>
            </w:pPr>
            <w:r w:rsidRPr="004E2F7C">
              <w:rPr>
                <w:rFonts w:ascii="New York" w:hAnsi="New York"/>
                <w:sz w:val="22"/>
                <w:szCs w:val="22"/>
              </w:rPr>
              <w:t>50</w:t>
            </w:r>
            <w:r w:rsidR="00D218D1" w:rsidRPr="004E2F7C">
              <w:rPr>
                <w:rFonts w:ascii="New York" w:hAnsi="New York"/>
                <w:sz w:val="22"/>
                <w:szCs w:val="22"/>
              </w:rPr>
              <w:t> </w:t>
            </w:r>
            <w:r w:rsidRPr="004E2F7C">
              <w:rPr>
                <w:rFonts w:ascii="New York" w:hAnsi="New York"/>
                <w:sz w:val="22"/>
                <w:szCs w:val="22"/>
              </w:rPr>
              <w:t>mg ranitidínu (</w:t>
            </w:r>
            <w:r w:rsidR="00D218D1" w:rsidRPr="004E2F7C">
              <w:rPr>
                <w:rFonts w:ascii="New York" w:hAnsi="New York"/>
                <w:sz w:val="22"/>
                <w:szCs w:val="22"/>
              </w:rPr>
              <w:t>2 </w:t>
            </w:r>
            <w:r w:rsidRPr="004E2F7C">
              <w:rPr>
                <w:rFonts w:ascii="New York" w:hAnsi="New York"/>
                <w:sz w:val="22"/>
                <w:szCs w:val="22"/>
              </w:rPr>
              <w:t>ml roztoku na injekciu)</w:t>
            </w:r>
          </w:p>
        </w:tc>
        <w:tc>
          <w:tcPr>
            <w:tcW w:w="1316" w:type="dxa"/>
          </w:tcPr>
          <w:p w:rsidR="003452D3" w:rsidRPr="004E2F7C" w:rsidRDefault="003452D3" w:rsidP="0093126C">
            <w:pPr>
              <w:rPr>
                <w:rFonts w:ascii="New York" w:hAnsi="New York"/>
              </w:rPr>
            </w:pPr>
            <w:r w:rsidRPr="004E2F7C">
              <w:rPr>
                <w:rFonts w:ascii="New York" w:hAnsi="New York"/>
                <w:sz w:val="22"/>
                <w:szCs w:val="22"/>
              </w:rPr>
              <w:t>150</w:t>
            </w:r>
            <w:r w:rsidR="00D218D1" w:rsidRPr="004E2F7C">
              <w:rPr>
                <w:rFonts w:ascii="New York" w:hAnsi="New York"/>
                <w:sz w:val="22"/>
                <w:szCs w:val="22"/>
              </w:rPr>
              <w:t> </w:t>
            </w:r>
            <w:r w:rsidR="00D218D1" w:rsidRPr="004E2F7C">
              <w:rPr>
                <w:rFonts w:ascii="New York" w:hAnsi="New York"/>
                <w:sz w:val="22"/>
                <w:szCs w:val="22"/>
              </w:rPr>
              <w:noBreakHyphen/>
              <w:t> </w:t>
            </w:r>
            <w:r w:rsidRPr="004E2F7C">
              <w:rPr>
                <w:rFonts w:ascii="New York" w:hAnsi="New York"/>
                <w:sz w:val="22"/>
                <w:szCs w:val="22"/>
              </w:rPr>
              <w:t>200</w:t>
            </w:r>
            <w:r w:rsidR="00D218D1" w:rsidRPr="004E2F7C">
              <w:rPr>
                <w:rFonts w:ascii="New York" w:hAnsi="New York"/>
                <w:sz w:val="22"/>
                <w:szCs w:val="22"/>
              </w:rPr>
              <w:t> </w:t>
            </w:r>
            <w:r w:rsidRPr="004E2F7C">
              <w:rPr>
                <w:rFonts w:ascii="New York" w:hAnsi="New York"/>
                <w:sz w:val="22"/>
                <w:szCs w:val="22"/>
              </w:rPr>
              <w:t xml:space="preserve">mg ranitidínu </w:t>
            </w:r>
          </w:p>
        </w:tc>
      </w:tr>
      <w:tr w:rsidR="003452D3" w:rsidRPr="00082BFE" w:rsidTr="00E31E1F">
        <w:trPr>
          <w:jc w:val="center"/>
        </w:trPr>
        <w:tc>
          <w:tcPr>
            <w:tcW w:w="5263" w:type="dxa"/>
            <w:gridSpan w:val="4"/>
          </w:tcPr>
          <w:p w:rsidR="003452D3" w:rsidRPr="004E2F7C" w:rsidRDefault="003452D3" w:rsidP="00DA6181">
            <w:pPr>
              <w:rPr>
                <w:rFonts w:ascii="New York" w:hAnsi="New York"/>
              </w:rPr>
            </w:pPr>
            <w:r w:rsidRPr="004E2F7C">
              <w:rPr>
                <w:rFonts w:ascii="New York" w:hAnsi="New York"/>
                <w:sz w:val="22"/>
                <w:szCs w:val="22"/>
              </w:rPr>
              <w:t>*Uvedené hodnoty sú odporú</w:t>
            </w:r>
            <w:r w:rsidRPr="004E2F7C">
              <w:rPr>
                <w:rFonts w:ascii="New York" w:hAnsi="New York" w:hint="eastAsia"/>
                <w:sz w:val="22"/>
                <w:szCs w:val="22"/>
              </w:rPr>
              <w:t>č</w:t>
            </w:r>
            <w:r w:rsidRPr="004E2F7C">
              <w:rPr>
                <w:rFonts w:ascii="New York" w:hAnsi="New York"/>
                <w:sz w:val="22"/>
                <w:szCs w:val="22"/>
              </w:rPr>
              <w:t>ané hodnoty, ktoré nemusia indikova</w:t>
            </w:r>
            <w:r w:rsidRPr="004E2F7C">
              <w:rPr>
                <w:rFonts w:ascii="New York" w:hAnsi="New York" w:hint="eastAsia"/>
                <w:sz w:val="22"/>
                <w:szCs w:val="22"/>
              </w:rPr>
              <w:t>ť</w:t>
            </w:r>
            <w:r w:rsidRPr="004E2F7C">
              <w:rPr>
                <w:rFonts w:ascii="New York" w:hAnsi="New York"/>
                <w:sz w:val="22"/>
                <w:szCs w:val="22"/>
              </w:rPr>
              <w:t xml:space="preserve"> rovnaký stupe</w:t>
            </w:r>
            <w:r w:rsidRPr="004E2F7C">
              <w:rPr>
                <w:rFonts w:ascii="New York" w:hAnsi="New York" w:hint="eastAsia"/>
                <w:sz w:val="22"/>
                <w:szCs w:val="22"/>
              </w:rPr>
              <w:t>ň</w:t>
            </w:r>
            <w:r w:rsidRPr="004E2F7C">
              <w:rPr>
                <w:rFonts w:ascii="New York" w:hAnsi="New York"/>
                <w:sz w:val="22"/>
                <w:szCs w:val="22"/>
              </w:rPr>
              <w:t xml:space="preserve"> poškodenia u všetkých pacientov s poruchou funkcie obli</w:t>
            </w:r>
            <w:r w:rsidRPr="004E2F7C">
              <w:rPr>
                <w:rFonts w:ascii="New York" w:hAnsi="New York" w:hint="eastAsia"/>
                <w:sz w:val="22"/>
                <w:szCs w:val="22"/>
              </w:rPr>
              <w:t>č</w:t>
            </w:r>
            <w:r w:rsidRPr="004E2F7C">
              <w:rPr>
                <w:rFonts w:ascii="New York" w:hAnsi="New York"/>
                <w:sz w:val="22"/>
                <w:szCs w:val="22"/>
              </w:rPr>
              <w:t>iek, hlavne u starších pacientov, u ktorých je funkcia obli</w:t>
            </w:r>
            <w:r w:rsidRPr="004E2F7C">
              <w:rPr>
                <w:rFonts w:ascii="New York" w:hAnsi="New York" w:hint="eastAsia"/>
                <w:sz w:val="22"/>
                <w:szCs w:val="22"/>
              </w:rPr>
              <w:t>č</w:t>
            </w:r>
            <w:r w:rsidRPr="004E2F7C">
              <w:rPr>
                <w:rFonts w:ascii="New York" w:hAnsi="New York"/>
                <w:sz w:val="22"/>
                <w:szCs w:val="22"/>
              </w:rPr>
              <w:t>iek nadhodnotená kvôli údajom o koncentrácii kreatinínu v sére.</w:t>
            </w:r>
          </w:p>
        </w:tc>
      </w:tr>
    </w:tbl>
    <w:p w:rsidR="003452D3" w:rsidRDefault="003452D3" w:rsidP="00767867">
      <w:pPr>
        <w:rPr>
          <w:sz w:val="22"/>
          <w:szCs w:val="22"/>
          <w:u w:val="single"/>
        </w:rPr>
      </w:pPr>
    </w:p>
    <w:p w:rsidR="0093126C" w:rsidRDefault="0093126C" w:rsidP="00767867">
      <w:pPr>
        <w:rPr>
          <w:sz w:val="22"/>
          <w:szCs w:val="22"/>
        </w:rPr>
      </w:pPr>
      <w:r w:rsidRPr="0093126C">
        <w:rPr>
          <w:sz w:val="22"/>
          <w:szCs w:val="22"/>
        </w:rPr>
        <w:t>U pacientov s poškodením funkcie obličiek (klírens kreatinínu menej ako 0,833 ml/sec) je odporúčaná dávka ranitidínu 50 mg denne podaných v </w:t>
      </w:r>
      <w:r w:rsidRPr="00B13AA1">
        <w:rPr>
          <w:sz w:val="22"/>
          <w:szCs w:val="22"/>
        </w:rPr>
        <w:t xml:space="preserve">priebehu </w:t>
      </w:r>
      <w:r w:rsidRPr="004E2F7C">
        <w:rPr>
          <w:sz w:val="22"/>
          <w:szCs w:val="22"/>
        </w:rPr>
        <w:t>18 až 24 hodín</w:t>
      </w:r>
      <w:r w:rsidRPr="00B13AA1">
        <w:rPr>
          <w:sz w:val="22"/>
          <w:szCs w:val="22"/>
        </w:rPr>
        <w:t>.</w:t>
      </w:r>
      <w:r w:rsidRPr="0093126C">
        <w:rPr>
          <w:sz w:val="22"/>
          <w:szCs w:val="22"/>
        </w:rPr>
        <w:t xml:space="preserve"> Liek je možné podávať aj častejšie, napr. každých 12 hodín alebo častejšie, ak si to vyžaduje stav pacienta. V takomto prípade je potrebná zvláštna pozornosť.</w:t>
      </w:r>
    </w:p>
    <w:p w:rsidR="0093126C" w:rsidRPr="00082BFE" w:rsidRDefault="0093126C" w:rsidP="00767867">
      <w:pPr>
        <w:rPr>
          <w:sz w:val="22"/>
          <w:szCs w:val="22"/>
          <w:u w:val="single"/>
        </w:rPr>
      </w:pPr>
    </w:p>
    <w:p w:rsidR="003452D3" w:rsidRPr="000D7487" w:rsidRDefault="003452D3" w:rsidP="006E41C2">
      <w:pPr>
        <w:rPr>
          <w:sz w:val="22"/>
          <w:szCs w:val="22"/>
        </w:rPr>
      </w:pPr>
      <w:r w:rsidRPr="00FF7493">
        <w:rPr>
          <w:sz w:val="22"/>
          <w:szCs w:val="22"/>
        </w:rPr>
        <w:t>Ak má pacient zároveň poruch</w:t>
      </w:r>
      <w:r w:rsidRPr="002B1FB5">
        <w:rPr>
          <w:sz w:val="22"/>
          <w:szCs w:val="22"/>
        </w:rPr>
        <w:t>u funkcie pečene, môže byť potrebn</w:t>
      </w:r>
      <w:r w:rsidRPr="00A404E3">
        <w:rPr>
          <w:sz w:val="22"/>
          <w:szCs w:val="22"/>
        </w:rPr>
        <w:t xml:space="preserve">é ešte väčšie </w:t>
      </w:r>
      <w:r w:rsidRPr="00A22D74">
        <w:rPr>
          <w:sz w:val="22"/>
          <w:szCs w:val="22"/>
        </w:rPr>
        <w:t xml:space="preserve">zníženie dávky. </w:t>
      </w:r>
    </w:p>
    <w:p w:rsidR="003452D3" w:rsidRPr="00FB23AC" w:rsidRDefault="003452D3" w:rsidP="006E41C2">
      <w:pPr>
        <w:rPr>
          <w:sz w:val="22"/>
          <w:szCs w:val="22"/>
        </w:rPr>
      </w:pPr>
    </w:p>
    <w:p w:rsidR="003452D3" w:rsidRPr="004E2F7C" w:rsidRDefault="003452D3" w:rsidP="00767867">
      <w:pPr>
        <w:rPr>
          <w:sz w:val="22"/>
          <w:szCs w:val="22"/>
        </w:rPr>
      </w:pPr>
      <w:r w:rsidRPr="004E2F7C">
        <w:rPr>
          <w:sz w:val="22"/>
          <w:szCs w:val="22"/>
        </w:rPr>
        <w:t>Na zistenie klírensu kreatinínu z odmeranej hladiny kreatinínu v sére (mg/ml), veku (v rokoch) a telesnej hmotnosti ((kg) možno použiť nasledovný vzorec:</w:t>
      </w:r>
    </w:p>
    <w:p w:rsidR="003452D3" w:rsidRPr="00082BFE" w:rsidRDefault="003452D3" w:rsidP="00767867">
      <w:pPr>
        <w:rPr>
          <w:sz w:val="22"/>
          <w:szCs w:val="22"/>
          <w:u w:val="single"/>
        </w:rPr>
      </w:pPr>
    </w:p>
    <w:p w:rsidR="00D218D1" w:rsidRDefault="003452D3" w:rsidP="006E41C2">
      <w:pPr>
        <w:rPr>
          <w:sz w:val="22"/>
          <w:szCs w:val="22"/>
          <w:u w:val="single"/>
        </w:rPr>
      </w:pPr>
      <w:r w:rsidRPr="004E2F7C">
        <w:rPr>
          <w:sz w:val="22"/>
          <w:szCs w:val="22"/>
        </w:rPr>
        <w:t>Klírens kreatinínu (ml/min) =</w:t>
      </w:r>
      <w:r w:rsidRPr="00082BFE">
        <w:rPr>
          <w:sz w:val="22"/>
          <w:szCs w:val="22"/>
          <w:u w:val="single"/>
        </w:rPr>
        <w:t xml:space="preserve"> </w:t>
      </w:r>
      <w:r w:rsidRPr="007E3B1D">
        <w:rPr>
          <w:sz w:val="22"/>
          <w:szCs w:val="22"/>
          <w:u w:val="single"/>
        </w:rPr>
        <w:t>(140-vek)</w:t>
      </w:r>
      <w:r w:rsidR="00D218D1" w:rsidRPr="007E3B1D">
        <w:rPr>
          <w:sz w:val="22"/>
          <w:szCs w:val="22"/>
          <w:u w:val="single"/>
        </w:rPr>
        <w:t> </w:t>
      </w:r>
      <w:r w:rsidRPr="007E3B1D">
        <w:rPr>
          <w:sz w:val="22"/>
          <w:szCs w:val="22"/>
          <w:u w:val="single"/>
        </w:rPr>
        <w:t>x</w:t>
      </w:r>
      <w:r w:rsidR="00D218D1" w:rsidRPr="007E3B1D">
        <w:rPr>
          <w:sz w:val="22"/>
          <w:szCs w:val="22"/>
          <w:u w:val="single"/>
        </w:rPr>
        <w:t> </w:t>
      </w:r>
      <w:r w:rsidRPr="007E3B1D">
        <w:rPr>
          <w:sz w:val="22"/>
          <w:szCs w:val="22"/>
          <w:u w:val="single"/>
        </w:rPr>
        <w:t>telesná hmotnosť</w:t>
      </w:r>
    </w:p>
    <w:p w:rsidR="003452D3" w:rsidRPr="004E2F7C" w:rsidRDefault="00D218D1" w:rsidP="006E41C2">
      <w:pPr>
        <w:rPr>
          <w:sz w:val="22"/>
          <w:szCs w:val="22"/>
        </w:rPr>
      </w:pPr>
      <w:r w:rsidRPr="004E2F7C">
        <w:rPr>
          <w:sz w:val="22"/>
          <w:szCs w:val="22"/>
        </w:rPr>
        <w:tab/>
      </w:r>
      <w:r w:rsidRPr="004E2F7C">
        <w:rPr>
          <w:sz w:val="22"/>
          <w:szCs w:val="22"/>
        </w:rPr>
        <w:tab/>
      </w:r>
      <w:r w:rsidRPr="004E2F7C">
        <w:rPr>
          <w:sz w:val="22"/>
          <w:szCs w:val="22"/>
        </w:rPr>
        <w:tab/>
      </w:r>
      <w:r w:rsidRPr="004E2F7C">
        <w:rPr>
          <w:sz w:val="22"/>
          <w:szCs w:val="22"/>
        </w:rPr>
        <w:tab/>
      </w:r>
      <w:r w:rsidR="003452D3" w:rsidRPr="004E2F7C">
        <w:rPr>
          <w:sz w:val="22"/>
          <w:szCs w:val="22"/>
        </w:rPr>
        <w:t>72</w:t>
      </w:r>
      <w:r w:rsidRPr="004E2F7C">
        <w:rPr>
          <w:sz w:val="22"/>
          <w:szCs w:val="22"/>
        </w:rPr>
        <w:t> </w:t>
      </w:r>
      <w:r w:rsidR="003452D3" w:rsidRPr="004E2F7C">
        <w:rPr>
          <w:sz w:val="22"/>
          <w:szCs w:val="22"/>
        </w:rPr>
        <w:t>x</w:t>
      </w:r>
      <w:r w:rsidRPr="004E2F7C">
        <w:rPr>
          <w:sz w:val="22"/>
          <w:szCs w:val="22"/>
        </w:rPr>
        <w:t> </w:t>
      </w:r>
      <w:r w:rsidR="003452D3" w:rsidRPr="004E2F7C">
        <w:rPr>
          <w:sz w:val="22"/>
          <w:szCs w:val="22"/>
        </w:rPr>
        <w:t>kreatinín v sére</w:t>
      </w:r>
    </w:p>
    <w:p w:rsidR="00D218D1" w:rsidRDefault="00D218D1" w:rsidP="00C93F3F">
      <w:pPr>
        <w:rPr>
          <w:sz w:val="22"/>
          <w:szCs w:val="22"/>
          <w:u w:val="single"/>
        </w:rPr>
      </w:pPr>
    </w:p>
    <w:p w:rsidR="003452D3" w:rsidRPr="004E2F7C" w:rsidRDefault="003452D3" w:rsidP="00C93F3F">
      <w:pPr>
        <w:rPr>
          <w:sz w:val="22"/>
          <w:szCs w:val="22"/>
        </w:rPr>
      </w:pPr>
      <w:r w:rsidRPr="004E2F7C">
        <w:rPr>
          <w:sz w:val="22"/>
          <w:szCs w:val="22"/>
        </w:rPr>
        <w:t>Pre ženy sa výsledok vynásobí 0,85.</w:t>
      </w:r>
    </w:p>
    <w:p w:rsidR="003452D3" w:rsidRPr="00082BFE" w:rsidRDefault="003452D3" w:rsidP="00767867">
      <w:pPr>
        <w:rPr>
          <w:sz w:val="22"/>
          <w:szCs w:val="22"/>
          <w:u w:val="single"/>
        </w:rPr>
      </w:pPr>
    </w:p>
    <w:p w:rsidR="003452D3" w:rsidRPr="00FB23AC" w:rsidRDefault="003452D3" w:rsidP="006E41C2">
      <w:pPr>
        <w:rPr>
          <w:sz w:val="22"/>
          <w:szCs w:val="22"/>
        </w:rPr>
      </w:pPr>
      <w:r w:rsidRPr="00082BFE">
        <w:rPr>
          <w:sz w:val="22"/>
          <w:szCs w:val="22"/>
        </w:rPr>
        <w:t>Ranitidín je dialyzovateľný</w:t>
      </w:r>
      <w:r w:rsidRPr="004E2F7C">
        <w:rPr>
          <w:sz w:val="22"/>
          <w:szCs w:val="22"/>
        </w:rPr>
        <w:t xml:space="preserve"> a hemodialýzou</w:t>
      </w:r>
      <w:r w:rsidRPr="00FF7493">
        <w:rPr>
          <w:sz w:val="22"/>
          <w:szCs w:val="22"/>
        </w:rPr>
        <w:t xml:space="preserve"> sa odstraňuje z plazmy</w:t>
      </w:r>
      <w:r w:rsidRPr="00A404E3">
        <w:rPr>
          <w:sz w:val="22"/>
          <w:szCs w:val="22"/>
        </w:rPr>
        <w:t xml:space="preserve">. Z tohto dôvodu sa má pacientom na hemodialýze </w:t>
      </w:r>
      <w:r w:rsidRPr="000D7487">
        <w:rPr>
          <w:sz w:val="22"/>
          <w:szCs w:val="22"/>
        </w:rPr>
        <w:t>podať</w:t>
      </w:r>
      <w:r w:rsidRPr="00FB23AC">
        <w:rPr>
          <w:sz w:val="22"/>
          <w:szCs w:val="22"/>
        </w:rPr>
        <w:t xml:space="preserve"> ranitidín vždy hneď po dialýze.</w:t>
      </w:r>
    </w:p>
    <w:p w:rsidR="003452D3" w:rsidRPr="00082BFE" w:rsidRDefault="003452D3" w:rsidP="006E41C2">
      <w:pPr>
        <w:rPr>
          <w:sz w:val="22"/>
          <w:szCs w:val="22"/>
        </w:rPr>
      </w:pPr>
    </w:p>
    <w:p w:rsidR="003452D3" w:rsidRPr="004E2F7C" w:rsidRDefault="003452D3" w:rsidP="00DA6181">
      <w:pPr>
        <w:jc w:val="both"/>
        <w:rPr>
          <w:b/>
          <w:sz w:val="22"/>
          <w:szCs w:val="22"/>
          <w:u w:val="single"/>
        </w:rPr>
      </w:pPr>
      <w:r w:rsidRPr="004E2F7C">
        <w:rPr>
          <w:b/>
          <w:sz w:val="22"/>
          <w:szCs w:val="22"/>
          <w:u w:val="single"/>
        </w:rPr>
        <w:t>Spôsob podávania</w:t>
      </w:r>
    </w:p>
    <w:p w:rsidR="003452D3" w:rsidRPr="00082BFE" w:rsidRDefault="003452D3" w:rsidP="00DA6181">
      <w:pPr>
        <w:jc w:val="both"/>
        <w:rPr>
          <w:sz w:val="22"/>
          <w:szCs w:val="22"/>
        </w:rPr>
      </w:pPr>
    </w:p>
    <w:p w:rsidR="003452D3" w:rsidRPr="002B1FB5" w:rsidRDefault="003452D3" w:rsidP="006E41C2">
      <w:pPr>
        <w:jc w:val="both"/>
        <w:rPr>
          <w:sz w:val="22"/>
          <w:szCs w:val="22"/>
        </w:rPr>
      </w:pPr>
      <w:r w:rsidRPr="00FF7493">
        <w:rPr>
          <w:sz w:val="22"/>
          <w:szCs w:val="22"/>
        </w:rPr>
        <w:t>Ranital inj</w:t>
      </w:r>
      <w:r w:rsidRPr="002B1FB5">
        <w:rPr>
          <w:sz w:val="22"/>
          <w:szCs w:val="22"/>
        </w:rPr>
        <w:t>ekčný roztok sa podáva intravenózne a</w:t>
      </w:r>
      <w:r w:rsidR="00265D48">
        <w:rPr>
          <w:sz w:val="22"/>
          <w:szCs w:val="22"/>
        </w:rPr>
        <w:t>lebo</w:t>
      </w:r>
      <w:r w:rsidRPr="002B1FB5">
        <w:rPr>
          <w:sz w:val="22"/>
          <w:szCs w:val="22"/>
        </w:rPr>
        <w:t> intramuskulárne, tiež sa môže podať formou intermitentnej alebo kontinuálnej infúzie. Používa sa dovtedy, kým pacient nie je schopný užívať liek vo forme tabliet.</w:t>
      </w:r>
    </w:p>
    <w:p w:rsidR="003452D3" w:rsidRPr="00FB23AC" w:rsidRDefault="003452D3" w:rsidP="006E41C2">
      <w:pPr>
        <w:jc w:val="both"/>
        <w:rPr>
          <w:sz w:val="22"/>
          <w:szCs w:val="22"/>
        </w:rPr>
      </w:pPr>
      <w:r w:rsidRPr="000D7487">
        <w:rPr>
          <w:sz w:val="22"/>
          <w:szCs w:val="22"/>
        </w:rPr>
        <w:t>Pri profylaxii aspirácie žalúdočnej kyseliny počas celkovej anestézie sa injekčný roztok podáva intravenózne alebo intramuskulárne 45 až 60 minút pred navodením celkovej anestézie.</w:t>
      </w:r>
    </w:p>
    <w:p w:rsidR="003452D3" w:rsidRPr="00082BFE" w:rsidRDefault="003452D3" w:rsidP="006E41C2">
      <w:pPr>
        <w:jc w:val="both"/>
        <w:rPr>
          <w:sz w:val="22"/>
          <w:szCs w:val="22"/>
        </w:rPr>
      </w:pPr>
    </w:p>
    <w:p w:rsidR="003452D3" w:rsidRPr="00082BFE" w:rsidRDefault="003452D3" w:rsidP="00C133E0">
      <w:pPr>
        <w:jc w:val="both"/>
        <w:rPr>
          <w:b/>
          <w:sz w:val="22"/>
          <w:szCs w:val="22"/>
          <w:u w:val="single"/>
        </w:rPr>
      </w:pPr>
      <w:r w:rsidRPr="00082BFE">
        <w:rPr>
          <w:b/>
          <w:sz w:val="22"/>
          <w:szCs w:val="22"/>
          <w:u w:val="single"/>
        </w:rPr>
        <w:t>Intramuskulárna injekcia</w:t>
      </w:r>
    </w:p>
    <w:p w:rsidR="003452D3" w:rsidRPr="00082BFE" w:rsidRDefault="007C51A5" w:rsidP="00C133E0">
      <w:pPr>
        <w:jc w:val="both"/>
        <w:rPr>
          <w:sz w:val="22"/>
          <w:szCs w:val="22"/>
        </w:rPr>
      </w:pPr>
      <w:r>
        <w:rPr>
          <w:sz w:val="22"/>
          <w:szCs w:val="22"/>
        </w:rPr>
        <w:t>2 ml Ranitalu (zodpovedá 50 mg ranitidínu)</w:t>
      </w:r>
      <w:r w:rsidR="003452D3" w:rsidRPr="00082BFE">
        <w:rPr>
          <w:sz w:val="22"/>
          <w:szCs w:val="22"/>
        </w:rPr>
        <w:t xml:space="preserve"> sa m</w:t>
      </w:r>
      <w:r>
        <w:rPr>
          <w:sz w:val="22"/>
          <w:szCs w:val="22"/>
        </w:rPr>
        <w:t>ôže</w:t>
      </w:r>
      <w:r w:rsidR="003452D3" w:rsidRPr="00082BFE">
        <w:rPr>
          <w:sz w:val="22"/>
          <w:szCs w:val="22"/>
        </w:rPr>
        <w:t xml:space="preserve"> podávať každých 6 až 8 hodín. Nie je potrebné roztok riediť.</w:t>
      </w:r>
    </w:p>
    <w:p w:rsidR="003452D3" w:rsidRPr="00082BFE" w:rsidRDefault="003452D3" w:rsidP="006E41C2">
      <w:pPr>
        <w:jc w:val="both"/>
        <w:rPr>
          <w:sz w:val="22"/>
          <w:szCs w:val="22"/>
        </w:rPr>
      </w:pPr>
    </w:p>
    <w:p w:rsidR="003452D3" w:rsidRPr="00082BFE" w:rsidRDefault="003452D3" w:rsidP="00DA6181">
      <w:pPr>
        <w:jc w:val="both"/>
        <w:rPr>
          <w:b/>
          <w:sz w:val="22"/>
          <w:szCs w:val="22"/>
          <w:u w:val="single"/>
        </w:rPr>
      </w:pPr>
      <w:r w:rsidRPr="00082BFE">
        <w:rPr>
          <w:b/>
          <w:sz w:val="22"/>
          <w:szCs w:val="22"/>
          <w:u w:val="single"/>
        </w:rPr>
        <w:t>Intravenózna injekcia</w:t>
      </w:r>
    </w:p>
    <w:p w:rsidR="003452D3" w:rsidRPr="00082BFE" w:rsidRDefault="00265D48" w:rsidP="00DA61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 ml Ranitalu (zodpovedá 50 mg ranitidínu) sa podáva pomaly intravenózne (dĺžka podávania je </w:t>
      </w:r>
      <w:r w:rsidRPr="00830A0A">
        <w:rPr>
          <w:sz w:val="22"/>
          <w:szCs w:val="22"/>
        </w:rPr>
        <w:t xml:space="preserve">minimálne </w:t>
      </w:r>
      <w:r w:rsidR="00BE7CF9">
        <w:rPr>
          <w:sz w:val="22"/>
          <w:szCs w:val="22"/>
        </w:rPr>
        <w:t>5</w:t>
      </w:r>
      <w:r w:rsidRPr="00830A0A">
        <w:rPr>
          <w:sz w:val="22"/>
          <w:szCs w:val="22"/>
        </w:rPr>
        <w:t xml:space="preserve"> minút).</w:t>
      </w:r>
      <w:r>
        <w:rPr>
          <w:sz w:val="22"/>
          <w:szCs w:val="22"/>
        </w:rPr>
        <w:t xml:space="preserve"> </w:t>
      </w:r>
      <w:r w:rsidR="004663B2" w:rsidRPr="00082BFE">
        <w:rPr>
          <w:sz w:val="22"/>
          <w:szCs w:val="22"/>
        </w:rPr>
        <w:t>Obsah ampulky sa má rozriediť s 0,9 % roztokom chloridu sodného, 5 % roztokom glukózy alebo iným kompatibilným intravenóznym roztokom do celkového objemu 20 ml</w:t>
      </w:r>
      <w:r w:rsidR="004663B2">
        <w:rPr>
          <w:sz w:val="22"/>
          <w:szCs w:val="22"/>
        </w:rPr>
        <w:t xml:space="preserve">. </w:t>
      </w:r>
      <w:r>
        <w:rPr>
          <w:sz w:val="22"/>
          <w:szCs w:val="22"/>
        </w:rPr>
        <w:t>Injekcia</w:t>
      </w:r>
      <w:r w:rsidR="003452D3" w:rsidRPr="00082BFE">
        <w:rPr>
          <w:sz w:val="22"/>
          <w:szCs w:val="22"/>
        </w:rPr>
        <w:t xml:space="preserve"> sa </w:t>
      </w:r>
      <w:r>
        <w:rPr>
          <w:sz w:val="22"/>
          <w:szCs w:val="22"/>
        </w:rPr>
        <w:t>môže</w:t>
      </w:r>
      <w:r w:rsidR="003452D3" w:rsidRPr="00082BFE">
        <w:rPr>
          <w:sz w:val="22"/>
          <w:szCs w:val="22"/>
        </w:rPr>
        <w:t xml:space="preserve"> podávať každých 6 až 8 hodín.  </w:t>
      </w:r>
    </w:p>
    <w:p w:rsidR="003452D3" w:rsidRPr="00082BFE" w:rsidRDefault="003452D3" w:rsidP="00DA6181">
      <w:pPr>
        <w:jc w:val="both"/>
        <w:rPr>
          <w:sz w:val="22"/>
          <w:szCs w:val="22"/>
        </w:rPr>
      </w:pPr>
    </w:p>
    <w:p w:rsidR="003452D3" w:rsidRPr="00082BFE" w:rsidRDefault="003452D3" w:rsidP="00DA6181">
      <w:pPr>
        <w:jc w:val="both"/>
        <w:rPr>
          <w:b/>
          <w:sz w:val="22"/>
          <w:szCs w:val="22"/>
          <w:u w:val="single"/>
        </w:rPr>
      </w:pPr>
      <w:r w:rsidRPr="00082BFE">
        <w:rPr>
          <w:b/>
          <w:sz w:val="22"/>
          <w:szCs w:val="22"/>
          <w:u w:val="single"/>
        </w:rPr>
        <w:t>Intermitentná intravenózna infúzia</w:t>
      </w:r>
    </w:p>
    <w:p w:rsidR="003452D3" w:rsidRPr="00082BFE" w:rsidRDefault="003452D3" w:rsidP="00DA6181">
      <w:pPr>
        <w:jc w:val="both"/>
        <w:rPr>
          <w:sz w:val="22"/>
          <w:szCs w:val="22"/>
        </w:rPr>
      </w:pPr>
      <w:r w:rsidRPr="00082BFE">
        <w:rPr>
          <w:sz w:val="22"/>
          <w:szCs w:val="22"/>
        </w:rPr>
        <w:t xml:space="preserve">Ranital 50 mg/2 ml sa má podávať každých 6 až 8 hodín, má sa rozriediť v 50 ml (1 mg/ml) alebo v 100 ml (0,5 mg/ml) 0,9 % roztoku chloridu sodného, 5 % roztoku glukózy alebo inom kompatibilnom intravenóznom roztoku. Dĺžka podávania infúzie </w:t>
      </w:r>
      <w:r w:rsidRPr="00830A0A">
        <w:rPr>
          <w:sz w:val="22"/>
          <w:szCs w:val="22"/>
        </w:rPr>
        <w:t xml:space="preserve">je </w:t>
      </w:r>
      <w:r w:rsidR="00BE7CF9">
        <w:rPr>
          <w:sz w:val="22"/>
          <w:szCs w:val="22"/>
        </w:rPr>
        <w:t>15</w:t>
      </w:r>
      <w:r w:rsidR="00727D6B">
        <w:rPr>
          <w:sz w:val="22"/>
          <w:szCs w:val="22"/>
        </w:rPr>
        <w:t xml:space="preserve"> až </w:t>
      </w:r>
      <w:r w:rsidR="00BE7CF9">
        <w:rPr>
          <w:sz w:val="22"/>
          <w:szCs w:val="22"/>
        </w:rPr>
        <w:t>20 minút</w:t>
      </w:r>
      <w:r w:rsidRPr="00082BFE">
        <w:rPr>
          <w:sz w:val="22"/>
          <w:szCs w:val="22"/>
        </w:rPr>
        <w:t>. Rýchlosť infúzie je 25 mg ranitidínu za jednu hodinu</w:t>
      </w:r>
      <w:r w:rsidR="004663B2">
        <w:rPr>
          <w:sz w:val="22"/>
          <w:szCs w:val="22"/>
        </w:rPr>
        <w:t xml:space="preserve">, čo zodpovedá 1 ml </w:t>
      </w:r>
      <w:r w:rsidR="00747F4F">
        <w:rPr>
          <w:sz w:val="22"/>
          <w:szCs w:val="22"/>
        </w:rPr>
        <w:t xml:space="preserve">Ranitalu </w:t>
      </w:r>
      <w:r w:rsidR="004663B2">
        <w:rPr>
          <w:sz w:val="22"/>
          <w:szCs w:val="22"/>
        </w:rPr>
        <w:t>za hodinu</w:t>
      </w:r>
      <w:r w:rsidRPr="00082BFE">
        <w:rPr>
          <w:sz w:val="22"/>
          <w:szCs w:val="22"/>
        </w:rPr>
        <w:t xml:space="preserve">. </w:t>
      </w:r>
      <w:r w:rsidRPr="00ED6F0D">
        <w:rPr>
          <w:sz w:val="22"/>
          <w:szCs w:val="22"/>
        </w:rPr>
        <w:t xml:space="preserve">U niektorých pacientov môžu byť potrebné vyššie dávky. V takomto prípade sa majú dávky 50 mg podávať častejšie. Maximálna denná dávka nesmie presiahnuť </w:t>
      </w:r>
      <w:r w:rsidRPr="00DC162F">
        <w:rPr>
          <w:sz w:val="22"/>
          <w:szCs w:val="22"/>
        </w:rPr>
        <w:t>400 mg.</w:t>
      </w:r>
      <w:r w:rsidRPr="00ED6F0D">
        <w:rPr>
          <w:sz w:val="22"/>
          <w:szCs w:val="22"/>
        </w:rPr>
        <w:t xml:space="preserve"> Ak je pacient schopný prijímať </w:t>
      </w:r>
      <w:r w:rsidRPr="00830A0A">
        <w:rPr>
          <w:sz w:val="22"/>
          <w:szCs w:val="22"/>
        </w:rPr>
        <w:t>jedlo</w:t>
      </w:r>
      <w:r w:rsidR="001561B7">
        <w:rPr>
          <w:sz w:val="22"/>
          <w:szCs w:val="22"/>
        </w:rPr>
        <w:t xml:space="preserve"> ústami</w:t>
      </w:r>
      <w:r w:rsidRPr="00082BFE">
        <w:rPr>
          <w:sz w:val="22"/>
          <w:szCs w:val="22"/>
        </w:rPr>
        <w:t>, pokračuje sa v liečbe tabletami Ranitalu.</w:t>
      </w:r>
    </w:p>
    <w:p w:rsidR="003452D3" w:rsidRPr="00082BFE" w:rsidRDefault="003452D3" w:rsidP="00DA6181">
      <w:pPr>
        <w:jc w:val="both"/>
        <w:rPr>
          <w:sz w:val="22"/>
          <w:szCs w:val="22"/>
        </w:rPr>
      </w:pPr>
    </w:p>
    <w:p w:rsidR="003452D3" w:rsidRPr="00082BFE" w:rsidRDefault="007C51A5" w:rsidP="00DA618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Dlhšie trvajúca</w:t>
      </w:r>
      <w:r w:rsidR="003452D3" w:rsidRPr="00082BFE">
        <w:rPr>
          <w:b/>
          <w:sz w:val="22"/>
          <w:szCs w:val="22"/>
        </w:rPr>
        <w:t xml:space="preserve"> intravenózna infúzia</w:t>
      </w:r>
    </w:p>
    <w:p w:rsidR="003452D3" w:rsidRPr="00082BFE" w:rsidRDefault="003452D3" w:rsidP="00DA6181">
      <w:pPr>
        <w:jc w:val="both"/>
        <w:rPr>
          <w:sz w:val="22"/>
          <w:szCs w:val="22"/>
        </w:rPr>
      </w:pPr>
      <w:r w:rsidRPr="00082BFE">
        <w:rPr>
          <w:sz w:val="22"/>
          <w:szCs w:val="22"/>
        </w:rPr>
        <w:t>150 mg ranitidínu sa má rozriediť v 250 ml 0,9 % roztoku chloridu sodného, 5 % roztoku glukózy alebo inom kompatibilnom intravenóznom roztoku. Dĺžka infúzie je 24 hodín. Rýchlosť infúzie je 6,25 mg ranitidínu za 1 hodinu. Dávka ranitidínu sa môže upraviť v závislosti od stavu pacienta.</w:t>
      </w:r>
    </w:p>
    <w:p w:rsidR="00EB6166" w:rsidRDefault="00EB6166" w:rsidP="007461AB">
      <w:pPr>
        <w:rPr>
          <w:sz w:val="22"/>
          <w:szCs w:val="22"/>
        </w:rPr>
      </w:pPr>
    </w:p>
    <w:p w:rsidR="003452D3" w:rsidRPr="004E2F7C" w:rsidRDefault="008D1425" w:rsidP="007461AB">
      <w:pPr>
        <w:rPr>
          <w:sz w:val="22"/>
          <w:szCs w:val="22"/>
        </w:rPr>
      </w:pPr>
      <w:r w:rsidRPr="004E2F7C">
        <w:rPr>
          <w:sz w:val="22"/>
          <w:szCs w:val="22"/>
        </w:rPr>
        <w:t>Roztoky kompatibilné s</w:t>
      </w:r>
      <w:r w:rsidR="00913087" w:rsidRPr="004E2F7C">
        <w:rPr>
          <w:sz w:val="22"/>
          <w:szCs w:val="22"/>
        </w:rPr>
        <w:t> Ranitalom, pozri časť 6.2</w:t>
      </w:r>
    </w:p>
    <w:p w:rsidR="003452D3" w:rsidRPr="00082BFE" w:rsidRDefault="003452D3" w:rsidP="000F6680">
      <w:pPr>
        <w:rPr>
          <w:sz w:val="22"/>
          <w:szCs w:val="22"/>
        </w:rPr>
      </w:pPr>
    </w:p>
    <w:p w:rsidR="003452D3" w:rsidRPr="00082BFE" w:rsidRDefault="003452D3" w:rsidP="000F6680">
      <w:pPr>
        <w:numPr>
          <w:ilvl w:val="1"/>
          <w:numId w:val="2"/>
        </w:numPr>
        <w:tabs>
          <w:tab w:val="clear" w:pos="360"/>
          <w:tab w:val="num" w:pos="720"/>
        </w:tabs>
        <w:ind w:left="720" w:hanging="720"/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Kontraindikácie</w:t>
      </w:r>
    </w:p>
    <w:p w:rsidR="003452D3" w:rsidRPr="00082BFE" w:rsidRDefault="003452D3" w:rsidP="000F6680">
      <w:pPr>
        <w:rPr>
          <w:b/>
          <w:sz w:val="22"/>
          <w:szCs w:val="22"/>
        </w:rPr>
      </w:pPr>
    </w:p>
    <w:p w:rsidR="003452D3" w:rsidRPr="00082BFE" w:rsidRDefault="003452D3" w:rsidP="003E7FB4">
      <w:pPr>
        <w:rPr>
          <w:sz w:val="22"/>
          <w:szCs w:val="22"/>
        </w:rPr>
      </w:pPr>
      <w:r w:rsidRPr="00082BFE">
        <w:rPr>
          <w:sz w:val="22"/>
          <w:szCs w:val="22"/>
        </w:rPr>
        <w:t>Precitlivenosť na liečivo ranitidín alebo na ktorúkoľvek z pomocných látok uvedených v časti 6.1.</w:t>
      </w:r>
    </w:p>
    <w:p w:rsidR="003452D3" w:rsidRPr="00082BFE" w:rsidRDefault="003452D3" w:rsidP="00841D16">
      <w:pPr>
        <w:jc w:val="both"/>
        <w:rPr>
          <w:sz w:val="22"/>
          <w:szCs w:val="22"/>
        </w:rPr>
      </w:pPr>
    </w:p>
    <w:p w:rsidR="003452D3" w:rsidRPr="00A404E3" w:rsidRDefault="003452D3" w:rsidP="00841D16">
      <w:pPr>
        <w:numPr>
          <w:ilvl w:val="1"/>
          <w:numId w:val="2"/>
        </w:numPr>
        <w:tabs>
          <w:tab w:val="clear" w:pos="360"/>
          <w:tab w:val="num" w:pos="720"/>
        </w:tabs>
        <w:jc w:val="both"/>
        <w:rPr>
          <w:b/>
          <w:sz w:val="22"/>
          <w:szCs w:val="22"/>
        </w:rPr>
      </w:pPr>
      <w:r w:rsidRPr="00A404E3">
        <w:rPr>
          <w:b/>
          <w:sz w:val="22"/>
          <w:szCs w:val="22"/>
        </w:rPr>
        <w:t>Osobitné upozornenia a opatrenia pri používaní</w:t>
      </w:r>
    </w:p>
    <w:p w:rsidR="003452D3" w:rsidRPr="002B1FB5" w:rsidRDefault="003452D3" w:rsidP="00841D16">
      <w:pPr>
        <w:jc w:val="both"/>
        <w:rPr>
          <w:b/>
          <w:sz w:val="22"/>
          <w:szCs w:val="22"/>
        </w:rPr>
      </w:pPr>
    </w:p>
    <w:p w:rsidR="003452D3" w:rsidRPr="00082BFE" w:rsidRDefault="003452D3" w:rsidP="003E7FB4">
      <w:pPr>
        <w:jc w:val="both"/>
        <w:rPr>
          <w:sz w:val="22"/>
          <w:szCs w:val="22"/>
        </w:rPr>
      </w:pPr>
      <w:r w:rsidRPr="00A404E3">
        <w:rPr>
          <w:sz w:val="22"/>
          <w:szCs w:val="22"/>
        </w:rPr>
        <w:t>Keďže liečba ranitidínom môže maskovať symptómy spojené s karcinómom žalúdka, u pacientov so žalúdočným vredom sa má</w:t>
      </w:r>
      <w:r w:rsidRPr="00082BFE">
        <w:rPr>
          <w:sz w:val="22"/>
          <w:szCs w:val="22"/>
        </w:rPr>
        <w:t xml:space="preserve"> pred začatím liečby vylúčiť možná malignita.</w:t>
      </w:r>
    </w:p>
    <w:p w:rsidR="003452D3" w:rsidRPr="00FF7493" w:rsidRDefault="003452D3" w:rsidP="003E7FB4">
      <w:pPr>
        <w:jc w:val="both"/>
        <w:rPr>
          <w:sz w:val="22"/>
          <w:szCs w:val="22"/>
        </w:rPr>
      </w:pPr>
    </w:p>
    <w:p w:rsidR="003452D3" w:rsidRPr="00ED23F1" w:rsidRDefault="003452D3" w:rsidP="003E7FB4">
      <w:pPr>
        <w:jc w:val="both"/>
        <w:rPr>
          <w:sz w:val="22"/>
          <w:szCs w:val="22"/>
        </w:rPr>
      </w:pPr>
      <w:r w:rsidRPr="00FF7493">
        <w:rPr>
          <w:sz w:val="22"/>
          <w:szCs w:val="22"/>
        </w:rPr>
        <w:t xml:space="preserve">Ranitidín sa vylučuje obličkami, a preto sú u pacientov s </w:t>
      </w:r>
      <w:r w:rsidRPr="00ED23F1">
        <w:rPr>
          <w:sz w:val="22"/>
          <w:szCs w:val="22"/>
        </w:rPr>
        <w:t>poškodením funkcie obličiek zvýšené hladiny liečiva v plazme.</w:t>
      </w:r>
    </w:p>
    <w:p w:rsidR="003452D3" w:rsidRPr="00A404E3" w:rsidRDefault="003452D3" w:rsidP="003E7FB4">
      <w:pPr>
        <w:jc w:val="both"/>
        <w:rPr>
          <w:i/>
          <w:sz w:val="22"/>
          <w:szCs w:val="22"/>
        </w:rPr>
      </w:pPr>
      <w:r w:rsidRPr="002B1FB5">
        <w:rPr>
          <w:sz w:val="22"/>
          <w:szCs w:val="22"/>
        </w:rPr>
        <w:t xml:space="preserve">Dávkovanie sa má upraviť podľa pokynov v časti 4.2 </w:t>
      </w:r>
      <w:r w:rsidRPr="00A404E3">
        <w:rPr>
          <w:i/>
          <w:sz w:val="22"/>
          <w:szCs w:val="22"/>
        </w:rPr>
        <w:t>Dávkovanie u pacientov s poškodením funkcie obličiek.</w:t>
      </w:r>
    </w:p>
    <w:p w:rsidR="003452D3" w:rsidRPr="000D7487" w:rsidRDefault="003452D3" w:rsidP="003E7FB4">
      <w:pPr>
        <w:jc w:val="both"/>
        <w:rPr>
          <w:sz w:val="22"/>
          <w:szCs w:val="22"/>
        </w:rPr>
      </w:pPr>
    </w:p>
    <w:p w:rsidR="003452D3" w:rsidRPr="00FB23AC" w:rsidRDefault="003452D3" w:rsidP="003E7FB4">
      <w:pPr>
        <w:jc w:val="both"/>
        <w:rPr>
          <w:sz w:val="22"/>
          <w:szCs w:val="22"/>
        </w:rPr>
      </w:pPr>
      <w:r w:rsidRPr="00FB23AC">
        <w:rPr>
          <w:sz w:val="22"/>
          <w:szCs w:val="22"/>
        </w:rPr>
        <w:t>Zriedkavé klinické hlásenia naznačujú, že ranitidín môže vyvolať akútne záchvaty porfýrie. Z tohto dôvodu sa nemá podávať pacientom s akútnou porfýriou v anamnéze.</w:t>
      </w:r>
    </w:p>
    <w:p w:rsidR="003452D3" w:rsidRPr="00082BFE" w:rsidRDefault="003452D3" w:rsidP="003E7FB4">
      <w:pPr>
        <w:jc w:val="both"/>
        <w:rPr>
          <w:sz w:val="22"/>
          <w:szCs w:val="22"/>
        </w:rPr>
      </w:pPr>
    </w:p>
    <w:p w:rsidR="003452D3" w:rsidRPr="00082BFE" w:rsidRDefault="003452D3" w:rsidP="003E7FB4">
      <w:pPr>
        <w:jc w:val="both"/>
        <w:rPr>
          <w:sz w:val="22"/>
          <w:szCs w:val="22"/>
        </w:rPr>
      </w:pPr>
      <w:r w:rsidRPr="00082BFE">
        <w:rPr>
          <w:sz w:val="22"/>
          <w:szCs w:val="22"/>
        </w:rPr>
        <w:t>U niektorých pacientov, ako sú starší pacienti, osoby s chronickým ochorením pľúc, diabetom alebo s oslabenou imunitou, môže byť zvýšené riziko rozvoja pneumónie získanej v komunite.</w:t>
      </w:r>
    </w:p>
    <w:p w:rsidR="003452D3" w:rsidRPr="00ED23F1" w:rsidRDefault="003452D3" w:rsidP="003E7FB4">
      <w:pPr>
        <w:jc w:val="both"/>
        <w:rPr>
          <w:sz w:val="22"/>
          <w:szCs w:val="22"/>
        </w:rPr>
      </w:pPr>
      <w:r w:rsidRPr="00082BFE">
        <w:rPr>
          <w:sz w:val="22"/>
          <w:szCs w:val="22"/>
        </w:rPr>
        <w:t>Rozsiahla epidemiologická štúdia preukázala zvýšené riziko výskytu pneumónie získanej v komunite u ľudí súbežne liečených ranitidínom v porovnaní s tými, ktorí liečbu ukončili,pričom bolo</w:t>
      </w:r>
      <w:r>
        <w:rPr>
          <w:sz w:val="22"/>
          <w:szCs w:val="22"/>
        </w:rPr>
        <w:t xml:space="preserve"> </w:t>
      </w:r>
      <w:r w:rsidRPr="00ED23F1">
        <w:rPr>
          <w:sz w:val="22"/>
          <w:szCs w:val="22"/>
        </w:rPr>
        <w:t>zistené relatívne riziko 1,82 (95 % CI 1,26 </w:t>
      </w:r>
      <w:r w:rsidRPr="00ED23F1">
        <w:rPr>
          <w:sz w:val="22"/>
          <w:szCs w:val="22"/>
        </w:rPr>
        <w:noBreakHyphen/>
        <w:t> 2,64).</w:t>
      </w:r>
    </w:p>
    <w:p w:rsidR="003452D3" w:rsidRPr="002B1FB5" w:rsidRDefault="003452D3" w:rsidP="003E7FB4">
      <w:pPr>
        <w:jc w:val="both"/>
        <w:rPr>
          <w:sz w:val="22"/>
          <w:szCs w:val="22"/>
        </w:rPr>
      </w:pPr>
    </w:p>
    <w:p w:rsidR="003452D3" w:rsidRPr="00FB23AC" w:rsidRDefault="003452D3" w:rsidP="008B4E1D">
      <w:pPr>
        <w:jc w:val="both"/>
        <w:rPr>
          <w:sz w:val="22"/>
          <w:szCs w:val="22"/>
        </w:rPr>
      </w:pPr>
      <w:r w:rsidRPr="000D7487">
        <w:rPr>
          <w:sz w:val="22"/>
          <w:szCs w:val="22"/>
        </w:rPr>
        <w:t>Podanie vyšších dávok, než sú odporúčané i.v. dávky antagonistov H</w:t>
      </w:r>
      <w:r w:rsidRPr="000D7487">
        <w:rPr>
          <w:sz w:val="22"/>
          <w:szCs w:val="22"/>
          <w:vertAlign w:val="subscript"/>
        </w:rPr>
        <w:t>2</w:t>
      </w:r>
      <w:r w:rsidRPr="000D7487">
        <w:rPr>
          <w:sz w:val="22"/>
          <w:szCs w:val="22"/>
        </w:rPr>
        <w:t xml:space="preserve"> receptorov bolo spojené so zvýšením hodnôt pečeňových enzýmov, ak sa liečba predĺžila o viac </w:t>
      </w:r>
      <w:r w:rsidRPr="00FB23AC">
        <w:rPr>
          <w:sz w:val="22"/>
          <w:szCs w:val="22"/>
        </w:rPr>
        <w:t xml:space="preserve">ako 5 dní. </w:t>
      </w:r>
    </w:p>
    <w:p w:rsidR="003452D3" w:rsidRPr="00082BFE" w:rsidRDefault="003452D3" w:rsidP="008B4E1D">
      <w:pPr>
        <w:jc w:val="both"/>
        <w:rPr>
          <w:sz w:val="22"/>
          <w:szCs w:val="22"/>
        </w:rPr>
      </w:pPr>
    </w:p>
    <w:p w:rsidR="003452D3" w:rsidRPr="00082BFE" w:rsidRDefault="003452D3" w:rsidP="00841D16">
      <w:pPr>
        <w:jc w:val="both"/>
        <w:rPr>
          <w:sz w:val="22"/>
          <w:szCs w:val="22"/>
        </w:rPr>
      </w:pPr>
      <w:r w:rsidRPr="00082BFE">
        <w:rPr>
          <w:sz w:val="22"/>
          <w:szCs w:val="22"/>
        </w:rPr>
        <w:t xml:space="preserve">V súvislosti s rýchlym podaním injekcie ranitidínu bola zriedkavo zaznamenaná bradykardia, hlavne u pacientov s predispozičnými faktormi k poruchám srdcového rytmu. Nesmú sa presiahnuť odporúčané rýchlosti podávania. </w:t>
      </w:r>
    </w:p>
    <w:p w:rsidR="003452D3" w:rsidRPr="00082BFE" w:rsidRDefault="003452D3" w:rsidP="00841D16">
      <w:pPr>
        <w:jc w:val="both"/>
        <w:rPr>
          <w:sz w:val="22"/>
          <w:szCs w:val="22"/>
        </w:rPr>
      </w:pPr>
    </w:p>
    <w:p w:rsidR="003452D3" w:rsidRPr="00082BFE" w:rsidRDefault="003452D3" w:rsidP="00841D16">
      <w:pPr>
        <w:jc w:val="both"/>
        <w:rPr>
          <w:sz w:val="22"/>
          <w:szCs w:val="22"/>
        </w:rPr>
      </w:pPr>
      <w:r w:rsidRPr="00FF7493">
        <w:rPr>
          <w:sz w:val="22"/>
          <w:szCs w:val="22"/>
        </w:rPr>
        <w:t xml:space="preserve">Deti mladšie ako 6 </w:t>
      </w:r>
      <w:r w:rsidRPr="00ED23F1">
        <w:rPr>
          <w:sz w:val="22"/>
          <w:szCs w:val="22"/>
        </w:rPr>
        <w:t>mesiacov nemajú byť liečené ranitidínom</w:t>
      </w:r>
      <w:r>
        <w:rPr>
          <w:sz w:val="22"/>
          <w:szCs w:val="22"/>
        </w:rPr>
        <w:t xml:space="preserve"> (pozri tiež časť 5.2. Farmakokinetické vlastnosti </w:t>
      </w:r>
      <w:r w:rsidRPr="00270842">
        <w:rPr>
          <w:sz w:val="22"/>
          <w:szCs w:val="22"/>
        </w:rPr>
        <w:t>- Špeciálne populácie pacientov</w:t>
      </w:r>
      <w:r>
        <w:rPr>
          <w:sz w:val="22"/>
          <w:szCs w:val="22"/>
        </w:rPr>
        <w:t>).</w:t>
      </w:r>
    </w:p>
    <w:p w:rsidR="003452D3" w:rsidRPr="00FF7493" w:rsidRDefault="003452D3" w:rsidP="00841D16">
      <w:pPr>
        <w:jc w:val="both"/>
        <w:rPr>
          <w:sz w:val="22"/>
          <w:szCs w:val="22"/>
        </w:rPr>
      </w:pPr>
    </w:p>
    <w:p w:rsidR="003452D3" w:rsidRPr="00082BFE" w:rsidRDefault="003452D3" w:rsidP="00841D16">
      <w:pPr>
        <w:jc w:val="both"/>
        <w:rPr>
          <w:sz w:val="22"/>
          <w:szCs w:val="22"/>
        </w:rPr>
      </w:pPr>
      <w:r w:rsidRPr="002B1FB5">
        <w:rPr>
          <w:sz w:val="22"/>
          <w:szCs w:val="22"/>
        </w:rPr>
        <w:t>U</w:t>
      </w:r>
      <w:r w:rsidRPr="00A404E3">
        <w:rPr>
          <w:sz w:val="22"/>
          <w:szCs w:val="22"/>
        </w:rPr>
        <w:t> pacientov s pľúcnou ventiláciou na jednotke intenzívnej starostlivosti viedlo 3,5-násobné zvýšenie pH žalúdkovej kyseliny vo väčšine prípadov po 3 až 7 dňoch ku kolonizácii žalúd</w:t>
      </w:r>
      <w:r w:rsidRPr="000D7487">
        <w:rPr>
          <w:sz w:val="22"/>
          <w:szCs w:val="22"/>
        </w:rPr>
        <w:t xml:space="preserve">očných stien prevažne </w:t>
      </w:r>
      <w:r w:rsidRPr="000D7487">
        <w:rPr>
          <w:sz w:val="22"/>
          <w:szCs w:val="22"/>
        </w:rPr>
        <w:lastRenderedPageBreak/>
        <w:t xml:space="preserve">gramnegatívnymi baktériami. Existujú štúdie, </w:t>
      </w:r>
      <w:r w:rsidRPr="00FB23AC">
        <w:rPr>
          <w:sz w:val="22"/>
          <w:szCs w:val="22"/>
        </w:rPr>
        <w:t xml:space="preserve">v ktorých sa predpokladá kolonizácia </w:t>
      </w:r>
      <w:r w:rsidRPr="00082BFE">
        <w:rPr>
          <w:sz w:val="22"/>
          <w:szCs w:val="22"/>
        </w:rPr>
        <w:t>tracheobronchiálneho systému zo žalúdka. Bolo zistené, že počet nozokomiálnych pneumónií u  pacientov s pľúcnou ventiláciou na jednotke intenzívnej starostlivosti bol vyšší, keď bola hodnota pH obsahu žalúdka zvýšená liekmi kvôli profylaxii stresového vredu.</w:t>
      </w:r>
    </w:p>
    <w:p w:rsidR="003452D3" w:rsidRPr="00082BFE" w:rsidRDefault="003452D3" w:rsidP="00841D16">
      <w:pPr>
        <w:jc w:val="both"/>
        <w:rPr>
          <w:sz w:val="22"/>
          <w:szCs w:val="22"/>
        </w:rPr>
      </w:pPr>
    </w:p>
    <w:p w:rsidR="003452D3" w:rsidRPr="00082BFE" w:rsidRDefault="003452D3" w:rsidP="00153297">
      <w:pPr>
        <w:jc w:val="both"/>
        <w:rPr>
          <w:sz w:val="22"/>
          <w:szCs w:val="22"/>
          <w:u w:val="single"/>
        </w:rPr>
      </w:pPr>
      <w:r w:rsidRPr="00082BFE">
        <w:rPr>
          <w:sz w:val="22"/>
          <w:szCs w:val="22"/>
          <w:u w:val="single"/>
        </w:rPr>
        <w:t>Osobitné upozornenia týkajúce sa pomocných látok</w:t>
      </w:r>
    </w:p>
    <w:p w:rsidR="003452D3" w:rsidRPr="00FF7493" w:rsidRDefault="003452D3" w:rsidP="00153297">
      <w:pPr>
        <w:jc w:val="both"/>
        <w:rPr>
          <w:sz w:val="22"/>
          <w:szCs w:val="22"/>
        </w:rPr>
      </w:pPr>
      <w:r w:rsidRPr="00082BFE">
        <w:rPr>
          <w:sz w:val="22"/>
          <w:szCs w:val="22"/>
        </w:rPr>
        <w:t>Tento liek obsahuje menej ako 1 mmol sodíka (23 mg) v jednej dávke, t.</w:t>
      </w:r>
      <w:r w:rsidRPr="00FF7493">
        <w:rPr>
          <w:sz w:val="22"/>
          <w:szCs w:val="22"/>
        </w:rPr>
        <w:t xml:space="preserve">j. </w:t>
      </w:r>
      <w:r>
        <w:rPr>
          <w:sz w:val="22"/>
          <w:szCs w:val="22"/>
        </w:rPr>
        <w:t>v podstate zanedbateľné množstvo</w:t>
      </w:r>
      <w:r w:rsidRPr="00FF7493">
        <w:rPr>
          <w:sz w:val="22"/>
          <w:szCs w:val="22"/>
        </w:rPr>
        <w:t xml:space="preserve"> sodíka. </w:t>
      </w:r>
    </w:p>
    <w:p w:rsidR="003452D3" w:rsidRPr="002B1FB5" w:rsidRDefault="003452D3" w:rsidP="008B06C1">
      <w:pPr>
        <w:jc w:val="both"/>
        <w:rPr>
          <w:b/>
          <w:sz w:val="22"/>
          <w:szCs w:val="22"/>
        </w:rPr>
      </w:pPr>
    </w:p>
    <w:p w:rsidR="003452D3" w:rsidRPr="000D7487" w:rsidRDefault="003452D3" w:rsidP="008B06C1">
      <w:pPr>
        <w:numPr>
          <w:ilvl w:val="1"/>
          <w:numId w:val="2"/>
        </w:numPr>
        <w:tabs>
          <w:tab w:val="clear" w:pos="360"/>
          <w:tab w:val="num" w:pos="720"/>
        </w:tabs>
        <w:jc w:val="both"/>
        <w:rPr>
          <w:b/>
          <w:sz w:val="22"/>
          <w:szCs w:val="22"/>
        </w:rPr>
      </w:pPr>
      <w:r w:rsidRPr="000D7487">
        <w:rPr>
          <w:b/>
          <w:sz w:val="22"/>
          <w:szCs w:val="22"/>
        </w:rPr>
        <w:t>Liekové a iné interakcie</w:t>
      </w:r>
    </w:p>
    <w:p w:rsidR="003452D3" w:rsidRPr="00FB23AC" w:rsidRDefault="003452D3" w:rsidP="00455DC4">
      <w:pPr>
        <w:jc w:val="both"/>
        <w:rPr>
          <w:b/>
          <w:sz w:val="22"/>
          <w:szCs w:val="22"/>
        </w:rPr>
      </w:pPr>
    </w:p>
    <w:p w:rsidR="003452D3" w:rsidRPr="00082BFE" w:rsidRDefault="003452D3" w:rsidP="00716471">
      <w:pPr>
        <w:jc w:val="both"/>
        <w:rPr>
          <w:sz w:val="22"/>
          <w:szCs w:val="22"/>
        </w:rPr>
      </w:pPr>
      <w:r w:rsidRPr="00082BFE">
        <w:rPr>
          <w:sz w:val="22"/>
          <w:szCs w:val="22"/>
        </w:rPr>
        <w:t xml:space="preserve">Ranitidín môže ovplyvniť absorpciu, metabolizmus alebo renálnu exkréciu iných liečiv. Zmenená farmakokinetika môže vyžadovať úpravu dávkovania iného liečiva alebo prerušenie liečby. </w:t>
      </w:r>
    </w:p>
    <w:p w:rsidR="003452D3" w:rsidRPr="00082BFE" w:rsidRDefault="003452D3" w:rsidP="00716471">
      <w:pPr>
        <w:jc w:val="both"/>
        <w:rPr>
          <w:sz w:val="22"/>
          <w:szCs w:val="22"/>
        </w:rPr>
      </w:pPr>
    </w:p>
    <w:p w:rsidR="003452D3" w:rsidRPr="00082BFE" w:rsidRDefault="003452D3" w:rsidP="00716471">
      <w:pPr>
        <w:jc w:val="both"/>
        <w:rPr>
          <w:sz w:val="22"/>
          <w:szCs w:val="22"/>
        </w:rPr>
      </w:pPr>
      <w:r w:rsidRPr="00082BFE">
        <w:rPr>
          <w:sz w:val="22"/>
          <w:szCs w:val="22"/>
        </w:rPr>
        <w:t>Interakcie prebiehajú viacerými mechanizmami, vrátane:</w:t>
      </w:r>
    </w:p>
    <w:p w:rsidR="003452D3" w:rsidRPr="00082BFE" w:rsidRDefault="003452D3" w:rsidP="002773AC">
      <w:pPr>
        <w:numPr>
          <w:ilvl w:val="0"/>
          <w:numId w:val="26"/>
        </w:numPr>
        <w:tabs>
          <w:tab w:val="clear" w:pos="720"/>
          <w:tab w:val="num" w:pos="360"/>
        </w:tabs>
        <w:ind w:hanging="720"/>
        <w:jc w:val="both"/>
        <w:rPr>
          <w:sz w:val="22"/>
          <w:szCs w:val="22"/>
        </w:rPr>
      </w:pPr>
      <w:r w:rsidRPr="00082BFE">
        <w:rPr>
          <w:i/>
          <w:sz w:val="22"/>
          <w:szCs w:val="22"/>
        </w:rPr>
        <w:t>inhibície cytochrómu P450 - zmiešaná funkcia systému oxygenázy</w:t>
      </w:r>
      <w:r w:rsidRPr="00082BFE">
        <w:rPr>
          <w:sz w:val="22"/>
          <w:szCs w:val="22"/>
        </w:rPr>
        <w:t>:</w:t>
      </w:r>
    </w:p>
    <w:p w:rsidR="003452D3" w:rsidRPr="00082BFE" w:rsidRDefault="003452D3" w:rsidP="002773AC">
      <w:pPr>
        <w:ind w:left="360"/>
        <w:jc w:val="both"/>
        <w:rPr>
          <w:sz w:val="22"/>
          <w:szCs w:val="22"/>
        </w:rPr>
      </w:pPr>
      <w:r w:rsidRPr="00082BFE">
        <w:rPr>
          <w:sz w:val="22"/>
          <w:szCs w:val="22"/>
        </w:rPr>
        <w:t>Ranitidín vo zvyčajných terapeutických dávkach nezosilňuje účinky liečiv, ktoré sú inaktivované týmto enzýmovým systémom, ako sú diazepam, lidokaín, fenytoín, propranolol a teofylín.</w:t>
      </w:r>
    </w:p>
    <w:p w:rsidR="003452D3" w:rsidRPr="00082BFE" w:rsidRDefault="003452D3" w:rsidP="002773AC">
      <w:pPr>
        <w:ind w:left="360"/>
        <w:jc w:val="both"/>
        <w:rPr>
          <w:sz w:val="22"/>
          <w:szCs w:val="22"/>
        </w:rPr>
      </w:pPr>
      <w:r w:rsidRPr="00082BFE">
        <w:rPr>
          <w:sz w:val="22"/>
          <w:szCs w:val="22"/>
        </w:rPr>
        <w:t>Pri užívaní kumarínových antikoagulancií (napr. warfarínu) boli hlásené zmeny protrombínového času. Kvôli zúženému terapeutickému indexu sa odporúča dôsledné sledovanie zvýšeného alebo zníženého protrombínového času počas súbežnej liečby s ranitidínom.</w:t>
      </w:r>
    </w:p>
    <w:p w:rsidR="003452D3" w:rsidRPr="00082BFE" w:rsidRDefault="003452D3" w:rsidP="002773AC">
      <w:pPr>
        <w:numPr>
          <w:ilvl w:val="0"/>
          <w:numId w:val="26"/>
        </w:numPr>
        <w:tabs>
          <w:tab w:val="clear" w:pos="720"/>
        </w:tabs>
        <w:ind w:left="360"/>
        <w:jc w:val="both"/>
        <w:rPr>
          <w:i/>
          <w:sz w:val="22"/>
          <w:szCs w:val="22"/>
        </w:rPr>
      </w:pPr>
      <w:r w:rsidRPr="00082BFE">
        <w:rPr>
          <w:i/>
          <w:sz w:val="22"/>
          <w:szCs w:val="22"/>
        </w:rPr>
        <w:t>kompetície o  renálnu tubulárnu sekréciu:</w:t>
      </w:r>
    </w:p>
    <w:p w:rsidR="003452D3" w:rsidRPr="00082BFE" w:rsidRDefault="003452D3" w:rsidP="002773AC">
      <w:pPr>
        <w:ind w:left="360"/>
        <w:jc w:val="both"/>
        <w:rPr>
          <w:sz w:val="22"/>
          <w:szCs w:val="22"/>
        </w:rPr>
      </w:pPr>
      <w:r w:rsidRPr="00082BFE">
        <w:rPr>
          <w:sz w:val="22"/>
          <w:szCs w:val="22"/>
        </w:rPr>
        <w:t>Keďže ranitidín sa čiastočne eliminuje katiónovým systémom, môže ovplyvniť klírens iných liečiv vylučovaných rovnakou cestou. Vysoké dávky ranitidínu (napr. ako sú tie, ktoré sa používajú pri liečbe Zollingerovho-Ellisonovho syndrómu) môžu znížiť vylučovanie prokaínamidu a N</w:t>
      </w:r>
      <w:r w:rsidRPr="00082BFE">
        <w:rPr>
          <w:sz w:val="22"/>
          <w:szCs w:val="22"/>
        </w:rPr>
        <w:noBreakHyphen/>
        <w:t>acetylprokaínamidu, čo vedie k zvýšeniu hladín týchto liečiv v plazme.</w:t>
      </w:r>
    </w:p>
    <w:p w:rsidR="003452D3" w:rsidRPr="00082BFE" w:rsidRDefault="003452D3" w:rsidP="00B05D71">
      <w:pPr>
        <w:numPr>
          <w:ilvl w:val="0"/>
          <w:numId w:val="26"/>
        </w:numPr>
        <w:tabs>
          <w:tab w:val="clear" w:pos="720"/>
          <w:tab w:val="num" w:pos="180"/>
        </w:tabs>
        <w:ind w:left="360"/>
        <w:jc w:val="both"/>
        <w:rPr>
          <w:i/>
          <w:sz w:val="22"/>
          <w:szCs w:val="22"/>
        </w:rPr>
      </w:pPr>
      <w:r w:rsidRPr="00082BFE">
        <w:rPr>
          <w:i/>
          <w:sz w:val="22"/>
          <w:szCs w:val="22"/>
        </w:rPr>
        <w:t>zmien pH žalúdka:</w:t>
      </w:r>
    </w:p>
    <w:p w:rsidR="003452D3" w:rsidRPr="00082BFE" w:rsidRDefault="003452D3" w:rsidP="00B05D71">
      <w:pPr>
        <w:ind w:left="360"/>
        <w:jc w:val="both"/>
        <w:rPr>
          <w:sz w:val="22"/>
          <w:szCs w:val="22"/>
        </w:rPr>
      </w:pPr>
      <w:r w:rsidRPr="00082BFE">
        <w:rPr>
          <w:sz w:val="22"/>
          <w:szCs w:val="22"/>
        </w:rPr>
        <w:t>Biologická dostupnosť určitých liečiv môže byť ovplyvnená. To môže viesť buď k zvýšeniu absorpcie (napr. triazolam, midazolam, glipizid) alebo zníženiu absorpcie (napr. ketokonazol, atazanavir, delaviridin, gefitinib).</w:t>
      </w:r>
    </w:p>
    <w:p w:rsidR="003452D3" w:rsidRPr="00082BFE" w:rsidRDefault="003452D3" w:rsidP="00B05D71">
      <w:pPr>
        <w:ind w:left="360"/>
        <w:jc w:val="both"/>
        <w:rPr>
          <w:sz w:val="22"/>
          <w:szCs w:val="22"/>
        </w:rPr>
      </w:pPr>
    </w:p>
    <w:p w:rsidR="003452D3" w:rsidRPr="00082BFE" w:rsidRDefault="003452D3" w:rsidP="006D1C00">
      <w:pPr>
        <w:ind w:left="360" w:hanging="360"/>
        <w:jc w:val="both"/>
        <w:rPr>
          <w:sz w:val="22"/>
          <w:szCs w:val="22"/>
        </w:rPr>
      </w:pPr>
      <w:r w:rsidRPr="00082BFE">
        <w:rPr>
          <w:sz w:val="22"/>
          <w:szCs w:val="22"/>
        </w:rPr>
        <w:t xml:space="preserve">Nie sú údaje o interakciách medzi ranitidínom a amoxicilínom a metronidazolom. </w:t>
      </w:r>
    </w:p>
    <w:p w:rsidR="003452D3" w:rsidRPr="00082BFE" w:rsidRDefault="003452D3" w:rsidP="008B06C1">
      <w:pPr>
        <w:jc w:val="both"/>
        <w:rPr>
          <w:sz w:val="22"/>
          <w:szCs w:val="22"/>
        </w:rPr>
      </w:pPr>
    </w:p>
    <w:p w:rsidR="003452D3" w:rsidRPr="00ED23F1" w:rsidRDefault="003452D3" w:rsidP="004A1015">
      <w:pPr>
        <w:numPr>
          <w:ilvl w:val="1"/>
          <w:numId w:val="2"/>
        </w:numPr>
        <w:tabs>
          <w:tab w:val="clear" w:pos="360"/>
          <w:tab w:val="num" w:pos="720"/>
        </w:tabs>
        <w:jc w:val="both"/>
        <w:rPr>
          <w:b/>
          <w:sz w:val="22"/>
          <w:szCs w:val="22"/>
        </w:rPr>
      </w:pPr>
      <w:r w:rsidRPr="00FF7493">
        <w:rPr>
          <w:b/>
          <w:sz w:val="22"/>
          <w:szCs w:val="22"/>
        </w:rPr>
        <w:t>Fertilita, gravidita a</w:t>
      </w:r>
      <w:r w:rsidRPr="00ED23F1">
        <w:rPr>
          <w:b/>
          <w:sz w:val="22"/>
          <w:szCs w:val="22"/>
        </w:rPr>
        <w:t> laktácia</w:t>
      </w:r>
    </w:p>
    <w:p w:rsidR="003452D3" w:rsidRPr="00082BFE" w:rsidRDefault="003452D3" w:rsidP="004A1015">
      <w:pPr>
        <w:jc w:val="both"/>
        <w:rPr>
          <w:b/>
          <w:sz w:val="22"/>
          <w:szCs w:val="22"/>
        </w:rPr>
      </w:pPr>
    </w:p>
    <w:p w:rsidR="003452D3" w:rsidRPr="00FF7493" w:rsidRDefault="003452D3" w:rsidP="004A1015">
      <w:pPr>
        <w:pStyle w:val="Nadpis5"/>
        <w:jc w:val="both"/>
        <w:rPr>
          <w:b w:val="0"/>
          <w:bCs/>
          <w:sz w:val="22"/>
          <w:szCs w:val="22"/>
          <w:u w:val="single"/>
        </w:rPr>
      </w:pPr>
      <w:r w:rsidRPr="00FF7493">
        <w:rPr>
          <w:b w:val="0"/>
          <w:bCs/>
          <w:sz w:val="22"/>
          <w:szCs w:val="22"/>
          <w:u w:val="single"/>
        </w:rPr>
        <w:t>Gravidita</w:t>
      </w:r>
    </w:p>
    <w:p w:rsidR="003452D3" w:rsidRPr="00082BFE" w:rsidRDefault="003452D3" w:rsidP="00716471">
      <w:pPr>
        <w:pStyle w:val="Nadpis5"/>
        <w:jc w:val="both"/>
        <w:rPr>
          <w:b w:val="0"/>
          <w:bCs/>
          <w:sz w:val="22"/>
          <w:szCs w:val="22"/>
        </w:rPr>
      </w:pPr>
      <w:r w:rsidRPr="00FF7493">
        <w:rPr>
          <w:b w:val="0"/>
          <w:bCs/>
          <w:sz w:val="22"/>
          <w:szCs w:val="22"/>
        </w:rPr>
        <w:t xml:space="preserve">Ranitidín prechádza placentou. Tak ako iné </w:t>
      </w:r>
      <w:r w:rsidRPr="00ED23F1">
        <w:rPr>
          <w:b w:val="0"/>
          <w:bCs/>
          <w:sz w:val="22"/>
          <w:szCs w:val="22"/>
        </w:rPr>
        <w:t>liečivá</w:t>
      </w:r>
      <w:r w:rsidRPr="00082BFE">
        <w:rPr>
          <w:b w:val="0"/>
          <w:bCs/>
          <w:sz w:val="22"/>
          <w:szCs w:val="22"/>
        </w:rPr>
        <w:t>, aj ranitidín sa môže používať počas gravidity len ak je to nevyhnutné.</w:t>
      </w:r>
    </w:p>
    <w:p w:rsidR="003452D3" w:rsidRPr="00FF7493" w:rsidRDefault="003452D3" w:rsidP="004A1015">
      <w:pPr>
        <w:pStyle w:val="Nadpis5"/>
        <w:jc w:val="both"/>
        <w:rPr>
          <w:b w:val="0"/>
          <w:bCs/>
          <w:sz w:val="22"/>
          <w:szCs w:val="22"/>
        </w:rPr>
      </w:pPr>
    </w:p>
    <w:p w:rsidR="003452D3" w:rsidRPr="00082BFE" w:rsidRDefault="003452D3" w:rsidP="004A1015">
      <w:pPr>
        <w:pStyle w:val="Nadpis5"/>
        <w:jc w:val="both"/>
        <w:rPr>
          <w:b w:val="0"/>
          <w:bCs/>
          <w:sz w:val="22"/>
          <w:szCs w:val="22"/>
          <w:u w:val="single"/>
        </w:rPr>
      </w:pPr>
      <w:r>
        <w:rPr>
          <w:b w:val="0"/>
          <w:bCs/>
          <w:sz w:val="22"/>
          <w:szCs w:val="22"/>
          <w:u w:val="single"/>
        </w:rPr>
        <w:t>Dojčenie</w:t>
      </w:r>
    </w:p>
    <w:p w:rsidR="003452D3" w:rsidRDefault="003452D3" w:rsidP="00716471">
      <w:pPr>
        <w:pStyle w:val="Nadpis5"/>
        <w:jc w:val="both"/>
        <w:rPr>
          <w:b w:val="0"/>
          <w:bCs/>
          <w:sz w:val="22"/>
          <w:szCs w:val="22"/>
        </w:rPr>
      </w:pPr>
      <w:r w:rsidRPr="00FF7493">
        <w:rPr>
          <w:b w:val="0"/>
          <w:bCs/>
          <w:sz w:val="22"/>
          <w:szCs w:val="22"/>
        </w:rPr>
        <w:t>Ranitidín sa vylučuje do materského mlieka u ľudí. Tak ako iné liečivá, aj ranitidín sa môže používať počas laktácie len ak je to nevyhnutné.</w:t>
      </w:r>
    </w:p>
    <w:p w:rsidR="003452D3" w:rsidRPr="004E2F7C" w:rsidRDefault="003452D3" w:rsidP="004E2F7C">
      <w:pPr>
        <w:rPr>
          <w:b/>
        </w:rPr>
      </w:pPr>
    </w:p>
    <w:p w:rsidR="003452D3" w:rsidRPr="00F97615" w:rsidRDefault="003452D3" w:rsidP="00ED23F1">
      <w:pPr>
        <w:pStyle w:val="Nadpis5"/>
        <w:jc w:val="both"/>
        <w:rPr>
          <w:b w:val="0"/>
          <w:bCs/>
          <w:sz w:val="22"/>
          <w:szCs w:val="22"/>
          <w:u w:val="single"/>
        </w:rPr>
      </w:pPr>
      <w:r w:rsidRPr="00F97615">
        <w:rPr>
          <w:b w:val="0"/>
          <w:bCs/>
          <w:sz w:val="22"/>
          <w:szCs w:val="22"/>
          <w:u w:val="single"/>
        </w:rPr>
        <w:t>Fertilita</w:t>
      </w:r>
    </w:p>
    <w:p w:rsidR="003452D3" w:rsidRPr="00F97615" w:rsidRDefault="003452D3" w:rsidP="00ED23F1">
      <w:pPr>
        <w:jc w:val="both"/>
        <w:rPr>
          <w:sz w:val="22"/>
          <w:szCs w:val="22"/>
        </w:rPr>
      </w:pPr>
      <w:r w:rsidRPr="00F97615">
        <w:rPr>
          <w:sz w:val="22"/>
          <w:szCs w:val="22"/>
        </w:rPr>
        <w:t xml:space="preserve">Nie sú k dispozícii údaje o vplyve ranitidínu na ľudskú fertilitu. V štúdiach na zvieratách </w:t>
      </w:r>
      <w:r w:rsidRPr="00082BFE">
        <w:rPr>
          <w:sz w:val="22"/>
          <w:szCs w:val="22"/>
        </w:rPr>
        <w:t>neboli dokázané žiadne vplyvy na samčiu a samičiu fertilitu.</w:t>
      </w:r>
      <w:r w:rsidRPr="00FF7493">
        <w:rPr>
          <w:sz w:val="22"/>
          <w:szCs w:val="22"/>
        </w:rPr>
        <w:t xml:space="preserve"> (pozri časť 5.3).</w:t>
      </w:r>
    </w:p>
    <w:p w:rsidR="003452D3" w:rsidRPr="004E2F7C" w:rsidRDefault="003452D3" w:rsidP="004E2F7C"/>
    <w:p w:rsidR="003452D3" w:rsidRPr="00ED23F1" w:rsidRDefault="003452D3" w:rsidP="004A1015">
      <w:pPr>
        <w:numPr>
          <w:ilvl w:val="1"/>
          <w:numId w:val="2"/>
        </w:numPr>
        <w:tabs>
          <w:tab w:val="clear" w:pos="360"/>
          <w:tab w:val="num" w:pos="720"/>
        </w:tabs>
        <w:jc w:val="both"/>
        <w:rPr>
          <w:b/>
          <w:bCs/>
          <w:sz w:val="22"/>
          <w:szCs w:val="22"/>
        </w:rPr>
      </w:pPr>
      <w:r w:rsidRPr="00ED23F1">
        <w:rPr>
          <w:b/>
          <w:sz w:val="22"/>
          <w:szCs w:val="22"/>
        </w:rPr>
        <w:t>Ovplyvnenie</w:t>
      </w:r>
      <w:r w:rsidRPr="00ED23F1">
        <w:rPr>
          <w:b/>
          <w:bCs/>
          <w:sz w:val="22"/>
          <w:szCs w:val="22"/>
        </w:rPr>
        <w:t xml:space="preserve"> schopnosti viesť vozidlá a obsluhovať stroje</w:t>
      </w:r>
    </w:p>
    <w:p w:rsidR="003452D3" w:rsidRPr="002B1FB5" w:rsidRDefault="003452D3" w:rsidP="004A1015">
      <w:pPr>
        <w:jc w:val="both"/>
        <w:rPr>
          <w:b/>
          <w:bCs/>
          <w:sz w:val="22"/>
          <w:szCs w:val="22"/>
        </w:rPr>
      </w:pPr>
    </w:p>
    <w:p w:rsidR="003452D3" w:rsidRPr="00FB23AC" w:rsidRDefault="003452D3" w:rsidP="004A1015">
      <w:pPr>
        <w:jc w:val="both"/>
        <w:rPr>
          <w:sz w:val="22"/>
          <w:szCs w:val="22"/>
        </w:rPr>
      </w:pPr>
      <w:r w:rsidRPr="000D7487">
        <w:rPr>
          <w:sz w:val="22"/>
          <w:szCs w:val="22"/>
        </w:rPr>
        <w:lastRenderedPageBreak/>
        <w:t>Nie sú známe významné účinky ranitidínu na psychomotorické schopnosti pacientov. Ak sa v individuálnych prípadoch vyskytne prechodná somno</w:t>
      </w:r>
      <w:r w:rsidRPr="00FB23AC">
        <w:rPr>
          <w:sz w:val="22"/>
          <w:szCs w:val="22"/>
        </w:rPr>
        <w:t>lencia, závraty a vertigo, pacienti nesmú viesť vozidlo ani obsluhovať stroj.</w:t>
      </w:r>
    </w:p>
    <w:p w:rsidR="003452D3" w:rsidRPr="00082BFE" w:rsidRDefault="003452D3" w:rsidP="004A1015">
      <w:pPr>
        <w:jc w:val="both"/>
        <w:rPr>
          <w:sz w:val="22"/>
          <w:szCs w:val="22"/>
        </w:rPr>
      </w:pPr>
    </w:p>
    <w:p w:rsidR="003452D3" w:rsidRPr="00082BFE" w:rsidRDefault="003452D3" w:rsidP="004A1015">
      <w:pPr>
        <w:numPr>
          <w:ilvl w:val="1"/>
          <w:numId w:val="2"/>
        </w:numPr>
        <w:tabs>
          <w:tab w:val="clear" w:pos="360"/>
          <w:tab w:val="num" w:pos="720"/>
        </w:tabs>
        <w:jc w:val="both"/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Nežiaduce účinky</w:t>
      </w:r>
    </w:p>
    <w:p w:rsidR="003452D3" w:rsidRPr="00FF7493" w:rsidRDefault="003452D3" w:rsidP="004A1015">
      <w:pPr>
        <w:jc w:val="both"/>
        <w:rPr>
          <w:b/>
          <w:sz w:val="22"/>
          <w:szCs w:val="22"/>
        </w:rPr>
      </w:pPr>
    </w:p>
    <w:p w:rsidR="003452D3" w:rsidRPr="00ED23F1" w:rsidRDefault="003452D3" w:rsidP="00821935">
      <w:pPr>
        <w:jc w:val="both"/>
        <w:rPr>
          <w:sz w:val="22"/>
          <w:szCs w:val="22"/>
        </w:rPr>
      </w:pPr>
      <w:r w:rsidRPr="00ED23F1">
        <w:rPr>
          <w:sz w:val="22"/>
          <w:szCs w:val="22"/>
        </w:rPr>
        <w:t xml:space="preserve">Na klasifikáciu nežiaducich účinkov bola použitá nasledujúca konvencia: </w:t>
      </w:r>
    </w:p>
    <w:p w:rsidR="003452D3" w:rsidRPr="00ED23F1" w:rsidRDefault="003452D3" w:rsidP="00821935">
      <w:pPr>
        <w:jc w:val="both"/>
        <w:rPr>
          <w:sz w:val="22"/>
          <w:szCs w:val="22"/>
        </w:rPr>
      </w:pPr>
      <w:r w:rsidRPr="00ED23F1">
        <w:rPr>
          <w:sz w:val="22"/>
          <w:szCs w:val="22"/>
        </w:rPr>
        <w:t>veľmi časté (≥1/10)</w:t>
      </w:r>
    </w:p>
    <w:p w:rsidR="003452D3" w:rsidRPr="00FF7493" w:rsidRDefault="003452D3" w:rsidP="00821935">
      <w:pPr>
        <w:jc w:val="both"/>
        <w:rPr>
          <w:sz w:val="22"/>
          <w:szCs w:val="22"/>
        </w:rPr>
      </w:pPr>
      <w:r w:rsidRPr="00ED23F1">
        <w:rPr>
          <w:sz w:val="22"/>
          <w:szCs w:val="22"/>
        </w:rPr>
        <w:t xml:space="preserve">časté (≥1/100 až </w:t>
      </w:r>
      <w:r w:rsidRPr="00082BFE">
        <w:rPr>
          <w:sz w:val="22"/>
          <w:szCs w:val="22"/>
        </w:rPr>
        <w:sym w:font="Symbol" w:char="F03C"/>
      </w:r>
      <w:r w:rsidRPr="00082BFE">
        <w:rPr>
          <w:sz w:val="22"/>
          <w:szCs w:val="22"/>
        </w:rPr>
        <w:t>1/10)</w:t>
      </w:r>
    </w:p>
    <w:p w:rsidR="003452D3" w:rsidRPr="00FF7493" w:rsidRDefault="003452D3" w:rsidP="00821935">
      <w:pPr>
        <w:jc w:val="both"/>
        <w:rPr>
          <w:sz w:val="22"/>
          <w:szCs w:val="22"/>
        </w:rPr>
      </w:pPr>
      <w:r w:rsidRPr="00FF7493">
        <w:rPr>
          <w:sz w:val="22"/>
          <w:szCs w:val="22"/>
        </w:rPr>
        <w:t xml:space="preserve">menej časté (≥1/1 000 až </w:t>
      </w:r>
      <w:r w:rsidRPr="00082BFE">
        <w:rPr>
          <w:sz w:val="22"/>
          <w:szCs w:val="22"/>
        </w:rPr>
        <w:sym w:font="Symbol" w:char="F03C"/>
      </w:r>
      <w:r w:rsidRPr="00082BFE">
        <w:rPr>
          <w:sz w:val="22"/>
          <w:szCs w:val="22"/>
        </w:rPr>
        <w:t>1/100)</w:t>
      </w:r>
    </w:p>
    <w:p w:rsidR="003452D3" w:rsidRPr="00FF7493" w:rsidRDefault="003452D3" w:rsidP="00821935">
      <w:pPr>
        <w:jc w:val="both"/>
        <w:rPr>
          <w:sz w:val="22"/>
          <w:szCs w:val="22"/>
        </w:rPr>
      </w:pPr>
      <w:r w:rsidRPr="00FF7493">
        <w:rPr>
          <w:sz w:val="22"/>
          <w:szCs w:val="22"/>
        </w:rPr>
        <w:t xml:space="preserve">zriedkavé (≥1/10 000 až </w:t>
      </w:r>
      <w:r w:rsidRPr="00082BFE">
        <w:rPr>
          <w:sz w:val="22"/>
          <w:szCs w:val="22"/>
        </w:rPr>
        <w:sym w:font="Symbol" w:char="F03C"/>
      </w:r>
      <w:r w:rsidRPr="00082BFE">
        <w:rPr>
          <w:sz w:val="22"/>
          <w:szCs w:val="22"/>
        </w:rPr>
        <w:t>1/1 000)</w:t>
      </w:r>
    </w:p>
    <w:p w:rsidR="003452D3" w:rsidRPr="00FF7493" w:rsidRDefault="003452D3" w:rsidP="00821935">
      <w:pPr>
        <w:jc w:val="both"/>
        <w:rPr>
          <w:sz w:val="22"/>
          <w:szCs w:val="22"/>
        </w:rPr>
      </w:pPr>
      <w:r w:rsidRPr="00FF7493">
        <w:rPr>
          <w:sz w:val="22"/>
          <w:szCs w:val="22"/>
        </w:rPr>
        <w:t>veľmi zriedkavé (</w:t>
      </w:r>
      <w:r w:rsidRPr="00082BFE">
        <w:rPr>
          <w:sz w:val="22"/>
          <w:szCs w:val="22"/>
        </w:rPr>
        <w:sym w:font="Symbol" w:char="F03C"/>
      </w:r>
      <w:r w:rsidRPr="00082BFE">
        <w:rPr>
          <w:sz w:val="22"/>
          <w:szCs w:val="22"/>
        </w:rPr>
        <w:t>1/10 000)</w:t>
      </w:r>
    </w:p>
    <w:p w:rsidR="003452D3" w:rsidRPr="00FF7493" w:rsidRDefault="003452D3" w:rsidP="00821935">
      <w:pPr>
        <w:jc w:val="both"/>
        <w:rPr>
          <w:sz w:val="22"/>
          <w:szCs w:val="22"/>
        </w:rPr>
      </w:pPr>
      <w:r w:rsidRPr="00FF7493">
        <w:rPr>
          <w:sz w:val="22"/>
          <w:szCs w:val="22"/>
        </w:rPr>
        <w:t>neznáme (z dostupných údajov).</w:t>
      </w:r>
    </w:p>
    <w:p w:rsidR="003452D3" w:rsidRPr="00ED23F1" w:rsidRDefault="003452D3" w:rsidP="00821935">
      <w:pPr>
        <w:jc w:val="both"/>
        <w:rPr>
          <w:sz w:val="22"/>
          <w:szCs w:val="22"/>
        </w:rPr>
      </w:pPr>
    </w:p>
    <w:p w:rsidR="003452D3" w:rsidRPr="00ED23F1" w:rsidRDefault="003452D3" w:rsidP="006D1C00">
      <w:pPr>
        <w:jc w:val="both"/>
        <w:rPr>
          <w:sz w:val="22"/>
          <w:szCs w:val="22"/>
        </w:rPr>
      </w:pPr>
      <w:r w:rsidRPr="00ED23F1">
        <w:rPr>
          <w:sz w:val="22"/>
          <w:szCs w:val="22"/>
        </w:rPr>
        <w:t>Frekvencia nežiaducich účinkov bola odhadnutá zo spontánnych hlásení v priebehu postmarketingového sledovania.</w:t>
      </w:r>
    </w:p>
    <w:p w:rsidR="003452D3" w:rsidRPr="00ED23F1" w:rsidRDefault="003452D3" w:rsidP="00821935">
      <w:pPr>
        <w:jc w:val="both"/>
        <w:rPr>
          <w:sz w:val="22"/>
          <w:szCs w:val="22"/>
        </w:rPr>
      </w:pPr>
    </w:p>
    <w:p w:rsidR="003452D3" w:rsidRPr="00ED23F1" w:rsidRDefault="003452D3" w:rsidP="00821935">
      <w:pPr>
        <w:jc w:val="both"/>
        <w:rPr>
          <w:b/>
          <w:sz w:val="22"/>
          <w:szCs w:val="22"/>
        </w:rPr>
      </w:pPr>
      <w:r w:rsidRPr="00ED23F1">
        <w:rPr>
          <w:b/>
          <w:sz w:val="22"/>
          <w:szCs w:val="22"/>
        </w:rPr>
        <w:t>Poruchy krvi a lymfatického systému</w:t>
      </w:r>
    </w:p>
    <w:p w:rsidR="003452D3" w:rsidRPr="00A404E3" w:rsidRDefault="003452D3" w:rsidP="00821935">
      <w:pPr>
        <w:jc w:val="both"/>
        <w:rPr>
          <w:sz w:val="22"/>
          <w:szCs w:val="22"/>
        </w:rPr>
      </w:pPr>
      <w:r w:rsidRPr="002B1FB5">
        <w:rPr>
          <w:i/>
          <w:sz w:val="22"/>
          <w:szCs w:val="22"/>
        </w:rPr>
        <w:t>Veľmi zriedkavé:</w:t>
      </w:r>
      <w:r w:rsidRPr="00A404E3">
        <w:rPr>
          <w:sz w:val="22"/>
          <w:szCs w:val="22"/>
        </w:rPr>
        <w:t xml:space="preserve"> zmeny krvného obrazu (leukocytopénia, trombocytopénia). Tieto sú zvyčajne reverzibilné. Agranulocytóza alebo pancytopénia, niekedy spojené s hypopláziou alebo apláziou kostnej drene.</w:t>
      </w:r>
    </w:p>
    <w:p w:rsidR="003452D3" w:rsidRPr="000D7487" w:rsidRDefault="003452D3" w:rsidP="00821935">
      <w:pPr>
        <w:jc w:val="both"/>
        <w:rPr>
          <w:sz w:val="22"/>
          <w:szCs w:val="22"/>
        </w:rPr>
      </w:pPr>
    </w:p>
    <w:p w:rsidR="003452D3" w:rsidRPr="00FB23AC" w:rsidRDefault="003452D3" w:rsidP="00821935">
      <w:pPr>
        <w:jc w:val="both"/>
        <w:rPr>
          <w:b/>
          <w:sz w:val="22"/>
          <w:szCs w:val="22"/>
        </w:rPr>
      </w:pPr>
      <w:r w:rsidRPr="00FB23AC">
        <w:rPr>
          <w:b/>
          <w:sz w:val="22"/>
          <w:szCs w:val="22"/>
        </w:rPr>
        <w:t>Poruchy imunitného systému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  <w:r w:rsidRPr="00082BFE">
        <w:rPr>
          <w:i/>
          <w:sz w:val="22"/>
          <w:szCs w:val="22"/>
        </w:rPr>
        <w:t>Zriedkavé</w:t>
      </w:r>
      <w:r w:rsidRPr="00082BFE">
        <w:rPr>
          <w:sz w:val="22"/>
          <w:szCs w:val="22"/>
        </w:rPr>
        <w:t>: hypersenzitívne reakcie (urtikária, angioneurotický edém, horúčka, bronchospazmus, hypotenzia a bolesť na hrudi)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  <w:r w:rsidRPr="00082BFE">
        <w:rPr>
          <w:i/>
          <w:sz w:val="22"/>
          <w:szCs w:val="22"/>
        </w:rPr>
        <w:t>Veľmi zriedkavé:</w:t>
      </w:r>
      <w:r w:rsidRPr="00082BFE">
        <w:rPr>
          <w:sz w:val="22"/>
          <w:szCs w:val="22"/>
        </w:rPr>
        <w:t xml:space="preserve"> anafylaktický šok</w:t>
      </w:r>
    </w:p>
    <w:p w:rsidR="003452D3" w:rsidRPr="00FF7493" w:rsidRDefault="003452D3" w:rsidP="00821935">
      <w:pPr>
        <w:jc w:val="both"/>
        <w:rPr>
          <w:sz w:val="22"/>
          <w:szCs w:val="22"/>
        </w:rPr>
      </w:pPr>
      <w:r w:rsidRPr="004E2F7C">
        <w:rPr>
          <w:i/>
          <w:sz w:val="22"/>
          <w:szCs w:val="22"/>
        </w:rPr>
        <w:t>Neznáme:</w:t>
      </w:r>
      <w:r w:rsidRPr="00082BFE">
        <w:rPr>
          <w:sz w:val="22"/>
          <w:szCs w:val="22"/>
        </w:rPr>
        <w:t xml:space="preserve"> dyspnoe</w:t>
      </w:r>
    </w:p>
    <w:p w:rsidR="003452D3" w:rsidRPr="00FF7493" w:rsidRDefault="003452D3" w:rsidP="00821935">
      <w:pPr>
        <w:jc w:val="both"/>
        <w:rPr>
          <w:sz w:val="22"/>
          <w:szCs w:val="22"/>
        </w:rPr>
      </w:pPr>
      <w:r w:rsidRPr="00FF7493">
        <w:rPr>
          <w:sz w:val="22"/>
          <w:szCs w:val="22"/>
        </w:rPr>
        <w:t>Tieto účinky boli hlásené po podaní jednorazovej dávky.</w:t>
      </w:r>
    </w:p>
    <w:p w:rsidR="003452D3" w:rsidRPr="00ED23F1" w:rsidRDefault="003452D3" w:rsidP="00821935">
      <w:pPr>
        <w:jc w:val="both"/>
        <w:rPr>
          <w:sz w:val="22"/>
          <w:szCs w:val="22"/>
        </w:rPr>
      </w:pPr>
    </w:p>
    <w:p w:rsidR="003452D3" w:rsidRPr="00ED23F1" w:rsidRDefault="003452D3" w:rsidP="00821935">
      <w:pPr>
        <w:jc w:val="both"/>
        <w:rPr>
          <w:b/>
          <w:sz w:val="22"/>
          <w:szCs w:val="22"/>
        </w:rPr>
      </w:pPr>
      <w:r w:rsidRPr="00ED23F1">
        <w:rPr>
          <w:b/>
          <w:sz w:val="22"/>
          <w:szCs w:val="22"/>
        </w:rPr>
        <w:t>Psychické poruchy</w:t>
      </w:r>
    </w:p>
    <w:p w:rsidR="003452D3" w:rsidRPr="00ED23F1" w:rsidRDefault="003452D3" w:rsidP="00821935">
      <w:pPr>
        <w:jc w:val="both"/>
        <w:rPr>
          <w:sz w:val="22"/>
          <w:szCs w:val="22"/>
        </w:rPr>
      </w:pPr>
      <w:r w:rsidRPr="00ED23F1">
        <w:rPr>
          <w:i/>
          <w:sz w:val="22"/>
          <w:szCs w:val="22"/>
        </w:rPr>
        <w:t>Veľmi zriedkavé:</w:t>
      </w:r>
      <w:r w:rsidRPr="00ED23F1">
        <w:rPr>
          <w:sz w:val="22"/>
          <w:szCs w:val="22"/>
        </w:rPr>
        <w:t xml:space="preserve"> reverzibilné stavy zmätenosti, depresia a halucinácie</w:t>
      </w:r>
    </w:p>
    <w:p w:rsidR="003452D3" w:rsidRPr="00ED23F1" w:rsidRDefault="003452D3" w:rsidP="00821935">
      <w:pPr>
        <w:jc w:val="both"/>
        <w:rPr>
          <w:sz w:val="22"/>
          <w:szCs w:val="22"/>
        </w:rPr>
      </w:pPr>
      <w:r w:rsidRPr="00ED23F1">
        <w:rPr>
          <w:sz w:val="22"/>
          <w:szCs w:val="22"/>
        </w:rPr>
        <w:t>Tieto boli hlásené prevažne u ťažko chorých, starších a pacientov s nefropatiou.</w:t>
      </w:r>
    </w:p>
    <w:p w:rsidR="003452D3" w:rsidRPr="00A404E3" w:rsidRDefault="003452D3" w:rsidP="00821935">
      <w:pPr>
        <w:jc w:val="both"/>
        <w:rPr>
          <w:sz w:val="22"/>
          <w:szCs w:val="22"/>
        </w:rPr>
      </w:pPr>
    </w:p>
    <w:p w:rsidR="003452D3" w:rsidRPr="000D7487" w:rsidRDefault="003452D3" w:rsidP="00821935">
      <w:pPr>
        <w:jc w:val="both"/>
        <w:rPr>
          <w:b/>
          <w:sz w:val="22"/>
          <w:szCs w:val="22"/>
        </w:rPr>
      </w:pPr>
      <w:r w:rsidRPr="000D7487">
        <w:rPr>
          <w:b/>
          <w:sz w:val="22"/>
          <w:szCs w:val="22"/>
        </w:rPr>
        <w:t>Poruchy nervového systému</w:t>
      </w:r>
    </w:p>
    <w:p w:rsidR="003452D3" w:rsidRPr="000D7487" w:rsidRDefault="003452D3" w:rsidP="00821935">
      <w:pPr>
        <w:jc w:val="both"/>
        <w:rPr>
          <w:sz w:val="22"/>
          <w:szCs w:val="22"/>
        </w:rPr>
      </w:pPr>
      <w:r w:rsidRPr="000D7487">
        <w:rPr>
          <w:i/>
          <w:sz w:val="22"/>
          <w:szCs w:val="22"/>
        </w:rPr>
        <w:t>Veľmi zriedkavé</w:t>
      </w:r>
      <w:r w:rsidRPr="000D7487">
        <w:rPr>
          <w:sz w:val="22"/>
          <w:szCs w:val="22"/>
        </w:rPr>
        <w:t>: bolesť hlavy (niekedy silná), závraty a reverzibilné mimovoľné pohyby</w:t>
      </w:r>
    </w:p>
    <w:p w:rsidR="003452D3" w:rsidRPr="00FB23AC" w:rsidRDefault="003452D3" w:rsidP="00821935">
      <w:pPr>
        <w:jc w:val="both"/>
        <w:rPr>
          <w:sz w:val="22"/>
          <w:szCs w:val="22"/>
        </w:rPr>
      </w:pPr>
    </w:p>
    <w:p w:rsidR="003452D3" w:rsidRPr="00082BFE" w:rsidRDefault="003452D3" w:rsidP="00821935">
      <w:pPr>
        <w:jc w:val="both"/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Poruchy oka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  <w:r w:rsidRPr="00082BFE">
        <w:rPr>
          <w:i/>
          <w:sz w:val="22"/>
          <w:szCs w:val="22"/>
        </w:rPr>
        <w:t>Veľmi zriedkavé:</w:t>
      </w:r>
      <w:r w:rsidRPr="00082BFE">
        <w:rPr>
          <w:sz w:val="22"/>
          <w:szCs w:val="22"/>
        </w:rPr>
        <w:t xml:space="preserve"> reverzibilné rozmazané videnie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  <w:r w:rsidRPr="00082BFE">
        <w:rPr>
          <w:sz w:val="22"/>
          <w:szCs w:val="22"/>
        </w:rPr>
        <w:t>Boli zaznamenané hlásenia rozmazaného videnia, ktoré naznačovali zmeny v akomodácii.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</w:p>
    <w:p w:rsidR="003452D3" w:rsidRPr="00082BFE" w:rsidRDefault="003452D3" w:rsidP="00821935">
      <w:pPr>
        <w:jc w:val="both"/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Poruchy srdca a srdcovej činnosti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  <w:r w:rsidRPr="00082BFE">
        <w:rPr>
          <w:i/>
          <w:sz w:val="22"/>
          <w:szCs w:val="22"/>
        </w:rPr>
        <w:t>Veľmi zriedkavé:</w:t>
      </w:r>
      <w:r w:rsidRPr="00082BFE">
        <w:rPr>
          <w:sz w:val="22"/>
          <w:szCs w:val="22"/>
        </w:rPr>
        <w:t xml:space="preserve"> bradykardia ako pri iných antagonistoch H</w:t>
      </w:r>
      <w:r w:rsidRPr="00082BFE">
        <w:rPr>
          <w:sz w:val="22"/>
          <w:szCs w:val="22"/>
          <w:vertAlign w:val="subscript"/>
        </w:rPr>
        <w:t>2</w:t>
      </w:r>
      <w:r w:rsidRPr="00082BFE">
        <w:rPr>
          <w:sz w:val="22"/>
          <w:szCs w:val="22"/>
        </w:rPr>
        <w:t xml:space="preserve"> receptorov, AV b</w:t>
      </w:r>
      <w:r w:rsidR="0023038B">
        <w:rPr>
          <w:sz w:val="22"/>
          <w:szCs w:val="22"/>
        </w:rPr>
        <w:t xml:space="preserve">lok a tachykardia, asystólia 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</w:p>
    <w:p w:rsidR="003452D3" w:rsidRPr="00082BFE" w:rsidRDefault="003452D3" w:rsidP="00821935">
      <w:pPr>
        <w:jc w:val="both"/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Poruchy ciev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  <w:r w:rsidRPr="00082BFE">
        <w:rPr>
          <w:i/>
          <w:sz w:val="22"/>
          <w:szCs w:val="22"/>
        </w:rPr>
        <w:t>Veľmi zriedkavé:</w:t>
      </w:r>
      <w:r w:rsidRPr="00082BFE">
        <w:rPr>
          <w:sz w:val="22"/>
          <w:szCs w:val="22"/>
        </w:rPr>
        <w:t xml:space="preserve"> Vaskulitída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</w:p>
    <w:p w:rsidR="003452D3" w:rsidRPr="00082BFE" w:rsidRDefault="003452D3" w:rsidP="00821935">
      <w:pPr>
        <w:jc w:val="both"/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 xml:space="preserve">Poruchy gastrointestinálneho traktu 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  <w:r w:rsidRPr="00082BFE">
        <w:rPr>
          <w:i/>
          <w:sz w:val="22"/>
          <w:szCs w:val="22"/>
        </w:rPr>
        <w:t>Menej časté:</w:t>
      </w:r>
      <w:r w:rsidRPr="00082BFE">
        <w:rPr>
          <w:sz w:val="22"/>
          <w:szCs w:val="22"/>
        </w:rPr>
        <w:t xml:space="preserve"> bolesť brucha, obstipácia, nauzea (tieto symptómy sa väčšinou zlepšili v priebehu liečby)</w:t>
      </w:r>
    </w:p>
    <w:p w:rsidR="003452D3" w:rsidRPr="00082BFE" w:rsidRDefault="003452D3" w:rsidP="00163DFF">
      <w:pPr>
        <w:jc w:val="both"/>
        <w:rPr>
          <w:sz w:val="22"/>
          <w:szCs w:val="22"/>
        </w:rPr>
      </w:pPr>
      <w:r w:rsidRPr="00082BFE">
        <w:rPr>
          <w:i/>
          <w:sz w:val="22"/>
          <w:szCs w:val="22"/>
        </w:rPr>
        <w:t>Veľmi zriedkavé:</w:t>
      </w:r>
      <w:r w:rsidRPr="00082BFE">
        <w:rPr>
          <w:sz w:val="22"/>
          <w:szCs w:val="22"/>
        </w:rPr>
        <w:t xml:space="preserve"> akútna pankreatitída, hnačka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</w:p>
    <w:p w:rsidR="003452D3" w:rsidRPr="00082BFE" w:rsidRDefault="003452D3" w:rsidP="00821935">
      <w:pPr>
        <w:jc w:val="both"/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Poruchy pečene a žlčových ciest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  <w:r w:rsidRPr="00082BFE">
        <w:rPr>
          <w:i/>
          <w:sz w:val="22"/>
          <w:szCs w:val="22"/>
        </w:rPr>
        <w:lastRenderedPageBreak/>
        <w:t>Zriedkavé:</w:t>
      </w:r>
      <w:r w:rsidRPr="00082BFE">
        <w:rPr>
          <w:sz w:val="22"/>
          <w:szCs w:val="22"/>
        </w:rPr>
        <w:t xml:space="preserve"> prechodné a reverzibilné zmeny hodnôt funkcie pečene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  <w:r w:rsidRPr="00082BFE">
        <w:rPr>
          <w:i/>
          <w:sz w:val="22"/>
          <w:szCs w:val="22"/>
        </w:rPr>
        <w:t>Veľmi zriedkavé:</w:t>
      </w:r>
      <w:r w:rsidRPr="00082BFE">
        <w:rPr>
          <w:sz w:val="22"/>
          <w:szCs w:val="22"/>
        </w:rPr>
        <w:t xml:space="preserve"> hepatitída (hepatocelulárna, hepatokanalikulárna alebo zmiešaná) spojená so žltačkou alebo bez nej, zvyčajne reverzibilné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</w:p>
    <w:p w:rsidR="003452D3" w:rsidRPr="00082BFE" w:rsidRDefault="003452D3" w:rsidP="00821935">
      <w:pPr>
        <w:jc w:val="both"/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Poruchy kože a podkožného tkaniva</w:t>
      </w:r>
    </w:p>
    <w:p w:rsidR="003452D3" w:rsidRPr="00082BFE" w:rsidRDefault="003452D3" w:rsidP="00821935">
      <w:pPr>
        <w:jc w:val="both"/>
        <w:rPr>
          <w:i/>
          <w:sz w:val="22"/>
          <w:szCs w:val="22"/>
        </w:rPr>
      </w:pPr>
      <w:r w:rsidRPr="00082BFE">
        <w:rPr>
          <w:i/>
          <w:sz w:val="22"/>
          <w:szCs w:val="22"/>
        </w:rPr>
        <w:t>Zriedkavé:</w:t>
      </w:r>
      <w:r w:rsidRPr="00082BFE">
        <w:rPr>
          <w:sz w:val="22"/>
          <w:szCs w:val="22"/>
        </w:rPr>
        <w:t xml:space="preserve"> kožná vyrážka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  <w:r w:rsidRPr="00082BFE">
        <w:rPr>
          <w:i/>
          <w:sz w:val="22"/>
          <w:szCs w:val="22"/>
        </w:rPr>
        <w:t>Veľmi zriedkavé:</w:t>
      </w:r>
      <w:r w:rsidRPr="00082BFE">
        <w:rPr>
          <w:sz w:val="22"/>
          <w:szCs w:val="22"/>
        </w:rPr>
        <w:t xml:space="preserve"> multiformný erytém, alopécia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</w:p>
    <w:p w:rsidR="003452D3" w:rsidRPr="00082BFE" w:rsidRDefault="003452D3" w:rsidP="00821935">
      <w:pPr>
        <w:jc w:val="both"/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Poruchy kostrovej a svalovej sústavy a spojivového tkaniva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  <w:r w:rsidRPr="00082BFE">
        <w:rPr>
          <w:i/>
          <w:sz w:val="22"/>
          <w:szCs w:val="22"/>
        </w:rPr>
        <w:t>Veľmi zriedkavé:</w:t>
      </w:r>
      <w:r w:rsidRPr="00082BFE">
        <w:rPr>
          <w:sz w:val="22"/>
          <w:szCs w:val="22"/>
        </w:rPr>
        <w:t xml:space="preserve"> kostrovosvalové symptómy, ako sú artralgia a myalgia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</w:p>
    <w:p w:rsidR="003452D3" w:rsidRPr="00082BFE" w:rsidRDefault="003452D3" w:rsidP="00821935">
      <w:pPr>
        <w:jc w:val="both"/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Poruchy obličiek a močových ciest</w:t>
      </w:r>
    </w:p>
    <w:p w:rsidR="003452D3" w:rsidRPr="00082BFE" w:rsidRDefault="003452D3" w:rsidP="00163DFF">
      <w:pPr>
        <w:jc w:val="both"/>
        <w:rPr>
          <w:sz w:val="22"/>
          <w:szCs w:val="22"/>
        </w:rPr>
      </w:pPr>
      <w:r w:rsidRPr="00082BFE">
        <w:rPr>
          <w:i/>
          <w:sz w:val="22"/>
          <w:szCs w:val="22"/>
        </w:rPr>
        <w:t>Zriedkavé:</w:t>
      </w:r>
      <w:r w:rsidRPr="00082BFE">
        <w:rPr>
          <w:sz w:val="22"/>
          <w:szCs w:val="22"/>
        </w:rPr>
        <w:t xml:space="preserve"> zvýšenie hodnôt kreatinínu v plazme (obvykle mierne, normalizované počas liečby)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  <w:r w:rsidRPr="00082BFE">
        <w:rPr>
          <w:i/>
          <w:sz w:val="22"/>
          <w:szCs w:val="22"/>
        </w:rPr>
        <w:t>Veľmi zriedkavé:</w:t>
      </w:r>
      <w:r w:rsidRPr="00082BFE">
        <w:rPr>
          <w:sz w:val="22"/>
          <w:szCs w:val="22"/>
        </w:rPr>
        <w:t xml:space="preserve"> akútna intersticiálna nefritída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</w:p>
    <w:p w:rsidR="003452D3" w:rsidRPr="00082BFE" w:rsidRDefault="003452D3" w:rsidP="00821935">
      <w:pPr>
        <w:jc w:val="both"/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Poruchy reprodukčného systému a prsníkov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  <w:r w:rsidRPr="00082BFE">
        <w:rPr>
          <w:i/>
          <w:sz w:val="22"/>
          <w:szCs w:val="22"/>
        </w:rPr>
        <w:t>Veľmi zriedkavé:</w:t>
      </w:r>
      <w:r w:rsidRPr="00082BFE">
        <w:rPr>
          <w:sz w:val="22"/>
          <w:szCs w:val="22"/>
        </w:rPr>
        <w:t xml:space="preserve"> reverzibilná impotencia, symptómy a stavy spojené s prsníkmi (ako gynekomastia a galaktorea)</w:t>
      </w:r>
    </w:p>
    <w:p w:rsidR="003452D3" w:rsidRPr="00082BFE" w:rsidRDefault="003452D3" w:rsidP="00821935">
      <w:pPr>
        <w:jc w:val="both"/>
        <w:rPr>
          <w:sz w:val="22"/>
          <w:szCs w:val="22"/>
        </w:rPr>
      </w:pPr>
    </w:p>
    <w:p w:rsidR="003452D3" w:rsidRPr="004E2F7C" w:rsidRDefault="003452D3" w:rsidP="00821935">
      <w:pPr>
        <w:jc w:val="both"/>
        <w:rPr>
          <w:i/>
          <w:sz w:val="22"/>
          <w:szCs w:val="22"/>
        </w:rPr>
      </w:pPr>
      <w:r w:rsidRPr="004E2F7C">
        <w:rPr>
          <w:i/>
          <w:sz w:val="22"/>
          <w:szCs w:val="22"/>
        </w:rPr>
        <w:t>Pediatrická populácia</w:t>
      </w:r>
    </w:p>
    <w:p w:rsidR="003452D3" w:rsidRDefault="003452D3" w:rsidP="00821935">
      <w:pPr>
        <w:jc w:val="both"/>
        <w:rPr>
          <w:sz w:val="22"/>
          <w:szCs w:val="22"/>
        </w:rPr>
      </w:pPr>
      <w:r w:rsidRPr="00082BFE">
        <w:rPr>
          <w:sz w:val="22"/>
          <w:szCs w:val="22"/>
        </w:rPr>
        <w:t xml:space="preserve">Bezpečnosť ranitidínu sa hodnotila u detí od 0 do 16 rokov v súvislosti </w:t>
      </w:r>
      <w:r>
        <w:rPr>
          <w:sz w:val="22"/>
          <w:szCs w:val="22"/>
        </w:rPr>
        <w:t>s acidózami</w:t>
      </w:r>
      <w:r w:rsidRPr="00082BFE">
        <w:rPr>
          <w:sz w:val="22"/>
          <w:szCs w:val="22"/>
        </w:rPr>
        <w:t> </w:t>
      </w:r>
      <w:r>
        <w:rPr>
          <w:sz w:val="22"/>
          <w:szCs w:val="22"/>
        </w:rPr>
        <w:t xml:space="preserve">a </w:t>
      </w:r>
      <w:r w:rsidRPr="00082BFE">
        <w:rPr>
          <w:sz w:val="22"/>
          <w:szCs w:val="22"/>
        </w:rPr>
        <w:t xml:space="preserve">vo všeobecnosti bol dobre tolerovaný, profil nežiaducich </w:t>
      </w:r>
      <w:r w:rsidRPr="00FF7493">
        <w:rPr>
          <w:sz w:val="22"/>
          <w:szCs w:val="22"/>
        </w:rPr>
        <w:t xml:space="preserve">účinkov bol podobný ako u dospelých. Dostupné údaje </w:t>
      </w:r>
      <w:r w:rsidRPr="00ED23F1">
        <w:rPr>
          <w:sz w:val="22"/>
          <w:szCs w:val="22"/>
        </w:rPr>
        <w:t>o dlhodobej bezpečnosti sú obmedzené, najmä týkajúce sa rastu a vývoja.</w:t>
      </w:r>
    </w:p>
    <w:p w:rsidR="003452D3" w:rsidRDefault="003452D3" w:rsidP="00821935">
      <w:pPr>
        <w:jc w:val="both"/>
        <w:rPr>
          <w:sz w:val="22"/>
          <w:szCs w:val="22"/>
        </w:rPr>
      </w:pPr>
    </w:p>
    <w:p w:rsidR="003452D3" w:rsidRPr="004E2F7C" w:rsidRDefault="003452D3" w:rsidP="00ED23F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4E2F7C">
        <w:rPr>
          <w:sz w:val="22"/>
          <w:szCs w:val="22"/>
          <w:u w:val="single"/>
        </w:rPr>
        <w:t>Hlásenie podozrení na nežiaduce reakcie</w:t>
      </w:r>
    </w:p>
    <w:p w:rsidR="003452D3" w:rsidRPr="00ED23F1" w:rsidRDefault="003452D3" w:rsidP="00ED23F1">
      <w:pPr>
        <w:jc w:val="both"/>
        <w:rPr>
          <w:sz w:val="22"/>
          <w:szCs w:val="22"/>
        </w:rPr>
      </w:pPr>
      <w:r w:rsidRPr="004E2F7C">
        <w:rPr>
          <w:sz w:val="22"/>
          <w:szCs w:val="22"/>
        </w:rPr>
        <w:t>Hlásenie podozrení na nežiaduce reakcie po registrácii lieku je dôležité. Umožňuje priebežné monitorovanie pomeru prínosu a</w:t>
      </w:r>
      <w:r w:rsidRPr="00F13525">
        <w:rPr>
          <w:sz w:val="22"/>
          <w:szCs w:val="22"/>
        </w:rPr>
        <w:t> </w:t>
      </w:r>
      <w:r w:rsidRPr="004E2F7C">
        <w:rPr>
          <w:sz w:val="22"/>
          <w:szCs w:val="22"/>
        </w:rPr>
        <w:t xml:space="preserve">rizika lieku. Od zdravotníckych pracovníkov sa vyžaduje, aby hlásili akékoľvek podozrenia na nežiaduce reakcie prostredníctvom </w:t>
      </w:r>
      <w:r w:rsidRPr="004E2F7C">
        <w:rPr>
          <w:sz w:val="22"/>
          <w:szCs w:val="22"/>
          <w:highlight w:val="lightGray"/>
        </w:rPr>
        <w:t>národného systému hlásenia uvedeného v</w:t>
      </w:r>
      <w:r w:rsidRPr="00F13525">
        <w:rPr>
          <w:sz w:val="22"/>
          <w:szCs w:val="22"/>
          <w:highlight w:val="lightGray"/>
        </w:rPr>
        <w:t> </w:t>
      </w:r>
      <w:hyperlink r:id="rId7" w:history="1">
        <w:r w:rsidRPr="004E2F7C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4E2F7C">
        <w:rPr>
          <w:sz w:val="22"/>
          <w:szCs w:val="22"/>
          <w:highlight w:val="lightGray"/>
        </w:rPr>
        <w:t>.</w:t>
      </w:r>
    </w:p>
    <w:p w:rsidR="003452D3" w:rsidRPr="00ED23F1" w:rsidRDefault="003452D3" w:rsidP="000F2AE1">
      <w:pPr>
        <w:jc w:val="both"/>
        <w:rPr>
          <w:sz w:val="22"/>
          <w:szCs w:val="22"/>
        </w:rPr>
      </w:pPr>
    </w:p>
    <w:p w:rsidR="003452D3" w:rsidRPr="00ED23F1" w:rsidRDefault="003452D3" w:rsidP="000F2AE1">
      <w:pPr>
        <w:numPr>
          <w:ilvl w:val="1"/>
          <w:numId w:val="2"/>
        </w:numPr>
        <w:tabs>
          <w:tab w:val="clear" w:pos="360"/>
          <w:tab w:val="num" w:pos="720"/>
        </w:tabs>
        <w:rPr>
          <w:b/>
          <w:sz w:val="22"/>
          <w:szCs w:val="22"/>
        </w:rPr>
      </w:pPr>
      <w:r w:rsidRPr="00ED23F1">
        <w:rPr>
          <w:b/>
          <w:sz w:val="22"/>
          <w:szCs w:val="22"/>
        </w:rPr>
        <w:t>Predávkovanie</w:t>
      </w:r>
    </w:p>
    <w:p w:rsidR="003452D3" w:rsidRPr="002B1FB5" w:rsidRDefault="003452D3" w:rsidP="000F2AE1">
      <w:pPr>
        <w:rPr>
          <w:b/>
          <w:sz w:val="22"/>
          <w:szCs w:val="22"/>
        </w:rPr>
      </w:pPr>
    </w:p>
    <w:p w:rsidR="003452D3" w:rsidRPr="00A404E3" w:rsidRDefault="003452D3" w:rsidP="00821935">
      <w:pPr>
        <w:jc w:val="both"/>
        <w:rPr>
          <w:sz w:val="22"/>
          <w:szCs w:val="22"/>
          <w:u w:val="single"/>
        </w:rPr>
      </w:pPr>
      <w:r w:rsidRPr="00A404E3">
        <w:rPr>
          <w:sz w:val="22"/>
          <w:szCs w:val="22"/>
          <w:u w:val="single"/>
        </w:rPr>
        <w:t>Symptómy a znaky</w:t>
      </w:r>
    </w:p>
    <w:p w:rsidR="003452D3" w:rsidRPr="000D7487" w:rsidRDefault="003452D3" w:rsidP="00821935">
      <w:pPr>
        <w:jc w:val="both"/>
        <w:rPr>
          <w:sz w:val="22"/>
          <w:szCs w:val="22"/>
        </w:rPr>
      </w:pPr>
      <w:r w:rsidRPr="000D7487">
        <w:rPr>
          <w:sz w:val="22"/>
          <w:szCs w:val="22"/>
        </w:rPr>
        <w:t>Ranitidín má veľmi špecifický účinok a po predávkovaní s liekmi obsahujúcimi ranitidín sa neočakávajú žiadne špecifické ťažkosti.</w:t>
      </w:r>
    </w:p>
    <w:p w:rsidR="003452D3" w:rsidRPr="00FB23AC" w:rsidRDefault="003452D3" w:rsidP="00821935">
      <w:pPr>
        <w:jc w:val="both"/>
        <w:rPr>
          <w:sz w:val="22"/>
          <w:szCs w:val="22"/>
          <w:u w:val="single"/>
        </w:rPr>
      </w:pPr>
      <w:r w:rsidRPr="00FB23AC">
        <w:rPr>
          <w:sz w:val="22"/>
          <w:szCs w:val="22"/>
          <w:u w:val="single"/>
        </w:rPr>
        <w:t>Liečba</w:t>
      </w:r>
    </w:p>
    <w:p w:rsidR="003452D3" w:rsidRPr="00FB23AC" w:rsidRDefault="003452D3" w:rsidP="00821935">
      <w:pPr>
        <w:jc w:val="both"/>
        <w:rPr>
          <w:sz w:val="22"/>
          <w:szCs w:val="22"/>
        </w:rPr>
      </w:pPr>
      <w:r w:rsidRPr="00FB23AC">
        <w:rPr>
          <w:sz w:val="22"/>
          <w:szCs w:val="22"/>
        </w:rPr>
        <w:t xml:space="preserve">Má sa začať so symptomatickou a podpornou liečbou, ak je to vhodné. </w:t>
      </w:r>
    </w:p>
    <w:p w:rsidR="003452D3" w:rsidRPr="00082BFE" w:rsidRDefault="003452D3" w:rsidP="000F2AE1">
      <w:pPr>
        <w:pStyle w:val="Zkladntext3"/>
        <w:spacing w:before="0" w:after="0"/>
        <w:rPr>
          <w:rFonts w:ascii="Times New Roman" w:hAnsi="Times New Roman"/>
          <w:sz w:val="22"/>
          <w:szCs w:val="22"/>
        </w:rPr>
      </w:pPr>
      <w:r w:rsidRPr="00082BFE">
        <w:rPr>
          <w:rFonts w:ascii="Times New Roman" w:hAnsi="Times New Roman"/>
          <w:sz w:val="22"/>
          <w:szCs w:val="22"/>
        </w:rPr>
        <w:t xml:space="preserve">Hemodialýza urýchli elimináciu ranitidínu z organizmu. </w:t>
      </w:r>
    </w:p>
    <w:p w:rsidR="003452D3" w:rsidRPr="00082BFE" w:rsidRDefault="003452D3" w:rsidP="000F2AE1">
      <w:pPr>
        <w:pStyle w:val="Zkladntext3"/>
        <w:spacing w:before="0" w:after="0"/>
        <w:rPr>
          <w:rFonts w:ascii="Times New Roman" w:hAnsi="Times New Roman"/>
          <w:sz w:val="22"/>
          <w:szCs w:val="22"/>
        </w:rPr>
      </w:pPr>
    </w:p>
    <w:p w:rsidR="003452D3" w:rsidRPr="00082BFE" w:rsidRDefault="003452D3" w:rsidP="000F2AE1">
      <w:pPr>
        <w:pStyle w:val="Zkladntext3"/>
        <w:spacing w:before="0" w:after="0"/>
        <w:rPr>
          <w:rFonts w:ascii="Times New Roman" w:hAnsi="Times New Roman"/>
          <w:sz w:val="22"/>
          <w:szCs w:val="22"/>
        </w:rPr>
      </w:pPr>
    </w:p>
    <w:p w:rsidR="003452D3" w:rsidRPr="00082BFE" w:rsidRDefault="003452D3" w:rsidP="000F2AE1">
      <w:pPr>
        <w:pStyle w:val="Nadpis6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szCs w:val="22"/>
        </w:rPr>
      </w:pPr>
      <w:r w:rsidRPr="00082BFE">
        <w:rPr>
          <w:rFonts w:ascii="Times New Roman" w:hAnsi="Times New Roman"/>
          <w:sz w:val="22"/>
          <w:szCs w:val="22"/>
        </w:rPr>
        <w:t>5.</w:t>
      </w:r>
      <w:r w:rsidRPr="00082BFE">
        <w:rPr>
          <w:rFonts w:ascii="Times New Roman" w:hAnsi="Times New Roman"/>
          <w:sz w:val="22"/>
          <w:szCs w:val="22"/>
        </w:rPr>
        <w:tab/>
        <w:t>FARMAKOLOGICKÉ VLASTNOSTI</w:t>
      </w:r>
    </w:p>
    <w:p w:rsidR="003452D3" w:rsidRPr="00082BFE" w:rsidRDefault="003452D3" w:rsidP="000F2AE1">
      <w:pPr>
        <w:rPr>
          <w:sz w:val="22"/>
          <w:szCs w:val="22"/>
        </w:rPr>
      </w:pPr>
    </w:p>
    <w:p w:rsidR="003452D3" w:rsidRPr="00082BFE" w:rsidRDefault="003452D3" w:rsidP="000F2AE1">
      <w:pPr>
        <w:numPr>
          <w:ilvl w:val="1"/>
          <w:numId w:val="3"/>
        </w:numPr>
        <w:tabs>
          <w:tab w:val="clear" w:pos="360"/>
          <w:tab w:val="num" w:pos="720"/>
        </w:tabs>
        <w:ind w:left="357" w:hanging="357"/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Farmakodynamické vlastnosti</w:t>
      </w:r>
    </w:p>
    <w:p w:rsidR="003452D3" w:rsidRPr="00082BFE" w:rsidRDefault="003452D3" w:rsidP="000F2AE1">
      <w:pPr>
        <w:tabs>
          <w:tab w:val="num" w:pos="1440"/>
        </w:tabs>
        <w:rPr>
          <w:b/>
          <w:sz w:val="22"/>
          <w:szCs w:val="22"/>
        </w:rPr>
      </w:pPr>
    </w:p>
    <w:p w:rsidR="003452D3" w:rsidRPr="00FF7493" w:rsidRDefault="003452D3" w:rsidP="000F2AE1">
      <w:pPr>
        <w:pStyle w:val="Nadpis1"/>
        <w:ind w:left="0"/>
        <w:rPr>
          <w:bCs/>
          <w:i w:val="0"/>
          <w:iCs w:val="0"/>
          <w:sz w:val="22"/>
          <w:szCs w:val="22"/>
        </w:rPr>
      </w:pPr>
      <w:r w:rsidRPr="004E2F7C">
        <w:rPr>
          <w:bCs/>
          <w:i w:val="0"/>
          <w:sz w:val="22"/>
          <w:szCs w:val="22"/>
        </w:rPr>
        <w:t>Farmakoterapeutická skupina:</w:t>
      </w:r>
      <w:r w:rsidRPr="004E2F7C">
        <w:rPr>
          <w:bCs/>
          <w:i w:val="0"/>
          <w:iCs w:val="0"/>
          <w:sz w:val="22"/>
          <w:szCs w:val="22"/>
        </w:rPr>
        <w:t xml:space="preserve"> </w:t>
      </w:r>
      <w:r w:rsidRPr="0073022F">
        <w:rPr>
          <w:bCs/>
          <w:i w:val="0"/>
          <w:iCs w:val="0"/>
          <w:sz w:val="22"/>
          <w:szCs w:val="22"/>
        </w:rPr>
        <w:t>Liečivá pri poruchách acidity</w:t>
      </w:r>
      <w:r>
        <w:rPr>
          <w:bCs/>
          <w:i w:val="0"/>
          <w:iCs w:val="0"/>
          <w:sz w:val="22"/>
          <w:szCs w:val="22"/>
        </w:rPr>
        <w:t>, a</w:t>
      </w:r>
      <w:r w:rsidRPr="0073022F">
        <w:rPr>
          <w:bCs/>
          <w:i w:val="0"/>
          <w:iCs w:val="0"/>
          <w:sz w:val="22"/>
          <w:szCs w:val="22"/>
        </w:rPr>
        <w:t>ntagonisty H2-receptorov</w:t>
      </w:r>
    </w:p>
    <w:p w:rsidR="003452D3" w:rsidRPr="00FF7493" w:rsidRDefault="003452D3" w:rsidP="000F2AE1">
      <w:pPr>
        <w:jc w:val="both"/>
        <w:rPr>
          <w:bCs/>
          <w:sz w:val="22"/>
          <w:szCs w:val="22"/>
        </w:rPr>
      </w:pPr>
      <w:r w:rsidRPr="004E2F7C">
        <w:rPr>
          <w:bCs/>
          <w:iCs/>
          <w:position w:val="2"/>
          <w:sz w:val="22"/>
          <w:szCs w:val="22"/>
        </w:rPr>
        <w:t>ATC kód</w:t>
      </w:r>
      <w:r w:rsidRPr="004E2F7C">
        <w:rPr>
          <w:bCs/>
          <w:position w:val="2"/>
          <w:sz w:val="22"/>
          <w:szCs w:val="22"/>
        </w:rPr>
        <w:t>:</w:t>
      </w:r>
      <w:r w:rsidRPr="00082BFE">
        <w:rPr>
          <w:b/>
          <w:bCs/>
          <w:position w:val="2"/>
          <w:sz w:val="22"/>
          <w:szCs w:val="22"/>
        </w:rPr>
        <w:t xml:space="preserve"> </w:t>
      </w:r>
      <w:r w:rsidRPr="00FF7493">
        <w:rPr>
          <w:bCs/>
          <w:sz w:val="22"/>
          <w:szCs w:val="22"/>
        </w:rPr>
        <w:t>A02BA02</w:t>
      </w:r>
    </w:p>
    <w:p w:rsidR="003452D3" w:rsidRPr="00FF7493" w:rsidRDefault="003452D3" w:rsidP="000F2AE1">
      <w:pPr>
        <w:jc w:val="both"/>
        <w:rPr>
          <w:bCs/>
          <w:sz w:val="22"/>
          <w:szCs w:val="22"/>
        </w:rPr>
      </w:pPr>
    </w:p>
    <w:p w:rsidR="003452D3" w:rsidRPr="00082BFE" w:rsidRDefault="003452D3" w:rsidP="00AE342F">
      <w:pPr>
        <w:jc w:val="both"/>
        <w:rPr>
          <w:bCs/>
          <w:sz w:val="22"/>
          <w:szCs w:val="22"/>
        </w:rPr>
      </w:pPr>
      <w:r w:rsidRPr="00FF7493">
        <w:rPr>
          <w:bCs/>
          <w:sz w:val="22"/>
          <w:szCs w:val="22"/>
        </w:rPr>
        <w:t xml:space="preserve">Ranitidín je </w:t>
      </w:r>
      <w:r w:rsidRPr="00ED23F1">
        <w:rPr>
          <w:bCs/>
          <w:sz w:val="22"/>
          <w:szCs w:val="22"/>
        </w:rPr>
        <w:t>špecifický, rýchlo pôsobiaci antagonista H</w:t>
      </w:r>
      <w:r w:rsidRPr="00ED23F1">
        <w:rPr>
          <w:bCs/>
          <w:sz w:val="22"/>
          <w:szCs w:val="22"/>
          <w:vertAlign w:val="subscript"/>
        </w:rPr>
        <w:t>2</w:t>
      </w:r>
      <w:r w:rsidRPr="00ED23F1">
        <w:rPr>
          <w:bCs/>
          <w:sz w:val="22"/>
          <w:szCs w:val="22"/>
        </w:rPr>
        <w:t xml:space="preserve">-receptorov v sliznici žalúdka. Inhibuje bazálnu dennú aj nočnú </w:t>
      </w:r>
      <w:r w:rsidRPr="00A404E3">
        <w:rPr>
          <w:bCs/>
          <w:sz w:val="22"/>
          <w:szCs w:val="22"/>
        </w:rPr>
        <w:t>sekréciu žalúdočnej kyseliny rovnako ako aj potravou, inzulínom, aminokyselinami, histamínom a pentagastrínom stimulovanú sekréciu žalúdo</w:t>
      </w:r>
      <w:r w:rsidRPr="000D7487">
        <w:rPr>
          <w:bCs/>
          <w:sz w:val="22"/>
          <w:szCs w:val="22"/>
        </w:rPr>
        <w:t xml:space="preserve">čnej kyseliny. Na molekulovej úrovni sa </w:t>
      </w:r>
      <w:r w:rsidRPr="000D7487">
        <w:rPr>
          <w:bCs/>
          <w:sz w:val="22"/>
          <w:szCs w:val="22"/>
        </w:rPr>
        <w:lastRenderedPageBreak/>
        <w:t>pre</w:t>
      </w:r>
      <w:r w:rsidRPr="00FB23AC">
        <w:rPr>
          <w:bCs/>
          <w:sz w:val="22"/>
          <w:szCs w:val="22"/>
        </w:rPr>
        <w:t>ukázalo, že ranitidín je 3- až 13-násobne účinnejší inhibítor stimulovanej sekrécie žalúdo</w:t>
      </w:r>
      <w:r w:rsidRPr="00082BFE">
        <w:rPr>
          <w:bCs/>
          <w:sz w:val="22"/>
          <w:szCs w:val="22"/>
        </w:rPr>
        <w:t>čnej kyseliny ako cimetidín.</w:t>
      </w:r>
    </w:p>
    <w:p w:rsidR="003452D3" w:rsidRPr="00082BFE" w:rsidRDefault="003452D3" w:rsidP="00AE342F">
      <w:pPr>
        <w:jc w:val="both"/>
        <w:rPr>
          <w:bCs/>
          <w:sz w:val="22"/>
          <w:szCs w:val="22"/>
        </w:rPr>
      </w:pPr>
      <w:r w:rsidRPr="00082BFE">
        <w:rPr>
          <w:bCs/>
          <w:sz w:val="22"/>
          <w:szCs w:val="22"/>
        </w:rPr>
        <w:t xml:space="preserve">Ranitidín neovplyvňuje sekréciu pepsínu. Celkové množstvo vylúčeného pepsínu je znížené úmerne s poklesom objemu žalúdočných štiav. </w:t>
      </w:r>
    </w:p>
    <w:p w:rsidR="003452D3" w:rsidRPr="002B1FB5" w:rsidRDefault="003452D3" w:rsidP="00AE342F">
      <w:pPr>
        <w:jc w:val="both"/>
        <w:rPr>
          <w:bCs/>
          <w:sz w:val="22"/>
          <w:szCs w:val="22"/>
        </w:rPr>
      </w:pPr>
      <w:r w:rsidRPr="00082BFE">
        <w:rPr>
          <w:bCs/>
          <w:sz w:val="22"/>
          <w:szCs w:val="22"/>
        </w:rPr>
        <w:t>Ranitidín neznižuje hladinu kalcia v sére pri hyperkalciémii a nemá ani anticholinergn</w:t>
      </w:r>
      <w:r>
        <w:rPr>
          <w:bCs/>
          <w:sz w:val="22"/>
          <w:szCs w:val="22"/>
        </w:rPr>
        <w:t>ý</w:t>
      </w:r>
      <w:r w:rsidRPr="002B1FB5">
        <w:rPr>
          <w:bCs/>
          <w:sz w:val="22"/>
          <w:szCs w:val="22"/>
        </w:rPr>
        <w:t xml:space="preserve"> účinok.</w:t>
      </w:r>
    </w:p>
    <w:p w:rsidR="003452D3" w:rsidRPr="00A404E3" w:rsidRDefault="003452D3" w:rsidP="000F2AE1">
      <w:pPr>
        <w:jc w:val="both"/>
        <w:rPr>
          <w:bCs/>
          <w:sz w:val="22"/>
          <w:szCs w:val="22"/>
        </w:rPr>
      </w:pPr>
    </w:p>
    <w:p w:rsidR="003452D3" w:rsidRPr="004E2F7C" w:rsidRDefault="003452D3" w:rsidP="000F2AE1">
      <w:pPr>
        <w:jc w:val="both"/>
        <w:rPr>
          <w:bCs/>
          <w:i/>
          <w:sz w:val="22"/>
          <w:szCs w:val="22"/>
        </w:rPr>
      </w:pPr>
      <w:r w:rsidRPr="004E2F7C">
        <w:rPr>
          <w:bCs/>
          <w:i/>
          <w:sz w:val="22"/>
          <w:szCs w:val="22"/>
        </w:rPr>
        <w:t>Pediatrická populácia</w:t>
      </w:r>
    </w:p>
    <w:p w:rsidR="003452D3" w:rsidRPr="00082BFE" w:rsidRDefault="003452D3" w:rsidP="00A21734">
      <w:pPr>
        <w:jc w:val="both"/>
        <w:rPr>
          <w:bCs/>
          <w:sz w:val="22"/>
          <w:szCs w:val="22"/>
        </w:rPr>
      </w:pPr>
      <w:r w:rsidRPr="00FB23AC">
        <w:rPr>
          <w:bCs/>
          <w:sz w:val="22"/>
          <w:szCs w:val="22"/>
        </w:rPr>
        <w:t>Dostupné klinické údaje uvádzajú použitie ranitidínu u detí pri prevencii vzniku stresových vredov. Žiadny priamy dôkaz o pre</w:t>
      </w:r>
      <w:r w:rsidRPr="00082BFE">
        <w:rPr>
          <w:bCs/>
          <w:sz w:val="22"/>
          <w:szCs w:val="22"/>
        </w:rPr>
        <w:t>vencii vzniku stresových vredov nie je k dispozícii. Liečba týchto pacientov je založená na poznatku, že hodnota pH po podaní ranitidínu je nižšia ako 4. Hodnotu tohto náhradného parametra u detí so stresovými vredmi je ešte potrebné stanoviť.</w:t>
      </w:r>
    </w:p>
    <w:p w:rsidR="003452D3" w:rsidRPr="00082BFE" w:rsidRDefault="003452D3" w:rsidP="000F2AE1">
      <w:pPr>
        <w:jc w:val="both"/>
        <w:rPr>
          <w:bCs/>
          <w:sz w:val="22"/>
          <w:szCs w:val="22"/>
        </w:rPr>
      </w:pPr>
    </w:p>
    <w:p w:rsidR="003452D3" w:rsidRPr="00082BFE" w:rsidRDefault="003452D3" w:rsidP="000F2AE1">
      <w:pPr>
        <w:numPr>
          <w:ilvl w:val="1"/>
          <w:numId w:val="3"/>
        </w:numPr>
        <w:tabs>
          <w:tab w:val="clear" w:pos="360"/>
          <w:tab w:val="num" w:pos="720"/>
        </w:tabs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Farmakokinetické vlastnosti</w:t>
      </w:r>
    </w:p>
    <w:p w:rsidR="003452D3" w:rsidRPr="00082BFE" w:rsidRDefault="003452D3" w:rsidP="00A504EE">
      <w:pPr>
        <w:rPr>
          <w:b/>
          <w:sz w:val="22"/>
          <w:szCs w:val="22"/>
        </w:rPr>
      </w:pPr>
    </w:p>
    <w:p w:rsidR="003452D3" w:rsidRPr="00082BFE" w:rsidRDefault="003452D3" w:rsidP="00E72D96">
      <w:pPr>
        <w:jc w:val="both"/>
        <w:rPr>
          <w:bCs/>
          <w:sz w:val="22"/>
          <w:szCs w:val="22"/>
          <w:u w:val="single"/>
        </w:rPr>
      </w:pPr>
      <w:r w:rsidRPr="00082BFE">
        <w:rPr>
          <w:bCs/>
          <w:sz w:val="22"/>
          <w:szCs w:val="22"/>
          <w:u w:val="single"/>
        </w:rPr>
        <w:t>Absorpcia</w:t>
      </w:r>
    </w:p>
    <w:p w:rsidR="003452D3" w:rsidRPr="00082BFE" w:rsidRDefault="003452D3" w:rsidP="00E72D96">
      <w:pPr>
        <w:jc w:val="both"/>
        <w:rPr>
          <w:bCs/>
          <w:sz w:val="22"/>
          <w:szCs w:val="22"/>
        </w:rPr>
      </w:pPr>
      <w:r w:rsidRPr="00082BFE">
        <w:rPr>
          <w:bCs/>
          <w:sz w:val="22"/>
          <w:szCs w:val="22"/>
        </w:rPr>
        <w:t>Absorpcia ranitidínu po intramuskulárnej injekcii prebieha rýchlo a maximálne koncentrácie v plazme sa zvyčajne dosiahnu v priebehu 15 minút po podaní.</w:t>
      </w:r>
    </w:p>
    <w:p w:rsidR="003452D3" w:rsidRPr="004E2F7C" w:rsidRDefault="003452D3" w:rsidP="00E72D96">
      <w:pPr>
        <w:jc w:val="both"/>
        <w:rPr>
          <w:bCs/>
          <w:sz w:val="22"/>
          <w:szCs w:val="22"/>
          <w:highlight w:val="yellow"/>
        </w:rPr>
      </w:pPr>
    </w:p>
    <w:p w:rsidR="003452D3" w:rsidRPr="00082BFE" w:rsidRDefault="003452D3" w:rsidP="00E72D96">
      <w:pPr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Biotransformácia</w:t>
      </w:r>
    </w:p>
    <w:p w:rsidR="003452D3" w:rsidRPr="00FF7493" w:rsidRDefault="003452D3" w:rsidP="00E72D96">
      <w:pPr>
        <w:pStyle w:val="Zkladntext2"/>
        <w:rPr>
          <w:bCs/>
          <w:sz w:val="22"/>
          <w:szCs w:val="22"/>
        </w:rPr>
      </w:pPr>
      <w:r w:rsidRPr="00FF7493">
        <w:rPr>
          <w:bCs/>
          <w:sz w:val="22"/>
          <w:szCs w:val="22"/>
        </w:rPr>
        <w:t>Ranitidín sa metabolizuje v</w:t>
      </w:r>
      <w:r w:rsidRPr="00F13525">
        <w:rPr>
          <w:bCs/>
          <w:sz w:val="22"/>
          <w:szCs w:val="22"/>
        </w:rPr>
        <w:t> </w:t>
      </w:r>
      <w:r w:rsidRPr="004E2F7C">
        <w:rPr>
          <w:bCs/>
          <w:sz w:val="22"/>
          <w:szCs w:val="22"/>
        </w:rPr>
        <w:t xml:space="preserve">malej </w:t>
      </w:r>
      <w:r w:rsidRPr="00FF7493">
        <w:rPr>
          <w:bCs/>
          <w:sz w:val="22"/>
          <w:szCs w:val="22"/>
        </w:rPr>
        <w:t xml:space="preserve"> miere. Časť dávky vo forme metabolitov je podobná po perorálnom dávkovaní ako aj po intravenóznom; a zahŕňa 6% dávky v moči vo forme N-oxidu, 2% vo forme S-oxidu, 2% ako desmetylranitidín a 1 až 2% ako analóg kyseliny furánovej.</w:t>
      </w:r>
    </w:p>
    <w:p w:rsidR="003452D3" w:rsidRPr="004E2F7C" w:rsidRDefault="003452D3" w:rsidP="00E72D96">
      <w:pPr>
        <w:pStyle w:val="Zkladntext2"/>
        <w:rPr>
          <w:bCs/>
          <w:sz w:val="22"/>
          <w:szCs w:val="22"/>
          <w:highlight w:val="yellow"/>
        </w:rPr>
      </w:pPr>
    </w:p>
    <w:p w:rsidR="003452D3" w:rsidRPr="00FF7493" w:rsidRDefault="003452D3" w:rsidP="00E72D96">
      <w:pPr>
        <w:pStyle w:val="Zkladntext2"/>
        <w:rPr>
          <w:bCs/>
          <w:sz w:val="22"/>
          <w:szCs w:val="22"/>
          <w:u w:val="single"/>
        </w:rPr>
      </w:pPr>
      <w:r w:rsidRPr="00082BFE">
        <w:rPr>
          <w:bCs/>
          <w:sz w:val="22"/>
          <w:szCs w:val="22"/>
          <w:u w:val="single"/>
        </w:rPr>
        <w:t>Elimin</w:t>
      </w:r>
      <w:r w:rsidRPr="00FF7493">
        <w:rPr>
          <w:bCs/>
          <w:sz w:val="22"/>
          <w:szCs w:val="22"/>
          <w:u w:val="single"/>
        </w:rPr>
        <w:t>ácia</w:t>
      </w:r>
    </w:p>
    <w:p w:rsidR="003452D3" w:rsidRPr="004E2F7C" w:rsidRDefault="003452D3" w:rsidP="00A504EE">
      <w:pPr>
        <w:rPr>
          <w:bCs/>
          <w:sz w:val="22"/>
          <w:szCs w:val="22"/>
        </w:rPr>
      </w:pPr>
      <w:r w:rsidRPr="004E2F7C">
        <w:rPr>
          <w:bCs/>
          <w:sz w:val="22"/>
          <w:szCs w:val="22"/>
        </w:rPr>
        <w:t>Plazmatické koncentrácie klesajú bi-exponenciálne, s konečným biologickým polčasom 2-3 hodiny. Hlavná cesta eliminácie je obličkami. Po intravenóznom podaní 150</w:t>
      </w:r>
      <w:r w:rsidR="00086305" w:rsidRPr="004E2F7C">
        <w:rPr>
          <w:bCs/>
          <w:sz w:val="22"/>
          <w:szCs w:val="22"/>
        </w:rPr>
        <w:t> </w:t>
      </w:r>
      <w:r w:rsidRPr="004E2F7C">
        <w:rPr>
          <w:bCs/>
          <w:sz w:val="22"/>
          <w:szCs w:val="22"/>
        </w:rPr>
        <w:t>mg 3H-ranitidínu bolo obnovených 98% dávky, vrátane 5% v stolici a 93% v moči, z čoho 70% ostalo nezmeneného pôvodného lieku. Po perorálnom podaní 150</w:t>
      </w:r>
      <w:r w:rsidR="00086305" w:rsidRPr="004E2F7C">
        <w:rPr>
          <w:bCs/>
          <w:sz w:val="22"/>
          <w:szCs w:val="22"/>
        </w:rPr>
        <w:t> </w:t>
      </w:r>
      <w:r w:rsidRPr="004E2F7C">
        <w:rPr>
          <w:bCs/>
          <w:sz w:val="22"/>
          <w:szCs w:val="22"/>
        </w:rPr>
        <w:t>mg 3H-ranitidínu bolo obnovených 96% dávky, 26% v stolici a 70% v moči, z čoho 35% predstavoval nezmenený liek. Menej ako 3% dávky je vylúčených žlčou. Obličkový klírens je približne 500</w:t>
      </w:r>
      <w:r w:rsidR="00086305" w:rsidRPr="004E2F7C">
        <w:rPr>
          <w:bCs/>
          <w:sz w:val="22"/>
          <w:szCs w:val="22"/>
        </w:rPr>
        <w:t> </w:t>
      </w:r>
      <w:r w:rsidRPr="004E2F7C">
        <w:rPr>
          <w:bCs/>
          <w:sz w:val="22"/>
          <w:szCs w:val="22"/>
        </w:rPr>
        <w:t>ml/min, čo prevyšuje hodnoty celkovej sekrécie obličkových tubulov charakterizujúce glomerulárnu filtráciu.</w:t>
      </w:r>
    </w:p>
    <w:p w:rsidR="003452D3" w:rsidRPr="002B1FB5" w:rsidRDefault="003452D3" w:rsidP="00A504EE">
      <w:pPr>
        <w:rPr>
          <w:noProof/>
          <w:sz w:val="22"/>
          <w:szCs w:val="22"/>
        </w:rPr>
      </w:pPr>
    </w:p>
    <w:p w:rsidR="003452D3" w:rsidRPr="004E2F7C" w:rsidRDefault="003452D3" w:rsidP="00950693">
      <w:pPr>
        <w:rPr>
          <w:i/>
          <w:noProof/>
          <w:sz w:val="22"/>
          <w:szCs w:val="22"/>
        </w:rPr>
      </w:pPr>
      <w:r w:rsidRPr="004E2F7C">
        <w:rPr>
          <w:i/>
          <w:noProof/>
          <w:sz w:val="22"/>
          <w:szCs w:val="22"/>
        </w:rPr>
        <w:t xml:space="preserve">Špeciálne populácie pacientov </w:t>
      </w:r>
    </w:p>
    <w:p w:rsidR="003452D3" w:rsidRPr="00FF7493" w:rsidRDefault="003452D3" w:rsidP="00A21734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3452D3" w:rsidRPr="00ED23F1" w:rsidRDefault="003452D3" w:rsidP="00A21734">
      <w:pPr>
        <w:pStyle w:val="Zkladntext"/>
        <w:rPr>
          <w:rFonts w:ascii="Times New Roman" w:hAnsi="Times New Roman" w:cs="Times New Roman"/>
          <w:b/>
          <w:i/>
          <w:sz w:val="22"/>
          <w:szCs w:val="22"/>
        </w:rPr>
      </w:pPr>
      <w:r w:rsidRPr="00FF7493">
        <w:rPr>
          <w:rFonts w:ascii="Times New Roman" w:hAnsi="Times New Roman" w:cs="Times New Roman"/>
          <w:b/>
          <w:i/>
          <w:sz w:val="22"/>
          <w:szCs w:val="22"/>
        </w:rPr>
        <w:t xml:space="preserve">Deti </w:t>
      </w:r>
      <w:r w:rsidRPr="00ED23F1">
        <w:rPr>
          <w:rFonts w:ascii="Times New Roman" w:hAnsi="Times New Roman" w:cs="Times New Roman"/>
          <w:b/>
          <w:i/>
          <w:sz w:val="22"/>
          <w:szCs w:val="22"/>
        </w:rPr>
        <w:t>a dojčatá (6 mesiacov a staršie)</w:t>
      </w:r>
    </w:p>
    <w:p w:rsidR="003452D3" w:rsidRPr="00082BFE" w:rsidRDefault="003452D3" w:rsidP="00A21734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ED23F1">
        <w:rPr>
          <w:rFonts w:ascii="Times New Roman" w:hAnsi="Times New Roman" w:cs="Times New Roman"/>
          <w:sz w:val="22"/>
          <w:szCs w:val="22"/>
        </w:rPr>
        <w:t>Obmedzené farmakokinetické údaje ukazujú, že neboli žiadne významné rozdiely v polčase (rozsah pre deti od 3 rokov a staršie: 1</w:t>
      </w:r>
      <w:r w:rsidRPr="00A404E3">
        <w:rPr>
          <w:rFonts w:ascii="Times New Roman" w:hAnsi="Times New Roman" w:cs="Times New Roman"/>
          <w:sz w:val="22"/>
          <w:szCs w:val="22"/>
        </w:rPr>
        <w:t>,</w:t>
      </w:r>
      <w:r w:rsidRPr="00A22D74">
        <w:rPr>
          <w:rFonts w:ascii="Times New Roman" w:hAnsi="Times New Roman" w:cs="Times New Roman"/>
          <w:sz w:val="22"/>
          <w:szCs w:val="22"/>
        </w:rPr>
        <w:t>7 -</w:t>
      </w:r>
      <w:r w:rsidRPr="000D7487">
        <w:rPr>
          <w:rFonts w:ascii="Times New Roman" w:hAnsi="Times New Roman" w:cs="Times New Roman"/>
          <w:sz w:val="22"/>
          <w:szCs w:val="22"/>
        </w:rPr>
        <w:t> 2,2 hodín) a</w:t>
      </w:r>
      <w:r w:rsidRPr="0046325E">
        <w:rPr>
          <w:rFonts w:ascii="Times New Roman" w:hAnsi="Times New Roman" w:cs="Times New Roman"/>
          <w:sz w:val="22"/>
          <w:szCs w:val="22"/>
        </w:rPr>
        <w:t xml:space="preserve"> v </w:t>
      </w:r>
      <w:r w:rsidRPr="00FB23AC">
        <w:rPr>
          <w:rFonts w:ascii="Times New Roman" w:hAnsi="Times New Roman" w:cs="Times New Roman"/>
          <w:sz w:val="22"/>
          <w:szCs w:val="22"/>
        </w:rPr>
        <w:t>plazmatických klírensoch (</w:t>
      </w:r>
      <w:r w:rsidRPr="00082BFE">
        <w:rPr>
          <w:rFonts w:ascii="Times New Roman" w:hAnsi="Times New Roman" w:cs="Times New Roman"/>
          <w:sz w:val="22"/>
          <w:szCs w:val="22"/>
        </w:rPr>
        <w:t>rozsah pre deti od 3 rokov a staršie: 9 - 22 ml/min/kg) medzi deťmi a dospelými, ktorí dostávajú ranitidín intravenózne, ak sa urobila korekcia na ich telesnú hmotnosť. Farmakokinetické údaje u dojčiat sú veľmi obmedzené, ale zdá sa, že sú v súlade s tými pre staršie deti.</w:t>
      </w:r>
    </w:p>
    <w:p w:rsidR="003452D3" w:rsidRDefault="003452D3" w:rsidP="00A21734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B13AA1" w:rsidRPr="00082BFE" w:rsidRDefault="00B13AA1" w:rsidP="00B13AA1">
      <w:pPr>
        <w:jc w:val="both"/>
        <w:rPr>
          <w:sz w:val="22"/>
          <w:szCs w:val="22"/>
        </w:rPr>
      </w:pPr>
      <w:r w:rsidRPr="004E2F7C">
        <w:rPr>
          <w:b/>
          <w:i/>
          <w:sz w:val="22"/>
          <w:szCs w:val="22"/>
        </w:rPr>
        <w:t>Deti mladšie ako 6 mesiacov</w:t>
      </w:r>
      <w:r w:rsidRPr="00ED23F1">
        <w:rPr>
          <w:sz w:val="22"/>
          <w:szCs w:val="22"/>
        </w:rPr>
        <w:t xml:space="preserve"> nemajú byť liečené ranitidínom</w:t>
      </w:r>
      <w:r>
        <w:rPr>
          <w:sz w:val="22"/>
          <w:szCs w:val="22"/>
        </w:rPr>
        <w:t>.</w:t>
      </w:r>
    </w:p>
    <w:p w:rsidR="00B13AA1" w:rsidRPr="00082BFE" w:rsidRDefault="00B13AA1" w:rsidP="00A21734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3452D3" w:rsidRPr="00082BFE" w:rsidRDefault="003452D3" w:rsidP="00A21734">
      <w:pPr>
        <w:pStyle w:val="Zkladntext"/>
        <w:rPr>
          <w:rFonts w:ascii="Times New Roman" w:hAnsi="Times New Roman" w:cs="Times New Roman"/>
          <w:b/>
          <w:i/>
          <w:sz w:val="22"/>
          <w:szCs w:val="22"/>
        </w:rPr>
      </w:pPr>
      <w:r w:rsidRPr="00082BFE">
        <w:rPr>
          <w:rFonts w:ascii="Times New Roman" w:hAnsi="Times New Roman" w:cs="Times New Roman"/>
          <w:b/>
          <w:i/>
          <w:sz w:val="22"/>
          <w:szCs w:val="22"/>
        </w:rPr>
        <w:t>Novorodenci (do 1 mesiaca)</w:t>
      </w:r>
    </w:p>
    <w:p w:rsidR="003452D3" w:rsidRPr="00082BFE" w:rsidRDefault="003452D3" w:rsidP="00A21734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082BFE">
        <w:rPr>
          <w:rFonts w:ascii="Times New Roman" w:hAnsi="Times New Roman" w:cs="Times New Roman"/>
          <w:sz w:val="22"/>
          <w:szCs w:val="22"/>
        </w:rPr>
        <w:t>Obmedzené farmakokinetické údaje u detí narodených v riadnom termíne podstupujúcich liečbu mimotelovou membránovou oxygenáciou (EMCO -</w:t>
      </w:r>
      <w:r w:rsidRPr="00082BFE">
        <w:t xml:space="preserve"> </w:t>
      </w:r>
      <w:r w:rsidRPr="00082BFE">
        <w:rPr>
          <w:rFonts w:ascii="Times New Roman" w:hAnsi="Times New Roman" w:cs="Times New Roman"/>
          <w:sz w:val="22"/>
          <w:szCs w:val="22"/>
        </w:rPr>
        <w:t>Extracorporeal Membrane Oxygenation) naznačujú, že plazmatický klírens po i.v. podaní sa môže znížiť (1,5 - 8,2 ml/min/kg) a polčas u novorodencov zvýšiť. Klírens ranitidínu pravdepodobne súvisí u novorodencov s odhadovanou rýchlosťou glomerulárnej filtrácie.</w:t>
      </w:r>
    </w:p>
    <w:p w:rsidR="003452D3" w:rsidRPr="00082BFE" w:rsidRDefault="003452D3" w:rsidP="00A21734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3452D3" w:rsidRPr="004E2F7C" w:rsidRDefault="003452D3" w:rsidP="00A21734">
      <w:pPr>
        <w:pStyle w:val="Zkladntext"/>
        <w:rPr>
          <w:rFonts w:ascii="Times New Roman" w:hAnsi="Times New Roman" w:cs="Times New Roman"/>
          <w:b/>
          <w:i/>
          <w:sz w:val="22"/>
          <w:szCs w:val="22"/>
        </w:rPr>
      </w:pPr>
      <w:r w:rsidRPr="004E2F7C">
        <w:rPr>
          <w:rFonts w:ascii="Times New Roman" w:hAnsi="Times New Roman" w:cs="Times New Roman"/>
          <w:b/>
          <w:i/>
          <w:sz w:val="22"/>
          <w:szCs w:val="22"/>
        </w:rPr>
        <w:t>Pacienti starší ako 50 rokov</w:t>
      </w:r>
    </w:p>
    <w:p w:rsidR="003452D3" w:rsidRPr="00082BFE" w:rsidRDefault="003452D3" w:rsidP="00A21734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082BFE">
        <w:rPr>
          <w:rFonts w:ascii="Times New Roman" w:hAnsi="Times New Roman" w:cs="Times New Roman"/>
          <w:sz w:val="22"/>
          <w:szCs w:val="22"/>
        </w:rPr>
        <w:lastRenderedPageBreak/>
        <w:t>P</w:t>
      </w:r>
      <w:r w:rsidRPr="00FF7493">
        <w:rPr>
          <w:rFonts w:ascii="Times New Roman" w:hAnsi="Times New Roman" w:cs="Times New Roman"/>
          <w:sz w:val="22"/>
          <w:szCs w:val="22"/>
        </w:rPr>
        <w:t>acienti starší ako 50 rokov majú</w:t>
      </w:r>
      <w:r w:rsidRPr="00ED23F1">
        <w:rPr>
          <w:rFonts w:ascii="Times New Roman" w:hAnsi="Times New Roman" w:cs="Times New Roman"/>
          <w:sz w:val="22"/>
          <w:szCs w:val="22"/>
        </w:rPr>
        <w:t xml:space="preserve"> predĺžený biologický polčas (3-4 h) a znížený klírens, zodpovedajúci zníženej funkcii obličiek v staršom veku. Systémové pôsobenie a akumulácia liečiva je však o 50% vyššia. Tento rozdiel prevyšuje účinok</w:t>
      </w:r>
      <w:r w:rsidRPr="00A404E3">
        <w:rPr>
          <w:rFonts w:ascii="Times New Roman" w:hAnsi="Times New Roman" w:cs="Times New Roman"/>
          <w:sz w:val="22"/>
          <w:szCs w:val="22"/>
        </w:rPr>
        <w:t xml:space="preserve"> spôsobený</w:t>
      </w:r>
      <w:r w:rsidRPr="00A22D74">
        <w:rPr>
          <w:rFonts w:ascii="Times New Roman" w:hAnsi="Times New Roman" w:cs="Times New Roman"/>
          <w:sz w:val="22"/>
          <w:szCs w:val="22"/>
        </w:rPr>
        <w:t xml:space="preserve"> zníženou funkci</w:t>
      </w:r>
      <w:r w:rsidRPr="000D7487">
        <w:rPr>
          <w:rFonts w:ascii="Times New Roman" w:hAnsi="Times New Roman" w:cs="Times New Roman"/>
          <w:sz w:val="22"/>
          <w:szCs w:val="22"/>
        </w:rPr>
        <w:t>ou obličiek a</w:t>
      </w:r>
      <w:r w:rsidRPr="0046325E">
        <w:rPr>
          <w:rFonts w:ascii="Times New Roman" w:hAnsi="Times New Roman" w:cs="Times New Roman"/>
          <w:sz w:val="22"/>
          <w:szCs w:val="22"/>
        </w:rPr>
        <w:t> </w:t>
      </w:r>
      <w:r w:rsidRPr="00FB23AC">
        <w:rPr>
          <w:rFonts w:ascii="Times New Roman" w:hAnsi="Times New Roman" w:cs="Times New Roman"/>
          <w:sz w:val="22"/>
          <w:szCs w:val="22"/>
        </w:rPr>
        <w:t xml:space="preserve">indikuje </w:t>
      </w:r>
      <w:r w:rsidRPr="00082BFE">
        <w:rPr>
          <w:rFonts w:ascii="Times New Roman" w:hAnsi="Times New Roman" w:cs="Times New Roman"/>
          <w:sz w:val="22"/>
          <w:szCs w:val="22"/>
        </w:rPr>
        <w:t>zvýšenú biologickú dostupnosť u starších pacientov.</w:t>
      </w:r>
    </w:p>
    <w:p w:rsidR="003452D3" w:rsidRPr="00082BFE" w:rsidRDefault="003452D3" w:rsidP="00A21734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3452D3" w:rsidRPr="004E2F7C" w:rsidRDefault="003452D3" w:rsidP="00A21734">
      <w:pPr>
        <w:pStyle w:val="Zkladntext"/>
        <w:rPr>
          <w:rFonts w:ascii="Times New Roman" w:hAnsi="Times New Roman" w:cs="Times New Roman"/>
          <w:b/>
          <w:i/>
          <w:sz w:val="22"/>
          <w:szCs w:val="22"/>
        </w:rPr>
      </w:pPr>
      <w:r w:rsidRPr="004E2F7C">
        <w:rPr>
          <w:rFonts w:ascii="Times New Roman" w:hAnsi="Times New Roman" w:cs="Times New Roman"/>
          <w:b/>
          <w:i/>
          <w:sz w:val="22"/>
          <w:szCs w:val="22"/>
        </w:rPr>
        <w:t>Pacienti s</w:t>
      </w:r>
      <w:r w:rsidRPr="00F13525">
        <w:rPr>
          <w:rFonts w:ascii="Times New Roman" w:hAnsi="Times New Roman" w:cs="Times New Roman"/>
          <w:b/>
          <w:i/>
          <w:sz w:val="22"/>
          <w:szCs w:val="22"/>
        </w:rPr>
        <w:t> </w:t>
      </w:r>
      <w:r w:rsidRPr="004E2F7C">
        <w:rPr>
          <w:rFonts w:ascii="Times New Roman" w:hAnsi="Times New Roman" w:cs="Times New Roman"/>
          <w:b/>
          <w:i/>
          <w:sz w:val="22"/>
          <w:szCs w:val="22"/>
        </w:rPr>
        <w:t>poškodenou funkciou obličiek</w:t>
      </w:r>
    </w:p>
    <w:p w:rsidR="003452D3" w:rsidRPr="00082BFE" w:rsidRDefault="003452D3" w:rsidP="00A504EE">
      <w:pPr>
        <w:rPr>
          <w:noProof/>
          <w:sz w:val="22"/>
          <w:szCs w:val="22"/>
        </w:rPr>
      </w:pPr>
      <w:r w:rsidRPr="00082BFE">
        <w:rPr>
          <w:noProof/>
          <w:sz w:val="22"/>
          <w:szCs w:val="22"/>
        </w:rPr>
        <w:t xml:space="preserve">U pacientov s poškodenou funkciou obličiek (klírens kreatinínu </w:t>
      </w:r>
      <w:r w:rsidRPr="004E2F7C">
        <w:rPr>
          <w:noProof/>
          <w:sz w:val="22"/>
          <w:szCs w:val="22"/>
        </w:rPr>
        <w:t>&lt;50</w:t>
      </w:r>
      <w:r w:rsidR="00086305">
        <w:rPr>
          <w:noProof/>
          <w:sz w:val="22"/>
          <w:szCs w:val="22"/>
        </w:rPr>
        <w:t> </w:t>
      </w:r>
      <w:r w:rsidRPr="004E2F7C">
        <w:rPr>
          <w:noProof/>
          <w:sz w:val="22"/>
          <w:szCs w:val="22"/>
        </w:rPr>
        <w:t>ml/min) dochádza k akumulácii ranitidínu so zodpovedajúcimi zvýšenými hladinami ranitidínu v plazme.</w:t>
      </w:r>
    </w:p>
    <w:p w:rsidR="003452D3" w:rsidRPr="00FF7493" w:rsidRDefault="003452D3" w:rsidP="00A504EE">
      <w:pPr>
        <w:rPr>
          <w:noProof/>
          <w:sz w:val="22"/>
          <w:szCs w:val="22"/>
        </w:rPr>
      </w:pPr>
    </w:p>
    <w:p w:rsidR="003452D3" w:rsidRPr="00ED23F1" w:rsidRDefault="003452D3" w:rsidP="00A504EE">
      <w:pPr>
        <w:numPr>
          <w:ilvl w:val="1"/>
          <w:numId w:val="3"/>
        </w:numPr>
        <w:tabs>
          <w:tab w:val="clear" w:pos="360"/>
          <w:tab w:val="num" w:pos="720"/>
        </w:tabs>
        <w:rPr>
          <w:b/>
          <w:sz w:val="22"/>
          <w:szCs w:val="22"/>
        </w:rPr>
      </w:pPr>
      <w:r w:rsidRPr="00ED23F1">
        <w:rPr>
          <w:b/>
          <w:sz w:val="22"/>
          <w:szCs w:val="22"/>
        </w:rPr>
        <w:t>Preklinické údaje o bezpečnosti</w:t>
      </w:r>
    </w:p>
    <w:p w:rsidR="003452D3" w:rsidRPr="00A404E3" w:rsidRDefault="003452D3" w:rsidP="00A504EE">
      <w:pPr>
        <w:rPr>
          <w:b/>
          <w:sz w:val="22"/>
          <w:szCs w:val="22"/>
        </w:rPr>
      </w:pPr>
    </w:p>
    <w:p w:rsidR="003452D3" w:rsidRPr="004E2F7C" w:rsidRDefault="003452D3" w:rsidP="008A0B05">
      <w:pPr>
        <w:rPr>
          <w:sz w:val="22"/>
          <w:szCs w:val="22"/>
        </w:rPr>
      </w:pPr>
      <w:r w:rsidRPr="004E2F7C">
        <w:rPr>
          <w:sz w:val="22"/>
          <w:szCs w:val="22"/>
        </w:rPr>
        <w:t>Predklinické údaje, založené na konvenčných štúdiach farmakológie v súvislosti s bezpečnosťou, štúdiách toxicity pri opakovanej dávke, genotoxicity, karcinogénneho potenciálu a toxicity na reprodukciu a vývoj plodu neodhalili žiadne zvláštne riziká pre ľudí.</w:t>
      </w:r>
    </w:p>
    <w:p w:rsidR="003452D3" w:rsidRPr="00082BFE" w:rsidRDefault="003452D3" w:rsidP="008A0B05">
      <w:pPr>
        <w:rPr>
          <w:sz w:val="22"/>
          <w:szCs w:val="22"/>
          <w:u w:val="single"/>
        </w:rPr>
      </w:pPr>
    </w:p>
    <w:p w:rsidR="003452D3" w:rsidRPr="00082BFE" w:rsidRDefault="003452D3" w:rsidP="00A504EE">
      <w:pPr>
        <w:jc w:val="both"/>
        <w:rPr>
          <w:sz w:val="22"/>
          <w:szCs w:val="22"/>
        </w:rPr>
      </w:pPr>
      <w:r w:rsidRPr="00082BFE">
        <w:rPr>
          <w:sz w:val="22"/>
          <w:szCs w:val="22"/>
        </w:rPr>
        <w:t>Počas dlhodobých štúdií zameraných na tumorogenitu a karcinogenitu ranitidínu sa myšiam a potkanom podávali perorálne dávky ranitidínu do 2000 mg/kg denne a nedokázal sa žiadny karcinogénny účinok.</w:t>
      </w:r>
    </w:p>
    <w:p w:rsidR="003452D3" w:rsidRPr="00082BFE" w:rsidRDefault="003452D3" w:rsidP="00A504EE">
      <w:pPr>
        <w:jc w:val="both"/>
        <w:rPr>
          <w:sz w:val="22"/>
          <w:szCs w:val="22"/>
        </w:rPr>
      </w:pPr>
      <w:r w:rsidRPr="00082BFE">
        <w:rPr>
          <w:sz w:val="22"/>
          <w:szCs w:val="22"/>
        </w:rPr>
        <w:t>Ranitidín nevyvolal mutagénne zmeny pri štandardných bakteriálnych testoch na stanovenie mutagenity (</w:t>
      </w:r>
      <w:r w:rsidRPr="00082BFE">
        <w:rPr>
          <w:i/>
          <w:iCs/>
          <w:sz w:val="22"/>
          <w:szCs w:val="22"/>
        </w:rPr>
        <w:t>Salmonella, Escherichia coli</w:t>
      </w:r>
      <w:r w:rsidRPr="00082BFE">
        <w:rPr>
          <w:sz w:val="22"/>
          <w:szCs w:val="22"/>
        </w:rPr>
        <w:t>), keď sa používal v koncentráciách zodpovedajúcich maximálnym odporúčaným koncentráciám pre tieto testy.</w:t>
      </w:r>
    </w:p>
    <w:p w:rsidR="003452D3" w:rsidRPr="00082BFE" w:rsidRDefault="003452D3" w:rsidP="00444D67">
      <w:pPr>
        <w:jc w:val="both"/>
        <w:rPr>
          <w:sz w:val="22"/>
          <w:szCs w:val="22"/>
        </w:rPr>
      </w:pPr>
      <w:r w:rsidRPr="00082BFE">
        <w:rPr>
          <w:sz w:val="22"/>
          <w:szCs w:val="22"/>
        </w:rPr>
        <w:t>Po podaní jednorazovej perorálnej dávky 1000 mg/kg ranitidínu samcom potkanov sa nepozoroval žiadny vplyv na počet párení týždenne počas nasledujúcich 9 týždňov.</w:t>
      </w:r>
    </w:p>
    <w:p w:rsidR="003452D3" w:rsidRPr="00082BFE" w:rsidRDefault="003452D3" w:rsidP="00444D67">
      <w:pPr>
        <w:rPr>
          <w:sz w:val="22"/>
          <w:szCs w:val="22"/>
        </w:rPr>
      </w:pPr>
    </w:p>
    <w:p w:rsidR="003452D3" w:rsidRPr="00082BFE" w:rsidRDefault="003452D3" w:rsidP="00444D67">
      <w:pPr>
        <w:rPr>
          <w:sz w:val="22"/>
          <w:szCs w:val="22"/>
        </w:rPr>
      </w:pPr>
    </w:p>
    <w:p w:rsidR="003452D3" w:rsidRPr="00082BFE" w:rsidRDefault="003452D3" w:rsidP="00444D67">
      <w:pPr>
        <w:pStyle w:val="Nadpis2"/>
        <w:tabs>
          <w:tab w:val="clear" w:pos="360"/>
          <w:tab w:val="num" w:pos="720"/>
        </w:tabs>
        <w:spacing w:before="0" w:after="0"/>
        <w:rPr>
          <w:rFonts w:ascii="Times New Roman" w:hAnsi="Times New Roman"/>
          <w:sz w:val="22"/>
          <w:szCs w:val="22"/>
        </w:rPr>
      </w:pPr>
      <w:r w:rsidRPr="00082BFE">
        <w:rPr>
          <w:rFonts w:ascii="Times New Roman" w:hAnsi="Times New Roman"/>
          <w:sz w:val="22"/>
          <w:szCs w:val="22"/>
        </w:rPr>
        <w:t>FARMACEUTICKÉ INFORMÁCIE</w:t>
      </w:r>
    </w:p>
    <w:p w:rsidR="003452D3" w:rsidRPr="00082BFE" w:rsidRDefault="003452D3" w:rsidP="00444D67">
      <w:pPr>
        <w:rPr>
          <w:sz w:val="22"/>
          <w:szCs w:val="22"/>
        </w:rPr>
      </w:pPr>
    </w:p>
    <w:p w:rsidR="003452D3" w:rsidRPr="00082BFE" w:rsidRDefault="003452D3" w:rsidP="00444D67">
      <w:pPr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Zoznam pomocných látok</w:t>
      </w:r>
    </w:p>
    <w:p w:rsidR="003452D3" w:rsidRPr="00082BFE" w:rsidRDefault="003452D3" w:rsidP="00444D67">
      <w:pPr>
        <w:rPr>
          <w:b/>
          <w:sz w:val="22"/>
          <w:szCs w:val="22"/>
        </w:rPr>
      </w:pPr>
    </w:p>
    <w:p w:rsidR="003452D3" w:rsidRPr="00082BFE" w:rsidRDefault="003452D3" w:rsidP="00444D67">
      <w:pPr>
        <w:pStyle w:val="Hlavika"/>
        <w:tabs>
          <w:tab w:val="clear" w:pos="4536"/>
          <w:tab w:val="clear" w:pos="9072"/>
        </w:tabs>
        <w:rPr>
          <w:noProof/>
          <w:sz w:val="22"/>
          <w:szCs w:val="22"/>
          <w:lang w:val="sk-SK"/>
        </w:rPr>
      </w:pPr>
      <w:r w:rsidRPr="00082BFE">
        <w:rPr>
          <w:noProof/>
          <w:sz w:val="22"/>
          <w:szCs w:val="22"/>
          <w:lang w:val="sk-SK"/>
        </w:rPr>
        <w:t>monohydrát kyseliny citrónovej</w:t>
      </w:r>
    </w:p>
    <w:p w:rsidR="003452D3" w:rsidRPr="00082BFE" w:rsidRDefault="003452D3" w:rsidP="00444D67">
      <w:pPr>
        <w:rPr>
          <w:noProof/>
          <w:sz w:val="22"/>
          <w:szCs w:val="22"/>
        </w:rPr>
      </w:pPr>
      <w:r w:rsidRPr="00082BFE">
        <w:rPr>
          <w:noProof/>
          <w:sz w:val="22"/>
          <w:szCs w:val="22"/>
        </w:rPr>
        <w:t>dodekahydrát hydrogénfosforečnanu sodného</w:t>
      </w:r>
    </w:p>
    <w:p w:rsidR="003452D3" w:rsidRPr="00082BFE" w:rsidRDefault="003452D3" w:rsidP="00444D67">
      <w:pPr>
        <w:rPr>
          <w:noProof/>
          <w:sz w:val="22"/>
          <w:szCs w:val="22"/>
        </w:rPr>
      </w:pPr>
      <w:r w:rsidRPr="00082BFE">
        <w:rPr>
          <w:noProof/>
          <w:sz w:val="22"/>
          <w:szCs w:val="22"/>
        </w:rPr>
        <w:t>hydroxid sodný (na úpravu pH)</w:t>
      </w:r>
    </w:p>
    <w:p w:rsidR="003452D3" w:rsidRPr="00082BFE" w:rsidRDefault="003452D3" w:rsidP="00444D67">
      <w:pPr>
        <w:rPr>
          <w:sz w:val="22"/>
          <w:szCs w:val="22"/>
        </w:rPr>
      </w:pPr>
      <w:r w:rsidRPr="00082BFE">
        <w:rPr>
          <w:noProof/>
          <w:sz w:val="22"/>
          <w:szCs w:val="22"/>
        </w:rPr>
        <w:t>voda na injekciu</w:t>
      </w:r>
    </w:p>
    <w:p w:rsidR="003452D3" w:rsidRPr="00082BFE" w:rsidRDefault="003452D3" w:rsidP="00444D67">
      <w:pPr>
        <w:rPr>
          <w:sz w:val="22"/>
          <w:szCs w:val="22"/>
        </w:rPr>
      </w:pPr>
    </w:p>
    <w:p w:rsidR="003452D3" w:rsidRPr="00082BFE" w:rsidRDefault="003452D3" w:rsidP="00444D67">
      <w:pPr>
        <w:numPr>
          <w:ilvl w:val="1"/>
          <w:numId w:val="3"/>
        </w:numPr>
        <w:tabs>
          <w:tab w:val="clear" w:pos="360"/>
          <w:tab w:val="num" w:pos="720"/>
        </w:tabs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Inkompatibility</w:t>
      </w:r>
    </w:p>
    <w:p w:rsidR="003452D3" w:rsidRPr="00082BFE" w:rsidRDefault="003452D3" w:rsidP="00444D67">
      <w:pPr>
        <w:rPr>
          <w:b/>
          <w:sz w:val="22"/>
          <w:szCs w:val="22"/>
        </w:rPr>
      </w:pPr>
    </w:p>
    <w:p w:rsidR="003452D3" w:rsidRDefault="00086305" w:rsidP="00444D67">
      <w:pPr>
        <w:rPr>
          <w:i/>
          <w:sz w:val="22"/>
          <w:szCs w:val="22"/>
        </w:rPr>
      </w:pPr>
      <w:r w:rsidRPr="004E2F7C">
        <w:rPr>
          <w:i/>
          <w:sz w:val="22"/>
          <w:szCs w:val="22"/>
        </w:rPr>
        <w:t>Roztoky kompatibilné s</w:t>
      </w:r>
      <w:r w:rsidR="00562814">
        <w:rPr>
          <w:i/>
          <w:sz w:val="22"/>
          <w:szCs w:val="22"/>
        </w:rPr>
        <w:t> </w:t>
      </w:r>
      <w:r w:rsidRPr="004E2F7C">
        <w:rPr>
          <w:i/>
          <w:sz w:val="22"/>
          <w:szCs w:val="22"/>
        </w:rPr>
        <w:t>Ranitalom</w:t>
      </w:r>
      <w:r w:rsidR="00562814">
        <w:rPr>
          <w:i/>
          <w:sz w:val="22"/>
          <w:szCs w:val="22"/>
        </w:rPr>
        <w:t>:</w:t>
      </w:r>
    </w:p>
    <w:p w:rsidR="00562814" w:rsidRDefault="00562814" w:rsidP="00444D67">
      <w:pPr>
        <w:rPr>
          <w:sz w:val="22"/>
          <w:szCs w:val="22"/>
        </w:rPr>
      </w:pPr>
      <w:r w:rsidRPr="004E2F7C">
        <w:rPr>
          <w:sz w:val="22"/>
          <w:szCs w:val="22"/>
        </w:rPr>
        <w:t>Ranital 50 mg/2 ml</w:t>
      </w:r>
      <w:r>
        <w:rPr>
          <w:sz w:val="22"/>
          <w:szCs w:val="22"/>
        </w:rPr>
        <w:t xml:space="preserve"> je kompatibilný s nasledujúcimi infúznymi roztokmi:</w:t>
      </w:r>
    </w:p>
    <w:p w:rsidR="00562814" w:rsidRDefault="00562814" w:rsidP="004E2F7C">
      <w:pPr>
        <w:pStyle w:val="Odsekzoznamu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0,9 % roztok chloridu sodného</w:t>
      </w:r>
    </w:p>
    <w:p w:rsidR="00562814" w:rsidRDefault="00562814" w:rsidP="004E2F7C">
      <w:pPr>
        <w:pStyle w:val="Odsekzoznamu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4,2 % roztok hydrogénuhličitanu sodného</w:t>
      </w:r>
    </w:p>
    <w:p w:rsidR="00562814" w:rsidRDefault="00562814" w:rsidP="004E2F7C">
      <w:pPr>
        <w:pStyle w:val="Odsekzoznamu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Ringer-laktát</w:t>
      </w:r>
      <w:r w:rsidR="00445897">
        <w:rPr>
          <w:sz w:val="22"/>
          <w:szCs w:val="22"/>
        </w:rPr>
        <w:t>ový roztok</w:t>
      </w:r>
    </w:p>
    <w:p w:rsidR="00562814" w:rsidRDefault="00562814" w:rsidP="004E2F7C">
      <w:pPr>
        <w:pStyle w:val="Odsekzoznamu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5 % roztok glukózy – kompatibilný len v obale zo skla</w:t>
      </w:r>
    </w:p>
    <w:p w:rsidR="00562814" w:rsidRPr="005159BE" w:rsidRDefault="00562814" w:rsidP="004E2F7C">
      <w:pPr>
        <w:pStyle w:val="Odsekzoznamu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Roztok glukózy a chloridu sodného (4 %/0,18 %) - kompatibilný len v obale zo skla</w:t>
      </w:r>
    </w:p>
    <w:p w:rsidR="00562814" w:rsidRDefault="00562814" w:rsidP="00444D67">
      <w:pPr>
        <w:rPr>
          <w:sz w:val="22"/>
          <w:szCs w:val="22"/>
        </w:rPr>
      </w:pPr>
    </w:p>
    <w:p w:rsidR="003452D3" w:rsidRDefault="00562814" w:rsidP="00444D67">
      <w:pPr>
        <w:rPr>
          <w:sz w:val="22"/>
          <w:szCs w:val="22"/>
        </w:rPr>
      </w:pPr>
      <w:r>
        <w:rPr>
          <w:sz w:val="22"/>
          <w:szCs w:val="22"/>
        </w:rPr>
        <w:t>Ranital sa nesmie miešať s roztokmi obsahujúcimi fruktózu. Ranital sa tiež nesmie miešať s inými roztokmi, než sú uvedené vyššie</w:t>
      </w:r>
      <w:r w:rsidR="00445897">
        <w:rPr>
          <w:sz w:val="22"/>
          <w:szCs w:val="22"/>
        </w:rPr>
        <w:t>,</w:t>
      </w:r>
      <w:r>
        <w:rPr>
          <w:sz w:val="22"/>
          <w:szCs w:val="22"/>
        </w:rPr>
        <w:t xml:space="preserve"> ani s roztokmi iných liečiv, nakoľko </w:t>
      </w:r>
      <w:r w:rsidR="00445897">
        <w:rPr>
          <w:sz w:val="22"/>
          <w:szCs w:val="22"/>
        </w:rPr>
        <w:t xml:space="preserve">s tým </w:t>
      </w:r>
      <w:r>
        <w:rPr>
          <w:sz w:val="22"/>
          <w:szCs w:val="22"/>
        </w:rPr>
        <w:t>nie je dostatok skúseností</w:t>
      </w:r>
      <w:r w:rsidR="00DE7DCE">
        <w:rPr>
          <w:sz w:val="22"/>
          <w:szCs w:val="22"/>
        </w:rPr>
        <w:t>.</w:t>
      </w:r>
    </w:p>
    <w:p w:rsidR="00562814" w:rsidRPr="00082BFE" w:rsidRDefault="00562814" w:rsidP="00444D67">
      <w:pPr>
        <w:rPr>
          <w:sz w:val="22"/>
          <w:szCs w:val="22"/>
        </w:rPr>
      </w:pPr>
    </w:p>
    <w:p w:rsidR="003452D3" w:rsidRPr="00082BFE" w:rsidRDefault="003452D3" w:rsidP="00444D67">
      <w:pPr>
        <w:numPr>
          <w:ilvl w:val="1"/>
          <w:numId w:val="3"/>
        </w:numPr>
        <w:tabs>
          <w:tab w:val="clear" w:pos="360"/>
          <w:tab w:val="num" w:pos="720"/>
        </w:tabs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Čas použiteľnosti</w:t>
      </w:r>
    </w:p>
    <w:p w:rsidR="003452D3" w:rsidRPr="00082BFE" w:rsidRDefault="003452D3" w:rsidP="00444D67">
      <w:pPr>
        <w:rPr>
          <w:b/>
          <w:sz w:val="22"/>
          <w:szCs w:val="22"/>
        </w:rPr>
      </w:pPr>
    </w:p>
    <w:p w:rsidR="003452D3" w:rsidRPr="00082BFE" w:rsidRDefault="003452D3" w:rsidP="00444D67">
      <w:pPr>
        <w:rPr>
          <w:sz w:val="22"/>
          <w:szCs w:val="22"/>
        </w:rPr>
      </w:pPr>
      <w:r w:rsidRPr="00082BFE">
        <w:rPr>
          <w:sz w:val="22"/>
          <w:szCs w:val="22"/>
        </w:rPr>
        <w:t>2 roky</w:t>
      </w:r>
    </w:p>
    <w:p w:rsidR="003452D3" w:rsidRPr="00FF7493" w:rsidRDefault="003452D3" w:rsidP="00444D67">
      <w:pPr>
        <w:rPr>
          <w:sz w:val="22"/>
          <w:szCs w:val="22"/>
        </w:rPr>
      </w:pPr>
      <w:r w:rsidRPr="002B1FB5">
        <w:rPr>
          <w:sz w:val="22"/>
          <w:szCs w:val="22"/>
        </w:rPr>
        <w:t>Liek</w:t>
      </w:r>
      <w:r w:rsidRPr="00082BFE">
        <w:rPr>
          <w:sz w:val="22"/>
          <w:szCs w:val="22"/>
        </w:rPr>
        <w:t xml:space="preserve"> sa nesmie používať po </w:t>
      </w:r>
      <w:r w:rsidRPr="00FF7493">
        <w:rPr>
          <w:sz w:val="22"/>
          <w:szCs w:val="22"/>
        </w:rPr>
        <w:t>dátume exspirácie, ktorý je uvedený na obale.</w:t>
      </w:r>
    </w:p>
    <w:p w:rsidR="003452D3" w:rsidRPr="00ED23F1" w:rsidRDefault="003452D3" w:rsidP="00444D67">
      <w:pPr>
        <w:rPr>
          <w:sz w:val="22"/>
          <w:szCs w:val="22"/>
        </w:rPr>
      </w:pPr>
    </w:p>
    <w:p w:rsidR="003452D3" w:rsidRPr="00ED23F1" w:rsidRDefault="003452D3" w:rsidP="00444D67">
      <w:pPr>
        <w:numPr>
          <w:ilvl w:val="1"/>
          <w:numId w:val="3"/>
        </w:numPr>
        <w:tabs>
          <w:tab w:val="clear" w:pos="360"/>
          <w:tab w:val="num" w:pos="720"/>
        </w:tabs>
        <w:rPr>
          <w:b/>
          <w:sz w:val="22"/>
          <w:szCs w:val="22"/>
        </w:rPr>
      </w:pPr>
      <w:r w:rsidRPr="00ED23F1">
        <w:rPr>
          <w:b/>
          <w:sz w:val="22"/>
          <w:szCs w:val="22"/>
        </w:rPr>
        <w:lastRenderedPageBreak/>
        <w:t>Špeciálne upozornenia na uchovávanie</w:t>
      </w:r>
    </w:p>
    <w:p w:rsidR="003452D3" w:rsidRPr="00ED23F1" w:rsidRDefault="003452D3" w:rsidP="00444D67">
      <w:pPr>
        <w:rPr>
          <w:b/>
          <w:sz w:val="22"/>
          <w:szCs w:val="22"/>
        </w:rPr>
      </w:pPr>
    </w:p>
    <w:p w:rsidR="003452D3" w:rsidRPr="00FB23AC" w:rsidRDefault="003452D3" w:rsidP="00444D67">
      <w:pPr>
        <w:rPr>
          <w:sz w:val="22"/>
          <w:szCs w:val="22"/>
        </w:rPr>
      </w:pPr>
      <w:r w:rsidRPr="00A404E3">
        <w:rPr>
          <w:sz w:val="22"/>
          <w:szCs w:val="22"/>
        </w:rPr>
        <w:t>Uchovávajte mimo</w:t>
      </w:r>
      <w:r w:rsidRPr="00A22D74">
        <w:rPr>
          <w:sz w:val="22"/>
          <w:szCs w:val="22"/>
        </w:rPr>
        <w:t xml:space="preserve"> </w:t>
      </w:r>
      <w:r w:rsidRPr="000D7487">
        <w:rPr>
          <w:sz w:val="22"/>
          <w:szCs w:val="22"/>
        </w:rPr>
        <w:t>dohľadu a dosahu</w:t>
      </w:r>
      <w:r w:rsidRPr="00FB23AC">
        <w:rPr>
          <w:sz w:val="22"/>
          <w:szCs w:val="22"/>
        </w:rPr>
        <w:t xml:space="preserve"> detí.</w:t>
      </w:r>
    </w:p>
    <w:p w:rsidR="003452D3" w:rsidRPr="00082BFE" w:rsidRDefault="003452D3" w:rsidP="00444D67">
      <w:pPr>
        <w:rPr>
          <w:sz w:val="22"/>
          <w:szCs w:val="22"/>
        </w:rPr>
      </w:pPr>
      <w:r w:rsidRPr="00082BFE">
        <w:rPr>
          <w:sz w:val="22"/>
          <w:szCs w:val="22"/>
        </w:rPr>
        <w:t>Uchovávajte pri teplote do 25 °C.</w:t>
      </w:r>
    </w:p>
    <w:p w:rsidR="003452D3" w:rsidRPr="00082BFE" w:rsidRDefault="003452D3" w:rsidP="00444D67">
      <w:pPr>
        <w:rPr>
          <w:b/>
          <w:sz w:val="22"/>
          <w:szCs w:val="22"/>
        </w:rPr>
      </w:pPr>
      <w:r w:rsidRPr="00082BFE">
        <w:rPr>
          <w:sz w:val="22"/>
          <w:szCs w:val="22"/>
        </w:rPr>
        <w:t>Uchovávajte v pôvodnom obale na ochranu pred svetlom.</w:t>
      </w:r>
    </w:p>
    <w:p w:rsidR="003452D3" w:rsidRPr="00082BFE" w:rsidRDefault="003452D3" w:rsidP="00444D67">
      <w:pPr>
        <w:rPr>
          <w:sz w:val="22"/>
          <w:szCs w:val="22"/>
        </w:rPr>
      </w:pPr>
    </w:p>
    <w:p w:rsidR="003452D3" w:rsidRPr="00082BFE" w:rsidRDefault="003452D3" w:rsidP="00444D67">
      <w:pPr>
        <w:numPr>
          <w:ilvl w:val="1"/>
          <w:numId w:val="3"/>
        </w:numPr>
        <w:tabs>
          <w:tab w:val="clear" w:pos="360"/>
          <w:tab w:val="num" w:pos="720"/>
        </w:tabs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Druh obalu a obsah balenia</w:t>
      </w:r>
    </w:p>
    <w:p w:rsidR="003452D3" w:rsidRPr="00082BFE" w:rsidRDefault="003452D3" w:rsidP="00444D67">
      <w:pPr>
        <w:rPr>
          <w:b/>
          <w:sz w:val="22"/>
          <w:szCs w:val="22"/>
        </w:rPr>
      </w:pPr>
    </w:p>
    <w:p w:rsidR="003452D3" w:rsidRPr="00082BFE" w:rsidRDefault="003452D3" w:rsidP="00444D67">
      <w:pPr>
        <w:pStyle w:val="Zarkazkladnhotextu3"/>
        <w:ind w:left="0"/>
        <w:rPr>
          <w:sz w:val="22"/>
          <w:szCs w:val="22"/>
          <w:lang w:val="sk-SK"/>
        </w:rPr>
      </w:pPr>
      <w:r w:rsidRPr="00082BFE">
        <w:rPr>
          <w:sz w:val="22"/>
          <w:szCs w:val="22"/>
          <w:lang w:val="sk-SK"/>
        </w:rPr>
        <w:t xml:space="preserve">Ampulky z bezfarebného skla, vnútorný povrch má hydrolytickú rezistenciu typu I . </w:t>
      </w:r>
    </w:p>
    <w:p w:rsidR="003452D3" w:rsidRPr="00082BFE" w:rsidRDefault="003452D3" w:rsidP="00444D67">
      <w:pPr>
        <w:pStyle w:val="Zarkazkladnhotextu3"/>
        <w:ind w:left="0"/>
        <w:rPr>
          <w:sz w:val="22"/>
          <w:szCs w:val="22"/>
          <w:lang w:val="sk-SK"/>
        </w:rPr>
      </w:pPr>
      <w:r w:rsidRPr="00082BFE">
        <w:rPr>
          <w:sz w:val="22"/>
          <w:szCs w:val="22"/>
          <w:lang w:val="sk-SK"/>
        </w:rPr>
        <w:t>Škatuľky obsahujú 5 ampuliek s injekčným roztokom s koncentráciou 50 mg/2 ml.</w:t>
      </w:r>
    </w:p>
    <w:p w:rsidR="003452D3" w:rsidRPr="00082BFE" w:rsidRDefault="003452D3" w:rsidP="00444D67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3452D3" w:rsidRPr="00082BFE" w:rsidRDefault="003452D3" w:rsidP="00444D67">
      <w:pPr>
        <w:numPr>
          <w:ilvl w:val="1"/>
          <w:numId w:val="3"/>
        </w:numPr>
        <w:tabs>
          <w:tab w:val="clear" w:pos="360"/>
          <w:tab w:val="left" w:pos="720"/>
        </w:tabs>
        <w:ind w:left="720" w:hanging="720"/>
        <w:rPr>
          <w:sz w:val="22"/>
          <w:szCs w:val="22"/>
        </w:rPr>
      </w:pPr>
      <w:r w:rsidRPr="00082BFE">
        <w:rPr>
          <w:b/>
          <w:bCs/>
          <w:sz w:val="22"/>
          <w:szCs w:val="22"/>
        </w:rPr>
        <w:t>Špeciálne opatrenia na likvidáciu a iné zaobchádzanie s liekom</w:t>
      </w:r>
    </w:p>
    <w:p w:rsidR="003452D3" w:rsidRPr="00082BFE" w:rsidRDefault="003452D3" w:rsidP="00444D67">
      <w:pPr>
        <w:tabs>
          <w:tab w:val="left" w:pos="720"/>
        </w:tabs>
        <w:rPr>
          <w:sz w:val="22"/>
          <w:szCs w:val="22"/>
        </w:rPr>
      </w:pPr>
    </w:p>
    <w:p w:rsidR="003452D3" w:rsidRPr="00082BFE" w:rsidRDefault="003452D3">
      <w:pPr>
        <w:pStyle w:val="Zkladntext3"/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 w:rsidRPr="00082BFE">
        <w:rPr>
          <w:rFonts w:ascii="Times New Roman" w:hAnsi="Times New Roman"/>
          <w:sz w:val="22"/>
          <w:szCs w:val="22"/>
        </w:rPr>
        <w:t>Pozri čas</w:t>
      </w:r>
      <w:r w:rsidR="00DE7DCE">
        <w:rPr>
          <w:rFonts w:ascii="Times New Roman" w:hAnsi="Times New Roman"/>
          <w:sz w:val="22"/>
          <w:szCs w:val="22"/>
        </w:rPr>
        <w:t>ti</w:t>
      </w:r>
      <w:r w:rsidRPr="00082BFE">
        <w:rPr>
          <w:rFonts w:ascii="Times New Roman" w:hAnsi="Times New Roman"/>
          <w:sz w:val="22"/>
          <w:szCs w:val="22"/>
        </w:rPr>
        <w:t xml:space="preserve"> 4.2</w:t>
      </w:r>
      <w:r w:rsidR="00DE7DCE">
        <w:rPr>
          <w:rFonts w:ascii="Times New Roman" w:hAnsi="Times New Roman"/>
          <w:sz w:val="22"/>
          <w:szCs w:val="22"/>
        </w:rPr>
        <w:t xml:space="preserve"> a 6.2</w:t>
      </w:r>
      <w:r w:rsidRPr="00082BFE">
        <w:rPr>
          <w:rFonts w:ascii="Times New Roman" w:hAnsi="Times New Roman"/>
          <w:sz w:val="22"/>
          <w:szCs w:val="22"/>
        </w:rPr>
        <w:t>.</w:t>
      </w:r>
    </w:p>
    <w:p w:rsidR="003452D3" w:rsidRDefault="00DE7DCE">
      <w:pPr>
        <w:pStyle w:val="Zkladntext3"/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Všetok nepoužitý liek alebo odpad vzniknutý z lieku sa má zlikvidovať v súlade s národnými požiadavkami.</w:t>
      </w:r>
    </w:p>
    <w:p w:rsidR="00DE7DCE" w:rsidRPr="00082BFE" w:rsidRDefault="00DE7DCE">
      <w:pPr>
        <w:pStyle w:val="Zkladntext3"/>
        <w:tabs>
          <w:tab w:val="left" w:pos="567"/>
        </w:tabs>
        <w:spacing w:before="0" w:after="0"/>
        <w:rPr>
          <w:rFonts w:ascii="Times New Roman" w:hAnsi="Times New Roman"/>
          <w:sz w:val="22"/>
          <w:szCs w:val="22"/>
        </w:rPr>
      </w:pPr>
    </w:p>
    <w:p w:rsidR="003452D3" w:rsidRPr="00082BFE" w:rsidRDefault="003452D3" w:rsidP="00444D67">
      <w:pPr>
        <w:rPr>
          <w:sz w:val="22"/>
          <w:szCs w:val="22"/>
        </w:rPr>
      </w:pPr>
    </w:p>
    <w:p w:rsidR="003452D3" w:rsidRPr="00082BFE" w:rsidRDefault="003452D3" w:rsidP="00282312">
      <w:pPr>
        <w:numPr>
          <w:ilvl w:val="0"/>
          <w:numId w:val="7"/>
        </w:numPr>
        <w:tabs>
          <w:tab w:val="clear" w:pos="360"/>
          <w:tab w:val="num" w:pos="720"/>
        </w:tabs>
        <w:ind w:left="720" w:hanging="720"/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DRŽITEĽ ROZHODNUTIA O REGISTRÁCII</w:t>
      </w:r>
    </w:p>
    <w:p w:rsidR="003452D3" w:rsidRPr="00082BFE" w:rsidRDefault="003452D3" w:rsidP="00444D67">
      <w:pPr>
        <w:rPr>
          <w:b/>
          <w:sz w:val="22"/>
          <w:szCs w:val="22"/>
        </w:rPr>
      </w:pPr>
    </w:p>
    <w:p w:rsidR="003452D3" w:rsidRPr="00082BFE" w:rsidRDefault="003452D3" w:rsidP="00444D67">
      <w:pPr>
        <w:rPr>
          <w:sz w:val="22"/>
          <w:szCs w:val="22"/>
        </w:rPr>
      </w:pPr>
      <w:r w:rsidRPr="00082BFE">
        <w:rPr>
          <w:sz w:val="22"/>
          <w:szCs w:val="22"/>
        </w:rPr>
        <w:t xml:space="preserve">Sandoz Pharmaceuticals d.d. </w:t>
      </w:r>
    </w:p>
    <w:p w:rsidR="003452D3" w:rsidRPr="00082BFE" w:rsidRDefault="003452D3" w:rsidP="00444D67">
      <w:pPr>
        <w:rPr>
          <w:sz w:val="22"/>
          <w:szCs w:val="22"/>
        </w:rPr>
      </w:pPr>
      <w:r w:rsidRPr="00082BFE">
        <w:rPr>
          <w:sz w:val="22"/>
          <w:szCs w:val="22"/>
        </w:rPr>
        <w:t>Vevrovškova 57</w:t>
      </w:r>
    </w:p>
    <w:p w:rsidR="003452D3" w:rsidRPr="00082BFE" w:rsidRDefault="003452D3" w:rsidP="00444D67">
      <w:pPr>
        <w:rPr>
          <w:sz w:val="22"/>
          <w:szCs w:val="22"/>
        </w:rPr>
      </w:pPr>
      <w:r w:rsidRPr="00082BFE">
        <w:rPr>
          <w:sz w:val="22"/>
          <w:szCs w:val="22"/>
        </w:rPr>
        <w:t>1000 Ľubľana</w:t>
      </w:r>
    </w:p>
    <w:p w:rsidR="003452D3" w:rsidRPr="00082BFE" w:rsidRDefault="003452D3" w:rsidP="00444D67">
      <w:pPr>
        <w:rPr>
          <w:sz w:val="22"/>
          <w:szCs w:val="22"/>
        </w:rPr>
      </w:pPr>
      <w:r w:rsidRPr="00082BFE">
        <w:rPr>
          <w:sz w:val="22"/>
          <w:szCs w:val="22"/>
        </w:rPr>
        <w:t>Slovinsko</w:t>
      </w:r>
    </w:p>
    <w:p w:rsidR="003452D3" w:rsidRPr="00082BFE" w:rsidRDefault="003452D3" w:rsidP="00444D67">
      <w:pPr>
        <w:rPr>
          <w:sz w:val="22"/>
          <w:szCs w:val="22"/>
        </w:rPr>
      </w:pPr>
    </w:p>
    <w:p w:rsidR="003452D3" w:rsidRPr="00082BFE" w:rsidRDefault="003452D3" w:rsidP="00444D67">
      <w:pPr>
        <w:rPr>
          <w:sz w:val="22"/>
          <w:szCs w:val="22"/>
        </w:rPr>
      </w:pPr>
    </w:p>
    <w:p w:rsidR="003452D3" w:rsidRPr="00082BFE" w:rsidRDefault="003452D3" w:rsidP="00282312">
      <w:pPr>
        <w:numPr>
          <w:ilvl w:val="0"/>
          <w:numId w:val="7"/>
        </w:numPr>
        <w:tabs>
          <w:tab w:val="clear" w:pos="360"/>
          <w:tab w:val="num" w:pos="720"/>
        </w:tabs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REGISTRAČNÉ ČÍSLO</w:t>
      </w:r>
    </w:p>
    <w:p w:rsidR="003452D3" w:rsidRPr="00082BFE" w:rsidRDefault="003452D3" w:rsidP="00444D67">
      <w:pPr>
        <w:rPr>
          <w:b/>
          <w:sz w:val="22"/>
          <w:szCs w:val="22"/>
        </w:rPr>
      </w:pPr>
    </w:p>
    <w:p w:rsidR="003452D3" w:rsidRPr="00082BFE" w:rsidRDefault="003452D3" w:rsidP="00444D67">
      <w:pPr>
        <w:rPr>
          <w:sz w:val="22"/>
          <w:szCs w:val="22"/>
        </w:rPr>
      </w:pPr>
      <w:r w:rsidRPr="00082BFE">
        <w:rPr>
          <w:sz w:val="22"/>
          <w:szCs w:val="22"/>
        </w:rPr>
        <w:t>09/0048/88-S</w:t>
      </w:r>
    </w:p>
    <w:p w:rsidR="003452D3" w:rsidRPr="00082BFE" w:rsidRDefault="003452D3" w:rsidP="00444D67">
      <w:pPr>
        <w:rPr>
          <w:sz w:val="22"/>
          <w:szCs w:val="22"/>
        </w:rPr>
      </w:pPr>
    </w:p>
    <w:p w:rsidR="003452D3" w:rsidRPr="00082BFE" w:rsidRDefault="003452D3" w:rsidP="00444D67">
      <w:pPr>
        <w:rPr>
          <w:b/>
          <w:sz w:val="22"/>
          <w:szCs w:val="22"/>
        </w:rPr>
      </w:pPr>
    </w:p>
    <w:p w:rsidR="003452D3" w:rsidRPr="00082BFE" w:rsidRDefault="003452D3" w:rsidP="00282312">
      <w:pPr>
        <w:numPr>
          <w:ilvl w:val="0"/>
          <w:numId w:val="7"/>
        </w:numPr>
        <w:tabs>
          <w:tab w:val="clear" w:pos="360"/>
          <w:tab w:val="num" w:pos="720"/>
        </w:tabs>
        <w:rPr>
          <w:b/>
          <w:sz w:val="22"/>
          <w:szCs w:val="22"/>
        </w:rPr>
      </w:pPr>
      <w:r w:rsidRPr="00082BFE">
        <w:rPr>
          <w:b/>
          <w:sz w:val="22"/>
          <w:szCs w:val="22"/>
        </w:rPr>
        <w:t>DÁTUM PRVEJ REGISTRÁCIE/PREDĹŽENIA REGISTRÁCIE</w:t>
      </w:r>
    </w:p>
    <w:p w:rsidR="003452D3" w:rsidRPr="00082BFE" w:rsidRDefault="003452D3" w:rsidP="00282312">
      <w:pPr>
        <w:rPr>
          <w:b/>
          <w:sz w:val="22"/>
          <w:szCs w:val="22"/>
        </w:rPr>
      </w:pPr>
    </w:p>
    <w:p w:rsidR="003452D3" w:rsidRPr="00082BFE" w:rsidRDefault="003452D3" w:rsidP="00444D67">
      <w:pPr>
        <w:rPr>
          <w:sz w:val="22"/>
          <w:szCs w:val="22"/>
        </w:rPr>
      </w:pPr>
      <w:r w:rsidRPr="00082BFE">
        <w:rPr>
          <w:sz w:val="22"/>
          <w:szCs w:val="22"/>
        </w:rPr>
        <w:t>Dátum prvej registrácie: 29. novembra 1988</w:t>
      </w:r>
    </w:p>
    <w:p w:rsidR="003452D3" w:rsidRPr="00082BFE" w:rsidRDefault="003452D3" w:rsidP="00E82FF8">
      <w:pPr>
        <w:rPr>
          <w:sz w:val="22"/>
          <w:szCs w:val="22"/>
        </w:rPr>
      </w:pPr>
      <w:r w:rsidRPr="00082BFE">
        <w:rPr>
          <w:sz w:val="22"/>
          <w:szCs w:val="22"/>
        </w:rPr>
        <w:t xml:space="preserve">Dátum posledného predĺženia registrácie: 25. augusta 2006 </w:t>
      </w:r>
    </w:p>
    <w:p w:rsidR="003452D3" w:rsidRDefault="003452D3" w:rsidP="00444D67">
      <w:pPr>
        <w:rPr>
          <w:b/>
          <w:sz w:val="22"/>
          <w:szCs w:val="22"/>
        </w:rPr>
      </w:pPr>
    </w:p>
    <w:p w:rsidR="00DE7DCE" w:rsidRPr="00082BFE" w:rsidRDefault="00DE7DCE" w:rsidP="00444D67">
      <w:pPr>
        <w:rPr>
          <w:b/>
          <w:sz w:val="22"/>
          <w:szCs w:val="22"/>
        </w:rPr>
      </w:pPr>
    </w:p>
    <w:p w:rsidR="003452D3" w:rsidRPr="00082BFE" w:rsidRDefault="003452D3" w:rsidP="00282312">
      <w:pPr>
        <w:numPr>
          <w:ilvl w:val="0"/>
          <w:numId w:val="7"/>
        </w:numPr>
        <w:tabs>
          <w:tab w:val="clear" w:pos="360"/>
          <w:tab w:val="num" w:pos="720"/>
        </w:tabs>
        <w:rPr>
          <w:sz w:val="22"/>
          <w:szCs w:val="22"/>
        </w:rPr>
      </w:pPr>
      <w:r w:rsidRPr="00082BFE">
        <w:rPr>
          <w:b/>
          <w:sz w:val="22"/>
          <w:szCs w:val="22"/>
        </w:rPr>
        <w:t>DÁTUM REVÍZIE TEXTU</w:t>
      </w:r>
    </w:p>
    <w:p w:rsidR="003452D3" w:rsidRDefault="003452D3" w:rsidP="00444D67">
      <w:pPr>
        <w:rPr>
          <w:sz w:val="22"/>
          <w:szCs w:val="22"/>
        </w:rPr>
      </w:pPr>
    </w:p>
    <w:p w:rsidR="00C90829" w:rsidRPr="00082BFE" w:rsidRDefault="007E1838" w:rsidP="00444D67">
      <w:pPr>
        <w:rPr>
          <w:sz w:val="22"/>
          <w:szCs w:val="22"/>
        </w:rPr>
      </w:pPr>
      <w:r>
        <w:rPr>
          <w:sz w:val="22"/>
          <w:szCs w:val="22"/>
        </w:rPr>
        <w:t>04/</w:t>
      </w:r>
      <w:bookmarkStart w:id="0" w:name="_GoBack"/>
      <w:bookmarkEnd w:id="0"/>
      <w:r w:rsidR="00C90829">
        <w:rPr>
          <w:sz w:val="22"/>
          <w:szCs w:val="22"/>
        </w:rPr>
        <w:t>2016</w:t>
      </w:r>
    </w:p>
    <w:sectPr w:rsidR="00C90829" w:rsidRPr="00082BFE" w:rsidSect="004E2F7C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A5A" w:rsidRDefault="00125A5A">
      <w:r>
        <w:separator/>
      </w:r>
    </w:p>
  </w:endnote>
  <w:endnote w:type="continuationSeparator" w:id="0">
    <w:p w:rsidR="00125A5A" w:rsidRDefault="0012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E83" w:rsidRDefault="009C6E83" w:rsidP="00A77F8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C6E83" w:rsidRDefault="009C6E8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172649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4E2F7C" w:rsidRPr="004E2F7C" w:rsidRDefault="004E2F7C">
        <w:pPr>
          <w:pStyle w:val="Pta"/>
          <w:jc w:val="center"/>
          <w:rPr>
            <w:sz w:val="18"/>
            <w:szCs w:val="18"/>
          </w:rPr>
        </w:pPr>
        <w:r w:rsidRPr="004E2F7C">
          <w:rPr>
            <w:sz w:val="18"/>
            <w:szCs w:val="18"/>
          </w:rPr>
          <w:fldChar w:fldCharType="begin"/>
        </w:r>
        <w:r w:rsidRPr="004E2F7C">
          <w:rPr>
            <w:sz w:val="18"/>
            <w:szCs w:val="18"/>
          </w:rPr>
          <w:instrText xml:space="preserve"> PAGE   \* MERGEFORMAT </w:instrText>
        </w:r>
        <w:r w:rsidRPr="004E2F7C">
          <w:rPr>
            <w:sz w:val="18"/>
            <w:szCs w:val="18"/>
          </w:rPr>
          <w:fldChar w:fldCharType="separate"/>
        </w:r>
        <w:r w:rsidR="007E1838">
          <w:rPr>
            <w:noProof/>
            <w:sz w:val="18"/>
            <w:szCs w:val="18"/>
          </w:rPr>
          <w:t>9</w:t>
        </w:r>
        <w:r w:rsidRPr="004E2F7C">
          <w:rPr>
            <w:noProof/>
            <w:sz w:val="18"/>
            <w:szCs w:val="18"/>
          </w:rPr>
          <w:fldChar w:fldCharType="end"/>
        </w:r>
      </w:p>
    </w:sdtContent>
  </w:sdt>
  <w:p w:rsidR="009C6E83" w:rsidRDefault="009C6E8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201845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4E2F7C" w:rsidRPr="004E2F7C" w:rsidRDefault="004E2F7C">
        <w:pPr>
          <w:pStyle w:val="Pta"/>
          <w:jc w:val="center"/>
          <w:rPr>
            <w:sz w:val="18"/>
            <w:szCs w:val="18"/>
          </w:rPr>
        </w:pPr>
        <w:r w:rsidRPr="004E2F7C">
          <w:rPr>
            <w:sz w:val="18"/>
            <w:szCs w:val="18"/>
          </w:rPr>
          <w:fldChar w:fldCharType="begin"/>
        </w:r>
        <w:r w:rsidRPr="004E2F7C">
          <w:rPr>
            <w:sz w:val="18"/>
            <w:szCs w:val="18"/>
          </w:rPr>
          <w:instrText xml:space="preserve"> PAGE   \* MERGEFORMAT </w:instrText>
        </w:r>
        <w:r w:rsidRPr="004E2F7C">
          <w:rPr>
            <w:sz w:val="18"/>
            <w:szCs w:val="18"/>
          </w:rPr>
          <w:fldChar w:fldCharType="separate"/>
        </w:r>
        <w:r w:rsidR="007E1838">
          <w:rPr>
            <w:noProof/>
            <w:sz w:val="18"/>
            <w:szCs w:val="18"/>
          </w:rPr>
          <w:t>1</w:t>
        </w:r>
        <w:r w:rsidRPr="004E2F7C">
          <w:rPr>
            <w:noProof/>
            <w:sz w:val="18"/>
            <w:szCs w:val="18"/>
          </w:rPr>
          <w:fldChar w:fldCharType="end"/>
        </w:r>
      </w:p>
    </w:sdtContent>
  </w:sdt>
  <w:p w:rsidR="009C6E83" w:rsidRPr="004E2F7C" w:rsidRDefault="009C6E83" w:rsidP="004E2F7C">
    <w:pPr>
      <w:pStyle w:val="Pt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A5A" w:rsidRDefault="00125A5A">
      <w:r>
        <w:separator/>
      </w:r>
    </w:p>
  </w:footnote>
  <w:footnote w:type="continuationSeparator" w:id="0">
    <w:p w:rsidR="00125A5A" w:rsidRDefault="00125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E83" w:rsidRPr="004E2F7C" w:rsidRDefault="009C6E83">
    <w:pPr>
      <w:pStyle w:val="Hlavika"/>
      <w:rPr>
        <w:sz w:val="18"/>
        <w:szCs w:val="18"/>
        <w:lang w:val="sk-SK"/>
      </w:rPr>
    </w:pPr>
    <w:r w:rsidRPr="004E2F7C">
      <w:rPr>
        <w:sz w:val="18"/>
        <w:szCs w:val="18"/>
        <w:lang w:val="sk-SK"/>
      </w:rPr>
      <w:t>Schválený text k</w:t>
    </w:r>
    <w:r w:rsidRPr="00F13525">
      <w:rPr>
        <w:sz w:val="18"/>
        <w:szCs w:val="18"/>
        <w:lang w:val="sk-SK"/>
      </w:rPr>
      <w:t> </w:t>
    </w:r>
    <w:r w:rsidRPr="004E2F7C">
      <w:rPr>
        <w:sz w:val="18"/>
        <w:szCs w:val="18"/>
        <w:lang w:val="sk-SK"/>
      </w:rPr>
      <w:t>rozhodnutiu o</w:t>
    </w:r>
    <w:r w:rsidRPr="00F13525">
      <w:rPr>
        <w:sz w:val="18"/>
        <w:szCs w:val="18"/>
        <w:lang w:val="sk-SK"/>
      </w:rPr>
      <w:t> </w:t>
    </w:r>
    <w:r w:rsidRPr="004E2F7C">
      <w:rPr>
        <w:sz w:val="18"/>
        <w:szCs w:val="18"/>
        <w:lang w:val="sk-SK"/>
      </w:rPr>
      <w:t>zmene, ev. č.: 2014/07694-ZME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02BB"/>
    <w:multiLevelType w:val="multilevel"/>
    <w:tmpl w:val="998C3254"/>
    <w:lvl w:ilvl="0">
      <w:start w:val="5"/>
      <w:numFmt w:val="decimal"/>
      <w:pStyle w:val="Nadpis2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DB86DD4"/>
    <w:multiLevelType w:val="hybridMultilevel"/>
    <w:tmpl w:val="3472544A"/>
    <w:lvl w:ilvl="0" w:tplc="2A323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39C8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6812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A255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BEF1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D0D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22D1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8006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9A4E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2285E"/>
    <w:multiLevelType w:val="hybridMultilevel"/>
    <w:tmpl w:val="041E689E"/>
    <w:lvl w:ilvl="0" w:tplc="897033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35D64"/>
    <w:multiLevelType w:val="multilevel"/>
    <w:tmpl w:val="3668BE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50215C8"/>
    <w:multiLevelType w:val="hybridMultilevel"/>
    <w:tmpl w:val="B6D0FEE0"/>
    <w:lvl w:ilvl="0" w:tplc="5F385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241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AA5B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BECE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D427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948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F452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DCA9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A4CF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32DF5"/>
    <w:multiLevelType w:val="hybridMultilevel"/>
    <w:tmpl w:val="86B8B42E"/>
    <w:lvl w:ilvl="0" w:tplc="F8F8F5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68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ECD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CA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307A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62E8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BC3C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0C2A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7C6C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564C7"/>
    <w:multiLevelType w:val="hybridMultilevel"/>
    <w:tmpl w:val="C68461CC"/>
    <w:lvl w:ilvl="0" w:tplc="64F0A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F4F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BA9D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FAA2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7CD4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44A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901B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8CB2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462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847BE"/>
    <w:multiLevelType w:val="hybridMultilevel"/>
    <w:tmpl w:val="EC4A99C8"/>
    <w:lvl w:ilvl="0" w:tplc="FD7418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1EAF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88AD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388B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C440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E880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9EC8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866F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1CF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948AB"/>
    <w:multiLevelType w:val="multilevel"/>
    <w:tmpl w:val="BDC82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9213D70"/>
    <w:multiLevelType w:val="hybridMultilevel"/>
    <w:tmpl w:val="5BD439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C22C5"/>
    <w:multiLevelType w:val="hybridMultilevel"/>
    <w:tmpl w:val="034CE3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9AF12F1"/>
    <w:multiLevelType w:val="hybridMultilevel"/>
    <w:tmpl w:val="7BAC01AE"/>
    <w:lvl w:ilvl="0" w:tplc="D8C234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8D5F86"/>
    <w:multiLevelType w:val="hybridMultilevel"/>
    <w:tmpl w:val="E23242F6"/>
    <w:lvl w:ilvl="0" w:tplc="29F86D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FA9E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B80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9686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58B5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078AE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003B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B897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08A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E753A"/>
    <w:multiLevelType w:val="multilevel"/>
    <w:tmpl w:val="774AE1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BE81F46"/>
    <w:multiLevelType w:val="singleLevel"/>
    <w:tmpl w:val="852A1AA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2D65498C"/>
    <w:multiLevelType w:val="hybridMultilevel"/>
    <w:tmpl w:val="6E36B0F8"/>
    <w:lvl w:ilvl="0" w:tplc="7E1C9D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E031B1"/>
    <w:multiLevelType w:val="hybridMultilevel"/>
    <w:tmpl w:val="271CC9BE"/>
    <w:lvl w:ilvl="0" w:tplc="1E3A20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72A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860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EA68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C66D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BEF9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E426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2A9F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4C8E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73276A"/>
    <w:multiLevelType w:val="hybridMultilevel"/>
    <w:tmpl w:val="87122678"/>
    <w:lvl w:ilvl="0" w:tplc="427E61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483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349F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DE04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35864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5CB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778E0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405B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F85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F45692"/>
    <w:multiLevelType w:val="hybridMultilevel"/>
    <w:tmpl w:val="ED1AA12C"/>
    <w:lvl w:ilvl="0" w:tplc="B1C8E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703C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8694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3207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CADF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945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E43E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0A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BA73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66656A"/>
    <w:multiLevelType w:val="multilevel"/>
    <w:tmpl w:val="8B56CD30"/>
    <w:lvl w:ilvl="0">
      <w:start w:val="4"/>
      <w:numFmt w:val="decimal"/>
      <w:pStyle w:val="Nadpis6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B4C7224"/>
    <w:multiLevelType w:val="hybridMultilevel"/>
    <w:tmpl w:val="2C1488D6"/>
    <w:lvl w:ilvl="0" w:tplc="DE643D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8ADB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72D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9255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86C7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8AC8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44DB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34BD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1E2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872556"/>
    <w:multiLevelType w:val="hybridMultilevel"/>
    <w:tmpl w:val="094C14DC"/>
    <w:lvl w:ilvl="0" w:tplc="BEFE8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684A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F06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4C2B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5404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BC4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08C3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9C47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5C29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D4498A"/>
    <w:multiLevelType w:val="hybridMultilevel"/>
    <w:tmpl w:val="CA1E99B6"/>
    <w:lvl w:ilvl="0" w:tplc="83D05B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20D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2684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2CB6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51640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F259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D89D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324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8C6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941D85"/>
    <w:multiLevelType w:val="hybridMultilevel"/>
    <w:tmpl w:val="65585A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C5194"/>
    <w:multiLevelType w:val="hybridMultilevel"/>
    <w:tmpl w:val="D30CF126"/>
    <w:lvl w:ilvl="0" w:tplc="04C2ED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0238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1CA6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FEEA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0A2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805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F6DA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B6C5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CC4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F239EF"/>
    <w:multiLevelType w:val="hybridMultilevel"/>
    <w:tmpl w:val="950ECF7C"/>
    <w:lvl w:ilvl="0" w:tplc="88B27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C617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B02F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7A96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4851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287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3C2F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0EDA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7E43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1B4AA2"/>
    <w:multiLevelType w:val="hybridMultilevel"/>
    <w:tmpl w:val="B986C42E"/>
    <w:lvl w:ilvl="0" w:tplc="8F40F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588E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CEB2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304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B64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DCC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388D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D234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AC5D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8E727A"/>
    <w:multiLevelType w:val="hybridMultilevel"/>
    <w:tmpl w:val="DF9276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0"/>
  </w:num>
  <w:num w:numId="4">
    <w:abstractNumId w:val="13"/>
  </w:num>
  <w:num w:numId="5">
    <w:abstractNumId w:val="15"/>
  </w:num>
  <w:num w:numId="6">
    <w:abstractNumId w:val="3"/>
  </w:num>
  <w:num w:numId="7">
    <w:abstractNumId w:val="11"/>
  </w:num>
  <w:num w:numId="8">
    <w:abstractNumId w:val="14"/>
  </w:num>
  <w:num w:numId="9">
    <w:abstractNumId w:val="23"/>
  </w:num>
  <w:num w:numId="10">
    <w:abstractNumId w:val="27"/>
  </w:num>
  <w:num w:numId="11">
    <w:abstractNumId w:val="26"/>
  </w:num>
  <w:num w:numId="12">
    <w:abstractNumId w:val="25"/>
  </w:num>
  <w:num w:numId="13">
    <w:abstractNumId w:val="17"/>
  </w:num>
  <w:num w:numId="14">
    <w:abstractNumId w:val="21"/>
  </w:num>
  <w:num w:numId="15">
    <w:abstractNumId w:val="5"/>
  </w:num>
  <w:num w:numId="16">
    <w:abstractNumId w:val="7"/>
  </w:num>
  <w:num w:numId="17">
    <w:abstractNumId w:val="6"/>
  </w:num>
  <w:num w:numId="18">
    <w:abstractNumId w:val="22"/>
  </w:num>
  <w:num w:numId="19">
    <w:abstractNumId w:val="20"/>
  </w:num>
  <w:num w:numId="20">
    <w:abstractNumId w:val="18"/>
  </w:num>
  <w:num w:numId="21">
    <w:abstractNumId w:val="24"/>
  </w:num>
  <w:num w:numId="22">
    <w:abstractNumId w:val="12"/>
  </w:num>
  <w:num w:numId="23">
    <w:abstractNumId w:val="4"/>
  </w:num>
  <w:num w:numId="24">
    <w:abstractNumId w:val="1"/>
  </w:num>
  <w:num w:numId="25">
    <w:abstractNumId w:val="16"/>
  </w:num>
  <w:num w:numId="26">
    <w:abstractNumId w:val="10"/>
  </w:num>
  <w:num w:numId="27">
    <w:abstractNumId w:val="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30"/>
    <w:rsid w:val="00005FF1"/>
    <w:rsid w:val="00006113"/>
    <w:rsid w:val="000073D2"/>
    <w:rsid w:val="00014C99"/>
    <w:rsid w:val="00024E2A"/>
    <w:rsid w:val="00027BE8"/>
    <w:rsid w:val="000361EE"/>
    <w:rsid w:val="000462ED"/>
    <w:rsid w:val="00061A9A"/>
    <w:rsid w:val="00062FFD"/>
    <w:rsid w:val="000700DE"/>
    <w:rsid w:val="00074EAE"/>
    <w:rsid w:val="00074F2E"/>
    <w:rsid w:val="00081B6C"/>
    <w:rsid w:val="00082BFE"/>
    <w:rsid w:val="00086305"/>
    <w:rsid w:val="000A24BE"/>
    <w:rsid w:val="000A5830"/>
    <w:rsid w:val="000D192E"/>
    <w:rsid w:val="000D7487"/>
    <w:rsid w:val="000E1C9D"/>
    <w:rsid w:val="000F0FC4"/>
    <w:rsid w:val="000F2AE1"/>
    <w:rsid w:val="000F6680"/>
    <w:rsid w:val="00102111"/>
    <w:rsid w:val="00103C14"/>
    <w:rsid w:val="00114AED"/>
    <w:rsid w:val="0012547F"/>
    <w:rsid w:val="00125A5A"/>
    <w:rsid w:val="00142332"/>
    <w:rsid w:val="00144F1E"/>
    <w:rsid w:val="00153297"/>
    <w:rsid w:val="001561B7"/>
    <w:rsid w:val="0015731F"/>
    <w:rsid w:val="00163650"/>
    <w:rsid w:val="00163DFF"/>
    <w:rsid w:val="00170A9D"/>
    <w:rsid w:val="00171434"/>
    <w:rsid w:val="00185E28"/>
    <w:rsid w:val="0018687B"/>
    <w:rsid w:val="0019471C"/>
    <w:rsid w:val="001957A2"/>
    <w:rsid w:val="00195BFB"/>
    <w:rsid w:val="001B2412"/>
    <w:rsid w:val="001C5C77"/>
    <w:rsid w:val="001F2631"/>
    <w:rsid w:val="001F2BD8"/>
    <w:rsid w:val="00206B30"/>
    <w:rsid w:val="00207FB0"/>
    <w:rsid w:val="00211CBA"/>
    <w:rsid w:val="002133D3"/>
    <w:rsid w:val="002162FE"/>
    <w:rsid w:val="00217C1D"/>
    <w:rsid w:val="0023038B"/>
    <w:rsid w:val="00230D24"/>
    <w:rsid w:val="0023528C"/>
    <w:rsid w:val="00245CDD"/>
    <w:rsid w:val="0025643C"/>
    <w:rsid w:val="00257C90"/>
    <w:rsid w:val="00257D64"/>
    <w:rsid w:val="00265D48"/>
    <w:rsid w:val="00265FAD"/>
    <w:rsid w:val="00270842"/>
    <w:rsid w:val="002773AC"/>
    <w:rsid w:val="0028174E"/>
    <w:rsid w:val="00281CF5"/>
    <w:rsid w:val="00282312"/>
    <w:rsid w:val="002854AD"/>
    <w:rsid w:val="002A3AB3"/>
    <w:rsid w:val="002B1FB5"/>
    <w:rsid w:val="002B2A61"/>
    <w:rsid w:val="002B7557"/>
    <w:rsid w:val="002C0BE0"/>
    <w:rsid w:val="002C6DD4"/>
    <w:rsid w:val="002D0ED9"/>
    <w:rsid w:val="002E178D"/>
    <w:rsid w:val="002F3C97"/>
    <w:rsid w:val="002F40D2"/>
    <w:rsid w:val="0030325A"/>
    <w:rsid w:val="00320178"/>
    <w:rsid w:val="003211D4"/>
    <w:rsid w:val="00323476"/>
    <w:rsid w:val="00340957"/>
    <w:rsid w:val="00345215"/>
    <w:rsid w:val="003452D3"/>
    <w:rsid w:val="00352806"/>
    <w:rsid w:val="0035484C"/>
    <w:rsid w:val="00357383"/>
    <w:rsid w:val="003A2DE6"/>
    <w:rsid w:val="003A6668"/>
    <w:rsid w:val="003C526B"/>
    <w:rsid w:val="003E088A"/>
    <w:rsid w:val="003E7FB4"/>
    <w:rsid w:val="003F0BB9"/>
    <w:rsid w:val="00401540"/>
    <w:rsid w:val="00401D86"/>
    <w:rsid w:val="00404385"/>
    <w:rsid w:val="0041649E"/>
    <w:rsid w:val="00423A67"/>
    <w:rsid w:val="00444C59"/>
    <w:rsid w:val="00444D67"/>
    <w:rsid w:val="004451D3"/>
    <w:rsid w:val="00445897"/>
    <w:rsid w:val="00452E05"/>
    <w:rsid w:val="004551D1"/>
    <w:rsid w:val="00455A5C"/>
    <w:rsid w:val="00455DC4"/>
    <w:rsid w:val="0045619A"/>
    <w:rsid w:val="0046325E"/>
    <w:rsid w:val="004655B4"/>
    <w:rsid w:val="00465D53"/>
    <w:rsid w:val="004663B2"/>
    <w:rsid w:val="004812FF"/>
    <w:rsid w:val="004814C4"/>
    <w:rsid w:val="00485FDD"/>
    <w:rsid w:val="00487D30"/>
    <w:rsid w:val="004909FA"/>
    <w:rsid w:val="00496135"/>
    <w:rsid w:val="004972A7"/>
    <w:rsid w:val="004A0224"/>
    <w:rsid w:val="004A0F1A"/>
    <w:rsid w:val="004A1015"/>
    <w:rsid w:val="004A1F44"/>
    <w:rsid w:val="004B11A0"/>
    <w:rsid w:val="004C58FB"/>
    <w:rsid w:val="004C5CD9"/>
    <w:rsid w:val="004D03EA"/>
    <w:rsid w:val="004D188A"/>
    <w:rsid w:val="004D4025"/>
    <w:rsid w:val="004D6020"/>
    <w:rsid w:val="004D6DEB"/>
    <w:rsid w:val="004E2F7C"/>
    <w:rsid w:val="004E32B7"/>
    <w:rsid w:val="004F038F"/>
    <w:rsid w:val="00504B79"/>
    <w:rsid w:val="00507143"/>
    <w:rsid w:val="005159BE"/>
    <w:rsid w:val="00530501"/>
    <w:rsid w:val="00534CE8"/>
    <w:rsid w:val="0055160A"/>
    <w:rsid w:val="00562814"/>
    <w:rsid w:val="00567AD5"/>
    <w:rsid w:val="00595B1E"/>
    <w:rsid w:val="00597153"/>
    <w:rsid w:val="005A130E"/>
    <w:rsid w:val="005A2CAC"/>
    <w:rsid w:val="005B6BE6"/>
    <w:rsid w:val="005B7B98"/>
    <w:rsid w:val="005C0076"/>
    <w:rsid w:val="005C1687"/>
    <w:rsid w:val="005C1D80"/>
    <w:rsid w:val="005D5718"/>
    <w:rsid w:val="005E1EF3"/>
    <w:rsid w:val="005E595F"/>
    <w:rsid w:val="005F4C04"/>
    <w:rsid w:val="00603AA1"/>
    <w:rsid w:val="006075D6"/>
    <w:rsid w:val="006328DB"/>
    <w:rsid w:val="0063566E"/>
    <w:rsid w:val="0064457B"/>
    <w:rsid w:val="00644A37"/>
    <w:rsid w:val="00644C5E"/>
    <w:rsid w:val="00645B11"/>
    <w:rsid w:val="00652516"/>
    <w:rsid w:val="006534D3"/>
    <w:rsid w:val="00662815"/>
    <w:rsid w:val="00667313"/>
    <w:rsid w:val="006A5915"/>
    <w:rsid w:val="006B220F"/>
    <w:rsid w:val="006B3824"/>
    <w:rsid w:val="006D1335"/>
    <w:rsid w:val="006D1C00"/>
    <w:rsid w:val="006D504B"/>
    <w:rsid w:val="006E222A"/>
    <w:rsid w:val="006E41C2"/>
    <w:rsid w:val="006E6B24"/>
    <w:rsid w:val="006F57A3"/>
    <w:rsid w:val="006F5D50"/>
    <w:rsid w:val="006F5D5F"/>
    <w:rsid w:val="006F6862"/>
    <w:rsid w:val="00716471"/>
    <w:rsid w:val="00727D6B"/>
    <w:rsid w:val="0073022F"/>
    <w:rsid w:val="0073656F"/>
    <w:rsid w:val="007368D3"/>
    <w:rsid w:val="007461AB"/>
    <w:rsid w:val="00747F4F"/>
    <w:rsid w:val="00753DF6"/>
    <w:rsid w:val="0076251E"/>
    <w:rsid w:val="007653F0"/>
    <w:rsid w:val="00767867"/>
    <w:rsid w:val="00786D8A"/>
    <w:rsid w:val="007A6E20"/>
    <w:rsid w:val="007B38FB"/>
    <w:rsid w:val="007C1EC3"/>
    <w:rsid w:val="007C51A5"/>
    <w:rsid w:val="007C6895"/>
    <w:rsid w:val="007C7E49"/>
    <w:rsid w:val="007D7BDC"/>
    <w:rsid w:val="007E1838"/>
    <w:rsid w:val="007E3B1D"/>
    <w:rsid w:val="007E3EEB"/>
    <w:rsid w:val="007E7A19"/>
    <w:rsid w:val="007F0882"/>
    <w:rsid w:val="007F3D6A"/>
    <w:rsid w:val="0081343A"/>
    <w:rsid w:val="008167E1"/>
    <w:rsid w:val="00821935"/>
    <w:rsid w:val="00830A0A"/>
    <w:rsid w:val="00841D16"/>
    <w:rsid w:val="00844806"/>
    <w:rsid w:val="00846147"/>
    <w:rsid w:val="0084774C"/>
    <w:rsid w:val="00850914"/>
    <w:rsid w:val="00851AD7"/>
    <w:rsid w:val="00852EAF"/>
    <w:rsid w:val="00854DBE"/>
    <w:rsid w:val="00855652"/>
    <w:rsid w:val="00866FF5"/>
    <w:rsid w:val="00877560"/>
    <w:rsid w:val="00884EAE"/>
    <w:rsid w:val="00890E22"/>
    <w:rsid w:val="00895B9A"/>
    <w:rsid w:val="008A0B05"/>
    <w:rsid w:val="008A690B"/>
    <w:rsid w:val="008B035E"/>
    <w:rsid w:val="008B06C1"/>
    <w:rsid w:val="008B1B98"/>
    <w:rsid w:val="008B4E1D"/>
    <w:rsid w:val="008C229F"/>
    <w:rsid w:val="008D1425"/>
    <w:rsid w:val="008D5291"/>
    <w:rsid w:val="008E1F14"/>
    <w:rsid w:val="008E3527"/>
    <w:rsid w:val="008E74DD"/>
    <w:rsid w:val="008F74E5"/>
    <w:rsid w:val="00913087"/>
    <w:rsid w:val="00926422"/>
    <w:rsid w:val="0093126C"/>
    <w:rsid w:val="009373F8"/>
    <w:rsid w:val="00942276"/>
    <w:rsid w:val="0094365F"/>
    <w:rsid w:val="00950396"/>
    <w:rsid w:val="00950693"/>
    <w:rsid w:val="00967EB3"/>
    <w:rsid w:val="00971E15"/>
    <w:rsid w:val="009735F8"/>
    <w:rsid w:val="009849BE"/>
    <w:rsid w:val="00984AF9"/>
    <w:rsid w:val="009A1FB4"/>
    <w:rsid w:val="009B4EEB"/>
    <w:rsid w:val="009C08A1"/>
    <w:rsid w:val="009C6097"/>
    <w:rsid w:val="009C6E83"/>
    <w:rsid w:val="009D2C12"/>
    <w:rsid w:val="009E099B"/>
    <w:rsid w:val="009E1552"/>
    <w:rsid w:val="009E55D5"/>
    <w:rsid w:val="009E6057"/>
    <w:rsid w:val="00A03167"/>
    <w:rsid w:val="00A13D84"/>
    <w:rsid w:val="00A14998"/>
    <w:rsid w:val="00A14DA0"/>
    <w:rsid w:val="00A16554"/>
    <w:rsid w:val="00A16C79"/>
    <w:rsid w:val="00A17F6B"/>
    <w:rsid w:val="00A21734"/>
    <w:rsid w:val="00A22D74"/>
    <w:rsid w:val="00A232EC"/>
    <w:rsid w:val="00A404E3"/>
    <w:rsid w:val="00A40F0A"/>
    <w:rsid w:val="00A43208"/>
    <w:rsid w:val="00A504EE"/>
    <w:rsid w:val="00A60A84"/>
    <w:rsid w:val="00A61DCC"/>
    <w:rsid w:val="00A62807"/>
    <w:rsid w:val="00A62B5F"/>
    <w:rsid w:val="00A734B6"/>
    <w:rsid w:val="00A74E5C"/>
    <w:rsid w:val="00A77F8A"/>
    <w:rsid w:val="00A90008"/>
    <w:rsid w:val="00A9010E"/>
    <w:rsid w:val="00A95CE2"/>
    <w:rsid w:val="00AA2EA7"/>
    <w:rsid w:val="00AA7772"/>
    <w:rsid w:val="00AB4263"/>
    <w:rsid w:val="00AB5718"/>
    <w:rsid w:val="00AC4B38"/>
    <w:rsid w:val="00AD2DAC"/>
    <w:rsid w:val="00AD6D96"/>
    <w:rsid w:val="00AE0D0D"/>
    <w:rsid w:val="00AE342F"/>
    <w:rsid w:val="00AE44CC"/>
    <w:rsid w:val="00AF560A"/>
    <w:rsid w:val="00B05D71"/>
    <w:rsid w:val="00B13AA1"/>
    <w:rsid w:val="00B17577"/>
    <w:rsid w:val="00B21029"/>
    <w:rsid w:val="00B2109F"/>
    <w:rsid w:val="00B33429"/>
    <w:rsid w:val="00B473D5"/>
    <w:rsid w:val="00B503E4"/>
    <w:rsid w:val="00B5777C"/>
    <w:rsid w:val="00B638A9"/>
    <w:rsid w:val="00B6554E"/>
    <w:rsid w:val="00B661EC"/>
    <w:rsid w:val="00B7587D"/>
    <w:rsid w:val="00B77F1C"/>
    <w:rsid w:val="00B97B37"/>
    <w:rsid w:val="00BB11DD"/>
    <w:rsid w:val="00BB1D0A"/>
    <w:rsid w:val="00BB5610"/>
    <w:rsid w:val="00BE022F"/>
    <w:rsid w:val="00BE7CF9"/>
    <w:rsid w:val="00C03EA6"/>
    <w:rsid w:val="00C06201"/>
    <w:rsid w:val="00C133E0"/>
    <w:rsid w:val="00C43D36"/>
    <w:rsid w:val="00C56EB1"/>
    <w:rsid w:val="00C56F36"/>
    <w:rsid w:val="00C57281"/>
    <w:rsid w:val="00C661AD"/>
    <w:rsid w:val="00C77AB6"/>
    <w:rsid w:val="00C90829"/>
    <w:rsid w:val="00C93F3F"/>
    <w:rsid w:val="00CA30A4"/>
    <w:rsid w:val="00CD4AAA"/>
    <w:rsid w:val="00CE3FD5"/>
    <w:rsid w:val="00CF6641"/>
    <w:rsid w:val="00D1133F"/>
    <w:rsid w:val="00D12EF2"/>
    <w:rsid w:val="00D15EFF"/>
    <w:rsid w:val="00D163A0"/>
    <w:rsid w:val="00D218D1"/>
    <w:rsid w:val="00D4106D"/>
    <w:rsid w:val="00D45DAF"/>
    <w:rsid w:val="00D53A5D"/>
    <w:rsid w:val="00D55F11"/>
    <w:rsid w:val="00D56953"/>
    <w:rsid w:val="00D7725D"/>
    <w:rsid w:val="00D833E2"/>
    <w:rsid w:val="00D84EA8"/>
    <w:rsid w:val="00D85011"/>
    <w:rsid w:val="00D87D43"/>
    <w:rsid w:val="00D94685"/>
    <w:rsid w:val="00DA566B"/>
    <w:rsid w:val="00DA6181"/>
    <w:rsid w:val="00DC162F"/>
    <w:rsid w:val="00DE619C"/>
    <w:rsid w:val="00DE7A2C"/>
    <w:rsid w:val="00DE7DCE"/>
    <w:rsid w:val="00DF238E"/>
    <w:rsid w:val="00DF2F31"/>
    <w:rsid w:val="00E01987"/>
    <w:rsid w:val="00E01B22"/>
    <w:rsid w:val="00E14190"/>
    <w:rsid w:val="00E26DB5"/>
    <w:rsid w:val="00E31E1F"/>
    <w:rsid w:val="00E438A4"/>
    <w:rsid w:val="00E4536B"/>
    <w:rsid w:val="00E45501"/>
    <w:rsid w:val="00E46779"/>
    <w:rsid w:val="00E60502"/>
    <w:rsid w:val="00E72D96"/>
    <w:rsid w:val="00E8213F"/>
    <w:rsid w:val="00E82FF8"/>
    <w:rsid w:val="00E87FD8"/>
    <w:rsid w:val="00E931CE"/>
    <w:rsid w:val="00EB2E99"/>
    <w:rsid w:val="00EB6166"/>
    <w:rsid w:val="00EC3048"/>
    <w:rsid w:val="00EC418D"/>
    <w:rsid w:val="00EC5ED6"/>
    <w:rsid w:val="00EC68B6"/>
    <w:rsid w:val="00ED23F1"/>
    <w:rsid w:val="00ED6F0D"/>
    <w:rsid w:val="00EE3016"/>
    <w:rsid w:val="00EE3877"/>
    <w:rsid w:val="00EE557C"/>
    <w:rsid w:val="00EF5B7F"/>
    <w:rsid w:val="00F066B4"/>
    <w:rsid w:val="00F06AA8"/>
    <w:rsid w:val="00F13525"/>
    <w:rsid w:val="00F2034A"/>
    <w:rsid w:val="00F24AA8"/>
    <w:rsid w:val="00F561CA"/>
    <w:rsid w:val="00F67F81"/>
    <w:rsid w:val="00F77EDC"/>
    <w:rsid w:val="00F80C4C"/>
    <w:rsid w:val="00F81987"/>
    <w:rsid w:val="00F918D1"/>
    <w:rsid w:val="00F93A0F"/>
    <w:rsid w:val="00F96E6B"/>
    <w:rsid w:val="00F97615"/>
    <w:rsid w:val="00FA6174"/>
    <w:rsid w:val="00FB1AC7"/>
    <w:rsid w:val="00FB23AC"/>
    <w:rsid w:val="00FC64C1"/>
    <w:rsid w:val="00FC7941"/>
    <w:rsid w:val="00FD7D7C"/>
    <w:rsid w:val="00FE3A40"/>
    <w:rsid w:val="00FE56F7"/>
    <w:rsid w:val="00FE5C6D"/>
    <w:rsid w:val="00FF02F5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0DFB3B-9F5F-4E5E-96E8-E4D826CC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3525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13525"/>
    <w:pPr>
      <w:keepNext/>
      <w:autoSpaceDE w:val="0"/>
      <w:autoSpaceDN w:val="0"/>
      <w:ind w:left="709"/>
      <w:jc w:val="both"/>
      <w:outlineLvl w:val="0"/>
    </w:pPr>
    <w:rPr>
      <w:i/>
      <w:iCs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13525"/>
    <w:pPr>
      <w:keepNext/>
      <w:numPr>
        <w:numId w:val="3"/>
      </w:numPr>
      <w:spacing w:before="120" w:after="120"/>
      <w:outlineLvl w:val="1"/>
    </w:pPr>
    <w:rPr>
      <w:rFonts w:ascii="Arial" w:hAnsi="Arial"/>
      <w:b/>
      <w:sz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F13525"/>
    <w:pPr>
      <w:keepNext/>
      <w:outlineLvl w:val="2"/>
    </w:pPr>
    <w:rPr>
      <w:rFonts w:ascii="Arial" w:hAnsi="Arial"/>
      <w:b/>
      <w:sz w:val="1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13525"/>
    <w:pPr>
      <w:keepNext/>
      <w:outlineLvl w:val="4"/>
    </w:pPr>
    <w:rPr>
      <w:b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13525"/>
    <w:pPr>
      <w:keepNext/>
      <w:numPr>
        <w:numId w:val="2"/>
      </w:numPr>
      <w:spacing w:before="120" w:after="120"/>
      <w:ind w:left="357" w:hanging="357"/>
      <w:outlineLvl w:val="5"/>
    </w:pPr>
    <w:rPr>
      <w:rFonts w:ascii="Arial" w:hAnsi="Arial"/>
      <w:b/>
      <w:sz w:val="20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13525"/>
    <w:pPr>
      <w:keepNext/>
      <w:jc w:val="both"/>
      <w:outlineLvl w:val="7"/>
    </w:pPr>
    <w:rPr>
      <w:b/>
      <w:bCs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5CD1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05CD1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05CD1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05CD1"/>
    <w:rPr>
      <w:rFonts w:asciiTheme="minorHAnsi" w:eastAsiaTheme="minorEastAsia" w:hAnsiTheme="minorHAnsi" w:cstheme="minorBidi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05CD1"/>
    <w:rPr>
      <w:rFonts w:asciiTheme="minorHAnsi" w:eastAsiaTheme="minorEastAsia" w:hAnsiTheme="minorHAnsi" w:cstheme="minorBidi"/>
      <w:b/>
      <w:bCs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05CD1"/>
    <w:rPr>
      <w:rFonts w:asciiTheme="minorHAnsi" w:eastAsiaTheme="minorEastAsia" w:hAnsiTheme="minorHAnsi" w:cstheme="minorBidi"/>
      <w:i/>
      <w:iCs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rsid w:val="00F13525"/>
    <w:pPr>
      <w:spacing w:before="120" w:after="120"/>
    </w:pPr>
    <w:rPr>
      <w:rFonts w:ascii="Geneva" w:hAnsi="Geneva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05CD1"/>
    <w:rPr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F13525"/>
    <w:pPr>
      <w:jc w:val="both"/>
    </w:pPr>
    <w:rPr>
      <w:rFonts w:cs="Arial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05CD1"/>
    <w:rPr>
      <w:sz w:val="24"/>
      <w:szCs w:val="24"/>
      <w:lang w:eastAsia="cs-CZ"/>
    </w:rPr>
  </w:style>
  <w:style w:type="character" w:customStyle="1" w:styleId="headline">
    <w:name w:val="headline"/>
    <w:basedOn w:val="Predvolenpsmoodseku"/>
    <w:uiPriority w:val="99"/>
    <w:rsid w:val="00F13525"/>
    <w:rPr>
      <w:rFonts w:cs="Times New Roman"/>
    </w:rPr>
  </w:style>
  <w:style w:type="paragraph" w:styleId="Normlnywebov">
    <w:name w:val="Normal (Web)"/>
    <w:basedOn w:val="Normlny"/>
    <w:uiPriority w:val="99"/>
    <w:rsid w:val="00F13525"/>
    <w:pPr>
      <w:spacing w:before="100" w:beforeAutospacing="1" w:after="100" w:afterAutospacing="1"/>
    </w:pPr>
  </w:style>
  <w:style w:type="paragraph" w:styleId="Zkladntext">
    <w:name w:val="Body Text"/>
    <w:basedOn w:val="Normlny"/>
    <w:link w:val="ZkladntextChar"/>
    <w:uiPriority w:val="99"/>
    <w:rsid w:val="00F13525"/>
    <w:pPr>
      <w:jc w:val="both"/>
    </w:pPr>
    <w:rPr>
      <w:rFonts w:ascii="Arial" w:hAnsi="Arial" w:cs="Arial"/>
      <w:noProof/>
      <w:sz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05CD1"/>
    <w:rPr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F13525"/>
    <w:pPr>
      <w:tabs>
        <w:tab w:val="center" w:pos="4536"/>
        <w:tab w:val="right" w:pos="9072"/>
      </w:tabs>
    </w:pPr>
    <w:rPr>
      <w:szCs w:val="20"/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B05CD1"/>
    <w:rPr>
      <w:sz w:val="24"/>
      <w:szCs w:val="24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F13525"/>
    <w:pPr>
      <w:autoSpaceDE w:val="0"/>
      <w:autoSpaceDN w:val="0"/>
      <w:ind w:left="709"/>
      <w:jc w:val="both"/>
    </w:pPr>
    <w:rPr>
      <w:lang w:val="en-US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B05CD1"/>
    <w:rPr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F13525"/>
    <w:pPr>
      <w:spacing w:before="120"/>
      <w:ind w:left="360"/>
      <w:jc w:val="both"/>
    </w:pPr>
    <w:rPr>
      <w:rFonts w:ascii="Arial" w:hAnsi="Arial" w:cs="Arial"/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05CD1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E26D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5CD1"/>
    <w:rPr>
      <w:sz w:val="0"/>
      <w:szCs w:val="0"/>
      <w:lang w:eastAsia="cs-CZ"/>
    </w:rPr>
  </w:style>
  <w:style w:type="paragraph" w:styleId="Pta">
    <w:name w:val="footer"/>
    <w:basedOn w:val="Normlny"/>
    <w:link w:val="PtaChar"/>
    <w:uiPriority w:val="99"/>
    <w:rsid w:val="00A77F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05CD1"/>
    <w:rPr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rsid w:val="00A77F8A"/>
    <w:rPr>
      <w:rFonts w:cs="Times New Roman"/>
    </w:rPr>
  </w:style>
  <w:style w:type="character" w:customStyle="1" w:styleId="hps">
    <w:name w:val="hps"/>
    <w:uiPriority w:val="99"/>
    <w:rsid w:val="00C661AD"/>
  </w:style>
  <w:style w:type="table" w:styleId="Mriekatabuky">
    <w:name w:val="Table Grid"/>
    <w:basedOn w:val="Normlnatabuka"/>
    <w:uiPriority w:val="99"/>
    <w:rsid w:val="00AD6D96"/>
    <w:rPr>
      <w:rFonts w:ascii="New York" w:hAnsi="New Yor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B220F"/>
    <w:rPr>
      <w:sz w:val="24"/>
      <w:szCs w:val="24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rsid w:val="002C6DD4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C6DD4"/>
    <w:rPr>
      <w:sz w:val="20"/>
      <w:szCs w:val="20"/>
      <w:lang w:val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2C6DD4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C6D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C6DD4"/>
    <w:rPr>
      <w:b/>
      <w:lang w:val="cs-CZ" w:eastAsia="cs-CZ"/>
    </w:rPr>
  </w:style>
  <w:style w:type="paragraph" w:customStyle="1" w:styleId="Default">
    <w:name w:val="Default"/>
    <w:uiPriority w:val="99"/>
    <w:rsid w:val="002C6D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rsid w:val="00F77EDC"/>
    <w:rPr>
      <w:rFonts w:cs="Times New Roman"/>
      <w:color w:val="0000FF"/>
      <w:u w:val="single"/>
    </w:rPr>
  </w:style>
  <w:style w:type="character" w:customStyle="1" w:styleId="DONOTTRANSLATE">
    <w:name w:val="DO_NOT_TRANSLATE"/>
    <w:uiPriority w:val="99"/>
    <w:rsid w:val="00F77EDC"/>
    <w:rPr>
      <w:rFonts w:ascii="Courier New" w:hAnsi="Courier New"/>
      <w:noProof/>
      <w:color w:val="800000"/>
    </w:rPr>
  </w:style>
  <w:style w:type="paragraph" w:styleId="Odsekzoznamu">
    <w:name w:val="List Paragraph"/>
    <w:basedOn w:val="Normlny"/>
    <w:uiPriority w:val="34"/>
    <w:qFormat/>
    <w:rsid w:val="008D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96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6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8496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6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6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8496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6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6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8496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6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6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8496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6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3340</Words>
  <Characters>19042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LEK</Company>
  <LinksUpToDate>false</LinksUpToDate>
  <CharactersWithSpaces>22338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Anna Sandorova</dc:creator>
  <cp:lastModifiedBy>Killingerová, Zdenka</cp:lastModifiedBy>
  <cp:revision>6</cp:revision>
  <cp:lastPrinted>2016-01-13T08:41:00Z</cp:lastPrinted>
  <dcterms:created xsi:type="dcterms:W3CDTF">2016-03-21T09:39:00Z</dcterms:created>
  <dcterms:modified xsi:type="dcterms:W3CDTF">2016-04-06T14:49:00Z</dcterms:modified>
</cp:coreProperties>
</file>