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CC497" w14:textId="77777777" w:rsidR="00317033" w:rsidRPr="00C83F7F" w:rsidRDefault="00317033" w:rsidP="00FC126C">
      <w:pPr>
        <w:pStyle w:val="DocumentHeading"/>
        <w:spacing w:after="0"/>
        <w:jc w:val="center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SÚHRN CHARAKTERISTICKÝCH VLASTNOSTÍ LIEKU</w:t>
      </w:r>
    </w:p>
    <w:p w14:paraId="71EEA972" w14:textId="77777777" w:rsidR="00183D0D" w:rsidRPr="00C83F7F" w:rsidRDefault="00183D0D" w:rsidP="00FC126C">
      <w:pPr>
        <w:jc w:val="both"/>
        <w:rPr>
          <w:sz w:val="22"/>
          <w:szCs w:val="22"/>
          <w:lang w:val="sk-SK"/>
        </w:rPr>
      </w:pPr>
    </w:p>
    <w:p w14:paraId="6BE77D63" w14:textId="77777777" w:rsidR="00FC126C" w:rsidRPr="00C83F7F" w:rsidRDefault="00FC126C" w:rsidP="00FC126C">
      <w:pPr>
        <w:jc w:val="both"/>
        <w:rPr>
          <w:sz w:val="22"/>
          <w:szCs w:val="22"/>
          <w:lang w:val="sk-SK"/>
        </w:rPr>
      </w:pPr>
    </w:p>
    <w:p w14:paraId="2AC22C49" w14:textId="77777777" w:rsidR="00317033" w:rsidRPr="00C83F7F" w:rsidRDefault="00317033" w:rsidP="00FB2845">
      <w:pPr>
        <w:keepNext/>
        <w:numPr>
          <w:ilvl w:val="0"/>
          <w:numId w:val="3"/>
        </w:numPr>
        <w:jc w:val="both"/>
        <w:outlineLvl w:val="0"/>
        <w:rPr>
          <w:b/>
          <w:kern w:val="28"/>
          <w:sz w:val="22"/>
          <w:szCs w:val="22"/>
          <w:lang w:val="sk-SK"/>
        </w:rPr>
      </w:pPr>
      <w:r w:rsidRPr="00C83F7F">
        <w:rPr>
          <w:b/>
          <w:kern w:val="28"/>
          <w:sz w:val="22"/>
          <w:szCs w:val="22"/>
          <w:lang w:val="sk-SK"/>
        </w:rPr>
        <w:t>NÁZOV LIEKU</w:t>
      </w:r>
    </w:p>
    <w:p w14:paraId="7629C6F4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3BC2880F" w14:textId="77777777" w:rsidR="001138E3" w:rsidRDefault="001138E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 xml:space="preserve">Capecitabine Fair-Med </w:t>
      </w:r>
      <w:r w:rsidR="00C10A0A" w:rsidRPr="00C83F7F">
        <w:rPr>
          <w:color w:val="000000"/>
          <w:sz w:val="22"/>
          <w:szCs w:val="22"/>
          <w:lang w:val="sk-SK"/>
        </w:rPr>
        <w:t>15</w:t>
      </w:r>
      <w:r w:rsidRPr="00C83F7F">
        <w:rPr>
          <w:color w:val="000000"/>
          <w:sz w:val="22"/>
          <w:szCs w:val="22"/>
          <w:lang w:val="sk-SK"/>
        </w:rPr>
        <w:t>0 mg filmom obalené tablety</w:t>
      </w:r>
    </w:p>
    <w:p w14:paraId="10BC7EDF" w14:textId="231FB829" w:rsidR="00C83F7F" w:rsidRPr="00C83F7F" w:rsidRDefault="00C83F7F" w:rsidP="00C83F7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83101">
        <w:rPr>
          <w:color w:val="000000"/>
          <w:sz w:val="22"/>
          <w:szCs w:val="22"/>
          <w:highlight w:val="lightGray"/>
          <w:lang w:val="sk-SK"/>
        </w:rPr>
        <w:t>Capecitabine Fair-Med 500 mg filmom obalené tablety</w:t>
      </w:r>
    </w:p>
    <w:p w14:paraId="1251D28B" w14:textId="77777777" w:rsidR="00317033" w:rsidRDefault="00317033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12E8C67A" w14:textId="77777777" w:rsidR="00C83F7F" w:rsidRPr="00C83F7F" w:rsidRDefault="00C83F7F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6806DFD5" w14:textId="77777777" w:rsidR="00317033" w:rsidRPr="00C83F7F" w:rsidRDefault="00317033" w:rsidP="00FB2845">
      <w:pPr>
        <w:keepNext/>
        <w:numPr>
          <w:ilvl w:val="0"/>
          <w:numId w:val="3"/>
        </w:numPr>
        <w:jc w:val="both"/>
        <w:outlineLvl w:val="0"/>
        <w:rPr>
          <w:b/>
          <w:kern w:val="28"/>
          <w:sz w:val="22"/>
          <w:szCs w:val="22"/>
          <w:lang w:val="sk-SK"/>
        </w:rPr>
      </w:pPr>
      <w:r w:rsidRPr="00C83F7F">
        <w:rPr>
          <w:b/>
          <w:kern w:val="28"/>
          <w:sz w:val="22"/>
          <w:szCs w:val="22"/>
          <w:lang w:val="sk-SK"/>
        </w:rPr>
        <w:t>KVALITATÍVNE A KVANTITATÍVNE ZLOŽENIE</w:t>
      </w:r>
    </w:p>
    <w:p w14:paraId="6AC5D734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42DDC427" w14:textId="77777777" w:rsidR="009A5DFE" w:rsidRDefault="009A5DFE" w:rsidP="00C245E7">
      <w:pPr>
        <w:keepNext/>
        <w:outlineLvl w:val="0"/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>Každá filmom obalená tableta obsahuje 150 mg kapecitabínu.</w:t>
      </w:r>
    </w:p>
    <w:p w14:paraId="2A424CFD" w14:textId="12E67DE7" w:rsidR="00317033" w:rsidRPr="00C83F7F" w:rsidRDefault="00C83F7F" w:rsidP="00C83F7F">
      <w:pPr>
        <w:keepNext/>
        <w:outlineLvl w:val="0"/>
        <w:rPr>
          <w:color w:val="000000"/>
          <w:sz w:val="22"/>
          <w:szCs w:val="22"/>
          <w:lang w:val="sk-SK"/>
        </w:rPr>
      </w:pPr>
      <w:r w:rsidRPr="00483101">
        <w:rPr>
          <w:color w:val="000000"/>
          <w:sz w:val="22"/>
          <w:szCs w:val="22"/>
          <w:highlight w:val="lightGray"/>
          <w:lang w:val="sk-SK"/>
        </w:rPr>
        <w:t>Každá filmom obalená tableta obsahuje 500 mg kapecitabínu.</w:t>
      </w:r>
      <w:r w:rsidRPr="00C83F7F">
        <w:rPr>
          <w:color w:val="000000"/>
          <w:sz w:val="22"/>
          <w:szCs w:val="22"/>
          <w:lang w:val="sk-SK"/>
        </w:rPr>
        <w:t xml:space="preserve"> </w:t>
      </w:r>
    </w:p>
    <w:p w14:paraId="2F78BE37" w14:textId="77777777" w:rsidR="00C83F7F" w:rsidRDefault="00C83F7F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4C9061F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>Úplný zoznam pomocných látok, pozri časť 6.1.</w:t>
      </w:r>
    </w:p>
    <w:p w14:paraId="5A0C568A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2660E358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6DFE806E" w14:textId="77777777" w:rsidR="00317033" w:rsidRPr="00C83F7F" w:rsidRDefault="00317033" w:rsidP="00FB2845">
      <w:pPr>
        <w:keepNext/>
        <w:numPr>
          <w:ilvl w:val="0"/>
          <w:numId w:val="3"/>
        </w:numPr>
        <w:jc w:val="both"/>
        <w:outlineLvl w:val="0"/>
        <w:rPr>
          <w:b/>
          <w:kern w:val="28"/>
          <w:sz w:val="22"/>
          <w:szCs w:val="22"/>
          <w:lang w:val="sk-SK"/>
        </w:rPr>
      </w:pPr>
      <w:r w:rsidRPr="00C83F7F">
        <w:rPr>
          <w:b/>
          <w:kern w:val="28"/>
          <w:sz w:val="22"/>
          <w:szCs w:val="22"/>
          <w:lang w:val="sk-SK"/>
        </w:rPr>
        <w:t>LIEKOVÁ FORMA</w:t>
      </w:r>
    </w:p>
    <w:p w14:paraId="5791F784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15D17107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>Filmom obalená tableta</w:t>
      </w:r>
    </w:p>
    <w:p w14:paraId="1EE9C681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0970F5BE" w14:textId="3E0E05F9" w:rsidR="007A2855" w:rsidRDefault="00C83F7F" w:rsidP="00C83F7F">
      <w:pPr>
        <w:rPr>
          <w:rFonts w:eastAsia="Calibri"/>
          <w:bCs/>
          <w:sz w:val="22"/>
          <w:szCs w:val="22"/>
          <w:lang w:val="sk-SK" w:eastAsia="el-GR"/>
        </w:rPr>
      </w:pPr>
      <w:r>
        <w:rPr>
          <w:rFonts w:eastAsia="Calibri"/>
          <w:bCs/>
          <w:sz w:val="22"/>
          <w:szCs w:val="22"/>
          <w:lang w:val="sk-SK" w:eastAsia="el-GR"/>
        </w:rPr>
        <w:t xml:space="preserve">150 mg filmom obalené tablety: </w:t>
      </w:r>
      <w:r w:rsidR="007A2855" w:rsidRPr="00C83F7F">
        <w:rPr>
          <w:rFonts w:eastAsia="Calibri"/>
          <w:bCs/>
          <w:sz w:val="22"/>
          <w:szCs w:val="22"/>
          <w:lang w:val="sk-SK" w:eastAsia="el-GR"/>
        </w:rPr>
        <w:t>Jemne broskyňovo sfarbené, oválne, filmom obalené tablety s</w:t>
      </w:r>
      <w:r w:rsidR="007E0FD8" w:rsidRPr="00C83F7F">
        <w:rPr>
          <w:rFonts w:eastAsia="Calibri"/>
          <w:bCs/>
          <w:sz w:val="22"/>
          <w:szCs w:val="22"/>
          <w:lang w:val="sk-SK" w:eastAsia="el-GR"/>
        </w:rPr>
        <w:t> </w:t>
      </w:r>
      <w:r w:rsidR="007A2855" w:rsidRPr="00C83F7F">
        <w:rPr>
          <w:rFonts w:eastAsia="Calibri"/>
          <w:bCs/>
          <w:sz w:val="22"/>
          <w:szCs w:val="22"/>
          <w:lang w:val="sk-SK" w:eastAsia="el-GR"/>
        </w:rPr>
        <w:t xml:space="preserve">vyrazeným </w:t>
      </w:r>
      <w:r w:rsidR="006C0B5F" w:rsidRPr="00C83F7F">
        <w:rPr>
          <w:rFonts w:eastAsia="Calibri"/>
          <w:bCs/>
          <w:sz w:val="22"/>
          <w:szCs w:val="22"/>
          <w:lang w:val="sk-SK" w:eastAsia="el-GR"/>
        </w:rPr>
        <w:t xml:space="preserve">označením </w:t>
      </w:r>
      <w:r w:rsidR="007A2855" w:rsidRPr="00C83F7F">
        <w:rPr>
          <w:rFonts w:eastAsia="Calibri"/>
          <w:bCs/>
          <w:sz w:val="22"/>
          <w:szCs w:val="22"/>
          <w:lang w:val="sk-SK" w:eastAsia="el-GR"/>
        </w:rPr>
        <w:t>“150” na jednej strane, s rozmermi 11,4 x 5,9 mm.</w:t>
      </w:r>
    </w:p>
    <w:p w14:paraId="3B0804BD" w14:textId="703C909D" w:rsidR="00C83F7F" w:rsidRPr="00C83F7F" w:rsidRDefault="00C83F7F" w:rsidP="00C83F7F">
      <w:pPr>
        <w:rPr>
          <w:rFonts w:eastAsia="Calibri"/>
          <w:bCs/>
          <w:sz w:val="22"/>
          <w:szCs w:val="22"/>
          <w:lang w:val="sk-SK" w:eastAsia="el-GR"/>
        </w:rPr>
      </w:pPr>
      <w:r w:rsidRPr="00483101">
        <w:rPr>
          <w:rFonts w:eastAsia="Calibri"/>
          <w:bCs/>
          <w:sz w:val="22"/>
          <w:szCs w:val="22"/>
          <w:highlight w:val="lightGray"/>
          <w:lang w:val="sk-SK" w:eastAsia="el-GR"/>
        </w:rPr>
        <w:t>500 mg filmom obalené tablety: Broskyňovo sfarbené, podlhovasté, filmom obalené tablety v tvare kapsuly s vyrazeným označením „500“ na jednej strane, s rozmermi 17,1 x 8,1 mm.</w:t>
      </w:r>
    </w:p>
    <w:p w14:paraId="492881AD" w14:textId="77777777" w:rsidR="00317033" w:rsidRDefault="00317033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5E84BE96" w14:textId="77777777" w:rsidR="00C83F7F" w:rsidRPr="00ED4C53" w:rsidRDefault="00C83F7F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3203B1C6" w14:textId="77777777" w:rsidR="00317033" w:rsidRPr="00C83F7F" w:rsidRDefault="00317033" w:rsidP="00FB2845">
      <w:pPr>
        <w:keepNext/>
        <w:numPr>
          <w:ilvl w:val="0"/>
          <w:numId w:val="3"/>
        </w:numPr>
        <w:jc w:val="both"/>
        <w:outlineLvl w:val="0"/>
        <w:rPr>
          <w:b/>
          <w:kern w:val="28"/>
          <w:sz w:val="22"/>
          <w:szCs w:val="22"/>
          <w:lang w:val="sk-SK"/>
        </w:rPr>
      </w:pPr>
      <w:r w:rsidRPr="00C83F7F">
        <w:rPr>
          <w:b/>
          <w:kern w:val="28"/>
          <w:sz w:val="22"/>
          <w:szCs w:val="22"/>
          <w:lang w:val="sk-SK"/>
        </w:rPr>
        <w:t>KLINICKÉ ÚDAJE</w:t>
      </w:r>
    </w:p>
    <w:p w14:paraId="52C7D04C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568EC581" w14:textId="77777777" w:rsidR="00317033" w:rsidRPr="00C83F7F" w:rsidRDefault="00317033" w:rsidP="00FB2845">
      <w:pPr>
        <w:widowControl w:val="0"/>
        <w:numPr>
          <w:ilvl w:val="1"/>
          <w:numId w:val="3"/>
        </w:numPr>
        <w:tabs>
          <w:tab w:val="left" w:pos="68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Terapeutické indikácie</w:t>
      </w:r>
    </w:p>
    <w:p w14:paraId="3E3BD428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1846EAC2" w14:textId="3253FD7C" w:rsidR="00317033" w:rsidRPr="00C83F7F" w:rsidRDefault="006315F6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 xml:space="preserve">Capecitabine </w:t>
      </w:r>
      <w:r w:rsidR="008E29A6" w:rsidRPr="00C83F7F">
        <w:rPr>
          <w:color w:val="000000"/>
          <w:sz w:val="22"/>
          <w:szCs w:val="22"/>
          <w:lang w:val="sk-SK"/>
        </w:rPr>
        <w:t>Fair-Med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="007121F7" w:rsidRPr="00C83F7F">
        <w:rPr>
          <w:color w:val="000000"/>
          <w:sz w:val="22"/>
          <w:szCs w:val="22"/>
          <w:lang w:val="sk-SK"/>
        </w:rPr>
        <w:t xml:space="preserve">je indikovaný </w:t>
      </w:r>
      <w:r w:rsidR="00317033" w:rsidRPr="00C83F7F">
        <w:rPr>
          <w:color w:val="000000"/>
          <w:sz w:val="22"/>
          <w:szCs w:val="22"/>
          <w:lang w:val="sk-SK"/>
        </w:rPr>
        <w:t xml:space="preserve">na adjuvantnú liečbu pacientov po operácii karcinómu hrubého čreva III. </w:t>
      </w:r>
      <w:r w:rsidR="007121F7" w:rsidRPr="00C83F7F">
        <w:rPr>
          <w:color w:val="000000"/>
          <w:sz w:val="22"/>
          <w:szCs w:val="22"/>
          <w:lang w:val="sk-SK"/>
        </w:rPr>
        <w:t>š</w:t>
      </w:r>
      <w:r w:rsidRPr="00C83F7F">
        <w:rPr>
          <w:color w:val="000000"/>
          <w:sz w:val="22"/>
          <w:szCs w:val="22"/>
          <w:lang w:val="sk-SK"/>
        </w:rPr>
        <w:t>t</w:t>
      </w:r>
      <w:r w:rsidR="007121F7" w:rsidRPr="00C83F7F">
        <w:rPr>
          <w:color w:val="000000"/>
          <w:sz w:val="22"/>
          <w:szCs w:val="22"/>
          <w:lang w:val="sk-SK"/>
        </w:rPr>
        <w:t>á</w:t>
      </w:r>
      <w:r w:rsidRPr="00C83F7F">
        <w:rPr>
          <w:color w:val="000000"/>
          <w:sz w:val="22"/>
          <w:szCs w:val="22"/>
          <w:lang w:val="sk-SK"/>
        </w:rPr>
        <w:t xml:space="preserve">dia </w:t>
      </w:r>
      <w:r w:rsidR="00317033" w:rsidRPr="00C83F7F">
        <w:rPr>
          <w:color w:val="000000"/>
          <w:sz w:val="22"/>
          <w:szCs w:val="22"/>
          <w:lang w:val="sk-SK"/>
        </w:rPr>
        <w:t>(podľa Dukesa stupeň C) (pozri časť 5.1).</w:t>
      </w:r>
    </w:p>
    <w:p w14:paraId="73A8E15A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0DA2179" w14:textId="5B305902" w:rsidR="00317033" w:rsidRPr="00C83F7F" w:rsidRDefault="006315F6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 xml:space="preserve">Capecitabine </w:t>
      </w:r>
      <w:r w:rsidR="008E29A6" w:rsidRPr="00C83F7F">
        <w:rPr>
          <w:color w:val="000000"/>
          <w:sz w:val="22"/>
          <w:szCs w:val="22"/>
          <w:lang w:val="sk-SK"/>
        </w:rPr>
        <w:t>Fair-Med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="007121F7" w:rsidRPr="00C83F7F">
        <w:rPr>
          <w:color w:val="000000"/>
          <w:sz w:val="22"/>
          <w:szCs w:val="22"/>
          <w:lang w:val="sk-SK"/>
        </w:rPr>
        <w:t>je indikovaný</w:t>
      </w:r>
      <w:r w:rsidR="00317033" w:rsidRPr="00C83F7F">
        <w:rPr>
          <w:color w:val="000000"/>
          <w:sz w:val="22"/>
          <w:szCs w:val="22"/>
          <w:lang w:val="sk-SK"/>
        </w:rPr>
        <w:t xml:space="preserve"> na liečbu metastatického kolorektálneho karcinómu (pozri časť 5.1).</w:t>
      </w:r>
    </w:p>
    <w:p w14:paraId="3B42E87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0DCD7FA" w14:textId="68D38F32" w:rsidR="00317033" w:rsidRPr="00C83F7F" w:rsidRDefault="006315F6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 xml:space="preserve">Capecitabine </w:t>
      </w:r>
      <w:r w:rsidR="008E29A6" w:rsidRPr="00C83F7F">
        <w:rPr>
          <w:color w:val="000000"/>
          <w:sz w:val="22"/>
          <w:szCs w:val="22"/>
          <w:lang w:val="sk-SK"/>
        </w:rPr>
        <w:t>Fair-Med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="00317033" w:rsidRPr="00C83F7F">
        <w:rPr>
          <w:color w:val="000000"/>
          <w:sz w:val="22"/>
          <w:szCs w:val="22"/>
          <w:lang w:val="sk-SK"/>
        </w:rPr>
        <w:t>je liek prvej línie na liečbu pokročilého karcinómu žalúdka v kombinácii s</w:t>
      </w:r>
      <w:r w:rsidR="006C0B5F" w:rsidRPr="00C83F7F">
        <w:rPr>
          <w:color w:val="000000"/>
          <w:sz w:val="22"/>
          <w:szCs w:val="22"/>
          <w:lang w:val="sk-SK"/>
        </w:rPr>
        <w:t> </w:t>
      </w:r>
      <w:r w:rsidR="00317033" w:rsidRPr="00C83F7F">
        <w:rPr>
          <w:color w:val="000000"/>
          <w:sz w:val="22"/>
          <w:szCs w:val="22"/>
          <w:lang w:val="sk-SK"/>
        </w:rPr>
        <w:t>režimom na báze platiny (pozri časť 5.1).</w:t>
      </w:r>
    </w:p>
    <w:p w14:paraId="035654E3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22032B62" w14:textId="66EFF1C0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 xml:space="preserve">V kombinácii s docetaxelom (pozri časť 5.1) </w:t>
      </w:r>
      <w:r w:rsidR="007121F7" w:rsidRPr="00C83F7F">
        <w:rPr>
          <w:color w:val="000000"/>
          <w:sz w:val="22"/>
          <w:szCs w:val="22"/>
          <w:lang w:val="sk-SK"/>
        </w:rPr>
        <w:t>je</w:t>
      </w:r>
      <w:r w:rsidRPr="00C83F7F">
        <w:rPr>
          <w:color w:val="000000"/>
          <w:sz w:val="22"/>
          <w:szCs w:val="22"/>
          <w:lang w:val="sk-SK"/>
        </w:rPr>
        <w:t xml:space="preserve"> </w:t>
      </w:r>
      <w:r w:rsidR="006315F6" w:rsidRPr="00C83F7F">
        <w:rPr>
          <w:color w:val="000000"/>
          <w:sz w:val="22"/>
          <w:szCs w:val="22"/>
          <w:lang w:val="sk-SK"/>
        </w:rPr>
        <w:t xml:space="preserve">Capecitabine </w:t>
      </w:r>
      <w:r w:rsidR="008E29A6" w:rsidRPr="00C83F7F">
        <w:rPr>
          <w:color w:val="000000"/>
          <w:sz w:val="22"/>
          <w:szCs w:val="22"/>
          <w:lang w:val="sk-SK"/>
        </w:rPr>
        <w:t>Fair-Med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color w:val="000000"/>
          <w:sz w:val="22"/>
          <w:szCs w:val="22"/>
          <w:lang w:val="sk-SK"/>
        </w:rPr>
        <w:t>indik</w:t>
      </w:r>
      <w:r w:rsidR="007121F7" w:rsidRPr="00C83F7F">
        <w:rPr>
          <w:color w:val="000000"/>
          <w:sz w:val="22"/>
          <w:szCs w:val="22"/>
          <w:lang w:val="sk-SK"/>
        </w:rPr>
        <w:t>ovaný</w:t>
      </w:r>
      <w:r w:rsidRPr="00C83F7F">
        <w:rPr>
          <w:color w:val="000000"/>
          <w:sz w:val="22"/>
          <w:szCs w:val="22"/>
          <w:lang w:val="sk-SK"/>
        </w:rPr>
        <w:t xml:space="preserve"> na liečbu pacientov s lokálne pokročilým alebo metastatickým karcinómom prsníka po zlyhaní cytotoxickej chemoterapie, ktorá obsahovala antracyklín. </w:t>
      </w:r>
      <w:r w:rsidR="006315F6" w:rsidRPr="00C83F7F">
        <w:rPr>
          <w:color w:val="000000"/>
          <w:sz w:val="22"/>
          <w:szCs w:val="22"/>
          <w:lang w:val="sk-SK"/>
        </w:rPr>
        <w:t xml:space="preserve">Capecitabine </w:t>
      </w:r>
      <w:r w:rsidR="008E29A6" w:rsidRPr="00C83F7F">
        <w:rPr>
          <w:color w:val="000000"/>
          <w:sz w:val="22"/>
          <w:szCs w:val="22"/>
          <w:lang w:val="sk-SK"/>
        </w:rPr>
        <w:t>Fair-Med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="007121F7" w:rsidRPr="00C83F7F">
        <w:rPr>
          <w:color w:val="000000"/>
          <w:sz w:val="22"/>
          <w:szCs w:val="22"/>
          <w:lang w:val="sk-SK"/>
        </w:rPr>
        <w:t>je</w:t>
      </w:r>
      <w:r w:rsidRPr="00C83F7F">
        <w:rPr>
          <w:color w:val="000000"/>
          <w:sz w:val="22"/>
          <w:szCs w:val="22"/>
          <w:lang w:val="sk-SK"/>
        </w:rPr>
        <w:t xml:space="preserve"> tiež indik</w:t>
      </w:r>
      <w:r w:rsidR="007121F7" w:rsidRPr="00C83F7F">
        <w:rPr>
          <w:color w:val="000000"/>
          <w:sz w:val="22"/>
          <w:szCs w:val="22"/>
          <w:lang w:val="sk-SK"/>
        </w:rPr>
        <w:t>ovaný</w:t>
      </w:r>
      <w:r w:rsidRPr="00C83F7F">
        <w:rPr>
          <w:color w:val="000000"/>
          <w:sz w:val="22"/>
          <w:szCs w:val="22"/>
          <w:lang w:val="sk-SK"/>
        </w:rPr>
        <w:t xml:space="preserve"> ako monoterapia u pacientov s lokálne rozvinutým alebo metastatickým karcinómom prsníka po zlyhaní taxánov a antracyklínov alebo u pacientov, u ktorých nie je indikovaná ďalšia liečba antracyklínom.</w:t>
      </w:r>
    </w:p>
    <w:p w14:paraId="6EA41ACD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28A52043" w14:textId="77777777" w:rsidR="00317033" w:rsidRPr="00C83F7F" w:rsidRDefault="00317033" w:rsidP="00FB2845">
      <w:pPr>
        <w:widowControl w:val="0"/>
        <w:numPr>
          <w:ilvl w:val="0"/>
          <w:numId w:val="4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Dávkovanie a spôsob podávania</w:t>
      </w:r>
    </w:p>
    <w:p w14:paraId="61D3727E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07DC48E8" w14:textId="1E1A4FBC" w:rsidR="00317033" w:rsidRPr="00C83F7F" w:rsidRDefault="006315F6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 xml:space="preserve">Capecitabine </w:t>
      </w:r>
      <w:r w:rsidR="008E29A6" w:rsidRPr="00C83F7F">
        <w:rPr>
          <w:color w:val="000000"/>
          <w:sz w:val="22"/>
          <w:szCs w:val="22"/>
          <w:lang w:val="sk-SK"/>
        </w:rPr>
        <w:t>Fair-Med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="00317033" w:rsidRPr="00C83F7F">
        <w:rPr>
          <w:color w:val="000000"/>
          <w:sz w:val="22"/>
          <w:szCs w:val="22"/>
          <w:lang w:val="sk-SK"/>
        </w:rPr>
        <w:t xml:space="preserve">má predpisovať iba kvalifikovaný lekár, ktorý má skúsenosti s používaním </w:t>
      </w:r>
      <w:r w:rsidR="008E5353" w:rsidRPr="00C83F7F">
        <w:rPr>
          <w:color w:val="000000"/>
          <w:sz w:val="22"/>
          <w:szCs w:val="22"/>
          <w:lang w:val="sk-SK"/>
        </w:rPr>
        <w:t>protinádorových liekov. Počas prvého cyklu liečby sa odporúča starostlivé sledovanie všetkých pacientov</w:t>
      </w:r>
      <w:r w:rsidR="00317033" w:rsidRPr="00C83F7F">
        <w:rPr>
          <w:color w:val="000000"/>
          <w:sz w:val="22"/>
          <w:szCs w:val="22"/>
          <w:lang w:val="sk-SK"/>
        </w:rPr>
        <w:t xml:space="preserve">. Ak dôjde k progresii ochorenia alebo k toxickým prejavom, ktoré pacient netoleruje, liečba sa má ukončiť. Výpočty štandardnej a zníženej dávky </w:t>
      </w:r>
      <w:r w:rsidRPr="00C83F7F">
        <w:rPr>
          <w:color w:val="000000"/>
          <w:sz w:val="22"/>
          <w:szCs w:val="22"/>
          <w:lang w:val="sk-SK"/>
        </w:rPr>
        <w:t xml:space="preserve">Capecitabine </w:t>
      </w:r>
      <w:r w:rsidR="008E29A6" w:rsidRPr="00C83F7F">
        <w:rPr>
          <w:color w:val="000000"/>
          <w:sz w:val="22"/>
          <w:szCs w:val="22"/>
          <w:lang w:val="sk-SK"/>
        </w:rPr>
        <w:t>Fair-Med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="00317033" w:rsidRPr="00C83F7F">
        <w:rPr>
          <w:color w:val="000000"/>
          <w:sz w:val="22"/>
          <w:szCs w:val="22"/>
          <w:lang w:val="sk-SK"/>
        </w:rPr>
        <w:t>na základe plochy povrchu</w:t>
      </w:r>
      <w:r w:rsidR="007121F7" w:rsidRPr="00C83F7F">
        <w:rPr>
          <w:color w:val="000000"/>
          <w:sz w:val="22"/>
          <w:szCs w:val="22"/>
          <w:lang w:val="sk-SK"/>
        </w:rPr>
        <w:t xml:space="preserve"> </w:t>
      </w:r>
      <w:r w:rsidR="00317033" w:rsidRPr="00C83F7F">
        <w:rPr>
          <w:color w:val="000000"/>
          <w:sz w:val="22"/>
          <w:szCs w:val="22"/>
          <w:lang w:val="sk-SK"/>
        </w:rPr>
        <w:t xml:space="preserve"> tela pre úvodnú dávku 1 250 mg/m</w:t>
      </w:r>
      <w:r w:rsidR="00317033" w:rsidRPr="00C83F7F">
        <w:rPr>
          <w:color w:val="000000"/>
          <w:sz w:val="22"/>
          <w:szCs w:val="22"/>
          <w:vertAlign w:val="superscript"/>
          <w:lang w:val="sk-SK"/>
        </w:rPr>
        <w:t>2</w:t>
      </w:r>
      <w:r w:rsidR="00317033" w:rsidRPr="00C83F7F">
        <w:rPr>
          <w:color w:val="000000"/>
          <w:sz w:val="22"/>
          <w:szCs w:val="22"/>
          <w:lang w:val="sk-SK"/>
        </w:rPr>
        <w:t xml:space="preserve"> sú uvedené v tabuľke 1 a pre úvodnú dávku 1</w:t>
      </w:r>
      <w:r w:rsidR="006C0B5F" w:rsidRPr="00C83F7F">
        <w:rPr>
          <w:color w:val="000000"/>
          <w:sz w:val="22"/>
          <w:szCs w:val="22"/>
          <w:lang w:val="sk-SK"/>
        </w:rPr>
        <w:t> </w:t>
      </w:r>
      <w:r w:rsidR="00317033" w:rsidRPr="00C83F7F">
        <w:rPr>
          <w:color w:val="000000"/>
          <w:sz w:val="22"/>
          <w:szCs w:val="22"/>
          <w:lang w:val="sk-SK"/>
        </w:rPr>
        <w:t>000 mg/m</w:t>
      </w:r>
      <w:r w:rsidR="00317033" w:rsidRPr="00C83F7F">
        <w:rPr>
          <w:color w:val="000000"/>
          <w:sz w:val="22"/>
          <w:szCs w:val="22"/>
          <w:vertAlign w:val="superscript"/>
          <w:lang w:val="sk-SK"/>
        </w:rPr>
        <w:t>2</w:t>
      </w:r>
      <w:r w:rsidR="00317033" w:rsidRPr="00C83F7F">
        <w:rPr>
          <w:color w:val="000000"/>
          <w:sz w:val="22"/>
          <w:szCs w:val="22"/>
          <w:lang w:val="sk-SK"/>
        </w:rPr>
        <w:t xml:space="preserve"> sú uvedené v tabuľke 2.</w:t>
      </w:r>
    </w:p>
    <w:p w14:paraId="28E5ACCC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0E22D0A6" w14:textId="77777777" w:rsidR="00D041EA" w:rsidRPr="00C83F7F" w:rsidRDefault="00D041EA" w:rsidP="00D041EA">
      <w:pPr>
        <w:widowControl w:val="0"/>
        <w:autoSpaceDE w:val="0"/>
        <w:autoSpaceDN w:val="0"/>
        <w:adjustRightInd w:val="0"/>
        <w:jc w:val="both"/>
        <w:rPr>
          <w:i/>
          <w:color w:val="000000"/>
          <w:sz w:val="22"/>
          <w:szCs w:val="22"/>
          <w:u w:val="single"/>
          <w:lang w:val="sk-SK"/>
        </w:rPr>
      </w:pPr>
      <w:r w:rsidRPr="00C83F7F">
        <w:rPr>
          <w:i/>
          <w:color w:val="000000"/>
          <w:sz w:val="22"/>
          <w:szCs w:val="22"/>
          <w:u w:val="single"/>
          <w:lang w:val="sk-SK"/>
        </w:rPr>
        <w:t xml:space="preserve">Dávkovanie </w:t>
      </w:r>
    </w:p>
    <w:p w14:paraId="68AB2F2B" w14:textId="77777777" w:rsidR="00854B44" w:rsidRPr="00C83F7F" w:rsidRDefault="00854B44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0A3D6DAD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C83F7F">
        <w:rPr>
          <w:color w:val="000000"/>
          <w:sz w:val="22"/>
          <w:szCs w:val="22"/>
          <w:u w:val="single"/>
          <w:lang w:val="sk-SK"/>
        </w:rPr>
        <w:t>Odporúčané dávkovanie (pozri časť 5.1):</w:t>
      </w:r>
    </w:p>
    <w:p w14:paraId="71A52C48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68A0CD53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C83F7F">
        <w:rPr>
          <w:color w:val="000000"/>
          <w:sz w:val="22"/>
          <w:szCs w:val="22"/>
          <w:u w:val="single"/>
          <w:lang w:val="sk-SK"/>
        </w:rPr>
        <w:t>Monoterapia</w:t>
      </w:r>
    </w:p>
    <w:p w14:paraId="7BF1DD10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C83F7F">
        <w:rPr>
          <w:color w:val="000000"/>
          <w:sz w:val="22"/>
          <w:szCs w:val="22"/>
          <w:u w:val="single"/>
          <w:lang w:val="sk-SK"/>
        </w:rPr>
        <w:t>Karcinóm hrubého čreva, kolorektálny karcinóm a karcinóm prsníka</w:t>
      </w:r>
    </w:p>
    <w:p w14:paraId="08BAAEF2" w14:textId="3ECA01A6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 xml:space="preserve">Keď sa </w:t>
      </w:r>
      <w:r w:rsidR="00D041EA" w:rsidRPr="00C83F7F">
        <w:rPr>
          <w:color w:val="000000"/>
          <w:sz w:val="22"/>
          <w:szCs w:val="22"/>
          <w:lang w:val="sk-SK"/>
        </w:rPr>
        <w:t>k</w:t>
      </w:r>
      <w:r w:rsidR="007121F7" w:rsidRPr="00C83F7F">
        <w:rPr>
          <w:color w:val="000000"/>
          <w:sz w:val="22"/>
          <w:szCs w:val="22"/>
          <w:lang w:val="sk-SK"/>
        </w:rPr>
        <w:t>a</w:t>
      </w:r>
      <w:r w:rsidR="00D041EA" w:rsidRPr="00C83F7F">
        <w:rPr>
          <w:color w:val="000000"/>
          <w:sz w:val="22"/>
          <w:szCs w:val="22"/>
          <w:lang w:val="sk-SK"/>
        </w:rPr>
        <w:t>p</w:t>
      </w:r>
      <w:r w:rsidR="007121F7" w:rsidRPr="00C83F7F">
        <w:rPr>
          <w:color w:val="000000"/>
          <w:sz w:val="22"/>
          <w:szCs w:val="22"/>
          <w:lang w:val="sk-SK"/>
        </w:rPr>
        <w:t>e</w:t>
      </w:r>
      <w:r w:rsidR="00D041EA" w:rsidRPr="00C83F7F">
        <w:rPr>
          <w:color w:val="000000"/>
          <w:sz w:val="22"/>
          <w:szCs w:val="22"/>
          <w:lang w:val="sk-SK"/>
        </w:rPr>
        <w:t>citabín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color w:val="000000"/>
          <w:sz w:val="22"/>
          <w:szCs w:val="22"/>
          <w:lang w:val="sk-SK"/>
        </w:rPr>
        <w:t>podáva v monoterapii, odporúčaná úvodná dávka v adjuvantnej liečbe</w:t>
      </w:r>
      <w:r w:rsidRPr="00C83F7F">
        <w:rPr>
          <w:color w:val="000000"/>
          <w:spacing w:val="-5"/>
          <w:sz w:val="22"/>
          <w:szCs w:val="22"/>
          <w:lang w:val="sk-SK"/>
        </w:rPr>
        <w:t xml:space="preserve"> </w:t>
      </w:r>
      <w:r w:rsidRPr="00C83F7F">
        <w:rPr>
          <w:color w:val="000000"/>
          <w:sz w:val="22"/>
          <w:szCs w:val="22"/>
          <w:lang w:val="sk-SK"/>
        </w:rPr>
        <w:t>karcinómu hrubého čreva, metastatického kolorektálneho karcinómu alebo lokálne pokročilého alebo metastatického karcinómu prsníka je 1</w:t>
      </w:r>
      <w:r w:rsidR="006C0B5F" w:rsidRPr="00C83F7F">
        <w:rPr>
          <w:color w:val="000000"/>
          <w:sz w:val="22"/>
          <w:szCs w:val="22"/>
          <w:lang w:val="sk-SK"/>
        </w:rPr>
        <w:t> </w:t>
      </w:r>
      <w:r w:rsidRPr="00C83F7F">
        <w:rPr>
          <w:color w:val="000000"/>
          <w:sz w:val="22"/>
          <w:szCs w:val="22"/>
          <w:lang w:val="sk-SK"/>
        </w:rPr>
        <w:t>250 mg/m</w:t>
      </w:r>
      <w:r w:rsidRPr="00C83F7F">
        <w:rPr>
          <w:color w:val="000000"/>
          <w:sz w:val="22"/>
          <w:szCs w:val="22"/>
          <w:vertAlign w:val="superscript"/>
          <w:lang w:val="sk-SK"/>
        </w:rPr>
        <w:t>2</w:t>
      </w:r>
      <w:r w:rsidRPr="00C83F7F">
        <w:rPr>
          <w:color w:val="000000"/>
          <w:sz w:val="22"/>
          <w:szCs w:val="22"/>
          <w:lang w:val="sk-SK"/>
        </w:rPr>
        <w:t xml:space="preserve">, podávaná dvakrát denne (ráno a večer; t.j. celková denná dávka je </w:t>
      </w:r>
      <w:r w:rsidR="004E6C24" w:rsidRPr="00C83F7F">
        <w:rPr>
          <w:color w:val="000000"/>
          <w:sz w:val="22"/>
          <w:szCs w:val="22"/>
          <w:lang w:val="sk-SK"/>
        </w:rPr>
        <w:t>2</w:t>
      </w:r>
      <w:r w:rsidR="006C0B5F" w:rsidRPr="00C83F7F">
        <w:rPr>
          <w:color w:val="000000"/>
          <w:sz w:val="22"/>
          <w:szCs w:val="22"/>
          <w:lang w:val="sk-SK"/>
        </w:rPr>
        <w:t> </w:t>
      </w:r>
      <w:r w:rsidRPr="00C83F7F">
        <w:rPr>
          <w:color w:val="000000"/>
          <w:sz w:val="22"/>
          <w:szCs w:val="22"/>
          <w:lang w:val="sk-SK"/>
        </w:rPr>
        <w:t>500 mg/m</w:t>
      </w:r>
      <w:r w:rsidRPr="00C83F7F">
        <w:rPr>
          <w:color w:val="000000"/>
          <w:sz w:val="22"/>
          <w:szCs w:val="22"/>
          <w:vertAlign w:val="superscript"/>
          <w:lang w:val="sk-SK"/>
        </w:rPr>
        <w:t>2</w:t>
      </w:r>
      <w:r w:rsidRPr="00C83F7F">
        <w:rPr>
          <w:color w:val="000000"/>
          <w:sz w:val="22"/>
          <w:szCs w:val="22"/>
          <w:lang w:val="sk-SK"/>
        </w:rPr>
        <w:t>) počas 14 dní, po ktorých nasleduje 7 dní bez liečby.</w:t>
      </w:r>
      <w:r w:rsidR="004E6C24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color w:val="000000"/>
          <w:sz w:val="22"/>
          <w:szCs w:val="22"/>
          <w:lang w:val="sk-SK"/>
        </w:rPr>
        <w:t>Adjuvantná liečba pacientov s karcinómom hrubého čreva v štádiu III má trvať 6 mesiacov.</w:t>
      </w:r>
    </w:p>
    <w:p w14:paraId="7CD61E67" w14:textId="77777777" w:rsidR="002375D1" w:rsidRPr="00C83F7F" w:rsidRDefault="002375D1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D5940DE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C83F7F">
        <w:rPr>
          <w:color w:val="000000"/>
          <w:sz w:val="22"/>
          <w:szCs w:val="22"/>
          <w:u w:val="single"/>
          <w:lang w:val="sk-SK"/>
        </w:rPr>
        <w:t>Kombinovaná liečba</w:t>
      </w:r>
    </w:p>
    <w:p w14:paraId="241A4A69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C83F7F">
        <w:rPr>
          <w:color w:val="000000"/>
          <w:sz w:val="22"/>
          <w:szCs w:val="22"/>
          <w:u w:val="single"/>
          <w:lang w:val="sk-SK"/>
        </w:rPr>
        <w:t>Karcinóm hrubého čreva, kolorektálny karcinóm a karcinóm žalúdka</w:t>
      </w:r>
    </w:p>
    <w:p w14:paraId="1FA555BE" w14:textId="64103BBA" w:rsidR="00FE47DB" w:rsidRPr="00C83F7F" w:rsidRDefault="00317033" w:rsidP="00FE47DB">
      <w:pPr>
        <w:autoSpaceDE w:val="0"/>
        <w:autoSpaceDN w:val="0"/>
        <w:adjustRightInd w:val="0"/>
        <w:rPr>
          <w:rFonts w:eastAsia="TimesNewRoman"/>
          <w:sz w:val="22"/>
          <w:szCs w:val="22"/>
          <w:lang w:val="sk-SK" w:eastAsia="el-GR"/>
        </w:rPr>
      </w:pPr>
      <w:r w:rsidRPr="00C83F7F">
        <w:rPr>
          <w:color w:val="000000"/>
          <w:sz w:val="22"/>
          <w:szCs w:val="22"/>
          <w:lang w:val="sk-SK"/>
        </w:rPr>
        <w:t xml:space="preserve">V kombinovanej liečbe sa má odporúčaná úvodná dávka </w:t>
      </w:r>
      <w:r w:rsidR="00D041EA" w:rsidRPr="00C83F7F">
        <w:rPr>
          <w:color w:val="000000"/>
          <w:sz w:val="22"/>
          <w:szCs w:val="22"/>
          <w:lang w:val="sk-SK"/>
        </w:rPr>
        <w:t>k</w:t>
      </w:r>
      <w:r w:rsidR="001B2ED5" w:rsidRPr="00C83F7F">
        <w:rPr>
          <w:color w:val="000000"/>
          <w:sz w:val="22"/>
          <w:szCs w:val="22"/>
          <w:lang w:val="sk-SK"/>
        </w:rPr>
        <w:t>ape</w:t>
      </w:r>
      <w:r w:rsidR="00D041EA" w:rsidRPr="00C83F7F">
        <w:rPr>
          <w:color w:val="000000"/>
          <w:sz w:val="22"/>
          <w:szCs w:val="22"/>
          <w:lang w:val="sk-SK"/>
        </w:rPr>
        <w:t>citabínu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color w:val="000000"/>
          <w:sz w:val="22"/>
          <w:szCs w:val="22"/>
          <w:lang w:val="sk-SK"/>
        </w:rPr>
        <w:t>znížiť na dávku 800</w:t>
      </w:r>
      <w:r w:rsidR="006C0B5F" w:rsidRPr="00C83F7F">
        <w:rPr>
          <w:color w:val="000000"/>
          <w:sz w:val="22"/>
          <w:szCs w:val="22"/>
          <w:lang w:val="sk-SK"/>
        </w:rPr>
        <w:t> – </w:t>
      </w:r>
      <w:r w:rsidRPr="00C83F7F">
        <w:rPr>
          <w:color w:val="000000"/>
          <w:sz w:val="22"/>
          <w:szCs w:val="22"/>
          <w:lang w:val="sk-SK"/>
        </w:rPr>
        <w:t>1</w:t>
      </w:r>
      <w:r w:rsidR="006C0B5F" w:rsidRPr="00C83F7F">
        <w:rPr>
          <w:color w:val="000000"/>
          <w:sz w:val="22"/>
          <w:szCs w:val="22"/>
          <w:lang w:val="sk-SK"/>
        </w:rPr>
        <w:t> </w:t>
      </w:r>
      <w:r w:rsidRPr="00C83F7F">
        <w:rPr>
          <w:color w:val="000000"/>
          <w:sz w:val="22"/>
          <w:szCs w:val="22"/>
          <w:lang w:val="sk-SK"/>
        </w:rPr>
        <w:t>000 mg/m</w:t>
      </w:r>
      <w:r w:rsidRPr="00C83F7F">
        <w:rPr>
          <w:color w:val="000000"/>
          <w:sz w:val="22"/>
          <w:szCs w:val="22"/>
          <w:vertAlign w:val="superscript"/>
          <w:lang w:val="sk-SK"/>
        </w:rPr>
        <w:t>2</w:t>
      </w:r>
      <w:r w:rsidR="001B2ED5" w:rsidRPr="00C83F7F">
        <w:rPr>
          <w:color w:val="000000"/>
          <w:sz w:val="22"/>
          <w:szCs w:val="22"/>
          <w:vertAlign w:val="superscript"/>
          <w:lang w:val="sk-SK"/>
        </w:rPr>
        <w:t>,</w:t>
      </w:r>
      <w:r w:rsidR="00111709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color w:val="000000"/>
          <w:sz w:val="22"/>
          <w:szCs w:val="22"/>
          <w:lang w:val="sk-SK"/>
        </w:rPr>
        <w:t>ak sa podáva dvakrát denne počas 14 dní, po ktorých nasleduje 7 dní bez liečby alebo na dávku</w:t>
      </w:r>
      <w:r w:rsidR="00622E3C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color w:val="000000"/>
          <w:sz w:val="22"/>
          <w:szCs w:val="22"/>
          <w:lang w:val="sk-SK"/>
        </w:rPr>
        <w:t>625 mg/m</w:t>
      </w:r>
      <w:r w:rsidRPr="00C83F7F">
        <w:rPr>
          <w:color w:val="000000"/>
          <w:sz w:val="22"/>
          <w:szCs w:val="22"/>
          <w:vertAlign w:val="superscript"/>
          <w:lang w:val="sk-SK"/>
        </w:rPr>
        <w:t>2</w:t>
      </w:r>
      <w:r w:rsidRPr="00C83F7F">
        <w:rPr>
          <w:color w:val="000000"/>
          <w:sz w:val="22"/>
          <w:szCs w:val="22"/>
          <w:lang w:val="sk-SK"/>
        </w:rPr>
        <w:t xml:space="preserve"> dvakrát denne, ak sa podáva kontinuálne (pozri časť 5.1). </w:t>
      </w:r>
      <w:r w:rsidR="00FE47DB" w:rsidRPr="00C83F7F">
        <w:rPr>
          <w:rFonts w:eastAsia="TimesNewRoman"/>
          <w:sz w:val="22"/>
          <w:szCs w:val="22"/>
          <w:lang w:val="sk-SK" w:eastAsia="el-GR"/>
        </w:rPr>
        <w:t>V kombinácii</w:t>
      </w:r>
    </w:p>
    <w:p w14:paraId="24D72B53" w14:textId="74B243F9" w:rsidR="00317033" w:rsidRPr="00C83F7F" w:rsidRDefault="00FE47DB" w:rsidP="00FE47DB">
      <w:pPr>
        <w:autoSpaceDE w:val="0"/>
        <w:autoSpaceDN w:val="0"/>
        <w:adjustRightInd w:val="0"/>
        <w:rPr>
          <w:rFonts w:eastAsia="TimesNewRoman"/>
          <w:sz w:val="22"/>
          <w:szCs w:val="22"/>
          <w:lang w:val="sk-SK" w:eastAsia="el-GR"/>
        </w:rPr>
      </w:pPr>
      <w:r w:rsidRPr="00C83F7F">
        <w:rPr>
          <w:rFonts w:eastAsia="TimesNewRoman"/>
          <w:sz w:val="22"/>
          <w:szCs w:val="22"/>
          <w:lang w:val="sk-SK" w:eastAsia="el-GR"/>
        </w:rPr>
        <w:t xml:space="preserve">s irinotekanom je odporúčaná </w:t>
      </w:r>
      <w:r w:rsidR="001B2ED5" w:rsidRPr="00C83F7F">
        <w:rPr>
          <w:rFonts w:eastAsia="TimesNewRoman"/>
          <w:sz w:val="22"/>
          <w:szCs w:val="22"/>
          <w:lang w:val="sk-SK" w:eastAsia="el-GR"/>
        </w:rPr>
        <w:t>úvodná</w:t>
      </w:r>
      <w:r w:rsidRPr="00C83F7F">
        <w:rPr>
          <w:rFonts w:eastAsia="TimesNewRoman"/>
          <w:sz w:val="22"/>
          <w:szCs w:val="22"/>
          <w:lang w:val="sk-SK" w:eastAsia="el-GR"/>
        </w:rPr>
        <w:t xml:space="preserve"> dávka 800 mg/m</w:t>
      </w:r>
      <w:r w:rsidRPr="00C83F7F">
        <w:rPr>
          <w:rFonts w:eastAsia="TimesNewRoman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sz w:val="22"/>
          <w:szCs w:val="22"/>
          <w:lang w:val="sk-SK" w:eastAsia="el-GR"/>
        </w:rPr>
        <w:t>, ak sa podáva dvakrát denne počas 14 dní, po ktorých nasleduje 7 dní bez liečby v kombinácii s irinotekanom 200 mg/m</w:t>
      </w:r>
      <w:r w:rsidRPr="00C83F7F">
        <w:rPr>
          <w:rFonts w:eastAsia="TimesNewRoman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sz w:val="22"/>
          <w:szCs w:val="22"/>
          <w:lang w:val="sk-SK" w:eastAsia="el-GR"/>
        </w:rPr>
        <w:t xml:space="preserve"> v</w:t>
      </w:r>
      <w:r w:rsidR="0004041C" w:rsidRPr="00C83F7F">
        <w:rPr>
          <w:rFonts w:eastAsia="TimesNewRoman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sz w:val="22"/>
          <w:szCs w:val="22"/>
          <w:lang w:val="sk-SK" w:eastAsia="el-GR"/>
        </w:rPr>
        <w:t>deň</w:t>
      </w:r>
      <w:r w:rsidR="0004041C" w:rsidRPr="00C83F7F">
        <w:rPr>
          <w:rFonts w:eastAsia="TimesNewRoman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sz w:val="22"/>
          <w:szCs w:val="22"/>
          <w:lang w:val="sk-SK" w:eastAsia="el-GR"/>
        </w:rPr>
        <w:t xml:space="preserve">1. Zaradenie bevacizumabu v kombinovanom režime nemá </w:t>
      </w:r>
      <w:r w:rsidR="001B2ED5" w:rsidRPr="00C83F7F">
        <w:rPr>
          <w:rFonts w:eastAsia="TimesNewRoman"/>
          <w:sz w:val="22"/>
          <w:szCs w:val="22"/>
          <w:lang w:val="sk-SK" w:eastAsia="el-GR"/>
        </w:rPr>
        <w:t>vplyv</w:t>
      </w:r>
      <w:r w:rsidRPr="00C83F7F">
        <w:rPr>
          <w:rFonts w:eastAsia="TimesNewRoman"/>
          <w:sz w:val="22"/>
          <w:szCs w:val="22"/>
          <w:lang w:val="sk-SK" w:eastAsia="el-GR"/>
        </w:rPr>
        <w:t xml:space="preserve"> na úvodnú dávku kapecitabínu. Podľa súhrnu charakteristických vlastností cisplatiny sa má pred liečbou cisplatinou, a teda aj pred liečbou kombináciou kapecitabínu a cisplatiny, podať premedikácia na udržiavanie dostatočnej hydratácie a na prevenciu emézy. U pacientov, ktorí dostávajú liečbu kombináciou kapecitabínu a oxaliplatiny sa podľa súhrnu charakteristických vlastností oxaliplatiny odporúča premedikácia antiemetikami. U pacientov s karcinómom hrubého čreva v III. štádiu sa odporúča adjuvantná liečba v trvaní 6 mesiacov.</w:t>
      </w:r>
    </w:p>
    <w:p w14:paraId="6DA5C5B3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0B9E46DC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C83F7F">
        <w:rPr>
          <w:color w:val="000000"/>
          <w:sz w:val="22"/>
          <w:szCs w:val="22"/>
          <w:u w:val="single"/>
          <w:lang w:val="sk-SK"/>
        </w:rPr>
        <w:t>Karcinóm prsníka</w:t>
      </w:r>
    </w:p>
    <w:p w14:paraId="52112FE0" w14:textId="7EDB27C3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 xml:space="preserve">V kombinácii s docetaxelom sa v liečbe metastatického karcinómu prsníka </w:t>
      </w:r>
      <w:r w:rsidR="001B2ED5" w:rsidRPr="00C83F7F">
        <w:rPr>
          <w:color w:val="000000"/>
          <w:sz w:val="22"/>
          <w:szCs w:val="22"/>
          <w:lang w:val="sk-SK"/>
        </w:rPr>
        <w:t xml:space="preserve">je </w:t>
      </w:r>
      <w:r w:rsidRPr="00C83F7F">
        <w:rPr>
          <w:color w:val="000000"/>
          <w:sz w:val="22"/>
          <w:szCs w:val="22"/>
          <w:lang w:val="sk-SK"/>
        </w:rPr>
        <w:t xml:space="preserve">odporúča úvodná dávka </w:t>
      </w:r>
      <w:r w:rsidR="00D041EA" w:rsidRPr="00C83F7F">
        <w:rPr>
          <w:color w:val="000000"/>
          <w:sz w:val="22"/>
          <w:szCs w:val="22"/>
          <w:lang w:val="sk-SK"/>
        </w:rPr>
        <w:t>k</w:t>
      </w:r>
      <w:r w:rsidR="001B2ED5" w:rsidRPr="00C83F7F">
        <w:rPr>
          <w:color w:val="000000"/>
          <w:sz w:val="22"/>
          <w:szCs w:val="22"/>
          <w:lang w:val="sk-SK"/>
        </w:rPr>
        <w:t>ape</w:t>
      </w:r>
      <w:r w:rsidR="00D041EA" w:rsidRPr="00C83F7F">
        <w:rPr>
          <w:color w:val="000000"/>
          <w:sz w:val="22"/>
          <w:szCs w:val="22"/>
          <w:lang w:val="sk-SK"/>
        </w:rPr>
        <w:t>citabínu</w:t>
      </w:r>
      <w:r w:rsidR="00F82411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color w:val="000000"/>
          <w:sz w:val="22"/>
          <w:szCs w:val="22"/>
          <w:lang w:val="sk-SK"/>
        </w:rPr>
        <w:t>1</w:t>
      </w:r>
      <w:r w:rsidR="0004041C" w:rsidRPr="00C83F7F">
        <w:rPr>
          <w:color w:val="000000"/>
          <w:sz w:val="22"/>
          <w:szCs w:val="22"/>
          <w:lang w:val="sk-SK"/>
        </w:rPr>
        <w:t> </w:t>
      </w:r>
      <w:r w:rsidRPr="00C83F7F">
        <w:rPr>
          <w:color w:val="000000"/>
          <w:sz w:val="22"/>
          <w:szCs w:val="22"/>
          <w:lang w:val="sk-SK"/>
        </w:rPr>
        <w:t>250 mg/m</w:t>
      </w:r>
      <w:r w:rsidRPr="00C83F7F">
        <w:rPr>
          <w:color w:val="000000"/>
          <w:sz w:val="22"/>
          <w:szCs w:val="22"/>
          <w:vertAlign w:val="superscript"/>
          <w:lang w:val="sk-SK"/>
        </w:rPr>
        <w:t>2</w:t>
      </w:r>
      <w:r w:rsidRPr="00C83F7F">
        <w:rPr>
          <w:color w:val="000000"/>
          <w:sz w:val="22"/>
          <w:szCs w:val="22"/>
          <w:lang w:val="sk-SK"/>
        </w:rPr>
        <w:t xml:space="preserve"> dvakrát denne počas 14 dní, po ktorých nasleduje 7 dní bez</w:t>
      </w:r>
      <w:r w:rsidR="0004041C" w:rsidRPr="00C83F7F">
        <w:rPr>
          <w:color w:val="000000"/>
          <w:sz w:val="22"/>
          <w:szCs w:val="22"/>
          <w:lang w:val="sk-SK"/>
        </w:rPr>
        <w:t> </w:t>
      </w:r>
      <w:r w:rsidRPr="00C83F7F">
        <w:rPr>
          <w:color w:val="000000"/>
          <w:sz w:val="22"/>
          <w:szCs w:val="22"/>
          <w:lang w:val="sk-SK"/>
        </w:rPr>
        <w:t>liečby, v kombinácii s docetaxelom v dávke 75 mg/m</w:t>
      </w:r>
      <w:r w:rsidRPr="00C83F7F">
        <w:rPr>
          <w:color w:val="000000"/>
          <w:sz w:val="22"/>
          <w:szCs w:val="22"/>
          <w:vertAlign w:val="superscript"/>
          <w:lang w:val="sk-SK"/>
        </w:rPr>
        <w:t>2</w:t>
      </w:r>
      <w:r w:rsidRPr="00C83F7F">
        <w:rPr>
          <w:color w:val="000000"/>
          <w:sz w:val="22"/>
          <w:szCs w:val="22"/>
          <w:lang w:val="sk-SK"/>
        </w:rPr>
        <w:t>, ktorý sa podáva formou 1 hodinu trvajúcej i.v. infúzie, raz za</w:t>
      </w:r>
      <w:r w:rsidR="006315F6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color w:val="000000"/>
          <w:sz w:val="22"/>
          <w:szCs w:val="22"/>
          <w:lang w:val="sk-SK"/>
        </w:rPr>
        <w:t xml:space="preserve">3 týždne. Podľa súhrnu charakteristických vlastností docetaxelu sa má pred liečbou docetaxelom, a teda aj pred liečbou kombináciou </w:t>
      </w:r>
      <w:r w:rsidR="002375D1" w:rsidRPr="00C83F7F">
        <w:rPr>
          <w:color w:val="000000"/>
          <w:sz w:val="22"/>
          <w:szCs w:val="22"/>
          <w:lang w:val="sk-SK"/>
        </w:rPr>
        <w:t xml:space="preserve">kapecitabínu </w:t>
      </w:r>
      <w:r w:rsidRPr="00C83F7F">
        <w:rPr>
          <w:color w:val="000000"/>
          <w:sz w:val="22"/>
          <w:szCs w:val="22"/>
          <w:lang w:val="sk-SK"/>
        </w:rPr>
        <w:t>a docetaxelu, podať premedikácia perorálnymi</w:t>
      </w:r>
      <w:r w:rsidR="006315F6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color w:val="000000"/>
          <w:sz w:val="22"/>
          <w:szCs w:val="22"/>
          <w:lang w:val="sk-SK"/>
        </w:rPr>
        <w:t>kortikosteroidmi, napr. dexametazónom.</w:t>
      </w:r>
    </w:p>
    <w:p w14:paraId="786688ED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09FE329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u w:val="single"/>
          <w:lang w:val="sk-SK"/>
        </w:rPr>
      </w:pPr>
      <w:r w:rsidRPr="00C83F7F">
        <w:rPr>
          <w:color w:val="000000"/>
          <w:sz w:val="22"/>
          <w:szCs w:val="22"/>
          <w:u w:val="single"/>
          <w:lang w:val="sk-SK"/>
        </w:rPr>
        <w:t xml:space="preserve">Výpočty dávky </w:t>
      </w:r>
      <w:r w:rsidR="00664B73" w:rsidRPr="00C83F7F">
        <w:rPr>
          <w:color w:val="000000"/>
          <w:sz w:val="22"/>
          <w:szCs w:val="22"/>
          <w:u w:val="single"/>
          <w:lang w:val="sk-SK"/>
        </w:rPr>
        <w:t xml:space="preserve">Capecitabine </w:t>
      </w:r>
      <w:r w:rsidR="008E29A6" w:rsidRPr="00C83F7F">
        <w:rPr>
          <w:color w:val="000000"/>
          <w:sz w:val="22"/>
          <w:szCs w:val="22"/>
          <w:u w:val="single"/>
          <w:lang w:val="sk-SK"/>
        </w:rPr>
        <w:t>Fair-Med</w:t>
      </w:r>
    </w:p>
    <w:p w14:paraId="60DA677F" w14:textId="77777777" w:rsidR="00317033" w:rsidRPr="00C83F7F" w:rsidRDefault="00317033" w:rsidP="006F1C44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  <w:lang w:val="sk-SK"/>
        </w:rPr>
      </w:pPr>
    </w:p>
    <w:p w14:paraId="35C1578B" w14:textId="38916F5B" w:rsidR="00317033" w:rsidRPr="00C83F7F" w:rsidRDefault="00317033" w:rsidP="008A393E">
      <w:pPr>
        <w:widowControl w:val="0"/>
        <w:tabs>
          <w:tab w:val="left" w:pos="1640"/>
        </w:tabs>
        <w:autoSpaceDE w:val="0"/>
        <w:autoSpaceDN w:val="0"/>
        <w:adjustRightInd w:val="0"/>
        <w:ind w:left="1134" w:hanging="1134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Tabuľka 1</w:t>
      </w:r>
      <w:r w:rsidRPr="00C83F7F">
        <w:rPr>
          <w:sz w:val="22"/>
          <w:szCs w:val="22"/>
          <w:lang w:val="sk-SK"/>
        </w:rPr>
        <w:tab/>
        <w:t xml:space="preserve">Výpočty štandardnej a zníženej dávky </w:t>
      </w:r>
      <w:r w:rsidR="00D041EA" w:rsidRPr="00C83F7F">
        <w:rPr>
          <w:sz w:val="22"/>
          <w:szCs w:val="22"/>
          <w:lang w:val="sk-SK"/>
        </w:rPr>
        <w:t>k</w:t>
      </w:r>
      <w:r w:rsidR="001B2ED5" w:rsidRPr="00C83F7F">
        <w:rPr>
          <w:sz w:val="22"/>
          <w:szCs w:val="22"/>
          <w:lang w:val="sk-SK"/>
        </w:rPr>
        <w:t>ape</w:t>
      </w:r>
      <w:r w:rsidR="00D041EA" w:rsidRPr="00C83F7F">
        <w:rPr>
          <w:sz w:val="22"/>
          <w:szCs w:val="22"/>
          <w:lang w:val="sk-SK"/>
        </w:rPr>
        <w:t>citabínu</w:t>
      </w:r>
      <w:r w:rsidR="00AB14F7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na základe plochy povrchu tela pre úvodnú dávku 1 250 mg/m</w:t>
      </w:r>
      <w:r w:rsidRPr="00C83F7F">
        <w:rPr>
          <w:sz w:val="22"/>
          <w:szCs w:val="22"/>
          <w:vertAlign w:val="superscript"/>
          <w:lang w:val="sk-SK"/>
        </w:rPr>
        <w:t>2</w:t>
      </w:r>
    </w:p>
    <w:tbl>
      <w:tblPr>
        <w:tblW w:w="9001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2"/>
        <w:gridCol w:w="1626"/>
        <w:gridCol w:w="971"/>
        <w:gridCol w:w="1112"/>
        <w:gridCol w:w="1806"/>
        <w:gridCol w:w="1914"/>
      </w:tblGrid>
      <w:tr w:rsidR="00317033" w:rsidRPr="00DC11F0" w14:paraId="622D3912" w14:textId="77777777" w:rsidTr="00C83F7F">
        <w:trPr>
          <w:trHeight w:hRule="exact" w:val="786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3242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74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E1BF" w14:textId="77777777" w:rsidR="00317033" w:rsidRPr="00C83F7F" w:rsidRDefault="00317033" w:rsidP="00224903">
            <w:pPr>
              <w:ind w:left="2221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Dávka 1 250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C83F7F">
              <w:rPr>
                <w:sz w:val="22"/>
                <w:szCs w:val="22"/>
                <w:lang w:val="sk-SK"/>
              </w:rPr>
              <w:t xml:space="preserve"> (dvakrát denne)</w:t>
            </w:r>
          </w:p>
        </w:tc>
      </w:tr>
      <w:tr w:rsidR="00317033" w:rsidRPr="00ED4C53" w14:paraId="0F79461D" w14:textId="77777777" w:rsidTr="00C83F7F">
        <w:trPr>
          <w:trHeight w:hRule="exact" w:val="2694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5BD3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AA42" w14:textId="77777777" w:rsidR="00317033" w:rsidRPr="00C83F7F" w:rsidRDefault="00317033" w:rsidP="00C83F7F">
            <w:pPr>
              <w:ind w:left="345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Plná dávka</w:t>
            </w:r>
          </w:p>
          <w:p w14:paraId="7A8E8282" w14:textId="77777777" w:rsidR="00317033" w:rsidRPr="00C83F7F" w:rsidRDefault="00317033" w:rsidP="00C83F7F">
            <w:pPr>
              <w:rPr>
                <w:sz w:val="22"/>
                <w:szCs w:val="22"/>
                <w:lang w:val="sk-SK"/>
              </w:rPr>
            </w:pPr>
          </w:p>
          <w:p w14:paraId="4831C1F1" w14:textId="77777777" w:rsidR="00317033" w:rsidRPr="00C83F7F" w:rsidRDefault="00317033" w:rsidP="00C83F7F">
            <w:pPr>
              <w:rPr>
                <w:sz w:val="22"/>
                <w:szCs w:val="22"/>
                <w:lang w:val="sk-SK"/>
              </w:rPr>
            </w:pPr>
          </w:p>
          <w:p w14:paraId="37EA1930" w14:textId="3E69D824" w:rsidR="00317033" w:rsidRPr="00C83F7F" w:rsidRDefault="00317033" w:rsidP="00C83F7F">
            <w:pPr>
              <w:ind w:left="264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</w:t>
            </w:r>
            <w:r w:rsidR="0004041C" w:rsidRPr="00C83F7F">
              <w:rPr>
                <w:sz w:val="22"/>
                <w:szCs w:val="22"/>
                <w:lang w:val="sk-SK"/>
              </w:rPr>
              <w:t> </w:t>
            </w:r>
            <w:r w:rsidRPr="00C83F7F">
              <w:rPr>
                <w:sz w:val="22"/>
                <w:szCs w:val="22"/>
                <w:lang w:val="sk-SK"/>
              </w:rPr>
              <w:t>250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509BA" w14:textId="77777777" w:rsidR="00317033" w:rsidRPr="00C83F7F" w:rsidRDefault="00317033" w:rsidP="00224903">
            <w:pPr>
              <w:ind w:left="123" w:right="103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Počet 150 mg tabliet</w:t>
            </w:r>
          </w:p>
          <w:p w14:paraId="49E2DC64" w14:textId="77777777" w:rsidR="00317033" w:rsidRPr="00C83F7F" w:rsidRDefault="00317033" w:rsidP="00224903">
            <w:pPr>
              <w:ind w:left="131" w:right="111" w:firstLine="1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a/alebo 500 mg tabliet pre jednotlivú dávku (každá jednotlivá dávka sa má podať ráno a</w:t>
            </w:r>
            <w:r w:rsidR="00CB45D1" w:rsidRPr="00C83F7F">
              <w:rPr>
                <w:sz w:val="22"/>
                <w:szCs w:val="22"/>
                <w:lang w:val="sk-SK"/>
              </w:rPr>
              <w:t xml:space="preserve"> </w:t>
            </w:r>
            <w:r w:rsidRPr="00C83F7F">
              <w:rPr>
                <w:sz w:val="22"/>
                <w:szCs w:val="22"/>
                <w:lang w:val="sk-SK"/>
              </w:rPr>
              <w:t>večer)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CE88" w14:textId="77777777" w:rsidR="00317033" w:rsidRPr="00C83F7F" w:rsidRDefault="00317033" w:rsidP="00224903">
            <w:pPr>
              <w:ind w:left="243" w:right="224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Znížená dávka</w:t>
            </w:r>
          </w:p>
          <w:p w14:paraId="3B5907F4" w14:textId="77777777" w:rsidR="00317033" w:rsidRPr="00C83F7F" w:rsidRDefault="00317033" w:rsidP="00224903">
            <w:pPr>
              <w:ind w:left="613" w:right="593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(75%)</w:t>
            </w:r>
          </w:p>
          <w:p w14:paraId="6192FF98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5F644FE5" w14:textId="77777777" w:rsidR="00317033" w:rsidRPr="00C83F7F" w:rsidRDefault="00317033" w:rsidP="00224903">
            <w:pPr>
              <w:ind w:left="400" w:right="382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950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F0B1" w14:textId="77777777" w:rsidR="00317033" w:rsidRPr="00C83F7F" w:rsidRDefault="00317033" w:rsidP="00224903">
            <w:pPr>
              <w:ind w:left="296" w:right="277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Znížená dávka</w:t>
            </w:r>
          </w:p>
          <w:p w14:paraId="63736A60" w14:textId="77777777" w:rsidR="00317033" w:rsidRPr="00C83F7F" w:rsidRDefault="00317033" w:rsidP="00224903">
            <w:pPr>
              <w:ind w:left="666" w:right="647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(50%)</w:t>
            </w:r>
          </w:p>
          <w:p w14:paraId="5DC4C7EE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6136D43E" w14:textId="77777777" w:rsidR="00317033" w:rsidRPr="00C83F7F" w:rsidRDefault="00317033" w:rsidP="00224903">
            <w:pPr>
              <w:ind w:left="454" w:right="435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625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317033" w:rsidRPr="00ED4C53" w14:paraId="04E08A3E" w14:textId="77777777" w:rsidTr="00C83F7F">
        <w:trPr>
          <w:trHeight w:hRule="exact" w:val="1166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761E" w14:textId="77777777" w:rsidR="00317033" w:rsidRPr="00C83F7F" w:rsidRDefault="00317033" w:rsidP="00695E84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Plocha</w:t>
            </w:r>
          </w:p>
          <w:p w14:paraId="60571D7C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povrchu tela</w:t>
            </w:r>
          </w:p>
          <w:p w14:paraId="09130DEB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C83F7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AB1E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Jednotlivá</w:t>
            </w:r>
          </w:p>
          <w:p w14:paraId="7CF660F5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dávka</w:t>
            </w:r>
          </w:p>
          <w:p w14:paraId="12F286A6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(mg)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5AA7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76B6BC64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150 mg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2EC1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</w:p>
          <w:p w14:paraId="7A1C87A3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500 mg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C7D24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Jednotlivá</w:t>
            </w:r>
          </w:p>
          <w:p w14:paraId="2FA98A8C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dávka</w:t>
            </w:r>
          </w:p>
          <w:p w14:paraId="1634E6BE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(mg)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4BE40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Jednotlivá</w:t>
            </w:r>
          </w:p>
          <w:p w14:paraId="2D834BB5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dávka</w:t>
            </w:r>
          </w:p>
          <w:p w14:paraId="20FC29E9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(mg)</w:t>
            </w:r>
          </w:p>
        </w:tc>
      </w:tr>
      <w:tr w:rsidR="00317033" w:rsidRPr="00ED4C53" w14:paraId="6A22ABA4" w14:textId="77777777" w:rsidTr="00C83F7F">
        <w:trPr>
          <w:trHeight w:hRule="exact" w:val="403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421A6" w14:textId="77777777" w:rsidR="00317033" w:rsidRPr="00C83F7F" w:rsidRDefault="00603B28" w:rsidP="00695E84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2"/>
                <w:szCs w:val="20"/>
                <w:lang w:val="sk-SK"/>
              </w:rPr>
            </w:pPr>
            <w:r w:rsidRPr="00C83F7F">
              <w:rPr>
                <w:sz w:val="22"/>
                <w:szCs w:val="20"/>
                <w:lang w:val="sk-SK"/>
              </w:rPr>
              <w:lastRenderedPageBreak/>
              <w:t xml:space="preserve">   ≤</w:t>
            </w:r>
            <w:r w:rsidR="00317033" w:rsidRPr="00C83F7F">
              <w:rPr>
                <w:sz w:val="22"/>
                <w:szCs w:val="20"/>
                <w:lang w:val="sk-SK"/>
              </w:rPr>
              <w:t>1,26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AED4" w14:textId="77777777" w:rsidR="00317033" w:rsidRPr="00C83F7F" w:rsidRDefault="00317033" w:rsidP="009F475F">
            <w:pPr>
              <w:ind w:left="619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1 500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C679" w14:textId="77777777" w:rsidR="00317033" w:rsidRPr="00C83F7F" w:rsidRDefault="00317033" w:rsidP="009F475F">
            <w:pPr>
              <w:ind w:left="4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C010" w14:textId="77777777" w:rsidR="00317033" w:rsidRPr="00C83F7F" w:rsidRDefault="00317033" w:rsidP="009F475F">
            <w:pPr>
              <w:ind w:left="475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F0D1" w14:textId="77777777" w:rsidR="00317033" w:rsidRPr="00C83F7F" w:rsidRDefault="00317033" w:rsidP="009F475F">
            <w:pPr>
              <w:ind w:left="64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1 150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754F3" w14:textId="77777777" w:rsidR="00317033" w:rsidRPr="00C83F7F" w:rsidRDefault="00317033" w:rsidP="009F475F">
            <w:pPr>
              <w:ind w:left="81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800</w:t>
            </w:r>
          </w:p>
        </w:tc>
      </w:tr>
      <w:tr w:rsidR="00317033" w:rsidRPr="00ED4C53" w14:paraId="3C472B17" w14:textId="77777777" w:rsidTr="00C83F7F">
        <w:trPr>
          <w:trHeight w:hRule="exact" w:val="403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A9B7" w14:textId="77777777" w:rsidR="00317033" w:rsidRPr="00C83F7F" w:rsidRDefault="00317033" w:rsidP="00695E84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0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1,27 - 1,38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A3FB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1 650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8723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10F9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F054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1 300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B87A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800</w:t>
            </w:r>
          </w:p>
        </w:tc>
      </w:tr>
      <w:tr w:rsidR="00317033" w:rsidRPr="00ED4C53" w14:paraId="4F74506D" w14:textId="77777777" w:rsidTr="00C83F7F">
        <w:trPr>
          <w:trHeight w:hRule="exact" w:val="404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D41F" w14:textId="77777777" w:rsidR="00317033" w:rsidRPr="00C83F7F" w:rsidRDefault="00317033" w:rsidP="00695E84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1,39 - 1,52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56AB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1 800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BACE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651F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52DE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1 450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EB2F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950</w:t>
            </w:r>
          </w:p>
        </w:tc>
      </w:tr>
      <w:tr w:rsidR="00317033" w:rsidRPr="00ED4C53" w14:paraId="25ABA3A2" w14:textId="77777777" w:rsidTr="00C83F7F">
        <w:trPr>
          <w:trHeight w:hRule="exact" w:val="403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4415" w14:textId="77777777" w:rsidR="00317033" w:rsidRPr="00C83F7F" w:rsidRDefault="00317033" w:rsidP="00695E84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1,53 - 1,66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B557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2 000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7B108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655B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5204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1 500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23F7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1 000</w:t>
            </w:r>
          </w:p>
        </w:tc>
      </w:tr>
      <w:tr w:rsidR="00317033" w:rsidRPr="00ED4C53" w14:paraId="019DA93A" w14:textId="77777777" w:rsidTr="00C83F7F">
        <w:trPr>
          <w:trHeight w:hRule="exact" w:val="403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3CB7" w14:textId="77777777" w:rsidR="00317033" w:rsidRPr="00C83F7F" w:rsidRDefault="00317033" w:rsidP="00695E84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1,67 - 1,78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2187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2 150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2B36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7110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405E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1 650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208D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1 000</w:t>
            </w:r>
          </w:p>
        </w:tc>
      </w:tr>
      <w:tr w:rsidR="00317033" w:rsidRPr="00ED4C53" w14:paraId="5C61CB6D" w14:textId="77777777" w:rsidTr="00C83F7F">
        <w:trPr>
          <w:trHeight w:hRule="exact" w:val="404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CE0B" w14:textId="77777777" w:rsidR="00317033" w:rsidRPr="00C83F7F" w:rsidRDefault="00317033" w:rsidP="00695E84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1,79 - 1,92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49C5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2 300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D04BC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93B0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964A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1 800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5613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1 150</w:t>
            </w:r>
          </w:p>
        </w:tc>
      </w:tr>
      <w:tr w:rsidR="00317033" w:rsidRPr="00ED4C53" w14:paraId="382F782D" w14:textId="77777777" w:rsidTr="00C83F7F">
        <w:trPr>
          <w:trHeight w:hRule="exact" w:val="403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FB1A" w14:textId="77777777" w:rsidR="00317033" w:rsidRPr="00C83F7F" w:rsidRDefault="00317033" w:rsidP="00695E84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1,93 - 2,06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E5F7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2 500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268D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9F67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0464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1 950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3F3B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1 300</w:t>
            </w:r>
          </w:p>
        </w:tc>
      </w:tr>
      <w:tr w:rsidR="00317033" w:rsidRPr="00ED4C53" w14:paraId="09A2A2FD" w14:textId="77777777" w:rsidTr="00C83F7F">
        <w:trPr>
          <w:trHeight w:hRule="exact" w:val="403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239A" w14:textId="77777777" w:rsidR="00317033" w:rsidRPr="00C83F7F" w:rsidRDefault="00317033" w:rsidP="00695E84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2,07 - 2,18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C88D7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2 650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54EE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0A79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39FE5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2 000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E929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1 300</w:t>
            </w:r>
          </w:p>
        </w:tc>
      </w:tr>
      <w:tr w:rsidR="00317033" w:rsidRPr="00ED4C53" w14:paraId="66CA7F13" w14:textId="77777777" w:rsidTr="00C83F7F">
        <w:trPr>
          <w:trHeight w:hRule="exact" w:val="403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7643" w14:textId="77777777" w:rsidR="00317033" w:rsidRPr="00C83F7F" w:rsidRDefault="00603B28" w:rsidP="00224903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2"/>
                <w:szCs w:val="20"/>
                <w:lang w:val="sk-SK"/>
              </w:rPr>
            </w:pPr>
            <w:r w:rsidRPr="00C83F7F">
              <w:rPr>
                <w:sz w:val="22"/>
                <w:szCs w:val="20"/>
                <w:lang w:val="sk-SK"/>
              </w:rPr>
              <w:t xml:space="preserve">   ≥</w:t>
            </w:r>
            <w:r w:rsidR="00317033" w:rsidRPr="00C83F7F">
              <w:rPr>
                <w:sz w:val="22"/>
                <w:szCs w:val="20"/>
                <w:lang w:val="sk-SK"/>
              </w:rPr>
              <w:t>2,19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C493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2 800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2C3F" w14:textId="77777777" w:rsidR="00317033" w:rsidRPr="00C83F7F" w:rsidRDefault="00317033" w:rsidP="00224903">
            <w:pPr>
              <w:ind w:left="403" w:right="381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435A5" w14:textId="77777777" w:rsidR="00317033" w:rsidRPr="00C83F7F" w:rsidRDefault="00317033" w:rsidP="00224903">
            <w:pPr>
              <w:ind w:left="475" w:right="453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BCBA" w14:textId="77777777" w:rsidR="00317033" w:rsidRPr="00C83F7F" w:rsidRDefault="00317033" w:rsidP="00224903">
            <w:pPr>
              <w:ind w:left="640" w:right="620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2 150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17D8" w14:textId="77777777" w:rsidR="00317033" w:rsidRPr="00C83F7F" w:rsidRDefault="00317033" w:rsidP="0022490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1 450</w:t>
            </w:r>
          </w:p>
        </w:tc>
      </w:tr>
    </w:tbl>
    <w:p w14:paraId="0179F24B" w14:textId="77777777" w:rsidR="00677D3C" w:rsidRPr="00C83F7F" w:rsidRDefault="00677D3C" w:rsidP="008377CB">
      <w:pPr>
        <w:widowControl w:val="0"/>
        <w:tabs>
          <w:tab w:val="left" w:pos="164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E50DA6C" w14:textId="77777777" w:rsidR="008377CB" w:rsidRPr="00C83F7F" w:rsidRDefault="008377CB" w:rsidP="008377CB">
      <w:pPr>
        <w:widowControl w:val="0"/>
        <w:tabs>
          <w:tab w:val="left" w:pos="164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ED83D66" w14:textId="7D95ADFF" w:rsidR="00317033" w:rsidRPr="00C83F7F" w:rsidRDefault="00317033" w:rsidP="008A393E">
      <w:pPr>
        <w:widowControl w:val="0"/>
        <w:tabs>
          <w:tab w:val="left" w:pos="1640"/>
        </w:tabs>
        <w:autoSpaceDE w:val="0"/>
        <w:autoSpaceDN w:val="0"/>
        <w:adjustRightInd w:val="0"/>
        <w:ind w:left="1134" w:hanging="1134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Tabuľka 2</w:t>
      </w:r>
      <w:r w:rsidRPr="00C83F7F">
        <w:rPr>
          <w:sz w:val="22"/>
          <w:szCs w:val="22"/>
          <w:lang w:val="sk-SK"/>
        </w:rPr>
        <w:tab/>
        <w:t xml:space="preserve">Výpočty štandardnej a zníženej dávky </w:t>
      </w:r>
      <w:r w:rsidR="00D041EA" w:rsidRPr="00C83F7F">
        <w:rPr>
          <w:sz w:val="22"/>
          <w:szCs w:val="22"/>
          <w:lang w:val="sk-SK"/>
        </w:rPr>
        <w:t>k</w:t>
      </w:r>
      <w:r w:rsidR="001B2ED5" w:rsidRPr="00C83F7F">
        <w:rPr>
          <w:sz w:val="22"/>
          <w:szCs w:val="22"/>
          <w:lang w:val="sk-SK"/>
        </w:rPr>
        <w:t>ape</w:t>
      </w:r>
      <w:r w:rsidR="00D041EA" w:rsidRPr="00C83F7F">
        <w:rPr>
          <w:sz w:val="22"/>
          <w:szCs w:val="22"/>
          <w:lang w:val="sk-SK"/>
        </w:rPr>
        <w:t>citabínu</w:t>
      </w:r>
      <w:r w:rsidR="00AB14F7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na základe plochy povrchu tela pre úvodnú dávku 1 000 mg/m</w:t>
      </w:r>
      <w:r w:rsidRPr="00C83F7F">
        <w:rPr>
          <w:sz w:val="22"/>
          <w:szCs w:val="22"/>
          <w:vertAlign w:val="superscript"/>
          <w:lang w:val="sk-SK"/>
        </w:rPr>
        <w:t>2</w:t>
      </w:r>
    </w:p>
    <w:tbl>
      <w:tblPr>
        <w:tblW w:w="9032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1650"/>
        <w:gridCol w:w="962"/>
        <w:gridCol w:w="1157"/>
        <w:gridCol w:w="1786"/>
        <w:gridCol w:w="1964"/>
      </w:tblGrid>
      <w:tr w:rsidR="00317033" w:rsidRPr="00DC11F0" w14:paraId="61893A87" w14:textId="77777777" w:rsidTr="00C83F7F">
        <w:trPr>
          <w:trHeight w:hRule="exact" w:val="537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4108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75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949E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2255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Dávka 1 000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C83F7F">
              <w:rPr>
                <w:sz w:val="22"/>
                <w:szCs w:val="22"/>
                <w:lang w:val="sk-SK"/>
              </w:rPr>
              <w:t xml:space="preserve"> (dvakrát denne)</w:t>
            </w:r>
          </w:p>
        </w:tc>
      </w:tr>
      <w:tr w:rsidR="00317033" w:rsidRPr="00ED4C53" w14:paraId="329C9CD1" w14:textId="77777777" w:rsidTr="00C83F7F">
        <w:trPr>
          <w:trHeight w:hRule="exact" w:val="1844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31AB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6B27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354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Plná dávka</w:t>
            </w:r>
          </w:p>
          <w:p w14:paraId="00707E94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76B4AB36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0C192058" w14:textId="7241166E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274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</w:t>
            </w:r>
            <w:r w:rsidR="0004041C" w:rsidRPr="00C83F7F">
              <w:rPr>
                <w:sz w:val="22"/>
                <w:szCs w:val="22"/>
                <w:lang w:val="sk-SK"/>
              </w:rPr>
              <w:t> </w:t>
            </w:r>
            <w:r w:rsidRPr="00C83F7F">
              <w:rPr>
                <w:sz w:val="22"/>
                <w:szCs w:val="22"/>
                <w:lang w:val="sk-SK"/>
              </w:rPr>
              <w:t>000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9A60" w14:textId="77777777" w:rsidR="00317033" w:rsidRPr="00C83F7F" w:rsidRDefault="00317033" w:rsidP="0076180A">
            <w:pPr>
              <w:widowControl w:val="0"/>
              <w:autoSpaceDE w:val="0"/>
              <w:autoSpaceDN w:val="0"/>
              <w:adjustRightInd w:val="0"/>
              <w:ind w:left="109" w:right="87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Počet 150 mg tabliet</w:t>
            </w:r>
            <w:r w:rsidR="0076180A" w:rsidRPr="00C83F7F">
              <w:rPr>
                <w:sz w:val="22"/>
                <w:szCs w:val="22"/>
                <w:lang w:val="sk-SK"/>
              </w:rPr>
              <w:t xml:space="preserve"> a/alebo 500 mg </w:t>
            </w:r>
            <w:r w:rsidRPr="00C83F7F">
              <w:rPr>
                <w:sz w:val="22"/>
                <w:szCs w:val="22"/>
                <w:lang w:val="sk-SK"/>
              </w:rPr>
              <w:t>tabliet pre jednotlivú dávku (každá jednotlivá dávka sa má podať ráno a večer)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1683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259" w:right="23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Znížená dávka</w:t>
            </w:r>
          </w:p>
          <w:p w14:paraId="33C97DED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420" w:right="61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(75%)</w:t>
            </w:r>
          </w:p>
          <w:p w14:paraId="53F0BADF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553DEBAE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17" w:right="398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750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56EA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319" w:right="299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Znížená dávka</w:t>
            </w:r>
          </w:p>
          <w:p w14:paraId="3A1E2DA5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689" w:right="669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(50%)</w:t>
            </w:r>
          </w:p>
          <w:p w14:paraId="32C9D63A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042C4D42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76" w:right="458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500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317033" w:rsidRPr="00ED4C53" w14:paraId="5602B6D7" w14:textId="77777777" w:rsidTr="00C83F7F">
        <w:trPr>
          <w:trHeight w:hRule="exact" w:val="798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CE79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Plocha</w:t>
            </w:r>
          </w:p>
          <w:p w14:paraId="4755DBE9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povrchu tela</w:t>
            </w:r>
          </w:p>
          <w:p w14:paraId="43E25F53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C83F7F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B949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387" w:right="297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Jednotlivá</w:t>
            </w:r>
          </w:p>
          <w:p w14:paraId="7F23FFF4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574" w:right="4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dávka</w:t>
            </w:r>
          </w:p>
          <w:p w14:paraId="231F3D10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626" w:right="5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(mg)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4763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549D59C2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144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150 mg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5B8B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3789B04C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215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500 mg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346B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443" w:right="23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Jednotlivá</w:t>
            </w:r>
          </w:p>
          <w:p w14:paraId="1F10BA6D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630" w:right="37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dávka</w:t>
            </w:r>
          </w:p>
          <w:p w14:paraId="5FCC9AFF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653" w:right="23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(mg)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19B4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547" w:right="45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Jednotlivá</w:t>
            </w:r>
          </w:p>
          <w:p w14:paraId="3FDDEBE7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734" w:right="64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dávka</w:t>
            </w:r>
          </w:p>
          <w:p w14:paraId="3FAFCAC5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786" w:right="693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(mg)</w:t>
            </w:r>
          </w:p>
        </w:tc>
      </w:tr>
      <w:tr w:rsidR="00317033" w:rsidRPr="00ED4C53" w14:paraId="4988F4BA" w14:textId="77777777" w:rsidTr="00C83F7F">
        <w:trPr>
          <w:trHeight w:hRule="exact" w:val="276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D36B0" w14:textId="77777777" w:rsidR="00317033" w:rsidRPr="00C83F7F" w:rsidRDefault="00DB260E" w:rsidP="00DB260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0"/>
                <w:lang w:val="sk-SK"/>
              </w:rPr>
              <w:t xml:space="preserve">   ≤</w:t>
            </w:r>
            <w:r w:rsidRPr="00C83F7F">
              <w:rPr>
                <w:sz w:val="22"/>
                <w:szCs w:val="22"/>
                <w:lang w:val="sk-SK"/>
              </w:rPr>
              <w:t>1,26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DCF1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630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1 150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160B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395" w:right="37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6DA6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66" w:right="44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685A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739" w:right="37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800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FFAA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834" w:right="741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600</w:t>
            </w:r>
          </w:p>
        </w:tc>
      </w:tr>
      <w:tr w:rsidR="00317033" w:rsidRPr="00ED4C53" w14:paraId="6ECDD988" w14:textId="77777777" w:rsidTr="00C83F7F">
        <w:trPr>
          <w:trHeight w:hRule="exact" w:val="277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4EE0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1,27 - 1,38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AFE7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630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1 300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2A88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395" w:right="376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4F51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66" w:right="44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9AD5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657" w:right="37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1 000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D75C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834" w:right="741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600</w:t>
            </w:r>
          </w:p>
        </w:tc>
      </w:tr>
      <w:tr w:rsidR="00317033" w:rsidRPr="00ED4C53" w14:paraId="48CC58F9" w14:textId="77777777" w:rsidTr="00C83F7F">
        <w:trPr>
          <w:trHeight w:hRule="exact" w:val="276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3302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1,39 - 1,52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D6A0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630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1 450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9E7A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395" w:right="376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8CCD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66" w:right="44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C968C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657" w:right="23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1 100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5F4A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834" w:right="741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750</w:t>
            </w:r>
          </w:p>
        </w:tc>
      </w:tr>
      <w:tr w:rsidR="00317033" w:rsidRPr="00ED4C53" w14:paraId="179C70D1" w14:textId="77777777" w:rsidTr="00C83F7F">
        <w:trPr>
          <w:trHeight w:hRule="exact" w:val="276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200C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1,53 - 1,66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532A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630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1 600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2DD3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395" w:right="376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E100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66" w:right="44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A5D4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657" w:right="23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1 200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6DE9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834" w:right="741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800</w:t>
            </w:r>
          </w:p>
        </w:tc>
      </w:tr>
      <w:tr w:rsidR="00317033" w:rsidRPr="00ED4C53" w14:paraId="4A6962BD" w14:textId="77777777" w:rsidTr="00C83F7F">
        <w:trPr>
          <w:trHeight w:hRule="exact" w:val="276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CE5A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1,67 - 1,78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3707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630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1 750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C356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395" w:right="376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9223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66" w:right="44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FEAB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657" w:right="37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1 300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9134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834" w:right="741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800</w:t>
            </w:r>
          </w:p>
        </w:tc>
      </w:tr>
      <w:tr w:rsidR="00317033" w:rsidRPr="00ED4C53" w14:paraId="3BEF26B1" w14:textId="77777777" w:rsidTr="00C83F7F">
        <w:trPr>
          <w:trHeight w:hRule="exact" w:val="277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C766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1,79 - 1,92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6C9E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630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1 800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EDE0F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395" w:right="376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DE9C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66" w:right="44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D592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657" w:right="23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1 400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2625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834" w:right="741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900</w:t>
            </w:r>
          </w:p>
        </w:tc>
      </w:tr>
      <w:tr w:rsidR="00317033" w:rsidRPr="00ED4C53" w14:paraId="7F191F3A" w14:textId="77777777" w:rsidTr="00C83F7F">
        <w:trPr>
          <w:trHeight w:hRule="exact" w:val="276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388E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1,93 - 2,06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7AC6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629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2 000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D9F1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14" w:right="39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CE7D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66" w:right="44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6662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657" w:right="23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1 500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37055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751" w:right="661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1 000</w:t>
            </w:r>
          </w:p>
        </w:tc>
      </w:tr>
      <w:tr w:rsidR="00317033" w:rsidRPr="00ED4C53" w14:paraId="1F7B392F" w14:textId="77777777" w:rsidTr="00C83F7F">
        <w:trPr>
          <w:trHeight w:hRule="exact" w:val="276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F6AD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17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2,07 - 2,18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EF0A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630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2 150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2236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395" w:right="376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3859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66" w:right="44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C9A27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657" w:right="23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1 600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B29E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751" w:right="66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1 050</w:t>
            </w:r>
          </w:p>
        </w:tc>
      </w:tr>
      <w:tr w:rsidR="00317033" w:rsidRPr="00ED4C53" w14:paraId="6CF3E071" w14:textId="77777777" w:rsidTr="00C83F7F">
        <w:trPr>
          <w:trHeight w:hRule="exact" w:val="276"/>
        </w:trPr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751F" w14:textId="77777777" w:rsidR="00317033" w:rsidRPr="00C83F7F" w:rsidRDefault="00DB260E" w:rsidP="00DB260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0"/>
                <w:lang w:val="sk-SK"/>
              </w:rPr>
              <w:t xml:space="preserve">   </w:t>
            </w:r>
            <w:r w:rsidRPr="00C83F7F">
              <w:rPr>
                <w:rFonts w:eastAsia="SymbolMT"/>
                <w:sz w:val="22"/>
                <w:szCs w:val="22"/>
                <w:lang w:val="sk-SK" w:eastAsia="el-GR"/>
              </w:rPr>
              <w:t>≥</w:t>
            </w:r>
            <w:r w:rsidRPr="00C83F7F">
              <w:rPr>
                <w:sz w:val="22"/>
                <w:szCs w:val="22"/>
                <w:lang w:val="sk-SK"/>
              </w:rPr>
              <w:t>2,19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172E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630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2 300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0F4A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395" w:right="37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399D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466" w:right="44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F0A8F" w14:textId="77777777" w:rsidR="00317033" w:rsidRPr="00C83F7F" w:rsidRDefault="00317033" w:rsidP="0004041C">
            <w:pPr>
              <w:widowControl w:val="0"/>
              <w:autoSpaceDE w:val="0"/>
              <w:autoSpaceDN w:val="0"/>
              <w:adjustRightInd w:val="0"/>
              <w:ind w:left="657" w:right="23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1 750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0313" w14:textId="77777777" w:rsidR="00317033" w:rsidRPr="00C83F7F" w:rsidRDefault="00317033" w:rsidP="001F6772">
            <w:pPr>
              <w:widowControl w:val="0"/>
              <w:autoSpaceDE w:val="0"/>
              <w:autoSpaceDN w:val="0"/>
              <w:adjustRightInd w:val="0"/>
              <w:ind w:left="752" w:right="66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1 100</w:t>
            </w:r>
          </w:p>
        </w:tc>
      </w:tr>
    </w:tbl>
    <w:p w14:paraId="62F648A8" w14:textId="77777777" w:rsidR="00317033" w:rsidRPr="00C83F7F" w:rsidRDefault="00317033" w:rsidP="00C07C1D">
      <w:pPr>
        <w:widowControl w:val="0"/>
        <w:autoSpaceDE w:val="0"/>
        <w:autoSpaceDN w:val="0"/>
        <w:adjustRightInd w:val="0"/>
        <w:spacing w:before="11" w:line="200" w:lineRule="exact"/>
        <w:jc w:val="both"/>
        <w:rPr>
          <w:sz w:val="20"/>
          <w:szCs w:val="20"/>
          <w:lang w:val="sk-SK"/>
        </w:rPr>
      </w:pPr>
    </w:p>
    <w:p w14:paraId="1D4E4DBE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Úprava dávkovania počas liečby:</w:t>
      </w:r>
    </w:p>
    <w:p w14:paraId="60093D6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5D8567EA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Všeobecné informácie</w:t>
      </w:r>
    </w:p>
    <w:p w14:paraId="61F0717E" w14:textId="336FB8C1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Toxicita </w:t>
      </w:r>
      <w:r w:rsidR="00D041EA" w:rsidRPr="00C83F7F">
        <w:rPr>
          <w:color w:val="000000"/>
          <w:sz w:val="22"/>
          <w:szCs w:val="22"/>
          <w:lang w:val="sk-SK"/>
        </w:rPr>
        <w:t>k</w:t>
      </w:r>
      <w:r w:rsidR="001B2ED5" w:rsidRPr="00C83F7F">
        <w:rPr>
          <w:color w:val="000000"/>
          <w:sz w:val="22"/>
          <w:szCs w:val="22"/>
          <w:lang w:val="sk-SK"/>
        </w:rPr>
        <w:t>ape</w:t>
      </w:r>
      <w:r w:rsidR="00D041EA" w:rsidRPr="00C83F7F">
        <w:rPr>
          <w:color w:val="000000"/>
          <w:sz w:val="22"/>
          <w:szCs w:val="22"/>
          <w:lang w:val="sk-SK"/>
        </w:rPr>
        <w:t>citabínu</w:t>
      </w:r>
      <w:r w:rsidR="00F82411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sa dá zvládnuť symptomatickou liečbou a/alebo úpravou dávky (zníženie dávok alebo prerušenie liečby). Ak sa raz dávka zníži, nemá sa neskôr opäť zvyšovať. Pri</w:t>
      </w:r>
      <w:r w:rsidR="00FA75D2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toxicitách, ktoré sa podľa názoru lekára pravdepodobne nestanú závažnými ani život ohrozujúcimi, napr. alopécia, porucha vnímania chuti, zmeny nechtov, môže liečba pokračovať v</w:t>
      </w:r>
      <w:r w:rsidR="00FA75D2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rovnakej dávke bez jej znižovania alebo</w:t>
      </w:r>
      <w:r w:rsidR="006315F6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bez prerušenia liečby. Pacienti sa majú informovať, aby ihneď prerušili liečbu</w:t>
      </w:r>
      <w:r w:rsidR="002375D1" w:rsidRPr="00C83F7F">
        <w:rPr>
          <w:sz w:val="22"/>
          <w:szCs w:val="22"/>
          <w:lang w:val="sk-SK"/>
        </w:rPr>
        <w:t xml:space="preserve"> </w:t>
      </w:r>
      <w:r w:rsidR="00D041EA" w:rsidRPr="00C83F7F">
        <w:rPr>
          <w:color w:val="000000"/>
          <w:sz w:val="22"/>
          <w:szCs w:val="22"/>
          <w:lang w:val="sk-SK"/>
        </w:rPr>
        <w:t>k</w:t>
      </w:r>
      <w:r w:rsidR="001B2ED5" w:rsidRPr="00C83F7F">
        <w:rPr>
          <w:color w:val="000000"/>
          <w:sz w:val="22"/>
          <w:szCs w:val="22"/>
          <w:lang w:val="sk-SK"/>
        </w:rPr>
        <w:t>ape</w:t>
      </w:r>
      <w:r w:rsidR="00D041EA" w:rsidRPr="00C83F7F">
        <w:rPr>
          <w:color w:val="000000"/>
          <w:sz w:val="22"/>
          <w:szCs w:val="22"/>
          <w:lang w:val="sk-SK"/>
        </w:rPr>
        <w:t>citabínom</w:t>
      </w:r>
      <w:r w:rsidRPr="00C83F7F">
        <w:rPr>
          <w:sz w:val="22"/>
          <w:szCs w:val="22"/>
          <w:lang w:val="sk-SK"/>
        </w:rPr>
        <w:t xml:space="preserve">, ak sa u nich vyskytne stredne závažná alebo závažná toxicita. Dávky </w:t>
      </w:r>
      <w:r w:rsidR="00D041EA" w:rsidRPr="00C83F7F">
        <w:rPr>
          <w:color w:val="000000"/>
          <w:sz w:val="22"/>
          <w:szCs w:val="22"/>
          <w:lang w:val="sk-SK"/>
        </w:rPr>
        <w:t>k</w:t>
      </w:r>
      <w:r w:rsidR="001B2ED5" w:rsidRPr="00C83F7F">
        <w:rPr>
          <w:color w:val="000000"/>
          <w:sz w:val="22"/>
          <w:szCs w:val="22"/>
          <w:lang w:val="sk-SK"/>
        </w:rPr>
        <w:t>ape</w:t>
      </w:r>
      <w:r w:rsidR="00D041EA" w:rsidRPr="00C83F7F">
        <w:rPr>
          <w:color w:val="000000"/>
          <w:sz w:val="22"/>
          <w:szCs w:val="22"/>
          <w:lang w:val="sk-SK"/>
        </w:rPr>
        <w:t>citabínu</w:t>
      </w:r>
      <w:r w:rsidRPr="00C83F7F">
        <w:rPr>
          <w:sz w:val="22"/>
          <w:szCs w:val="22"/>
          <w:lang w:val="sk-SK"/>
        </w:rPr>
        <w:t>, ktoré sa vynechajú pre prejavy toxicity, sa nenahrádzajú ani neobnovujú</w:t>
      </w:r>
      <w:r w:rsidR="001B2ED5" w:rsidRPr="00C83F7F">
        <w:rPr>
          <w:sz w:val="22"/>
          <w:szCs w:val="22"/>
          <w:lang w:val="sk-SK"/>
        </w:rPr>
        <w:t>.</w:t>
      </w:r>
      <w:r w:rsidRPr="00C83F7F">
        <w:rPr>
          <w:sz w:val="22"/>
          <w:szCs w:val="22"/>
          <w:lang w:val="sk-SK"/>
        </w:rPr>
        <w:t xml:space="preserve"> Pri známkach toxicity sa odporúčajú nasledovné úpravy dávkovania:</w:t>
      </w:r>
    </w:p>
    <w:p w14:paraId="603EE7C8" w14:textId="77777777" w:rsidR="00317033" w:rsidRPr="00C83F7F" w:rsidRDefault="00317033" w:rsidP="00C07C1D">
      <w:pPr>
        <w:widowControl w:val="0"/>
        <w:autoSpaceDE w:val="0"/>
        <w:autoSpaceDN w:val="0"/>
        <w:adjustRightInd w:val="0"/>
        <w:spacing w:before="14" w:line="240" w:lineRule="exact"/>
        <w:jc w:val="both"/>
        <w:rPr>
          <w:lang w:val="sk-SK"/>
        </w:rPr>
      </w:pPr>
    </w:p>
    <w:p w14:paraId="684ECAE8" w14:textId="600F9B54" w:rsidR="002447EA" w:rsidRDefault="00317033" w:rsidP="008A393E">
      <w:pPr>
        <w:widowControl w:val="0"/>
        <w:tabs>
          <w:tab w:val="left" w:pos="1640"/>
        </w:tabs>
        <w:autoSpaceDE w:val="0"/>
        <w:autoSpaceDN w:val="0"/>
        <w:adjustRightInd w:val="0"/>
        <w:ind w:left="1134" w:hanging="1134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Tabuľka 3</w:t>
      </w:r>
      <w:r w:rsidRPr="00C83F7F">
        <w:rPr>
          <w:sz w:val="22"/>
          <w:szCs w:val="22"/>
          <w:lang w:val="sk-SK"/>
        </w:rPr>
        <w:tab/>
        <w:t xml:space="preserve">Schéma redukcie dávok </w:t>
      </w:r>
      <w:r w:rsidR="00D041EA" w:rsidRPr="00C83F7F">
        <w:rPr>
          <w:sz w:val="22"/>
          <w:szCs w:val="22"/>
          <w:lang w:val="sk-SK"/>
        </w:rPr>
        <w:t>k</w:t>
      </w:r>
      <w:r w:rsidR="001B2ED5" w:rsidRPr="00C83F7F">
        <w:rPr>
          <w:sz w:val="22"/>
          <w:szCs w:val="22"/>
          <w:lang w:val="sk-SK"/>
        </w:rPr>
        <w:t>ape</w:t>
      </w:r>
      <w:r w:rsidR="00D041EA" w:rsidRPr="00C83F7F">
        <w:rPr>
          <w:sz w:val="22"/>
          <w:szCs w:val="22"/>
          <w:lang w:val="sk-SK"/>
        </w:rPr>
        <w:t>citabínu</w:t>
      </w:r>
      <w:r w:rsidR="00AB14F7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(3-týždňový liečebný cyklus alebo kontinuálna liečba)</w:t>
      </w:r>
    </w:p>
    <w:p w14:paraId="25905B62" w14:textId="77777777" w:rsidR="00C83F7F" w:rsidRPr="00C83F7F" w:rsidRDefault="00C83F7F" w:rsidP="008A393E">
      <w:pPr>
        <w:widowControl w:val="0"/>
        <w:tabs>
          <w:tab w:val="left" w:pos="1640"/>
        </w:tabs>
        <w:autoSpaceDE w:val="0"/>
        <w:autoSpaceDN w:val="0"/>
        <w:adjustRightInd w:val="0"/>
        <w:ind w:left="1134" w:hanging="1134"/>
        <w:rPr>
          <w:sz w:val="22"/>
          <w:szCs w:val="22"/>
          <w:lang w:val="sk-SK"/>
        </w:rPr>
      </w:pPr>
    </w:p>
    <w:tbl>
      <w:tblPr>
        <w:tblW w:w="87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0"/>
        <w:gridCol w:w="3373"/>
        <w:gridCol w:w="3191"/>
      </w:tblGrid>
      <w:tr w:rsidR="002447EA" w:rsidRPr="00ED4C53" w14:paraId="0BF81560" w14:textId="77777777" w:rsidTr="00C83F7F">
        <w:trPr>
          <w:trHeight w:val="1132"/>
        </w:trPr>
        <w:tc>
          <w:tcPr>
            <w:tcW w:w="2190" w:type="dxa"/>
            <w:shd w:val="clear" w:color="auto" w:fill="auto"/>
          </w:tcPr>
          <w:p w14:paraId="31CB0BA9" w14:textId="77777777" w:rsidR="002447EA" w:rsidRPr="00C83F7F" w:rsidRDefault="002447EA" w:rsidP="0073212F">
            <w:pPr>
              <w:jc w:val="center"/>
              <w:rPr>
                <w:sz w:val="22"/>
                <w:szCs w:val="22"/>
                <w:lang w:val="sk-SK"/>
              </w:rPr>
            </w:pPr>
            <w:r w:rsidRPr="005E37A5">
              <w:rPr>
                <w:rFonts w:cs="TimesNewRomanPS-BoldMT"/>
                <w:b/>
                <w:bCs/>
                <w:sz w:val="22"/>
                <w:szCs w:val="22"/>
                <w:lang w:val="sk-SK" w:eastAsia="el-GR"/>
              </w:rPr>
              <w:lastRenderedPageBreak/>
              <w:t>Stupne toxicity</w:t>
            </w:r>
            <w:r w:rsidRPr="00C83F7F">
              <w:rPr>
                <w:rFonts w:cs="TimesNewRomanPS-BoldMT"/>
                <w:b/>
                <w:bCs/>
                <w:sz w:val="22"/>
                <w:szCs w:val="22"/>
                <w:lang w:val="sk-SK" w:eastAsia="el-GR"/>
              </w:rPr>
              <w:t>*</w:t>
            </w:r>
          </w:p>
        </w:tc>
        <w:tc>
          <w:tcPr>
            <w:tcW w:w="3373" w:type="dxa"/>
            <w:shd w:val="clear" w:color="auto" w:fill="auto"/>
          </w:tcPr>
          <w:p w14:paraId="558B2304" w14:textId="77777777" w:rsidR="002447EA" w:rsidRPr="00C83F7F" w:rsidRDefault="002447EA" w:rsidP="0073212F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Zmena dávok počas liečebného cyklu</w:t>
            </w:r>
          </w:p>
        </w:tc>
        <w:tc>
          <w:tcPr>
            <w:tcW w:w="3189" w:type="dxa"/>
            <w:shd w:val="clear" w:color="auto" w:fill="auto"/>
          </w:tcPr>
          <w:p w14:paraId="55CB3B60" w14:textId="77777777" w:rsidR="002447EA" w:rsidRPr="00C83F7F" w:rsidRDefault="002447EA" w:rsidP="0073212F">
            <w:pPr>
              <w:widowControl w:val="0"/>
              <w:autoSpaceDE w:val="0"/>
              <w:autoSpaceDN w:val="0"/>
              <w:adjustRightInd w:val="0"/>
              <w:ind w:left="190" w:right="174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Úprava dávkovania pre</w:t>
            </w:r>
          </w:p>
          <w:p w14:paraId="70B1B36E" w14:textId="77777777" w:rsidR="002447EA" w:rsidRPr="00C83F7F" w:rsidRDefault="002447EA" w:rsidP="0073212F">
            <w:pPr>
              <w:widowControl w:val="0"/>
              <w:autoSpaceDE w:val="0"/>
              <w:autoSpaceDN w:val="0"/>
              <w:adjustRightInd w:val="0"/>
              <w:ind w:left="118" w:right="100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nasledujúci cyklus/dávka</w:t>
            </w:r>
          </w:p>
          <w:p w14:paraId="6C3D6FD4" w14:textId="77777777" w:rsidR="002447EA" w:rsidRPr="00C83F7F" w:rsidRDefault="002447EA" w:rsidP="0073212F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(% úvodnej dávky)</w:t>
            </w:r>
          </w:p>
        </w:tc>
      </w:tr>
      <w:tr w:rsidR="002447EA" w:rsidRPr="00ED4C53" w14:paraId="220AF49A" w14:textId="77777777" w:rsidTr="00C83F7F">
        <w:trPr>
          <w:trHeight w:val="385"/>
        </w:trPr>
        <w:tc>
          <w:tcPr>
            <w:tcW w:w="2190" w:type="dxa"/>
            <w:shd w:val="clear" w:color="auto" w:fill="auto"/>
          </w:tcPr>
          <w:p w14:paraId="4758B301" w14:textId="77777777" w:rsidR="002447EA" w:rsidRPr="00C83F7F" w:rsidRDefault="002447EA" w:rsidP="00D9498E">
            <w:pPr>
              <w:numPr>
                <w:ilvl w:val="0"/>
                <w:numId w:val="1"/>
              </w:numPr>
              <w:ind w:hanging="589"/>
              <w:jc w:val="both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i/>
                <w:sz w:val="22"/>
                <w:szCs w:val="22"/>
                <w:lang w:val="sk-SK"/>
              </w:rPr>
              <w:t>Stupeň 1</w:t>
            </w:r>
          </w:p>
        </w:tc>
        <w:tc>
          <w:tcPr>
            <w:tcW w:w="3373" w:type="dxa"/>
            <w:shd w:val="clear" w:color="auto" w:fill="auto"/>
          </w:tcPr>
          <w:p w14:paraId="30D810DF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Udržiavať hladinu dávky</w:t>
            </w:r>
          </w:p>
        </w:tc>
        <w:tc>
          <w:tcPr>
            <w:tcW w:w="3189" w:type="dxa"/>
            <w:shd w:val="clear" w:color="auto" w:fill="auto"/>
          </w:tcPr>
          <w:p w14:paraId="6C0BF6E1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Udržiavať hladinu dávky</w:t>
            </w:r>
          </w:p>
        </w:tc>
      </w:tr>
      <w:tr w:rsidR="002447EA" w:rsidRPr="00ED4C53" w14:paraId="232A627F" w14:textId="77777777" w:rsidTr="00C83F7F">
        <w:trPr>
          <w:trHeight w:val="407"/>
        </w:trPr>
        <w:tc>
          <w:tcPr>
            <w:tcW w:w="8754" w:type="dxa"/>
            <w:gridSpan w:val="3"/>
            <w:shd w:val="clear" w:color="auto" w:fill="auto"/>
          </w:tcPr>
          <w:p w14:paraId="195669ED" w14:textId="77777777" w:rsidR="002447EA" w:rsidRPr="00C83F7F" w:rsidRDefault="002447EA" w:rsidP="00D9498E">
            <w:pPr>
              <w:numPr>
                <w:ilvl w:val="0"/>
                <w:numId w:val="1"/>
              </w:numPr>
              <w:ind w:hanging="589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sz w:val="22"/>
                <w:szCs w:val="22"/>
                <w:lang w:val="sk-SK"/>
              </w:rPr>
              <w:t>Stupeň 2</w:t>
            </w:r>
          </w:p>
        </w:tc>
      </w:tr>
      <w:tr w:rsidR="002447EA" w:rsidRPr="00ED4C53" w14:paraId="10AB7DDD" w14:textId="77777777" w:rsidTr="00C83F7F">
        <w:trPr>
          <w:trHeight w:val="144"/>
        </w:trPr>
        <w:tc>
          <w:tcPr>
            <w:tcW w:w="2190" w:type="dxa"/>
            <w:shd w:val="clear" w:color="auto" w:fill="auto"/>
          </w:tcPr>
          <w:p w14:paraId="2C115ADC" w14:textId="77777777" w:rsidR="002447EA" w:rsidRPr="00C83F7F" w:rsidRDefault="002447EA" w:rsidP="00D9498E">
            <w:pPr>
              <w:numPr>
                <w:ilvl w:val="0"/>
                <w:numId w:val="2"/>
              </w:numPr>
              <w:ind w:left="556" w:hanging="283"/>
              <w:jc w:val="both"/>
              <w:rPr>
                <w:sz w:val="22"/>
                <w:szCs w:val="22"/>
                <w:lang w:val="sk-SK"/>
              </w:rPr>
            </w:pPr>
            <w:r w:rsidRPr="005E37A5">
              <w:rPr>
                <w:rFonts w:cs="TimesNewRomanPSMT"/>
                <w:sz w:val="22"/>
                <w:szCs w:val="22"/>
                <w:lang w:val="sk-SK" w:eastAsia="el-GR"/>
              </w:rPr>
              <w:t>Prvý výskyt</w:t>
            </w:r>
          </w:p>
        </w:tc>
        <w:tc>
          <w:tcPr>
            <w:tcW w:w="3373" w:type="dxa"/>
            <w:vMerge w:val="restart"/>
            <w:shd w:val="clear" w:color="auto" w:fill="auto"/>
          </w:tcPr>
          <w:p w14:paraId="30D770A8" w14:textId="77777777" w:rsidR="002447EA" w:rsidRPr="00C83F7F" w:rsidRDefault="002447EA" w:rsidP="00753512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Prerušiť liečbu až do úpravy toxicity na 0. alebo </w:t>
            </w:r>
            <w:r w:rsidR="00753512" w:rsidRPr="00C83F7F">
              <w:rPr>
                <w:sz w:val="22"/>
                <w:szCs w:val="22"/>
                <w:lang w:val="sk-SK"/>
              </w:rPr>
              <w:t>I</w:t>
            </w:r>
            <w:r w:rsidRPr="00C83F7F">
              <w:rPr>
                <w:sz w:val="22"/>
                <w:szCs w:val="22"/>
                <w:lang w:val="sk-SK"/>
              </w:rPr>
              <w:t>. stupeň</w:t>
            </w:r>
          </w:p>
        </w:tc>
        <w:tc>
          <w:tcPr>
            <w:tcW w:w="3189" w:type="dxa"/>
            <w:shd w:val="clear" w:color="auto" w:fill="auto"/>
          </w:tcPr>
          <w:p w14:paraId="5409A27D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100 %</w:t>
            </w:r>
          </w:p>
        </w:tc>
      </w:tr>
      <w:tr w:rsidR="002447EA" w:rsidRPr="00ED4C53" w14:paraId="4A90EEE7" w14:textId="77777777" w:rsidTr="00C83F7F">
        <w:trPr>
          <w:trHeight w:val="140"/>
        </w:trPr>
        <w:tc>
          <w:tcPr>
            <w:tcW w:w="2190" w:type="dxa"/>
            <w:shd w:val="clear" w:color="auto" w:fill="auto"/>
          </w:tcPr>
          <w:p w14:paraId="1E0842B5" w14:textId="77777777" w:rsidR="002447EA" w:rsidRPr="00C83F7F" w:rsidRDefault="002447EA" w:rsidP="00D9498E">
            <w:pPr>
              <w:numPr>
                <w:ilvl w:val="0"/>
                <w:numId w:val="2"/>
              </w:numPr>
              <w:ind w:left="556" w:hanging="283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rFonts w:cs="TimesNewRomanPSMT"/>
                <w:sz w:val="22"/>
                <w:szCs w:val="22"/>
                <w:lang w:val="sk-SK" w:eastAsia="el-GR"/>
              </w:rPr>
              <w:t>Druhý výskyt</w:t>
            </w:r>
          </w:p>
        </w:tc>
        <w:tc>
          <w:tcPr>
            <w:tcW w:w="3373" w:type="dxa"/>
            <w:vMerge/>
            <w:shd w:val="clear" w:color="auto" w:fill="auto"/>
          </w:tcPr>
          <w:p w14:paraId="3DF3CECE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3189" w:type="dxa"/>
            <w:shd w:val="clear" w:color="auto" w:fill="auto"/>
          </w:tcPr>
          <w:p w14:paraId="4D517F64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75 %</w:t>
            </w:r>
          </w:p>
        </w:tc>
      </w:tr>
      <w:tr w:rsidR="002447EA" w:rsidRPr="00ED4C53" w14:paraId="0BBCC641" w14:textId="77777777" w:rsidTr="00C83F7F">
        <w:trPr>
          <w:trHeight w:val="140"/>
        </w:trPr>
        <w:tc>
          <w:tcPr>
            <w:tcW w:w="2190" w:type="dxa"/>
            <w:shd w:val="clear" w:color="auto" w:fill="auto"/>
          </w:tcPr>
          <w:p w14:paraId="3529EA03" w14:textId="77777777" w:rsidR="002447EA" w:rsidRPr="00C83F7F" w:rsidRDefault="002447EA" w:rsidP="00D9498E">
            <w:pPr>
              <w:numPr>
                <w:ilvl w:val="0"/>
                <w:numId w:val="2"/>
              </w:numPr>
              <w:ind w:left="556" w:hanging="283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rFonts w:cs="TimesNewRomanPSMT"/>
                <w:sz w:val="22"/>
                <w:szCs w:val="22"/>
                <w:lang w:val="sk-SK" w:eastAsia="el-GR"/>
              </w:rPr>
              <w:t>Tretí výskyt</w:t>
            </w:r>
          </w:p>
        </w:tc>
        <w:tc>
          <w:tcPr>
            <w:tcW w:w="3373" w:type="dxa"/>
            <w:vMerge/>
            <w:shd w:val="clear" w:color="auto" w:fill="auto"/>
          </w:tcPr>
          <w:p w14:paraId="2403439E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3189" w:type="dxa"/>
            <w:shd w:val="clear" w:color="auto" w:fill="auto"/>
          </w:tcPr>
          <w:p w14:paraId="2C45C5AA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50 %</w:t>
            </w:r>
          </w:p>
        </w:tc>
      </w:tr>
      <w:tr w:rsidR="002447EA" w:rsidRPr="00ED4C53" w14:paraId="70AFC629" w14:textId="77777777" w:rsidTr="00C83F7F">
        <w:trPr>
          <w:trHeight w:val="140"/>
        </w:trPr>
        <w:tc>
          <w:tcPr>
            <w:tcW w:w="2190" w:type="dxa"/>
            <w:shd w:val="clear" w:color="auto" w:fill="auto"/>
          </w:tcPr>
          <w:p w14:paraId="640E67A1" w14:textId="77777777" w:rsidR="002447EA" w:rsidRPr="00C83F7F" w:rsidRDefault="002447EA" w:rsidP="00D9498E">
            <w:pPr>
              <w:numPr>
                <w:ilvl w:val="0"/>
                <w:numId w:val="2"/>
              </w:numPr>
              <w:ind w:left="556" w:hanging="283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rFonts w:cs="TimesNewRomanPSMT"/>
                <w:sz w:val="22"/>
                <w:szCs w:val="22"/>
                <w:lang w:val="sk-SK" w:eastAsia="el-GR"/>
              </w:rPr>
              <w:t>Štvrtý výskyt</w:t>
            </w:r>
          </w:p>
        </w:tc>
        <w:tc>
          <w:tcPr>
            <w:tcW w:w="3373" w:type="dxa"/>
            <w:shd w:val="clear" w:color="auto" w:fill="auto"/>
          </w:tcPr>
          <w:p w14:paraId="17AA7849" w14:textId="77777777" w:rsidR="002447EA" w:rsidRPr="00C83F7F" w:rsidRDefault="00FB148B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Liečbu vysadiť natrvalo</w:t>
            </w:r>
          </w:p>
        </w:tc>
        <w:tc>
          <w:tcPr>
            <w:tcW w:w="3189" w:type="dxa"/>
            <w:shd w:val="clear" w:color="auto" w:fill="auto"/>
          </w:tcPr>
          <w:p w14:paraId="01D55879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Neaplikovateľné</w:t>
            </w:r>
          </w:p>
        </w:tc>
      </w:tr>
      <w:tr w:rsidR="002447EA" w:rsidRPr="00ED4C53" w14:paraId="42AAC3A3" w14:textId="77777777" w:rsidTr="00C83F7F">
        <w:trPr>
          <w:trHeight w:val="407"/>
        </w:trPr>
        <w:tc>
          <w:tcPr>
            <w:tcW w:w="8754" w:type="dxa"/>
            <w:gridSpan w:val="3"/>
            <w:shd w:val="clear" w:color="auto" w:fill="auto"/>
          </w:tcPr>
          <w:p w14:paraId="2252198C" w14:textId="77777777" w:rsidR="002447EA" w:rsidRPr="00C83F7F" w:rsidRDefault="002447EA" w:rsidP="00D9498E">
            <w:pPr>
              <w:numPr>
                <w:ilvl w:val="0"/>
                <w:numId w:val="1"/>
              </w:numPr>
              <w:ind w:hanging="589"/>
              <w:jc w:val="both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i/>
                <w:sz w:val="22"/>
                <w:szCs w:val="22"/>
                <w:lang w:val="sk-SK"/>
              </w:rPr>
              <w:t>Stupeň 3</w:t>
            </w:r>
          </w:p>
        </w:tc>
      </w:tr>
      <w:tr w:rsidR="002447EA" w:rsidRPr="00ED4C53" w14:paraId="0298BF64" w14:textId="77777777" w:rsidTr="00C83F7F">
        <w:trPr>
          <w:trHeight w:val="144"/>
        </w:trPr>
        <w:tc>
          <w:tcPr>
            <w:tcW w:w="2190" w:type="dxa"/>
            <w:shd w:val="clear" w:color="auto" w:fill="auto"/>
          </w:tcPr>
          <w:p w14:paraId="2C200B66" w14:textId="77777777" w:rsidR="002447EA" w:rsidRPr="00C83F7F" w:rsidRDefault="002447EA" w:rsidP="00D9498E">
            <w:pPr>
              <w:numPr>
                <w:ilvl w:val="0"/>
                <w:numId w:val="2"/>
              </w:numPr>
              <w:ind w:left="556" w:hanging="283"/>
              <w:jc w:val="both"/>
              <w:rPr>
                <w:sz w:val="22"/>
                <w:szCs w:val="22"/>
                <w:lang w:val="sk-SK"/>
              </w:rPr>
            </w:pPr>
            <w:r w:rsidRPr="005E37A5">
              <w:rPr>
                <w:rFonts w:cs="TimesNewRomanPSMT"/>
                <w:sz w:val="22"/>
                <w:szCs w:val="22"/>
                <w:lang w:val="sk-SK" w:eastAsia="el-GR"/>
              </w:rPr>
              <w:t>Prvý výskyt</w:t>
            </w:r>
          </w:p>
        </w:tc>
        <w:tc>
          <w:tcPr>
            <w:tcW w:w="3373" w:type="dxa"/>
            <w:vMerge w:val="restart"/>
            <w:shd w:val="clear" w:color="auto" w:fill="auto"/>
          </w:tcPr>
          <w:p w14:paraId="646210F5" w14:textId="77777777" w:rsidR="002447EA" w:rsidRPr="00C83F7F" w:rsidRDefault="002447EA" w:rsidP="00753512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Prerušiť liečbu až do úpravy toxicity na 0. alebo </w:t>
            </w:r>
            <w:r w:rsidR="00753512" w:rsidRPr="00C83F7F">
              <w:rPr>
                <w:sz w:val="22"/>
                <w:szCs w:val="22"/>
                <w:lang w:val="sk-SK"/>
              </w:rPr>
              <w:t>I</w:t>
            </w:r>
            <w:r w:rsidRPr="00C83F7F">
              <w:rPr>
                <w:sz w:val="22"/>
                <w:szCs w:val="22"/>
                <w:lang w:val="sk-SK"/>
              </w:rPr>
              <w:t>. stupeň</w:t>
            </w:r>
          </w:p>
        </w:tc>
        <w:tc>
          <w:tcPr>
            <w:tcW w:w="3189" w:type="dxa"/>
            <w:shd w:val="clear" w:color="auto" w:fill="auto"/>
          </w:tcPr>
          <w:p w14:paraId="21317D18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75 %</w:t>
            </w:r>
          </w:p>
        </w:tc>
      </w:tr>
      <w:tr w:rsidR="002447EA" w:rsidRPr="00ED4C53" w14:paraId="280C3D00" w14:textId="77777777" w:rsidTr="00C83F7F">
        <w:trPr>
          <w:trHeight w:val="140"/>
        </w:trPr>
        <w:tc>
          <w:tcPr>
            <w:tcW w:w="2190" w:type="dxa"/>
            <w:shd w:val="clear" w:color="auto" w:fill="auto"/>
          </w:tcPr>
          <w:p w14:paraId="38F2FF40" w14:textId="77777777" w:rsidR="002447EA" w:rsidRPr="00C83F7F" w:rsidRDefault="002447EA" w:rsidP="00D9498E">
            <w:pPr>
              <w:numPr>
                <w:ilvl w:val="0"/>
                <w:numId w:val="2"/>
              </w:numPr>
              <w:ind w:left="556" w:hanging="283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rFonts w:cs="TimesNewRomanPSMT"/>
                <w:sz w:val="22"/>
                <w:szCs w:val="22"/>
                <w:lang w:val="sk-SK" w:eastAsia="el-GR"/>
              </w:rPr>
              <w:t>Druhý výskyt</w:t>
            </w:r>
          </w:p>
        </w:tc>
        <w:tc>
          <w:tcPr>
            <w:tcW w:w="3373" w:type="dxa"/>
            <w:vMerge/>
            <w:tcBorders>
              <w:top w:val="nil"/>
            </w:tcBorders>
            <w:shd w:val="clear" w:color="auto" w:fill="auto"/>
          </w:tcPr>
          <w:p w14:paraId="5D36FC43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3189" w:type="dxa"/>
            <w:shd w:val="clear" w:color="auto" w:fill="auto"/>
          </w:tcPr>
          <w:p w14:paraId="21788828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50 %</w:t>
            </w:r>
          </w:p>
        </w:tc>
      </w:tr>
      <w:tr w:rsidR="002447EA" w:rsidRPr="00ED4C53" w14:paraId="395539A7" w14:textId="77777777" w:rsidTr="00C83F7F">
        <w:trPr>
          <w:trHeight w:val="140"/>
        </w:trPr>
        <w:tc>
          <w:tcPr>
            <w:tcW w:w="2190" w:type="dxa"/>
            <w:shd w:val="clear" w:color="auto" w:fill="auto"/>
          </w:tcPr>
          <w:p w14:paraId="788CF400" w14:textId="77777777" w:rsidR="002447EA" w:rsidRPr="00C83F7F" w:rsidRDefault="002447EA" w:rsidP="00D9498E">
            <w:pPr>
              <w:numPr>
                <w:ilvl w:val="0"/>
                <w:numId w:val="2"/>
              </w:numPr>
              <w:ind w:left="556" w:hanging="283"/>
              <w:jc w:val="both"/>
              <w:rPr>
                <w:rFonts w:cs="TimesNewRomanPSMT"/>
                <w:sz w:val="22"/>
                <w:szCs w:val="22"/>
                <w:lang w:val="sk-SK" w:eastAsia="el-GR"/>
              </w:rPr>
            </w:pPr>
            <w:r w:rsidRPr="00C83F7F">
              <w:rPr>
                <w:rFonts w:cs="TimesNewRomanPSMT"/>
                <w:sz w:val="22"/>
                <w:szCs w:val="22"/>
                <w:lang w:val="sk-SK" w:eastAsia="el-GR"/>
              </w:rPr>
              <w:t>Tretí výskyt</w:t>
            </w:r>
          </w:p>
        </w:tc>
        <w:tc>
          <w:tcPr>
            <w:tcW w:w="3373" w:type="dxa"/>
            <w:tcBorders>
              <w:top w:val="nil"/>
            </w:tcBorders>
            <w:shd w:val="clear" w:color="auto" w:fill="auto"/>
          </w:tcPr>
          <w:p w14:paraId="52799D62" w14:textId="77777777" w:rsidR="002447EA" w:rsidRPr="00C83F7F" w:rsidRDefault="002447EA" w:rsidP="005E5C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Liečbu vysadiť natrvalo</w:t>
            </w:r>
          </w:p>
        </w:tc>
        <w:tc>
          <w:tcPr>
            <w:tcW w:w="3189" w:type="dxa"/>
            <w:shd w:val="clear" w:color="auto" w:fill="auto"/>
          </w:tcPr>
          <w:p w14:paraId="1E979C55" w14:textId="77777777" w:rsidR="002447EA" w:rsidRPr="00C83F7F" w:rsidRDefault="002447EA" w:rsidP="00FB148B">
            <w:pPr>
              <w:jc w:val="center"/>
              <w:rPr>
                <w:rFonts w:cs="TimesNewRomanPSMT"/>
                <w:sz w:val="22"/>
                <w:szCs w:val="22"/>
                <w:lang w:val="sk-SK" w:eastAsia="el-GR"/>
              </w:rPr>
            </w:pPr>
            <w:r w:rsidRPr="00C83F7F">
              <w:rPr>
                <w:sz w:val="22"/>
                <w:szCs w:val="22"/>
                <w:lang w:val="sk-SK"/>
              </w:rPr>
              <w:t>Neaplikovateľné</w:t>
            </w:r>
          </w:p>
        </w:tc>
      </w:tr>
      <w:tr w:rsidR="002447EA" w:rsidRPr="00ED4C53" w14:paraId="0C07BA93" w14:textId="77777777" w:rsidTr="00C83F7F">
        <w:trPr>
          <w:trHeight w:val="385"/>
        </w:trPr>
        <w:tc>
          <w:tcPr>
            <w:tcW w:w="8754" w:type="dxa"/>
            <w:gridSpan w:val="3"/>
            <w:shd w:val="clear" w:color="auto" w:fill="auto"/>
          </w:tcPr>
          <w:p w14:paraId="15918E2B" w14:textId="77777777" w:rsidR="002447EA" w:rsidRPr="00C83F7F" w:rsidRDefault="002447EA" w:rsidP="00D9498E">
            <w:pPr>
              <w:numPr>
                <w:ilvl w:val="0"/>
                <w:numId w:val="1"/>
              </w:numPr>
              <w:ind w:hanging="589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sz w:val="22"/>
                <w:szCs w:val="22"/>
                <w:lang w:val="sk-SK"/>
              </w:rPr>
              <w:t>Stupeň 4</w:t>
            </w:r>
          </w:p>
        </w:tc>
      </w:tr>
      <w:tr w:rsidR="002447EA" w:rsidRPr="00ED4C53" w14:paraId="371CB2CE" w14:textId="77777777" w:rsidTr="00C83F7F">
        <w:trPr>
          <w:trHeight w:val="144"/>
        </w:trPr>
        <w:tc>
          <w:tcPr>
            <w:tcW w:w="2190" w:type="dxa"/>
            <w:shd w:val="clear" w:color="auto" w:fill="auto"/>
          </w:tcPr>
          <w:p w14:paraId="1F8D60A9" w14:textId="77777777" w:rsidR="002447EA" w:rsidRPr="00C83F7F" w:rsidRDefault="002447EA" w:rsidP="00D9498E">
            <w:pPr>
              <w:numPr>
                <w:ilvl w:val="0"/>
                <w:numId w:val="2"/>
              </w:numPr>
              <w:ind w:left="556" w:hanging="283"/>
              <w:jc w:val="both"/>
              <w:rPr>
                <w:sz w:val="22"/>
                <w:szCs w:val="22"/>
                <w:lang w:val="sk-SK"/>
              </w:rPr>
            </w:pPr>
            <w:r w:rsidRPr="005E37A5">
              <w:rPr>
                <w:rFonts w:cs="TimesNewRomanPSMT"/>
                <w:sz w:val="22"/>
                <w:szCs w:val="22"/>
                <w:lang w:val="sk-SK" w:eastAsia="el-GR"/>
              </w:rPr>
              <w:t>Prvý výskyt</w:t>
            </w:r>
          </w:p>
        </w:tc>
        <w:tc>
          <w:tcPr>
            <w:tcW w:w="3373" w:type="dxa"/>
            <w:shd w:val="clear" w:color="auto" w:fill="auto"/>
          </w:tcPr>
          <w:p w14:paraId="0DC20345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Liečbu vysadiť natrvalo</w:t>
            </w:r>
          </w:p>
          <w:p w14:paraId="670439AB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alebo prerušiť liečbu až do úpravy toxicity na 0. alebo I. stupeň, ak si lekár myslí, že je to v najlepšom záujme pacienta</w:t>
            </w:r>
          </w:p>
        </w:tc>
        <w:tc>
          <w:tcPr>
            <w:tcW w:w="3189" w:type="dxa"/>
            <w:shd w:val="clear" w:color="auto" w:fill="auto"/>
          </w:tcPr>
          <w:p w14:paraId="28253987" w14:textId="77777777" w:rsidR="002447EA" w:rsidRPr="00C83F7F" w:rsidRDefault="002447EA" w:rsidP="00FB148B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50 %</w:t>
            </w:r>
          </w:p>
        </w:tc>
      </w:tr>
      <w:tr w:rsidR="002447EA" w:rsidRPr="00ED4C53" w14:paraId="17CBF08F" w14:textId="77777777" w:rsidTr="00C83F7F">
        <w:trPr>
          <w:trHeight w:val="140"/>
        </w:trPr>
        <w:tc>
          <w:tcPr>
            <w:tcW w:w="2190" w:type="dxa"/>
            <w:shd w:val="clear" w:color="auto" w:fill="auto"/>
          </w:tcPr>
          <w:p w14:paraId="63045C9B" w14:textId="77777777" w:rsidR="002447EA" w:rsidRPr="00C83F7F" w:rsidRDefault="002447EA" w:rsidP="00D9498E">
            <w:pPr>
              <w:numPr>
                <w:ilvl w:val="0"/>
                <w:numId w:val="2"/>
              </w:numPr>
              <w:ind w:left="556" w:hanging="283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rFonts w:cs="TimesNewRomanPSMT"/>
                <w:sz w:val="22"/>
                <w:szCs w:val="22"/>
                <w:lang w:val="sk-SK" w:eastAsia="el-GR"/>
              </w:rPr>
              <w:t>Druhý výskyt</w:t>
            </w:r>
          </w:p>
        </w:tc>
        <w:tc>
          <w:tcPr>
            <w:tcW w:w="3373" w:type="dxa"/>
            <w:shd w:val="clear" w:color="auto" w:fill="auto"/>
          </w:tcPr>
          <w:p w14:paraId="396182FF" w14:textId="77777777" w:rsidR="002447EA" w:rsidRPr="00C83F7F" w:rsidRDefault="002447EA" w:rsidP="005E5CF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Liečbu vysadiť natrvalo</w:t>
            </w:r>
          </w:p>
        </w:tc>
        <w:tc>
          <w:tcPr>
            <w:tcW w:w="3189" w:type="dxa"/>
            <w:shd w:val="clear" w:color="auto" w:fill="auto"/>
          </w:tcPr>
          <w:p w14:paraId="6CEB3E8F" w14:textId="77777777" w:rsidR="002447EA" w:rsidRPr="00C83F7F" w:rsidRDefault="002447EA" w:rsidP="005E5CF3">
            <w:pPr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Neaplikovateľné</w:t>
            </w:r>
          </w:p>
        </w:tc>
      </w:tr>
    </w:tbl>
    <w:p w14:paraId="05D85420" w14:textId="77777777" w:rsidR="00317033" w:rsidRPr="00C83F7F" w:rsidRDefault="00317033" w:rsidP="00C07C1D">
      <w:pPr>
        <w:widowControl w:val="0"/>
        <w:autoSpaceDE w:val="0"/>
        <w:autoSpaceDN w:val="0"/>
        <w:adjustRightInd w:val="0"/>
        <w:spacing w:before="3" w:line="90" w:lineRule="exact"/>
        <w:jc w:val="both"/>
        <w:rPr>
          <w:sz w:val="9"/>
          <w:szCs w:val="9"/>
          <w:lang w:val="sk-SK"/>
        </w:rPr>
      </w:pPr>
    </w:p>
    <w:p w14:paraId="57200F9D" w14:textId="53203B47" w:rsidR="00317033" w:rsidRPr="00C83F7F" w:rsidRDefault="00317033" w:rsidP="00753512">
      <w:pPr>
        <w:widowControl w:val="0"/>
        <w:autoSpaceDE w:val="0"/>
        <w:autoSpaceDN w:val="0"/>
        <w:adjustRightInd w:val="0"/>
        <w:ind w:left="117" w:right="-20"/>
        <w:jc w:val="both"/>
        <w:rPr>
          <w:sz w:val="20"/>
          <w:szCs w:val="20"/>
          <w:lang w:val="sk-SK"/>
        </w:rPr>
      </w:pPr>
      <w:r w:rsidRPr="00C83F7F">
        <w:rPr>
          <w:sz w:val="20"/>
          <w:szCs w:val="20"/>
          <w:lang w:val="sk-SK"/>
        </w:rPr>
        <w:t>*Podľa všeobecne používaných kritérií toxicity (verzia 1) Skupiny pre klinické štúdie Národného onkologického</w:t>
      </w:r>
      <w:r w:rsidR="00753512" w:rsidRPr="00C83F7F">
        <w:rPr>
          <w:sz w:val="20"/>
          <w:szCs w:val="20"/>
          <w:lang w:val="sk-SK"/>
        </w:rPr>
        <w:t xml:space="preserve"> </w:t>
      </w:r>
      <w:r w:rsidRPr="00C83F7F">
        <w:rPr>
          <w:sz w:val="20"/>
          <w:szCs w:val="20"/>
          <w:lang w:val="sk-SK"/>
        </w:rPr>
        <w:t>ústavu v Kanade (NCIC) CTG) alebo všeobecne používaných terminologických kritérií pre</w:t>
      </w:r>
      <w:r w:rsidR="00FA75D2" w:rsidRPr="00C83F7F">
        <w:rPr>
          <w:sz w:val="20"/>
          <w:szCs w:val="20"/>
          <w:lang w:val="sk-SK"/>
        </w:rPr>
        <w:t> </w:t>
      </w:r>
      <w:r w:rsidRPr="00C83F7F">
        <w:rPr>
          <w:sz w:val="20"/>
          <w:szCs w:val="20"/>
          <w:lang w:val="sk-SK"/>
        </w:rPr>
        <w:t>nežiaduce udalosti (CTCAE) Programu hodnotiaceho liečbu rakoviny, Národného onkologického ústavu v</w:t>
      </w:r>
      <w:r w:rsidR="00FA75D2" w:rsidRPr="00C83F7F">
        <w:rPr>
          <w:sz w:val="20"/>
          <w:szCs w:val="20"/>
          <w:lang w:val="sk-SK"/>
        </w:rPr>
        <w:t> </w:t>
      </w:r>
      <w:r w:rsidRPr="00C83F7F">
        <w:rPr>
          <w:sz w:val="20"/>
          <w:szCs w:val="20"/>
          <w:lang w:val="sk-SK"/>
        </w:rPr>
        <w:t xml:space="preserve">USA, verzia </w:t>
      </w:r>
      <w:r w:rsidR="00D43740" w:rsidRPr="00C83F7F">
        <w:rPr>
          <w:sz w:val="20"/>
          <w:szCs w:val="20"/>
          <w:lang w:val="sk-SK"/>
        </w:rPr>
        <w:t>4</w:t>
      </w:r>
      <w:r w:rsidRPr="00C83F7F">
        <w:rPr>
          <w:sz w:val="20"/>
          <w:szCs w:val="20"/>
          <w:lang w:val="sk-SK"/>
        </w:rPr>
        <w:t>.0. Syndróm „ruka-noha“ a hyperbilirubinémia, pozri časť 4.4.</w:t>
      </w:r>
    </w:p>
    <w:p w14:paraId="0403D886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2964208" w14:textId="168EFA46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Hematológia</w:t>
      </w:r>
      <w:r w:rsidR="003116AD" w:rsidRPr="00C83F7F">
        <w:rPr>
          <w:sz w:val="22"/>
          <w:szCs w:val="22"/>
          <w:lang w:val="sk-SK"/>
        </w:rPr>
        <w:t xml:space="preserve">: </w:t>
      </w:r>
      <w:r w:rsidRPr="00C83F7F">
        <w:rPr>
          <w:sz w:val="22"/>
          <w:szCs w:val="22"/>
          <w:lang w:val="sk-SK"/>
        </w:rPr>
        <w:t>Pacienti s východiskovým počtom neutrofilov &lt; 1,5 x 10</w:t>
      </w:r>
      <w:r w:rsidRPr="00C83F7F">
        <w:rPr>
          <w:sz w:val="22"/>
          <w:szCs w:val="22"/>
          <w:vertAlign w:val="superscript"/>
          <w:lang w:val="sk-SK"/>
        </w:rPr>
        <w:t>9</w:t>
      </w:r>
      <w:r w:rsidRPr="00C83F7F">
        <w:rPr>
          <w:sz w:val="22"/>
          <w:szCs w:val="22"/>
          <w:lang w:val="sk-SK"/>
        </w:rPr>
        <w:t>/l a/alebo počtom trombocytov &lt; 100 x 10</w:t>
      </w:r>
      <w:r w:rsidRPr="00C83F7F">
        <w:rPr>
          <w:sz w:val="22"/>
          <w:szCs w:val="22"/>
          <w:vertAlign w:val="superscript"/>
          <w:lang w:val="sk-SK"/>
        </w:rPr>
        <w:t>9</w:t>
      </w:r>
      <w:r w:rsidRPr="00C83F7F">
        <w:rPr>
          <w:sz w:val="22"/>
          <w:szCs w:val="22"/>
          <w:lang w:val="sk-SK"/>
        </w:rPr>
        <w:t xml:space="preserve">/l pred liečbou sa nemajú liečiť </w:t>
      </w:r>
      <w:r w:rsidR="0092520B" w:rsidRPr="00C83F7F">
        <w:rPr>
          <w:color w:val="000000"/>
          <w:sz w:val="22"/>
          <w:szCs w:val="22"/>
          <w:lang w:val="sk-SK"/>
        </w:rPr>
        <w:t>k</w:t>
      </w:r>
      <w:r w:rsidR="001B2ED5" w:rsidRPr="00C83F7F">
        <w:rPr>
          <w:color w:val="000000"/>
          <w:sz w:val="22"/>
          <w:szCs w:val="22"/>
          <w:lang w:val="sk-SK"/>
        </w:rPr>
        <w:t>ape</w:t>
      </w:r>
      <w:r w:rsidR="0092520B" w:rsidRPr="00C83F7F">
        <w:rPr>
          <w:color w:val="000000"/>
          <w:sz w:val="22"/>
          <w:szCs w:val="22"/>
          <w:lang w:val="sk-SK"/>
        </w:rPr>
        <w:t>citabínom</w:t>
      </w:r>
      <w:r w:rsidRPr="00C83F7F">
        <w:rPr>
          <w:sz w:val="22"/>
          <w:szCs w:val="22"/>
          <w:lang w:val="sk-SK"/>
        </w:rPr>
        <w:t>. Ak neplánované laboratórne vyšetrenia počas liečebného cyklu</w:t>
      </w:r>
      <w:r w:rsidR="0033288F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ukazujú, že počet neutrofilov klesne pod 1,0 x 10</w:t>
      </w:r>
      <w:r w:rsidRPr="00C83F7F">
        <w:rPr>
          <w:sz w:val="22"/>
          <w:szCs w:val="22"/>
          <w:vertAlign w:val="superscript"/>
          <w:lang w:val="sk-SK"/>
        </w:rPr>
        <w:t>9</w:t>
      </w:r>
      <w:r w:rsidRPr="00C83F7F">
        <w:rPr>
          <w:sz w:val="22"/>
          <w:szCs w:val="22"/>
          <w:lang w:val="sk-SK"/>
        </w:rPr>
        <w:t>/l alebo že počet trombocytov klesol pod 75 x 10</w:t>
      </w:r>
      <w:r w:rsidRPr="00C83F7F">
        <w:rPr>
          <w:sz w:val="22"/>
          <w:szCs w:val="22"/>
          <w:vertAlign w:val="superscript"/>
          <w:lang w:val="sk-SK"/>
        </w:rPr>
        <w:t>9</w:t>
      </w:r>
      <w:r w:rsidRPr="00C83F7F">
        <w:rPr>
          <w:sz w:val="22"/>
          <w:szCs w:val="22"/>
          <w:lang w:val="sk-SK"/>
        </w:rPr>
        <w:t>/l,</w:t>
      </w:r>
      <w:r w:rsidR="0033288F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liečba </w:t>
      </w:r>
      <w:r w:rsidR="0092520B" w:rsidRPr="00C83F7F">
        <w:rPr>
          <w:color w:val="000000"/>
          <w:sz w:val="22"/>
          <w:szCs w:val="22"/>
          <w:lang w:val="sk-SK"/>
        </w:rPr>
        <w:t>kepacitabínom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sa má prerušiť.</w:t>
      </w:r>
    </w:p>
    <w:p w14:paraId="796FECF7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5E2CB8C" w14:textId="699D6FAA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 xml:space="preserve">Úpravy dávkovania kvôli prejavom toxicity, keď sa </w:t>
      </w:r>
      <w:r w:rsidR="001B2ED5" w:rsidRPr="00C83F7F">
        <w:rPr>
          <w:color w:val="000000"/>
          <w:sz w:val="22"/>
          <w:szCs w:val="22"/>
          <w:u w:val="single"/>
          <w:lang w:val="sk-SK"/>
        </w:rPr>
        <w:t xml:space="preserve">kapecitabín </w:t>
      </w:r>
      <w:r w:rsidRPr="00C83F7F">
        <w:rPr>
          <w:sz w:val="22"/>
          <w:szCs w:val="22"/>
          <w:u w:val="single"/>
          <w:lang w:val="sk-SK"/>
        </w:rPr>
        <w:t>používa v 3-týždňovom liečebnom cykle v kombinácii s inými liekmi:</w:t>
      </w:r>
    </w:p>
    <w:p w14:paraId="78A79199" w14:textId="08F6602E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Keď sa </w:t>
      </w:r>
      <w:r w:rsidR="0092520B" w:rsidRPr="00C83F7F">
        <w:rPr>
          <w:color w:val="000000"/>
          <w:sz w:val="22"/>
          <w:szCs w:val="22"/>
          <w:lang w:val="sk-SK"/>
        </w:rPr>
        <w:t>k</w:t>
      </w:r>
      <w:r w:rsidR="001B2ED5" w:rsidRPr="00C83F7F">
        <w:rPr>
          <w:color w:val="000000"/>
          <w:sz w:val="22"/>
          <w:szCs w:val="22"/>
          <w:lang w:val="sk-SK"/>
        </w:rPr>
        <w:t>ape</w:t>
      </w:r>
      <w:r w:rsidR="0092520B" w:rsidRPr="00C83F7F">
        <w:rPr>
          <w:color w:val="000000"/>
          <w:sz w:val="22"/>
          <w:szCs w:val="22"/>
          <w:lang w:val="sk-SK"/>
        </w:rPr>
        <w:t xml:space="preserve">citabín </w:t>
      </w:r>
      <w:r w:rsidRPr="00C83F7F">
        <w:rPr>
          <w:sz w:val="22"/>
          <w:szCs w:val="22"/>
          <w:lang w:val="sk-SK"/>
        </w:rPr>
        <w:t>používa v 3-týždňovom liečebnom cykle v kombinácii s inými liekmi, úpravy dávkovania kvôli prejavom toxicity sa majú robiť podľa vyššie uvedenej tabuľky 3 pre</w:t>
      </w:r>
      <w:r w:rsidR="00FA75D2" w:rsidRPr="00C83F7F">
        <w:rPr>
          <w:sz w:val="22"/>
          <w:szCs w:val="22"/>
          <w:lang w:val="sk-SK"/>
        </w:rPr>
        <w:t> </w:t>
      </w:r>
      <w:r w:rsidR="0092520B" w:rsidRPr="00C83F7F">
        <w:rPr>
          <w:color w:val="000000"/>
          <w:sz w:val="22"/>
          <w:szCs w:val="22"/>
          <w:lang w:val="sk-SK"/>
        </w:rPr>
        <w:t>k</w:t>
      </w:r>
      <w:r w:rsidR="001B2ED5" w:rsidRPr="00C83F7F">
        <w:rPr>
          <w:color w:val="000000"/>
          <w:sz w:val="22"/>
          <w:szCs w:val="22"/>
          <w:lang w:val="sk-SK"/>
        </w:rPr>
        <w:t>ape</w:t>
      </w:r>
      <w:r w:rsidR="0092520B" w:rsidRPr="00C83F7F">
        <w:rPr>
          <w:color w:val="000000"/>
          <w:sz w:val="22"/>
          <w:szCs w:val="22"/>
          <w:lang w:val="sk-SK"/>
        </w:rPr>
        <w:t>citabín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a podľa príslušného súhrnu charakteristických vlastností.</w:t>
      </w:r>
    </w:p>
    <w:p w14:paraId="4F898F52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B4C16A0" w14:textId="6ED484B2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Ak sa v čase začatia ďalšieho liečebného cyklu musí odložiť podanie buď </w:t>
      </w:r>
      <w:r w:rsidR="0092520B" w:rsidRPr="00C83F7F">
        <w:rPr>
          <w:color w:val="000000"/>
          <w:sz w:val="22"/>
          <w:szCs w:val="22"/>
          <w:lang w:val="sk-SK"/>
        </w:rPr>
        <w:t>k</w:t>
      </w:r>
      <w:r w:rsidR="001B2ED5" w:rsidRPr="00C83F7F">
        <w:rPr>
          <w:color w:val="000000"/>
          <w:sz w:val="22"/>
          <w:szCs w:val="22"/>
          <w:lang w:val="sk-SK"/>
        </w:rPr>
        <w:t>ape</w:t>
      </w:r>
      <w:r w:rsidR="0092520B" w:rsidRPr="00C83F7F">
        <w:rPr>
          <w:color w:val="000000"/>
          <w:sz w:val="22"/>
          <w:szCs w:val="22"/>
          <w:lang w:val="sk-SK"/>
        </w:rPr>
        <w:t>citabín</w:t>
      </w:r>
      <w:r w:rsidR="00DE136D" w:rsidRPr="00C83F7F">
        <w:rPr>
          <w:color w:val="000000"/>
          <w:sz w:val="22"/>
          <w:szCs w:val="22"/>
          <w:lang w:val="sk-SK"/>
        </w:rPr>
        <w:t>u</w:t>
      </w:r>
      <w:r w:rsidRPr="00C83F7F">
        <w:rPr>
          <w:sz w:val="22"/>
          <w:szCs w:val="22"/>
          <w:lang w:val="sk-SK"/>
        </w:rPr>
        <w:t xml:space="preserve"> alebo iného lieku (liekov), má sa prerušiť podávanie </w:t>
      </w:r>
      <w:r w:rsidR="0092520B" w:rsidRPr="00C83F7F">
        <w:rPr>
          <w:sz w:val="22"/>
          <w:szCs w:val="22"/>
          <w:lang w:val="sk-SK"/>
        </w:rPr>
        <w:t>celej liečby</w:t>
      </w:r>
      <w:r w:rsidRPr="00C83F7F">
        <w:rPr>
          <w:sz w:val="22"/>
          <w:szCs w:val="22"/>
          <w:lang w:val="sk-SK"/>
        </w:rPr>
        <w:t xml:space="preserve"> až do času, kedy sa môže obnoviť liečba všetkými liekmi.</w:t>
      </w:r>
    </w:p>
    <w:p w14:paraId="610CF029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8662E6F" w14:textId="43216E61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Pri prejavoch toxicity počas liečebného cyklu, ktoré podľa lekára nesúvisia s </w:t>
      </w:r>
      <w:r w:rsidR="0092520B" w:rsidRPr="00C83F7F">
        <w:rPr>
          <w:color w:val="000000"/>
          <w:sz w:val="22"/>
          <w:szCs w:val="22"/>
          <w:lang w:val="sk-SK"/>
        </w:rPr>
        <w:t>k</w:t>
      </w:r>
      <w:r w:rsidR="001B2ED5" w:rsidRPr="00C83F7F">
        <w:rPr>
          <w:color w:val="000000"/>
          <w:sz w:val="22"/>
          <w:szCs w:val="22"/>
          <w:lang w:val="sk-SK"/>
        </w:rPr>
        <w:t>ape</w:t>
      </w:r>
      <w:r w:rsidR="0092520B" w:rsidRPr="00C83F7F">
        <w:rPr>
          <w:color w:val="000000"/>
          <w:sz w:val="22"/>
          <w:szCs w:val="22"/>
          <w:lang w:val="sk-SK"/>
        </w:rPr>
        <w:t>citabínom</w:t>
      </w:r>
      <w:r w:rsidRPr="00C83F7F">
        <w:rPr>
          <w:sz w:val="22"/>
          <w:szCs w:val="22"/>
          <w:lang w:val="sk-SK"/>
        </w:rPr>
        <w:t xml:space="preserve">, má liečba </w:t>
      </w:r>
      <w:r w:rsidR="0092520B" w:rsidRPr="00C83F7F">
        <w:rPr>
          <w:color w:val="000000"/>
          <w:sz w:val="22"/>
          <w:szCs w:val="22"/>
          <w:lang w:val="sk-SK"/>
        </w:rPr>
        <w:t>k</w:t>
      </w:r>
      <w:r w:rsidR="001B2ED5" w:rsidRPr="00C83F7F">
        <w:rPr>
          <w:color w:val="000000"/>
          <w:sz w:val="22"/>
          <w:szCs w:val="22"/>
          <w:lang w:val="sk-SK"/>
        </w:rPr>
        <w:t>ape</w:t>
      </w:r>
      <w:r w:rsidR="0092520B" w:rsidRPr="00C83F7F">
        <w:rPr>
          <w:color w:val="000000"/>
          <w:sz w:val="22"/>
          <w:szCs w:val="22"/>
          <w:lang w:val="sk-SK"/>
        </w:rPr>
        <w:t>citabínom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pokračovať a dávka druhého lieku sa má upraviť podľa príslušného súhrnu charakteristických vlastností</w:t>
      </w:r>
      <w:r w:rsidR="00132735" w:rsidRPr="00C83F7F">
        <w:rPr>
          <w:sz w:val="22"/>
          <w:szCs w:val="22"/>
          <w:lang w:val="sk-SK"/>
        </w:rPr>
        <w:t>.</w:t>
      </w:r>
    </w:p>
    <w:p w14:paraId="1310347D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FBA62EB" w14:textId="74944644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Ak sa podávanie ďalšieho/ďalších liekov musí ukončiť natrvalo, liečba </w:t>
      </w:r>
      <w:r w:rsidR="0092520B" w:rsidRPr="00C83F7F">
        <w:rPr>
          <w:color w:val="000000"/>
          <w:sz w:val="22"/>
          <w:szCs w:val="22"/>
          <w:lang w:val="sk-SK"/>
        </w:rPr>
        <w:t>k</w:t>
      </w:r>
      <w:r w:rsidR="00A26A10" w:rsidRPr="00C83F7F">
        <w:rPr>
          <w:color w:val="000000"/>
          <w:sz w:val="22"/>
          <w:szCs w:val="22"/>
          <w:lang w:val="sk-SK"/>
        </w:rPr>
        <w:t>ape</w:t>
      </w:r>
      <w:r w:rsidR="0092520B" w:rsidRPr="00C83F7F">
        <w:rPr>
          <w:color w:val="000000"/>
          <w:sz w:val="22"/>
          <w:szCs w:val="22"/>
          <w:lang w:val="sk-SK"/>
        </w:rPr>
        <w:t>citabínom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môže pokračovať, ak sa dodržia požiadavky pre znovu začatie liečby.</w:t>
      </w:r>
    </w:p>
    <w:p w14:paraId="5C71C47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8ABCB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Toto odporúčanie platí pre všetky indikácie a pre všetky osobitné skupiny pacientov.</w:t>
      </w:r>
    </w:p>
    <w:p w14:paraId="4C763D6D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F1F57FC" w14:textId="1EF46F19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 xml:space="preserve">Úpravy dávkovania kvôli prejavom toxicity, keď sa </w:t>
      </w:r>
      <w:r w:rsidR="0092520B" w:rsidRPr="00C83F7F">
        <w:rPr>
          <w:color w:val="000000"/>
          <w:sz w:val="22"/>
          <w:szCs w:val="22"/>
          <w:u w:val="single"/>
          <w:lang w:val="sk-SK"/>
        </w:rPr>
        <w:t>k</w:t>
      </w:r>
      <w:r w:rsidR="00A26A10" w:rsidRPr="00C83F7F">
        <w:rPr>
          <w:color w:val="000000"/>
          <w:sz w:val="22"/>
          <w:szCs w:val="22"/>
          <w:u w:val="single"/>
          <w:lang w:val="sk-SK"/>
        </w:rPr>
        <w:t>ape</w:t>
      </w:r>
      <w:r w:rsidR="0092520B" w:rsidRPr="00C83F7F">
        <w:rPr>
          <w:color w:val="000000"/>
          <w:sz w:val="22"/>
          <w:szCs w:val="22"/>
          <w:u w:val="single"/>
          <w:lang w:val="sk-SK"/>
        </w:rPr>
        <w:t>citabín</w:t>
      </w:r>
      <w:r w:rsidR="00AB14F7" w:rsidRPr="00C83F7F">
        <w:rPr>
          <w:color w:val="000000"/>
          <w:sz w:val="22"/>
          <w:szCs w:val="22"/>
          <w:u w:val="single"/>
          <w:lang w:val="sk-SK"/>
        </w:rPr>
        <w:t xml:space="preserve"> </w:t>
      </w:r>
      <w:r w:rsidRPr="00C83F7F">
        <w:rPr>
          <w:sz w:val="22"/>
          <w:szCs w:val="22"/>
          <w:u w:val="single"/>
          <w:lang w:val="sk-SK"/>
        </w:rPr>
        <w:t>používa kontinuálne v</w:t>
      </w:r>
      <w:r w:rsidR="00FA75D2" w:rsidRPr="00C83F7F">
        <w:rPr>
          <w:sz w:val="22"/>
          <w:szCs w:val="22"/>
          <w:u w:val="single"/>
          <w:lang w:val="sk-SK"/>
        </w:rPr>
        <w:t> </w:t>
      </w:r>
      <w:r w:rsidRPr="00C83F7F">
        <w:rPr>
          <w:sz w:val="22"/>
          <w:szCs w:val="22"/>
          <w:u w:val="single"/>
          <w:lang w:val="sk-SK"/>
        </w:rPr>
        <w:t xml:space="preserve">kombinácii s inými </w:t>
      </w:r>
      <w:r w:rsidR="00C8417A" w:rsidRPr="00C83F7F">
        <w:rPr>
          <w:rFonts w:eastAsia="TimesNewRoman,Italic"/>
          <w:iCs/>
          <w:sz w:val="22"/>
          <w:szCs w:val="22"/>
          <w:u w:val="single"/>
          <w:lang w:val="sk-SK" w:eastAsia="el-GR"/>
        </w:rPr>
        <w:t>látkami</w:t>
      </w:r>
      <w:r w:rsidRPr="00C83F7F">
        <w:rPr>
          <w:sz w:val="22"/>
          <w:szCs w:val="22"/>
          <w:u w:val="single"/>
          <w:lang w:val="sk-SK"/>
        </w:rPr>
        <w:t>:</w:t>
      </w:r>
    </w:p>
    <w:p w14:paraId="207F5323" w14:textId="2644167F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Keď sa </w:t>
      </w:r>
      <w:r w:rsidR="0092520B" w:rsidRPr="00C83F7F">
        <w:rPr>
          <w:color w:val="000000"/>
          <w:sz w:val="22"/>
          <w:szCs w:val="22"/>
          <w:lang w:val="sk-SK"/>
        </w:rPr>
        <w:t>k</w:t>
      </w:r>
      <w:r w:rsidR="00A26A10" w:rsidRPr="00C83F7F">
        <w:rPr>
          <w:color w:val="000000"/>
          <w:sz w:val="22"/>
          <w:szCs w:val="22"/>
          <w:lang w:val="sk-SK"/>
        </w:rPr>
        <w:t>ape</w:t>
      </w:r>
      <w:r w:rsidR="0092520B" w:rsidRPr="00C83F7F">
        <w:rPr>
          <w:color w:val="000000"/>
          <w:sz w:val="22"/>
          <w:szCs w:val="22"/>
          <w:lang w:val="sk-SK"/>
        </w:rPr>
        <w:t>citabín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používa kontinuálne v kombinácii s inými </w:t>
      </w:r>
      <w:r w:rsidR="00A26A10" w:rsidRPr="00C83F7F">
        <w:rPr>
          <w:sz w:val="22"/>
          <w:szCs w:val="22"/>
          <w:lang w:val="sk-SK"/>
        </w:rPr>
        <w:t>liekmi</w:t>
      </w:r>
      <w:r w:rsidRPr="00C83F7F">
        <w:rPr>
          <w:sz w:val="22"/>
          <w:szCs w:val="22"/>
          <w:lang w:val="sk-SK"/>
        </w:rPr>
        <w:t>, úpravy dávkovania kvôli prejavom toxicity sa majú robiť podľa vyššie uvedenej tabuľky 3 pre</w:t>
      </w:r>
      <w:r w:rsidR="00FA75D2" w:rsidRPr="00C83F7F">
        <w:rPr>
          <w:sz w:val="22"/>
          <w:szCs w:val="22"/>
          <w:lang w:val="sk-SK"/>
        </w:rPr>
        <w:t> </w:t>
      </w:r>
      <w:r w:rsidR="00A26A10" w:rsidRPr="00C83F7F">
        <w:rPr>
          <w:color w:val="000000"/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 xml:space="preserve">a podľa </w:t>
      </w:r>
      <w:r w:rsidRPr="00C83F7F">
        <w:rPr>
          <w:sz w:val="22"/>
          <w:szCs w:val="22"/>
          <w:lang w:val="sk-SK"/>
        </w:rPr>
        <w:lastRenderedPageBreak/>
        <w:t xml:space="preserve">príslušného súhrnu charakteristických vlastností </w:t>
      </w:r>
      <w:r w:rsidR="0092520B" w:rsidRPr="00C83F7F">
        <w:rPr>
          <w:sz w:val="22"/>
          <w:szCs w:val="22"/>
          <w:lang w:val="sk-SK"/>
        </w:rPr>
        <w:t>iného lieku (liekov)</w:t>
      </w:r>
      <w:r w:rsidRPr="00C83F7F">
        <w:rPr>
          <w:sz w:val="22"/>
          <w:szCs w:val="22"/>
          <w:lang w:val="sk-SK"/>
        </w:rPr>
        <w:t>.</w:t>
      </w:r>
    </w:p>
    <w:p w14:paraId="4FA53177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679493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Úprava dávkovania u osobitných skupín pacientov:</w:t>
      </w:r>
    </w:p>
    <w:p w14:paraId="13BB85ED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C0D8342" w14:textId="1D1FC7B4" w:rsidR="00304B3D" w:rsidRPr="00C83F7F" w:rsidRDefault="00A26A10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Porucha</w:t>
      </w:r>
      <w:r w:rsidR="00317033" w:rsidRPr="00C83F7F">
        <w:rPr>
          <w:sz w:val="22"/>
          <w:szCs w:val="22"/>
          <w:u w:val="single"/>
          <w:lang w:val="sk-SK"/>
        </w:rPr>
        <w:t xml:space="preserve"> funkcie pečene </w:t>
      </w:r>
    </w:p>
    <w:p w14:paraId="4D712A41" w14:textId="3D5B2F15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Vzhľadom na nedostatočné údaje o bezpečnosti a účinnosti lieku</w:t>
      </w:r>
      <w:r w:rsidR="00BF41B7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u pacientov s po</w:t>
      </w:r>
      <w:r w:rsidR="00A26A10" w:rsidRPr="00C83F7F">
        <w:rPr>
          <w:sz w:val="22"/>
          <w:szCs w:val="22"/>
          <w:lang w:val="sk-SK"/>
        </w:rPr>
        <w:t>ruchou</w:t>
      </w:r>
      <w:r w:rsidRPr="00C83F7F">
        <w:rPr>
          <w:sz w:val="22"/>
          <w:szCs w:val="22"/>
          <w:lang w:val="sk-SK"/>
        </w:rPr>
        <w:t xml:space="preserve"> funkcie pečene nie je možné odporučiť úpravu dávkovania </w:t>
      </w:r>
      <w:r w:rsidR="00A26A10" w:rsidRPr="00C83F7F">
        <w:rPr>
          <w:sz w:val="22"/>
          <w:szCs w:val="22"/>
          <w:lang w:val="sk-SK"/>
        </w:rPr>
        <w:t>u</w:t>
      </w:r>
      <w:r w:rsidRPr="00C83F7F">
        <w:rPr>
          <w:sz w:val="22"/>
          <w:szCs w:val="22"/>
          <w:lang w:val="sk-SK"/>
        </w:rPr>
        <w:t xml:space="preserve"> tejto </w:t>
      </w:r>
      <w:r w:rsidR="00A26A10" w:rsidRPr="00C83F7F">
        <w:rPr>
          <w:sz w:val="22"/>
          <w:szCs w:val="22"/>
          <w:lang w:val="sk-SK"/>
        </w:rPr>
        <w:t>skupiny</w:t>
      </w:r>
      <w:r w:rsidRPr="00C83F7F">
        <w:rPr>
          <w:sz w:val="22"/>
          <w:szCs w:val="22"/>
          <w:lang w:val="sk-SK"/>
        </w:rPr>
        <w:t xml:space="preserve"> pacientov. Podobne nie sú k dispozícii žiadne údaje u pacientov s </w:t>
      </w:r>
      <w:r w:rsidR="001E53D8" w:rsidRPr="00C83F7F">
        <w:rPr>
          <w:sz w:val="22"/>
          <w:szCs w:val="22"/>
          <w:lang w:val="sk-SK"/>
        </w:rPr>
        <w:t>poruchou funkcie</w:t>
      </w:r>
      <w:r w:rsidRPr="00C83F7F">
        <w:rPr>
          <w:sz w:val="22"/>
          <w:szCs w:val="22"/>
          <w:lang w:val="sk-SK"/>
        </w:rPr>
        <w:t xml:space="preserve"> pečene </w:t>
      </w:r>
      <w:r w:rsidR="001E53D8" w:rsidRPr="00C83F7F">
        <w:rPr>
          <w:sz w:val="22"/>
          <w:szCs w:val="22"/>
          <w:lang w:val="sk-SK"/>
        </w:rPr>
        <w:t>v</w:t>
      </w:r>
      <w:r w:rsidR="00FA75D2" w:rsidRPr="00C83F7F">
        <w:rPr>
          <w:sz w:val="22"/>
          <w:szCs w:val="22"/>
          <w:lang w:val="sk-SK"/>
        </w:rPr>
        <w:t> </w:t>
      </w:r>
      <w:r w:rsidR="001E53D8" w:rsidRPr="00C83F7F">
        <w:rPr>
          <w:sz w:val="22"/>
          <w:szCs w:val="22"/>
          <w:lang w:val="sk-SK"/>
        </w:rPr>
        <w:t>dôsledku</w:t>
      </w:r>
      <w:r w:rsidRPr="00C83F7F">
        <w:rPr>
          <w:sz w:val="22"/>
          <w:szCs w:val="22"/>
          <w:lang w:val="sk-SK"/>
        </w:rPr>
        <w:t xml:space="preserve"> cirhóz</w:t>
      </w:r>
      <w:r w:rsidR="001E53D8" w:rsidRPr="00C83F7F">
        <w:rPr>
          <w:sz w:val="22"/>
          <w:szCs w:val="22"/>
          <w:lang w:val="sk-SK"/>
        </w:rPr>
        <w:t>y</w:t>
      </w:r>
      <w:r w:rsidRPr="00C83F7F">
        <w:rPr>
          <w:sz w:val="22"/>
          <w:szCs w:val="22"/>
          <w:lang w:val="sk-SK"/>
        </w:rPr>
        <w:t xml:space="preserve"> alebo hepatitíd</w:t>
      </w:r>
      <w:r w:rsidR="001E53D8" w:rsidRPr="00C83F7F">
        <w:rPr>
          <w:sz w:val="22"/>
          <w:szCs w:val="22"/>
          <w:lang w:val="sk-SK"/>
        </w:rPr>
        <w:t>y</w:t>
      </w:r>
      <w:r w:rsidRPr="00C83F7F">
        <w:rPr>
          <w:sz w:val="22"/>
          <w:szCs w:val="22"/>
          <w:lang w:val="sk-SK"/>
        </w:rPr>
        <w:t>.</w:t>
      </w:r>
    </w:p>
    <w:p w14:paraId="096EF10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228014" w14:textId="6E2A135D" w:rsidR="00304B3D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Po</w:t>
      </w:r>
      <w:r w:rsidR="001E53D8" w:rsidRPr="00C83F7F">
        <w:rPr>
          <w:sz w:val="22"/>
          <w:szCs w:val="22"/>
          <w:u w:val="single"/>
          <w:lang w:val="sk-SK"/>
        </w:rPr>
        <w:t>rucha</w:t>
      </w:r>
      <w:r w:rsidRPr="00C83F7F">
        <w:rPr>
          <w:sz w:val="22"/>
          <w:szCs w:val="22"/>
          <w:u w:val="single"/>
          <w:lang w:val="sk-SK"/>
        </w:rPr>
        <w:t xml:space="preserve"> funkcie obličiek </w:t>
      </w:r>
    </w:p>
    <w:p w14:paraId="46983883" w14:textId="57D2D453" w:rsidR="00677D3C" w:rsidRPr="00C83F7F" w:rsidRDefault="001E53D8" w:rsidP="0015582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K</w:t>
      </w:r>
      <w:r w:rsidRPr="00C83F7F">
        <w:rPr>
          <w:color w:val="000000"/>
          <w:sz w:val="22"/>
          <w:szCs w:val="22"/>
          <w:lang w:val="sk-SK"/>
        </w:rPr>
        <w:t xml:space="preserve">apecitabín </w:t>
      </w:r>
      <w:r w:rsidR="00317033" w:rsidRPr="00C83F7F">
        <w:rPr>
          <w:sz w:val="22"/>
          <w:szCs w:val="22"/>
          <w:lang w:val="sk-SK"/>
        </w:rPr>
        <w:t xml:space="preserve">je </w:t>
      </w:r>
      <w:r w:rsidR="00304B3D" w:rsidRPr="00C83F7F">
        <w:rPr>
          <w:sz w:val="22"/>
          <w:szCs w:val="22"/>
          <w:lang w:val="sk-SK"/>
        </w:rPr>
        <w:t xml:space="preserve">kontraindikovaný </w:t>
      </w:r>
      <w:r w:rsidR="00317033" w:rsidRPr="00C83F7F">
        <w:rPr>
          <w:sz w:val="22"/>
          <w:szCs w:val="22"/>
          <w:lang w:val="sk-SK"/>
        </w:rPr>
        <w:t>u pacientov so závažn</w:t>
      </w:r>
      <w:r w:rsidRPr="00C83F7F">
        <w:rPr>
          <w:sz w:val="22"/>
          <w:szCs w:val="22"/>
          <w:lang w:val="sk-SK"/>
        </w:rPr>
        <w:t>ou</w:t>
      </w:r>
      <w:r w:rsidR="00317033" w:rsidRPr="00C83F7F">
        <w:rPr>
          <w:sz w:val="22"/>
          <w:szCs w:val="22"/>
          <w:lang w:val="sk-SK"/>
        </w:rPr>
        <w:t xml:space="preserve"> po</w:t>
      </w:r>
      <w:r w:rsidRPr="00C83F7F">
        <w:rPr>
          <w:sz w:val="22"/>
          <w:szCs w:val="22"/>
          <w:lang w:val="sk-SK"/>
        </w:rPr>
        <w:t>ruchou</w:t>
      </w:r>
      <w:r w:rsidR="00317033" w:rsidRPr="00C83F7F">
        <w:rPr>
          <w:sz w:val="22"/>
          <w:szCs w:val="22"/>
          <w:lang w:val="sk-SK"/>
        </w:rPr>
        <w:t xml:space="preserve"> funkcie obličiek (východisková hodnota klírensu kreatinínu &lt; 30 ml/min [Cockroft a Gault]). Výskyt nežiaducich reakcií 3. alebo 4. stupňa u pacientov so stredne </w:t>
      </w:r>
      <w:r w:rsidRPr="00C83F7F">
        <w:rPr>
          <w:sz w:val="22"/>
          <w:szCs w:val="22"/>
          <w:lang w:val="sk-SK"/>
        </w:rPr>
        <w:t xml:space="preserve">závažnou poruchou </w:t>
      </w:r>
      <w:r w:rsidR="00317033" w:rsidRPr="00C83F7F">
        <w:rPr>
          <w:sz w:val="22"/>
          <w:szCs w:val="22"/>
          <w:lang w:val="sk-SK"/>
        </w:rPr>
        <w:t>funkcie obličiek (východisková hodnota klírensu kreatinínu 30 – 50 ml/min) je vyšší ako v celkovej populácii.</w:t>
      </w:r>
    </w:p>
    <w:p w14:paraId="58BCCABD" w14:textId="14583F04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U pacientov so stredne </w:t>
      </w:r>
      <w:r w:rsidR="001E53D8" w:rsidRPr="00C83F7F">
        <w:rPr>
          <w:sz w:val="22"/>
          <w:szCs w:val="22"/>
          <w:lang w:val="sk-SK"/>
        </w:rPr>
        <w:t xml:space="preserve">závažnou poruchou </w:t>
      </w:r>
      <w:r w:rsidRPr="00C83F7F">
        <w:rPr>
          <w:sz w:val="22"/>
          <w:szCs w:val="22"/>
          <w:lang w:val="sk-SK"/>
        </w:rPr>
        <w:t>funkcie obličiek na začiatku liečby sa odporúča znížiť úvodnú dávku na 75 % úvodnej dávky 1250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>. U pacientov so</w:t>
      </w:r>
      <w:r w:rsidR="00FA75D2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stredne </w:t>
      </w:r>
      <w:r w:rsidR="001E53D8" w:rsidRPr="00C83F7F">
        <w:rPr>
          <w:sz w:val="22"/>
          <w:szCs w:val="22"/>
          <w:lang w:val="sk-SK"/>
        </w:rPr>
        <w:t xml:space="preserve">závažnou poruchou  </w:t>
      </w:r>
      <w:r w:rsidRPr="00C83F7F">
        <w:rPr>
          <w:sz w:val="22"/>
          <w:szCs w:val="22"/>
          <w:lang w:val="sk-SK"/>
        </w:rPr>
        <w:t>funkcie obličiek na začiatku liečby sa nevyžaduje zníženie dávky, ak úvodná dávka bola 1000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. </w:t>
      </w:r>
      <w:r w:rsidR="001E53D8" w:rsidRPr="00C83F7F">
        <w:rPr>
          <w:sz w:val="22"/>
          <w:szCs w:val="22"/>
          <w:lang w:val="sk-SK"/>
        </w:rPr>
        <w:t>Úvodná</w:t>
      </w:r>
      <w:r w:rsidRPr="00C83F7F">
        <w:rPr>
          <w:sz w:val="22"/>
          <w:szCs w:val="22"/>
          <w:lang w:val="sk-SK"/>
        </w:rPr>
        <w:t xml:space="preserve"> dávka sa nemá meniť u pacientov s miern</w:t>
      </w:r>
      <w:r w:rsidR="001E53D8" w:rsidRPr="00C83F7F">
        <w:rPr>
          <w:sz w:val="22"/>
          <w:szCs w:val="22"/>
          <w:lang w:val="sk-SK"/>
        </w:rPr>
        <w:t>ou</w:t>
      </w:r>
      <w:r w:rsidRPr="00C83F7F">
        <w:rPr>
          <w:sz w:val="22"/>
          <w:szCs w:val="22"/>
          <w:lang w:val="sk-SK"/>
        </w:rPr>
        <w:t xml:space="preserve"> po</w:t>
      </w:r>
      <w:r w:rsidR="001E53D8" w:rsidRPr="00C83F7F">
        <w:rPr>
          <w:sz w:val="22"/>
          <w:szCs w:val="22"/>
          <w:lang w:val="sk-SK"/>
        </w:rPr>
        <w:t>ruchou</w:t>
      </w:r>
      <w:r w:rsidRPr="00C83F7F">
        <w:rPr>
          <w:sz w:val="22"/>
          <w:szCs w:val="22"/>
          <w:lang w:val="sk-SK"/>
        </w:rPr>
        <w:t xml:space="preserve"> funkcie obličiek (východisková hodnota klírensu kreatinínu 51 – 80 ml/min). Ak sa u pacienta počas liečby vyskytne nežiaduci účinok</w:t>
      </w:r>
      <w:r w:rsidR="00BD5182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2., 3. alebo 4. stupňa, je potrebné ho starostlivo sledovať, odporúča sa urýchlene prerušiť liečbu</w:t>
      </w:r>
      <w:r w:rsidR="00BD5182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a ďalšiu dávku upraviť podľa tabuľky 3 uvedenej vyššie. Ak počas liečby vypočítaná hodnota klírensu kreatinínu klesne pod hodnotu 30 ml/min, liečba </w:t>
      </w:r>
      <w:r w:rsidR="001E53D8" w:rsidRPr="00C83F7F">
        <w:rPr>
          <w:color w:val="000000"/>
          <w:sz w:val="22"/>
          <w:szCs w:val="22"/>
          <w:lang w:val="sk-SK"/>
        </w:rPr>
        <w:t>kapecitabínom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sa má ukončiť. Odporúčania k úprave dávkovania pri </w:t>
      </w:r>
      <w:r w:rsidR="001E53D8" w:rsidRPr="00C83F7F">
        <w:rPr>
          <w:sz w:val="22"/>
          <w:szCs w:val="22"/>
          <w:lang w:val="sk-SK"/>
        </w:rPr>
        <w:t xml:space="preserve">poruche </w:t>
      </w:r>
      <w:r w:rsidRPr="00C83F7F">
        <w:rPr>
          <w:sz w:val="22"/>
          <w:szCs w:val="22"/>
          <w:lang w:val="sk-SK"/>
        </w:rPr>
        <w:t>funkcie obličiek platia pre monoterapiu aj pre kombinovanú liečbu (pozri tiež ďalej uvedenú časť „Starší pacienti“).</w:t>
      </w:r>
    </w:p>
    <w:p w14:paraId="5DBA920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980B018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Starší pacienti</w:t>
      </w:r>
      <w:r w:rsidR="005E62B2" w:rsidRPr="00C83F7F">
        <w:rPr>
          <w:sz w:val="22"/>
          <w:szCs w:val="22"/>
          <w:u w:val="single"/>
          <w:lang w:val="sk-SK"/>
        </w:rPr>
        <w:t>:</w:t>
      </w:r>
    </w:p>
    <w:p w14:paraId="38F0603C" w14:textId="64226C47" w:rsidR="00317033" w:rsidRPr="00ED4C53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5E37A5">
        <w:rPr>
          <w:sz w:val="22"/>
          <w:szCs w:val="22"/>
          <w:lang w:val="sk-SK"/>
        </w:rPr>
        <w:t xml:space="preserve">Pri monoterapii </w:t>
      </w:r>
      <w:r w:rsidR="001E53D8" w:rsidRPr="00AB43E9">
        <w:rPr>
          <w:color w:val="000000"/>
          <w:sz w:val="22"/>
          <w:szCs w:val="22"/>
          <w:lang w:val="sk-SK"/>
        </w:rPr>
        <w:t xml:space="preserve">kapecitabínom </w:t>
      </w:r>
      <w:r w:rsidRPr="00AB43E9">
        <w:rPr>
          <w:sz w:val="22"/>
          <w:szCs w:val="22"/>
          <w:lang w:val="sk-SK"/>
        </w:rPr>
        <w:t xml:space="preserve">nie je potrebná úprava úvodnej dávky. </w:t>
      </w:r>
      <w:r w:rsidR="001E53D8" w:rsidRPr="00AB43E9">
        <w:rPr>
          <w:sz w:val="22"/>
          <w:szCs w:val="22"/>
          <w:lang w:val="sk-SK"/>
        </w:rPr>
        <w:t>Avšak,</w:t>
      </w:r>
      <w:r w:rsidRPr="00ED4C53">
        <w:rPr>
          <w:sz w:val="22"/>
          <w:szCs w:val="22"/>
          <w:lang w:val="sk-SK"/>
        </w:rPr>
        <w:t xml:space="preserve"> výskyt nežiaducich</w:t>
      </w:r>
      <w:r w:rsidR="00814EA9" w:rsidRPr="00ED4C53">
        <w:rPr>
          <w:sz w:val="22"/>
          <w:szCs w:val="22"/>
          <w:lang w:val="sk-SK"/>
        </w:rPr>
        <w:t xml:space="preserve"> </w:t>
      </w:r>
      <w:r w:rsidRPr="00ED4C53">
        <w:rPr>
          <w:sz w:val="22"/>
          <w:szCs w:val="22"/>
          <w:lang w:val="sk-SK"/>
        </w:rPr>
        <w:t>reakcií 3. alebo 4. stupňa bol častejší v skupine pacientov ≥ 60 rokov v</w:t>
      </w:r>
      <w:r w:rsidR="00FA75D2" w:rsidRPr="00ED4C53">
        <w:rPr>
          <w:sz w:val="22"/>
          <w:szCs w:val="22"/>
          <w:lang w:val="sk-SK"/>
        </w:rPr>
        <w:t> </w:t>
      </w:r>
      <w:r w:rsidRPr="00ED4C53">
        <w:rPr>
          <w:sz w:val="22"/>
          <w:szCs w:val="22"/>
          <w:lang w:val="sk-SK"/>
        </w:rPr>
        <w:t>porovnaní s mladšími pacientmi.</w:t>
      </w:r>
    </w:p>
    <w:p w14:paraId="78A8BDA1" w14:textId="17A0DD00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D4C53">
        <w:rPr>
          <w:sz w:val="22"/>
          <w:szCs w:val="22"/>
          <w:lang w:val="sk-SK"/>
        </w:rPr>
        <w:t xml:space="preserve">Keď sa </w:t>
      </w:r>
      <w:r w:rsidR="002375D1" w:rsidRPr="00ED4C53">
        <w:rPr>
          <w:sz w:val="22"/>
          <w:szCs w:val="22"/>
          <w:lang w:val="sk-SK"/>
        </w:rPr>
        <w:t xml:space="preserve">kapecitabín </w:t>
      </w:r>
      <w:r w:rsidRPr="00ED4C53">
        <w:rPr>
          <w:sz w:val="22"/>
          <w:szCs w:val="22"/>
          <w:lang w:val="sk-SK"/>
        </w:rPr>
        <w:t>používal v kombinácii s inými liekmi, u starších pacientov (≥ 65 rokov) sa</w:t>
      </w:r>
      <w:r w:rsidR="001E53D8" w:rsidRPr="00ED4C53">
        <w:rPr>
          <w:sz w:val="22"/>
          <w:szCs w:val="22"/>
          <w:lang w:val="sk-SK"/>
        </w:rPr>
        <w:t>,</w:t>
      </w:r>
      <w:r w:rsidR="009B1288" w:rsidRPr="00ED4C53">
        <w:rPr>
          <w:sz w:val="22"/>
          <w:szCs w:val="22"/>
          <w:lang w:val="sk-SK"/>
        </w:rPr>
        <w:t xml:space="preserve"> </w:t>
      </w:r>
      <w:r w:rsidRPr="00ED4C53">
        <w:rPr>
          <w:sz w:val="22"/>
          <w:szCs w:val="22"/>
          <w:lang w:val="sk-SK"/>
        </w:rPr>
        <w:t>v</w:t>
      </w:r>
      <w:r w:rsidR="00FA75D2" w:rsidRPr="00ED4C53">
        <w:rPr>
          <w:sz w:val="22"/>
          <w:szCs w:val="22"/>
          <w:lang w:val="sk-SK"/>
        </w:rPr>
        <w:t> </w:t>
      </w:r>
      <w:r w:rsidRPr="00ED4C53">
        <w:rPr>
          <w:sz w:val="22"/>
          <w:szCs w:val="22"/>
          <w:lang w:val="sk-SK"/>
        </w:rPr>
        <w:t>porovnaní s mladšími pacientmi</w:t>
      </w:r>
      <w:r w:rsidR="001E53D8" w:rsidRPr="00ED4C53">
        <w:rPr>
          <w:sz w:val="22"/>
          <w:szCs w:val="22"/>
          <w:lang w:val="sk-SK"/>
        </w:rPr>
        <w:t>,</w:t>
      </w:r>
      <w:r w:rsidRPr="00ED4C53">
        <w:rPr>
          <w:sz w:val="22"/>
          <w:szCs w:val="22"/>
          <w:lang w:val="sk-SK"/>
        </w:rPr>
        <w:t xml:space="preserve"> vyskytlo viac nežiaducich reakcií na liek 3. stupňa a 4. stupňa,</w:t>
      </w:r>
      <w:r w:rsidR="009B1288" w:rsidRPr="00ED4C53">
        <w:rPr>
          <w:sz w:val="22"/>
          <w:szCs w:val="22"/>
          <w:lang w:val="sk-SK"/>
        </w:rPr>
        <w:t xml:space="preserve"> </w:t>
      </w:r>
      <w:r w:rsidRPr="00ED4C53">
        <w:rPr>
          <w:sz w:val="22"/>
          <w:szCs w:val="22"/>
          <w:lang w:val="sk-SK"/>
        </w:rPr>
        <w:t xml:space="preserve">vrátane nežiaducich reakcií na liek, ktoré viedli k ukončeniu liečby. </w:t>
      </w:r>
      <w:r w:rsidRPr="00C83F7F">
        <w:rPr>
          <w:sz w:val="22"/>
          <w:szCs w:val="22"/>
          <w:lang w:val="sk-SK"/>
        </w:rPr>
        <w:t>U pacientov ≥ 60 rokov sa odporúča starostlivé sledovanie.</w:t>
      </w:r>
    </w:p>
    <w:p w14:paraId="7C7FAF8A" w14:textId="0A914B79" w:rsidR="00317033" w:rsidRPr="00C83F7F" w:rsidRDefault="00317033" w:rsidP="00C245E7">
      <w:pPr>
        <w:widowControl w:val="0"/>
        <w:numPr>
          <w:ilvl w:val="0"/>
          <w:numId w:val="21"/>
        </w:numPr>
        <w:tabs>
          <w:tab w:val="left" w:pos="68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V kombinácii s docetaxelom: </w:t>
      </w:r>
      <w:r w:rsidRPr="00C83F7F">
        <w:rPr>
          <w:sz w:val="22"/>
          <w:szCs w:val="22"/>
          <w:lang w:val="sk-SK"/>
        </w:rPr>
        <w:t xml:space="preserve">U pacientov vo veku ≥ 60 rokov sa pozoroval vyšší výskyt nežiaducich reakcií a závažných nežiaducich reakcií 3. alebo 4. stupňa spojených s liečbou (pozri časť 5.1). U pacientov vo veku 60 rokov alebo starších sa odporúča znížiť úvodnú dávku </w:t>
      </w:r>
      <w:r w:rsidR="00304B3D" w:rsidRPr="00C83F7F">
        <w:rPr>
          <w:color w:val="000000"/>
          <w:sz w:val="22"/>
          <w:szCs w:val="22"/>
          <w:lang w:val="sk-SK"/>
        </w:rPr>
        <w:t>kepacitabínu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na 75 % (950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dvakrát denne). Ak sa u pacientov vo veku ≥ 60 rokov liečených zníženou dávkou </w:t>
      </w:r>
      <w:r w:rsidR="00304B3D" w:rsidRPr="00C83F7F">
        <w:rPr>
          <w:color w:val="000000"/>
          <w:sz w:val="22"/>
          <w:szCs w:val="22"/>
          <w:lang w:val="sk-SK"/>
        </w:rPr>
        <w:t>k</w:t>
      </w:r>
      <w:r w:rsidR="001E53D8" w:rsidRPr="00C83F7F">
        <w:rPr>
          <w:color w:val="000000"/>
          <w:sz w:val="22"/>
          <w:szCs w:val="22"/>
          <w:lang w:val="sk-SK"/>
        </w:rPr>
        <w:t>ape</w:t>
      </w:r>
      <w:r w:rsidR="00304B3D" w:rsidRPr="00C83F7F">
        <w:rPr>
          <w:color w:val="000000"/>
          <w:sz w:val="22"/>
          <w:szCs w:val="22"/>
          <w:lang w:val="sk-SK"/>
        </w:rPr>
        <w:t>citabínu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v kombinácii s docetaxelom neprejaví toxicita, môže sa dávka </w:t>
      </w:r>
      <w:r w:rsidR="001E53D8" w:rsidRPr="00C83F7F">
        <w:rPr>
          <w:color w:val="000000"/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opatrne zvýšiť na 1 250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dvakrát denne.</w:t>
      </w:r>
    </w:p>
    <w:p w14:paraId="497E2A42" w14:textId="77777777" w:rsidR="00304B3D" w:rsidRPr="00C83F7F" w:rsidRDefault="00304B3D" w:rsidP="00304B3D">
      <w:pPr>
        <w:widowControl w:val="0"/>
        <w:tabs>
          <w:tab w:val="left" w:pos="64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827F9D3" w14:textId="77777777" w:rsidR="00304B3D" w:rsidRPr="00C83F7F" w:rsidRDefault="00695E84" w:rsidP="00304B3D">
      <w:pPr>
        <w:widowControl w:val="0"/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i/>
          <w:iCs/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Pediatrická populácia</w:t>
      </w:r>
    </w:p>
    <w:p w14:paraId="00A7D0F3" w14:textId="03092020" w:rsidR="00304B3D" w:rsidRPr="00C83F7F" w:rsidRDefault="00304B3D" w:rsidP="00304B3D">
      <w:pPr>
        <w:widowControl w:val="0"/>
        <w:tabs>
          <w:tab w:val="left" w:pos="64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Použitie kapecitabínu v indikáciách karcinóm hrubého čreva, kolorektálny karcinóm a karcinóm prsníka nie je relevantné u </w:t>
      </w:r>
      <w:r w:rsidR="000A0E8E" w:rsidRPr="00C83F7F">
        <w:rPr>
          <w:rFonts w:eastAsia="TimesNewRoman"/>
          <w:sz w:val="22"/>
          <w:szCs w:val="22"/>
          <w:lang w:val="sk-SK" w:eastAsia="el-GR"/>
        </w:rPr>
        <w:t>pediatrickej populáci</w:t>
      </w:r>
      <w:r w:rsidR="001E53D8" w:rsidRPr="00C83F7F">
        <w:rPr>
          <w:rFonts w:eastAsia="TimesNewRoman"/>
          <w:sz w:val="22"/>
          <w:szCs w:val="22"/>
          <w:lang w:val="sk-SK" w:eastAsia="el-GR"/>
        </w:rPr>
        <w:t>e</w:t>
      </w:r>
      <w:r w:rsidRPr="00C83F7F">
        <w:rPr>
          <w:sz w:val="22"/>
          <w:szCs w:val="22"/>
          <w:lang w:val="sk-SK"/>
        </w:rPr>
        <w:t>.</w:t>
      </w:r>
    </w:p>
    <w:p w14:paraId="41079DB8" w14:textId="77777777" w:rsidR="00304B3D" w:rsidRPr="00C83F7F" w:rsidRDefault="00304B3D" w:rsidP="00304B3D">
      <w:pPr>
        <w:widowControl w:val="0"/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sz w:val="22"/>
          <w:szCs w:val="22"/>
          <w:lang w:val="sk-SK"/>
        </w:rPr>
      </w:pPr>
    </w:p>
    <w:p w14:paraId="5C3A7276" w14:textId="77777777" w:rsidR="00304B3D" w:rsidRPr="00C83F7F" w:rsidRDefault="00304B3D" w:rsidP="00A0463F">
      <w:pPr>
        <w:widowControl w:val="0"/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Spôsob pod</w:t>
      </w:r>
      <w:r w:rsidR="00695E84" w:rsidRPr="00C83F7F">
        <w:rPr>
          <w:sz w:val="22"/>
          <w:szCs w:val="22"/>
          <w:u w:val="single"/>
          <w:lang w:val="sk-SK"/>
        </w:rPr>
        <w:t>áv</w:t>
      </w:r>
      <w:r w:rsidRPr="00C83F7F">
        <w:rPr>
          <w:sz w:val="22"/>
          <w:szCs w:val="22"/>
          <w:u w:val="single"/>
          <w:lang w:val="sk-SK"/>
        </w:rPr>
        <w:t>ania</w:t>
      </w:r>
    </w:p>
    <w:p w14:paraId="4945FD45" w14:textId="77777777" w:rsidR="00D26811" w:rsidRPr="00C83F7F" w:rsidRDefault="00771873" w:rsidP="00A0463F">
      <w:pPr>
        <w:rPr>
          <w:color w:val="000000"/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>Perorálne použitie</w:t>
      </w:r>
      <w:r w:rsidR="00A0463F" w:rsidRPr="00C83F7F">
        <w:rPr>
          <w:color w:val="000000"/>
          <w:sz w:val="22"/>
          <w:szCs w:val="22"/>
          <w:lang w:val="sk-SK"/>
        </w:rPr>
        <w:t>.</w:t>
      </w:r>
    </w:p>
    <w:p w14:paraId="1D122931" w14:textId="77777777" w:rsidR="00304B3D" w:rsidRPr="00C83F7F" w:rsidRDefault="00304B3D" w:rsidP="00304B3D">
      <w:pPr>
        <w:widowControl w:val="0"/>
        <w:tabs>
          <w:tab w:val="left" w:pos="640"/>
        </w:tabs>
        <w:autoSpaceDE w:val="0"/>
        <w:autoSpaceDN w:val="0"/>
        <w:adjustRightInd w:val="0"/>
        <w:ind w:left="640" w:hanging="64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Tablety Capecitabine </w:t>
      </w:r>
      <w:r w:rsidR="008E29A6" w:rsidRPr="00C83F7F">
        <w:rPr>
          <w:sz w:val="22"/>
          <w:szCs w:val="22"/>
          <w:lang w:val="sk-SK"/>
        </w:rPr>
        <w:t>Fair-Med</w:t>
      </w:r>
      <w:r w:rsidRPr="00C83F7F">
        <w:rPr>
          <w:sz w:val="22"/>
          <w:szCs w:val="22"/>
          <w:lang w:val="sk-SK"/>
        </w:rPr>
        <w:t xml:space="preserve"> sa majú prehltnúť s vodou do 30 minút po jedle.</w:t>
      </w:r>
    </w:p>
    <w:p w14:paraId="5CC31092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25F8DBA" w14:textId="77777777" w:rsidR="00317033" w:rsidRPr="00C83F7F" w:rsidRDefault="00317033" w:rsidP="00FB2845">
      <w:pPr>
        <w:widowControl w:val="0"/>
        <w:numPr>
          <w:ilvl w:val="0"/>
          <w:numId w:val="5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Kontraindikácie</w:t>
      </w:r>
    </w:p>
    <w:p w14:paraId="66CCE67E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DB36C61" w14:textId="77777777" w:rsidR="00317033" w:rsidRPr="00C83F7F" w:rsidRDefault="00317033" w:rsidP="00C245E7">
      <w:pPr>
        <w:widowControl w:val="0"/>
        <w:numPr>
          <w:ilvl w:val="1"/>
          <w:numId w:val="5"/>
        </w:numPr>
        <w:tabs>
          <w:tab w:val="left" w:pos="68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Anamnéza ťažkých a neočakávaných reakcií na liečbu fluórpyrimidínmi.</w:t>
      </w:r>
    </w:p>
    <w:p w14:paraId="4751A1B3" w14:textId="77777777" w:rsidR="00317033" w:rsidRPr="00C83F7F" w:rsidRDefault="00AD513D" w:rsidP="00C245E7">
      <w:pPr>
        <w:widowControl w:val="0"/>
        <w:numPr>
          <w:ilvl w:val="1"/>
          <w:numId w:val="5"/>
        </w:numPr>
        <w:tabs>
          <w:tab w:val="left" w:pos="68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Precitlivenosť na </w:t>
      </w:r>
      <w:r w:rsidR="001B2E8E" w:rsidRPr="005E37A5">
        <w:rPr>
          <w:sz w:val="22"/>
          <w:szCs w:val="22"/>
          <w:lang w:val="sk-SK"/>
        </w:rPr>
        <w:t>liečivo</w:t>
      </w:r>
      <w:r w:rsidRPr="00C83F7F">
        <w:rPr>
          <w:sz w:val="22"/>
          <w:szCs w:val="22"/>
          <w:lang w:val="sk-SK"/>
        </w:rPr>
        <w:t xml:space="preserve"> alebo na </w:t>
      </w:r>
      <w:r w:rsidRPr="00C83F7F">
        <w:rPr>
          <w:noProof/>
          <w:sz w:val="22"/>
          <w:szCs w:val="22"/>
          <w:lang w:val="sk-SK"/>
        </w:rPr>
        <w:t>ktorúkoľvek</w:t>
      </w:r>
      <w:r w:rsidRPr="00C83F7F">
        <w:rPr>
          <w:sz w:val="22"/>
          <w:szCs w:val="22"/>
          <w:lang w:val="sk-SK"/>
        </w:rPr>
        <w:t xml:space="preserve"> z pomocných látok uvedených v časti 6.1 alebo fluorouracil.</w:t>
      </w:r>
    </w:p>
    <w:p w14:paraId="21B52F6A" w14:textId="77777777" w:rsidR="00317033" w:rsidRPr="00C83F7F" w:rsidRDefault="00317033" w:rsidP="00C245E7">
      <w:pPr>
        <w:widowControl w:val="0"/>
        <w:numPr>
          <w:ilvl w:val="1"/>
          <w:numId w:val="5"/>
        </w:numPr>
        <w:tabs>
          <w:tab w:val="left" w:pos="68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Pacienti so známym deficitom dihydropyrimidíndehydrogenázy (DPD)</w:t>
      </w:r>
      <w:r w:rsidR="00304B3D" w:rsidRPr="00C83F7F">
        <w:rPr>
          <w:sz w:val="22"/>
          <w:szCs w:val="22"/>
          <w:lang w:val="sk-SK"/>
        </w:rPr>
        <w:t xml:space="preserve"> (pozri časť 4.4)</w:t>
      </w:r>
      <w:r w:rsidRPr="00C83F7F">
        <w:rPr>
          <w:sz w:val="22"/>
          <w:szCs w:val="22"/>
          <w:lang w:val="sk-SK"/>
        </w:rPr>
        <w:t>.</w:t>
      </w:r>
    </w:p>
    <w:p w14:paraId="3EE8B1C0" w14:textId="77777777" w:rsidR="00317033" w:rsidRPr="00C83F7F" w:rsidRDefault="00317033" w:rsidP="00C245E7">
      <w:pPr>
        <w:widowControl w:val="0"/>
        <w:numPr>
          <w:ilvl w:val="1"/>
          <w:numId w:val="5"/>
        </w:numPr>
        <w:tabs>
          <w:tab w:val="left" w:pos="68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Počas gravidity a dojčenia.</w:t>
      </w:r>
    </w:p>
    <w:p w14:paraId="7FF7EE16" w14:textId="77777777" w:rsidR="00317033" w:rsidRPr="00C83F7F" w:rsidRDefault="00317033" w:rsidP="00C245E7">
      <w:pPr>
        <w:widowControl w:val="0"/>
        <w:numPr>
          <w:ilvl w:val="1"/>
          <w:numId w:val="5"/>
        </w:numPr>
        <w:tabs>
          <w:tab w:val="left" w:pos="68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Pacienti s ťažkou leukopéniou, neutropéniou alebo trombocytopéniou.</w:t>
      </w:r>
    </w:p>
    <w:p w14:paraId="6575ABF0" w14:textId="77777777" w:rsidR="00317033" w:rsidRPr="00C83F7F" w:rsidRDefault="00317033" w:rsidP="00C245E7">
      <w:pPr>
        <w:widowControl w:val="0"/>
        <w:numPr>
          <w:ilvl w:val="1"/>
          <w:numId w:val="5"/>
        </w:numPr>
        <w:tabs>
          <w:tab w:val="left" w:pos="68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Pacienti so závažným poškodením pečene.</w:t>
      </w:r>
    </w:p>
    <w:p w14:paraId="6E521065" w14:textId="08C511FA" w:rsidR="00317033" w:rsidRPr="00C83F7F" w:rsidRDefault="00317033" w:rsidP="00C245E7">
      <w:pPr>
        <w:widowControl w:val="0"/>
        <w:numPr>
          <w:ilvl w:val="1"/>
          <w:numId w:val="5"/>
        </w:numPr>
        <w:tabs>
          <w:tab w:val="left" w:pos="68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lastRenderedPageBreak/>
        <w:t xml:space="preserve">Pacienti so </w:t>
      </w:r>
      <w:r w:rsidR="001E53D8" w:rsidRPr="00C83F7F">
        <w:rPr>
          <w:sz w:val="22"/>
          <w:szCs w:val="22"/>
          <w:lang w:val="sk-SK"/>
        </w:rPr>
        <w:t>závažnou  poruchou</w:t>
      </w:r>
      <w:r w:rsidRPr="00C83F7F">
        <w:rPr>
          <w:sz w:val="22"/>
          <w:szCs w:val="22"/>
          <w:lang w:val="sk-SK"/>
        </w:rPr>
        <w:t xml:space="preserve"> funkcie obličiek (klírens kreatinínu pod</w:t>
      </w:r>
      <w:r w:rsidR="00FA75D2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30 ml/min).</w:t>
      </w:r>
    </w:p>
    <w:p w14:paraId="5D4BD658" w14:textId="7CCC5C2D" w:rsidR="00317033" w:rsidRPr="00C83F7F" w:rsidRDefault="00317033" w:rsidP="00C245E7">
      <w:pPr>
        <w:widowControl w:val="0"/>
        <w:numPr>
          <w:ilvl w:val="1"/>
          <w:numId w:val="5"/>
        </w:numPr>
        <w:tabs>
          <w:tab w:val="left" w:pos="68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Liečba sorivudínom alebo jeho chemicky príbuznými analógmi, napr. brivudínom (pozri </w:t>
      </w:r>
      <w:r w:rsidR="00FA75D2" w:rsidRPr="00C83F7F">
        <w:rPr>
          <w:sz w:val="22"/>
          <w:szCs w:val="22"/>
          <w:lang w:val="sk-SK"/>
        </w:rPr>
        <w:t>č</w:t>
      </w:r>
      <w:r w:rsidR="005711DB" w:rsidRPr="00C83F7F">
        <w:rPr>
          <w:sz w:val="22"/>
          <w:szCs w:val="22"/>
          <w:lang w:val="sk-SK"/>
        </w:rPr>
        <w:t>as</w:t>
      </w:r>
      <w:r w:rsidR="00FA75D2" w:rsidRPr="00C83F7F">
        <w:rPr>
          <w:sz w:val="22"/>
          <w:szCs w:val="22"/>
          <w:lang w:val="sk-SK"/>
        </w:rPr>
        <w:t>ť</w:t>
      </w:r>
      <w:r w:rsidR="005711DB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4.5).</w:t>
      </w:r>
    </w:p>
    <w:p w14:paraId="416ADE49" w14:textId="77777777" w:rsidR="00317033" w:rsidRPr="00C83F7F" w:rsidRDefault="00317033" w:rsidP="00C245E7">
      <w:pPr>
        <w:widowControl w:val="0"/>
        <w:numPr>
          <w:ilvl w:val="1"/>
          <w:numId w:val="5"/>
        </w:numPr>
        <w:tabs>
          <w:tab w:val="left" w:pos="68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Ak je</w:t>
      </w:r>
      <w:r w:rsidR="00653AC2" w:rsidRPr="00C83F7F">
        <w:rPr>
          <w:sz w:val="22"/>
          <w:szCs w:val="22"/>
          <w:lang w:val="sk-SK"/>
        </w:rPr>
        <w:t xml:space="preserve"> kontraindikácia na niektorý z </w:t>
      </w:r>
      <w:r w:rsidRPr="00C83F7F">
        <w:rPr>
          <w:sz w:val="22"/>
          <w:szCs w:val="22"/>
          <w:lang w:val="sk-SK"/>
        </w:rPr>
        <w:t xml:space="preserve">liekov používaných v kombinovanom režime, </w:t>
      </w:r>
      <w:r w:rsidR="005711DB" w:rsidRPr="00C83F7F">
        <w:rPr>
          <w:sz w:val="22"/>
          <w:szCs w:val="22"/>
          <w:lang w:val="sk-SK"/>
        </w:rPr>
        <w:t xml:space="preserve">tento </w:t>
      </w:r>
      <w:r w:rsidRPr="00C83F7F">
        <w:rPr>
          <w:sz w:val="22"/>
          <w:szCs w:val="22"/>
          <w:lang w:val="sk-SK"/>
        </w:rPr>
        <w:t>liek sa nemá používať.</w:t>
      </w:r>
    </w:p>
    <w:p w14:paraId="3BDE7B13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1245899" w14:textId="77777777" w:rsidR="00317033" w:rsidRPr="00C83F7F" w:rsidRDefault="00317033" w:rsidP="00FB2845">
      <w:pPr>
        <w:widowControl w:val="0"/>
        <w:numPr>
          <w:ilvl w:val="0"/>
          <w:numId w:val="6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Osobitné upozornenia a opatrenia pri používaní</w:t>
      </w:r>
    </w:p>
    <w:p w14:paraId="4A67D779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CC21A6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Medzi toxické prejavy, </w:t>
      </w:r>
      <w:r w:rsidRPr="00C83F7F">
        <w:rPr>
          <w:sz w:val="22"/>
          <w:szCs w:val="22"/>
          <w:lang w:val="sk-SK"/>
        </w:rPr>
        <w:t>ktoré limitujú dávkovanie lieku patrí hnačka, bolesť brucha, nevoľnosť, stomatitída a syndróm „ruka-noha“ (kožná reakcia na ruke a nohe, palmárno-plantárna erytrodyzestézia). Väčšina nežiaducich reakcií má reverzibilný charakter a nevyžaduje si trvalé ukončenie liečby, hoci môže byť potrebné vysadiť niektoré dávky alebo znížiť dávkovanie.</w:t>
      </w:r>
    </w:p>
    <w:p w14:paraId="0D7B5B94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074E9CC" w14:textId="5F247D81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Hnačka. </w:t>
      </w:r>
      <w:r w:rsidRPr="00C83F7F">
        <w:rPr>
          <w:sz w:val="22"/>
          <w:szCs w:val="22"/>
          <w:lang w:val="sk-SK"/>
        </w:rPr>
        <w:t xml:space="preserve">Pacienti so závažnou hnačkou sa majú starostlivo </w:t>
      </w:r>
      <w:r w:rsidR="00557A6D" w:rsidRPr="00C83F7F">
        <w:rPr>
          <w:sz w:val="22"/>
          <w:szCs w:val="22"/>
          <w:lang w:val="sk-SK"/>
        </w:rPr>
        <w:t>monitorovať</w:t>
      </w:r>
      <w:r w:rsidRPr="00C83F7F">
        <w:rPr>
          <w:sz w:val="22"/>
          <w:szCs w:val="22"/>
          <w:lang w:val="sk-SK"/>
        </w:rPr>
        <w:t xml:space="preserve"> a v prípade rozvoja dehydratácie sa im majú doplniť tekutiny a ióny. Okrem toho sa môžu použiť bežné lieky proti hnačke (napr. loperamid). Hnačka 2. stupňa podľa NCIC CTC sa definuje ako 4 - 6 stolíc denne alebo v noci, hnačka</w:t>
      </w:r>
      <w:r w:rsidR="004F1EDA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3. stupňa ako 7 - 9 stolíc denne alebo inkontinencia a malabsorpcia a hnačka 4.</w:t>
      </w:r>
      <w:r w:rsidR="00FA75D2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stupňa ako 10 stolíc</w:t>
      </w:r>
      <w:r w:rsidR="004F1EDA" w:rsidRPr="00C83F7F">
        <w:rPr>
          <w:sz w:val="22"/>
          <w:szCs w:val="22"/>
          <w:lang w:val="sk-SK"/>
        </w:rPr>
        <w:t xml:space="preserve"> d</w:t>
      </w:r>
      <w:r w:rsidRPr="00C83F7F">
        <w:rPr>
          <w:sz w:val="22"/>
          <w:szCs w:val="22"/>
          <w:lang w:val="sk-SK"/>
        </w:rPr>
        <w:t>enne a viac alebo hnačka s prímesou krvi, príp. nutnosť parenterálnej podpornej výživy. V prípade potreby sa má uplatniť zníženie dávky (pozri časť 4.2).</w:t>
      </w:r>
    </w:p>
    <w:p w14:paraId="303A1752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lang w:val="sk-SK"/>
        </w:rPr>
      </w:pPr>
    </w:p>
    <w:p w14:paraId="3F9D60F5" w14:textId="77777777" w:rsidR="00623E24" w:rsidRPr="00C83F7F" w:rsidRDefault="00317033" w:rsidP="00623E24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i/>
          <w:iCs/>
          <w:color w:val="000000"/>
          <w:sz w:val="22"/>
          <w:szCs w:val="22"/>
          <w:lang w:val="sk-SK"/>
        </w:rPr>
        <w:t>Dehydratácia</w:t>
      </w:r>
      <w:r w:rsidR="006B2D82" w:rsidRPr="00C83F7F">
        <w:rPr>
          <w:i/>
          <w:iCs/>
          <w:color w:val="000000"/>
          <w:sz w:val="22"/>
          <w:szCs w:val="22"/>
          <w:lang w:val="sk-SK"/>
        </w:rPr>
        <w:t xml:space="preserve">. </w:t>
      </w:r>
      <w:r w:rsidRPr="00C83F7F">
        <w:rPr>
          <w:color w:val="000000"/>
          <w:sz w:val="22"/>
          <w:szCs w:val="22"/>
          <w:lang w:val="sk-SK"/>
        </w:rPr>
        <w:t xml:space="preserve">Pred liečbou sa má predísť dehydratácii alebo ju korigovať. Pacienti s anorexiou, asténiou, nauzeou, vracaním alebo hnačkou sa môžu rýchlo dehydratovať. </w:t>
      </w:r>
      <w:r w:rsidR="00623E24" w:rsidRPr="00C83F7F">
        <w:rPr>
          <w:rFonts w:eastAsia="TimesNewRoman"/>
          <w:color w:val="000000"/>
          <w:sz w:val="22"/>
          <w:szCs w:val="22"/>
          <w:lang w:val="sk-SK" w:eastAsia="el-GR"/>
        </w:rPr>
        <w:t>Dehydratácia môže</w:t>
      </w:r>
    </w:p>
    <w:p w14:paraId="139D6B60" w14:textId="15EFA1AC" w:rsidR="00317033" w:rsidRPr="00C83F7F" w:rsidRDefault="00623E24" w:rsidP="00623E24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spôsobiť akútne zlyhanie obličiek, najmä u pacientov s už existujúcou zníženou funkciou obličiek alebo</w:t>
      </w:r>
      <w:r w:rsidR="00121CC5" w:rsidRPr="00C83F7F">
        <w:rPr>
          <w:rFonts w:eastAsia="TimesNewRoman"/>
          <w:color w:val="000000"/>
          <w:sz w:val="22"/>
          <w:szCs w:val="22"/>
          <w:lang w:val="sk-SK" w:eastAsia="el-GR"/>
        </w:rPr>
        <w:t>,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ak sa kapecitabín podáva súbežne so známymi nefrotoxickými liekmi. Akútne zlyhanie obličiek sekundárne po dehydratácii môže byť potenciálne smrteľné. Ak dôjde k 2. (alebo vyššiemu) stupňu dehydratácie, musí sa ihneď prerušiť liečba kapecitabínom a upraviť dehydratácia. V liečbe sa nesmie pokračovať, pokiaľ nie je pacient rehydratovaný a pokiaľ sa príčiny dehydratácie neodstránia alebo nie sú pod kontrolou. V prípade potreby sa má uplatniť úprava dávky  (pozri časť 4.2).</w:t>
      </w:r>
    </w:p>
    <w:p w14:paraId="192D099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lang w:val="sk-SK"/>
        </w:rPr>
      </w:pPr>
    </w:p>
    <w:p w14:paraId="6FD56C72" w14:textId="1C0D5742" w:rsidR="00317033" w:rsidRPr="00C83F7F" w:rsidRDefault="00317033" w:rsidP="00C94B9A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i/>
          <w:iCs/>
          <w:sz w:val="22"/>
          <w:szCs w:val="22"/>
          <w:lang w:val="sk-SK"/>
        </w:rPr>
        <w:t xml:space="preserve">Syndróm „ruka-noha“ </w:t>
      </w:r>
      <w:r w:rsidRPr="00C83F7F">
        <w:rPr>
          <w:sz w:val="22"/>
          <w:szCs w:val="22"/>
          <w:lang w:val="sk-SK"/>
        </w:rPr>
        <w:t>(známy tiež ako kožná reakcia na ruke a nohe alebo palmárno-plantárna erytrodyzestézia alebo akrálny erytém navodený chemoterapiou). 1. stupeň syndrómu „ruka-noha“ sa definuje ako necitlivosť, dyzestézia/parestézia, mravenčenie, nebolestivý opuch alebo erytém</w:t>
      </w:r>
      <w:r w:rsidR="00741C0A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na rukách a/alebo nohách, prípadne nepríjemný pocit, ktorý nenarúša každodenné aktivity pacienta.</w:t>
      </w:r>
      <w:r w:rsidR="00741C0A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2.</w:t>
      </w:r>
      <w:r w:rsidR="00FA75D2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stupeň syndrómu „ruka-noha“ je bolestivý erytém a opuch rúk a/alebo nôh, prípadne nepríjemný pocit, ktorý ovplyvňuje každodenné aktivity pacienta.</w:t>
      </w:r>
      <w:r w:rsidR="00741C0A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3. stupeň syndrómu „ruka-noha“ je vlhké olupovanie, tvorba vriedkov a pľuzgierov a veľká bolesť rúk a/alebo nôh a veľmi nepríjemný pocit, ktorý znemožňuje pacientovi pracovať alebo vykonávať každodenné aktivity. Ak dôjde k rozvoju 2.</w:t>
      </w:r>
      <w:r w:rsidR="00FA75D2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alebo 3. stupňa syndrómu „ruka-noha“, podávanie </w:t>
      </w:r>
      <w:r w:rsidR="006B2D82" w:rsidRPr="00C83F7F">
        <w:rPr>
          <w:color w:val="000000"/>
          <w:sz w:val="22"/>
          <w:szCs w:val="22"/>
          <w:lang w:val="sk-SK"/>
        </w:rPr>
        <w:t>k</w:t>
      </w:r>
      <w:r w:rsidR="00602203" w:rsidRPr="00C83F7F">
        <w:rPr>
          <w:color w:val="000000"/>
          <w:sz w:val="22"/>
          <w:szCs w:val="22"/>
          <w:lang w:val="sk-SK"/>
        </w:rPr>
        <w:t>ape</w:t>
      </w:r>
      <w:r w:rsidR="006B2D82" w:rsidRPr="00C83F7F">
        <w:rPr>
          <w:color w:val="000000"/>
          <w:sz w:val="22"/>
          <w:szCs w:val="22"/>
          <w:lang w:val="sk-SK"/>
        </w:rPr>
        <w:t>citabínu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sa musí okamžite prerušiť až do ústupu tohto nežiaduceho účinku alebo zníženia jeho závažnosti na 1.</w:t>
      </w:r>
      <w:r w:rsidR="00741C0A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stupeň. Po 3. stupni syndrómu „ruka-noha“ sa majú znížiť nasledujúce dávky </w:t>
      </w:r>
      <w:r w:rsidR="006B2D82" w:rsidRPr="00C83F7F">
        <w:rPr>
          <w:color w:val="000000"/>
          <w:sz w:val="22"/>
          <w:szCs w:val="22"/>
          <w:lang w:val="sk-SK"/>
        </w:rPr>
        <w:t>kepacitabínu</w:t>
      </w:r>
      <w:r w:rsidRPr="00C83F7F">
        <w:rPr>
          <w:sz w:val="22"/>
          <w:szCs w:val="22"/>
          <w:lang w:val="sk-SK"/>
        </w:rPr>
        <w:t xml:space="preserve">. Keď sa </w:t>
      </w:r>
      <w:r w:rsidR="006B2D82" w:rsidRPr="00C83F7F">
        <w:rPr>
          <w:color w:val="000000"/>
          <w:sz w:val="22"/>
          <w:szCs w:val="22"/>
          <w:lang w:val="sk-SK"/>
        </w:rPr>
        <w:t>k</w:t>
      </w:r>
      <w:r w:rsidR="005E37A5">
        <w:rPr>
          <w:color w:val="000000"/>
          <w:sz w:val="22"/>
          <w:szCs w:val="22"/>
          <w:lang w:val="sk-SK"/>
        </w:rPr>
        <w:t>a</w:t>
      </w:r>
      <w:r w:rsidR="006B2D82" w:rsidRPr="00C83F7F">
        <w:rPr>
          <w:color w:val="000000"/>
          <w:sz w:val="22"/>
          <w:szCs w:val="22"/>
          <w:lang w:val="sk-SK"/>
        </w:rPr>
        <w:t>p</w:t>
      </w:r>
      <w:r w:rsidR="005E37A5">
        <w:rPr>
          <w:color w:val="000000"/>
          <w:sz w:val="22"/>
          <w:szCs w:val="22"/>
          <w:lang w:val="sk-SK"/>
        </w:rPr>
        <w:t>e</w:t>
      </w:r>
      <w:r w:rsidR="006B2D82" w:rsidRPr="00C83F7F">
        <w:rPr>
          <w:color w:val="000000"/>
          <w:sz w:val="22"/>
          <w:szCs w:val="22"/>
          <w:lang w:val="sk-SK"/>
        </w:rPr>
        <w:t>citabín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a</w:t>
      </w:r>
      <w:r w:rsidR="00FA75D2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cisplatina používajú v kombinácii, použitie vitamínu B6 (pyridoxín) na symptomatickú alebo sekundárnu profylaktickú liečbu syndrómu „ruka-noha“ sa neodporúča, pretože boli publikované správy o tom, že môže znížiť účinnosť </w:t>
      </w:r>
      <w:r w:rsidRPr="00C83F7F">
        <w:rPr>
          <w:color w:val="000000"/>
          <w:sz w:val="22"/>
          <w:szCs w:val="22"/>
          <w:lang w:val="sk-SK"/>
        </w:rPr>
        <w:t>cisplatiny.</w:t>
      </w:r>
      <w:r w:rsidR="00C94B9A" w:rsidRPr="00C83F7F">
        <w:rPr>
          <w:color w:val="000000"/>
          <w:sz w:val="22"/>
          <w:szCs w:val="22"/>
          <w:lang w:val="sk-SK"/>
        </w:rPr>
        <w:t xml:space="preserve"> </w:t>
      </w:r>
      <w:r w:rsidR="00C94B9A"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K dispozícii sú údaje, ktoré naznačujú, že dexpantenol je účinný v profylaxii syndrómu „ruka-noha“ u pacientov liečených </w:t>
      </w:r>
      <w:r w:rsidR="00932100" w:rsidRPr="00C83F7F">
        <w:rPr>
          <w:sz w:val="22"/>
          <w:szCs w:val="22"/>
          <w:lang w:val="sk-SK"/>
        </w:rPr>
        <w:t>kapecitabínom</w:t>
      </w:r>
      <w:r w:rsidR="00C94B9A" w:rsidRPr="00C83F7F">
        <w:rPr>
          <w:rFonts w:eastAsia="TimesNewRoman"/>
          <w:color w:val="000000"/>
          <w:sz w:val="22"/>
          <w:szCs w:val="22"/>
          <w:lang w:val="sk-SK" w:eastAsia="el-GR"/>
        </w:rPr>
        <w:t>.</w:t>
      </w:r>
    </w:p>
    <w:p w14:paraId="69AE5104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lang w:val="sk-SK"/>
        </w:rPr>
      </w:pPr>
    </w:p>
    <w:p w14:paraId="5F66ED2E" w14:textId="608A5DA2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Kardiotoxicita. </w:t>
      </w:r>
      <w:r w:rsidRPr="00C83F7F">
        <w:rPr>
          <w:sz w:val="22"/>
          <w:szCs w:val="22"/>
          <w:lang w:val="sk-SK"/>
        </w:rPr>
        <w:t>Liečbu fluórpyrimidínmi sprevádzali kardiotoxické prejavy vrátane infarktu</w:t>
      </w:r>
      <w:r w:rsidR="00741C0A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myokardu, anginy pectoris, arytmií, kardiogénneho šoku, náhlej smrti a zmien na EKG (vrátane veľmi zriedkavých prípadov predĺženia QT intervalu). Tieto nežiaduce účinky sa môžu častejšie vyskytnúť</w:t>
      </w:r>
      <w:r w:rsidR="00741C0A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u pacientov s anamnézou ischemickej choroby srdca. U pacientov, ktorí užívajú </w:t>
      </w:r>
      <w:r w:rsidR="005D75D1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>sa hlásili srdcové arytmie</w:t>
      </w:r>
      <w:r w:rsidR="00EA0DEF" w:rsidRPr="00C83F7F">
        <w:rPr>
          <w:sz w:val="22"/>
          <w:szCs w:val="22"/>
          <w:lang w:val="sk-SK"/>
        </w:rPr>
        <w:t xml:space="preserve"> (vrátane</w:t>
      </w:r>
      <w:r w:rsidR="00D10F59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fibrilácie komôr, „torsade de pointes“ a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bradykardie), angina pectoris, infarkt myokardu, srdcové zlyhanie a kardiomyopatia. U pacientov s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anamnézou závažného ochorenia srdca, arytmií a anginy pectoris sa vyžaduje opatrnosť (pozri časť 4.8).</w:t>
      </w:r>
    </w:p>
    <w:p w14:paraId="0AA5D8AD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lang w:val="sk-SK"/>
        </w:rPr>
      </w:pPr>
    </w:p>
    <w:p w14:paraId="17762BF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Hypo- alebo hyperkalciémia. </w:t>
      </w:r>
      <w:r w:rsidRPr="00C83F7F">
        <w:rPr>
          <w:sz w:val="22"/>
          <w:szCs w:val="22"/>
          <w:lang w:val="sk-SK"/>
        </w:rPr>
        <w:t xml:space="preserve">Počas liečby </w:t>
      </w:r>
      <w:r w:rsidR="005D75D1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 xml:space="preserve">sa vyskytli prípady hypokalciémie alebo hyperkalciémie. U pacientov s existujúcou hypokalciémiou alebo hyperkalciémiou sa vyžaduje </w:t>
      </w:r>
      <w:r w:rsidRPr="00C83F7F">
        <w:rPr>
          <w:sz w:val="22"/>
          <w:szCs w:val="22"/>
          <w:lang w:val="sk-SK"/>
        </w:rPr>
        <w:lastRenderedPageBreak/>
        <w:t>opatrnosť (pozri časť 4.8).</w:t>
      </w:r>
    </w:p>
    <w:p w14:paraId="2B8117F1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lang w:val="sk-SK"/>
        </w:rPr>
      </w:pPr>
    </w:p>
    <w:p w14:paraId="12804C66" w14:textId="555047B0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Ochorenia centrálneho alebo periférneho nervového systému</w:t>
      </w:r>
      <w:r w:rsidRPr="00C83F7F">
        <w:rPr>
          <w:sz w:val="22"/>
          <w:szCs w:val="22"/>
          <w:lang w:val="sk-SK"/>
        </w:rPr>
        <w:t>. Zvýšená opatrnosť je potrebná u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pacientov s ochoreniami periférneho alebo centrálneho nervového systému, napr. metastázami v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mozgu alebo neuropatiou (pozri časť 4.8).</w:t>
      </w:r>
    </w:p>
    <w:p w14:paraId="5EFFA258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lang w:val="sk-SK"/>
        </w:rPr>
      </w:pPr>
    </w:p>
    <w:p w14:paraId="1003FA24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Diabetes mellitus alebo poruchy elektrolytov. </w:t>
      </w:r>
      <w:r w:rsidRPr="00C83F7F">
        <w:rPr>
          <w:sz w:val="22"/>
          <w:szCs w:val="22"/>
          <w:lang w:val="sk-SK"/>
        </w:rPr>
        <w:t xml:space="preserve">U diabetikov alebo u pacientov s poruchami iónov sa vyžaduje zvýšená opatrnosť pre možné zhoršenie týchto stavov počas liečby </w:t>
      </w:r>
      <w:r w:rsidR="006B2D82" w:rsidRPr="00C83F7F">
        <w:rPr>
          <w:color w:val="000000"/>
          <w:sz w:val="22"/>
          <w:szCs w:val="22"/>
          <w:lang w:val="sk-SK"/>
        </w:rPr>
        <w:t>kepacitabínom</w:t>
      </w:r>
      <w:r w:rsidRPr="00C83F7F">
        <w:rPr>
          <w:sz w:val="22"/>
          <w:szCs w:val="22"/>
          <w:lang w:val="sk-SK"/>
        </w:rPr>
        <w:t>.</w:t>
      </w:r>
    </w:p>
    <w:p w14:paraId="039FE75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lang w:val="sk-SK"/>
        </w:rPr>
      </w:pPr>
    </w:p>
    <w:p w14:paraId="287A80D2" w14:textId="03DB20CE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Antikoagulácia kumarínovými derivátmi. </w:t>
      </w:r>
      <w:r w:rsidRPr="00C83F7F">
        <w:rPr>
          <w:sz w:val="22"/>
          <w:szCs w:val="22"/>
          <w:lang w:val="sk-SK"/>
        </w:rPr>
        <w:t>V interakčnej štúdii s jednorazovými dávkami warfarínu došlo k signifikantnému zvýšeniu (+ 57 %) priemerných hodnôt AUC S-warfarínu. Tieto výsledky naznačujú interakciu, pravdepodobne vďaka inhibícii izoenzymového systému cytochrómu</w:t>
      </w:r>
      <w:r w:rsidR="00BA78A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P450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2C9 kapecitabínom. Pacienti liečení súčasne </w:t>
      </w:r>
      <w:r w:rsidR="006B2D82" w:rsidRPr="00C83F7F">
        <w:rPr>
          <w:color w:val="000000"/>
          <w:sz w:val="22"/>
          <w:szCs w:val="22"/>
          <w:lang w:val="sk-SK"/>
        </w:rPr>
        <w:t>kepacitabínom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a perorálnymi antikoagulanciami kumarínového typu sa musia pozorne sledovať (INR alebo protrombínový čas), a dávka antikoagulancia sa má podľa výsledkov adekvátne upraviť (pozri časť 4.5).</w:t>
      </w:r>
    </w:p>
    <w:p w14:paraId="7EACC310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lang w:val="sk-SK"/>
        </w:rPr>
      </w:pPr>
    </w:p>
    <w:p w14:paraId="44C447A8" w14:textId="1AB1F753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Po</w:t>
      </w:r>
      <w:r w:rsidR="00D7212D" w:rsidRPr="00C83F7F">
        <w:rPr>
          <w:i/>
          <w:iCs/>
          <w:sz w:val="22"/>
          <w:szCs w:val="22"/>
          <w:lang w:val="sk-SK"/>
        </w:rPr>
        <w:t>rucha</w:t>
      </w:r>
      <w:r w:rsidRPr="00C83F7F">
        <w:rPr>
          <w:i/>
          <w:iCs/>
          <w:sz w:val="22"/>
          <w:szCs w:val="22"/>
          <w:lang w:val="sk-SK"/>
        </w:rPr>
        <w:t xml:space="preserve"> funkcie pečene. </w:t>
      </w:r>
      <w:r w:rsidRPr="00C83F7F">
        <w:rPr>
          <w:sz w:val="22"/>
          <w:szCs w:val="22"/>
          <w:lang w:val="sk-SK"/>
        </w:rPr>
        <w:t xml:space="preserve">Vzhľadom na chýbajúce údaje o bezpečnosti a účinnosti </w:t>
      </w:r>
      <w:r w:rsidR="006B2D82" w:rsidRPr="00C83F7F">
        <w:rPr>
          <w:color w:val="000000"/>
          <w:sz w:val="22"/>
          <w:szCs w:val="22"/>
          <w:lang w:val="sk-SK"/>
        </w:rPr>
        <w:t>kepacitabínu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u pacientov s p</w:t>
      </w:r>
      <w:r w:rsidR="00D7212D" w:rsidRPr="00C83F7F">
        <w:rPr>
          <w:sz w:val="22"/>
          <w:szCs w:val="22"/>
          <w:lang w:val="sk-SK"/>
        </w:rPr>
        <w:t>oruchou</w:t>
      </w:r>
      <w:r w:rsidRPr="00C83F7F">
        <w:rPr>
          <w:sz w:val="22"/>
          <w:szCs w:val="22"/>
          <w:lang w:val="sk-SK"/>
        </w:rPr>
        <w:t xml:space="preserve"> funkcie pečene sa majú pacienti s miernou až stredne závažnou dysfunkciou pečene starostlivo sledovať, bez ohľadu na prítomnosť alebo chýbanie metastáz v pečeni. Podávanie </w:t>
      </w:r>
      <w:r w:rsidR="006B2D82" w:rsidRPr="00C83F7F">
        <w:rPr>
          <w:color w:val="000000"/>
          <w:sz w:val="22"/>
          <w:szCs w:val="22"/>
          <w:lang w:val="sk-SK"/>
        </w:rPr>
        <w:t>kepacitabínu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sa má prerušiť, ak sa v dôsledku liečby zvýši hladina bilirubínu nad 3-násobok hornej hranice normy (ULN) alebo ak sa hodnoty transamináz (AST, ALT) zvýšia &gt; 2,5 x ULN. Monoterapia</w:t>
      </w:r>
      <w:r w:rsidR="002109DB" w:rsidRPr="00C83F7F">
        <w:rPr>
          <w:sz w:val="22"/>
          <w:szCs w:val="22"/>
          <w:lang w:val="sk-SK"/>
        </w:rPr>
        <w:t xml:space="preserve"> </w:t>
      </w:r>
      <w:r w:rsidR="006B2D82" w:rsidRPr="00C83F7F">
        <w:rPr>
          <w:color w:val="000000"/>
          <w:sz w:val="22"/>
          <w:szCs w:val="22"/>
          <w:lang w:val="sk-SK"/>
        </w:rPr>
        <w:t>kepacitabínom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môže pokračovať, keď hodnoty bilirubínu kle</w:t>
      </w:r>
      <w:r w:rsidR="00BA78AD" w:rsidRPr="00C83F7F">
        <w:rPr>
          <w:sz w:val="22"/>
          <w:szCs w:val="22"/>
          <w:lang w:val="sk-SK"/>
        </w:rPr>
        <w:t xml:space="preserve">snú na ≤ 3 x ULN alebo pečeňové </w:t>
      </w:r>
      <w:r w:rsidRPr="00C83F7F">
        <w:rPr>
          <w:sz w:val="22"/>
          <w:szCs w:val="22"/>
          <w:lang w:val="sk-SK"/>
        </w:rPr>
        <w:t>aminotransferázy klesnú na ≤ 2,5 x ULN.</w:t>
      </w:r>
    </w:p>
    <w:p w14:paraId="38FDC1D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A02055B" w14:textId="00B765F8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Po</w:t>
      </w:r>
      <w:r w:rsidR="00D7212D" w:rsidRPr="00C83F7F">
        <w:rPr>
          <w:i/>
          <w:iCs/>
          <w:sz w:val="22"/>
          <w:szCs w:val="22"/>
          <w:lang w:val="sk-SK"/>
        </w:rPr>
        <w:t>rucha</w:t>
      </w:r>
      <w:r w:rsidRPr="00C83F7F">
        <w:rPr>
          <w:i/>
          <w:iCs/>
          <w:sz w:val="22"/>
          <w:szCs w:val="22"/>
          <w:lang w:val="sk-SK"/>
        </w:rPr>
        <w:t xml:space="preserve"> funkcie obličiek. </w:t>
      </w:r>
      <w:r w:rsidRPr="00C83F7F">
        <w:rPr>
          <w:sz w:val="22"/>
          <w:szCs w:val="22"/>
          <w:lang w:val="sk-SK"/>
        </w:rPr>
        <w:t>Výskyt nežiaducich reakcií 3. alebo 4. stupňa u pacientov so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stredne závažn</w:t>
      </w:r>
      <w:r w:rsidR="00D7212D" w:rsidRPr="00C83F7F">
        <w:rPr>
          <w:sz w:val="22"/>
          <w:szCs w:val="22"/>
          <w:lang w:val="sk-SK"/>
        </w:rPr>
        <w:t>ou</w:t>
      </w:r>
      <w:r w:rsidRPr="00C83F7F">
        <w:rPr>
          <w:sz w:val="22"/>
          <w:szCs w:val="22"/>
          <w:lang w:val="sk-SK"/>
        </w:rPr>
        <w:t xml:space="preserve"> po</w:t>
      </w:r>
      <w:r w:rsidR="00D7212D" w:rsidRPr="00C83F7F">
        <w:rPr>
          <w:sz w:val="22"/>
          <w:szCs w:val="22"/>
          <w:lang w:val="sk-SK"/>
        </w:rPr>
        <w:t>ruchou</w:t>
      </w:r>
      <w:r w:rsidRPr="00C83F7F">
        <w:rPr>
          <w:sz w:val="22"/>
          <w:szCs w:val="22"/>
          <w:lang w:val="sk-SK"/>
        </w:rPr>
        <w:t xml:space="preserve"> funkcie obličiek (klírens kreatinínu 30 – 50 ml/min) je vyšší ako v celkovej populácii (pozri časť 4.2 a 4.3).</w:t>
      </w:r>
    </w:p>
    <w:p w14:paraId="3A94735D" w14:textId="77777777" w:rsidR="006B2D82" w:rsidRPr="00C83F7F" w:rsidRDefault="006B2D82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1A81A3" w14:textId="77777777" w:rsidR="00281637" w:rsidRPr="00C83F7F" w:rsidRDefault="006B2D82" w:rsidP="006B2D8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i/>
          <w:sz w:val="22"/>
          <w:szCs w:val="22"/>
          <w:lang w:val="sk-SK"/>
        </w:rPr>
        <w:t>DPD deficiencia:</w:t>
      </w:r>
      <w:r w:rsidRPr="00C83F7F">
        <w:rPr>
          <w:sz w:val="22"/>
          <w:szCs w:val="22"/>
          <w:lang w:val="sk-SK"/>
        </w:rPr>
        <w:t xml:space="preserve"> Zriedkavo, neočakávaná, závažná toxicita (napr. stomatitída, hnačka, neutropénia a neurotoxicita) spájané s 5-FU boli pripisované nedostatku účinnosti DPD. Súvislosť medzi zníženými hladinami DPD a zvýšenými, potenciálne fatálnymi toxickými účinkami 5-FU preto nemožno vylúčiť.</w:t>
      </w:r>
      <w:r w:rsidR="00281637" w:rsidRPr="00C83F7F">
        <w:rPr>
          <w:sz w:val="22"/>
          <w:szCs w:val="22"/>
          <w:lang w:val="sk-SK"/>
        </w:rPr>
        <w:t xml:space="preserve"> </w:t>
      </w:r>
    </w:p>
    <w:p w14:paraId="4FEC35A9" w14:textId="16CF8BA6" w:rsidR="006B2D82" w:rsidRPr="00C83F7F" w:rsidRDefault="006B2D82" w:rsidP="006B2D8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Pacienti so známou DPD deficienciou nemajú byť liečení kapecitabínom (pozri časť 4.3). U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pacientov s neznámou DPD deficienciou liečených kapecitabínom, sa môže objaviť život ohrozujúca toxicita, prejavujúca sa ako akútne predávkovanie </w:t>
      </w:r>
      <w:r w:rsidR="00D7212D" w:rsidRPr="00C83F7F">
        <w:rPr>
          <w:sz w:val="22"/>
          <w:szCs w:val="22"/>
          <w:lang w:val="sk-SK"/>
        </w:rPr>
        <w:t>(po</w:t>
      </w:r>
      <w:r w:rsidRPr="00C83F7F">
        <w:rPr>
          <w:sz w:val="22"/>
          <w:szCs w:val="22"/>
          <w:lang w:val="sk-SK"/>
        </w:rPr>
        <w:t>zri časť 4.9). V prípade 2.-</w:t>
      </w:r>
      <w:r w:rsidR="00D7212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4. stupňa akútnej toxicity sa liečba musí okamžite prerušiť, kým zaznamenaná toxicita nevymizne. Trvalé ukončenie liečby sa má zvážiť na základe klinického zhodnotenia nástupu, trvania a závažnosti pozorovanej toxicity.</w:t>
      </w:r>
    </w:p>
    <w:p w14:paraId="33D38084" w14:textId="77777777" w:rsidR="00281637" w:rsidRPr="00C83F7F" w:rsidRDefault="00281637" w:rsidP="006B2D8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3F625EA" w14:textId="77777777" w:rsidR="00281637" w:rsidRPr="00C83F7F" w:rsidRDefault="00281637" w:rsidP="00281637">
      <w:pPr>
        <w:autoSpaceDE w:val="0"/>
        <w:autoSpaceDN w:val="0"/>
        <w:adjustRightInd w:val="0"/>
        <w:rPr>
          <w:rFonts w:eastAsia="TimesNewRoman"/>
          <w:sz w:val="22"/>
          <w:szCs w:val="22"/>
          <w:lang w:val="sk-SK" w:eastAsia="el-GR"/>
        </w:rPr>
      </w:pPr>
      <w:r w:rsidRPr="00C83F7F">
        <w:rPr>
          <w:rFonts w:eastAsia="TimesNewRoman,Italic"/>
          <w:i/>
          <w:iCs/>
          <w:sz w:val="22"/>
          <w:szCs w:val="22"/>
          <w:lang w:val="sk-SK" w:eastAsia="el-GR"/>
        </w:rPr>
        <w:t xml:space="preserve">Oftalmologické komplikácie: </w:t>
      </w:r>
      <w:r w:rsidRPr="00C83F7F">
        <w:rPr>
          <w:rFonts w:eastAsia="TimesNewRoman"/>
          <w:sz w:val="22"/>
          <w:szCs w:val="22"/>
          <w:lang w:val="sk-SK" w:eastAsia="el-GR"/>
        </w:rPr>
        <w:t>Pacienti sa majú starostlivo sledovať pre oftalmologické komplikácie, ako je keratitída a poruchy rohovky, najmä ak majú v anamnéze ochorenie očí. Liečba porúch očí sa má začať podľa klinickej potreby.</w:t>
      </w:r>
    </w:p>
    <w:p w14:paraId="2519534F" w14:textId="77777777" w:rsidR="00281637" w:rsidRPr="00C83F7F" w:rsidRDefault="00281637" w:rsidP="00281637">
      <w:pPr>
        <w:autoSpaceDE w:val="0"/>
        <w:autoSpaceDN w:val="0"/>
        <w:adjustRightInd w:val="0"/>
        <w:rPr>
          <w:rFonts w:eastAsia="TimesNewRoman,Italic"/>
          <w:i/>
          <w:iCs/>
          <w:sz w:val="22"/>
          <w:szCs w:val="22"/>
          <w:lang w:val="sk-SK" w:eastAsia="el-GR"/>
        </w:rPr>
      </w:pPr>
    </w:p>
    <w:p w14:paraId="579DB43F" w14:textId="77777777" w:rsidR="00281637" w:rsidRPr="00C83F7F" w:rsidRDefault="00281637" w:rsidP="00281637">
      <w:pPr>
        <w:autoSpaceDE w:val="0"/>
        <w:autoSpaceDN w:val="0"/>
        <w:adjustRightInd w:val="0"/>
        <w:rPr>
          <w:rFonts w:eastAsia="TimesNewRoman"/>
          <w:sz w:val="22"/>
          <w:szCs w:val="22"/>
          <w:lang w:val="sk-SK" w:eastAsia="el-GR"/>
        </w:rPr>
      </w:pPr>
      <w:r w:rsidRPr="00C83F7F">
        <w:rPr>
          <w:rFonts w:eastAsia="TimesNewRoman,Italic"/>
          <w:i/>
          <w:iCs/>
          <w:sz w:val="22"/>
          <w:szCs w:val="22"/>
          <w:lang w:val="sk-SK" w:eastAsia="el-GR"/>
        </w:rPr>
        <w:t xml:space="preserve">Závažné kožné reakcie: </w:t>
      </w:r>
      <w:r w:rsidR="00B5745C" w:rsidRPr="00C83F7F">
        <w:rPr>
          <w:sz w:val="22"/>
          <w:szCs w:val="22"/>
          <w:lang w:val="sk-SK"/>
        </w:rPr>
        <w:t>Kapecitabín</w:t>
      </w:r>
      <w:r w:rsidRPr="00C83F7F">
        <w:rPr>
          <w:rFonts w:eastAsia="TimesNewRoman"/>
          <w:sz w:val="22"/>
          <w:szCs w:val="22"/>
          <w:lang w:val="sk-SK" w:eastAsia="el-GR"/>
        </w:rPr>
        <w:t xml:space="preserve"> môže vyvolať závažné kožné reakcie, napr. Stevensov-Johnsonov syndróm a toxickú epidermálnu nekrolýzu. Liečba </w:t>
      </w:r>
      <w:r w:rsidR="00B5745C" w:rsidRPr="00C83F7F">
        <w:rPr>
          <w:sz w:val="22"/>
          <w:szCs w:val="22"/>
          <w:lang w:val="sk-SK"/>
        </w:rPr>
        <w:t>kapecitabínom</w:t>
      </w:r>
      <w:r w:rsidRPr="00C83F7F">
        <w:rPr>
          <w:rFonts w:eastAsia="TimesNewRoman"/>
          <w:sz w:val="22"/>
          <w:szCs w:val="22"/>
          <w:lang w:val="sk-SK" w:eastAsia="el-GR"/>
        </w:rPr>
        <w:t xml:space="preserve"> sa musí natrvalo ukončiť u pacientov, u ktorých počas liečby vznikne závažná kožná reakcia.</w:t>
      </w:r>
    </w:p>
    <w:p w14:paraId="5818B7B7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74CD7B9" w14:textId="77777777" w:rsidR="00317033" w:rsidRPr="00C83F7F" w:rsidRDefault="00317033" w:rsidP="00FB2845">
      <w:pPr>
        <w:widowControl w:val="0"/>
        <w:numPr>
          <w:ilvl w:val="0"/>
          <w:numId w:val="7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Liekové a iné interakcie</w:t>
      </w:r>
    </w:p>
    <w:p w14:paraId="69FCB1CA" w14:textId="77777777" w:rsidR="00FC126C" w:rsidRPr="00C83F7F" w:rsidRDefault="00FC126C" w:rsidP="00FC126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E3D8D91" w14:textId="77777777" w:rsidR="00F25C77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Interakčné štúdie sa uskutočnili len u dospelých. </w:t>
      </w:r>
    </w:p>
    <w:p w14:paraId="3A6CBED4" w14:textId="77777777" w:rsidR="00F25C77" w:rsidRPr="00C83F7F" w:rsidRDefault="00F25C77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E1ABF8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u w:val="single"/>
          <w:lang w:val="sk-SK"/>
        </w:rPr>
        <w:t>Interakcie s inými liekmi</w:t>
      </w:r>
      <w:r w:rsidRPr="00C83F7F">
        <w:rPr>
          <w:sz w:val="22"/>
          <w:szCs w:val="22"/>
          <w:lang w:val="sk-SK"/>
        </w:rPr>
        <w:t>:</w:t>
      </w:r>
    </w:p>
    <w:p w14:paraId="048F4AF3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3AF784" w14:textId="332D2DC2" w:rsidR="006B2D82" w:rsidRPr="00C83F7F" w:rsidRDefault="006B2D82" w:rsidP="006B2D8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i/>
          <w:sz w:val="22"/>
          <w:szCs w:val="22"/>
          <w:lang w:val="sk-SK"/>
        </w:rPr>
        <w:t>Cytochróm P</w:t>
      </w:r>
      <w:r w:rsidRPr="00C83F7F">
        <w:rPr>
          <w:i/>
          <w:iCs/>
          <w:sz w:val="22"/>
          <w:szCs w:val="22"/>
          <w:lang w:val="sk-SK"/>
        </w:rPr>
        <w:t xml:space="preserve">-450 </w:t>
      </w:r>
      <w:r w:rsidRPr="00C83F7F">
        <w:rPr>
          <w:i/>
          <w:sz w:val="22"/>
          <w:szCs w:val="22"/>
          <w:lang w:val="sk-SK"/>
        </w:rPr>
        <w:t xml:space="preserve">2C9 </w:t>
      </w:r>
      <w:r w:rsidRPr="00C83F7F">
        <w:rPr>
          <w:i/>
          <w:iCs/>
          <w:sz w:val="22"/>
          <w:szCs w:val="22"/>
          <w:lang w:val="sk-SK"/>
        </w:rPr>
        <w:t xml:space="preserve">substráty: </w:t>
      </w:r>
      <w:r w:rsidRPr="00C83F7F">
        <w:rPr>
          <w:sz w:val="22"/>
          <w:szCs w:val="22"/>
          <w:lang w:val="sk-SK"/>
        </w:rPr>
        <w:t xml:space="preserve">Okrem warfarínu, </w:t>
      </w:r>
      <w:r w:rsidR="00695E84" w:rsidRPr="00C83F7F">
        <w:rPr>
          <w:sz w:val="22"/>
          <w:szCs w:val="22"/>
          <w:lang w:val="sk-SK"/>
        </w:rPr>
        <w:t xml:space="preserve">neboli vykonané </w:t>
      </w:r>
      <w:r w:rsidRPr="00C83F7F">
        <w:rPr>
          <w:sz w:val="22"/>
          <w:szCs w:val="22"/>
          <w:lang w:val="sk-SK"/>
        </w:rPr>
        <w:t xml:space="preserve">žiadne formálne </w:t>
      </w:r>
      <w:r w:rsidR="00695E84" w:rsidRPr="00C83F7F">
        <w:rPr>
          <w:sz w:val="22"/>
          <w:szCs w:val="22"/>
          <w:lang w:val="sk-SK"/>
        </w:rPr>
        <w:t xml:space="preserve">liekové </w:t>
      </w:r>
      <w:r w:rsidRPr="00C83F7F">
        <w:rPr>
          <w:sz w:val="22"/>
          <w:szCs w:val="22"/>
          <w:lang w:val="sk-SK"/>
        </w:rPr>
        <w:t xml:space="preserve">interakčné štúdie medzi kapecitabínom a inými CYP2C9 substrátmi. </w:t>
      </w:r>
      <w:r w:rsidR="00443C0A" w:rsidRPr="00C83F7F">
        <w:rPr>
          <w:sz w:val="22"/>
          <w:szCs w:val="22"/>
          <w:lang w:val="sk-SK"/>
        </w:rPr>
        <w:t>Opatrne</w:t>
      </w:r>
      <w:r w:rsidRPr="00C83F7F">
        <w:rPr>
          <w:sz w:val="22"/>
          <w:szCs w:val="22"/>
          <w:lang w:val="sk-SK"/>
        </w:rPr>
        <w:t xml:space="preserve"> sa má postupovať, ak sa kapecitabín podáva s 2C9 substrátmi(napr. fenytoín). Pozri tiež interakcie s kumarínovými antikoagulanciami nižšie a časť 4.4.</w:t>
      </w:r>
    </w:p>
    <w:p w14:paraId="59362F02" w14:textId="77777777" w:rsidR="006B2D82" w:rsidRPr="00C83F7F" w:rsidRDefault="006B2D82" w:rsidP="00C245E7">
      <w:pPr>
        <w:widowControl w:val="0"/>
        <w:autoSpaceDE w:val="0"/>
        <w:autoSpaceDN w:val="0"/>
        <w:adjustRightInd w:val="0"/>
        <w:rPr>
          <w:i/>
          <w:iCs/>
          <w:sz w:val="22"/>
          <w:szCs w:val="22"/>
          <w:lang w:val="sk-SK"/>
        </w:rPr>
      </w:pPr>
    </w:p>
    <w:p w14:paraId="0EB65870" w14:textId="4B0C18B1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Kumarínové antikoagulanciá: </w:t>
      </w:r>
      <w:r w:rsidRPr="00C83F7F">
        <w:rPr>
          <w:sz w:val="22"/>
          <w:szCs w:val="22"/>
          <w:lang w:val="sk-SK"/>
        </w:rPr>
        <w:t xml:space="preserve">u pacientov, ktorí užívajú </w:t>
      </w:r>
      <w:r w:rsidR="005D75D1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 xml:space="preserve">súčasne </w:t>
      </w:r>
      <w:r w:rsidR="009765CB" w:rsidRPr="00C83F7F">
        <w:rPr>
          <w:sz w:val="22"/>
          <w:szCs w:val="22"/>
          <w:lang w:val="sk-SK"/>
        </w:rPr>
        <w:t xml:space="preserve">s </w:t>
      </w:r>
      <w:r w:rsidRPr="00C83F7F">
        <w:rPr>
          <w:sz w:val="22"/>
          <w:szCs w:val="22"/>
          <w:lang w:val="sk-SK"/>
        </w:rPr>
        <w:t xml:space="preserve">antikoagulanciami kumarínového typu, napr. warfarínom a fenprokumonom, sa opísali odchýlky koagulačných parametrov a/alebo krvácanie. K týmto nežiaducim reakciám došlo v období niekoľkých dní až mesiacov od začiatku liečby </w:t>
      </w:r>
      <w:r w:rsidR="005D75D1" w:rsidRPr="00C83F7F">
        <w:rPr>
          <w:sz w:val="22"/>
          <w:szCs w:val="22"/>
          <w:lang w:val="sk-SK"/>
        </w:rPr>
        <w:t>kapecitabínom</w:t>
      </w:r>
      <w:r w:rsidRPr="00C83F7F">
        <w:rPr>
          <w:sz w:val="22"/>
          <w:szCs w:val="22"/>
          <w:lang w:val="sk-SK"/>
        </w:rPr>
        <w:t xml:space="preserve">, v niektorých prípadoch aj v priebehu jedného mesiaca od ukončenia liečby </w:t>
      </w:r>
      <w:r w:rsidR="005D75D1" w:rsidRPr="00C83F7F">
        <w:rPr>
          <w:sz w:val="22"/>
          <w:szCs w:val="22"/>
          <w:lang w:val="sk-SK"/>
        </w:rPr>
        <w:t>kapecitabínom</w:t>
      </w:r>
      <w:r w:rsidRPr="00C83F7F">
        <w:rPr>
          <w:sz w:val="22"/>
          <w:szCs w:val="22"/>
          <w:lang w:val="sk-SK"/>
        </w:rPr>
        <w:t xml:space="preserve">. V klinickej farmakokinetickej interakčnej štúdii zvýšila liečba </w:t>
      </w:r>
      <w:r w:rsidR="005D75D1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AUC S-warfarínu o 57 % po jednotlivej dávke 20 mg warfarínu a hodnotu INR o 91 %. Keďže metabolizmus R-warfarínu nebol ovplyvnený, výsledky naznačujú, že kapecitabín</w:t>
      </w:r>
      <w:r w:rsidR="00443C0A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 negatívne ovplyvňuje izoenzým 2C9, ale nemá vplyv na izoenzýmy 1A2 a 3A4. Pacienti, ktorí užívajú </w:t>
      </w:r>
      <w:r w:rsidR="006B2D82" w:rsidRPr="00C83F7F">
        <w:rPr>
          <w:color w:val="000000"/>
          <w:sz w:val="22"/>
          <w:szCs w:val="22"/>
          <w:lang w:val="sk-SK"/>
        </w:rPr>
        <w:t>k</w:t>
      </w:r>
      <w:r w:rsidR="00D10F59">
        <w:rPr>
          <w:color w:val="000000"/>
          <w:sz w:val="22"/>
          <w:szCs w:val="22"/>
          <w:lang w:val="sk-SK"/>
        </w:rPr>
        <w:t>a</w:t>
      </w:r>
      <w:r w:rsidR="006B2D82" w:rsidRPr="00C83F7F">
        <w:rPr>
          <w:color w:val="000000"/>
          <w:sz w:val="22"/>
          <w:szCs w:val="22"/>
          <w:lang w:val="sk-SK"/>
        </w:rPr>
        <w:t>p</w:t>
      </w:r>
      <w:r w:rsidR="00D10F59">
        <w:rPr>
          <w:color w:val="000000"/>
          <w:sz w:val="22"/>
          <w:szCs w:val="22"/>
          <w:lang w:val="sk-SK"/>
        </w:rPr>
        <w:t>e</w:t>
      </w:r>
      <w:r w:rsidR="006B2D82" w:rsidRPr="00C83F7F">
        <w:rPr>
          <w:color w:val="000000"/>
          <w:sz w:val="22"/>
          <w:szCs w:val="22"/>
          <w:lang w:val="sk-SK"/>
        </w:rPr>
        <w:t>citabín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súčasne s antikoagulanciami kumarínového typu sa musia pravidelne vyšetrovať z hľadiska odchýlok koagulačných parametrov (PT alebo INR), a podľa toho upraviť dávky antikoagulancia.</w:t>
      </w:r>
    </w:p>
    <w:p w14:paraId="046B8C12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CE937AD" w14:textId="14217FE1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Fenytoín: </w:t>
      </w:r>
      <w:r w:rsidRPr="00C83F7F">
        <w:rPr>
          <w:sz w:val="22"/>
          <w:szCs w:val="22"/>
          <w:lang w:val="sk-SK"/>
        </w:rPr>
        <w:t xml:space="preserve">počas súbežnej liečby </w:t>
      </w:r>
      <w:r w:rsidR="005D75D1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 xml:space="preserve">a fenytoínom sa v jednotlivých prípadoch opísali zvýšené plazmatické koncentrácie fenytoínu aj s následnými príznakmi intoxikácie fenytoínom. Pacienti užívajúci </w:t>
      </w:r>
      <w:r w:rsidR="006B2D82" w:rsidRPr="00C83F7F">
        <w:rPr>
          <w:color w:val="000000"/>
          <w:sz w:val="22"/>
          <w:szCs w:val="22"/>
          <w:lang w:val="sk-SK"/>
        </w:rPr>
        <w:t>k</w:t>
      </w:r>
      <w:r w:rsidR="00D10F59">
        <w:rPr>
          <w:color w:val="000000"/>
          <w:sz w:val="22"/>
          <w:szCs w:val="22"/>
          <w:lang w:val="sk-SK"/>
        </w:rPr>
        <w:t>a</w:t>
      </w:r>
      <w:r w:rsidR="006B2D82" w:rsidRPr="00C83F7F">
        <w:rPr>
          <w:color w:val="000000"/>
          <w:sz w:val="22"/>
          <w:szCs w:val="22"/>
          <w:lang w:val="sk-SK"/>
        </w:rPr>
        <w:t>p</w:t>
      </w:r>
      <w:r w:rsidR="00D10F59">
        <w:rPr>
          <w:color w:val="000000"/>
          <w:sz w:val="22"/>
          <w:szCs w:val="22"/>
          <w:lang w:val="sk-SK"/>
        </w:rPr>
        <w:t>e</w:t>
      </w:r>
      <w:r w:rsidR="006B2D82" w:rsidRPr="00C83F7F">
        <w:rPr>
          <w:color w:val="000000"/>
          <w:sz w:val="22"/>
          <w:szCs w:val="22"/>
          <w:lang w:val="sk-SK"/>
        </w:rPr>
        <w:t>citabín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v kombinácii s fenytoínom sa musia pravidelne sledovať z hľadiska zvýšených hladín fenytoínu v plazme.</w:t>
      </w:r>
    </w:p>
    <w:p w14:paraId="0A09B6FA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BD411B" w14:textId="2C89DB9F" w:rsidR="00317033" w:rsidRPr="00C83F7F" w:rsidRDefault="009765CB" w:rsidP="00947A2D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,Italic"/>
          <w:i/>
          <w:iCs/>
          <w:sz w:val="22"/>
          <w:szCs w:val="22"/>
          <w:lang w:val="sk-SK" w:eastAsia="el-GR"/>
        </w:rPr>
        <w:t>Kyselina listová/kyselina folinová</w:t>
      </w:r>
      <w:r w:rsidR="00317033" w:rsidRPr="00C83F7F">
        <w:rPr>
          <w:i/>
          <w:iCs/>
          <w:sz w:val="22"/>
          <w:szCs w:val="22"/>
          <w:lang w:val="sk-SK"/>
        </w:rPr>
        <w:t xml:space="preserve">: </w:t>
      </w:r>
      <w:r w:rsidR="00317033" w:rsidRPr="00C83F7F">
        <w:rPr>
          <w:sz w:val="22"/>
          <w:szCs w:val="22"/>
          <w:lang w:val="sk-SK"/>
        </w:rPr>
        <w:t xml:space="preserve">v štúdii kombinovanej liečby </w:t>
      </w:r>
      <w:r w:rsidR="005D75D1" w:rsidRPr="00C83F7F">
        <w:rPr>
          <w:sz w:val="22"/>
          <w:szCs w:val="22"/>
          <w:lang w:val="sk-SK"/>
        </w:rPr>
        <w:t xml:space="preserve">kapecitabínom </w:t>
      </w:r>
      <w:r w:rsidR="00317033" w:rsidRPr="00C83F7F">
        <w:rPr>
          <w:sz w:val="22"/>
          <w:szCs w:val="22"/>
          <w:lang w:val="sk-SK"/>
        </w:rPr>
        <w:t xml:space="preserve">a kyselinou listovou sa zistilo, že kyselina listová významnejšie neovplyvňuje farmakokinetiku </w:t>
      </w:r>
      <w:r w:rsidR="006B2D82" w:rsidRPr="00C83F7F">
        <w:rPr>
          <w:color w:val="000000"/>
          <w:sz w:val="22"/>
          <w:szCs w:val="22"/>
          <w:lang w:val="sk-SK"/>
        </w:rPr>
        <w:t>kepacitabínu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="00317033" w:rsidRPr="00C83F7F">
        <w:rPr>
          <w:sz w:val="22"/>
          <w:szCs w:val="22"/>
          <w:lang w:val="sk-SK"/>
        </w:rPr>
        <w:t>a</w:t>
      </w:r>
      <w:r w:rsidR="00516650" w:rsidRPr="00C83F7F">
        <w:rPr>
          <w:sz w:val="22"/>
          <w:szCs w:val="22"/>
          <w:lang w:val="sk-SK"/>
        </w:rPr>
        <w:t> </w:t>
      </w:r>
      <w:r w:rsidR="006B2D82" w:rsidRPr="00C83F7F">
        <w:rPr>
          <w:sz w:val="22"/>
          <w:szCs w:val="22"/>
          <w:lang w:val="sk-SK"/>
        </w:rPr>
        <w:t xml:space="preserve">jeho </w:t>
      </w:r>
      <w:r w:rsidR="00317033" w:rsidRPr="00C83F7F">
        <w:rPr>
          <w:sz w:val="22"/>
          <w:szCs w:val="22"/>
          <w:lang w:val="sk-SK"/>
        </w:rPr>
        <w:t xml:space="preserve">metabolitov. Na druhej strane má kyselina listová vplyv na farmakodynamiku </w:t>
      </w:r>
      <w:r w:rsidR="005D75D1" w:rsidRPr="00C83F7F">
        <w:rPr>
          <w:sz w:val="22"/>
          <w:szCs w:val="22"/>
          <w:lang w:val="sk-SK"/>
        </w:rPr>
        <w:t xml:space="preserve">kapecitabínu </w:t>
      </w:r>
      <w:r w:rsidR="00317033" w:rsidRPr="00C83F7F">
        <w:rPr>
          <w:sz w:val="22"/>
          <w:szCs w:val="22"/>
          <w:lang w:val="sk-SK"/>
        </w:rPr>
        <w:t xml:space="preserve">a kyselina listová môže zvýšiť toxicitu </w:t>
      </w:r>
      <w:r w:rsidR="005D75D1" w:rsidRPr="00C83F7F">
        <w:rPr>
          <w:sz w:val="22"/>
          <w:szCs w:val="22"/>
          <w:lang w:val="sk-SK"/>
        </w:rPr>
        <w:t>kapecitabínu</w:t>
      </w:r>
      <w:r w:rsidR="00317033" w:rsidRPr="00C83F7F">
        <w:rPr>
          <w:sz w:val="22"/>
          <w:szCs w:val="22"/>
          <w:lang w:val="sk-SK"/>
        </w:rPr>
        <w:t xml:space="preserve">: maximálna tolerovaná dávka (MTD) </w:t>
      </w:r>
      <w:r w:rsidR="005D75D1" w:rsidRPr="00C83F7F">
        <w:rPr>
          <w:sz w:val="22"/>
          <w:szCs w:val="22"/>
          <w:lang w:val="sk-SK"/>
        </w:rPr>
        <w:t xml:space="preserve">kapecitabínu </w:t>
      </w:r>
      <w:r w:rsidR="00317033" w:rsidRPr="00C83F7F">
        <w:rPr>
          <w:sz w:val="22"/>
          <w:szCs w:val="22"/>
          <w:lang w:val="sk-SK"/>
        </w:rPr>
        <w:t>podávaná samostatne v rámci intermitentnej liečby je</w:t>
      </w:r>
      <w:r w:rsidR="007255ED" w:rsidRPr="00C83F7F">
        <w:rPr>
          <w:sz w:val="22"/>
          <w:szCs w:val="22"/>
          <w:lang w:val="sk-SK"/>
        </w:rPr>
        <w:t xml:space="preserve"> </w:t>
      </w:r>
      <w:r w:rsidR="00317033" w:rsidRPr="00C83F7F">
        <w:rPr>
          <w:sz w:val="22"/>
          <w:szCs w:val="22"/>
          <w:lang w:val="sk-SK"/>
        </w:rPr>
        <w:t>3 000 mg/m</w:t>
      </w:r>
      <w:r w:rsidR="00317033" w:rsidRPr="00C83F7F">
        <w:rPr>
          <w:sz w:val="22"/>
          <w:szCs w:val="22"/>
          <w:vertAlign w:val="superscript"/>
          <w:lang w:val="sk-SK"/>
        </w:rPr>
        <w:t>2</w:t>
      </w:r>
      <w:r w:rsidR="00317033" w:rsidRPr="00C83F7F">
        <w:rPr>
          <w:sz w:val="22"/>
          <w:szCs w:val="22"/>
          <w:lang w:val="sk-SK"/>
        </w:rPr>
        <w:t xml:space="preserve"> denne, kým v</w:t>
      </w:r>
      <w:r w:rsidR="00516650" w:rsidRPr="00C83F7F">
        <w:rPr>
          <w:sz w:val="22"/>
          <w:szCs w:val="22"/>
          <w:lang w:val="sk-SK"/>
        </w:rPr>
        <w:t> </w:t>
      </w:r>
      <w:r w:rsidR="00317033" w:rsidRPr="00C83F7F">
        <w:rPr>
          <w:sz w:val="22"/>
          <w:szCs w:val="22"/>
          <w:lang w:val="sk-SK"/>
        </w:rPr>
        <w:t>kombinácii s kyselinou listovou (2 x 30 mg p.o. denne) je táto hodnota iba</w:t>
      </w:r>
      <w:r w:rsidR="007255ED" w:rsidRPr="00C83F7F">
        <w:rPr>
          <w:sz w:val="22"/>
          <w:szCs w:val="22"/>
          <w:lang w:val="sk-SK"/>
        </w:rPr>
        <w:t xml:space="preserve"> </w:t>
      </w:r>
      <w:r w:rsidR="00317033" w:rsidRPr="00C83F7F">
        <w:rPr>
          <w:sz w:val="22"/>
          <w:szCs w:val="22"/>
          <w:lang w:val="sk-SK"/>
        </w:rPr>
        <w:t>2 000 mg/m</w:t>
      </w:r>
      <w:r w:rsidR="00317033" w:rsidRPr="00C83F7F">
        <w:rPr>
          <w:sz w:val="22"/>
          <w:szCs w:val="22"/>
          <w:vertAlign w:val="superscript"/>
          <w:lang w:val="sk-SK"/>
        </w:rPr>
        <w:t>2</w:t>
      </w:r>
      <w:r w:rsidR="00317033" w:rsidRPr="00C83F7F">
        <w:rPr>
          <w:sz w:val="22"/>
          <w:szCs w:val="22"/>
          <w:lang w:val="sk-SK"/>
        </w:rPr>
        <w:t xml:space="preserve"> </w:t>
      </w:r>
      <w:r w:rsidR="00317033" w:rsidRPr="00C83F7F">
        <w:rPr>
          <w:color w:val="000000"/>
          <w:sz w:val="22"/>
          <w:szCs w:val="22"/>
          <w:lang w:val="sk-SK"/>
        </w:rPr>
        <w:t>denne.</w:t>
      </w:r>
      <w:r w:rsidR="00947A2D" w:rsidRPr="00C83F7F">
        <w:rPr>
          <w:color w:val="000000"/>
          <w:sz w:val="22"/>
          <w:szCs w:val="22"/>
          <w:lang w:val="sk-SK"/>
        </w:rPr>
        <w:t xml:space="preserve"> </w:t>
      </w:r>
      <w:r w:rsidR="00947A2D" w:rsidRPr="00C83F7F">
        <w:rPr>
          <w:rFonts w:eastAsia="TimesNewRoman"/>
          <w:color w:val="000000"/>
          <w:sz w:val="22"/>
          <w:szCs w:val="22"/>
          <w:lang w:val="sk-SK" w:eastAsia="el-GR"/>
        </w:rPr>
        <w:t>Zvýšená toxicita môže súvisieť s prechodom z režimu 5-FU/LV na režim s kapecitabínom. Môže to tiež súvisieť so suplementáciou kyseliny listovej pri deficite folátov v dôsledku podobnosti medzi kyselinou folinovou a kyselinou listovou.</w:t>
      </w:r>
    </w:p>
    <w:p w14:paraId="447769B2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41EB70B" w14:textId="2134F58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Sorivudín a analógy: </w:t>
      </w:r>
      <w:r w:rsidRPr="00C83F7F">
        <w:rPr>
          <w:sz w:val="22"/>
          <w:szCs w:val="22"/>
          <w:lang w:val="sk-SK"/>
        </w:rPr>
        <w:t>pozorovala sa klinicky významná lieková interakcia medzi sorivudínom</w:t>
      </w:r>
      <w:r w:rsidR="00191E36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a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5-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FU vyplývajúca z inhibície dihydropyrimidíndehydrogenázy navodenej sorivudínom. Táto interakcia vedie k</w:t>
      </w:r>
      <w:r w:rsidR="00443C0A" w:rsidRPr="00C83F7F">
        <w:rPr>
          <w:sz w:val="22"/>
          <w:szCs w:val="22"/>
          <w:lang w:val="sk-SK"/>
        </w:rPr>
        <w:t>u</w:t>
      </w:r>
      <w:r w:rsidRPr="00C83F7F">
        <w:rPr>
          <w:sz w:val="22"/>
          <w:szCs w:val="22"/>
          <w:lang w:val="sk-SK"/>
        </w:rPr>
        <w:t xml:space="preserve"> vyššej toxicite fluórpyrimidínov a môže byť fatálna. Z toho dôvodu sa </w:t>
      </w:r>
      <w:r w:rsidR="006B2D82" w:rsidRPr="00C83F7F">
        <w:rPr>
          <w:color w:val="000000"/>
          <w:sz w:val="22"/>
          <w:szCs w:val="22"/>
          <w:lang w:val="sk-SK"/>
        </w:rPr>
        <w:t>k</w:t>
      </w:r>
      <w:r w:rsidR="00D10F59">
        <w:rPr>
          <w:color w:val="000000"/>
          <w:sz w:val="22"/>
          <w:szCs w:val="22"/>
          <w:lang w:val="sk-SK"/>
        </w:rPr>
        <w:t>a</w:t>
      </w:r>
      <w:r w:rsidR="006B2D82" w:rsidRPr="00C83F7F">
        <w:rPr>
          <w:color w:val="000000"/>
          <w:sz w:val="22"/>
          <w:szCs w:val="22"/>
          <w:lang w:val="sk-SK"/>
        </w:rPr>
        <w:t>p</w:t>
      </w:r>
      <w:r w:rsidR="00D10F59">
        <w:rPr>
          <w:color w:val="000000"/>
          <w:sz w:val="22"/>
          <w:szCs w:val="22"/>
          <w:lang w:val="sk-SK"/>
        </w:rPr>
        <w:t>e</w:t>
      </w:r>
      <w:r w:rsidR="006B2D82" w:rsidRPr="00C83F7F">
        <w:rPr>
          <w:color w:val="000000"/>
          <w:sz w:val="22"/>
          <w:szCs w:val="22"/>
          <w:lang w:val="sk-SK"/>
        </w:rPr>
        <w:t>citabín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nesmie podávať súbežne so sorivudínom alebo s jeho chemicky príbuznými analógmi, napr. brivudínom (pozri časť 4.3). Medzi ukončením liečby sorivudínom alebo jeho chemicky príbuznými analógmi, napr. brivudínom, a začiatkom liečby </w:t>
      </w:r>
      <w:r w:rsidR="006B2D82" w:rsidRPr="00C83F7F">
        <w:rPr>
          <w:color w:val="000000"/>
          <w:sz w:val="22"/>
          <w:szCs w:val="22"/>
          <w:lang w:val="sk-SK"/>
        </w:rPr>
        <w:t>kepacitabínom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musia uplynúť minimálne 4 týždne.</w:t>
      </w:r>
    </w:p>
    <w:p w14:paraId="1960F19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222552" w14:textId="07BBF285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Antacidá: </w:t>
      </w:r>
      <w:r w:rsidRPr="00C83F7F">
        <w:rPr>
          <w:sz w:val="22"/>
          <w:szCs w:val="22"/>
          <w:lang w:val="sk-SK"/>
        </w:rPr>
        <w:t>skúmal sa vplyv antacíd, ktoré obsahujú hydroxid hlinitý a hydroxid horečnatý na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farmakokinetiku kapecitabínu. Plazmatické koncentrácie kapecitabínu a jedného metabolitu</w:t>
      </w:r>
      <w:r w:rsidR="00191E36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(5'-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DFCR) sa mierne zvýšili, avšak nezistil sa žiadny vplyv na 3 hlavné metabolity kapecitabínu</w:t>
      </w:r>
      <w:r w:rsidR="00191E36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(5'-DFUR, 5-FU a FBAL).</w:t>
      </w:r>
    </w:p>
    <w:p w14:paraId="33FE9C59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C0C8D7" w14:textId="7A84594E" w:rsidR="007B2B2B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Alopurinol: </w:t>
      </w:r>
      <w:r w:rsidRPr="00C83F7F">
        <w:rPr>
          <w:sz w:val="22"/>
          <w:szCs w:val="22"/>
          <w:lang w:val="sk-SK"/>
        </w:rPr>
        <w:t>pozorovali sa interakcie 5-FU s alopurinolom, ktoré viedli k možnej nižšej účinnosti</w:t>
      </w:r>
      <w:r w:rsidR="00976D44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5-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FU. Alopurinol sa nemá podávať sú</w:t>
      </w:r>
      <w:r w:rsidR="00443C0A" w:rsidRPr="00C83F7F">
        <w:rPr>
          <w:sz w:val="22"/>
          <w:szCs w:val="22"/>
          <w:lang w:val="sk-SK"/>
        </w:rPr>
        <w:t>bež</w:t>
      </w:r>
      <w:r w:rsidR="00D10F59">
        <w:rPr>
          <w:sz w:val="22"/>
          <w:szCs w:val="22"/>
          <w:lang w:val="sk-SK"/>
        </w:rPr>
        <w:t>ne</w:t>
      </w:r>
      <w:r w:rsidRPr="00C83F7F">
        <w:rPr>
          <w:sz w:val="22"/>
          <w:szCs w:val="22"/>
          <w:lang w:val="sk-SK"/>
        </w:rPr>
        <w:t xml:space="preserve"> s </w:t>
      </w:r>
      <w:r w:rsidR="006B2D82" w:rsidRPr="00C83F7F">
        <w:rPr>
          <w:color w:val="000000"/>
          <w:sz w:val="22"/>
          <w:szCs w:val="22"/>
          <w:lang w:val="sk-SK"/>
        </w:rPr>
        <w:t>k</w:t>
      </w:r>
      <w:r w:rsidR="00D10F59">
        <w:rPr>
          <w:color w:val="000000"/>
          <w:sz w:val="22"/>
          <w:szCs w:val="22"/>
          <w:lang w:val="sk-SK"/>
        </w:rPr>
        <w:t>a</w:t>
      </w:r>
      <w:r w:rsidR="006B2D82" w:rsidRPr="00C83F7F">
        <w:rPr>
          <w:color w:val="000000"/>
          <w:sz w:val="22"/>
          <w:szCs w:val="22"/>
          <w:lang w:val="sk-SK"/>
        </w:rPr>
        <w:t>p</w:t>
      </w:r>
      <w:r w:rsidR="00D10F59">
        <w:rPr>
          <w:color w:val="000000"/>
          <w:sz w:val="22"/>
          <w:szCs w:val="22"/>
          <w:lang w:val="sk-SK"/>
        </w:rPr>
        <w:t>e</w:t>
      </w:r>
      <w:r w:rsidR="006B2D82" w:rsidRPr="00C83F7F">
        <w:rPr>
          <w:color w:val="000000"/>
          <w:sz w:val="22"/>
          <w:szCs w:val="22"/>
          <w:lang w:val="sk-SK"/>
        </w:rPr>
        <w:t>citabínom</w:t>
      </w:r>
      <w:r w:rsidRPr="00C83F7F">
        <w:rPr>
          <w:sz w:val="22"/>
          <w:szCs w:val="22"/>
          <w:lang w:val="sk-SK"/>
        </w:rPr>
        <w:t>.</w:t>
      </w:r>
    </w:p>
    <w:p w14:paraId="03E5B707" w14:textId="77777777" w:rsidR="007B2B2B" w:rsidRPr="00C83F7F" w:rsidRDefault="007B2B2B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AB2FA2" w14:textId="337E4D22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Interferón alfa: </w:t>
      </w:r>
      <w:r w:rsidRPr="00C83F7F">
        <w:rPr>
          <w:sz w:val="22"/>
          <w:szCs w:val="22"/>
          <w:lang w:val="sk-SK"/>
        </w:rPr>
        <w:t xml:space="preserve">hodnota MTD </w:t>
      </w:r>
      <w:r w:rsidR="00CE7367" w:rsidRPr="00C83F7F">
        <w:rPr>
          <w:sz w:val="22"/>
          <w:szCs w:val="22"/>
          <w:lang w:val="sk-SK"/>
        </w:rPr>
        <w:t>kapecitabínu</w:t>
      </w:r>
      <w:r w:rsidR="00443C0A" w:rsidRPr="00C83F7F">
        <w:rPr>
          <w:sz w:val="22"/>
          <w:szCs w:val="22"/>
          <w:lang w:val="sk-SK"/>
        </w:rPr>
        <w:t>,</w:t>
      </w:r>
      <w:r w:rsidR="00CE7367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podávan</w:t>
      </w:r>
      <w:r w:rsidR="00D10F59">
        <w:rPr>
          <w:sz w:val="22"/>
          <w:szCs w:val="22"/>
          <w:lang w:val="sk-SK"/>
        </w:rPr>
        <w:t>é</w:t>
      </w:r>
      <w:r w:rsidR="00443C0A" w:rsidRPr="00C83F7F">
        <w:rPr>
          <w:sz w:val="22"/>
          <w:szCs w:val="22"/>
          <w:lang w:val="sk-SK"/>
        </w:rPr>
        <w:t>ho</w:t>
      </w:r>
      <w:r w:rsidRPr="00C83F7F">
        <w:rPr>
          <w:sz w:val="22"/>
          <w:szCs w:val="22"/>
          <w:lang w:val="sk-SK"/>
        </w:rPr>
        <w:t xml:space="preserve"> v kombinácii s interferónom alfa-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2a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(3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MIU/m</w:t>
      </w:r>
      <w:r w:rsidRPr="00C83F7F">
        <w:rPr>
          <w:sz w:val="22"/>
          <w:szCs w:val="22"/>
          <w:vertAlign w:val="superscript"/>
          <w:lang w:val="sk-SK"/>
        </w:rPr>
        <w:t>2</w:t>
      </w:r>
      <w:r w:rsidR="00472E69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denne) bola 2 000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, kým hodnota MTD </w:t>
      </w:r>
      <w:r w:rsidR="00CE7367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v monoterapii bola 3 000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denne.</w:t>
      </w:r>
    </w:p>
    <w:p w14:paraId="284F142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CC4B56A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Rádioterapia: </w:t>
      </w:r>
      <w:r w:rsidRPr="00C83F7F">
        <w:rPr>
          <w:sz w:val="22"/>
          <w:szCs w:val="22"/>
          <w:lang w:val="sk-SK"/>
        </w:rPr>
        <w:t xml:space="preserve">MTD </w:t>
      </w:r>
      <w:r w:rsidR="00CE7367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v monoterapii pri prerušovanom režime je 3 000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denne, zatiaľ čo v kombinácii s rádioterapiou rektálneho karcinómu je MTD </w:t>
      </w:r>
      <w:r w:rsidR="00CE7367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2 000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denne pri kontinuálnom režime alebo pri dennom podávaní od pondelka do piatku počas 6-týždňovej liečby rádioterapiou.</w:t>
      </w:r>
    </w:p>
    <w:p w14:paraId="2170ABE1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A7EA0B0" w14:textId="0F61D730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Oxaliplatina: </w:t>
      </w:r>
      <w:r w:rsidRPr="00C83F7F">
        <w:rPr>
          <w:sz w:val="22"/>
          <w:szCs w:val="22"/>
          <w:lang w:val="sk-SK"/>
        </w:rPr>
        <w:t>keď sa kapecitabín podával v kombinácii s oxaliplatinou alebo v kombinácii</w:t>
      </w:r>
      <w:r w:rsidR="00472E69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s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oxaliplatinou a bevacizumabom, nedošlo k žiadnym klinicky významným rozdielom v expozícii kapecitabínu alebo jeho metabolitov, voľnej (neviazanej) platine alebo celkovej platine.</w:t>
      </w:r>
    </w:p>
    <w:p w14:paraId="66E78ADA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BC6C468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lastRenderedPageBreak/>
        <w:t xml:space="preserve">Bevacizumab: </w:t>
      </w:r>
      <w:r w:rsidRPr="00C83F7F">
        <w:rPr>
          <w:sz w:val="22"/>
          <w:szCs w:val="22"/>
          <w:lang w:val="sk-SK"/>
        </w:rPr>
        <w:t>za prítomnosti oxaliplatiny nemal bevacizumab klinicky významný vplyv na farmakokinetické parametre kapecitabínu alebo jeho metabolitov.</w:t>
      </w:r>
    </w:p>
    <w:p w14:paraId="7369A33E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6A87D15" w14:textId="1F77F28B" w:rsidR="00317033" w:rsidRPr="00C83F7F" w:rsidRDefault="00317033" w:rsidP="000C579A">
      <w:pPr>
        <w:widowControl w:val="0"/>
        <w:autoSpaceDE w:val="0"/>
        <w:autoSpaceDN w:val="0"/>
        <w:adjustRightInd w:val="0"/>
        <w:ind w:firstLine="1"/>
        <w:rPr>
          <w:sz w:val="22"/>
          <w:szCs w:val="22"/>
          <w:lang w:val="sk-SK"/>
        </w:rPr>
      </w:pPr>
      <w:r w:rsidRPr="00C83F7F">
        <w:rPr>
          <w:sz w:val="22"/>
          <w:szCs w:val="22"/>
          <w:u w:val="single"/>
          <w:lang w:val="sk-SK"/>
        </w:rPr>
        <w:t>Interakcie s jedlom</w:t>
      </w:r>
      <w:r w:rsidR="000C579A" w:rsidRPr="00C83F7F">
        <w:rPr>
          <w:sz w:val="22"/>
          <w:szCs w:val="22"/>
          <w:lang w:val="sk-SK"/>
        </w:rPr>
        <w:t xml:space="preserve">: </w:t>
      </w:r>
      <w:r w:rsidRPr="00C83F7F">
        <w:rPr>
          <w:sz w:val="22"/>
          <w:szCs w:val="22"/>
          <w:lang w:val="sk-SK"/>
        </w:rPr>
        <w:t xml:space="preserve">Vo všetkých klinických štúdiách dostávali pacienti </w:t>
      </w:r>
      <w:r w:rsidR="00CE7367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>do 30 minút po</w:t>
      </w:r>
      <w:r w:rsidR="00516650" w:rsidRP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jedle. Keďže súčasné údaje o bezpečnosti a účinnosti sú založené na podávaní </w:t>
      </w:r>
      <w:r w:rsidR="006B2D82" w:rsidRPr="00C83F7F">
        <w:rPr>
          <w:color w:val="000000"/>
          <w:sz w:val="22"/>
          <w:szCs w:val="22"/>
          <w:lang w:val="sk-SK"/>
        </w:rPr>
        <w:t>kepacitabínu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s</w:t>
      </w:r>
      <w:r w:rsidR="00516650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jedlom, odporúča sa užívať tento liek spolu s jedlom. Podávanie lieku s jedlom znižuje rýchlosť vstrebávania kapecitabínu (pozri časť 5.2).</w:t>
      </w:r>
    </w:p>
    <w:p w14:paraId="78D35655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EA3F490" w14:textId="77777777" w:rsidR="00317033" w:rsidRPr="00C83F7F" w:rsidRDefault="00317033" w:rsidP="00FB2845">
      <w:pPr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Fertilita, gravidita a laktácia</w:t>
      </w:r>
    </w:p>
    <w:p w14:paraId="52EA118D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8B034D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Ženy vo fertilnom veku</w:t>
      </w:r>
      <w:r w:rsidR="006B2D82" w:rsidRPr="00C83F7F">
        <w:rPr>
          <w:sz w:val="22"/>
          <w:szCs w:val="22"/>
          <w:u w:val="single"/>
          <w:lang w:val="sk-SK"/>
        </w:rPr>
        <w:t xml:space="preserve">/ </w:t>
      </w:r>
      <w:r w:rsidR="00E45CA3" w:rsidRPr="00C83F7F">
        <w:rPr>
          <w:sz w:val="22"/>
          <w:szCs w:val="22"/>
          <w:u w:val="single"/>
          <w:lang w:val="sk-SK"/>
        </w:rPr>
        <w:t>A</w:t>
      </w:r>
      <w:r w:rsidR="006B2D82" w:rsidRPr="00C83F7F">
        <w:rPr>
          <w:sz w:val="22"/>
          <w:szCs w:val="22"/>
          <w:u w:val="single"/>
          <w:lang w:val="sk-SK"/>
        </w:rPr>
        <w:t>ntikoncepcia u mužov a žien</w:t>
      </w:r>
    </w:p>
    <w:p w14:paraId="1AE9495F" w14:textId="77777777" w:rsidR="00317033" w:rsidRPr="00C83F7F" w:rsidRDefault="00317033" w:rsidP="006B2D8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Ženy vo fertilnom veku sa musia poučiť o nutnosti dodržiavania antikoncepcie počas liečby </w:t>
      </w:r>
      <w:r w:rsidR="001B4917" w:rsidRPr="00C83F7F">
        <w:rPr>
          <w:sz w:val="22"/>
          <w:szCs w:val="22"/>
          <w:lang w:val="sk-SK"/>
        </w:rPr>
        <w:t>kapecitabínom</w:t>
      </w:r>
      <w:r w:rsidRPr="00C83F7F">
        <w:rPr>
          <w:sz w:val="22"/>
          <w:szCs w:val="22"/>
          <w:lang w:val="sk-SK"/>
        </w:rPr>
        <w:t xml:space="preserve">. Ak počas užívania </w:t>
      </w:r>
      <w:r w:rsidR="001B4917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pacientka otehotnie, musí sa jej vysvetliť možné riziko pre plod.</w:t>
      </w:r>
      <w:r w:rsidR="006B2D82" w:rsidRPr="00C83F7F">
        <w:rPr>
          <w:sz w:val="22"/>
          <w:szCs w:val="22"/>
          <w:lang w:val="sk-SK"/>
        </w:rPr>
        <w:t xml:space="preserve"> Počas liečby sa má používať efektívna metóda antikoncepcie.</w:t>
      </w:r>
    </w:p>
    <w:p w14:paraId="02B08CD2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16F67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Gravidita</w:t>
      </w:r>
    </w:p>
    <w:p w14:paraId="6DF9B9C0" w14:textId="57A0756B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U gravidných žien sa nevykonali žiadne štúdie s </w:t>
      </w:r>
      <w:r w:rsidR="001B4917" w:rsidRPr="00C83F7F">
        <w:rPr>
          <w:sz w:val="22"/>
          <w:szCs w:val="22"/>
          <w:lang w:val="sk-SK"/>
        </w:rPr>
        <w:t>kapecitabínom</w:t>
      </w:r>
      <w:r w:rsidRPr="00C83F7F">
        <w:rPr>
          <w:sz w:val="22"/>
          <w:szCs w:val="22"/>
          <w:lang w:val="sk-SK"/>
        </w:rPr>
        <w:t xml:space="preserve">; je však možné, že ak sa </w:t>
      </w:r>
      <w:r w:rsidR="001B4917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 xml:space="preserve">podá gravidným ženám, môže zapríčiniť poškodenie plodu. V štúdiách reprodukčnej toxicity na zvieratách sa ukázalo, že </w:t>
      </w:r>
      <w:r w:rsidR="001B4917" w:rsidRPr="00C83F7F">
        <w:rPr>
          <w:sz w:val="22"/>
          <w:szCs w:val="22"/>
          <w:lang w:val="sk-SK"/>
        </w:rPr>
        <w:t xml:space="preserve">podávanie kapecitabínu </w:t>
      </w:r>
      <w:r w:rsidRPr="00C83F7F">
        <w:rPr>
          <w:sz w:val="22"/>
          <w:szCs w:val="22"/>
          <w:lang w:val="sk-SK"/>
        </w:rPr>
        <w:t>viedl</w:t>
      </w:r>
      <w:r w:rsidR="001B4917" w:rsidRPr="00C83F7F">
        <w:rPr>
          <w:sz w:val="22"/>
          <w:szCs w:val="22"/>
          <w:lang w:val="sk-SK"/>
        </w:rPr>
        <w:t>o</w:t>
      </w:r>
      <w:r w:rsidRPr="00C83F7F">
        <w:rPr>
          <w:sz w:val="22"/>
          <w:szCs w:val="22"/>
          <w:lang w:val="sk-SK"/>
        </w:rPr>
        <w:t xml:space="preserve"> k embryotoxicite a</w:t>
      </w:r>
      <w:r w:rsidR="00516650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teratogenicite. </w:t>
      </w:r>
      <w:r w:rsidR="00990570" w:rsidRPr="00C83F7F">
        <w:rPr>
          <w:sz w:val="22"/>
          <w:szCs w:val="22"/>
          <w:lang w:val="sk-SK"/>
        </w:rPr>
        <w:t>Kapecitabín je počas gravidity kontraindikovaný.</w:t>
      </w:r>
    </w:p>
    <w:p w14:paraId="2057E407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D39BF6" w14:textId="41C5692E" w:rsidR="00317033" w:rsidRPr="00C83F7F" w:rsidRDefault="00443C0A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Dojčenie</w:t>
      </w:r>
    </w:p>
    <w:p w14:paraId="5F1307C7" w14:textId="4D60E559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Nie je známe, či sa </w:t>
      </w:r>
      <w:r w:rsidR="0087618E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>vylučuje do materského mlieka u ľudí. U dojčiacich myší sa v</w:t>
      </w:r>
      <w:r w:rsidR="00516650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mlieku zistili vysoké hladiny kapecitabínu a jeho metabolitov. Počas liečby </w:t>
      </w:r>
      <w:r w:rsidR="0087618E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sa musí prerušiť dojčenie.</w:t>
      </w:r>
    </w:p>
    <w:p w14:paraId="781E4E35" w14:textId="77777777" w:rsidR="00317033" w:rsidRPr="00C83F7F" w:rsidRDefault="00317033" w:rsidP="00D9498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DAB3D31" w14:textId="77777777" w:rsidR="006B2D82" w:rsidRPr="00C83F7F" w:rsidRDefault="006B2D82" w:rsidP="006B2D8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Fertilita</w:t>
      </w:r>
    </w:p>
    <w:p w14:paraId="6D57570A" w14:textId="24778230" w:rsidR="006B2D82" w:rsidRPr="00C83F7F" w:rsidRDefault="006B2D82" w:rsidP="006B2D8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Nie sú k dispozícii žiadne údaje o vplyve </w:t>
      </w:r>
      <w:r w:rsidR="00443C0A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na fertilitu. Do</w:t>
      </w:r>
      <w:r w:rsidR="00516650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pivotných štúdií s </w:t>
      </w:r>
      <w:r w:rsidR="00443C0A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boli zaradené ženy v plodnom veku a</w:t>
      </w:r>
      <w:r w:rsidR="00516650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muži, iba ak sa dohodli na používaní prijateľného spôsobu antikoncepcie na zabránenie otehotnenia počas trvania štúdie a po primeranú dobu po liečbe. </w:t>
      </w:r>
    </w:p>
    <w:p w14:paraId="4AB31D75" w14:textId="77777777" w:rsidR="006B2D82" w:rsidRPr="00C83F7F" w:rsidRDefault="006B2D82" w:rsidP="006B2D8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Štúdie na zvieratách preukázali reprodukčnú toxicitu (pozri časť 5.3).</w:t>
      </w:r>
    </w:p>
    <w:p w14:paraId="547DF109" w14:textId="77777777" w:rsidR="006B2D82" w:rsidRPr="00C83F7F" w:rsidRDefault="006B2D82" w:rsidP="006B2D8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E94D6CF" w14:textId="77777777" w:rsidR="00317033" w:rsidRPr="00C83F7F" w:rsidRDefault="00317033" w:rsidP="00FB2845">
      <w:pPr>
        <w:widowControl w:val="0"/>
        <w:numPr>
          <w:ilvl w:val="0"/>
          <w:numId w:val="9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Ovplyvnenie schopnosti viesť vozidlá a obsluhovať stroje</w:t>
      </w:r>
    </w:p>
    <w:p w14:paraId="2F01BCA9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0AF63CD" w14:textId="77777777" w:rsidR="00317033" w:rsidRPr="00C83F7F" w:rsidRDefault="00CF50A0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K</w:t>
      </w:r>
      <w:r w:rsidR="0087618E" w:rsidRPr="00C83F7F">
        <w:rPr>
          <w:sz w:val="22"/>
          <w:szCs w:val="22"/>
          <w:lang w:val="sk-SK"/>
        </w:rPr>
        <w:t xml:space="preserve">apecitabín </w:t>
      </w:r>
      <w:r w:rsidR="00317033" w:rsidRPr="00C83F7F">
        <w:rPr>
          <w:sz w:val="22"/>
          <w:szCs w:val="22"/>
          <w:lang w:val="sk-SK"/>
        </w:rPr>
        <w:t xml:space="preserve">má malý alebo mierny vplyv na schopnosť viesť vozidlá a obsluhovať stroje. </w:t>
      </w:r>
      <w:r w:rsidR="0087618E" w:rsidRPr="00C83F7F">
        <w:rPr>
          <w:sz w:val="22"/>
          <w:szCs w:val="22"/>
          <w:lang w:val="sk-SK"/>
        </w:rPr>
        <w:t xml:space="preserve">Kapecitabín </w:t>
      </w:r>
      <w:r w:rsidR="00317033" w:rsidRPr="00C83F7F">
        <w:rPr>
          <w:sz w:val="22"/>
          <w:szCs w:val="22"/>
          <w:lang w:val="sk-SK"/>
        </w:rPr>
        <w:t>môže vyvolať závrat, únavu a nevoľnosť.</w:t>
      </w:r>
    </w:p>
    <w:p w14:paraId="1394A97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35BC41" w14:textId="77777777" w:rsidR="00317033" w:rsidRPr="00C83F7F" w:rsidRDefault="00317033" w:rsidP="00FB2845">
      <w:pPr>
        <w:widowControl w:val="0"/>
        <w:numPr>
          <w:ilvl w:val="0"/>
          <w:numId w:val="10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Nežiaduce účinky</w:t>
      </w:r>
    </w:p>
    <w:p w14:paraId="2D83DFC8" w14:textId="77777777" w:rsidR="00317033" w:rsidRPr="00C83F7F" w:rsidRDefault="00317033" w:rsidP="00FC126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72CD12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 Súhrn bezpečnostného profilu</w:t>
      </w:r>
    </w:p>
    <w:p w14:paraId="4D60824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A73F2E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Celkový bezpečnostný profil </w:t>
      </w:r>
      <w:r w:rsidR="0087618E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 xml:space="preserve">vychádza z údajov od viac ako 3 000 pacientov liečených </w:t>
      </w:r>
      <w:r w:rsidR="0087618E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 xml:space="preserve">v monoterapii alebo </w:t>
      </w:r>
      <w:r w:rsidR="0087618E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 xml:space="preserve">v kombinácii s rôznymi chemoterapeutickými režimami pri viacerých indikáciách. </w:t>
      </w:r>
      <w:r w:rsidR="0087618E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>má porovnateľný bezpečnostný profil, keď sa používa v monoterapii metastatického karcinómu prsníka, metastatického kolorektálneho karcinómu a v adjuvantnej liečbe pacientov s karcinómom hrubého čreva. Podrobnosti o najdôležitejších štúdiách, vrátane dizajnu štúdií a hlavných výsledkov účinnosti, pozri časť 5.1.</w:t>
      </w:r>
    </w:p>
    <w:p w14:paraId="1D3B7353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C3E8FC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K najčastejšie hláseným a/alebo klinicky významným nežiaducim reakciám na liek (adverse drug reactions, ADR) v súvislosti s liečbou patrili gastrointestinálne poruchy (najmä hnačka, nevoľnosť,</w:t>
      </w:r>
    </w:p>
    <w:p w14:paraId="52CDB701" w14:textId="405175C5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vracanie, abdominálna bolesť, stomatitída), syndróm ruka-noha (palmárno-plantárna erytrodyzestézia), únava, asténia, anorexia, kardiotoxicita, zvýšená dysfunkcia obličiek u pacientov s už existujúcou </w:t>
      </w:r>
      <w:r w:rsidR="00443C0A" w:rsidRPr="00C83F7F">
        <w:rPr>
          <w:sz w:val="22"/>
          <w:szCs w:val="22"/>
          <w:lang w:val="sk-SK"/>
        </w:rPr>
        <w:t xml:space="preserve">poruchou </w:t>
      </w:r>
      <w:r w:rsidRPr="00C83F7F">
        <w:rPr>
          <w:sz w:val="22"/>
          <w:szCs w:val="22"/>
          <w:lang w:val="sk-SK"/>
        </w:rPr>
        <w:t>funkci</w:t>
      </w:r>
      <w:r w:rsidR="00443C0A" w:rsidRPr="00C83F7F">
        <w:rPr>
          <w:sz w:val="22"/>
          <w:szCs w:val="22"/>
          <w:lang w:val="sk-SK"/>
        </w:rPr>
        <w:t>e</w:t>
      </w:r>
      <w:r w:rsidRPr="00C83F7F">
        <w:rPr>
          <w:sz w:val="22"/>
          <w:szCs w:val="22"/>
          <w:lang w:val="sk-SK"/>
        </w:rPr>
        <w:t xml:space="preserve"> obličiek a trombóza/embólia.</w:t>
      </w:r>
    </w:p>
    <w:p w14:paraId="38F288B1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72B449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Tabuľkový súhrn nežiaducich reakcií</w:t>
      </w:r>
    </w:p>
    <w:p w14:paraId="0A7B210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0AEA81D" w14:textId="535A81FA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ADR, ktoré skúšajúci lekári dávali do možnej, pravdepodobnej alebo nepriamej súvislosti</w:t>
      </w:r>
      <w:r w:rsidR="00472E69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s</w:t>
      </w:r>
      <w:r w:rsidR="00516650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podávaním </w:t>
      </w:r>
      <w:r w:rsidR="0087618E" w:rsidRPr="00C83F7F">
        <w:rPr>
          <w:sz w:val="22"/>
          <w:szCs w:val="22"/>
          <w:lang w:val="sk-SK"/>
        </w:rPr>
        <w:t>kapecitabínu</w:t>
      </w:r>
      <w:r w:rsidRPr="00C83F7F">
        <w:rPr>
          <w:sz w:val="22"/>
          <w:szCs w:val="22"/>
          <w:lang w:val="sk-SK"/>
        </w:rPr>
        <w:t xml:space="preserve">, sú uvedené v tabuľke 4 pre </w:t>
      </w:r>
      <w:r w:rsidR="0087618E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>podávan</w:t>
      </w:r>
      <w:r w:rsidR="0087618E" w:rsidRPr="00C83F7F">
        <w:rPr>
          <w:sz w:val="22"/>
          <w:szCs w:val="22"/>
          <w:lang w:val="sk-SK"/>
        </w:rPr>
        <w:t>ý</w:t>
      </w:r>
      <w:r w:rsidRPr="00C83F7F">
        <w:rPr>
          <w:sz w:val="22"/>
          <w:szCs w:val="22"/>
          <w:lang w:val="sk-SK"/>
        </w:rPr>
        <w:t xml:space="preserve"> v monoterapii a</w:t>
      </w:r>
      <w:r w:rsidR="00516650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v</w:t>
      </w:r>
      <w:r w:rsidR="00516650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tabuľke 5 pre </w:t>
      </w:r>
      <w:r w:rsidR="00990570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>podávan</w:t>
      </w:r>
      <w:r w:rsidR="00990570" w:rsidRPr="00C83F7F">
        <w:rPr>
          <w:sz w:val="22"/>
          <w:szCs w:val="22"/>
          <w:lang w:val="sk-SK"/>
        </w:rPr>
        <w:t xml:space="preserve">ý </w:t>
      </w:r>
      <w:r w:rsidRPr="00C83F7F">
        <w:rPr>
          <w:sz w:val="22"/>
          <w:szCs w:val="22"/>
          <w:lang w:val="sk-SK"/>
        </w:rPr>
        <w:t>v kombinácii s rôznymi chemoterapeutickými režimami pri viacerých indikáciách. Na označenie výskytu ADR sa používajú nasledovné kategórie: veľmi časté (≥ 1/10), časté</w:t>
      </w:r>
      <w:r w:rsidR="00990570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(≥ 1/100</w:t>
      </w:r>
      <w:r w:rsidR="00990570" w:rsidRPr="00C83F7F">
        <w:rPr>
          <w:sz w:val="22"/>
          <w:szCs w:val="22"/>
          <w:lang w:val="sk-SK"/>
        </w:rPr>
        <w:t xml:space="preserve"> </w:t>
      </w:r>
      <w:r w:rsidR="002C237E" w:rsidRPr="00C83F7F">
        <w:rPr>
          <w:sz w:val="22"/>
          <w:szCs w:val="22"/>
          <w:lang w:val="sk-SK"/>
        </w:rPr>
        <w:t>až</w:t>
      </w:r>
      <w:r w:rsidRPr="00C83F7F">
        <w:rPr>
          <w:sz w:val="22"/>
          <w:szCs w:val="22"/>
          <w:lang w:val="sk-SK"/>
        </w:rPr>
        <w:t xml:space="preserve"> &lt; 1/10) a menej časté (≥ 1/1 000</w:t>
      </w:r>
      <w:r w:rsidR="00990570" w:rsidRPr="00C83F7F">
        <w:rPr>
          <w:sz w:val="22"/>
          <w:szCs w:val="22"/>
          <w:lang w:val="sk-SK"/>
        </w:rPr>
        <w:t xml:space="preserve"> </w:t>
      </w:r>
      <w:r w:rsidR="002C237E" w:rsidRPr="00C83F7F">
        <w:rPr>
          <w:sz w:val="22"/>
          <w:szCs w:val="22"/>
          <w:lang w:val="sk-SK"/>
        </w:rPr>
        <w:t>až</w:t>
      </w:r>
      <w:r w:rsidRPr="00C83F7F">
        <w:rPr>
          <w:sz w:val="22"/>
          <w:szCs w:val="22"/>
          <w:lang w:val="sk-SK"/>
        </w:rPr>
        <w:t xml:space="preserve"> &lt; 1/100)</w:t>
      </w:r>
      <w:r w:rsidR="006B2D82" w:rsidRPr="00C83F7F">
        <w:rPr>
          <w:sz w:val="22"/>
          <w:szCs w:val="22"/>
          <w:lang w:val="sk-SK"/>
        </w:rPr>
        <w:t>, zriedkavé (≥1/10,000 až &lt;1/1 000), veľmi zriedkavé (&lt;1/10 000)</w:t>
      </w:r>
      <w:r w:rsidR="00E45CA3" w:rsidRPr="00C83F7F">
        <w:rPr>
          <w:sz w:val="22"/>
          <w:szCs w:val="22"/>
          <w:lang w:val="sk-SK"/>
        </w:rPr>
        <w:t>, neznáme (z dostupných údajov)</w:t>
      </w:r>
      <w:r w:rsidRPr="00C83F7F">
        <w:rPr>
          <w:sz w:val="22"/>
          <w:szCs w:val="22"/>
          <w:lang w:val="sk-SK"/>
        </w:rPr>
        <w:t>. Výskyt ADR je v</w:t>
      </w:r>
      <w:r w:rsidR="00516650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každej skupine usporiadaný v poradí klesajúcej závažnosti.</w:t>
      </w:r>
    </w:p>
    <w:p w14:paraId="37743E92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1913F4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u w:val="single"/>
          <w:lang w:val="sk-SK"/>
        </w:rPr>
        <w:t xml:space="preserve">Monoterapia </w:t>
      </w:r>
      <w:r w:rsidR="00990570" w:rsidRPr="00C83F7F">
        <w:rPr>
          <w:sz w:val="22"/>
          <w:szCs w:val="22"/>
          <w:u w:val="single"/>
          <w:lang w:val="sk-SK"/>
        </w:rPr>
        <w:t>kapecitabínom</w:t>
      </w:r>
      <w:r w:rsidRPr="00C83F7F">
        <w:rPr>
          <w:sz w:val="22"/>
          <w:szCs w:val="22"/>
          <w:u w:val="single"/>
          <w:lang w:val="sk-SK"/>
        </w:rPr>
        <w:t>:</w:t>
      </w:r>
    </w:p>
    <w:p w14:paraId="3C366C20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Tabuľka 4 uvádza ADR súvisiace s použitím </w:t>
      </w:r>
      <w:r w:rsidR="00990570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v monoterapii na základe súhrnnej analýzy údajov o bezpečnosti z troch najdôležitejších štúdií zahŕňajúcich viac ako 1 900 pacientov (štúdie M66001, SO14695 a SO14796). ADR sa doplnili do príslušnej skupiny výskytu podľa celkovej incidencie z tejto súhrnnej analýzy.</w:t>
      </w:r>
    </w:p>
    <w:p w14:paraId="0EDEEAD6" w14:textId="77777777" w:rsidR="00317033" w:rsidRPr="00C83F7F" w:rsidRDefault="00317033" w:rsidP="00C07C1D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lang w:val="sk-SK"/>
        </w:rPr>
      </w:pPr>
    </w:p>
    <w:p w14:paraId="18E3BF34" w14:textId="76CCCA19" w:rsidR="00317033" w:rsidRDefault="00317033" w:rsidP="008A393E">
      <w:pPr>
        <w:widowControl w:val="0"/>
        <w:tabs>
          <w:tab w:val="left" w:pos="1640"/>
        </w:tabs>
        <w:autoSpaceDE w:val="0"/>
        <w:autoSpaceDN w:val="0"/>
        <w:adjustRightInd w:val="0"/>
        <w:ind w:left="1134" w:hanging="1134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Tabuľka 4</w:t>
      </w:r>
      <w:r w:rsidRPr="00C83F7F">
        <w:rPr>
          <w:sz w:val="22"/>
          <w:szCs w:val="22"/>
          <w:lang w:val="sk-SK"/>
        </w:rPr>
        <w:tab/>
        <w:t xml:space="preserve">Súhrn ADR súvisiacich s liečbou, ktoré sa hlásili u pacientov liečených </w:t>
      </w:r>
      <w:r w:rsidR="00990570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v</w:t>
      </w:r>
      <w:r w:rsidR="00C83F7F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monoterapii</w:t>
      </w:r>
    </w:p>
    <w:p w14:paraId="2E0E7EBE" w14:textId="77777777" w:rsidR="00C83F7F" w:rsidRPr="00C83F7F" w:rsidRDefault="00C83F7F" w:rsidP="008A393E">
      <w:pPr>
        <w:widowControl w:val="0"/>
        <w:tabs>
          <w:tab w:val="left" w:pos="1640"/>
        </w:tabs>
        <w:autoSpaceDE w:val="0"/>
        <w:autoSpaceDN w:val="0"/>
        <w:adjustRightInd w:val="0"/>
        <w:ind w:left="1134" w:hanging="1134"/>
        <w:rPr>
          <w:sz w:val="22"/>
          <w:szCs w:val="22"/>
          <w:lang w:val="sk-SK"/>
        </w:rPr>
      </w:pPr>
    </w:p>
    <w:p w14:paraId="742AEEDA" w14:textId="77777777" w:rsidR="00317033" w:rsidRPr="00C83F7F" w:rsidRDefault="00317033" w:rsidP="00C07C1D">
      <w:pPr>
        <w:widowControl w:val="0"/>
        <w:autoSpaceDE w:val="0"/>
        <w:autoSpaceDN w:val="0"/>
        <w:adjustRightInd w:val="0"/>
        <w:spacing w:before="3" w:line="10" w:lineRule="exact"/>
        <w:jc w:val="both"/>
        <w:rPr>
          <w:sz w:val="2"/>
          <w:szCs w:val="2"/>
          <w:lang w:val="sk-SK"/>
        </w:rPr>
      </w:pPr>
    </w:p>
    <w:tbl>
      <w:tblPr>
        <w:tblW w:w="880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8"/>
        <w:gridCol w:w="328"/>
        <w:gridCol w:w="1482"/>
        <w:gridCol w:w="25"/>
        <w:gridCol w:w="2069"/>
        <w:gridCol w:w="2758"/>
      </w:tblGrid>
      <w:tr w:rsidR="00317033" w:rsidRPr="00DC11F0" w14:paraId="2AB50FBE" w14:textId="77777777" w:rsidTr="00C83F7F">
        <w:trPr>
          <w:trHeight w:hRule="exact" w:val="2055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0D8B" w14:textId="77777777" w:rsidR="00317033" w:rsidRPr="00C83F7F" w:rsidRDefault="00317033" w:rsidP="00D9498E">
            <w:pPr>
              <w:widowControl w:val="0"/>
              <w:autoSpaceDE w:val="0"/>
              <w:autoSpaceDN w:val="0"/>
              <w:adjustRightInd w:val="0"/>
              <w:ind w:left="493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Telový systém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65A26" w14:textId="77777777" w:rsidR="00317033" w:rsidRPr="00C83F7F" w:rsidRDefault="00317033" w:rsidP="005166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D36AE" w14:textId="77777777" w:rsidR="00317033" w:rsidRPr="00C83F7F" w:rsidRDefault="00317033" w:rsidP="00C83F7F">
            <w:pPr>
              <w:widowControl w:val="0"/>
              <w:autoSpaceDE w:val="0"/>
              <w:autoSpaceDN w:val="0"/>
              <w:adjustRightInd w:val="0"/>
              <w:ind w:left="115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Veľmi časté</w:t>
            </w:r>
          </w:p>
          <w:p w14:paraId="686760A3" w14:textId="77777777" w:rsidR="00317033" w:rsidRPr="00C83F7F" w:rsidRDefault="00317033" w:rsidP="005166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60F34C97" w14:textId="77777777" w:rsidR="00317033" w:rsidRPr="00C83F7F" w:rsidRDefault="00317033" w:rsidP="00C83F7F">
            <w:pPr>
              <w:widowControl w:val="0"/>
              <w:autoSpaceDE w:val="0"/>
              <w:autoSpaceDN w:val="0"/>
              <w:adjustRightInd w:val="0"/>
              <w:ind w:left="11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i/>
                <w:iCs/>
                <w:sz w:val="22"/>
                <w:szCs w:val="22"/>
                <w:lang w:val="sk-SK"/>
              </w:rPr>
              <w:t>Všetky stupne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E34F6" w14:textId="77777777" w:rsidR="00317033" w:rsidRPr="00C83F7F" w:rsidRDefault="00317033" w:rsidP="00D949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2C817" w14:textId="77777777" w:rsidR="00317033" w:rsidRPr="00C83F7F" w:rsidRDefault="00317033" w:rsidP="00D9498E">
            <w:pPr>
              <w:widowControl w:val="0"/>
              <w:autoSpaceDE w:val="0"/>
              <w:autoSpaceDN w:val="0"/>
              <w:adjustRightInd w:val="0"/>
              <w:ind w:left="505" w:right="837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  <w:p w14:paraId="7E52E49B" w14:textId="77777777" w:rsidR="00317033" w:rsidRPr="00C83F7F" w:rsidRDefault="00317033" w:rsidP="00D949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4D190EBC" w14:textId="77777777" w:rsidR="00317033" w:rsidRPr="00C83F7F" w:rsidRDefault="00317033" w:rsidP="00D9498E">
            <w:pPr>
              <w:widowControl w:val="0"/>
              <w:autoSpaceDE w:val="0"/>
              <w:autoSpaceDN w:val="0"/>
              <w:adjustRightInd w:val="0"/>
              <w:ind w:left="165" w:right="14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i/>
                <w:iCs/>
                <w:sz w:val="22"/>
                <w:szCs w:val="22"/>
                <w:lang w:val="sk-SK"/>
              </w:rPr>
              <w:t>Všetky stupne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2906" w14:textId="77777777" w:rsidR="00317033" w:rsidRPr="00C83F7F" w:rsidRDefault="00317033" w:rsidP="00D9498E">
            <w:pPr>
              <w:widowControl w:val="0"/>
              <w:autoSpaceDE w:val="0"/>
              <w:autoSpaceDN w:val="0"/>
              <w:adjustRightInd w:val="0"/>
              <w:ind w:left="560" w:right="54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  <w:p w14:paraId="0BCDA625" w14:textId="77777777" w:rsidR="00317033" w:rsidRPr="00C83F7F" w:rsidRDefault="00317033" w:rsidP="00D949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6B6BA08C" w14:textId="77777777" w:rsidR="00317033" w:rsidRPr="00C83F7F" w:rsidRDefault="00317033" w:rsidP="00472E69">
            <w:pPr>
              <w:widowControl w:val="0"/>
              <w:autoSpaceDE w:val="0"/>
              <w:autoSpaceDN w:val="0"/>
              <w:adjustRightInd w:val="0"/>
              <w:ind w:left="165" w:right="144"/>
              <w:jc w:val="center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i/>
                <w:iCs/>
                <w:sz w:val="22"/>
                <w:szCs w:val="22"/>
                <w:lang w:val="sk-SK"/>
              </w:rPr>
              <w:t>Závažné a/alebo život ohrozujúce</w:t>
            </w:r>
          </w:p>
          <w:p w14:paraId="1AFB032A" w14:textId="523938AC" w:rsidR="00317033" w:rsidRPr="00C83F7F" w:rsidRDefault="00317033" w:rsidP="00516650">
            <w:pPr>
              <w:widowControl w:val="0"/>
              <w:autoSpaceDE w:val="0"/>
              <w:autoSpaceDN w:val="0"/>
              <w:adjustRightInd w:val="0"/>
              <w:ind w:left="116" w:right="96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i/>
                <w:iCs/>
                <w:sz w:val="22"/>
                <w:szCs w:val="22"/>
                <w:lang w:val="sk-SK"/>
              </w:rPr>
              <w:t>(3.-4. stupňa) alebo považované za dôležité z</w:t>
            </w:r>
            <w:r w:rsidR="00516650" w:rsidRPr="005E37A5">
              <w:rPr>
                <w:b/>
                <w:bCs/>
                <w:i/>
                <w:iCs/>
                <w:sz w:val="22"/>
                <w:szCs w:val="22"/>
                <w:lang w:val="sk-SK"/>
              </w:rPr>
              <w:t> </w:t>
            </w:r>
            <w:r w:rsidRPr="00C83F7F">
              <w:rPr>
                <w:b/>
                <w:bCs/>
                <w:i/>
                <w:iCs/>
                <w:sz w:val="22"/>
                <w:szCs w:val="22"/>
                <w:lang w:val="sk-SK"/>
              </w:rPr>
              <w:t>medicínskeho hľadiska</w:t>
            </w:r>
          </w:p>
        </w:tc>
      </w:tr>
      <w:tr w:rsidR="00317033" w:rsidRPr="00DC11F0" w14:paraId="189F5A1C" w14:textId="77777777" w:rsidTr="00C83F7F">
        <w:trPr>
          <w:trHeight w:hRule="exact" w:val="1895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A950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1523A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C7820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439B" w14:textId="77777777" w:rsidR="00317033" w:rsidRPr="00C83F7F" w:rsidRDefault="00317033" w:rsidP="00190FFF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Infekcia herpesovým</w:t>
            </w:r>
          </w:p>
          <w:p w14:paraId="3313854C" w14:textId="77777777" w:rsidR="00317033" w:rsidRPr="00C83F7F" w:rsidRDefault="00317033" w:rsidP="00190FFF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vírusom, nazofaryngitída, infekcia dolných dýchacích ciest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9558" w14:textId="77777777" w:rsidR="00317033" w:rsidRPr="00C83F7F" w:rsidRDefault="00317033" w:rsidP="00190FFF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Sepsa, infekcia</w:t>
            </w:r>
          </w:p>
          <w:p w14:paraId="4B87178D" w14:textId="77777777" w:rsidR="00317033" w:rsidRPr="00C83F7F" w:rsidRDefault="00317033" w:rsidP="00190FFF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močových ciest, celulitída, tonzilitída, faryngitída, ústna kandidóza, chrípka, gastroenteritída, plesňová infekcia, infekcia, absces zubov</w:t>
            </w:r>
          </w:p>
        </w:tc>
      </w:tr>
      <w:tr w:rsidR="00317033" w:rsidRPr="00ED4C53" w14:paraId="5A05E91B" w14:textId="77777777" w:rsidTr="00C83F7F">
        <w:trPr>
          <w:trHeight w:hRule="exact" w:val="1322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AE80" w14:textId="78400B0D" w:rsidR="00921F8E" w:rsidRPr="00C83F7F" w:rsidRDefault="00921F8E" w:rsidP="00921F8E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Benígne a malígne nádory, vrátane nešpecifikovaných novotvarov</w:t>
            </w:r>
            <w:r w:rsidR="00C65DBC" w:rsidRPr="00C83F7F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="00C65DBC" w:rsidRPr="00C83F7F">
              <w:rPr>
                <w:i/>
                <w:sz w:val="22"/>
                <w:szCs w:val="22"/>
                <w:lang w:val="sk-SK"/>
              </w:rPr>
              <w:t>(cysty a polypy)</w:t>
            </w:r>
          </w:p>
          <w:p w14:paraId="16434589" w14:textId="77777777" w:rsidR="00317033" w:rsidRPr="00C83F7F" w:rsidRDefault="00317033" w:rsidP="00472E69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F54DD" w14:textId="77777777" w:rsidR="00317033" w:rsidRPr="00C83F7F" w:rsidRDefault="00317033" w:rsidP="00472E69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76FB1" w14:textId="77777777" w:rsidR="00317033" w:rsidRPr="00C83F7F" w:rsidRDefault="00317033" w:rsidP="00472E69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47EC5" w14:textId="77777777" w:rsidR="00317033" w:rsidRPr="00C83F7F" w:rsidRDefault="00317033" w:rsidP="00472E69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FF825" w14:textId="77777777" w:rsidR="00317033" w:rsidRPr="00C83F7F" w:rsidRDefault="00190FFF" w:rsidP="00472E69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A690" w14:textId="77777777" w:rsidR="00317033" w:rsidRPr="00C83F7F" w:rsidRDefault="00317033" w:rsidP="00472E69">
            <w:pPr>
              <w:widowControl w:val="0"/>
              <w:autoSpaceDE w:val="0"/>
              <w:autoSpaceDN w:val="0"/>
              <w:adjustRightInd w:val="0"/>
              <w:ind w:left="103" w:right="-20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Lipóm</w:t>
            </w:r>
          </w:p>
        </w:tc>
      </w:tr>
      <w:tr w:rsidR="00317033" w:rsidRPr="00DC11F0" w14:paraId="3BCAAF9F" w14:textId="77777777" w:rsidTr="00C83F7F">
        <w:trPr>
          <w:trHeight w:hRule="exact" w:val="2191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A852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220C3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FC3EA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B123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Neutropénia, anémia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7057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Febrilná neutropénia,</w:t>
            </w:r>
          </w:p>
          <w:p w14:paraId="348DB7A3" w14:textId="4BF4F97E" w:rsidR="00317033" w:rsidRPr="00C83F7F" w:rsidRDefault="00317033" w:rsidP="00D10F59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pancytopénia, granulocytopénia, trombocytopénia, leukopénia, hemolytická anémia, zvýšený International Normalised Ratio (INR)/predĺžený protrombí</w:t>
            </w:r>
            <w:r w:rsidR="00D10F59">
              <w:rPr>
                <w:iCs/>
                <w:sz w:val="22"/>
                <w:szCs w:val="22"/>
                <w:lang w:val="sk-SK"/>
              </w:rPr>
              <w:t>n</w:t>
            </w:r>
            <w:r w:rsidRPr="00C83F7F">
              <w:rPr>
                <w:iCs/>
                <w:sz w:val="22"/>
                <w:szCs w:val="22"/>
                <w:lang w:val="sk-SK"/>
              </w:rPr>
              <w:t>ový čas</w:t>
            </w:r>
          </w:p>
        </w:tc>
      </w:tr>
      <w:tr w:rsidR="00317033" w:rsidRPr="00ED4C53" w14:paraId="77643F8B" w14:textId="77777777" w:rsidTr="00C83F7F">
        <w:trPr>
          <w:trHeight w:hRule="exact" w:val="521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4492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37EC4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F2E3FE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1695B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D398FA" w14:textId="77777777" w:rsidR="00317033" w:rsidRPr="00C83F7F" w:rsidRDefault="00190FFF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B59D" w14:textId="77777777" w:rsidR="00317033" w:rsidRPr="00C83F7F" w:rsidRDefault="00317033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Precitlivenosť</w:t>
            </w:r>
          </w:p>
        </w:tc>
      </w:tr>
      <w:tr w:rsidR="00516B1B" w:rsidRPr="00DC11F0" w14:paraId="5D50F777" w14:textId="77777777" w:rsidTr="00C83F7F">
        <w:trPr>
          <w:trHeight w:hRule="exact" w:val="105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ACE8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43266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E3F08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Anorexia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4F6CA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C77E7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Dehydratácia, úbytok telesnej hmotnosti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AE8F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Diabetes mellitus,</w:t>
            </w:r>
          </w:p>
          <w:p w14:paraId="3B559564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hypokaliémia, porucha chuti do jedla, malnutrícia, hypertriglyceridémia</w:t>
            </w:r>
          </w:p>
        </w:tc>
      </w:tr>
      <w:tr w:rsidR="00516B1B" w:rsidRPr="00DC11F0" w14:paraId="7510FCD3" w14:textId="77777777" w:rsidTr="00C83F7F">
        <w:trPr>
          <w:trHeight w:hRule="exact" w:val="857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7DC8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00432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DE841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3C349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76770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Nespavosť, depresia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1C11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Stavy zmätenosti,</w:t>
            </w:r>
          </w:p>
          <w:p w14:paraId="22997B04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záchvaty paniky, depresívna nálada, znížené libido</w:t>
            </w:r>
          </w:p>
        </w:tc>
      </w:tr>
      <w:tr w:rsidR="00516B1B" w:rsidRPr="00DC11F0" w14:paraId="7525976F" w14:textId="77777777" w:rsidTr="00C83F7F">
        <w:trPr>
          <w:trHeight w:hRule="exact" w:val="1288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2995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lastRenderedPageBreak/>
              <w:t>Poruchy nervového systému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80795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7996C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5AA35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FBB9F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Bolesť hlavy, letargia,</w:t>
            </w:r>
          </w:p>
          <w:p w14:paraId="440DB314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závrat, parastézia, dysgeúzia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EAD1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Afázia, poruchy</w:t>
            </w:r>
          </w:p>
          <w:p w14:paraId="648C4AFC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pamäti, ataxia, synkopa, porucha rovnováhy, ochorenie zmyslových orgánov, periférna neuropatia</w:t>
            </w:r>
          </w:p>
        </w:tc>
      </w:tr>
      <w:tr w:rsidR="00516B1B" w:rsidRPr="00ED4C53" w14:paraId="753C788C" w14:textId="77777777" w:rsidTr="00C83F7F">
        <w:trPr>
          <w:trHeight w:hRule="exact" w:val="85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8120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96F95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A817E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69ADB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6FCCD3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Zvýšené slzenie,</w:t>
            </w:r>
          </w:p>
          <w:p w14:paraId="0211B1DE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konjunktivitída, podráždenie očí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44BF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Znížená zraková</w:t>
            </w:r>
          </w:p>
          <w:p w14:paraId="0C174EF3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ostrosť, diplopia</w:t>
            </w:r>
          </w:p>
        </w:tc>
      </w:tr>
      <w:tr w:rsidR="00516B1B" w:rsidRPr="00ED4C53" w14:paraId="3DD5FC21" w14:textId="77777777" w:rsidTr="00C83F7F">
        <w:trPr>
          <w:trHeight w:hRule="exact" w:val="57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7C83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A6590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71317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421AA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C351A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DEB7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Vertigo, bolesť uší</w:t>
            </w:r>
          </w:p>
        </w:tc>
      </w:tr>
      <w:tr w:rsidR="00516B1B" w:rsidRPr="00DC11F0" w14:paraId="122C5530" w14:textId="77777777" w:rsidTr="00C83F7F">
        <w:trPr>
          <w:trHeight w:hRule="exact" w:val="129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5C52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0A9EE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03D7C4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95EE9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3AC8EA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A2A9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Nestabilná angína,</w:t>
            </w:r>
          </w:p>
          <w:p w14:paraId="0F7EE538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angína pectoris, ischémia myokardu, fibrilácia predsiení, arytmia, tachykardia, sínusová tachykardia, palpitácie</w:t>
            </w:r>
          </w:p>
        </w:tc>
      </w:tr>
      <w:tr w:rsidR="00516B1B" w:rsidRPr="00DC11F0" w14:paraId="2C37DD36" w14:textId="77777777" w:rsidTr="00C83F7F">
        <w:trPr>
          <w:trHeight w:hRule="exact" w:val="1144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C9F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D03B7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46928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B31007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AB6FC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Tromboflebitída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9E3C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Trombóza hĺbkových</w:t>
            </w:r>
          </w:p>
          <w:p w14:paraId="6E2568F1" w14:textId="101435B6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žíl, hypertenzia, petechi</w:t>
            </w:r>
            <w:r w:rsidR="00F57010" w:rsidRPr="00C83F7F">
              <w:rPr>
                <w:iCs/>
                <w:sz w:val="22"/>
                <w:szCs w:val="22"/>
                <w:lang w:val="sk-SK"/>
              </w:rPr>
              <w:t>e</w:t>
            </w:r>
            <w:r w:rsidRPr="00C83F7F">
              <w:rPr>
                <w:iCs/>
                <w:sz w:val="22"/>
                <w:szCs w:val="22"/>
                <w:lang w:val="sk-SK"/>
              </w:rPr>
              <w:t>, hypotenzia, návaly horúčavy, chlad v periférnych častiach tela</w:t>
            </w:r>
          </w:p>
        </w:tc>
      </w:tr>
      <w:tr w:rsidR="00516B1B" w:rsidRPr="00DC11F0" w14:paraId="42A743B8" w14:textId="77777777" w:rsidTr="00C83F7F">
        <w:trPr>
          <w:trHeight w:hRule="exact" w:val="845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3D9A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dýchacej sústavy, hrudníka a mediastína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E26BE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13325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3F066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A70B7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Dyspnoe, epistaxa,</w:t>
            </w:r>
          </w:p>
          <w:p w14:paraId="0A62F978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kašeľ, nádcha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3408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Pľúcna embólia,</w:t>
            </w:r>
          </w:p>
          <w:p w14:paraId="061DDCAB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pneumotorax, hemoptýza, astma, dyspnoe pri námahe</w:t>
            </w:r>
          </w:p>
        </w:tc>
      </w:tr>
      <w:tr w:rsidR="00516B1B" w:rsidRPr="00DC11F0" w14:paraId="077749D9" w14:textId="77777777" w:rsidTr="00C83F7F">
        <w:trPr>
          <w:trHeight w:hRule="exact" w:val="1861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BB25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gastrointestinálneho</w:t>
            </w:r>
          </w:p>
          <w:p w14:paraId="466130FD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traktu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13CBE" w14:textId="77777777" w:rsidR="00516B1B" w:rsidRPr="00C83F7F" w:rsidRDefault="00516B1B" w:rsidP="002C666E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40EE7" w14:textId="77777777" w:rsidR="00516B1B" w:rsidRPr="00C83F7F" w:rsidRDefault="00516B1B" w:rsidP="002C666E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Hnačka, vracanie,</w:t>
            </w:r>
          </w:p>
          <w:p w14:paraId="05DC9182" w14:textId="77777777" w:rsidR="00516B1B" w:rsidRPr="00C83F7F" w:rsidRDefault="00516B1B" w:rsidP="002C666E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nevoľnosť, stomatitída, abdominálna bolesť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6D6AE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6C2BA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Gastrointestinálne</w:t>
            </w:r>
          </w:p>
          <w:p w14:paraId="56093A9A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krvácanie, zápcha, bolesť v hornej časti brucha, dyspepsia, flatulencia, sucho</w:t>
            </w:r>
          </w:p>
          <w:p w14:paraId="3B1A0867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18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v ústach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24D1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Črevná obštrukcia,</w:t>
            </w:r>
          </w:p>
          <w:p w14:paraId="3CAE581E" w14:textId="725D3FE9" w:rsidR="00516B1B" w:rsidRPr="00C83F7F" w:rsidRDefault="00516B1B" w:rsidP="00F57010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ascites, enteritída, gastritída, dysfágia, bolesť v spodnej časti brucha, ezofagitída, ,</w:t>
            </w:r>
            <w:r w:rsidR="00F57010" w:rsidRPr="00C83F7F">
              <w:rPr>
                <w:iCs/>
                <w:sz w:val="22"/>
                <w:szCs w:val="22"/>
                <w:lang w:val="sk-SK"/>
              </w:rPr>
              <w:t xml:space="preserve"> bolesť brucha</w:t>
            </w:r>
            <w:r w:rsidRPr="00C83F7F">
              <w:rPr>
                <w:iCs/>
                <w:sz w:val="22"/>
                <w:szCs w:val="22"/>
                <w:lang w:val="sk-SK"/>
              </w:rPr>
              <w:t xml:space="preserve"> gastroezofageálny reflux, kolitída, krv</w:t>
            </w:r>
            <w:r w:rsidR="006E7A96" w:rsidRPr="00C83F7F">
              <w:rPr>
                <w:iCs/>
                <w:sz w:val="22"/>
                <w:szCs w:val="22"/>
                <w:lang w:val="sk-SK"/>
              </w:rPr>
              <w:t xml:space="preserve"> </w:t>
            </w:r>
            <w:r w:rsidRPr="00C83F7F">
              <w:rPr>
                <w:iCs/>
                <w:sz w:val="22"/>
                <w:szCs w:val="22"/>
                <w:lang w:val="sk-SK"/>
              </w:rPr>
              <w:t>v stolici</w:t>
            </w:r>
          </w:p>
        </w:tc>
      </w:tr>
      <w:tr w:rsidR="00516B1B" w:rsidRPr="00ED4C53" w14:paraId="02D2BE18" w14:textId="77777777" w:rsidTr="00C83F7F">
        <w:trPr>
          <w:trHeight w:hRule="exact" w:val="854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C03C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36C55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EFA4A2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BDE0E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D274A9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Hyperbilirubinémia,</w:t>
            </w:r>
          </w:p>
          <w:p w14:paraId="2AD24C5D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abnormality funkčných pečeňových testov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64E0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Žltačka</w:t>
            </w:r>
          </w:p>
        </w:tc>
      </w:tr>
      <w:tr w:rsidR="00516B1B" w:rsidRPr="00DC11F0" w14:paraId="220715B3" w14:textId="77777777" w:rsidTr="00C83F7F">
        <w:trPr>
          <w:trHeight w:hRule="exact" w:val="242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5497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115B3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A53A4" w14:textId="77777777" w:rsidR="00516B1B" w:rsidRPr="00C83F7F" w:rsidRDefault="00516B1B" w:rsidP="002C666E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Syndróm palmárno-</w:t>
            </w:r>
          </w:p>
          <w:p w14:paraId="03B7655E" w14:textId="77777777" w:rsidR="00516B1B" w:rsidRPr="00C83F7F" w:rsidRDefault="00516B1B" w:rsidP="00695E84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plantárnej erytrodyzestézie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86FC3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4508D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Vyrážka, alopécia,</w:t>
            </w:r>
          </w:p>
          <w:p w14:paraId="15B2FA5B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erytém, suchá koža, svrbenie, hyperpigmentácia kože, makulárna vyrážka, odlupovanie kože, dermatitída, poruchy pigmentácie, poruchy nechtov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3354" w14:textId="77777777" w:rsidR="00516B1B" w:rsidRPr="00C83F7F" w:rsidRDefault="006E7A96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Pľuzgiere, k</w:t>
            </w:r>
            <w:r w:rsidR="00516B1B" w:rsidRPr="00C83F7F">
              <w:rPr>
                <w:iCs/>
                <w:sz w:val="22"/>
                <w:szCs w:val="22"/>
                <w:lang w:val="sk-SK"/>
              </w:rPr>
              <w:t>ožný vred, vyrážka,</w:t>
            </w:r>
          </w:p>
          <w:p w14:paraId="102CCED2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urtikária, fotosenzitívna reakcia, palmárny erytém, opuch tváre, purpura</w:t>
            </w:r>
            <w:r w:rsidR="006E7A96" w:rsidRPr="00C83F7F">
              <w:rPr>
                <w:iCs/>
                <w:sz w:val="22"/>
                <w:szCs w:val="22"/>
                <w:lang w:val="sk-SK"/>
              </w:rPr>
              <w:t>, radiačný recall syndróm</w:t>
            </w:r>
          </w:p>
        </w:tc>
      </w:tr>
      <w:tr w:rsidR="00516B1B" w:rsidRPr="00DC11F0" w14:paraId="52140C52" w14:textId="77777777" w:rsidTr="00C83F7F">
        <w:trPr>
          <w:trHeight w:hRule="exact" w:val="1002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2B7A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kostrovej a svalovej sústavy a</w:t>
            </w:r>
          </w:p>
          <w:p w14:paraId="7408AAAE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spojivového tkaniva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8BA5E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626405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3CC50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1F142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Bolesť končatín, bolesť</w:t>
            </w:r>
          </w:p>
          <w:p w14:paraId="18F11C70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chrbta, artralgia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B5A6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Opuch kĺbov, bolesť</w:t>
            </w:r>
          </w:p>
          <w:p w14:paraId="52318DA6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kostí, bolesť tváre, stuhnutosť kostrového svalstva, svalová slabosť</w:t>
            </w:r>
          </w:p>
        </w:tc>
      </w:tr>
      <w:tr w:rsidR="00516B1B" w:rsidRPr="00DC11F0" w14:paraId="61D4D2F7" w14:textId="77777777" w:rsidTr="00C83F7F">
        <w:trPr>
          <w:trHeight w:hRule="exact" w:val="101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78A8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obličiek a močových ciest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6C130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E2773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C5EE3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10AE6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EAA1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Hydronefróza,</w:t>
            </w:r>
          </w:p>
          <w:p w14:paraId="2FF4EA7F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inkontinencia moču, hematúria, noktúria, zvýšená hladina kreatinínu v krvi</w:t>
            </w:r>
          </w:p>
        </w:tc>
      </w:tr>
      <w:tr w:rsidR="00516B1B" w:rsidRPr="00ED4C53" w14:paraId="02D3678D" w14:textId="77777777" w:rsidTr="00C83F7F">
        <w:trPr>
          <w:trHeight w:hRule="exact" w:val="85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3CDA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</w:t>
            </w:r>
          </w:p>
          <w:p w14:paraId="036138FD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reprodukčného systému a prsníkov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3E174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D0B0A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D47B1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40899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B160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Vaginálne krvácanie</w:t>
            </w:r>
          </w:p>
        </w:tc>
      </w:tr>
      <w:tr w:rsidR="00516B1B" w:rsidRPr="00DC11F0" w14:paraId="34B6090E" w14:textId="77777777" w:rsidTr="00C83F7F">
        <w:trPr>
          <w:trHeight w:hRule="exact" w:val="1145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3E21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lastRenderedPageBreak/>
              <w:t>Celkové poruchy a reakcie v mieste podania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42A6B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C1EB6" w14:textId="77777777" w:rsidR="00516B1B" w:rsidRPr="00C83F7F" w:rsidRDefault="00516B1B" w:rsidP="002C666E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Únava, asténia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30820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BB5ED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 xml:space="preserve">Horúčka, </w:t>
            </w:r>
          </w:p>
          <w:p w14:paraId="6D1F1A24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periférny edém, malátnosť, bolesť na hrudi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B722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Edém, triaška,</w:t>
            </w:r>
          </w:p>
          <w:p w14:paraId="30908E76" w14:textId="77777777" w:rsidR="00516B1B" w:rsidRPr="00C83F7F" w:rsidRDefault="00516B1B" w:rsidP="00224903">
            <w:pPr>
              <w:widowControl w:val="0"/>
              <w:autoSpaceDE w:val="0"/>
              <w:autoSpaceDN w:val="0"/>
              <w:adjustRightInd w:val="0"/>
              <w:ind w:left="102"/>
              <w:rPr>
                <w:iCs/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>ochorenie podobné chrípke, stuhnutosť, zvýšená telesná teplota</w:t>
            </w:r>
          </w:p>
        </w:tc>
      </w:tr>
    </w:tbl>
    <w:p w14:paraId="46861CCD" w14:textId="77777777" w:rsidR="00317033" w:rsidRPr="00C83F7F" w:rsidRDefault="00317033" w:rsidP="00D9498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7C1B289" w14:textId="77777777" w:rsidR="00317033" w:rsidRPr="00C83F7F" w:rsidRDefault="00990570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 xml:space="preserve">Kapecitabín </w:t>
      </w:r>
      <w:r w:rsidR="00317033" w:rsidRPr="00C83F7F">
        <w:rPr>
          <w:sz w:val="22"/>
          <w:szCs w:val="22"/>
          <w:u w:val="single"/>
          <w:lang w:val="sk-SK"/>
        </w:rPr>
        <w:t>v kombinovanej terapii:</w:t>
      </w:r>
    </w:p>
    <w:p w14:paraId="1CEB11D4" w14:textId="3D3B3EE9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Tabuľka 5 uvádza ADR súvisiace s použitím </w:t>
      </w:r>
      <w:r w:rsidR="00990570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v kombinácii s rôznymi chemoterapeutickými režimami pri viacerých indikáciách na základe údajov bezpečnosti od viac ako 3 000 pacientov. ADR sa doplnili do príslušnej skupiny výskytu (veľmi časté alebo časté) podľa najvyššej incidencie pozorovanej v ktorejkoľvek z najdôležitejších klinických štúdií a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doplnili sa iba vtedy, keď boli pozorované </w:t>
      </w:r>
      <w:r w:rsidRPr="00C83F7F">
        <w:rPr>
          <w:b/>
          <w:bCs/>
          <w:sz w:val="22"/>
          <w:szCs w:val="22"/>
          <w:lang w:val="sk-SK"/>
        </w:rPr>
        <w:t xml:space="preserve">naviac </w:t>
      </w:r>
      <w:r w:rsidRPr="00C83F7F">
        <w:rPr>
          <w:sz w:val="22"/>
          <w:szCs w:val="22"/>
          <w:lang w:val="sk-SK"/>
        </w:rPr>
        <w:t xml:space="preserve">k nežiaducim reakciám na liek pozorovaným pri </w:t>
      </w:r>
      <w:r w:rsidR="00990570" w:rsidRPr="00C83F7F">
        <w:rPr>
          <w:sz w:val="22"/>
          <w:szCs w:val="22"/>
          <w:lang w:val="sk-SK"/>
        </w:rPr>
        <w:t xml:space="preserve">kapecitabíne </w:t>
      </w:r>
      <w:r w:rsidRPr="00C83F7F">
        <w:rPr>
          <w:sz w:val="22"/>
          <w:szCs w:val="22"/>
          <w:lang w:val="sk-SK"/>
        </w:rPr>
        <w:t xml:space="preserve">v monoterapii, alebo keď boli pozorované </w:t>
      </w:r>
      <w:r w:rsidRPr="00C83F7F">
        <w:rPr>
          <w:b/>
          <w:bCs/>
          <w:sz w:val="22"/>
          <w:szCs w:val="22"/>
          <w:lang w:val="sk-SK"/>
        </w:rPr>
        <w:t xml:space="preserve">s vyšším výskytom </w:t>
      </w:r>
      <w:r w:rsidRPr="00C83F7F">
        <w:rPr>
          <w:sz w:val="22"/>
          <w:szCs w:val="22"/>
          <w:lang w:val="sk-SK"/>
        </w:rPr>
        <w:t>v porovnaní s</w:t>
      </w:r>
      <w:r w:rsidR="00154C55" w:rsidRPr="005E37A5">
        <w:rPr>
          <w:sz w:val="22"/>
          <w:szCs w:val="22"/>
          <w:lang w:val="sk-SK"/>
        </w:rPr>
        <w:t> </w:t>
      </w:r>
      <w:r w:rsidR="00990570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 xml:space="preserve">v monoterapii (pozri tabuľku 4). Menej časté ADR hlásené pri </w:t>
      </w:r>
      <w:r w:rsidR="00990570" w:rsidRPr="00C83F7F">
        <w:rPr>
          <w:sz w:val="22"/>
          <w:szCs w:val="22"/>
          <w:lang w:val="sk-SK"/>
        </w:rPr>
        <w:t xml:space="preserve">kapecitabíne </w:t>
      </w:r>
      <w:r w:rsidRPr="00C83F7F">
        <w:rPr>
          <w:sz w:val="22"/>
          <w:szCs w:val="22"/>
          <w:lang w:val="sk-SK"/>
        </w:rPr>
        <w:t>v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kombinovanej liečbe sa zhodujú s ARD hlásenými pri </w:t>
      </w:r>
      <w:r w:rsidR="00990570" w:rsidRPr="00C83F7F">
        <w:rPr>
          <w:sz w:val="22"/>
          <w:szCs w:val="22"/>
          <w:lang w:val="sk-SK"/>
        </w:rPr>
        <w:t xml:space="preserve">kapecitabíne </w:t>
      </w:r>
      <w:r w:rsidRPr="00C83F7F">
        <w:rPr>
          <w:sz w:val="22"/>
          <w:szCs w:val="22"/>
          <w:lang w:val="sk-SK"/>
        </w:rPr>
        <w:t>v monoterapii alebo hlásenými pri kombinovanom lieku v monoterapii (v literatúre a/alebo príslušnom súhrne charakteristických vlastností lieku).</w:t>
      </w:r>
    </w:p>
    <w:p w14:paraId="0117C69D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lang w:val="sk-SK"/>
        </w:rPr>
      </w:pPr>
    </w:p>
    <w:p w14:paraId="082B2B49" w14:textId="24E951C1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Niektoré z ADR sú reakcie často pozorované pri podávaní liekov, ktoré sa kombinujú s</w:t>
      </w:r>
      <w:r w:rsidR="00154C55" w:rsidRPr="005E37A5">
        <w:rPr>
          <w:sz w:val="22"/>
          <w:szCs w:val="22"/>
          <w:lang w:val="sk-SK"/>
        </w:rPr>
        <w:t> </w:t>
      </w:r>
      <w:r w:rsidR="00990570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 xml:space="preserve">(napr. periférna senzorická neuropatia pri docetaxele alebo oxaliplatine, hypertenzia pozorovaná pri bevacizumabe); ich zhoršenie spôsobené liečbou </w:t>
      </w:r>
      <w:r w:rsidR="006E7A96" w:rsidRPr="00C83F7F">
        <w:rPr>
          <w:color w:val="000000"/>
          <w:sz w:val="22"/>
          <w:szCs w:val="22"/>
          <w:lang w:val="sk-SK"/>
        </w:rPr>
        <w:t>kapecitabínom</w:t>
      </w:r>
      <w:r w:rsidR="00AB14F7" w:rsidRPr="00C83F7F">
        <w:rPr>
          <w:color w:val="000000"/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však nie je možné vylúčiť.</w:t>
      </w:r>
    </w:p>
    <w:p w14:paraId="7B285679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58A6C2F" w14:textId="77777777" w:rsidR="00F80C87" w:rsidRPr="00C83F7F" w:rsidRDefault="00317033" w:rsidP="008A393E">
      <w:pPr>
        <w:widowControl w:val="0"/>
        <w:tabs>
          <w:tab w:val="left" w:pos="1640"/>
        </w:tabs>
        <w:autoSpaceDE w:val="0"/>
        <w:autoSpaceDN w:val="0"/>
        <w:adjustRightInd w:val="0"/>
        <w:ind w:left="1134" w:hanging="1134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Tabuľka 5</w:t>
      </w:r>
      <w:r w:rsidRPr="00C83F7F">
        <w:rPr>
          <w:sz w:val="22"/>
          <w:szCs w:val="22"/>
          <w:lang w:val="sk-SK"/>
        </w:rPr>
        <w:tab/>
        <w:t xml:space="preserve">Súhrn ADR súvisiacich s liečbou, ktoré boli hlásené u pacientov liečených </w:t>
      </w:r>
      <w:r w:rsidR="00AF7733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v kombinovanej liečbe</w:t>
      </w:r>
      <w:r w:rsidR="001F5C94" w:rsidRPr="00C83F7F">
        <w:rPr>
          <w:sz w:val="22"/>
          <w:szCs w:val="22"/>
          <w:lang w:val="sk-SK"/>
        </w:rPr>
        <w:t>,</w:t>
      </w:r>
      <w:r w:rsidRPr="00C83F7F">
        <w:rPr>
          <w:sz w:val="22"/>
          <w:szCs w:val="22"/>
          <w:lang w:val="sk-SK"/>
        </w:rPr>
        <w:t xml:space="preserve"> naviac k nežiaducim reakciám na liek pozorovaným pri </w:t>
      </w:r>
      <w:r w:rsidR="00AF7733" w:rsidRPr="00C83F7F">
        <w:rPr>
          <w:sz w:val="22"/>
          <w:szCs w:val="22"/>
          <w:lang w:val="sk-SK"/>
        </w:rPr>
        <w:t xml:space="preserve">kapecitabíne </w:t>
      </w:r>
      <w:r w:rsidRPr="00C83F7F">
        <w:rPr>
          <w:sz w:val="22"/>
          <w:szCs w:val="22"/>
          <w:lang w:val="sk-SK"/>
        </w:rPr>
        <w:t xml:space="preserve">v monoterapii, alebo ktoré boli pozorované s vyšším výskytom v porovnaní s </w:t>
      </w:r>
      <w:r w:rsidR="00AF7733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v monoterapii</w:t>
      </w:r>
    </w:p>
    <w:p w14:paraId="3A6531D9" w14:textId="77777777" w:rsidR="00317033" w:rsidRPr="00C83F7F" w:rsidRDefault="00317033" w:rsidP="00C07C1D">
      <w:pPr>
        <w:widowControl w:val="0"/>
        <w:autoSpaceDE w:val="0"/>
        <w:autoSpaceDN w:val="0"/>
        <w:adjustRightInd w:val="0"/>
        <w:spacing w:before="4" w:line="10" w:lineRule="exact"/>
        <w:jc w:val="both"/>
        <w:rPr>
          <w:sz w:val="2"/>
          <w:szCs w:val="2"/>
          <w:lang w:val="sk-SK"/>
        </w:rPr>
      </w:pPr>
    </w:p>
    <w:tbl>
      <w:tblPr>
        <w:tblW w:w="861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1"/>
        <w:gridCol w:w="25"/>
        <w:gridCol w:w="674"/>
        <w:gridCol w:w="2415"/>
        <w:gridCol w:w="3111"/>
      </w:tblGrid>
      <w:tr w:rsidR="0030417B" w:rsidRPr="00ED4C53" w14:paraId="1F43B1E6" w14:textId="77777777" w:rsidTr="00C83F7F">
        <w:trPr>
          <w:trHeight w:hRule="exact" w:val="76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2573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Telový systém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7A1E4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A7DFE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41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Veľmi časté</w:t>
            </w:r>
          </w:p>
          <w:p w14:paraId="59607521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647A5691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346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i/>
                <w:iCs/>
                <w:sz w:val="22"/>
                <w:szCs w:val="22"/>
                <w:lang w:val="sk-SK"/>
              </w:rPr>
              <w:t>Všetky stupne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E1E0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287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  <w:p w14:paraId="7A81291C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4813161A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922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i/>
                <w:iCs/>
                <w:sz w:val="22"/>
                <w:szCs w:val="22"/>
                <w:lang w:val="sk-SK"/>
              </w:rPr>
              <w:t>Všetky stupne</w:t>
            </w:r>
          </w:p>
        </w:tc>
      </w:tr>
      <w:tr w:rsidR="0030417B" w:rsidRPr="00DC11F0" w14:paraId="456C8C1B" w14:textId="77777777" w:rsidTr="00C83F7F">
        <w:trPr>
          <w:trHeight w:hRule="exact" w:val="1044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7EDA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b/>
                <w:b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Infekcie a nákazy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B30D0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C5735" w14:textId="77777777" w:rsidR="0030417B" w:rsidRPr="00C83F7F" w:rsidRDefault="00211E62" w:rsidP="00355D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6D37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Herpes zoster, infekcia močových ciest, ústna kandidóza, infekcia horných dýchacích ciest, rinitída, chrípka, 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+</w:t>
            </w:r>
            <w:r w:rsidRPr="00C83F7F">
              <w:rPr>
                <w:sz w:val="22"/>
                <w:szCs w:val="22"/>
                <w:lang w:val="sk-SK"/>
              </w:rPr>
              <w:t>infekcia, orálny herpes</w:t>
            </w:r>
          </w:p>
        </w:tc>
      </w:tr>
      <w:tr w:rsidR="0030417B" w:rsidRPr="00DC11F0" w14:paraId="501C3927" w14:textId="77777777" w:rsidTr="00C83F7F">
        <w:trPr>
          <w:trHeight w:hRule="exact" w:val="784"/>
        </w:trPr>
        <w:tc>
          <w:tcPr>
            <w:tcW w:w="23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B954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311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BD56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vertAlign w:val="superscript"/>
                <w:lang w:val="sk-SK"/>
              </w:rPr>
              <w:t>+</w:t>
            </w:r>
            <w:r w:rsidRPr="00C83F7F">
              <w:rPr>
                <w:sz w:val="22"/>
                <w:szCs w:val="22"/>
                <w:lang w:val="sk-SK"/>
              </w:rPr>
              <w:t xml:space="preserve">Neutropénia, 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+</w:t>
            </w:r>
            <w:r w:rsidRPr="00C83F7F">
              <w:rPr>
                <w:sz w:val="22"/>
                <w:szCs w:val="22"/>
                <w:lang w:val="sk-SK"/>
              </w:rPr>
              <w:t>leukopénia,</w:t>
            </w:r>
          </w:p>
          <w:p w14:paraId="60753C6B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vertAlign w:val="superscript"/>
                <w:lang w:val="sk-SK"/>
              </w:rPr>
              <w:t>+</w:t>
            </w:r>
            <w:r w:rsidRPr="00C83F7F">
              <w:rPr>
                <w:sz w:val="22"/>
                <w:szCs w:val="22"/>
                <w:lang w:val="sk-SK"/>
              </w:rPr>
              <w:t xml:space="preserve">anémia, 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+</w:t>
            </w:r>
            <w:r w:rsidRPr="00C83F7F">
              <w:rPr>
                <w:sz w:val="22"/>
                <w:szCs w:val="22"/>
                <w:lang w:val="sk-SK"/>
              </w:rPr>
              <w:t>neutropenická horúčka, trombocytopénia</w:t>
            </w: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CD36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Útlm kostnej drene, 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+</w:t>
            </w:r>
            <w:r w:rsidRPr="00C83F7F">
              <w:rPr>
                <w:sz w:val="22"/>
                <w:szCs w:val="22"/>
                <w:lang w:val="sk-SK"/>
              </w:rPr>
              <w:t>febrilná neutropénia</w:t>
            </w:r>
          </w:p>
        </w:tc>
      </w:tr>
      <w:tr w:rsidR="0030417B" w:rsidRPr="00ED4C53" w14:paraId="5F8C369F" w14:textId="77777777" w:rsidTr="00C83F7F">
        <w:trPr>
          <w:trHeight w:hRule="exact" w:val="52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7145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B57AD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F9277" w14:textId="77777777" w:rsidR="0030417B" w:rsidRPr="00C83F7F" w:rsidRDefault="00211E62" w:rsidP="00355D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BA91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Precitlivenosť</w:t>
            </w:r>
          </w:p>
        </w:tc>
      </w:tr>
      <w:tr w:rsidR="0030417B" w:rsidRPr="00DC11F0" w14:paraId="4B406CD5" w14:textId="77777777" w:rsidTr="00C83F7F">
        <w:trPr>
          <w:trHeight w:hRule="exact" w:val="76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6BF9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metabolizmu a výživy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ECC0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Znížená chuť do jedla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4B8E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Hypokaliémia, hyponatriémia,</w:t>
            </w:r>
          </w:p>
          <w:p w14:paraId="0F6C5D35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hypomagneziémia, hypokalciémia, hyperglykémia</w:t>
            </w:r>
          </w:p>
        </w:tc>
      </w:tr>
      <w:tr w:rsidR="0030417B" w:rsidRPr="00ED4C53" w14:paraId="059D8877" w14:textId="77777777" w:rsidTr="00C83F7F">
        <w:trPr>
          <w:trHeight w:hRule="exact" w:val="263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F229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5CD02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6B5D2" w14:textId="77777777" w:rsidR="0030417B" w:rsidRPr="00C83F7F" w:rsidRDefault="00211E62" w:rsidP="00355D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1467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Porucha spánku, úzkosť</w:t>
            </w:r>
          </w:p>
        </w:tc>
      </w:tr>
      <w:tr w:rsidR="0030417B" w:rsidRPr="00ED4C53" w14:paraId="6F3F7917" w14:textId="77777777" w:rsidTr="00C83F7F">
        <w:trPr>
          <w:trHeight w:hRule="exact" w:val="127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F6EE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B6B1" w14:textId="77777777" w:rsidR="0030417B" w:rsidRPr="00C83F7F" w:rsidRDefault="008A393E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</w:t>
            </w:r>
            <w:r w:rsidR="0030417B" w:rsidRPr="00C83F7F">
              <w:rPr>
                <w:sz w:val="22"/>
                <w:szCs w:val="22"/>
                <w:lang w:val="sk-SK"/>
              </w:rPr>
              <w:t>arestézia</w:t>
            </w:r>
            <w:r w:rsidRPr="00C83F7F">
              <w:rPr>
                <w:sz w:val="22"/>
                <w:szCs w:val="22"/>
                <w:lang w:val="sk-SK"/>
              </w:rPr>
              <w:t>,</w:t>
            </w:r>
            <w:r w:rsidR="0030417B" w:rsidRPr="00C83F7F">
              <w:rPr>
                <w:sz w:val="22"/>
                <w:szCs w:val="22"/>
                <w:lang w:val="sk-SK"/>
              </w:rPr>
              <w:t xml:space="preserve"> dyzestézia, periférna neuropatia, periférna senzorická neuropatia, dysgeúzia, bolesť hlavy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80EA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Neurotoxicita, tremor, neuralgia,</w:t>
            </w:r>
          </w:p>
          <w:p w14:paraId="6AD457F6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reakcia z precitlivenosti, hypoestézia</w:t>
            </w:r>
          </w:p>
        </w:tc>
      </w:tr>
      <w:tr w:rsidR="0030417B" w:rsidRPr="00DC11F0" w14:paraId="76860958" w14:textId="77777777" w:rsidTr="00C83F7F">
        <w:trPr>
          <w:trHeight w:hRule="exact" w:val="768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9F4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A68E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Zvýšené slzenie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8B99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Poruchy videnia, suché oko,</w:t>
            </w:r>
          </w:p>
          <w:p w14:paraId="2B3049A5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bolesť oka, zhoršenie videnia, rozmazané videnie</w:t>
            </w:r>
          </w:p>
        </w:tc>
      </w:tr>
      <w:tr w:rsidR="0030417B" w:rsidRPr="00ED4C53" w14:paraId="6F59EF6E" w14:textId="77777777" w:rsidTr="00C83F7F">
        <w:trPr>
          <w:trHeight w:hRule="exact" w:val="264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CF9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8746F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76DBD" w14:textId="77777777" w:rsidR="0030417B" w:rsidRPr="00C83F7F" w:rsidRDefault="00211E62" w:rsidP="00355D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B3F7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Tinitus, hypoakúzia</w:t>
            </w:r>
          </w:p>
        </w:tc>
      </w:tr>
      <w:tr w:rsidR="0030417B" w:rsidRPr="00DC11F0" w14:paraId="47197C33" w14:textId="77777777" w:rsidTr="00C83F7F">
        <w:trPr>
          <w:trHeight w:hRule="exact" w:val="51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53F5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srdca a srdcovej</w:t>
            </w:r>
          </w:p>
          <w:p w14:paraId="79F8C7B9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činnosti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30FB9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F0E6F" w14:textId="77777777" w:rsidR="0030417B" w:rsidRPr="00C83F7F" w:rsidRDefault="00211E62" w:rsidP="00355D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BD8B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Fibrilácia predsiení, srdcová ischémia/srdcový infarkt</w:t>
            </w:r>
          </w:p>
        </w:tc>
      </w:tr>
      <w:tr w:rsidR="0030417B" w:rsidRPr="00DC11F0" w14:paraId="22F18D98" w14:textId="77777777" w:rsidTr="00C83F7F">
        <w:trPr>
          <w:trHeight w:hRule="exact" w:val="768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9049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1F9B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Opuch dolných končatín, hypertenzia, 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+</w:t>
            </w:r>
            <w:r w:rsidRPr="00C83F7F">
              <w:rPr>
                <w:sz w:val="22"/>
                <w:szCs w:val="22"/>
                <w:lang w:val="sk-SK"/>
              </w:rPr>
              <w:t>embólia</w:t>
            </w:r>
          </w:p>
          <w:p w14:paraId="6073440A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a trombóza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1F74" w14:textId="25F21C2D" w:rsidR="0030417B" w:rsidRPr="00C83F7F" w:rsidRDefault="0030417B" w:rsidP="00D10F59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Sčervenanie, hypotenzia, hypotenzná kríza, n</w:t>
            </w:r>
            <w:r w:rsidR="00D10F59">
              <w:rPr>
                <w:sz w:val="22"/>
                <w:szCs w:val="22"/>
                <w:lang w:val="sk-SK"/>
              </w:rPr>
              <w:t>á</w:t>
            </w:r>
            <w:r w:rsidRPr="00C83F7F">
              <w:rPr>
                <w:sz w:val="22"/>
                <w:szCs w:val="22"/>
                <w:lang w:val="sk-SK"/>
              </w:rPr>
              <w:t>val horúčavy, flebitída</w:t>
            </w:r>
          </w:p>
        </w:tc>
      </w:tr>
      <w:tr w:rsidR="0030417B" w:rsidRPr="00ED4C53" w14:paraId="09C9BCE1" w14:textId="77777777" w:rsidTr="00C83F7F">
        <w:trPr>
          <w:trHeight w:hRule="exact" w:val="87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BBA4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lastRenderedPageBreak/>
              <w:t>Poruchy dýchacej sústavy, hrudníka a mediastína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37A1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Bolesť v hrdle, faryngeálna</w:t>
            </w:r>
          </w:p>
          <w:p w14:paraId="201AE60B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dyzestézia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0392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Čkanie, faryngolaryngeálna</w:t>
            </w:r>
          </w:p>
          <w:p w14:paraId="3FADCE22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bolesť, dysfónia</w:t>
            </w:r>
          </w:p>
        </w:tc>
      </w:tr>
      <w:tr w:rsidR="0030417B" w:rsidRPr="00DC11F0" w14:paraId="07670DB6" w14:textId="77777777" w:rsidTr="00C83F7F">
        <w:trPr>
          <w:trHeight w:hRule="exact" w:val="279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C501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72DB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Zápcha, dyspepsia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1DF1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3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Krvácanie z hornej časti</w:t>
            </w:r>
          </w:p>
          <w:p w14:paraId="1B5D6CFC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gastrointestinálneho traktu, vriedky v ústnej dutine,</w:t>
            </w:r>
          </w:p>
          <w:p w14:paraId="6A2ACF7E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gastritída, abdominálna distenzia, gastroezofageálna refluxná choroba, bolesť v ústnej dutine, dysfágia, krvácanie z konečníka, bolesť v dolnej časti brucha, orálna dyzestézia, orálna parestézia, orálna hypoestézia, abdominálny diskomfort</w:t>
            </w:r>
          </w:p>
        </w:tc>
      </w:tr>
      <w:tr w:rsidR="0030417B" w:rsidRPr="00ED4C53" w14:paraId="385EAC2A" w14:textId="77777777" w:rsidTr="00C83F7F">
        <w:trPr>
          <w:trHeight w:hRule="exact" w:val="475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B90A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877C6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790D1" w14:textId="77777777" w:rsidR="0030417B" w:rsidRPr="00C83F7F" w:rsidRDefault="00211E62" w:rsidP="00355D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6A02" w14:textId="450AF3B1" w:rsidR="0030417B" w:rsidRPr="00C83F7F" w:rsidRDefault="004B5072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Porucha </w:t>
            </w:r>
            <w:r w:rsidR="0030417B" w:rsidRPr="00C83F7F">
              <w:rPr>
                <w:sz w:val="22"/>
                <w:szCs w:val="22"/>
                <w:lang w:val="sk-SK"/>
              </w:rPr>
              <w:t>funkci</w:t>
            </w:r>
            <w:r w:rsidRPr="00C83F7F">
              <w:rPr>
                <w:sz w:val="22"/>
                <w:szCs w:val="22"/>
                <w:lang w:val="sk-SK"/>
              </w:rPr>
              <w:t>e</w:t>
            </w:r>
            <w:r w:rsidR="0030417B" w:rsidRPr="00C83F7F">
              <w:rPr>
                <w:sz w:val="22"/>
                <w:szCs w:val="22"/>
                <w:lang w:val="sk-SK"/>
              </w:rPr>
              <w:t xml:space="preserve"> pečene</w:t>
            </w:r>
          </w:p>
        </w:tc>
      </w:tr>
      <w:tr w:rsidR="0030417B" w:rsidRPr="00DC11F0" w14:paraId="07830AC1" w14:textId="77777777" w:rsidTr="00C83F7F">
        <w:trPr>
          <w:trHeight w:hRule="exact" w:val="51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8E24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CE79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Alopécia, poruchy nechtov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D82A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Hyperhidróza, erytematózna</w:t>
            </w:r>
          </w:p>
          <w:p w14:paraId="6C36A5C9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vyrážka, urtikária, nočné potenie</w:t>
            </w:r>
          </w:p>
        </w:tc>
      </w:tr>
      <w:tr w:rsidR="0030417B" w:rsidRPr="00DC11F0" w14:paraId="79727057" w14:textId="77777777" w:rsidTr="00C83F7F">
        <w:trPr>
          <w:trHeight w:hRule="exact" w:val="758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55F8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EC5A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Myalgia, artralgia, bolesť</w:t>
            </w:r>
          </w:p>
          <w:p w14:paraId="572E09B1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končatín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B2B4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Bolesť v čeľusti, svalové spazmy, trizmus, svalová slabosť</w:t>
            </w:r>
          </w:p>
        </w:tc>
      </w:tr>
      <w:tr w:rsidR="0030417B" w:rsidRPr="00ED4C53" w14:paraId="4604692D" w14:textId="77777777" w:rsidTr="00C83F7F">
        <w:trPr>
          <w:trHeight w:hRule="exact" w:val="76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A85A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obličiek a močových ciest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34A28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0A29E" w14:textId="77777777" w:rsidR="0030417B" w:rsidRPr="00C83F7F" w:rsidRDefault="00211E62" w:rsidP="00355D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iCs/>
                <w:sz w:val="22"/>
                <w:szCs w:val="22"/>
                <w:lang w:val="sk-SK"/>
              </w:rPr>
              <w:t xml:space="preserve"> </w:t>
            </w:r>
            <w:r w:rsidR="00CF3154" w:rsidRPr="00C83F7F">
              <w:rPr>
                <w:iCs/>
                <w:sz w:val="22"/>
                <w:szCs w:val="22"/>
                <w:lang w:val="sk-SK"/>
              </w:rPr>
              <w:t>-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692F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Hematúria, proteinúria, znížený</w:t>
            </w:r>
          </w:p>
          <w:p w14:paraId="5B4EE532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renálny klírens kreatinínu, </w:t>
            </w:r>
          </w:p>
          <w:p w14:paraId="7CBBA70C" w14:textId="77777777" w:rsidR="0030417B" w:rsidRPr="00C83F7F" w:rsidRDefault="0030417B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dyzúria</w:t>
            </w:r>
          </w:p>
        </w:tc>
      </w:tr>
      <w:tr w:rsidR="008A393E" w:rsidRPr="00ED4C53" w14:paraId="7219353A" w14:textId="77777777" w:rsidTr="00102971">
        <w:trPr>
          <w:trHeight w:hRule="exact" w:val="261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B9E4" w14:textId="77777777" w:rsidR="008A393E" w:rsidRPr="00C83F7F" w:rsidRDefault="008A393E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F31CC" w14:textId="77777777" w:rsidR="008A393E" w:rsidRPr="00C83F7F" w:rsidRDefault="008A393E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6545F" w14:textId="77777777" w:rsidR="008A393E" w:rsidRPr="00C83F7F" w:rsidRDefault="008A393E" w:rsidP="008A393E">
            <w:pPr>
              <w:widowControl w:val="0"/>
              <w:autoSpaceDE w:val="0"/>
              <w:autoSpaceDN w:val="0"/>
              <w:adjustRightInd w:val="0"/>
              <w:ind w:left="141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Pyrexia, slabosť, 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+</w:t>
            </w:r>
            <w:r w:rsidRPr="00C83F7F">
              <w:rPr>
                <w:sz w:val="22"/>
                <w:szCs w:val="22"/>
                <w:lang w:val="sk-SK"/>
              </w:rPr>
              <w:t>letargia, teplotná intolerancia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A4B1" w14:textId="77777777" w:rsidR="008A393E" w:rsidRPr="00C83F7F" w:rsidRDefault="008A393E" w:rsidP="008A393E">
            <w:pPr>
              <w:widowControl w:val="0"/>
              <w:autoSpaceDE w:val="0"/>
              <w:autoSpaceDN w:val="0"/>
              <w:adjustRightInd w:val="0"/>
              <w:ind w:left="102" w:right="34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Zápal slizníc, bolesť končatín, bolesť, zimnica, bolesť na hrudníku, ochorenie podobné chrípke, 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+</w:t>
            </w:r>
            <w:r w:rsidRPr="00C83F7F">
              <w:rPr>
                <w:sz w:val="22"/>
                <w:szCs w:val="22"/>
                <w:lang w:val="sk-SK"/>
              </w:rPr>
              <w:t>horúčka, reakcia súvisiaca s podaním infúzie, reakcia v mieste podania injekcie, bolesť súvisiaca</w:t>
            </w:r>
          </w:p>
          <w:p w14:paraId="051DEE99" w14:textId="77777777" w:rsidR="008A393E" w:rsidRPr="00C83F7F" w:rsidRDefault="008A393E" w:rsidP="008A393E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s podaním infúzie, bolesť</w:t>
            </w:r>
          </w:p>
          <w:p w14:paraId="68572451" w14:textId="77777777" w:rsidR="008A393E" w:rsidRPr="00C83F7F" w:rsidRDefault="008A393E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v mieste podania injekcie</w:t>
            </w:r>
          </w:p>
        </w:tc>
      </w:tr>
      <w:tr w:rsidR="008A393E" w:rsidRPr="00ED4C53" w14:paraId="2DCCF475" w14:textId="77777777" w:rsidTr="00C83F7F">
        <w:trPr>
          <w:trHeight w:hRule="exact" w:val="76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F14C" w14:textId="77777777" w:rsidR="008A393E" w:rsidRPr="00C83F7F" w:rsidRDefault="008A393E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Úrazy, otravy a komplikácie liečebného postupu</w:t>
            </w:r>
          </w:p>
        </w:tc>
        <w:tc>
          <w:tcPr>
            <w:tcW w:w="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4DAEE" w14:textId="77777777" w:rsidR="008A393E" w:rsidRPr="00C83F7F" w:rsidRDefault="00F016F3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FD2FF" w14:textId="77777777" w:rsidR="008A393E" w:rsidRPr="00C83F7F" w:rsidRDefault="00211E62" w:rsidP="00161F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 </w:t>
            </w:r>
            <w:r w:rsidR="00CF3154" w:rsidRPr="00C83F7F">
              <w:rPr>
                <w:sz w:val="22"/>
                <w:szCs w:val="22"/>
                <w:lang w:val="sk-SK"/>
              </w:rPr>
              <w:t>-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681D" w14:textId="77777777" w:rsidR="008A393E" w:rsidRPr="00C83F7F" w:rsidRDefault="008A393E" w:rsidP="00355DED">
            <w:pPr>
              <w:widowControl w:val="0"/>
              <w:autoSpaceDE w:val="0"/>
              <w:autoSpaceDN w:val="0"/>
              <w:adjustRightInd w:val="0"/>
              <w:ind w:left="10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Kontúzia</w:t>
            </w:r>
          </w:p>
        </w:tc>
      </w:tr>
    </w:tbl>
    <w:p w14:paraId="2ACAF0C4" w14:textId="77777777" w:rsidR="00317033" w:rsidRPr="00C83F7F" w:rsidRDefault="00317033" w:rsidP="00054B7E">
      <w:pPr>
        <w:widowControl w:val="0"/>
        <w:autoSpaceDE w:val="0"/>
        <w:autoSpaceDN w:val="0"/>
        <w:adjustRightInd w:val="0"/>
        <w:ind w:left="215" w:right="487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vertAlign w:val="superscript"/>
          <w:lang w:val="sk-SK"/>
        </w:rPr>
        <w:t>+</w:t>
      </w:r>
      <w:r w:rsidRPr="00C83F7F">
        <w:rPr>
          <w:sz w:val="22"/>
          <w:szCs w:val="22"/>
          <w:lang w:val="sk-SK"/>
        </w:rPr>
        <w:t xml:space="preserve"> Pri každom výraze sa výpočet výskytu zakladal na ADR všetkých stupňov. Pri výrazo</w:t>
      </w:r>
      <w:r w:rsidR="00054B7E" w:rsidRPr="00C83F7F">
        <w:rPr>
          <w:sz w:val="22"/>
          <w:szCs w:val="22"/>
          <w:lang w:val="sk-SK"/>
        </w:rPr>
        <w:t xml:space="preserve">ch označených “+” sa </w:t>
      </w:r>
      <w:r w:rsidRPr="00C83F7F">
        <w:rPr>
          <w:sz w:val="22"/>
          <w:szCs w:val="22"/>
          <w:lang w:val="sk-SK"/>
        </w:rPr>
        <w:t>výpočet výskytu zakladal na ADR 3.-4. stupňa. ADR sa doplnili podľa najvyššej incidencie pozorovanej</w:t>
      </w:r>
      <w:r w:rsidR="00054B7E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v ktorejkoľvek z najdôležitejších štúdií kombinovanej liečby</w:t>
      </w:r>
      <w:r w:rsidR="00154C55" w:rsidRPr="005E37A5">
        <w:rPr>
          <w:sz w:val="22"/>
          <w:szCs w:val="22"/>
          <w:lang w:val="sk-SK"/>
        </w:rPr>
        <w:t>.</w:t>
      </w:r>
    </w:p>
    <w:p w14:paraId="468354E3" w14:textId="77777777" w:rsidR="00317033" w:rsidRPr="00C83F7F" w:rsidRDefault="00317033" w:rsidP="00F80C87">
      <w:pPr>
        <w:widowControl w:val="0"/>
        <w:autoSpaceDE w:val="0"/>
        <w:autoSpaceDN w:val="0"/>
        <w:adjustRightInd w:val="0"/>
        <w:jc w:val="both"/>
        <w:rPr>
          <w:lang w:val="sk-SK"/>
        </w:rPr>
      </w:pPr>
    </w:p>
    <w:p w14:paraId="375C5F7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u w:val="single"/>
          <w:lang w:val="sk-SK"/>
        </w:rPr>
        <w:t>Postmarketingové skúsenosti</w:t>
      </w:r>
    </w:p>
    <w:p w14:paraId="6DC6E0EB" w14:textId="77777777" w:rsidR="008A393E" w:rsidRPr="00C83F7F" w:rsidRDefault="00317033" w:rsidP="00ED5A1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Počas postmarketingovej expozície boli zistené nasledujúce ďalšie závažné nežiaduce reakcie:</w:t>
      </w:r>
    </w:p>
    <w:p w14:paraId="01AF9A46" w14:textId="77777777" w:rsidR="00ED5A11" w:rsidRPr="00C83F7F" w:rsidRDefault="00ED5A11" w:rsidP="00ED5A1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8BE2F7E" w14:textId="77777777" w:rsidR="008A393E" w:rsidRPr="00C83F7F" w:rsidRDefault="008A393E" w:rsidP="008A393E">
      <w:pPr>
        <w:widowControl w:val="0"/>
        <w:tabs>
          <w:tab w:val="left" w:pos="1640"/>
        </w:tabs>
        <w:autoSpaceDE w:val="0"/>
        <w:autoSpaceDN w:val="0"/>
        <w:adjustRightInd w:val="0"/>
        <w:ind w:left="1134" w:hanging="1134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Tabuľka 6 Súhrn udalostí s kapecitabínom hlásených po uvedení lieku na trh</w:t>
      </w:r>
    </w:p>
    <w:tbl>
      <w:tblPr>
        <w:tblW w:w="8505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2459"/>
        <w:gridCol w:w="3007"/>
      </w:tblGrid>
      <w:tr w:rsidR="005272AC" w:rsidRPr="00ED4C53" w14:paraId="7054BC51" w14:textId="77777777" w:rsidTr="00C83F7F">
        <w:trPr>
          <w:trHeight w:val="819"/>
        </w:trPr>
        <w:tc>
          <w:tcPr>
            <w:tcW w:w="3039" w:type="dxa"/>
            <w:shd w:val="clear" w:color="auto" w:fill="auto"/>
          </w:tcPr>
          <w:p w14:paraId="4330DA3B" w14:textId="77777777" w:rsidR="005272AC" w:rsidRPr="00C83F7F" w:rsidRDefault="005272AC" w:rsidP="005272A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C83F7F">
              <w:rPr>
                <w:b/>
                <w:sz w:val="22"/>
                <w:szCs w:val="22"/>
                <w:lang w:val="sk-SK"/>
              </w:rPr>
              <w:t>Telový systém</w:t>
            </w:r>
          </w:p>
          <w:p w14:paraId="4430D1AA" w14:textId="77777777" w:rsidR="005272AC" w:rsidRPr="00C83F7F" w:rsidRDefault="005272AC" w:rsidP="005272A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2459" w:type="dxa"/>
            <w:shd w:val="clear" w:color="auto" w:fill="auto"/>
          </w:tcPr>
          <w:p w14:paraId="1FE8447F" w14:textId="77777777" w:rsidR="005272AC" w:rsidRPr="00C83F7F" w:rsidRDefault="005272AC" w:rsidP="005272A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C83F7F">
              <w:rPr>
                <w:b/>
                <w:sz w:val="22"/>
                <w:szCs w:val="22"/>
                <w:lang w:val="sk-SK"/>
              </w:rPr>
              <w:t>Zriedkavé</w:t>
            </w:r>
          </w:p>
        </w:tc>
        <w:tc>
          <w:tcPr>
            <w:tcW w:w="3007" w:type="dxa"/>
          </w:tcPr>
          <w:p w14:paraId="2C987888" w14:textId="77777777" w:rsidR="005272AC" w:rsidRPr="00C83F7F" w:rsidRDefault="005272AC" w:rsidP="005272A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 w:eastAsia="el-GR"/>
              </w:rPr>
              <w:t>Veľmi zriedkavé</w:t>
            </w:r>
          </w:p>
        </w:tc>
      </w:tr>
      <w:tr w:rsidR="005272AC" w:rsidRPr="00ED4C53" w14:paraId="1EE23B00" w14:textId="77777777" w:rsidTr="00C83F7F">
        <w:trPr>
          <w:trHeight w:val="1253"/>
        </w:trPr>
        <w:tc>
          <w:tcPr>
            <w:tcW w:w="3039" w:type="dxa"/>
            <w:shd w:val="clear" w:color="auto" w:fill="auto"/>
          </w:tcPr>
          <w:p w14:paraId="7DC95121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2459" w:type="dxa"/>
            <w:shd w:val="clear" w:color="auto" w:fill="auto"/>
          </w:tcPr>
          <w:p w14:paraId="2F3A59CC" w14:textId="77777777" w:rsidR="000A7EB9" w:rsidRPr="00C83F7F" w:rsidRDefault="005272AC" w:rsidP="00EB16C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l-GR"/>
              </w:rPr>
            </w:pPr>
            <w:r w:rsidRPr="00C83F7F">
              <w:rPr>
                <w:sz w:val="22"/>
                <w:szCs w:val="22"/>
                <w:lang w:val="sk-SK"/>
              </w:rPr>
              <w:t>Stenóza slzného kanálika</w:t>
            </w:r>
            <w:r w:rsidR="000A7EB9" w:rsidRPr="00C83F7F">
              <w:rPr>
                <w:sz w:val="22"/>
                <w:szCs w:val="22"/>
                <w:lang w:val="sk-SK"/>
              </w:rPr>
              <w:t xml:space="preserve">, </w:t>
            </w:r>
            <w:r w:rsidR="000A7EB9" w:rsidRPr="00C83F7F">
              <w:rPr>
                <w:sz w:val="22"/>
                <w:szCs w:val="22"/>
                <w:lang w:val="sk-SK" w:eastAsia="el-GR"/>
              </w:rPr>
              <w:t>poruchy rohovky, keratitída,</w:t>
            </w:r>
          </w:p>
          <w:p w14:paraId="6C93B5DB" w14:textId="77777777" w:rsidR="005272AC" w:rsidRPr="00C83F7F" w:rsidRDefault="000A7EB9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 w:eastAsia="el-GR"/>
              </w:rPr>
              <w:t>bodkovaná keratitída</w:t>
            </w:r>
          </w:p>
        </w:tc>
        <w:tc>
          <w:tcPr>
            <w:tcW w:w="3007" w:type="dxa"/>
          </w:tcPr>
          <w:p w14:paraId="79B48F16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5272AC" w:rsidRPr="00ED4C53" w14:paraId="1DD4380F" w14:textId="77777777" w:rsidTr="00C83F7F">
        <w:trPr>
          <w:trHeight w:val="1267"/>
        </w:trPr>
        <w:tc>
          <w:tcPr>
            <w:tcW w:w="3039" w:type="dxa"/>
            <w:shd w:val="clear" w:color="auto" w:fill="auto"/>
          </w:tcPr>
          <w:p w14:paraId="67FE3A27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lastRenderedPageBreak/>
              <w:t>Poruchy srdca a srdcovej činnosti</w:t>
            </w:r>
          </w:p>
        </w:tc>
        <w:tc>
          <w:tcPr>
            <w:tcW w:w="2459" w:type="dxa"/>
            <w:shd w:val="clear" w:color="auto" w:fill="auto"/>
          </w:tcPr>
          <w:p w14:paraId="1F09CB21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Fibrilácia komôr, predĺženie QT intervalu, torsade de pointes“, bradykardia, vazospazmus</w:t>
            </w:r>
          </w:p>
        </w:tc>
        <w:tc>
          <w:tcPr>
            <w:tcW w:w="3007" w:type="dxa"/>
          </w:tcPr>
          <w:p w14:paraId="55C2661D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5272AC" w:rsidRPr="00ED4C53" w14:paraId="3CCBDADB" w14:textId="77777777" w:rsidTr="00C83F7F">
        <w:trPr>
          <w:trHeight w:val="819"/>
        </w:trPr>
        <w:tc>
          <w:tcPr>
            <w:tcW w:w="3039" w:type="dxa"/>
            <w:shd w:val="clear" w:color="auto" w:fill="auto"/>
          </w:tcPr>
          <w:p w14:paraId="717762E6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2459" w:type="dxa"/>
            <w:shd w:val="clear" w:color="auto" w:fill="auto"/>
          </w:tcPr>
          <w:p w14:paraId="0C1A0E64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Zlyhanie pečene, cholestatická hepatitída</w:t>
            </w:r>
          </w:p>
        </w:tc>
        <w:tc>
          <w:tcPr>
            <w:tcW w:w="3007" w:type="dxa"/>
          </w:tcPr>
          <w:p w14:paraId="5EA6B71E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  <w:tr w:rsidR="005272AC" w:rsidRPr="00DC11F0" w14:paraId="2F10AD15" w14:textId="77777777" w:rsidTr="00C83F7F">
        <w:trPr>
          <w:trHeight w:val="1664"/>
        </w:trPr>
        <w:tc>
          <w:tcPr>
            <w:tcW w:w="3039" w:type="dxa"/>
            <w:shd w:val="clear" w:color="auto" w:fill="auto"/>
          </w:tcPr>
          <w:p w14:paraId="7397DF0B" w14:textId="77777777" w:rsidR="005272AC" w:rsidRPr="00C83F7F" w:rsidRDefault="005272AC" w:rsidP="00EB16CC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sk-SK" w:eastAsia="el-GR"/>
              </w:rPr>
            </w:pPr>
            <w:r w:rsidRPr="00C83F7F">
              <w:rPr>
                <w:i/>
                <w:iCs/>
                <w:sz w:val="22"/>
                <w:szCs w:val="22"/>
                <w:lang w:val="sk-SK" w:eastAsia="el-GR"/>
              </w:rPr>
              <w:t>Poruchy kože a podkožného</w:t>
            </w:r>
          </w:p>
          <w:p w14:paraId="2454A0E2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 w:eastAsia="el-GR"/>
              </w:rPr>
              <w:t>tkaniva</w:t>
            </w:r>
          </w:p>
        </w:tc>
        <w:tc>
          <w:tcPr>
            <w:tcW w:w="2459" w:type="dxa"/>
            <w:shd w:val="clear" w:color="auto" w:fill="auto"/>
          </w:tcPr>
          <w:p w14:paraId="5DACC98E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 w:eastAsia="el-GR"/>
              </w:rPr>
              <w:t>Kožný lupus erythematosus</w:t>
            </w:r>
          </w:p>
        </w:tc>
        <w:tc>
          <w:tcPr>
            <w:tcW w:w="3007" w:type="dxa"/>
          </w:tcPr>
          <w:p w14:paraId="48BD230E" w14:textId="77777777" w:rsidR="005272AC" w:rsidRPr="00C83F7F" w:rsidRDefault="005272AC" w:rsidP="00EB16CC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lang w:val="sk-SK" w:eastAsia="el-GR"/>
              </w:rPr>
            </w:pPr>
            <w:r w:rsidRPr="00C83F7F">
              <w:rPr>
                <w:color w:val="222222"/>
                <w:sz w:val="22"/>
                <w:szCs w:val="22"/>
                <w:lang w:val="sk-SK" w:eastAsia="el-GR"/>
              </w:rPr>
              <w:t>Závažné kožné reakcie ako je</w:t>
            </w:r>
          </w:p>
          <w:p w14:paraId="1AF69B17" w14:textId="77777777" w:rsidR="005272AC" w:rsidRPr="00C83F7F" w:rsidRDefault="005272AC" w:rsidP="00EB16CC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lang w:val="sk-SK" w:eastAsia="el-GR"/>
              </w:rPr>
            </w:pPr>
            <w:r w:rsidRPr="00C83F7F">
              <w:rPr>
                <w:color w:val="222222"/>
                <w:sz w:val="22"/>
                <w:szCs w:val="22"/>
                <w:lang w:val="sk-SK" w:eastAsia="el-GR"/>
              </w:rPr>
              <w:t>Stevensov-Johnsonov syndróm</w:t>
            </w:r>
          </w:p>
          <w:p w14:paraId="01A89461" w14:textId="77777777" w:rsidR="005272AC" w:rsidRPr="00C83F7F" w:rsidRDefault="005272AC" w:rsidP="00EB16CC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lang w:val="sk-SK" w:eastAsia="el-GR"/>
              </w:rPr>
            </w:pPr>
            <w:r w:rsidRPr="00C83F7F">
              <w:rPr>
                <w:color w:val="222222"/>
                <w:sz w:val="22"/>
                <w:szCs w:val="22"/>
                <w:lang w:val="sk-SK" w:eastAsia="el-GR"/>
              </w:rPr>
              <w:t>a toxická epidermálna nekrolýza</w:t>
            </w:r>
          </w:p>
          <w:p w14:paraId="3B510A9B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color w:val="222222"/>
                <w:sz w:val="22"/>
                <w:szCs w:val="22"/>
                <w:lang w:val="sk-SK" w:eastAsia="el-GR"/>
              </w:rPr>
              <w:t>(pozri časť 4.4)</w:t>
            </w:r>
          </w:p>
        </w:tc>
      </w:tr>
      <w:tr w:rsidR="005272AC" w:rsidRPr="00DC11F0" w14:paraId="5A80DBF4" w14:textId="77777777" w:rsidTr="00C83F7F">
        <w:trPr>
          <w:trHeight w:val="1267"/>
        </w:trPr>
        <w:tc>
          <w:tcPr>
            <w:tcW w:w="3039" w:type="dxa"/>
            <w:shd w:val="clear" w:color="auto" w:fill="auto"/>
          </w:tcPr>
          <w:p w14:paraId="2DCCDC97" w14:textId="77777777" w:rsidR="005272AC" w:rsidRPr="00C83F7F" w:rsidRDefault="005272AC" w:rsidP="00EB16CC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sk-SK" w:eastAsia="el-GR"/>
              </w:rPr>
            </w:pPr>
            <w:r w:rsidRPr="00C83F7F">
              <w:rPr>
                <w:i/>
                <w:iCs/>
                <w:sz w:val="22"/>
                <w:szCs w:val="22"/>
                <w:lang w:val="sk-SK" w:eastAsia="el-GR"/>
              </w:rPr>
              <w:t>Poruchy obličiek a močových</w:t>
            </w:r>
          </w:p>
          <w:p w14:paraId="27375E28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i/>
                <w:iCs/>
                <w:sz w:val="22"/>
                <w:szCs w:val="22"/>
                <w:lang w:val="sk-SK" w:eastAsia="el-GR"/>
              </w:rPr>
              <w:t>ciest</w:t>
            </w:r>
          </w:p>
        </w:tc>
        <w:tc>
          <w:tcPr>
            <w:tcW w:w="2459" w:type="dxa"/>
            <w:shd w:val="clear" w:color="auto" w:fill="auto"/>
          </w:tcPr>
          <w:p w14:paraId="1223DB15" w14:textId="77777777" w:rsidR="005272AC" w:rsidRPr="00C83F7F" w:rsidRDefault="005272AC" w:rsidP="00EB16C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el-GR"/>
              </w:rPr>
            </w:pPr>
            <w:r w:rsidRPr="00C83F7F">
              <w:rPr>
                <w:sz w:val="22"/>
                <w:szCs w:val="22"/>
                <w:lang w:val="sk-SK" w:eastAsia="el-GR"/>
              </w:rPr>
              <w:t>Akútne zlyhanie obličiek</w:t>
            </w:r>
          </w:p>
          <w:p w14:paraId="0498711A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 w:eastAsia="el-GR"/>
              </w:rPr>
              <w:t>sekundárne po dehydratácii</w:t>
            </w:r>
          </w:p>
        </w:tc>
        <w:tc>
          <w:tcPr>
            <w:tcW w:w="3007" w:type="dxa"/>
          </w:tcPr>
          <w:p w14:paraId="673795F6" w14:textId="77777777" w:rsidR="005272AC" w:rsidRPr="00C83F7F" w:rsidRDefault="005272AC" w:rsidP="00EB16CC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</w:tr>
    </w:tbl>
    <w:p w14:paraId="1C82F476" w14:textId="77777777" w:rsidR="00317033" w:rsidRPr="00C83F7F" w:rsidRDefault="00317033" w:rsidP="00F80C8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6E91E0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Cs/>
          <w:sz w:val="22"/>
          <w:szCs w:val="22"/>
          <w:u w:val="single"/>
          <w:lang w:val="sk-SK"/>
        </w:rPr>
        <w:t>Popis vybraných nežiaducich reakcií</w:t>
      </w:r>
    </w:p>
    <w:p w14:paraId="183186C7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F0C356B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Syndróm ruka-noha (pozri časť 4.4):</w:t>
      </w:r>
    </w:p>
    <w:p w14:paraId="526A1B64" w14:textId="671053B9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V štúdiách </w:t>
      </w:r>
      <w:r w:rsidR="004B5072" w:rsidRPr="00C83F7F">
        <w:rPr>
          <w:sz w:val="22"/>
          <w:szCs w:val="22"/>
          <w:lang w:val="sk-SK"/>
        </w:rPr>
        <w:t xml:space="preserve">s </w:t>
      </w:r>
      <w:r w:rsidRPr="00C83F7F">
        <w:rPr>
          <w:sz w:val="22"/>
          <w:szCs w:val="22"/>
          <w:lang w:val="sk-SK"/>
        </w:rPr>
        <w:t>kapecitabín</w:t>
      </w:r>
      <w:r w:rsidR="00154C55" w:rsidRPr="005E37A5">
        <w:rPr>
          <w:sz w:val="22"/>
          <w:szCs w:val="22"/>
          <w:lang w:val="sk-SK"/>
        </w:rPr>
        <w:t>om</w:t>
      </w:r>
      <w:r w:rsidRPr="00C83F7F">
        <w:rPr>
          <w:sz w:val="22"/>
          <w:szCs w:val="22"/>
          <w:lang w:val="sk-SK"/>
        </w:rPr>
        <w:t xml:space="preserve"> v monoterapii (pozostávajúcich zo štúdií overujúcich adjuvantnú liečbu karcinómu hrubého čreva, liečbu metastatického kolorektálneho karcinómu a liečbu karcinómu prsníka) sa pri podávaní kapecitabínu v dávke 1 250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dvakrát denne v 1. až 14. deň raz za</w:t>
      </w:r>
      <w:r w:rsidR="00692B6E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3 týždne pozoroval 53 % až 60 % výskyt syndrómu ruka-noha (hand-foot syndrome, HFS) všetkých stupňov a v skupine užívajúcej kapecitabín/docetaxel na liečbu metastatického karcinómu prsníka sa pozoroval 63 % výskyt. V štúdiách kapecitabínu v kombinovanej liečbe sa pri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podávaní kapecitabínu v dávke 1 000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dvakrát denne v 1. až 14. deň raz za 3 týždne pozoroval 22 % až 30 % výskyt HFS všetkých stupňov.</w:t>
      </w:r>
    </w:p>
    <w:p w14:paraId="4BA9BD2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CA0AE9" w14:textId="6A00131E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Metaanalýza 14 klinických štúdií s údajmi od viac ako 4 700 pacientov liečených kapecitabínom v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monoterapii alebo v kombinácii s rôznymi režimami chemoterapie vo viacerých indikáciách (karcinóm hrubého čreva, kolorektálny karcinóm, karcinóm žalúdka a karcinóm prsníka) ukázala, že HFS (všetky stupne) sa vyskytol u 2 066 (43 %) pacientov po mediáne 239 dní (95 % interval spoľahlivosti 201,288) od začiatku liečby kapecitabínom. Nasledujúce premenné boli vo všetkých štúdiách štatisticky významne spojené so zvýšeným rizikom výskytu HFS: stúpajúca počiatočná dávka kapecitabínu (v gramoch), klesajúca kumulatívna dávka kapecitabínu (0,1*kg), stúpajúca relatívna dávková intenzita v prvých 6 týždňoch, stúpajúce trvanie liečby v rámci klinickej štúdie (v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týždňoch), stúpajúci vek (v prírastkoch 10 rokov), ženské pohlavie, a dobrý ECOG výkonnostný stav na začiatku (0 verzus ≥1).</w:t>
      </w:r>
    </w:p>
    <w:p w14:paraId="671157A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F5C4E54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Hnačka (pozri časť 4.4):</w:t>
      </w:r>
    </w:p>
    <w:p w14:paraId="3335A9E2" w14:textId="77777777" w:rsidR="00317033" w:rsidRPr="00C83F7F" w:rsidRDefault="00F1360B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K</w:t>
      </w:r>
      <w:r w:rsidR="00AF7733" w:rsidRPr="00C83F7F">
        <w:rPr>
          <w:sz w:val="22"/>
          <w:szCs w:val="22"/>
          <w:lang w:val="sk-SK"/>
        </w:rPr>
        <w:t>apecitabín</w:t>
      </w:r>
      <w:r w:rsidR="00317033" w:rsidRPr="00C83F7F">
        <w:rPr>
          <w:sz w:val="22"/>
          <w:szCs w:val="22"/>
          <w:lang w:val="sk-SK"/>
        </w:rPr>
        <w:t xml:space="preserve"> môže vyvolať hnačku, ktorej výskyt sa pozoroval až u 50 % pacientov.</w:t>
      </w:r>
    </w:p>
    <w:p w14:paraId="2CC313E0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2DE4ADF" w14:textId="1FEA4EE0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Metaanalýza 14 klinických štúdií s údajmi od viac ako 4 700 pacientov liečených kapecitabínom ukázala, že vo všetkých štúdiách boli nasledujúce premenné štatisticky významne spojené so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zvýšeným rizikom výskytu hnačky: stúpajúca počiatočná dávka kapecitabínu (v gramoch), stúpajúce trvanie liečby v rámci klinickej štúdie (v týždňoch), stúpajúci vek (v násobkoch 10 rokov) a ženské pohlavie. Nasledujúce premenné boli štatisticky významne spojené so zníženým rizikom výskytu</w:t>
      </w:r>
      <w:r w:rsidR="00692B6E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hnačky: stúpajúca kumulatívna dávka kapecitabínu (0,1*kg) a stúpajúca relatívna dávková intenzita v prvých 6 týždňoch.</w:t>
      </w:r>
    </w:p>
    <w:p w14:paraId="34EB2654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C2A2BC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Kardiotoxicita (pozri časť 4.4) :</w:t>
      </w:r>
    </w:p>
    <w:p w14:paraId="38DE1ACE" w14:textId="1861AF2F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Navyše k ADR popísaným v tabuľkách 4 a 5 súviseli s použitím </w:t>
      </w:r>
      <w:r w:rsidR="00AF7733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 xml:space="preserve">v monoterapii </w:t>
      </w:r>
      <w:r w:rsidRPr="00C83F7F">
        <w:rPr>
          <w:sz w:val="22"/>
          <w:szCs w:val="22"/>
          <w:lang w:val="sk-SK"/>
        </w:rPr>
        <w:lastRenderedPageBreak/>
        <w:t>nasledujúce</w:t>
      </w:r>
      <w:r w:rsidR="00230B3C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ADR s incidenciou nižšou ako 0,1 %, a to na základe súhrnnej analýzy klinických údajov</w:t>
      </w:r>
      <w:r w:rsidR="00005199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o bezpečnosti zo 7 klinických štúdií zahŕňajúcich 949 pacientov (2 klinické štúdie fázy III a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5 klinických štúdií fázy II u pacientov s metastatickým kolorektálnym karcinómom a u pacientov</w:t>
      </w:r>
      <w:r w:rsidR="00005199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s metastatickým karcinómom prsníka): kardiomyopatia, srdcové zlyhanie, náhla smrť a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ventrikulárne extrasystoly.</w:t>
      </w:r>
    </w:p>
    <w:p w14:paraId="3BB71C70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ACAD917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Encefalopatia:</w:t>
      </w:r>
    </w:p>
    <w:p w14:paraId="52F7307B" w14:textId="768A6B53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Navyše k ADR popísaným v tabuľkách 4 a 5 a na základe vyššie uvedenej súhrnnej analýzy klinických údajov o bezpečnosti zo 7 klinických štúdií súvisela s použitím </w:t>
      </w:r>
      <w:r w:rsidR="00AF7733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v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monoterapii aj</w:t>
      </w:r>
      <w:r w:rsidR="00AF7733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encefalopatia s incidenciou nižšou ako 0,1 %.</w:t>
      </w:r>
    </w:p>
    <w:p w14:paraId="700BB287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CCC8B3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C83F7F">
        <w:rPr>
          <w:i/>
          <w:iCs/>
          <w:sz w:val="22"/>
          <w:szCs w:val="22"/>
          <w:u w:val="single"/>
          <w:lang w:val="sk-SK"/>
        </w:rPr>
        <w:t>Osobitné skupiny pacientov</w:t>
      </w:r>
    </w:p>
    <w:p w14:paraId="4A3C44FB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2F35BE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Starší pacienti (pozri časť 4.2):</w:t>
      </w:r>
    </w:p>
    <w:p w14:paraId="7F2D645B" w14:textId="37443368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Analýza údajov o bezpečnosti u pacientov vo veku ≥ 60 rokov liečených </w:t>
      </w:r>
      <w:r w:rsidR="00432BFD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v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monoterapii</w:t>
      </w:r>
      <w:r w:rsidR="00230B3C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a analýza pacientov liečených </w:t>
      </w:r>
      <w:r w:rsidR="00432BFD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 xml:space="preserve">v kombinovanej liečbe s docetaxelom preukázala zvýšený výskyt nežiaducich reakcií 3. a 4. stupňa súvisiacich s liečbou a závažných nežiaducich reakcií súvisiacich s liečbou v porovnaní s pacientmi vo veku &lt; 60 rokov. U pacientov vo veku ≥ 60 rokov liečených </w:t>
      </w:r>
      <w:r w:rsidR="00432BFD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a docetaxelom sa zistil aj zvýšený výskyt predčasného ukončenia liečby kvôli nežiaducim reakciám v porovnaní s pacientmi vo veku &lt; 60 rokov.</w:t>
      </w:r>
    </w:p>
    <w:p w14:paraId="0B6FE8F4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F488FB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Výsledky metaanalýzy 14 klinických štúdií s údajmi od viac ako 4 700 pacientov liečených kapecitabínom ukázali, že vo všetkých štúdiách bol stúpajúci vek (v prírastkoch 10 rokov) štatisticky významne spojený so zvýšeným rizikom výskytu HFS a hnačky a so zníženým rizikom vzniku neutropénie.</w:t>
      </w:r>
    </w:p>
    <w:p w14:paraId="7DBE265C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D2912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Pohlavie</w:t>
      </w:r>
    </w:p>
    <w:p w14:paraId="631871FE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Výsledky metaanalýzy 14 klinických štúdií s údajmi od viac ako 4 700 pacientov liečených kapecitabínom ukázali, že vo všetkých štúdiách bolo ženské pohlavie štatisticky významne spojené so zvýšeným rizikom výskytu HFS a hnačky a so zníženým rizikom vzniku neutropénie.</w:t>
      </w:r>
    </w:p>
    <w:p w14:paraId="3BDA06C7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642C12F" w14:textId="4E74F7F8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Pacienti s po</w:t>
      </w:r>
      <w:r w:rsidR="003035D9" w:rsidRPr="00C83F7F">
        <w:rPr>
          <w:i/>
          <w:iCs/>
          <w:sz w:val="22"/>
          <w:szCs w:val="22"/>
          <w:lang w:val="sk-SK"/>
        </w:rPr>
        <w:t>ruchou</w:t>
      </w:r>
      <w:r w:rsidRPr="00C83F7F">
        <w:rPr>
          <w:i/>
          <w:iCs/>
          <w:sz w:val="22"/>
          <w:szCs w:val="22"/>
          <w:lang w:val="sk-SK"/>
        </w:rPr>
        <w:t xml:space="preserve"> funkcie obličiek (pozri časti 4.2, 4.4 a 5.2):</w:t>
      </w:r>
    </w:p>
    <w:p w14:paraId="39F9E717" w14:textId="5B0B6894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Analýza údajov o bezpečnosti u pacientov liečených </w:t>
      </w:r>
      <w:r w:rsidR="00432BFD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 xml:space="preserve">v monoterapii (kolorektálny karcinóm), ktorí už pred začiatkom liečby mali </w:t>
      </w:r>
      <w:r w:rsidR="003035D9" w:rsidRPr="00C83F7F">
        <w:rPr>
          <w:sz w:val="22"/>
          <w:szCs w:val="22"/>
          <w:lang w:val="sk-SK"/>
        </w:rPr>
        <w:t xml:space="preserve">poruchu </w:t>
      </w:r>
      <w:r w:rsidRPr="00C83F7F">
        <w:rPr>
          <w:sz w:val="22"/>
          <w:szCs w:val="22"/>
          <w:lang w:val="sk-SK"/>
        </w:rPr>
        <w:t>funkcie obličiek, preukázala zvýšený výskyt</w:t>
      </w:r>
      <w:r w:rsidR="00C31ECC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nežiaducich reakcií 3. a 4. stupňa súvisiacich s liečbou</w:t>
      </w:r>
      <w:r w:rsidR="003035D9" w:rsidRPr="00C83F7F">
        <w:rPr>
          <w:sz w:val="22"/>
          <w:szCs w:val="22"/>
          <w:lang w:val="sk-SK"/>
        </w:rPr>
        <w:t>,</w:t>
      </w:r>
      <w:r w:rsidRPr="00C83F7F">
        <w:rPr>
          <w:sz w:val="22"/>
          <w:szCs w:val="22"/>
          <w:lang w:val="sk-SK"/>
        </w:rPr>
        <w:t xml:space="preserve"> v porovnaní s pacientmi s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normálnou funkciou obličiek (36 % u pacientov bez </w:t>
      </w:r>
      <w:r w:rsidR="003035D9" w:rsidRPr="00C83F7F">
        <w:rPr>
          <w:sz w:val="22"/>
          <w:szCs w:val="22"/>
          <w:lang w:val="sk-SK"/>
        </w:rPr>
        <w:t xml:space="preserve">poruchy </w:t>
      </w:r>
      <w:r w:rsidRPr="00C83F7F">
        <w:rPr>
          <w:sz w:val="22"/>
          <w:szCs w:val="22"/>
          <w:lang w:val="sk-SK"/>
        </w:rPr>
        <w:t>funkcie obličiek n=268 oproti 41 % u pacientov s miern</w:t>
      </w:r>
      <w:r w:rsidR="003035D9" w:rsidRPr="00C83F7F">
        <w:rPr>
          <w:sz w:val="22"/>
          <w:szCs w:val="22"/>
          <w:lang w:val="sk-SK"/>
        </w:rPr>
        <w:t>ou</w:t>
      </w:r>
      <w:r w:rsidRPr="00C83F7F">
        <w:rPr>
          <w:sz w:val="22"/>
          <w:szCs w:val="22"/>
          <w:lang w:val="sk-SK"/>
        </w:rPr>
        <w:t xml:space="preserve"> po</w:t>
      </w:r>
      <w:r w:rsidR="003035D9" w:rsidRPr="00C83F7F">
        <w:rPr>
          <w:sz w:val="22"/>
          <w:szCs w:val="22"/>
          <w:lang w:val="sk-SK"/>
        </w:rPr>
        <w:t>ruchou</w:t>
      </w:r>
      <w:r w:rsidRPr="00C83F7F">
        <w:rPr>
          <w:sz w:val="22"/>
          <w:szCs w:val="22"/>
          <w:lang w:val="sk-SK"/>
        </w:rPr>
        <w:t xml:space="preserve"> funkcie obličiek n=257 a 54 % u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pacientov so stredne </w:t>
      </w:r>
      <w:r w:rsidR="003035D9" w:rsidRPr="00C83F7F">
        <w:rPr>
          <w:sz w:val="22"/>
          <w:szCs w:val="22"/>
          <w:lang w:val="sk-SK"/>
        </w:rPr>
        <w:t xml:space="preserve">závažnou poruchou </w:t>
      </w:r>
      <w:r w:rsidRPr="00C83F7F">
        <w:rPr>
          <w:sz w:val="22"/>
          <w:szCs w:val="22"/>
          <w:lang w:val="sk-SK"/>
        </w:rPr>
        <w:t xml:space="preserve">funkcie obličiek n=59) (pozri časť 5.2). U pacientov so stredne </w:t>
      </w:r>
      <w:r w:rsidR="003035D9" w:rsidRPr="00C83F7F">
        <w:rPr>
          <w:sz w:val="22"/>
          <w:szCs w:val="22"/>
          <w:lang w:val="sk-SK"/>
        </w:rPr>
        <w:t xml:space="preserve">závažnou </w:t>
      </w:r>
      <w:r w:rsidRPr="00C83F7F">
        <w:rPr>
          <w:sz w:val="22"/>
          <w:szCs w:val="22"/>
          <w:lang w:val="sk-SK"/>
        </w:rPr>
        <w:t>po</w:t>
      </w:r>
      <w:r w:rsidR="003035D9" w:rsidRPr="00C83F7F">
        <w:rPr>
          <w:sz w:val="22"/>
          <w:szCs w:val="22"/>
          <w:lang w:val="sk-SK"/>
        </w:rPr>
        <w:t>ruchou</w:t>
      </w:r>
      <w:r w:rsidRPr="00C83F7F">
        <w:rPr>
          <w:sz w:val="22"/>
          <w:szCs w:val="22"/>
          <w:lang w:val="sk-SK"/>
        </w:rPr>
        <w:t xml:space="preserve"> funkcie obličiek sa</w:t>
      </w:r>
      <w:r w:rsidR="00C31ECC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zistil zvýšený výskyt potreby zníženia dávky (44 %) oproti 33 % u pacientov bez </w:t>
      </w:r>
      <w:r w:rsidR="003035D9" w:rsidRPr="00C83F7F">
        <w:rPr>
          <w:sz w:val="22"/>
          <w:szCs w:val="22"/>
          <w:lang w:val="sk-SK"/>
        </w:rPr>
        <w:t xml:space="preserve">poruchy </w:t>
      </w:r>
      <w:r w:rsidRPr="00C83F7F">
        <w:rPr>
          <w:sz w:val="22"/>
          <w:szCs w:val="22"/>
          <w:lang w:val="sk-SK"/>
        </w:rPr>
        <w:t>funkcie</w:t>
      </w:r>
      <w:r w:rsidR="00C31ECC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obličiek a 32 % u pacientov s </w:t>
      </w:r>
      <w:r w:rsidR="003035D9" w:rsidRPr="00C83F7F">
        <w:rPr>
          <w:sz w:val="22"/>
          <w:szCs w:val="22"/>
          <w:lang w:val="sk-SK"/>
        </w:rPr>
        <w:t xml:space="preserve">miernou poruchou </w:t>
      </w:r>
      <w:r w:rsidRPr="00C83F7F">
        <w:rPr>
          <w:sz w:val="22"/>
          <w:szCs w:val="22"/>
          <w:lang w:val="sk-SK"/>
        </w:rPr>
        <w:t>funkcie a zvýšený výskyt predčasného ukončenia liečby (predčasné ukončenie liečby u 21 % pacientov počas prvých dvoch cyklov) oproti 5 %</w:t>
      </w:r>
      <w:r w:rsidR="00C31ECC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u pacientov bez </w:t>
      </w:r>
      <w:r w:rsidR="003035D9" w:rsidRPr="00C83F7F">
        <w:rPr>
          <w:sz w:val="22"/>
          <w:szCs w:val="22"/>
          <w:lang w:val="sk-SK"/>
        </w:rPr>
        <w:t xml:space="preserve">poruchy </w:t>
      </w:r>
      <w:r w:rsidRPr="00C83F7F">
        <w:rPr>
          <w:sz w:val="22"/>
          <w:szCs w:val="22"/>
          <w:lang w:val="sk-SK"/>
        </w:rPr>
        <w:t>funkcie obličiek a 8 % u pacientov s</w:t>
      </w:r>
      <w:r w:rsidR="00154C5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miern</w:t>
      </w:r>
      <w:r w:rsidR="003035D9" w:rsidRPr="00C83F7F">
        <w:rPr>
          <w:sz w:val="22"/>
          <w:szCs w:val="22"/>
          <w:lang w:val="sk-SK"/>
        </w:rPr>
        <w:t xml:space="preserve">ou poruchou </w:t>
      </w:r>
      <w:r w:rsidRPr="00C83F7F">
        <w:rPr>
          <w:sz w:val="22"/>
          <w:szCs w:val="22"/>
          <w:lang w:val="sk-SK"/>
        </w:rPr>
        <w:t>funkcie obličiek.</w:t>
      </w:r>
    </w:p>
    <w:p w14:paraId="43232DFA" w14:textId="77777777" w:rsidR="00317033" w:rsidRPr="00C83F7F" w:rsidRDefault="00317033" w:rsidP="00F80C8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7A7BABE" w14:textId="77777777" w:rsidR="00224903" w:rsidRPr="005E37A5" w:rsidRDefault="00224903" w:rsidP="00224903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5E37A5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38B3EC95" w14:textId="69C6F2F4" w:rsidR="00DE1255" w:rsidRPr="003527CA" w:rsidRDefault="00224903" w:rsidP="00224903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D10F59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AB43E9">
        <w:rPr>
          <w:sz w:val="22"/>
          <w:szCs w:val="22"/>
          <w:lang w:val="sk-SK"/>
        </w:rPr>
        <w:t xml:space="preserve"> </w:t>
      </w:r>
      <w:r w:rsidRPr="00AB43E9">
        <w:rPr>
          <w:noProof/>
          <w:sz w:val="22"/>
          <w:szCs w:val="22"/>
          <w:lang w:val="sk-SK"/>
        </w:rPr>
        <w:t>Umožňuje priebežné monitorovanie pomeru prínosu</w:t>
      </w:r>
      <w:r w:rsidRPr="00AB43E9">
        <w:rPr>
          <w:sz w:val="22"/>
          <w:szCs w:val="22"/>
          <w:lang w:val="sk-SK"/>
        </w:rPr>
        <w:t xml:space="preserve"> a</w:t>
      </w:r>
      <w:r w:rsidRPr="00AB43E9">
        <w:rPr>
          <w:noProof/>
          <w:sz w:val="22"/>
          <w:szCs w:val="22"/>
          <w:lang w:val="sk-SK"/>
        </w:rPr>
        <w:t> rizika lieku.</w:t>
      </w:r>
      <w:r w:rsidRPr="00AB43E9">
        <w:rPr>
          <w:sz w:val="22"/>
          <w:szCs w:val="22"/>
          <w:lang w:val="sk-SK"/>
        </w:rPr>
        <w:t xml:space="preserve"> Od </w:t>
      </w:r>
      <w:r w:rsidRPr="003527CA">
        <w:rPr>
          <w:noProof/>
          <w:sz w:val="22"/>
          <w:szCs w:val="22"/>
          <w:lang w:val="sk-SK"/>
        </w:rPr>
        <w:t>zdravotníckych pracovníkov sa vyžaduje, aby hlásili akékoľvek podozrenia na nežiaduce reakcie</w:t>
      </w:r>
      <w:r w:rsidR="00154C55" w:rsidRPr="00ED4C53">
        <w:rPr>
          <w:noProof/>
          <w:sz w:val="22"/>
          <w:szCs w:val="22"/>
          <w:lang w:val="sk-SK"/>
        </w:rPr>
        <w:t xml:space="preserve"> na </w:t>
      </w:r>
      <w:r w:rsidR="00154C55" w:rsidRPr="00ED4C53">
        <w:rPr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8" w:history="1">
        <w:r w:rsidR="00154C55" w:rsidRPr="00ED4C53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154C55" w:rsidRPr="005E37A5">
        <w:rPr>
          <w:noProof/>
          <w:sz w:val="22"/>
          <w:szCs w:val="22"/>
          <w:lang w:val="sk-SK"/>
        </w:rPr>
        <w:t>.</w:t>
      </w:r>
      <w:r w:rsidRPr="005E37A5">
        <w:rPr>
          <w:noProof/>
          <w:sz w:val="22"/>
          <w:szCs w:val="22"/>
          <w:lang w:val="sk-SK"/>
        </w:rPr>
        <w:t xml:space="preserve"> </w:t>
      </w:r>
    </w:p>
    <w:p w14:paraId="0B20B99E" w14:textId="77777777" w:rsidR="00224903" w:rsidRPr="00C83F7F" w:rsidRDefault="00224903" w:rsidP="00F80C8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7DA098" w14:textId="77777777" w:rsidR="00317033" w:rsidRPr="00C83F7F" w:rsidRDefault="00317033" w:rsidP="00FB2845">
      <w:pPr>
        <w:widowControl w:val="0"/>
        <w:numPr>
          <w:ilvl w:val="0"/>
          <w:numId w:val="11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Predávkovanie</w:t>
      </w:r>
    </w:p>
    <w:p w14:paraId="4B86918E" w14:textId="77777777" w:rsidR="00317033" w:rsidRPr="00C83F7F" w:rsidRDefault="00317033" w:rsidP="00F80C8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48AC01E" w14:textId="77777777" w:rsidR="00317033" w:rsidRPr="00C83F7F" w:rsidRDefault="00317033" w:rsidP="00B67CC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Akútne predávkovanie sa prejavuje nevoľnosťou, vracaním, hnačkou, mukozitídou, podráždením gastrointestinálneho traktu, krvácaním do zažívacieho traktu a útlmom kostnej drene. Liečba predávkovania zahŕňa zvyčajné liečebné a podporné zákroky zamerané na úpravu klinických príznakov a prevenciu možných komplikácií.</w:t>
      </w:r>
    </w:p>
    <w:p w14:paraId="59F9016F" w14:textId="77777777" w:rsidR="00B67CCA" w:rsidRPr="00C83F7F" w:rsidRDefault="00B67CCA" w:rsidP="00C07C1D">
      <w:pPr>
        <w:widowControl w:val="0"/>
        <w:autoSpaceDE w:val="0"/>
        <w:autoSpaceDN w:val="0"/>
        <w:adjustRightInd w:val="0"/>
        <w:spacing w:line="239" w:lineRule="auto"/>
        <w:ind w:left="117" w:right="543"/>
        <w:jc w:val="both"/>
        <w:rPr>
          <w:sz w:val="22"/>
          <w:szCs w:val="22"/>
          <w:lang w:val="sk-SK"/>
        </w:rPr>
      </w:pPr>
    </w:p>
    <w:p w14:paraId="40B8E48D" w14:textId="77777777" w:rsidR="00B67CCA" w:rsidRPr="00C83F7F" w:rsidRDefault="00B67CCA" w:rsidP="00C07C1D">
      <w:pPr>
        <w:widowControl w:val="0"/>
        <w:autoSpaceDE w:val="0"/>
        <w:autoSpaceDN w:val="0"/>
        <w:adjustRightInd w:val="0"/>
        <w:spacing w:line="239" w:lineRule="auto"/>
        <w:ind w:left="117" w:right="543"/>
        <w:jc w:val="both"/>
        <w:rPr>
          <w:sz w:val="22"/>
          <w:szCs w:val="22"/>
          <w:lang w:val="sk-SK"/>
        </w:rPr>
      </w:pPr>
    </w:p>
    <w:p w14:paraId="1024DE46" w14:textId="77777777" w:rsidR="00317033" w:rsidRPr="00C83F7F" w:rsidRDefault="00317033" w:rsidP="00FB2845">
      <w:pPr>
        <w:keepNext/>
        <w:numPr>
          <w:ilvl w:val="0"/>
          <w:numId w:val="3"/>
        </w:numPr>
        <w:jc w:val="both"/>
        <w:outlineLvl w:val="0"/>
        <w:rPr>
          <w:b/>
          <w:kern w:val="28"/>
          <w:sz w:val="22"/>
          <w:szCs w:val="22"/>
          <w:lang w:val="sk-SK"/>
        </w:rPr>
      </w:pPr>
      <w:r w:rsidRPr="00C83F7F">
        <w:rPr>
          <w:b/>
          <w:kern w:val="28"/>
          <w:sz w:val="22"/>
          <w:szCs w:val="22"/>
          <w:lang w:val="sk-SK"/>
        </w:rPr>
        <w:t>FARMAKOLOGICKÉ VLASTNOSTI</w:t>
      </w:r>
    </w:p>
    <w:p w14:paraId="716FF03A" w14:textId="77777777" w:rsidR="00317033" w:rsidRPr="00C83F7F" w:rsidRDefault="00317033" w:rsidP="00F80C8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E5FE83D" w14:textId="77777777" w:rsidR="00317033" w:rsidRPr="00C83F7F" w:rsidRDefault="00317033" w:rsidP="00FB2845">
      <w:pPr>
        <w:widowControl w:val="0"/>
        <w:numPr>
          <w:ilvl w:val="0"/>
          <w:numId w:val="12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Farmakodynamické vlastnosti</w:t>
      </w:r>
    </w:p>
    <w:p w14:paraId="705D6012" w14:textId="77777777" w:rsidR="00317033" w:rsidRPr="00C83F7F" w:rsidRDefault="00317033" w:rsidP="00F80C8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3B92BE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Farmakoterapeutická skupina: cytostatikum (antimetabolit), ATC kód: L01BC06</w:t>
      </w:r>
    </w:p>
    <w:p w14:paraId="0D7954C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B5E9EE" w14:textId="2D317C7C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Kapecitabín je necytotoxický karbamát fluórpyrimidínu, ktorý účinkuje ako perorálne podávaný prekurzor cytotoxickej funkčnej skupiny 5-fluóruracilu (5-FU). K aktivácii kapecitabínu dochádza</w:t>
      </w:r>
      <w:r w:rsidR="008A5549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v priebehu niekoľkých enzymatických krokov (pozri časť 5.2). Enzým, ktorý riadi záverečnú premenu na 5-FU, tymidínfosforyláza (ThyPase) sa nachádza v nádorovom tkanive, ale taktiež v</w:t>
      </w:r>
      <w:r w:rsidR="00CB149A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normálnych tkanivách, hoci obyčajne v nízkych koncentráciách. V štúdiách s ľudskými karcinómami vykázal kapecitabín synergický efekt v kombinácii s docetaxelom, čo môže byť následkom ovplyvnenia tymidínfosforylázy docetaxelom.</w:t>
      </w:r>
    </w:p>
    <w:p w14:paraId="17DBF334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0DDE0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Zistilo sa, že metabolizmus 5-FU v anabolickej dráhe blokuje metylačnú premenu kyseliny deoxyuridylovej na kyselinu tymidylovú, čím dochádza k poruche syntézy kyseliny deoxyribonukleovej (DNA). Inkorporácia 5-FU taktiež vedie k inhibícii syntézy kyseliny ribonukleovej (RNA) a syntézy proteínov. Vzhľadom na zásadný význam DNA a RNA pre delenie a rast buniek, 5-FU môže spôsobiť deficit tymidínu, ktorý vedie k nevyváženému rastu buniek a ich následnému odumretiu. Nedostatok DNA a RNA najvýraznejšie postihuje bunky s rýchlou proliferáciou a rýchlym metabolizmom 5-FU.</w:t>
      </w:r>
    </w:p>
    <w:p w14:paraId="6B0B454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6D7828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u w:val="single"/>
          <w:lang w:val="sk-SK"/>
        </w:rPr>
        <w:t>Karcinóm hrubého čreva a kolorektálny karcinóm:</w:t>
      </w:r>
    </w:p>
    <w:p w14:paraId="44A7556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283ECBD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u w:val="single"/>
          <w:lang w:val="sk-SK"/>
        </w:rPr>
        <w:t>Monoterapia</w:t>
      </w:r>
      <w:r w:rsidR="00432BFD" w:rsidRPr="00C83F7F">
        <w:rPr>
          <w:i/>
          <w:iCs/>
          <w:sz w:val="22"/>
          <w:szCs w:val="22"/>
          <w:u w:val="single"/>
          <w:lang w:val="sk-SK"/>
        </w:rPr>
        <w:t xml:space="preserve"> kapecitabínom </w:t>
      </w:r>
      <w:r w:rsidRPr="00C83F7F">
        <w:rPr>
          <w:i/>
          <w:iCs/>
          <w:sz w:val="22"/>
          <w:szCs w:val="22"/>
          <w:u w:val="single"/>
          <w:lang w:val="sk-SK"/>
        </w:rPr>
        <w:t>pri karcinóme hrubého čreva</w:t>
      </w:r>
    </w:p>
    <w:p w14:paraId="7A1E01D2" w14:textId="24F2EF11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Údaje z jednej multicentrickej, randomizovanej, kontrolovanej klinickej štúdie v III. fáze, skúmajúcej pacientov s karcinómom hrubého čreva štádia III (podľa Dukesa stupeň C), podporujú používanie </w:t>
      </w:r>
      <w:r w:rsidR="00432BFD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 xml:space="preserve">pri adjuvantnej liečbe pacientov s karcinómom hrubého čreva (štúdia XACT, M66001). V tejto štúdii bolo 1987 pacientov randomizovaných na liečbu </w:t>
      </w:r>
      <w:r w:rsidR="00432BFD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(1250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dvakrát denne počas 2 týždňov, potom nasledovala týždňová prestávka; liek sa podával</w:t>
      </w:r>
      <w:r w:rsidR="00432BF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v trojtýždňových cykloch počas 24 týždňov) alebo 5-FU plus leukovorín (režim kliniky Mayo:</w:t>
      </w:r>
      <w:r w:rsidR="00432BF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20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i.v. leukovorín, potom 425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i.v. bolus 5-FU, od 1. do 5.dňa, každých 28 dní počas</w:t>
      </w:r>
      <w:r w:rsidR="00432BF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24 týždňov). </w:t>
      </w:r>
      <w:r w:rsidR="00432BFD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 xml:space="preserve">bol prinajmenšom ekvivalentný i.v. 5-FU/LV, čo sa týka prežitia bez ochorenia u populácie podľa protokolu (miera rizika 0,92; 95 % IS 0,80 – 1,06). Testy rozdielnosti </w:t>
      </w:r>
      <w:r w:rsidR="00432BFD" w:rsidRPr="00C83F7F">
        <w:rPr>
          <w:sz w:val="22"/>
          <w:szCs w:val="22"/>
          <w:lang w:val="sk-SK"/>
        </w:rPr>
        <w:t>kapecitabínu</w:t>
      </w:r>
      <w:r w:rsidRPr="00C83F7F">
        <w:rPr>
          <w:sz w:val="22"/>
          <w:szCs w:val="22"/>
          <w:lang w:val="sk-SK"/>
        </w:rPr>
        <w:t xml:space="preserve"> a 5-FU/LV vzhľadom na prežitie bez ochorenia a celkové prežitie v celej randomizovanej populácii dokázali mieru rizika 0,88 (95 % IS 0,77 – 1,01; p = 0,068) a 0,86 (95 % IS</w:t>
      </w:r>
      <w:r w:rsidR="00432BF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0,74 – 1,01; p = 0,060). Stredný čas sledovania v čase analýzy bol 6,9 roka. V multivariantnej Coxovej analýze, ktorá bola vopred plánovaná, sa dokázala superiorita </w:t>
      </w:r>
      <w:r w:rsidR="00432BFD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v porovnaní s</w:t>
      </w:r>
      <w:r w:rsidR="00CB149A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bolusovým 5- FU/LV. Pre zaradenie do modelu boli v štatistickom pláne vopred špecifikované nasledovné faktory: vek, čas od chirurgického výkonu do randomizácie, pohlavie, hladiny CEA a</w:t>
      </w:r>
      <w:r w:rsidR="00CB149A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počet lymfatických uzlín pri zaradení do klinickej štúdie, krajina. V populácii všetkých randomizovaných pacientov bola dokázaná superiorita </w:t>
      </w:r>
      <w:r w:rsidR="00432BFD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oproti 5-FU/LV z hľadiska prežívania bez choroby (miera rizika 0,849;</w:t>
      </w:r>
      <w:r w:rsidR="00C20D24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95% IS 0,739 - 0,976, p = 0,0212) a aj z hľadiska celkového prežívania (miera rizika 0,828; 95% IS</w:t>
      </w:r>
      <w:r w:rsidR="00C20D24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0,705 - 0,971, p = 0,0203).</w:t>
      </w:r>
    </w:p>
    <w:p w14:paraId="6C38DC7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C6E686B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u w:val="single"/>
          <w:lang w:val="sk-SK"/>
        </w:rPr>
        <w:t>Kombinovaná terapia pri karcinóme hrubého čreva</w:t>
      </w:r>
    </w:p>
    <w:p w14:paraId="12A8AAB7" w14:textId="7A86C251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Údaje z jednej multicentrickej, randomizovanej, kontrolovanej klinickej štúdie fázy III, ktorá skúmala pacientov s karcinómom hrubého čreva v III. štádiu (podľa Dukesa stupeň C), podporujú používanie </w:t>
      </w:r>
      <w:r w:rsidR="00432BFD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v kombinácii s oxaliplatinou (XELOX) pri adjuvantnej liečbe pacientov s</w:t>
      </w:r>
      <w:r w:rsidR="00CB149A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karcinómom hrubého čreva (štúdia NO16968). V tejto klinickej štúdii bolo 944 pacientov randomizovaných na liečbu</w:t>
      </w:r>
      <w:r w:rsidR="00432BF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v 3-týždňových cykloch počas 24 týždňov </w:t>
      </w:r>
      <w:r w:rsidR="00432BFD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(1 000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dvakrát denne počas 2 týždňov, potom nasledovala týždňová prestávka) v kombinácii s</w:t>
      </w:r>
      <w:r w:rsidR="00CB149A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oxaliplatinou</w:t>
      </w:r>
      <w:r w:rsidR="00432BF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(130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intravenózna infúzia podávaná počas 2 hodín v 1. deň každé 3 týždne); 942 pacientov bolo randomizovaných na bolus 5-FU a leukovorín. V primárnej analýze prežívania bez choroby (DFS) v populácii ITT (intent-to-treat, „s úmyslom liečiť”) sa dokázala signifikantná superiorita XELOXu v porovnaní s 5-FU/LV (miera rizika HR 0,80, 95% IS [0,69; 0,93]; p = </w:t>
      </w:r>
      <w:r w:rsidRPr="00C83F7F">
        <w:rPr>
          <w:sz w:val="22"/>
          <w:szCs w:val="22"/>
          <w:lang w:val="sk-SK"/>
        </w:rPr>
        <w:lastRenderedPageBreak/>
        <w:t>0,0045). Miera 3-ročného DFS bola pri XELOXe 71 % oproti 67 % pri 5-FU/LV. Analýza sekundárneho cieľa RFS podporuje tieto výsledky s HR 0,78 (95% IS = [0,67; 0,92]; p = 0,0024) pri XELOXe oproti 5-FU/LV. XELOX vykazoval tendenciu k lepšiemu celkovému prežívaniu (OS) s HR 0,87 (95% CI = [0,72;</w:t>
      </w:r>
      <w:r w:rsidR="00661C06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1,05]; p = 0,1486), čo sa premieta do 13 %-ného zníženia rizika úmrtia. Miera 5-ročného OS bola</w:t>
      </w:r>
      <w:r w:rsidR="00661C06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78 % pri XELOXe oproti 74 % pri 5-FU/LV. Údaje o účinnosti vychádzajú zo stredného času pozorovania 59 mesiacov so zreteľom na OS a 57 mesiacov so</w:t>
      </w:r>
      <w:r w:rsidR="00CB149A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zreteľom na DFS. V ITT populácii bol počet pacientov, ktorí ukončili účasť v štúdii kvôli nežiaducim účinkom vyšší v skupine</w:t>
      </w:r>
      <w:r w:rsidR="0080568A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s kombinovanou liečbou XELOX (21 %) v porovnaní so</w:t>
      </w:r>
      <w:r w:rsidR="00CB149A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skupinou liečenou monoterapiou 5-FU/LV (9 %).</w:t>
      </w:r>
    </w:p>
    <w:p w14:paraId="6BA9D9C9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14F3C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u w:val="single"/>
          <w:lang w:val="sk-SK"/>
        </w:rPr>
        <w:t xml:space="preserve">Monoterapia </w:t>
      </w:r>
      <w:r w:rsidR="00432BFD" w:rsidRPr="00C83F7F">
        <w:rPr>
          <w:i/>
          <w:iCs/>
          <w:sz w:val="22"/>
          <w:szCs w:val="22"/>
          <w:u w:val="single"/>
          <w:lang w:val="sk-SK"/>
        </w:rPr>
        <w:t xml:space="preserve">kapecitabínom </w:t>
      </w:r>
      <w:r w:rsidRPr="00C83F7F">
        <w:rPr>
          <w:i/>
          <w:iCs/>
          <w:sz w:val="22"/>
          <w:szCs w:val="22"/>
          <w:u w:val="single"/>
          <w:lang w:val="sk-SK"/>
        </w:rPr>
        <w:t>pri metastatickom kolorektálnom karcinóme</w:t>
      </w:r>
    </w:p>
    <w:p w14:paraId="34D8C13B" w14:textId="2DD9640A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Údaje získané v dvoch multicentrických, randomizovaných, kontrolovaných klinických štúdiách</w:t>
      </w:r>
      <w:r w:rsidR="00F93AA8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III. fázy (SO14695; SO14796) s rovnakým dizajnom podporujú podávanie </w:t>
      </w:r>
      <w:r w:rsidR="00432BFD" w:rsidRPr="00C83F7F">
        <w:rPr>
          <w:sz w:val="22"/>
          <w:szCs w:val="22"/>
          <w:lang w:val="sk-SK"/>
        </w:rPr>
        <w:t>kapecitabínu</w:t>
      </w:r>
      <w:r w:rsidRPr="00C83F7F">
        <w:rPr>
          <w:sz w:val="22"/>
          <w:szCs w:val="22"/>
          <w:lang w:val="sk-SK"/>
        </w:rPr>
        <w:t xml:space="preserve"> v liečbe prvej línie u pacientov s metastázujúcim kolorektálnym karcinómom. V rámci týchto štúdií sa 603 pacientom náhodne pridelila liečba </w:t>
      </w:r>
      <w:r w:rsidR="00432BFD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(1 250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dvakrát denne počas 2 týždňov, po</w:t>
      </w:r>
      <w:r w:rsidR="00CB149A" w:rsidRPr="005E37A5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ktorých nasledoval</w:t>
      </w:r>
      <w:r w:rsidR="00432BF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1 týždeň bez liečby; podávaný v 3-týždňových cykloch) a 604 pacientom sa náhodne pridelila liečba</w:t>
      </w:r>
      <w:r w:rsidR="00432BF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5-FU a leukovorínom (Mayo režim: leukovorín v dávke 20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i.v., po</w:t>
      </w:r>
      <w:r w:rsidR="00CB149A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ktorom nasleduje i.v. bolus</w:t>
      </w:r>
      <w:r w:rsidR="00432BF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5-FU v dávke 425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na 1. a 5. deň; každých 28 dní). V celej randomizovanej populácii sa celková objektívna odpoveď na liečbu (podľa hodnotenia skúšajúceho) zaznamenala u 25,7 % (</w:t>
      </w:r>
      <w:r w:rsidR="00432BFD" w:rsidRPr="00C83F7F">
        <w:rPr>
          <w:sz w:val="22"/>
          <w:szCs w:val="22"/>
          <w:lang w:val="sk-SK"/>
        </w:rPr>
        <w:t>kapecitabín</w:t>
      </w:r>
      <w:r w:rsidRPr="00C83F7F">
        <w:rPr>
          <w:sz w:val="22"/>
          <w:szCs w:val="22"/>
          <w:lang w:val="sk-SK"/>
        </w:rPr>
        <w:t>)</w:t>
      </w:r>
      <w:r w:rsidR="00432BF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v porovnaní s 16,7 % (Mayo režim); p &lt; 0,0002. Stredná doba do progresie ochorenia bola 140 dní</w:t>
      </w:r>
      <w:r w:rsidR="00C07C1D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(</w:t>
      </w:r>
      <w:r w:rsidR="000001B4" w:rsidRPr="00C83F7F">
        <w:rPr>
          <w:sz w:val="22"/>
          <w:szCs w:val="22"/>
          <w:lang w:val="sk-SK"/>
        </w:rPr>
        <w:t>kapecitabín</w:t>
      </w:r>
      <w:r w:rsidRPr="00C83F7F">
        <w:rPr>
          <w:sz w:val="22"/>
          <w:szCs w:val="22"/>
          <w:lang w:val="sk-SK"/>
        </w:rPr>
        <w:t>), v porovnaní s 144 dňami (Mayo režim). Stredná doba prežívania bola 392 dní (</w:t>
      </w:r>
      <w:r w:rsidR="000001B4" w:rsidRPr="00C83F7F">
        <w:rPr>
          <w:sz w:val="22"/>
          <w:szCs w:val="22"/>
          <w:lang w:val="sk-SK"/>
        </w:rPr>
        <w:t>kapecitabín</w:t>
      </w:r>
      <w:r w:rsidRPr="00C83F7F">
        <w:rPr>
          <w:sz w:val="22"/>
          <w:szCs w:val="22"/>
          <w:lang w:val="sk-SK"/>
        </w:rPr>
        <w:t xml:space="preserve">), v porovnaní s 391 dňami (Mayo režim). V súčasnosti nie sú dostupné žiadne údaje vyplývajúce z porovnania monoterapie </w:t>
      </w:r>
      <w:r w:rsidR="000001B4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a</w:t>
      </w:r>
      <w:r w:rsidR="00CB149A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kombinovaných režimov prvej línie pri liečbe kolorektálneho karcinómu.</w:t>
      </w:r>
    </w:p>
    <w:p w14:paraId="7A79C73A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CDCF142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u w:val="single"/>
          <w:lang w:val="sk-SK"/>
        </w:rPr>
        <w:t>Kombinovaná terapia pri liečbe prvej línie metastatického kolorektálneho karcinómu</w:t>
      </w:r>
    </w:p>
    <w:p w14:paraId="33204E1D" w14:textId="2BCC8418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Údaje z multicentrickej, randomizovanej, kontrolovanej klinickej štúdie fázy III (NO16966) podporujú použitie </w:t>
      </w:r>
      <w:r w:rsidR="000001B4" w:rsidRPr="00C83F7F">
        <w:rPr>
          <w:sz w:val="22"/>
          <w:szCs w:val="22"/>
          <w:lang w:val="sk-SK"/>
        </w:rPr>
        <w:t>kapecitabínu</w:t>
      </w:r>
      <w:r w:rsidRPr="00C83F7F">
        <w:rPr>
          <w:sz w:val="22"/>
          <w:szCs w:val="22"/>
          <w:lang w:val="sk-SK"/>
        </w:rPr>
        <w:t xml:space="preserve"> v kombinácii s oxaliplatinou alebo v kombinácii s oxaliplatinou a</w:t>
      </w:r>
      <w:r w:rsidR="00CB149A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bevacizumabom na liečbu prvej línie metastatického kolorektálneho karcinómu. Štúdia pozostávala z dvoch častí: úvodná časť s 2 skupinami, v ktorej bolo 634 pacientov randomizovaných do dvoch</w:t>
      </w:r>
      <w:r w:rsidR="00F93AA8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rôznych liečebných skupín, zahŕňajúcich XELOX alebo FOLFOX-4, a</w:t>
      </w:r>
      <w:r w:rsidR="00CB149A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následná 2x2 faktorová časť,</w:t>
      </w:r>
      <w:r w:rsidR="00F93AA8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v ktorej bolo 1 401 pacientov randomizovaných do štyroch rôznych liečebných skupín, zahŕňajúcich XELOX plus placebo, FOLFOX-4 plus placebo, XELOX plus bevacizumab a FOLFOX-4 plus bevacizumab. Pozri tabuľku </w:t>
      </w:r>
      <w:r w:rsidR="00B67CCA" w:rsidRPr="00C83F7F">
        <w:rPr>
          <w:sz w:val="22"/>
          <w:szCs w:val="22"/>
          <w:lang w:val="sk-SK"/>
        </w:rPr>
        <w:t xml:space="preserve">7 </w:t>
      </w:r>
      <w:r w:rsidRPr="00C83F7F">
        <w:rPr>
          <w:sz w:val="22"/>
          <w:szCs w:val="22"/>
          <w:lang w:val="sk-SK"/>
        </w:rPr>
        <w:t>pre liečebné režimy.</w:t>
      </w:r>
    </w:p>
    <w:p w14:paraId="79617FE7" w14:textId="77777777" w:rsidR="00317033" w:rsidRPr="00C83F7F" w:rsidRDefault="00317033" w:rsidP="00C07C1D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sz w:val="22"/>
          <w:szCs w:val="22"/>
          <w:lang w:val="sk-SK"/>
        </w:rPr>
      </w:pPr>
    </w:p>
    <w:p w14:paraId="2C74CB2A" w14:textId="77777777" w:rsidR="00317033" w:rsidRPr="00C83F7F" w:rsidRDefault="00317033" w:rsidP="00B67CCA">
      <w:pPr>
        <w:widowControl w:val="0"/>
        <w:tabs>
          <w:tab w:val="left" w:pos="1240"/>
        </w:tabs>
        <w:autoSpaceDE w:val="0"/>
        <w:autoSpaceDN w:val="0"/>
        <w:adjustRightInd w:val="0"/>
        <w:ind w:left="1134" w:right="-23" w:hanging="1134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Tabuľka </w:t>
      </w:r>
      <w:r w:rsidR="00B67CCA" w:rsidRPr="00C83F7F">
        <w:rPr>
          <w:sz w:val="22"/>
          <w:szCs w:val="22"/>
          <w:lang w:val="sk-SK"/>
        </w:rPr>
        <w:t>7</w:t>
      </w:r>
      <w:r w:rsidRPr="00C83F7F">
        <w:rPr>
          <w:sz w:val="22"/>
          <w:szCs w:val="22"/>
          <w:lang w:val="sk-SK"/>
        </w:rPr>
        <w:tab/>
        <w:t>Liečebné režimy v štúdii NO16966 (mCRC)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4"/>
        <w:gridCol w:w="1440"/>
        <w:gridCol w:w="2040"/>
        <w:gridCol w:w="3245"/>
      </w:tblGrid>
      <w:tr w:rsidR="00317033" w:rsidRPr="00ED4C53" w14:paraId="517F5F89" w14:textId="77777777">
        <w:trPr>
          <w:trHeight w:hRule="exact" w:val="356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7A2C2AE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35E6F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391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Liečba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A9E45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80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Počiatočná dávka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367DA7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07" w:right="1195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Schéma</w:t>
            </w:r>
          </w:p>
        </w:tc>
      </w:tr>
      <w:tr w:rsidR="00317033" w:rsidRPr="00DC11F0" w14:paraId="1402A266" w14:textId="77777777" w:rsidTr="0043478D">
        <w:trPr>
          <w:trHeight w:hRule="exact" w:val="2135"/>
        </w:trPr>
        <w:tc>
          <w:tcPr>
            <w:tcW w:w="14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E80EBF4" w14:textId="77777777" w:rsidR="00317033" w:rsidRPr="00C83F7F" w:rsidRDefault="00317033" w:rsidP="00E76970">
            <w:pPr>
              <w:widowControl w:val="0"/>
              <w:autoSpaceDE w:val="0"/>
              <w:autoSpaceDN w:val="0"/>
              <w:adjustRightInd w:val="0"/>
              <w:ind w:left="88" w:right="64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FOLFOX-4 alebo FOLFOX-4 +</w:t>
            </w:r>
          </w:p>
          <w:p w14:paraId="52E8B9AB" w14:textId="77777777" w:rsidR="00317033" w:rsidRPr="00C83F7F" w:rsidRDefault="00317033" w:rsidP="00E76970">
            <w:pPr>
              <w:widowControl w:val="0"/>
              <w:autoSpaceDE w:val="0"/>
              <w:autoSpaceDN w:val="0"/>
              <w:adjustRightInd w:val="0"/>
              <w:ind w:left="99" w:right="78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bevacizumab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7C0A5" w14:textId="77777777" w:rsidR="0075082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223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oxaliplatina </w:t>
            </w:r>
          </w:p>
          <w:p w14:paraId="21164685" w14:textId="77777777" w:rsidR="0043478D" w:rsidRPr="00C83F7F" w:rsidRDefault="0043478D" w:rsidP="00750823">
            <w:pPr>
              <w:widowControl w:val="0"/>
              <w:autoSpaceDE w:val="0"/>
              <w:autoSpaceDN w:val="0"/>
              <w:adjustRightInd w:val="0"/>
              <w:ind w:left="97" w:right="223"/>
              <w:rPr>
                <w:sz w:val="22"/>
                <w:szCs w:val="22"/>
                <w:lang w:val="sk-SK"/>
              </w:rPr>
            </w:pPr>
          </w:p>
          <w:p w14:paraId="6E9C2837" w14:textId="77777777" w:rsidR="0075082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223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leukovorín</w:t>
            </w:r>
          </w:p>
          <w:p w14:paraId="77BFC641" w14:textId="77777777" w:rsidR="0043478D" w:rsidRPr="00C83F7F" w:rsidRDefault="0043478D" w:rsidP="00750823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sz w:val="22"/>
                <w:szCs w:val="22"/>
                <w:lang w:val="sk-SK"/>
              </w:rPr>
            </w:pPr>
          </w:p>
          <w:p w14:paraId="1325AA9F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5-fluóruracil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44BE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85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C83F7F">
              <w:rPr>
                <w:sz w:val="22"/>
                <w:szCs w:val="22"/>
                <w:lang w:val="sk-SK"/>
              </w:rPr>
              <w:t xml:space="preserve"> i.v. 2 h</w:t>
            </w:r>
          </w:p>
          <w:p w14:paraId="0FCD0298" w14:textId="77777777" w:rsidR="0043478D" w:rsidRPr="00C83F7F" w:rsidRDefault="0043478D" w:rsidP="00750823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sz w:val="22"/>
                <w:szCs w:val="22"/>
                <w:lang w:val="sk-SK"/>
              </w:rPr>
            </w:pPr>
          </w:p>
          <w:p w14:paraId="46E94554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9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200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C83F7F">
              <w:rPr>
                <w:sz w:val="22"/>
                <w:szCs w:val="22"/>
                <w:lang w:val="sk-SK"/>
              </w:rPr>
              <w:t xml:space="preserve"> i.v. 2 h</w:t>
            </w:r>
          </w:p>
          <w:p w14:paraId="7E15859F" w14:textId="77777777" w:rsidR="0043478D" w:rsidRPr="00C83F7F" w:rsidRDefault="0043478D" w:rsidP="00750823">
            <w:pPr>
              <w:widowControl w:val="0"/>
              <w:autoSpaceDE w:val="0"/>
              <w:autoSpaceDN w:val="0"/>
              <w:adjustRightInd w:val="0"/>
              <w:ind w:left="97" w:right="366" w:firstLine="3"/>
              <w:rPr>
                <w:sz w:val="22"/>
                <w:szCs w:val="22"/>
                <w:lang w:val="sk-SK"/>
              </w:rPr>
            </w:pPr>
          </w:p>
          <w:p w14:paraId="1AB42A5D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366" w:firstLine="3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400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C83F7F">
              <w:rPr>
                <w:sz w:val="22"/>
                <w:szCs w:val="22"/>
                <w:lang w:val="sk-SK"/>
              </w:rPr>
              <w:t xml:space="preserve"> i.v. bolus, po ktorom nasledovalo</w:t>
            </w:r>
          </w:p>
          <w:p w14:paraId="0CC9E02B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600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C83F7F">
              <w:rPr>
                <w:sz w:val="22"/>
                <w:szCs w:val="22"/>
                <w:lang w:val="sk-SK"/>
              </w:rPr>
              <w:t xml:space="preserve"> i.v. 22 h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A995CF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481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oxaliplatina v 1. deň, raz za 2 týždne</w:t>
            </w:r>
          </w:p>
          <w:p w14:paraId="7FE4E4E9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leukovorín v 1. a 2. deň, raz za</w:t>
            </w:r>
          </w:p>
          <w:p w14:paraId="0B2EC020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týždne</w:t>
            </w:r>
          </w:p>
          <w:p w14:paraId="1B8D3A4F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367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5-fluóruracil i.v. bolus/infúzia, oboje v 1. a 2. deň, raz za 2 týždne</w:t>
            </w:r>
          </w:p>
        </w:tc>
      </w:tr>
      <w:tr w:rsidR="00317033" w:rsidRPr="00ED4C53" w14:paraId="26142589" w14:textId="77777777">
        <w:trPr>
          <w:trHeight w:hRule="exact" w:val="600"/>
        </w:trPr>
        <w:tc>
          <w:tcPr>
            <w:tcW w:w="14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41CD149" w14:textId="77777777" w:rsidR="00317033" w:rsidRPr="00C83F7F" w:rsidRDefault="00317033" w:rsidP="00E76970">
            <w:pPr>
              <w:widowControl w:val="0"/>
              <w:autoSpaceDE w:val="0"/>
              <w:autoSpaceDN w:val="0"/>
              <w:adjustRightInd w:val="0"/>
              <w:ind w:left="97" w:right="367"/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5BA22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47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placebo alebo bevacizumab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714F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23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 mg/kg i.v. 30-90 min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D91BE0F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1. deň, pred FOLFOX-4, raz za</w:t>
            </w:r>
          </w:p>
          <w:p w14:paraId="5B3547E6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 týždne</w:t>
            </w:r>
          </w:p>
        </w:tc>
      </w:tr>
      <w:tr w:rsidR="00317033" w:rsidRPr="00DC11F0" w14:paraId="5F98717D" w14:textId="77777777">
        <w:trPr>
          <w:trHeight w:hRule="exact" w:val="1610"/>
        </w:trPr>
        <w:tc>
          <w:tcPr>
            <w:tcW w:w="14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DF0D095" w14:textId="77777777" w:rsidR="00317033" w:rsidRPr="00C83F7F" w:rsidRDefault="00317033" w:rsidP="00E76970">
            <w:pPr>
              <w:widowControl w:val="0"/>
              <w:autoSpaceDE w:val="0"/>
              <w:autoSpaceDN w:val="0"/>
              <w:adjustRightInd w:val="0"/>
              <w:ind w:left="263" w:right="238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XELOX alebo XELOX+</w:t>
            </w:r>
          </w:p>
          <w:p w14:paraId="4A7EDFD6" w14:textId="77777777" w:rsidR="00317033" w:rsidRPr="00C83F7F" w:rsidRDefault="00317033" w:rsidP="00E76970">
            <w:pPr>
              <w:widowControl w:val="0"/>
              <w:autoSpaceDE w:val="0"/>
              <w:autoSpaceDN w:val="0"/>
              <w:adjustRightInd w:val="0"/>
              <w:ind w:left="99" w:right="78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bevacizumab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DEA64" w14:textId="77777777" w:rsidR="0075082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22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oxaliplatina </w:t>
            </w:r>
          </w:p>
          <w:p w14:paraId="2DF5A30B" w14:textId="77777777" w:rsidR="00750823" w:rsidRPr="00C83F7F" w:rsidRDefault="00750823" w:rsidP="00750823">
            <w:pPr>
              <w:widowControl w:val="0"/>
              <w:autoSpaceDE w:val="0"/>
              <w:autoSpaceDN w:val="0"/>
              <w:adjustRightInd w:val="0"/>
              <w:ind w:left="97" w:right="222"/>
              <w:rPr>
                <w:sz w:val="22"/>
                <w:szCs w:val="22"/>
                <w:lang w:val="sk-SK"/>
              </w:rPr>
            </w:pPr>
          </w:p>
          <w:p w14:paraId="437CB6FD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22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kapecitabín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4CF8B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100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130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C83F7F">
              <w:rPr>
                <w:sz w:val="22"/>
                <w:szCs w:val="22"/>
                <w:lang w:val="sk-SK"/>
              </w:rPr>
              <w:t xml:space="preserve"> i.v. 2 h</w:t>
            </w:r>
          </w:p>
          <w:p w14:paraId="5C1AD3D9" w14:textId="77777777" w:rsidR="00750823" w:rsidRPr="00C83F7F" w:rsidRDefault="00750823" w:rsidP="00750823">
            <w:pPr>
              <w:widowControl w:val="0"/>
              <w:autoSpaceDE w:val="0"/>
              <w:autoSpaceDN w:val="0"/>
              <w:adjustRightInd w:val="0"/>
              <w:ind w:left="97" w:right="318" w:firstLine="3"/>
              <w:rPr>
                <w:sz w:val="22"/>
                <w:szCs w:val="22"/>
                <w:lang w:val="sk-SK"/>
              </w:rPr>
            </w:pPr>
          </w:p>
          <w:p w14:paraId="0C3E0932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318" w:firstLine="3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1 000 mg/m</w:t>
            </w:r>
            <w:r w:rsidRPr="00C83F7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C83F7F">
              <w:rPr>
                <w:sz w:val="22"/>
                <w:szCs w:val="22"/>
                <w:lang w:val="sk-SK"/>
              </w:rPr>
              <w:t xml:space="preserve"> perorálne dvakrát denne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F38314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481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oxaliplatina v 1. deň, raz za 3 týždne</w:t>
            </w:r>
          </w:p>
          <w:p w14:paraId="12F86DC9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262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kapecitabín perorálne dvakrát denne počas 2 týždňov (po ktorých nasledovala 1-týždňová prestávka)</w:t>
            </w:r>
          </w:p>
        </w:tc>
      </w:tr>
      <w:tr w:rsidR="00317033" w:rsidRPr="00DC11F0" w14:paraId="5FD01435" w14:textId="77777777">
        <w:trPr>
          <w:trHeight w:hRule="exact" w:val="600"/>
        </w:trPr>
        <w:tc>
          <w:tcPr>
            <w:tcW w:w="14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46AE76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97" w:right="262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CDD8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47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placebo alebo bevacizumab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89D60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66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7,5 mg/kg i.v. 30-90 min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8AA57C6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1. deň, pred XELOX, raz za</w:t>
            </w:r>
          </w:p>
          <w:p w14:paraId="29F60FFD" w14:textId="77777777" w:rsidR="00317033" w:rsidRPr="00C83F7F" w:rsidRDefault="00317033" w:rsidP="00750823">
            <w:pPr>
              <w:widowControl w:val="0"/>
              <w:autoSpaceDE w:val="0"/>
              <w:autoSpaceDN w:val="0"/>
              <w:adjustRightInd w:val="0"/>
              <w:ind w:left="97" w:right="-20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 týždne</w:t>
            </w:r>
          </w:p>
        </w:tc>
      </w:tr>
      <w:tr w:rsidR="00317033" w:rsidRPr="00DC11F0" w14:paraId="4D2E9A07" w14:textId="77777777">
        <w:trPr>
          <w:trHeight w:hRule="exact" w:val="315"/>
        </w:trPr>
        <w:tc>
          <w:tcPr>
            <w:tcW w:w="816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110A" w14:textId="77777777" w:rsidR="00317033" w:rsidRPr="00C83F7F" w:rsidRDefault="00317033" w:rsidP="00F80C87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ind w:left="10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lastRenderedPageBreak/>
              <w:t>5-fluórouracil:</w:t>
            </w:r>
            <w:r w:rsidRPr="00C83F7F">
              <w:rPr>
                <w:sz w:val="22"/>
                <w:szCs w:val="22"/>
                <w:lang w:val="sk-SK"/>
              </w:rPr>
              <w:tab/>
              <w:t>i.v. bolus podaný ihneď po leukovoríne</w:t>
            </w:r>
          </w:p>
        </w:tc>
      </w:tr>
    </w:tbl>
    <w:p w14:paraId="0FD7DFE1" w14:textId="77777777" w:rsidR="00317033" w:rsidRPr="00C83F7F" w:rsidRDefault="00317033" w:rsidP="00C07C1D">
      <w:pPr>
        <w:widowControl w:val="0"/>
        <w:autoSpaceDE w:val="0"/>
        <w:autoSpaceDN w:val="0"/>
        <w:adjustRightInd w:val="0"/>
        <w:jc w:val="both"/>
        <w:rPr>
          <w:lang w:val="sk-SK"/>
        </w:rPr>
      </w:pPr>
    </w:p>
    <w:p w14:paraId="67B46C57" w14:textId="77777777" w:rsidR="00317033" w:rsidRPr="00ED4C53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5E37A5">
        <w:rPr>
          <w:sz w:val="22"/>
          <w:szCs w:val="22"/>
          <w:lang w:val="sk-SK"/>
        </w:rPr>
        <w:t>Pri celkovom porovnaní sa preukázalo, že v skupinách, ktoré dostávali XELOX nebola liečba menej účinná oproti skupinám, ktoré dostávali FOLFOX-4, a to z hľadiska prežívania bez progresie ochorenia v popu</w:t>
      </w:r>
      <w:r w:rsidRPr="00AB43E9">
        <w:rPr>
          <w:sz w:val="22"/>
          <w:szCs w:val="22"/>
          <w:lang w:val="sk-SK"/>
        </w:rPr>
        <w:t>lácii vhodných pacientov a v populácii všetkých randomizovaných (intent-to-treat)</w:t>
      </w:r>
      <w:r w:rsidR="00BD4FC2" w:rsidRPr="00AB43E9">
        <w:rPr>
          <w:sz w:val="22"/>
          <w:szCs w:val="22"/>
          <w:lang w:val="sk-SK"/>
        </w:rPr>
        <w:t xml:space="preserve"> </w:t>
      </w:r>
      <w:r w:rsidRPr="00AB43E9">
        <w:rPr>
          <w:sz w:val="22"/>
          <w:szCs w:val="22"/>
          <w:lang w:val="sk-SK"/>
        </w:rPr>
        <w:t xml:space="preserve">pacientov (pozri tabuľku </w:t>
      </w:r>
      <w:r w:rsidR="00B67CCA" w:rsidRPr="00AB43E9">
        <w:rPr>
          <w:sz w:val="22"/>
          <w:szCs w:val="22"/>
          <w:lang w:val="sk-SK"/>
        </w:rPr>
        <w:t>8</w:t>
      </w:r>
      <w:r w:rsidRPr="00AB43E9">
        <w:rPr>
          <w:sz w:val="22"/>
          <w:szCs w:val="22"/>
          <w:lang w:val="sk-SK"/>
        </w:rPr>
        <w:t xml:space="preserve">). Výsledky svedčia o tom, že XELOX je rovnako účinný ako FOLFOX-4, a to z hľadiska celkového prežívania (pozri tabuľku </w:t>
      </w:r>
      <w:r w:rsidR="00B67CCA" w:rsidRPr="00ED4C53">
        <w:rPr>
          <w:sz w:val="22"/>
          <w:szCs w:val="22"/>
          <w:lang w:val="sk-SK"/>
        </w:rPr>
        <w:t>8</w:t>
      </w:r>
      <w:r w:rsidRPr="00ED4C53">
        <w:rPr>
          <w:sz w:val="22"/>
          <w:szCs w:val="22"/>
          <w:lang w:val="sk-SK"/>
        </w:rPr>
        <w:t xml:space="preserve">). Porovnanie XELOX plus bevacizumab oproti FOLFOX-4 plus bevacizumab bolo vopred špecifikovanou exploračnou analýzou. V tomto porovnaní liečebných podskupín bol XELOX plus bevacizumab podobný ako FOLFOX-4 plus bevacizumab, a to z hľadiska prežívania bez progresie ochorenia (miera rizika 1,01; 97,5 % IS 0,84 - 1,22). Medián sledovania v čase primárnych analýz v populácii všetkých randomizovaných (intent-to-treat) pacientov bol 1,5 roka; údaje z analýz po ďalšom 1-ročnom sledovaní sú taktiež zhrnuté v tabuľke </w:t>
      </w:r>
      <w:r w:rsidR="00902DF4" w:rsidRPr="00ED4C53">
        <w:rPr>
          <w:sz w:val="22"/>
          <w:szCs w:val="22"/>
          <w:lang w:val="sk-SK"/>
        </w:rPr>
        <w:t>8</w:t>
      </w:r>
      <w:r w:rsidRPr="00ED4C53">
        <w:rPr>
          <w:sz w:val="22"/>
          <w:szCs w:val="22"/>
          <w:lang w:val="sk-SK"/>
        </w:rPr>
        <w:t>. Analýza prežívania bez progresie ochorenia (progression-free survival, PFS) počas liečby však nepotvrdila výsledky všeobecnej analýzy PFS a celkového prežívania (overall survival, OS): miera rizika</w:t>
      </w:r>
      <w:r w:rsidR="00BD4FC2" w:rsidRPr="00ED4C53">
        <w:rPr>
          <w:sz w:val="22"/>
          <w:szCs w:val="22"/>
          <w:lang w:val="sk-SK"/>
        </w:rPr>
        <w:t xml:space="preserve"> </w:t>
      </w:r>
      <w:r w:rsidRPr="00ED4C53">
        <w:rPr>
          <w:sz w:val="22"/>
          <w:szCs w:val="22"/>
          <w:lang w:val="sk-SK"/>
        </w:rPr>
        <w:t>pre XELOX oproti FOLFOX-4 bola 1,24 s 97,5 % IS 1,07 - 1,44. Hoci analýzy citlivosti ukazujú, že rozdiely v liečebných režimoch a v čase hodnotenia nádoru majú vplyv na analýzu PFS počas liečby, úplné vysvetlenie tohto výsledku sa nezistilo.</w:t>
      </w:r>
    </w:p>
    <w:p w14:paraId="0FAD28E4" w14:textId="77777777" w:rsidR="009C58F5" w:rsidRPr="00ED4C53" w:rsidRDefault="009C58F5" w:rsidP="00902DF4">
      <w:pPr>
        <w:widowControl w:val="0"/>
        <w:tabs>
          <w:tab w:val="left" w:pos="1540"/>
        </w:tabs>
        <w:autoSpaceDE w:val="0"/>
        <w:autoSpaceDN w:val="0"/>
        <w:adjustRightInd w:val="0"/>
        <w:ind w:right="-23"/>
        <w:rPr>
          <w:sz w:val="22"/>
          <w:szCs w:val="22"/>
          <w:lang w:val="sk-SK"/>
        </w:rPr>
      </w:pPr>
    </w:p>
    <w:p w14:paraId="010659CC" w14:textId="77777777" w:rsidR="00317033" w:rsidRPr="00ED4C53" w:rsidRDefault="00317033" w:rsidP="00790DAF">
      <w:pPr>
        <w:widowControl w:val="0"/>
        <w:tabs>
          <w:tab w:val="left" w:pos="1540"/>
        </w:tabs>
        <w:autoSpaceDE w:val="0"/>
        <w:autoSpaceDN w:val="0"/>
        <w:adjustRightInd w:val="0"/>
        <w:ind w:left="1134" w:right="-23" w:hanging="1134"/>
        <w:rPr>
          <w:sz w:val="22"/>
          <w:szCs w:val="22"/>
          <w:lang w:val="sk-SK"/>
        </w:rPr>
      </w:pPr>
      <w:r w:rsidRPr="00ED4C53">
        <w:rPr>
          <w:sz w:val="22"/>
          <w:szCs w:val="22"/>
          <w:lang w:val="sk-SK"/>
        </w:rPr>
        <w:t xml:space="preserve">Tabuľka </w:t>
      </w:r>
      <w:r w:rsidR="00790DAF" w:rsidRPr="00ED4C53">
        <w:rPr>
          <w:sz w:val="22"/>
          <w:szCs w:val="22"/>
          <w:lang w:val="sk-SK"/>
        </w:rPr>
        <w:t>8</w:t>
      </w:r>
      <w:r w:rsidRPr="00ED4C53">
        <w:rPr>
          <w:sz w:val="22"/>
          <w:szCs w:val="22"/>
          <w:lang w:val="sk-SK"/>
        </w:rPr>
        <w:tab/>
        <w:t>Hlavné výsledky účinnosti z analýzy posudzujúcej nie nižšiu účinnosť</w:t>
      </w:r>
      <w:r w:rsidR="00790DAF" w:rsidRPr="00ED4C53">
        <w:rPr>
          <w:sz w:val="22"/>
          <w:szCs w:val="22"/>
          <w:lang w:val="sk-SK"/>
        </w:rPr>
        <w:t xml:space="preserve"> </w:t>
      </w:r>
      <w:r w:rsidR="00C845C1" w:rsidRPr="00ED4C53">
        <w:rPr>
          <w:sz w:val="22"/>
          <w:szCs w:val="22"/>
          <w:lang w:val="sk-SK"/>
        </w:rPr>
        <w:t xml:space="preserve">v štúdii </w:t>
      </w:r>
      <w:r w:rsidRPr="00ED4C53">
        <w:rPr>
          <w:sz w:val="22"/>
          <w:szCs w:val="22"/>
          <w:lang w:val="sk-SK"/>
        </w:rPr>
        <w:t>NO16966</w:t>
      </w:r>
    </w:p>
    <w:p w14:paraId="6BAF859A" w14:textId="77777777" w:rsidR="00317033" w:rsidRPr="00ED4C53" w:rsidRDefault="00317033" w:rsidP="00C07C1D">
      <w:pPr>
        <w:widowControl w:val="0"/>
        <w:autoSpaceDE w:val="0"/>
        <w:autoSpaceDN w:val="0"/>
        <w:adjustRightInd w:val="0"/>
        <w:spacing w:before="7" w:line="10" w:lineRule="exact"/>
        <w:jc w:val="both"/>
        <w:rPr>
          <w:sz w:val="2"/>
          <w:szCs w:val="2"/>
          <w:lang w:val="sk-SK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4"/>
        <w:gridCol w:w="3000"/>
        <w:gridCol w:w="2880"/>
        <w:gridCol w:w="1440"/>
      </w:tblGrid>
      <w:tr w:rsidR="00317033" w:rsidRPr="00ED4C53" w14:paraId="2EBBE4CD" w14:textId="77777777">
        <w:trPr>
          <w:trHeight w:hRule="exact" w:val="270"/>
        </w:trPr>
        <w:tc>
          <w:tcPr>
            <w:tcW w:w="8654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47A56260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3116" w:right="3083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PRIMÁRNA ANALÝZA</w:t>
            </w:r>
          </w:p>
        </w:tc>
      </w:tr>
      <w:tr w:rsidR="00317033" w:rsidRPr="00DC11F0" w14:paraId="68D1D26C" w14:textId="77777777">
        <w:trPr>
          <w:trHeight w:hRule="exact" w:val="1026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4563D6" w14:textId="77777777" w:rsidR="00317033" w:rsidRPr="00C83F7F" w:rsidRDefault="00317033" w:rsidP="00C07C1D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140100" w14:textId="77777777" w:rsidR="00317033" w:rsidRPr="00C83F7F" w:rsidRDefault="00317033" w:rsidP="0076778D">
            <w:pPr>
              <w:widowControl w:val="0"/>
              <w:autoSpaceDE w:val="0"/>
              <w:autoSpaceDN w:val="0"/>
              <w:adjustRightInd w:val="0"/>
              <w:ind w:left="508" w:right="479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XELOX/XELOX+P/ XELOX+BV</w:t>
            </w:r>
          </w:p>
          <w:p w14:paraId="78774B5E" w14:textId="77777777" w:rsidR="00317033" w:rsidRPr="00C83F7F" w:rsidRDefault="00317033" w:rsidP="0076778D">
            <w:pPr>
              <w:widowControl w:val="0"/>
              <w:autoSpaceDE w:val="0"/>
              <w:autoSpaceDN w:val="0"/>
              <w:adjustRightInd w:val="0"/>
              <w:ind w:left="409" w:right="382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(EPP*: N=967; ITT**: N=1 017)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93446C" w14:textId="77777777" w:rsidR="00317033" w:rsidRPr="00C83F7F" w:rsidRDefault="00317033" w:rsidP="0076778D">
            <w:pPr>
              <w:widowControl w:val="0"/>
              <w:autoSpaceDE w:val="0"/>
              <w:autoSpaceDN w:val="0"/>
              <w:adjustRightInd w:val="0"/>
              <w:ind w:left="122" w:right="111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FOLFOX-4/FOLFOX-4+P/ FOLFOX-4+BV</w:t>
            </w:r>
          </w:p>
          <w:p w14:paraId="13B48CAC" w14:textId="77777777" w:rsidR="00317033" w:rsidRPr="00C83F7F" w:rsidRDefault="00317033" w:rsidP="0076778D">
            <w:pPr>
              <w:widowControl w:val="0"/>
              <w:autoSpaceDE w:val="0"/>
              <w:autoSpaceDN w:val="0"/>
              <w:adjustRightInd w:val="0"/>
              <w:ind w:left="341" w:right="330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(EPP*: N=937; ITT**: N=1 017)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085671F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</w:tr>
      <w:tr w:rsidR="00317033" w:rsidRPr="00ED4C53" w14:paraId="606FB3D8" w14:textId="77777777">
        <w:trPr>
          <w:trHeight w:hRule="exact" w:val="516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548261FC" w14:textId="77777777" w:rsidR="00317033" w:rsidRPr="00C83F7F" w:rsidRDefault="00317033" w:rsidP="00C07C1D">
            <w:pPr>
              <w:widowControl w:val="0"/>
              <w:autoSpaceDE w:val="0"/>
              <w:autoSpaceDN w:val="0"/>
              <w:adjustRightInd w:val="0"/>
              <w:spacing w:before="10" w:line="240" w:lineRule="exact"/>
              <w:jc w:val="both"/>
              <w:rPr>
                <w:lang w:val="sk-SK"/>
              </w:rPr>
            </w:pPr>
          </w:p>
          <w:p w14:paraId="28F5D7D7" w14:textId="77777777" w:rsidR="00317033" w:rsidRPr="00C83F7F" w:rsidRDefault="00317033" w:rsidP="00C07C1D">
            <w:pPr>
              <w:widowControl w:val="0"/>
              <w:autoSpaceDE w:val="0"/>
              <w:autoSpaceDN w:val="0"/>
              <w:adjustRightInd w:val="0"/>
              <w:ind w:left="209" w:right="-20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Populácia</w:t>
            </w:r>
          </w:p>
        </w:tc>
        <w:tc>
          <w:tcPr>
            <w:tcW w:w="5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661E08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3A9B0B53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40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Stredný čas do vzniku príhody (dni)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90E30B6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77" w:right="127" w:firstLine="371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HR (97,5 % IS)</w:t>
            </w:r>
          </w:p>
        </w:tc>
      </w:tr>
      <w:tr w:rsidR="00317033" w:rsidRPr="00ED4C53" w14:paraId="713F96DD" w14:textId="77777777">
        <w:trPr>
          <w:trHeight w:hRule="exact" w:val="269"/>
        </w:trPr>
        <w:tc>
          <w:tcPr>
            <w:tcW w:w="8654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38535DBB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Parameter: Prežívanie bez progresie ochorenia</w:t>
            </w:r>
          </w:p>
        </w:tc>
      </w:tr>
      <w:tr w:rsidR="00317033" w:rsidRPr="00ED4C53" w14:paraId="46E46D2E" w14:textId="77777777">
        <w:trPr>
          <w:trHeight w:hRule="exact" w:val="1020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F8B8483" w14:textId="77777777" w:rsidR="00257CE1" w:rsidRPr="00C83F7F" w:rsidRDefault="00257CE1" w:rsidP="00257CE1">
            <w:pPr>
              <w:widowControl w:val="0"/>
              <w:autoSpaceDE w:val="0"/>
              <w:autoSpaceDN w:val="0"/>
              <w:adjustRightInd w:val="0"/>
              <w:ind w:left="466" w:right="423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EPP </w:t>
            </w:r>
          </w:p>
          <w:p w14:paraId="1667628B" w14:textId="77777777" w:rsidR="00257CE1" w:rsidRPr="00C83F7F" w:rsidRDefault="00257CE1" w:rsidP="00257CE1">
            <w:pPr>
              <w:widowControl w:val="0"/>
              <w:autoSpaceDE w:val="0"/>
              <w:autoSpaceDN w:val="0"/>
              <w:adjustRightInd w:val="0"/>
              <w:ind w:left="466" w:right="423"/>
              <w:jc w:val="both"/>
              <w:rPr>
                <w:sz w:val="22"/>
                <w:szCs w:val="22"/>
                <w:lang w:val="sk-SK"/>
              </w:rPr>
            </w:pPr>
          </w:p>
          <w:p w14:paraId="173C36E1" w14:textId="77777777" w:rsidR="00317033" w:rsidRPr="00C83F7F" w:rsidRDefault="00257CE1" w:rsidP="00257CE1">
            <w:pPr>
              <w:widowControl w:val="0"/>
              <w:autoSpaceDE w:val="0"/>
              <w:autoSpaceDN w:val="0"/>
              <w:adjustRightInd w:val="0"/>
              <w:ind w:right="423"/>
              <w:jc w:val="center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       ITT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121B0B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241</w:t>
            </w:r>
          </w:p>
          <w:p w14:paraId="5DA475DF" w14:textId="77777777" w:rsidR="00257CE1" w:rsidRPr="00C83F7F" w:rsidRDefault="00257CE1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</w:p>
          <w:p w14:paraId="094AD60A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244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01F1F0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259</w:t>
            </w:r>
          </w:p>
          <w:p w14:paraId="40AB2F6C" w14:textId="77777777" w:rsidR="00257CE1" w:rsidRPr="00C83F7F" w:rsidRDefault="00257CE1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</w:p>
          <w:p w14:paraId="024714A9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259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7BF04360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1,05 (0,94;</w:t>
            </w:r>
          </w:p>
          <w:p w14:paraId="4B55AB9E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1,18)</w:t>
            </w:r>
          </w:p>
          <w:p w14:paraId="30A5B2FA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1,04 (0,93;</w:t>
            </w:r>
          </w:p>
          <w:p w14:paraId="5FCFEDD8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1,16)</w:t>
            </w:r>
          </w:p>
        </w:tc>
      </w:tr>
      <w:tr w:rsidR="00317033" w:rsidRPr="00ED4C53" w14:paraId="0262963B" w14:textId="77777777">
        <w:trPr>
          <w:trHeight w:hRule="exact" w:val="270"/>
        </w:trPr>
        <w:tc>
          <w:tcPr>
            <w:tcW w:w="8654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443D6543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Parameter: Celkové prežívanie</w:t>
            </w:r>
          </w:p>
        </w:tc>
      </w:tr>
      <w:tr w:rsidR="00317033" w:rsidRPr="00ED4C53" w14:paraId="2BCBE75A" w14:textId="77777777">
        <w:trPr>
          <w:trHeight w:hRule="exact" w:val="1020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1B2A1593" w14:textId="77777777" w:rsidR="00257CE1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66" w:right="423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EPP </w:t>
            </w:r>
          </w:p>
          <w:p w14:paraId="388A6E77" w14:textId="77777777" w:rsidR="00257CE1" w:rsidRPr="00C83F7F" w:rsidRDefault="00257CE1" w:rsidP="00F80C87">
            <w:pPr>
              <w:widowControl w:val="0"/>
              <w:autoSpaceDE w:val="0"/>
              <w:autoSpaceDN w:val="0"/>
              <w:adjustRightInd w:val="0"/>
              <w:ind w:left="466" w:right="423"/>
              <w:jc w:val="both"/>
              <w:rPr>
                <w:sz w:val="22"/>
                <w:szCs w:val="22"/>
                <w:lang w:val="sk-SK"/>
              </w:rPr>
            </w:pPr>
          </w:p>
          <w:p w14:paraId="31BC8F57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66" w:right="423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ITT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D3DAB8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577</w:t>
            </w:r>
          </w:p>
          <w:p w14:paraId="3F7A7DB7" w14:textId="77777777" w:rsidR="00257CE1" w:rsidRPr="00C83F7F" w:rsidRDefault="00257CE1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</w:p>
          <w:p w14:paraId="5935AA26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581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CD5762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549</w:t>
            </w:r>
          </w:p>
          <w:p w14:paraId="329E33CD" w14:textId="77777777" w:rsidR="00257CE1" w:rsidRPr="00C83F7F" w:rsidRDefault="00257CE1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</w:p>
          <w:p w14:paraId="7A361A35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08986230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0,97 (0,84;</w:t>
            </w:r>
          </w:p>
          <w:p w14:paraId="58FB7386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1,14)</w:t>
            </w:r>
          </w:p>
          <w:p w14:paraId="418BBC56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0,96 (0,83;</w:t>
            </w:r>
          </w:p>
          <w:p w14:paraId="28C51539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1,12)</w:t>
            </w:r>
          </w:p>
        </w:tc>
      </w:tr>
      <w:tr w:rsidR="00317033" w:rsidRPr="00ED4C53" w14:paraId="1FB891DC" w14:textId="77777777">
        <w:trPr>
          <w:trHeight w:hRule="exact" w:val="270"/>
        </w:trPr>
        <w:tc>
          <w:tcPr>
            <w:tcW w:w="8654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487731A6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2653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ĎALŠIE 1-ROČNÉ SLEDOVANIE</w:t>
            </w:r>
          </w:p>
        </w:tc>
      </w:tr>
      <w:tr w:rsidR="00317033" w:rsidRPr="00ED4C53" w14:paraId="2576A0F3" w14:textId="77777777">
        <w:trPr>
          <w:trHeight w:hRule="exact" w:val="515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06C075A0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  <w:p w14:paraId="206D204B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209" w:right="-20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Populácia</w:t>
            </w:r>
          </w:p>
        </w:tc>
        <w:tc>
          <w:tcPr>
            <w:tcW w:w="5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7C9452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  <w:p w14:paraId="6752D4AB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40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Stredný čas do vzniku príhody (dni)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FB59DE1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77" w:right="127" w:firstLine="371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HR (97,5 % IS)</w:t>
            </w:r>
          </w:p>
        </w:tc>
      </w:tr>
      <w:tr w:rsidR="00317033" w:rsidRPr="00ED4C53" w14:paraId="25E057C9" w14:textId="77777777">
        <w:trPr>
          <w:trHeight w:hRule="exact" w:val="269"/>
        </w:trPr>
        <w:tc>
          <w:tcPr>
            <w:tcW w:w="8654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53094672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Parameter: Prežívanie bez progresie ochorenia</w:t>
            </w:r>
          </w:p>
        </w:tc>
      </w:tr>
      <w:tr w:rsidR="00317033" w:rsidRPr="00ED4C53" w14:paraId="49BC1587" w14:textId="77777777">
        <w:trPr>
          <w:trHeight w:hRule="exact" w:val="1021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A9481BA" w14:textId="77777777" w:rsidR="00EE3CAE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66" w:right="423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EPP </w:t>
            </w:r>
          </w:p>
          <w:p w14:paraId="1E418FE5" w14:textId="77777777" w:rsidR="00EE3CAE" w:rsidRPr="00C83F7F" w:rsidRDefault="00EE3CAE" w:rsidP="00F80C87">
            <w:pPr>
              <w:widowControl w:val="0"/>
              <w:autoSpaceDE w:val="0"/>
              <w:autoSpaceDN w:val="0"/>
              <w:adjustRightInd w:val="0"/>
              <w:ind w:left="466" w:right="423"/>
              <w:jc w:val="both"/>
              <w:rPr>
                <w:sz w:val="22"/>
                <w:szCs w:val="22"/>
                <w:lang w:val="sk-SK"/>
              </w:rPr>
            </w:pPr>
          </w:p>
          <w:p w14:paraId="5439F711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66" w:right="423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ITT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C82DD4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242</w:t>
            </w:r>
          </w:p>
          <w:p w14:paraId="7092F202" w14:textId="77777777" w:rsidR="00EE3CAE" w:rsidRPr="00C83F7F" w:rsidRDefault="00EE3CAE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</w:p>
          <w:p w14:paraId="505B2851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244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26935A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259</w:t>
            </w:r>
          </w:p>
          <w:p w14:paraId="66EFBB0F" w14:textId="77777777" w:rsidR="00EE3CAE" w:rsidRPr="00C83F7F" w:rsidRDefault="00EE3CAE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</w:p>
          <w:p w14:paraId="15E826B6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259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0621DC0D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1,02 (0,92;</w:t>
            </w:r>
          </w:p>
          <w:p w14:paraId="5C03A095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1,14)</w:t>
            </w:r>
          </w:p>
          <w:p w14:paraId="1234675F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1,01 (0,91;</w:t>
            </w:r>
          </w:p>
          <w:p w14:paraId="7F6E68EC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1,12)</w:t>
            </w:r>
          </w:p>
        </w:tc>
      </w:tr>
      <w:tr w:rsidR="00317033" w:rsidRPr="00ED4C53" w14:paraId="4A63F041" w14:textId="77777777">
        <w:trPr>
          <w:trHeight w:hRule="exact" w:val="269"/>
        </w:trPr>
        <w:tc>
          <w:tcPr>
            <w:tcW w:w="8654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4F92B62E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2" w:right="-2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Parameter: Celkové prežívanie</w:t>
            </w:r>
          </w:p>
        </w:tc>
      </w:tr>
      <w:tr w:rsidR="00317033" w:rsidRPr="00ED4C53" w14:paraId="3D138425" w14:textId="77777777">
        <w:trPr>
          <w:trHeight w:hRule="exact" w:val="1021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704DCE1" w14:textId="77777777" w:rsidR="00EE3CAE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66" w:right="423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EPP </w:t>
            </w:r>
          </w:p>
          <w:p w14:paraId="109A99D4" w14:textId="77777777" w:rsidR="00EE3CAE" w:rsidRPr="00C83F7F" w:rsidRDefault="00EE3CAE" w:rsidP="00F80C87">
            <w:pPr>
              <w:widowControl w:val="0"/>
              <w:autoSpaceDE w:val="0"/>
              <w:autoSpaceDN w:val="0"/>
              <w:adjustRightInd w:val="0"/>
              <w:ind w:left="466" w:right="423"/>
              <w:jc w:val="both"/>
              <w:rPr>
                <w:sz w:val="22"/>
                <w:szCs w:val="22"/>
                <w:lang w:val="sk-SK"/>
              </w:rPr>
            </w:pPr>
          </w:p>
          <w:p w14:paraId="160C17AF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66" w:right="423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ITT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F55ADB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600</w:t>
            </w:r>
          </w:p>
          <w:p w14:paraId="27AB6BEF" w14:textId="77777777" w:rsidR="00EE3CAE" w:rsidRPr="00C83F7F" w:rsidRDefault="00EE3CAE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</w:p>
          <w:p w14:paraId="76588AA2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602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DCB6EC0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594</w:t>
            </w:r>
          </w:p>
          <w:p w14:paraId="40648601" w14:textId="77777777" w:rsidR="00EE3CAE" w:rsidRPr="00C83F7F" w:rsidRDefault="00EE3CAE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</w:p>
          <w:p w14:paraId="6B75AE6D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596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CB1722D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1,00 (0,88;</w:t>
            </w:r>
          </w:p>
          <w:p w14:paraId="5E75F573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1,13)</w:t>
            </w:r>
          </w:p>
          <w:p w14:paraId="6E561318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0,99 (0,88;</w:t>
            </w:r>
          </w:p>
          <w:p w14:paraId="77276325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1,12)</w:t>
            </w:r>
          </w:p>
        </w:tc>
      </w:tr>
    </w:tbl>
    <w:p w14:paraId="30C1431A" w14:textId="77777777" w:rsidR="00317033" w:rsidRPr="00C83F7F" w:rsidRDefault="00317033" w:rsidP="00F80C87">
      <w:pPr>
        <w:widowControl w:val="0"/>
        <w:autoSpaceDE w:val="0"/>
        <w:autoSpaceDN w:val="0"/>
        <w:adjustRightInd w:val="0"/>
        <w:ind w:left="119" w:right="-23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*EPP=populácia vhodných pacientov; **ITT=populácia všetkých randomizovaných (intent-to-treat) pacientov</w:t>
      </w:r>
    </w:p>
    <w:p w14:paraId="0138171D" w14:textId="77777777" w:rsidR="00317033" w:rsidRPr="00C83F7F" w:rsidRDefault="00317033" w:rsidP="00C07C1D">
      <w:pPr>
        <w:widowControl w:val="0"/>
        <w:autoSpaceDE w:val="0"/>
        <w:autoSpaceDN w:val="0"/>
        <w:adjustRightInd w:val="0"/>
        <w:spacing w:before="15" w:line="240" w:lineRule="exact"/>
        <w:jc w:val="both"/>
        <w:rPr>
          <w:lang w:val="sk-SK"/>
        </w:rPr>
      </w:pPr>
    </w:p>
    <w:p w14:paraId="5FDB5EC4" w14:textId="05D423D7" w:rsidR="009947EE" w:rsidRPr="00C83F7F" w:rsidRDefault="009947EE" w:rsidP="009947EE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V randomizovanej, kontrolovanej klinickej štúdie III. fázy (CAIRO) bol študovaný účinok použitia kapecitabínu v počiatočnej dávke 1 000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podávanej počas 2 týždňov raz za 3 týždne v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kombinácii s irinotekanom v prvej línii liečby pacientov s metastatickým kolorektálnym 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lastRenderedPageBreak/>
        <w:t>karcinómom. 820 pacientov bolo randomizových na sekvenčnú liečbu (n=410) alebo kombinovanú liečbu (n=410). Sekvenčná liečba pozostávala z kapecitabínu (1 250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dvakrát denne počas 14 dní) ako lieku prvej línie liečby, irinotekanu (350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v 1. deň) ako lieku druhej línie liečby 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="00F35389" w:rsidRPr="00C83F7F">
        <w:rPr>
          <w:rFonts w:eastAsia="TimesNewRoman"/>
          <w:color w:val="000000"/>
          <w:sz w:val="22"/>
          <w:szCs w:val="22"/>
          <w:lang w:val="sk-SK" w:eastAsia="el-GR"/>
        </w:rPr>
        <w:t>a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kombinácie kapecitabínu (1 000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dvakrát denne počas 14 dní) s oxaliplatinou (130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v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1. deň) ako liekov tretej línie liečby. Kombinovaná liečba pozostávala z kapecitabínu (1 000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dvakrát denne počas 14 dní) v kombinácii s irinotekanom (250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v 1. deň) (XELIRI) ako liekov prvej línie liečby a kapecitabínu (1 000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dvakrát denne počas 14 dní) plus oxaliplatiny (130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v 1. deň) ako liekov druhej línie liečby. Všetky liečebné cykly boli podávané s časovým odstupom 3 týždňov. V prvej línii liečby bol medián prežívania bez progresie ochorenia v populácii všetkých randomizovaných (intent-to-treat) pacientov 5,8 mesiacov (95 % IS 5,1 - 6,2 mesiacov) pre kapecitabín v monoterapii a 7,8 mesiacov (95 % IS 7,0 - 8,3 mesiacov; p=0,0002) pre XELIRI.</w:t>
      </w:r>
    </w:p>
    <w:p w14:paraId="7DCF7DFC" w14:textId="77777777" w:rsidR="00317033" w:rsidRPr="00C83F7F" w:rsidRDefault="009947EE" w:rsidP="009947EE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Bolo to však spojené so zvýšeným výskytom gastrointestinálnej toxicity a neutropénie počas prvej línie liečby s XELIRI (26% pre XELIRI a 11% v prvej línii liečby kapecitabínom).</w:t>
      </w:r>
    </w:p>
    <w:p w14:paraId="1C2130B9" w14:textId="77777777" w:rsidR="009947EE" w:rsidRPr="00C83F7F" w:rsidRDefault="009947EE" w:rsidP="009947EE">
      <w:pPr>
        <w:widowControl w:val="0"/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</w:p>
    <w:p w14:paraId="4056EC91" w14:textId="7D5C5441" w:rsidR="009947EE" w:rsidRPr="00C83F7F" w:rsidRDefault="009947EE" w:rsidP="009947EE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XELIRI bol porovnávaný s 5-FU + irinotekanom (FOLFIRI) v troch randomizovaných štúdiách u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pacientov s metastatickým kolorektálnym karcinómom. XELIRI režimy obsahovali kapecitabín 1000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dvakrát denne v dňoch 1 až 14 trojtýždňového cyklu v kombinácii s irinotekanom 250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v deň 1. V najväčšej štúdii (BICC-C) boli pacienti randomizovaní na nezaslepené prijatie FOLFIRI (n = 144), na bolus 5-FU (mIFL) (n = 145) alebo XELIRI (n = 141) a boli ďalej randomizovaní na prijatie buď dvojito zaslepenej liečby alebo na liečbu celekoxibom alebo placebom. Medián PFS bol 7,6 mesiacov pre FOLFIRI, 5,9 mesiaca pre mIFL (p = 0,004 pre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porovnanie s FOLFIRI), a 5,8 mesiacov pre XELIRI (p = 0,015). Medián OS bol 23,1 mesiacov pre FOLFIRI, 17,6 mesiacov pre mIFL (p = 0,09) a 18,9 mesiacov pre XELIRI (p = 0,27). U pacientov liečených XELIRI došlo k excesívnej gastrointestiná</w:t>
      </w:r>
      <w:r w:rsidR="00610F9C"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lnej 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toxicite v porovnaní s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FOLFIRI (hnačka 48% pri XELIRI a 14% pri FOLFIRI).</w:t>
      </w:r>
    </w:p>
    <w:p w14:paraId="61BE5BD4" w14:textId="77777777" w:rsidR="009947EE" w:rsidRPr="00C83F7F" w:rsidRDefault="009947EE" w:rsidP="009947EE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</w:p>
    <w:p w14:paraId="5ED5B618" w14:textId="77777777" w:rsidR="009947EE" w:rsidRPr="00C83F7F" w:rsidRDefault="009947EE" w:rsidP="009947EE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V štúdii EORTC boli pacienti randomizovaní buď na zaslepené prijatie FOLFIRI (n = 41) alebo</w:t>
      </w:r>
    </w:p>
    <w:p w14:paraId="47B7AE01" w14:textId="77777777" w:rsidR="009947EE" w:rsidRPr="00C83F7F" w:rsidRDefault="009947EE" w:rsidP="009947EE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XELIRI (n = 44) s ďalšou randomizáciou buď do dvojito zaslepenej liečby celekoxibom alebo placebom. Medián PFS a celkové prežívanie (OS) boli kratšie pre XELIRI oproti FOLFIRI (PFS 5,9 oproti 9,6 mesiacov a OS 14,8 oproti 19,9 mesiacov), okrem toho bol hlásený výrazne excesívny výskyt hnačky u pacientov liečených režimom XELIRI (41% XELIRI, 5,1% FOLFIRI).</w:t>
      </w:r>
    </w:p>
    <w:p w14:paraId="6C9B3CCB" w14:textId="77777777" w:rsidR="009947EE" w:rsidRPr="00C83F7F" w:rsidRDefault="009947EE" w:rsidP="009947E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1A782F2F" w14:textId="5A19342D" w:rsidR="00A43D37" w:rsidRPr="00C83F7F" w:rsidRDefault="00A43D37" w:rsidP="00A43D37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V štúdii, ktorú publikoval Skof a spol., boli pacienti randomizovaní na liečbu buď s FOLFIRI, alebo XELIRI. Celková miera odpovede bola 49% v skupine XELIRI a 48% v skupine FOLFIRI (p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= 0,76). Na konci liečby, 37% pacientov v skupine XELIRI a 26% pacientov v skupine FOLFIRI boli bez známok ochorenia (p = 0,56). Toxicita bola podobná, s výnimkou neutropénie, ktorá bola hlásená častejšie u pacientov liečených FOLFIRI.</w:t>
      </w:r>
    </w:p>
    <w:p w14:paraId="0FB6E63C" w14:textId="77777777" w:rsidR="00A43D37" w:rsidRPr="00C83F7F" w:rsidRDefault="00A43D37" w:rsidP="00A43D37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</w:p>
    <w:p w14:paraId="76AB3C33" w14:textId="77777777" w:rsidR="00A43D37" w:rsidRPr="00C83F7F" w:rsidRDefault="00A43D37" w:rsidP="00A43D37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Montagnani a spol. použili výsledky z vyššie uvedených troch štúdií, aby poskytli celkovú analýzu randomizovaných štúdií porovnávajúcich liečebné režimy FOLFIRI a XELIRI v liečbe mCRC. Významné zníženie rizika progresie ochorenia sa spájalo s FOLFIRI (HR, 0,76; 95 % IS, 0,62 - 0,95; P &lt; 0,01), čo je čiastočne kvôli zlej tolerancii použitého režimu XELIRI.</w:t>
      </w:r>
    </w:p>
    <w:p w14:paraId="22315768" w14:textId="77777777" w:rsidR="00A43D37" w:rsidRPr="00C83F7F" w:rsidRDefault="00A43D37" w:rsidP="00A43D37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</w:p>
    <w:p w14:paraId="59F2F364" w14:textId="77777777" w:rsidR="00A43D37" w:rsidRPr="00C83F7F" w:rsidRDefault="00A43D37" w:rsidP="00A43D37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Údaje z randomizovanej klinickej štúdie (Souglakos a spol., 2012) porovnávajúcej</w:t>
      </w:r>
    </w:p>
    <w:p w14:paraId="58702F86" w14:textId="13F39836" w:rsidR="00A43D37" w:rsidRPr="00C83F7F" w:rsidRDefault="00A43D37" w:rsidP="00A43D37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FOLFIRI + bevacizumab s XELIRI + bevacizumab neukázali významné rozdiely v PFS alebo OS medzi liečbami. Pacienti boli randomizovaní na liečbu buď s FOLFIRI plus bevacizumab (skupina</w:t>
      </w:r>
      <w:r w:rsidR="00D10F59">
        <w:rPr>
          <w:rFonts w:eastAsia="TimesNewRoman"/>
          <w:color w:val="000000"/>
          <w:sz w:val="22"/>
          <w:szCs w:val="22"/>
          <w:lang w:val="sk-SK" w:eastAsia="el-GR"/>
        </w:rPr>
        <w:t xml:space="preserve"> 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A n=167) alebo s XELIRI plus bevacizumab (skupina</w:t>
      </w:r>
      <w:r w:rsidR="00D10F59">
        <w:rPr>
          <w:rFonts w:eastAsia="TimesNewRoman"/>
          <w:color w:val="000000"/>
          <w:sz w:val="22"/>
          <w:szCs w:val="22"/>
          <w:lang w:val="sk-SK" w:eastAsia="el-GR"/>
        </w:rPr>
        <w:t xml:space="preserve"> 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B, n=166). Pre skupinu</w:t>
      </w:r>
      <w:r w:rsidR="00D10F59">
        <w:rPr>
          <w:rFonts w:eastAsia="TimesNewRoman"/>
          <w:color w:val="000000"/>
          <w:sz w:val="22"/>
          <w:szCs w:val="22"/>
          <w:lang w:val="sk-SK" w:eastAsia="el-GR"/>
        </w:rPr>
        <w:t xml:space="preserve"> 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B v režime XELIRI boli použité dávky kapecitabínu 1000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dvakrát denne počas 14 dní + irinotekan 250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v deň 1. Medián prežívania bez progresie ochorenia (PFS) bol 10,0 a 8,9 mesiaca; p = 0,64, celkové prežívanie bolo 25,7 a 27,5 mesiaca; p = 0,55 a miera výskytu odpovede bola 45,5 a 39,8 %; p = 0,32 pri FOLFIRI-bev a pri XELIRI-bev, v uvedenom poradí. U pacientov liečených XELIRI + bevacizumab bol hlásený signifikantne vyšší výskyt hnačky, febrilnej neutropénie a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syndrómu „ruka-noha“ ako u pacientov liečených FOLFIRI + bevacizumab s výrazne zvýšeným počtom oneskorení liečby, zníženia dávky a ukončenia liečby.</w:t>
      </w:r>
    </w:p>
    <w:p w14:paraId="62DC0C9B" w14:textId="77777777" w:rsidR="00A43D37" w:rsidRPr="00C83F7F" w:rsidRDefault="00A43D37" w:rsidP="00A43D37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</w:p>
    <w:p w14:paraId="2EDC89D9" w14:textId="2E0EBCD2" w:rsidR="00A43D37" w:rsidRPr="00C83F7F" w:rsidRDefault="00A43D37" w:rsidP="00A43D37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rFonts w:eastAsia="TimesNewRoman"/>
          <w:color w:val="000000"/>
          <w:sz w:val="22"/>
          <w:szCs w:val="22"/>
          <w:lang w:val="sk-SK" w:eastAsia="el-GR"/>
        </w:rPr>
        <w:lastRenderedPageBreak/>
        <w:t>Údaje z multicentrickej, randomizovanej, kontrolovanej klinickej štúdie II. fázy (AIO KRK 0604) podporujú použitie kapecitabínu v počiatočnej dávke 800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podávanej počas 2 týždňov raz za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3 týždne v kombinácii s irinotekanom a bevacizumabom v prvej línii liečby pacientov s metastatickým kolorektálnym karcinómom. 120 pacientov bolo randomizových na liečbu modifikovaným režimom XELIRI s kapecitabínom 800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dvakrát denne počas dvoch týždňov, po ktorých nasleduje 7 dní bez liečby irinotekanom (200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formou 30 minút trvajúcej infúzie v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1. deň, raz za 3 týždne) a bevacizumabom (7,5 mg/kg formou 30 až 90 minút trvajúcej infúzie v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1. deň, raz za 3 týždne); 127 pacientov bolo randomizovaných na liečbu kapecitabínom (1 000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dvakrát denne počas dvoch týždňov, po ktorých nasleduje 7 dní bez liečby oxaliplatinou (130 mg/m</w:t>
      </w:r>
      <w:r w:rsidRPr="00C83F7F">
        <w:rPr>
          <w:rFonts w:eastAsia="TimesNewRoman"/>
          <w:color w:val="000000"/>
          <w:sz w:val="22"/>
          <w:szCs w:val="22"/>
          <w:vertAlign w:val="superscript"/>
          <w:lang w:val="sk-SK" w:eastAsia="el-GR"/>
        </w:rPr>
        <w:t>2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 xml:space="preserve"> formou 2 hodiny trvajúcej infúzie v 1. deň raz za 3 týždne) a bevacizumabom (7,5</w:t>
      </w:r>
      <w:r w:rsidR="00F35389" w:rsidRPr="005E37A5">
        <w:rPr>
          <w:rFonts w:eastAsia="TimesNewRoman"/>
          <w:color w:val="000000"/>
          <w:sz w:val="22"/>
          <w:szCs w:val="22"/>
          <w:lang w:val="sk-SK" w:eastAsia="el-GR"/>
        </w:rPr>
        <w:t> </w:t>
      </w:r>
      <w:r w:rsidRPr="00C83F7F">
        <w:rPr>
          <w:rFonts w:eastAsia="TimesNewRoman"/>
          <w:color w:val="000000"/>
          <w:sz w:val="22"/>
          <w:szCs w:val="22"/>
          <w:lang w:val="sk-SK" w:eastAsia="el-GR"/>
        </w:rPr>
        <w:t>mg/kg formou 30 až 90 minút trvajúcej infúzie v 1. deň raz za 3 týždne). Po priemernom sledovaní populácie pacientov v štúdii počas 26,2 mesiacov boli zaznamenané odpovede na liečbu tak ako je uvedené nižšie.</w:t>
      </w:r>
    </w:p>
    <w:p w14:paraId="5DA1271E" w14:textId="77777777" w:rsidR="00317033" w:rsidRPr="005E37A5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A668936" w14:textId="77777777" w:rsidR="007A51AA" w:rsidRDefault="00062A5C" w:rsidP="00C245E7">
      <w:pPr>
        <w:widowControl w:val="0"/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AB43E9">
        <w:rPr>
          <w:rFonts w:eastAsia="TimesNewRoman"/>
          <w:color w:val="222222"/>
          <w:sz w:val="22"/>
          <w:szCs w:val="22"/>
          <w:lang w:val="sk-SK" w:eastAsia="el-GR"/>
        </w:rPr>
        <w:t xml:space="preserve">Tabuľka 9 Hlavné výsledky účinnosti v štúdii </w:t>
      </w:r>
      <w:r w:rsidRPr="00AB43E9">
        <w:rPr>
          <w:rFonts w:eastAsia="TimesNewRoman"/>
          <w:color w:val="000000"/>
          <w:sz w:val="22"/>
          <w:szCs w:val="22"/>
          <w:lang w:val="sk-SK" w:eastAsia="el-GR"/>
        </w:rPr>
        <w:t>AIO KRK</w:t>
      </w:r>
    </w:p>
    <w:p w14:paraId="29720843" w14:textId="77777777" w:rsidR="00C83F7F" w:rsidRPr="00AB43E9" w:rsidRDefault="00C83F7F" w:rsidP="00C245E7">
      <w:pPr>
        <w:widowControl w:val="0"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tbl>
      <w:tblPr>
        <w:tblpPr w:leftFromText="180" w:rightFromText="180" w:vertAnchor="text" w:horzAnchor="margin" w:tblpY="59"/>
        <w:tblW w:w="8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2409"/>
        <w:gridCol w:w="2268"/>
        <w:gridCol w:w="2268"/>
      </w:tblGrid>
      <w:tr w:rsidR="00062A5C" w:rsidRPr="00ED4C53" w14:paraId="48BBC6CE" w14:textId="77777777" w:rsidTr="0066410B">
        <w:trPr>
          <w:trHeight w:hRule="exact" w:val="1008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91E5" w14:textId="77777777" w:rsidR="00062A5C" w:rsidRPr="00AB43E9" w:rsidRDefault="00062A5C" w:rsidP="00452BAB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B74A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XELOX +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 xml:space="preserve"> 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be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v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a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cizu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ma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b</w:t>
            </w:r>
          </w:p>
          <w:p w14:paraId="02A35519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(IT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T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: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 xml:space="preserve"> 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N=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12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50EF" w14:textId="77777777" w:rsidR="00062A5C" w:rsidRPr="00C83F7F" w:rsidRDefault="00F462B4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 w:eastAsia="el-GR"/>
              </w:rPr>
              <w:t>Modifikovaný</w:t>
            </w:r>
            <w:r w:rsidR="00062A5C"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 xml:space="preserve"> </w:t>
            </w:r>
            <w:r w:rsidR="00062A5C" w:rsidRPr="00C83F7F">
              <w:rPr>
                <w:bCs/>
                <w:i/>
                <w:iCs/>
                <w:sz w:val="22"/>
                <w:szCs w:val="22"/>
                <w:lang w:val="sk-SK"/>
              </w:rPr>
              <w:t>XE</w:t>
            </w:r>
            <w:r w:rsidR="00062A5C"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L</w:t>
            </w:r>
            <w:r w:rsidR="00062A5C" w:rsidRPr="00C83F7F">
              <w:rPr>
                <w:bCs/>
                <w:i/>
                <w:iCs/>
                <w:sz w:val="22"/>
                <w:szCs w:val="22"/>
                <w:lang w:val="sk-SK"/>
              </w:rPr>
              <w:t>IRI+ bevaci</w:t>
            </w:r>
            <w:r w:rsidR="00062A5C"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z</w:t>
            </w:r>
            <w:r w:rsidR="00062A5C" w:rsidRPr="00C83F7F">
              <w:rPr>
                <w:bCs/>
                <w:i/>
                <w:iCs/>
                <w:sz w:val="22"/>
                <w:szCs w:val="22"/>
                <w:lang w:val="sk-SK"/>
              </w:rPr>
              <w:t xml:space="preserve">umab </w:t>
            </w:r>
          </w:p>
          <w:p w14:paraId="73A1CB26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(IT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T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: N= 1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2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57FC" w14:textId="77777777" w:rsidR="00062A5C" w:rsidRPr="00C83F7F" w:rsidRDefault="00F462B4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 w:eastAsia="el-GR"/>
              </w:rPr>
              <w:t>Miera rizika</w:t>
            </w:r>
          </w:p>
          <w:p w14:paraId="656B16AB" w14:textId="77777777" w:rsidR="00B7123F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9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5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%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 xml:space="preserve"> 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I</w:t>
            </w:r>
            <w:r w:rsidR="00B7123F" w:rsidRPr="00C83F7F">
              <w:rPr>
                <w:bCs/>
                <w:i/>
                <w:iCs/>
                <w:sz w:val="22"/>
                <w:szCs w:val="22"/>
                <w:lang w:val="sk-SK"/>
              </w:rPr>
              <w:t>S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14:paraId="585179D5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P value</w:t>
            </w:r>
          </w:p>
        </w:tc>
      </w:tr>
      <w:tr w:rsidR="00062A5C" w:rsidRPr="00ED4C53" w14:paraId="6FB29879" w14:textId="77777777" w:rsidTr="0066410B">
        <w:trPr>
          <w:trHeight w:hRule="exact" w:val="421"/>
        </w:trPr>
        <w:tc>
          <w:tcPr>
            <w:tcW w:w="8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B249" w14:textId="77777777" w:rsidR="00062A5C" w:rsidRPr="00C83F7F" w:rsidRDefault="00F462B4" w:rsidP="00452BA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 w:eastAsia="el-GR"/>
              </w:rPr>
              <w:t>Celkové prežívanie po 6 mesiacoch</w:t>
            </w:r>
          </w:p>
        </w:tc>
      </w:tr>
      <w:tr w:rsidR="00062A5C" w:rsidRPr="00ED4C53" w14:paraId="7222C2BE" w14:textId="77777777" w:rsidTr="0066410B">
        <w:trPr>
          <w:trHeight w:hRule="exact" w:val="555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40C3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ITT</w:t>
            </w:r>
          </w:p>
          <w:p w14:paraId="06113469" w14:textId="77777777" w:rsidR="00062A5C" w:rsidRPr="00C83F7F" w:rsidRDefault="00062A5C" w:rsidP="00B7123F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9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5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%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 xml:space="preserve"> </w:t>
            </w:r>
            <w:r w:rsidR="00B7123F"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6321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7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6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%</w:t>
            </w:r>
          </w:p>
          <w:p w14:paraId="722BD1A9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6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 xml:space="preserve">9 - 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84%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3715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8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4</w:t>
            </w:r>
            <w:r w:rsidR="00456B60" w:rsidRPr="00C83F7F">
              <w:rPr>
                <w:bCs/>
                <w:i/>
                <w:iCs/>
                <w:sz w:val="22"/>
                <w:szCs w:val="22"/>
                <w:lang w:val="sk-SK"/>
              </w:rPr>
              <w:t xml:space="preserve">% </w:t>
            </w:r>
          </w:p>
          <w:p w14:paraId="13A8EFAE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7 - 90%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B1E3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  <w:lang w:val="sk-SK"/>
              </w:rPr>
            </w:pPr>
          </w:p>
          <w:p w14:paraId="36583CD7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-</w:t>
            </w:r>
          </w:p>
        </w:tc>
      </w:tr>
      <w:tr w:rsidR="00062A5C" w:rsidRPr="00ED4C53" w14:paraId="24C653A6" w14:textId="77777777" w:rsidTr="0066410B">
        <w:trPr>
          <w:trHeight w:hRule="exact" w:val="279"/>
        </w:trPr>
        <w:tc>
          <w:tcPr>
            <w:tcW w:w="8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D88" w14:textId="77777777" w:rsidR="00062A5C" w:rsidRPr="00C83F7F" w:rsidRDefault="00F462B4" w:rsidP="00F462B4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 w:eastAsia="el-GR"/>
              </w:rPr>
              <w:t>Medián prežívania bez progresie</w:t>
            </w:r>
          </w:p>
        </w:tc>
      </w:tr>
      <w:tr w:rsidR="00062A5C" w:rsidRPr="00ED4C53" w14:paraId="08C3BD80" w14:textId="77777777" w:rsidTr="0066410B">
        <w:trPr>
          <w:trHeight w:hRule="exact" w:val="850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C797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ITT</w:t>
            </w:r>
          </w:p>
          <w:p w14:paraId="458CE637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9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5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%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 xml:space="preserve"> 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I</w:t>
            </w:r>
            <w:r w:rsidR="00B7123F" w:rsidRPr="00C83F7F">
              <w:rPr>
                <w:bCs/>
                <w:i/>
                <w:iCs/>
                <w:sz w:val="22"/>
                <w:szCs w:val="22"/>
                <w:lang w:val="sk-SK"/>
              </w:rPr>
              <w:t>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9735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10</w:t>
            </w:r>
            <w:r w:rsidR="000B00EB" w:rsidRPr="00C83F7F">
              <w:rPr>
                <w:bCs/>
                <w:i/>
                <w:iCs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 xml:space="preserve">4 </w:t>
            </w:r>
            <w:r w:rsidR="00276625" w:rsidRPr="00C83F7F">
              <w:rPr>
                <w:bCs/>
                <w:i/>
                <w:iCs/>
                <w:sz w:val="22"/>
                <w:szCs w:val="22"/>
                <w:lang w:val="sk-SK" w:eastAsia="el-GR"/>
              </w:rPr>
              <w:t>mesiacov</w:t>
            </w:r>
          </w:p>
          <w:p w14:paraId="4C7DB42E" w14:textId="77777777" w:rsidR="00062A5C" w:rsidRPr="00C83F7F" w:rsidRDefault="00062A5C" w:rsidP="000B00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9</w:t>
            </w:r>
            <w:r w:rsidR="000B00EB"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 xml:space="preserve">0 - 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1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2</w:t>
            </w:r>
            <w:r w:rsidR="000B00EB"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2015" w14:textId="066E84E2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12</w:t>
            </w:r>
            <w:r w:rsidR="000B00EB" w:rsidRPr="00C83F7F">
              <w:rPr>
                <w:bCs/>
                <w:i/>
                <w:iCs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1</w:t>
            </w:r>
            <w:r w:rsidR="00276625" w:rsidRPr="00C83F7F">
              <w:rPr>
                <w:bCs/>
                <w:i/>
                <w:iCs/>
                <w:sz w:val="22"/>
                <w:szCs w:val="22"/>
                <w:lang w:val="sk-SK" w:eastAsia="el-GR"/>
              </w:rPr>
              <w:t xml:space="preserve"> mesiacov</w:t>
            </w:r>
          </w:p>
          <w:p w14:paraId="07B9712A" w14:textId="77777777" w:rsidR="00062A5C" w:rsidRPr="00C83F7F" w:rsidRDefault="00062A5C" w:rsidP="000B00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10</w:t>
            </w:r>
            <w:r w:rsidR="000B00EB" w:rsidRPr="00C83F7F">
              <w:rPr>
                <w:bCs/>
                <w:i/>
                <w:iCs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8 - 13</w:t>
            </w:r>
            <w:r w:rsidR="000B00EB"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2030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0</w:t>
            </w:r>
            <w:r w:rsidR="000B00EB"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93</w:t>
            </w:r>
          </w:p>
          <w:p w14:paraId="0DDAB9AB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0</w:t>
            </w:r>
            <w:r w:rsidR="000B00EB"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8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 xml:space="preserve">2 - 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1</w:t>
            </w:r>
            <w:r w:rsidR="000B00EB" w:rsidRPr="00C83F7F">
              <w:rPr>
                <w:bCs/>
                <w:i/>
                <w:iCs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0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7</w:t>
            </w:r>
          </w:p>
          <w:p w14:paraId="1B117BB6" w14:textId="77777777" w:rsidR="00062A5C" w:rsidRPr="00C83F7F" w:rsidRDefault="000B00EB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P=0,</w:t>
            </w:r>
            <w:r w:rsidR="00062A5C" w:rsidRPr="00C83F7F">
              <w:rPr>
                <w:bCs/>
                <w:i/>
                <w:iCs/>
                <w:sz w:val="22"/>
                <w:szCs w:val="22"/>
                <w:lang w:val="sk-SK"/>
              </w:rPr>
              <w:t>30</w:t>
            </w:r>
          </w:p>
        </w:tc>
      </w:tr>
      <w:tr w:rsidR="00062A5C" w:rsidRPr="00ED4C53" w14:paraId="1B118BB7" w14:textId="77777777" w:rsidTr="0066410B">
        <w:trPr>
          <w:trHeight w:hRule="exact" w:val="437"/>
        </w:trPr>
        <w:tc>
          <w:tcPr>
            <w:tcW w:w="8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9CCF" w14:textId="77777777" w:rsidR="00062A5C" w:rsidRPr="00C83F7F" w:rsidRDefault="00F462B4" w:rsidP="00F462B4">
            <w:pPr>
              <w:widowControl w:val="0"/>
              <w:autoSpaceDE w:val="0"/>
              <w:autoSpaceDN w:val="0"/>
              <w:adjustRightInd w:val="0"/>
              <w:ind w:left="102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 w:eastAsia="el-GR"/>
              </w:rPr>
              <w:t>Medián celkového prežívania</w:t>
            </w:r>
          </w:p>
        </w:tc>
      </w:tr>
      <w:tr w:rsidR="00062A5C" w:rsidRPr="00ED4C53" w14:paraId="328DF0FF" w14:textId="77777777" w:rsidTr="00452BAB">
        <w:trPr>
          <w:trHeight w:hRule="exact" w:val="837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9AF25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ITT</w:t>
            </w:r>
          </w:p>
          <w:p w14:paraId="5930D2BD" w14:textId="77777777" w:rsidR="00062A5C" w:rsidRPr="00C83F7F" w:rsidRDefault="00062A5C" w:rsidP="00B7123F">
            <w:pPr>
              <w:widowControl w:val="0"/>
              <w:autoSpaceDE w:val="0"/>
              <w:autoSpaceDN w:val="0"/>
              <w:adjustRightInd w:val="0"/>
              <w:ind w:left="102" w:right="-20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9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5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%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 xml:space="preserve"> 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I</w:t>
            </w:r>
            <w:r w:rsidR="00B7123F" w:rsidRPr="00C83F7F">
              <w:rPr>
                <w:bCs/>
                <w:i/>
                <w:iCs/>
                <w:sz w:val="22"/>
                <w:szCs w:val="22"/>
                <w:lang w:val="sk-SK"/>
              </w:rPr>
              <w:t>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1949F" w14:textId="77777777" w:rsidR="00062A5C" w:rsidRPr="00C83F7F" w:rsidRDefault="00062A5C" w:rsidP="0027662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24</w:t>
            </w:r>
            <w:r w:rsidR="000B00EB" w:rsidRPr="00C83F7F">
              <w:rPr>
                <w:bCs/>
                <w:i/>
                <w:iCs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 xml:space="preserve">4 </w:t>
            </w:r>
            <w:r w:rsidR="00276625" w:rsidRPr="00C83F7F">
              <w:rPr>
                <w:bCs/>
                <w:i/>
                <w:iCs/>
                <w:sz w:val="22"/>
                <w:szCs w:val="22"/>
                <w:lang w:val="sk-SK" w:eastAsia="el-GR"/>
              </w:rPr>
              <w:t xml:space="preserve"> mesiacov</w:t>
            </w:r>
          </w:p>
          <w:p w14:paraId="5A7F6A2E" w14:textId="77777777" w:rsidR="00062A5C" w:rsidRPr="00C83F7F" w:rsidRDefault="00062A5C" w:rsidP="000B00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19</w:t>
            </w:r>
            <w:r w:rsidR="000B00EB" w:rsidRPr="00C83F7F">
              <w:rPr>
                <w:bCs/>
                <w:i/>
                <w:iCs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3 - 30</w:t>
            </w:r>
            <w:r w:rsidR="000B00EB"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95F6B" w14:textId="58EC753E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25</w:t>
            </w:r>
            <w:r w:rsidR="000B00EB" w:rsidRPr="00C83F7F">
              <w:rPr>
                <w:bCs/>
                <w:i/>
                <w:iCs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5</w:t>
            </w:r>
            <w:r w:rsidR="00276625" w:rsidRPr="00C83F7F">
              <w:rPr>
                <w:bCs/>
                <w:i/>
                <w:iCs/>
                <w:sz w:val="22"/>
                <w:szCs w:val="22"/>
                <w:lang w:val="sk-SK" w:eastAsia="el-GR"/>
              </w:rPr>
              <w:t xml:space="preserve"> mesiacov</w:t>
            </w:r>
          </w:p>
          <w:p w14:paraId="196E7D9D" w14:textId="77777777" w:rsidR="00062A5C" w:rsidRPr="00C83F7F" w:rsidRDefault="00062A5C" w:rsidP="000B00E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21</w:t>
            </w:r>
            <w:r w:rsidR="000B00EB" w:rsidRPr="00C83F7F">
              <w:rPr>
                <w:bCs/>
                <w:i/>
                <w:iCs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0 - 31</w:t>
            </w:r>
            <w:r w:rsidR="000B00EB"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5BF89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0</w:t>
            </w:r>
            <w:r w:rsidR="000B00EB"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90</w:t>
            </w:r>
          </w:p>
          <w:p w14:paraId="2921B9E5" w14:textId="77777777" w:rsidR="00062A5C" w:rsidRPr="00C83F7F" w:rsidRDefault="00062A5C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0</w:t>
            </w:r>
            <w:r w:rsidR="000B00EB"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pacing w:val="1"/>
                <w:sz w:val="22"/>
                <w:szCs w:val="22"/>
                <w:lang w:val="sk-SK"/>
              </w:rPr>
              <w:t>6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 xml:space="preserve">8 - 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1</w:t>
            </w:r>
            <w:r w:rsidR="000B00EB" w:rsidRPr="00C83F7F">
              <w:rPr>
                <w:bCs/>
                <w:i/>
                <w:iCs/>
                <w:sz w:val="22"/>
                <w:szCs w:val="22"/>
                <w:lang w:val="sk-SK"/>
              </w:rPr>
              <w:t>,</w:t>
            </w:r>
            <w:r w:rsidRPr="00C83F7F">
              <w:rPr>
                <w:bCs/>
                <w:i/>
                <w:iCs/>
                <w:spacing w:val="-1"/>
                <w:sz w:val="22"/>
                <w:szCs w:val="22"/>
                <w:lang w:val="sk-SK"/>
              </w:rPr>
              <w:t>1</w:t>
            </w: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9</w:t>
            </w:r>
          </w:p>
          <w:p w14:paraId="0DE558D7" w14:textId="77777777" w:rsidR="00062A5C" w:rsidRPr="00C83F7F" w:rsidRDefault="000B00EB" w:rsidP="00452BAB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sk-SK"/>
              </w:rPr>
            </w:pPr>
            <w:r w:rsidRPr="00C83F7F">
              <w:rPr>
                <w:bCs/>
                <w:i/>
                <w:iCs/>
                <w:sz w:val="22"/>
                <w:szCs w:val="22"/>
                <w:lang w:val="sk-SK"/>
              </w:rPr>
              <w:t>P=0,</w:t>
            </w:r>
            <w:r w:rsidR="00062A5C" w:rsidRPr="00C83F7F">
              <w:rPr>
                <w:bCs/>
                <w:i/>
                <w:iCs/>
                <w:sz w:val="22"/>
                <w:szCs w:val="22"/>
                <w:lang w:val="sk-SK"/>
              </w:rPr>
              <w:t>45</w:t>
            </w:r>
          </w:p>
        </w:tc>
      </w:tr>
    </w:tbl>
    <w:p w14:paraId="0A6325A8" w14:textId="77777777" w:rsidR="007A51AA" w:rsidRPr="005E37A5" w:rsidRDefault="007A51AA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8A8484B" w14:textId="77777777" w:rsidR="00317033" w:rsidRPr="00AB43E9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B43E9">
        <w:rPr>
          <w:i/>
          <w:iCs/>
          <w:sz w:val="22"/>
          <w:szCs w:val="22"/>
          <w:u w:val="single"/>
          <w:lang w:val="sk-SK"/>
        </w:rPr>
        <w:t>Kombinovaná terapia v druhej línii liečby metastatického kolorektálneho karcinómu</w:t>
      </w:r>
    </w:p>
    <w:p w14:paraId="0AEA29CF" w14:textId="6B9D85E9" w:rsidR="00317033" w:rsidRPr="00ED4C53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B43E9">
        <w:rPr>
          <w:sz w:val="22"/>
          <w:szCs w:val="22"/>
          <w:lang w:val="sk-SK"/>
        </w:rPr>
        <w:t xml:space="preserve">Údaje z multicentrickej, randomizovanej, kontrolovanej klinickej štúdie fázy III (NO16967) podporujú použitie </w:t>
      </w:r>
      <w:r w:rsidR="000001B4" w:rsidRPr="00ED4C53">
        <w:rPr>
          <w:sz w:val="22"/>
          <w:szCs w:val="22"/>
          <w:lang w:val="sk-SK"/>
        </w:rPr>
        <w:t>kapecitabínu</w:t>
      </w:r>
      <w:r w:rsidRPr="00ED4C53">
        <w:rPr>
          <w:sz w:val="22"/>
          <w:szCs w:val="22"/>
          <w:lang w:val="sk-SK"/>
        </w:rPr>
        <w:t xml:space="preserve"> v kombinácii s oxal</w:t>
      </w:r>
      <w:r w:rsidR="00AB087B" w:rsidRPr="00ED4C53">
        <w:rPr>
          <w:sz w:val="22"/>
          <w:szCs w:val="22"/>
          <w:lang w:val="sk-SK"/>
        </w:rPr>
        <w:t xml:space="preserve">iplatinou v druhej línii liečby </w:t>
      </w:r>
      <w:r w:rsidRPr="00ED4C53">
        <w:rPr>
          <w:sz w:val="22"/>
          <w:szCs w:val="22"/>
          <w:lang w:val="sk-SK"/>
        </w:rPr>
        <w:t>metastatického kolorektálneho karcinómu. V tejto štúdii bolo 627 pacientov s metastatickým kolorektálnym karcinómom, ktorí predtým dostali liečbu irinotekanom v kombinácii s fluórpyrimidínovým režimom ako liečbu prvej</w:t>
      </w:r>
      <w:r w:rsidR="00D853DE" w:rsidRPr="00ED4C53">
        <w:rPr>
          <w:sz w:val="22"/>
          <w:szCs w:val="22"/>
          <w:lang w:val="sk-SK"/>
        </w:rPr>
        <w:t xml:space="preserve"> </w:t>
      </w:r>
      <w:r w:rsidRPr="00ED4C53">
        <w:rPr>
          <w:sz w:val="22"/>
          <w:szCs w:val="22"/>
          <w:lang w:val="sk-SK"/>
        </w:rPr>
        <w:t>línie, randomizovaných do liečebnej skupiny, ktorá dostávala buď XELOX, alebo FOLFOX-4.</w:t>
      </w:r>
      <w:r w:rsidR="00815465" w:rsidRPr="00ED4C53">
        <w:rPr>
          <w:sz w:val="22"/>
          <w:szCs w:val="22"/>
          <w:lang w:val="sk-SK"/>
        </w:rPr>
        <w:t xml:space="preserve"> </w:t>
      </w:r>
      <w:r w:rsidRPr="00ED4C53">
        <w:rPr>
          <w:sz w:val="22"/>
          <w:szCs w:val="22"/>
          <w:lang w:val="sk-SK"/>
        </w:rPr>
        <w:t xml:space="preserve">Dávkovacia schéma pre XELOX a FOLFOX-4 (bez pridania placeba alebo bevacizumabu), pozri tabuľku </w:t>
      </w:r>
      <w:r w:rsidR="008E7CCB" w:rsidRPr="00ED4C53">
        <w:rPr>
          <w:sz w:val="22"/>
          <w:szCs w:val="22"/>
          <w:lang w:val="sk-SK"/>
        </w:rPr>
        <w:t>7</w:t>
      </w:r>
      <w:r w:rsidRPr="00ED4C53">
        <w:rPr>
          <w:sz w:val="22"/>
          <w:szCs w:val="22"/>
          <w:lang w:val="sk-SK"/>
        </w:rPr>
        <w:t>. Preukázalo sa, že XELOX nebol menej účinný ako FOLFOX-4, a to z hľadiska prežívania bez progresie ochorenia v populácii podľa protokolu a</w:t>
      </w:r>
      <w:r w:rsidR="00F35389" w:rsidRPr="00ED4C53">
        <w:rPr>
          <w:sz w:val="22"/>
          <w:szCs w:val="22"/>
          <w:lang w:val="sk-SK"/>
        </w:rPr>
        <w:t> </w:t>
      </w:r>
      <w:r w:rsidRPr="00ED4C53">
        <w:rPr>
          <w:sz w:val="22"/>
          <w:szCs w:val="22"/>
          <w:lang w:val="sk-SK"/>
        </w:rPr>
        <w:t>v</w:t>
      </w:r>
      <w:r w:rsidR="00F35389" w:rsidRPr="00ED4C53">
        <w:rPr>
          <w:sz w:val="22"/>
          <w:szCs w:val="22"/>
          <w:lang w:val="sk-SK"/>
        </w:rPr>
        <w:t> </w:t>
      </w:r>
      <w:r w:rsidRPr="00ED4C53">
        <w:rPr>
          <w:sz w:val="22"/>
          <w:szCs w:val="22"/>
          <w:lang w:val="sk-SK"/>
        </w:rPr>
        <w:t>populácii všetkých randomizovaných</w:t>
      </w:r>
      <w:r w:rsidR="00D853DE" w:rsidRPr="00ED4C53">
        <w:rPr>
          <w:sz w:val="22"/>
          <w:szCs w:val="22"/>
          <w:lang w:val="sk-SK"/>
        </w:rPr>
        <w:t xml:space="preserve"> </w:t>
      </w:r>
      <w:r w:rsidRPr="00ED4C53">
        <w:rPr>
          <w:sz w:val="22"/>
          <w:szCs w:val="22"/>
          <w:lang w:val="sk-SK"/>
        </w:rPr>
        <w:t xml:space="preserve">(intent-to-treat) pacientov (pozri tabuľku </w:t>
      </w:r>
      <w:r w:rsidR="0049621B" w:rsidRPr="00ED4C53">
        <w:rPr>
          <w:sz w:val="22"/>
          <w:szCs w:val="22"/>
          <w:lang w:val="sk-SK"/>
        </w:rPr>
        <w:t>10</w:t>
      </w:r>
      <w:r w:rsidRPr="00ED4C53">
        <w:rPr>
          <w:sz w:val="22"/>
          <w:szCs w:val="22"/>
          <w:lang w:val="sk-SK"/>
        </w:rPr>
        <w:t xml:space="preserve">). Výsledky svedčia o tom, že XELOX je rovnocenný ako FOLFOX-4, a to z hľadiska celkového prežívania (pozri tabuľku </w:t>
      </w:r>
      <w:r w:rsidR="0049621B" w:rsidRPr="00ED4C53">
        <w:rPr>
          <w:sz w:val="22"/>
          <w:szCs w:val="22"/>
          <w:lang w:val="sk-SK"/>
        </w:rPr>
        <w:t>10</w:t>
      </w:r>
      <w:r w:rsidRPr="00ED4C53">
        <w:rPr>
          <w:sz w:val="22"/>
          <w:szCs w:val="22"/>
          <w:lang w:val="sk-SK"/>
        </w:rPr>
        <w:t xml:space="preserve">). Medián sledovania v čase primárnych analýz v populácii všetkých randomizovaných (intent-to-treat) pacientov bol 2,1 rokov; údaje z analýz po ďalšom 6-mesačnom sledovaní sú taktiež zhrnuté v tabuľke </w:t>
      </w:r>
      <w:r w:rsidR="00815465" w:rsidRPr="00ED4C53">
        <w:rPr>
          <w:sz w:val="22"/>
          <w:szCs w:val="22"/>
          <w:lang w:val="sk-SK"/>
        </w:rPr>
        <w:t>10</w:t>
      </w:r>
      <w:r w:rsidRPr="00ED4C53">
        <w:rPr>
          <w:sz w:val="22"/>
          <w:szCs w:val="22"/>
          <w:lang w:val="sk-SK"/>
        </w:rPr>
        <w:t>.</w:t>
      </w:r>
    </w:p>
    <w:p w14:paraId="5452A564" w14:textId="77777777" w:rsidR="00317033" w:rsidRPr="00ED4C53" w:rsidRDefault="00317033" w:rsidP="00C245E7">
      <w:pPr>
        <w:widowControl w:val="0"/>
        <w:autoSpaceDE w:val="0"/>
        <w:autoSpaceDN w:val="0"/>
        <w:adjustRightInd w:val="0"/>
        <w:spacing w:before="14" w:line="240" w:lineRule="exact"/>
        <w:rPr>
          <w:lang w:val="sk-SK"/>
        </w:rPr>
      </w:pPr>
    </w:p>
    <w:p w14:paraId="019FDA34" w14:textId="77777777" w:rsidR="00317033" w:rsidRDefault="00317033" w:rsidP="00A913C8">
      <w:pPr>
        <w:widowControl w:val="0"/>
        <w:tabs>
          <w:tab w:val="left" w:pos="1540"/>
        </w:tabs>
        <w:autoSpaceDE w:val="0"/>
        <w:autoSpaceDN w:val="0"/>
        <w:adjustRightInd w:val="0"/>
        <w:ind w:left="1134" w:hanging="1134"/>
        <w:rPr>
          <w:sz w:val="22"/>
          <w:szCs w:val="22"/>
          <w:lang w:val="sk-SK"/>
        </w:rPr>
      </w:pPr>
      <w:r w:rsidRPr="00ED4C53">
        <w:rPr>
          <w:sz w:val="22"/>
          <w:szCs w:val="22"/>
          <w:lang w:val="sk-SK"/>
        </w:rPr>
        <w:t xml:space="preserve">Tabuľka </w:t>
      </w:r>
      <w:r w:rsidR="00815465" w:rsidRPr="00ED4C53">
        <w:rPr>
          <w:sz w:val="22"/>
          <w:szCs w:val="22"/>
          <w:lang w:val="sk-SK"/>
        </w:rPr>
        <w:t>10</w:t>
      </w:r>
      <w:r w:rsidRPr="00ED4C53">
        <w:rPr>
          <w:sz w:val="22"/>
          <w:szCs w:val="22"/>
          <w:lang w:val="sk-SK"/>
        </w:rPr>
        <w:tab/>
        <w:t>Hlavné výsledky účinnosti z analýzy posudzujúcej nie nižšiu účinnosť</w:t>
      </w:r>
      <w:r w:rsidR="008E7CCB" w:rsidRPr="00ED4C53">
        <w:rPr>
          <w:sz w:val="22"/>
          <w:szCs w:val="22"/>
          <w:lang w:val="sk-SK"/>
        </w:rPr>
        <w:t xml:space="preserve"> </w:t>
      </w:r>
      <w:r w:rsidRPr="00ED4C53">
        <w:rPr>
          <w:sz w:val="22"/>
          <w:szCs w:val="22"/>
          <w:lang w:val="sk-SK"/>
        </w:rPr>
        <w:t>v štúdii NO16967</w:t>
      </w:r>
    </w:p>
    <w:p w14:paraId="16B3AA77" w14:textId="77777777" w:rsidR="00C83F7F" w:rsidRPr="00ED4C53" w:rsidRDefault="00C83F7F" w:rsidP="00A913C8">
      <w:pPr>
        <w:widowControl w:val="0"/>
        <w:tabs>
          <w:tab w:val="left" w:pos="1540"/>
        </w:tabs>
        <w:autoSpaceDE w:val="0"/>
        <w:autoSpaceDN w:val="0"/>
        <w:adjustRightInd w:val="0"/>
        <w:ind w:left="1134" w:hanging="1134"/>
        <w:rPr>
          <w:sz w:val="22"/>
          <w:szCs w:val="22"/>
          <w:lang w:val="sk-SK"/>
        </w:rPr>
      </w:pPr>
    </w:p>
    <w:p w14:paraId="6C82AD71" w14:textId="77777777" w:rsidR="00317033" w:rsidRPr="00ED4C53" w:rsidRDefault="00317033" w:rsidP="00C07C1D">
      <w:pPr>
        <w:widowControl w:val="0"/>
        <w:autoSpaceDE w:val="0"/>
        <w:autoSpaceDN w:val="0"/>
        <w:adjustRightInd w:val="0"/>
        <w:spacing w:before="2" w:line="10" w:lineRule="exact"/>
        <w:jc w:val="both"/>
        <w:rPr>
          <w:sz w:val="2"/>
          <w:szCs w:val="2"/>
          <w:lang w:val="sk-SK"/>
        </w:rPr>
      </w:pPr>
    </w:p>
    <w:tbl>
      <w:tblPr>
        <w:tblW w:w="8654" w:type="dxa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4"/>
        <w:gridCol w:w="3000"/>
        <w:gridCol w:w="2880"/>
        <w:gridCol w:w="1440"/>
      </w:tblGrid>
      <w:tr w:rsidR="00317033" w:rsidRPr="00ED4C53" w14:paraId="240E568F" w14:textId="77777777" w:rsidTr="00062A5C">
        <w:trPr>
          <w:trHeight w:hRule="exact" w:val="270"/>
        </w:trPr>
        <w:tc>
          <w:tcPr>
            <w:tcW w:w="8654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6C44BCDD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3116" w:right="3083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PRIMÁRNA ANALÝZA</w:t>
            </w:r>
          </w:p>
        </w:tc>
      </w:tr>
      <w:tr w:rsidR="00317033" w:rsidRPr="00ED4C53" w14:paraId="6E8BBC24" w14:textId="77777777" w:rsidTr="00062A5C">
        <w:trPr>
          <w:trHeight w:hRule="exact" w:val="774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1B718F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E04AFA" w14:textId="77777777" w:rsidR="00317033" w:rsidRPr="00C83F7F" w:rsidRDefault="00317033" w:rsidP="00B87DBB">
            <w:pPr>
              <w:widowControl w:val="0"/>
              <w:autoSpaceDE w:val="0"/>
              <w:autoSpaceDN w:val="0"/>
              <w:adjustRightInd w:val="0"/>
              <w:ind w:left="1072" w:right="1044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XELOX</w:t>
            </w:r>
          </w:p>
          <w:p w14:paraId="6FA90BFE" w14:textId="77777777" w:rsidR="00317033" w:rsidRPr="00C83F7F" w:rsidRDefault="00317033" w:rsidP="00B87DBB">
            <w:pPr>
              <w:widowControl w:val="0"/>
              <w:autoSpaceDE w:val="0"/>
              <w:autoSpaceDN w:val="0"/>
              <w:adjustRightInd w:val="0"/>
              <w:ind w:left="415" w:right="388"/>
              <w:jc w:val="center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(PPP*: N=251; ITT**: N=313)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3E11CC" w14:textId="77777777" w:rsidR="00317033" w:rsidRPr="00C83F7F" w:rsidRDefault="00317033" w:rsidP="00B87DBB">
            <w:pPr>
              <w:widowControl w:val="0"/>
              <w:autoSpaceDE w:val="0"/>
              <w:autoSpaceDN w:val="0"/>
              <w:adjustRightInd w:val="0"/>
              <w:ind w:left="846" w:right="834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FOLFOX-4</w:t>
            </w:r>
          </w:p>
          <w:p w14:paraId="3F3DA922" w14:textId="77777777" w:rsidR="00317033" w:rsidRPr="00C83F7F" w:rsidRDefault="00317033" w:rsidP="00B87DBB">
            <w:pPr>
              <w:widowControl w:val="0"/>
              <w:autoSpaceDE w:val="0"/>
              <w:autoSpaceDN w:val="0"/>
              <w:adjustRightInd w:val="0"/>
              <w:ind w:left="161" w:right="150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(PPP*: N=252; ITT**: N=</w:t>
            </w:r>
          </w:p>
          <w:p w14:paraId="3B8E5804" w14:textId="77777777" w:rsidR="00317033" w:rsidRPr="00C83F7F" w:rsidRDefault="00317033" w:rsidP="00B87DBB">
            <w:pPr>
              <w:widowControl w:val="0"/>
              <w:autoSpaceDE w:val="0"/>
              <w:autoSpaceDN w:val="0"/>
              <w:adjustRightInd w:val="0"/>
              <w:ind w:left="1192" w:right="1182"/>
              <w:jc w:val="center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314)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D3630C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</w:tc>
      </w:tr>
      <w:tr w:rsidR="00317033" w:rsidRPr="00ED4C53" w14:paraId="1A9B39FD" w14:textId="77777777" w:rsidTr="00062A5C">
        <w:trPr>
          <w:trHeight w:hRule="exact" w:val="515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01BDA9CB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  <w:p w14:paraId="642775D5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209" w:right="-20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Populácia</w:t>
            </w:r>
          </w:p>
        </w:tc>
        <w:tc>
          <w:tcPr>
            <w:tcW w:w="5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E06936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  <w:p w14:paraId="34311EA0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40" w:right="-20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Stredný čas do vzniku príhody (dni)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5B70AA14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511" w:right="499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HR</w:t>
            </w:r>
          </w:p>
          <w:p w14:paraId="0C39A5D3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223" w:right="211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(95 % IS)</w:t>
            </w:r>
          </w:p>
        </w:tc>
      </w:tr>
      <w:tr w:rsidR="00317033" w:rsidRPr="00ED4C53" w14:paraId="075C2820" w14:textId="77777777" w:rsidTr="00062A5C">
        <w:trPr>
          <w:trHeight w:hRule="exact" w:val="269"/>
        </w:trPr>
        <w:tc>
          <w:tcPr>
            <w:tcW w:w="8654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500C6A70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2" w:right="-20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Parameter: Prežívanie bez progresie ochorenia</w:t>
            </w:r>
          </w:p>
        </w:tc>
      </w:tr>
      <w:tr w:rsidR="00317033" w:rsidRPr="00ED4C53" w14:paraId="2915DC9E" w14:textId="77777777" w:rsidTr="00062A5C">
        <w:trPr>
          <w:trHeight w:hRule="exact" w:val="1021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57C1A81" w14:textId="77777777" w:rsidR="000671D0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PPP </w:t>
            </w:r>
          </w:p>
          <w:p w14:paraId="3511C09F" w14:textId="77777777" w:rsidR="000671D0" w:rsidRPr="00C83F7F" w:rsidRDefault="000671D0" w:rsidP="00F80C87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sz w:val="22"/>
                <w:szCs w:val="22"/>
                <w:lang w:val="sk-SK"/>
              </w:rPr>
            </w:pPr>
          </w:p>
          <w:p w14:paraId="0517740C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ITT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CBB37E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154</w:t>
            </w:r>
          </w:p>
          <w:p w14:paraId="74B1DF62" w14:textId="77777777" w:rsidR="000671D0" w:rsidRPr="00C83F7F" w:rsidRDefault="000671D0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</w:p>
          <w:p w14:paraId="66D3A11E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144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D8F91A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168</w:t>
            </w:r>
          </w:p>
          <w:p w14:paraId="21D9484B" w14:textId="77777777" w:rsidR="000671D0" w:rsidRPr="00C83F7F" w:rsidRDefault="000671D0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</w:p>
          <w:p w14:paraId="27B723AA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146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37DFF000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1,03 (0,87;</w:t>
            </w:r>
          </w:p>
          <w:p w14:paraId="2506EF2B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1,24)</w:t>
            </w:r>
          </w:p>
          <w:p w14:paraId="1611FCD2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0,97 (0,83;</w:t>
            </w:r>
          </w:p>
          <w:p w14:paraId="4B1CC09B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1,14)</w:t>
            </w:r>
          </w:p>
        </w:tc>
      </w:tr>
      <w:tr w:rsidR="00317033" w:rsidRPr="00ED4C53" w14:paraId="6906EA5A" w14:textId="77777777" w:rsidTr="00062A5C">
        <w:trPr>
          <w:trHeight w:hRule="exact" w:val="269"/>
        </w:trPr>
        <w:tc>
          <w:tcPr>
            <w:tcW w:w="8654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46BD58DD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2" w:right="-20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Parameter: Celkové prežívanie</w:t>
            </w:r>
          </w:p>
        </w:tc>
      </w:tr>
      <w:tr w:rsidR="00317033" w:rsidRPr="00ED4C53" w14:paraId="2778F0C6" w14:textId="77777777" w:rsidTr="00062A5C">
        <w:trPr>
          <w:trHeight w:hRule="exact" w:val="1021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9597741" w14:textId="77777777" w:rsidR="000671D0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PPP </w:t>
            </w:r>
          </w:p>
          <w:p w14:paraId="0840DC6C" w14:textId="77777777" w:rsidR="000671D0" w:rsidRPr="00C83F7F" w:rsidRDefault="000671D0" w:rsidP="00F80C87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sz w:val="22"/>
                <w:szCs w:val="22"/>
                <w:lang w:val="sk-SK"/>
              </w:rPr>
            </w:pPr>
          </w:p>
          <w:p w14:paraId="3B54CC9D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ITT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3A7169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388</w:t>
            </w:r>
          </w:p>
          <w:p w14:paraId="401DA2D6" w14:textId="77777777" w:rsidR="000671D0" w:rsidRPr="00C83F7F" w:rsidRDefault="000671D0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</w:p>
          <w:p w14:paraId="4BFCAF7A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363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E4BCF4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401</w:t>
            </w:r>
          </w:p>
          <w:p w14:paraId="5D31AA1D" w14:textId="77777777" w:rsidR="000671D0" w:rsidRPr="00C83F7F" w:rsidRDefault="000671D0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</w:p>
          <w:p w14:paraId="555813B1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382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2EF8627D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1,07 (0,88;</w:t>
            </w:r>
          </w:p>
          <w:p w14:paraId="09E7328D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1,31)</w:t>
            </w:r>
          </w:p>
          <w:p w14:paraId="058AF63C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1,03 (0,87;</w:t>
            </w:r>
          </w:p>
          <w:p w14:paraId="3F151950" w14:textId="77777777" w:rsidR="00317033" w:rsidRPr="00C83F7F" w:rsidRDefault="00317033" w:rsidP="00F80C87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1,23)</w:t>
            </w:r>
          </w:p>
        </w:tc>
      </w:tr>
      <w:tr w:rsidR="003322F4" w:rsidRPr="00ED4C53" w14:paraId="2D9BAC4B" w14:textId="77777777" w:rsidTr="00062A5C">
        <w:trPr>
          <w:trHeight w:hRule="exact" w:val="289"/>
        </w:trPr>
        <w:tc>
          <w:tcPr>
            <w:tcW w:w="865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</w:tcPr>
          <w:p w14:paraId="65B9A62F" w14:textId="77777777" w:rsidR="003322F4" w:rsidRPr="00C83F7F" w:rsidRDefault="003322F4" w:rsidP="003322F4">
            <w:pPr>
              <w:pStyle w:val="Default"/>
              <w:jc w:val="center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 xml:space="preserve">ĎALŠIE 6-MESAČNÉ SLEDOVANIE </w:t>
            </w:r>
          </w:p>
          <w:p w14:paraId="1E293324" w14:textId="77777777" w:rsidR="003322F4" w:rsidRPr="00C83F7F" w:rsidRDefault="003322F4" w:rsidP="00A478D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</w:tc>
      </w:tr>
      <w:tr w:rsidR="005C4622" w:rsidRPr="00ED4C53" w14:paraId="7B59EB0E" w14:textId="77777777" w:rsidTr="00062A5C">
        <w:trPr>
          <w:trHeight w:hRule="exact" w:val="515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82D8646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  <w:p w14:paraId="1584FAC8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209" w:right="-20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Populácia</w:t>
            </w:r>
          </w:p>
        </w:tc>
        <w:tc>
          <w:tcPr>
            <w:tcW w:w="5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958BD8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sk-SK"/>
              </w:rPr>
            </w:pPr>
          </w:p>
          <w:p w14:paraId="6922B85B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40" w:right="-20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Stredný čas do vzniku príhody (dni)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7407618F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511" w:right="499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HR</w:t>
            </w:r>
          </w:p>
          <w:p w14:paraId="5A36975F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223" w:right="211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(95 % IS)</w:t>
            </w:r>
          </w:p>
        </w:tc>
      </w:tr>
      <w:tr w:rsidR="005C4622" w:rsidRPr="00ED4C53" w14:paraId="3BADBFDF" w14:textId="77777777" w:rsidTr="00062A5C">
        <w:trPr>
          <w:trHeight w:hRule="exact" w:val="269"/>
        </w:trPr>
        <w:tc>
          <w:tcPr>
            <w:tcW w:w="8654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439B663B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2" w:right="-20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Parameter: Prežívanie bez progresie ochorenia</w:t>
            </w:r>
          </w:p>
        </w:tc>
      </w:tr>
      <w:tr w:rsidR="005C4622" w:rsidRPr="00ED4C53" w14:paraId="54764C78" w14:textId="77777777" w:rsidTr="00062A5C">
        <w:trPr>
          <w:trHeight w:hRule="exact" w:val="1021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13A6B112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PPP </w:t>
            </w:r>
          </w:p>
          <w:p w14:paraId="7CE3B7F5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sz w:val="22"/>
                <w:szCs w:val="22"/>
                <w:lang w:val="sk-SK"/>
              </w:rPr>
            </w:pPr>
          </w:p>
          <w:p w14:paraId="47152997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ITT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1E95BCD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154</w:t>
            </w:r>
          </w:p>
          <w:p w14:paraId="40738810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</w:p>
          <w:p w14:paraId="2B379752" w14:textId="77777777" w:rsidR="005C4622" w:rsidRPr="00C83F7F" w:rsidRDefault="005C4622" w:rsidP="005C4622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143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B4DF89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166</w:t>
            </w:r>
          </w:p>
          <w:p w14:paraId="4BF04DD4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</w:p>
          <w:p w14:paraId="5CE6ADA8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146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8A0F899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1,04 (0,87;</w:t>
            </w:r>
          </w:p>
          <w:p w14:paraId="726DD501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1,24)</w:t>
            </w:r>
          </w:p>
          <w:p w14:paraId="7A9175E1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0,97 (0,83;</w:t>
            </w:r>
          </w:p>
          <w:p w14:paraId="396435F2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1,14)</w:t>
            </w:r>
          </w:p>
        </w:tc>
      </w:tr>
      <w:tr w:rsidR="005C4622" w:rsidRPr="00ED4C53" w14:paraId="669B8216" w14:textId="77777777" w:rsidTr="00062A5C">
        <w:trPr>
          <w:trHeight w:hRule="exact" w:val="269"/>
        </w:trPr>
        <w:tc>
          <w:tcPr>
            <w:tcW w:w="8654" w:type="dxa"/>
            <w:gridSpan w:val="4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3F3F3"/>
          </w:tcPr>
          <w:p w14:paraId="59608357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2" w:right="-20"/>
              <w:jc w:val="both"/>
              <w:rPr>
                <w:lang w:val="sk-SK"/>
              </w:rPr>
            </w:pPr>
            <w:r w:rsidRPr="00C83F7F">
              <w:rPr>
                <w:b/>
                <w:bCs/>
                <w:sz w:val="22"/>
                <w:szCs w:val="22"/>
                <w:lang w:val="sk-SK"/>
              </w:rPr>
              <w:t>Parameter: Celkové prežívanie</w:t>
            </w:r>
          </w:p>
        </w:tc>
      </w:tr>
      <w:tr w:rsidR="005C4622" w:rsidRPr="00ED4C53" w14:paraId="62A1C039" w14:textId="77777777" w:rsidTr="00062A5C">
        <w:trPr>
          <w:trHeight w:hRule="exact" w:val="1021"/>
        </w:trPr>
        <w:tc>
          <w:tcPr>
            <w:tcW w:w="13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6DA6BE4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 xml:space="preserve">PPP </w:t>
            </w:r>
          </w:p>
          <w:p w14:paraId="346A0B3B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sz w:val="22"/>
                <w:szCs w:val="22"/>
                <w:lang w:val="sk-SK"/>
              </w:rPr>
            </w:pPr>
          </w:p>
          <w:p w14:paraId="633DA495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472" w:right="429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ITT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EDFD347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393</w:t>
            </w:r>
          </w:p>
          <w:p w14:paraId="7BB91AE3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sz w:val="22"/>
                <w:szCs w:val="22"/>
                <w:lang w:val="sk-SK"/>
              </w:rPr>
            </w:pPr>
          </w:p>
          <w:p w14:paraId="07497D57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30" w:right="1330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363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5A2449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402</w:t>
            </w:r>
          </w:p>
          <w:p w14:paraId="022EC869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sz w:val="22"/>
                <w:szCs w:val="22"/>
                <w:lang w:val="sk-SK"/>
              </w:rPr>
            </w:pPr>
          </w:p>
          <w:p w14:paraId="57CB06FC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290" w:right="1150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382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22D7DD26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1,05 (0,88;</w:t>
            </w:r>
          </w:p>
          <w:p w14:paraId="4E4BBEFD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1,27)</w:t>
            </w:r>
          </w:p>
          <w:p w14:paraId="4AEAD4FD" w14:textId="77777777" w:rsidR="005C4622" w:rsidRPr="00C83F7F" w:rsidRDefault="005C4622" w:rsidP="00A478D4">
            <w:pPr>
              <w:widowControl w:val="0"/>
              <w:autoSpaceDE w:val="0"/>
              <w:autoSpaceDN w:val="0"/>
              <w:adjustRightInd w:val="0"/>
              <w:ind w:left="195" w:right="184"/>
              <w:jc w:val="both"/>
              <w:rPr>
                <w:sz w:val="22"/>
                <w:szCs w:val="22"/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1,02 (0,86;</w:t>
            </w:r>
          </w:p>
          <w:p w14:paraId="2DF9C906" w14:textId="77777777" w:rsidR="005C4622" w:rsidRPr="00C83F7F" w:rsidRDefault="005C4622" w:rsidP="005C4622">
            <w:pPr>
              <w:widowControl w:val="0"/>
              <w:autoSpaceDE w:val="0"/>
              <w:autoSpaceDN w:val="0"/>
              <w:adjustRightInd w:val="0"/>
              <w:ind w:left="445" w:right="434"/>
              <w:jc w:val="both"/>
              <w:rPr>
                <w:lang w:val="sk-SK"/>
              </w:rPr>
            </w:pPr>
            <w:r w:rsidRPr="00C83F7F">
              <w:rPr>
                <w:sz w:val="22"/>
                <w:szCs w:val="22"/>
                <w:lang w:val="sk-SK"/>
              </w:rPr>
              <w:t>1,21)</w:t>
            </w:r>
          </w:p>
        </w:tc>
      </w:tr>
    </w:tbl>
    <w:p w14:paraId="72582AC3" w14:textId="77777777" w:rsidR="005C4622" w:rsidRPr="00C83F7F" w:rsidRDefault="009534ED" w:rsidP="00C07C1D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*PPP=populácia podľa protokolu; **ITT=populácia všetkých randomizovaných (intent-to-treat) pacientov</w:t>
      </w:r>
    </w:p>
    <w:p w14:paraId="3B6D75CC" w14:textId="77777777" w:rsidR="005C4622" w:rsidRPr="00C83F7F" w:rsidRDefault="005C4622" w:rsidP="00C07C1D">
      <w:pPr>
        <w:widowControl w:val="0"/>
        <w:autoSpaceDE w:val="0"/>
        <w:autoSpaceDN w:val="0"/>
        <w:adjustRightInd w:val="0"/>
        <w:spacing w:before="13" w:line="240" w:lineRule="exact"/>
        <w:jc w:val="both"/>
        <w:rPr>
          <w:lang w:val="sk-SK"/>
        </w:rPr>
      </w:pPr>
    </w:p>
    <w:p w14:paraId="714CEFCB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u w:val="single"/>
          <w:lang w:val="sk-SK"/>
        </w:rPr>
        <w:t>Pokročilý karcinóm žalúdka:</w:t>
      </w:r>
    </w:p>
    <w:p w14:paraId="2F983309" w14:textId="5DD74492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Údaje z multicentrickej, randomizovanej, kontrolovanej klinickej štúdie III. fázy skúmajúcej pacientov s pokročilým karcinómom žalúdka podporujú použitie </w:t>
      </w:r>
      <w:r w:rsidR="000001B4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 xml:space="preserve">ako lieku prvej línie na liečbu pokročilého karcinómu žalúdka (ML17032). V tejto štúdii bolo 160 pacientov randomizovaných na liečbu </w:t>
      </w:r>
      <w:r w:rsidR="000001B4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(1 000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dvakrát denne počas 2 týždňov, po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ktorých nasleduje 7 dní bez liečby) a cisplatinou (80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formou 2 hodiny trvajúcej infúzie, raz za 3 týždne). Celkom 156 pacientov bolo randomizovaných na liečbu 5-FU (800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denne, kontinuálna infúzia v 1. až 5. deň, raz za 3 týždne) a cisplatinou (80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formou 2 hodiny trvajúcej infúzie v 1. deň, raz za 3 týždne). </w:t>
      </w:r>
      <w:r w:rsidR="000001B4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>v kombinácii s cisplatinou nebol menej účinn</w:t>
      </w:r>
      <w:r w:rsidR="000001B4" w:rsidRPr="00C83F7F">
        <w:rPr>
          <w:sz w:val="22"/>
          <w:szCs w:val="22"/>
          <w:lang w:val="sk-SK"/>
        </w:rPr>
        <w:t>ý</w:t>
      </w:r>
      <w:r w:rsidRPr="00C83F7F">
        <w:rPr>
          <w:sz w:val="22"/>
          <w:szCs w:val="22"/>
          <w:lang w:val="sk-SK"/>
        </w:rPr>
        <w:t xml:space="preserve"> ako 5-FU v kombinácii s cisplatinou z hľadiska prežívania bez progresie ochorenia v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analýze podľa protokolu (miera rizika 0,81; 95 % IS 0,63 – 1,04). Medián prežívania bez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progresie bol 5,6 mesiacov </w:t>
      </w:r>
      <w:r w:rsidR="000001B4" w:rsidRPr="00C83F7F">
        <w:rPr>
          <w:sz w:val="22"/>
          <w:szCs w:val="22"/>
          <w:lang w:val="sk-SK"/>
        </w:rPr>
        <w:t>(kapecitabín</w:t>
      </w:r>
      <w:r w:rsidRPr="00C83F7F">
        <w:rPr>
          <w:sz w:val="22"/>
          <w:szCs w:val="22"/>
          <w:lang w:val="sk-SK"/>
        </w:rPr>
        <w:t xml:space="preserve"> + cisplatina) oproti 5,0 mesiacom (5-FU + cisplatina). Miera rizika dĺžky prežívania (celkové prežívanie) bola podobná miere rizika pre</w:t>
      </w:r>
      <w:r w:rsidR="000001B4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prežívanie bez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progresie ochorenia (miera rizika 0,85; 95 % IS 0,64 - 1,13). Medián dĺžky prežívania bol 10,5 mesiacov (</w:t>
      </w:r>
      <w:r w:rsidR="000001B4" w:rsidRPr="00C83F7F">
        <w:rPr>
          <w:sz w:val="22"/>
          <w:szCs w:val="22"/>
          <w:lang w:val="sk-SK"/>
        </w:rPr>
        <w:t>kapecitabín</w:t>
      </w:r>
      <w:r w:rsidRPr="00C83F7F">
        <w:rPr>
          <w:sz w:val="22"/>
          <w:szCs w:val="22"/>
          <w:lang w:val="sk-SK"/>
        </w:rPr>
        <w:t xml:space="preserve"> + cisplatina) oproti 9,3 mesiacom (5-FU + cisplatina).</w:t>
      </w:r>
    </w:p>
    <w:p w14:paraId="7CEAB682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3689C0D" w14:textId="6A5747AC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Údaje z randomizovanej, multicentrickej klinickej štúdie III. fázy porovnávajúcej kapecitabín s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5-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FU</w:t>
      </w:r>
      <w:r w:rsidR="00AC1BA5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a oxaliplatinu s cisplatinou u pacientov s pokročilým karcinómom žalúdka podporujú použitie </w:t>
      </w:r>
      <w:r w:rsidR="00753351" w:rsidRPr="00C83F7F">
        <w:rPr>
          <w:sz w:val="22"/>
          <w:szCs w:val="22"/>
          <w:lang w:val="sk-SK"/>
        </w:rPr>
        <w:t>kapecitabínu</w:t>
      </w:r>
      <w:r w:rsidRPr="00C83F7F">
        <w:rPr>
          <w:sz w:val="22"/>
          <w:szCs w:val="22"/>
          <w:lang w:val="sk-SK"/>
        </w:rPr>
        <w:t xml:space="preserve"> ako lieku prvej línie na liečbu pokročilého karcinómu žalúdka (REAL-2). V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tejto štúdii bolo v 2x2 faktorovom dizajne 1002 pacientov randomizovaných do jedného z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nasledujúcich 4 ramien:</w:t>
      </w:r>
    </w:p>
    <w:p w14:paraId="6F377E41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EF37428" w14:textId="77777777" w:rsidR="00317033" w:rsidRPr="00C83F7F" w:rsidRDefault="00317033" w:rsidP="008E7CCB">
      <w:pPr>
        <w:widowControl w:val="0"/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ECF: epirubicín (50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formou bolusu v 1. deň, raz za 3 týždne), cisplatina (60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formou 2 hodiny trvajúcej infúzie v 1. deň, raz za 3 týždne) a 5-FU (200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denne formou kontinuálnej infúzie cez centrálny venózny katéter).</w:t>
      </w:r>
    </w:p>
    <w:p w14:paraId="1CBBF5C7" w14:textId="31657477" w:rsidR="00317033" w:rsidRPr="00C83F7F" w:rsidRDefault="00317033" w:rsidP="008E7CCB">
      <w:pPr>
        <w:widowControl w:val="0"/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ECX: epirubicín (50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formou bolusu v 1. deň, raz za 3 týždne), cisplatina</w:t>
      </w:r>
      <w:r w:rsidR="00A173EF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(60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formou 2 hodiny trvajúcej infúzie v 1. deň, raz za 3 týždne) a</w:t>
      </w:r>
      <w:r w:rsidR="00F35389" w:rsidRPr="005E37A5">
        <w:rPr>
          <w:sz w:val="22"/>
          <w:szCs w:val="22"/>
          <w:lang w:val="sk-SK"/>
        </w:rPr>
        <w:t> </w:t>
      </w:r>
      <w:r w:rsidR="00753351" w:rsidRPr="00C83F7F">
        <w:rPr>
          <w:sz w:val="22"/>
          <w:szCs w:val="22"/>
          <w:lang w:val="sk-SK"/>
        </w:rPr>
        <w:t>kapecitabín</w:t>
      </w:r>
      <w:r w:rsidR="00A173EF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(625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dvakrát denne kontinuálne).</w:t>
      </w:r>
    </w:p>
    <w:p w14:paraId="71D0A590" w14:textId="77777777" w:rsidR="00317033" w:rsidRPr="00C83F7F" w:rsidRDefault="00317033" w:rsidP="008E7CCB">
      <w:pPr>
        <w:widowControl w:val="0"/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EOF: epirubicín (50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formou bolusu v 1. deň, raz za 3 týždne), </w:t>
      </w:r>
      <w:r w:rsidRPr="00C83F7F">
        <w:rPr>
          <w:sz w:val="22"/>
          <w:szCs w:val="22"/>
          <w:lang w:val="sk-SK"/>
        </w:rPr>
        <w:lastRenderedPageBreak/>
        <w:t>oxaliplatina (130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formou 2 hodiny trvajúcej infúzie v 1. deň, raz za 3 týždne) a 5-FU (200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denne formou kontinuálnej infúzie cez centrálny venózny katéter).</w:t>
      </w:r>
    </w:p>
    <w:p w14:paraId="6C6C7015" w14:textId="77777777" w:rsidR="00317033" w:rsidRPr="00C83F7F" w:rsidRDefault="00317033" w:rsidP="008E7CCB">
      <w:pPr>
        <w:widowControl w:val="0"/>
        <w:numPr>
          <w:ilvl w:val="0"/>
          <w:numId w:val="23"/>
        </w:numPr>
        <w:tabs>
          <w:tab w:val="left" w:pos="68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EOX: epirubicín (50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formou bolusu v 1. deň, raz za 3 týždne), oxaliplatina (130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formou 2 hodiny trvajúcej infúzie v 1. deň, raz za 3 týždne) a </w:t>
      </w:r>
      <w:r w:rsidR="00753351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>(625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podávaných dvakrát denne kontinuálne).</w:t>
      </w:r>
    </w:p>
    <w:p w14:paraId="1714CFB1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7068BC" w14:textId="3E2D8EB4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Analýzy primárnej účinnosti u populácie liečenej podľa protokolu preukázali nie nižšiu účinnosť</w:t>
      </w:r>
      <w:r w:rsidR="00B0633B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v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celkovom prežívaní pre režim na báze kapecitabínu oproti režimu na báze 5-FU (miera rizika 0,86;</w:t>
      </w:r>
      <w:r w:rsidR="00AC1BA5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95 % IS 0,8 - 0,99) a pre režim na báze oxaliplatiny oproti režimu na báze cisplatiny (miera rizika</w:t>
      </w:r>
      <w:r w:rsidR="00B0633B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0,92; 95 % IS 0,80 - 1,1). Medián celkového prežívania bol 10,9 mesiacov pre režimy na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báze kapecitabínu a 9,6 mesiacov pre režimy na báze 5-FU. Medián celkového prežívania bol 10,0 mesiacov pre režimy na báze cisplatiny a 10,4 mesiacov pre režimy na báze oxaliplatiny.</w:t>
      </w:r>
    </w:p>
    <w:p w14:paraId="376EA6F3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B078A07" w14:textId="77777777" w:rsidR="00317033" w:rsidRPr="00C83F7F" w:rsidRDefault="00753351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Kapecitabín </w:t>
      </w:r>
      <w:r w:rsidR="00317033" w:rsidRPr="00C83F7F">
        <w:rPr>
          <w:sz w:val="22"/>
          <w:szCs w:val="22"/>
          <w:lang w:val="sk-SK"/>
        </w:rPr>
        <w:t xml:space="preserve">sa tiež používal v kombinácii s  oxaliplatinou na liečbu pokročilého karcinómu žalúdka. Klinické štúdie s </w:t>
      </w:r>
      <w:r w:rsidRPr="00C83F7F">
        <w:rPr>
          <w:sz w:val="22"/>
          <w:szCs w:val="22"/>
          <w:lang w:val="sk-SK"/>
        </w:rPr>
        <w:t>kapecitabínom</w:t>
      </w:r>
      <w:r w:rsidR="00317033" w:rsidRPr="00C83F7F">
        <w:rPr>
          <w:sz w:val="22"/>
          <w:szCs w:val="22"/>
          <w:lang w:val="sk-SK"/>
        </w:rPr>
        <w:t xml:space="preserve"> v monoterapii svedčia o tom, že </w:t>
      </w:r>
      <w:r w:rsidRPr="00C83F7F">
        <w:rPr>
          <w:sz w:val="22"/>
          <w:szCs w:val="22"/>
          <w:lang w:val="sk-SK"/>
        </w:rPr>
        <w:t xml:space="preserve">kapecitabín </w:t>
      </w:r>
      <w:r w:rsidR="00317033" w:rsidRPr="00C83F7F">
        <w:rPr>
          <w:sz w:val="22"/>
          <w:szCs w:val="22"/>
          <w:lang w:val="sk-SK"/>
        </w:rPr>
        <w:t>vykazuje účinnosť pri pokročilom karcinóme žalúdka.</w:t>
      </w:r>
    </w:p>
    <w:p w14:paraId="5B46E889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53C03D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u w:val="single"/>
          <w:lang w:val="sk-SK"/>
        </w:rPr>
        <w:t>Karcinóm hrubého čreva, kolorektálny karcinóm a pokročilý karcinóm žalúdka: metaanalýza</w:t>
      </w:r>
    </w:p>
    <w:p w14:paraId="0A02B04A" w14:textId="77777777" w:rsidR="00317033" w:rsidRPr="00C83F7F" w:rsidRDefault="00317033" w:rsidP="00B03A6B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  <w:lang w:val="sk-SK" w:eastAsia="el-GR"/>
        </w:rPr>
      </w:pPr>
      <w:r w:rsidRPr="00C83F7F">
        <w:rPr>
          <w:sz w:val="22"/>
          <w:szCs w:val="22"/>
          <w:lang w:val="sk-SK"/>
        </w:rPr>
        <w:t xml:space="preserve">Metaanalýza šiestich klinických štúdií (štúdií SO14695, SO14796, M66001, NO16966, NO16967, M17032) podporuje použitie </w:t>
      </w:r>
      <w:r w:rsidR="00753351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 xml:space="preserve">ako náhrady 5-FU v monoterapii a v kombinovanej liečbe gastrointestinálneho karcinómu. Súhrnná analýza zahŕňa 3 097 pacientov liečených režimami obsahujúcimi </w:t>
      </w:r>
      <w:r w:rsidR="00753351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 xml:space="preserve">a 3 074 pacientov liečených režimami obsahujúcimi 5-FU. Medián celkového prežívania bol 703 dní (95 % IS: 671; 743) u pacientov liečených režimami obsahujúcimi </w:t>
      </w:r>
      <w:r w:rsidR="00753351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>a</w:t>
      </w:r>
      <w:r w:rsidR="00753351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683 dní (95 % IS: 646; 715) u pacientov</w:t>
      </w:r>
      <w:r w:rsidR="00B03A6B" w:rsidRPr="00C83F7F">
        <w:rPr>
          <w:sz w:val="22"/>
          <w:szCs w:val="22"/>
          <w:lang w:val="sk-SK"/>
        </w:rPr>
        <w:t xml:space="preserve"> </w:t>
      </w:r>
      <w:r w:rsidRPr="00C83F7F">
        <w:rPr>
          <w:color w:val="000000"/>
          <w:sz w:val="22"/>
          <w:szCs w:val="22"/>
          <w:lang w:val="sk-SK"/>
        </w:rPr>
        <w:t>liečených režimami obsahujúcimi 5-FU. Miera rizika celkového</w:t>
      </w:r>
      <w:r w:rsidR="00B03A6B" w:rsidRPr="00C83F7F">
        <w:rPr>
          <w:color w:val="000000"/>
          <w:sz w:val="22"/>
          <w:szCs w:val="22"/>
          <w:lang w:val="sk-SK"/>
        </w:rPr>
        <w:t xml:space="preserve"> prežívania bola 0,94 (95 % IS: </w:t>
      </w:r>
      <w:r w:rsidRPr="00C83F7F">
        <w:rPr>
          <w:color w:val="000000"/>
          <w:sz w:val="22"/>
          <w:szCs w:val="22"/>
          <w:lang w:val="sk-SK"/>
        </w:rPr>
        <w:t xml:space="preserve">0,89; 1,00; p = 0,0489), </w:t>
      </w:r>
      <w:r w:rsidR="00B03A6B" w:rsidRPr="00C83F7F">
        <w:rPr>
          <w:rFonts w:eastAsia="TimesNewRoman"/>
          <w:color w:val="000000"/>
          <w:sz w:val="22"/>
          <w:szCs w:val="22"/>
          <w:lang w:val="sk-SK" w:eastAsia="el-GR"/>
        </w:rPr>
        <w:t>čo svedčí o tom, že režimy obsahujúce kapecitabín sú noninferiórne v porovnaní s režimami obsahujúcimi 5-FU</w:t>
      </w:r>
      <w:r w:rsidRPr="00C83F7F">
        <w:rPr>
          <w:color w:val="000000"/>
          <w:sz w:val="22"/>
          <w:szCs w:val="22"/>
          <w:lang w:val="sk-SK"/>
        </w:rPr>
        <w:t>.</w:t>
      </w:r>
    </w:p>
    <w:p w14:paraId="2431CF57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5EC08E2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u w:val="single"/>
          <w:lang w:val="sk-SK"/>
        </w:rPr>
        <w:t>Karcinóm prsníka:</w:t>
      </w:r>
    </w:p>
    <w:p w14:paraId="6B1D9C7E" w14:textId="74C864F5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Kombinovaná liečba lokálne pokročilého alebo metastatického karcinómu prsníka </w:t>
      </w:r>
      <w:r w:rsidR="008638DE" w:rsidRPr="00C83F7F">
        <w:rPr>
          <w:i/>
          <w:iCs/>
          <w:sz w:val="22"/>
          <w:szCs w:val="22"/>
          <w:lang w:val="sk-SK"/>
        </w:rPr>
        <w:t>kapecitabínom</w:t>
      </w:r>
      <w:r w:rsidRPr="00C83F7F">
        <w:rPr>
          <w:i/>
          <w:iCs/>
          <w:sz w:val="22"/>
          <w:szCs w:val="22"/>
          <w:lang w:val="sk-SK"/>
        </w:rPr>
        <w:t xml:space="preserve"> </w:t>
      </w:r>
      <w:r w:rsidR="00F35389" w:rsidRPr="005E37A5">
        <w:rPr>
          <w:i/>
          <w:iCs/>
          <w:sz w:val="22"/>
          <w:szCs w:val="22"/>
          <w:lang w:val="sk-SK"/>
        </w:rPr>
        <w:t> </w:t>
      </w:r>
      <w:r w:rsidR="00F35389" w:rsidRPr="00C83F7F">
        <w:rPr>
          <w:i/>
          <w:iCs/>
          <w:sz w:val="22"/>
          <w:szCs w:val="22"/>
          <w:lang w:val="sk-SK"/>
        </w:rPr>
        <w:t>a</w:t>
      </w:r>
      <w:r w:rsidR="00F35389" w:rsidRPr="005E37A5">
        <w:rPr>
          <w:i/>
          <w:iCs/>
          <w:sz w:val="22"/>
          <w:szCs w:val="22"/>
          <w:lang w:val="sk-SK"/>
        </w:rPr>
        <w:t> </w:t>
      </w:r>
      <w:r w:rsidRPr="00C83F7F">
        <w:rPr>
          <w:i/>
          <w:iCs/>
          <w:sz w:val="22"/>
          <w:szCs w:val="22"/>
          <w:lang w:val="sk-SK"/>
        </w:rPr>
        <w:t>docetaxelom</w:t>
      </w:r>
    </w:p>
    <w:p w14:paraId="6A09782B" w14:textId="46D5F57A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Údaje z jednej multicentrickej, randomizovanej, kontrolovanej klinickej štúdie III. fázy podporujú použitie </w:t>
      </w:r>
      <w:r w:rsidR="0046701E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 xml:space="preserve">v kombinácii s docetaxelom na liečbu pacientov s lokálne rozvinutým alebo metastatickým karcinómom prsníka po zlyhaní cytotoxickej chemoterapie zahrňujúcej antracyklín. V tejto štúdii sa randomizovalo 255 pacientov na liečbu </w:t>
      </w:r>
      <w:r w:rsidR="0046701E" w:rsidRPr="00C83F7F">
        <w:rPr>
          <w:sz w:val="22"/>
          <w:szCs w:val="22"/>
          <w:lang w:val="sk-SK"/>
        </w:rPr>
        <w:t xml:space="preserve">kapecitabínom </w:t>
      </w:r>
      <w:r w:rsidRPr="00C83F7F">
        <w:rPr>
          <w:sz w:val="22"/>
          <w:szCs w:val="22"/>
          <w:lang w:val="sk-SK"/>
        </w:rPr>
        <w:t>(1 250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dvakrát denne počas</w:t>
      </w:r>
      <w:r w:rsidR="0046701E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2 týždňov, po ktorých nasledoval 1 týždeň bez liečby a docetaxelom, ktorý sa podal i. v. infúziou, ktorá trvala 1 hodinu v dávke 75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raz za 3 týždne). 256 pacientov sa liečilo samotným docetaxelom (100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v i. v. infúzii trvajúcej 1 hodinu raz za 3 týždne). Prežitie bolo vyššie v skupine </w:t>
      </w:r>
      <w:r w:rsidR="0046701E" w:rsidRPr="00C83F7F">
        <w:rPr>
          <w:sz w:val="22"/>
          <w:szCs w:val="22"/>
          <w:lang w:val="sk-SK"/>
        </w:rPr>
        <w:t>kapecitabín</w:t>
      </w:r>
      <w:r w:rsidRPr="00C83F7F">
        <w:rPr>
          <w:sz w:val="22"/>
          <w:szCs w:val="22"/>
          <w:lang w:val="sk-SK"/>
        </w:rPr>
        <w:t xml:space="preserve"> + docetaxel (p = 0,0126). Stredná doba prežitia bola 442 dní </w:t>
      </w:r>
      <w:r w:rsidR="0046701E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>+ docetaxel), verzus 352 dní (docetaxel samotný). Celková objektívna odpoveď na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liečbu (podľa hodnotenia skúšajúceho) bola 41,6 % (</w:t>
      </w:r>
      <w:r w:rsidR="0046701E" w:rsidRPr="00C83F7F">
        <w:rPr>
          <w:sz w:val="22"/>
          <w:szCs w:val="22"/>
          <w:lang w:val="sk-SK"/>
        </w:rPr>
        <w:t>kapecitabín</w:t>
      </w:r>
      <w:r w:rsidRPr="00C83F7F">
        <w:rPr>
          <w:sz w:val="22"/>
          <w:szCs w:val="22"/>
          <w:lang w:val="sk-SK"/>
        </w:rPr>
        <w:t xml:space="preserve"> + docetaxel), verzus 29,7 % (docetaxel samotný); p = 0,0058. Čas do progresie ochorenia bol dlhší v skupine </w:t>
      </w:r>
      <w:r w:rsidR="0046701E" w:rsidRPr="00C83F7F">
        <w:rPr>
          <w:sz w:val="22"/>
          <w:szCs w:val="22"/>
          <w:lang w:val="sk-SK"/>
        </w:rPr>
        <w:t>kapecitabín</w:t>
      </w:r>
      <w:r w:rsidRPr="00C83F7F">
        <w:rPr>
          <w:sz w:val="22"/>
          <w:szCs w:val="22"/>
          <w:lang w:val="sk-SK"/>
        </w:rPr>
        <w:t>/docetaxel (p &lt; 0,0001); 186 dní (</w:t>
      </w:r>
      <w:r w:rsidR="0046701E" w:rsidRPr="00C83F7F">
        <w:rPr>
          <w:sz w:val="22"/>
          <w:szCs w:val="22"/>
          <w:lang w:val="sk-SK"/>
        </w:rPr>
        <w:t>kapecitabín</w:t>
      </w:r>
      <w:r w:rsidRPr="00C83F7F">
        <w:rPr>
          <w:sz w:val="22"/>
          <w:szCs w:val="22"/>
          <w:lang w:val="sk-SK"/>
        </w:rPr>
        <w:t xml:space="preserve"> + docetaxel) verzus 128 dní (docetaxel samotný).</w:t>
      </w:r>
    </w:p>
    <w:p w14:paraId="08540721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A239FC" w14:textId="19372782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Monoterapia </w:t>
      </w:r>
      <w:r w:rsidR="0046701E" w:rsidRPr="00C83F7F">
        <w:rPr>
          <w:i/>
          <w:iCs/>
          <w:sz w:val="22"/>
          <w:szCs w:val="22"/>
          <w:lang w:val="sk-SK"/>
        </w:rPr>
        <w:t>kapecitabínom</w:t>
      </w:r>
      <w:r w:rsidRPr="00C83F7F">
        <w:rPr>
          <w:i/>
          <w:iCs/>
          <w:sz w:val="22"/>
          <w:szCs w:val="22"/>
          <w:lang w:val="sk-SK"/>
        </w:rPr>
        <w:t xml:space="preserve"> po zlyhaní taxánov, chemoterapie antracyklínom a u pacientov, u</w:t>
      </w:r>
      <w:r w:rsidR="00F35389" w:rsidRPr="005E37A5">
        <w:rPr>
          <w:i/>
          <w:iCs/>
          <w:sz w:val="22"/>
          <w:szCs w:val="22"/>
          <w:lang w:val="sk-SK"/>
        </w:rPr>
        <w:t> </w:t>
      </w:r>
      <w:r w:rsidRPr="00C83F7F">
        <w:rPr>
          <w:i/>
          <w:iCs/>
          <w:sz w:val="22"/>
          <w:szCs w:val="22"/>
          <w:lang w:val="sk-SK"/>
        </w:rPr>
        <w:t>ktorých nie je indikovaná liečba antracyklínom</w:t>
      </w:r>
    </w:p>
    <w:p w14:paraId="5C97267A" w14:textId="5B9F6AB9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Údaje z dvoch multicentrických klinických štúdií II. fázy podporujú použitie </w:t>
      </w:r>
      <w:r w:rsidR="0046701E" w:rsidRPr="00C83F7F">
        <w:rPr>
          <w:sz w:val="22"/>
          <w:szCs w:val="22"/>
          <w:lang w:val="sk-SK"/>
        </w:rPr>
        <w:t xml:space="preserve">kapecitabínu </w:t>
      </w:r>
      <w:r w:rsidRPr="00C83F7F">
        <w:rPr>
          <w:sz w:val="22"/>
          <w:szCs w:val="22"/>
          <w:lang w:val="sk-SK"/>
        </w:rPr>
        <w:t>v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monoterapii na</w:t>
      </w:r>
      <w:r w:rsidR="0046701E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liečbu pacientov po zlyhaní taxánov a chemoterapeutických liečebných režimov, ktoré obsahujú antracyklíny, a u ktorých ďalšie použitie antracyklínov nie je indikované. V týchto štúdiách sa celkovo</w:t>
      </w:r>
      <w:r w:rsidR="00EE1B1C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236 pacientov liečilo </w:t>
      </w:r>
      <w:r w:rsidR="0046701E" w:rsidRPr="00C83F7F">
        <w:rPr>
          <w:sz w:val="22"/>
          <w:szCs w:val="22"/>
          <w:lang w:val="sk-SK"/>
        </w:rPr>
        <w:t>kapecitabínom</w:t>
      </w:r>
      <w:r w:rsidRPr="00C83F7F">
        <w:rPr>
          <w:sz w:val="22"/>
          <w:szCs w:val="22"/>
          <w:lang w:val="sk-SK"/>
        </w:rPr>
        <w:t>(1 250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denne počas 2 týždňov, po</w:t>
      </w:r>
      <w:r w:rsidR="00F35389" w:rsidRPr="005E37A5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ktorých nasledoval 1 týždeň</w:t>
      </w:r>
      <w:r w:rsidR="0046701E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bez liečby). Celková objektívna odpoveď na liečbu (podľa hodnotenia skúšajúceho) bola 20 % (prvá štúdia) a 25 % (druhá štúdia). Stredný čas do progresie bol 93 a 98 dní. Stredná doba prežitia bola</w:t>
      </w:r>
    </w:p>
    <w:p w14:paraId="2DABFD6C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384 a 373 dní.</w:t>
      </w:r>
    </w:p>
    <w:p w14:paraId="3A25EFAD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C6898B6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u w:val="single"/>
          <w:lang w:val="sk-SK"/>
        </w:rPr>
        <w:lastRenderedPageBreak/>
        <w:t>Všetky indikácie:</w:t>
      </w:r>
    </w:p>
    <w:p w14:paraId="33B7684B" w14:textId="77777777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28C77C" w14:textId="0DCE1F3D" w:rsidR="00317033" w:rsidRPr="00C83F7F" w:rsidRDefault="00317033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Metaanalýza 14 klinických štúdií s údajmi od viac ako 4 700 pacientov liečených kapecitabínom v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 xml:space="preserve">monoterapii alebo v kombinácii s rôznymi režimami chemoterapie vo viacerých indikáciách (karcinóm hrubého čreva, kolorektálny karcinóm, karcinóm žalúdka a karcinóm prsníka) ukázala, že pacienti, ktorí užívali </w:t>
      </w:r>
      <w:r w:rsidR="0046701E" w:rsidRPr="00C83F7F">
        <w:rPr>
          <w:sz w:val="22"/>
          <w:szCs w:val="22"/>
          <w:lang w:val="sk-SK"/>
        </w:rPr>
        <w:t xml:space="preserve">kapecitabín </w:t>
      </w:r>
      <w:r w:rsidRPr="00C83F7F">
        <w:rPr>
          <w:sz w:val="22"/>
          <w:szCs w:val="22"/>
          <w:lang w:val="sk-SK"/>
        </w:rPr>
        <w:t>a vyskytol sa u nich syndróm ruka-noha (HFS) mali dlhšie celkové prežívanie v porovnaní s pacientami, u ktorých sa syndróm HFS nevyvinul: medián celkového prežívania 1 100 dní (95 % interval spoľahlivosti 1 007;1 200) verzus 691 dní (95 % interval spoľahlivosti638;754), hazard ratio 0,61 (95 % interval spoľahlivosti 0,56; 0,66).</w:t>
      </w:r>
    </w:p>
    <w:p w14:paraId="1D79A967" w14:textId="77777777" w:rsidR="008E7CCB" w:rsidRPr="00C83F7F" w:rsidRDefault="008E7CCB" w:rsidP="008E7CCB">
      <w:pPr>
        <w:widowControl w:val="0"/>
        <w:autoSpaceDE w:val="0"/>
        <w:autoSpaceDN w:val="0"/>
        <w:adjustRightInd w:val="0"/>
        <w:ind w:right="265"/>
        <w:rPr>
          <w:sz w:val="22"/>
          <w:szCs w:val="22"/>
          <w:lang w:val="sk-SK"/>
        </w:rPr>
      </w:pPr>
    </w:p>
    <w:p w14:paraId="5F64A796" w14:textId="77777777" w:rsidR="008E7CCB" w:rsidRPr="00C83F7F" w:rsidRDefault="00F82411" w:rsidP="008E7CCB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C83F7F">
        <w:rPr>
          <w:sz w:val="22"/>
          <w:szCs w:val="22"/>
          <w:u w:val="single"/>
          <w:lang w:val="sk-SK"/>
        </w:rPr>
        <w:t>Pediatrická populácia</w:t>
      </w:r>
      <w:r w:rsidR="008E7CCB" w:rsidRPr="00C83F7F">
        <w:rPr>
          <w:sz w:val="22"/>
          <w:szCs w:val="22"/>
          <w:u w:val="single"/>
          <w:lang w:val="sk-SK"/>
        </w:rPr>
        <w:t>:</w:t>
      </w:r>
    </w:p>
    <w:p w14:paraId="337E1729" w14:textId="5789306D" w:rsidR="008E7CCB" w:rsidRPr="00C83F7F" w:rsidRDefault="008E7CCB" w:rsidP="008E7CCB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Európska agentúra pre lieky udelila odklad z povinnosti predložiť výsledky štúdií pre referenčný liek obsahujúci kapecitabín vo všetkých vekových podskupinách detí a dospievajúcich pre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karcinóm hrubého čreva, kolorektálny karcinóm a karcinóm prsníka (pre informácie o použití u</w:t>
      </w:r>
      <w:r w:rsidR="00F35389" w:rsidRPr="005E37A5">
        <w:rPr>
          <w:sz w:val="22"/>
          <w:szCs w:val="22"/>
          <w:lang w:val="sk-SK"/>
        </w:rPr>
        <w:t> </w:t>
      </w:r>
      <w:r w:rsidR="00F82411" w:rsidRPr="00C83F7F">
        <w:rPr>
          <w:sz w:val="22"/>
          <w:szCs w:val="22"/>
          <w:lang w:val="sk-SK"/>
        </w:rPr>
        <w:t>pediatrickej populácie</w:t>
      </w:r>
      <w:r w:rsidRPr="00C83F7F">
        <w:rPr>
          <w:sz w:val="22"/>
          <w:szCs w:val="22"/>
          <w:lang w:val="sk-SK"/>
        </w:rPr>
        <w:t>, pozri časť 4.2 ).</w:t>
      </w:r>
    </w:p>
    <w:p w14:paraId="074B486E" w14:textId="77777777" w:rsidR="008E7CCB" w:rsidRPr="00C83F7F" w:rsidRDefault="008E7CCB" w:rsidP="008E7CCB">
      <w:pPr>
        <w:widowControl w:val="0"/>
        <w:autoSpaceDE w:val="0"/>
        <w:autoSpaceDN w:val="0"/>
        <w:adjustRightInd w:val="0"/>
        <w:ind w:right="265"/>
        <w:rPr>
          <w:sz w:val="22"/>
          <w:szCs w:val="22"/>
          <w:lang w:val="sk-SK"/>
        </w:rPr>
      </w:pPr>
    </w:p>
    <w:p w14:paraId="6E2650D7" w14:textId="77777777" w:rsidR="00317033" w:rsidRPr="00C83F7F" w:rsidRDefault="00317033" w:rsidP="00FB2845">
      <w:pPr>
        <w:widowControl w:val="0"/>
        <w:numPr>
          <w:ilvl w:val="0"/>
          <w:numId w:val="13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Farmakokinetické vlastnosti</w:t>
      </w:r>
    </w:p>
    <w:p w14:paraId="4EF840BD" w14:textId="77777777" w:rsidR="00317033" w:rsidRPr="00C83F7F" w:rsidRDefault="00317033" w:rsidP="00F80C8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4D87D96" w14:textId="4513A069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Farmakokinetické vlastnosti kapecitabínu sa hodnotili v intervale dávok 502 - 3 514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denne. Parametre kapecitabínu, 5'-deoxy-5-fluórcytidínu (5'-DFCR) a 5'-deoxy-5-fluóruridínu (5'-DFUR) boli podobné pri meraniach uskutočnených v 1. a 14. dni liečby. Na 14. deň bola hodnota AUC pre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5-FU</w:t>
      </w:r>
      <w:r w:rsidR="009B0432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o 30 – 35 % vyššia. Zníženie dávkovania kapecitabínu viedlo k viac ako proporčnému zníženiu systémovej expozície 5-FU v dôsledku nelineárnej farmakokinetiky aktívneho metabolitu.</w:t>
      </w:r>
    </w:p>
    <w:p w14:paraId="20569EB0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6128C72" w14:textId="77777777" w:rsidR="008E7CCB" w:rsidRPr="00C83F7F" w:rsidRDefault="00317033" w:rsidP="00C245E7">
      <w:pPr>
        <w:widowControl w:val="0"/>
        <w:autoSpaceDE w:val="0"/>
        <w:autoSpaceDN w:val="0"/>
        <w:adjustRightInd w:val="0"/>
        <w:rPr>
          <w:iCs/>
          <w:sz w:val="22"/>
          <w:szCs w:val="22"/>
          <w:u w:val="single"/>
          <w:lang w:val="sk-SK"/>
        </w:rPr>
      </w:pPr>
      <w:r w:rsidRPr="00C83F7F">
        <w:rPr>
          <w:iCs/>
          <w:sz w:val="22"/>
          <w:szCs w:val="22"/>
          <w:u w:val="single"/>
          <w:lang w:val="sk-SK"/>
        </w:rPr>
        <w:t>Absorpcia</w:t>
      </w:r>
    </w:p>
    <w:p w14:paraId="00A2C856" w14:textId="1CFDBBAE" w:rsidR="00317033" w:rsidRPr="00C83F7F" w:rsidRDefault="008E7CCB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K</w:t>
      </w:r>
      <w:r w:rsidR="00317033" w:rsidRPr="00C83F7F">
        <w:rPr>
          <w:sz w:val="22"/>
          <w:szCs w:val="22"/>
          <w:lang w:val="sk-SK"/>
        </w:rPr>
        <w:t>apecitabín sa rýchlo a významne absorbuje po perorálnom podaní a ďalej sa výrazne mení na</w:t>
      </w:r>
      <w:r w:rsidR="00F35389" w:rsidRPr="005E37A5">
        <w:rPr>
          <w:sz w:val="22"/>
          <w:szCs w:val="22"/>
          <w:lang w:val="sk-SK"/>
        </w:rPr>
        <w:t> </w:t>
      </w:r>
      <w:r w:rsidR="00317033" w:rsidRPr="00C83F7F">
        <w:rPr>
          <w:sz w:val="22"/>
          <w:szCs w:val="22"/>
          <w:lang w:val="sk-SK"/>
        </w:rPr>
        <w:t>metabolity 5'-DFCR a 5'-DFUR. Podanie lieku s jedlom znižuje rýchlosť vstrebávania kapecitabínu, avšak len minimálne ovplyvňuje hodnoty AUC pre 5'-DFUR a následného metabolitu 5- FU. Po 14 dňoch podávania kapecitabínu v dennej dávke 1 250 mg/m</w:t>
      </w:r>
      <w:r w:rsidR="00317033" w:rsidRPr="00C83F7F">
        <w:rPr>
          <w:sz w:val="22"/>
          <w:szCs w:val="22"/>
          <w:vertAlign w:val="superscript"/>
          <w:lang w:val="sk-SK"/>
        </w:rPr>
        <w:t>2</w:t>
      </w:r>
      <w:r w:rsidR="00317033" w:rsidRPr="00C83F7F">
        <w:rPr>
          <w:sz w:val="22"/>
          <w:szCs w:val="22"/>
          <w:lang w:val="sk-SK"/>
        </w:rPr>
        <w:t xml:space="preserve"> po jedle boli plazmatické koncentrácie (C</w:t>
      </w:r>
      <w:r w:rsidR="00317033" w:rsidRPr="00C83F7F">
        <w:rPr>
          <w:sz w:val="22"/>
          <w:szCs w:val="22"/>
          <w:vertAlign w:val="subscript"/>
          <w:lang w:val="sk-SK"/>
        </w:rPr>
        <w:t>max</w:t>
      </w:r>
      <w:r w:rsidR="00317033" w:rsidRPr="00C83F7F">
        <w:rPr>
          <w:sz w:val="22"/>
          <w:szCs w:val="22"/>
          <w:lang w:val="sk-SK"/>
        </w:rPr>
        <w:t xml:space="preserve"> v μg/ml) kapecitabínu, 5'-DFCR, 5'-DFUR, 5-FU a FBAL nasledovné: 4,67; 3,05;</w:t>
      </w:r>
      <w:r w:rsidR="00414F13" w:rsidRPr="00C83F7F">
        <w:rPr>
          <w:sz w:val="22"/>
          <w:szCs w:val="22"/>
          <w:lang w:val="sk-SK"/>
        </w:rPr>
        <w:t xml:space="preserve"> </w:t>
      </w:r>
      <w:r w:rsidR="00317033" w:rsidRPr="00C83F7F">
        <w:rPr>
          <w:sz w:val="22"/>
          <w:szCs w:val="22"/>
          <w:lang w:val="sk-SK"/>
        </w:rPr>
        <w:t>12,1; 0,95 a 5,46 μg/ml. Časy potrebné na dosiahnutie maximálnych koncentrácií uvedených látok v plazme (T</w:t>
      </w:r>
      <w:r w:rsidR="00317033" w:rsidRPr="00C83F7F">
        <w:rPr>
          <w:sz w:val="22"/>
          <w:szCs w:val="22"/>
          <w:vertAlign w:val="subscript"/>
          <w:lang w:val="sk-SK"/>
        </w:rPr>
        <w:t>max</w:t>
      </w:r>
      <w:r w:rsidR="00317033" w:rsidRPr="00C83F7F">
        <w:rPr>
          <w:sz w:val="22"/>
          <w:szCs w:val="22"/>
          <w:lang w:val="sk-SK"/>
        </w:rPr>
        <w:t xml:space="preserve"> v hodinách) boli nasledovné: 1,5; 2,0; 2,0; 2,0 a 3,34 hod. Hodnoty AUC</w:t>
      </w:r>
      <w:r w:rsidR="00317033" w:rsidRPr="00C83F7F">
        <w:rPr>
          <w:sz w:val="22"/>
          <w:szCs w:val="22"/>
          <w:vertAlign w:val="subscript"/>
          <w:lang w:val="sk-SK"/>
        </w:rPr>
        <w:t>o-∞</w:t>
      </w:r>
      <w:r w:rsidR="00317033" w:rsidRPr="00C83F7F">
        <w:rPr>
          <w:sz w:val="22"/>
          <w:szCs w:val="22"/>
          <w:lang w:val="sk-SK"/>
        </w:rPr>
        <w:t xml:space="preserve"> pre uvedené látky boli nasledovné: 7,75; 7,24; 24,6; 2,03 a 36,3 μg.h/ml.</w:t>
      </w:r>
    </w:p>
    <w:p w14:paraId="7FEC3353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379FE2D" w14:textId="77777777" w:rsidR="004979D5" w:rsidRPr="00C83F7F" w:rsidRDefault="004979D5" w:rsidP="00C245E7">
      <w:pPr>
        <w:widowControl w:val="0"/>
        <w:autoSpaceDE w:val="0"/>
        <w:autoSpaceDN w:val="0"/>
        <w:adjustRightInd w:val="0"/>
        <w:rPr>
          <w:iCs/>
          <w:sz w:val="22"/>
          <w:szCs w:val="22"/>
          <w:u w:val="single"/>
          <w:lang w:val="sk-SK"/>
        </w:rPr>
      </w:pPr>
      <w:r w:rsidRPr="00C83F7F">
        <w:rPr>
          <w:iCs/>
          <w:sz w:val="22"/>
          <w:szCs w:val="22"/>
          <w:u w:val="single"/>
          <w:lang w:val="sk-SK"/>
        </w:rPr>
        <w:t>Distribúcia</w:t>
      </w:r>
    </w:p>
    <w:p w14:paraId="1A18CF81" w14:textId="4D15CC64" w:rsidR="00317033" w:rsidRPr="00C83F7F" w:rsidRDefault="004979D5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V</w:t>
      </w:r>
      <w:r w:rsidR="00317033" w:rsidRPr="00C83F7F">
        <w:rPr>
          <w:sz w:val="22"/>
          <w:szCs w:val="22"/>
          <w:lang w:val="sk-SK"/>
        </w:rPr>
        <w:t xml:space="preserve"> štúdiách </w:t>
      </w:r>
      <w:r w:rsidR="00317033" w:rsidRPr="00C83F7F">
        <w:rPr>
          <w:i/>
          <w:iCs/>
          <w:sz w:val="22"/>
          <w:szCs w:val="22"/>
          <w:lang w:val="sk-SK"/>
        </w:rPr>
        <w:t xml:space="preserve">in vitro </w:t>
      </w:r>
      <w:r w:rsidR="00317033" w:rsidRPr="00C83F7F">
        <w:rPr>
          <w:sz w:val="22"/>
          <w:szCs w:val="22"/>
          <w:lang w:val="sk-SK"/>
        </w:rPr>
        <w:t xml:space="preserve">s ľudskou plazmou sa pri kapecitabíne, 5'-DFCR, 5'-DFUR a 5-FU zistili </w:t>
      </w:r>
      <w:r w:rsidR="00317033" w:rsidRPr="00483101">
        <w:rPr>
          <w:sz w:val="22"/>
          <w:szCs w:val="22"/>
          <w:lang w:val="sk-SK"/>
        </w:rPr>
        <w:t xml:space="preserve">nasledovné </w:t>
      </w:r>
      <w:r w:rsidR="00317033" w:rsidRPr="00C83F7F">
        <w:rPr>
          <w:sz w:val="22"/>
          <w:szCs w:val="22"/>
          <w:lang w:val="sk-SK"/>
        </w:rPr>
        <w:t>hodnoty väzby na bielkoviny: 54 %, 10 %, 62 % a 10 %, prevažne na</w:t>
      </w:r>
      <w:r w:rsidR="00F35389" w:rsidRPr="005E37A5">
        <w:rPr>
          <w:sz w:val="22"/>
          <w:szCs w:val="22"/>
          <w:lang w:val="sk-SK"/>
        </w:rPr>
        <w:t> </w:t>
      </w:r>
      <w:r w:rsidR="00317033" w:rsidRPr="00C83F7F">
        <w:rPr>
          <w:sz w:val="22"/>
          <w:szCs w:val="22"/>
          <w:lang w:val="sk-SK"/>
        </w:rPr>
        <w:t>albumín.</w:t>
      </w:r>
    </w:p>
    <w:p w14:paraId="44DD4275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4B5DFD" w14:textId="77777777" w:rsidR="004979D5" w:rsidRPr="00C83F7F" w:rsidRDefault="004979D5" w:rsidP="00C245E7">
      <w:pPr>
        <w:widowControl w:val="0"/>
        <w:autoSpaceDE w:val="0"/>
        <w:autoSpaceDN w:val="0"/>
        <w:adjustRightInd w:val="0"/>
        <w:rPr>
          <w:iCs/>
          <w:sz w:val="22"/>
          <w:szCs w:val="22"/>
          <w:u w:val="single"/>
          <w:lang w:val="sk-SK"/>
        </w:rPr>
      </w:pPr>
      <w:r w:rsidRPr="00C83F7F">
        <w:rPr>
          <w:iCs/>
          <w:sz w:val="22"/>
          <w:szCs w:val="22"/>
          <w:u w:val="single"/>
          <w:lang w:val="sk-SK"/>
        </w:rPr>
        <w:t>Biotransformácia</w:t>
      </w:r>
    </w:p>
    <w:p w14:paraId="2161AACC" w14:textId="34EE357A" w:rsidR="00317033" w:rsidRPr="00C83F7F" w:rsidRDefault="004979D5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K</w:t>
      </w:r>
      <w:r w:rsidR="00317033" w:rsidRPr="00C83F7F">
        <w:rPr>
          <w:sz w:val="22"/>
          <w:szCs w:val="22"/>
          <w:lang w:val="sk-SK"/>
        </w:rPr>
        <w:t>apecitabín sa najskôr mení účinkom pečeňovej karboxylesterázy na 5'-DFCR, ten sa ďalej účinkom cytidíndeaminázy mení na 5'-DFUR, ktorá sa nachádza hlavne v pečeni a nádorových tkanivách. K ďalšej katalytickej aktivácii 5'-DFUR dochádza tymidínfosforylázou (ThyPase). Enzýmy, ktoré sa zúčastňujú katalytickej aktivácie sa nachádzajú v nádorových tkanivách, ale aj</w:t>
      </w:r>
      <w:r w:rsidR="00B0633B" w:rsidRPr="00C83F7F">
        <w:rPr>
          <w:sz w:val="22"/>
          <w:szCs w:val="22"/>
          <w:lang w:val="sk-SK"/>
        </w:rPr>
        <w:t xml:space="preserve"> </w:t>
      </w:r>
      <w:r w:rsidR="00317033" w:rsidRPr="00C83F7F">
        <w:rPr>
          <w:sz w:val="22"/>
          <w:szCs w:val="22"/>
          <w:lang w:val="sk-SK"/>
        </w:rPr>
        <w:t>v</w:t>
      </w:r>
      <w:r w:rsidR="00F35389" w:rsidRPr="005E37A5">
        <w:rPr>
          <w:sz w:val="22"/>
          <w:szCs w:val="22"/>
          <w:lang w:val="sk-SK"/>
        </w:rPr>
        <w:t> </w:t>
      </w:r>
      <w:r w:rsidR="00317033" w:rsidRPr="00C83F7F">
        <w:rPr>
          <w:sz w:val="22"/>
          <w:szCs w:val="22"/>
          <w:lang w:val="sk-SK"/>
        </w:rPr>
        <w:t>normálnych tkanivách, hoci obyčajne v nízkych koncentráciách. Následná enzymatická biotransformácia kapecitabínu na 5-FU vedie k vysokým koncentráciám v nádorových tkanivách. V</w:t>
      </w:r>
      <w:r w:rsidR="00F35389" w:rsidRPr="005E37A5">
        <w:rPr>
          <w:sz w:val="22"/>
          <w:szCs w:val="22"/>
          <w:lang w:val="sk-SK"/>
        </w:rPr>
        <w:t> </w:t>
      </w:r>
      <w:r w:rsidR="00317033" w:rsidRPr="00C83F7F">
        <w:rPr>
          <w:sz w:val="22"/>
          <w:szCs w:val="22"/>
          <w:lang w:val="sk-SK"/>
        </w:rPr>
        <w:t>prípade kolorektálneho karcinómu sa zdá, že k tvorbe 5-FU z veľkej časti dochádza v bunkách strómy nádorového tkaniva. Po perorálnom podaní kapecitabínu pacientom s kolorektálnym karcinómom bol pomer koncentrácie 5-FU v nádore a okolitých tkanivách 3,2 (interval: 0,9 - 8,0). Pomer koncentrácie 5-FU v nádore a plazme bol 21,4 (interval: 3,9 - 59,9; n = 8), kým pomer jeho koncentrácie v zdravých tkanivách a plazme bol 8,9 (interval: 3 - 25,8; n = 8). Aktivita</w:t>
      </w:r>
      <w:r w:rsidR="00B0633B" w:rsidRPr="00C83F7F">
        <w:rPr>
          <w:sz w:val="22"/>
          <w:szCs w:val="22"/>
          <w:lang w:val="sk-SK"/>
        </w:rPr>
        <w:t xml:space="preserve"> </w:t>
      </w:r>
      <w:r w:rsidR="00317033" w:rsidRPr="00C83F7F">
        <w:rPr>
          <w:sz w:val="22"/>
          <w:szCs w:val="22"/>
          <w:lang w:val="sk-SK"/>
        </w:rPr>
        <w:t>tymidínfosforylázy bola 4x vyššia v primárnom kolorektálnom karcinóme ako v okolitom normálnom tkanive. Na základe imunohistochemických štúdií sa zdá, že tymidínfosforyláza sa z</w:t>
      </w:r>
      <w:r w:rsidR="00F35389" w:rsidRPr="005E37A5">
        <w:rPr>
          <w:sz w:val="22"/>
          <w:szCs w:val="22"/>
          <w:lang w:val="sk-SK"/>
        </w:rPr>
        <w:t> </w:t>
      </w:r>
      <w:r w:rsidR="00317033" w:rsidRPr="00C83F7F">
        <w:rPr>
          <w:sz w:val="22"/>
          <w:szCs w:val="22"/>
          <w:lang w:val="sk-SK"/>
        </w:rPr>
        <w:t>veľkej časti nachádza v bunkách strómy nádorového tkaniva.</w:t>
      </w:r>
    </w:p>
    <w:p w14:paraId="3AE21F90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E1ADC8" w14:textId="31865C31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5-FU sa ďalej katabolizuje enzýmom dihydropyrimidíndehydrogenáza (DPD) na omnoho menej toxický dihydro-5-fluóruracil (FUH2). Dihydropyrimidináza štiepi pyrimidínový kruh na kyselinu 5- fluór-ureidopropiónovú. Konečná β-ureido-propionáza štiepi FUPA na α-fluór-β-alanín (FBAL),</w:t>
      </w:r>
      <w:r w:rsidR="00B0633B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lastRenderedPageBreak/>
        <w:t>ktorý sa vylučuje močom. Aktivita dihydropyrimidíndehydrogenázy (DPD) je rýchlosť limitujúci krok degradácie. Nedostatok DPD môže viesť k zvýšeniu toxicity kapecitabínu (pozri časť 4.3 a</w:t>
      </w:r>
      <w:r w:rsidR="00F35389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4.4).</w:t>
      </w:r>
    </w:p>
    <w:p w14:paraId="5FD49CA8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A8AD269" w14:textId="77777777" w:rsidR="004979D5" w:rsidRPr="00C83F7F" w:rsidRDefault="00317033" w:rsidP="00C245E7">
      <w:pPr>
        <w:widowControl w:val="0"/>
        <w:autoSpaceDE w:val="0"/>
        <w:autoSpaceDN w:val="0"/>
        <w:adjustRightInd w:val="0"/>
        <w:rPr>
          <w:iCs/>
          <w:sz w:val="22"/>
          <w:szCs w:val="22"/>
          <w:u w:val="single"/>
          <w:lang w:val="sk-SK"/>
        </w:rPr>
      </w:pPr>
      <w:r w:rsidRPr="00C83F7F">
        <w:rPr>
          <w:iCs/>
          <w:sz w:val="22"/>
          <w:szCs w:val="22"/>
          <w:u w:val="single"/>
          <w:lang w:val="sk-SK"/>
        </w:rPr>
        <w:t>Eliminácia</w:t>
      </w:r>
    </w:p>
    <w:p w14:paraId="3AB7103D" w14:textId="0A8B9999" w:rsidR="00317033" w:rsidRPr="00C83F7F" w:rsidRDefault="004979D5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E</w:t>
      </w:r>
      <w:r w:rsidR="00317033" w:rsidRPr="00C83F7F">
        <w:rPr>
          <w:sz w:val="22"/>
          <w:szCs w:val="22"/>
          <w:lang w:val="sk-SK"/>
        </w:rPr>
        <w:t>liminačný polčas (t</w:t>
      </w:r>
      <w:r w:rsidR="00317033" w:rsidRPr="00C83F7F">
        <w:rPr>
          <w:sz w:val="22"/>
          <w:szCs w:val="22"/>
          <w:vertAlign w:val="subscript"/>
          <w:lang w:val="sk-SK"/>
        </w:rPr>
        <w:t>1/2</w:t>
      </w:r>
      <w:r w:rsidR="00317033" w:rsidRPr="00C83F7F">
        <w:rPr>
          <w:sz w:val="22"/>
          <w:szCs w:val="22"/>
          <w:lang w:val="sk-SK"/>
        </w:rPr>
        <w:t>) kapecitabínu, 5'-DFCR, 5'-DFUR, 5-FU a FBAL bol 0,85; 1,11;</w:t>
      </w:r>
      <w:r w:rsidR="009B0432" w:rsidRPr="00C83F7F">
        <w:rPr>
          <w:sz w:val="22"/>
          <w:szCs w:val="22"/>
          <w:lang w:val="sk-SK"/>
        </w:rPr>
        <w:t xml:space="preserve"> </w:t>
      </w:r>
      <w:r w:rsidR="00317033" w:rsidRPr="00C83F7F">
        <w:rPr>
          <w:sz w:val="22"/>
          <w:szCs w:val="22"/>
          <w:lang w:val="sk-SK"/>
        </w:rPr>
        <w:t>0,66; 0,76 a 3,23 hodín. Kapecitabín a jeho metabolity sa vylučujú prevažne do moču, pričom</w:t>
      </w:r>
      <w:r w:rsidR="00B0633B" w:rsidRPr="00C83F7F">
        <w:rPr>
          <w:sz w:val="22"/>
          <w:szCs w:val="22"/>
          <w:lang w:val="sk-SK"/>
        </w:rPr>
        <w:t xml:space="preserve"> </w:t>
      </w:r>
      <w:r w:rsidR="00317033" w:rsidRPr="00C83F7F">
        <w:rPr>
          <w:sz w:val="22"/>
          <w:szCs w:val="22"/>
          <w:lang w:val="sk-SK"/>
        </w:rPr>
        <w:t>95,5 % z</w:t>
      </w:r>
      <w:r w:rsidR="00F35389" w:rsidRPr="005E37A5">
        <w:rPr>
          <w:sz w:val="22"/>
          <w:szCs w:val="22"/>
          <w:lang w:val="sk-SK"/>
        </w:rPr>
        <w:t> </w:t>
      </w:r>
      <w:r w:rsidR="00317033" w:rsidRPr="00C83F7F">
        <w:rPr>
          <w:sz w:val="22"/>
          <w:szCs w:val="22"/>
          <w:lang w:val="sk-SK"/>
        </w:rPr>
        <w:t>podanej dávky kapecitabínu sa zachytilo v moči. Vylučovanie stolicou je minimálne (2,6 %). Hlavný metabolit vylučovaný močom je FBAL, jeho podiel predstavuje 57 % z podanej dávky. Približne 3 % z podanej dávky sa vylučujú močom v nezmenenej forme.</w:t>
      </w:r>
    </w:p>
    <w:p w14:paraId="1BF6C503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F0B730" w14:textId="77777777" w:rsidR="004979D5" w:rsidRPr="00C83F7F" w:rsidRDefault="00317033" w:rsidP="00C245E7">
      <w:pPr>
        <w:widowControl w:val="0"/>
        <w:autoSpaceDE w:val="0"/>
        <w:autoSpaceDN w:val="0"/>
        <w:adjustRightInd w:val="0"/>
        <w:rPr>
          <w:iCs/>
          <w:sz w:val="22"/>
          <w:szCs w:val="22"/>
          <w:u w:val="single"/>
          <w:lang w:val="sk-SK"/>
        </w:rPr>
      </w:pPr>
      <w:r w:rsidRPr="00C83F7F">
        <w:rPr>
          <w:iCs/>
          <w:sz w:val="22"/>
          <w:szCs w:val="22"/>
          <w:u w:val="single"/>
          <w:lang w:val="sk-SK"/>
        </w:rPr>
        <w:t>Kombinovaná liečba</w:t>
      </w:r>
    </w:p>
    <w:p w14:paraId="01B0A800" w14:textId="2890353C" w:rsidR="00317033" w:rsidRPr="00C83F7F" w:rsidRDefault="004979D5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Štúdie </w:t>
      </w:r>
      <w:r w:rsidR="00317033" w:rsidRPr="00C83F7F">
        <w:rPr>
          <w:sz w:val="22"/>
          <w:szCs w:val="22"/>
          <w:lang w:val="sk-SK"/>
        </w:rPr>
        <w:t xml:space="preserve">I. fázy hodnotiace vplyv </w:t>
      </w:r>
      <w:r w:rsidR="0046701E" w:rsidRPr="00C83F7F">
        <w:rPr>
          <w:sz w:val="22"/>
          <w:szCs w:val="22"/>
          <w:lang w:val="sk-SK"/>
        </w:rPr>
        <w:t xml:space="preserve">kapecitabínu </w:t>
      </w:r>
      <w:r w:rsidR="00317033" w:rsidRPr="00C83F7F">
        <w:rPr>
          <w:sz w:val="22"/>
          <w:szCs w:val="22"/>
          <w:lang w:val="sk-SK"/>
        </w:rPr>
        <w:t>na farmakokinetiku docetaxelu</w:t>
      </w:r>
      <w:r w:rsidR="009B0432" w:rsidRPr="00C83F7F">
        <w:rPr>
          <w:sz w:val="22"/>
          <w:szCs w:val="22"/>
          <w:lang w:val="sk-SK"/>
        </w:rPr>
        <w:t xml:space="preserve"> </w:t>
      </w:r>
      <w:r w:rsidR="00317033" w:rsidRPr="00C83F7F">
        <w:rPr>
          <w:sz w:val="22"/>
          <w:szCs w:val="22"/>
          <w:lang w:val="sk-SK"/>
        </w:rPr>
        <w:t xml:space="preserve">a paklitaxelu a opačne nepreukázali žiadny vplyv </w:t>
      </w:r>
      <w:r w:rsidR="0046701E" w:rsidRPr="00C83F7F">
        <w:rPr>
          <w:sz w:val="22"/>
          <w:szCs w:val="22"/>
          <w:lang w:val="sk-SK"/>
        </w:rPr>
        <w:t>kapecitabínu</w:t>
      </w:r>
      <w:r w:rsidR="00317033" w:rsidRPr="00C83F7F">
        <w:rPr>
          <w:sz w:val="22"/>
          <w:szCs w:val="22"/>
          <w:lang w:val="sk-SK"/>
        </w:rPr>
        <w:t xml:space="preserve"> na farmakokinetiku docetaxelu alebo paklitaxelu (C</w:t>
      </w:r>
      <w:r w:rsidR="00317033" w:rsidRPr="00C83F7F">
        <w:rPr>
          <w:sz w:val="22"/>
          <w:szCs w:val="22"/>
          <w:vertAlign w:val="subscript"/>
          <w:lang w:val="sk-SK"/>
        </w:rPr>
        <w:t>max</w:t>
      </w:r>
      <w:r w:rsidR="00317033" w:rsidRPr="00C83F7F">
        <w:rPr>
          <w:sz w:val="22"/>
          <w:szCs w:val="22"/>
          <w:lang w:val="sk-SK"/>
        </w:rPr>
        <w:t xml:space="preserve"> a</w:t>
      </w:r>
      <w:r w:rsidR="00F35389" w:rsidRPr="005E37A5">
        <w:rPr>
          <w:sz w:val="22"/>
          <w:szCs w:val="22"/>
          <w:lang w:val="sk-SK"/>
        </w:rPr>
        <w:t> </w:t>
      </w:r>
      <w:r w:rsidR="00317033" w:rsidRPr="00C83F7F">
        <w:rPr>
          <w:sz w:val="22"/>
          <w:szCs w:val="22"/>
          <w:lang w:val="sk-SK"/>
        </w:rPr>
        <w:t>AUC) a žiadny efekt docetaxelu a paklitaxelu na farmakokinetiku 5´-DFUR.</w:t>
      </w:r>
    </w:p>
    <w:p w14:paraId="7129A944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4F886B" w14:textId="77777777" w:rsidR="004979D5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Cs/>
          <w:sz w:val="22"/>
          <w:szCs w:val="22"/>
          <w:u w:val="single"/>
          <w:lang w:val="sk-SK"/>
        </w:rPr>
        <w:t xml:space="preserve">Farmakokinetika v osobitných populáciách </w:t>
      </w:r>
    </w:p>
    <w:p w14:paraId="1431653D" w14:textId="0A2284DC" w:rsidR="00317033" w:rsidRPr="00C83F7F" w:rsidRDefault="004979D5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V </w:t>
      </w:r>
      <w:r w:rsidR="00317033" w:rsidRPr="00C83F7F">
        <w:rPr>
          <w:sz w:val="22"/>
          <w:szCs w:val="22"/>
          <w:lang w:val="sk-SK"/>
        </w:rPr>
        <w:t xml:space="preserve">populácii 505 pacientov s kolorektálnym karcinómom dostávajúcich </w:t>
      </w:r>
      <w:r w:rsidR="0046701E" w:rsidRPr="00C83F7F">
        <w:rPr>
          <w:sz w:val="22"/>
          <w:szCs w:val="22"/>
          <w:lang w:val="sk-SK"/>
        </w:rPr>
        <w:t xml:space="preserve">kapecitabín </w:t>
      </w:r>
      <w:r w:rsidR="00317033" w:rsidRPr="00C83F7F">
        <w:rPr>
          <w:sz w:val="22"/>
          <w:szCs w:val="22"/>
          <w:lang w:val="sk-SK"/>
        </w:rPr>
        <w:t>v dávke 1</w:t>
      </w:r>
      <w:r w:rsidR="00EF3175" w:rsidRPr="005E37A5">
        <w:rPr>
          <w:sz w:val="22"/>
          <w:szCs w:val="22"/>
          <w:lang w:val="sk-SK"/>
        </w:rPr>
        <w:t> </w:t>
      </w:r>
      <w:r w:rsidR="00317033" w:rsidRPr="00C83F7F">
        <w:rPr>
          <w:sz w:val="22"/>
          <w:szCs w:val="22"/>
          <w:lang w:val="sk-SK"/>
        </w:rPr>
        <w:t>250</w:t>
      </w:r>
      <w:r w:rsidR="00EF3175" w:rsidRPr="005E37A5">
        <w:rPr>
          <w:sz w:val="22"/>
          <w:szCs w:val="22"/>
          <w:lang w:val="sk-SK"/>
        </w:rPr>
        <w:t> </w:t>
      </w:r>
      <w:r w:rsidR="00317033" w:rsidRPr="00C83F7F">
        <w:rPr>
          <w:sz w:val="22"/>
          <w:szCs w:val="22"/>
          <w:lang w:val="sk-SK"/>
        </w:rPr>
        <w:t>mg/m</w:t>
      </w:r>
      <w:r w:rsidR="00317033" w:rsidRPr="00C83F7F">
        <w:rPr>
          <w:sz w:val="22"/>
          <w:szCs w:val="22"/>
          <w:vertAlign w:val="superscript"/>
          <w:lang w:val="sk-SK"/>
        </w:rPr>
        <w:t>2</w:t>
      </w:r>
      <w:r w:rsidR="00317033" w:rsidRPr="00C83F7F">
        <w:rPr>
          <w:sz w:val="22"/>
          <w:szCs w:val="22"/>
          <w:lang w:val="sk-SK"/>
        </w:rPr>
        <w:t xml:space="preserve"> dvakrát denne sa analyzovali farmakokinetické parametre. Pohlavie, prítomnosť alebo chýbanie metastáz v pečeni v čase zaradenia do klinickej štúdie, stav výkonnosti podľa Karnofského, celkový bilirubín, sérový albumín, ani hodnoty AST a ALT nemali štatisticky významný vplyv na farmakokinetiku 5'-DFUR, 5-FU a FBAL.</w:t>
      </w:r>
    </w:p>
    <w:p w14:paraId="46058C02" w14:textId="77777777" w:rsidR="004979D5" w:rsidRPr="00C83F7F" w:rsidRDefault="004979D5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D90111" w14:textId="4714D8C5" w:rsidR="00317033" w:rsidRPr="00C83F7F" w:rsidRDefault="004979D5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sz w:val="22"/>
          <w:szCs w:val="22"/>
          <w:lang w:val="sk-SK"/>
        </w:rPr>
        <w:t>P</w:t>
      </w:r>
      <w:r w:rsidR="00317033" w:rsidRPr="00C83F7F">
        <w:rPr>
          <w:i/>
          <w:iCs/>
          <w:sz w:val="22"/>
          <w:szCs w:val="22"/>
          <w:lang w:val="sk-SK"/>
        </w:rPr>
        <w:t>acienti s po</w:t>
      </w:r>
      <w:r w:rsidR="006669E4" w:rsidRPr="00C83F7F">
        <w:rPr>
          <w:i/>
          <w:iCs/>
          <w:sz w:val="22"/>
          <w:szCs w:val="22"/>
          <w:lang w:val="sk-SK"/>
        </w:rPr>
        <w:t>ruchou</w:t>
      </w:r>
      <w:r w:rsidR="00317033" w:rsidRPr="00C83F7F">
        <w:rPr>
          <w:i/>
          <w:iCs/>
          <w:sz w:val="22"/>
          <w:szCs w:val="22"/>
          <w:lang w:val="sk-SK"/>
        </w:rPr>
        <w:t xml:space="preserve"> funkcie pečene v dôsledku metastáz v pečeni: </w:t>
      </w:r>
      <w:r w:rsidR="00317033" w:rsidRPr="00C83F7F">
        <w:rPr>
          <w:sz w:val="22"/>
          <w:szCs w:val="22"/>
          <w:lang w:val="sk-SK"/>
        </w:rPr>
        <w:t>Vo farmakokinetickej štúdii, ktorá zahŕňala onkologických pacientov s miern</w:t>
      </w:r>
      <w:r w:rsidR="006669E4" w:rsidRPr="00C83F7F">
        <w:rPr>
          <w:sz w:val="22"/>
          <w:szCs w:val="22"/>
          <w:lang w:val="sk-SK"/>
        </w:rPr>
        <w:t>ou</w:t>
      </w:r>
      <w:r w:rsidR="00317033" w:rsidRPr="00C83F7F">
        <w:rPr>
          <w:sz w:val="22"/>
          <w:szCs w:val="22"/>
          <w:lang w:val="sk-SK"/>
        </w:rPr>
        <w:t xml:space="preserve"> až stredne </w:t>
      </w:r>
      <w:r w:rsidR="006669E4" w:rsidRPr="00C83F7F">
        <w:rPr>
          <w:sz w:val="22"/>
          <w:szCs w:val="22"/>
          <w:lang w:val="sk-SK"/>
        </w:rPr>
        <w:t xml:space="preserve">závažnou poruchou </w:t>
      </w:r>
      <w:r w:rsidR="00317033" w:rsidRPr="00C83F7F">
        <w:rPr>
          <w:sz w:val="22"/>
          <w:szCs w:val="22"/>
          <w:lang w:val="sk-SK"/>
        </w:rPr>
        <w:t>funkcie pečene v dôsledku metastáz v tomto orgáne sa ukázalo, že biologická dostupnosť kapecitabínu a expozícia 5-FU sa môže zvýšiť v porovnaní s pacientmi bez</w:t>
      </w:r>
      <w:r w:rsidR="00EF3175" w:rsidRPr="005E37A5">
        <w:rPr>
          <w:sz w:val="22"/>
          <w:szCs w:val="22"/>
          <w:lang w:val="sk-SK"/>
        </w:rPr>
        <w:t> </w:t>
      </w:r>
      <w:r w:rsidR="006669E4" w:rsidRPr="00C83F7F">
        <w:rPr>
          <w:sz w:val="22"/>
          <w:szCs w:val="22"/>
          <w:lang w:val="sk-SK"/>
        </w:rPr>
        <w:t xml:space="preserve">poruchy </w:t>
      </w:r>
      <w:r w:rsidR="00317033" w:rsidRPr="00C83F7F">
        <w:rPr>
          <w:sz w:val="22"/>
          <w:szCs w:val="22"/>
          <w:lang w:val="sk-SK"/>
        </w:rPr>
        <w:t>funkcie pečene. O pacientoch so závažnou hepatálnou dysfunkciou nie sú k</w:t>
      </w:r>
      <w:r w:rsidR="00EF3175" w:rsidRPr="005E37A5">
        <w:rPr>
          <w:sz w:val="22"/>
          <w:szCs w:val="22"/>
          <w:lang w:val="sk-SK"/>
        </w:rPr>
        <w:t> </w:t>
      </w:r>
      <w:r w:rsidR="00317033" w:rsidRPr="00C83F7F">
        <w:rPr>
          <w:sz w:val="22"/>
          <w:szCs w:val="22"/>
          <w:lang w:val="sk-SK"/>
        </w:rPr>
        <w:t>dispozícii žiadne farmakokinetické údaje.</w:t>
      </w:r>
    </w:p>
    <w:p w14:paraId="690AC8E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CB57E8" w14:textId="090A7A63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Pacienti s </w:t>
      </w:r>
      <w:r w:rsidR="006669E4" w:rsidRPr="00C83F7F">
        <w:rPr>
          <w:i/>
          <w:iCs/>
          <w:sz w:val="22"/>
          <w:szCs w:val="22"/>
          <w:lang w:val="sk-SK"/>
        </w:rPr>
        <w:t xml:space="preserve">poruchou  </w:t>
      </w:r>
      <w:r w:rsidRPr="00C83F7F">
        <w:rPr>
          <w:i/>
          <w:iCs/>
          <w:sz w:val="22"/>
          <w:szCs w:val="22"/>
          <w:lang w:val="sk-SK"/>
        </w:rPr>
        <w:t xml:space="preserve">funkcie obličiek: </w:t>
      </w:r>
      <w:r w:rsidRPr="00C83F7F">
        <w:rPr>
          <w:sz w:val="22"/>
          <w:szCs w:val="22"/>
          <w:lang w:val="sk-SK"/>
        </w:rPr>
        <w:t xml:space="preserve">Vo farmakokinetickej štúdii, ktorá zahŕňala onkologických pacientov s </w:t>
      </w:r>
      <w:r w:rsidR="006669E4" w:rsidRPr="00C83F7F">
        <w:rPr>
          <w:sz w:val="22"/>
          <w:szCs w:val="22"/>
          <w:lang w:val="sk-SK"/>
        </w:rPr>
        <w:t xml:space="preserve">miernou </w:t>
      </w:r>
      <w:r w:rsidRPr="00C83F7F">
        <w:rPr>
          <w:sz w:val="22"/>
          <w:szCs w:val="22"/>
          <w:lang w:val="sk-SK"/>
        </w:rPr>
        <w:t xml:space="preserve">až </w:t>
      </w:r>
      <w:r w:rsidR="006669E4" w:rsidRPr="00C83F7F">
        <w:rPr>
          <w:sz w:val="22"/>
          <w:szCs w:val="22"/>
          <w:lang w:val="sk-SK"/>
        </w:rPr>
        <w:t xml:space="preserve">závažnou poruchou </w:t>
      </w:r>
      <w:r w:rsidRPr="00C83F7F">
        <w:rPr>
          <w:sz w:val="22"/>
          <w:szCs w:val="22"/>
          <w:lang w:val="sk-SK"/>
        </w:rPr>
        <w:t>funkcie obličiek sa nezistil žiadny vplyv klírensu kreatinínu na farmakokinetiku nezmeneného lieku a 5-FU. Zistilo sa, že klírens kreatinínu ovplyvňuje systémovú expozíciu 5'-DFUR (zníženie klírensu kreatinínu o 50 % viedlo k zvýšeniu AUC o 35 %)</w:t>
      </w:r>
      <w:r w:rsidR="0088627A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a FBAL (zníženie klírensu kreatinínu o 50 % viedlo k zvýšeniu AUC o 114 %). FBAL je metabolit, ktorý nemá žiadnu antiproliferačnú aktivitu.</w:t>
      </w:r>
    </w:p>
    <w:p w14:paraId="5CF84C60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C96EAB3" w14:textId="659AF16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Starší </w:t>
      </w:r>
      <w:r w:rsidR="006669E4" w:rsidRPr="00C83F7F">
        <w:rPr>
          <w:i/>
          <w:iCs/>
          <w:sz w:val="22"/>
          <w:szCs w:val="22"/>
          <w:lang w:val="sk-SK"/>
        </w:rPr>
        <w:t>pacienti</w:t>
      </w:r>
      <w:r w:rsidRPr="00C83F7F">
        <w:rPr>
          <w:i/>
          <w:iCs/>
          <w:sz w:val="22"/>
          <w:szCs w:val="22"/>
          <w:lang w:val="sk-SK"/>
        </w:rPr>
        <w:t xml:space="preserve">: </w:t>
      </w:r>
      <w:r w:rsidRPr="00C83F7F">
        <w:rPr>
          <w:sz w:val="22"/>
          <w:szCs w:val="22"/>
          <w:lang w:val="sk-SK"/>
        </w:rPr>
        <w:t>pri analýze farmakokinetických parametrov v populácii zahŕňajúcej pacientov</w:t>
      </w:r>
      <w:r w:rsidR="00B0633B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z rozličných vekových skupín (27 – 86 rokov), pričom počet pacientov s vekom ≥ 65 rokov bol</w:t>
      </w:r>
      <w:r w:rsidR="00B0633B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234 (46 %), sa ukázalo, že vek nemal žiadny vplyv na farmakokinetiku 5'-DFUR a 5-FU. Hodnota AUC pre FBAL sa zvyšovala s vekom (zvýšenie veku o 20 % viedlo k 15 % zvýšeniu hodnoty AUC pre</w:t>
      </w:r>
      <w:r w:rsidR="00EF3175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FBAL). Toto zvýšenie je pravdepodobne dôsledkom zmeny funkcie obličiek.</w:t>
      </w:r>
    </w:p>
    <w:p w14:paraId="04B6971E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BD01550" w14:textId="23009A0B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 xml:space="preserve">Etnické faktory: </w:t>
      </w:r>
      <w:r w:rsidRPr="00C83F7F">
        <w:rPr>
          <w:sz w:val="22"/>
          <w:szCs w:val="22"/>
          <w:lang w:val="sk-SK"/>
        </w:rPr>
        <w:t>Po orálnom podaní 825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kapecitabínu dvakrát denne počas 14 dní mali japonskí pacienti (n=18) o 36 % nižšiu C</w:t>
      </w:r>
      <w:r w:rsidRPr="00C83F7F">
        <w:rPr>
          <w:sz w:val="22"/>
          <w:szCs w:val="22"/>
          <w:vertAlign w:val="subscript"/>
          <w:lang w:val="sk-SK"/>
        </w:rPr>
        <w:t>max</w:t>
      </w:r>
      <w:r w:rsidRPr="00C83F7F">
        <w:rPr>
          <w:sz w:val="22"/>
          <w:szCs w:val="22"/>
          <w:lang w:val="sk-SK"/>
        </w:rPr>
        <w:t xml:space="preserve"> a o 24 % nižšiu AUC kapecitabínu než </w:t>
      </w:r>
      <w:r w:rsidR="00D10F59" w:rsidRPr="00D10F59">
        <w:rPr>
          <w:sz w:val="22"/>
          <w:szCs w:val="22"/>
          <w:lang w:val="sk-SK"/>
        </w:rPr>
        <w:t>kaukazskí</w:t>
      </w:r>
      <w:r w:rsidRPr="00C83F7F">
        <w:rPr>
          <w:sz w:val="22"/>
          <w:szCs w:val="22"/>
          <w:lang w:val="sk-SK"/>
        </w:rPr>
        <w:t xml:space="preserve"> pacienti (n=22). Japonskí pacienti mali tiež o 25 % nižšiu C</w:t>
      </w:r>
      <w:r w:rsidRPr="00C83F7F">
        <w:rPr>
          <w:sz w:val="22"/>
          <w:szCs w:val="22"/>
          <w:vertAlign w:val="subscript"/>
          <w:lang w:val="sk-SK"/>
        </w:rPr>
        <w:t>max</w:t>
      </w:r>
      <w:r w:rsidRPr="00C83F7F">
        <w:rPr>
          <w:sz w:val="22"/>
          <w:szCs w:val="22"/>
          <w:lang w:val="sk-SK"/>
        </w:rPr>
        <w:t xml:space="preserve"> a o 34 % nižšiu AUC FBAL než </w:t>
      </w:r>
      <w:r w:rsidR="00D10F59" w:rsidRPr="00D10F59">
        <w:rPr>
          <w:sz w:val="22"/>
          <w:szCs w:val="22"/>
          <w:lang w:val="sk-SK"/>
        </w:rPr>
        <w:t>kaukazskí</w:t>
      </w:r>
      <w:r w:rsidRPr="00C83F7F">
        <w:rPr>
          <w:sz w:val="22"/>
          <w:szCs w:val="22"/>
          <w:lang w:val="sk-SK"/>
        </w:rPr>
        <w:t xml:space="preserve"> pacienti. Klinická relevancia týchto rozdielov je neznáma. Rozdiely v ostatných metabolitoch (5´-DFCR, 5´- DFUR a 5-FU) sa nevyskytovali</w:t>
      </w:r>
    </w:p>
    <w:p w14:paraId="28CE9FD7" w14:textId="77777777" w:rsidR="00317033" w:rsidRPr="00C83F7F" w:rsidRDefault="00317033" w:rsidP="00F80C8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9D6C5A9" w14:textId="77777777" w:rsidR="00317033" w:rsidRPr="00C83F7F" w:rsidRDefault="00317033" w:rsidP="00FB2845">
      <w:pPr>
        <w:widowControl w:val="0"/>
        <w:numPr>
          <w:ilvl w:val="0"/>
          <w:numId w:val="14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val="sk-SK"/>
        </w:rPr>
      </w:pPr>
      <w:r w:rsidRPr="00C83F7F">
        <w:rPr>
          <w:b/>
          <w:bCs/>
          <w:color w:val="000000"/>
          <w:sz w:val="22"/>
          <w:szCs w:val="22"/>
          <w:lang w:val="sk-SK"/>
        </w:rPr>
        <w:t>Predklinické údaje o bezpečnosti</w:t>
      </w:r>
    </w:p>
    <w:p w14:paraId="5F69B3F7" w14:textId="77777777" w:rsidR="00317033" w:rsidRPr="00C83F7F" w:rsidRDefault="00317033" w:rsidP="00F80C8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52A072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V štúdiách toxicity opakovanej dávky sa po dennom perorálnom podávaní kapecitabínu opiciam cynomolgus a myšiam zistili toxické účinky na gastrointestinálny, lymfatický a hemopoetický systém, ktoré sú typické pre fluórpyrimidíny. Tieto toxické prejavy boli reverzibilné. Pri liečbe kapecitabínom sa pozorovali prejavy k</w:t>
      </w:r>
      <w:r w:rsidR="00D3311F" w:rsidRPr="00C83F7F">
        <w:rPr>
          <w:sz w:val="22"/>
          <w:szCs w:val="22"/>
          <w:lang w:val="sk-SK"/>
        </w:rPr>
        <w:t xml:space="preserve">ožnej toxicity charakterizované </w:t>
      </w:r>
      <w:r w:rsidRPr="00C83F7F">
        <w:rPr>
          <w:sz w:val="22"/>
          <w:szCs w:val="22"/>
          <w:lang w:val="sk-SK"/>
        </w:rPr>
        <w:t>degeneratívnymi/</w:t>
      </w:r>
      <w:r w:rsidR="00D3311F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 xml:space="preserve">regresívnymi zmenami. Kapecitabín nemal v štúdiách žiadne toxické účinky na pečeň a centrálny nervový systém. U opíc cynomolgus sa po intravenóznom podaní kapecitabínu (100 mg/kg) zistili známky kardiovaskulárnej toxicity (napr. predĺženie intervalov PR a QT), hoci pri opakovanom </w:t>
      </w:r>
      <w:r w:rsidRPr="00C83F7F">
        <w:rPr>
          <w:sz w:val="22"/>
          <w:szCs w:val="22"/>
          <w:lang w:val="sk-SK"/>
        </w:rPr>
        <w:lastRenderedPageBreak/>
        <w:t>perorálnom podávaní kapecitabínu (1 379 mg/m</w:t>
      </w:r>
      <w:r w:rsidRPr="00C83F7F">
        <w:rPr>
          <w:sz w:val="22"/>
          <w:szCs w:val="22"/>
          <w:vertAlign w:val="superscript"/>
          <w:lang w:val="sk-SK"/>
        </w:rPr>
        <w:t>2</w:t>
      </w:r>
      <w:r w:rsidRPr="00C83F7F">
        <w:rPr>
          <w:sz w:val="22"/>
          <w:szCs w:val="22"/>
          <w:lang w:val="sk-SK"/>
        </w:rPr>
        <w:t xml:space="preserve"> denne) tieto známky neboli prítomné.</w:t>
      </w:r>
    </w:p>
    <w:p w14:paraId="68628AF6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779E6F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V 2-ročnej štúdii, ktorá na myšiach skúmala karcinogénne vlastnosti kapecitabínu, sa nepotvrdil karcinogénny účinok tejto látky.</w:t>
      </w:r>
    </w:p>
    <w:p w14:paraId="0A9F8022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03545F" w14:textId="67D80309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Počas štandardných štúdií, ktoré skúmali vplyv kapecitabínu na fertilitu u samíc myší, sa pozorovala porucha plodnosti, avšak tento účinok bol reverzibilný po vysadení lieku po určitom období neužívania </w:t>
      </w:r>
      <w:r w:rsidR="004979D5" w:rsidRPr="00C83F7F">
        <w:rPr>
          <w:color w:val="000000"/>
          <w:sz w:val="22"/>
          <w:szCs w:val="22"/>
          <w:lang w:val="sk-SK"/>
        </w:rPr>
        <w:t>kapecitabínu</w:t>
      </w:r>
      <w:r w:rsidRPr="00C83F7F">
        <w:rPr>
          <w:sz w:val="22"/>
          <w:szCs w:val="22"/>
          <w:lang w:val="sk-SK"/>
        </w:rPr>
        <w:t>. Okrem toho sa v 13-týždňovej štúdii zistili atrofické a</w:t>
      </w:r>
      <w:r w:rsidR="00A9726E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degeneratívne zmeny na reprodukčných orgánoch samcov myší, avšak aj tieto zmeny ustúpili po</w:t>
      </w:r>
      <w:r w:rsidR="00A9726E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určitom období bez liečby</w:t>
      </w:r>
      <w:r w:rsidR="004979D5" w:rsidRPr="00C83F7F">
        <w:rPr>
          <w:sz w:val="22"/>
          <w:szCs w:val="22"/>
          <w:lang w:val="sk-SK"/>
        </w:rPr>
        <w:t xml:space="preserve"> (pozri časť 4.6)</w:t>
      </w:r>
      <w:r w:rsidRPr="00C83F7F">
        <w:rPr>
          <w:sz w:val="22"/>
          <w:szCs w:val="22"/>
          <w:lang w:val="sk-SK"/>
        </w:rPr>
        <w:t>.</w:t>
      </w:r>
    </w:p>
    <w:p w14:paraId="2EC886F2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EDC1DC" w14:textId="4D3D8795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V štúdiách, ktoré skúmali embryotoxické a teratogénne účinky na myšiach, sa pozorovalo na dávke závislé zvýšenie počtu re</w:t>
      </w:r>
      <w:r w:rsidR="00D10F59">
        <w:rPr>
          <w:sz w:val="22"/>
          <w:szCs w:val="22"/>
          <w:lang w:val="sk-SK"/>
        </w:rPr>
        <w:t>s</w:t>
      </w:r>
      <w:r w:rsidRPr="00C83F7F">
        <w:rPr>
          <w:sz w:val="22"/>
          <w:szCs w:val="22"/>
          <w:lang w:val="sk-SK"/>
        </w:rPr>
        <w:t>orpcií plodov a teratogenity. Po podávaní lieku vo vysokých dávkach sa u</w:t>
      </w:r>
      <w:r w:rsidR="00A9726E" w:rsidRPr="005E37A5">
        <w:rPr>
          <w:sz w:val="22"/>
          <w:szCs w:val="22"/>
          <w:lang w:val="sk-SK"/>
        </w:rPr>
        <w:t> </w:t>
      </w:r>
      <w:r w:rsidRPr="00C83F7F">
        <w:rPr>
          <w:sz w:val="22"/>
          <w:szCs w:val="22"/>
          <w:lang w:val="sk-SK"/>
        </w:rPr>
        <w:t>opíc pozorovali potraty a úmrtia zárodkov, avšak žiadne známky teratogenity.</w:t>
      </w:r>
    </w:p>
    <w:p w14:paraId="05330DDC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A76AD8" w14:textId="77777777" w:rsidR="00085688" w:rsidRPr="00C83F7F" w:rsidRDefault="00317033" w:rsidP="0008568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Kapecitabín nemal mutagénne účinky v </w:t>
      </w:r>
      <w:r w:rsidRPr="00C83F7F">
        <w:rPr>
          <w:i/>
          <w:iCs/>
          <w:sz w:val="22"/>
          <w:szCs w:val="22"/>
          <w:lang w:val="sk-SK"/>
        </w:rPr>
        <w:t xml:space="preserve">in vitro </w:t>
      </w:r>
      <w:r w:rsidRPr="00C83F7F">
        <w:rPr>
          <w:sz w:val="22"/>
          <w:szCs w:val="22"/>
          <w:lang w:val="sk-SK"/>
        </w:rPr>
        <w:t>štúdiách s baktériami (Amesov test) alebo cicavčími bunkami (test génovej mutácie na čínskych škrečkoch V79/HPRT). Avšak podobne ako pri iných analógoch nukleozidov (t.j. 5-FU), kapecitabín mal klastogénne účinky v ľudských lymfocytoch (</w:t>
      </w:r>
      <w:r w:rsidRPr="00C83F7F">
        <w:rPr>
          <w:i/>
          <w:iCs/>
          <w:sz w:val="22"/>
          <w:szCs w:val="22"/>
          <w:lang w:val="sk-SK"/>
        </w:rPr>
        <w:t>in vitro</w:t>
      </w:r>
      <w:r w:rsidRPr="00C83F7F">
        <w:rPr>
          <w:sz w:val="22"/>
          <w:szCs w:val="22"/>
          <w:lang w:val="sk-SK"/>
        </w:rPr>
        <w:t>), pričom pozitívny trend sa taktiež zaznamenal v mikronukleus teste kostnej drene myší (</w:t>
      </w:r>
      <w:r w:rsidRPr="00C83F7F">
        <w:rPr>
          <w:i/>
          <w:iCs/>
          <w:sz w:val="22"/>
          <w:szCs w:val="22"/>
          <w:lang w:val="sk-SK"/>
        </w:rPr>
        <w:t>in vivo</w:t>
      </w:r>
      <w:r w:rsidRPr="00C83F7F">
        <w:rPr>
          <w:sz w:val="22"/>
          <w:szCs w:val="22"/>
          <w:lang w:val="sk-SK"/>
        </w:rPr>
        <w:t>)</w:t>
      </w:r>
      <w:r w:rsidRPr="00C83F7F">
        <w:rPr>
          <w:i/>
          <w:iCs/>
          <w:sz w:val="22"/>
          <w:szCs w:val="22"/>
          <w:lang w:val="sk-SK"/>
        </w:rPr>
        <w:t>.</w:t>
      </w:r>
    </w:p>
    <w:p w14:paraId="3BBAA39B" w14:textId="77777777" w:rsidR="00085688" w:rsidRPr="00C83F7F" w:rsidRDefault="00085688" w:rsidP="00085688">
      <w:pPr>
        <w:rPr>
          <w:sz w:val="22"/>
          <w:szCs w:val="22"/>
          <w:lang w:val="sk-SK"/>
        </w:rPr>
      </w:pPr>
    </w:p>
    <w:p w14:paraId="02234190" w14:textId="77777777" w:rsidR="00085688" w:rsidRPr="00C83F7F" w:rsidRDefault="00085688" w:rsidP="00085688">
      <w:pPr>
        <w:rPr>
          <w:sz w:val="22"/>
          <w:szCs w:val="22"/>
          <w:lang w:val="sk-SK"/>
        </w:rPr>
      </w:pPr>
    </w:p>
    <w:p w14:paraId="1D96D308" w14:textId="77777777" w:rsidR="00317033" w:rsidRPr="00C83F7F" w:rsidRDefault="00317033" w:rsidP="00FB2845">
      <w:pPr>
        <w:keepNext/>
        <w:numPr>
          <w:ilvl w:val="0"/>
          <w:numId w:val="3"/>
        </w:numPr>
        <w:jc w:val="both"/>
        <w:outlineLvl w:val="0"/>
        <w:rPr>
          <w:b/>
          <w:kern w:val="28"/>
          <w:sz w:val="22"/>
          <w:szCs w:val="22"/>
          <w:lang w:val="sk-SK"/>
        </w:rPr>
      </w:pPr>
      <w:r w:rsidRPr="00C83F7F">
        <w:rPr>
          <w:b/>
          <w:kern w:val="28"/>
          <w:sz w:val="22"/>
          <w:szCs w:val="22"/>
          <w:lang w:val="sk-SK"/>
        </w:rPr>
        <w:t>FARMACEUTICKÉ INFORMÁCIE</w:t>
      </w:r>
    </w:p>
    <w:p w14:paraId="3E2AA9B5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5BD6065" w14:textId="77777777" w:rsidR="00317033" w:rsidRPr="00C83F7F" w:rsidRDefault="00317033" w:rsidP="00FB2845">
      <w:pPr>
        <w:widowControl w:val="0"/>
        <w:numPr>
          <w:ilvl w:val="1"/>
          <w:numId w:val="15"/>
        </w:numPr>
        <w:tabs>
          <w:tab w:val="left" w:pos="680"/>
        </w:tabs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b/>
          <w:bCs/>
          <w:sz w:val="22"/>
          <w:szCs w:val="22"/>
          <w:lang w:val="sk-SK"/>
        </w:rPr>
        <w:t>Zoznam pomocných látok</w:t>
      </w:r>
    </w:p>
    <w:p w14:paraId="4D27BBC9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85BF799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Jadro tablety</w:t>
      </w:r>
      <w:r w:rsidRPr="00C83F7F">
        <w:rPr>
          <w:sz w:val="22"/>
          <w:szCs w:val="22"/>
          <w:lang w:val="sk-SK"/>
        </w:rPr>
        <w:t>:</w:t>
      </w:r>
    </w:p>
    <w:p w14:paraId="4B36596F" w14:textId="77777777" w:rsidR="00317033" w:rsidRPr="00C83F7F" w:rsidRDefault="0087577D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sodná soľ kroskarmelózy</w:t>
      </w:r>
    </w:p>
    <w:p w14:paraId="7F11E1A5" w14:textId="77777777" w:rsidR="0087577D" w:rsidRPr="00C83F7F" w:rsidRDefault="0087577D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mikrokryštalická celulóza</w:t>
      </w:r>
    </w:p>
    <w:p w14:paraId="6C0A6D7A" w14:textId="77777777" w:rsidR="0087577D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hyprom</w:t>
      </w:r>
      <w:r w:rsidR="0087577D" w:rsidRPr="00C83F7F">
        <w:rPr>
          <w:sz w:val="22"/>
          <w:szCs w:val="22"/>
          <w:lang w:val="sk-SK"/>
        </w:rPr>
        <w:t>elóza</w:t>
      </w:r>
    </w:p>
    <w:p w14:paraId="6716C8F2" w14:textId="5D2FEFE7" w:rsidR="00F570B3" w:rsidRPr="00C83F7F" w:rsidRDefault="00A9726E" w:rsidP="00C245E7">
      <w:pPr>
        <w:widowControl w:val="0"/>
        <w:tabs>
          <w:tab w:val="left" w:pos="5535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5E37A5">
        <w:rPr>
          <w:sz w:val="22"/>
          <w:szCs w:val="22"/>
          <w:lang w:val="sk-SK"/>
        </w:rPr>
        <w:t xml:space="preserve">koloidný oxid kremičitý </w:t>
      </w:r>
      <w:r w:rsidR="00F570B3" w:rsidRPr="00C83F7F">
        <w:rPr>
          <w:sz w:val="22"/>
          <w:szCs w:val="22"/>
          <w:lang w:val="sk-SK"/>
        </w:rPr>
        <w:t>bezvod</w:t>
      </w:r>
      <w:r w:rsidRPr="005E37A5">
        <w:rPr>
          <w:sz w:val="22"/>
          <w:szCs w:val="22"/>
          <w:lang w:val="sk-SK"/>
        </w:rPr>
        <w:t>ý</w:t>
      </w:r>
      <w:r w:rsidR="00806DB9" w:rsidRPr="00C83F7F">
        <w:rPr>
          <w:sz w:val="22"/>
          <w:szCs w:val="22"/>
          <w:lang w:val="sk-SK"/>
        </w:rPr>
        <w:tab/>
      </w:r>
    </w:p>
    <w:p w14:paraId="7027CDD8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magnéziumstearát.</w:t>
      </w:r>
    </w:p>
    <w:p w14:paraId="4210C0D1" w14:textId="77777777" w:rsidR="00317033" w:rsidRPr="00C83F7F" w:rsidRDefault="00317033" w:rsidP="00C245E7">
      <w:pPr>
        <w:widowControl w:val="0"/>
        <w:autoSpaceDE w:val="0"/>
        <w:autoSpaceDN w:val="0"/>
        <w:adjustRightInd w:val="0"/>
        <w:ind w:left="-284" w:firstLine="284"/>
        <w:rPr>
          <w:sz w:val="22"/>
          <w:szCs w:val="22"/>
          <w:lang w:val="sk-SK"/>
        </w:rPr>
      </w:pPr>
    </w:p>
    <w:p w14:paraId="17C1FAC1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i/>
          <w:iCs/>
          <w:sz w:val="22"/>
          <w:szCs w:val="22"/>
          <w:lang w:val="sk-SK"/>
        </w:rPr>
        <w:t>Obal tablety</w:t>
      </w:r>
      <w:r w:rsidRPr="00C83F7F">
        <w:rPr>
          <w:sz w:val="22"/>
          <w:szCs w:val="22"/>
          <w:lang w:val="sk-SK"/>
        </w:rPr>
        <w:t>:</w:t>
      </w:r>
    </w:p>
    <w:p w14:paraId="07BD7603" w14:textId="77777777" w:rsidR="0087577D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hyprom</w:t>
      </w:r>
      <w:r w:rsidR="0087577D" w:rsidRPr="00C83F7F">
        <w:rPr>
          <w:sz w:val="22"/>
          <w:szCs w:val="22"/>
          <w:lang w:val="sk-SK"/>
        </w:rPr>
        <w:t>elóza</w:t>
      </w:r>
    </w:p>
    <w:p w14:paraId="0A6517E7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oxid titaničitý </w:t>
      </w:r>
      <w:r w:rsidR="0087577D" w:rsidRPr="00C83F7F">
        <w:rPr>
          <w:sz w:val="22"/>
          <w:szCs w:val="22"/>
          <w:lang w:val="sk-SK"/>
        </w:rPr>
        <w:t>(E171)</w:t>
      </w:r>
    </w:p>
    <w:p w14:paraId="63529EFB" w14:textId="77777777" w:rsidR="0087577D" w:rsidRPr="00C83F7F" w:rsidRDefault="0087577D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mastenec</w:t>
      </w:r>
    </w:p>
    <w:p w14:paraId="73A9E782" w14:textId="77777777" w:rsidR="0087577D" w:rsidRPr="00C83F7F" w:rsidRDefault="002A237F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mak</w:t>
      </w:r>
      <w:r w:rsidR="0087577D" w:rsidRPr="00C83F7F">
        <w:rPr>
          <w:sz w:val="22"/>
          <w:szCs w:val="22"/>
          <w:lang w:val="sk-SK"/>
        </w:rPr>
        <w:t>rogol</w:t>
      </w:r>
      <w:r w:rsidR="00FC2A70" w:rsidRPr="00C83F7F">
        <w:rPr>
          <w:sz w:val="22"/>
          <w:szCs w:val="22"/>
          <w:lang w:val="sk-SK"/>
        </w:rPr>
        <w:t xml:space="preserve"> 4</w:t>
      </w:r>
      <w:r w:rsidRPr="00C83F7F">
        <w:rPr>
          <w:sz w:val="22"/>
          <w:szCs w:val="22"/>
          <w:lang w:val="sk-SK"/>
        </w:rPr>
        <w:t>00</w:t>
      </w:r>
    </w:p>
    <w:p w14:paraId="58236EBF" w14:textId="77777777" w:rsidR="00317033" w:rsidRPr="00C83F7F" w:rsidRDefault="00317033" w:rsidP="00C245E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 xml:space="preserve">červený oxid železitý </w:t>
      </w:r>
      <w:r w:rsidR="0087577D" w:rsidRPr="00C83F7F">
        <w:rPr>
          <w:sz w:val="22"/>
          <w:szCs w:val="22"/>
          <w:lang w:val="sk-SK"/>
        </w:rPr>
        <w:t>(E172)</w:t>
      </w:r>
    </w:p>
    <w:p w14:paraId="625C6D6D" w14:textId="77777777" w:rsidR="002A237F" w:rsidRPr="00C83F7F" w:rsidRDefault="002A237F" w:rsidP="002A237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žltý oxid železitý (E172)</w:t>
      </w:r>
    </w:p>
    <w:p w14:paraId="0EDED8D9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31C60A" w14:textId="77777777" w:rsidR="00317033" w:rsidRPr="00C83F7F" w:rsidRDefault="00317033" w:rsidP="00FB2845">
      <w:pPr>
        <w:widowControl w:val="0"/>
        <w:numPr>
          <w:ilvl w:val="1"/>
          <w:numId w:val="16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C83F7F">
        <w:rPr>
          <w:b/>
          <w:bCs/>
          <w:sz w:val="22"/>
          <w:szCs w:val="22"/>
          <w:lang w:val="sk-SK"/>
        </w:rPr>
        <w:t>Inkompatibility</w:t>
      </w:r>
    </w:p>
    <w:p w14:paraId="0E8732DF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3B74231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Neaplikovateľné.</w:t>
      </w:r>
    </w:p>
    <w:p w14:paraId="58733FF2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869015A" w14:textId="77777777" w:rsidR="00317033" w:rsidRPr="00C83F7F" w:rsidRDefault="00317033" w:rsidP="00FB2845">
      <w:pPr>
        <w:widowControl w:val="0"/>
        <w:numPr>
          <w:ilvl w:val="1"/>
          <w:numId w:val="17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C83F7F">
        <w:rPr>
          <w:b/>
          <w:bCs/>
          <w:sz w:val="22"/>
          <w:szCs w:val="22"/>
          <w:lang w:val="sk-SK"/>
        </w:rPr>
        <w:t>Čas použiteľnosti</w:t>
      </w:r>
    </w:p>
    <w:p w14:paraId="4F65BCC0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06F08A" w14:textId="77777777" w:rsidR="00317033" w:rsidRPr="00C83F7F" w:rsidRDefault="00D17986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3</w:t>
      </w:r>
      <w:r w:rsidR="00317033" w:rsidRPr="00C83F7F">
        <w:rPr>
          <w:sz w:val="22"/>
          <w:szCs w:val="22"/>
          <w:lang w:val="sk-SK"/>
        </w:rPr>
        <w:t xml:space="preserve"> roky.</w:t>
      </w:r>
    </w:p>
    <w:p w14:paraId="5E4688FE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3024E37" w14:textId="77777777" w:rsidR="00317033" w:rsidRPr="00C83F7F" w:rsidRDefault="00317033" w:rsidP="00FB2845">
      <w:pPr>
        <w:widowControl w:val="0"/>
        <w:numPr>
          <w:ilvl w:val="1"/>
          <w:numId w:val="18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C83F7F">
        <w:rPr>
          <w:b/>
          <w:bCs/>
          <w:sz w:val="22"/>
          <w:szCs w:val="22"/>
          <w:lang w:val="sk-SK"/>
        </w:rPr>
        <w:t>Špeciálne upozornenia na uchovávanie</w:t>
      </w:r>
    </w:p>
    <w:p w14:paraId="1A7F7AEF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79BEC55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Uchovávajte pri teplote neprevyšujúcej 30</w:t>
      </w:r>
      <w:r w:rsidR="00FB2845" w:rsidRPr="00C83F7F">
        <w:rPr>
          <w:sz w:val="22"/>
          <w:szCs w:val="22"/>
          <w:lang w:val="sk-SK"/>
        </w:rPr>
        <w:t xml:space="preserve"> </w:t>
      </w:r>
      <w:r w:rsidRPr="00C83F7F">
        <w:rPr>
          <w:sz w:val="22"/>
          <w:szCs w:val="22"/>
          <w:lang w:val="sk-SK"/>
        </w:rPr>
        <w:t>°C.</w:t>
      </w:r>
    </w:p>
    <w:p w14:paraId="23C633A0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5B74431" w14:textId="77777777" w:rsidR="00317033" w:rsidRPr="00C83F7F" w:rsidRDefault="00317033" w:rsidP="00FB2845">
      <w:pPr>
        <w:widowControl w:val="0"/>
        <w:numPr>
          <w:ilvl w:val="1"/>
          <w:numId w:val="19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C83F7F">
        <w:rPr>
          <w:b/>
          <w:bCs/>
          <w:sz w:val="22"/>
          <w:szCs w:val="22"/>
          <w:lang w:val="sk-SK"/>
        </w:rPr>
        <w:t>Druh obalu a obsah balenia</w:t>
      </w:r>
    </w:p>
    <w:p w14:paraId="62BFAEB7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E9E950B" w14:textId="77777777" w:rsidR="00D17986" w:rsidRDefault="00BB19BE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5E37A5">
        <w:rPr>
          <w:sz w:val="22"/>
          <w:szCs w:val="22"/>
          <w:lang w:val="sk-SK"/>
        </w:rPr>
        <w:t>Al-PVC-PE-PVDC</w:t>
      </w:r>
      <w:r w:rsidR="00197FDE" w:rsidRPr="00D10F59">
        <w:rPr>
          <w:sz w:val="22"/>
          <w:szCs w:val="22"/>
          <w:lang w:val="sk-SK"/>
        </w:rPr>
        <w:t xml:space="preserve"> </w:t>
      </w:r>
      <w:r w:rsidRPr="00D10F59">
        <w:rPr>
          <w:sz w:val="22"/>
          <w:szCs w:val="22"/>
          <w:lang w:val="sk-SK"/>
        </w:rPr>
        <w:t>blistre</w:t>
      </w:r>
    </w:p>
    <w:p w14:paraId="18AE00FD" w14:textId="77777777" w:rsidR="00C83F7F" w:rsidRDefault="00C83F7F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668AA6C" w14:textId="585EDA22" w:rsidR="00C83F7F" w:rsidRDefault="00C83F7F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150 mg: 60 filmom obalených tabliet</w:t>
      </w:r>
    </w:p>
    <w:p w14:paraId="7A4203B9" w14:textId="5E307882" w:rsidR="00C83F7F" w:rsidRDefault="00C83F7F" w:rsidP="00C83F7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483101">
        <w:rPr>
          <w:sz w:val="22"/>
          <w:szCs w:val="22"/>
          <w:highlight w:val="lightGray"/>
          <w:lang w:val="sk-SK"/>
        </w:rPr>
        <w:t>500 mg: 120 filmom obalených tabliet</w:t>
      </w:r>
    </w:p>
    <w:p w14:paraId="048BF0BE" w14:textId="77777777" w:rsidR="00C83F7F" w:rsidRPr="00D10F59" w:rsidRDefault="00C83F7F" w:rsidP="00C83F7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EEF840B" w14:textId="77777777" w:rsidR="00317033" w:rsidRPr="00C83F7F" w:rsidRDefault="00317033" w:rsidP="00FB2845">
      <w:pPr>
        <w:widowControl w:val="0"/>
        <w:numPr>
          <w:ilvl w:val="1"/>
          <w:numId w:val="20"/>
        </w:numPr>
        <w:tabs>
          <w:tab w:val="left" w:pos="68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C83F7F">
        <w:rPr>
          <w:b/>
          <w:bCs/>
          <w:sz w:val="22"/>
          <w:szCs w:val="22"/>
          <w:lang w:val="sk-SK"/>
        </w:rPr>
        <w:t>Špeciálne opatrenia na likvidáciu</w:t>
      </w:r>
    </w:p>
    <w:p w14:paraId="55A97F39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28296C1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C83F7F">
        <w:rPr>
          <w:sz w:val="22"/>
          <w:szCs w:val="22"/>
          <w:lang w:val="sk-SK"/>
        </w:rPr>
        <w:t>Žiadne zvláštne požiadavky.</w:t>
      </w:r>
    </w:p>
    <w:p w14:paraId="46DE5D47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BAD4D99" w14:textId="77777777" w:rsidR="00F80C87" w:rsidRPr="00C83F7F" w:rsidRDefault="00F80C87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286DA80" w14:textId="77777777" w:rsidR="00317033" w:rsidRPr="00C83F7F" w:rsidRDefault="002966C4" w:rsidP="00FB2845">
      <w:pPr>
        <w:keepNext/>
        <w:numPr>
          <w:ilvl w:val="0"/>
          <w:numId w:val="3"/>
        </w:numPr>
        <w:jc w:val="both"/>
        <w:outlineLvl w:val="0"/>
        <w:rPr>
          <w:b/>
          <w:kern w:val="28"/>
          <w:sz w:val="22"/>
          <w:szCs w:val="22"/>
          <w:lang w:val="sk-SK"/>
        </w:rPr>
      </w:pPr>
      <w:r w:rsidRPr="00C83F7F">
        <w:rPr>
          <w:b/>
          <w:kern w:val="28"/>
          <w:sz w:val="22"/>
          <w:szCs w:val="22"/>
          <w:lang w:val="sk-SK"/>
        </w:rPr>
        <w:t>DRŽITEĽ ROZHODNUTIA O REGISTRÁCII</w:t>
      </w:r>
    </w:p>
    <w:p w14:paraId="2A7913E7" w14:textId="77777777" w:rsidR="00317033" w:rsidRPr="00C83F7F" w:rsidRDefault="00317033" w:rsidP="00806DB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FD4FA0" w14:textId="77777777" w:rsidR="00FC2A70" w:rsidRPr="00C83F7F" w:rsidRDefault="00FC2A70" w:rsidP="00FC2A70">
      <w:pPr>
        <w:spacing w:line="0" w:lineRule="atLeast"/>
        <w:jc w:val="both"/>
        <w:rPr>
          <w:bCs/>
          <w:sz w:val="22"/>
          <w:szCs w:val="22"/>
          <w:lang w:val="sk-SK"/>
        </w:rPr>
      </w:pPr>
      <w:r w:rsidRPr="00C83F7F">
        <w:rPr>
          <w:bCs/>
          <w:sz w:val="22"/>
          <w:szCs w:val="22"/>
          <w:lang w:val="sk-SK"/>
        </w:rPr>
        <w:t>Fair-Med Healthcare GmbH</w:t>
      </w:r>
    </w:p>
    <w:p w14:paraId="6DE46445" w14:textId="1313491D" w:rsidR="00FC2A70" w:rsidRPr="00C83F7F" w:rsidRDefault="00FC2A70" w:rsidP="00FC2A70">
      <w:pPr>
        <w:spacing w:line="0" w:lineRule="atLeast"/>
        <w:jc w:val="both"/>
        <w:rPr>
          <w:bCs/>
          <w:sz w:val="22"/>
          <w:szCs w:val="22"/>
          <w:lang w:val="sk-SK"/>
        </w:rPr>
      </w:pPr>
      <w:r w:rsidRPr="00C83F7F">
        <w:rPr>
          <w:bCs/>
          <w:sz w:val="22"/>
          <w:szCs w:val="22"/>
          <w:lang w:val="sk-SK"/>
        </w:rPr>
        <w:t xml:space="preserve">Planckstrasse 13 </w:t>
      </w:r>
    </w:p>
    <w:p w14:paraId="6DE79F48" w14:textId="77777777" w:rsidR="00FC2A70" w:rsidRPr="00D10F59" w:rsidRDefault="00FC2A70" w:rsidP="00FC2A70">
      <w:pPr>
        <w:ind w:left="567" w:hanging="567"/>
        <w:rPr>
          <w:sz w:val="22"/>
          <w:szCs w:val="22"/>
          <w:lang w:val="sk-SK"/>
        </w:rPr>
      </w:pPr>
      <w:r w:rsidRPr="00C83F7F">
        <w:rPr>
          <w:bCs/>
          <w:sz w:val="22"/>
          <w:szCs w:val="22"/>
          <w:lang w:val="sk-SK"/>
        </w:rPr>
        <w:t>22765 Hamburg</w:t>
      </w:r>
      <w:r w:rsidRPr="005E37A5">
        <w:rPr>
          <w:sz w:val="22"/>
          <w:szCs w:val="22"/>
          <w:lang w:val="sk-SK"/>
        </w:rPr>
        <w:t xml:space="preserve"> </w:t>
      </w:r>
    </w:p>
    <w:p w14:paraId="69D6736E" w14:textId="77777777" w:rsidR="001B4C2B" w:rsidRPr="00AB43E9" w:rsidRDefault="00FC2A70" w:rsidP="00FC2A70">
      <w:pPr>
        <w:ind w:left="567" w:hanging="567"/>
        <w:rPr>
          <w:sz w:val="22"/>
          <w:szCs w:val="22"/>
          <w:lang w:val="sk-SK"/>
        </w:rPr>
      </w:pPr>
      <w:r w:rsidRPr="00AB43E9">
        <w:rPr>
          <w:sz w:val="22"/>
          <w:szCs w:val="22"/>
          <w:lang w:val="sk-SK"/>
        </w:rPr>
        <w:t>Nemecko</w:t>
      </w:r>
    </w:p>
    <w:p w14:paraId="631740EA" w14:textId="77777777" w:rsidR="00F80C87" w:rsidRPr="00C83F7F" w:rsidRDefault="00F80C87" w:rsidP="00806DB9">
      <w:pPr>
        <w:keepNext/>
        <w:jc w:val="both"/>
        <w:rPr>
          <w:b/>
          <w:kern w:val="28"/>
          <w:sz w:val="22"/>
          <w:szCs w:val="22"/>
          <w:lang w:val="sk-SK"/>
        </w:rPr>
      </w:pPr>
      <w:bookmarkStart w:id="0" w:name="_Toc316894228"/>
    </w:p>
    <w:p w14:paraId="0E2237D0" w14:textId="77777777" w:rsidR="007F0E24" w:rsidRPr="00C83F7F" w:rsidRDefault="007F0E24" w:rsidP="00806DB9">
      <w:pPr>
        <w:keepNext/>
        <w:jc w:val="both"/>
        <w:rPr>
          <w:b/>
          <w:kern w:val="28"/>
          <w:sz w:val="22"/>
          <w:szCs w:val="22"/>
          <w:lang w:val="sk-SK"/>
        </w:rPr>
      </w:pPr>
    </w:p>
    <w:p w14:paraId="51C3E221" w14:textId="7E15053B" w:rsidR="000C59C5" w:rsidRPr="00C83F7F" w:rsidRDefault="000C59C5" w:rsidP="000C59C5">
      <w:pPr>
        <w:keepNext/>
        <w:numPr>
          <w:ilvl w:val="0"/>
          <w:numId w:val="3"/>
        </w:numPr>
        <w:jc w:val="both"/>
        <w:outlineLvl w:val="0"/>
        <w:rPr>
          <w:b/>
          <w:kern w:val="28"/>
          <w:sz w:val="22"/>
          <w:szCs w:val="22"/>
          <w:lang w:val="sk-SK"/>
        </w:rPr>
      </w:pPr>
      <w:r w:rsidRPr="00C83F7F">
        <w:rPr>
          <w:b/>
          <w:kern w:val="28"/>
          <w:sz w:val="22"/>
          <w:szCs w:val="22"/>
          <w:lang w:val="sk-SK"/>
        </w:rPr>
        <w:t>REGISTRAČNÉ ČÍSL</w:t>
      </w:r>
      <w:r w:rsidR="00483101">
        <w:rPr>
          <w:b/>
          <w:kern w:val="28"/>
          <w:sz w:val="22"/>
          <w:szCs w:val="22"/>
          <w:lang w:val="sk-SK"/>
        </w:rPr>
        <w:t>O</w:t>
      </w:r>
    </w:p>
    <w:p w14:paraId="62C6F556" w14:textId="77777777" w:rsidR="000C59C5" w:rsidRDefault="000C59C5" w:rsidP="00A9726E">
      <w:pPr>
        <w:jc w:val="both"/>
        <w:rPr>
          <w:sz w:val="22"/>
          <w:szCs w:val="22"/>
          <w:lang w:val="sk-SK"/>
        </w:rPr>
      </w:pPr>
    </w:p>
    <w:p w14:paraId="3F0B85BE" w14:textId="55DE7ADF" w:rsidR="009A40F3" w:rsidRPr="00C83F7F" w:rsidRDefault="009A40F3" w:rsidP="00A9726E">
      <w:pPr>
        <w:jc w:val="both"/>
        <w:rPr>
          <w:sz w:val="22"/>
          <w:szCs w:val="22"/>
          <w:lang w:val="sk-SK"/>
        </w:rPr>
      </w:pPr>
      <w:r w:rsidRPr="009A40F3">
        <w:rPr>
          <w:sz w:val="22"/>
          <w:szCs w:val="22"/>
          <w:lang w:val="sk-SK"/>
        </w:rPr>
        <w:t>44/0283/16-S</w:t>
      </w:r>
    </w:p>
    <w:p w14:paraId="05BECCEC" w14:textId="2C1C724D" w:rsidR="000C59C5" w:rsidRPr="00C83F7F" w:rsidRDefault="009A40F3" w:rsidP="00A9726E">
      <w:pPr>
        <w:jc w:val="both"/>
        <w:rPr>
          <w:sz w:val="22"/>
          <w:szCs w:val="22"/>
          <w:lang w:val="sk-SK"/>
        </w:rPr>
      </w:pPr>
      <w:r w:rsidRPr="009A40F3">
        <w:rPr>
          <w:sz w:val="22"/>
          <w:szCs w:val="22"/>
          <w:highlight w:val="lightGray"/>
          <w:lang w:val="sk-SK"/>
        </w:rPr>
        <w:t>44/0284/16-S</w:t>
      </w:r>
    </w:p>
    <w:p w14:paraId="03C823B3" w14:textId="77777777" w:rsidR="00FC2A70" w:rsidRPr="00C83F7F" w:rsidRDefault="00FC2A70" w:rsidP="00A9726E">
      <w:pPr>
        <w:jc w:val="both"/>
        <w:rPr>
          <w:sz w:val="22"/>
          <w:szCs w:val="22"/>
          <w:lang w:val="sk-SK"/>
        </w:rPr>
      </w:pPr>
    </w:p>
    <w:p w14:paraId="300E32B7" w14:textId="77777777" w:rsidR="000C59C5" w:rsidRPr="00C83F7F" w:rsidRDefault="000C59C5" w:rsidP="000C59C5">
      <w:pPr>
        <w:keepNext/>
        <w:numPr>
          <w:ilvl w:val="0"/>
          <w:numId w:val="3"/>
        </w:numPr>
        <w:jc w:val="both"/>
        <w:outlineLvl w:val="0"/>
        <w:rPr>
          <w:b/>
          <w:kern w:val="28"/>
          <w:sz w:val="22"/>
          <w:szCs w:val="22"/>
          <w:lang w:val="sk-SK"/>
        </w:rPr>
      </w:pPr>
      <w:r w:rsidRPr="00C83F7F">
        <w:rPr>
          <w:b/>
          <w:kern w:val="28"/>
          <w:sz w:val="22"/>
          <w:szCs w:val="22"/>
          <w:lang w:val="sk-SK"/>
        </w:rPr>
        <w:t>DÁTUM PRVEJ REGISTRÁCIE/PREDĹŽENIA REGISTRÁCIE</w:t>
      </w:r>
    </w:p>
    <w:p w14:paraId="2BBC6229" w14:textId="77777777" w:rsidR="000C59C5" w:rsidRPr="00C83F7F" w:rsidRDefault="000C59C5" w:rsidP="000C59C5">
      <w:pPr>
        <w:ind w:left="720"/>
        <w:jc w:val="both"/>
        <w:rPr>
          <w:sz w:val="22"/>
          <w:szCs w:val="22"/>
          <w:lang w:val="sk-SK"/>
        </w:rPr>
      </w:pPr>
    </w:p>
    <w:p w14:paraId="750E83E7" w14:textId="77777777" w:rsidR="000C59C5" w:rsidRPr="00C83F7F" w:rsidRDefault="00224903" w:rsidP="00FB2845">
      <w:pPr>
        <w:jc w:val="both"/>
        <w:rPr>
          <w:sz w:val="22"/>
          <w:szCs w:val="22"/>
          <w:lang w:val="sk-SK"/>
        </w:rPr>
      </w:pPr>
      <w:r w:rsidRPr="00C83F7F">
        <w:rPr>
          <w:color w:val="000000"/>
          <w:sz w:val="22"/>
          <w:szCs w:val="22"/>
          <w:lang w:val="sk-SK"/>
        </w:rPr>
        <w:t xml:space="preserve">Dátum prvej registrácie lieku: </w:t>
      </w:r>
    </w:p>
    <w:p w14:paraId="48E719EC" w14:textId="77777777" w:rsidR="000C59C5" w:rsidRPr="00C83F7F" w:rsidRDefault="000C59C5" w:rsidP="000C59C5">
      <w:pPr>
        <w:ind w:left="720"/>
        <w:jc w:val="both"/>
        <w:rPr>
          <w:sz w:val="22"/>
          <w:szCs w:val="22"/>
          <w:lang w:val="sk-SK"/>
        </w:rPr>
      </w:pPr>
    </w:p>
    <w:p w14:paraId="64DA46E0" w14:textId="77777777" w:rsidR="00F10136" w:rsidRPr="00C83F7F" w:rsidRDefault="00F10136" w:rsidP="000C59C5">
      <w:pPr>
        <w:ind w:left="720"/>
        <w:jc w:val="both"/>
        <w:rPr>
          <w:sz w:val="22"/>
          <w:szCs w:val="22"/>
          <w:lang w:val="sk-SK"/>
        </w:rPr>
      </w:pPr>
    </w:p>
    <w:p w14:paraId="24DDFEE8" w14:textId="77777777" w:rsidR="000C59C5" w:rsidRPr="00C83F7F" w:rsidRDefault="000C59C5" w:rsidP="00FB2845">
      <w:pPr>
        <w:keepNext/>
        <w:numPr>
          <w:ilvl w:val="0"/>
          <w:numId w:val="3"/>
        </w:numPr>
        <w:jc w:val="both"/>
        <w:outlineLvl w:val="0"/>
        <w:rPr>
          <w:b/>
          <w:kern w:val="28"/>
          <w:sz w:val="22"/>
          <w:szCs w:val="22"/>
          <w:lang w:val="sk-SK"/>
        </w:rPr>
      </w:pPr>
      <w:r w:rsidRPr="00C83F7F">
        <w:rPr>
          <w:b/>
          <w:kern w:val="28"/>
          <w:sz w:val="22"/>
          <w:szCs w:val="22"/>
          <w:lang w:val="sk-SK"/>
        </w:rPr>
        <w:t>DÁTUM REVÍZIE TEXTU</w:t>
      </w:r>
    </w:p>
    <w:p w14:paraId="7388C399" w14:textId="77777777" w:rsidR="000C59C5" w:rsidRPr="00C83F7F" w:rsidRDefault="000C59C5" w:rsidP="000C59C5">
      <w:pPr>
        <w:keepNext/>
        <w:tabs>
          <w:tab w:val="left" w:pos="142"/>
        </w:tabs>
        <w:ind w:left="142"/>
        <w:jc w:val="both"/>
        <w:outlineLvl w:val="0"/>
        <w:rPr>
          <w:color w:val="000000"/>
          <w:sz w:val="22"/>
          <w:szCs w:val="22"/>
          <w:lang w:val="sk-SK"/>
        </w:rPr>
      </w:pPr>
    </w:p>
    <w:bookmarkEnd w:id="0"/>
    <w:p w14:paraId="60C4C30F" w14:textId="6F21BC18" w:rsidR="000865BC" w:rsidRPr="00C83F7F" w:rsidRDefault="00A9726E" w:rsidP="000C59C5">
      <w:pPr>
        <w:keepNext/>
        <w:jc w:val="both"/>
        <w:rPr>
          <w:kern w:val="28"/>
          <w:sz w:val="22"/>
          <w:szCs w:val="22"/>
          <w:lang w:val="sk-SK"/>
        </w:rPr>
      </w:pPr>
      <w:r w:rsidRPr="00C83F7F">
        <w:rPr>
          <w:kern w:val="28"/>
          <w:sz w:val="22"/>
          <w:szCs w:val="22"/>
          <w:lang w:val="sk-SK"/>
        </w:rPr>
        <w:t>0</w:t>
      </w:r>
      <w:r w:rsidR="00483101">
        <w:rPr>
          <w:kern w:val="28"/>
          <w:sz w:val="22"/>
          <w:szCs w:val="22"/>
          <w:lang w:val="sk-SK"/>
        </w:rPr>
        <w:t>5</w:t>
      </w:r>
      <w:r w:rsidRPr="00C83F7F">
        <w:rPr>
          <w:kern w:val="28"/>
          <w:sz w:val="22"/>
          <w:szCs w:val="22"/>
          <w:lang w:val="sk-SK"/>
        </w:rPr>
        <w:t>/2016</w:t>
      </w:r>
    </w:p>
    <w:sectPr w:rsidR="000865BC" w:rsidRPr="00C83F7F" w:rsidSect="007604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20" w:equalWidth="0">
        <w:col w:w="8834"/>
      </w:cols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95A99" w14:textId="77777777" w:rsidR="00313423" w:rsidRDefault="00313423">
      <w:r>
        <w:separator/>
      </w:r>
    </w:p>
  </w:endnote>
  <w:endnote w:type="continuationSeparator" w:id="0">
    <w:p w14:paraId="04FF4E05" w14:textId="77777777" w:rsidR="00313423" w:rsidRDefault="0031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EF6E4" w14:textId="77777777" w:rsidR="0095002E" w:rsidRDefault="0095002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4A229" w14:textId="77777777" w:rsidR="007604A0" w:rsidRDefault="007604A0">
    <w:pPr>
      <w:widowControl w:val="0"/>
      <w:autoSpaceDE w:val="0"/>
      <w:autoSpaceDN w:val="0"/>
      <w:adjustRightInd w:val="0"/>
      <w:spacing w:line="10" w:lineRule="exact"/>
      <w:rPr>
        <w:sz w:val="2"/>
        <w:szCs w:val="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0EA58D7" wp14:editId="095EED67">
              <wp:simplePos x="0" y="0"/>
              <wp:positionH relativeFrom="page">
                <wp:posOffset>3667760</wp:posOffset>
              </wp:positionH>
              <wp:positionV relativeFrom="page">
                <wp:posOffset>10107295</wp:posOffset>
              </wp:positionV>
              <wp:extent cx="163830" cy="127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6FC0B" w14:textId="77777777" w:rsidR="007604A0" w:rsidRPr="00550B3F" w:rsidRDefault="007604A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3" w:lineRule="exact"/>
                            <w:ind w:left="40" w:right="-20"/>
                            <w:rPr>
                              <w:sz w:val="18"/>
                              <w:szCs w:val="18"/>
                            </w:rPr>
                          </w:pPr>
                          <w:r w:rsidRPr="00550B3F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50B3F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50B3F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5002E">
                            <w:rPr>
                              <w:noProof/>
                              <w:sz w:val="18"/>
                              <w:szCs w:val="18"/>
                            </w:rPr>
                            <w:t>21</w:t>
                          </w:r>
                          <w:r w:rsidRPr="00550B3F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A58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8pt;margin-top:795.85pt;width:12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" o:allowincell="f" filled="f" stroked="f">
              <v:textbox inset="0,0,0,0">
                <w:txbxContent>
                  <w:p w14:paraId="0F56FC0B" w14:textId="77777777" w:rsidR="007604A0" w:rsidRPr="00550B3F" w:rsidRDefault="007604A0">
                    <w:pPr>
                      <w:widowControl w:val="0"/>
                      <w:autoSpaceDE w:val="0"/>
                      <w:autoSpaceDN w:val="0"/>
                      <w:adjustRightInd w:val="0"/>
                      <w:spacing w:line="183" w:lineRule="exact"/>
                      <w:ind w:left="40" w:right="-20"/>
                      <w:rPr>
                        <w:sz w:val="18"/>
                        <w:szCs w:val="18"/>
                      </w:rPr>
                    </w:pPr>
                    <w:r w:rsidRPr="00550B3F">
                      <w:rPr>
                        <w:sz w:val="18"/>
                        <w:szCs w:val="18"/>
                      </w:rPr>
                      <w:fldChar w:fldCharType="begin"/>
                    </w:r>
                    <w:r w:rsidRPr="00550B3F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550B3F">
                      <w:rPr>
                        <w:sz w:val="18"/>
                        <w:szCs w:val="18"/>
                      </w:rPr>
                      <w:fldChar w:fldCharType="separate"/>
                    </w:r>
                    <w:r w:rsidR="0095002E">
                      <w:rPr>
                        <w:noProof/>
                        <w:sz w:val="18"/>
                        <w:szCs w:val="18"/>
                      </w:rPr>
                      <w:t>21</w:t>
                    </w:r>
                    <w:r w:rsidRPr="00550B3F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91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bookmarkStart w:id="1" w:name="_GoBack" w:displacedByCustomXml="prev"/>
      <w:p w14:paraId="3963203F" w14:textId="5C926BAF" w:rsidR="0095002E" w:rsidRPr="0095002E" w:rsidRDefault="0095002E">
        <w:pPr>
          <w:pStyle w:val="Pta"/>
          <w:jc w:val="center"/>
          <w:rPr>
            <w:sz w:val="18"/>
            <w:szCs w:val="18"/>
          </w:rPr>
        </w:pPr>
        <w:r w:rsidRPr="0095002E">
          <w:rPr>
            <w:sz w:val="18"/>
            <w:szCs w:val="18"/>
          </w:rPr>
          <w:fldChar w:fldCharType="begin"/>
        </w:r>
        <w:r w:rsidRPr="0095002E">
          <w:rPr>
            <w:sz w:val="18"/>
            <w:szCs w:val="18"/>
          </w:rPr>
          <w:instrText>PAGE   \* MERGEFORMAT</w:instrText>
        </w:r>
        <w:r w:rsidRPr="0095002E">
          <w:rPr>
            <w:sz w:val="18"/>
            <w:szCs w:val="18"/>
          </w:rPr>
          <w:fldChar w:fldCharType="separate"/>
        </w:r>
        <w:r w:rsidRPr="0095002E">
          <w:rPr>
            <w:noProof/>
            <w:sz w:val="18"/>
            <w:szCs w:val="18"/>
            <w:lang w:val="sk-SK"/>
          </w:rPr>
          <w:t>1</w:t>
        </w:r>
        <w:r w:rsidRPr="0095002E">
          <w:rPr>
            <w:sz w:val="18"/>
            <w:szCs w:val="18"/>
          </w:rPr>
          <w:fldChar w:fldCharType="end"/>
        </w:r>
      </w:p>
    </w:sdtContent>
  </w:sdt>
  <w:bookmarkEnd w:id="1"/>
  <w:p w14:paraId="6193FB20" w14:textId="77777777" w:rsidR="0095002E" w:rsidRDefault="0095002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9A508" w14:textId="77777777" w:rsidR="00313423" w:rsidRDefault="00313423">
      <w:r>
        <w:separator/>
      </w:r>
    </w:p>
  </w:footnote>
  <w:footnote w:type="continuationSeparator" w:id="0">
    <w:p w14:paraId="1B452434" w14:textId="77777777" w:rsidR="00313423" w:rsidRDefault="00313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9062C" w14:textId="77777777" w:rsidR="0095002E" w:rsidRDefault="0095002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23371" w14:textId="77777777" w:rsidR="0095002E" w:rsidRDefault="0095002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0CF33" w14:textId="77777777" w:rsidR="007604A0" w:rsidRPr="00C83F7F" w:rsidRDefault="007604A0" w:rsidP="00DC11F0">
    <w:pPr>
      <w:rPr>
        <w:sz w:val="18"/>
        <w:szCs w:val="18"/>
        <w:lang w:val="sk-SK"/>
      </w:rPr>
    </w:pPr>
    <w:r w:rsidRPr="00C83F7F">
      <w:rPr>
        <w:bCs/>
        <w:sz w:val="18"/>
        <w:szCs w:val="18"/>
        <w:lang w:val="sk-SK"/>
      </w:rPr>
      <w:t xml:space="preserve">Schválený text k rozhodnutiu o registrácii, ev. č.: </w:t>
    </w:r>
    <w:r w:rsidRPr="00C83F7F">
      <w:rPr>
        <w:sz w:val="18"/>
        <w:szCs w:val="18"/>
        <w:lang w:val="sk-SK"/>
      </w:rPr>
      <w:t>2013/04599-REG</w:t>
    </w:r>
  </w:p>
  <w:p w14:paraId="4A397E44" w14:textId="77777777" w:rsidR="007604A0" w:rsidRPr="00C83F7F" w:rsidRDefault="007604A0" w:rsidP="00DC11F0">
    <w:pPr>
      <w:rPr>
        <w:bCs/>
        <w:sz w:val="18"/>
        <w:szCs w:val="18"/>
        <w:lang w:val="sk-SK"/>
      </w:rPr>
    </w:pPr>
    <w:r w:rsidRPr="00483101">
      <w:rPr>
        <w:bCs/>
        <w:sz w:val="18"/>
        <w:szCs w:val="18"/>
        <w:highlight w:val="lightGray"/>
        <w:lang w:val="sk-SK"/>
      </w:rPr>
      <w:t>Schválený text k rozhodnutiu o registrácii, ev. č.:</w:t>
    </w:r>
    <w:r w:rsidRPr="00483101">
      <w:rPr>
        <w:sz w:val="18"/>
        <w:szCs w:val="18"/>
        <w:highlight w:val="lightGray"/>
        <w:lang w:val="sk-SK"/>
      </w:rPr>
      <w:t xml:space="preserve"> 2013/04600-REG</w:t>
    </w:r>
  </w:p>
  <w:p w14:paraId="02CD36FC" w14:textId="77777777" w:rsidR="007604A0" w:rsidRPr="00DC11F0" w:rsidRDefault="007604A0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5A2"/>
    <w:multiLevelType w:val="multilevel"/>
    <w:tmpl w:val="E4E25A70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</w:abstractNum>
  <w:abstractNum w:abstractNumId="1" w15:restartNumberingAfterBreak="0">
    <w:nsid w:val="01791ABB"/>
    <w:multiLevelType w:val="hybridMultilevel"/>
    <w:tmpl w:val="686C91BC"/>
    <w:lvl w:ilvl="0" w:tplc="B6E64D04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0E6D"/>
    <w:multiLevelType w:val="multilevel"/>
    <w:tmpl w:val="7466F092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3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</w:abstractNum>
  <w:abstractNum w:abstractNumId="3" w15:restartNumberingAfterBreak="0">
    <w:nsid w:val="02465674"/>
    <w:multiLevelType w:val="hybridMultilevel"/>
    <w:tmpl w:val="F256756E"/>
    <w:lvl w:ilvl="0" w:tplc="18F60FE4">
      <w:start w:val="1"/>
      <w:numFmt w:val="none"/>
      <w:lvlText w:val="4.4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77BDD"/>
    <w:multiLevelType w:val="multilevel"/>
    <w:tmpl w:val="8C4E2A9C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6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</w:abstractNum>
  <w:abstractNum w:abstractNumId="5" w15:restartNumberingAfterBreak="0">
    <w:nsid w:val="05F82DCD"/>
    <w:multiLevelType w:val="hybridMultilevel"/>
    <w:tmpl w:val="858CD70A"/>
    <w:lvl w:ilvl="0" w:tplc="A42A8B52">
      <w:start w:val="1"/>
      <w:numFmt w:val="none"/>
      <w:lvlText w:val="4.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BC1373"/>
    <w:multiLevelType w:val="hybridMultilevel"/>
    <w:tmpl w:val="FC74A1FC"/>
    <w:lvl w:ilvl="0" w:tplc="0994D1F2">
      <w:start w:val="1"/>
      <w:numFmt w:val="none"/>
      <w:lvlText w:val="4.3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6C128A4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B3577"/>
    <w:multiLevelType w:val="hybridMultilevel"/>
    <w:tmpl w:val="C37E3200"/>
    <w:lvl w:ilvl="0" w:tplc="AACCD270">
      <w:start w:val="1"/>
      <w:numFmt w:val="none"/>
      <w:lvlText w:val="4.9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55F16"/>
    <w:multiLevelType w:val="hybridMultilevel"/>
    <w:tmpl w:val="55B67B3A"/>
    <w:lvl w:ilvl="0" w:tplc="A8203F62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E28B8"/>
    <w:multiLevelType w:val="hybridMultilevel"/>
    <w:tmpl w:val="AE7C38AA"/>
    <w:lvl w:ilvl="0" w:tplc="B2608AA4">
      <w:start w:val="1"/>
      <w:numFmt w:val="none"/>
      <w:lvlText w:val="4.7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B473F"/>
    <w:multiLevelType w:val="hybridMultilevel"/>
    <w:tmpl w:val="F0E2C5D4"/>
    <w:lvl w:ilvl="0" w:tplc="875AE7CE">
      <w:start w:val="1"/>
      <w:numFmt w:val="none"/>
      <w:lvlText w:val="5.3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044880"/>
    <w:multiLevelType w:val="multilevel"/>
    <w:tmpl w:val="CFD226EC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5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</w:abstractNum>
  <w:abstractNum w:abstractNumId="12" w15:restartNumberingAfterBreak="0">
    <w:nsid w:val="37335A6A"/>
    <w:multiLevelType w:val="hybridMultilevel"/>
    <w:tmpl w:val="5DA87A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C42D6"/>
    <w:multiLevelType w:val="hybridMultilevel"/>
    <w:tmpl w:val="76E808D6"/>
    <w:lvl w:ilvl="0" w:tplc="5E08ADE4">
      <w:start w:val="3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81E55"/>
    <w:multiLevelType w:val="hybridMultilevel"/>
    <w:tmpl w:val="9698B600"/>
    <w:lvl w:ilvl="0" w:tplc="C9C42378">
      <w:start w:val="1"/>
      <w:numFmt w:val="none"/>
      <w:lvlText w:val="5.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9C38ED"/>
    <w:multiLevelType w:val="hybridMultilevel"/>
    <w:tmpl w:val="121E4DE2"/>
    <w:lvl w:ilvl="0" w:tplc="A0300192">
      <w:start w:val="1"/>
      <w:numFmt w:val="none"/>
      <w:lvlText w:val="4.8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AC48E0"/>
    <w:multiLevelType w:val="hybridMultilevel"/>
    <w:tmpl w:val="ED50D0A0"/>
    <w:lvl w:ilvl="0" w:tplc="E424B4F2">
      <w:start w:val="1"/>
      <w:numFmt w:val="none"/>
      <w:lvlText w:val="4.5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C5330C"/>
    <w:multiLevelType w:val="hybridMultilevel"/>
    <w:tmpl w:val="1EA4FB36"/>
    <w:lvl w:ilvl="0" w:tplc="23225AC6">
      <w:start w:val="1"/>
      <w:numFmt w:val="none"/>
      <w:lvlText w:val="4.6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25882"/>
    <w:multiLevelType w:val="hybridMultilevel"/>
    <w:tmpl w:val="77F46B24"/>
    <w:lvl w:ilvl="0" w:tplc="1D2C941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B3AE9456">
      <w:start w:val="1"/>
      <w:numFmt w:val="none"/>
      <w:lvlText w:val="4.1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D316A"/>
    <w:multiLevelType w:val="hybridMultilevel"/>
    <w:tmpl w:val="CC30F6E2"/>
    <w:lvl w:ilvl="0" w:tplc="FD9C1846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678F5"/>
    <w:multiLevelType w:val="multilevel"/>
    <w:tmpl w:val="971A27D4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1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</w:abstractNum>
  <w:abstractNum w:abstractNumId="21" w15:restartNumberingAfterBreak="0">
    <w:nsid w:val="72557CFB"/>
    <w:multiLevelType w:val="multilevel"/>
    <w:tmpl w:val="97288308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4"/>
      <w:numFmt w:val="decimal"/>
      <w:lvlText w:val="%1.4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</w:abstractNum>
  <w:abstractNum w:abstractNumId="22" w15:restartNumberingAfterBreak="0">
    <w:nsid w:val="7B4C719E"/>
    <w:multiLevelType w:val="hybridMultilevel"/>
    <w:tmpl w:val="F114108E"/>
    <w:lvl w:ilvl="0" w:tplc="EB8C232A">
      <w:start w:val="1"/>
      <w:numFmt w:val="none"/>
      <w:lvlText w:val="5.1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8"/>
  </w:num>
  <w:num w:numId="4">
    <w:abstractNumId w:val="5"/>
  </w:num>
  <w:num w:numId="5">
    <w:abstractNumId w:val="6"/>
  </w:num>
  <w:num w:numId="6">
    <w:abstractNumId w:val="3"/>
  </w:num>
  <w:num w:numId="7">
    <w:abstractNumId w:val="16"/>
  </w:num>
  <w:num w:numId="8">
    <w:abstractNumId w:val="17"/>
  </w:num>
  <w:num w:numId="9">
    <w:abstractNumId w:val="9"/>
  </w:num>
  <w:num w:numId="10">
    <w:abstractNumId w:val="15"/>
  </w:num>
  <w:num w:numId="11">
    <w:abstractNumId w:val="7"/>
  </w:num>
  <w:num w:numId="12">
    <w:abstractNumId w:val="22"/>
  </w:num>
  <w:num w:numId="13">
    <w:abstractNumId w:val="14"/>
  </w:num>
  <w:num w:numId="14">
    <w:abstractNumId w:val="10"/>
  </w:num>
  <w:num w:numId="15">
    <w:abstractNumId w:val="20"/>
  </w:num>
  <w:num w:numId="16">
    <w:abstractNumId w:val="0"/>
  </w:num>
  <w:num w:numId="17">
    <w:abstractNumId w:val="2"/>
  </w:num>
  <w:num w:numId="18">
    <w:abstractNumId w:val="21"/>
  </w:num>
  <w:num w:numId="19">
    <w:abstractNumId w:val="11"/>
  </w:num>
  <w:num w:numId="20">
    <w:abstractNumId w:val="4"/>
  </w:num>
  <w:num w:numId="21">
    <w:abstractNumId w:val="1"/>
  </w:num>
  <w:num w:numId="22">
    <w:abstractNumId w:val="8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3"/>
    <w:rsid w:val="000001B4"/>
    <w:rsid w:val="00005199"/>
    <w:rsid w:val="000230E5"/>
    <w:rsid w:val="00031A26"/>
    <w:rsid w:val="0004041C"/>
    <w:rsid w:val="00054B7E"/>
    <w:rsid w:val="00060778"/>
    <w:rsid w:val="00062A5C"/>
    <w:rsid w:val="000671D0"/>
    <w:rsid w:val="00085688"/>
    <w:rsid w:val="000865BC"/>
    <w:rsid w:val="00086BD5"/>
    <w:rsid w:val="0009543B"/>
    <w:rsid w:val="00097178"/>
    <w:rsid w:val="000A032C"/>
    <w:rsid w:val="000A0E8E"/>
    <w:rsid w:val="000A35E6"/>
    <w:rsid w:val="000A7EB9"/>
    <w:rsid w:val="000B00EB"/>
    <w:rsid w:val="000C579A"/>
    <w:rsid w:val="000C59C5"/>
    <w:rsid w:val="000D6C44"/>
    <w:rsid w:val="00102971"/>
    <w:rsid w:val="001045F0"/>
    <w:rsid w:val="00110ABB"/>
    <w:rsid w:val="00111709"/>
    <w:rsid w:val="001138E3"/>
    <w:rsid w:val="00121CC5"/>
    <w:rsid w:val="00124D2F"/>
    <w:rsid w:val="00132735"/>
    <w:rsid w:val="00132D91"/>
    <w:rsid w:val="00152CD7"/>
    <w:rsid w:val="00154C55"/>
    <w:rsid w:val="00155825"/>
    <w:rsid w:val="00161FE4"/>
    <w:rsid w:val="001737C0"/>
    <w:rsid w:val="00183D0D"/>
    <w:rsid w:val="0018423F"/>
    <w:rsid w:val="001903E6"/>
    <w:rsid w:val="00190FFF"/>
    <w:rsid w:val="00191E36"/>
    <w:rsid w:val="00197FDE"/>
    <w:rsid w:val="001A360C"/>
    <w:rsid w:val="001B2E8E"/>
    <w:rsid w:val="001B2ED5"/>
    <w:rsid w:val="001B4917"/>
    <w:rsid w:val="001B4C2B"/>
    <w:rsid w:val="001C5BED"/>
    <w:rsid w:val="001D5DA4"/>
    <w:rsid w:val="001E53D8"/>
    <w:rsid w:val="001E6C93"/>
    <w:rsid w:val="001F5C94"/>
    <w:rsid w:val="001F6607"/>
    <w:rsid w:val="001F6772"/>
    <w:rsid w:val="001F7E35"/>
    <w:rsid w:val="002109DB"/>
    <w:rsid w:val="00211E62"/>
    <w:rsid w:val="002131E7"/>
    <w:rsid w:val="0021376C"/>
    <w:rsid w:val="00224903"/>
    <w:rsid w:val="00230B3C"/>
    <w:rsid w:val="00232416"/>
    <w:rsid w:val="002375D1"/>
    <w:rsid w:val="00237C36"/>
    <w:rsid w:val="00240690"/>
    <w:rsid w:val="00241F4A"/>
    <w:rsid w:val="00242087"/>
    <w:rsid w:val="002447EA"/>
    <w:rsid w:val="00245028"/>
    <w:rsid w:val="00257CE1"/>
    <w:rsid w:val="002669B9"/>
    <w:rsid w:val="00276625"/>
    <w:rsid w:val="00281637"/>
    <w:rsid w:val="002966C4"/>
    <w:rsid w:val="002A237F"/>
    <w:rsid w:val="002B70F7"/>
    <w:rsid w:val="002C237E"/>
    <w:rsid w:val="002C666E"/>
    <w:rsid w:val="002C7B75"/>
    <w:rsid w:val="002E67D8"/>
    <w:rsid w:val="002F1753"/>
    <w:rsid w:val="003035D9"/>
    <w:rsid w:val="0030417B"/>
    <w:rsid w:val="00304B3D"/>
    <w:rsid w:val="003116AD"/>
    <w:rsid w:val="00313423"/>
    <w:rsid w:val="00317033"/>
    <w:rsid w:val="003213CF"/>
    <w:rsid w:val="00326EA9"/>
    <w:rsid w:val="003322F4"/>
    <w:rsid w:val="0033288F"/>
    <w:rsid w:val="00352211"/>
    <w:rsid w:val="003527CA"/>
    <w:rsid w:val="00355DED"/>
    <w:rsid w:val="00366D99"/>
    <w:rsid w:val="00377B7E"/>
    <w:rsid w:val="00392792"/>
    <w:rsid w:val="003B2790"/>
    <w:rsid w:val="003B4E3D"/>
    <w:rsid w:val="003C38E8"/>
    <w:rsid w:val="003C4C99"/>
    <w:rsid w:val="003C657D"/>
    <w:rsid w:val="003E4D4E"/>
    <w:rsid w:val="00402F37"/>
    <w:rsid w:val="00414F13"/>
    <w:rsid w:val="00425AB9"/>
    <w:rsid w:val="00432BFD"/>
    <w:rsid w:val="0043478D"/>
    <w:rsid w:val="00443C0A"/>
    <w:rsid w:val="004446FB"/>
    <w:rsid w:val="004447D1"/>
    <w:rsid w:val="004450CA"/>
    <w:rsid w:val="00452BAB"/>
    <w:rsid w:val="00456B60"/>
    <w:rsid w:val="0046701E"/>
    <w:rsid w:val="00472E69"/>
    <w:rsid w:val="00483101"/>
    <w:rsid w:val="00485D01"/>
    <w:rsid w:val="0048643D"/>
    <w:rsid w:val="00494494"/>
    <w:rsid w:val="0049621B"/>
    <w:rsid w:val="004977D2"/>
    <w:rsid w:val="004979D5"/>
    <w:rsid w:val="004B5072"/>
    <w:rsid w:val="004C678B"/>
    <w:rsid w:val="004C6EA7"/>
    <w:rsid w:val="004E0BD7"/>
    <w:rsid w:val="004E574A"/>
    <w:rsid w:val="004E6C24"/>
    <w:rsid w:val="004F1EDA"/>
    <w:rsid w:val="004F2256"/>
    <w:rsid w:val="004F75D4"/>
    <w:rsid w:val="00515DF7"/>
    <w:rsid w:val="00516650"/>
    <w:rsid w:val="00516B1B"/>
    <w:rsid w:val="005272AC"/>
    <w:rsid w:val="00545773"/>
    <w:rsid w:val="00550B3F"/>
    <w:rsid w:val="00551703"/>
    <w:rsid w:val="0055186E"/>
    <w:rsid w:val="00557A6D"/>
    <w:rsid w:val="005711DB"/>
    <w:rsid w:val="005C4622"/>
    <w:rsid w:val="005D6A63"/>
    <w:rsid w:val="005D75D1"/>
    <w:rsid w:val="005E37A5"/>
    <w:rsid w:val="005E5CF3"/>
    <w:rsid w:val="005E62B2"/>
    <w:rsid w:val="00602203"/>
    <w:rsid w:val="00603B28"/>
    <w:rsid w:val="0060692A"/>
    <w:rsid w:val="006073FD"/>
    <w:rsid w:val="00610F9C"/>
    <w:rsid w:val="00614FF2"/>
    <w:rsid w:val="00622E3C"/>
    <w:rsid w:val="00623E24"/>
    <w:rsid w:val="006315F6"/>
    <w:rsid w:val="00633719"/>
    <w:rsid w:val="00637385"/>
    <w:rsid w:val="00653AC2"/>
    <w:rsid w:val="00655AAC"/>
    <w:rsid w:val="0066047C"/>
    <w:rsid w:val="00661C06"/>
    <w:rsid w:val="00663417"/>
    <w:rsid w:val="0066410B"/>
    <w:rsid w:val="00664B73"/>
    <w:rsid w:val="006669E4"/>
    <w:rsid w:val="00677D3C"/>
    <w:rsid w:val="00692B6E"/>
    <w:rsid w:val="00692D31"/>
    <w:rsid w:val="00695E84"/>
    <w:rsid w:val="006A67A9"/>
    <w:rsid w:val="006B2D82"/>
    <w:rsid w:val="006B4977"/>
    <w:rsid w:val="006C0B5F"/>
    <w:rsid w:val="006C7754"/>
    <w:rsid w:val="006E53B6"/>
    <w:rsid w:val="006E7A96"/>
    <w:rsid w:val="006F1C44"/>
    <w:rsid w:val="007003E3"/>
    <w:rsid w:val="00706C13"/>
    <w:rsid w:val="007121F7"/>
    <w:rsid w:val="00716FDD"/>
    <w:rsid w:val="00724493"/>
    <w:rsid w:val="007255ED"/>
    <w:rsid w:val="0073212F"/>
    <w:rsid w:val="00741C0A"/>
    <w:rsid w:val="00750823"/>
    <w:rsid w:val="00753351"/>
    <w:rsid w:val="00753512"/>
    <w:rsid w:val="00754CEB"/>
    <w:rsid w:val="007604A0"/>
    <w:rsid w:val="0076180A"/>
    <w:rsid w:val="0076778D"/>
    <w:rsid w:val="00771873"/>
    <w:rsid w:val="00790DAF"/>
    <w:rsid w:val="007A2855"/>
    <w:rsid w:val="007A51AA"/>
    <w:rsid w:val="007B11B2"/>
    <w:rsid w:val="007B2B2B"/>
    <w:rsid w:val="007B5F56"/>
    <w:rsid w:val="007B635E"/>
    <w:rsid w:val="007C27DF"/>
    <w:rsid w:val="007C4BCD"/>
    <w:rsid w:val="007C5D69"/>
    <w:rsid w:val="007D0CCB"/>
    <w:rsid w:val="007D301F"/>
    <w:rsid w:val="007D52A8"/>
    <w:rsid w:val="007E0FD8"/>
    <w:rsid w:val="007E3D26"/>
    <w:rsid w:val="007F0E24"/>
    <w:rsid w:val="0080568A"/>
    <w:rsid w:val="00806DB9"/>
    <w:rsid w:val="00813869"/>
    <w:rsid w:val="00814EA9"/>
    <w:rsid w:val="00815465"/>
    <w:rsid w:val="008318FD"/>
    <w:rsid w:val="008377CB"/>
    <w:rsid w:val="00854B44"/>
    <w:rsid w:val="00860444"/>
    <w:rsid w:val="008638DE"/>
    <w:rsid w:val="0087577D"/>
    <w:rsid w:val="0087618E"/>
    <w:rsid w:val="00883AB4"/>
    <w:rsid w:val="0088627A"/>
    <w:rsid w:val="0089261B"/>
    <w:rsid w:val="008A393E"/>
    <w:rsid w:val="008A5549"/>
    <w:rsid w:val="008C27D2"/>
    <w:rsid w:val="008E29A6"/>
    <w:rsid w:val="008E5353"/>
    <w:rsid w:val="008E7CCB"/>
    <w:rsid w:val="008F2166"/>
    <w:rsid w:val="008F3884"/>
    <w:rsid w:val="008F6E3D"/>
    <w:rsid w:val="008F7BB2"/>
    <w:rsid w:val="00902CC6"/>
    <w:rsid w:val="00902DF4"/>
    <w:rsid w:val="009047F3"/>
    <w:rsid w:val="00921D3A"/>
    <w:rsid w:val="00921F8E"/>
    <w:rsid w:val="0092520B"/>
    <w:rsid w:val="00932100"/>
    <w:rsid w:val="00935700"/>
    <w:rsid w:val="009460C4"/>
    <w:rsid w:val="00947A2D"/>
    <w:rsid w:val="0095002E"/>
    <w:rsid w:val="00950857"/>
    <w:rsid w:val="009534ED"/>
    <w:rsid w:val="009559D4"/>
    <w:rsid w:val="00955E09"/>
    <w:rsid w:val="00967991"/>
    <w:rsid w:val="009765CB"/>
    <w:rsid w:val="00976D44"/>
    <w:rsid w:val="00990570"/>
    <w:rsid w:val="009947EE"/>
    <w:rsid w:val="009A40F3"/>
    <w:rsid w:val="009A5DFE"/>
    <w:rsid w:val="009A700E"/>
    <w:rsid w:val="009B0432"/>
    <w:rsid w:val="009B1288"/>
    <w:rsid w:val="009C3436"/>
    <w:rsid w:val="009C58F5"/>
    <w:rsid w:val="009E0A3A"/>
    <w:rsid w:val="009E52BF"/>
    <w:rsid w:val="009E6ED9"/>
    <w:rsid w:val="009F475F"/>
    <w:rsid w:val="009F4B49"/>
    <w:rsid w:val="00A0463F"/>
    <w:rsid w:val="00A173EF"/>
    <w:rsid w:val="00A26A10"/>
    <w:rsid w:val="00A27023"/>
    <w:rsid w:val="00A43D37"/>
    <w:rsid w:val="00A478D4"/>
    <w:rsid w:val="00A604C4"/>
    <w:rsid w:val="00A63D5D"/>
    <w:rsid w:val="00A72D2C"/>
    <w:rsid w:val="00A913C8"/>
    <w:rsid w:val="00A9167E"/>
    <w:rsid w:val="00A926D3"/>
    <w:rsid w:val="00A92E2C"/>
    <w:rsid w:val="00A9726E"/>
    <w:rsid w:val="00AB087B"/>
    <w:rsid w:val="00AB14F7"/>
    <w:rsid w:val="00AB43E9"/>
    <w:rsid w:val="00AC1BA5"/>
    <w:rsid w:val="00AD513D"/>
    <w:rsid w:val="00AE3706"/>
    <w:rsid w:val="00AF7733"/>
    <w:rsid w:val="00B03A6B"/>
    <w:rsid w:val="00B0633B"/>
    <w:rsid w:val="00B31E37"/>
    <w:rsid w:val="00B541F9"/>
    <w:rsid w:val="00B54A55"/>
    <w:rsid w:val="00B5745C"/>
    <w:rsid w:val="00B67CCA"/>
    <w:rsid w:val="00B7123F"/>
    <w:rsid w:val="00B84951"/>
    <w:rsid w:val="00B87DBB"/>
    <w:rsid w:val="00B95CCD"/>
    <w:rsid w:val="00BA78AD"/>
    <w:rsid w:val="00BB19BE"/>
    <w:rsid w:val="00BB5291"/>
    <w:rsid w:val="00BC4D6F"/>
    <w:rsid w:val="00BD4FC2"/>
    <w:rsid w:val="00BD5182"/>
    <w:rsid w:val="00BF41B7"/>
    <w:rsid w:val="00C07C1D"/>
    <w:rsid w:val="00C10A0A"/>
    <w:rsid w:val="00C13AB2"/>
    <w:rsid w:val="00C20D24"/>
    <w:rsid w:val="00C245E7"/>
    <w:rsid w:val="00C24BF4"/>
    <w:rsid w:val="00C31ECC"/>
    <w:rsid w:val="00C43EB5"/>
    <w:rsid w:val="00C57E39"/>
    <w:rsid w:val="00C65DBC"/>
    <w:rsid w:val="00C6637D"/>
    <w:rsid w:val="00C71F5B"/>
    <w:rsid w:val="00C83F7F"/>
    <w:rsid w:val="00C8417A"/>
    <w:rsid w:val="00C845C1"/>
    <w:rsid w:val="00C922BA"/>
    <w:rsid w:val="00C94B9A"/>
    <w:rsid w:val="00CA0423"/>
    <w:rsid w:val="00CB149A"/>
    <w:rsid w:val="00CB45D1"/>
    <w:rsid w:val="00CC5A9A"/>
    <w:rsid w:val="00CE7367"/>
    <w:rsid w:val="00CF1928"/>
    <w:rsid w:val="00CF3154"/>
    <w:rsid w:val="00CF3810"/>
    <w:rsid w:val="00CF50A0"/>
    <w:rsid w:val="00D041EA"/>
    <w:rsid w:val="00D10F59"/>
    <w:rsid w:val="00D14120"/>
    <w:rsid w:val="00D16447"/>
    <w:rsid w:val="00D17986"/>
    <w:rsid w:val="00D26611"/>
    <w:rsid w:val="00D26811"/>
    <w:rsid w:val="00D3311F"/>
    <w:rsid w:val="00D34960"/>
    <w:rsid w:val="00D43740"/>
    <w:rsid w:val="00D51636"/>
    <w:rsid w:val="00D64415"/>
    <w:rsid w:val="00D7212D"/>
    <w:rsid w:val="00D853DE"/>
    <w:rsid w:val="00D9498E"/>
    <w:rsid w:val="00DB260E"/>
    <w:rsid w:val="00DC0617"/>
    <w:rsid w:val="00DC11F0"/>
    <w:rsid w:val="00DC5CFE"/>
    <w:rsid w:val="00DE0A9D"/>
    <w:rsid w:val="00DE1255"/>
    <w:rsid w:val="00DE136D"/>
    <w:rsid w:val="00DF0CA2"/>
    <w:rsid w:val="00E41BC8"/>
    <w:rsid w:val="00E45CA3"/>
    <w:rsid w:val="00E55D20"/>
    <w:rsid w:val="00E76970"/>
    <w:rsid w:val="00E77D2F"/>
    <w:rsid w:val="00EA0DEF"/>
    <w:rsid w:val="00EB16CC"/>
    <w:rsid w:val="00EC2C05"/>
    <w:rsid w:val="00ED4C53"/>
    <w:rsid w:val="00ED5A11"/>
    <w:rsid w:val="00EE1B1C"/>
    <w:rsid w:val="00EE2772"/>
    <w:rsid w:val="00EE3CAE"/>
    <w:rsid w:val="00EF2653"/>
    <w:rsid w:val="00EF3175"/>
    <w:rsid w:val="00F00C32"/>
    <w:rsid w:val="00F016F3"/>
    <w:rsid w:val="00F10136"/>
    <w:rsid w:val="00F104F9"/>
    <w:rsid w:val="00F1360B"/>
    <w:rsid w:val="00F21D26"/>
    <w:rsid w:val="00F22B0E"/>
    <w:rsid w:val="00F25C77"/>
    <w:rsid w:val="00F343B5"/>
    <w:rsid w:val="00F35389"/>
    <w:rsid w:val="00F362E9"/>
    <w:rsid w:val="00F462B4"/>
    <w:rsid w:val="00F57010"/>
    <w:rsid w:val="00F570B3"/>
    <w:rsid w:val="00F80C87"/>
    <w:rsid w:val="00F82411"/>
    <w:rsid w:val="00F91922"/>
    <w:rsid w:val="00F93AA8"/>
    <w:rsid w:val="00FA75D2"/>
    <w:rsid w:val="00FB148B"/>
    <w:rsid w:val="00FB2845"/>
    <w:rsid w:val="00FC126C"/>
    <w:rsid w:val="00FC2A70"/>
    <w:rsid w:val="00FC7BBB"/>
    <w:rsid w:val="00FE47DB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143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9E0A3A"/>
    <w:pPr>
      <w:keepNext/>
      <w:jc w:val="center"/>
      <w:outlineLvl w:val="3"/>
    </w:pPr>
    <w:rPr>
      <w:rFonts w:ascii="Arial" w:hAnsi="Arial"/>
      <w:b/>
      <w:bCs/>
      <w:caps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cumentHeading">
    <w:name w:val="Document Heading"/>
    <w:basedOn w:val="Normlny"/>
    <w:next w:val="Normlny"/>
    <w:rsid w:val="003C4C99"/>
    <w:pPr>
      <w:spacing w:after="120"/>
    </w:pPr>
    <w:rPr>
      <w:b/>
      <w:sz w:val="28"/>
      <w:szCs w:val="20"/>
    </w:rPr>
  </w:style>
  <w:style w:type="paragraph" w:styleId="Hlavika">
    <w:name w:val="header"/>
    <w:basedOn w:val="Normlny"/>
    <w:link w:val="HlavikaChar"/>
    <w:rsid w:val="00C43EB5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rsid w:val="00C43EB5"/>
    <w:rPr>
      <w:sz w:val="24"/>
      <w:szCs w:val="24"/>
      <w:lang w:val="en-GB" w:eastAsia="en-GB"/>
    </w:rPr>
  </w:style>
  <w:style w:type="paragraph" w:styleId="Pta">
    <w:name w:val="footer"/>
    <w:basedOn w:val="Normlny"/>
    <w:link w:val="PtaChar"/>
    <w:uiPriority w:val="99"/>
    <w:rsid w:val="00C43EB5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C43EB5"/>
    <w:rPr>
      <w:sz w:val="24"/>
      <w:szCs w:val="24"/>
      <w:lang w:val="en-GB" w:eastAsia="en-GB"/>
    </w:rPr>
  </w:style>
  <w:style w:type="character" w:customStyle="1" w:styleId="Nadpis4Char">
    <w:name w:val="Nadpis 4 Char"/>
    <w:link w:val="Nadpis4"/>
    <w:rsid w:val="009E0A3A"/>
    <w:rPr>
      <w:rFonts w:ascii="Arial" w:hAnsi="Arial" w:cs="Arial"/>
      <w:b/>
      <w:bCs/>
      <w:caps/>
      <w:lang w:val="sk-SK" w:eastAsia="cs-CZ"/>
    </w:rPr>
  </w:style>
  <w:style w:type="paragraph" w:customStyle="1" w:styleId="Default">
    <w:name w:val="Default"/>
    <w:rsid w:val="003322F4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bubliny">
    <w:name w:val="Balloon Text"/>
    <w:basedOn w:val="Normlny"/>
    <w:link w:val="TextbublinyChar"/>
    <w:rsid w:val="001B4C2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B4C2B"/>
    <w:rPr>
      <w:rFonts w:ascii="Tahoma" w:hAnsi="Tahoma" w:cs="Tahoma"/>
      <w:sz w:val="16"/>
      <w:szCs w:val="16"/>
    </w:rPr>
  </w:style>
  <w:style w:type="character" w:styleId="Hypertextovprepojenie">
    <w:name w:val="Hyperlink"/>
    <w:rsid w:val="00224903"/>
    <w:rPr>
      <w:color w:val="0000FF"/>
      <w:u w:val="single"/>
    </w:rPr>
  </w:style>
  <w:style w:type="character" w:customStyle="1" w:styleId="hps">
    <w:name w:val="hps"/>
    <w:rsid w:val="00DE1255"/>
  </w:style>
  <w:style w:type="character" w:customStyle="1" w:styleId="shorttext">
    <w:name w:val="short_text"/>
    <w:rsid w:val="00DE1255"/>
  </w:style>
  <w:style w:type="character" w:styleId="PouitHypertextovPrepojenie">
    <w:name w:val="FollowedHyperlink"/>
    <w:basedOn w:val="Predvolenpsmoodseku"/>
    <w:rsid w:val="00154C55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rsid w:val="00EE277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E27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E2772"/>
    <w:rPr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rsid w:val="00EE27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E277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3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97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136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4746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7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7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85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06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single" w:sz="6" w:space="0" w:color="E5E5E5"/>
                                                            <w:left w:val="single" w:sz="6" w:space="0" w:color="E5E5E5"/>
                                                            <w:bottom w:val="single" w:sz="6" w:space="0" w:color="E5E5E5"/>
                                                            <w:right w:val="single" w:sz="6" w:space="0" w:color="E5E5E5"/>
                                                          </w:divBdr>
                                                          <w:divsChild>
                                                            <w:div w:id="68702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01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441927">
                                                                      <w:marLeft w:val="-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07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87FBC-2C8B-4FF3-B57D-18CB7068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11692</Words>
  <Characters>66650</Characters>
  <Application>Microsoft Office Word</Application>
  <DocSecurity>0</DocSecurity>
  <Lines>555</Lines>
  <Paragraphs>156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LinksUpToDate>false</LinksUpToDate>
  <CharactersWithSpaces>78186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/>
  <cp:lastModifiedBy/>
  <cp:revision>1</cp:revision>
  <dcterms:created xsi:type="dcterms:W3CDTF">2016-05-20T06:04:00Z</dcterms:created>
  <dcterms:modified xsi:type="dcterms:W3CDTF">2016-05-20T07:24:00Z</dcterms:modified>
</cp:coreProperties>
</file>