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5B" w:rsidRPr="00430F5B" w:rsidRDefault="00430F5B" w:rsidP="00430F5B">
      <w:pPr>
        <w:spacing w:before="120"/>
        <w:outlineLvl w:val="0"/>
        <w:rPr>
          <w:sz w:val="22"/>
          <w:szCs w:val="22"/>
        </w:rPr>
      </w:pPr>
      <w:bookmarkStart w:id="0" w:name="_GoBack"/>
      <w:bookmarkEnd w:id="0"/>
    </w:p>
    <w:p w:rsidR="003248D1" w:rsidRPr="009528DB" w:rsidRDefault="003248D1" w:rsidP="007D319D">
      <w:pPr>
        <w:spacing w:before="120"/>
        <w:jc w:val="center"/>
        <w:outlineLvl w:val="0"/>
        <w:rPr>
          <w:b/>
          <w:sz w:val="22"/>
          <w:szCs w:val="22"/>
        </w:rPr>
      </w:pPr>
      <w:r w:rsidRPr="009528DB">
        <w:rPr>
          <w:b/>
          <w:sz w:val="22"/>
          <w:szCs w:val="22"/>
        </w:rPr>
        <w:t>SÚHRN CHARAKTERISTICKÝCH VLASTNOSTÍ LIEKU</w:t>
      </w:r>
    </w:p>
    <w:p w:rsidR="003248D1" w:rsidRPr="009528DB" w:rsidRDefault="003248D1">
      <w:pPr>
        <w:rPr>
          <w:b/>
          <w:sz w:val="22"/>
          <w:szCs w:val="22"/>
        </w:rPr>
      </w:pPr>
    </w:p>
    <w:p w:rsidR="007D319D" w:rsidRPr="009528DB" w:rsidRDefault="007D319D">
      <w:pPr>
        <w:rPr>
          <w:b/>
          <w:sz w:val="22"/>
          <w:szCs w:val="22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b/>
          <w:sz w:val="22"/>
          <w:szCs w:val="22"/>
        </w:rPr>
        <w:t>1.</w:t>
      </w:r>
      <w:r w:rsidRPr="009528DB">
        <w:rPr>
          <w:b/>
          <w:sz w:val="22"/>
          <w:szCs w:val="22"/>
        </w:rPr>
        <w:tab/>
        <w:t>NÁZOV LIEKU</w:t>
      </w:r>
    </w:p>
    <w:p w:rsidR="003248D1" w:rsidRPr="009528DB" w:rsidRDefault="003248D1">
      <w:pPr>
        <w:rPr>
          <w:sz w:val="22"/>
          <w:szCs w:val="22"/>
        </w:rPr>
      </w:pPr>
    </w:p>
    <w:p w:rsidR="005503B6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60 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430F5B">
        <w:rPr>
          <w:sz w:val="22"/>
          <w:szCs w:val="22"/>
        </w:rPr>
        <w:t xml:space="preserve"> </w:t>
      </w: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120 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430F5B">
        <w:rPr>
          <w:sz w:val="22"/>
          <w:szCs w:val="22"/>
        </w:rPr>
        <w:t xml:space="preserve"> </w:t>
      </w:r>
    </w:p>
    <w:p w:rsidR="008566DC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240 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430F5B">
        <w:rPr>
          <w:sz w:val="22"/>
          <w:szCs w:val="22"/>
        </w:rPr>
        <w:t xml:space="preserve"> </w:t>
      </w:r>
    </w:p>
    <w:p w:rsidR="003248D1" w:rsidRPr="009528DB" w:rsidRDefault="00430F5B">
      <w:pPr>
        <w:rPr>
          <w:sz w:val="22"/>
          <w:szCs w:val="22"/>
        </w:rPr>
      </w:pPr>
      <w:r>
        <w:rPr>
          <w:sz w:val="22"/>
          <w:szCs w:val="22"/>
        </w:rPr>
        <w:t xml:space="preserve">perorálny </w:t>
      </w:r>
      <w:proofErr w:type="spellStart"/>
      <w:r>
        <w:rPr>
          <w:sz w:val="22"/>
          <w:szCs w:val="22"/>
        </w:rPr>
        <w:t>lyofilizát</w:t>
      </w:r>
      <w:proofErr w:type="spellEnd"/>
      <w:r w:rsidR="003248D1" w:rsidRPr="009528DB">
        <w:rPr>
          <w:sz w:val="22"/>
          <w:szCs w:val="22"/>
        </w:rPr>
        <w:t xml:space="preserve"> </w:t>
      </w:r>
    </w:p>
    <w:p w:rsidR="003248D1" w:rsidRPr="009528DB" w:rsidRDefault="003248D1">
      <w:pPr>
        <w:rPr>
          <w:sz w:val="22"/>
          <w:szCs w:val="22"/>
        </w:rPr>
      </w:pPr>
    </w:p>
    <w:p w:rsidR="007D319D" w:rsidRPr="009528DB" w:rsidRDefault="007D319D">
      <w:pPr>
        <w:rPr>
          <w:sz w:val="22"/>
          <w:szCs w:val="22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b/>
          <w:sz w:val="22"/>
          <w:szCs w:val="22"/>
        </w:rPr>
        <w:t>2.</w:t>
      </w:r>
      <w:r w:rsidRPr="009528DB">
        <w:rPr>
          <w:b/>
          <w:sz w:val="22"/>
          <w:szCs w:val="22"/>
        </w:rPr>
        <w:tab/>
        <w:t>KVALITATÍVNE A KVANTITATÍVNE ZLOŽENIE</w:t>
      </w:r>
      <w:r w:rsidR="001514AE" w:rsidRPr="009528DB">
        <w:rPr>
          <w:b/>
          <w:sz w:val="22"/>
          <w:szCs w:val="22"/>
        </w:rPr>
        <w:t xml:space="preserve"> 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60 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3248D1" w:rsidRPr="009528DB" w:rsidRDefault="00D40A98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Jeden perorálny lyofilizát</w:t>
      </w:r>
      <w:r w:rsidR="003248D1" w:rsidRPr="009528DB">
        <w:rPr>
          <w:sz w:val="22"/>
          <w:szCs w:val="22"/>
        </w:rPr>
        <w:t xml:space="preserve"> obsahuje 60</w:t>
      </w:r>
      <w:r w:rsidR="007C4BB1" w:rsidRPr="009528DB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 xml:space="preserve">μg </w:t>
      </w:r>
      <w:r w:rsidR="001514AE" w:rsidRPr="009528DB">
        <w:rPr>
          <w:sz w:val="22"/>
          <w:szCs w:val="22"/>
        </w:rPr>
        <w:t>de</w:t>
      </w:r>
      <w:r w:rsidR="00CB233E" w:rsidRPr="009528DB">
        <w:rPr>
          <w:sz w:val="22"/>
          <w:szCs w:val="22"/>
        </w:rPr>
        <w:t>zmopresínu</w:t>
      </w:r>
      <w:r w:rsidR="003248D1" w:rsidRPr="009528DB">
        <w:rPr>
          <w:sz w:val="22"/>
          <w:szCs w:val="22"/>
        </w:rPr>
        <w:t xml:space="preserve"> (voľná báza) vo forme </w:t>
      </w:r>
      <w:r w:rsidR="001514AE" w:rsidRPr="009528DB">
        <w:rPr>
          <w:sz w:val="22"/>
          <w:szCs w:val="22"/>
        </w:rPr>
        <w:t>de</w:t>
      </w:r>
      <w:r w:rsidR="00CB233E" w:rsidRPr="009528DB">
        <w:rPr>
          <w:sz w:val="22"/>
          <w:szCs w:val="22"/>
        </w:rPr>
        <w:t>zmopresín</w:t>
      </w:r>
      <w:r w:rsidR="001514AE" w:rsidRPr="009528DB">
        <w:rPr>
          <w:sz w:val="22"/>
          <w:szCs w:val="22"/>
        </w:rPr>
        <w:t xml:space="preserve"> acet</w:t>
      </w:r>
      <w:r w:rsidR="00CB233E" w:rsidRPr="009528DB">
        <w:rPr>
          <w:sz w:val="22"/>
          <w:szCs w:val="22"/>
        </w:rPr>
        <w:t>átu</w:t>
      </w:r>
      <w:r w:rsidR="003248D1" w:rsidRPr="009528DB">
        <w:rPr>
          <w:sz w:val="22"/>
          <w:szCs w:val="22"/>
        </w:rPr>
        <w:t>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D05326" w:rsidP="001E08EB">
      <w:pPr>
        <w:tabs>
          <w:tab w:val="right" w:pos="9083"/>
        </w:tabs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120 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3248D1" w:rsidRPr="009528DB">
        <w:rPr>
          <w:sz w:val="22"/>
          <w:szCs w:val="22"/>
        </w:rPr>
        <w:t xml:space="preserve">: </w:t>
      </w:r>
      <w:r w:rsidR="003248D1" w:rsidRPr="009528DB">
        <w:rPr>
          <w:sz w:val="22"/>
          <w:szCs w:val="22"/>
        </w:rPr>
        <w:tab/>
      </w:r>
    </w:p>
    <w:p w:rsidR="001514AE" w:rsidRPr="009528DB" w:rsidRDefault="00D40A98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Jeden perorálny lyofilizát </w:t>
      </w:r>
      <w:r w:rsidR="003248D1" w:rsidRPr="009528DB">
        <w:rPr>
          <w:sz w:val="22"/>
          <w:szCs w:val="22"/>
        </w:rPr>
        <w:t>obsahuje 120</w:t>
      </w:r>
      <w:r w:rsidR="007C4BB1" w:rsidRPr="009528DB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 xml:space="preserve">μg </w:t>
      </w:r>
      <w:r w:rsidR="001514AE" w:rsidRPr="009528DB">
        <w:rPr>
          <w:sz w:val="22"/>
          <w:szCs w:val="22"/>
        </w:rPr>
        <w:t>de</w:t>
      </w:r>
      <w:r w:rsidR="009F3AEF" w:rsidRPr="009528DB">
        <w:rPr>
          <w:sz w:val="22"/>
          <w:szCs w:val="22"/>
        </w:rPr>
        <w:t>zmopresínu</w:t>
      </w:r>
      <w:r w:rsidR="001514AE" w:rsidRPr="009528DB">
        <w:rPr>
          <w:sz w:val="22"/>
          <w:szCs w:val="22"/>
        </w:rPr>
        <w:t xml:space="preserve"> (voľná báza) vo forme de</w:t>
      </w:r>
      <w:r w:rsidR="009F3AEF" w:rsidRPr="009528DB">
        <w:rPr>
          <w:sz w:val="22"/>
          <w:szCs w:val="22"/>
        </w:rPr>
        <w:t>zmopresín acetátu</w:t>
      </w:r>
      <w:r w:rsidR="001514AE" w:rsidRPr="009528DB">
        <w:rPr>
          <w:sz w:val="22"/>
          <w:szCs w:val="22"/>
        </w:rPr>
        <w:t>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240 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1514AE" w:rsidRPr="009528DB" w:rsidRDefault="00D40A98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Jeden perorálny lyofilizát </w:t>
      </w:r>
      <w:r w:rsidR="003248D1" w:rsidRPr="009528DB">
        <w:rPr>
          <w:sz w:val="22"/>
          <w:szCs w:val="22"/>
        </w:rPr>
        <w:t>obsahuje 240</w:t>
      </w:r>
      <w:r w:rsidR="007C4BB1" w:rsidRPr="009528DB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 xml:space="preserve">μg </w:t>
      </w:r>
      <w:r w:rsidR="001514AE" w:rsidRPr="009528DB">
        <w:rPr>
          <w:sz w:val="22"/>
          <w:szCs w:val="22"/>
        </w:rPr>
        <w:t>de</w:t>
      </w:r>
      <w:r w:rsidR="009F3AEF" w:rsidRPr="009528DB">
        <w:rPr>
          <w:sz w:val="22"/>
          <w:szCs w:val="22"/>
        </w:rPr>
        <w:t>zmopresínu</w:t>
      </w:r>
      <w:r w:rsidR="001514AE" w:rsidRPr="009528DB">
        <w:rPr>
          <w:sz w:val="22"/>
          <w:szCs w:val="22"/>
        </w:rPr>
        <w:t xml:space="preserve"> (voľná báza) vo forme de</w:t>
      </w:r>
      <w:r w:rsidR="009F3AEF" w:rsidRPr="009528DB">
        <w:rPr>
          <w:sz w:val="22"/>
          <w:szCs w:val="22"/>
        </w:rPr>
        <w:t>zmopresín acetátu</w:t>
      </w:r>
      <w:r w:rsidR="000C6712" w:rsidRPr="009528DB">
        <w:rPr>
          <w:sz w:val="22"/>
          <w:szCs w:val="22"/>
        </w:rPr>
        <w:t>.</w:t>
      </w:r>
    </w:p>
    <w:p w:rsidR="003248D1" w:rsidRPr="009528DB" w:rsidRDefault="003248D1" w:rsidP="001E08EB">
      <w:pPr>
        <w:rPr>
          <w:i/>
          <w:sz w:val="22"/>
          <w:szCs w:val="22"/>
        </w:rPr>
      </w:pPr>
    </w:p>
    <w:p w:rsidR="003248D1" w:rsidRPr="009528DB" w:rsidRDefault="006248FC" w:rsidP="001E08EB">
      <w:pPr>
        <w:outlineLvl w:val="0"/>
        <w:rPr>
          <w:sz w:val="22"/>
          <w:szCs w:val="22"/>
        </w:rPr>
      </w:pPr>
      <w:r>
        <w:rPr>
          <w:sz w:val="22"/>
          <w:szCs w:val="22"/>
        </w:rPr>
        <w:t>Úplný zoznam p</w:t>
      </w:r>
      <w:r w:rsidR="003248D1" w:rsidRPr="009528DB">
        <w:rPr>
          <w:sz w:val="22"/>
          <w:szCs w:val="22"/>
        </w:rPr>
        <w:t>omocn</w:t>
      </w:r>
      <w:r>
        <w:rPr>
          <w:sz w:val="22"/>
          <w:szCs w:val="22"/>
        </w:rPr>
        <w:t>ých</w:t>
      </w:r>
      <w:r w:rsidR="003248D1" w:rsidRPr="009528DB">
        <w:rPr>
          <w:sz w:val="22"/>
          <w:szCs w:val="22"/>
        </w:rPr>
        <w:t xml:space="preserve"> lát</w:t>
      </w:r>
      <w:r>
        <w:rPr>
          <w:sz w:val="22"/>
          <w:szCs w:val="22"/>
        </w:rPr>
        <w:t>o</w:t>
      </w:r>
      <w:r w:rsidR="003248D1" w:rsidRPr="009528DB">
        <w:rPr>
          <w:sz w:val="22"/>
          <w:szCs w:val="22"/>
        </w:rPr>
        <w:t>k, pozri časť 6.1.</w:t>
      </w:r>
    </w:p>
    <w:p w:rsidR="003248D1" w:rsidRPr="009528DB" w:rsidRDefault="003248D1">
      <w:pPr>
        <w:rPr>
          <w:sz w:val="22"/>
          <w:szCs w:val="22"/>
        </w:rPr>
      </w:pPr>
    </w:p>
    <w:p w:rsidR="007D319D" w:rsidRPr="009528DB" w:rsidRDefault="007D319D">
      <w:pPr>
        <w:rPr>
          <w:sz w:val="22"/>
          <w:szCs w:val="22"/>
        </w:rPr>
      </w:pPr>
    </w:p>
    <w:p w:rsidR="003248D1" w:rsidRPr="009528DB" w:rsidRDefault="003248D1">
      <w:pPr>
        <w:rPr>
          <w:caps/>
          <w:sz w:val="22"/>
          <w:szCs w:val="22"/>
        </w:rPr>
      </w:pPr>
      <w:r w:rsidRPr="009528DB">
        <w:rPr>
          <w:b/>
          <w:sz w:val="22"/>
          <w:szCs w:val="22"/>
        </w:rPr>
        <w:t>3.</w:t>
      </w:r>
      <w:r w:rsidRPr="009528DB">
        <w:rPr>
          <w:b/>
          <w:sz w:val="22"/>
          <w:szCs w:val="22"/>
        </w:rPr>
        <w:tab/>
        <w:t>LIEKOVÁ FORMA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sz w:val="22"/>
          <w:szCs w:val="22"/>
        </w:rPr>
        <w:t>Perorálny lyofilizát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F75B21">
        <w:rPr>
          <w:sz w:val="22"/>
          <w:szCs w:val="22"/>
        </w:rPr>
        <w:t xml:space="preserve"> </w:t>
      </w:r>
      <w:r w:rsidR="00430F5B">
        <w:rPr>
          <w:sz w:val="22"/>
          <w:szCs w:val="22"/>
        </w:rPr>
        <w:t>60 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D865A7">
        <w:rPr>
          <w:sz w:val="22"/>
          <w:szCs w:val="22"/>
        </w:rPr>
        <w:t xml:space="preserve"> perorálny </w:t>
      </w:r>
      <w:proofErr w:type="spellStart"/>
      <w:r w:rsidR="00D865A7">
        <w:rPr>
          <w:sz w:val="22"/>
          <w:szCs w:val="22"/>
        </w:rPr>
        <w:t>lyofilizát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3248D1" w:rsidRPr="009528DB" w:rsidRDefault="003248D1">
      <w:pPr>
        <w:rPr>
          <w:sz w:val="22"/>
          <w:szCs w:val="22"/>
        </w:rPr>
      </w:pPr>
      <w:r w:rsidRPr="009528DB">
        <w:rPr>
          <w:sz w:val="22"/>
          <w:szCs w:val="22"/>
        </w:rPr>
        <w:t>Biely okrúhly perorálny lyofilizát na jednej strane označený znakom v tvare kvapky.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120 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D865A7">
        <w:rPr>
          <w:sz w:val="22"/>
          <w:szCs w:val="22"/>
        </w:rPr>
        <w:t xml:space="preserve"> perorálny </w:t>
      </w:r>
      <w:proofErr w:type="spellStart"/>
      <w:r w:rsidR="00D865A7">
        <w:rPr>
          <w:sz w:val="22"/>
          <w:szCs w:val="22"/>
        </w:rPr>
        <w:t>lyofilizát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3248D1" w:rsidRPr="009528DB" w:rsidRDefault="003248D1">
      <w:pPr>
        <w:rPr>
          <w:sz w:val="22"/>
          <w:szCs w:val="22"/>
        </w:rPr>
      </w:pPr>
      <w:r w:rsidRPr="009528DB">
        <w:rPr>
          <w:sz w:val="22"/>
          <w:szCs w:val="22"/>
        </w:rPr>
        <w:t>Biely okrúhly perorálny lyofilizát na jednej strane označený znakom v tvare dvoch kvapiek.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F75B21">
        <w:rPr>
          <w:sz w:val="22"/>
          <w:szCs w:val="22"/>
        </w:rPr>
        <w:t xml:space="preserve"> </w:t>
      </w:r>
      <w:r w:rsidR="00430F5B">
        <w:rPr>
          <w:sz w:val="22"/>
          <w:szCs w:val="22"/>
        </w:rPr>
        <w:t>240 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D865A7">
        <w:rPr>
          <w:sz w:val="22"/>
          <w:szCs w:val="22"/>
        </w:rPr>
        <w:t xml:space="preserve"> perorálny </w:t>
      </w:r>
      <w:proofErr w:type="spellStart"/>
      <w:r w:rsidR="00D865A7">
        <w:rPr>
          <w:sz w:val="22"/>
          <w:szCs w:val="22"/>
        </w:rPr>
        <w:t>lyofilizát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3248D1" w:rsidRPr="009528DB" w:rsidRDefault="003248D1">
      <w:pPr>
        <w:rPr>
          <w:sz w:val="22"/>
          <w:szCs w:val="22"/>
        </w:rPr>
      </w:pPr>
      <w:r w:rsidRPr="009528DB">
        <w:rPr>
          <w:sz w:val="22"/>
          <w:szCs w:val="22"/>
        </w:rPr>
        <w:t>Biely okrúhly perorálny lyofilizát na jednej strane označený znakom v tvare troch kvapiek.</w:t>
      </w:r>
    </w:p>
    <w:p w:rsidR="003248D1" w:rsidRPr="009528DB" w:rsidRDefault="003248D1">
      <w:pPr>
        <w:rPr>
          <w:sz w:val="22"/>
          <w:szCs w:val="22"/>
        </w:rPr>
      </w:pPr>
    </w:p>
    <w:p w:rsidR="007D319D" w:rsidRPr="009528DB" w:rsidRDefault="007D319D">
      <w:pPr>
        <w:rPr>
          <w:sz w:val="22"/>
          <w:szCs w:val="22"/>
        </w:rPr>
      </w:pPr>
    </w:p>
    <w:p w:rsidR="003248D1" w:rsidRPr="009528DB" w:rsidRDefault="003248D1">
      <w:pPr>
        <w:rPr>
          <w:caps/>
          <w:sz w:val="22"/>
          <w:szCs w:val="22"/>
        </w:rPr>
      </w:pPr>
      <w:r w:rsidRPr="009528DB">
        <w:rPr>
          <w:b/>
          <w:caps/>
          <w:sz w:val="22"/>
          <w:szCs w:val="22"/>
        </w:rPr>
        <w:t>4.</w:t>
      </w:r>
      <w:r w:rsidRPr="009528DB">
        <w:rPr>
          <w:b/>
          <w:caps/>
          <w:sz w:val="22"/>
          <w:szCs w:val="22"/>
        </w:rPr>
        <w:tab/>
        <w:t>KLINICKÉ ÚDAJE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b/>
          <w:sz w:val="22"/>
          <w:szCs w:val="22"/>
        </w:rPr>
        <w:t>4.1</w:t>
      </w:r>
      <w:r w:rsidRPr="009528DB">
        <w:rPr>
          <w:b/>
          <w:sz w:val="22"/>
          <w:szCs w:val="22"/>
        </w:rPr>
        <w:tab/>
        <w:t>Terapeutické indikácie</w:t>
      </w:r>
    </w:p>
    <w:p w:rsidR="003248D1" w:rsidRPr="009528DB" w:rsidRDefault="003248D1">
      <w:pPr>
        <w:rPr>
          <w:sz w:val="22"/>
          <w:szCs w:val="22"/>
        </w:rPr>
      </w:pPr>
    </w:p>
    <w:p w:rsidR="007A79EE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je indikovaný </w:t>
      </w:r>
      <w:r w:rsidR="001514AE" w:rsidRPr="009528DB">
        <w:rPr>
          <w:sz w:val="22"/>
          <w:szCs w:val="22"/>
        </w:rPr>
        <w:t>na</w:t>
      </w:r>
      <w:r w:rsidR="003248D1" w:rsidRPr="009528DB">
        <w:rPr>
          <w:sz w:val="22"/>
          <w:szCs w:val="22"/>
        </w:rPr>
        <w:t xml:space="preserve"> liečbu centrálneho diabet</w:t>
      </w:r>
      <w:r w:rsidR="001B5945">
        <w:rPr>
          <w:sz w:val="22"/>
          <w:szCs w:val="22"/>
        </w:rPr>
        <w:t>u</w:t>
      </w:r>
      <w:r w:rsidR="003248D1" w:rsidRPr="009528DB">
        <w:rPr>
          <w:sz w:val="22"/>
          <w:szCs w:val="22"/>
        </w:rPr>
        <w:t xml:space="preserve"> insi</w:t>
      </w:r>
      <w:r w:rsidR="00D865A7">
        <w:rPr>
          <w:sz w:val="22"/>
          <w:szCs w:val="22"/>
        </w:rPr>
        <w:t>p</w:t>
      </w:r>
      <w:r w:rsidR="003248D1" w:rsidRPr="009528DB">
        <w:rPr>
          <w:sz w:val="22"/>
          <w:szCs w:val="22"/>
        </w:rPr>
        <w:t>i</w:t>
      </w:r>
      <w:r w:rsidR="00D865A7">
        <w:rPr>
          <w:sz w:val="22"/>
          <w:szCs w:val="22"/>
        </w:rPr>
        <w:t>d</w:t>
      </w:r>
      <w:r w:rsidR="003248D1" w:rsidRPr="009528DB">
        <w:rPr>
          <w:sz w:val="22"/>
          <w:szCs w:val="22"/>
        </w:rPr>
        <w:t>us</w:t>
      </w:r>
      <w:r w:rsidR="007A79EE">
        <w:rPr>
          <w:sz w:val="22"/>
          <w:szCs w:val="22"/>
        </w:rPr>
        <w:t>.</w:t>
      </w:r>
    </w:p>
    <w:p w:rsidR="007A79EE" w:rsidRDefault="007A79EE" w:rsidP="001E08EB">
      <w:pPr>
        <w:rPr>
          <w:sz w:val="22"/>
          <w:szCs w:val="22"/>
        </w:rPr>
      </w:pPr>
    </w:p>
    <w:p w:rsidR="003248D1" w:rsidRPr="009528DB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7A79EE">
        <w:rPr>
          <w:sz w:val="22"/>
          <w:szCs w:val="22"/>
        </w:rPr>
        <w:t xml:space="preserve"> je indikovaný na liečbu</w:t>
      </w:r>
      <w:r w:rsidR="003248D1" w:rsidRPr="009528DB">
        <w:rPr>
          <w:sz w:val="22"/>
          <w:szCs w:val="22"/>
        </w:rPr>
        <w:t xml:space="preserve"> primárnej </w:t>
      </w:r>
      <w:r w:rsidR="00D60775">
        <w:rPr>
          <w:sz w:val="22"/>
          <w:szCs w:val="22"/>
        </w:rPr>
        <w:t>nočnej enurézy</w:t>
      </w:r>
      <w:r w:rsidR="003248D1" w:rsidRPr="009528DB">
        <w:rPr>
          <w:sz w:val="22"/>
          <w:szCs w:val="22"/>
        </w:rPr>
        <w:t xml:space="preserve"> paciento</w:t>
      </w:r>
      <w:r w:rsidR="00D865A7">
        <w:rPr>
          <w:sz w:val="22"/>
          <w:szCs w:val="22"/>
        </w:rPr>
        <w:t>m</w:t>
      </w:r>
      <w:r w:rsidR="003248D1" w:rsidRPr="009528DB">
        <w:rPr>
          <w:sz w:val="22"/>
          <w:szCs w:val="22"/>
        </w:rPr>
        <w:t xml:space="preserve"> (od 5</w:t>
      </w:r>
      <w:r w:rsidR="001E08EB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>rokov) s</w:t>
      </w:r>
      <w:r w:rsidR="00C649E4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 xml:space="preserve">normálnou schopnosťou koncentrovať moč.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je indikovaný </w:t>
      </w:r>
      <w:r w:rsidR="001514AE" w:rsidRPr="009528DB">
        <w:rPr>
          <w:sz w:val="22"/>
          <w:szCs w:val="22"/>
        </w:rPr>
        <w:t xml:space="preserve">na </w:t>
      </w:r>
      <w:r w:rsidR="003248D1" w:rsidRPr="009528DB">
        <w:rPr>
          <w:sz w:val="22"/>
          <w:szCs w:val="22"/>
        </w:rPr>
        <w:t>symptomatickú liečbu noktúrie dospelý</w:t>
      </w:r>
      <w:r w:rsidR="00D865A7">
        <w:rPr>
          <w:sz w:val="22"/>
          <w:szCs w:val="22"/>
        </w:rPr>
        <w:t>m</w:t>
      </w:r>
      <w:r w:rsidR="003248D1" w:rsidRPr="009528DB">
        <w:rPr>
          <w:sz w:val="22"/>
          <w:szCs w:val="22"/>
        </w:rPr>
        <w:t xml:space="preserve"> spojen</w:t>
      </w:r>
      <w:r w:rsidR="001514AE" w:rsidRPr="009528DB">
        <w:rPr>
          <w:sz w:val="22"/>
          <w:szCs w:val="22"/>
        </w:rPr>
        <w:t>ú</w:t>
      </w:r>
      <w:r w:rsidR="003248D1" w:rsidRPr="009528DB">
        <w:rPr>
          <w:sz w:val="22"/>
          <w:szCs w:val="22"/>
        </w:rPr>
        <w:t xml:space="preserve"> s</w:t>
      </w:r>
      <w:r w:rsidR="00D05B5F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>nočnou polyúriou, t. j. nočnou tvorbou moču, ktorá presahuje kapacitu močového mechúra</w:t>
      </w:r>
      <w:r w:rsidR="004D56B5" w:rsidRPr="009528DB">
        <w:rPr>
          <w:sz w:val="22"/>
          <w:szCs w:val="22"/>
        </w:rPr>
        <w:t>.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3248D1">
      <w:pPr>
        <w:numPr>
          <w:ilvl w:val="1"/>
          <w:numId w:val="12"/>
        </w:numPr>
        <w:rPr>
          <w:b/>
          <w:sz w:val="22"/>
          <w:szCs w:val="22"/>
        </w:rPr>
      </w:pPr>
      <w:r w:rsidRPr="009528DB">
        <w:rPr>
          <w:b/>
          <w:sz w:val="22"/>
          <w:szCs w:val="22"/>
        </w:rPr>
        <w:t>Dávkovanie a spôsob podávania</w:t>
      </w:r>
    </w:p>
    <w:p w:rsidR="003248D1" w:rsidRPr="009528DB" w:rsidRDefault="003248D1">
      <w:pPr>
        <w:rPr>
          <w:b/>
          <w:sz w:val="22"/>
          <w:szCs w:val="22"/>
        </w:rPr>
      </w:pPr>
    </w:p>
    <w:p w:rsidR="00D865A7" w:rsidRDefault="00D865A7" w:rsidP="001E08EB">
      <w:pPr>
        <w:rPr>
          <w:bCs/>
          <w:sz w:val="22"/>
          <w:szCs w:val="22"/>
          <w:u w:val="single"/>
        </w:rPr>
      </w:pPr>
      <w:r w:rsidRPr="00D865A7">
        <w:rPr>
          <w:bCs/>
          <w:sz w:val="22"/>
          <w:szCs w:val="22"/>
          <w:u w:val="single"/>
        </w:rPr>
        <w:t>Dávkovanie</w:t>
      </w:r>
    </w:p>
    <w:p w:rsidR="005503B6" w:rsidRPr="00D865A7" w:rsidRDefault="005503B6" w:rsidP="001E08EB">
      <w:pPr>
        <w:rPr>
          <w:bCs/>
          <w:sz w:val="22"/>
          <w:szCs w:val="22"/>
          <w:u w:val="single"/>
        </w:rPr>
      </w:pPr>
    </w:p>
    <w:p w:rsidR="005503B6" w:rsidRDefault="003248D1" w:rsidP="001E08EB">
      <w:pPr>
        <w:rPr>
          <w:bCs/>
          <w:i/>
          <w:sz w:val="22"/>
          <w:szCs w:val="22"/>
          <w:u w:val="single"/>
        </w:rPr>
      </w:pPr>
      <w:r w:rsidRPr="005503B6">
        <w:rPr>
          <w:bCs/>
          <w:i/>
          <w:sz w:val="22"/>
          <w:szCs w:val="22"/>
          <w:u w:val="single"/>
        </w:rPr>
        <w:lastRenderedPageBreak/>
        <w:t>Centrálny diabetes insi</w:t>
      </w:r>
      <w:r w:rsidR="00D865A7" w:rsidRPr="005503B6">
        <w:rPr>
          <w:bCs/>
          <w:i/>
          <w:sz w:val="22"/>
          <w:szCs w:val="22"/>
          <w:u w:val="single"/>
        </w:rPr>
        <w:t>p</w:t>
      </w:r>
      <w:r w:rsidRPr="005503B6">
        <w:rPr>
          <w:bCs/>
          <w:i/>
          <w:sz w:val="22"/>
          <w:szCs w:val="22"/>
          <w:u w:val="single"/>
        </w:rPr>
        <w:t>i</w:t>
      </w:r>
      <w:r w:rsidR="00D865A7" w:rsidRPr="005503B6">
        <w:rPr>
          <w:bCs/>
          <w:i/>
          <w:sz w:val="22"/>
          <w:szCs w:val="22"/>
          <w:u w:val="single"/>
        </w:rPr>
        <w:t>d</w:t>
      </w:r>
      <w:r w:rsidRPr="005503B6">
        <w:rPr>
          <w:bCs/>
          <w:i/>
          <w:sz w:val="22"/>
          <w:szCs w:val="22"/>
          <w:u w:val="single"/>
        </w:rPr>
        <w:t>us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bCs/>
          <w:sz w:val="22"/>
          <w:szCs w:val="22"/>
        </w:rPr>
        <w:t>Dávkovanie u diabet</w:t>
      </w:r>
      <w:r w:rsidR="002572C4">
        <w:rPr>
          <w:bCs/>
          <w:sz w:val="22"/>
          <w:szCs w:val="22"/>
        </w:rPr>
        <w:t>u</w:t>
      </w:r>
      <w:r w:rsidRPr="009528DB">
        <w:rPr>
          <w:bCs/>
          <w:sz w:val="22"/>
          <w:szCs w:val="22"/>
        </w:rPr>
        <w:t xml:space="preserve"> insi</w:t>
      </w:r>
      <w:r w:rsidR="00D865A7">
        <w:rPr>
          <w:bCs/>
          <w:sz w:val="22"/>
          <w:szCs w:val="22"/>
        </w:rPr>
        <w:t>p</w:t>
      </w:r>
      <w:r w:rsidRPr="009528DB">
        <w:rPr>
          <w:bCs/>
          <w:sz w:val="22"/>
          <w:szCs w:val="22"/>
        </w:rPr>
        <w:t>i</w:t>
      </w:r>
      <w:r w:rsidR="00D865A7">
        <w:rPr>
          <w:bCs/>
          <w:sz w:val="22"/>
          <w:szCs w:val="22"/>
        </w:rPr>
        <w:t>d</w:t>
      </w:r>
      <w:r w:rsidRPr="009528DB">
        <w:rPr>
          <w:bCs/>
          <w:sz w:val="22"/>
          <w:szCs w:val="22"/>
        </w:rPr>
        <w:t xml:space="preserve">us je individuálne, </w:t>
      </w:r>
      <w:r w:rsidR="00D614A7">
        <w:rPr>
          <w:bCs/>
          <w:sz w:val="22"/>
          <w:szCs w:val="22"/>
        </w:rPr>
        <w:t xml:space="preserve">ale </w:t>
      </w:r>
      <w:r w:rsidRPr="009528DB">
        <w:rPr>
          <w:bCs/>
          <w:sz w:val="22"/>
          <w:szCs w:val="22"/>
        </w:rPr>
        <w:t>celková denná sublingválna dávka sa obvykle pohybuje v rozpätí od 120</w:t>
      </w:r>
      <w:r w:rsidR="007C4BB1" w:rsidRPr="009528DB">
        <w:rPr>
          <w:bCs/>
          <w:sz w:val="22"/>
          <w:szCs w:val="22"/>
        </w:rPr>
        <w:t> </w:t>
      </w:r>
      <w:r w:rsidRPr="009528DB">
        <w:rPr>
          <w:sz w:val="22"/>
          <w:szCs w:val="22"/>
        </w:rPr>
        <w:t>μg do 720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μg. Vhodnou </w:t>
      </w:r>
      <w:r w:rsidR="005503B6">
        <w:rPr>
          <w:sz w:val="22"/>
          <w:szCs w:val="22"/>
        </w:rPr>
        <w:t>za</w:t>
      </w:r>
      <w:r w:rsidRPr="009528DB">
        <w:rPr>
          <w:sz w:val="22"/>
          <w:szCs w:val="22"/>
        </w:rPr>
        <w:t>čiatočnou dávkou u dospelých a d</w:t>
      </w:r>
      <w:r w:rsidR="00025F77" w:rsidRPr="009528DB">
        <w:rPr>
          <w:sz w:val="22"/>
          <w:szCs w:val="22"/>
        </w:rPr>
        <w:t>etí je 60</w:t>
      </w:r>
      <w:r w:rsidR="007C4BB1" w:rsidRPr="009528DB">
        <w:rPr>
          <w:sz w:val="22"/>
          <w:szCs w:val="22"/>
        </w:rPr>
        <w:t> </w:t>
      </w:r>
      <w:r w:rsidR="00025F77" w:rsidRPr="009528DB">
        <w:rPr>
          <w:sz w:val="22"/>
          <w:szCs w:val="22"/>
        </w:rPr>
        <w:t>μg trikrát denne, podáva</w:t>
      </w:r>
      <w:r w:rsidRPr="009528DB">
        <w:rPr>
          <w:sz w:val="22"/>
          <w:szCs w:val="22"/>
        </w:rPr>
        <w:t xml:space="preserve">ných sublingválne. Dávkovací režim </w:t>
      </w:r>
      <w:r w:rsidR="00766A08">
        <w:rPr>
          <w:sz w:val="22"/>
          <w:szCs w:val="22"/>
        </w:rPr>
        <w:t>sa má</w:t>
      </w:r>
      <w:r w:rsidRPr="009528DB">
        <w:rPr>
          <w:sz w:val="22"/>
          <w:szCs w:val="22"/>
        </w:rPr>
        <w:t xml:space="preserve"> potom </w:t>
      </w:r>
      <w:r w:rsidR="00D614A7">
        <w:rPr>
          <w:sz w:val="22"/>
          <w:szCs w:val="22"/>
        </w:rPr>
        <w:t>upraviť podľa</w:t>
      </w:r>
      <w:r w:rsidRPr="009528DB">
        <w:rPr>
          <w:sz w:val="22"/>
          <w:szCs w:val="22"/>
        </w:rPr>
        <w:t xml:space="preserve"> </w:t>
      </w:r>
      <w:r w:rsidR="00766A08">
        <w:rPr>
          <w:sz w:val="22"/>
          <w:szCs w:val="22"/>
        </w:rPr>
        <w:t>reakci</w:t>
      </w:r>
      <w:r w:rsidR="00466FB0">
        <w:rPr>
          <w:sz w:val="22"/>
          <w:szCs w:val="22"/>
        </w:rPr>
        <w:t>e</w:t>
      </w:r>
      <w:r w:rsidR="00766A08">
        <w:rPr>
          <w:sz w:val="22"/>
          <w:szCs w:val="22"/>
        </w:rPr>
        <w:t xml:space="preserve"> </w:t>
      </w:r>
      <w:r w:rsidRPr="009528DB">
        <w:rPr>
          <w:sz w:val="22"/>
          <w:szCs w:val="22"/>
        </w:rPr>
        <w:t>pacient</w:t>
      </w:r>
      <w:r w:rsidR="00766A08">
        <w:rPr>
          <w:sz w:val="22"/>
          <w:szCs w:val="22"/>
        </w:rPr>
        <w:t>a</w:t>
      </w:r>
      <w:r w:rsidRPr="009528DB">
        <w:rPr>
          <w:sz w:val="22"/>
          <w:szCs w:val="22"/>
        </w:rPr>
        <w:t>. Udržiavacia dávka je u väčšiny pacientov od 60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μg do 120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μg sublingválne trikrát denne. </w:t>
      </w:r>
    </w:p>
    <w:p w:rsidR="0026176D" w:rsidRPr="009528DB" w:rsidRDefault="0026176D" w:rsidP="001E08EB">
      <w:pPr>
        <w:rPr>
          <w:sz w:val="22"/>
          <w:szCs w:val="22"/>
        </w:rPr>
      </w:pPr>
    </w:p>
    <w:p w:rsidR="003248D1" w:rsidRPr="005503B6" w:rsidRDefault="003248D1" w:rsidP="001E08EB">
      <w:pPr>
        <w:rPr>
          <w:i/>
          <w:sz w:val="22"/>
          <w:szCs w:val="22"/>
        </w:rPr>
      </w:pPr>
      <w:r w:rsidRPr="005503B6">
        <w:rPr>
          <w:i/>
          <w:sz w:val="22"/>
          <w:szCs w:val="22"/>
          <w:u w:val="single"/>
        </w:rPr>
        <w:t xml:space="preserve">Primárna </w:t>
      </w:r>
      <w:r w:rsidR="00D60775" w:rsidRPr="005503B6">
        <w:rPr>
          <w:i/>
          <w:sz w:val="22"/>
          <w:szCs w:val="22"/>
          <w:u w:val="single"/>
        </w:rPr>
        <w:t>nočná enuréza</w:t>
      </w:r>
    </w:p>
    <w:p w:rsidR="0068205C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Odporúčaná </w:t>
      </w:r>
      <w:r w:rsidR="005503B6">
        <w:rPr>
          <w:sz w:val="22"/>
          <w:szCs w:val="22"/>
        </w:rPr>
        <w:t>za</w:t>
      </w:r>
      <w:r w:rsidR="004A3D71" w:rsidRPr="009528DB">
        <w:rPr>
          <w:sz w:val="22"/>
          <w:szCs w:val="22"/>
        </w:rPr>
        <w:t>čiatočná</w:t>
      </w:r>
      <w:r w:rsidRPr="009528DB">
        <w:rPr>
          <w:sz w:val="22"/>
          <w:szCs w:val="22"/>
        </w:rPr>
        <w:t xml:space="preserve"> dávka je 120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μg pred spaním, podá</w:t>
      </w:r>
      <w:r w:rsidR="004D56B5" w:rsidRPr="009528DB">
        <w:rPr>
          <w:sz w:val="22"/>
          <w:szCs w:val="22"/>
        </w:rPr>
        <w:t>vaná</w:t>
      </w:r>
      <w:r w:rsidRPr="009528DB">
        <w:rPr>
          <w:sz w:val="22"/>
          <w:szCs w:val="22"/>
        </w:rPr>
        <w:t xml:space="preserve"> sublingválne. Ak táto dávka nie je dosť účinná, môže sa zvýšiť až na 240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μg </w:t>
      </w:r>
      <w:r w:rsidR="00C77C18">
        <w:rPr>
          <w:sz w:val="22"/>
          <w:szCs w:val="22"/>
        </w:rPr>
        <w:t>podávaných</w:t>
      </w:r>
      <w:r w:rsidRPr="009528DB">
        <w:rPr>
          <w:sz w:val="22"/>
          <w:szCs w:val="22"/>
        </w:rPr>
        <w:t xml:space="preserve"> sublingválne. Pacient musí </w:t>
      </w:r>
      <w:r w:rsidR="004A3D71" w:rsidRPr="009528DB">
        <w:rPr>
          <w:sz w:val="22"/>
          <w:szCs w:val="22"/>
        </w:rPr>
        <w:t>dodržiavať</w:t>
      </w:r>
      <w:r w:rsidRPr="009528DB">
        <w:rPr>
          <w:sz w:val="22"/>
          <w:szCs w:val="22"/>
        </w:rPr>
        <w:t xml:space="preserve"> obmedzenie prí</w:t>
      </w:r>
      <w:r w:rsidR="004A3D71" w:rsidRPr="009528DB">
        <w:rPr>
          <w:sz w:val="22"/>
          <w:szCs w:val="22"/>
        </w:rPr>
        <w:t>jmu</w:t>
      </w:r>
      <w:r w:rsidRPr="009528DB">
        <w:rPr>
          <w:sz w:val="22"/>
          <w:szCs w:val="22"/>
        </w:rPr>
        <w:t xml:space="preserve"> tekutín. </w:t>
      </w:r>
    </w:p>
    <w:p w:rsidR="003248D1" w:rsidRPr="009528DB" w:rsidRDefault="00D05326" w:rsidP="001E08EB">
      <w:pPr>
        <w:rPr>
          <w:sz w:val="22"/>
          <w:szCs w:val="22"/>
        </w:rPr>
      </w:pPr>
      <w:r>
        <w:rPr>
          <w:bCs/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je určený na liečbu trvajúcu </w:t>
      </w:r>
      <w:r w:rsidR="004A3D71" w:rsidRPr="009528DB">
        <w:rPr>
          <w:sz w:val="22"/>
          <w:szCs w:val="22"/>
        </w:rPr>
        <w:t>po</w:t>
      </w:r>
      <w:r w:rsidR="007D319D" w:rsidRPr="009528DB">
        <w:rPr>
          <w:sz w:val="22"/>
          <w:szCs w:val="22"/>
        </w:rPr>
        <w:t xml:space="preserve"> </w:t>
      </w:r>
      <w:r w:rsidR="004A3D71" w:rsidRPr="009528DB">
        <w:rPr>
          <w:sz w:val="22"/>
          <w:szCs w:val="22"/>
        </w:rPr>
        <w:t xml:space="preserve">dobu </w:t>
      </w:r>
      <w:r w:rsidR="003248D1" w:rsidRPr="009528DB">
        <w:rPr>
          <w:sz w:val="22"/>
          <w:szCs w:val="22"/>
        </w:rPr>
        <w:t xml:space="preserve">3 mesiacov. </w:t>
      </w:r>
      <w:r w:rsidR="00C92D4B">
        <w:rPr>
          <w:sz w:val="22"/>
          <w:szCs w:val="22"/>
        </w:rPr>
        <w:t xml:space="preserve">Každé 3 mesiace sa má liečba prehodnotiť, aby sa určilo, či je naďalej potrebná. Prehodnotenie liečby sa má uskutočniť </w:t>
      </w:r>
      <w:r w:rsidR="005E29C6" w:rsidRPr="009528DB">
        <w:rPr>
          <w:sz w:val="22"/>
          <w:szCs w:val="22"/>
        </w:rPr>
        <w:t>po uplynutí</w:t>
      </w:r>
      <w:r w:rsidR="003248D1" w:rsidRPr="009528DB">
        <w:rPr>
          <w:sz w:val="22"/>
          <w:szCs w:val="22"/>
        </w:rPr>
        <w:t xml:space="preserve"> najmenej jedného týždňa bez </w:t>
      </w:r>
      <w:r w:rsidR="005E29C6" w:rsidRPr="009528DB">
        <w:rPr>
          <w:sz w:val="22"/>
          <w:szCs w:val="22"/>
        </w:rPr>
        <w:t xml:space="preserve">užívania </w:t>
      </w:r>
      <w:r>
        <w:rPr>
          <w:sz w:val="22"/>
          <w:szCs w:val="22"/>
        </w:rPr>
        <w:t>DESMOMELT</w:t>
      </w:r>
      <w:r w:rsidR="00F75B21">
        <w:rPr>
          <w:sz w:val="22"/>
          <w:szCs w:val="22"/>
        </w:rPr>
        <w:t>U</w:t>
      </w:r>
      <w:r w:rsidR="009F7E56">
        <w:rPr>
          <w:sz w:val="22"/>
          <w:szCs w:val="22"/>
        </w:rPr>
        <w:t>.</w:t>
      </w:r>
      <w:r w:rsidR="003248D1" w:rsidRPr="009528DB">
        <w:rPr>
          <w:sz w:val="22"/>
          <w:szCs w:val="22"/>
        </w:rPr>
        <w:t xml:space="preserve">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5503B6" w:rsidRDefault="003248D1" w:rsidP="001E08EB">
      <w:pPr>
        <w:rPr>
          <w:i/>
          <w:sz w:val="22"/>
          <w:szCs w:val="22"/>
        </w:rPr>
      </w:pPr>
      <w:r w:rsidRPr="005503B6">
        <w:rPr>
          <w:i/>
          <w:sz w:val="22"/>
          <w:szCs w:val="22"/>
          <w:u w:val="single"/>
        </w:rPr>
        <w:t>Noktúria</w:t>
      </w:r>
    </w:p>
    <w:p w:rsidR="00ED57FD" w:rsidRPr="009528DB" w:rsidRDefault="00ED57FD" w:rsidP="00ED57FD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U pacientov s noktúriou je potrebné najmenej 2 dni pred začiatkom liečby diagnostikovať nokturálnu polyúriu pomocou grafického znázornenia pomeru frekvencia/objem. Za nokturálnu polyúriu považujeme nočnú produkciu moču v objeme, ktorý presahuje kapacitu močového mechúra alebo presahujúcu jednu tretinu 24-hodinovej produkcie moču. 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Odporúčaná </w:t>
      </w:r>
      <w:r w:rsidR="002D16D5">
        <w:rPr>
          <w:sz w:val="22"/>
          <w:szCs w:val="22"/>
        </w:rPr>
        <w:t>za</w:t>
      </w:r>
      <w:r w:rsidR="005E29C6" w:rsidRPr="009528DB">
        <w:rPr>
          <w:sz w:val="22"/>
          <w:szCs w:val="22"/>
        </w:rPr>
        <w:t>čiatočná</w:t>
      </w:r>
      <w:r w:rsidRPr="009528DB">
        <w:rPr>
          <w:sz w:val="22"/>
          <w:szCs w:val="22"/>
        </w:rPr>
        <w:t xml:space="preserve"> dávka je 60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μg pred spaním, pod</w:t>
      </w:r>
      <w:r w:rsidR="00B93574" w:rsidRPr="009528DB">
        <w:rPr>
          <w:sz w:val="22"/>
          <w:szCs w:val="22"/>
        </w:rPr>
        <w:t>áva</w:t>
      </w:r>
      <w:r w:rsidRPr="009528DB">
        <w:rPr>
          <w:sz w:val="22"/>
          <w:szCs w:val="22"/>
        </w:rPr>
        <w:t xml:space="preserve">ná sublingválne. 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Ak táto dávka nie je po jednom týždni dostatočne účinná, môže sa zvýšiť na 120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μg sublingválne a</w:t>
      </w:r>
      <w:r w:rsidR="007D319D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následne v týždňových intervaloch </w:t>
      </w:r>
      <w:r w:rsidR="005E29C6" w:rsidRPr="009528DB">
        <w:rPr>
          <w:sz w:val="22"/>
          <w:szCs w:val="22"/>
        </w:rPr>
        <w:t xml:space="preserve">až </w:t>
      </w:r>
      <w:r w:rsidRPr="009528DB">
        <w:rPr>
          <w:sz w:val="22"/>
          <w:szCs w:val="22"/>
        </w:rPr>
        <w:t>na 240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μg sublingválne. </w:t>
      </w:r>
      <w:r w:rsidR="00B93574" w:rsidRPr="009528DB">
        <w:rPr>
          <w:sz w:val="22"/>
          <w:szCs w:val="22"/>
        </w:rPr>
        <w:t xml:space="preserve">Pacient musí </w:t>
      </w:r>
      <w:r w:rsidRPr="009528DB">
        <w:rPr>
          <w:sz w:val="22"/>
          <w:szCs w:val="22"/>
        </w:rPr>
        <w:t>obmedz</w:t>
      </w:r>
      <w:r w:rsidR="00B93574" w:rsidRPr="009528DB">
        <w:rPr>
          <w:sz w:val="22"/>
          <w:szCs w:val="22"/>
        </w:rPr>
        <w:t>iť</w:t>
      </w:r>
      <w:r w:rsidRPr="009528DB">
        <w:rPr>
          <w:sz w:val="22"/>
          <w:szCs w:val="22"/>
        </w:rPr>
        <w:t xml:space="preserve"> prí</w:t>
      </w:r>
      <w:r w:rsidR="00B93574" w:rsidRPr="009528DB">
        <w:rPr>
          <w:sz w:val="22"/>
          <w:szCs w:val="22"/>
        </w:rPr>
        <w:t>jem</w:t>
      </w:r>
      <w:r w:rsidRPr="009528DB">
        <w:rPr>
          <w:sz w:val="22"/>
          <w:szCs w:val="22"/>
        </w:rPr>
        <w:t xml:space="preserve"> tekutín.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246FDD" w:rsidRDefault="00246FDD" w:rsidP="001E08EB">
      <w:pPr>
        <w:rPr>
          <w:b/>
          <w:sz w:val="22"/>
          <w:szCs w:val="22"/>
        </w:rPr>
      </w:pPr>
      <w:r w:rsidRPr="00246FDD">
        <w:rPr>
          <w:b/>
          <w:sz w:val="22"/>
          <w:szCs w:val="22"/>
        </w:rPr>
        <w:t>Osobitné skupiny pacientov</w:t>
      </w:r>
    </w:p>
    <w:p w:rsidR="005503B6" w:rsidRPr="00246FDD" w:rsidRDefault="005503B6" w:rsidP="001E08EB">
      <w:pPr>
        <w:rPr>
          <w:b/>
          <w:sz w:val="22"/>
          <w:szCs w:val="22"/>
        </w:rPr>
      </w:pPr>
    </w:p>
    <w:p w:rsidR="00246FDD" w:rsidRPr="006C4B8F" w:rsidRDefault="00246FDD" w:rsidP="001E08EB">
      <w:pPr>
        <w:rPr>
          <w:i/>
          <w:sz w:val="22"/>
          <w:szCs w:val="22"/>
          <w:u w:val="single"/>
        </w:rPr>
      </w:pPr>
      <w:r w:rsidRPr="006C4B8F">
        <w:rPr>
          <w:i/>
          <w:sz w:val="22"/>
          <w:szCs w:val="22"/>
          <w:u w:val="single"/>
        </w:rPr>
        <w:t>Starší pacienti</w:t>
      </w:r>
    </w:p>
    <w:p w:rsidR="00D60775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Neodporúča sa začať s liečbou u osôb starších ako 65 rokov. Ak sa lekár rozhodn</w:t>
      </w:r>
      <w:r w:rsidR="005E29C6" w:rsidRPr="009528DB">
        <w:rPr>
          <w:sz w:val="22"/>
          <w:szCs w:val="22"/>
        </w:rPr>
        <w:t>e</w:t>
      </w:r>
      <w:r w:rsidRPr="009528DB">
        <w:rPr>
          <w:sz w:val="22"/>
          <w:szCs w:val="22"/>
        </w:rPr>
        <w:t xml:space="preserve"> liečiť týchto pacientov dezmopresínom, musí sa pred začiatkom liečby a 3 dni po jej začiatku alebo po zvýšení dávky a v iných náhodne zvolených termínoch</w:t>
      </w:r>
      <w:r w:rsidR="00E33EE1" w:rsidRPr="009528DB">
        <w:rPr>
          <w:sz w:val="22"/>
          <w:szCs w:val="22"/>
        </w:rPr>
        <w:t>,</w:t>
      </w:r>
      <w:r w:rsidRPr="009528DB">
        <w:rPr>
          <w:sz w:val="22"/>
          <w:szCs w:val="22"/>
        </w:rPr>
        <w:t xml:space="preserve"> podľa uváženia ošetrujúceho lekára</w:t>
      </w:r>
      <w:r w:rsidR="00E33EE1" w:rsidRPr="009528DB">
        <w:rPr>
          <w:sz w:val="22"/>
          <w:szCs w:val="22"/>
        </w:rPr>
        <w:t>,</w:t>
      </w:r>
      <w:r w:rsidRPr="009528DB">
        <w:rPr>
          <w:sz w:val="22"/>
          <w:szCs w:val="22"/>
        </w:rPr>
        <w:t xml:space="preserve"> stanoviť koncentrácia sodíka v sére. </w:t>
      </w:r>
    </w:p>
    <w:p w:rsidR="00D60775" w:rsidRDefault="00D60775" w:rsidP="001E08EB">
      <w:pPr>
        <w:rPr>
          <w:sz w:val="22"/>
          <w:szCs w:val="22"/>
        </w:rPr>
      </w:pPr>
    </w:p>
    <w:p w:rsidR="00246FDD" w:rsidRDefault="00246FDD" w:rsidP="001E08EB">
      <w:pPr>
        <w:rPr>
          <w:sz w:val="22"/>
          <w:szCs w:val="22"/>
        </w:rPr>
      </w:pPr>
      <w:r w:rsidRPr="005503B6">
        <w:rPr>
          <w:i/>
          <w:sz w:val="22"/>
          <w:szCs w:val="22"/>
        </w:rPr>
        <w:t>Poruch</w:t>
      </w:r>
      <w:r w:rsidR="00D614A7" w:rsidRPr="005503B6">
        <w:rPr>
          <w:i/>
          <w:sz w:val="22"/>
          <w:szCs w:val="22"/>
        </w:rPr>
        <w:t>a</w:t>
      </w:r>
      <w:r w:rsidRPr="005503B6">
        <w:rPr>
          <w:i/>
          <w:sz w:val="22"/>
          <w:szCs w:val="22"/>
        </w:rPr>
        <w:t xml:space="preserve"> funkcie obličiek</w:t>
      </w:r>
      <w:r w:rsidRPr="00BF2CC6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pozri časť 4.3.</w:t>
      </w:r>
    </w:p>
    <w:p w:rsidR="00246FDD" w:rsidRDefault="00246FDD" w:rsidP="001E08EB">
      <w:pPr>
        <w:rPr>
          <w:sz w:val="22"/>
          <w:szCs w:val="22"/>
        </w:rPr>
      </w:pPr>
    </w:p>
    <w:p w:rsidR="00246FDD" w:rsidRDefault="00246FDD" w:rsidP="001E08EB">
      <w:pPr>
        <w:rPr>
          <w:sz w:val="22"/>
          <w:szCs w:val="22"/>
        </w:rPr>
      </w:pPr>
      <w:r w:rsidRPr="005503B6">
        <w:rPr>
          <w:i/>
          <w:sz w:val="22"/>
          <w:szCs w:val="22"/>
        </w:rPr>
        <w:t>Poruch</w:t>
      </w:r>
      <w:r w:rsidR="00D614A7" w:rsidRPr="005503B6">
        <w:rPr>
          <w:i/>
          <w:sz w:val="22"/>
          <w:szCs w:val="22"/>
        </w:rPr>
        <w:t>a</w:t>
      </w:r>
      <w:r w:rsidRPr="005503B6">
        <w:rPr>
          <w:i/>
          <w:sz w:val="22"/>
          <w:szCs w:val="22"/>
        </w:rPr>
        <w:t xml:space="preserve"> funkcie pečene</w:t>
      </w:r>
      <w:r w:rsidRPr="00BF2CC6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pozri časť 4.5.</w:t>
      </w:r>
    </w:p>
    <w:p w:rsidR="00246FDD" w:rsidRDefault="00246FDD" w:rsidP="001E08EB">
      <w:pPr>
        <w:rPr>
          <w:sz w:val="22"/>
          <w:szCs w:val="22"/>
        </w:rPr>
      </w:pPr>
    </w:p>
    <w:p w:rsidR="002D16D5" w:rsidRDefault="006C4B8F" w:rsidP="001E08EB">
      <w:pPr>
        <w:rPr>
          <w:i/>
          <w:sz w:val="22"/>
          <w:szCs w:val="22"/>
        </w:rPr>
      </w:pPr>
      <w:r w:rsidRPr="006C4B8F">
        <w:rPr>
          <w:i/>
          <w:sz w:val="22"/>
          <w:szCs w:val="22"/>
          <w:u w:val="single"/>
        </w:rPr>
        <w:t>Pediatrická</w:t>
      </w:r>
      <w:r w:rsidR="001C6F10" w:rsidRPr="006C4B8F">
        <w:rPr>
          <w:i/>
          <w:sz w:val="22"/>
          <w:szCs w:val="22"/>
          <w:u w:val="single"/>
        </w:rPr>
        <w:t xml:space="preserve"> p</w:t>
      </w:r>
      <w:r w:rsidR="00246FDD" w:rsidRPr="006C4B8F">
        <w:rPr>
          <w:i/>
          <w:sz w:val="22"/>
          <w:szCs w:val="22"/>
          <w:u w:val="single"/>
        </w:rPr>
        <w:t>opulácia</w:t>
      </w:r>
      <w:r w:rsidR="008A7767">
        <w:rPr>
          <w:i/>
          <w:sz w:val="22"/>
          <w:szCs w:val="22"/>
        </w:rPr>
        <w:t xml:space="preserve"> </w:t>
      </w:r>
    </w:p>
    <w:p w:rsidR="00246FDD" w:rsidRPr="001C6F10" w:rsidRDefault="00D05326" w:rsidP="001E08EB">
      <w:pPr>
        <w:rPr>
          <w:i/>
          <w:sz w:val="22"/>
          <w:szCs w:val="22"/>
        </w:rPr>
      </w:pPr>
      <w:r>
        <w:rPr>
          <w:sz w:val="22"/>
          <w:szCs w:val="22"/>
        </w:rPr>
        <w:t>DESMOMELT</w:t>
      </w:r>
      <w:r w:rsidR="001C6F10">
        <w:rPr>
          <w:sz w:val="22"/>
          <w:szCs w:val="22"/>
        </w:rPr>
        <w:t xml:space="preserve"> je indikovaný</w:t>
      </w:r>
      <w:r w:rsidR="005503B6">
        <w:rPr>
          <w:sz w:val="22"/>
          <w:szCs w:val="22"/>
        </w:rPr>
        <w:t xml:space="preserve"> </w:t>
      </w:r>
      <w:r w:rsidR="006703E1">
        <w:rPr>
          <w:sz w:val="22"/>
          <w:szCs w:val="22"/>
        </w:rPr>
        <w:t>de</w:t>
      </w:r>
      <w:r w:rsidR="00D865A7">
        <w:rPr>
          <w:sz w:val="22"/>
          <w:szCs w:val="22"/>
        </w:rPr>
        <w:t>ťom</w:t>
      </w:r>
      <w:r w:rsidR="006703E1">
        <w:rPr>
          <w:sz w:val="22"/>
          <w:szCs w:val="22"/>
        </w:rPr>
        <w:t xml:space="preserve"> </w:t>
      </w:r>
      <w:r w:rsidR="001C6F10">
        <w:rPr>
          <w:sz w:val="22"/>
          <w:szCs w:val="22"/>
        </w:rPr>
        <w:t>na liečbu</w:t>
      </w:r>
      <w:r w:rsidR="001C6F10" w:rsidRPr="001C6F10">
        <w:rPr>
          <w:sz w:val="22"/>
          <w:szCs w:val="22"/>
        </w:rPr>
        <w:t xml:space="preserve"> </w:t>
      </w:r>
      <w:r w:rsidR="001C6F10" w:rsidRPr="009528DB">
        <w:rPr>
          <w:sz w:val="22"/>
          <w:szCs w:val="22"/>
        </w:rPr>
        <w:t>centrálneho diabet</w:t>
      </w:r>
      <w:r w:rsidR="001C6F10">
        <w:rPr>
          <w:sz w:val="22"/>
          <w:szCs w:val="22"/>
        </w:rPr>
        <w:t>u</w:t>
      </w:r>
      <w:r w:rsidR="001C6F10" w:rsidRPr="009528DB">
        <w:rPr>
          <w:sz w:val="22"/>
          <w:szCs w:val="22"/>
        </w:rPr>
        <w:t xml:space="preserve"> insi</w:t>
      </w:r>
      <w:r w:rsidR="00D865A7">
        <w:rPr>
          <w:sz w:val="22"/>
          <w:szCs w:val="22"/>
        </w:rPr>
        <w:t>p</w:t>
      </w:r>
      <w:r w:rsidR="001C6F10" w:rsidRPr="009528DB">
        <w:rPr>
          <w:sz w:val="22"/>
          <w:szCs w:val="22"/>
        </w:rPr>
        <w:t>i</w:t>
      </w:r>
      <w:r w:rsidR="00D865A7">
        <w:rPr>
          <w:sz w:val="22"/>
          <w:szCs w:val="22"/>
        </w:rPr>
        <w:t>d</w:t>
      </w:r>
      <w:r w:rsidR="001C6F10" w:rsidRPr="009528DB">
        <w:rPr>
          <w:sz w:val="22"/>
          <w:szCs w:val="22"/>
        </w:rPr>
        <w:t>us a</w:t>
      </w:r>
      <w:r w:rsidR="0068205C">
        <w:rPr>
          <w:sz w:val="22"/>
          <w:szCs w:val="22"/>
        </w:rPr>
        <w:t> </w:t>
      </w:r>
      <w:r w:rsidR="001C6F10" w:rsidRPr="009528DB">
        <w:rPr>
          <w:sz w:val="22"/>
          <w:szCs w:val="22"/>
        </w:rPr>
        <w:t xml:space="preserve">primárnej </w:t>
      </w:r>
      <w:r w:rsidR="001C6F10">
        <w:rPr>
          <w:sz w:val="22"/>
          <w:szCs w:val="22"/>
        </w:rPr>
        <w:t xml:space="preserve">nočnej enurézy (pozri časti </w:t>
      </w:r>
      <w:r w:rsidR="00D614A7">
        <w:rPr>
          <w:sz w:val="22"/>
          <w:szCs w:val="22"/>
        </w:rPr>
        <w:t>4</w:t>
      </w:r>
      <w:r w:rsidR="001C6F10">
        <w:rPr>
          <w:sz w:val="22"/>
          <w:szCs w:val="22"/>
        </w:rPr>
        <w:t>.</w:t>
      </w:r>
      <w:r w:rsidR="00D614A7">
        <w:rPr>
          <w:sz w:val="22"/>
          <w:szCs w:val="22"/>
        </w:rPr>
        <w:t>2</w:t>
      </w:r>
      <w:r w:rsidR="001C6F10">
        <w:rPr>
          <w:sz w:val="22"/>
          <w:szCs w:val="22"/>
        </w:rPr>
        <w:t xml:space="preserve"> </w:t>
      </w:r>
      <w:r w:rsidR="00C77C18">
        <w:rPr>
          <w:sz w:val="22"/>
          <w:szCs w:val="22"/>
        </w:rPr>
        <w:t xml:space="preserve">vyššie </w:t>
      </w:r>
      <w:r w:rsidR="001C6F10">
        <w:rPr>
          <w:sz w:val="22"/>
          <w:szCs w:val="22"/>
        </w:rPr>
        <w:t>a </w:t>
      </w:r>
      <w:r w:rsidR="00D614A7">
        <w:rPr>
          <w:sz w:val="22"/>
          <w:szCs w:val="22"/>
        </w:rPr>
        <w:t>5</w:t>
      </w:r>
      <w:r w:rsidR="001C6F10">
        <w:rPr>
          <w:sz w:val="22"/>
          <w:szCs w:val="22"/>
        </w:rPr>
        <w:t>.</w:t>
      </w:r>
      <w:r w:rsidR="00D614A7">
        <w:rPr>
          <w:sz w:val="22"/>
          <w:szCs w:val="22"/>
        </w:rPr>
        <w:t>1</w:t>
      </w:r>
      <w:r w:rsidR="001C6F10">
        <w:rPr>
          <w:sz w:val="22"/>
          <w:szCs w:val="22"/>
        </w:rPr>
        <w:t xml:space="preserve">). Odporúčané dávkovanie je rovnaké ako u dospelých. </w:t>
      </w:r>
      <w:r w:rsidR="00246FDD" w:rsidRPr="001C6F10">
        <w:rPr>
          <w:i/>
          <w:sz w:val="22"/>
          <w:szCs w:val="22"/>
        </w:rPr>
        <w:t xml:space="preserve"> </w:t>
      </w:r>
    </w:p>
    <w:p w:rsidR="00D865A7" w:rsidRDefault="00D865A7" w:rsidP="00D865A7">
      <w:pPr>
        <w:rPr>
          <w:bCs/>
          <w:sz w:val="22"/>
          <w:szCs w:val="22"/>
          <w:u w:val="single"/>
        </w:rPr>
      </w:pPr>
    </w:p>
    <w:p w:rsidR="00D865A7" w:rsidRDefault="00D865A7" w:rsidP="00D865A7">
      <w:pPr>
        <w:rPr>
          <w:bCs/>
          <w:sz w:val="22"/>
          <w:szCs w:val="22"/>
        </w:rPr>
      </w:pPr>
      <w:r w:rsidRPr="009258F8">
        <w:rPr>
          <w:bCs/>
          <w:sz w:val="22"/>
          <w:szCs w:val="22"/>
          <w:u w:val="single"/>
        </w:rPr>
        <w:t>Spôsob podávania</w:t>
      </w:r>
    </w:p>
    <w:p w:rsidR="00D865A7" w:rsidRDefault="00D865A7" w:rsidP="00D865A7">
      <w:pPr>
        <w:rPr>
          <w:bCs/>
          <w:sz w:val="22"/>
          <w:szCs w:val="22"/>
        </w:rPr>
      </w:pPr>
    </w:p>
    <w:p w:rsidR="00D865A7" w:rsidRPr="00210975" w:rsidRDefault="00D05326" w:rsidP="00D865A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DESMOMELT</w:t>
      </w:r>
      <w:r w:rsidR="00D865A7">
        <w:rPr>
          <w:bCs/>
          <w:sz w:val="22"/>
          <w:szCs w:val="22"/>
        </w:rPr>
        <w:t xml:space="preserve"> sa podáva pod jazyk, kde sa nechá rozpustiť bez potreby zapíjania vodou.  </w:t>
      </w:r>
    </w:p>
    <w:p w:rsidR="00D865A7" w:rsidRDefault="00D865A7" w:rsidP="00D865A7">
      <w:pPr>
        <w:rPr>
          <w:b/>
          <w:bCs/>
          <w:sz w:val="22"/>
          <w:szCs w:val="22"/>
        </w:rPr>
      </w:pPr>
    </w:p>
    <w:p w:rsidR="00D865A7" w:rsidRPr="009528DB" w:rsidRDefault="00D865A7" w:rsidP="00D865A7">
      <w:pPr>
        <w:rPr>
          <w:sz w:val="22"/>
          <w:szCs w:val="22"/>
        </w:rPr>
      </w:pPr>
      <w:r w:rsidRPr="002337AD">
        <w:rPr>
          <w:bCs/>
          <w:i/>
          <w:sz w:val="22"/>
          <w:szCs w:val="22"/>
        </w:rPr>
        <w:t>Účinok potravy</w:t>
      </w:r>
      <w:r w:rsidRPr="005A3B40">
        <w:rPr>
          <w:bCs/>
          <w:sz w:val="22"/>
          <w:szCs w:val="22"/>
        </w:rPr>
        <w:t xml:space="preserve">: </w:t>
      </w:r>
      <w:r w:rsidRPr="009528DB">
        <w:rPr>
          <w:sz w:val="22"/>
          <w:szCs w:val="22"/>
        </w:rPr>
        <w:t xml:space="preserve">Príjem potravy môže znížiť intenzitu a trvanie antidiuretického účinku nízkych dávok dezmopresínu (pozri časť 4.5). </w:t>
      </w:r>
    </w:p>
    <w:p w:rsidR="00D865A7" w:rsidRDefault="00D865A7" w:rsidP="00D865A7">
      <w:pPr>
        <w:rPr>
          <w:bCs/>
          <w:sz w:val="22"/>
          <w:szCs w:val="22"/>
        </w:rPr>
      </w:pPr>
    </w:p>
    <w:p w:rsidR="00D865A7" w:rsidRPr="009528DB" w:rsidRDefault="00D865A7" w:rsidP="00D865A7">
      <w:pPr>
        <w:rPr>
          <w:bCs/>
          <w:sz w:val="22"/>
          <w:szCs w:val="22"/>
        </w:rPr>
      </w:pPr>
      <w:r w:rsidRPr="009528DB">
        <w:rPr>
          <w:bCs/>
          <w:sz w:val="22"/>
          <w:szCs w:val="22"/>
        </w:rPr>
        <w:t xml:space="preserve">V prípade výskytu znakov alebo </w:t>
      </w:r>
      <w:r>
        <w:rPr>
          <w:bCs/>
          <w:sz w:val="22"/>
          <w:szCs w:val="22"/>
        </w:rPr>
        <w:t>príznakov</w:t>
      </w:r>
      <w:r w:rsidRPr="009528DB">
        <w:rPr>
          <w:bCs/>
          <w:sz w:val="22"/>
          <w:szCs w:val="22"/>
        </w:rPr>
        <w:t xml:space="preserve"> retencie vody a/alebo hyponatriémie (bolesť hlavy, </w:t>
      </w:r>
      <w:r>
        <w:rPr>
          <w:bCs/>
          <w:sz w:val="22"/>
          <w:szCs w:val="22"/>
        </w:rPr>
        <w:t xml:space="preserve"> </w:t>
      </w:r>
      <w:r w:rsidRPr="009528DB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evoľnosť/</w:t>
      </w:r>
      <w:r w:rsidRPr="009528DB">
        <w:rPr>
          <w:bCs/>
          <w:sz w:val="22"/>
          <w:szCs w:val="22"/>
        </w:rPr>
        <w:t>vracanie</w:t>
      </w:r>
      <w:r>
        <w:rPr>
          <w:bCs/>
          <w:sz w:val="22"/>
          <w:szCs w:val="22"/>
        </w:rPr>
        <w:t xml:space="preserve"> a v</w:t>
      </w:r>
      <w:r w:rsidRPr="009528D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zá</w:t>
      </w:r>
      <w:r w:rsidRPr="009528DB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a</w:t>
      </w:r>
      <w:r w:rsidRPr="009528DB">
        <w:rPr>
          <w:bCs/>
          <w:sz w:val="22"/>
          <w:szCs w:val="22"/>
        </w:rPr>
        <w:t>žn</w:t>
      </w:r>
      <w:r>
        <w:rPr>
          <w:bCs/>
          <w:sz w:val="22"/>
          <w:szCs w:val="22"/>
        </w:rPr>
        <w:t>ý</w:t>
      </w:r>
      <w:r w:rsidRPr="009528DB">
        <w:rPr>
          <w:bCs/>
          <w:sz w:val="22"/>
          <w:szCs w:val="22"/>
        </w:rPr>
        <w:t>ch prípadoch kŕče) sa musí liečba prerušiť, až kým sa pacient celkom nezotaví. Keď sa liečba obnoví, pacient musí striktne dodrž</w:t>
      </w:r>
      <w:r w:rsidR="001E167B">
        <w:rPr>
          <w:bCs/>
          <w:sz w:val="22"/>
          <w:szCs w:val="22"/>
        </w:rPr>
        <w:t>i</w:t>
      </w:r>
      <w:r w:rsidRPr="009528DB">
        <w:rPr>
          <w:bCs/>
          <w:sz w:val="22"/>
          <w:szCs w:val="22"/>
        </w:rPr>
        <w:t>a</w:t>
      </w:r>
      <w:r w:rsidR="001E167B">
        <w:rPr>
          <w:bCs/>
          <w:sz w:val="22"/>
          <w:szCs w:val="22"/>
        </w:rPr>
        <w:t>va</w:t>
      </w:r>
      <w:r w:rsidRPr="009528DB">
        <w:rPr>
          <w:bCs/>
          <w:sz w:val="22"/>
          <w:szCs w:val="22"/>
        </w:rPr>
        <w:t xml:space="preserve">ť obmedzenie </w:t>
      </w:r>
      <w:r w:rsidRPr="009528DB">
        <w:rPr>
          <w:sz w:val="22"/>
          <w:szCs w:val="22"/>
        </w:rPr>
        <w:t>príjmu</w:t>
      </w:r>
      <w:r w:rsidRPr="009528DB">
        <w:rPr>
          <w:bCs/>
          <w:sz w:val="22"/>
          <w:szCs w:val="22"/>
        </w:rPr>
        <w:t xml:space="preserve"> tekutín (pozri časť 4.4).</w:t>
      </w:r>
    </w:p>
    <w:p w:rsidR="00D865A7" w:rsidRDefault="00D865A7" w:rsidP="00D865A7">
      <w:pPr>
        <w:rPr>
          <w:bCs/>
          <w:sz w:val="22"/>
          <w:szCs w:val="22"/>
        </w:rPr>
      </w:pPr>
    </w:p>
    <w:p w:rsidR="00D865A7" w:rsidRPr="009528DB" w:rsidRDefault="00D865A7" w:rsidP="00D865A7">
      <w:pPr>
        <w:rPr>
          <w:sz w:val="22"/>
          <w:szCs w:val="22"/>
        </w:rPr>
      </w:pPr>
      <w:r w:rsidRPr="009528DB">
        <w:rPr>
          <w:sz w:val="22"/>
          <w:szCs w:val="22"/>
        </w:rPr>
        <w:t>Ak sa do 4 týždňov po odpovedajúcej titrácii dávky nedosiahne primeraný klinický účinok, liečbu treba ukončiť.</w:t>
      </w:r>
    </w:p>
    <w:p w:rsidR="003248D1" w:rsidRDefault="003248D1" w:rsidP="00C937D4">
      <w:pPr>
        <w:jc w:val="both"/>
        <w:rPr>
          <w:sz w:val="22"/>
          <w:szCs w:val="22"/>
        </w:rPr>
      </w:pPr>
    </w:p>
    <w:p w:rsidR="003248D1" w:rsidRPr="009528DB" w:rsidRDefault="003248D1" w:rsidP="00C937D4">
      <w:pPr>
        <w:jc w:val="both"/>
        <w:rPr>
          <w:sz w:val="22"/>
          <w:szCs w:val="22"/>
        </w:rPr>
      </w:pPr>
      <w:r w:rsidRPr="009528DB">
        <w:rPr>
          <w:b/>
          <w:sz w:val="22"/>
          <w:szCs w:val="22"/>
        </w:rPr>
        <w:t>4.3</w:t>
      </w:r>
      <w:r w:rsidRPr="009528DB">
        <w:rPr>
          <w:b/>
          <w:sz w:val="22"/>
          <w:szCs w:val="22"/>
        </w:rPr>
        <w:tab/>
        <w:t xml:space="preserve">Kontraindikácie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Default="00D05326" w:rsidP="001E08EB">
      <w:pPr>
        <w:rPr>
          <w:sz w:val="22"/>
          <w:szCs w:val="22"/>
        </w:rPr>
      </w:pPr>
      <w:r>
        <w:rPr>
          <w:bCs/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je kontraindikovaný v</w:t>
      </w:r>
      <w:r w:rsidR="00E33EE1" w:rsidRPr="009528DB">
        <w:rPr>
          <w:sz w:val="22"/>
          <w:szCs w:val="22"/>
        </w:rPr>
        <w:t xml:space="preserve"> nasledujúcich </w:t>
      </w:r>
      <w:r w:rsidR="003248D1" w:rsidRPr="009528DB">
        <w:rPr>
          <w:sz w:val="22"/>
          <w:szCs w:val="22"/>
        </w:rPr>
        <w:t>prípadoch:</w:t>
      </w:r>
    </w:p>
    <w:p w:rsidR="00812D7D" w:rsidRPr="00812D7D" w:rsidRDefault="00812D7D" w:rsidP="00812D7D">
      <w:pPr>
        <w:numPr>
          <w:ilvl w:val="0"/>
          <w:numId w:val="23"/>
        </w:numPr>
        <w:rPr>
          <w:sz w:val="22"/>
          <w:szCs w:val="22"/>
        </w:rPr>
      </w:pPr>
      <w:r w:rsidRPr="00812D7D">
        <w:rPr>
          <w:sz w:val="22"/>
          <w:szCs w:val="22"/>
        </w:rPr>
        <w:lastRenderedPageBreak/>
        <w:t>precitlivenosť na liečivo alebo na ktorúkoľvek z pomocných látok uvedených v časti 6.1;</w:t>
      </w:r>
    </w:p>
    <w:p w:rsidR="00812D7D" w:rsidRPr="009528DB" w:rsidRDefault="00812D7D" w:rsidP="001E08EB">
      <w:pPr>
        <w:rPr>
          <w:sz w:val="22"/>
          <w:szCs w:val="22"/>
        </w:rPr>
      </w:pPr>
    </w:p>
    <w:p w:rsidR="003248D1" w:rsidRPr="009528DB" w:rsidRDefault="003248D1" w:rsidP="00945590">
      <w:pPr>
        <w:numPr>
          <w:ilvl w:val="0"/>
          <w:numId w:val="20"/>
        </w:numPr>
        <w:rPr>
          <w:sz w:val="22"/>
          <w:szCs w:val="22"/>
        </w:rPr>
      </w:pPr>
      <w:r w:rsidRPr="009528DB">
        <w:rPr>
          <w:sz w:val="22"/>
          <w:szCs w:val="22"/>
        </w:rPr>
        <w:t>habituálna alebo psychogénna polydipsia (následkom je vyššia tvorba moču ako 40</w:t>
      </w:r>
      <w:r w:rsidR="00B93574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ml/kg/24</w:t>
      </w:r>
      <w:r w:rsidR="00B93574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h);</w:t>
      </w:r>
    </w:p>
    <w:p w:rsidR="003248D1" w:rsidRPr="009528DB" w:rsidRDefault="003248D1" w:rsidP="00945590">
      <w:pPr>
        <w:numPr>
          <w:ilvl w:val="0"/>
          <w:numId w:val="20"/>
        </w:numPr>
        <w:rPr>
          <w:color w:val="0000FF"/>
          <w:sz w:val="22"/>
          <w:szCs w:val="22"/>
        </w:rPr>
      </w:pPr>
      <w:r w:rsidRPr="009528DB">
        <w:rPr>
          <w:sz w:val="22"/>
          <w:szCs w:val="22"/>
        </w:rPr>
        <w:t>anamnéza známej srdcovej insuficiencie alebo podozrenie na ňu a iné stavy vyžadujúce liečbu diuretikami</w:t>
      </w:r>
      <w:r w:rsidRPr="00C649E4">
        <w:rPr>
          <w:sz w:val="22"/>
          <w:szCs w:val="22"/>
        </w:rPr>
        <w:t>;</w:t>
      </w:r>
    </w:p>
    <w:p w:rsidR="003248D1" w:rsidRPr="009528DB" w:rsidRDefault="003248D1" w:rsidP="00945590">
      <w:pPr>
        <w:numPr>
          <w:ilvl w:val="0"/>
          <w:numId w:val="20"/>
        </w:numPr>
        <w:rPr>
          <w:sz w:val="22"/>
          <w:szCs w:val="22"/>
        </w:rPr>
      </w:pPr>
      <w:r w:rsidRPr="009528DB">
        <w:rPr>
          <w:sz w:val="22"/>
          <w:szCs w:val="22"/>
        </w:rPr>
        <w:t xml:space="preserve">stredne </w:t>
      </w:r>
      <w:r w:rsidR="00D614A7">
        <w:rPr>
          <w:sz w:val="22"/>
          <w:szCs w:val="22"/>
        </w:rPr>
        <w:t xml:space="preserve">závažná </w:t>
      </w:r>
      <w:r w:rsidRPr="009528DB">
        <w:rPr>
          <w:sz w:val="22"/>
          <w:szCs w:val="22"/>
        </w:rPr>
        <w:t>a </w:t>
      </w:r>
      <w:r w:rsidR="00D614A7">
        <w:rPr>
          <w:sz w:val="22"/>
          <w:szCs w:val="22"/>
        </w:rPr>
        <w:t>závažná</w:t>
      </w:r>
      <w:r w:rsidRPr="009528DB">
        <w:rPr>
          <w:sz w:val="22"/>
          <w:szCs w:val="22"/>
        </w:rPr>
        <w:t xml:space="preserve"> renálna insuficiencia (klírens kreatinínu pod 50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ml/min);</w:t>
      </w:r>
    </w:p>
    <w:p w:rsidR="003248D1" w:rsidRPr="009528DB" w:rsidRDefault="005E29C6" w:rsidP="00945590">
      <w:pPr>
        <w:numPr>
          <w:ilvl w:val="0"/>
          <w:numId w:val="20"/>
        </w:numPr>
        <w:rPr>
          <w:sz w:val="22"/>
          <w:szCs w:val="22"/>
        </w:rPr>
      </w:pPr>
      <w:r w:rsidRPr="009528DB">
        <w:rPr>
          <w:sz w:val="22"/>
          <w:szCs w:val="22"/>
        </w:rPr>
        <w:t>opakovaná</w:t>
      </w:r>
      <w:r w:rsidR="003248D1" w:rsidRPr="009528DB">
        <w:rPr>
          <w:sz w:val="22"/>
          <w:szCs w:val="22"/>
        </w:rPr>
        <w:t xml:space="preserve"> hyponatriémia;</w:t>
      </w:r>
    </w:p>
    <w:p w:rsidR="003248D1" w:rsidRPr="009528DB" w:rsidRDefault="003248D1" w:rsidP="00945590">
      <w:pPr>
        <w:numPr>
          <w:ilvl w:val="0"/>
          <w:numId w:val="20"/>
        </w:numPr>
        <w:rPr>
          <w:sz w:val="22"/>
          <w:szCs w:val="22"/>
        </w:rPr>
      </w:pPr>
      <w:r w:rsidRPr="009528DB">
        <w:rPr>
          <w:sz w:val="22"/>
          <w:szCs w:val="22"/>
        </w:rPr>
        <w:t>SIADH (syndróm neprimeranej sekrécie ADH)</w:t>
      </w:r>
      <w:r w:rsidR="00D865A7">
        <w:rPr>
          <w:sz w:val="22"/>
          <w:szCs w:val="22"/>
        </w:rPr>
        <w:t>.</w:t>
      </w:r>
    </w:p>
    <w:p w:rsidR="003248D1" w:rsidRPr="009528DB" w:rsidRDefault="003248D1" w:rsidP="00C937D4">
      <w:pPr>
        <w:jc w:val="both"/>
        <w:rPr>
          <w:sz w:val="22"/>
          <w:szCs w:val="22"/>
        </w:rPr>
      </w:pPr>
    </w:p>
    <w:p w:rsidR="003248D1" w:rsidRPr="009528DB" w:rsidRDefault="003248D1" w:rsidP="00C937D4">
      <w:pPr>
        <w:jc w:val="both"/>
        <w:rPr>
          <w:sz w:val="22"/>
          <w:szCs w:val="22"/>
        </w:rPr>
      </w:pPr>
      <w:r w:rsidRPr="009528DB">
        <w:rPr>
          <w:b/>
          <w:sz w:val="22"/>
          <w:szCs w:val="22"/>
        </w:rPr>
        <w:t>4.4</w:t>
      </w:r>
      <w:r w:rsidRPr="009528DB">
        <w:rPr>
          <w:b/>
          <w:sz w:val="22"/>
          <w:szCs w:val="22"/>
        </w:rPr>
        <w:tab/>
      </w:r>
      <w:r w:rsidR="00BB254A">
        <w:rPr>
          <w:b/>
          <w:sz w:val="22"/>
          <w:szCs w:val="22"/>
        </w:rPr>
        <w:t>Osobitné upozornenia a opatrenia pri používaní</w:t>
      </w:r>
      <w:r w:rsidRPr="009528DB">
        <w:rPr>
          <w:b/>
          <w:sz w:val="22"/>
          <w:szCs w:val="22"/>
        </w:rPr>
        <w:t xml:space="preserve">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1C6F10" w:rsidRPr="0016509F" w:rsidRDefault="003248D1" w:rsidP="001E08EB">
      <w:pPr>
        <w:rPr>
          <w:sz w:val="22"/>
          <w:szCs w:val="22"/>
        </w:rPr>
      </w:pPr>
      <w:r w:rsidRPr="009258F8">
        <w:rPr>
          <w:sz w:val="22"/>
          <w:szCs w:val="22"/>
          <w:u w:val="single"/>
        </w:rPr>
        <w:t>Osobitné upozornenia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Ak sa liek užíva kvôli primárnej nočnej enuréze a noktúrii, </w:t>
      </w:r>
      <w:r w:rsidR="00E33EE1" w:rsidRPr="009528DB">
        <w:rPr>
          <w:sz w:val="22"/>
          <w:szCs w:val="22"/>
        </w:rPr>
        <w:t xml:space="preserve">príjem tekutín </w:t>
      </w:r>
      <w:r w:rsidRPr="009528DB">
        <w:rPr>
          <w:sz w:val="22"/>
          <w:szCs w:val="22"/>
        </w:rPr>
        <w:t>musí byť obmedzený na minimum</w:t>
      </w:r>
      <w:r w:rsidR="009B600A" w:rsidRPr="009528DB">
        <w:rPr>
          <w:sz w:val="22"/>
          <w:szCs w:val="22"/>
        </w:rPr>
        <w:t>, a to</w:t>
      </w:r>
      <w:r w:rsidRPr="009528DB">
        <w:rPr>
          <w:sz w:val="22"/>
          <w:szCs w:val="22"/>
        </w:rPr>
        <w:t xml:space="preserve"> 1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h</w:t>
      </w:r>
      <w:r w:rsidR="00E33EE1" w:rsidRPr="009528DB">
        <w:rPr>
          <w:sz w:val="22"/>
          <w:szCs w:val="22"/>
        </w:rPr>
        <w:t>odinu</w:t>
      </w:r>
      <w:r w:rsidRPr="009528DB">
        <w:rPr>
          <w:sz w:val="22"/>
          <w:szCs w:val="22"/>
        </w:rPr>
        <w:t xml:space="preserve"> pred podaním </w:t>
      </w:r>
      <w:r w:rsidR="00C92D4B">
        <w:rPr>
          <w:sz w:val="22"/>
          <w:szCs w:val="22"/>
        </w:rPr>
        <w:t xml:space="preserve">dezmopresínu </w:t>
      </w:r>
      <w:r w:rsidR="009B600A" w:rsidRPr="009528DB">
        <w:rPr>
          <w:sz w:val="22"/>
          <w:szCs w:val="22"/>
        </w:rPr>
        <w:t>a</w:t>
      </w:r>
      <w:r w:rsidR="00ED0B39">
        <w:rPr>
          <w:sz w:val="22"/>
          <w:szCs w:val="22"/>
        </w:rPr>
        <w:t xml:space="preserve"> najmenej </w:t>
      </w:r>
      <w:r w:rsidRPr="009528DB">
        <w:rPr>
          <w:sz w:val="22"/>
          <w:szCs w:val="22"/>
        </w:rPr>
        <w:t>8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hodín po </w:t>
      </w:r>
      <w:r w:rsidR="00C92D4B">
        <w:rPr>
          <w:sz w:val="22"/>
          <w:szCs w:val="22"/>
        </w:rPr>
        <w:t xml:space="preserve">jeho </w:t>
      </w:r>
      <w:r w:rsidRPr="009528DB">
        <w:rPr>
          <w:sz w:val="22"/>
          <w:szCs w:val="22"/>
        </w:rPr>
        <w:t>podaní. Liečba bez súčasného zníženia prí</w:t>
      </w:r>
      <w:r w:rsidR="009B600A" w:rsidRPr="009528DB">
        <w:rPr>
          <w:sz w:val="22"/>
          <w:szCs w:val="22"/>
        </w:rPr>
        <w:t>jmu</w:t>
      </w:r>
      <w:r w:rsidRPr="009528DB">
        <w:rPr>
          <w:sz w:val="22"/>
          <w:szCs w:val="22"/>
        </w:rPr>
        <w:t xml:space="preserve"> tekutín môže viesť k retencii vody a/alebo </w:t>
      </w:r>
      <w:r w:rsidR="00BB254A">
        <w:rPr>
          <w:sz w:val="22"/>
          <w:szCs w:val="22"/>
        </w:rPr>
        <w:t>hyponatriémii</w:t>
      </w:r>
      <w:r w:rsidRPr="009528DB">
        <w:rPr>
          <w:sz w:val="22"/>
          <w:szCs w:val="22"/>
        </w:rPr>
        <w:t xml:space="preserve"> s</w:t>
      </w:r>
      <w:r w:rsidR="00BB254A">
        <w:rPr>
          <w:sz w:val="22"/>
          <w:szCs w:val="22"/>
        </w:rPr>
        <w:t>o</w:t>
      </w:r>
      <w:r w:rsidRPr="009528DB">
        <w:rPr>
          <w:sz w:val="22"/>
          <w:szCs w:val="22"/>
        </w:rPr>
        <w:t xml:space="preserve"> sprievodný</w:t>
      </w:r>
      <w:r w:rsidR="00BB254A">
        <w:rPr>
          <w:sz w:val="22"/>
          <w:szCs w:val="22"/>
        </w:rPr>
        <w:t>mi</w:t>
      </w:r>
      <w:r w:rsidRPr="009528DB">
        <w:rPr>
          <w:sz w:val="22"/>
          <w:szCs w:val="22"/>
        </w:rPr>
        <w:t xml:space="preserve"> varovný</w:t>
      </w:r>
      <w:r w:rsidR="00BB254A">
        <w:rPr>
          <w:sz w:val="22"/>
          <w:szCs w:val="22"/>
        </w:rPr>
        <w:t>mi</w:t>
      </w:r>
      <w:r w:rsidRPr="009528DB">
        <w:rPr>
          <w:sz w:val="22"/>
          <w:szCs w:val="22"/>
        </w:rPr>
        <w:t xml:space="preserve"> znak</w:t>
      </w:r>
      <w:r w:rsidR="00BB254A">
        <w:rPr>
          <w:sz w:val="22"/>
          <w:szCs w:val="22"/>
        </w:rPr>
        <w:t>mi</w:t>
      </w:r>
      <w:r w:rsidRPr="009528DB">
        <w:rPr>
          <w:sz w:val="22"/>
          <w:szCs w:val="22"/>
        </w:rPr>
        <w:t xml:space="preserve"> a</w:t>
      </w:r>
      <w:r w:rsidR="00232BE1">
        <w:rPr>
          <w:sz w:val="22"/>
          <w:szCs w:val="22"/>
        </w:rPr>
        <w:t> </w:t>
      </w:r>
      <w:r w:rsidR="00302A2E">
        <w:rPr>
          <w:sz w:val="22"/>
          <w:szCs w:val="22"/>
        </w:rPr>
        <w:t>príznakmi</w:t>
      </w:r>
      <w:r w:rsidRPr="009528DB">
        <w:rPr>
          <w:sz w:val="22"/>
          <w:szCs w:val="22"/>
        </w:rPr>
        <w:t xml:space="preserve"> </w:t>
      </w:r>
      <w:r w:rsidR="00ED57FD">
        <w:rPr>
          <w:sz w:val="22"/>
          <w:szCs w:val="22"/>
        </w:rPr>
        <w:t>alebo bez nich</w:t>
      </w:r>
      <w:r w:rsidR="00ED57FD" w:rsidRPr="009528DB">
        <w:rPr>
          <w:sz w:val="22"/>
          <w:szCs w:val="22"/>
        </w:rPr>
        <w:t xml:space="preserve"> </w:t>
      </w:r>
      <w:r w:rsidRPr="009528DB">
        <w:rPr>
          <w:sz w:val="22"/>
          <w:szCs w:val="22"/>
        </w:rPr>
        <w:t>(boles</w:t>
      </w:r>
      <w:r w:rsidR="009B600A" w:rsidRPr="009528DB">
        <w:rPr>
          <w:sz w:val="22"/>
          <w:szCs w:val="22"/>
        </w:rPr>
        <w:t>ť</w:t>
      </w:r>
      <w:r w:rsidRPr="009528DB">
        <w:rPr>
          <w:sz w:val="22"/>
          <w:szCs w:val="22"/>
        </w:rPr>
        <w:t xml:space="preserve"> hlavy,</w:t>
      </w:r>
      <w:r w:rsidR="00466FB0">
        <w:rPr>
          <w:sz w:val="22"/>
          <w:szCs w:val="22"/>
        </w:rPr>
        <w:t xml:space="preserve"> </w:t>
      </w:r>
      <w:r w:rsidRPr="009528DB">
        <w:rPr>
          <w:sz w:val="22"/>
          <w:szCs w:val="22"/>
        </w:rPr>
        <w:t>n</w:t>
      </w:r>
      <w:r w:rsidR="00466FB0">
        <w:rPr>
          <w:sz w:val="22"/>
          <w:szCs w:val="22"/>
        </w:rPr>
        <w:t>evoľnosť</w:t>
      </w:r>
      <w:r w:rsidR="009B600A" w:rsidRPr="009528DB">
        <w:rPr>
          <w:sz w:val="22"/>
          <w:szCs w:val="22"/>
        </w:rPr>
        <w:t xml:space="preserve"> a</w:t>
      </w:r>
      <w:r w:rsidR="00674062">
        <w:rPr>
          <w:sz w:val="22"/>
          <w:szCs w:val="22"/>
        </w:rPr>
        <w:t> </w:t>
      </w:r>
      <w:r w:rsidRPr="009528DB">
        <w:rPr>
          <w:sz w:val="22"/>
          <w:szCs w:val="22"/>
        </w:rPr>
        <w:t>vracanie, prírastok hmotnosti a</w:t>
      </w:r>
      <w:r w:rsidR="006703E1">
        <w:rPr>
          <w:sz w:val="22"/>
          <w:szCs w:val="22"/>
        </w:rPr>
        <w:t> </w:t>
      </w:r>
      <w:r w:rsidRPr="009528DB">
        <w:rPr>
          <w:sz w:val="22"/>
          <w:szCs w:val="22"/>
        </w:rPr>
        <w:t>v</w:t>
      </w:r>
      <w:r w:rsidR="006703E1">
        <w:rPr>
          <w:sz w:val="22"/>
          <w:szCs w:val="22"/>
        </w:rPr>
        <w:t> </w:t>
      </w:r>
      <w:r w:rsidR="00466FB0">
        <w:rPr>
          <w:sz w:val="22"/>
          <w:szCs w:val="22"/>
        </w:rPr>
        <w:t>zá</w:t>
      </w:r>
      <w:r w:rsidR="009B600A" w:rsidRPr="009528DB">
        <w:rPr>
          <w:sz w:val="22"/>
          <w:szCs w:val="22"/>
        </w:rPr>
        <w:t>v</w:t>
      </w:r>
      <w:r w:rsidR="00466FB0">
        <w:rPr>
          <w:sz w:val="22"/>
          <w:szCs w:val="22"/>
        </w:rPr>
        <w:t>a</w:t>
      </w:r>
      <w:r w:rsidR="009B600A" w:rsidRPr="009528DB">
        <w:rPr>
          <w:sz w:val="22"/>
          <w:szCs w:val="22"/>
        </w:rPr>
        <w:t>žn</w:t>
      </w:r>
      <w:r w:rsidR="00466FB0">
        <w:rPr>
          <w:sz w:val="22"/>
          <w:szCs w:val="22"/>
        </w:rPr>
        <w:t>ý</w:t>
      </w:r>
      <w:r w:rsidR="009B600A" w:rsidRPr="009528DB">
        <w:rPr>
          <w:sz w:val="22"/>
          <w:szCs w:val="22"/>
        </w:rPr>
        <w:t xml:space="preserve">ch </w:t>
      </w:r>
      <w:r w:rsidRPr="009528DB">
        <w:rPr>
          <w:sz w:val="22"/>
          <w:szCs w:val="22"/>
        </w:rPr>
        <w:t xml:space="preserve"> prípadoch kŕče). </w:t>
      </w:r>
    </w:p>
    <w:p w:rsidR="003248D1" w:rsidRPr="009528DB" w:rsidRDefault="00B66F2E" w:rsidP="001E08EB">
      <w:pPr>
        <w:rPr>
          <w:sz w:val="22"/>
          <w:szCs w:val="22"/>
        </w:rPr>
      </w:pPr>
      <w:r>
        <w:rPr>
          <w:sz w:val="22"/>
          <w:szCs w:val="22"/>
        </w:rPr>
        <w:t>Všetci pacienti a/alebo osoby, ktoré sa o nich starajú, majú byť dôsledne poučení o</w:t>
      </w:r>
      <w:r w:rsidR="00466FB0">
        <w:rPr>
          <w:sz w:val="22"/>
          <w:szCs w:val="22"/>
        </w:rPr>
        <w:t xml:space="preserve"> nutnosti </w:t>
      </w:r>
      <w:r>
        <w:rPr>
          <w:sz w:val="22"/>
          <w:szCs w:val="22"/>
        </w:rPr>
        <w:t>dodržiava</w:t>
      </w:r>
      <w:r w:rsidR="005B0D5B">
        <w:rPr>
          <w:sz w:val="22"/>
          <w:szCs w:val="22"/>
        </w:rPr>
        <w:t>nia</w:t>
      </w:r>
      <w:r>
        <w:rPr>
          <w:sz w:val="22"/>
          <w:szCs w:val="22"/>
        </w:rPr>
        <w:t xml:space="preserve"> obmedzen</w:t>
      </w:r>
      <w:r w:rsidR="005B0D5B">
        <w:rPr>
          <w:sz w:val="22"/>
          <w:szCs w:val="22"/>
        </w:rPr>
        <w:t>ého</w:t>
      </w:r>
      <w:r>
        <w:rPr>
          <w:sz w:val="22"/>
          <w:szCs w:val="22"/>
        </w:rPr>
        <w:t xml:space="preserve"> príjm</w:t>
      </w:r>
      <w:r w:rsidR="005B0D5B">
        <w:rPr>
          <w:sz w:val="22"/>
          <w:szCs w:val="22"/>
        </w:rPr>
        <w:t>u</w:t>
      </w:r>
      <w:r>
        <w:rPr>
          <w:sz w:val="22"/>
          <w:szCs w:val="22"/>
        </w:rPr>
        <w:t xml:space="preserve"> tekutín.</w:t>
      </w:r>
    </w:p>
    <w:p w:rsidR="00B66F2E" w:rsidRDefault="00B66F2E" w:rsidP="001E08EB">
      <w:pPr>
        <w:rPr>
          <w:i/>
          <w:sz w:val="22"/>
          <w:szCs w:val="22"/>
        </w:rPr>
      </w:pPr>
    </w:p>
    <w:p w:rsidR="0081071A" w:rsidRPr="0016509F" w:rsidRDefault="00674062" w:rsidP="001E08EB">
      <w:pPr>
        <w:rPr>
          <w:sz w:val="22"/>
          <w:szCs w:val="22"/>
        </w:rPr>
      </w:pPr>
      <w:r w:rsidRPr="009258F8">
        <w:rPr>
          <w:sz w:val="22"/>
          <w:szCs w:val="22"/>
          <w:u w:val="single"/>
        </w:rPr>
        <w:t>Opatrenia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Pred začiatkom liečby sa </w:t>
      </w:r>
      <w:r w:rsidR="009B600A" w:rsidRPr="009528DB">
        <w:rPr>
          <w:sz w:val="22"/>
          <w:szCs w:val="22"/>
        </w:rPr>
        <w:t xml:space="preserve">musí </w:t>
      </w:r>
      <w:r w:rsidRPr="009528DB">
        <w:rPr>
          <w:sz w:val="22"/>
          <w:szCs w:val="22"/>
        </w:rPr>
        <w:t>vylúčiť ťažká dysfunkcia močového mechúra a nepriechodnosť močových ciest.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Starší pacienti a</w:t>
      </w:r>
      <w:r w:rsidR="0026176D">
        <w:rPr>
          <w:sz w:val="22"/>
          <w:szCs w:val="22"/>
        </w:rPr>
        <w:t> </w:t>
      </w:r>
      <w:r w:rsidRPr="009528DB">
        <w:rPr>
          <w:sz w:val="22"/>
          <w:szCs w:val="22"/>
        </w:rPr>
        <w:t>pacienti</w:t>
      </w:r>
      <w:r w:rsidR="0026176D">
        <w:rPr>
          <w:sz w:val="22"/>
          <w:szCs w:val="22"/>
        </w:rPr>
        <w:t>, u ktorých sú hladiny sodíka v sére v dolnej časti normálneho rozsahu,</w:t>
      </w:r>
      <w:r w:rsidRPr="009528DB">
        <w:rPr>
          <w:sz w:val="22"/>
          <w:szCs w:val="22"/>
        </w:rPr>
        <w:t xml:space="preserve"> sú vystavení zvýšenému riziku hyponatriémie. Liečbu dezmopresínom je treba prerušiť počas akútnych prechodných </w:t>
      </w:r>
      <w:r w:rsidR="009B600A" w:rsidRPr="009528DB">
        <w:rPr>
          <w:sz w:val="22"/>
          <w:szCs w:val="22"/>
        </w:rPr>
        <w:t>ochorení</w:t>
      </w:r>
      <w:r w:rsidRPr="009528DB">
        <w:rPr>
          <w:sz w:val="22"/>
          <w:szCs w:val="22"/>
        </w:rPr>
        <w:t xml:space="preserve">, ktoré sa vyznačujú nerovnováhou tekutín a/alebo elektrolytov (ako sú systémové infekcie, horúčka, gastroenteritída). </w:t>
      </w:r>
    </w:p>
    <w:p w:rsidR="00674062" w:rsidRDefault="00674062" w:rsidP="001E08EB">
      <w:pPr>
        <w:rPr>
          <w:sz w:val="22"/>
          <w:szCs w:val="22"/>
        </w:rPr>
      </w:pPr>
      <w:r>
        <w:rPr>
          <w:sz w:val="22"/>
          <w:szCs w:val="22"/>
        </w:rPr>
        <w:t>Opatrnosť je nutná u pacientov, u ktorých je riziko zvýšeného intrakraniálneho tlaku.</w:t>
      </w:r>
    </w:p>
    <w:p w:rsidR="00674062" w:rsidRDefault="00674062" w:rsidP="001E08EB">
      <w:pPr>
        <w:rPr>
          <w:sz w:val="22"/>
          <w:szCs w:val="22"/>
        </w:rPr>
      </w:pPr>
      <w:r>
        <w:rPr>
          <w:sz w:val="22"/>
          <w:szCs w:val="22"/>
        </w:rPr>
        <w:t>Dezmopresín sa má užívať s opatrnosťou u pacientov s</w:t>
      </w:r>
      <w:r w:rsidR="005D4948">
        <w:rPr>
          <w:sz w:val="22"/>
          <w:szCs w:val="22"/>
        </w:rPr>
        <w:t> nerovnováhou tekutín a/alebo elektrolytov.</w:t>
      </w:r>
    </w:p>
    <w:p w:rsidR="003248D1" w:rsidRPr="009528DB" w:rsidRDefault="003248D1" w:rsidP="001E08EB">
      <w:pPr>
        <w:rPr>
          <w:strike/>
          <w:sz w:val="22"/>
          <w:szCs w:val="22"/>
        </w:rPr>
      </w:pPr>
      <w:r w:rsidRPr="009528DB">
        <w:rPr>
          <w:sz w:val="22"/>
          <w:szCs w:val="22"/>
        </w:rPr>
        <w:t xml:space="preserve">V prípadoch súbežnej liečby s liekmi, ktoré môžu stimulovať  </w:t>
      </w:r>
      <w:r w:rsidR="00B73847" w:rsidRPr="009528DB">
        <w:rPr>
          <w:sz w:val="22"/>
          <w:szCs w:val="22"/>
        </w:rPr>
        <w:t>SI</w:t>
      </w:r>
      <w:r w:rsidRPr="009528DB">
        <w:rPr>
          <w:sz w:val="22"/>
          <w:szCs w:val="22"/>
        </w:rPr>
        <w:t>ADH – tricyklické antidepresíva, selektívne inhibítory spätného vychytávania serotonínu (SSRI), chlórpromaz</w:t>
      </w:r>
      <w:r w:rsidR="00533627" w:rsidRPr="009528DB">
        <w:rPr>
          <w:sz w:val="22"/>
          <w:szCs w:val="22"/>
        </w:rPr>
        <w:t>í</w:t>
      </w:r>
      <w:r w:rsidRPr="009528DB">
        <w:rPr>
          <w:sz w:val="22"/>
          <w:szCs w:val="22"/>
        </w:rPr>
        <w:t>n, karbamazepín a</w:t>
      </w:r>
      <w:r w:rsidR="00992226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v prípadoch súbežnej liečby nesteroidnými protizápalovými liekmi (NSAID) </w:t>
      </w:r>
      <w:r w:rsidR="009B600A" w:rsidRPr="009528DB">
        <w:rPr>
          <w:sz w:val="22"/>
          <w:szCs w:val="22"/>
        </w:rPr>
        <w:t xml:space="preserve">sa musia </w:t>
      </w:r>
      <w:r w:rsidRPr="009528DB">
        <w:rPr>
          <w:sz w:val="22"/>
          <w:szCs w:val="22"/>
        </w:rPr>
        <w:t>prijať opatrenia, ktorými sa m</w:t>
      </w:r>
      <w:r w:rsidR="00D53CC3" w:rsidRPr="009528DB">
        <w:rPr>
          <w:sz w:val="22"/>
          <w:szCs w:val="22"/>
        </w:rPr>
        <w:t>á</w:t>
      </w:r>
      <w:r w:rsidRPr="009528DB">
        <w:rPr>
          <w:sz w:val="22"/>
          <w:szCs w:val="22"/>
        </w:rPr>
        <w:t xml:space="preserve"> predísť hyponatriémii, včítane starostlivosti zameranej na obmedzenie príjmu tekutín a častejšieho monitorovania sérového sodíka.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3248D1" w:rsidP="00C937D4">
      <w:pPr>
        <w:numPr>
          <w:ilvl w:val="1"/>
          <w:numId w:val="14"/>
        </w:numPr>
        <w:jc w:val="both"/>
        <w:rPr>
          <w:b/>
          <w:sz w:val="22"/>
          <w:szCs w:val="22"/>
        </w:rPr>
      </w:pPr>
      <w:r w:rsidRPr="009528DB">
        <w:rPr>
          <w:b/>
          <w:sz w:val="22"/>
          <w:szCs w:val="22"/>
        </w:rPr>
        <w:t>Liekové a iné interakcie</w:t>
      </w:r>
    </w:p>
    <w:p w:rsidR="003248D1" w:rsidRPr="009528DB" w:rsidRDefault="003248D1" w:rsidP="00C937D4">
      <w:pPr>
        <w:jc w:val="both"/>
        <w:rPr>
          <w:sz w:val="22"/>
          <w:szCs w:val="22"/>
        </w:rPr>
      </w:pP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Látky, o ktorých je známe, že indukujú SIADH, napr. tricyklické antidepresíva, selektívne inhibítory reabsorpcie serotonínu, chl</w:t>
      </w:r>
      <w:r w:rsidR="00B57777" w:rsidRPr="009528DB">
        <w:rPr>
          <w:sz w:val="22"/>
          <w:szCs w:val="22"/>
        </w:rPr>
        <w:t>ó</w:t>
      </w:r>
      <w:r w:rsidRPr="009528DB">
        <w:rPr>
          <w:sz w:val="22"/>
          <w:szCs w:val="22"/>
        </w:rPr>
        <w:t>rpromazín a</w:t>
      </w:r>
      <w:r w:rsidR="001A5FF0">
        <w:rPr>
          <w:sz w:val="22"/>
          <w:szCs w:val="22"/>
        </w:rPr>
        <w:t> </w:t>
      </w:r>
      <w:r w:rsidRPr="009528DB">
        <w:rPr>
          <w:sz w:val="22"/>
          <w:szCs w:val="22"/>
        </w:rPr>
        <w:t>karbamazepín</w:t>
      </w:r>
      <w:r w:rsidR="001A5FF0">
        <w:rPr>
          <w:sz w:val="22"/>
          <w:szCs w:val="22"/>
        </w:rPr>
        <w:t xml:space="preserve"> a tiež niektoré antidiabetiká zo skupiny sulfonylurey, najmä chlórpropamid</w:t>
      </w:r>
      <w:r w:rsidRPr="009528DB">
        <w:rPr>
          <w:sz w:val="22"/>
          <w:szCs w:val="22"/>
        </w:rPr>
        <w:t xml:space="preserve">, môžu spôsobiť doplnkový antidiuretický </w:t>
      </w:r>
      <w:r w:rsidR="00942C62" w:rsidRPr="009528DB">
        <w:rPr>
          <w:sz w:val="22"/>
          <w:szCs w:val="22"/>
        </w:rPr>
        <w:t>účinok</w:t>
      </w:r>
      <w:r w:rsidRPr="009528DB">
        <w:rPr>
          <w:sz w:val="22"/>
          <w:szCs w:val="22"/>
        </w:rPr>
        <w:t xml:space="preserve">, </w:t>
      </w:r>
      <w:r w:rsidR="006225B7">
        <w:rPr>
          <w:sz w:val="22"/>
          <w:szCs w:val="22"/>
        </w:rPr>
        <w:t xml:space="preserve">ktorý </w:t>
      </w:r>
      <w:r w:rsidRPr="009528DB">
        <w:rPr>
          <w:sz w:val="22"/>
          <w:szCs w:val="22"/>
        </w:rPr>
        <w:t>vedi</w:t>
      </w:r>
      <w:r w:rsidR="006225B7">
        <w:rPr>
          <w:sz w:val="22"/>
          <w:szCs w:val="22"/>
        </w:rPr>
        <w:t>e</w:t>
      </w:r>
      <w:r w:rsidRPr="009528DB">
        <w:rPr>
          <w:sz w:val="22"/>
          <w:szCs w:val="22"/>
        </w:rPr>
        <w:t xml:space="preserve"> k</w:t>
      </w:r>
      <w:r w:rsidR="001A5FF0">
        <w:rPr>
          <w:sz w:val="22"/>
          <w:szCs w:val="22"/>
        </w:rPr>
        <w:t> </w:t>
      </w:r>
      <w:r w:rsidRPr="009528DB">
        <w:rPr>
          <w:sz w:val="22"/>
          <w:szCs w:val="22"/>
        </w:rPr>
        <w:t>zvýšenému riziku retencie vody</w:t>
      </w:r>
      <w:r w:rsidR="009B600A" w:rsidRPr="009528DB">
        <w:rPr>
          <w:sz w:val="22"/>
          <w:szCs w:val="22"/>
        </w:rPr>
        <w:t xml:space="preserve"> alebo </w:t>
      </w:r>
      <w:r w:rsidRPr="009528DB">
        <w:rPr>
          <w:sz w:val="22"/>
          <w:szCs w:val="22"/>
        </w:rPr>
        <w:t>hyponatriémi</w:t>
      </w:r>
      <w:r w:rsidR="006225B7">
        <w:rPr>
          <w:sz w:val="22"/>
          <w:szCs w:val="22"/>
        </w:rPr>
        <w:t>e</w:t>
      </w:r>
      <w:r w:rsidRPr="009528DB">
        <w:rPr>
          <w:sz w:val="22"/>
          <w:szCs w:val="22"/>
        </w:rPr>
        <w:t xml:space="preserve"> (pozri časť 4.4).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ED0B39" w:rsidP="001E08EB">
      <w:pPr>
        <w:rPr>
          <w:sz w:val="22"/>
          <w:szCs w:val="22"/>
        </w:rPr>
      </w:pPr>
      <w:r>
        <w:rPr>
          <w:sz w:val="22"/>
          <w:szCs w:val="22"/>
        </w:rPr>
        <w:t>Nesteroidné protizápalové lieky (</w:t>
      </w:r>
      <w:r w:rsidR="003248D1" w:rsidRPr="009528DB">
        <w:rPr>
          <w:sz w:val="22"/>
          <w:szCs w:val="22"/>
        </w:rPr>
        <w:t>NSAID</w:t>
      </w:r>
      <w:r>
        <w:rPr>
          <w:sz w:val="22"/>
          <w:szCs w:val="22"/>
        </w:rPr>
        <w:t>)</w:t>
      </w:r>
      <w:r w:rsidR="003248D1" w:rsidRPr="009528DB">
        <w:rPr>
          <w:sz w:val="22"/>
          <w:szCs w:val="22"/>
        </w:rPr>
        <w:t xml:space="preserve"> môžu indukovať retenciu vody</w:t>
      </w:r>
      <w:r w:rsidR="009B600A" w:rsidRPr="009528DB">
        <w:rPr>
          <w:sz w:val="22"/>
          <w:szCs w:val="22"/>
        </w:rPr>
        <w:t xml:space="preserve"> alebo </w:t>
      </w:r>
      <w:r w:rsidR="003248D1" w:rsidRPr="009528DB">
        <w:rPr>
          <w:sz w:val="22"/>
          <w:szCs w:val="22"/>
        </w:rPr>
        <w:t>hyponatriémiu (pozri časť 4.4).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Sú</w:t>
      </w:r>
      <w:r w:rsidR="00BB254A">
        <w:rPr>
          <w:sz w:val="22"/>
          <w:szCs w:val="22"/>
        </w:rPr>
        <w:t>bež</w:t>
      </w:r>
      <w:r w:rsidRPr="009528DB">
        <w:rPr>
          <w:sz w:val="22"/>
          <w:szCs w:val="22"/>
        </w:rPr>
        <w:t>ná liečba loperamidom môže vyústiť až do trojnásobného zvýšenia plazmatických koncentrácií dezmopresínu, čo môže viesť k zvýšeniu rizika retencie vody</w:t>
      </w:r>
      <w:r w:rsidR="009B600A" w:rsidRPr="009528DB">
        <w:rPr>
          <w:sz w:val="22"/>
          <w:szCs w:val="22"/>
        </w:rPr>
        <w:t xml:space="preserve"> alebo </w:t>
      </w:r>
      <w:r w:rsidRPr="009528DB">
        <w:rPr>
          <w:sz w:val="22"/>
          <w:szCs w:val="22"/>
        </w:rPr>
        <w:t xml:space="preserve">hyponatriémie. Hoci </w:t>
      </w:r>
      <w:r w:rsidR="00D53CC3" w:rsidRPr="009528DB">
        <w:rPr>
          <w:sz w:val="22"/>
          <w:szCs w:val="22"/>
        </w:rPr>
        <w:t xml:space="preserve">sa </w:t>
      </w:r>
      <w:r w:rsidRPr="009528DB">
        <w:rPr>
          <w:sz w:val="22"/>
          <w:szCs w:val="22"/>
        </w:rPr>
        <w:t xml:space="preserve">to </w:t>
      </w:r>
      <w:r w:rsidR="00D53CC3" w:rsidRPr="009528DB">
        <w:rPr>
          <w:sz w:val="22"/>
          <w:szCs w:val="22"/>
        </w:rPr>
        <w:t xml:space="preserve">dosiaľ </w:t>
      </w:r>
      <w:r w:rsidR="00302A2E">
        <w:rPr>
          <w:sz w:val="22"/>
          <w:szCs w:val="22"/>
        </w:rPr>
        <w:t>neskúmalo</w:t>
      </w:r>
      <w:r w:rsidRPr="009528DB">
        <w:rPr>
          <w:sz w:val="22"/>
          <w:szCs w:val="22"/>
        </w:rPr>
        <w:t xml:space="preserve">, </w:t>
      </w:r>
      <w:r w:rsidR="00D53CC3" w:rsidRPr="009528DB">
        <w:rPr>
          <w:sz w:val="22"/>
          <w:szCs w:val="22"/>
        </w:rPr>
        <w:t>predpokladá sa, že</w:t>
      </w:r>
      <w:r w:rsidR="00B97EF8">
        <w:rPr>
          <w:sz w:val="22"/>
          <w:szCs w:val="22"/>
        </w:rPr>
        <w:t xml:space="preserve"> </w:t>
      </w:r>
      <w:r w:rsidR="001A5FF0">
        <w:rPr>
          <w:sz w:val="22"/>
          <w:szCs w:val="22"/>
        </w:rPr>
        <w:t>aj</w:t>
      </w:r>
      <w:r w:rsidR="00D53CC3" w:rsidRPr="009528DB">
        <w:rPr>
          <w:sz w:val="22"/>
          <w:szCs w:val="22"/>
        </w:rPr>
        <w:t xml:space="preserve"> </w:t>
      </w:r>
      <w:r w:rsidRPr="009528DB">
        <w:rPr>
          <w:sz w:val="22"/>
          <w:szCs w:val="22"/>
        </w:rPr>
        <w:t>iné liečivá, ktoré spomaľujú intestinálnu perista</w:t>
      </w:r>
      <w:r w:rsidR="00E33EE1" w:rsidRPr="009528DB">
        <w:rPr>
          <w:sz w:val="22"/>
          <w:szCs w:val="22"/>
        </w:rPr>
        <w:t>l</w:t>
      </w:r>
      <w:r w:rsidRPr="009528DB">
        <w:rPr>
          <w:sz w:val="22"/>
          <w:szCs w:val="22"/>
        </w:rPr>
        <w:t xml:space="preserve">tiku, môžu mať rovnaký účinok.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Je nepravdepodobné, že by dezmopresín interagoval s liekmi, ktoré ovplyvňujú pečeňový metabolizmus, pretože</w:t>
      </w:r>
      <w:r w:rsidRPr="009528DB">
        <w:rPr>
          <w:i/>
          <w:iCs/>
          <w:sz w:val="22"/>
          <w:szCs w:val="22"/>
        </w:rPr>
        <w:t xml:space="preserve"> in vitro</w:t>
      </w:r>
      <w:r w:rsidRPr="009528DB">
        <w:rPr>
          <w:sz w:val="22"/>
          <w:szCs w:val="22"/>
        </w:rPr>
        <w:t xml:space="preserve"> štúdie s ľudskými mikrozómami ukázali, že dezmopresín </w:t>
      </w:r>
      <w:r w:rsidR="00D53CC3" w:rsidRPr="009528DB">
        <w:rPr>
          <w:sz w:val="22"/>
          <w:szCs w:val="22"/>
        </w:rPr>
        <w:t>sa v pečeni významne nemetabolizuje</w:t>
      </w:r>
      <w:r w:rsidRPr="009528DB">
        <w:rPr>
          <w:sz w:val="22"/>
          <w:szCs w:val="22"/>
        </w:rPr>
        <w:t xml:space="preserve">. </w:t>
      </w:r>
      <w:r w:rsidR="00E33EE1" w:rsidRPr="009528DB">
        <w:rPr>
          <w:sz w:val="22"/>
          <w:szCs w:val="22"/>
        </w:rPr>
        <w:t>Avšak</w:t>
      </w:r>
      <w:r w:rsidRPr="009528DB">
        <w:rPr>
          <w:sz w:val="22"/>
          <w:szCs w:val="22"/>
        </w:rPr>
        <w:t xml:space="preserve"> </w:t>
      </w:r>
      <w:r w:rsidRPr="009528DB">
        <w:rPr>
          <w:i/>
          <w:iCs/>
          <w:sz w:val="22"/>
          <w:szCs w:val="22"/>
        </w:rPr>
        <w:t xml:space="preserve">in vivo </w:t>
      </w:r>
      <w:r w:rsidR="00533627" w:rsidRPr="009528DB">
        <w:rPr>
          <w:iCs/>
          <w:sz w:val="22"/>
          <w:szCs w:val="22"/>
        </w:rPr>
        <w:t xml:space="preserve">interakčné </w:t>
      </w:r>
      <w:r w:rsidRPr="009528DB">
        <w:rPr>
          <w:sz w:val="22"/>
          <w:szCs w:val="22"/>
        </w:rPr>
        <w:t xml:space="preserve">štúdie zatiaľ neboli vykonané.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C77C18" w:rsidRDefault="002230DF" w:rsidP="001E08EB">
      <w:pPr>
        <w:rPr>
          <w:sz w:val="22"/>
          <w:szCs w:val="22"/>
        </w:rPr>
      </w:pPr>
      <w:r w:rsidRPr="00C77C18">
        <w:rPr>
          <w:sz w:val="22"/>
          <w:szCs w:val="22"/>
        </w:rPr>
        <w:t>Užívanie spolu s jedlom sa neštudovalo s</w:t>
      </w:r>
      <w:r w:rsidR="00447496">
        <w:rPr>
          <w:sz w:val="22"/>
          <w:szCs w:val="22"/>
        </w:rPr>
        <w:t> dezmopresínom vo forme perorálneho lyofilizátu,</w:t>
      </w:r>
      <w:r w:rsidRPr="00C77C18">
        <w:rPr>
          <w:sz w:val="22"/>
          <w:szCs w:val="22"/>
        </w:rPr>
        <w:t xml:space="preserve"> ale </w:t>
      </w:r>
      <w:r w:rsidR="00447496">
        <w:rPr>
          <w:sz w:val="22"/>
          <w:szCs w:val="22"/>
        </w:rPr>
        <w:t>s dezmopresínom vo forme tabliet</w:t>
      </w:r>
      <w:r w:rsidRPr="00C77C18">
        <w:rPr>
          <w:sz w:val="22"/>
          <w:szCs w:val="22"/>
        </w:rPr>
        <w:t xml:space="preserve">. </w:t>
      </w:r>
      <w:r w:rsidR="003248D1" w:rsidRPr="00C77C18">
        <w:rPr>
          <w:sz w:val="22"/>
          <w:szCs w:val="22"/>
        </w:rPr>
        <w:t>Štandardné jedlo s</w:t>
      </w:r>
      <w:r w:rsidR="00232BE1" w:rsidRPr="00C77C18">
        <w:rPr>
          <w:sz w:val="22"/>
          <w:szCs w:val="22"/>
        </w:rPr>
        <w:t> </w:t>
      </w:r>
      <w:r w:rsidR="003248D1" w:rsidRPr="00C77C18">
        <w:rPr>
          <w:sz w:val="22"/>
          <w:szCs w:val="22"/>
        </w:rPr>
        <w:t>27</w:t>
      </w:r>
      <w:r w:rsidR="00232BE1" w:rsidRPr="00C77C18">
        <w:rPr>
          <w:sz w:val="22"/>
          <w:szCs w:val="22"/>
        </w:rPr>
        <w:t> </w:t>
      </w:r>
      <w:r w:rsidR="003248D1" w:rsidRPr="00C77C18">
        <w:rPr>
          <w:sz w:val="22"/>
          <w:szCs w:val="22"/>
        </w:rPr>
        <w:t xml:space="preserve">% obsahom tuku významne znížilo </w:t>
      </w:r>
      <w:r w:rsidR="001C6221" w:rsidRPr="00C77C18">
        <w:rPr>
          <w:sz w:val="22"/>
          <w:szCs w:val="22"/>
        </w:rPr>
        <w:lastRenderedPageBreak/>
        <w:t>absorpciu (</w:t>
      </w:r>
      <w:r w:rsidR="003248D1" w:rsidRPr="00C77C18">
        <w:rPr>
          <w:sz w:val="22"/>
          <w:szCs w:val="22"/>
        </w:rPr>
        <w:t>rýchlosť a</w:t>
      </w:r>
      <w:r w:rsidR="001C6221" w:rsidRPr="00C77C18">
        <w:rPr>
          <w:sz w:val="22"/>
          <w:szCs w:val="22"/>
        </w:rPr>
        <w:t> </w:t>
      </w:r>
      <w:r w:rsidR="003248D1" w:rsidRPr="00C77C18">
        <w:rPr>
          <w:sz w:val="22"/>
          <w:szCs w:val="22"/>
        </w:rPr>
        <w:t>rozsah</w:t>
      </w:r>
      <w:r w:rsidR="001C6221" w:rsidRPr="00C77C18">
        <w:rPr>
          <w:sz w:val="22"/>
          <w:szCs w:val="22"/>
        </w:rPr>
        <w:t>)</w:t>
      </w:r>
      <w:r w:rsidR="003248D1" w:rsidRPr="00C77C18">
        <w:rPr>
          <w:sz w:val="22"/>
          <w:szCs w:val="22"/>
        </w:rPr>
        <w:t xml:space="preserve"> </w:t>
      </w:r>
      <w:r w:rsidR="00447496">
        <w:rPr>
          <w:sz w:val="22"/>
          <w:szCs w:val="22"/>
        </w:rPr>
        <w:t>dezmopresínu</w:t>
      </w:r>
      <w:r w:rsidR="00447496" w:rsidRPr="00C77C18">
        <w:rPr>
          <w:sz w:val="22"/>
          <w:szCs w:val="22"/>
        </w:rPr>
        <w:t xml:space="preserve"> </w:t>
      </w:r>
      <w:r w:rsidR="00100019" w:rsidRPr="00C77C18">
        <w:rPr>
          <w:sz w:val="22"/>
          <w:szCs w:val="22"/>
        </w:rPr>
        <w:t>tabliet</w:t>
      </w:r>
      <w:r w:rsidR="003248D1" w:rsidRPr="00C77C18">
        <w:rPr>
          <w:sz w:val="22"/>
          <w:szCs w:val="22"/>
        </w:rPr>
        <w:t>. Z</w:t>
      </w:r>
      <w:r w:rsidR="006225B7" w:rsidRPr="00C77C18">
        <w:rPr>
          <w:sz w:val="22"/>
          <w:szCs w:val="22"/>
        </w:rPr>
        <w:t> </w:t>
      </w:r>
      <w:r w:rsidR="003248D1" w:rsidRPr="00C77C18">
        <w:rPr>
          <w:sz w:val="22"/>
          <w:szCs w:val="22"/>
        </w:rPr>
        <w:t xml:space="preserve">farmakodynamického hľadiska nebol pozorovaný žiaden signifikantný účinok (na tvorbu moču alebo osmolalitu). </w:t>
      </w:r>
    </w:p>
    <w:p w:rsidR="003248D1" w:rsidRPr="00C77C18" w:rsidRDefault="003248D1" w:rsidP="001E08EB">
      <w:pPr>
        <w:rPr>
          <w:sz w:val="22"/>
          <w:szCs w:val="22"/>
        </w:rPr>
      </w:pPr>
      <w:r w:rsidRPr="00C77C18">
        <w:rPr>
          <w:sz w:val="22"/>
          <w:szCs w:val="22"/>
        </w:rPr>
        <w:t xml:space="preserve">Príjem potravy môže redukovať intenzitu a trvanie antidiuretického účinku malých perorálnych dávok </w:t>
      </w:r>
      <w:r w:rsidR="00447496">
        <w:rPr>
          <w:bCs/>
          <w:sz w:val="22"/>
          <w:szCs w:val="22"/>
        </w:rPr>
        <w:t>dezmopresínu</w:t>
      </w:r>
      <w:r w:rsidR="00447496" w:rsidRPr="00C77C18">
        <w:rPr>
          <w:bCs/>
          <w:sz w:val="22"/>
          <w:szCs w:val="22"/>
        </w:rPr>
        <w:t xml:space="preserve"> </w:t>
      </w:r>
      <w:r w:rsidR="00100019" w:rsidRPr="00C77C18">
        <w:rPr>
          <w:bCs/>
          <w:sz w:val="22"/>
          <w:szCs w:val="22"/>
        </w:rPr>
        <w:t>tabliet</w:t>
      </w:r>
      <w:r w:rsidRPr="00C77C18">
        <w:rPr>
          <w:sz w:val="22"/>
          <w:szCs w:val="22"/>
        </w:rPr>
        <w:t xml:space="preserve">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3248D1" w:rsidP="00C937D4">
      <w:pPr>
        <w:jc w:val="both"/>
        <w:rPr>
          <w:sz w:val="22"/>
          <w:szCs w:val="22"/>
        </w:rPr>
      </w:pPr>
      <w:r w:rsidRPr="009528DB">
        <w:rPr>
          <w:b/>
          <w:sz w:val="22"/>
          <w:szCs w:val="22"/>
        </w:rPr>
        <w:t>4.6</w:t>
      </w:r>
      <w:r w:rsidRPr="009528DB">
        <w:rPr>
          <w:b/>
          <w:sz w:val="22"/>
          <w:szCs w:val="22"/>
        </w:rPr>
        <w:tab/>
      </w:r>
      <w:r w:rsidR="00D865A7">
        <w:rPr>
          <w:b/>
          <w:sz w:val="22"/>
          <w:szCs w:val="22"/>
        </w:rPr>
        <w:t>Fertilita, g</w:t>
      </w:r>
      <w:r w:rsidR="00100019">
        <w:rPr>
          <w:b/>
          <w:sz w:val="22"/>
          <w:szCs w:val="22"/>
        </w:rPr>
        <w:t>ravidita a laktácia</w:t>
      </w:r>
    </w:p>
    <w:p w:rsidR="003248D1" w:rsidRPr="009528DB" w:rsidRDefault="003248D1" w:rsidP="00C937D4">
      <w:pPr>
        <w:jc w:val="both"/>
        <w:rPr>
          <w:iCs/>
          <w:color w:val="008000"/>
          <w:sz w:val="22"/>
          <w:szCs w:val="22"/>
        </w:rPr>
      </w:pPr>
    </w:p>
    <w:p w:rsidR="003248D1" w:rsidRPr="0016509F" w:rsidRDefault="003248D1" w:rsidP="001E08EB">
      <w:pPr>
        <w:rPr>
          <w:iCs/>
          <w:sz w:val="22"/>
          <w:szCs w:val="22"/>
        </w:rPr>
      </w:pPr>
      <w:r w:rsidRPr="006C4B8F">
        <w:rPr>
          <w:iCs/>
          <w:sz w:val="22"/>
          <w:szCs w:val="22"/>
          <w:u w:val="single"/>
        </w:rPr>
        <w:t>Gravidita</w:t>
      </w:r>
    </w:p>
    <w:p w:rsidR="003248D1" w:rsidRPr="009528DB" w:rsidRDefault="003248D1" w:rsidP="001E08EB">
      <w:pPr>
        <w:pStyle w:val="Zkladntext"/>
        <w:spacing w:before="0" w:line="240" w:lineRule="auto"/>
        <w:jc w:val="left"/>
        <w:rPr>
          <w:rFonts w:ascii="Times New Roman" w:hAnsi="Times New Roman"/>
          <w:iCs/>
          <w:szCs w:val="22"/>
          <w:lang w:val="sk-SK" w:eastAsia="en-US"/>
        </w:rPr>
      </w:pPr>
      <w:r w:rsidRPr="009528DB">
        <w:rPr>
          <w:rFonts w:ascii="Times New Roman" w:hAnsi="Times New Roman"/>
          <w:iCs/>
          <w:szCs w:val="22"/>
          <w:lang w:val="sk-SK" w:eastAsia="en-US"/>
        </w:rPr>
        <w:t>Údaje</w:t>
      </w:r>
      <w:r w:rsidR="00232BE1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z obmedzeného </w:t>
      </w:r>
      <w:r w:rsidR="0073775A">
        <w:rPr>
          <w:rFonts w:ascii="Times New Roman" w:hAnsi="Times New Roman"/>
          <w:iCs/>
          <w:szCs w:val="22"/>
          <w:lang w:val="sk-SK" w:eastAsia="en-US"/>
        </w:rPr>
        <w:t>počt</w:t>
      </w:r>
      <w:r w:rsidR="00F91B71">
        <w:rPr>
          <w:rFonts w:ascii="Times New Roman" w:hAnsi="Times New Roman"/>
          <w:iCs/>
          <w:szCs w:val="22"/>
          <w:lang w:val="sk-SK" w:eastAsia="en-US"/>
        </w:rPr>
        <w:t>u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="0073775A">
        <w:rPr>
          <w:rFonts w:ascii="Times New Roman" w:hAnsi="Times New Roman"/>
          <w:iCs/>
          <w:szCs w:val="22"/>
          <w:lang w:val="sk-SK" w:eastAsia="en-US"/>
        </w:rPr>
        <w:t xml:space="preserve">(N = 53) </w:t>
      </w:r>
      <w:r w:rsidR="009B600A" w:rsidRPr="009528DB">
        <w:rPr>
          <w:rFonts w:ascii="Times New Roman" w:hAnsi="Times New Roman"/>
          <w:iCs/>
          <w:szCs w:val="22"/>
          <w:lang w:val="sk-SK" w:eastAsia="en-US"/>
        </w:rPr>
        <w:t xml:space="preserve">gravidných </w:t>
      </w:r>
      <w:r w:rsidRPr="009528DB">
        <w:rPr>
          <w:rFonts w:ascii="Times New Roman" w:hAnsi="Times New Roman"/>
          <w:iCs/>
          <w:szCs w:val="22"/>
          <w:lang w:val="sk-SK" w:eastAsia="en-US"/>
        </w:rPr>
        <w:t>žien s</w:t>
      </w:r>
      <w:r w:rsidR="00B97EF8">
        <w:rPr>
          <w:rFonts w:ascii="Times New Roman" w:hAnsi="Times New Roman"/>
          <w:iCs/>
          <w:szCs w:val="22"/>
          <w:lang w:val="sk-SK" w:eastAsia="en-US"/>
        </w:rPr>
        <w:t> </w:t>
      </w:r>
      <w:r w:rsidRPr="009528DB">
        <w:rPr>
          <w:rFonts w:ascii="Times New Roman" w:hAnsi="Times New Roman"/>
          <w:iCs/>
          <w:szCs w:val="22"/>
          <w:lang w:val="sk-SK" w:eastAsia="en-US"/>
        </w:rPr>
        <w:t>diabet</w:t>
      </w:r>
      <w:r w:rsidR="0073775A">
        <w:rPr>
          <w:rFonts w:ascii="Times New Roman" w:hAnsi="Times New Roman"/>
          <w:iCs/>
          <w:szCs w:val="22"/>
          <w:lang w:val="sk-SK" w:eastAsia="en-US"/>
        </w:rPr>
        <w:t>om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insipidus</w:t>
      </w:r>
      <w:r w:rsidR="00232BE1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a tiež údaje </w:t>
      </w:r>
      <w:r w:rsidR="00F91B71">
        <w:rPr>
          <w:rFonts w:ascii="Times New Roman" w:hAnsi="Times New Roman"/>
          <w:iCs/>
          <w:szCs w:val="22"/>
          <w:lang w:val="sk-SK" w:eastAsia="en-US"/>
        </w:rPr>
        <w:t>z</w:t>
      </w:r>
      <w:r w:rsidR="0087304D">
        <w:rPr>
          <w:rFonts w:ascii="Times New Roman" w:hAnsi="Times New Roman"/>
          <w:iCs/>
          <w:szCs w:val="22"/>
          <w:lang w:val="sk-SK" w:eastAsia="en-US"/>
        </w:rPr>
        <w:t> obmedzen</w:t>
      </w:r>
      <w:r w:rsidR="00F91B71">
        <w:rPr>
          <w:rFonts w:ascii="Times New Roman" w:hAnsi="Times New Roman"/>
          <w:iCs/>
          <w:szCs w:val="22"/>
          <w:lang w:val="sk-SK" w:eastAsia="en-US"/>
        </w:rPr>
        <w:t>ého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 počt</w:t>
      </w:r>
      <w:r w:rsidR="00F91B71">
        <w:rPr>
          <w:rFonts w:ascii="Times New Roman" w:hAnsi="Times New Roman"/>
          <w:iCs/>
          <w:szCs w:val="22"/>
          <w:lang w:val="sk-SK" w:eastAsia="en-US"/>
        </w:rPr>
        <w:t>u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 (N</w:t>
      </w:r>
      <w:r w:rsidR="00E020BE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="0087304D">
        <w:rPr>
          <w:rFonts w:ascii="Times New Roman" w:hAnsi="Times New Roman"/>
          <w:iCs/>
          <w:szCs w:val="22"/>
          <w:lang w:val="sk-SK" w:eastAsia="en-US"/>
        </w:rPr>
        <w:t>=</w:t>
      </w:r>
      <w:r w:rsidR="00E020BE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="0087304D">
        <w:rPr>
          <w:rFonts w:ascii="Times New Roman" w:hAnsi="Times New Roman"/>
          <w:iCs/>
          <w:szCs w:val="22"/>
          <w:lang w:val="sk-SK" w:eastAsia="en-US"/>
        </w:rPr>
        <w:t>54)</w:t>
      </w:r>
      <w:r w:rsidR="00726A21">
        <w:rPr>
          <w:rFonts w:ascii="Times New Roman" w:hAnsi="Times New Roman"/>
          <w:iCs/>
          <w:szCs w:val="22"/>
          <w:lang w:val="sk-SK" w:eastAsia="en-US"/>
        </w:rPr>
        <w:t xml:space="preserve"> gravidných žien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 s</w:t>
      </w:r>
      <w:r w:rsidR="00ED0B39">
        <w:rPr>
          <w:rFonts w:ascii="Times New Roman" w:hAnsi="Times New Roman"/>
          <w:iCs/>
          <w:szCs w:val="22"/>
          <w:lang w:val="sk-SK" w:eastAsia="en-US"/>
        </w:rPr>
        <w:t xml:space="preserve"> von </w:t>
      </w:r>
      <w:r w:rsidR="0087304D">
        <w:rPr>
          <w:rFonts w:ascii="Times New Roman" w:hAnsi="Times New Roman"/>
          <w:iCs/>
          <w:szCs w:val="22"/>
          <w:lang w:val="sk-SK" w:eastAsia="en-US"/>
        </w:rPr>
        <w:t>W</w:t>
      </w:r>
      <w:r w:rsidR="0087304D" w:rsidRPr="0087304D">
        <w:rPr>
          <w:rFonts w:ascii="Times New Roman" w:hAnsi="Times New Roman"/>
          <w:iCs/>
          <w:szCs w:val="22"/>
          <w:lang w:val="sk-SK" w:eastAsia="en-US"/>
        </w:rPr>
        <w:t>illebrandov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ou chorobou </w:t>
      </w:r>
      <w:r w:rsidR="00232BE1">
        <w:rPr>
          <w:rFonts w:ascii="Times New Roman" w:hAnsi="Times New Roman"/>
          <w:iCs/>
          <w:szCs w:val="22"/>
          <w:lang w:val="sk-SK" w:eastAsia="en-US"/>
        </w:rPr>
        <w:t>liečených dezmopresínom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ne</w:t>
      </w:r>
      <w:r w:rsidR="009B600A" w:rsidRPr="009528DB">
        <w:rPr>
          <w:rFonts w:ascii="Times New Roman" w:hAnsi="Times New Roman"/>
          <w:iCs/>
          <w:szCs w:val="22"/>
          <w:lang w:val="sk-SK" w:eastAsia="en-US"/>
        </w:rPr>
        <w:t>preuk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ázali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nežiaduce účinky dezmopresínu na graviditu alebo na zdravie plodu/novorodenca. V</w:t>
      </w:r>
      <w:r w:rsidR="00232BE1">
        <w:rPr>
          <w:rFonts w:ascii="Times New Roman" w:hAnsi="Times New Roman"/>
          <w:iCs/>
          <w:szCs w:val="22"/>
          <w:lang w:val="sk-SK" w:eastAsia="en-US"/>
        </w:rPr>
        <w:t> </w:t>
      </w:r>
      <w:r w:rsidRPr="009528DB">
        <w:rPr>
          <w:rFonts w:ascii="Times New Roman" w:hAnsi="Times New Roman"/>
          <w:iCs/>
          <w:szCs w:val="22"/>
          <w:lang w:val="sk-SK" w:eastAsia="en-US"/>
        </w:rPr>
        <w:t>súčasnosti nie sú k dispozícii žiadne iné relevantné epidemiologické údaje. Štúdie na zvieratách ne</w:t>
      </w:r>
      <w:r w:rsidR="009B600A" w:rsidRPr="009528DB">
        <w:rPr>
          <w:rFonts w:ascii="Times New Roman" w:hAnsi="Times New Roman"/>
          <w:iCs/>
          <w:szCs w:val="22"/>
          <w:lang w:val="sk-SK" w:eastAsia="en-US"/>
        </w:rPr>
        <w:t>preuk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ázali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priame alebo nepriame škodlivé účinky 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na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gravidit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u</w:t>
      </w:r>
      <w:r w:rsidRPr="009528DB">
        <w:rPr>
          <w:rFonts w:ascii="Times New Roman" w:hAnsi="Times New Roman"/>
          <w:iCs/>
          <w:szCs w:val="22"/>
          <w:lang w:val="sk-SK" w:eastAsia="en-US"/>
        </w:rPr>
        <w:t>, embryonáln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y</w:t>
      </w:r>
      <w:r w:rsidRPr="009528DB">
        <w:rPr>
          <w:rFonts w:ascii="Times New Roman" w:hAnsi="Times New Roman"/>
          <w:iCs/>
          <w:szCs w:val="22"/>
          <w:lang w:val="sk-SK" w:eastAsia="en-US"/>
        </w:rPr>
        <w:t>/fetáln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y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vývoj, pôrod alebo popôrod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ný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vývoj. </w:t>
      </w:r>
    </w:p>
    <w:p w:rsidR="001C6221" w:rsidRDefault="001C6221" w:rsidP="001E08EB">
      <w:pPr>
        <w:rPr>
          <w:iCs/>
          <w:sz w:val="22"/>
          <w:szCs w:val="22"/>
        </w:rPr>
      </w:pPr>
    </w:p>
    <w:p w:rsidR="003248D1" w:rsidRPr="009528DB" w:rsidRDefault="00CE7C62" w:rsidP="001E08EB">
      <w:pPr>
        <w:rPr>
          <w:iCs/>
          <w:sz w:val="22"/>
          <w:szCs w:val="22"/>
        </w:rPr>
      </w:pPr>
      <w:r w:rsidRPr="009528DB">
        <w:rPr>
          <w:iCs/>
          <w:sz w:val="22"/>
          <w:szCs w:val="22"/>
        </w:rPr>
        <w:t>Pri p</w:t>
      </w:r>
      <w:r w:rsidR="003248D1" w:rsidRPr="009528DB">
        <w:rPr>
          <w:iCs/>
          <w:sz w:val="22"/>
          <w:szCs w:val="22"/>
        </w:rPr>
        <w:t>redpisovan</w:t>
      </w:r>
      <w:r w:rsidRPr="009528DB">
        <w:rPr>
          <w:iCs/>
          <w:sz w:val="22"/>
          <w:szCs w:val="22"/>
        </w:rPr>
        <w:t>í</w:t>
      </w:r>
      <w:r w:rsidR="003248D1" w:rsidRPr="009528DB">
        <w:rPr>
          <w:iCs/>
          <w:sz w:val="22"/>
          <w:szCs w:val="22"/>
        </w:rPr>
        <w:t xml:space="preserve"> lieku gravidným ženám s</w:t>
      </w:r>
      <w:r w:rsidRPr="009528DB">
        <w:rPr>
          <w:iCs/>
          <w:sz w:val="22"/>
          <w:szCs w:val="22"/>
        </w:rPr>
        <w:t>a</w:t>
      </w:r>
      <w:r w:rsidR="003248D1" w:rsidRPr="009528DB">
        <w:rPr>
          <w:iCs/>
          <w:sz w:val="22"/>
          <w:szCs w:val="22"/>
        </w:rPr>
        <w:t xml:space="preserve"> vyžaduje opatrnosť. </w:t>
      </w:r>
    </w:p>
    <w:p w:rsidR="0087304D" w:rsidRPr="009528DB" w:rsidRDefault="0087304D" w:rsidP="001E08EB">
      <w:pPr>
        <w:rPr>
          <w:iCs/>
          <w:sz w:val="22"/>
          <w:szCs w:val="22"/>
        </w:rPr>
      </w:pPr>
    </w:p>
    <w:p w:rsidR="003248D1" w:rsidRPr="006C4B8F" w:rsidRDefault="00AB7284" w:rsidP="001E08EB">
      <w:pPr>
        <w:rPr>
          <w:iCs/>
          <w:sz w:val="22"/>
          <w:szCs w:val="22"/>
          <w:u w:val="single"/>
        </w:rPr>
      </w:pPr>
      <w:r w:rsidRPr="006C4B8F">
        <w:rPr>
          <w:iCs/>
          <w:sz w:val="22"/>
          <w:szCs w:val="22"/>
          <w:u w:val="single"/>
        </w:rPr>
        <w:t>Dojčenie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iCs/>
          <w:sz w:val="22"/>
          <w:szCs w:val="22"/>
        </w:rPr>
        <w:t xml:space="preserve">Výsledky analýz mlieka dojčiacich matiek, ktoré </w:t>
      </w:r>
      <w:r w:rsidR="009B600A" w:rsidRPr="009528DB">
        <w:rPr>
          <w:iCs/>
          <w:sz w:val="22"/>
          <w:szCs w:val="22"/>
        </w:rPr>
        <w:t xml:space="preserve">užívali </w:t>
      </w:r>
      <w:r w:rsidRPr="009528DB">
        <w:rPr>
          <w:iCs/>
          <w:sz w:val="22"/>
          <w:szCs w:val="22"/>
        </w:rPr>
        <w:t>vysok</w:t>
      </w:r>
      <w:r w:rsidR="00286FBB" w:rsidRPr="009528DB">
        <w:rPr>
          <w:iCs/>
          <w:sz w:val="22"/>
          <w:szCs w:val="22"/>
        </w:rPr>
        <w:t>é</w:t>
      </w:r>
      <w:r w:rsidRPr="009528DB">
        <w:rPr>
          <w:iCs/>
          <w:sz w:val="22"/>
          <w:szCs w:val="22"/>
        </w:rPr>
        <w:t xml:space="preserve"> dávk</w:t>
      </w:r>
      <w:r w:rsidR="00286FBB" w:rsidRPr="009528DB">
        <w:rPr>
          <w:iCs/>
          <w:sz w:val="22"/>
          <w:szCs w:val="22"/>
        </w:rPr>
        <w:t>y</w:t>
      </w:r>
      <w:r w:rsidRPr="009528DB">
        <w:rPr>
          <w:iCs/>
          <w:sz w:val="22"/>
          <w:szCs w:val="22"/>
        </w:rPr>
        <w:t xml:space="preserve"> dezmopresínu (300</w:t>
      </w:r>
      <w:r w:rsidR="0072271C">
        <w:rPr>
          <w:iCs/>
          <w:sz w:val="22"/>
          <w:szCs w:val="22"/>
        </w:rPr>
        <w:t> </w:t>
      </w:r>
      <w:r w:rsidRPr="009528DB">
        <w:rPr>
          <w:sz w:val="22"/>
          <w:szCs w:val="22"/>
        </w:rPr>
        <w:t>μg intranazálne) naznačujú, že množstv</w:t>
      </w:r>
      <w:r w:rsidR="00742F53" w:rsidRPr="009528DB">
        <w:rPr>
          <w:sz w:val="22"/>
          <w:szCs w:val="22"/>
        </w:rPr>
        <w:t>o</w:t>
      </w:r>
      <w:r w:rsidRPr="009528DB">
        <w:rPr>
          <w:sz w:val="22"/>
          <w:szCs w:val="22"/>
        </w:rPr>
        <w:t xml:space="preserve"> dezmopresínu </w:t>
      </w:r>
      <w:r w:rsidR="009B600A" w:rsidRPr="009528DB">
        <w:rPr>
          <w:sz w:val="22"/>
          <w:szCs w:val="22"/>
        </w:rPr>
        <w:t>vylúčeného do materského mlieka</w:t>
      </w:r>
      <w:r w:rsidRPr="009528DB">
        <w:rPr>
          <w:sz w:val="22"/>
          <w:szCs w:val="22"/>
        </w:rPr>
        <w:t xml:space="preserve"> </w:t>
      </w:r>
      <w:r w:rsidR="00742F53" w:rsidRPr="009528DB">
        <w:rPr>
          <w:sz w:val="22"/>
          <w:szCs w:val="22"/>
        </w:rPr>
        <w:t>je</w:t>
      </w:r>
      <w:r w:rsidRPr="009528DB">
        <w:rPr>
          <w:sz w:val="22"/>
          <w:szCs w:val="22"/>
        </w:rPr>
        <w:t xml:space="preserve"> vý</w:t>
      </w:r>
      <w:r w:rsidR="009B600A" w:rsidRPr="009528DB">
        <w:rPr>
          <w:sz w:val="22"/>
          <w:szCs w:val="22"/>
        </w:rPr>
        <w:t>razne nižšie</w:t>
      </w:r>
      <w:r w:rsidRPr="009528DB">
        <w:rPr>
          <w:sz w:val="22"/>
          <w:szCs w:val="22"/>
        </w:rPr>
        <w:t xml:space="preserve"> ako množstv</w:t>
      </w:r>
      <w:r w:rsidR="00742F53" w:rsidRPr="009528DB">
        <w:rPr>
          <w:sz w:val="22"/>
          <w:szCs w:val="22"/>
        </w:rPr>
        <w:t>o</w:t>
      </w:r>
      <w:r w:rsidRPr="009528DB">
        <w:rPr>
          <w:sz w:val="22"/>
          <w:szCs w:val="22"/>
        </w:rPr>
        <w:t xml:space="preserve"> potrebné </w:t>
      </w:r>
      <w:r w:rsidR="009B600A" w:rsidRPr="009528DB">
        <w:rPr>
          <w:sz w:val="22"/>
          <w:szCs w:val="22"/>
        </w:rPr>
        <w:t xml:space="preserve">na </w:t>
      </w:r>
      <w:r w:rsidRPr="009528DB">
        <w:rPr>
          <w:sz w:val="22"/>
          <w:szCs w:val="22"/>
        </w:rPr>
        <w:t xml:space="preserve">ovplyvnenie diurézy. </w:t>
      </w:r>
    </w:p>
    <w:p w:rsidR="00742F53" w:rsidRDefault="00742F53" w:rsidP="00742F53">
      <w:pPr>
        <w:jc w:val="both"/>
        <w:rPr>
          <w:iCs/>
          <w:color w:val="008000"/>
          <w:sz w:val="22"/>
          <w:szCs w:val="22"/>
        </w:rPr>
      </w:pPr>
    </w:p>
    <w:p w:rsidR="006C4B8F" w:rsidRPr="002D16D5" w:rsidRDefault="006C4B8F" w:rsidP="00742F53">
      <w:pPr>
        <w:jc w:val="both"/>
        <w:rPr>
          <w:iCs/>
          <w:sz w:val="22"/>
          <w:szCs w:val="22"/>
          <w:u w:val="single"/>
        </w:rPr>
      </w:pPr>
      <w:r w:rsidRPr="002D16D5">
        <w:rPr>
          <w:iCs/>
          <w:sz w:val="22"/>
          <w:szCs w:val="22"/>
          <w:u w:val="single"/>
        </w:rPr>
        <w:t>Fertilita</w:t>
      </w:r>
    </w:p>
    <w:p w:rsidR="006C4B8F" w:rsidRDefault="006C4B8F" w:rsidP="006C4B8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Štúdie o vplyve na fertilitu sa nevykonali. Z výsledkov </w:t>
      </w:r>
      <w:r w:rsidRPr="00131ABA">
        <w:rPr>
          <w:i/>
          <w:iCs/>
          <w:sz w:val="22"/>
          <w:szCs w:val="22"/>
        </w:rPr>
        <w:t>i</w:t>
      </w:r>
      <w:r w:rsidRPr="0087304D">
        <w:rPr>
          <w:i/>
          <w:iCs/>
          <w:sz w:val="22"/>
          <w:szCs w:val="22"/>
        </w:rPr>
        <w:t>n vitro</w:t>
      </w:r>
      <w:r>
        <w:rPr>
          <w:iCs/>
          <w:sz w:val="22"/>
          <w:szCs w:val="22"/>
        </w:rPr>
        <w:t xml:space="preserve"> modelovej analýzy ľudského kotyledónu vyplýva, že dezmopresín neprechádza placentou, keď sa podáva v terapeutickej koncentrácii zodpovedajúcej odporúčanej dávke.</w:t>
      </w:r>
    </w:p>
    <w:p w:rsidR="006C4B8F" w:rsidRPr="006C4B8F" w:rsidRDefault="006C4B8F" w:rsidP="00742F53">
      <w:pPr>
        <w:jc w:val="both"/>
        <w:rPr>
          <w:iCs/>
          <w:color w:val="008000"/>
          <w:sz w:val="22"/>
          <w:szCs w:val="22"/>
          <w:u w:val="single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b/>
          <w:sz w:val="22"/>
          <w:szCs w:val="22"/>
        </w:rPr>
        <w:t>4.7</w:t>
      </w:r>
      <w:r w:rsidRPr="009528DB">
        <w:rPr>
          <w:b/>
          <w:sz w:val="22"/>
          <w:szCs w:val="22"/>
        </w:rPr>
        <w:tab/>
        <w:t>Ovplyvnenie schopnosti viesť vozidlá a obsluhovať stroje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</w:t>
      </w:r>
      <w:r w:rsidR="00F10D32">
        <w:rPr>
          <w:sz w:val="22"/>
          <w:szCs w:val="22"/>
        </w:rPr>
        <w:t xml:space="preserve">nemá </w:t>
      </w:r>
      <w:r w:rsidR="00D865A7">
        <w:rPr>
          <w:sz w:val="22"/>
          <w:szCs w:val="22"/>
        </w:rPr>
        <w:t xml:space="preserve">žiadny </w:t>
      </w:r>
      <w:r w:rsidR="00F10D32">
        <w:rPr>
          <w:sz w:val="22"/>
          <w:szCs w:val="22"/>
        </w:rPr>
        <w:t xml:space="preserve">alebo má len zanedbateľný vplyv na </w:t>
      </w:r>
      <w:r w:rsidR="003248D1" w:rsidRPr="009528DB">
        <w:rPr>
          <w:sz w:val="22"/>
          <w:szCs w:val="22"/>
        </w:rPr>
        <w:t>schopnosť viesť motorové vozidlá a obsluhovať stroje.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4.8</w:t>
      </w:r>
      <w:r w:rsidRPr="003960B0">
        <w:rPr>
          <w:b/>
          <w:sz w:val="22"/>
          <w:szCs w:val="22"/>
        </w:rPr>
        <w:tab/>
        <w:t>Nežiaduce účinky</w:t>
      </w:r>
    </w:p>
    <w:p w:rsidR="003248D1" w:rsidRPr="003960B0" w:rsidRDefault="003248D1">
      <w:pPr>
        <w:rPr>
          <w:b/>
          <w:sz w:val="22"/>
          <w:szCs w:val="22"/>
        </w:rPr>
      </w:pPr>
    </w:p>
    <w:p w:rsidR="00466FB0" w:rsidRPr="003960B0" w:rsidRDefault="004A7245" w:rsidP="00466FB0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 xml:space="preserve">Veľmi závažnou nežiaducou reakciou pri liečbe dezmopresínom je hyponatriémia, ktorá môže spôsobiť </w:t>
      </w:r>
      <w:r w:rsidR="00466FB0" w:rsidRPr="003960B0">
        <w:rPr>
          <w:bCs/>
          <w:sz w:val="22"/>
          <w:szCs w:val="22"/>
        </w:rPr>
        <w:t>bolesť hlavy, bolesť brucha, nevoľnosť, vracanie, prírastok hmotnosti, závraty, stavy zmätenosti, malátnosť, poruch</w:t>
      </w:r>
      <w:r w:rsidRPr="003960B0">
        <w:rPr>
          <w:bCs/>
          <w:sz w:val="22"/>
          <w:szCs w:val="22"/>
        </w:rPr>
        <w:t>u</w:t>
      </w:r>
      <w:r w:rsidR="00466FB0" w:rsidRPr="003960B0">
        <w:rPr>
          <w:bCs/>
          <w:sz w:val="22"/>
          <w:szCs w:val="22"/>
        </w:rPr>
        <w:t xml:space="preserve"> pamäti, vertigo, pády a v závažných prípadoch kŕče a kóm</w:t>
      </w:r>
      <w:r w:rsidRPr="003960B0">
        <w:rPr>
          <w:bCs/>
          <w:sz w:val="22"/>
          <w:szCs w:val="22"/>
        </w:rPr>
        <w:t>u</w:t>
      </w:r>
      <w:r w:rsidR="00466FB0" w:rsidRPr="003960B0">
        <w:rPr>
          <w:bCs/>
          <w:sz w:val="22"/>
          <w:szCs w:val="22"/>
        </w:rPr>
        <w:t>. Príčinou možnej hyponatriémie je očakávaný antidiuretický účinok. Hyponatriémia je reverzibilná a u detí sa často vysk</w:t>
      </w:r>
      <w:r w:rsidR="002C0B40" w:rsidRPr="003960B0">
        <w:rPr>
          <w:bCs/>
          <w:sz w:val="22"/>
          <w:szCs w:val="22"/>
        </w:rPr>
        <w:t>ytuje v súvislosti s</w:t>
      </w:r>
      <w:r w:rsidR="00466FB0" w:rsidRPr="003960B0">
        <w:rPr>
          <w:bCs/>
          <w:sz w:val="22"/>
          <w:szCs w:val="22"/>
        </w:rPr>
        <w:t>o zmenami obvyklého denného režimu, ktoré ovplyvňujú príjem tekutín a/alebo potenie. U dospelých liečených na noktúriu väčšina prípadov súvisiacich s poklesom koncentrácie sodíka v sére sa objavuje v prvých dňoch liečby alebo pri zvýšení dávky. V obidvoch skupinách, u dospelých aj detí, je potrebné venovať zvýšenú pozornosť opatreniam, ktoré sú uvedené v časti 4.4.</w:t>
      </w:r>
    </w:p>
    <w:p w:rsidR="00466FB0" w:rsidRPr="003960B0" w:rsidRDefault="00466FB0" w:rsidP="00466FB0">
      <w:pPr>
        <w:rPr>
          <w:b/>
          <w:bCs/>
          <w:i/>
          <w:sz w:val="22"/>
          <w:szCs w:val="22"/>
        </w:rPr>
      </w:pPr>
    </w:p>
    <w:p w:rsidR="00A36E36" w:rsidRPr="003960B0" w:rsidRDefault="00A36E36" w:rsidP="001E08EB">
      <w:pPr>
        <w:rPr>
          <w:bCs/>
          <w:i/>
          <w:sz w:val="22"/>
          <w:szCs w:val="22"/>
          <w:u w:val="single"/>
        </w:rPr>
      </w:pPr>
      <w:r w:rsidRPr="003960B0">
        <w:rPr>
          <w:bCs/>
          <w:i/>
          <w:sz w:val="22"/>
          <w:szCs w:val="22"/>
          <w:u w:val="single"/>
        </w:rPr>
        <w:t>Dospelí</w:t>
      </w:r>
    </w:p>
    <w:p w:rsidR="00A36E36" w:rsidRPr="003960B0" w:rsidRDefault="00A36E36" w:rsidP="001E08EB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 xml:space="preserve">Nežiaduce reakcie sú uvedené </w:t>
      </w:r>
      <w:r w:rsidR="00E23268" w:rsidRPr="003960B0">
        <w:rPr>
          <w:bCs/>
          <w:sz w:val="22"/>
          <w:szCs w:val="22"/>
        </w:rPr>
        <w:t>podľa</w:t>
      </w:r>
      <w:r w:rsidRPr="003960B0">
        <w:rPr>
          <w:bCs/>
          <w:sz w:val="22"/>
          <w:szCs w:val="22"/>
        </w:rPr>
        <w:t xml:space="preserve"> frekvencie </w:t>
      </w:r>
      <w:r w:rsidR="00E23268" w:rsidRPr="003960B0">
        <w:rPr>
          <w:bCs/>
          <w:sz w:val="22"/>
          <w:szCs w:val="22"/>
        </w:rPr>
        <w:t xml:space="preserve">ich výskytu </w:t>
      </w:r>
      <w:r w:rsidRPr="003960B0">
        <w:rPr>
          <w:bCs/>
          <w:sz w:val="22"/>
          <w:szCs w:val="22"/>
        </w:rPr>
        <w:t>počas klinických skúšaní s perorálnym dezmopresínom u dospelých liečených na noktúriu (N</w:t>
      </w:r>
      <w:r w:rsidR="00E020BE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>=</w:t>
      </w:r>
      <w:r w:rsidR="00E020BE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>1</w:t>
      </w:r>
      <w:r w:rsidR="00E23268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>557) a tiež skúsenos</w:t>
      </w:r>
      <w:r w:rsidR="00250593" w:rsidRPr="003960B0">
        <w:rPr>
          <w:bCs/>
          <w:sz w:val="22"/>
          <w:szCs w:val="22"/>
        </w:rPr>
        <w:t>t</w:t>
      </w:r>
      <w:r w:rsidRPr="003960B0">
        <w:rPr>
          <w:bCs/>
          <w:sz w:val="22"/>
          <w:szCs w:val="22"/>
        </w:rPr>
        <w:t xml:space="preserve">í po uvedení lieku na trh pre všetky indikácie u dospelých (vrátane centrálneho diabetu insipidus). </w:t>
      </w:r>
      <w:r w:rsidR="00B97EF8" w:rsidRPr="003960B0">
        <w:rPr>
          <w:bCs/>
          <w:sz w:val="22"/>
          <w:szCs w:val="22"/>
        </w:rPr>
        <w:t>Frekvencia r</w:t>
      </w:r>
      <w:r w:rsidRPr="003960B0">
        <w:rPr>
          <w:bCs/>
          <w:sz w:val="22"/>
          <w:szCs w:val="22"/>
        </w:rPr>
        <w:t>eakci</w:t>
      </w:r>
      <w:r w:rsidR="00B97EF8" w:rsidRPr="003960B0">
        <w:rPr>
          <w:bCs/>
          <w:sz w:val="22"/>
          <w:szCs w:val="22"/>
        </w:rPr>
        <w:t>í</w:t>
      </w:r>
      <w:r w:rsidRPr="003960B0">
        <w:rPr>
          <w:bCs/>
          <w:sz w:val="22"/>
          <w:szCs w:val="22"/>
        </w:rPr>
        <w:t xml:space="preserve">, ktoré boli pozorované </w:t>
      </w:r>
      <w:r w:rsidR="00FF50F1" w:rsidRPr="003960B0">
        <w:rPr>
          <w:bCs/>
          <w:sz w:val="22"/>
          <w:szCs w:val="22"/>
        </w:rPr>
        <w:t xml:space="preserve">len </w:t>
      </w:r>
      <w:r w:rsidRPr="003960B0">
        <w:rPr>
          <w:bCs/>
          <w:sz w:val="22"/>
          <w:szCs w:val="22"/>
        </w:rPr>
        <w:t>po uvedení lieku na trh</w:t>
      </w:r>
      <w:r w:rsidR="00831F48" w:rsidRPr="003960B0">
        <w:rPr>
          <w:bCs/>
          <w:sz w:val="22"/>
          <w:szCs w:val="22"/>
        </w:rPr>
        <w:t>,</w:t>
      </w:r>
      <w:r w:rsidR="00B97EF8" w:rsidRPr="003960B0">
        <w:rPr>
          <w:bCs/>
          <w:sz w:val="22"/>
          <w:szCs w:val="22"/>
        </w:rPr>
        <w:t xml:space="preserve"> je</w:t>
      </w:r>
      <w:r w:rsidRPr="003960B0">
        <w:rPr>
          <w:bCs/>
          <w:sz w:val="22"/>
          <w:szCs w:val="22"/>
        </w:rPr>
        <w:t xml:space="preserve"> uveden</w:t>
      </w:r>
      <w:r w:rsidR="00B97EF8" w:rsidRPr="003960B0">
        <w:rPr>
          <w:bCs/>
          <w:sz w:val="22"/>
          <w:szCs w:val="22"/>
        </w:rPr>
        <w:t>á</w:t>
      </w:r>
      <w:r w:rsidRPr="003960B0">
        <w:rPr>
          <w:bCs/>
          <w:sz w:val="22"/>
          <w:szCs w:val="22"/>
        </w:rPr>
        <w:t xml:space="preserve"> ako  "</w:t>
      </w:r>
      <w:r w:rsidR="00DC240F" w:rsidRPr="003960B0">
        <w:rPr>
          <w:bCs/>
          <w:sz w:val="22"/>
          <w:szCs w:val="22"/>
        </w:rPr>
        <w:t>n</w:t>
      </w:r>
      <w:r w:rsidRPr="003960B0">
        <w:rPr>
          <w:bCs/>
          <w:sz w:val="22"/>
          <w:szCs w:val="22"/>
        </w:rPr>
        <w:t>eznám</w:t>
      </w:r>
      <w:r w:rsidR="00B97EF8" w:rsidRPr="003960B0">
        <w:rPr>
          <w:bCs/>
          <w:sz w:val="22"/>
          <w:szCs w:val="22"/>
        </w:rPr>
        <w:t>a (z dostupných údajov)</w:t>
      </w:r>
      <w:r w:rsidRPr="003960B0">
        <w:rPr>
          <w:bCs/>
          <w:sz w:val="22"/>
          <w:szCs w:val="22"/>
        </w:rPr>
        <w:t>".</w:t>
      </w:r>
    </w:p>
    <w:p w:rsidR="00A36E36" w:rsidRPr="003960B0" w:rsidRDefault="00A36E36" w:rsidP="001E08EB">
      <w:pPr>
        <w:rPr>
          <w:bCs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0"/>
        <w:gridCol w:w="1200"/>
        <w:gridCol w:w="1560"/>
        <w:gridCol w:w="1320"/>
        <w:gridCol w:w="1200"/>
        <w:gridCol w:w="1680"/>
      </w:tblGrid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Trieda orgánových systémov podľa MedDRA </w:t>
            </w:r>
          </w:p>
        </w:tc>
        <w:tc>
          <w:tcPr>
            <w:tcW w:w="120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Veľmi časté 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1/10)</w:t>
            </w:r>
          </w:p>
        </w:tc>
        <w:tc>
          <w:tcPr>
            <w:tcW w:w="156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Časté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1/100 až &lt; 1/10)</w:t>
            </w:r>
          </w:p>
        </w:tc>
        <w:tc>
          <w:tcPr>
            <w:tcW w:w="132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Menej časté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1/1 000 až &lt; 1/100</w:t>
            </w:r>
            <w:r w:rsidRPr="003960B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Zriedkavé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1/10 000 až &lt; 1/1 000)</w:t>
            </w:r>
          </w:p>
        </w:tc>
        <w:tc>
          <w:tcPr>
            <w:tcW w:w="168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Neznáme</w:t>
            </w:r>
          </w:p>
          <w:p w:rsidR="00101D12" w:rsidRPr="003960B0" w:rsidRDefault="00101D12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(z dostupných údajov)</w:t>
            </w: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imunitného systému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726A21" w:rsidRPr="003960B0">
              <w:rPr>
                <w:bCs/>
                <w:sz w:val="20"/>
                <w:szCs w:val="20"/>
              </w:rPr>
              <w:t>nafylaktická reakcia</w:t>
            </w: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Poruchy metabolizmu </w:t>
            </w:r>
            <w:r w:rsidRPr="003960B0">
              <w:rPr>
                <w:b/>
                <w:bCs/>
                <w:sz w:val="20"/>
                <w:szCs w:val="20"/>
              </w:rPr>
              <w:lastRenderedPageBreak/>
              <w:t>a výživy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h</w:t>
            </w:r>
            <w:r w:rsidR="00726A21" w:rsidRPr="003960B0">
              <w:rPr>
                <w:bCs/>
                <w:sz w:val="20"/>
                <w:szCs w:val="20"/>
              </w:rPr>
              <w:t>yponatriémia</w:t>
            </w:r>
            <w:r w:rsidR="00BE7D32" w:rsidRPr="003960B0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d</w:t>
            </w:r>
            <w:r w:rsidR="00726A21" w:rsidRPr="003960B0">
              <w:rPr>
                <w:bCs/>
                <w:sz w:val="20"/>
                <w:szCs w:val="20"/>
              </w:rPr>
              <w:t xml:space="preserve">ehydratácia**, </w:t>
            </w:r>
            <w:r w:rsidR="00E23268" w:rsidRPr="003960B0">
              <w:rPr>
                <w:bCs/>
                <w:sz w:val="20"/>
                <w:szCs w:val="20"/>
              </w:rPr>
              <w:t>h</w:t>
            </w:r>
            <w:r w:rsidR="00726A21" w:rsidRPr="003960B0">
              <w:rPr>
                <w:bCs/>
                <w:sz w:val="20"/>
                <w:szCs w:val="20"/>
              </w:rPr>
              <w:t>ypernatriémia**</w:t>
            </w: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lastRenderedPageBreak/>
              <w:t>Psychické poruchy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i</w:t>
            </w:r>
            <w:r w:rsidR="00726A21" w:rsidRPr="003960B0">
              <w:rPr>
                <w:bCs/>
                <w:sz w:val="20"/>
                <w:szCs w:val="20"/>
              </w:rPr>
              <w:t>nsomnia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s</w:t>
            </w:r>
            <w:r w:rsidR="00A1693E" w:rsidRPr="003960B0">
              <w:rPr>
                <w:bCs/>
                <w:sz w:val="20"/>
                <w:szCs w:val="20"/>
              </w:rPr>
              <w:t>tav</w:t>
            </w:r>
            <w:r w:rsidR="00316905" w:rsidRPr="003960B0">
              <w:rPr>
                <w:bCs/>
                <w:sz w:val="20"/>
                <w:szCs w:val="20"/>
              </w:rPr>
              <w:t>y</w:t>
            </w:r>
            <w:r w:rsidR="00A1693E" w:rsidRPr="003960B0">
              <w:rPr>
                <w:bCs/>
                <w:sz w:val="20"/>
                <w:szCs w:val="20"/>
              </w:rPr>
              <w:t xml:space="preserve"> zmätenosti*</w:t>
            </w: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A1693E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nervového systému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b</w:t>
            </w:r>
            <w:r w:rsidR="00A1693E" w:rsidRPr="003960B0">
              <w:rPr>
                <w:bCs/>
                <w:sz w:val="20"/>
                <w:szCs w:val="20"/>
              </w:rPr>
              <w:t>olesť hlavy*</w:t>
            </w:r>
          </w:p>
        </w:tc>
        <w:tc>
          <w:tcPr>
            <w:tcW w:w="156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z</w:t>
            </w:r>
            <w:r w:rsidR="00A1693E" w:rsidRPr="003960B0">
              <w:rPr>
                <w:bCs/>
                <w:sz w:val="20"/>
                <w:szCs w:val="20"/>
              </w:rPr>
              <w:t>ávrat</w:t>
            </w:r>
            <w:r w:rsidR="00E23268" w:rsidRPr="003960B0">
              <w:rPr>
                <w:bCs/>
                <w:sz w:val="20"/>
                <w:szCs w:val="20"/>
              </w:rPr>
              <w:t>y</w:t>
            </w:r>
            <w:r w:rsidR="00A1693E" w:rsidRPr="003960B0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:rsidR="00E23268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s</w:t>
            </w:r>
            <w:r w:rsidR="00A1693E" w:rsidRPr="003960B0">
              <w:rPr>
                <w:bCs/>
                <w:sz w:val="20"/>
                <w:szCs w:val="20"/>
              </w:rPr>
              <w:t>omnolencia</w:t>
            </w:r>
            <w:r w:rsidR="00E23268" w:rsidRPr="003960B0">
              <w:rPr>
                <w:bCs/>
                <w:sz w:val="20"/>
                <w:szCs w:val="20"/>
              </w:rPr>
              <w:t>,</w:t>
            </w:r>
          </w:p>
          <w:p w:rsidR="00A36E36" w:rsidRPr="003960B0" w:rsidRDefault="00E23268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A1693E" w:rsidRPr="003960B0">
              <w:rPr>
                <w:bCs/>
                <w:sz w:val="20"/>
                <w:szCs w:val="20"/>
              </w:rPr>
              <w:t>arestézia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k</w:t>
            </w:r>
            <w:r w:rsidR="00A1693E" w:rsidRPr="003960B0">
              <w:rPr>
                <w:bCs/>
                <w:sz w:val="20"/>
                <w:szCs w:val="20"/>
              </w:rPr>
              <w:t>ŕče*, asténia**, kóma*</w:t>
            </w: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A1693E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o</w:t>
            </w:r>
            <w:r w:rsidR="0059426C" w:rsidRPr="003960B0">
              <w:rPr>
                <w:b/>
                <w:bCs/>
                <w:sz w:val="20"/>
                <w:szCs w:val="20"/>
              </w:rPr>
              <w:t>ka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A1693E" w:rsidRPr="003960B0">
              <w:rPr>
                <w:bCs/>
                <w:sz w:val="20"/>
                <w:szCs w:val="20"/>
              </w:rPr>
              <w:t xml:space="preserve">oruchy </w:t>
            </w:r>
            <w:r w:rsidR="00B0571E" w:rsidRPr="003960B0">
              <w:rPr>
                <w:bCs/>
                <w:sz w:val="20"/>
                <w:szCs w:val="20"/>
              </w:rPr>
              <w:t>videnia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FF50F1" w:rsidRPr="003960B0" w:rsidTr="0002393B">
        <w:tc>
          <w:tcPr>
            <w:tcW w:w="2040" w:type="dxa"/>
            <w:shd w:val="clear" w:color="auto" w:fill="F2F2F2"/>
          </w:tcPr>
          <w:p w:rsidR="00FF50F1" w:rsidRPr="003960B0" w:rsidRDefault="00FF50F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ucha a labyrintu</w:t>
            </w:r>
          </w:p>
        </w:tc>
        <w:tc>
          <w:tcPr>
            <w:tcW w:w="1200" w:type="dxa"/>
            <w:shd w:val="clear" w:color="auto" w:fill="auto"/>
          </w:tcPr>
          <w:p w:rsidR="00FF50F1" w:rsidRPr="003960B0" w:rsidRDefault="00FF50F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50F1" w:rsidRPr="003960B0" w:rsidRDefault="00FF50F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50F1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v</w:t>
            </w:r>
            <w:r w:rsidR="00FF50F1" w:rsidRPr="003960B0">
              <w:rPr>
                <w:bCs/>
                <w:sz w:val="20"/>
                <w:szCs w:val="20"/>
              </w:rPr>
              <w:t>ertigo*</w:t>
            </w:r>
          </w:p>
        </w:tc>
        <w:tc>
          <w:tcPr>
            <w:tcW w:w="1200" w:type="dxa"/>
            <w:shd w:val="clear" w:color="auto" w:fill="auto"/>
          </w:tcPr>
          <w:p w:rsidR="00FF50F1" w:rsidRPr="003960B0" w:rsidRDefault="00FF50F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FF50F1" w:rsidRPr="003960B0" w:rsidRDefault="00FF50F1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A1693E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srdca a srdcovej</w:t>
            </w:r>
            <w:r w:rsidRPr="003960B0">
              <w:rPr>
                <w:bCs/>
                <w:sz w:val="20"/>
                <w:szCs w:val="20"/>
              </w:rPr>
              <w:t xml:space="preserve"> </w:t>
            </w:r>
            <w:r w:rsidRPr="003960B0">
              <w:rPr>
                <w:b/>
                <w:bCs/>
                <w:sz w:val="20"/>
                <w:szCs w:val="20"/>
              </w:rPr>
              <w:t>činnosti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EB1578" w:rsidRPr="003960B0">
              <w:rPr>
                <w:bCs/>
                <w:sz w:val="20"/>
                <w:szCs w:val="20"/>
              </w:rPr>
              <w:t>alpitácie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EB1578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ciev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h</w:t>
            </w:r>
            <w:r w:rsidR="00EB1578" w:rsidRPr="003960B0">
              <w:rPr>
                <w:bCs/>
                <w:sz w:val="20"/>
                <w:szCs w:val="20"/>
              </w:rPr>
              <w:t>ypertenzia</w:t>
            </w: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o</w:t>
            </w:r>
            <w:r w:rsidR="00EB1578" w:rsidRPr="003960B0">
              <w:rPr>
                <w:bCs/>
                <w:sz w:val="20"/>
                <w:szCs w:val="20"/>
              </w:rPr>
              <w:t>rtostatická hypotenzia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EB1578" w:rsidRPr="003960B0" w:rsidRDefault="00EB1578" w:rsidP="00EB1578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dýchacej sústavy, hrudníka a mediastína</w:t>
            </w:r>
          </w:p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d</w:t>
            </w:r>
            <w:r w:rsidR="00EB1578" w:rsidRPr="003960B0">
              <w:rPr>
                <w:bCs/>
                <w:sz w:val="20"/>
                <w:szCs w:val="20"/>
              </w:rPr>
              <w:t>yspnoe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EB1578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gastrointestinálneho traktu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n</w:t>
            </w:r>
            <w:r w:rsidR="00FF50F1" w:rsidRPr="003960B0">
              <w:rPr>
                <w:bCs/>
                <w:sz w:val="20"/>
                <w:szCs w:val="20"/>
              </w:rPr>
              <w:t>evoľnosť</w:t>
            </w:r>
            <w:r w:rsidR="00EB1578" w:rsidRPr="003960B0">
              <w:rPr>
                <w:bCs/>
                <w:sz w:val="20"/>
                <w:szCs w:val="20"/>
              </w:rPr>
              <w:t>*</w:t>
            </w:r>
            <w:r w:rsidR="008A7767" w:rsidRPr="003960B0">
              <w:rPr>
                <w:bCs/>
                <w:sz w:val="20"/>
                <w:szCs w:val="20"/>
              </w:rPr>
              <w:t>,</w:t>
            </w:r>
            <w:r w:rsidR="00E23268" w:rsidRPr="003960B0">
              <w:rPr>
                <w:bCs/>
                <w:sz w:val="20"/>
                <w:szCs w:val="20"/>
              </w:rPr>
              <w:t xml:space="preserve"> b</w:t>
            </w:r>
            <w:r w:rsidR="00EB1578" w:rsidRPr="003960B0">
              <w:rPr>
                <w:bCs/>
                <w:sz w:val="20"/>
                <w:szCs w:val="20"/>
              </w:rPr>
              <w:t>olesť brucha*</w:t>
            </w:r>
            <w:r w:rsidR="00E23268" w:rsidRPr="003960B0">
              <w:rPr>
                <w:bCs/>
                <w:sz w:val="20"/>
                <w:szCs w:val="20"/>
              </w:rPr>
              <w:t>, h</w:t>
            </w:r>
            <w:r w:rsidR="00EB1578" w:rsidRPr="003960B0">
              <w:rPr>
                <w:bCs/>
                <w:sz w:val="20"/>
                <w:szCs w:val="20"/>
              </w:rPr>
              <w:t>načka, zápcha, vracanie*</w:t>
            </w: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E97FB5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d</w:t>
            </w:r>
            <w:r w:rsidR="00EB1578" w:rsidRPr="003960B0">
              <w:rPr>
                <w:bCs/>
                <w:sz w:val="20"/>
                <w:szCs w:val="20"/>
              </w:rPr>
              <w:t xml:space="preserve">yspepsia, </w:t>
            </w:r>
            <w:r w:rsidR="005E6C82" w:rsidRPr="003960B0">
              <w:rPr>
                <w:bCs/>
                <w:sz w:val="20"/>
                <w:szCs w:val="20"/>
              </w:rPr>
              <w:t xml:space="preserve">(HTL) </w:t>
            </w:r>
            <w:r w:rsidR="00EB1578" w:rsidRPr="003960B0">
              <w:rPr>
                <w:bCs/>
                <w:sz w:val="20"/>
                <w:szCs w:val="20"/>
              </w:rPr>
              <w:t xml:space="preserve">flatulencia, </w:t>
            </w:r>
            <w:r w:rsidR="00E97FB5" w:rsidRPr="003960B0">
              <w:rPr>
                <w:bCs/>
                <w:sz w:val="20"/>
                <w:szCs w:val="20"/>
              </w:rPr>
              <w:t>nadúvanie</w:t>
            </w:r>
            <w:r w:rsidR="00EB1578" w:rsidRPr="003960B0">
              <w:rPr>
                <w:bCs/>
                <w:sz w:val="20"/>
                <w:szCs w:val="20"/>
              </w:rPr>
              <w:t xml:space="preserve"> a</w:t>
            </w:r>
            <w:r w:rsidR="00612BF2" w:rsidRPr="003960B0">
              <w:rPr>
                <w:bCs/>
                <w:sz w:val="20"/>
                <w:szCs w:val="20"/>
              </w:rPr>
              <w:t> </w:t>
            </w:r>
            <w:r w:rsidR="00EB1578" w:rsidRPr="003960B0">
              <w:rPr>
                <w:bCs/>
                <w:sz w:val="20"/>
                <w:szCs w:val="20"/>
              </w:rPr>
              <w:t>distenzia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EB1578" w:rsidRPr="003960B0" w:rsidTr="0002393B">
        <w:tc>
          <w:tcPr>
            <w:tcW w:w="2040" w:type="dxa"/>
            <w:shd w:val="clear" w:color="auto" w:fill="F2F2F2"/>
          </w:tcPr>
          <w:p w:rsidR="00EB1578" w:rsidRPr="003960B0" w:rsidRDefault="00EB1578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kože a podkožného tkaniva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EB1578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EB1578" w:rsidRPr="003960B0">
              <w:rPr>
                <w:bCs/>
                <w:sz w:val="20"/>
                <w:szCs w:val="20"/>
              </w:rPr>
              <w:t>otenie, pruritus, vyrážka, žihľavka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EB1578" w:rsidRPr="003960B0">
              <w:rPr>
                <w:bCs/>
                <w:sz w:val="20"/>
                <w:szCs w:val="20"/>
              </w:rPr>
              <w:t>lergická dermatitída</w:t>
            </w:r>
          </w:p>
        </w:tc>
        <w:tc>
          <w:tcPr>
            <w:tcW w:w="168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</w:tr>
      <w:tr w:rsidR="00EB1578" w:rsidRPr="003960B0" w:rsidTr="0002393B">
        <w:tc>
          <w:tcPr>
            <w:tcW w:w="2040" w:type="dxa"/>
            <w:shd w:val="clear" w:color="auto" w:fill="F2F2F2"/>
          </w:tcPr>
          <w:p w:rsidR="00EB1578" w:rsidRPr="003960B0" w:rsidRDefault="00EB1578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kost</w:t>
            </w:r>
            <w:r w:rsidR="00024C1F" w:rsidRPr="003960B0">
              <w:rPr>
                <w:b/>
                <w:bCs/>
                <w:sz w:val="20"/>
                <w:szCs w:val="20"/>
              </w:rPr>
              <w:t>rovej a svalovej sústavy a spojivového tkaniva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EB1578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s</w:t>
            </w:r>
            <w:r w:rsidR="00510471" w:rsidRPr="003960B0">
              <w:rPr>
                <w:bCs/>
                <w:sz w:val="20"/>
                <w:szCs w:val="20"/>
              </w:rPr>
              <w:t>valové kŕče, myalgia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</w:tr>
      <w:tr w:rsidR="00EB1578" w:rsidRPr="003960B0" w:rsidTr="0002393B">
        <w:tc>
          <w:tcPr>
            <w:tcW w:w="2040" w:type="dxa"/>
            <w:shd w:val="clear" w:color="auto" w:fill="F2F2F2"/>
          </w:tcPr>
          <w:p w:rsidR="00EB1578" w:rsidRPr="003960B0" w:rsidRDefault="0051047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Poruchy </w:t>
            </w:r>
            <w:r w:rsidR="00024C1F" w:rsidRPr="003960B0">
              <w:rPr>
                <w:b/>
                <w:bCs/>
                <w:sz w:val="20"/>
                <w:szCs w:val="20"/>
              </w:rPr>
              <w:t>obličiek a močových ciest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78" w:rsidRPr="003960B0" w:rsidRDefault="005E6C82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(HTL) p</w:t>
            </w:r>
            <w:r w:rsidR="00F05B2C" w:rsidRPr="003960B0">
              <w:rPr>
                <w:bCs/>
                <w:sz w:val="20"/>
                <w:szCs w:val="20"/>
              </w:rPr>
              <w:t>ríznaky</w:t>
            </w:r>
            <w:r w:rsidR="00E23268" w:rsidRPr="003960B0">
              <w:rPr>
                <w:bCs/>
                <w:sz w:val="20"/>
                <w:szCs w:val="20"/>
              </w:rPr>
              <w:t xml:space="preserve"> </w:t>
            </w:r>
            <w:r w:rsidR="00316905" w:rsidRPr="003960B0">
              <w:rPr>
                <w:bCs/>
                <w:sz w:val="20"/>
                <w:szCs w:val="20"/>
              </w:rPr>
              <w:t>močového mechúra a</w:t>
            </w:r>
            <w:r w:rsidR="00EC3E5A" w:rsidRPr="003960B0">
              <w:rPr>
                <w:bCs/>
                <w:sz w:val="20"/>
                <w:szCs w:val="20"/>
              </w:rPr>
              <w:t xml:space="preserve"> močovej </w:t>
            </w:r>
            <w:r w:rsidR="005E7587" w:rsidRPr="003960B0">
              <w:rPr>
                <w:bCs/>
                <w:sz w:val="20"/>
                <w:szCs w:val="20"/>
              </w:rPr>
              <w:t>rúry</w:t>
            </w:r>
          </w:p>
        </w:tc>
        <w:tc>
          <w:tcPr>
            <w:tcW w:w="132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</w:tr>
      <w:tr w:rsidR="00510471" w:rsidRPr="003960B0" w:rsidTr="0002393B">
        <w:tc>
          <w:tcPr>
            <w:tcW w:w="2040" w:type="dxa"/>
            <w:shd w:val="clear" w:color="auto" w:fill="F2F2F2"/>
          </w:tcPr>
          <w:p w:rsidR="00510471" w:rsidRPr="003960B0" w:rsidRDefault="0051047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Celkové poruchy a reakcie v mieste podania</w:t>
            </w:r>
          </w:p>
        </w:tc>
        <w:tc>
          <w:tcPr>
            <w:tcW w:w="120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10471" w:rsidRPr="003960B0" w:rsidRDefault="005E6C82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(HTL) e</w:t>
            </w:r>
            <w:r w:rsidR="00510471" w:rsidRPr="003960B0">
              <w:rPr>
                <w:bCs/>
                <w:sz w:val="20"/>
                <w:szCs w:val="20"/>
              </w:rPr>
              <w:t>dém, únava</w:t>
            </w:r>
          </w:p>
        </w:tc>
        <w:tc>
          <w:tcPr>
            <w:tcW w:w="1320" w:type="dxa"/>
            <w:shd w:val="clear" w:color="auto" w:fill="auto"/>
          </w:tcPr>
          <w:p w:rsidR="00510471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m</w:t>
            </w:r>
            <w:r w:rsidR="00510471" w:rsidRPr="003960B0">
              <w:rPr>
                <w:bCs/>
                <w:sz w:val="20"/>
                <w:szCs w:val="20"/>
              </w:rPr>
              <w:t xml:space="preserve">alátnosť*, bolesť na hrudníku, chrípke podobné ochorenie </w:t>
            </w:r>
          </w:p>
        </w:tc>
        <w:tc>
          <w:tcPr>
            <w:tcW w:w="120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</w:tr>
      <w:tr w:rsidR="00510471" w:rsidRPr="003960B0" w:rsidTr="0002393B">
        <w:tc>
          <w:tcPr>
            <w:tcW w:w="2040" w:type="dxa"/>
            <w:shd w:val="clear" w:color="auto" w:fill="F2F2F2"/>
          </w:tcPr>
          <w:p w:rsidR="00510471" w:rsidRPr="003960B0" w:rsidRDefault="00024C1F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Laboratór</w:t>
            </w:r>
            <w:r w:rsidR="00510471" w:rsidRPr="003960B0">
              <w:rPr>
                <w:b/>
                <w:bCs/>
                <w:sz w:val="20"/>
                <w:szCs w:val="20"/>
              </w:rPr>
              <w:t>ne a funkčné vyšetrenia</w:t>
            </w:r>
          </w:p>
        </w:tc>
        <w:tc>
          <w:tcPr>
            <w:tcW w:w="120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510471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316905" w:rsidRPr="003960B0">
              <w:rPr>
                <w:bCs/>
                <w:sz w:val="20"/>
                <w:szCs w:val="20"/>
              </w:rPr>
              <w:t>rírastok</w:t>
            </w:r>
            <w:r w:rsidR="00510471" w:rsidRPr="003960B0">
              <w:rPr>
                <w:bCs/>
                <w:sz w:val="20"/>
                <w:szCs w:val="20"/>
              </w:rPr>
              <w:t xml:space="preserve"> hmotnosti*, zvýšené hodnoty pečeňových enzýmov, hypokaliémia</w:t>
            </w:r>
          </w:p>
        </w:tc>
        <w:tc>
          <w:tcPr>
            <w:tcW w:w="120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</w:tr>
    </w:tbl>
    <w:p w:rsidR="00024C1F" w:rsidRPr="003960B0" w:rsidRDefault="00510471" w:rsidP="001E08EB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>*</w:t>
      </w:r>
      <w:r w:rsidR="005F6F33" w:rsidRPr="003960B0">
        <w:rPr>
          <w:bCs/>
          <w:sz w:val="20"/>
          <w:szCs w:val="20"/>
        </w:rPr>
        <w:t xml:space="preserve">Hyponatriémia môže spôsobiť bolesť hlavy, bolesť brucha, nevoľnosť, vracanie, </w:t>
      </w:r>
      <w:r w:rsidR="00316905" w:rsidRPr="003960B0">
        <w:rPr>
          <w:bCs/>
          <w:sz w:val="20"/>
          <w:szCs w:val="20"/>
        </w:rPr>
        <w:t>prírastok</w:t>
      </w:r>
      <w:r w:rsidR="005F6F33" w:rsidRPr="003960B0">
        <w:rPr>
          <w:bCs/>
          <w:sz w:val="20"/>
          <w:szCs w:val="20"/>
        </w:rPr>
        <w:t xml:space="preserve"> hmotnosti, závraty, zmätenosť, malátnosť, poruchy pamäti, vertigo, pády a</w:t>
      </w:r>
      <w:r w:rsidR="00024C1F" w:rsidRPr="003960B0">
        <w:rPr>
          <w:bCs/>
          <w:sz w:val="20"/>
          <w:szCs w:val="20"/>
        </w:rPr>
        <w:t xml:space="preserve"> vo vážnych prípadoch kŕče a kóm</w:t>
      </w:r>
      <w:r w:rsidR="00316905" w:rsidRPr="003960B0">
        <w:rPr>
          <w:bCs/>
          <w:sz w:val="20"/>
          <w:szCs w:val="20"/>
        </w:rPr>
        <w:t>u</w:t>
      </w:r>
      <w:r w:rsidR="00024C1F" w:rsidRPr="003960B0">
        <w:rPr>
          <w:bCs/>
          <w:sz w:val="20"/>
          <w:szCs w:val="20"/>
        </w:rPr>
        <w:t>.</w:t>
      </w:r>
    </w:p>
    <w:p w:rsidR="00A36E36" w:rsidRPr="003960B0" w:rsidRDefault="005F6F33" w:rsidP="001E08EB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 xml:space="preserve"> </w:t>
      </w:r>
      <w:r w:rsidR="00024C1F" w:rsidRPr="003960B0">
        <w:rPr>
          <w:bCs/>
          <w:sz w:val="20"/>
          <w:szCs w:val="20"/>
        </w:rPr>
        <w:t xml:space="preserve">**Pozorované len pri </w:t>
      </w:r>
      <w:r w:rsidR="00831F48" w:rsidRPr="003960B0">
        <w:rPr>
          <w:bCs/>
          <w:sz w:val="20"/>
          <w:szCs w:val="20"/>
        </w:rPr>
        <w:t>centrálnom diabete insipidus</w:t>
      </w:r>
      <w:r w:rsidR="00024C1F" w:rsidRPr="003960B0">
        <w:rPr>
          <w:bCs/>
          <w:sz w:val="20"/>
          <w:szCs w:val="20"/>
        </w:rPr>
        <w:t>.</w:t>
      </w:r>
    </w:p>
    <w:p w:rsidR="00024C1F" w:rsidRPr="003960B0" w:rsidRDefault="00024C1F" w:rsidP="001E08EB">
      <w:pPr>
        <w:rPr>
          <w:bCs/>
          <w:sz w:val="22"/>
          <w:szCs w:val="22"/>
        </w:rPr>
      </w:pPr>
    </w:p>
    <w:p w:rsidR="00024C1F" w:rsidRPr="003960B0" w:rsidRDefault="00F75B21" w:rsidP="001E08EB">
      <w:pPr>
        <w:rPr>
          <w:bCs/>
          <w:i/>
          <w:sz w:val="22"/>
          <w:szCs w:val="22"/>
          <w:u w:val="single"/>
        </w:rPr>
      </w:pPr>
      <w:r w:rsidRPr="003960B0">
        <w:rPr>
          <w:bCs/>
          <w:i/>
          <w:sz w:val="22"/>
          <w:szCs w:val="22"/>
          <w:u w:val="single"/>
        </w:rPr>
        <w:t>Pediatrická populácia</w:t>
      </w:r>
    </w:p>
    <w:p w:rsidR="00024C1F" w:rsidRPr="003960B0" w:rsidRDefault="00024C1F" w:rsidP="00024C1F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 xml:space="preserve">Nežiaduce účinky sú uvedené </w:t>
      </w:r>
      <w:r w:rsidR="00032242" w:rsidRPr="003960B0">
        <w:rPr>
          <w:bCs/>
          <w:sz w:val="22"/>
          <w:szCs w:val="22"/>
        </w:rPr>
        <w:t>podľa</w:t>
      </w:r>
      <w:r w:rsidRPr="003960B0">
        <w:rPr>
          <w:bCs/>
          <w:sz w:val="22"/>
          <w:szCs w:val="22"/>
        </w:rPr>
        <w:t xml:space="preserve"> frekvencie ich výskytu počas klinických skúšaní u detí a adolescentov liečených perorálnym </w:t>
      </w:r>
      <w:r w:rsidR="00E97FB5" w:rsidRPr="003960B0">
        <w:rPr>
          <w:bCs/>
          <w:sz w:val="22"/>
          <w:szCs w:val="22"/>
        </w:rPr>
        <w:t xml:space="preserve">dezmopresínom </w:t>
      </w:r>
      <w:r w:rsidRPr="003960B0">
        <w:rPr>
          <w:bCs/>
          <w:sz w:val="22"/>
          <w:szCs w:val="22"/>
        </w:rPr>
        <w:t>na primárnu nočnú enurézu (N = 1</w:t>
      </w:r>
      <w:r w:rsidR="00032242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 xml:space="preserve">923). </w:t>
      </w:r>
      <w:r w:rsidR="00B97EF8" w:rsidRPr="003960B0">
        <w:rPr>
          <w:bCs/>
          <w:sz w:val="22"/>
          <w:szCs w:val="22"/>
        </w:rPr>
        <w:t>Frekvencia reakcií</w:t>
      </w:r>
      <w:r w:rsidRPr="003960B0">
        <w:rPr>
          <w:bCs/>
          <w:sz w:val="22"/>
          <w:szCs w:val="22"/>
        </w:rPr>
        <w:t xml:space="preserve">, ktoré boli pozorované </w:t>
      </w:r>
      <w:r w:rsidR="00F05B2C" w:rsidRPr="003960B0">
        <w:rPr>
          <w:bCs/>
          <w:sz w:val="22"/>
          <w:szCs w:val="22"/>
        </w:rPr>
        <w:t xml:space="preserve">len </w:t>
      </w:r>
      <w:r w:rsidRPr="003960B0">
        <w:rPr>
          <w:bCs/>
          <w:sz w:val="22"/>
          <w:szCs w:val="22"/>
        </w:rPr>
        <w:t>po uvedení lieku na trh</w:t>
      </w:r>
      <w:r w:rsidR="00831F48" w:rsidRPr="003960B0">
        <w:rPr>
          <w:bCs/>
          <w:sz w:val="22"/>
          <w:szCs w:val="22"/>
        </w:rPr>
        <w:t>,</w:t>
      </w:r>
      <w:r w:rsidRPr="003960B0">
        <w:rPr>
          <w:bCs/>
          <w:sz w:val="22"/>
          <w:szCs w:val="22"/>
        </w:rPr>
        <w:t xml:space="preserve"> </w:t>
      </w:r>
      <w:r w:rsidR="00E2142C" w:rsidRPr="003960B0">
        <w:rPr>
          <w:bCs/>
          <w:sz w:val="22"/>
          <w:szCs w:val="22"/>
        </w:rPr>
        <w:t>je uvedená</w:t>
      </w:r>
      <w:r w:rsidRPr="003960B0">
        <w:rPr>
          <w:bCs/>
          <w:sz w:val="22"/>
          <w:szCs w:val="22"/>
        </w:rPr>
        <w:t xml:space="preserve"> ako  "</w:t>
      </w:r>
      <w:r w:rsidR="00DC240F" w:rsidRPr="003960B0">
        <w:rPr>
          <w:bCs/>
          <w:sz w:val="22"/>
          <w:szCs w:val="22"/>
        </w:rPr>
        <w:t>n</w:t>
      </w:r>
      <w:r w:rsidRPr="003960B0">
        <w:rPr>
          <w:bCs/>
          <w:sz w:val="22"/>
          <w:szCs w:val="22"/>
        </w:rPr>
        <w:t>eznáma</w:t>
      </w:r>
      <w:r w:rsidR="00E2142C" w:rsidRPr="003960B0">
        <w:rPr>
          <w:bCs/>
          <w:sz w:val="22"/>
          <w:szCs w:val="22"/>
        </w:rPr>
        <w:t xml:space="preserve"> (z dostupných údajov)</w:t>
      </w:r>
      <w:r w:rsidRPr="003960B0">
        <w:rPr>
          <w:bCs/>
          <w:sz w:val="22"/>
          <w:szCs w:val="22"/>
        </w:rPr>
        <w:t>".</w:t>
      </w:r>
    </w:p>
    <w:p w:rsidR="0059426C" w:rsidRPr="003960B0" w:rsidRDefault="0059426C" w:rsidP="00024C1F">
      <w:pPr>
        <w:rPr>
          <w:bCs/>
          <w:sz w:val="22"/>
          <w:szCs w:val="22"/>
        </w:rPr>
      </w:pPr>
    </w:p>
    <w:tbl>
      <w:tblPr>
        <w:tblW w:w="9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1235"/>
        <w:gridCol w:w="1320"/>
        <w:gridCol w:w="1440"/>
        <w:gridCol w:w="1440"/>
        <w:gridCol w:w="1680"/>
      </w:tblGrid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Trieda orgánových systémov podľa MedDRA</w:t>
            </w:r>
          </w:p>
        </w:tc>
        <w:tc>
          <w:tcPr>
            <w:tcW w:w="1235" w:type="dxa"/>
            <w:shd w:val="clear" w:color="auto" w:fill="F2F2F2"/>
          </w:tcPr>
          <w:p w:rsidR="00024C1F" w:rsidRPr="003960B0" w:rsidRDefault="00024C1F" w:rsidP="00C73827">
            <w:pPr>
              <w:ind w:right="-224"/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Veľmi časté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1/10)</w:t>
            </w:r>
          </w:p>
        </w:tc>
        <w:tc>
          <w:tcPr>
            <w:tcW w:w="1320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Časté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1/100 až &lt; 1/10)</w:t>
            </w:r>
          </w:p>
        </w:tc>
        <w:tc>
          <w:tcPr>
            <w:tcW w:w="1440" w:type="dxa"/>
            <w:shd w:val="clear" w:color="auto" w:fill="F2F2F2"/>
          </w:tcPr>
          <w:p w:rsidR="00024C1F" w:rsidRPr="003960B0" w:rsidRDefault="00101D12" w:rsidP="00C73827">
            <w:pPr>
              <w:ind w:left="118" w:hanging="118"/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Menej </w:t>
            </w:r>
            <w:r w:rsidR="00024C1F" w:rsidRPr="003960B0">
              <w:rPr>
                <w:b/>
                <w:bCs/>
                <w:sz w:val="20"/>
                <w:szCs w:val="20"/>
              </w:rPr>
              <w:t xml:space="preserve">časté </w:t>
            </w:r>
          </w:p>
          <w:p w:rsidR="00101D12" w:rsidRPr="003960B0" w:rsidRDefault="00101D12" w:rsidP="00C73827">
            <w:pPr>
              <w:ind w:left="118" w:hanging="118"/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(</w:t>
            </w:r>
            <w:r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Pr="003960B0">
              <w:rPr>
                <w:b/>
                <w:bCs/>
                <w:sz w:val="20"/>
                <w:szCs w:val="20"/>
              </w:rPr>
              <w:t> 1/1 000 až &lt; 1/100)</w:t>
            </w:r>
          </w:p>
        </w:tc>
        <w:tc>
          <w:tcPr>
            <w:tcW w:w="1440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Zriedkavé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1/10 000 až &lt; 1/1 000)</w:t>
            </w:r>
          </w:p>
        </w:tc>
        <w:tc>
          <w:tcPr>
            <w:tcW w:w="1680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Neznáme</w:t>
            </w:r>
            <w:r w:rsidR="00101D12" w:rsidRPr="003960B0">
              <w:rPr>
                <w:b/>
                <w:bCs/>
                <w:sz w:val="20"/>
                <w:szCs w:val="20"/>
              </w:rPr>
              <w:t xml:space="preserve"> (z dostupných údajov)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024C1F" w:rsidP="00911700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Poruchy imunitného </w:t>
            </w:r>
            <w:r w:rsidRPr="003960B0">
              <w:rPr>
                <w:b/>
                <w:bCs/>
                <w:sz w:val="20"/>
                <w:szCs w:val="20"/>
              </w:rPr>
              <w:lastRenderedPageBreak/>
              <w:t>systému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024C1F" w:rsidRPr="003960B0">
              <w:rPr>
                <w:bCs/>
                <w:sz w:val="20"/>
                <w:szCs w:val="20"/>
              </w:rPr>
              <w:t xml:space="preserve">nafylaktická </w:t>
            </w:r>
            <w:r w:rsidR="00024C1F" w:rsidRPr="003960B0">
              <w:rPr>
                <w:bCs/>
                <w:sz w:val="20"/>
                <w:szCs w:val="20"/>
              </w:rPr>
              <w:lastRenderedPageBreak/>
              <w:t>reakcia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lastRenderedPageBreak/>
              <w:t>Poruchy metabolizmu a výživy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C73827">
            <w:pPr>
              <w:ind w:left="98"/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h</w:t>
            </w:r>
            <w:r w:rsidR="00024C1F" w:rsidRPr="003960B0">
              <w:rPr>
                <w:bCs/>
                <w:sz w:val="20"/>
                <w:szCs w:val="20"/>
              </w:rPr>
              <w:t>yp</w:t>
            </w:r>
            <w:r w:rsidR="00AA23BA" w:rsidRPr="003960B0">
              <w:rPr>
                <w:bCs/>
                <w:sz w:val="20"/>
                <w:szCs w:val="20"/>
              </w:rPr>
              <w:t>o</w:t>
            </w:r>
            <w:r w:rsidR="00024C1F" w:rsidRPr="003960B0">
              <w:rPr>
                <w:bCs/>
                <w:sz w:val="20"/>
                <w:szCs w:val="20"/>
              </w:rPr>
              <w:t>natriémia*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AA23BA" w:rsidRPr="003960B0" w:rsidRDefault="00AA23BA" w:rsidP="00911700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Psychické poruchy</w:t>
            </w:r>
          </w:p>
        </w:tc>
        <w:tc>
          <w:tcPr>
            <w:tcW w:w="1235" w:type="dxa"/>
            <w:shd w:val="clear" w:color="auto" w:fill="auto"/>
          </w:tcPr>
          <w:p w:rsidR="00AA23BA" w:rsidRPr="003960B0" w:rsidRDefault="00AA23BA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A23BA" w:rsidRPr="003960B0" w:rsidRDefault="00AA23BA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23BA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AA23BA" w:rsidRPr="003960B0">
              <w:rPr>
                <w:bCs/>
                <w:sz w:val="20"/>
                <w:szCs w:val="20"/>
              </w:rPr>
              <w:t>fektová labilita**, agresi</w:t>
            </w:r>
            <w:r w:rsidR="00E020BE" w:rsidRPr="003960B0">
              <w:rPr>
                <w:bCs/>
                <w:sz w:val="20"/>
                <w:szCs w:val="20"/>
              </w:rPr>
              <w:t>vita</w:t>
            </w:r>
            <w:r w:rsidR="00AA23BA" w:rsidRPr="003960B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1440" w:type="dxa"/>
            <w:shd w:val="clear" w:color="auto" w:fill="auto"/>
          </w:tcPr>
          <w:p w:rsidR="00AA23BA" w:rsidRPr="003960B0" w:rsidRDefault="005E6C82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(HTL) p</w:t>
            </w:r>
            <w:r w:rsidR="00F05B2C" w:rsidRPr="003960B0">
              <w:rPr>
                <w:bCs/>
                <w:sz w:val="20"/>
                <w:szCs w:val="20"/>
              </w:rPr>
              <w:t>ríznaky</w:t>
            </w:r>
            <w:r w:rsidR="00AA23BA" w:rsidRPr="003960B0">
              <w:rPr>
                <w:bCs/>
                <w:sz w:val="20"/>
                <w:szCs w:val="20"/>
              </w:rPr>
              <w:t xml:space="preserve"> anxiéty, nočné mory*</w:t>
            </w:r>
            <w:r w:rsidR="00AD5BBC" w:rsidRPr="003960B0">
              <w:rPr>
                <w:bCs/>
                <w:sz w:val="20"/>
                <w:szCs w:val="20"/>
              </w:rPr>
              <w:t>***</w:t>
            </w:r>
            <w:r w:rsidR="00AA23BA" w:rsidRPr="003960B0">
              <w:rPr>
                <w:bCs/>
                <w:sz w:val="20"/>
                <w:szCs w:val="20"/>
              </w:rPr>
              <w:t>, kolísavá nálada****</w:t>
            </w:r>
          </w:p>
        </w:tc>
        <w:tc>
          <w:tcPr>
            <w:tcW w:w="1680" w:type="dxa"/>
            <w:shd w:val="clear" w:color="auto" w:fill="auto"/>
          </w:tcPr>
          <w:p w:rsidR="00AA23BA" w:rsidRPr="003960B0" w:rsidRDefault="00F87717" w:rsidP="003605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197" w:rsidRPr="003960B0">
              <w:rPr>
                <w:bCs/>
                <w:sz w:val="20"/>
                <w:szCs w:val="20"/>
              </w:rPr>
              <w:t>b</w:t>
            </w:r>
            <w:r w:rsidR="00AA23BA" w:rsidRPr="003960B0">
              <w:rPr>
                <w:bCs/>
                <w:sz w:val="20"/>
                <w:szCs w:val="20"/>
              </w:rPr>
              <w:t>normálne správanie, emočné poruchy, depresia, halucináci</w:t>
            </w:r>
            <w:r w:rsidR="004E169E" w:rsidRPr="003960B0">
              <w:rPr>
                <w:bCs/>
                <w:sz w:val="20"/>
                <w:szCs w:val="20"/>
              </w:rPr>
              <w:t>e</w:t>
            </w:r>
            <w:r w:rsidR="00AA23BA" w:rsidRPr="003960B0">
              <w:rPr>
                <w:bCs/>
                <w:sz w:val="20"/>
                <w:szCs w:val="20"/>
              </w:rPr>
              <w:t>, insomnia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AA23BA" w:rsidRPr="003960B0" w:rsidRDefault="00AA23BA" w:rsidP="00911700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nervového systému</w:t>
            </w:r>
          </w:p>
        </w:tc>
        <w:tc>
          <w:tcPr>
            <w:tcW w:w="1235" w:type="dxa"/>
            <w:shd w:val="clear" w:color="auto" w:fill="auto"/>
          </w:tcPr>
          <w:p w:rsidR="00AA23BA" w:rsidRPr="003960B0" w:rsidRDefault="00AA23BA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A23BA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b</w:t>
            </w:r>
            <w:r w:rsidR="00AA23BA" w:rsidRPr="003960B0">
              <w:rPr>
                <w:bCs/>
                <w:sz w:val="20"/>
                <w:szCs w:val="20"/>
              </w:rPr>
              <w:t>olesť hlavy*</w:t>
            </w:r>
          </w:p>
        </w:tc>
        <w:tc>
          <w:tcPr>
            <w:tcW w:w="1440" w:type="dxa"/>
            <w:shd w:val="clear" w:color="auto" w:fill="auto"/>
          </w:tcPr>
          <w:p w:rsidR="00AA23BA" w:rsidRPr="003960B0" w:rsidRDefault="00AA23BA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23BA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s</w:t>
            </w:r>
            <w:r w:rsidR="00AA23BA" w:rsidRPr="003960B0">
              <w:rPr>
                <w:bCs/>
                <w:sz w:val="20"/>
                <w:szCs w:val="20"/>
              </w:rPr>
              <w:t>omnolencia</w:t>
            </w:r>
          </w:p>
        </w:tc>
        <w:tc>
          <w:tcPr>
            <w:tcW w:w="1680" w:type="dxa"/>
            <w:shd w:val="clear" w:color="auto" w:fill="auto"/>
          </w:tcPr>
          <w:p w:rsidR="00AA23BA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AA23BA" w:rsidRPr="003960B0">
              <w:rPr>
                <w:bCs/>
                <w:sz w:val="20"/>
                <w:szCs w:val="20"/>
              </w:rPr>
              <w:t>oruchy pozornosti, psychomotorická hyperaktivita, kŕče*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ciev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h</w:t>
            </w:r>
            <w:r w:rsidR="0059426C" w:rsidRPr="003960B0">
              <w:rPr>
                <w:bCs/>
                <w:sz w:val="20"/>
                <w:szCs w:val="20"/>
              </w:rPr>
              <w:t xml:space="preserve">ypertenzia </w:t>
            </w:r>
          </w:p>
        </w:tc>
        <w:tc>
          <w:tcPr>
            <w:tcW w:w="168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59426C" w:rsidRPr="003960B0" w:rsidRDefault="0059426C" w:rsidP="0059426C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dýchacej sústavy, hrudníka a mediastína</w:t>
            </w:r>
          </w:p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e</w:t>
            </w:r>
            <w:r w:rsidR="0059426C" w:rsidRPr="003960B0">
              <w:rPr>
                <w:bCs/>
                <w:sz w:val="20"/>
                <w:szCs w:val="20"/>
              </w:rPr>
              <w:t xml:space="preserve">pistaxa 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gastrointestinálneho traktu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b</w:t>
            </w:r>
            <w:r w:rsidR="0059426C" w:rsidRPr="003960B0">
              <w:rPr>
                <w:bCs/>
                <w:sz w:val="20"/>
                <w:szCs w:val="20"/>
              </w:rPr>
              <w:t>olesť brucha*, nevoľnosť*, vracanie*, hnačka</w:t>
            </w: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kože a podkožného tkaniva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59426C" w:rsidRPr="003960B0">
              <w:rPr>
                <w:bCs/>
                <w:sz w:val="20"/>
                <w:szCs w:val="20"/>
              </w:rPr>
              <w:t>lergická dermatitída, vyrážka, potenie, žihľavka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obličiek a močových ciest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5E6C82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(HTL) p</w:t>
            </w:r>
            <w:r w:rsidR="00F05B2C" w:rsidRPr="003960B0">
              <w:rPr>
                <w:bCs/>
                <w:sz w:val="20"/>
                <w:szCs w:val="20"/>
              </w:rPr>
              <w:t>ríznaky</w:t>
            </w:r>
            <w:r w:rsidR="00032242" w:rsidRPr="003960B0">
              <w:rPr>
                <w:bCs/>
                <w:sz w:val="20"/>
                <w:szCs w:val="20"/>
              </w:rPr>
              <w:t xml:space="preserve"> </w:t>
            </w:r>
            <w:r w:rsidR="00831F48" w:rsidRPr="003960B0">
              <w:rPr>
                <w:bCs/>
                <w:sz w:val="20"/>
                <w:szCs w:val="20"/>
              </w:rPr>
              <w:t>močového mechúra a</w:t>
            </w:r>
            <w:r w:rsidR="003E7D1F" w:rsidRPr="003960B0">
              <w:rPr>
                <w:bCs/>
                <w:sz w:val="20"/>
                <w:szCs w:val="20"/>
              </w:rPr>
              <w:t xml:space="preserve"> močovej </w:t>
            </w:r>
            <w:r w:rsidR="005E7587" w:rsidRPr="003960B0">
              <w:rPr>
                <w:bCs/>
                <w:sz w:val="20"/>
                <w:szCs w:val="20"/>
              </w:rPr>
              <w:t>rúry</w:t>
            </w:r>
            <w:r w:rsidR="00831F48" w:rsidRPr="003960B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Celkové poruchy a reakcie v mieste podania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59426C" w:rsidRPr="003960B0">
              <w:rPr>
                <w:bCs/>
                <w:sz w:val="20"/>
                <w:szCs w:val="20"/>
              </w:rPr>
              <w:t>eriférny edém, únava</w:t>
            </w:r>
          </w:p>
        </w:tc>
        <w:tc>
          <w:tcPr>
            <w:tcW w:w="144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59426C" w:rsidRPr="003960B0">
              <w:rPr>
                <w:bCs/>
                <w:sz w:val="20"/>
                <w:szCs w:val="20"/>
              </w:rPr>
              <w:t>odráždenosť</w:t>
            </w:r>
          </w:p>
        </w:tc>
        <w:tc>
          <w:tcPr>
            <w:tcW w:w="168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</w:tr>
    </w:tbl>
    <w:p w:rsidR="0059426C" w:rsidRPr="003960B0" w:rsidRDefault="0059426C" w:rsidP="0059426C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 xml:space="preserve">* Hyponatriémia môže spôsobiť bolesť hlavy, bolesť brucha, nevoľnosť, vracanie, </w:t>
      </w:r>
      <w:r w:rsidR="00831F48" w:rsidRPr="003960B0">
        <w:rPr>
          <w:bCs/>
          <w:sz w:val="20"/>
          <w:szCs w:val="20"/>
        </w:rPr>
        <w:t>prírastok</w:t>
      </w:r>
      <w:r w:rsidRPr="003960B0">
        <w:rPr>
          <w:bCs/>
          <w:sz w:val="20"/>
          <w:szCs w:val="20"/>
        </w:rPr>
        <w:t xml:space="preserve"> hmotnosti, závrat</w:t>
      </w:r>
      <w:r w:rsidR="00831F48" w:rsidRPr="003960B0">
        <w:rPr>
          <w:bCs/>
          <w:sz w:val="20"/>
          <w:szCs w:val="20"/>
        </w:rPr>
        <w:t>y</w:t>
      </w:r>
      <w:r w:rsidRPr="003960B0">
        <w:rPr>
          <w:bCs/>
          <w:sz w:val="20"/>
          <w:szCs w:val="20"/>
        </w:rPr>
        <w:t xml:space="preserve">, </w:t>
      </w:r>
      <w:r w:rsidR="005B0D5B" w:rsidRPr="003960B0">
        <w:rPr>
          <w:bCs/>
          <w:sz w:val="20"/>
          <w:szCs w:val="20"/>
        </w:rPr>
        <w:t xml:space="preserve">stavy </w:t>
      </w:r>
      <w:r w:rsidRPr="003960B0">
        <w:rPr>
          <w:bCs/>
          <w:sz w:val="20"/>
          <w:szCs w:val="20"/>
        </w:rPr>
        <w:t>zmätenos</w:t>
      </w:r>
      <w:r w:rsidR="005B0D5B" w:rsidRPr="003960B0">
        <w:rPr>
          <w:bCs/>
          <w:sz w:val="20"/>
          <w:szCs w:val="20"/>
        </w:rPr>
        <w:t>ti</w:t>
      </w:r>
      <w:r w:rsidRPr="003960B0">
        <w:rPr>
          <w:bCs/>
          <w:sz w:val="20"/>
          <w:szCs w:val="20"/>
        </w:rPr>
        <w:t xml:space="preserve">, malátnosť, poruchy pamäti, vertigo, pády a vo vážnych prípadoch kŕče a kómu. </w:t>
      </w:r>
    </w:p>
    <w:p w:rsidR="0059426C" w:rsidRPr="003960B0" w:rsidRDefault="0059426C" w:rsidP="0059426C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>**</w:t>
      </w:r>
      <w:r w:rsidR="000904A0" w:rsidRPr="003960B0">
        <w:rPr>
          <w:bCs/>
          <w:sz w:val="20"/>
          <w:szCs w:val="20"/>
        </w:rPr>
        <w:t>Hlásenia po uvedení lieku na trh rovnako</w:t>
      </w:r>
      <w:r w:rsidR="00831F48" w:rsidRPr="003960B0">
        <w:rPr>
          <w:bCs/>
          <w:sz w:val="20"/>
          <w:szCs w:val="20"/>
        </w:rPr>
        <w:t xml:space="preserve"> </w:t>
      </w:r>
      <w:r w:rsidR="000904A0" w:rsidRPr="003960B0">
        <w:rPr>
          <w:bCs/>
          <w:sz w:val="20"/>
          <w:szCs w:val="20"/>
        </w:rPr>
        <w:t>u detí a adolescentov (&lt; 18 rokov).</w:t>
      </w:r>
    </w:p>
    <w:p w:rsidR="000904A0" w:rsidRPr="003960B0" w:rsidRDefault="000904A0" w:rsidP="0059426C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 xml:space="preserve">***Hlásenia po uvedení lieku na trh </w:t>
      </w:r>
      <w:r w:rsidR="00F05B2C" w:rsidRPr="003960B0">
        <w:rPr>
          <w:bCs/>
          <w:sz w:val="20"/>
          <w:szCs w:val="20"/>
        </w:rPr>
        <w:t>takmer výhradne</w:t>
      </w:r>
      <w:r w:rsidR="009947E3" w:rsidRPr="003960B0">
        <w:rPr>
          <w:bCs/>
          <w:sz w:val="20"/>
          <w:szCs w:val="20"/>
        </w:rPr>
        <w:t xml:space="preserve"> </w:t>
      </w:r>
      <w:r w:rsidRPr="003960B0">
        <w:rPr>
          <w:bCs/>
          <w:sz w:val="20"/>
          <w:szCs w:val="20"/>
        </w:rPr>
        <w:t>u detí a adolescentov (&lt; 18 rokov).</w:t>
      </w:r>
    </w:p>
    <w:p w:rsidR="000904A0" w:rsidRPr="003960B0" w:rsidRDefault="000904A0" w:rsidP="0059426C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>****Hlásenia po uvedení lieku na trh hlavne u detí (&lt; 12 rokov).</w:t>
      </w:r>
    </w:p>
    <w:p w:rsidR="000904A0" w:rsidRPr="003960B0" w:rsidRDefault="000904A0" w:rsidP="0059426C">
      <w:pPr>
        <w:rPr>
          <w:bCs/>
          <w:sz w:val="22"/>
          <w:szCs w:val="22"/>
        </w:rPr>
      </w:pPr>
    </w:p>
    <w:p w:rsidR="00D87D13" w:rsidRPr="003960B0" w:rsidRDefault="00E2142C" w:rsidP="001E08EB">
      <w:pPr>
        <w:rPr>
          <w:bCs/>
          <w:i/>
          <w:sz w:val="22"/>
          <w:szCs w:val="22"/>
          <w:u w:val="single"/>
        </w:rPr>
      </w:pPr>
      <w:r w:rsidRPr="003960B0">
        <w:rPr>
          <w:bCs/>
          <w:i/>
          <w:sz w:val="22"/>
          <w:szCs w:val="22"/>
          <w:u w:val="single"/>
        </w:rPr>
        <w:t>O</w:t>
      </w:r>
      <w:r w:rsidR="00D87D13" w:rsidRPr="003960B0">
        <w:rPr>
          <w:bCs/>
          <w:i/>
          <w:sz w:val="22"/>
          <w:szCs w:val="22"/>
          <w:u w:val="single"/>
        </w:rPr>
        <w:t xml:space="preserve">sobitné </w:t>
      </w:r>
      <w:r w:rsidRPr="003960B0">
        <w:rPr>
          <w:bCs/>
          <w:i/>
          <w:sz w:val="22"/>
          <w:szCs w:val="22"/>
          <w:u w:val="single"/>
        </w:rPr>
        <w:t>skupiny pacientov</w:t>
      </w:r>
    </w:p>
    <w:p w:rsidR="0092249B" w:rsidRPr="003960B0" w:rsidRDefault="00EC2727" w:rsidP="001E08EB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>U starších pacientov a u</w:t>
      </w:r>
      <w:r w:rsidR="00032242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>pacientov</w:t>
      </w:r>
      <w:r w:rsidR="00032242" w:rsidRPr="003960B0">
        <w:rPr>
          <w:bCs/>
          <w:sz w:val="22"/>
          <w:szCs w:val="22"/>
        </w:rPr>
        <w:t>, u ktorých je</w:t>
      </w:r>
      <w:r w:rsidRPr="003960B0">
        <w:rPr>
          <w:bCs/>
          <w:sz w:val="22"/>
          <w:szCs w:val="22"/>
        </w:rPr>
        <w:t> koncentráci</w:t>
      </w:r>
      <w:r w:rsidR="00032242" w:rsidRPr="003960B0">
        <w:rPr>
          <w:bCs/>
          <w:sz w:val="22"/>
          <w:szCs w:val="22"/>
        </w:rPr>
        <w:t>a</w:t>
      </w:r>
      <w:r w:rsidRPr="003960B0">
        <w:rPr>
          <w:bCs/>
          <w:sz w:val="22"/>
          <w:szCs w:val="22"/>
        </w:rPr>
        <w:t xml:space="preserve"> sodíka v sére v dolnej časti normálneho rozsahu</w:t>
      </w:r>
      <w:r w:rsidR="001C39CB" w:rsidRPr="003960B0">
        <w:rPr>
          <w:bCs/>
          <w:sz w:val="22"/>
          <w:szCs w:val="22"/>
        </w:rPr>
        <w:t>,</w:t>
      </w:r>
      <w:r w:rsidRPr="003960B0">
        <w:rPr>
          <w:bCs/>
          <w:sz w:val="22"/>
          <w:szCs w:val="22"/>
        </w:rPr>
        <w:t xml:space="preserve"> je zvýšené riziko hyponatriémie (pozri časť 4.4). </w:t>
      </w:r>
    </w:p>
    <w:p w:rsidR="00992226" w:rsidRPr="003960B0" w:rsidRDefault="00992226" w:rsidP="001E08EB">
      <w:pPr>
        <w:rPr>
          <w:sz w:val="22"/>
          <w:szCs w:val="22"/>
        </w:rPr>
      </w:pPr>
    </w:p>
    <w:p w:rsidR="006C4B8F" w:rsidRPr="003960B0" w:rsidRDefault="006C4B8F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Hlásenie podozrení na nežiaduce reakcie</w:t>
      </w:r>
    </w:p>
    <w:p w:rsidR="00FB5A4E" w:rsidRPr="003960B0" w:rsidRDefault="00450579" w:rsidP="00FB5A4E">
      <w:pPr>
        <w:ind w:left="567" w:hanging="567"/>
        <w:rPr>
          <w:sz w:val="22"/>
          <w:szCs w:val="22"/>
        </w:rPr>
      </w:pPr>
      <w:r w:rsidRPr="003960B0">
        <w:rPr>
          <w:sz w:val="22"/>
          <w:szCs w:val="22"/>
        </w:rPr>
        <w:t>Hlásenie podozrení na nežiaduce reakcie po registrácii lieku je dôležité. Umožňuje priebežné</w:t>
      </w:r>
    </w:p>
    <w:p w:rsidR="00FB5A4E" w:rsidRPr="003960B0" w:rsidRDefault="00450579" w:rsidP="00FB5A4E">
      <w:pPr>
        <w:ind w:left="567" w:hanging="567"/>
        <w:rPr>
          <w:sz w:val="22"/>
          <w:szCs w:val="22"/>
        </w:rPr>
      </w:pPr>
      <w:r w:rsidRPr="003960B0">
        <w:rPr>
          <w:sz w:val="22"/>
          <w:szCs w:val="22"/>
        </w:rPr>
        <w:t xml:space="preserve">monitorovanie pomeru prínosu a rizika lieku. Od zdravotníckych pracovníkov sa vyžaduje, aby hlásili </w:t>
      </w:r>
    </w:p>
    <w:p w:rsidR="00FB5A4E" w:rsidRPr="003960B0" w:rsidRDefault="00450579" w:rsidP="00FB5A4E">
      <w:pPr>
        <w:ind w:left="567" w:hanging="567"/>
        <w:rPr>
          <w:sz w:val="22"/>
          <w:highlight w:val="lightGray"/>
        </w:rPr>
      </w:pPr>
      <w:r w:rsidRPr="003960B0">
        <w:rPr>
          <w:sz w:val="22"/>
          <w:szCs w:val="22"/>
        </w:rPr>
        <w:t xml:space="preserve">akékoľvek podozrenie na nežiaduce reakcie prostredníctvom </w:t>
      </w:r>
      <w:r w:rsidR="00FB5A4E" w:rsidRPr="003960B0">
        <w:rPr>
          <w:sz w:val="22"/>
          <w:highlight w:val="lightGray"/>
        </w:rPr>
        <w:t>národného systému hlásenia uvedeného</w:t>
      </w:r>
    </w:p>
    <w:p w:rsidR="00FB5A4E" w:rsidRPr="003960B0" w:rsidRDefault="00FB5A4E" w:rsidP="00FB5A4E">
      <w:pPr>
        <w:ind w:left="567" w:hanging="567"/>
        <w:rPr>
          <w:sz w:val="22"/>
          <w:szCs w:val="22"/>
        </w:rPr>
      </w:pPr>
      <w:r w:rsidRPr="003960B0">
        <w:rPr>
          <w:sz w:val="22"/>
          <w:highlight w:val="lightGray"/>
        </w:rPr>
        <w:t>v </w:t>
      </w:r>
      <w:hyperlink r:id="rId7" w:history="1">
        <w:r w:rsidRPr="003960B0">
          <w:rPr>
            <w:noProof/>
            <w:color w:val="0000FF"/>
            <w:sz w:val="22"/>
            <w:szCs w:val="22"/>
            <w:highlight w:val="lightGray"/>
          </w:rPr>
          <w:t>Prílohe V</w:t>
        </w:r>
      </w:hyperlink>
      <w:r w:rsidRPr="003960B0">
        <w:rPr>
          <w:sz w:val="22"/>
          <w:szCs w:val="22"/>
        </w:rPr>
        <w:t>.</w:t>
      </w:r>
    </w:p>
    <w:p w:rsidR="006C4B8F" w:rsidRPr="003960B0" w:rsidRDefault="006C4B8F" w:rsidP="001E08EB">
      <w:pPr>
        <w:rPr>
          <w:sz w:val="22"/>
          <w:szCs w:val="22"/>
        </w:rPr>
      </w:pPr>
    </w:p>
    <w:p w:rsidR="003248D1" w:rsidRPr="003960B0" w:rsidRDefault="003248D1" w:rsidP="00C937D4">
      <w:pPr>
        <w:numPr>
          <w:ilvl w:val="1"/>
          <w:numId w:val="15"/>
        </w:numPr>
        <w:jc w:val="both"/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Predávkovanie</w:t>
      </w:r>
    </w:p>
    <w:p w:rsidR="003248D1" w:rsidRPr="003960B0" w:rsidRDefault="003248D1" w:rsidP="001E08EB">
      <w:pPr>
        <w:rPr>
          <w:b/>
          <w:sz w:val="22"/>
          <w:szCs w:val="22"/>
        </w:rPr>
      </w:pPr>
    </w:p>
    <w:p w:rsidR="003248D1" w:rsidRPr="003960B0" w:rsidRDefault="003248D1" w:rsidP="001E08EB">
      <w:pPr>
        <w:rPr>
          <w:sz w:val="22"/>
          <w:szCs w:val="22"/>
        </w:rPr>
      </w:pPr>
      <w:r w:rsidRPr="003960B0">
        <w:rPr>
          <w:bCs/>
          <w:sz w:val="22"/>
          <w:szCs w:val="22"/>
        </w:rPr>
        <w:t xml:space="preserve">Predávkovanie </w:t>
      </w:r>
      <w:r w:rsidR="00D05326">
        <w:rPr>
          <w:bCs/>
          <w:sz w:val="22"/>
          <w:szCs w:val="22"/>
        </w:rPr>
        <w:t>DESMOMELT</w:t>
      </w:r>
      <w:r w:rsidR="00F75B21" w:rsidRPr="003960B0">
        <w:rPr>
          <w:bCs/>
          <w:sz w:val="22"/>
          <w:szCs w:val="22"/>
        </w:rPr>
        <w:t>OM</w:t>
      </w:r>
      <w:r w:rsidRPr="003960B0">
        <w:rPr>
          <w:sz w:val="22"/>
          <w:szCs w:val="22"/>
        </w:rPr>
        <w:t xml:space="preserve"> vedie k predĺženiu účinku so zvýšeným rizikom retencie vody a</w:t>
      </w:r>
      <w:r w:rsidR="00742F53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 xml:space="preserve">hyponatriémie. </w:t>
      </w:r>
    </w:p>
    <w:p w:rsidR="003248D1" w:rsidRPr="003960B0" w:rsidRDefault="003248D1" w:rsidP="00C937D4">
      <w:pPr>
        <w:jc w:val="both"/>
        <w:rPr>
          <w:sz w:val="22"/>
          <w:szCs w:val="22"/>
        </w:rPr>
      </w:pPr>
    </w:p>
    <w:p w:rsidR="003248D1" w:rsidRPr="003960B0" w:rsidRDefault="003248D1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Liečba</w:t>
      </w:r>
    </w:p>
    <w:p w:rsidR="003248D1" w:rsidRPr="003960B0" w:rsidRDefault="003248D1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lastRenderedPageBreak/>
        <w:t>Hoci liečba hyponatriémie m</w:t>
      </w:r>
      <w:r w:rsidR="002F3D74" w:rsidRPr="003960B0">
        <w:rPr>
          <w:sz w:val="22"/>
          <w:szCs w:val="22"/>
        </w:rPr>
        <w:t>á</w:t>
      </w:r>
      <w:r w:rsidRPr="003960B0">
        <w:rPr>
          <w:sz w:val="22"/>
          <w:szCs w:val="22"/>
        </w:rPr>
        <w:t xml:space="preserve"> byť individuá</w:t>
      </w:r>
      <w:r w:rsidR="00CE7C62" w:rsidRPr="003960B0">
        <w:rPr>
          <w:sz w:val="22"/>
          <w:szCs w:val="22"/>
        </w:rPr>
        <w:t>lna</w:t>
      </w:r>
      <w:r w:rsidRPr="003960B0">
        <w:rPr>
          <w:sz w:val="22"/>
          <w:szCs w:val="22"/>
        </w:rPr>
        <w:t xml:space="preserve">, možno odporučiť nasledujúce zásadné kroky: prerušenie </w:t>
      </w:r>
      <w:r w:rsidR="00CE7C62" w:rsidRPr="003960B0">
        <w:rPr>
          <w:sz w:val="22"/>
          <w:szCs w:val="22"/>
        </w:rPr>
        <w:t>liečby</w:t>
      </w:r>
      <w:r w:rsidRPr="003960B0">
        <w:rPr>
          <w:sz w:val="22"/>
          <w:szCs w:val="22"/>
        </w:rPr>
        <w:t xml:space="preserve"> dezmopresínom, obmedzenie</w:t>
      </w:r>
      <w:r w:rsidR="00963A6F" w:rsidRPr="003960B0">
        <w:rPr>
          <w:sz w:val="22"/>
          <w:szCs w:val="22"/>
        </w:rPr>
        <w:t xml:space="preserve"> príjmu </w:t>
      </w:r>
      <w:r w:rsidRPr="003960B0">
        <w:rPr>
          <w:sz w:val="22"/>
          <w:szCs w:val="22"/>
        </w:rPr>
        <w:t xml:space="preserve">tekutín a v prípade potreby symptomatická liečba. 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5.</w:t>
      </w:r>
      <w:r w:rsidRPr="003960B0">
        <w:rPr>
          <w:b/>
          <w:sz w:val="22"/>
          <w:szCs w:val="22"/>
        </w:rPr>
        <w:tab/>
        <w:t>FARMAKOLOGICKÉ VLASTNOSTI</w:t>
      </w:r>
    </w:p>
    <w:p w:rsidR="003248D1" w:rsidRPr="003960B0" w:rsidRDefault="003248D1">
      <w:pPr>
        <w:rPr>
          <w:bCs/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5.1</w:t>
      </w:r>
      <w:r w:rsidRPr="003960B0">
        <w:rPr>
          <w:b/>
          <w:sz w:val="22"/>
          <w:szCs w:val="22"/>
        </w:rPr>
        <w:tab/>
        <w:t>Farmakodynamické vlastnosti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 xml:space="preserve">Farmakoterapeutická skupina: </w:t>
      </w:r>
      <w:r w:rsidR="00AB5864" w:rsidRPr="003960B0">
        <w:rPr>
          <w:sz w:val="22"/>
          <w:szCs w:val="22"/>
        </w:rPr>
        <w:t>hormóny hypofýzy a hypotalamu a analógy, vazopresín a </w:t>
      </w:r>
      <w:r w:rsidR="003960B0" w:rsidRPr="003960B0">
        <w:rPr>
          <w:sz w:val="22"/>
          <w:szCs w:val="22"/>
        </w:rPr>
        <w:t>analógy,</w:t>
      </w:r>
      <w:r w:rsidR="003960B0">
        <w:rPr>
          <w:sz w:val="22"/>
          <w:szCs w:val="22"/>
        </w:rPr>
        <w:t xml:space="preserve"> </w:t>
      </w:r>
      <w:r w:rsidR="003960B0" w:rsidRPr="003960B0">
        <w:rPr>
          <w:sz w:val="22"/>
          <w:szCs w:val="22"/>
        </w:rPr>
        <w:t xml:space="preserve">dezmopresín, </w:t>
      </w:r>
      <w:r w:rsidRPr="003960B0">
        <w:rPr>
          <w:sz w:val="22"/>
          <w:szCs w:val="22"/>
        </w:rPr>
        <w:t>ATC kód: H01BA02</w:t>
      </w:r>
    </w:p>
    <w:p w:rsidR="003248D1" w:rsidRPr="003960B0" w:rsidRDefault="003248D1" w:rsidP="001E08EB">
      <w:pPr>
        <w:outlineLvl w:val="0"/>
        <w:rPr>
          <w:sz w:val="22"/>
          <w:szCs w:val="22"/>
        </w:rPr>
      </w:pPr>
    </w:p>
    <w:p w:rsidR="003248D1" w:rsidRPr="003960B0" w:rsidRDefault="00D05326" w:rsidP="001E08EB">
      <w:pPr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DESMOMELT</w:t>
      </w:r>
      <w:r w:rsidR="003248D1" w:rsidRPr="003960B0">
        <w:rPr>
          <w:sz w:val="22"/>
          <w:szCs w:val="22"/>
        </w:rPr>
        <w:t xml:space="preserve"> obsahuje </w:t>
      </w:r>
      <w:proofErr w:type="spellStart"/>
      <w:r w:rsidR="003248D1" w:rsidRPr="003960B0">
        <w:rPr>
          <w:sz w:val="22"/>
          <w:szCs w:val="22"/>
        </w:rPr>
        <w:t>dezmopresín</w:t>
      </w:r>
      <w:proofErr w:type="spellEnd"/>
      <w:r w:rsidR="003248D1" w:rsidRPr="003960B0">
        <w:rPr>
          <w:sz w:val="22"/>
          <w:szCs w:val="22"/>
        </w:rPr>
        <w:t xml:space="preserve">, ktorý je štrukturálnym analógom prirodzeného hormónu </w:t>
      </w:r>
      <w:r w:rsidR="00AF0824" w:rsidRPr="003960B0">
        <w:rPr>
          <w:sz w:val="22"/>
          <w:szCs w:val="22"/>
        </w:rPr>
        <w:t xml:space="preserve">hypofýzy </w:t>
      </w:r>
      <w:r w:rsidR="003248D1" w:rsidRPr="003960B0">
        <w:rPr>
          <w:sz w:val="22"/>
          <w:szCs w:val="22"/>
        </w:rPr>
        <w:t>arginín</w:t>
      </w:r>
      <w:r w:rsidR="00CE7C62" w:rsidRPr="003960B0">
        <w:rPr>
          <w:sz w:val="22"/>
          <w:szCs w:val="22"/>
        </w:rPr>
        <w:t>-</w:t>
      </w:r>
      <w:r w:rsidR="003248D1" w:rsidRPr="003960B0">
        <w:rPr>
          <w:sz w:val="22"/>
          <w:szCs w:val="22"/>
        </w:rPr>
        <w:t xml:space="preserve">vazopresínu. Rozdiel spočíva v deaminácii cysteínu a v nahradení L-arginínu D-arginínom. To má za následok významné predĺženie účinku a úplnú absenciu presorického </w:t>
      </w:r>
      <w:r w:rsidR="00AF0824" w:rsidRPr="003960B0">
        <w:rPr>
          <w:sz w:val="22"/>
          <w:szCs w:val="22"/>
        </w:rPr>
        <w:t>účinku</w:t>
      </w:r>
      <w:r w:rsidR="003248D1" w:rsidRPr="003960B0">
        <w:rPr>
          <w:sz w:val="22"/>
          <w:szCs w:val="22"/>
        </w:rPr>
        <w:t xml:space="preserve"> v</w:t>
      </w:r>
      <w:r w:rsidR="00023818" w:rsidRPr="003960B0">
        <w:rPr>
          <w:sz w:val="22"/>
          <w:szCs w:val="22"/>
        </w:rPr>
        <w:t> </w:t>
      </w:r>
      <w:r w:rsidR="003248D1" w:rsidRPr="003960B0">
        <w:rPr>
          <w:sz w:val="22"/>
          <w:szCs w:val="22"/>
        </w:rPr>
        <w:t xml:space="preserve">klinicky používaných dávkach. </w:t>
      </w:r>
    </w:p>
    <w:p w:rsidR="003248D1" w:rsidRPr="003960B0" w:rsidRDefault="003248D1" w:rsidP="001E08EB">
      <w:pPr>
        <w:outlineLvl w:val="0"/>
        <w:rPr>
          <w:sz w:val="22"/>
          <w:szCs w:val="22"/>
        </w:rPr>
      </w:pPr>
    </w:p>
    <w:p w:rsidR="003248D1" w:rsidRPr="003960B0" w:rsidRDefault="003248D1" w:rsidP="001E08EB">
      <w:p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 xml:space="preserve">Klinické skúšky s tabletami </w:t>
      </w:r>
      <w:r w:rsidR="009E6197" w:rsidRPr="003960B0">
        <w:rPr>
          <w:bCs/>
          <w:sz w:val="22"/>
          <w:szCs w:val="22"/>
        </w:rPr>
        <w:t>dezmopresínu</w:t>
      </w:r>
      <w:r w:rsidR="009E6197" w:rsidRPr="003960B0">
        <w:rPr>
          <w:sz w:val="22"/>
          <w:szCs w:val="22"/>
        </w:rPr>
        <w:t xml:space="preserve"> </w:t>
      </w:r>
      <w:r w:rsidRPr="003960B0">
        <w:rPr>
          <w:sz w:val="22"/>
          <w:szCs w:val="22"/>
        </w:rPr>
        <w:t>pri liečbe noktúrie ukázali:</w:t>
      </w:r>
    </w:p>
    <w:p w:rsidR="003248D1" w:rsidRPr="003960B0" w:rsidRDefault="003248D1" w:rsidP="00945590">
      <w:pPr>
        <w:numPr>
          <w:ilvl w:val="0"/>
          <w:numId w:val="22"/>
        </w:num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>U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39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pacientov liečených dezmopresínom sa dosiahlo najmenej 50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zníženie priemernej frekvencie nočného močenia v porovnaní s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5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pacientov, ktorí užívali placebo (p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&lt;0</w:t>
      </w:r>
      <w:r w:rsidR="00742F53" w:rsidRPr="003960B0">
        <w:rPr>
          <w:sz w:val="22"/>
          <w:szCs w:val="22"/>
        </w:rPr>
        <w:t>,</w:t>
      </w:r>
      <w:r w:rsidRPr="003960B0">
        <w:rPr>
          <w:sz w:val="22"/>
          <w:szCs w:val="22"/>
        </w:rPr>
        <w:t>0001).</w:t>
      </w:r>
    </w:p>
    <w:p w:rsidR="003248D1" w:rsidRPr="003960B0" w:rsidRDefault="003248D1" w:rsidP="00945590">
      <w:pPr>
        <w:numPr>
          <w:ilvl w:val="0"/>
          <w:numId w:val="22"/>
        </w:num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>Priemerný počet nočných močení klesol u pacientov užívajúcich dezmopresín o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44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oproti 15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u pacientov užívajúcich placebo (p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&lt;0</w:t>
      </w:r>
      <w:r w:rsidR="00742F53" w:rsidRPr="003960B0">
        <w:rPr>
          <w:sz w:val="22"/>
          <w:szCs w:val="22"/>
        </w:rPr>
        <w:t>,</w:t>
      </w:r>
      <w:r w:rsidRPr="003960B0">
        <w:rPr>
          <w:sz w:val="22"/>
          <w:szCs w:val="22"/>
        </w:rPr>
        <w:t>0001).</w:t>
      </w:r>
    </w:p>
    <w:p w:rsidR="003248D1" w:rsidRPr="003960B0" w:rsidRDefault="003248D1" w:rsidP="00945590">
      <w:pPr>
        <w:numPr>
          <w:ilvl w:val="0"/>
          <w:numId w:val="22"/>
        </w:num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>Priemerná dĺžka prvej neprerušenej etapy spánku stúpla u pacientov, ktorým bol podávaný dezmopresín, o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64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 oproti 20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u pacientov užívajúci</w:t>
      </w:r>
      <w:r w:rsidR="00BC00E1" w:rsidRPr="003960B0">
        <w:rPr>
          <w:sz w:val="22"/>
          <w:szCs w:val="22"/>
        </w:rPr>
        <w:t>ch</w:t>
      </w:r>
      <w:r w:rsidRPr="003960B0">
        <w:rPr>
          <w:sz w:val="22"/>
          <w:szCs w:val="22"/>
        </w:rPr>
        <w:t xml:space="preserve"> placebo (p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&lt;0</w:t>
      </w:r>
      <w:r w:rsidR="00BC00E1" w:rsidRPr="003960B0">
        <w:rPr>
          <w:sz w:val="22"/>
          <w:szCs w:val="22"/>
        </w:rPr>
        <w:t>,</w:t>
      </w:r>
      <w:r w:rsidRPr="003960B0">
        <w:rPr>
          <w:sz w:val="22"/>
          <w:szCs w:val="22"/>
        </w:rPr>
        <w:t>0001).</w:t>
      </w:r>
    </w:p>
    <w:p w:rsidR="003248D1" w:rsidRPr="003960B0" w:rsidRDefault="003248D1" w:rsidP="00945590">
      <w:pPr>
        <w:numPr>
          <w:ilvl w:val="0"/>
          <w:numId w:val="22"/>
        </w:num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 xml:space="preserve">Priemerné trvanie prvej neprerušenej doby spánku sa zvýšilo pri užívaní dezmopresínu o </w:t>
      </w:r>
      <w:r w:rsidR="006B1404" w:rsidRPr="003960B0">
        <w:rPr>
          <w:sz w:val="22"/>
          <w:szCs w:val="22"/>
        </w:rPr>
        <w:t>2</w:t>
      </w:r>
      <w:r w:rsidR="00E1561F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hodiny v porovnaní s 31 minútami u pacientov užívajúcich placebo (p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&lt;0</w:t>
      </w:r>
      <w:r w:rsidR="00BC00E1" w:rsidRPr="003960B0">
        <w:rPr>
          <w:sz w:val="22"/>
          <w:szCs w:val="22"/>
        </w:rPr>
        <w:t>,</w:t>
      </w:r>
      <w:r w:rsidRPr="003960B0">
        <w:rPr>
          <w:sz w:val="22"/>
          <w:szCs w:val="22"/>
        </w:rPr>
        <w:t>0001).</w:t>
      </w:r>
    </w:p>
    <w:p w:rsidR="003248D1" w:rsidRPr="003960B0" w:rsidRDefault="003248D1" w:rsidP="001E08EB">
      <w:pPr>
        <w:outlineLvl w:val="0"/>
        <w:rPr>
          <w:sz w:val="22"/>
          <w:szCs w:val="22"/>
        </w:rPr>
      </w:pPr>
    </w:p>
    <w:p w:rsidR="003248D1" w:rsidRPr="003960B0" w:rsidRDefault="008867C8" w:rsidP="001E08EB">
      <w:p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 xml:space="preserve">Účinok liečby </w:t>
      </w:r>
      <w:r w:rsidR="00CE7C62" w:rsidRPr="003960B0">
        <w:rPr>
          <w:sz w:val="22"/>
          <w:szCs w:val="22"/>
        </w:rPr>
        <w:t>po</w:t>
      </w:r>
      <w:r w:rsidRPr="003960B0">
        <w:rPr>
          <w:sz w:val="22"/>
          <w:szCs w:val="22"/>
        </w:rPr>
        <w:t xml:space="preserve"> perorálno</w:t>
      </w:r>
      <w:r w:rsidR="00CE7C62" w:rsidRPr="003960B0">
        <w:rPr>
          <w:sz w:val="22"/>
          <w:szCs w:val="22"/>
        </w:rPr>
        <w:t>m</w:t>
      </w:r>
      <w:r w:rsidRPr="003960B0">
        <w:rPr>
          <w:sz w:val="22"/>
          <w:szCs w:val="22"/>
        </w:rPr>
        <w:t xml:space="preserve"> </w:t>
      </w:r>
      <w:r w:rsidR="00CE7C62" w:rsidRPr="003960B0">
        <w:rPr>
          <w:sz w:val="22"/>
          <w:szCs w:val="22"/>
        </w:rPr>
        <w:t>podaní</w:t>
      </w:r>
      <w:r w:rsidRPr="003960B0">
        <w:rPr>
          <w:sz w:val="22"/>
          <w:szCs w:val="22"/>
        </w:rPr>
        <w:t xml:space="preserve"> individuálnych dávok </w:t>
      </w:r>
      <w:r w:rsidR="009E6197" w:rsidRPr="003960B0">
        <w:rPr>
          <w:sz w:val="22"/>
          <w:szCs w:val="22"/>
        </w:rPr>
        <w:t xml:space="preserve">dezmopresínu </w:t>
      </w:r>
      <w:r w:rsidR="00CE7C62" w:rsidRPr="003960B0">
        <w:rPr>
          <w:sz w:val="22"/>
          <w:szCs w:val="22"/>
        </w:rPr>
        <w:t xml:space="preserve">tablety </w:t>
      </w:r>
      <w:r w:rsidRPr="003960B0">
        <w:rPr>
          <w:sz w:val="22"/>
          <w:szCs w:val="22"/>
        </w:rPr>
        <w:t>0,1</w:t>
      </w:r>
      <w:r w:rsidR="00E1561F" w:rsidRPr="003960B0">
        <w:rPr>
          <w:sz w:val="22"/>
          <w:szCs w:val="22"/>
        </w:rPr>
        <w:t xml:space="preserve"> </w:t>
      </w:r>
      <w:r w:rsidRPr="003960B0">
        <w:rPr>
          <w:sz w:val="22"/>
          <w:szCs w:val="22"/>
        </w:rPr>
        <w:t>–</w:t>
      </w:r>
      <w:r w:rsidR="00E1561F" w:rsidRPr="003960B0">
        <w:rPr>
          <w:sz w:val="22"/>
          <w:szCs w:val="22"/>
        </w:rPr>
        <w:t xml:space="preserve"> </w:t>
      </w:r>
      <w:r w:rsidRPr="003960B0">
        <w:rPr>
          <w:sz w:val="22"/>
          <w:szCs w:val="22"/>
        </w:rPr>
        <w:t>0,4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mg po</w:t>
      </w:r>
      <w:r w:rsidR="00E2142C" w:rsidRPr="003960B0">
        <w:rPr>
          <w:sz w:val="22"/>
          <w:szCs w:val="22"/>
        </w:rPr>
        <w:t>čas</w:t>
      </w:r>
      <w:r w:rsidRPr="003960B0">
        <w:rPr>
          <w:sz w:val="22"/>
          <w:szCs w:val="22"/>
        </w:rPr>
        <w:t xml:space="preserve"> 3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týždňov v porovnaní s placebom (súhrnné údaje)</w:t>
      </w:r>
      <w:r w:rsidR="00BC6CF2" w:rsidRPr="003960B0">
        <w:rPr>
          <w:sz w:val="22"/>
          <w:szCs w:val="22"/>
        </w:rPr>
        <w:t>:</w:t>
      </w:r>
    </w:p>
    <w:p w:rsidR="006B1404" w:rsidRPr="003960B0" w:rsidRDefault="006B1404" w:rsidP="001E08EB">
      <w:pPr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40"/>
        <w:gridCol w:w="1680"/>
        <w:gridCol w:w="1320"/>
        <w:gridCol w:w="1680"/>
        <w:gridCol w:w="1440"/>
      </w:tblGrid>
      <w:tr w:rsidR="003248D1" w:rsidRPr="003960B0" w:rsidTr="00CB233E">
        <w:trPr>
          <w:cantSplit/>
        </w:trPr>
        <w:tc>
          <w:tcPr>
            <w:tcW w:w="1668" w:type="dxa"/>
          </w:tcPr>
          <w:p w:rsidR="003248D1" w:rsidRPr="003960B0" w:rsidRDefault="003248D1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gridSpan w:val="2"/>
          </w:tcPr>
          <w:p w:rsidR="003248D1" w:rsidRPr="003960B0" w:rsidRDefault="003248D1">
            <w:pPr>
              <w:spacing w:before="120" w:after="12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Dezmopresín</w:t>
            </w:r>
          </w:p>
        </w:tc>
        <w:tc>
          <w:tcPr>
            <w:tcW w:w="3000" w:type="dxa"/>
            <w:gridSpan w:val="2"/>
          </w:tcPr>
          <w:p w:rsidR="003248D1" w:rsidRPr="003960B0" w:rsidRDefault="003248D1">
            <w:pPr>
              <w:spacing w:before="120" w:after="12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Placebo</w:t>
            </w:r>
          </w:p>
        </w:tc>
        <w:tc>
          <w:tcPr>
            <w:tcW w:w="1440" w:type="dxa"/>
          </w:tcPr>
          <w:p w:rsidR="00963A6F" w:rsidRPr="003960B0" w:rsidRDefault="00963A6F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Štatistická významnosť / placebo</w:t>
            </w:r>
          </w:p>
        </w:tc>
      </w:tr>
      <w:tr w:rsidR="003248D1" w:rsidRPr="003960B0" w:rsidTr="00CB233E">
        <w:tc>
          <w:tcPr>
            <w:tcW w:w="1668" w:type="dxa"/>
          </w:tcPr>
          <w:p w:rsidR="003248D1" w:rsidRPr="003960B0" w:rsidRDefault="003248D1">
            <w:pPr>
              <w:spacing w:before="36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Premenná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Priemerná  hodnota</w:t>
            </w:r>
            <w:r w:rsidR="00CE7C62" w:rsidRPr="003960B0">
              <w:rPr>
                <w:b/>
                <w:bCs/>
                <w:sz w:val="22"/>
                <w:szCs w:val="22"/>
              </w:rPr>
              <w:t xml:space="preserve"> na začiatku liečby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Priemerná hodnota počas 3 týždňov liečby</w:t>
            </w:r>
          </w:p>
        </w:tc>
        <w:tc>
          <w:tcPr>
            <w:tcW w:w="132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Priemerná  hodnota</w:t>
            </w:r>
            <w:r w:rsidR="00CE7C62" w:rsidRPr="003960B0">
              <w:rPr>
                <w:b/>
                <w:bCs/>
                <w:sz w:val="22"/>
                <w:szCs w:val="22"/>
              </w:rPr>
              <w:t xml:space="preserve"> na začiatku liečby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Priemerná hodnota počas 3 týždňov liečby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3248D1" w:rsidRPr="003960B0" w:rsidTr="00CB233E">
        <w:tc>
          <w:tcPr>
            <w:tcW w:w="1668" w:type="dxa"/>
          </w:tcPr>
          <w:p w:rsidR="003248D1" w:rsidRPr="003960B0" w:rsidRDefault="003248D1">
            <w:pPr>
              <w:spacing w:before="120" w:after="120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Počet nočných močení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2,97 (0</w:t>
            </w:r>
            <w:r w:rsidR="00E1561F" w:rsidRPr="003960B0">
              <w:rPr>
                <w:sz w:val="22"/>
                <w:szCs w:val="22"/>
              </w:rPr>
              <w:t>,</w:t>
            </w:r>
            <w:r w:rsidRPr="003960B0">
              <w:rPr>
                <w:sz w:val="22"/>
                <w:szCs w:val="22"/>
              </w:rPr>
              <w:t>84)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1,68 (0,86)</w:t>
            </w:r>
          </w:p>
        </w:tc>
        <w:tc>
          <w:tcPr>
            <w:tcW w:w="1320" w:type="dxa"/>
          </w:tcPr>
          <w:p w:rsidR="003248D1" w:rsidRPr="003960B0" w:rsidRDefault="003248D1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3,03 (1,10)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2,54 (1,05)</w:t>
            </w:r>
          </w:p>
        </w:tc>
        <w:tc>
          <w:tcPr>
            <w:tcW w:w="1440" w:type="dxa"/>
          </w:tcPr>
          <w:p w:rsidR="003248D1" w:rsidRPr="003960B0" w:rsidRDefault="00CC4203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 xml:space="preserve">p </w:t>
            </w:r>
            <w:r w:rsidR="003248D1" w:rsidRPr="003960B0">
              <w:rPr>
                <w:sz w:val="22"/>
                <w:szCs w:val="22"/>
              </w:rPr>
              <w:t>&lt;0</w:t>
            </w:r>
            <w:r w:rsidR="00BC00E1" w:rsidRPr="003960B0">
              <w:rPr>
                <w:sz w:val="22"/>
                <w:szCs w:val="22"/>
              </w:rPr>
              <w:t>,</w:t>
            </w:r>
            <w:r w:rsidR="003248D1" w:rsidRPr="003960B0">
              <w:rPr>
                <w:sz w:val="22"/>
                <w:szCs w:val="22"/>
              </w:rPr>
              <w:t>0001</w:t>
            </w:r>
          </w:p>
        </w:tc>
      </w:tr>
      <w:tr w:rsidR="003248D1" w:rsidRPr="003960B0" w:rsidTr="00CB233E">
        <w:tc>
          <w:tcPr>
            <w:tcW w:w="1668" w:type="dxa"/>
          </w:tcPr>
          <w:p w:rsidR="003248D1" w:rsidRPr="003960B0" w:rsidRDefault="003248D1">
            <w:pPr>
              <w:spacing w:before="120" w:after="120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Intenzita nočnej diurézy (ml/min)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1,51 (0,55)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0,87 (0,34)</w:t>
            </w:r>
          </w:p>
        </w:tc>
        <w:tc>
          <w:tcPr>
            <w:tcW w:w="1320" w:type="dxa"/>
          </w:tcPr>
          <w:p w:rsidR="003248D1" w:rsidRPr="003960B0" w:rsidRDefault="003248D1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1,55 (0,57)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1,44 (0,57)</w:t>
            </w:r>
          </w:p>
        </w:tc>
        <w:tc>
          <w:tcPr>
            <w:tcW w:w="1440" w:type="dxa"/>
          </w:tcPr>
          <w:p w:rsidR="003248D1" w:rsidRPr="003960B0" w:rsidRDefault="00CC4203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 xml:space="preserve">p </w:t>
            </w:r>
            <w:r w:rsidR="003248D1" w:rsidRPr="003960B0">
              <w:rPr>
                <w:sz w:val="22"/>
                <w:szCs w:val="22"/>
              </w:rPr>
              <w:t>&lt;0</w:t>
            </w:r>
            <w:r w:rsidR="00BC00E1" w:rsidRPr="003960B0">
              <w:rPr>
                <w:sz w:val="22"/>
                <w:szCs w:val="22"/>
              </w:rPr>
              <w:t>,</w:t>
            </w:r>
            <w:r w:rsidR="003248D1" w:rsidRPr="003960B0">
              <w:rPr>
                <w:sz w:val="22"/>
                <w:szCs w:val="22"/>
              </w:rPr>
              <w:t>0001</w:t>
            </w:r>
          </w:p>
        </w:tc>
      </w:tr>
      <w:tr w:rsidR="003248D1" w:rsidRPr="003960B0" w:rsidTr="00CB233E">
        <w:tc>
          <w:tcPr>
            <w:tcW w:w="1668" w:type="dxa"/>
          </w:tcPr>
          <w:p w:rsidR="003248D1" w:rsidRPr="003960B0" w:rsidRDefault="003248D1">
            <w:pPr>
              <w:spacing w:before="120" w:after="120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Trvanie prvého nerušeného obdobia spánku (min)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152 (51</w:t>
            </w:r>
            <w:r w:rsidR="00E1561F" w:rsidRPr="003960B0">
              <w:rPr>
                <w:sz w:val="22"/>
                <w:szCs w:val="22"/>
              </w:rPr>
              <w:t>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270 (95)</w:t>
            </w:r>
          </w:p>
        </w:tc>
        <w:tc>
          <w:tcPr>
            <w:tcW w:w="1320" w:type="dxa"/>
          </w:tcPr>
          <w:p w:rsidR="003248D1" w:rsidRPr="003960B0" w:rsidRDefault="003248D1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147 (54)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178 (70)</w:t>
            </w:r>
          </w:p>
        </w:tc>
        <w:tc>
          <w:tcPr>
            <w:tcW w:w="1440" w:type="dxa"/>
          </w:tcPr>
          <w:p w:rsidR="003248D1" w:rsidRPr="003960B0" w:rsidRDefault="00CC4203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 xml:space="preserve">p </w:t>
            </w:r>
            <w:r w:rsidR="003248D1" w:rsidRPr="003960B0">
              <w:rPr>
                <w:sz w:val="22"/>
                <w:szCs w:val="22"/>
              </w:rPr>
              <w:t>&lt;0</w:t>
            </w:r>
            <w:r w:rsidR="00BC00E1" w:rsidRPr="003960B0">
              <w:rPr>
                <w:sz w:val="22"/>
                <w:szCs w:val="22"/>
              </w:rPr>
              <w:t>,</w:t>
            </w:r>
            <w:r w:rsidR="003248D1" w:rsidRPr="003960B0">
              <w:rPr>
                <w:sz w:val="22"/>
                <w:szCs w:val="22"/>
              </w:rPr>
              <w:t>0001</w:t>
            </w:r>
          </w:p>
        </w:tc>
      </w:tr>
    </w:tbl>
    <w:p w:rsidR="003248D1" w:rsidRPr="003960B0" w:rsidRDefault="003248D1">
      <w:pPr>
        <w:outlineLvl w:val="0"/>
        <w:rPr>
          <w:sz w:val="22"/>
          <w:szCs w:val="22"/>
        </w:rPr>
      </w:pPr>
    </w:p>
    <w:p w:rsidR="003248D1" w:rsidRPr="003960B0" w:rsidRDefault="003248D1" w:rsidP="001E08EB">
      <w:p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>8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pacientov prerušilo liečbu počas titrácie dávky dezmopresínu pre nežiaduce účinky a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2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v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nasledujúcej dvojito zaslepenej fáze (0,63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pacientov užívajúcich dezmopresín a 1,45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 xml:space="preserve">% pacientov užívajúcich placebo). </w:t>
      </w:r>
    </w:p>
    <w:p w:rsidR="003248D1" w:rsidRPr="003960B0" w:rsidRDefault="003248D1">
      <w:pPr>
        <w:outlineLvl w:val="0"/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5.2</w:t>
      </w:r>
      <w:r w:rsidRPr="003960B0">
        <w:rPr>
          <w:b/>
          <w:sz w:val="22"/>
          <w:szCs w:val="22"/>
        </w:rPr>
        <w:tab/>
        <w:t>Farmakokinetické vlastnosti</w:t>
      </w:r>
    </w:p>
    <w:p w:rsidR="003248D1" w:rsidRPr="003960B0" w:rsidRDefault="003248D1">
      <w:pPr>
        <w:rPr>
          <w:sz w:val="22"/>
          <w:szCs w:val="22"/>
        </w:rPr>
      </w:pPr>
    </w:p>
    <w:p w:rsidR="00FB5A4E" w:rsidRPr="003960B0" w:rsidRDefault="00C45A12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Absorpcia</w:t>
      </w:r>
    </w:p>
    <w:p w:rsidR="003248D1" w:rsidRPr="003960B0" w:rsidRDefault="003248D1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Celková priemerná </w:t>
      </w:r>
      <w:r w:rsidR="00064145" w:rsidRPr="003960B0">
        <w:rPr>
          <w:sz w:val="22"/>
          <w:szCs w:val="22"/>
        </w:rPr>
        <w:t xml:space="preserve">absolútna </w:t>
      </w:r>
      <w:r w:rsidRPr="003960B0">
        <w:rPr>
          <w:sz w:val="22"/>
          <w:szCs w:val="22"/>
        </w:rPr>
        <w:t xml:space="preserve">biologická dostupnosť dezmopresínu podaného sublingválne ako </w:t>
      </w:r>
      <w:r w:rsidR="00300A56" w:rsidRPr="003960B0">
        <w:rPr>
          <w:sz w:val="22"/>
          <w:szCs w:val="22"/>
        </w:rPr>
        <w:t xml:space="preserve">perorálny lyofilizát </w:t>
      </w:r>
      <w:r w:rsidRPr="003960B0">
        <w:rPr>
          <w:sz w:val="22"/>
          <w:szCs w:val="22"/>
        </w:rPr>
        <w:t>v dávkach 200, 400 a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800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μg je 0,25</w:t>
      </w:r>
      <w:r w:rsidR="0072271C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s</w:t>
      </w:r>
      <w:r w:rsidR="0072271C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95</w:t>
      </w:r>
      <w:r w:rsidR="0072271C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 xml:space="preserve">% intervalom spoľahlivosti </w:t>
      </w:r>
      <w:r w:rsidR="00BC00E1" w:rsidRPr="003960B0">
        <w:rPr>
          <w:sz w:val="22"/>
          <w:szCs w:val="22"/>
        </w:rPr>
        <w:t>v</w:t>
      </w:r>
      <w:r w:rsidR="003960B0" w:rsidRPr="003960B0">
        <w:rPr>
          <w:sz w:val="22"/>
          <w:szCs w:val="22"/>
        </w:rPr>
        <w:t> </w:t>
      </w:r>
      <w:r w:rsidR="00BC00E1" w:rsidRPr="003960B0">
        <w:rPr>
          <w:sz w:val="22"/>
          <w:szCs w:val="22"/>
        </w:rPr>
        <w:t>rozmedzí</w:t>
      </w:r>
      <w:r w:rsidRPr="003960B0">
        <w:rPr>
          <w:sz w:val="22"/>
          <w:szCs w:val="22"/>
        </w:rPr>
        <w:t xml:space="preserve"> 0,21 – 0,31</w:t>
      </w:r>
      <w:r w:rsidR="00FC63C5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%. C</w:t>
      </w:r>
      <w:r w:rsidRPr="003960B0">
        <w:rPr>
          <w:sz w:val="22"/>
          <w:szCs w:val="22"/>
          <w:vertAlign w:val="subscript"/>
        </w:rPr>
        <w:t>max</w:t>
      </w:r>
      <w:r w:rsidRPr="003960B0">
        <w:rPr>
          <w:sz w:val="22"/>
          <w:szCs w:val="22"/>
        </w:rPr>
        <w:t xml:space="preserve"> bol</w:t>
      </w:r>
      <w:r w:rsidR="00CB233E" w:rsidRPr="003960B0">
        <w:rPr>
          <w:sz w:val="22"/>
          <w:szCs w:val="22"/>
        </w:rPr>
        <w:t>a</w:t>
      </w:r>
      <w:r w:rsidRPr="003960B0">
        <w:rPr>
          <w:sz w:val="22"/>
          <w:szCs w:val="22"/>
        </w:rPr>
        <w:t xml:space="preserve"> 14, 30 a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65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pg/ml po podaní 200, 400 a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800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μg</w:t>
      </w:r>
      <w:r w:rsidR="00CB233E" w:rsidRPr="003960B0">
        <w:rPr>
          <w:sz w:val="22"/>
          <w:szCs w:val="22"/>
        </w:rPr>
        <w:t xml:space="preserve"> a</w:t>
      </w:r>
      <w:r w:rsidR="00DF60CE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t</w:t>
      </w:r>
      <w:r w:rsidRPr="003960B0">
        <w:rPr>
          <w:sz w:val="22"/>
          <w:szCs w:val="22"/>
          <w:vertAlign w:val="subscript"/>
        </w:rPr>
        <w:t>max</w:t>
      </w:r>
      <w:r w:rsidRPr="003960B0">
        <w:rPr>
          <w:sz w:val="22"/>
          <w:szCs w:val="22"/>
        </w:rPr>
        <w:t xml:space="preserve"> </w:t>
      </w:r>
      <w:r w:rsidR="00286FBB" w:rsidRPr="003960B0">
        <w:rPr>
          <w:sz w:val="22"/>
          <w:szCs w:val="22"/>
        </w:rPr>
        <w:t>sa</w:t>
      </w:r>
      <w:r w:rsidRPr="003960B0">
        <w:rPr>
          <w:sz w:val="22"/>
          <w:szCs w:val="22"/>
        </w:rPr>
        <w:t xml:space="preserve"> pozorova</w:t>
      </w:r>
      <w:r w:rsidR="00286FBB" w:rsidRPr="003960B0">
        <w:rPr>
          <w:sz w:val="22"/>
          <w:szCs w:val="22"/>
        </w:rPr>
        <w:t>l</w:t>
      </w:r>
      <w:r w:rsidRPr="003960B0">
        <w:rPr>
          <w:sz w:val="22"/>
          <w:szCs w:val="22"/>
        </w:rPr>
        <w:t xml:space="preserve"> 0,5 – 2,0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hodin</w:t>
      </w:r>
      <w:r w:rsidR="00CB233E" w:rsidRPr="003960B0">
        <w:rPr>
          <w:sz w:val="22"/>
          <w:szCs w:val="22"/>
        </w:rPr>
        <w:t>y</w:t>
      </w:r>
      <w:r w:rsidRPr="003960B0">
        <w:rPr>
          <w:sz w:val="22"/>
          <w:szCs w:val="22"/>
        </w:rPr>
        <w:t xml:space="preserve"> po užití dávky. </w:t>
      </w:r>
    </w:p>
    <w:p w:rsidR="003248D1" w:rsidRPr="003960B0" w:rsidRDefault="003248D1" w:rsidP="001E08EB">
      <w:pPr>
        <w:rPr>
          <w:sz w:val="22"/>
          <w:szCs w:val="22"/>
        </w:rPr>
      </w:pPr>
    </w:p>
    <w:p w:rsidR="00BC6CF2" w:rsidRPr="003960B0" w:rsidRDefault="00BC6CF2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Užívanie spolu s jedlom sa </w:t>
      </w:r>
      <w:r w:rsidR="006B1404" w:rsidRPr="003960B0">
        <w:rPr>
          <w:sz w:val="22"/>
          <w:szCs w:val="22"/>
        </w:rPr>
        <w:t>u</w:t>
      </w:r>
      <w:r w:rsidR="006C4B8F" w:rsidRPr="003960B0">
        <w:rPr>
          <w:sz w:val="22"/>
          <w:szCs w:val="22"/>
        </w:rPr>
        <w:t> </w:t>
      </w:r>
      <w:r w:rsidR="009E6197" w:rsidRPr="003960B0">
        <w:rPr>
          <w:sz w:val="22"/>
          <w:szCs w:val="22"/>
        </w:rPr>
        <w:t> dezmopresínu vo forme</w:t>
      </w:r>
      <w:r w:rsidR="00F75B21" w:rsidRPr="003960B0">
        <w:rPr>
          <w:sz w:val="22"/>
          <w:szCs w:val="22"/>
        </w:rPr>
        <w:t xml:space="preserve"> peroráln</w:t>
      </w:r>
      <w:r w:rsidR="009E6197" w:rsidRPr="003960B0">
        <w:rPr>
          <w:sz w:val="22"/>
          <w:szCs w:val="22"/>
        </w:rPr>
        <w:t>eho</w:t>
      </w:r>
      <w:r w:rsidR="00F75B21" w:rsidRPr="003960B0">
        <w:rPr>
          <w:sz w:val="22"/>
          <w:szCs w:val="22"/>
        </w:rPr>
        <w:t xml:space="preserve"> lyofilizát</w:t>
      </w:r>
      <w:r w:rsidR="009E6197" w:rsidRPr="003960B0">
        <w:rPr>
          <w:sz w:val="22"/>
          <w:szCs w:val="22"/>
        </w:rPr>
        <w:t>u</w:t>
      </w:r>
      <w:r w:rsidR="00F75B21" w:rsidRPr="003960B0">
        <w:rPr>
          <w:sz w:val="22"/>
          <w:szCs w:val="22"/>
        </w:rPr>
        <w:t xml:space="preserve"> </w:t>
      </w:r>
      <w:r w:rsidRPr="003960B0">
        <w:rPr>
          <w:sz w:val="22"/>
          <w:szCs w:val="22"/>
        </w:rPr>
        <w:t xml:space="preserve">neštudovalo, ale </w:t>
      </w:r>
      <w:r w:rsidR="00C45A12" w:rsidRPr="003960B0">
        <w:rPr>
          <w:sz w:val="22"/>
          <w:szCs w:val="22"/>
        </w:rPr>
        <w:t xml:space="preserve">u </w:t>
      </w:r>
      <w:r w:rsidRPr="003960B0">
        <w:rPr>
          <w:sz w:val="22"/>
          <w:szCs w:val="22"/>
        </w:rPr>
        <w:t>tabl</w:t>
      </w:r>
      <w:r w:rsidR="00C45A12" w:rsidRPr="003960B0">
        <w:rPr>
          <w:sz w:val="22"/>
          <w:szCs w:val="22"/>
        </w:rPr>
        <w:t>i</w:t>
      </w:r>
      <w:r w:rsidRPr="003960B0">
        <w:rPr>
          <w:sz w:val="22"/>
          <w:szCs w:val="22"/>
        </w:rPr>
        <w:t>et</w:t>
      </w:r>
      <w:r w:rsidR="00C45A12" w:rsidRPr="003960B0">
        <w:rPr>
          <w:sz w:val="22"/>
          <w:szCs w:val="22"/>
        </w:rPr>
        <w:t xml:space="preserve"> sa rýchlosť a rozsah absorpcie znížili o 40 %.</w:t>
      </w:r>
    </w:p>
    <w:p w:rsidR="00C45A12" w:rsidRPr="003960B0" w:rsidRDefault="00C45A12" w:rsidP="001E08EB">
      <w:pPr>
        <w:rPr>
          <w:sz w:val="22"/>
          <w:szCs w:val="22"/>
        </w:rPr>
      </w:pPr>
    </w:p>
    <w:p w:rsidR="003248D1" w:rsidRPr="003960B0" w:rsidRDefault="003248D1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Prehľad korelácií medzi </w:t>
      </w:r>
      <w:r w:rsidR="00447496" w:rsidRPr="003960B0">
        <w:rPr>
          <w:sz w:val="22"/>
          <w:szCs w:val="22"/>
        </w:rPr>
        <w:t xml:space="preserve">dezmopresínom vo forme </w:t>
      </w:r>
      <w:r w:rsidR="00CB233E" w:rsidRPr="003960B0">
        <w:rPr>
          <w:bCs/>
          <w:sz w:val="22"/>
          <w:szCs w:val="22"/>
        </w:rPr>
        <w:t xml:space="preserve"> tabl</w:t>
      </w:r>
      <w:r w:rsidR="00447496" w:rsidRPr="003960B0">
        <w:rPr>
          <w:bCs/>
          <w:sz w:val="22"/>
          <w:szCs w:val="22"/>
        </w:rPr>
        <w:t>i</w:t>
      </w:r>
      <w:r w:rsidR="00CB233E" w:rsidRPr="003960B0">
        <w:rPr>
          <w:bCs/>
          <w:sz w:val="22"/>
          <w:szCs w:val="22"/>
        </w:rPr>
        <w:t>et</w:t>
      </w:r>
      <w:r w:rsidRPr="003960B0">
        <w:rPr>
          <w:sz w:val="22"/>
          <w:szCs w:val="22"/>
        </w:rPr>
        <w:t xml:space="preserve"> a</w:t>
      </w:r>
      <w:r w:rsidR="009F7E56" w:rsidRPr="003960B0">
        <w:rPr>
          <w:sz w:val="22"/>
          <w:szCs w:val="22"/>
        </w:rPr>
        <w:t> </w:t>
      </w:r>
      <w:r w:rsidR="00447496" w:rsidRPr="003960B0">
        <w:rPr>
          <w:sz w:val="22"/>
          <w:szCs w:val="22"/>
        </w:rPr>
        <w:t xml:space="preserve">vo forme </w:t>
      </w:r>
      <w:r w:rsidR="00300A56" w:rsidRPr="003960B0">
        <w:rPr>
          <w:sz w:val="22"/>
          <w:szCs w:val="22"/>
        </w:rPr>
        <w:t>peroráln</w:t>
      </w:r>
      <w:r w:rsidR="00447496" w:rsidRPr="003960B0">
        <w:rPr>
          <w:sz w:val="22"/>
          <w:szCs w:val="22"/>
        </w:rPr>
        <w:t xml:space="preserve">eho </w:t>
      </w:r>
      <w:r w:rsidR="00300A56" w:rsidRPr="003960B0">
        <w:rPr>
          <w:sz w:val="22"/>
          <w:szCs w:val="22"/>
        </w:rPr>
        <w:t>lyofilizát</w:t>
      </w:r>
      <w:r w:rsidR="00447496" w:rsidRPr="003960B0">
        <w:rPr>
          <w:sz w:val="22"/>
          <w:szCs w:val="22"/>
        </w:rPr>
        <w:t>u</w:t>
      </w:r>
      <w:r w:rsidRPr="003960B0">
        <w:rPr>
          <w:sz w:val="22"/>
          <w:szCs w:val="22"/>
        </w:rPr>
        <w:t>:</w:t>
      </w:r>
    </w:p>
    <w:p w:rsidR="006B1404" w:rsidRPr="003960B0" w:rsidRDefault="006B1404" w:rsidP="001E08E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1"/>
        <w:gridCol w:w="2322"/>
        <w:gridCol w:w="2305"/>
        <w:gridCol w:w="2339"/>
      </w:tblGrid>
      <w:tr w:rsidR="003248D1" w:rsidRPr="003960B0">
        <w:tc>
          <w:tcPr>
            <w:tcW w:w="2321" w:type="dxa"/>
          </w:tcPr>
          <w:p w:rsidR="003248D1" w:rsidRPr="003960B0" w:rsidRDefault="00447496" w:rsidP="006A523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960B0">
              <w:rPr>
                <w:b/>
                <w:sz w:val="22"/>
                <w:szCs w:val="22"/>
              </w:rPr>
              <w:t xml:space="preserve">dezmopresín </w:t>
            </w:r>
            <w:r w:rsidR="003248D1" w:rsidRPr="003960B0">
              <w:rPr>
                <w:b/>
                <w:sz w:val="22"/>
                <w:szCs w:val="22"/>
              </w:rPr>
              <w:t>tablet</w:t>
            </w:r>
            <w:r w:rsidR="00BC00E1" w:rsidRPr="003960B0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322" w:type="dxa"/>
          </w:tcPr>
          <w:p w:rsidR="003248D1" w:rsidRPr="003960B0" w:rsidRDefault="00447496" w:rsidP="006A523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960B0">
              <w:rPr>
                <w:b/>
                <w:sz w:val="22"/>
                <w:szCs w:val="22"/>
              </w:rPr>
              <w:t xml:space="preserve">dezmopresín </w:t>
            </w:r>
            <w:r w:rsidR="003248D1" w:rsidRPr="003960B0">
              <w:rPr>
                <w:b/>
                <w:sz w:val="22"/>
                <w:szCs w:val="22"/>
              </w:rPr>
              <w:t>tablet</w:t>
            </w:r>
            <w:r w:rsidR="00BC00E1" w:rsidRPr="003960B0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305" w:type="dxa"/>
          </w:tcPr>
          <w:p w:rsidR="00F75B21" w:rsidRPr="003960B0" w:rsidRDefault="00447496" w:rsidP="00300A5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960B0">
              <w:rPr>
                <w:b/>
                <w:sz w:val="22"/>
                <w:szCs w:val="22"/>
              </w:rPr>
              <w:t xml:space="preserve">dezmopresín </w:t>
            </w:r>
            <w:r w:rsidR="00F75B21" w:rsidRPr="003960B0">
              <w:rPr>
                <w:b/>
                <w:sz w:val="22"/>
                <w:szCs w:val="22"/>
              </w:rPr>
              <w:t xml:space="preserve"> perorálny lyofilizát</w:t>
            </w:r>
          </w:p>
        </w:tc>
        <w:tc>
          <w:tcPr>
            <w:tcW w:w="2339" w:type="dxa"/>
          </w:tcPr>
          <w:p w:rsidR="00F75B21" w:rsidRPr="003960B0" w:rsidRDefault="00447496" w:rsidP="00300A5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960B0">
              <w:rPr>
                <w:b/>
                <w:sz w:val="22"/>
                <w:szCs w:val="22"/>
              </w:rPr>
              <w:t xml:space="preserve">dezmopresín </w:t>
            </w:r>
            <w:r w:rsidR="00F75B21" w:rsidRPr="003960B0">
              <w:rPr>
                <w:b/>
                <w:sz w:val="22"/>
                <w:szCs w:val="22"/>
              </w:rPr>
              <w:t>perorálny lyofilizát</w:t>
            </w:r>
          </w:p>
        </w:tc>
      </w:tr>
      <w:tr w:rsidR="003248D1" w:rsidRPr="003960B0">
        <w:tc>
          <w:tcPr>
            <w:tcW w:w="2321" w:type="dxa"/>
          </w:tcPr>
          <w:p w:rsidR="003248D1" w:rsidRPr="003960B0" w:rsidRDefault="00D865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d</w:t>
            </w:r>
            <w:r w:rsidR="003248D1" w:rsidRPr="003960B0">
              <w:rPr>
                <w:sz w:val="22"/>
                <w:szCs w:val="22"/>
              </w:rPr>
              <w:t>ezmopresín acetát</w:t>
            </w:r>
          </w:p>
        </w:tc>
        <w:tc>
          <w:tcPr>
            <w:tcW w:w="2322" w:type="dxa"/>
          </w:tcPr>
          <w:p w:rsidR="003248D1" w:rsidRPr="003960B0" w:rsidRDefault="00D865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d</w:t>
            </w:r>
            <w:r w:rsidR="003248D1" w:rsidRPr="003960B0">
              <w:rPr>
                <w:sz w:val="22"/>
                <w:szCs w:val="22"/>
              </w:rPr>
              <w:t>ezmopresín voľná báza</w:t>
            </w:r>
          </w:p>
        </w:tc>
        <w:tc>
          <w:tcPr>
            <w:tcW w:w="2305" w:type="dxa"/>
          </w:tcPr>
          <w:p w:rsidR="003248D1" w:rsidRPr="003960B0" w:rsidRDefault="00D865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d</w:t>
            </w:r>
            <w:r w:rsidR="003248D1" w:rsidRPr="003960B0">
              <w:rPr>
                <w:sz w:val="22"/>
                <w:szCs w:val="22"/>
              </w:rPr>
              <w:t>ezmopresín voľná báza</w:t>
            </w:r>
          </w:p>
        </w:tc>
        <w:tc>
          <w:tcPr>
            <w:tcW w:w="2339" w:type="dxa"/>
          </w:tcPr>
          <w:p w:rsidR="003248D1" w:rsidRPr="003960B0" w:rsidRDefault="00D865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d</w:t>
            </w:r>
            <w:r w:rsidR="003248D1" w:rsidRPr="003960B0">
              <w:rPr>
                <w:sz w:val="22"/>
                <w:szCs w:val="22"/>
              </w:rPr>
              <w:t>ezmopresín acetát</w:t>
            </w:r>
          </w:p>
        </w:tc>
      </w:tr>
      <w:tr w:rsidR="003248D1" w:rsidRPr="003960B0">
        <w:tc>
          <w:tcPr>
            <w:tcW w:w="2321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0,1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mg</w:t>
            </w:r>
          </w:p>
        </w:tc>
        <w:tc>
          <w:tcPr>
            <w:tcW w:w="2322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89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05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60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39" w:type="dxa"/>
          </w:tcPr>
          <w:p w:rsidR="003248D1" w:rsidRPr="003960B0" w:rsidRDefault="00BC00E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cca</w:t>
            </w:r>
            <w:r w:rsidR="003248D1" w:rsidRPr="003960B0">
              <w:rPr>
                <w:sz w:val="22"/>
                <w:szCs w:val="22"/>
              </w:rPr>
              <w:t xml:space="preserve"> 67</w:t>
            </w:r>
            <w:r w:rsidR="0072271C" w:rsidRPr="003960B0">
              <w:rPr>
                <w:sz w:val="22"/>
                <w:szCs w:val="22"/>
              </w:rPr>
              <w:t> </w:t>
            </w:r>
            <w:r w:rsidR="003248D1" w:rsidRPr="003960B0">
              <w:rPr>
                <w:sz w:val="22"/>
                <w:szCs w:val="22"/>
              </w:rPr>
              <w:t>μg*</w:t>
            </w:r>
          </w:p>
        </w:tc>
      </w:tr>
      <w:tr w:rsidR="003248D1" w:rsidRPr="003960B0">
        <w:tc>
          <w:tcPr>
            <w:tcW w:w="2321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0,2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mg</w:t>
            </w:r>
          </w:p>
        </w:tc>
        <w:tc>
          <w:tcPr>
            <w:tcW w:w="2322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178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05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120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39" w:type="dxa"/>
          </w:tcPr>
          <w:p w:rsidR="003248D1" w:rsidRPr="003960B0" w:rsidRDefault="00BC00E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cca</w:t>
            </w:r>
            <w:r w:rsidR="003248D1" w:rsidRPr="003960B0">
              <w:rPr>
                <w:sz w:val="22"/>
                <w:szCs w:val="22"/>
              </w:rPr>
              <w:t xml:space="preserve"> 135</w:t>
            </w:r>
            <w:r w:rsidR="0072271C" w:rsidRPr="003960B0">
              <w:rPr>
                <w:sz w:val="22"/>
                <w:szCs w:val="22"/>
              </w:rPr>
              <w:t> </w:t>
            </w:r>
            <w:r w:rsidR="003248D1" w:rsidRPr="003960B0">
              <w:rPr>
                <w:sz w:val="22"/>
                <w:szCs w:val="22"/>
              </w:rPr>
              <w:t>μg*</w:t>
            </w:r>
          </w:p>
        </w:tc>
      </w:tr>
      <w:tr w:rsidR="003248D1" w:rsidRPr="003960B0">
        <w:tc>
          <w:tcPr>
            <w:tcW w:w="2321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0,4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mg</w:t>
            </w:r>
          </w:p>
        </w:tc>
        <w:tc>
          <w:tcPr>
            <w:tcW w:w="2322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356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05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240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39" w:type="dxa"/>
          </w:tcPr>
          <w:p w:rsidR="003248D1" w:rsidRPr="003960B0" w:rsidRDefault="00BC00E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cca</w:t>
            </w:r>
            <w:r w:rsidR="003248D1" w:rsidRPr="003960B0">
              <w:rPr>
                <w:sz w:val="22"/>
                <w:szCs w:val="22"/>
              </w:rPr>
              <w:t xml:space="preserve"> 270</w:t>
            </w:r>
            <w:r w:rsidR="0072271C" w:rsidRPr="003960B0">
              <w:rPr>
                <w:sz w:val="22"/>
                <w:szCs w:val="22"/>
              </w:rPr>
              <w:t> </w:t>
            </w:r>
            <w:r w:rsidR="003248D1" w:rsidRPr="003960B0">
              <w:rPr>
                <w:sz w:val="22"/>
                <w:szCs w:val="22"/>
              </w:rPr>
              <w:t>μg*</w:t>
            </w:r>
          </w:p>
        </w:tc>
      </w:tr>
    </w:tbl>
    <w:p w:rsidR="003248D1" w:rsidRPr="003960B0" w:rsidRDefault="003248D1">
      <w:pPr>
        <w:rPr>
          <w:sz w:val="22"/>
          <w:szCs w:val="22"/>
        </w:rPr>
      </w:pPr>
      <w:r w:rsidRPr="003960B0">
        <w:rPr>
          <w:sz w:val="22"/>
          <w:szCs w:val="22"/>
        </w:rPr>
        <w:t>*) vypočítané pre porovnanie</w:t>
      </w:r>
    </w:p>
    <w:p w:rsidR="003248D1" w:rsidRPr="003960B0" w:rsidRDefault="003248D1">
      <w:pPr>
        <w:rPr>
          <w:sz w:val="22"/>
          <w:szCs w:val="22"/>
        </w:rPr>
      </w:pPr>
    </w:p>
    <w:p w:rsidR="00FB5A4E" w:rsidRPr="003960B0" w:rsidRDefault="00C45A12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Distribúcia</w:t>
      </w:r>
    </w:p>
    <w:p w:rsidR="003248D1" w:rsidRPr="003960B0" w:rsidRDefault="008B0E1C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>Distribúciu dezmopresínu najlepšie popisuje dvojkompartmentový distribučný model s distribučným objemom počas eliminačnej fázy 0,3 – 0,5 l/kg.</w:t>
      </w:r>
    </w:p>
    <w:p w:rsidR="008B0E1C" w:rsidRPr="003960B0" w:rsidRDefault="008B0E1C" w:rsidP="001E08EB">
      <w:pPr>
        <w:rPr>
          <w:i/>
          <w:sz w:val="22"/>
          <w:szCs w:val="22"/>
        </w:rPr>
      </w:pPr>
    </w:p>
    <w:p w:rsidR="00FB5A4E" w:rsidRPr="003960B0" w:rsidRDefault="008B0E1C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Biotransformácia</w:t>
      </w:r>
    </w:p>
    <w:p w:rsidR="003248D1" w:rsidRPr="003960B0" w:rsidRDefault="008B0E1C" w:rsidP="001E08EB">
      <w:pPr>
        <w:rPr>
          <w:sz w:val="22"/>
          <w:szCs w:val="22"/>
        </w:rPr>
      </w:pPr>
      <w:r w:rsidRPr="003960B0">
        <w:rPr>
          <w:i/>
          <w:sz w:val="22"/>
          <w:szCs w:val="22"/>
        </w:rPr>
        <w:t>In vivo</w:t>
      </w:r>
      <w:r w:rsidRPr="003960B0">
        <w:rPr>
          <w:sz w:val="22"/>
          <w:szCs w:val="22"/>
        </w:rPr>
        <w:t xml:space="preserve"> metabolizmus dezmopresínu sa neštudoval.</w:t>
      </w:r>
      <w:r w:rsidRPr="003960B0">
        <w:rPr>
          <w:b/>
          <w:sz w:val="22"/>
          <w:szCs w:val="22"/>
        </w:rPr>
        <w:t xml:space="preserve"> </w:t>
      </w:r>
      <w:r w:rsidR="00286FBB" w:rsidRPr="003960B0">
        <w:rPr>
          <w:i/>
          <w:sz w:val="22"/>
          <w:szCs w:val="22"/>
        </w:rPr>
        <w:t>I</w:t>
      </w:r>
      <w:r w:rsidR="003248D1" w:rsidRPr="003960B0">
        <w:rPr>
          <w:i/>
          <w:sz w:val="22"/>
          <w:szCs w:val="22"/>
        </w:rPr>
        <w:t>n vitro</w:t>
      </w:r>
      <w:r w:rsidR="003248D1" w:rsidRPr="003960B0">
        <w:rPr>
          <w:sz w:val="22"/>
          <w:szCs w:val="22"/>
        </w:rPr>
        <w:t xml:space="preserve"> štúdi</w:t>
      </w:r>
      <w:r w:rsidR="00286FBB" w:rsidRPr="003960B0">
        <w:rPr>
          <w:sz w:val="22"/>
          <w:szCs w:val="22"/>
        </w:rPr>
        <w:t>e</w:t>
      </w:r>
      <w:r w:rsidR="003248D1" w:rsidRPr="003960B0">
        <w:rPr>
          <w:sz w:val="22"/>
          <w:szCs w:val="22"/>
        </w:rPr>
        <w:t xml:space="preserve"> </w:t>
      </w:r>
      <w:r w:rsidR="00BC00E1" w:rsidRPr="003960B0">
        <w:rPr>
          <w:sz w:val="22"/>
          <w:szCs w:val="22"/>
        </w:rPr>
        <w:t>s použitím</w:t>
      </w:r>
      <w:r w:rsidR="003248D1" w:rsidRPr="003960B0">
        <w:rPr>
          <w:sz w:val="22"/>
          <w:szCs w:val="22"/>
        </w:rPr>
        <w:t xml:space="preserve"> mikrozómov ľudskej pečene ukázal</w:t>
      </w:r>
      <w:r w:rsidR="00286FBB" w:rsidRPr="003960B0">
        <w:rPr>
          <w:sz w:val="22"/>
          <w:szCs w:val="22"/>
        </w:rPr>
        <w:t>i</w:t>
      </w:r>
      <w:r w:rsidR="003248D1" w:rsidRPr="003960B0">
        <w:rPr>
          <w:sz w:val="22"/>
          <w:szCs w:val="22"/>
        </w:rPr>
        <w:t xml:space="preserve">, že </w:t>
      </w:r>
      <w:r w:rsidR="00D60F41" w:rsidRPr="003960B0">
        <w:rPr>
          <w:sz w:val="22"/>
          <w:szCs w:val="22"/>
        </w:rPr>
        <w:t>v pečeni sa prostredníctvom cytochrómu P450</w:t>
      </w:r>
      <w:r w:rsidR="003248D1" w:rsidRPr="003960B0">
        <w:rPr>
          <w:sz w:val="22"/>
          <w:szCs w:val="22"/>
        </w:rPr>
        <w:t xml:space="preserve"> metabolizuje iba nevýznamné množstvo dezmopresínu</w:t>
      </w:r>
      <w:r w:rsidR="00BC00E1" w:rsidRPr="003960B0">
        <w:rPr>
          <w:sz w:val="22"/>
          <w:szCs w:val="22"/>
        </w:rPr>
        <w:t>,</w:t>
      </w:r>
      <w:r w:rsidR="003248D1" w:rsidRPr="003960B0">
        <w:rPr>
          <w:sz w:val="22"/>
          <w:szCs w:val="22"/>
        </w:rPr>
        <w:t xml:space="preserve"> a preto je premena </w:t>
      </w:r>
      <w:r w:rsidR="003248D1" w:rsidRPr="003960B0">
        <w:rPr>
          <w:i/>
          <w:iCs/>
          <w:sz w:val="22"/>
          <w:szCs w:val="22"/>
        </w:rPr>
        <w:t xml:space="preserve">in vivo </w:t>
      </w:r>
      <w:r w:rsidR="003248D1" w:rsidRPr="003960B0">
        <w:rPr>
          <w:sz w:val="22"/>
          <w:szCs w:val="22"/>
        </w:rPr>
        <w:t xml:space="preserve">v ľudskej pečeni </w:t>
      </w:r>
      <w:r w:rsidR="00D60F41" w:rsidRPr="003960B0">
        <w:rPr>
          <w:sz w:val="22"/>
          <w:szCs w:val="22"/>
        </w:rPr>
        <w:t xml:space="preserve">prostredníctvom cytochrómu P450 </w:t>
      </w:r>
      <w:r w:rsidR="003248D1" w:rsidRPr="003960B0">
        <w:rPr>
          <w:sz w:val="22"/>
          <w:szCs w:val="22"/>
        </w:rPr>
        <w:t xml:space="preserve">nepravdepodobná. </w:t>
      </w:r>
      <w:r w:rsidR="00F27565" w:rsidRPr="003960B0">
        <w:rPr>
          <w:sz w:val="22"/>
          <w:szCs w:val="22"/>
        </w:rPr>
        <w:t>Účinok dezmopresínu na PK iných liekov je pravdepodobne minimálny kvôli nedostatočnej inhibícii cytochróm</w:t>
      </w:r>
      <w:r w:rsidR="00EE5539" w:rsidRPr="003960B0">
        <w:rPr>
          <w:sz w:val="22"/>
          <w:szCs w:val="22"/>
        </w:rPr>
        <w:t>u</w:t>
      </w:r>
      <w:r w:rsidR="00F27565" w:rsidRPr="003960B0">
        <w:rPr>
          <w:sz w:val="22"/>
          <w:szCs w:val="22"/>
        </w:rPr>
        <w:t xml:space="preserve"> P450, ktorý sa podieľa na metabolizme liekov.  </w:t>
      </w:r>
      <w:r w:rsidR="003248D1" w:rsidRPr="003960B0">
        <w:rPr>
          <w:sz w:val="22"/>
          <w:szCs w:val="22"/>
        </w:rPr>
        <w:t xml:space="preserve"> </w:t>
      </w:r>
      <w:r w:rsidR="00F27565" w:rsidRPr="003960B0">
        <w:rPr>
          <w:sz w:val="22"/>
          <w:szCs w:val="22"/>
        </w:rPr>
        <w:t xml:space="preserve"> </w:t>
      </w:r>
    </w:p>
    <w:p w:rsidR="003248D1" w:rsidRPr="003960B0" w:rsidRDefault="003248D1" w:rsidP="001E08EB">
      <w:pPr>
        <w:rPr>
          <w:sz w:val="22"/>
          <w:szCs w:val="22"/>
        </w:rPr>
      </w:pPr>
    </w:p>
    <w:p w:rsidR="00FB5A4E" w:rsidRPr="00F87717" w:rsidRDefault="00F27565" w:rsidP="001E08EB">
      <w:pPr>
        <w:rPr>
          <w:sz w:val="22"/>
          <w:szCs w:val="22"/>
          <w:u w:val="single"/>
        </w:rPr>
      </w:pPr>
      <w:r w:rsidRPr="00F87717">
        <w:rPr>
          <w:sz w:val="22"/>
          <w:szCs w:val="22"/>
          <w:u w:val="single"/>
        </w:rPr>
        <w:t>Eliminácia</w:t>
      </w:r>
    </w:p>
    <w:p w:rsidR="00F27565" w:rsidRPr="00F87717" w:rsidRDefault="00F27565" w:rsidP="001E08EB">
      <w:pPr>
        <w:rPr>
          <w:sz w:val="22"/>
          <w:szCs w:val="22"/>
        </w:rPr>
      </w:pPr>
      <w:r w:rsidRPr="00F87717">
        <w:rPr>
          <w:sz w:val="22"/>
          <w:szCs w:val="22"/>
        </w:rPr>
        <w:t>Celkový klírens dezmopresínu je 7,6 l/hod. Terminálny polčas dezmopresínu sa odhaduje na 2,8</w:t>
      </w:r>
      <w:r w:rsidR="00F87717" w:rsidRPr="00F87717">
        <w:rPr>
          <w:sz w:val="22"/>
          <w:szCs w:val="22"/>
        </w:rPr>
        <w:t> </w:t>
      </w:r>
      <w:r w:rsidRPr="00F87717">
        <w:rPr>
          <w:sz w:val="22"/>
          <w:szCs w:val="22"/>
        </w:rPr>
        <w:t xml:space="preserve">hodiny. </w:t>
      </w:r>
      <w:r w:rsidR="006B1404" w:rsidRPr="00F87717">
        <w:rPr>
          <w:sz w:val="22"/>
          <w:szCs w:val="22"/>
        </w:rPr>
        <w:t>U zdravých dobrovoľníkov sa v nezmenenej forme vylúčilo</w:t>
      </w:r>
      <w:r w:rsidR="00EE5539" w:rsidRPr="00F87717">
        <w:rPr>
          <w:sz w:val="22"/>
          <w:szCs w:val="22"/>
        </w:rPr>
        <w:t xml:space="preserve"> 52 % (44 % – 60 %). </w:t>
      </w:r>
      <w:r w:rsidRPr="00F87717">
        <w:rPr>
          <w:sz w:val="22"/>
          <w:szCs w:val="22"/>
        </w:rPr>
        <w:t xml:space="preserve"> </w:t>
      </w:r>
    </w:p>
    <w:p w:rsidR="00F27565" w:rsidRPr="003960B0" w:rsidRDefault="00F27565" w:rsidP="001E08EB">
      <w:pPr>
        <w:rPr>
          <w:sz w:val="22"/>
          <w:szCs w:val="22"/>
        </w:rPr>
      </w:pPr>
    </w:p>
    <w:p w:rsidR="00FB5A4E" w:rsidRPr="003960B0" w:rsidRDefault="00EE5539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Linearita/nelinearita</w:t>
      </w:r>
    </w:p>
    <w:p w:rsidR="00EE5539" w:rsidRPr="003960B0" w:rsidRDefault="00EE5539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>Nie sú žiadne indikácie pre nelinearitu u ktoréhokoľvek z farmakokinetických parametrov dezmopresínu.</w:t>
      </w:r>
    </w:p>
    <w:p w:rsidR="00EE5539" w:rsidRPr="003960B0" w:rsidRDefault="00EE5539" w:rsidP="001E08EB">
      <w:pPr>
        <w:rPr>
          <w:sz w:val="22"/>
          <w:szCs w:val="22"/>
        </w:rPr>
      </w:pPr>
    </w:p>
    <w:p w:rsidR="00EE5539" w:rsidRPr="003960B0" w:rsidRDefault="00EE5539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Osobitné skupiny pacientov</w:t>
      </w:r>
    </w:p>
    <w:p w:rsidR="00D865A7" w:rsidRPr="003960B0" w:rsidRDefault="00D865A7" w:rsidP="001E08EB">
      <w:pPr>
        <w:rPr>
          <w:sz w:val="22"/>
          <w:szCs w:val="22"/>
          <w:u w:val="single"/>
        </w:rPr>
      </w:pPr>
    </w:p>
    <w:p w:rsidR="00EE5539" w:rsidRPr="003960B0" w:rsidRDefault="00EE5539" w:rsidP="001E08EB">
      <w:pPr>
        <w:rPr>
          <w:i/>
          <w:sz w:val="22"/>
          <w:szCs w:val="22"/>
        </w:rPr>
      </w:pPr>
      <w:r w:rsidRPr="003960B0">
        <w:rPr>
          <w:i/>
          <w:sz w:val="22"/>
          <w:szCs w:val="22"/>
        </w:rPr>
        <w:t>Porucha funkcie obličiek</w:t>
      </w:r>
    </w:p>
    <w:p w:rsidR="009F6168" w:rsidRPr="003960B0" w:rsidRDefault="00EE5539" w:rsidP="009F6168">
      <w:pPr>
        <w:rPr>
          <w:sz w:val="22"/>
          <w:szCs w:val="22"/>
        </w:rPr>
      </w:pPr>
      <w:r w:rsidRPr="003960B0">
        <w:rPr>
          <w:sz w:val="22"/>
          <w:szCs w:val="22"/>
        </w:rPr>
        <w:t>AUC a polčas sa zvyšuj</w:t>
      </w:r>
      <w:r w:rsidR="006B1404" w:rsidRPr="003960B0">
        <w:rPr>
          <w:sz w:val="22"/>
          <w:szCs w:val="22"/>
        </w:rPr>
        <w:t>ú</w:t>
      </w:r>
      <w:r w:rsidRPr="003960B0">
        <w:rPr>
          <w:sz w:val="22"/>
          <w:szCs w:val="22"/>
        </w:rPr>
        <w:t xml:space="preserve"> </w:t>
      </w:r>
      <w:r w:rsidR="006B1404" w:rsidRPr="003960B0">
        <w:rPr>
          <w:sz w:val="22"/>
          <w:szCs w:val="22"/>
        </w:rPr>
        <w:t>v závislosti od závažnosti poruchy funkcie obličiek</w:t>
      </w:r>
      <w:r w:rsidRPr="003960B0">
        <w:rPr>
          <w:sz w:val="22"/>
          <w:szCs w:val="22"/>
        </w:rPr>
        <w:t xml:space="preserve">. </w:t>
      </w:r>
      <w:r w:rsidR="009F6168" w:rsidRPr="003960B0">
        <w:rPr>
          <w:sz w:val="22"/>
          <w:szCs w:val="22"/>
        </w:rPr>
        <w:t>U pacientov so stredne závažnou a závažnou renálnou insuficienciou (klírens kreatinínu pod 50 ml/min) je dezmopresín kontraindikovaný.</w:t>
      </w:r>
    </w:p>
    <w:p w:rsidR="009F6168" w:rsidRPr="003960B0" w:rsidRDefault="009F6168" w:rsidP="009F6168">
      <w:pPr>
        <w:rPr>
          <w:sz w:val="22"/>
          <w:szCs w:val="22"/>
        </w:rPr>
      </w:pPr>
    </w:p>
    <w:p w:rsidR="009F6168" w:rsidRPr="003960B0" w:rsidRDefault="009F6168" w:rsidP="009F6168">
      <w:pPr>
        <w:rPr>
          <w:i/>
          <w:sz w:val="22"/>
          <w:szCs w:val="22"/>
        </w:rPr>
      </w:pPr>
      <w:r w:rsidRPr="003960B0">
        <w:rPr>
          <w:i/>
          <w:sz w:val="22"/>
          <w:szCs w:val="22"/>
        </w:rPr>
        <w:t xml:space="preserve">Porucha funkcie pečene </w:t>
      </w:r>
    </w:p>
    <w:p w:rsidR="009F6168" w:rsidRPr="003960B0" w:rsidRDefault="009F6168" w:rsidP="009F6168">
      <w:pPr>
        <w:rPr>
          <w:sz w:val="22"/>
          <w:szCs w:val="22"/>
        </w:rPr>
      </w:pPr>
      <w:r w:rsidRPr="003960B0">
        <w:rPr>
          <w:sz w:val="22"/>
          <w:szCs w:val="22"/>
        </w:rPr>
        <w:t>Neboli vykonané žiadne štúdie.</w:t>
      </w:r>
    </w:p>
    <w:p w:rsidR="009F6168" w:rsidRPr="003960B0" w:rsidRDefault="009F6168" w:rsidP="009F6168">
      <w:pPr>
        <w:rPr>
          <w:sz w:val="22"/>
          <w:szCs w:val="22"/>
        </w:rPr>
      </w:pPr>
    </w:p>
    <w:p w:rsidR="009F6168" w:rsidRPr="003960B0" w:rsidRDefault="006C4B8F" w:rsidP="009F6168">
      <w:pPr>
        <w:rPr>
          <w:i/>
          <w:sz w:val="22"/>
          <w:szCs w:val="22"/>
        </w:rPr>
      </w:pPr>
      <w:r w:rsidRPr="003960B0">
        <w:rPr>
          <w:i/>
          <w:sz w:val="22"/>
          <w:szCs w:val="22"/>
        </w:rPr>
        <w:t>Pediatrická populácia</w:t>
      </w:r>
    </w:p>
    <w:p w:rsidR="009F6168" w:rsidRPr="003960B0" w:rsidRDefault="009F6168" w:rsidP="009F6168">
      <w:pPr>
        <w:rPr>
          <w:sz w:val="22"/>
          <w:szCs w:val="22"/>
        </w:rPr>
      </w:pPr>
      <w:r w:rsidRPr="003960B0">
        <w:rPr>
          <w:sz w:val="22"/>
          <w:szCs w:val="22"/>
        </w:rPr>
        <w:lastRenderedPageBreak/>
        <w:t xml:space="preserve">Populačná </w:t>
      </w:r>
      <w:r w:rsidR="003960B0" w:rsidRPr="003960B0">
        <w:rPr>
          <w:sz w:val="22"/>
          <w:szCs w:val="22"/>
        </w:rPr>
        <w:t>farmakokin</w:t>
      </w:r>
      <w:r w:rsidR="003960B0">
        <w:rPr>
          <w:sz w:val="22"/>
          <w:szCs w:val="22"/>
        </w:rPr>
        <w:t>e</w:t>
      </w:r>
      <w:r w:rsidR="003960B0" w:rsidRPr="003960B0">
        <w:rPr>
          <w:sz w:val="22"/>
          <w:szCs w:val="22"/>
        </w:rPr>
        <w:t>tika</w:t>
      </w:r>
      <w:r w:rsidRPr="003960B0">
        <w:rPr>
          <w:sz w:val="22"/>
          <w:szCs w:val="22"/>
        </w:rPr>
        <w:t xml:space="preserve"> </w:t>
      </w:r>
      <w:r w:rsidR="00447496" w:rsidRPr="003960B0">
        <w:rPr>
          <w:sz w:val="22"/>
          <w:szCs w:val="22"/>
        </w:rPr>
        <w:t xml:space="preserve">dezmopresínu vo forme </w:t>
      </w:r>
      <w:r w:rsidRPr="003960B0">
        <w:rPr>
          <w:sz w:val="22"/>
          <w:szCs w:val="22"/>
        </w:rPr>
        <w:t>tabliet sa študovala u detí s</w:t>
      </w:r>
      <w:r w:rsidR="00EA4A45" w:rsidRPr="003960B0">
        <w:rPr>
          <w:sz w:val="22"/>
          <w:szCs w:val="22"/>
        </w:rPr>
        <w:t> primárnou nočnou enurézou</w:t>
      </w:r>
      <w:r w:rsidRPr="003960B0">
        <w:rPr>
          <w:sz w:val="22"/>
          <w:szCs w:val="22"/>
        </w:rPr>
        <w:t xml:space="preserve"> a neboli nájdené žiadne významné rozdiely v porovnaní s dospelými.</w:t>
      </w:r>
    </w:p>
    <w:p w:rsidR="00EE5539" w:rsidRPr="003960B0" w:rsidRDefault="00EE5539" w:rsidP="001E08EB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5.3</w:t>
      </w:r>
      <w:r w:rsidRPr="003960B0">
        <w:rPr>
          <w:b/>
          <w:sz w:val="22"/>
          <w:szCs w:val="22"/>
        </w:rPr>
        <w:tab/>
        <w:t>Predklinické údaje o bezpečnosti</w:t>
      </w:r>
    </w:p>
    <w:p w:rsidR="003248D1" w:rsidRPr="003960B0" w:rsidRDefault="003248D1">
      <w:pPr>
        <w:rPr>
          <w:sz w:val="22"/>
          <w:szCs w:val="22"/>
        </w:rPr>
      </w:pPr>
    </w:p>
    <w:p w:rsidR="00FC63C5" w:rsidRPr="003960B0" w:rsidRDefault="00FC63C5">
      <w:pPr>
        <w:rPr>
          <w:sz w:val="22"/>
          <w:szCs w:val="22"/>
        </w:rPr>
      </w:pPr>
      <w:r w:rsidRPr="003960B0">
        <w:rPr>
          <w:sz w:val="22"/>
          <w:szCs w:val="22"/>
        </w:rPr>
        <w:t>Predklinické údaje získané na základe štúdií bezpečnosti, toxicity po opakovanom podaní, genotoxicity a reprodukčnej toxicity neodhalili žiadne osobitné riziko pre ľudí.</w:t>
      </w:r>
    </w:p>
    <w:p w:rsidR="003248D1" w:rsidRPr="003960B0" w:rsidRDefault="00FC63C5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 </w:t>
      </w:r>
    </w:p>
    <w:p w:rsidR="00FC63C5" w:rsidRPr="003960B0" w:rsidRDefault="00FC63C5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Štúdie karcinogenity </w:t>
      </w:r>
      <w:r w:rsidR="008876AD" w:rsidRPr="003960B0">
        <w:rPr>
          <w:sz w:val="22"/>
          <w:szCs w:val="22"/>
        </w:rPr>
        <w:t>s </w:t>
      </w:r>
      <w:r w:rsidRPr="003960B0">
        <w:rPr>
          <w:sz w:val="22"/>
          <w:szCs w:val="22"/>
        </w:rPr>
        <w:t>dezmopresín</w:t>
      </w:r>
      <w:r w:rsidR="008876AD" w:rsidRPr="003960B0">
        <w:rPr>
          <w:sz w:val="22"/>
          <w:szCs w:val="22"/>
        </w:rPr>
        <w:t>om sa</w:t>
      </w:r>
      <w:r w:rsidRPr="003960B0">
        <w:rPr>
          <w:sz w:val="22"/>
          <w:szCs w:val="22"/>
        </w:rPr>
        <w:t xml:space="preserve"> </w:t>
      </w:r>
      <w:r w:rsidR="008876AD" w:rsidRPr="003960B0">
        <w:rPr>
          <w:sz w:val="22"/>
          <w:szCs w:val="22"/>
        </w:rPr>
        <w:t>ne</w:t>
      </w:r>
      <w:r w:rsidRPr="003960B0">
        <w:rPr>
          <w:sz w:val="22"/>
          <w:szCs w:val="22"/>
        </w:rPr>
        <w:t>vykona</w:t>
      </w:r>
      <w:r w:rsidR="008876AD" w:rsidRPr="003960B0">
        <w:rPr>
          <w:sz w:val="22"/>
          <w:szCs w:val="22"/>
        </w:rPr>
        <w:t>li</w:t>
      </w:r>
      <w:r w:rsidRPr="003960B0">
        <w:rPr>
          <w:sz w:val="22"/>
          <w:szCs w:val="22"/>
        </w:rPr>
        <w:t xml:space="preserve">, pretože </w:t>
      </w:r>
      <w:r w:rsidR="008876AD" w:rsidRPr="003960B0">
        <w:rPr>
          <w:sz w:val="22"/>
          <w:szCs w:val="22"/>
        </w:rPr>
        <w:t xml:space="preserve">je </w:t>
      </w:r>
      <w:r w:rsidR="00945590" w:rsidRPr="003960B0">
        <w:rPr>
          <w:sz w:val="22"/>
          <w:szCs w:val="22"/>
        </w:rPr>
        <w:t xml:space="preserve">štrukturálne </w:t>
      </w:r>
      <w:r w:rsidR="008876AD" w:rsidRPr="003960B0">
        <w:rPr>
          <w:sz w:val="22"/>
          <w:szCs w:val="22"/>
        </w:rPr>
        <w:t xml:space="preserve">veľmi podobný prirodzene </w:t>
      </w:r>
      <w:r w:rsidR="005B0D5B" w:rsidRPr="003960B0">
        <w:rPr>
          <w:sz w:val="22"/>
          <w:szCs w:val="22"/>
        </w:rPr>
        <w:t>sa vyskytujúcemu</w:t>
      </w:r>
      <w:r w:rsidR="008876AD" w:rsidRPr="003960B0">
        <w:rPr>
          <w:sz w:val="22"/>
          <w:szCs w:val="22"/>
        </w:rPr>
        <w:t xml:space="preserve"> peptidovému hormónu.</w:t>
      </w:r>
    </w:p>
    <w:p w:rsidR="003248D1" w:rsidRPr="003960B0" w:rsidRDefault="003248D1">
      <w:pPr>
        <w:rPr>
          <w:sz w:val="22"/>
          <w:szCs w:val="22"/>
        </w:rPr>
      </w:pPr>
    </w:p>
    <w:p w:rsidR="00BC00E1" w:rsidRPr="003960B0" w:rsidRDefault="00BC00E1">
      <w:pPr>
        <w:rPr>
          <w:sz w:val="22"/>
          <w:szCs w:val="22"/>
        </w:rPr>
      </w:pPr>
    </w:p>
    <w:p w:rsidR="003248D1" w:rsidRPr="003960B0" w:rsidRDefault="003248D1">
      <w:p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6.</w:t>
      </w:r>
      <w:r w:rsidRPr="003960B0">
        <w:rPr>
          <w:b/>
          <w:sz w:val="22"/>
          <w:szCs w:val="22"/>
        </w:rPr>
        <w:tab/>
        <w:t>FARMACEUTICKÉ INFORMÁCIE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numPr>
          <w:ilvl w:val="1"/>
          <w:numId w:val="17"/>
        </w:num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Zoznam pomocných látok</w:t>
      </w:r>
    </w:p>
    <w:p w:rsidR="003248D1" w:rsidRPr="003960B0" w:rsidRDefault="003248D1">
      <w:pPr>
        <w:rPr>
          <w:b/>
          <w:sz w:val="22"/>
          <w:szCs w:val="22"/>
        </w:rPr>
      </w:pPr>
    </w:p>
    <w:p w:rsidR="00CB233E" w:rsidRPr="003960B0" w:rsidRDefault="00D865A7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>ž</w:t>
      </w:r>
      <w:r w:rsidR="00CB233E" w:rsidRPr="003960B0">
        <w:rPr>
          <w:bCs/>
          <w:sz w:val="22"/>
          <w:szCs w:val="22"/>
        </w:rPr>
        <w:t>elatína</w:t>
      </w:r>
    </w:p>
    <w:p w:rsidR="00CB233E" w:rsidRPr="003960B0" w:rsidRDefault="00D865A7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>m</w:t>
      </w:r>
      <w:r w:rsidR="00CB233E" w:rsidRPr="003960B0">
        <w:rPr>
          <w:bCs/>
          <w:sz w:val="22"/>
          <w:szCs w:val="22"/>
        </w:rPr>
        <w:t>anitol</w:t>
      </w:r>
      <w:r w:rsidR="009F6168" w:rsidRPr="003960B0">
        <w:rPr>
          <w:bCs/>
          <w:sz w:val="22"/>
          <w:szCs w:val="22"/>
        </w:rPr>
        <w:t>, E421</w:t>
      </w:r>
    </w:p>
    <w:p w:rsidR="003248D1" w:rsidRPr="003960B0" w:rsidRDefault="00D865A7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>k</w:t>
      </w:r>
      <w:r w:rsidR="00CB233E" w:rsidRPr="003960B0">
        <w:rPr>
          <w:bCs/>
          <w:sz w:val="22"/>
          <w:szCs w:val="22"/>
        </w:rPr>
        <w:t>yselina citrónová bezvodá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6.2</w:t>
      </w:r>
      <w:r w:rsidRPr="003960B0">
        <w:rPr>
          <w:b/>
          <w:sz w:val="22"/>
          <w:szCs w:val="22"/>
        </w:rPr>
        <w:tab/>
        <w:t>Inkompatibility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sz w:val="22"/>
          <w:szCs w:val="22"/>
        </w:rPr>
        <w:t>Neaplikovateľné.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6.3</w:t>
      </w:r>
      <w:r w:rsidRPr="003960B0">
        <w:rPr>
          <w:b/>
          <w:sz w:val="22"/>
          <w:szCs w:val="22"/>
        </w:rPr>
        <w:tab/>
        <w:t>Čas použiteľnosti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D47810">
      <w:pPr>
        <w:ind w:left="540" w:hanging="540"/>
        <w:rPr>
          <w:sz w:val="22"/>
          <w:szCs w:val="22"/>
        </w:rPr>
      </w:pPr>
      <w:r w:rsidRPr="003960B0">
        <w:rPr>
          <w:sz w:val="22"/>
          <w:szCs w:val="22"/>
        </w:rPr>
        <w:t>48</w:t>
      </w:r>
      <w:r w:rsidR="00EB4758" w:rsidRPr="003960B0">
        <w:rPr>
          <w:sz w:val="22"/>
          <w:szCs w:val="22"/>
        </w:rPr>
        <w:t xml:space="preserve"> </w:t>
      </w:r>
      <w:r w:rsidR="00924363" w:rsidRPr="003960B0">
        <w:rPr>
          <w:sz w:val="22"/>
          <w:szCs w:val="22"/>
        </w:rPr>
        <w:t>mesiacov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6.4</w:t>
      </w:r>
      <w:r w:rsidRPr="003960B0">
        <w:rPr>
          <w:b/>
          <w:sz w:val="22"/>
          <w:szCs w:val="22"/>
        </w:rPr>
        <w:tab/>
      </w:r>
      <w:r w:rsidR="001E08EB" w:rsidRPr="003960B0">
        <w:rPr>
          <w:b/>
          <w:sz w:val="22"/>
          <w:szCs w:val="22"/>
        </w:rPr>
        <w:t>Špeciálne upozornenia na uchovávanie</w:t>
      </w:r>
      <w:r w:rsidR="00E20FA3" w:rsidRPr="003960B0">
        <w:rPr>
          <w:b/>
          <w:sz w:val="22"/>
          <w:szCs w:val="22"/>
        </w:rPr>
        <w:t xml:space="preserve"> </w:t>
      </w:r>
    </w:p>
    <w:p w:rsidR="003248D1" w:rsidRPr="003960B0" w:rsidRDefault="003248D1">
      <w:pPr>
        <w:rPr>
          <w:i/>
          <w:color w:val="008000"/>
          <w:sz w:val="22"/>
          <w:szCs w:val="22"/>
        </w:rPr>
      </w:pPr>
    </w:p>
    <w:p w:rsidR="003248D1" w:rsidRPr="003960B0" w:rsidRDefault="001E08EB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Tento liek nevyžaduje žiadne zvláštne </w:t>
      </w:r>
      <w:r w:rsidR="001C39CB" w:rsidRPr="003960B0">
        <w:rPr>
          <w:sz w:val="22"/>
          <w:szCs w:val="22"/>
        </w:rPr>
        <w:t xml:space="preserve">teplotné </w:t>
      </w:r>
      <w:r w:rsidRPr="003960B0">
        <w:rPr>
          <w:sz w:val="22"/>
          <w:szCs w:val="22"/>
        </w:rPr>
        <w:t>podmienky na uchovávanie</w:t>
      </w:r>
      <w:r w:rsidR="003248D1" w:rsidRPr="003960B0">
        <w:rPr>
          <w:sz w:val="22"/>
          <w:szCs w:val="22"/>
        </w:rPr>
        <w:t>.</w:t>
      </w:r>
    </w:p>
    <w:p w:rsidR="003248D1" w:rsidRPr="003960B0" w:rsidRDefault="008876AD">
      <w:pPr>
        <w:rPr>
          <w:sz w:val="22"/>
          <w:szCs w:val="22"/>
        </w:rPr>
      </w:pPr>
      <w:r w:rsidRPr="003960B0">
        <w:rPr>
          <w:sz w:val="22"/>
          <w:szCs w:val="22"/>
        </w:rPr>
        <w:t>Uchovávajte v pôvodnom obale na ochranu pred svetlom a vlhkosťou.</w:t>
      </w:r>
    </w:p>
    <w:p w:rsidR="008876AD" w:rsidRPr="003960B0" w:rsidRDefault="008876AD">
      <w:pPr>
        <w:rPr>
          <w:sz w:val="22"/>
          <w:szCs w:val="22"/>
        </w:rPr>
      </w:pPr>
    </w:p>
    <w:p w:rsidR="003248D1" w:rsidRPr="003960B0" w:rsidRDefault="001E08EB" w:rsidP="00A04705">
      <w:pPr>
        <w:numPr>
          <w:ilvl w:val="1"/>
          <w:numId w:val="18"/>
        </w:num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Druh obalu a obsah balenia</w:t>
      </w:r>
    </w:p>
    <w:p w:rsidR="00A04705" w:rsidRPr="003960B0" w:rsidRDefault="00A04705" w:rsidP="00A04705">
      <w:pPr>
        <w:rPr>
          <w:sz w:val="22"/>
          <w:szCs w:val="22"/>
        </w:rPr>
      </w:pPr>
    </w:p>
    <w:p w:rsidR="00A04705" w:rsidRPr="003960B0" w:rsidRDefault="00F14490">
      <w:pPr>
        <w:rPr>
          <w:sz w:val="22"/>
          <w:szCs w:val="22"/>
        </w:rPr>
      </w:pPr>
      <w:r w:rsidRPr="003960B0">
        <w:rPr>
          <w:sz w:val="22"/>
          <w:szCs w:val="22"/>
        </w:rPr>
        <w:t>Alu/Alu blistre zabezpečené proti otvoreniu deťmi s 10 perorálnymi lyofilizátmi</w:t>
      </w:r>
      <w:r w:rsidR="004E00EC" w:rsidRPr="003960B0">
        <w:rPr>
          <w:sz w:val="22"/>
          <w:szCs w:val="22"/>
        </w:rPr>
        <w:t>.</w:t>
      </w:r>
      <w:r w:rsidR="003248D1" w:rsidRPr="003960B0">
        <w:rPr>
          <w:sz w:val="22"/>
          <w:szCs w:val="22"/>
        </w:rPr>
        <w:t xml:space="preserve"> </w:t>
      </w:r>
    </w:p>
    <w:p w:rsidR="00C937D4" w:rsidRPr="003960B0" w:rsidRDefault="00F14490">
      <w:pPr>
        <w:rPr>
          <w:sz w:val="22"/>
          <w:szCs w:val="22"/>
        </w:rPr>
      </w:pPr>
      <w:r w:rsidRPr="003960B0">
        <w:rPr>
          <w:sz w:val="22"/>
          <w:szCs w:val="22"/>
        </w:rPr>
        <w:t>Veľkosť balenia: 10, 30 a</w:t>
      </w:r>
      <w:r w:rsidR="003F478F" w:rsidRPr="003960B0">
        <w:rPr>
          <w:sz w:val="22"/>
          <w:szCs w:val="22"/>
        </w:rPr>
        <w:t>lebo</w:t>
      </w:r>
      <w:r w:rsidR="00D47810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100 perorálnych lyofilizátov.</w:t>
      </w:r>
    </w:p>
    <w:p w:rsidR="003248D1" w:rsidRPr="003960B0" w:rsidRDefault="003248D1">
      <w:pPr>
        <w:rPr>
          <w:sz w:val="22"/>
          <w:szCs w:val="22"/>
        </w:rPr>
      </w:pPr>
    </w:p>
    <w:p w:rsidR="0072271C" w:rsidRPr="003960B0" w:rsidRDefault="00BF2CC6">
      <w:pPr>
        <w:rPr>
          <w:sz w:val="22"/>
          <w:szCs w:val="22"/>
        </w:rPr>
      </w:pPr>
      <w:r w:rsidRPr="003960B0">
        <w:rPr>
          <w:sz w:val="22"/>
          <w:szCs w:val="22"/>
        </w:rPr>
        <w:t>Na trh nemusia byť uvedené všetky veľkosti balenia.</w:t>
      </w:r>
    </w:p>
    <w:p w:rsidR="0072271C" w:rsidRPr="003960B0" w:rsidRDefault="0072271C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6.6</w:t>
      </w:r>
      <w:r w:rsidRPr="003960B0">
        <w:rPr>
          <w:b/>
          <w:sz w:val="22"/>
          <w:szCs w:val="22"/>
        </w:rPr>
        <w:tab/>
      </w:r>
      <w:r w:rsidR="001E08EB" w:rsidRPr="003960B0">
        <w:rPr>
          <w:b/>
          <w:sz w:val="22"/>
          <w:szCs w:val="22"/>
        </w:rPr>
        <w:t>Špeciálne opatrenia na likvidáciu a iné zaobchádzanie s liekom</w:t>
      </w:r>
    </w:p>
    <w:p w:rsidR="00E1561F" w:rsidRPr="003960B0" w:rsidRDefault="00E1561F" w:rsidP="001E08EB">
      <w:pPr>
        <w:rPr>
          <w:sz w:val="22"/>
          <w:szCs w:val="22"/>
        </w:rPr>
      </w:pPr>
    </w:p>
    <w:p w:rsidR="00D47810" w:rsidRPr="003960B0" w:rsidRDefault="00D47810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>Žiadne zvláštne požiadavky.</w:t>
      </w:r>
    </w:p>
    <w:p w:rsidR="00D47810" w:rsidRPr="003960B0" w:rsidRDefault="00D47810" w:rsidP="001E08EB">
      <w:pPr>
        <w:rPr>
          <w:sz w:val="22"/>
          <w:szCs w:val="22"/>
        </w:rPr>
      </w:pPr>
    </w:p>
    <w:p w:rsidR="00BC00E1" w:rsidRPr="003960B0" w:rsidRDefault="002E175D" w:rsidP="00C937D4">
      <w:pPr>
        <w:jc w:val="both"/>
        <w:rPr>
          <w:sz w:val="22"/>
          <w:szCs w:val="22"/>
        </w:rPr>
      </w:pPr>
      <w:r w:rsidRPr="003960B0">
        <w:rPr>
          <w:sz w:val="22"/>
          <w:szCs w:val="22"/>
        </w:rPr>
        <w:t>Všetok nepoužitý liek alebo odpad vzniknutý z lieku sa má zlikvidovať v súlade s národnými požiadavkami.</w:t>
      </w:r>
    </w:p>
    <w:p w:rsidR="002E175D" w:rsidRPr="003960B0" w:rsidRDefault="002E175D" w:rsidP="00C937D4">
      <w:pPr>
        <w:jc w:val="both"/>
        <w:rPr>
          <w:sz w:val="22"/>
          <w:szCs w:val="22"/>
        </w:rPr>
      </w:pPr>
    </w:p>
    <w:p w:rsidR="00601DA8" w:rsidRPr="003960B0" w:rsidRDefault="00601DA8" w:rsidP="00C937D4">
      <w:pPr>
        <w:jc w:val="both"/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7.</w:t>
      </w:r>
      <w:r w:rsidRPr="003960B0">
        <w:rPr>
          <w:b/>
          <w:sz w:val="22"/>
          <w:szCs w:val="22"/>
        </w:rPr>
        <w:tab/>
        <w:t>DRŽITEĽ ROZHODNUTIA O REGISTRÁCII</w:t>
      </w:r>
    </w:p>
    <w:p w:rsidR="003248D1" w:rsidRPr="003960B0" w:rsidRDefault="003248D1">
      <w:pPr>
        <w:rPr>
          <w:sz w:val="22"/>
          <w:szCs w:val="22"/>
        </w:rPr>
      </w:pPr>
    </w:p>
    <w:p w:rsidR="00EA00E0" w:rsidRPr="003960B0" w:rsidRDefault="00EA00E0">
      <w:pPr>
        <w:rPr>
          <w:sz w:val="22"/>
          <w:szCs w:val="22"/>
        </w:rPr>
      </w:pPr>
      <w:r w:rsidRPr="003960B0">
        <w:rPr>
          <w:sz w:val="22"/>
          <w:szCs w:val="22"/>
        </w:rPr>
        <w:t>FERRING Slovakia s.r.o.</w:t>
      </w:r>
    </w:p>
    <w:p w:rsidR="00EA00E0" w:rsidRPr="003960B0" w:rsidRDefault="00EA00E0">
      <w:pPr>
        <w:rPr>
          <w:sz w:val="22"/>
          <w:szCs w:val="22"/>
        </w:rPr>
      </w:pPr>
      <w:r w:rsidRPr="003960B0">
        <w:rPr>
          <w:sz w:val="22"/>
          <w:szCs w:val="22"/>
        </w:rPr>
        <w:t>Galvaniho 7/D</w:t>
      </w:r>
    </w:p>
    <w:p w:rsidR="00EA00E0" w:rsidRPr="003960B0" w:rsidRDefault="00EA00E0">
      <w:pPr>
        <w:rPr>
          <w:sz w:val="22"/>
          <w:szCs w:val="22"/>
        </w:rPr>
      </w:pPr>
      <w:r w:rsidRPr="003960B0">
        <w:rPr>
          <w:sz w:val="22"/>
          <w:szCs w:val="22"/>
        </w:rPr>
        <w:t>821 04 Bratislava</w:t>
      </w:r>
    </w:p>
    <w:p w:rsidR="008E2206" w:rsidRPr="003960B0" w:rsidRDefault="008E2206">
      <w:pPr>
        <w:rPr>
          <w:sz w:val="22"/>
          <w:szCs w:val="22"/>
        </w:rPr>
      </w:pPr>
      <w:r w:rsidRPr="003960B0">
        <w:rPr>
          <w:sz w:val="22"/>
          <w:szCs w:val="22"/>
        </w:rPr>
        <w:t>Slovenská republika</w:t>
      </w:r>
    </w:p>
    <w:p w:rsidR="003248D1" w:rsidRPr="003960B0" w:rsidRDefault="003248D1">
      <w:pPr>
        <w:rPr>
          <w:sz w:val="22"/>
          <w:szCs w:val="22"/>
        </w:rPr>
      </w:pPr>
    </w:p>
    <w:p w:rsidR="00BC00E1" w:rsidRPr="003960B0" w:rsidRDefault="00BC00E1">
      <w:pPr>
        <w:rPr>
          <w:sz w:val="22"/>
          <w:szCs w:val="22"/>
        </w:rPr>
      </w:pPr>
    </w:p>
    <w:p w:rsidR="003248D1" w:rsidRPr="003960B0" w:rsidRDefault="003248D1">
      <w:p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8.</w:t>
      </w:r>
      <w:r w:rsidRPr="003960B0">
        <w:rPr>
          <w:b/>
          <w:sz w:val="22"/>
          <w:szCs w:val="22"/>
        </w:rPr>
        <w:tab/>
        <w:t>REGISTRAČNÉ ČÍSL</w:t>
      </w:r>
      <w:r w:rsidR="001E08EB" w:rsidRPr="003960B0">
        <w:rPr>
          <w:b/>
          <w:sz w:val="22"/>
          <w:szCs w:val="22"/>
        </w:rPr>
        <w:t>A</w:t>
      </w:r>
      <w:r w:rsidRPr="003960B0">
        <w:rPr>
          <w:sz w:val="22"/>
          <w:szCs w:val="22"/>
        </w:rPr>
        <w:t xml:space="preserve"> </w:t>
      </w:r>
      <w:r w:rsidRPr="003960B0">
        <w:rPr>
          <w:b/>
          <w:sz w:val="22"/>
          <w:szCs w:val="22"/>
        </w:rPr>
        <w:t xml:space="preserve"> </w:t>
      </w:r>
    </w:p>
    <w:p w:rsidR="00BC00E1" w:rsidRPr="003960B0" w:rsidRDefault="00BC00E1">
      <w:pPr>
        <w:rPr>
          <w:sz w:val="22"/>
          <w:szCs w:val="22"/>
        </w:rPr>
      </w:pPr>
      <w:r w:rsidRPr="003960B0">
        <w:rPr>
          <w:sz w:val="22"/>
          <w:szCs w:val="22"/>
        </w:rPr>
        <w:lastRenderedPageBreak/>
        <w:t xml:space="preserve">        </w:t>
      </w:r>
    </w:p>
    <w:p w:rsidR="00B57777" w:rsidRPr="003960B0" w:rsidRDefault="00D05326">
      <w:pPr>
        <w:rPr>
          <w:b/>
          <w:sz w:val="22"/>
          <w:szCs w:val="22"/>
        </w:rPr>
      </w:pPr>
      <w:r>
        <w:rPr>
          <w:sz w:val="22"/>
          <w:szCs w:val="22"/>
        </w:rPr>
        <w:t>DESMOMELT</w:t>
      </w:r>
      <w:r w:rsidR="009F7E56" w:rsidRPr="003960B0">
        <w:rPr>
          <w:sz w:val="22"/>
          <w:szCs w:val="22"/>
        </w:rPr>
        <w:t xml:space="preserve"> 60 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9F7E56" w:rsidRPr="003960B0">
        <w:rPr>
          <w:sz w:val="22"/>
          <w:szCs w:val="22"/>
        </w:rPr>
        <w:t xml:space="preserve"> </w:t>
      </w:r>
      <w:r w:rsidR="008566DC">
        <w:rPr>
          <w:sz w:val="22"/>
          <w:szCs w:val="22"/>
        </w:rPr>
        <w:t>:</w:t>
      </w:r>
      <w:r w:rsidR="00EA00E0" w:rsidRPr="003960B0">
        <w:rPr>
          <w:sz w:val="22"/>
          <w:szCs w:val="22"/>
        </w:rPr>
        <w:t xml:space="preserve">  </w:t>
      </w:r>
      <w:r w:rsidR="008C6893" w:rsidRPr="008C6893">
        <w:rPr>
          <w:sz w:val="22"/>
          <w:szCs w:val="22"/>
        </w:rPr>
        <w:t>56/0224/16-S</w:t>
      </w:r>
      <w:r w:rsidR="00EA00E0" w:rsidRPr="003960B0">
        <w:rPr>
          <w:sz w:val="22"/>
          <w:szCs w:val="22"/>
        </w:rPr>
        <w:t xml:space="preserve">     </w:t>
      </w:r>
    </w:p>
    <w:p w:rsidR="00B57777" w:rsidRPr="003960B0" w:rsidRDefault="00D05326" w:rsidP="00B57777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9F7E56" w:rsidRPr="003960B0">
        <w:rPr>
          <w:sz w:val="22"/>
          <w:szCs w:val="22"/>
        </w:rPr>
        <w:t xml:space="preserve"> 120 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9F7E56" w:rsidRPr="003960B0">
        <w:rPr>
          <w:sz w:val="22"/>
          <w:szCs w:val="22"/>
        </w:rPr>
        <w:t xml:space="preserve"> </w:t>
      </w:r>
      <w:r w:rsidR="008566DC">
        <w:rPr>
          <w:sz w:val="22"/>
          <w:szCs w:val="22"/>
        </w:rPr>
        <w:t>:</w:t>
      </w:r>
      <w:r w:rsidR="009F7E56" w:rsidRPr="003960B0">
        <w:rPr>
          <w:sz w:val="22"/>
          <w:szCs w:val="22"/>
        </w:rPr>
        <w:t xml:space="preserve"> </w:t>
      </w:r>
      <w:r w:rsidR="008C6893" w:rsidRPr="008C6893">
        <w:rPr>
          <w:sz w:val="22"/>
          <w:szCs w:val="22"/>
        </w:rPr>
        <w:t>56/0225/16-S</w:t>
      </w:r>
      <w:r w:rsidR="009F7E56" w:rsidRPr="003960B0">
        <w:rPr>
          <w:sz w:val="22"/>
          <w:szCs w:val="22"/>
        </w:rPr>
        <w:t xml:space="preserve">   </w:t>
      </w:r>
    </w:p>
    <w:p w:rsidR="00EA00E0" w:rsidRPr="003960B0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9F7E56" w:rsidRPr="003960B0">
        <w:rPr>
          <w:sz w:val="22"/>
          <w:szCs w:val="22"/>
        </w:rPr>
        <w:t xml:space="preserve"> 240 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9F7E56" w:rsidRPr="003960B0">
        <w:rPr>
          <w:sz w:val="22"/>
          <w:szCs w:val="22"/>
        </w:rPr>
        <w:t xml:space="preserve"> </w:t>
      </w:r>
      <w:r w:rsidR="008566DC">
        <w:rPr>
          <w:sz w:val="22"/>
          <w:szCs w:val="22"/>
        </w:rPr>
        <w:t>:</w:t>
      </w:r>
      <w:r w:rsidR="009F7E56" w:rsidRPr="003960B0">
        <w:rPr>
          <w:sz w:val="22"/>
          <w:szCs w:val="22"/>
        </w:rPr>
        <w:t xml:space="preserve">  </w:t>
      </w:r>
      <w:r w:rsidR="008C6893" w:rsidRPr="008C6893">
        <w:rPr>
          <w:sz w:val="22"/>
          <w:szCs w:val="22"/>
        </w:rPr>
        <w:t>56/022</w:t>
      </w:r>
      <w:r w:rsidR="008C6893">
        <w:rPr>
          <w:sz w:val="22"/>
          <w:szCs w:val="22"/>
        </w:rPr>
        <w:t>6</w:t>
      </w:r>
      <w:r w:rsidR="008C6893" w:rsidRPr="008C6893">
        <w:rPr>
          <w:sz w:val="22"/>
          <w:szCs w:val="22"/>
        </w:rPr>
        <w:t>/16-S</w:t>
      </w:r>
      <w:r w:rsidR="009F7E56" w:rsidRPr="003960B0">
        <w:rPr>
          <w:sz w:val="22"/>
          <w:szCs w:val="22"/>
        </w:rPr>
        <w:t xml:space="preserve">  </w:t>
      </w:r>
    </w:p>
    <w:p w:rsidR="00EA00E0" w:rsidRPr="003960B0" w:rsidRDefault="00EA00E0">
      <w:pPr>
        <w:rPr>
          <w:sz w:val="22"/>
          <w:szCs w:val="22"/>
        </w:rPr>
      </w:pPr>
    </w:p>
    <w:p w:rsidR="003960B0" w:rsidRPr="003960B0" w:rsidRDefault="003960B0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9.</w:t>
      </w:r>
      <w:r w:rsidRPr="003960B0">
        <w:rPr>
          <w:b/>
          <w:sz w:val="22"/>
          <w:szCs w:val="22"/>
        </w:rPr>
        <w:tab/>
        <w:t>DÁTUM REGISTRÁCIE</w:t>
      </w:r>
      <w:r w:rsidR="001E08EB" w:rsidRPr="003960B0">
        <w:rPr>
          <w:b/>
          <w:sz w:val="22"/>
          <w:szCs w:val="22"/>
        </w:rPr>
        <w:t>/PREDĹŽENIA REGISTRÁCIE</w:t>
      </w:r>
    </w:p>
    <w:p w:rsidR="003248D1" w:rsidRPr="003960B0" w:rsidRDefault="003248D1">
      <w:pPr>
        <w:rPr>
          <w:sz w:val="22"/>
          <w:szCs w:val="22"/>
        </w:rPr>
      </w:pPr>
    </w:p>
    <w:p w:rsidR="009F7E56" w:rsidRPr="003960B0" w:rsidRDefault="009F7E56">
      <w:pPr>
        <w:rPr>
          <w:sz w:val="22"/>
          <w:szCs w:val="22"/>
        </w:rPr>
      </w:pPr>
      <w:r w:rsidRPr="003960B0">
        <w:rPr>
          <w:sz w:val="22"/>
          <w:szCs w:val="22"/>
        </w:rPr>
        <w:t>Dátum prvej registrácie:</w:t>
      </w:r>
    </w:p>
    <w:p w:rsidR="003248D1" w:rsidRPr="003960B0" w:rsidRDefault="003248D1">
      <w:pPr>
        <w:rPr>
          <w:sz w:val="22"/>
          <w:szCs w:val="22"/>
        </w:rPr>
      </w:pPr>
    </w:p>
    <w:p w:rsidR="00CB233E" w:rsidRPr="003960B0" w:rsidRDefault="00CB233E">
      <w:pPr>
        <w:rPr>
          <w:sz w:val="22"/>
          <w:szCs w:val="22"/>
        </w:rPr>
      </w:pPr>
    </w:p>
    <w:p w:rsidR="003248D1" w:rsidRPr="003960B0" w:rsidRDefault="003248D1">
      <w:p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10.</w:t>
      </w:r>
      <w:r w:rsidRPr="003960B0">
        <w:rPr>
          <w:b/>
          <w:sz w:val="22"/>
          <w:szCs w:val="22"/>
        </w:rPr>
        <w:tab/>
        <w:t>DÁTUM REVÍZIE TEXTU</w:t>
      </w:r>
    </w:p>
    <w:p w:rsidR="00EA00E0" w:rsidRPr="003960B0" w:rsidRDefault="00EA00E0">
      <w:pPr>
        <w:rPr>
          <w:sz w:val="22"/>
          <w:szCs w:val="22"/>
        </w:rPr>
      </w:pPr>
    </w:p>
    <w:p w:rsidR="003248D1" w:rsidRPr="009528DB" w:rsidRDefault="002E175D" w:rsidP="00602F5E">
      <w:r w:rsidRPr="003960B0">
        <w:rPr>
          <w:sz w:val="22"/>
          <w:szCs w:val="22"/>
        </w:rPr>
        <w:t>Máj 20</w:t>
      </w:r>
      <w:r>
        <w:rPr>
          <w:sz w:val="22"/>
          <w:szCs w:val="22"/>
        </w:rPr>
        <w:t>16</w:t>
      </w:r>
    </w:p>
    <w:sectPr w:rsidR="003248D1" w:rsidRPr="009528DB" w:rsidSect="003960B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F0C" w:rsidRDefault="00663F0C">
      <w:r>
        <w:separator/>
      </w:r>
    </w:p>
  </w:endnote>
  <w:endnote w:type="continuationSeparator" w:id="0">
    <w:p w:rsidR="00663F0C" w:rsidRDefault="00663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B6" w:rsidRDefault="00997BE4" w:rsidP="00677F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5503B6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503B6">
      <w:rPr>
        <w:rStyle w:val="slostrany"/>
        <w:noProof/>
      </w:rPr>
      <w:t>10</w:t>
    </w:r>
    <w:r>
      <w:rPr>
        <w:rStyle w:val="slostrany"/>
      </w:rPr>
      <w:fldChar w:fldCharType="end"/>
    </w:r>
  </w:p>
  <w:p w:rsidR="005503B6" w:rsidRDefault="005503B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B6" w:rsidRPr="003960B0" w:rsidRDefault="00997BE4" w:rsidP="00677F97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3960B0">
      <w:rPr>
        <w:rStyle w:val="slostrany"/>
        <w:rFonts w:ascii="Times New Roman" w:hAnsi="Times New Roman"/>
        <w:sz w:val="18"/>
        <w:szCs w:val="18"/>
      </w:rPr>
      <w:fldChar w:fldCharType="begin"/>
    </w:r>
    <w:r w:rsidR="005503B6" w:rsidRPr="003960B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960B0">
      <w:rPr>
        <w:rStyle w:val="slostrany"/>
        <w:rFonts w:ascii="Times New Roman" w:hAnsi="Times New Roman"/>
        <w:sz w:val="18"/>
        <w:szCs w:val="18"/>
      </w:rPr>
      <w:fldChar w:fldCharType="separate"/>
    </w:r>
    <w:r w:rsidR="00495729">
      <w:rPr>
        <w:rStyle w:val="slostrany"/>
        <w:rFonts w:ascii="Times New Roman" w:hAnsi="Times New Roman"/>
        <w:noProof/>
        <w:sz w:val="18"/>
        <w:szCs w:val="18"/>
      </w:rPr>
      <w:t>9</w:t>
    </w:r>
    <w:r w:rsidRPr="003960B0">
      <w:rPr>
        <w:rStyle w:val="slostrany"/>
        <w:rFonts w:ascii="Times New Roman" w:hAnsi="Times New Roman"/>
        <w:sz w:val="18"/>
        <w:szCs w:val="18"/>
      </w:rPr>
      <w:fldChar w:fldCharType="end"/>
    </w:r>
  </w:p>
  <w:p w:rsidR="005503B6" w:rsidRDefault="003960B0" w:rsidP="003960B0">
    <w:pPr>
      <w:pStyle w:val="Pta"/>
      <w:tabs>
        <w:tab w:val="clear" w:pos="8930"/>
        <w:tab w:val="center" w:pos="4487"/>
        <w:tab w:val="left" w:pos="4880"/>
        <w:tab w:val="right" w:pos="8931"/>
      </w:tabs>
      <w:ind w:right="96"/>
    </w:pPr>
    <w:r>
      <w:tab/>
    </w:r>
    <w:r>
      <w:tab/>
    </w:r>
    <w:r w:rsidR="00997BE4">
      <w:fldChar w:fldCharType="begin"/>
    </w:r>
    <w:r w:rsidR="005503B6">
      <w:instrText xml:space="preserve"> EQ </w:instrText>
    </w:r>
    <w:r w:rsidR="00997BE4">
      <w:fldChar w:fldCharType="end"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83018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960B0" w:rsidRPr="003960B0" w:rsidRDefault="00997BE4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960B0">
          <w:rPr>
            <w:rFonts w:ascii="Times New Roman" w:hAnsi="Times New Roman"/>
            <w:sz w:val="18"/>
            <w:szCs w:val="18"/>
          </w:rPr>
          <w:fldChar w:fldCharType="begin"/>
        </w:r>
        <w:r w:rsidR="003960B0" w:rsidRPr="003960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960B0">
          <w:rPr>
            <w:rFonts w:ascii="Times New Roman" w:hAnsi="Times New Roman"/>
            <w:sz w:val="18"/>
            <w:szCs w:val="18"/>
          </w:rPr>
          <w:fldChar w:fldCharType="separate"/>
        </w:r>
        <w:r w:rsidR="00495729" w:rsidRPr="00495729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3960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5503B6" w:rsidRDefault="005503B6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F0C" w:rsidRDefault="00663F0C">
      <w:r>
        <w:separator/>
      </w:r>
    </w:p>
  </w:footnote>
  <w:footnote w:type="continuationSeparator" w:id="0">
    <w:p w:rsidR="00663F0C" w:rsidRDefault="00663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B6" w:rsidRPr="005503B6" w:rsidRDefault="005503B6">
    <w:pPr>
      <w:pStyle w:val="Hlavika"/>
      <w:rPr>
        <w:sz w:val="18"/>
        <w:szCs w:val="18"/>
      </w:rPr>
    </w:pPr>
    <w:r w:rsidRPr="005503B6">
      <w:rPr>
        <w:sz w:val="18"/>
        <w:szCs w:val="18"/>
      </w:rPr>
      <w:t>Schválený text k rozhodnutiu o registrácii, ev. č.: 2015/00646-REG, 2015/00647-REG, 2015/00648-REG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C0627"/>
    <w:multiLevelType w:val="multilevel"/>
    <w:tmpl w:val="489E641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8A4F70"/>
    <w:multiLevelType w:val="hybridMultilevel"/>
    <w:tmpl w:val="A62C5D40"/>
    <w:lvl w:ilvl="0" w:tplc="17683D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859F4"/>
    <w:multiLevelType w:val="multilevel"/>
    <w:tmpl w:val="37A88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27E7115B"/>
    <w:multiLevelType w:val="multilevel"/>
    <w:tmpl w:val="FCA85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9A5F30"/>
    <w:multiLevelType w:val="hybridMultilevel"/>
    <w:tmpl w:val="37A88DAC"/>
    <w:lvl w:ilvl="0" w:tplc="8D7C6A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1E6063"/>
    <w:multiLevelType w:val="hybridMultilevel"/>
    <w:tmpl w:val="1C565EAC"/>
    <w:lvl w:ilvl="0" w:tplc="361408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4C3615"/>
    <w:multiLevelType w:val="multilevel"/>
    <w:tmpl w:val="FF4CBE7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A56140D"/>
    <w:multiLevelType w:val="multilevel"/>
    <w:tmpl w:val="E7F6858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>
    <w:nsid w:val="4D42168E"/>
    <w:multiLevelType w:val="multilevel"/>
    <w:tmpl w:val="0B3EA6C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40803FE"/>
    <w:multiLevelType w:val="multilevel"/>
    <w:tmpl w:val="8A80BCD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4842162"/>
    <w:multiLevelType w:val="hybridMultilevel"/>
    <w:tmpl w:val="0540D45E"/>
    <w:lvl w:ilvl="0" w:tplc="919EF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656E6E3A"/>
    <w:multiLevelType w:val="hybridMultilevel"/>
    <w:tmpl w:val="FCA857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20"/>
  </w:num>
  <w:num w:numId="5">
    <w:abstractNumId w:val="8"/>
  </w:num>
  <w:num w:numId="6">
    <w:abstractNumId w:val="16"/>
  </w:num>
  <w:num w:numId="7">
    <w:abstractNumId w:val="12"/>
  </w:num>
  <w:num w:numId="8">
    <w:abstractNumId w:val="5"/>
  </w:num>
  <w:num w:numId="9">
    <w:abstractNumId w:val="18"/>
  </w:num>
  <w:num w:numId="10">
    <w:abstractNumId w:val="19"/>
  </w:num>
  <w:num w:numId="11">
    <w:abstractNumId w:val="3"/>
  </w:num>
  <w:num w:numId="12">
    <w:abstractNumId w:val="13"/>
  </w:num>
  <w:num w:numId="13">
    <w:abstractNumId w:val="7"/>
  </w:num>
  <w:num w:numId="14">
    <w:abstractNumId w:val="14"/>
  </w:num>
  <w:num w:numId="15">
    <w:abstractNumId w:val="10"/>
  </w:num>
  <w:num w:numId="16">
    <w:abstractNumId w:val="17"/>
  </w:num>
  <w:num w:numId="17">
    <w:abstractNumId w:val="1"/>
  </w:num>
  <w:num w:numId="18">
    <w:abstractNumId w:val="11"/>
  </w:num>
  <w:num w:numId="19">
    <w:abstractNumId w:val="4"/>
  </w:num>
  <w:num w:numId="20">
    <w:abstractNumId w:val="9"/>
  </w:num>
  <w:num w:numId="21">
    <w:abstractNumId w:val="6"/>
  </w:num>
  <w:num w:numId="22">
    <w:abstractNumId w:val="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trackRevisions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4AE"/>
    <w:rsid w:val="0001196D"/>
    <w:rsid w:val="00013D60"/>
    <w:rsid w:val="00017B1E"/>
    <w:rsid w:val="00023818"/>
    <w:rsid w:val="0002393B"/>
    <w:rsid w:val="00024C1F"/>
    <w:rsid w:val="00025F77"/>
    <w:rsid w:val="00032242"/>
    <w:rsid w:val="00040682"/>
    <w:rsid w:val="0004632A"/>
    <w:rsid w:val="00064145"/>
    <w:rsid w:val="0008726D"/>
    <w:rsid w:val="000904A0"/>
    <w:rsid w:val="00090893"/>
    <w:rsid w:val="000B5C81"/>
    <w:rsid w:val="000C6712"/>
    <w:rsid w:val="00100019"/>
    <w:rsid w:val="00101D12"/>
    <w:rsid w:val="00131ABA"/>
    <w:rsid w:val="001322E3"/>
    <w:rsid w:val="0013265B"/>
    <w:rsid w:val="001514AE"/>
    <w:rsid w:val="0016509F"/>
    <w:rsid w:val="00192959"/>
    <w:rsid w:val="001A02AC"/>
    <w:rsid w:val="001A5FF0"/>
    <w:rsid w:val="001B5945"/>
    <w:rsid w:val="001B6396"/>
    <w:rsid w:val="001C39CB"/>
    <w:rsid w:val="001C6221"/>
    <w:rsid w:val="001C6F10"/>
    <w:rsid w:val="001E08EB"/>
    <w:rsid w:val="001E167B"/>
    <w:rsid w:val="001E2372"/>
    <w:rsid w:val="001F7749"/>
    <w:rsid w:val="00206CBD"/>
    <w:rsid w:val="00210975"/>
    <w:rsid w:val="002230DF"/>
    <w:rsid w:val="00232BE1"/>
    <w:rsid w:val="002337AD"/>
    <w:rsid w:val="00245286"/>
    <w:rsid w:val="00246FDD"/>
    <w:rsid w:val="00250593"/>
    <w:rsid w:val="00252766"/>
    <w:rsid w:val="002572C4"/>
    <w:rsid w:val="0026176D"/>
    <w:rsid w:val="00262BBD"/>
    <w:rsid w:val="002633A3"/>
    <w:rsid w:val="00286FBB"/>
    <w:rsid w:val="002B4ED3"/>
    <w:rsid w:val="002C0289"/>
    <w:rsid w:val="002C0B40"/>
    <w:rsid w:val="002D16D5"/>
    <w:rsid w:val="002E175D"/>
    <w:rsid w:val="002E1B59"/>
    <w:rsid w:val="002F2E54"/>
    <w:rsid w:val="002F3D74"/>
    <w:rsid w:val="003007F2"/>
    <w:rsid w:val="00300A56"/>
    <w:rsid w:val="00302A2E"/>
    <w:rsid w:val="00316905"/>
    <w:rsid w:val="003248D1"/>
    <w:rsid w:val="00357BA0"/>
    <w:rsid w:val="003605F0"/>
    <w:rsid w:val="00364FD2"/>
    <w:rsid w:val="003960B0"/>
    <w:rsid w:val="003E32E6"/>
    <w:rsid w:val="003E7D1F"/>
    <w:rsid w:val="003F478F"/>
    <w:rsid w:val="00420AFE"/>
    <w:rsid w:val="00430F5B"/>
    <w:rsid w:val="00447496"/>
    <w:rsid w:val="00450579"/>
    <w:rsid w:val="00450C1C"/>
    <w:rsid w:val="00466FB0"/>
    <w:rsid w:val="00484623"/>
    <w:rsid w:val="00490FE2"/>
    <w:rsid w:val="004926CF"/>
    <w:rsid w:val="00495729"/>
    <w:rsid w:val="004A1EA3"/>
    <w:rsid w:val="004A3D71"/>
    <w:rsid w:val="004A5A36"/>
    <w:rsid w:val="004A7245"/>
    <w:rsid w:val="004B73EF"/>
    <w:rsid w:val="004C0A76"/>
    <w:rsid w:val="004C1FE2"/>
    <w:rsid w:val="004D133A"/>
    <w:rsid w:val="004D13BC"/>
    <w:rsid w:val="004D56B5"/>
    <w:rsid w:val="004E00EC"/>
    <w:rsid w:val="004E169E"/>
    <w:rsid w:val="00505B85"/>
    <w:rsid w:val="00507199"/>
    <w:rsid w:val="00510471"/>
    <w:rsid w:val="00510D51"/>
    <w:rsid w:val="00533627"/>
    <w:rsid w:val="0053624F"/>
    <w:rsid w:val="00541AF9"/>
    <w:rsid w:val="00541CBA"/>
    <w:rsid w:val="00546443"/>
    <w:rsid w:val="005503B6"/>
    <w:rsid w:val="00562C57"/>
    <w:rsid w:val="00572665"/>
    <w:rsid w:val="00576ED8"/>
    <w:rsid w:val="00585655"/>
    <w:rsid w:val="0059175F"/>
    <w:rsid w:val="0059426C"/>
    <w:rsid w:val="005A07A9"/>
    <w:rsid w:val="005A0B8B"/>
    <w:rsid w:val="005A3B40"/>
    <w:rsid w:val="005A497B"/>
    <w:rsid w:val="005B0D5B"/>
    <w:rsid w:val="005C1193"/>
    <w:rsid w:val="005D1B54"/>
    <w:rsid w:val="005D4948"/>
    <w:rsid w:val="005E2873"/>
    <w:rsid w:val="005E29C6"/>
    <w:rsid w:val="005E6C82"/>
    <w:rsid w:val="005E7587"/>
    <w:rsid w:val="005F066A"/>
    <w:rsid w:val="005F1890"/>
    <w:rsid w:val="005F6832"/>
    <w:rsid w:val="005F6F33"/>
    <w:rsid w:val="00601DA8"/>
    <w:rsid w:val="00602F5E"/>
    <w:rsid w:val="00612BF2"/>
    <w:rsid w:val="006225B7"/>
    <w:rsid w:val="006248FC"/>
    <w:rsid w:val="00627D52"/>
    <w:rsid w:val="00631D43"/>
    <w:rsid w:val="0063235A"/>
    <w:rsid w:val="00634712"/>
    <w:rsid w:val="00661C1A"/>
    <w:rsid w:val="00663F0C"/>
    <w:rsid w:val="006663DA"/>
    <w:rsid w:val="00666749"/>
    <w:rsid w:val="006703E1"/>
    <w:rsid w:val="00674062"/>
    <w:rsid w:val="00677F97"/>
    <w:rsid w:val="0068205C"/>
    <w:rsid w:val="006A5235"/>
    <w:rsid w:val="006A695F"/>
    <w:rsid w:val="006B1404"/>
    <w:rsid w:val="006B7043"/>
    <w:rsid w:val="006C0432"/>
    <w:rsid w:val="006C4B8F"/>
    <w:rsid w:val="006D1DA6"/>
    <w:rsid w:val="006D47F1"/>
    <w:rsid w:val="007071FB"/>
    <w:rsid w:val="00716AA4"/>
    <w:rsid w:val="0072066C"/>
    <w:rsid w:val="00722082"/>
    <w:rsid w:val="0072271C"/>
    <w:rsid w:val="00726A21"/>
    <w:rsid w:val="00732645"/>
    <w:rsid w:val="0073775A"/>
    <w:rsid w:val="00737FDE"/>
    <w:rsid w:val="00742F53"/>
    <w:rsid w:val="00746F88"/>
    <w:rsid w:val="00766A08"/>
    <w:rsid w:val="00770FB2"/>
    <w:rsid w:val="00791BE0"/>
    <w:rsid w:val="007A79EE"/>
    <w:rsid w:val="007B6109"/>
    <w:rsid w:val="007C4BB1"/>
    <w:rsid w:val="007C53C4"/>
    <w:rsid w:val="007D2B85"/>
    <w:rsid w:val="007D319D"/>
    <w:rsid w:val="007E28A4"/>
    <w:rsid w:val="007F23E0"/>
    <w:rsid w:val="0081071A"/>
    <w:rsid w:val="00812D7D"/>
    <w:rsid w:val="00831F48"/>
    <w:rsid w:val="0084362D"/>
    <w:rsid w:val="008442D2"/>
    <w:rsid w:val="00850902"/>
    <w:rsid w:val="008566DC"/>
    <w:rsid w:val="0087304D"/>
    <w:rsid w:val="008867C8"/>
    <w:rsid w:val="008876AD"/>
    <w:rsid w:val="008A7767"/>
    <w:rsid w:val="008B0E1C"/>
    <w:rsid w:val="008C079A"/>
    <w:rsid w:val="008C6893"/>
    <w:rsid w:val="008C6DCC"/>
    <w:rsid w:val="008E2206"/>
    <w:rsid w:val="008F4773"/>
    <w:rsid w:val="00901CA4"/>
    <w:rsid w:val="00911700"/>
    <w:rsid w:val="0092249B"/>
    <w:rsid w:val="00924363"/>
    <w:rsid w:val="009258F8"/>
    <w:rsid w:val="009265D6"/>
    <w:rsid w:val="00931F57"/>
    <w:rsid w:val="00942C62"/>
    <w:rsid w:val="00945590"/>
    <w:rsid w:val="009528DB"/>
    <w:rsid w:val="00960A94"/>
    <w:rsid w:val="00963A6F"/>
    <w:rsid w:val="00990BD8"/>
    <w:rsid w:val="00992226"/>
    <w:rsid w:val="009930DA"/>
    <w:rsid w:val="009947E3"/>
    <w:rsid w:val="00997BE4"/>
    <w:rsid w:val="009B600A"/>
    <w:rsid w:val="009C2BB8"/>
    <w:rsid w:val="009E035D"/>
    <w:rsid w:val="009E2BCD"/>
    <w:rsid w:val="009E6197"/>
    <w:rsid w:val="009F395B"/>
    <w:rsid w:val="009F3AEF"/>
    <w:rsid w:val="009F6168"/>
    <w:rsid w:val="009F7E56"/>
    <w:rsid w:val="00A04705"/>
    <w:rsid w:val="00A1693E"/>
    <w:rsid w:val="00A3080F"/>
    <w:rsid w:val="00A36E36"/>
    <w:rsid w:val="00A40D94"/>
    <w:rsid w:val="00A57C79"/>
    <w:rsid w:val="00A62498"/>
    <w:rsid w:val="00A81A36"/>
    <w:rsid w:val="00AA23BA"/>
    <w:rsid w:val="00AB5864"/>
    <w:rsid w:val="00AB7284"/>
    <w:rsid w:val="00AC20D5"/>
    <w:rsid w:val="00AC64D1"/>
    <w:rsid w:val="00AD5BBC"/>
    <w:rsid w:val="00AF0824"/>
    <w:rsid w:val="00B0571E"/>
    <w:rsid w:val="00B142C8"/>
    <w:rsid w:val="00B16AFF"/>
    <w:rsid w:val="00B27912"/>
    <w:rsid w:val="00B31E4E"/>
    <w:rsid w:val="00B32CDF"/>
    <w:rsid w:val="00B41D5A"/>
    <w:rsid w:val="00B4543D"/>
    <w:rsid w:val="00B537EE"/>
    <w:rsid w:val="00B57777"/>
    <w:rsid w:val="00B62B84"/>
    <w:rsid w:val="00B66F2E"/>
    <w:rsid w:val="00B73847"/>
    <w:rsid w:val="00B93574"/>
    <w:rsid w:val="00B95CB7"/>
    <w:rsid w:val="00B960B1"/>
    <w:rsid w:val="00B97EF8"/>
    <w:rsid w:val="00BA30B2"/>
    <w:rsid w:val="00BB254A"/>
    <w:rsid w:val="00BC00E1"/>
    <w:rsid w:val="00BC6CF2"/>
    <w:rsid w:val="00BE4585"/>
    <w:rsid w:val="00BE7D32"/>
    <w:rsid w:val="00BF2CC6"/>
    <w:rsid w:val="00C45A12"/>
    <w:rsid w:val="00C649E4"/>
    <w:rsid w:val="00C64D29"/>
    <w:rsid w:val="00C73827"/>
    <w:rsid w:val="00C77C18"/>
    <w:rsid w:val="00C92D4B"/>
    <w:rsid w:val="00C937D4"/>
    <w:rsid w:val="00C9567E"/>
    <w:rsid w:val="00CA0569"/>
    <w:rsid w:val="00CB233E"/>
    <w:rsid w:val="00CC4203"/>
    <w:rsid w:val="00CD71D3"/>
    <w:rsid w:val="00CE7C62"/>
    <w:rsid w:val="00CF3AB7"/>
    <w:rsid w:val="00D05326"/>
    <w:rsid w:val="00D05B5F"/>
    <w:rsid w:val="00D33831"/>
    <w:rsid w:val="00D33B5A"/>
    <w:rsid w:val="00D40A98"/>
    <w:rsid w:val="00D4660C"/>
    <w:rsid w:val="00D47810"/>
    <w:rsid w:val="00D53CC3"/>
    <w:rsid w:val="00D555D9"/>
    <w:rsid w:val="00D60775"/>
    <w:rsid w:val="00D60F41"/>
    <w:rsid w:val="00D614A7"/>
    <w:rsid w:val="00D67256"/>
    <w:rsid w:val="00D73380"/>
    <w:rsid w:val="00D865A7"/>
    <w:rsid w:val="00D87D13"/>
    <w:rsid w:val="00D917DC"/>
    <w:rsid w:val="00D97EB6"/>
    <w:rsid w:val="00DC240F"/>
    <w:rsid w:val="00DC3E1A"/>
    <w:rsid w:val="00DF60CE"/>
    <w:rsid w:val="00E020BE"/>
    <w:rsid w:val="00E1561F"/>
    <w:rsid w:val="00E20FA3"/>
    <w:rsid w:val="00E2142C"/>
    <w:rsid w:val="00E23268"/>
    <w:rsid w:val="00E254D5"/>
    <w:rsid w:val="00E27BA8"/>
    <w:rsid w:val="00E33EE1"/>
    <w:rsid w:val="00E36273"/>
    <w:rsid w:val="00E42E25"/>
    <w:rsid w:val="00E44D1E"/>
    <w:rsid w:val="00E46971"/>
    <w:rsid w:val="00E837C4"/>
    <w:rsid w:val="00E83CE8"/>
    <w:rsid w:val="00E8513D"/>
    <w:rsid w:val="00E97FB5"/>
    <w:rsid w:val="00EA00E0"/>
    <w:rsid w:val="00EA2B07"/>
    <w:rsid w:val="00EA4A45"/>
    <w:rsid w:val="00EB1578"/>
    <w:rsid w:val="00EB4758"/>
    <w:rsid w:val="00EB4BDC"/>
    <w:rsid w:val="00EC2727"/>
    <w:rsid w:val="00EC3E5A"/>
    <w:rsid w:val="00ED0B39"/>
    <w:rsid w:val="00ED57FD"/>
    <w:rsid w:val="00EE5539"/>
    <w:rsid w:val="00EF08E9"/>
    <w:rsid w:val="00EF187D"/>
    <w:rsid w:val="00F05B2C"/>
    <w:rsid w:val="00F10D32"/>
    <w:rsid w:val="00F14490"/>
    <w:rsid w:val="00F21D6A"/>
    <w:rsid w:val="00F27565"/>
    <w:rsid w:val="00F361D6"/>
    <w:rsid w:val="00F74673"/>
    <w:rsid w:val="00F75B21"/>
    <w:rsid w:val="00F836C1"/>
    <w:rsid w:val="00F87717"/>
    <w:rsid w:val="00F90748"/>
    <w:rsid w:val="00F91B71"/>
    <w:rsid w:val="00FB51DC"/>
    <w:rsid w:val="00FB5A4E"/>
    <w:rsid w:val="00FC63C5"/>
    <w:rsid w:val="00FC7273"/>
    <w:rsid w:val="00FD3CD5"/>
    <w:rsid w:val="00FF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F187D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726A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rsid w:val="00EF187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EF187D"/>
  </w:style>
  <w:style w:type="paragraph" w:styleId="Pta">
    <w:name w:val="footer"/>
    <w:basedOn w:val="Normlny"/>
    <w:link w:val="PtaChar"/>
    <w:uiPriority w:val="99"/>
    <w:rsid w:val="00EF187D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paragraph" w:styleId="Hlavika">
    <w:name w:val="header"/>
    <w:basedOn w:val="Normlny"/>
    <w:rsid w:val="00EF187D"/>
    <w:pPr>
      <w:tabs>
        <w:tab w:val="center" w:pos="4703"/>
        <w:tab w:val="right" w:pos="9406"/>
      </w:tabs>
    </w:pPr>
  </w:style>
  <w:style w:type="paragraph" w:styleId="Zkladntext2">
    <w:name w:val="Body Text 2"/>
    <w:basedOn w:val="Normlny"/>
    <w:rsid w:val="00EF187D"/>
    <w:pPr>
      <w:spacing w:before="120"/>
      <w:jc w:val="both"/>
    </w:pPr>
    <w:rPr>
      <w:rFonts w:ascii="Arial" w:hAnsi="Arial"/>
      <w:sz w:val="20"/>
      <w:szCs w:val="20"/>
      <w:lang w:eastAsia="sk-SK"/>
    </w:rPr>
  </w:style>
  <w:style w:type="paragraph" w:styleId="Zkladntext">
    <w:name w:val="Body Text"/>
    <w:basedOn w:val="Normlny"/>
    <w:rsid w:val="00EF187D"/>
    <w:pPr>
      <w:spacing w:before="120" w:line="360" w:lineRule="auto"/>
      <w:jc w:val="both"/>
    </w:pPr>
    <w:rPr>
      <w:rFonts w:ascii="Arial" w:hAnsi="Arial"/>
      <w:sz w:val="22"/>
      <w:szCs w:val="20"/>
      <w:lang w:val="cs-CZ" w:eastAsia="sk-SK"/>
    </w:rPr>
  </w:style>
  <w:style w:type="paragraph" w:styleId="Textbubliny">
    <w:name w:val="Balloon Text"/>
    <w:basedOn w:val="Normlny"/>
    <w:semiHidden/>
    <w:rsid w:val="00E3627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100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uktradokumentu">
    <w:name w:val="Document Map"/>
    <w:basedOn w:val="Normlny"/>
    <w:semiHidden/>
    <w:rsid w:val="00E44D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zia">
    <w:name w:val="Revision"/>
    <w:hidden/>
    <w:uiPriority w:val="99"/>
    <w:semiHidden/>
    <w:rsid w:val="00541CBA"/>
    <w:rPr>
      <w:sz w:val="24"/>
      <w:szCs w:val="24"/>
      <w:lang w:eastAsia="en-US"/>
    </w:rPr>
  </w:style>
  <w:style w:type="character" w:styleId="Odkaznakomentr">
    <w:name w:val="annotation reference"/>
    <w:basedOn w:val="Predvolenpsmoodseku"/>
    <w:rsid w:val="00AC64D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C64D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C64D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64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C64D1"/>
    <w:rPr>
      <w:b/>
      <w:bCs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960B0"/>
    <w:rPr>
      <w:rFonts w:ascii="Helvetica" w:hAnsi="Helvetica"/>
      <w:sz w:val="16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F187D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726A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rsid w:val="00EF187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EF187D"/>
  </w:style>
  <w:style w:type="paragraph" w:styleId="Pta">
    <w:name w:val="footer"/>
    <w:basedOn w:val="Normlny"/>
    <w:link w:val="PtaChar"/>
    <w:uiPriority w:val="99"/>
    <w:rsid w:val="00EF187D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paragraph" w:styleId="Hlavika">
    <w:name w:val="header"/>
    <w:basedOn w:val="Normlny"/>
    <w:rsid w:val="00EF187D"/>
    <w:pPr>
      <w:tabs>
        <w:tab w:val="center" w:pos="4703"/>
        <w:tab w:val="right" w:pos="9406"/>
      </w:tabs>
    </w:pPr>
  </w:style>
  <w:style w:type="paragraph" w:styleId="Zkladntext2">
    <w:name w:val="Body Text 2"/>
    <w:basedOn w:val="Normlny"/>
    <w:rsid w:val="00EF187D"/>
    <w:pPr>
      <w:spacing w:before="120"/>
      <w:jc w:val="both"/>
    </w:pPr>
    <w:rPr>
      <w:rFonts w:ascii="Arial" w:hAnsi="Arial"/>
      <w:sz w:val="20"/>
      <w:szCs w:val="20"/>
      <w:lang w:eastAsia="sk-SK"/>
    </w:rPr>
  </w:style>
  <w:style w:type="paragraph" w:styleId="Zkladntext">
    <w:name w:val="Body Text"/>
    <w:basedOn w:val="Normlny"/>
    <w:rsid w:val="00EF187D"/>
    <w:pPr>
      <w:spacing w:before="120" w:line="360" w:lineRule="auto"/>
      <w:jc w:val="both"/>
    </w:pPr>
    <w:rPr>
      <w:rFonts w:ascii="Arial" w:hAnsi="Arial"/>
      <w:sz w:val="22"/>
      <w:szCs w:val="20"/>
      <w:lang w:val="cs-CZ" w:eastAsia="sk-SK"/>
    </w:rPr>
  </w:style>
  <w:style w:type="paragraph" w:styleId="Textbubliny">
    <w:name w:val="Balloon Text"/>
    <w:basedOn w:val="Normlny"/>
    <w:semiHidden/>
    <w:rsid w:val="00E3627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100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uktradokumentu">
    <w:name w:val="Document Map"/>
    <w:basedOn w:val="Normlny"/>
    <w:semiHidden/>
    <w:rsid w:val="00E44D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zia">
    <w:name w:val="Revision"/>
    <w:hidden/>
    <w:uiPriority w:val="99"/>
    <w:semiHidden/>
    <w:rsid w:val="00541CBA"/>
    <w:rPr>
      <w:sz w:val="24"/>
      <w:szCs w:val="24"/>
      <w:lang w:eastAsia="en-US"/>
    </w:rPr>
  </w:style>
  <w:style w:type="character" w:styleId="Odkaznakomentr">
    <w:name w:val="annotation reference"/>
    <w:basedOn w:val="Predvolenpsmoodseku"/>
    <w:rsid w:val="00AC64D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C64D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C64D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64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C64D1"/>
    <w:rPr>
      <w:b/>
      <w:bCs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960B0"/>
    <w:rPr>
      <w:rFonts w:ascii="Helvetica" w:hAnsi="Helvetica"/>
      <w:sz w:val="16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[Version 6</vt:lpstr>
    </vt:vector>
  </TitlesOfParts>
  <Company>TANKRED</Company>
  <LinksUpToDate>false</LinksUpToDate>
  <CharactersWithSpaces>20881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6</dc:title>
  <dc:creator>Helena Vojteková</dc:creator>
  <cp:lastModifiedBy> </cp:lastModifiedBy>
  <cp:revision>6</cp:revision>
  <cp:lastPrinted>2015-01-27T14:57:00Z</cp:lastPrinted>
  <dcterms:created xsi:type="dcterms:W3CDTF">2016-05-23T07:39:00Z</dcterms:created>
  <dcterms:modified xsi:type="dcterms:W3CDTF">2016-05-23T08:22:00Z</dcterms:modified>
</cp:coreProperties>
</file>