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5F7A" w:rsidRPr="0079716C" w:rsidRDefault="00A65F7A" w:rsidP="00F30C0D">
      <w:pPr>
        <w:pStyle w:val="Textkomentra"/>
        <w:adjustRightInd w:val="0"/>
        <w:snapToGrid w:val="0"/>
        <w:spacing w:after="0"/>
        <w:jc w:val="center"/>
        <w:rPr>
          <w:rFonts w:cs="Arial"/>
          <w:b/>
          <w:bCs/>
          <w:sz w:val="22"/>
          <w:szCs w:val="22"/>
        </w:rPr>
      </w:pPr>
    </w:p>
    <w:p w:rsidR="00A65F7A" w:rsidRPr="0079716C" w:rsidRDefault="00A65F7A" w:rsidP="00F30C0D">
      <w:pPr>
        <w:pStyle w:val="Textkomentra"/>
        <w:adjustRightInd w:val="0"/>
        <w:snapToGrid w:val="0"/>
        <w:spacing w:after="0"/>
        <w:jc w:val="center"/>
        <w:rPr>
          <w:rFonts w:cs="Arial"/>
          <w:b/>
          <w:bCs/>
          <w:sz w:val="22"/>
          <w:szCs w:val="22"/>
        </w:rPr>
      </w:pPr>
    </w:p>
    <w:p w:rsidR="001F0D1B" w:rsidRPr="0079716C" w:rsidRDefault="00B933CD" w:rsidP="001F0D1B">
      <w:pPr>
        <w:pStyle w:val="Textkomentra"/>
        <w:adjustRightInd w:val="0"/>
        <w:snapToGrid w:val="0"/>
        <w:spacing w:after="0"/>
        <w:jc w:val="center"/>
        <w:rPr>
          <w:rFonts w:cs="Arial"/>
          <w:b/>
          <w:bCs/>
          <w:sz w:val="22"/>
          <w:szCs w:val="22"/>
        </w:rPr>
      </w:pPr>
      <w:r w:rsidRPr="0079716C">
        <w:rPr>
          <w:rFonts w:cs="Arial"/>
          <w:b/>
          <w:bCs/>
          <w:sz w:val="22"/>
          <w:szCs w:val="22"/>
        </w:rPr>
        <w:t>SÚHRN CHARAKTERISTICKÝCH VLASTNOSTÍ LIEKU</w:t>
      </w:r>
    </w:p>
    <w:p w:rsidR="001F0D1B" w:rsidRPr="0079716C" w:rsidRDefault="001F0D1B" w:rsidP="001F0D1B">
      <w:pPr>
        <w:pStyle w:val="Textkomentra"/>
        <w:adjustRightInd w:val="0"/>
        <w:snapToGrid w:val="0"/>
        <w:spacing w:after="0"/>
        <w:jc w:val="center"/>
        <w:rPr>
          <w:rFonts w:cs="Arial"/>
          <w:b/>
          <w:bCs/>
          <w:sz w:val="22"/>
          <w:szCs w:val="22"/>
        </w:rPr>
      </w:pPr>
    </w:p>
    <w:p w:rsidR="00B36366" w:rsidRPr="0079716C" w:rsidRDefault="00B36366" w:rsidP="001F0D1B">
      <w:pPr>
        <w:pStyle w:val="Textkomentra"/>
        <w:adjustRightInd w:val="0"/>
        <w:snapToGrid w:val="0"/>
        <w:spacing w:after="0"/>
        <w:jc w:val="center"/>
        <w:rPr>
          <w:rFonts w:cs="Arial"/>
          <w:b/>
          <w:bCs/>
          <w:sz w:val="22"/>
          <w:szCs w:val="22"/>
        </w:rPr>
      </w:pPr>
    </w:p>
    <w:p w:rsidR="00F7686C" w:rsidRPr="0079716C" w:rsidRDefault="005F219D" w:rsidP="001F0D1B">
      <w:pPr>
        <w:pStyle w:val="Textkomentra"/>
        <w:adjustRightInd w:val="0"/>
        <w:snapToGrid w:val="0"/>
        <w:spacing w:after="0"/>
        <w:rPr>
          <w:rFonts w:cs="Arial"/>
          <w:b/>
          <w:bCs/>
          <w:sz w:val="22"/>
          <w:szCs w:val="22"/>
        </w:rPr>
      </w:pPr>
      <w:r w:rsidRPr="0079716C">
        <w:rPr>
          <w:b/>
          <w:caps/>
          <w:sz w:val="22"/>
          <w:szCs w:val="22"/>
        </w:rPr>
        <w:t>1</w:t>
      </w:r>
      <w:r w:rsidR="00F7686C" w:rsidRPr="0079716C">
        <w:rPr>
          <w:b/>
          <w:caps/>
          <w:sz w:val="22"/>
          <w:szCs w:val="22"/>
        </w:rPr>
        <w:t>.</w:t>
      </w:r>
      <w:r w:rsidR="003B57CE" w:rsidRPr="0079716C">
        <w:rPr>
          <w:b/>
          <w:caps/>
          <w:sz w:val="22"/>
          <w:szCs w:val="22"/>
        </w:rPr>
        <w:tab/>
      </w:r>
      <w:r w:rsidR="00F7686C" w:rsidRPr="0079716C">
        <w:rPr>
          <w:b/>
          <w:caps/>
          <w:sz w:val="22"/>
          <w:szCs w:val="22"/>
        </w:rPr>
        <w:t>Názov LIEKU</w:t>
      </w:r>
    </w:p>
    <w:p w:rsidR="001F0D1B" w:rsidRPr="0079716C" w:rsidRDefault="001F0D1B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79716C" w:rsidRDefault="008443E1" w:rsidP="001F0D1B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>E</w:t>
      </w:r>
      <w:r w:rsidR="00136763" w:rsidRPr="0079716C">
        <w:rPr>
          <w:sz w:val="22"/>
          <w:szCs w:val="22"/>
        </w:rPr>
        <w:t xml:space="preserve">zetimib </w:t>
      </w:r>
      <w:r w:rsidR="006F352E">
        <w:rPr>
          <w:sz w:val="22"/>
          <w:szCs w:val="22"/>
        </w:rPr>
        <w:t>Accord</w:t>
      </w:r>
      <w:r w:rsidR="00136763" w:rsidRPr="0079716C">
        <w:rPr>
          <w:sz w:val="22"/>
          <w:szCs w:val="22"/>
        </w:rPr>
        <w:t xml:space="preserve"> 10 mg</w:t>
      </w:r>
      <w:r w:rsidR="006F352E">
        <w:rPr>
          <w:sz w:val="22"/>
          <w:szCs w:val="22"/>
        </w:rPr>
        <w:t xml:space="preserve"> </w:t>
      </w:r>
      <w:r w:rsidR="001F0D1B" w:rsidRPr="0079716C">
        <w:rPr>
          <w:sz w:val="22"/>
          <w:szCs w:val="22"/>
        </w:rPr>
        <w:t>t</w:t>
      </w:r>
      <w:r w:rsidR="00136763" w:rsidRPr="0079716C">
        <w:rPr>
          <w:sz w:val="22"/>
          <w:szCs w:val="22"/>
        </w:rPr>
        <w:t>ablety</w:t>
      </w:r>
    </w:p>
    <w:p w:rsidR="001F0D1B" w:rsidRPr="0079716C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79716C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79716C" w:rsidRDefault="00F7686C" w:rsidP="001F0D1B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b/>
          <w:caps/>
          <w:sz w:val="22"/>
          <w:szCs w:val="22"/>
        </w:rPr>
        <w:t>2.</w:t>
      </w:r>
      <w:r w:rsidR="003B57CE" w:rsidRPr="0079716C">
        <w:rPr>
          <w:b/>
          <w:caps/>
          <w:sz w:val="22"/>
          <w:szCs w:val="22"/>
        </w:rPr>
        <w:tab/>
      </w:r>
      <w:r w:rsidRPr="0079716C">
        <w:rPr>
          <w:b/>
          <w:caps/>
          <w:sz w:val="22"/>
          <w:szCs w:val="22"/>
        </w:rPr>
        <w:t>Kvalitatívne</w:t>
      </w:r>
      <w:r w:rsidR="0020794C" w:rsidRPr="0079716C">
        <w:rPr>
          <w:b/>
          <w:caps/>
          <w:sz w:val="22"/>
          <w:szCs w:val="22"/>
        </w:rPr>
        <w:t xml:space="preserve"> a </w:t>
      </w:r>
      <w:r w:rsidRPr="0079716C">
        <w:rPr>
          <w:b/>
          <w:caps/>
          <w:sz w:val="22"/>
          <w:szCs w:val="22"/>
        </w:rPr>
        <w:t>kvantitatívne zloženie LIEKU</w:t>
      </w:r>
    </w:p>
    <w:p w:rsidR="001F0D1B" w:rsidRPr="0079716C" w:rsidRDefault="001F0D1B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79716C" w:rsidRDefault="00F7686C" w:rsidP="001F0D1B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>Každá tableta obsahuje 10</w:t>
      </w:r>
      <w:r w:rsidR="0020794C" w:rsidRPr="0079716C">
        <w:rPr>
          <w:sz w:val="22"/>
          <w:szCs w:val="22"/>
        </w:rPr>
        <w:t> mg</w:t>
      </w:r>
      <w:r w:rsidRPr="0079716C">
        <w:rPr>
          <w:sz w:val="22"/>
          <w:szCs w:val="22"/>
        </w:rPr>
        <w:t xml:space="preserve"> ezetimibu.</w:t>
      </w:r>
    </w:p>
    <w:p w:rsidR="001F0D1B" w:rsidRPr="0079716C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BB26A7" w:rsidRPr="0079716C" w:rsidRDefault="00BB26A7" w:rsidP="001F0D1B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  <w:u w:val="single"/>
        </w:rPr>
        <w:t>Pomocná látka</w:t>
      </w:r>
      <w:r w:rsidR="00136763" w:rsidRPr="0079716C">
        <w:rPr>
          <w:sz w:val="22"/>
          <w:szCs w:val="22"/>
          <w:u w:val="single"/>
        </w:rPr>
        <w:t xml:space="preserve"> so známym </w:t>
      </w:r>
      <w:r w:rsidR="000174A0" w:rsidRPr="0079716C">
        <w:rPr>
          <w:sz w:val="22"/>
          <w:szCs w:val="22"/>
          <w:u w:val="single"/>
        </w:rPr>
        <w:t>účinkom</w:t>
      </w:r>
      <w:r w:rsidRPr="0079716C">
        <w:rPr>
          <w:sz w:val="22"/>
          <w:szCs w:val="22"/>
          <w:u w:val="single"/>
        </w:rPr>
        <w:t>:</w:t>
      </w:r>
    </w:p>
    <w:p w:rsidR="00BB26A7" w:rsidRPr="0079716C" w:rsidRDefault="00BB26A7" w:rsidP="00BB26A7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 xml:space="preserve">Každá tableta obsahuje </w:t>
      </w:r>
      <w:r w:rsidR="006F352E">
        <w:rPr>
          <w:sz w:val="22"/>
          <w:szCs w:val="22"/>
        </w:rPr>
        <w:t xml:space="preserve">83 </w:t>
      </w:r>
      <w:r w:rsidRPr="0079716C">
        <w:rPr>
          <w:sz w:val="22"/>
          <w:szCs w:val="22"/>
        </w:rPr>
        <w:t>mg monohydrátu laktózy.</w:t>
      </w:r>
    </w:p>
    <w:p w:rsidR="001F0D1B" w:rsidRPr="0079716C" w:rsidRDefault="002341C8" w:rsidP="001F0D1B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>Úplný zoznam pomocných látok</w:t>
      </w:r>
      <w:r w:rsidR="006270CB" w:rsidRPr="0079716C">
        <w:rPr>
          <w:sz w:val="22"/>
          <w:szCs w:val="22"/>
        </w:rPr>
        <w:t>,</w:t>
      </w:r>
      <w:r w:rsidR="00F7686C" w:rsidRPr="0079716C">
        <w:rPr>
          <w:sz w:val="22"/>
          <w:szCs w:val="22"/>
        </w:rPr>
        <w:t xml:space="preserve"> pozri </w:t>
      </w:r>
      <w:r w:rsidR="009D62C4" w:rsidRPr="0079716C">
        <w:rPr>
          <w:sz w:val="22"/>
          <w:szCs w:val="22"/>
        </w:rPr>
        <w:t>čas</w:t>
      </w:r>
      <w:r w:rsidR="006270CB" w:rsidRPr="0079716C">
        <w:rPr>
          <w:sz w:val="22"/>
          <w:szCs w:val="22"/>
        </w:rPr>
        <w:t>ť</w:t>
      </w:r>
      <w:r w:rsidR="009D62C4" w:rsidRPr="0079716C">
        <w:rPr>
          <w:sz w:val="22"/>
          <w:szCs w:val="22"/>
        </w:rPr>
        <w:t xml:space="preserve"> </w:t>
      </w:r>
      <w:r w:rsidR="00F7686C" w:rsidRPr="0079716C">
        <w:rPr>
          <w:sz w:val="22"/>
          <w:szCs w:val="22"/>
        </w:rPr>
        <w:t>6.1.</w:t>
      </w:r>
    </w:p>
    <w:p w:rsidR="001F0D1B" w:rsidRPr="0079716C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79716C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79716C" w:rsidRDefault="003B57CE" w:rsidP="001F0D1B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b/>
          <w:caps/>
          <w:sz w:val="22"/>
          <w:szCs w:val="22"/>
        </w:rPr>
        <w:t>3.</w:t>
      </w:r>
      <w:r w:rsidRPr="0079716C">
        <w:rPr>
          <w:b/>
          <w:caps/>
          <w:sz w:val="22"/>
          <w:szCs w:val="22"/>
        </w:rPr>
        <w:tab/>
      </w:r>
      <w:r w:rsidR="00F7686C" w:rsidRPr="0079716C">
        <w:rPr>
          <w:b/>
          <w:caps/>
          <w:sz w:val="22"/>
          <w:szCs w:val="22"/>
        </w:rPr>
        <w:t>LIEKOVÁ forma</w:t>
      </w:r>
    </w:p>
    <w:p w:rsidR="001F0D1B" w:rsidRPr="0079716C" w:rsidRDefault="001F0D1B" w:rsidP="00F30C0D">
      <w:pPr>
        <w:adjustRightInd w:val="0"/>
        <w:snapToGrid w:val="0"/>
        <w:spacing w:after="0"/>
        <w:rPr>
          <w:b/>
          <w:caps/>
          <w:sz w:val="22"/>
          <w:szCs w:val="22"/>
        </w:rPr>
      </w:pPr>
    </w:p>
    <w:p w:rsidR="00F7686C" w:rsidRPr="0079716C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>Tableta.</w:t>
      </w:r>
    </w:p>
    <w:p w:rsidR="00557398" w:rsidRPr="0079716C" w:rsidRDefault="00557398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4825FB" w:rsidRDefault="00F7686C" w:rsidP="001F0D1B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 xml:space="preserve">Biela až </w:t>
      </w:r>
      <w:r w:rsidR="00D654FC" w:rsidRPr="0079716C">
        <w:rPr>
          <w:sz w:val="22"/>
          <w:szCs w:val="22"/>
        </w:rPr>
        <w:t xml:space="preserve">takmer </w:t>
      </w:r>
      <w:r w:rsidRPr="0079716C">
        <w:rPr>
          <w:sz w:val="22"/>
          <w:szCs w:val="22"/>
        </w:rPr>
        <w:t>biela</w:t>
      </w:r>
      <w:r w:rsidR="00666957">
        <w:rPr>
          <w:sz w:val="22"/>
          <w:szCs w:val="22"/>
        </w:rPr>
        <w:t>, plochá, neobalená</w:t>
      </w:r>
      <w:r w:rsidRPr="0079716C">
        <w:rPr>
          <w:sz w:val="22"/>
          <w:szCs w:val="22"/>
        </w:rPr>
        <w:t xml:space="preserve"> tableta tvaru kapsuly</w:t>
      </w:r>
      <w:r w:rsidR="00666957">
        <w:rPr>
          <w:sz w:val="22"/>
          <w:szCs w:val="22"/>
        </w:rPr>
        <w:t xml:space="preserve"> </w:t>
      </w:r>
      <w:r w:rsidR="000174A0" w:rsidRPr="000D7562">
        <w:rPr>
          <w:sz w:val="22"/>
          <w:szCs w:val="22"/>
        </w:rPr>
        <w:t>so skosenými hranami</w:t>
      </w:r>
      <w:r w:rsidR="00666957">
        <w:rPr>
          <w:sz w:val="22"/>
          <w:szCs w:val="22"/>
        </w:rPr>
        <w:t xml:space="preserve"> </w:t>
      </w:r>
      <w:r w:rsidR="004825FB">
        <w:rPr>
          <w:sz w:val="22"/>
          <w:szCs w:val="22"/>
        </w:rPr>
        <w:t>s vyrazeným „10</w:t>
      </w:r>
      <w:r w:rsidR="000174A0" w:rsidRPr="000D7562">
        <w:rPr>
          <w:sz w:val="22"/>
          <w:szCs w:val="22"/>
        </w:rPr>
        <w:t xml:space="preserve">“ na jednej strane a </w:t>
      </w:r>
      <w:r w:rsidR="004825FB">
        <w:rPr>
          <w:sz w:val="22"/>
          <w:szCs w:val="22"/>
        </w:rPr>
        <w:t>hladká</w:t>
      </w:r>
      <w:r w:rsidR="000174A0" w:rsidRPr="000D7562">
        <w:rPr>
          <w:sz w:val="22"/>
          <w:szCs w:val="22"/>
        </w:rPr>
        <w:t xml:space="preserve"> na strane druhej</w:t>
      </w:r>
      <w:r w:rsidR="004825FB">
        <w:rPr>
          <w:sz w:val="22"/>
          <w:szCs w:val="22"/>
        </w:rPr>
        <w:t>.</w:t>
      </w:r>
    </w:p>
    <w:p w:rsidR="004825FB" w:rsidRDefault="004825FB" w:rsidP="001F0D1B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 xml:space="preserve">Dĺžka: </w:t>
      </w:r>
      <w:r w:rsidR="000174A0" w:rsidRPr="005E28C5">
        <w:rPr>
          <w:sz w:val="22"/>
          <w:szCs w:val="22"/>
        </w:rPr>
        <w:t>8,2</w:t>
      </w:r>
      <w:r w:rsidR="00631482" w:rsidRPr="005E28C5">
        <w:rPr>
          <w:sz w:val="22"/>
          <w:szCs w:val="22"/>
        </w:rPr>
        <w:t> </w:t>
      </w:r>
      <w:r w:rsidR="00C471B7" w:rsidRPr="005E28C5">
        <w:rPr>
          <w:sz w:val="22"/>
          <w:szCs w:val="22"/>
        </w:rPr>
        <w:t>mm</w:t>
      </w:r>
      <w:r w:rsidR="00EC2DD4">
        <w:rPr>
          <w:sz w:val="22"/>
          <w:szCs w:val="22"/>
        </w:rPr>
        <w:t>.</w:t>
      </w:r>
      <w:r w:rsidR="00C471B7" w:rsidRPr="005E28C5">
        <w:rPr>
          <w:sz w:val="22"/>
          <w:szCs w:val="22"/>
        </w:rPr>
        <w:t xml:space="preserve"> </w:t>
      </w:r>
    </w:p>
    <w:p w:rsidR="001F0D1B" w:rsidRDefault="004825FB" w:rsidP="001F0D1B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Šírka: 4,1 mm.</w:t>
      </w:r>
    </w:p>
    <w:p w:rsidR="004825FB" w:rsidRPr="005E28C5" w:rsidRDefault="004825FB" w:rsidP="001F0D1B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Hrúbka: 2,6 mm.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5E28C5" w:rsidRDefault="00F7686C" w:rsidP="001F0D1B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caps/>
          <w:sz w:val="22"/>
          <w:szCs w:val="22"/>
        </w:rPr>
        <w:t>4.</w:t>
      </w:r>
      <w:r w:rsidR="003B57CE" w:rsidRPr="005E28C5">
        <w:rPr>
          <w:b/>
          <w:caps/>
          <w:sz w:val="22"/>
          <w:szCs w:val="22"/>
        </w:rPr>
        <w:tab/>
      </w:r>
      <w:r w:rsidRPr="005E28C5">
        <w:rPr>
          <w:b/>
          <w:caps/>
          <w:sz w:val="22"/>
          <w:szCs w:val="22"/>
        </w:rPr>
        <w:t>Klinické údaje</w:t>
      </w:r>
    </w:p>
    <w:p w:rsidR="001F0D1B" w:rsidRPr="005E28C5" w:rsidRDefault="001F0D1B" w:rsidP="001F0D1B">
      <w:pPr>
        <w:adjustRightInd w:val="0"/>
        <w:snapToGrid w:val="0"/>
        <w:spacing w:after="0"/>
        <w:rPr>
          <w:b/>
          <w:sz w:val="22"/>
          <w:szCs w:val="22"/>
        </w:rPr>
      </w:pPr>
    </w:p>
    <w:p w:rsidR="001F0D1B" w:rsidRPr="005E28C5" w:rsidRDefault="003B57CE" w:rsidP="001F0D1B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4.1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Terapeutické indikácie</w:t>
      </w:r>
    </w:p>
    <w:p w:rsidR="001F0D1B" w:rsidRPr="005E28C5" w:rsidRDefault="001F0D1B" w:rsidP="001F0D1B">
      <w:pPr>
        <w:adjustRightInd w:val="0"/>
        <w:snapToGrid w:val="0"/>
        <w:spacing w:after="0"/>
        <w:rPr>
          <w:b/>
          <w:sz w:val="22"/>
          <w:szCs w:val="22"/>
        </w:rPr>
      </w:pPr>
    </w:p>
    <w:p w:rsidR="00F7686C" w:rsidRPr="005E28C5" w:rsidRDefault="00F7686C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  <w:u w:val="single"/>
        </w:rPr>
        <w:t>Primárna hypercholesterolémia</w:t>
      </w:r>
    </w:p>
    <w:p w:rsidR="00F7686C" w:rsidRPr="005E28C5" w:rsidRDefault="008443E1" w:rsidP="00F30C0D">
      <w:pPr>
        <w:adjustRightInd w:val="0"/>
        <w:snapToGrid w:val="0"/>
        <w:spacing w:after="0"/>
        <w:rPr>
          <w:sz w:val="22"/>
          <w:szCs w:val="22"/>
        </w:rPr>
      </w:pPr>
      <w:bookmarkStart w:id="0" w:name="OLE_LINK1"/>
      <w:r w:rsidRPr="005E28C5">
        <w:rPr>
          <w:sz w:val="22"/>
          <w:szCs w:val="22"/>
        </w:rPr>
        <w:t>E</w:t>
      </w:r>
      <w:r w:rsidR="000174A0" w:rsidRPr="005E28C5">
        <w:rPr>
          <w:sz w:val="22"/>
          <w:szCs w:val="22"/>
        </w:rPr>
        <w:t xml:space="preserve">zetimib </w:t>
      </w:r>
      <w:r w:rsidR="006F352E">
        <w:rPr>
          <w:sz w:val="22"/>
          <w:szCs w:val="22"/>
        </w:rPr>
        <w:t>Accord</w:t>
      </w:r>
      <w:r w:rsidR="00F7686C" w:rsidRPr="005E28C5">
        <w:rPr>
          <w:sz w:val="22"/>
          <w:szCs w:val="22"/>
        </w:rPr>
        <w:t xml:space="preserve"> podávaný súčasne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 xml:space="preserve">inhibítorom HMG-CoA reduktázy (statínom) je indikovaný ako adjuvantná </w:t>
      </w:r>
      <w:r w:rsidR="005A23E1">
        <w:rPr>
          <w:sz w:val="22"/>
          <w:szCs w:val="22"/>
        </w:rPr>
        <w:t>liečba</w:t>
      </w:r>
      <w:r w:rsidR="005A23E1" w:rsidRPr="005E28C5">
        <w:rPr>
          <w:sz w:val="22"/>
          <w:szCs w:val="22"/>
        </w:rPr>
        <w:t xml:space="preserve"> </w:t>
      </w:r>
      <w:r w:rsidR="0020794C" w:rsidRPr="005E28C5">
        <w:rPr>
          <w:sz w:val="22"/>
          <w:szCs w:val="22"/>
        </w:rPr>
        <w:t>k </w:t>
      </w:r>
      <w:r w:rsidR="00F7686C" w:rsidRPr="005E28C5">
        <w:rPr>
          <w:sz w:val="22"/>
          <w:szCs w:val="22"/>
        </w:rPr>
        <w:t>diéte</w:t>
      </w:r>
      <w:r w:rsidR="0020794C" w:rsidRPr="005E28C5">
        <w:rPr>
          <w:sz w:val="22"/>
          <w:szCs w:val="22"/>
        </w:rPr>
        <w:t xml:space="preserve"> u </w:t>
      </w:r>
      <w:r w:rsidR="00F7686C"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>primárnou (heterozyg</w:t>
      </w:r>
      <w:r w:rsidR="006370F8" w:rsidRPr="005E28C5">
        <w:rPr>
          <w:sz w:val="22"/>
          <w:szCs w:val="22"/>
        </w:rPr>
        <w:t>o</w:t>
      </w:r>
      <w:r w:rsidR="00F7686C" w:rsidRPr="005E28C5">
        <w:rPr>
          <w:sz w:val="22"/>
          <w:szCs w:val="22"/>
        </w:rPr>
        <w:t>tnou familiárnou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non-familiárnou) hypercholesterolémiou, ktorí nie sú dostatočne kontrolovaní samotným statínom.</w:t>
      </w:r>
      <w:bookmarkEnd w:id="0"/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5E28C5" w:rsidRDefault="008443E1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</w:t>
      </w:r>
      <w:r w:rsidR="000174A0" w:rsidRPr="005E28C5">
        <w:rPr>
          <w:sz w:val="22"/>
          <w:szCs w:val="22"/>
        </w:rPr>
        <w:t xml:space="preserve">zetimib </w:t>
      </w:r>
      <w:r w:rsidR="006F352E">
        <w:rPr>
          <w:sz w:val="22"/>
          <w:szCs w:val="22"/>
        </w:rPr>
        <w:t>Accord</w:t>
      </w:r>
      <w:r w:rsidR="000174A0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je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 xml:space="preserve">monoterapii indikovaný ako adjuvantná </w:t>
      </w:r>
      <w:r w:rsidR="005A23E1">
        <w:rPr>
          <w:sz w:val="22"/>
          <w:szCs w:val="22"/>
        </w:rPr>
        <w:t>liečba</w:t>
      </w:r>
      <w:r w:rsidR="005A23E1" w:rsidRPr="005E28C5">
        <w:rPr>
          <w:sz w:val="22"/>
          <w:szCs w:val="22"/>
        </w:rPr>
        <w:t xml:space="preserve"> </w:t>
      </w:r>
      <w:r w:rsidR="0020794C" w:rsidRPr="005E28C5">
        <w:rPr>
          <w:sz w:val="22"/>
          <w:szCs w:val="22"/>
        </w:rPr>
        <w:t>k </w:t>
      </w:r>
      <w:r w:rsidR="00F7686C" w:rsidRPr="005E28C5">
        <w:rPr>
          <w:sz w:val="22"/>
          <w:szCs w:val="22"/>
        </w:rPr>
        <w:t>diéte</w:t>
      </w:r>
      <w:r w:rsidR="0020794C" w:rsidRPr="005E28C5">
        <w:rPr>
          <w:sz w:val="22"/>
          <w:szCs w:val="22"/>
        </w:rPr>
        <w:t xml:space="preserve"> u </w:t>
      </w:r>
      <w:r w:rsidR="00F7686C"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>primárnou (heterozyg</w:t>
      </w:r>
      <w:r w:rsidR="006370F8" w:rsidRPr="005E28C5">
        <w:rPr>
          <w:sz w:val="22"/>
          <w:szCs w:val="22"/>
        </w:rPr>
        <w:t>o</w:t>
      </w:r>
      <w:r w:rsidR="00F7686C" w:rsidRPr="005E28C5">
        <w:rPr>
          <w:sz w:val="22"/>
          <w:szCs w:val="22"/>
        </w:rPr>
        <w:t>tnou familiárnou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non-familiárnou) hypercholesterolémiou,</w:t>
      </w:r>
      <w:r w:rsidR="0020794C" w:rsidRPr="005E28C5">
        <w:rPr>
          <w:sz w:val="22"/>
          <w:szCs w:val="22"/>
        </w:rPr>
        <w:t xml:space="preserve"> u </w:t>
      </w:r>
      <w:r w:rsidR="00F7686C" w:rsidRPr="005E28C5">
        <w:rPr>
          <w:sz w:val="22"/>
          <w:szCs w:val="22"/>
        </w:rPr>
        <w:t>ktorých je statín považovaný za nevhodný alebo nie je tolerovaný.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  <w:u w:val="single"/>
        </w:rPr>
        <w:t>Homozygotná familiárna hypercholesterolémia (HoFH)</w:t>
      </w:r>
    </w:p>
    <w:p w:rsidR="001F0D1B" w:rsidRPr="005E28C5" w:rsidRDefault="008443E1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</w:t>
      </w:r>
      <w:r w:rsidR="000174A0" w:rsidRPr="005E28C5">
        <w:rPr>
          <w:sz w:val="22"/>
          <w:szCs w:val="22"/>
        </w:rPr>
        <w:t xml:space="preserve">zetimib </w:t>
      </w:r>
      <w:r w:rsidR="006F352E">
        <w:rPr>
          <w:sz w:val="22"/>
          <w:szCs w:val="22"/>
        </w:rPr>
        <w:t>Accord</w:t>
      </w:r>
      <w:r w:rsidR="00F7686C" w:rsidRPr="005E28C5">
        <w:rPr>
          <w:sz w:val="22"/>
          <w:szCs w:val="22"/>
        </w:rPr>
        <w:t xml:space="preserve"> podávaný súčasne</w:t>
      </w:r>
      <w:r w:rsidR="0020794C" w:rsidRPr="005E28C5">
        <w:rPr>
          <w:sz w:val="22"/>
          <w:szCs w:val="22"/>
        </w:rPr>
        <w:t xml:space="preserve"> so </w:t>
      </w:r>
      <w:r w:rsidR="00F7686C" w:rsidRPr="005E28C5">
        <w:rPr>
          <w:sz w:val="22"/>
          <w:szCs w:val="22"/>
        </w:rPr>
        <w:t>statínom je indikovaný ako adjuvantná liečba</w:t>
      </w:r>
      <w:r w:rsidR="0020794C" w:rsidRPr="005E28C5">
        <w:rPr>
          <w:sz w:val="22"/>
          <w:szCs w:val="22"/>
        </w:rPr>
        <w:t xml:space="preserve"> k </w:t>
      </w:r>
      <w:r w:rsidR="00F7686C" w:rsidRPr="005E28C5">
        <w:rPr>
          <w:sz w:val="22"/>
          <w:szCs w:val="22"/>
        </w:rPr>
        <w:t>diéte</w:t>
      </w:r>
      <w:r w:rsidR="0020794C" w:rsidRPr="005E28C5">
        <w:rPr>
          <w:sz w:val="22"/>
          <w:szCs w:val="22"/>
        </w:rPr>
        <w:t xml:space="preserve"> u </w:t>
      </w:r>
      <w:r w:rsidR="00F7686C"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>HoFH. Pacienti môžu tiež dostávať doplňujúcu liečbu (napr. LDL aferézu).</w:t>
      </w:r>
    </w:p>
    <w:p w:rsidR="00F7686C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EE47FF" w:rsidRDefault="00EE47FF" w:rsidP="001F0D1B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Priaznivý účinok Ezetimibu Accord na kardiovaskulárnu morbiditu a mortalitu zatiaľ nebol preukázaný.</w:t>
      </w:r>
    </w:p>
    <w:p w:rsidR="006450D1" w:rsidRPr="005E28C5" w:rsidRDefault="006450D1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1F0D1B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4.2</w:t>
      </w:r>
      <w:r w:rsidR="003B57CE" w:rsidRPr="005E28C5">
        <w:rPr>
          <w:b/>
          <w:sz w:val="22"/>
          <w:szCs w:val="22"/>
        </w:rPr>
        <w:tab/>
      </w:r>
      <w:r w:rsidRPr="005E28C5">
        <w:rPr>
          <w:b/>
          <w:sz w:val="22"/>
          <w:szCs w:val="22"/>
        </w:rPr>
        <w:t>Dávkovanie</w:t>
      </w:r>
      <w:r w:rsidR="0020794C" w:rsidRPr="005E28C5">
        <w:rPr>
          <w:b/>
          <w:sz w:val="22"/>
          <w:szCs w:val="22"/>
        </w:rPr>
        <w:t xml:space="preserve"> a </w:t>
      </w:r>
      <w:r w:rsidRPr="005E28C5">
        <w:rPr>
          <w:b/>
          <w:sz w:val="22"/>
          <w:szCs w:val="22"/>
        </w:rPr>
        <w:t>spôsob pod</w:t>
      </w:r>
      <w:r w:rsidR="00915D66" w:rsidRPr="005E28C5">
        <w:rPr>
          <w:b/>
          <w:sz w:val="22"/>
          <w:szCs w:val="22"/>
        </w:rPr>
        <w:t>áva</w:t>
      </w:r>
      <w:r w:rsidR="000174A0" w:rsidRPr="005E28C5">
        <w:rPr>
          <w:b/>
          <w:sz w:val="22"/>
          <w:szCs w:val="22"/>
        </w:rPr>
        <w:t>nia</w:t>
      </w:r>
    </w:p>
    <w:p w:rsidR="001F0D1B" w:rsidRPr="005E28C5" w:rsidRDefault="001F0D1B" w:rsidP="00F30C0D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:rsidR="000174A0" w:rsidRPr="005E28C5" w:rsidRDefault="000174A0" w:rsidP="00F30C0D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  <w:u w:val="single"/>
        </w:rPr>
      </w:pPr>
      <w:r w:rsidRPr="005E28C5">
        <w:rPr>
          <w:rFonts w:ascii="Times New Roman" w:hAnsi="Times New Roman"/>
          <w:sz w:val="22"/>
          <w:szCs w:val="22"/>
          <w:u w:val="single"/>
        </w:rPr>
        <w:t>Dávkovanie</w:t>
      </w:r>
    </w:p>
    <w:p w:rsidR="00F7686C" w:rsidRPr="005E28C5" w:rsidRDefault="00F7686C" w:rsidP="00F30C0D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5E28C5">
        <w:rPr>
          <w:rFonts w:ascii="Times New Roman" w:hAnsi="Times New Roman"/>
          <w:sz w:val="22"/>
          <w:szCs w:val="22"/>
        </w:rPr>
        <w:t>Pacient má byť na príslušnej diéte znižujúcej lipidy</w:t>
      </w:r>
      <w:r w:rsidR="0020794C" w:rsidRPr="005E28C5">
        <w:rPr>
          <w:rFonts w:ascii="Times New Roman" w:hAnsi="Times New Roman"/>
          <w:sz w:val="22"/>
          <w:szCs w:val="22"/>
        </w:rPr>
        <w:t xml:space="preserve"> a </w:t>
      </w:r>
      <w:r w:rsidR="005807B1" w:rsidRPr="005E28C5">
        <w:rPr>
          <w:rFonts w:ascii="Times New Roman" w:hAnsi="Times New Roman"/>
          <w:sz w:val="22"/>
          <w:szCs w:val="22"/>
        </w:rPr>
        <w:t>počas terapie E</w:t>
      </w:r>
      <w:r w:rsidR="000174A0" w:rsidRPr="005E28C5">
        <w:rPr>
          <w:rFonts w:ascii="Times New Roman" w:hAnsi="Times New Roman"/>
          <w:sz w:val="22"/>
          <w:szCs w:val="22"/>
        </w:rPr>
        <w:t xml:space="preserve">zetimibom </w:t>
      </w:r>
      <w:r w:rsidR="006F352E">
        <w:rPr>
          <w:rFonts w:ascii="Times New Roman" w:hAnsi="Times New Roman"/>
          <w:sz w:val="22"/>
          <w:szCs w:val="22"/>
        </w:rPr>
        <w:t>Accord</w:t>
      </w:r>
      <w:r w:rsidR="005807B1" w:rsidRPr="005E28C5">
        <w:rPr>
          <w:rFonts w:ascii="Times New Roman" w:hAnsi="Times New Roman"/>
          <w:sz w:val="22"/>
          <w:szCs w:val="22"/>
        </w:rPr>
        <w:t xml:space="preserve"> </w:t>
      </w:r>
      <w:r w:rsidRPr="005E28C5">
        <w:rPr>
          <w:rFonts w:ascii="Times New Roman" w:hAnsi="Times New Roman"/>
          <w:sz w:val="22"/>
          <w:szCs w:val="22"/>
        </w:rPr>
        <w:t>má</w:t>
      </w:r>
      <w:r w:rsidR="0020794C" w:rsidRPr="005E28C5">
        <w:rPr>
          <w:rFonts w:ascii="Times New Roman" w:hAnsi="Times New Roman"/>
          <w:sz w:val="22"/>
          <w:szCs w:val="22"/>
        </w:rPr>
        <w:t xml:space="preserve"> v </w:t>
      </w:r>
      <w:r w:rsidRPr="005E28C5">
        <w:rPr>
          <w:rFonts w:ascii="Times New Roman" w:hAnsi="Times New Roman"/>
          <w:sz w:val="22"/>
          <w:szCs w:val="22"/>
        </w:rPr>
        <w:t>tejto diéte pokračovať.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6450D1" w:rsidP="006450D1">
      <w:pPr>
        <w:adjustRightInd w:val="0"/>
        <w:snapToGrid w:val="0"/>
        <w:spacing w:after="0"/>
        <w:rPr>
          <w:sz w:val="22"/>
          <w:szCs w:val="22"/>
        </w:rPr>
      </w:pPr>
      <w:r w:rsidRPr="006450D1">
        <w:rPr>
          <w:sz w:val="22"/>
          <w:szCs w:val="22"/>
        </w:rPr>
        <w:lastRenderedPageBreak/>
        <w:t>Spôsob podávania</w:t>
      </w:r>
      <w:r>
        <w:rPr>
          <w:sz w:val="22"/>
          <w:szCs w:val="22"/>
        </w:rPr>
        <w:t xml:space="preserve"> je n</w:t>
      </w:r>
      <w:r w:rsidRPr="005E28C5">
        <w:rPr>
          <w:sz w:val="22"/>
          <w:szCs w:val="22"/>
        </w:rPr>
        <w:t xml:space="preserve">a </w:t>
      </w:r>
      <w:r w:rsidR="005A23E1">
        <w:rPr>
          <w:sz w:val="22"/>
          <w:szCs w:val="22"/>
        </w:rPr>
        <w:t>perorálne</w:t>
      </w:r>
      <w:r w:rsidR="005A23E1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použitie. </w:t>
      </w:r>
      <w:r w:rsidR="00F7686C" w:rsidRPr="005E28C5">
        <w:rPr>
          <w:sz w:val="22"/>
          <w:szCs w:val="22"/>
        </w:rPr>
        <w:t xml:space="preserve">Odporúčaná dávka </w:t>
      </w:r>
      <w:r>
        <w:rPr>
          <w:sz w:val="22"/>
          <w:szCs w:val="22"/>
        </w:rPr>
        <w:t>je jed</w:t>
      </w:r>
      <w:r w:rsidR="005A23E1">
        <w:rPr>
          <w:sz w:val="22"/>
          <w:szCs w:val="22"/>
        </w:rPr>
        <w:t>na tableta</w:t>
      </w:r>
      <w:r>
        <w:rPr>
          <w:sz w:val="22"/>
          <w:szCs w:val="22"/>
        </w:rPr>
        <w:t xml:space="preserve"> </w:t>
      </w:r>
      <w:r w:rsidR="008443E1" w:rsidRPr="005E28C5">
        <w:rPr>
          <w:sz w:val="22"/>
          <w:szCs w:val="22"/>
        </w:rPr>
        <w:t>E</w:t>
      </w:r>
      <w:r>
        <w:rPr>
          <w:sz w:val="22"/>
          <w:szCs w:val="22"/>
        </w:rPr>
        <w:t>zetimib</w:t>
      </w:r>
      <w:r w:rsidR="005A23E1">
        <w:rPr>
          <w:sz w:val="22"/>
          <w:szCs w:val="22"/>
        </w:rPr>
        <w:t>u</w:t>
      </w:r>
      <w:r w:rsidR="000174A0" w:rsidRPr="005E28C5">
        <w:rPr>
          <w:sz w:val="22"/>
          <w:szCs w:val="22"/>
        </w:rPr>
        <w:t xml:space="preserve"> </w:t>
      </w:r>
      <w:r w:rsidR="006F352E">
        <w:rPr>
          <w:sz w:val="22"/>
          <w:szCs w:val="22"/>
        </w:rPr>
        <w:t>Accord</w:t>
      </w:r>
      <w:r w:rsidR="005A23E1">
        <w:rPr>
          <w:sz w:val="22"/>
          <w:szCs w:val="22"/>
        </w:rPr>
        <w:t xml:space="preserve"> 10 mg</w:t>
      </w:r>
      <w:r w:rsidR="00F7686C" w:rsidRPr="005E28C5">
        <w:rPr>
          <w:sz w:val="22"/>
          <w:szCs w:val="22"/>
        </w:rPr>
        <w:t xml:space="preserve"> </w:t>
      </w:r>
      <w:r w:rsidR="001F0D1B" w:rsidRPr="005E28C5">
        <w:rPr>
          <w:sz w:val="22"/>
          <w:szCs w:val="22"/>
        </w:rPr>
        <w:t>denne.</w:t>
      </w:r>
    </w:p>
    <w:p w:rsidR="00353DFF" w:rsidRPr="005E28C5" w:rsidRDefault="00353DFF" w:rsidP="00353DF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Ezetimib </w:t>
      </w:r>
      <w:r>
        <w:rPr>
          <w:sz w:val="22"/>
          <w:szCs w:val="22"/>
        </w:rPr>
        <w:t>Accord</w:t>
      </w:r>
      <w:r w:rsidRPr="005E28C5">
        <w:rPr>
          <w:sz w:val="22"/>
          <w:szCs w:val="22"/>
        </w:rPr>
        <w:t xml:space="preserve"> sa môže podávať kedykoľvek v priebehu dňa, s jedlom alebo bez jedla.</w:t>
      </w:r>
    </w:p>
    <w:p w:rsidR="001F0D1B" w:rsidRPr="005E28C5" w:rsidRDefault="001F0D1B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5E28C5" w:rsidRDefault="005A23E1" w:rsidP="001F0D1B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Ak</w:t>
      </w:r>
      <w:r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 xml:space="preserve">sa </w:t>
      </w:r>
      <w:r w:rsidR="008443E1" w:rsidRPr="005E28C5">
        <w:rPr>
          <w:sz w:val="22"/>
          <w:szCs w:val="22"/>
        </w:rPr>
        <w:t>E</w:t>
      </w:r>
      <w:r w:rsidR="001F0D1B" w:rsidRPr="005E28C5">
        <w:rPr>
          <w:sz w:val="22"/>
          <w:szCs w:val="22"/>
        </w:rPr>
        <w:t xml:space="preserve">zetimib </w:t>
      </w:r>
      <w:r w:rsidR="006F352E">
        <w:rPr>
          <w:sz w:val="22"/>
          <w:szCs w:val="22"/>
        </w:rPr>
        <w:t>Accord</w:t>
      </w:r>
      <w:r w:rsidR="00F7686C" w:rsidRPr="005E28C5">
        <w:rPr>
          <w:sz w:val="22"/>
          <w:szCs w:val="22"/>
        </w:rPr>
        <w:t xml:space="preserve"> pridá</w:t>
      </w:r>
      <w:r w:rsidR="0020794C" w:rsidRPr="005E28C5">
        <w:rPr>
          <w:sz w:val="22"/>
          <w:szCs w:val="22"/>
        </w:rPr>
        <w:t xml:space="preserve"> k </w:t>
      </w:r>
      <w:r w:rsidR="00F7686C" w:rsidRPr="005E28C5">
        <w:rPr>
          <w:sz w:val="22"/>
          <w:szCs w:val="22"/>
        </w:rPr>
        <w:t>statínu</w:t>
      </w:r>
      <w:r w:rsidR="00D5604B" w:rsidRPr="005E28C5">
        <w:rPr>
          <w:sz w:val="22"/>
          <w:szCs w:val="22"/>
        </w:rPr>
        <w:t>,</w:t>
      </w:r>
      <w:r w:rsidR="00F7686C" w:rsidRPr="005E28C5">
        <w:rPr>
          <w:sz w:val="22"/>
          <w:szCs w:val="22"/>
        </w:rPr>
        <w:t xml:space="preserve"> má sa pokračovať buď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 xml:space="preserve">indikovanej zvyčajnej </w:t>
      </w:r>
      <w:r w:rsidR="00EC2DD4">
        <w:rPr>
          <w:sz w:val="22"/>
          <w:szCs w:val="22"/>
        </w:rPr>
        <w:t>za</w:t>
      </w:r>
      <w:r w:rsidR="00F7686C" w:rsidRPr="005E28C5">
        <w:rPr>
          <w:sz w:val="22"/>
          <w:szCs w:val="22"/>
        </w:rPr>
        <w:t>čiatočnej dávke príslušného statínu, alebo sa má pokračovať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už určenej vyššej dávke.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tomto prípade sa treba oboznámiť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 xml:space="preserve">pokynmi </w:t>
      </w:r>
      <w:r>
        <w:rPr>
          <w:sz w:val="22"/>
          <w:szCs w:val="22"/>
        </w:rPr>
        <w:t>na</w:t>
      </w:r>
      <w:r w:rsidR="00F7686C" w:rsidRPr="005E28C5">
        <w:rPr>
          <w:sz w:val="22"/>
          <w:szCs w:val="22"/>
        </w:rPr>
        <w:t xml:space="preserve"> dávkovanie príslušného statínu.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  <w:u w:val="single"/>
        </w:rPr>
        <w:t>Sú</w:t>
      </w:r>
      <w:r w:rsidR="001F0D1B" w:rsidRPr="005E28C5">
        <w:rPr>
          <w:sz w:val="22"/>
          <w:szCs w:val="22"/>
          <w:u w:val="single"/>
        </w:rPr>
        <w:t>bežné</w:t>
      </w:r>
      <w:r w:rsidRPr="005E28C5">
        <w:rPr>
          <w:sz w:val="22"/>
          <w:szCs w:val="22"/>
          <w:u w:val="single"/>
        </w:rPr>
        <w:t xml:space="preserve"> podanie</w:t>
      </w:r>
      <w:r w:rsidR="0020794C" w:rsidRPr="005E28C5">
        <w:rPr>
          <w:sz w:val="22"/>
          <w:szCs w:val="22"/>
          <w:u w:val="single"/>
        </w:rPr>
        <w:t xml:space="preserve"> so </w:t>
      </w:r>
      <w:r w:rsidRPr="005E28C5">
        <w:rPr>
          <w:sz w:val="22"/>
          <w:szCs w:val="22"/>
          <w:u w:val="single"/>
        </w:rPr>
        <w:t>sekvestrantmi žlčových kyselín</w:t>
      </w:r>
    </w:p>
    <w:p w:rsidR="001F0D1B" w:rsidRPr="005E28C5" w:rsidRDefault="008443E1" w:rsidP="001F0D1B">
      <w:pPr>
        <w:adjustRightInd w:val="0"/>
        <w:snapToGrid w:val="0"/>
        <w:spacing w:after="0"/>
        <w:rPr>
          <w:sz w:val="22"/>
          <w:szCs w:val="22"/>
        </w:rPr>
      </w:pPr>
      <w:r w:rsidRPr="00EC2DD4">
        <w:rPr>
          <w:sz w:val="22"/>
          <w:szCs w:val="22"/>
        </w:rPr>
        <w:t>E</w:t>
      </w:r>
      <w:r w:rsidR="001F0D1B" w:rsidRPr="00EC2DD4">
        <w:rPr>
          <w:sz w:val="22"/>
          <w:szCs w:val="22"/>
        </w:rPr>
        <w:t xml:space="preserve">zetimib </w:t>
      </w:r>
      <w:r w:rsidR="006F352E" w:rsidRPr="00EC2DD4">
        <w:rPr>
          <w:sz w:val="22"/>
          <w:szCs w:val="22"/>
        </w:rPr>
        <w:t>Accord</w:t>
      </w:r>
      <w:r w:rsidR="00F7686C" w:rsidRPr="00EC2DD4">
        <w:rPr>
          <w:sz w:val="22"/>
          <w:szCs w:val="22"/>
        </w:rPr>
        <w:t xml:space="preserve"> sa má podať </w:t>
      </w:r>
      <w:r w:rsidR="00DA3925" w:rsidRPr="00DA3925">
        <w:rPr>
          <w:sz w:val="22"/>
          <w:szCs w:val="22"/>
        </w:rPr>
        <w:t xml:space="preserve">najmenej </w:t>
      </w:r>
      <w:r w:rsidR="00F7686C" w:rsidRPr="00EC2DD4">
        <w:rPr>
          <w:sz w:val="22"/>
          <w:szCs w:val="22"/>
        </w:rPr>
        <w:t>2 hodiny pred alebo</w:t>
      </w:r>
      <w:r w:rsidR="002362E6">
        <w:rPr>
          <w:sz w:val="22"/>
          <w:szCs w:val="22"/>
        </w:rPr>
        <w:t xml:space="preserve"> </w:t>
      </w:r>
      <w:r w:rsidR="00F7686C" w:rsidRPr="00EC2DD4">
        <w:rPr>
          <w:sz w:val="22"/>
          <w:szCs w:val="22"/>
        </w:rPr>
        <w:t>4 hodiny po podaní sekvestrantu žlčovej kyseliny.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  <w:u w:val="single"/>
        </w:rPr>
        <w:t>Starší</w:t>
      </w:r>
      <w:r w:rsidR="00F7686C" w:rsidRPr="005E28C5">
        <w:rPr>
          <w:sz w:val="22"/>
          <w:szCs w:val="22"/>
          <w:u w:val="single"/>
        </w:rPr>
        <w:t xml:space="preserve"> pacient</w:t>
      </w:r>
      <w:r w:rsidRPr="005E28C5">
        <w:rPr>
          <w:sz w:val="22"/>
          <w:szCs w:val="22"/>
          <w:u w:val="single"/>
        </w:rPr>
        <w:t>i</w:t>
      </w:r>
    </w:p>
    <w:p w:rsidR="001F0D1B" w:rsidRPr="005E28C5" w:rsidRDefault="00F7686C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U starších pacientov nie je nutná úprava dávky (pozri časť 5.2).</w:t>
      </w:r>
    </w:p>
    <w:p w:rsidR="00353DFF" w:rsidRDefault="00353DFF" w:rsidP="00353DFF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:rsidR="00353DFF" w:rsidRPr="005E28C5" w:rsidRDefault="00353DFF" w:rsidP="00353DFF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Pediatrická populácia</w:t>
      </w:r>
    </w:p>
    <w:p w:rsidR="00353DFF" w:rsidRPr="005E28C5" w:rsidRDefault="00353DFF" w:rsidP="00353DF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Liečba sa musí začať pod dohľadom </w:t>
      </w:r>
      <w:r w:rsidR="005A23E1">
        <w:rPr>
          <w:sz w:val="22"/>
          <w:szCs w:val="22"/>
        </w:rPr>
        <w:t>odborného lekára</w:t>
      </w:r>
      <w:r w:rsidRPr="005E28C5">
        <w:rPr>
          <w:sz w:val="22"/>
          <w:szCs w:val="22"/>
        </w:rPr>
        <w:t>.</w:t>
      </w:r>
    </w:p>
    <w:p w:rsidR="00353DFF" w:rsidRPr="005E28C5" w:rsidRDefault="00353DFF" w:rsidP="00353DFF">
      <w:pPr>
        <w:adjustRightInd w:val="0"/>
        <w:snapToGrid w:val="0"/>
        <w:spacing w:after="0"/>
        <w:rPr>
          <w:sz w:val="22"/>
          <w:szCs w:val="22"/>
        </w:rPr>
      </w:pPr>
    </w:p>
    <w:p w:rsidR="00353DFF" w:rsidRDefault="00353DFF" w:rsidP="00353DF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Deti a dospievajúci </w:t>
      </w:r>
      <w:r w:rsidR="000146F9">
        <w:rPr>
          <w:sz w:val="22"/>
          <w:szCs w:val="22"/>
        </w:rPr>
        <w:t>nad</w:t>
      </w:r>
      <w:r w:rsidRPr="005E28C5">
        <w:rPr>
          <w:sz w:val="22"/>
          <w:szCs w:val="22"/>
        </w:rPr>
        <w:t> </w:t>
      </w:r>
      <w:r>
        <w:rPr>
          <w:sz w:val="22"/>
          <w:szCs w:val="22"/>
        </w:rPr>
        <w:t>6</w:t>
      </w:r>
      <w:r w:rsidRPr="005E28C5">
        <w:rPr>
          <w:sz w:val="22"/>
          <w:szCs w:val="22"/>
        </w:rPr>
        <w:t xml:space="preserve"> rokov</w:t>
      </w:r>
      <w:r>
        <w:rPr>
          <w:sz w:val="22"/>
          <w:szCs w:val="22"/>
        </w:rPr>
        <w:t xml:space="preserve">: Bezpečnosť a účinnosť ezetimibu u detí vo veku 6 až 17 rokov sa nestanovila. Súčasné dostupné údaje sú opísané v častiach </w:t>
      </w:r>
      <w:r w:rsidRPr="00503598">
        <w:rPr>
          <w:color w:val="000000"/>
          <w:sz w:val="22"/>
          <w:szCs w:val="22"/>
        </w:rPr>
        <w:t>4.4, 4.8, 5.1 a 5.2</w:t>
      </w:r>
      <w:r>
        <w:rPr>
          <w:color w:val="000000"/>
          <w:sz w:val="22"/>
          <w:szCs w:val="22"/>
        </w:rPr>
        <w:t xml:space="preserve">, nie je </w:t>
      </w:r>
      <w:r w:rsidR="000146F9">
        <w:rPr>
          <w:color w:val="000000"/>
          <w:sz w:val="22"/>
          <w:szCs w:val="22"/>
        </w:rPr>
        <w:t xml:space="preserve">však </w:t>
      </w:r>
      <w:r>
        <w:rPr>
          <w:color w:val="000000"/>
          <w:sz w:val="22"/>
          <w:szCs w:val="22"/>
        </w:rPr>
        <w:t>možné odporučiť dávkovanie.</w:t>
      </w:r>
    </w:p>
    <w:p w:rsidR="00353DFF" w:rsidRDefault="00353DFF" w:rsidP="00353DFF">
      <w:pPr>
        <w:adjustRightInd w:val="0"/>
        <w:snapToGrid w:val="0"/>
        <w:spacing w:after="0"/>
        <w:rPr>
          <w:sz w:val="22"/>
          <w:szCs w:val="22"/>
        </w:rPr>
      </w:pPr>
    </w:p>
    <w:p w:rsidR="00353DFF" w:rsidRPr="005E28C5" w:rsidRDefault="00353DFF" w:rsidP="00353DF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Keď sa Ezetimib </w:t>
      </w:r>
      <w:r>
        <w:rPr>
          <w:sz w:val="22"/>
          <w:szCs w:val="22"/>
        </w:rPr>
        <w:t>Accord</w:t>
      </w:r>
      <w:r w:rsidRPr="005E28C5">
        <w:rPr>
          <w:sz w:val="22"/>
          <w:szCs w:val="22"/>
        </w:rPr>
        <w:t xml:space="preserve"> podáva so statínom, majú sa vziať do úvahy pokyny </w:t>
      </w:r>
      <w:r w:rsidR="000146F9">
        <w:rPr>
          <w:sz w:val="22"/>
          <w:szCs w:val="22"/>
        </w:rPr>
        <w:t>na</w:t>
      </w:r>
      <w:r w:rsidRPr="005E28C5">
        <w:rPr>
          <w:sz w:val="22"/>
          <w:szCs w:val="22"/>
        </w:rPr>
        <w:t xml:space="preserve"> dávkovanie statínu u detí.</w:t>
      </w:r>
    </w:p>
    <w:p w:rsidR="00353DFF" w:rsidRDefault="00353DFF" w:rsidP="00353DFF">
      <w:pPr>
        <w:adjustRightInd w:val="0"/>
        <w:snapToGrid w:val="0"/>
        <w:spacing w:after="0"/>
        <w:rPr>
          <w:sz w:val="22"/>
          <w:szCs w:val="22"/>
        </w:rPr>
      </w:pPr>
    </w:p>
    <w:p w:rsidR="00353DFF" w:rsidRDefault="00353DFF" w:rsidP="00353DF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Deti </w:t>
      </w:r>
      <w:r w:rsidR="000146F9">
        <w:rPr>
          <w:sz w:val="22"/>
          <w:szCs w:val="22"/>
        </w:rPr>
        <w:t>do</w:t>
      </w:r>
      <w:r w:rsidRPr="005E28C5">
        <w:rPr>
          <w:sz w:val="22"/>
          <w:szCs w:val="22"/>
        </w:rPr>
        <w:t xml:space="preserve"> 6 rokov: </w:t>
      </w:r>
      <w:r>
        <w:rPr>
          <w:sz w:val="22"/>
          <w:szCs w:val="22"/>
        </w:rPr>
        <w:t xml:space="preserve">Bezpečnosť a účinnosť ezetimibu u detí vo veku </w:t>
      </w:r>
      <w:r w:rsidR="000146F9">
        <w:rPr>
          <w:color w:val="000000"/>
          <w:sz w:val="22"/>
          <w:szCs w:val="22"/>
        </w:rPr>
        <w:t>do</w:t>
      </w:r>
      <w:r w:rsidRPr="00503598">
        <w:rPr>
          <w:color w:val="000000"/>
          <w:sz w:val="22"/>
          <w:szCs w:val="22"/>
        </w:rPr>
        <w:t xml:space="preserve"> 6</w:t>
      </w:r>
      <w:r>
        <w:rPr>
          <w:color w:val="000000"/>
          <w:sz w:val="22"/>
          <w:szCs w:val="22"/>
        </w:rPr>
        <w:t xml:space="preserve"> rokov sa nestanovila. K dispozícii nie sú žiadne údaje.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5E28C5" w:rsidRDefault="000146F9" w:rsidP="001F0D1B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  <w:u w:val="single"/>
        </w:rPr>
        <w:t>Porucha funkcie pečene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U pacientov s miernou poruchou funkcie pečene (Childovo-Pughovo skóre 5 až 6) nie je nutná úprava dávky. Liečba Ezetimibom </w:t>
      </w:r>
      <w:r w:rsidR="006F352E">
        <w:rPr>
          <w:sz w:val="22"/>
          <w:szCs w:val="22"/>
        </w:rPr>
        <w:t>Accord</w:t>
      </w:r>
      <w:r w:rsidRPr="005E28C5">
        <w:rPr>
          <w:sz w:val="22"/>
          <w:szCs w:val="22"/>
        </w:rPr>
        <w:t xml:space="preserve"> sa neodporúča  paciento</w:t>
      </w:r>
      <w:r w:rsidR="000146F9">
        <w:rPr>
          <w:sz w:val="22"/>
          <w:szCs w:val="22"/>
        </w:rPr>
        <w:t>m</w:t>
      </w:r>
      <w:r w:rsidRPr="005E28C5">
        <w:rPr>
          <w:sz w:val="22"/>
          <w:szCs w:val="22"/>
        </w:rPr>
        <w:t xml:space="preserve"> so stredne ťažkou (Childovo-Pughovo skóre 7 až 9) alebo ťažkou poruchou funkcie pečene (Childovo-Pughovo skóre &gt;</w:t>
      </w:r>
      <w:r w:rsidR="000146F9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9) (pozri časti 4.4 a 5.2).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</w:p>
    <w:p w:rsidR="001F0D1B" w:rsidRPr="005E28C5" w:rsidRDefault="000146F9" w:rsidP="001F0D1B">
      <w:pPr>
        <w:adjustRightInd w:val="0"/>
        <w:snapToGrid w:val="0"/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Porucha funkcie obličiek</w:t>
      </w:r>
    </w:p>
    <w:p w:rsidR="001F0D1B" w:rsidRPr="005E28C5" w:rsidRDefault="001F0D1B" w:rsidP="001F0D1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U pacientov s poruchou funkcie obličiek nie je nutná úprava dávky (pozri časť 5.2).</w:t>
      </w:r>
    </w:p>
    <w:p w:rsidR="007C6B52" w:rsidRPr="005E28C5" w:rsidRDefault="007C6B52" w:rsidP="007C6B52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7C6B52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4.3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Kontraindikácie</w:t>
      </w:r>
    </w:p>
    <w:p w:rsidR="007C6B52" w:rsidRPr="005E28C5" w:rsidRDefault="007C6B52" w:rsidP="007C6B52">
      <w:pPr>
        <w:pStyle w:val="Textkomentra"/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Precitlivenosť na </w:t>
      </w:r>
      <w:r w:rsidR="006270CB" w:rsidRPr="005E28C5">
        <w:rPr>
          <w:sz w:val="22"/>
          <w:szCs w:val="22"/>
        </w:rPr>
        <w:t>liečivo</w:t>
      </w:r>
      <w:r w:rsidRPr="005E28C5">
        <w:rPr>
          <w:sz w:val="22"/>
          <w:szCs w:val="22"/>
        </w:rPr>
        <w:t xml:space="preserve"> alebo </w:t>
      </w:r>
      <w:r w:rsidR="007C6B52" w:rsidRPr="005E28C5">
        <w:rPr>
          <w:sz w:val="22"/>
          <w:szCs w:val="22"/>
        </w:rPr>
        <w:t xml:space="preserve">na </w:t>
      </w:r>
      <w:r w:rsidR="00F33F03" w:rsidRPr="005E28C5">
        <w:rPr>
          <w:sz w:val="22"/>
          <w:szCs w:val="22"/>
        </w:rPr>
        <w:t>ktorúkoľvek</w:t>
      </w:r>
      <w:r w:rsidR="0020794C" w:rsidRPr="005E28C5">
        <w:rPr>
          <w:sz w:val="22"/>
          <w:szCs w:val="22"/>
        </w:rPr>
        <w:t xml:space="preserve"> z </w:t>
      </w:r>
      <w:r w:rsidRPr="005E28C5">
        <w:rPr>
          <w:sz w:val="22"/>
          <w:szCs w:val="22"/>
        </w:rPr>
        <w:t>pomocných látok</w:t>
      </w:r>
      <w:r w:rsidR="007C6B52" w:rsidRPr="005E28C5">
        <w:rPr>
          <w:sz w:val="22"/>
          <w:szCs w:val="22"/>
        </w:rPr>
        <w:t xml:space="preserve"> uvedených v časti 6.1</w:t>
      </w:r>
      <w:r w:rsidRPr="005E28C5">
        <w:rPr>
          <w:sz w:val="22"/>
          <w:szCs w:val="22"/>
        </w:rPr>
        <w:t>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Ak sa </w:t>
      </w:r>
      <w:r w:rsidR="007C6B52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podáva súčasne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statínom, oboznámte sa</w:t>
      </w:r>
      <w:r w:rsidR="006370F8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prosím</w:t>
      </w:r>
      <w:r w:rsidR="006370F8" w:rsidRPr="005E28C5">
        <w:rPr>
          <w:sz w:val="22"/>
          <w:szCs w:val="22"/>
        </w:rPr>
        <w:t>,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 xml:space="preserve">SPC príslušného </w:t>
      </w:r>
      <w:r w:rsidR="00FB43C9" w:rsidRPr="005E28C5">
        <w:rPr>
          <w:sz w:val="22"/>
          <w:szCs w:val="22"/>
        </w:rPr>
        <w:t>lieku</w:t>
      </w:r>
      <w:r w:rsidRPr="005E28C5">
        <w:rPr>
          <w:sz w:val="22"/>
          <w:szCs w:val="22"/>
        </w:rPr>
        <w:t>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7C6B52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Súbežná l</w:t>
      </w:r>
      <w:r w:rsidR="00F7686C" w:rsidRPr="005E28C5">
        <w:rPr>
          <w:sz w:val="22"/>
          <w:szCs w:val="22"/>
        </w:rPr>
        <w:t xml:space="preserve">iečba </w:t>
      </w:r>
      <w:r w:rsidRPr="005E28C5">
        <w:rPr>
          <w:sz w:val="22"/>
          <w:szCs w:val="22"/>
        </w:rPr>
        <w:t>ezetimibom</w:t>
      </w:r>
      <w:r w:rsidR="00F7686C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a</w:t>
      </w:r>
      <w:r w:rsidR="0020794C" w:rsidRPr="005E28C5">
        <w:rPr>
          <w:sz w:val="22"/>
          <w:szCs w:val="22"/>
        </w:rPr>
        <w:t> </w:t>
      </w:r>
      <w:r w:rsidR="00F7686C" w:rsidRPr="005E28C5">
        <w:rPr>
          <w:sz w:val="22"/>
          <w:szCs w:val="22"/>
        </w:rPr>
        <w:t>statínom</w:t>
      </w:r>
      <w:r w:rsidR="005C4767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je počas gravidity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laktácie kontraindikovaná.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635105" w:rsidRPr="005E28C5" w:rsidRDefault="007C6B52" w:rsidP="00635105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Ezetimib</w:t>
      </w:r>
      <w:r w:rsidR="00F7686C" w:rsidRPr="005E28C5">
        <w:rPr>
          <w:sz w:val="22"/>
          <w:szCs w:val="22"/>
        </w:rPr>
        <w:t xml:space="preserve"> podávaný</w:t>
      </w:r>
      <w:r w:rsidR="0020794C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súbežne </w:t>
      </w:r>
      <w:r w:rsidR="0020794C" w:rsidRPr="005E28C5">
        <w:rPr>
          <w:sz w:val="22"/>
          <w:szCs w:val="22"/>
        </w:rPr>
        <w:t>so </w:t>
      </w:r>
      <w:r w:rsidR="00F7686C" w:rsidRPr="005E28C5">
        <w:rPr>
          <w:sz w:val="22"/>
          <w:szCs w:val="22"/>
        </w:rPr>
        <w:t>statínom je kontraindikovaný</w:t>
      </w:r>
      <w:r w:rsidR="0020794C" w:rsidRPr="005E28C5">
        <w:rPr>
          <w:sz w:val="22"/>
          <w:szCs w:val="22"/>
        </w:rPr>
        <w:t> </w:t>
      </w:r>
      <w:r w:rsidR="00F7686C" w:rsidRPr="005E28C5">
        <w:rPr>
          <w:sz w:val="22"/>
          <w:szCs w:val="22"/>
        </w:rPr>
        <w:t>paciento</w:t>
      </w:r>
      <w:r w:rsidR="000146F9">
        <w:rPr>
          <w:sz w:val="22"/>
          <w:szCs w:val="22"/>
        </w:rPr>
        <w:t>m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 xml:space="preserve">aktívnym ochorením pečene alebo </w:t>
      </w:r>
      <w:r w:rsidR="000146F9">
        <w:rPr>
          <w:sz w:val="22"/>
          <w:szCs w:val="22"/>
        </w:rPr>
        <w:t>nevysvetleným</w:t>
      </w:r>
      <w:r w:rsidR="000146F9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pretrvávaním elevácie sérových transamináz.</w:t>
      </w:r>
    </w:p>
    <w:p w:rsidR="00635105" w:rsidRPr="005E28C5" w:rsidRDefault="00635105" w:rsidP="00635105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635105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4.4</w:t>
      </w:r>
      <w:r w:rsidRPr="005E28C5">
        <w:rPr>
          <w:b/>
          <w:sz w:val="22"/>
          <w:szCs w:val="22"/>
        </w:rPr>
        <w:tab/>
      </w:r>
      <w:r w:rsidR="00B3231E" w:rsidRPr="005E28C5">
        <w:rPr>
          <w:b/>
          <w:sz w:val="22"/>
          <w:szCs w:val="22"/>
        </w:rPr>
        <w:t>Osobitné</w:t>
      </w:r>
      <w:r w:rsidR="00F7686C" w:rsidRPr="005E28C5">
        <w:rPr>
          <w:b/>
          <w:sz w:val="22"/>
          <w:szCs w:val="22"/>
        </w:rPr>
        <w:t xml:space="preserve"> upozornenia</w:t>
      </w:r>
      <w:r w:rsidR="0020794C" w:rsidRPr="005E28C5">
        <w:rPr>
          <w:b/>
          <w:sz w:val="22"/>
          <w:szCs w:val="22"/>
        </w:rPr>
        <w:t xml:space="preserve"> a </w:t>
      </w:r>
      <w:r w:rsidR="00B3231E" w:rsidRPr="005E28C5">
        <w:rPr>
          <w:b/>
          <w:sz w:val="22"/>
          <w:szCs w:val="22"/>
        </w:rPr>
        <w:t>opatrenia pri používaní</w:t>
      </w:r>
    </w:p>
    <w:p w:rsidR="00635105" w:rsidRPr="005E28C5" w:rsidRDefault="00635105" w:rsidP="00635105">
      <w:pPr>
        <w:adjustRightInd w:val="0"/>
        <w:snapToGrid w:val="0"/>
        <w:spacing w:after="0"/>
        <w:rPr>
          <w:sz w:val="22"/>
          <w:szCs w:val="22"/>
        </w:rPr>
      </w:pPr>
    </w:p>
    <w:p w:rsidR="00635105" w:rsidRPr="005E28C5" w:rsidRDefault="00F7686C" w:rsidP="00635105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Ak sa </w:t>
      </w:r>
      <w:r w:rsidR="00635105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podáva súčasne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statínom, oboznámte sa</w:t>
      </w:r>
      <w:r w:rsidR="000146F9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prosím</w:t>
      </w:r>
      <w:r w:rsidR="000146F9">
        <w:rPr>
          <w:sz w:val="22"/>
          <w:szCs w:val="22"/>
        </w:rPr>
        <w:t>,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 xml:space="preserve">SPC príslušného </w:t>
      </w:r>
      <w:r w:rsidR="00FB43C9" w:rsidRPr="005E28C5">
        <w:rPr>
          <w:sz w:val="22"/>
          <w:szCs w:val="22"/>
        </w:rPr>
        <w:t>lieku</w:t>
      </w:r>
      <w:r w:rsidRPr="005E28C5">
        <w:rPr>
          <w:sz w:val="22"/>
          <w:szCs w:val="22"/>
        </w:rPr>
        <w:t>.</w:t>
      </w:r>
    </w:p>
    <w:p w:rsidR="00635105" w:rsidRPr="005E28C5" w:rsidRDefault="00635105" w:rsidP="00635105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635105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Hepatálne enzýmy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</w:t>
      </w:r>
      <w:r w:rsidR="00417D26" w:rsidRPr="005E28C5">
        <w:rPr>
          <w:sz w:val="22"/>
          <w:szCs w:val="22"/>
        </w:rPr>
        <w:t>kontrolovanom skúšaní</w:t>
      </w:r>
      <w:r w:rsidRPr="005E28C5">
        <w:rPr>
          <w:sz w:val="22"/>
          <w:szCs w:val="22"/>
        </w:rPr>
        <w:t xml:space="preserve"> súčasného podávania sa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 xml:space="preserve">pacientov užívajúcich </w:t>
      </w:r>
      <w:r w:rsidR="00C02193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 xml:space="preserve">statínom pozorovalo </w:t>
      </w:r>
      <w:r w:rsidR="005E28C5">
        <w:rPr>
          <w:sz w:val="22"/>
          <w:szCs w:val="22"/>
        </w:rPr>
        <w:t>následné</w:t>
      </w:r>
      <w:r w:rsidR="00AC65A3" w:rsidRPr="0079716C">
        <w:rPr>
          <w:sz w:val="22"/>
          <w:szCs w:val="22"/>
        </w:rPr>
        <w:t xml:space="preserve"> </w:t>
      </w:r>
      <w:r w:rsidRPr="0079716C">
        <w:rPr>
          <w:sz w:val="22"/>
          <w:szCs w:val="22"/>
        </w:rPr>
        <w:t>zvýšenie transamináz (</w:t>
      </w:r>
      <w:r w:rsidR="00340272" w:rsidRPr="0079716C">
        <w:rPr>
          <w:sz w:val="22"/>
          <w:szCs w:val="22"/>
        </w:rPr>
        <w:t>≥</w:t>
      </w:r>
      <w:r w:rsidR="000146F9">
        <w:rPr>
          <w:sz w:val="22"/>
          <w:szCs w:val="22"/>
        </w:rPr>
        <w:t xml:space="preserve"> </w:t>
      </w:r>
      <w:r w:rsidRPr="0079716C">
        <w:rPr>
          <w:sz w:val="22"/>
          <w:szCs w:val="22"/>
        </w:rPr>
        <w:t>3</w:t>
      </w:r>
      <w:r w:rsidR="0045161E" w:rsidRPr="0079716C">
        <w:rPr>
          <w:sz w:val="22"/>
          <w:szCs w:val="22"/>
        </w:rPr>
        <w:t> </w:t>
      </w:r>
      <w:r w:rsidRPr="0079716C">
        <w:rPr>
          <w:sz w:val="22"/>
          <w:szCs w:val="22"/>
        </w:rPr>
        <w:t xml:space="preserve">x hornej hranice normy [HHN]). Ak sa </w:t>
      </w:r>
      <w:r w:rsidR="00C02193" w:rsidRPr="0079716C">
        <w:rPr>
          <w:sz w:val="22"/>
          <w:szCs w:val="22"/>
        </w:rPr>
        <w:t>ezetimib</w:t>
      </w:r>
      <w:r w:rsidRPr="0079716C">
        <w:rPr>
          <w:sz w:val="22"/>
          <w:szCs w:val="22"/>
        </w:rPr>
        <w:t xml:space="preserve"> podáva súčasne</w:t>
      </w:r>
      <w:r w:rsidR="0020794C" w:rsidRPr="00CC5179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statínom</w:t>
      </w:r>
      <w:r w:rsidR="00D5604B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má sa na začiatku terapie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ďalej podľa odporúčaní pri príslušnom statíne urobiť vyšetrenie hepatálnych enzýmov </w:t>
      </w:r>
      <w:r w:rsidR="00C02193" w:rsidRPr="005E28C5">
        <w:rPr>
          <w:sz w:val="22"/>
          <w:szCs w:val="22"/>
        </w:rPr>
        <w:t>(p</w:t>
      </w:r>
      <w:r w:rsidRPr="005E28C5">
        <w:rPr>
          <w:sz w:val="22"/>
          <w:szCs w:val="22"/>
        </w:rPr>
        <w:t>ozri časť 4.8)</w:t>
      </w:r>
      <w:r w:rsidR="00C02193" w:rsidRPr="005E28C5">
        <w:rPr>
          <w:sz w:val="22"/>
          <w:szCs w:val="22"/>
        </w:rPr>
        <w:t>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C02193" w:rsidRPr="005E28C5" w:rsidRDefault="003A1D5F" w:rsidP="00C02193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kontrolovan</w:t>
      </w:r>
      <w:r w:rsidR="000146F9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klinick</w:t>
      </w:r>
      <w:r w:rsidR="000146F9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</w:t>
      </w:r>
      <w:r w:rsidR="000146F9">
        <w:rPr>
          <w:sz w:val="22"/>
          <w:szCs w:val="22"/>
        </w:rPr>
        <w:t>skúšaní</w:t>
      </w:r>
      <w:r w:rsidRPr="005E28C5">
        <w:rPr>
          <w:sz w:val="22"/>
          <w:szCs w:val="22"/>
        </w:rPr>
        <w:t>, v ktor</w:t>
      </w:r>
      <w:r w:rsidR="000146F9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bolo viac ako 9 000 pacientov s chronickým ochorením obličiek </w:t>
      </w:r>
      <w:r w:rsidR="00F6757C" w:rsidRPr="005E28C5">
        <w:rPr>
          <w:sz w:val="22"/>
          <w:szCs w:val="22"/>
        </w:rPr>
        <w:t xml:space="preserve">randomizovaných </w:t>
      </w:r>
      <w:r w:rsidRPr="005E28C5">
        <w:rPr>
          <w:sz w:val="22"/>
          <w:szCs w:val="22"/>
        </w:rPr>
        <w:t xml:space="preserve">na užívanie </w:t>
      </w:r>
      <w:r w:rsidR="00C02193" w:rsidRPr="005E28C5">
        <w:rPr>
          <w:sz w:val="22"/>
          <w:szCs w:val="22"/>
        </w:rPr>
        <w:t>10 mg ezetimibu</w:t>
      </w:r>
      <w:r w:rsidRPr="005E28C5">
        <w:rPr>
          <w:sz w:val="22"/>
          <w:szCs w:val="22"/>
        </w:rPr>
        <w:t xml:space="preserve"> v kombinácii </w:t>
      </w:r>
      <w:r w:rsidR="00F6757C" w:rsidRPr="005E28C5">
        <w:rPr>
          <w:sz w:val="22"/>
          <w:szCs w:val="22"/>
        </w:rPr>
        <w:t>s</w:t>
      </w:r>
      <w:r w:rsidR="00B77BE7" w:rsidRPr="005E28C5">
        <w:rPr>
          <w:sz w:val="22"/>
          <w:szCs w:val="22"/>
        </w:rPr>
        <w:t> </w:t>
      </w:r>
      <w:r w:rsidR="00F6757C" w:rsidRPr="005E28C5">
        <w:rPr>
          <w:sz w:val="22"/>
          <w:szCs w:val="22"/>
        </w:rPr>
        <w:t>20</w:t>
      </w:r>
      <w:r w:rsidR="00B77BE7" w:rsidRPr="005E28C5">
        <w:rPr>
          <w:sz w:val="22"/>
          <w:szCs w:val="22"/>
        </w:rPr>
        <w:t> </w:t>
      </w:r>
      <w:r w:rsidR="00F6757C" w:rsidRPr="005E28C5">
        <w:rPr>
          <w:sz w:val="22"/>
          <w:szCs w:val="22"/>
        </w:rPr>
        <w:t>mg simvastatínu denne (n = </w:t>
      </w:r>
      <w:r w:rsidRPr="005E28C5">
        <w:rPr>
          <w:sz w:val="22"/>
          <w:szCs w:val="22"/>
        </w:rPr>
        <w:t>4 650)</w:t>
      </w:r>
      <w:r w:rsidR="00F6757C" w:rsidRPr="005E28C5">
        <w:rPr>
          <w:sz w:val="22"/>
          <w:szCs w:val="22"/>
        </w:rPr>
        <w:t xml:space="preserve"> alebo placeb</w:t>
      </w:r>
      <w:r w:rsidR="00B77BE7" w:rsidRPr="005E28C5">
        <w:rPr>
          <w:sz w:val="22"/>
          <w:szCs w:val="22"/>
        </w:rPr>
        <w:t>a</w:t>
      </w:r>
      <w:r w:rsidR="00F6757C" w:rsidRPr="005E28C5">
        <w:rPr>
          <w:sz w:val="22"/>
          <w:szCs w:val="22"/>
        </w:rPr>
        <w:t xml:space="preserve"> (n = </w:t>
      </w:r>
      <w:r w:rsidRPr="005E28C5">
        <w:rPr>
          <w:sz w:val="22"/>
          <w:szCs w:val="22"/>
        </w:rPr>
        <w:t xml:space="preserve">4 620) (medián sledovaného obdobia 4,9 rokov), bol výskyt </w:t>
      </w:r>
      <w:r w:rsidR="005E28C5">
        <w:rPr>
          <w:sz w:val="22"/>
          <w:szCs w:val="22"/>
        </w:rPr>
        <w:t>následných</w:t>
      </w:r>
      <w:r w:rsidRPr="005E28C5">
        <w:rPr>
          <w:sz w:val="22"/>
          <w:szCs w:val="22"/>
        </w:rPr>
        <w:t xml:space="preserve"> zvýšení transamináz (</w:t>
      </w:r>
      <w:r w:rsidRPr="005E28C5">
        <w:rPr>
          <w:color w:val="000000"/>
          <w:sz w:val="22"/>
          <w:szCs w:val="22"/>
        </w:rPr>
        <w:t>&gt; 3</w:t>
      </w:r>
      <w:r w:rsidR="00417D26" w:rsidRPr="005E28C5">
        <w:rPr>
          <w:color w:val="000000"/>
          <w:sz w:val="22"/>
          <w:szCs w:val="22"/>
        </w:rPr>
        <w:t xml:space="preserve"> x </w:t>
      </w:r>
      <w:r w:rsidRPr="005E28C5">
        <w:rPr>
          <w:color w:val="000000"/>
          <w:sz w:val="22"/>
          <w:szCs w:val="22"/>
        </w:rPr>
        <w:t xml:space="preserve">HHN) 0,7 % pri </w:t>
      </w:r>
      <w:r w:rsidR="00C02193" w:rsidRPr="005E28C5">
        <w:rPr>
          <w:color w:val="000000"/>
          <w:sz w:val="22"/>
          <w:szCs w:val="22"/>
        </w:rPr>
        <w:t>ezetimibe</w:t>
      </w:r>
      <w:r w:rsidRPr="005E28C5">
        <w:rPr>
          <w:color w:val="000000"/>
          <w:sz w:val="22"/>
          <w:szCs w:val="22"/>
        </w:rPr>
        <w:t xml:space="preserve"> v kombinácii so simvastatínom a 0,6 % pri placebe (pozri časť 4.8).</w:t>
      </w:r>
    </w:p>
    <w:p w:rsidR="00C02193" w:rsidRPr="005E28C5" w:rsidRDefault="00C02193" w:rsidP="00C02193">
      <w:pPr>
        <w:adjustRightInd w:val="0"/>
        <w:snapToGrid w:val="0"/>
        <w:spacing w:after="0"/>
        <w:rPr>
          <w:sz w:val="22"/>
          <w:szCs w:val="22"/>
        </w:rPr>
      </w:pPr>
    </w:p>
    <w:p w:rsidR="004E7A86" w:rsidRPr="005E28C5" w:rsidRDefault="004E7A86" w:rsidP="00C02193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bCs/>
          <w:iCs/>
          <w:sz w:val="22"/>
          <w:szCs w:val="22"/>
          <w:u w:val="single"/>
        </w:rPr>
        <w:t>Kostrový sval</w:t>
      </w:r>
    </w:p>
    <w:p w:rsidR="004E7A86" w:rsidRPr="005E28C5" w:rsidRDefault="00132EDD" w:rsidP="00F30C0D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P</w:t>
      </w:r>
      <w:r w:rsidR="00C02193" w:rsidRPr="005E28C5">
        <w:rPr>
          <w:sz w:val="22"/>
          <w:szCs w:val="22"/>
        </w:rPr>
        <w:t>o uvedení ezetimibu na trh</w:t>
      </w:r>
      <w:r w:rsidR="004E7A86" w:rsidRPr="005E28C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sa </w:t>
      </w:r>
      <w:r w:rsidR="004E7A86" w:rsidRPr="005E28C5">
        <w:rPr>
          <w:sz w:val="22"/>
          <w:szCs w:val="22"/>
        </w:rPr>
        <w:t>vyskytli prípady myopatie</w:t>
      </w:r>
      <w:r w:rsidR="0020794C" w:rsidRPr="005E28C5">
        <w:rPr>
          <w:sz w:val="22"/>
          <w:szCs w:val="22"/>
        </w:rPr>
        <w:t xml:space="preserve"> a </w:t>
      </w:r>
      <w:r w:rsidR="004E7A86" w:rsidRPr="005E28C5">
        <w:rPr>
          <w:sz w:val="22"/>
          <w:szCs w:val="22"/>
        </w:rPr>
        <w:t>rabdomyolýzy. Väčšina pacientov,</w:t>
      </w:r>
      <w:r w:rsidR="0020794C" w:rsidRPr="005E28C5">
        <w:rPr>
          <w:sz w:val="22"/>
          <w:szCs w:val="22"/>
        </w:rPr>
        <w:t xml:space="preserve"> u </w:t>
      </w:r>
      <w:r w:rsidR="004E7A86" w:rsidRPr="005E28C5">
        <w:rPr>
          <w:sz w:val="22"/>
          <w:szCs w:val="22"/>
        </w:rPr>
        <w:t>ktorých vznikla rabdomyolýza</w:t>
      </w:r>
      <w:r w:rsidR="00EA0DFD" w:rsidRPr="005E28C5">
        <w:rPr>
          <w:sz w:val="22"/>
          <w:szCs w:val="22"/>
        </w:rPr>
        <w:t>,</w:t>
      </w:r>
      <w:r w:rsidR="004E7A86" w:rsidRPr="005E28C5">
        <w:rPr>
          <w:sz w:val="22"/>
          <w:szCs w:val="22"/>
        </w:rPr>
        <w:t xml:space="preserve"> užívala statín súčasne</w:t>
      </w:r>
      <w:r w:rsidR="0020794C" w:rsidRPr="005E28C5">
        <w:rPr>
          <w:sz w:val="22"/>
          <w:szCs w:val="22"/>
        </w:rPr>
        <w:t xml:space="preserve"> s </w:t>
      </w:r>
      <w:r w:rsidR="003E75AB" w:rsidRPr="005E28C5">
        <w:rPr>
          <w:sz w:val="22"/>
          <w:szCs w:val="22"/>
        </w:rPr>
        <w:t>ezetimibom</w:t>
      </w:r>
      <w:r w:rsidR="004E7A86" w:rsidRPr="005E28C5">
        <w:rPr>
          <w:sz w:val="22"/>
          <w:szCs w:val="22"/>
        </w:rPr>
        <w:t xml:space="preserve">. Rabdomyolýza však bola hlásená veľmi zriedkavo pri monoterapii </w:t>
      </w:r>
      <w:r w:rsidR="003E75AB" w:rsidRPr="005E28C5">
        <w:rPr>
          <w:sz w:val="22"/>
          <w:szCs w:val="22"/>
        </w:rPr>
        <w:t>ezetimibom</w:t>
      </w:r>
      <w:r w:rsidR="0020794C" w:rsidRPr="005E28C5">
        <w:rPr>
          <w:sz w:val="22"/>
          <w:szCs w:val="22"/>
        </w:rPr>
        <w:t xml:space="preserve"> a </w:t>
      </w:r>
      <w:r w:rsidR="004E7A86" w:rsidRPr="005E28C5">
        <w:rPr>
          <w:sz w:val="22"/>
          <w:szCs w:val="22"/>
        </w:rPr>
        <w:t>veľmi zriedkavo p</w:t>
      </w:r>
      <w:r w:rsidR="00752D96" w:rsidRPr="005E28C5">
        <w:rPr>
          <w:sz w:val="22"/>
          <w:szCs w:val="22"/>
        </w:rPr>
        <w:t>o</w:t>
      </w:r>
      <w:r w:rsidR="004E7A86" w:rsidRPr="005E28C5">
        <w:rPr>
          <w:sz w:val="22"/>
          <w:szCs w:val="22"/>
        </w:rPr>
        <w:t xml:space="preserve"> pridaní </w:t>
      </w:r>
      <w:r w:rsidR="003E75AB" w:rsidRPr="005E28C5">
        <w:rPr>
          <w:sz w:val="22"/>
          <w:szCs w:val="22"/>
        </w:rPr>
        <w:t>ezetimibu</w:t>
      </w:r>
      <w:r w:rsidR="0020794C" w:rsidRPr="005E28C5">
        <w:rPr>
          <w:sz w:val="22"/>
          <w:szCs w:val="22"/>
        </w:rPr>
        <w:t xml:space="preserve"> k </w:t>
      </w:r>
      <w:r w:rsidR="004E7A86" w:rsidRPr="005E28C5">
        <w:rPr>
          <w:sz w:val="22"/>
          <w:szCs w:val="22"/>
        </w:rPr>
        <w:t>iným látkam,</w:t>
      </w:r>
      <w:r w:rsidR="0020794C" w:rsidRPr="005E28C5">
        <w:rPr>
          <w:sz w:val="22"/>
          <w:szCs w:val="22"/>
        </w:rPr>
        <w:t xml:space="preserve"> u </w:t>
      </w:r>
      <w:r w:rsidR="004E7A86" w:rsidRPr="005E28C5">
        <w:rPr>
          <w:sz w:val="22"/>
          <w:szCs w:val="22"/>
        </w:rPr>
        <w:t>ktorých je známa súvislosť</w:t>
      </w:r>
      <w:r w:rsidR="0020794C" w:rsidRPr="005E28C5">
        <w:rPr>
          <w:sz w:val="22"/>
          <w:szCs w:val="22"/>
        </w:rPr>
        <w:t xml:space="preserve"> so </w:t>
      </w:r>
      <w:r w:rsidR="004E7A86" w:rsidRPr="005E28C5">
        <w:rPr>
          <w:sz w:val="22"/>
          <w:szCs w:val="22"/>
        </w:rPr>
        <w:t>zvýšeným rizikom rabdomyolýzy. Ak je podozrenie na myopatiu na základe svalových príznakov alebo ak je potvrdená hladinou kreatínfosfokinázy (CPK) &gt;</w:t>
      </w:r>
      <w:r w:rsidR="000146F9">
        <w:rPr>
          <w:sz w:val="22"/>
          <w:szCs w:val="22"/>
        </w:rPr>
        <w:t xml:space="preserve"> </w:t>
      </w:r>
      <w:r w:rsidR="004E7A86" w:rsidRPr="005E28C5">
        <w:rPr>
          <w:sz w:val="22"/>
          <w:szCs w:val="22"/>
        </w:rPr>
        <w:t>10</w:t>
      </w:r>
      <w:r w:rsidR="000146F9">
        <w:rPr>
          <w:sz w:val="22"/>
          <w:szCs w:val="22"/>
        </w:rPr>
        <w:t>-</w:t>
      </w:r>
      <w:r w:rsidR="004E7A86" w:rsidRPr="005E28C5">
        <w:rPr>
          <w:sz w:val="22"/>
          <w:szCs w:val="22"/>
        </w:rPr>
        <w:t xml:space="preserve">násobok HHN, podávanie </w:t>
      </w:r>
      <w:r w:rsidR="003E75AB" w:rsidRPr="005E28C5">
        <w:rPr>
          <w:sz w:val="22"/>
          <w:szCs w:val="22"/>
        </w:rPr>
        <w:t>ezetimibu</w:t>
      </w:r>
      <w:r w:rsidR="004E7A86" w:rsidRPr="005E28C5">
        <w:rPr>
          <w:sz w:val="22"/>
          <w:szCs w:val="22"/>
        </w:rPr>
        <w:t>, akéhokoľvek statínu</w:t>
      </w:r>
      <w:r w:rsidR="0020794C" w:rsidRPr="005E28C5">
        <w:rPr>
          <w:sz w:val="22"/>
          <w:szCs w:val="22"/>
        </w:rPr>
        <w:t xml:space="preserve"> a </w:t>
      </w:r>
      <w:r w:rsidR="00752D96" w:rsidRPr="005E28C5">
        <w:rPr>
          <w:sz w:val="22"/>
          <w:szCs w:val="22"/>
        </w:rPr>
        <w:t>akýchkoľvek iných týchto</w:t>
      </w:r>
      <w:r w:rsidR="004E7A86" w:rsidRPr="005E28C5">
        <w:rPr>
          <w:sz w:val="22"/>
          <w:szCs w:val="22"/>
        </w:rPr>
        <w:t xml:space="preserve"> látok, ktoré pacient užíva súčasne</w:t>
      </w:r>
      <w:r w:rsidR="0078374B" w:rsidRPr="005E28C5">
        <w:rPr>
          <w:sz w:val="22"/>
          <w:szCs w:val="22"/>
        </w:rPr>
        <w:t>,</w:t>
      </w:r>
      <w:r w:rsidR="004E7A86" w:rsidRPr="005E28C5">
        <w:rPr>
          <w:sz w:val="22"/>
          <w:szCs w:val="22"/>
        </w:rPr>
        <w:t xml:space="preserve"> musí byť okamžite ukončené. Všetci pacienti,</w:t>
      </w:r>
      <w:r w:rsidR="0020794C" w:rsidRPr="005E28C5">
        <w:rPr>
          <w:sz w:val="22"/>
          <w:szCs w:val="22"/>
        </w:rPr>
        <w:t xml:space="preserve"> u </w:t>
      </w:r>
      <w:r w:rsidR="004E7A86" w:rsidRPr="005E28C5">
        <w:rPr>
          <w:sz w:val="22"/>
          <w:szCs w:val="22"/>
        </w:rPr>
        <w:t>kto</w:t>
      </w:r>
      <w:r w:rsidR="00015CE4" w:rsidRPr="005E28C5">
        <w:rPr>
          <w:sz w:val="22"/>
          <w:szCs w:val="22"/>
        </w:rPr>
        <w:t>r</w:t>
      </w:r>
      <w:r w:rsidR="004E7A86" w:rsidRPr="005E28C5">
        <w:rPr>
          <w:sz w:val="22"/>
          <w:szCs w:val="22"/>
        </w:rPr>
        <w:t xml:space="preserve">ých sa </w:t>
      </w:r>
      <w:r w:rsidR="00015CE4" w:rsidRPr="005E28C5">
        <w:rPr>
          <w:sz w:val="22"/>
          <w:szCs w:val="22"/>
        </w:rPr>
        <w:t>začína</w:t>
      </w:r>
      <w:r w:rsidR="0020794C" w:rsidRPr="005E28C5">
        <w:rPr>
          <w:sz w:val="22"/>
          <w:szCs w:val="22"/>
        </w:rPr>
        <w:t xml:space="preserve"> s </w:t>
      </w:r>
      <w:r w:rsidR="004E7A86" w:rsidRPr="005E28C5">
        <w:rPr>
          <w:sz w:val="22"/>
          <w:szCs w:val="22"/>
        </w:rPr>
        <w:t>terapi</w:t>
      </w:r>
      <w:r w:rsidR="00015CE4" w:rsidRPr="005E28C5">
        <w:rPr>
          <w:sz w:val="22"/>
          <w:szCs w:val="22"/>
        </w:rPr>
        <w:t>ou</w:t>
      </w:r>
      <w:r w:rsidR="004E7A86" w:rsidRPr="005E28C5">
        <w:rPr>
          <w:sz w:val="22"/>
          <w:szCs w:val="22"/>
        </w:rPr>
        <w:t xml:space="preserve"> </w:t>
      </w:r>
      <w:r w:rsidR="003E75AB" w:rsidRPr="005E28C5">
        <w:rPr>
          <w:sz w:val="22"/>
          <w:szCs w:val="22"/>
        </w:rPr>
        <w:t>ezetimibom</w:t>
      </w:r>
      <w:r w:rsidR="0078374B" w:rsidRPr="005E28C5">
        <w:rPr>
          <w:sz w:val="22"/>
          <w:szCs w:val="22"/>
        </w:rPr>
        <w:t>,</w:t>
      </w:r>
      <w:r w:rsidR="004E7A86" w:rsidRPr="005E28C5">
        <w:rPr>
          <w:sz w:val="22"/>
          <w:szCs w:val="22"/>
        </w:rPr>
        <w:t xml:space="preserve"> musia byť informovaní</w:t>
      </w:r>
      <w:r w:rsidR="0020794C" w:rsidRPr="005E28C5">
        <w:rPr>
          <w:sz w:val="22"/>
          <w:szCs w:val="22"/>
        </w:rPr>
        <w:t xml:space="preserve"> o </w:t>
      </w:r>
      <w:r w:rsidR="004E7A86" w:rsidRPr="005E28C5">
        <w:rPr>
          <w:sz w:val="22"/>
          <w:szCs w:val="22"/>
        </w:rPr>
        <w:t>riziku myopatie</w:t>
      </w:r>
      <w:r w:rsidR="0020794C" w:rsidRPr="005E28C5">
        <w:rPr>
          <w:sz w:val="22"/>
          <w:szCs w:val="22"/>
        </w:rPr>
        <w:t xml:space="preserve"> a o </w:t>
      </w:r>
      <w:r w:rsidR="004E7A86" w:rsidRPr="005E28C5">
        <w:rPr>
          <w:sz w:val="22"/>
          <w:szCs w:val="22"/>
        </w:rPr>
        <w:t>tom, že majú okamžite hlásiť akúkoľvek nevysvetliteľnú svalovú boles</w:t>
      </w:r>
      <w:r w:rsidR="000146F9">
        <w:rPr>
          <w:sz w:val="22"/>
          <w:szCs w:val="22"/>
        </w:rPr>
        <w:t>tivosť</w:t>
      </w:r>
      <w:r w:rsidR="004E7A86" w:rsidRPr="005E28C5">
        <w:rPr>
          <w:sz w:val="22"/>
          <w:szCs w:val="22"/>
        </w:rPr>
        <w:t>, citlivosť alebo slabosť (pozri časť 4.8).</w:t>
      </w:r>
    </w:p>
    <w:p w:rsidR="004E7A86" w:rsidRPr="005E28C5" w:rsidRDefault="004E7A86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3E75AB" w:rsidRPr="005E28C5" w:rsidRDefault="00F8617B" w:rsidP="003E75AB">
      <w:pPr>
        <w:adjustRightInd w:val="0"/>
        <w:snapToGrid w:val="0"/>
        <w:spacing w:after="0"/>
        <w:rPr>
          <w:color w:val="000000"/>
          <w:sz w:val="22"/>
          <w:szCs w:val="22"/>
        </w:rPr>
      </w:pPr>
      <w:r w:rsidRPr="005E28C5">
        <w:rPr>
          <w:sz w:val="22"/>
          <w:szCs w:val="22"/>
        </w:rPr>
        <w:t>V klinick</w:t>
      </w:r>
      <w:r w:rsidR="006D15A5" w:rsidRPr="005E28C5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skúš</w:t>
      </w:r>
      <w:r w:rsidR="006D15A5" w:rsidRPr="005E28C5">
        <w:rPr>
          <w:sz w:val="22"/>
          <w:szCs w:val="22"/>
        </w:rPr>
        <w:t>aní</w:t>
      </w:r>
      <w:r w:rsidRPr="005E28C5">
        <w:rPr>
          <w:sz w:val="22"/>
          <w:szCs w:val="22"/>
        </w:rPr>
        <w:t>, v ktor</w:t>
      </w:r>
      <w:r w:rsidR="00BF3FFE" w:rsidRPr="005E28C5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bolo viac ako 9 000 pacientov s chronickým ochorením obličiek </w:t>
      </w:r>
      <w:r w:rsidR="00F6757C" w:rsidRPr="005E28C5">
        <w:rPr>
          <w:sz w:val="22"/>
          <w:szCs w:val="22"/>
        </w:rPr>
        <w:t xml:space="preserve">randomizovaných </w:t>
      </w:r>
      <w:r w:rsidRPr="005E28C5">
        <w:rPr>
          <w:sz w:val="22"/>
          <w:szCs w:val="22"/>
        </w:rPr>
        <w:t xml:space="preserve">na užívanie </w:t>
      </w:r>
      <w:r w:rsidR="003E75AB" w:rsidRPr="005E28C5">
        <w:rPr>
          <w:sz w:val="22"/>
          <w:szCs w:val="22"/>
        </w:rPr>
        <w:t>10 mg ezetimibu</w:t>
      </w:r>
      <w:r w:rsidRPr="005E28C5">
        <w:rPr>
          <w:sz w:val="22"/>
          <w:szCs w:val="22"/>
        </w:rPr>
        <w:t xml:space="preserve"> v kombináci</w:t>
      </w:r>
      <w:r w:rsidR="00F6757C" w:rsidRPr="005E28C5">
        <w:rPr>
          <w:sz w:val="22"/>
          <w:szCs w:val="22"/>
        </w:rPr>
        <w:t>i s</w:t>
      </w:r>
      <w:r w:rsidR="00BC1121" w:rsidRPr="005E28C5">
        <w:rPr>
          <w:sz w:val="22"/>
          <w:szCs w:val="22"/>
        </w:rPr>
        <w:t> </w:t>
      </w:r>
      <w:r w:rsidR="00F6757C" w:rsidRPr="005E28C5">
        <w:rPr>
          <w:sz w:val="22"/>
          <w:szCs w:val="22"/>
        </w:rPr>
        <w:t>20</w:t>
      </w:r>
      <w:r w:rsidR="00BC1121" w:rsidRPr="005E28C5">
        <w:rPr>
          <w:sz w:val="22"/>
          <w:szCs w:val="22"/>
        </w:rPr>
        <w:t> </w:t>
      </w:r>
      <w:r w:rsidR="00F6757C" w:rsidRPr="005E28C5">
        <w:rPr>
          <w:sz w:val="22"/>
          <w:szCs w:val="22"/>
        </w:rPr>
        <w:t>mg simvastatínu denne (n = 4 650) alebo placeb</w:t>
      </w:r>
      <w:r w:rsidR="007C082D" w:rsidRPr="005E28C5">
        <w:rPr>
          <w:sz w:val="22"/>
          <w:szCs w:val="22"/>
        </w:rPr>
        <w:t>a</w:t>
      </w:r>
      <w:r w:rsidR="00F6757C" w:rsidRPr="005E28C5">
        <w:rPr>
          <w:sz w:val="22"/>
          <w:szCs w:val="22"/>
        </w:rPr>
        <w:t xml:space="preserve"> (n = </w:t>
      </w:r>
      <w:r w:rsidRPr="005E28C5">
        <w:rPr>
          <w:sz w:val="22"/>
          <w:szCs w:val="22"/>
        </w:rPr>
        <w:t xml:space="preserve">4 620) (medián sledovaného obdobia 4,9 rokov), bol výskyt myopatie/rabdomyolýzy </w:t>
      </w:r>
      <w:r w:rsidRPr="005E28C5">
        <w:rPr>
          <w:color w:val="000000"/>
          <w:sz w:val="22"/>
          <w:szCs w:val="22"/>
        </w:rPr>
        <w:t xml:space="preserve">0,2 % pri </w:t>
      </w:r>
      <w:r w:rsidR="003E75AB" w:rsidRPr="005E28C5">
        <w:rPr>
          <w:color w:val="000000"/>
          <w:sz w:val="22"/>
          <w:szCs w:val="22"/>
        </w:rPr>
        <w:t>ezetimibe</w:t>
      </w:r>
      <w:r w:rsidRPr="005E28C5">
        <w:rPr>
          <w:color w:val="000000"/>
          <w:sz w:val="22"/>
          <w:szCs w:val="22"/>
        </w:rPr>
        <w:t xml:space="preserve"> v kombinácii so simvastatínom a 0,1 % pri placebe (pozri časť 4.8).</w:t>
      </w:r>
    </w:p>
    <w:p w:rsidR="003E75AB" w:rsidRPr="005E28C5" w:rsidRDefault="003E75AB" w:rsidP="003E75AB">
      <w:pPr>
        <w:adjustRightInd w:val="0"/>
        <w:snapToGrid w:val="0"/>
        <w:spacing w:after="0"/>
        <w:rPr>
          <w:color w:val="000000"/>
          <w:sz w:val="22"/>
          <w:szCs w:val="22"/>
        </w:rPr>
      </w:pPr>
    </w:p>
    <w:p w:rsidR="00F7686C" w:rsidRPr="005E28C5" w:rsidRDefault="00627B21" w:rsidP="003E75AB">
      <w:pPr>
        <w:adjustRightInd w:val="0"/>
        <w:snapToGrid w:val="0"/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Poškodenie funkcie pečene</w:t>
      </w:r>
    </w:p>
    <w:p w:rsidR="003E75AB" w:rsidRPr="005E28C5" w:rsidRDefault="00F7686C" w:rsidP="003E75A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Vzhľadom na neznáme účinky zvýšenej expozície ezetimibu sa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 xml:space="preserve">stredne ťažkou alebo ťažkou hepatálnou insuficienciou </w:t>
      </w:r>
      <w:r w:rsidR="003E75AB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neodporúča (pozri časť 5.2)</w:t>
      </w:r>
      <w:r w:rsidR="003E75AB" w:rsidRPr="005E28C5">
        <w:rPr>
          <w:sz w:val="22"/>
          <w:szCs w:val="22"/>
        </w:rPr>
        <w:t>.</w:t>
      </w:r>
    </w:p>
    <w:p w:rsidR="003E75AB" w:rsidRPr="005E28C5" w:rsidRDefault="003E75AB" w:rsidP="003E75AB">
      <w:pPr>
        <w:adjustRightInd w:val="0"/>
        <w:snapToGrid w:val="0"/>
        <w:spacing w:after="0"/>
        <w:rPr>
          <w:sz w:val="22"/>
          <w:szCs w:val="22"/>
        </w:rPr>
      </w:pPr>
    </w:p>
    <w:p w:rsidR="00C5346D" w:rsidRPr="005E28C5" w:rsidRDefault="00C5346D" w:rsidP="003E75AB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Pediatrick</w:t>
      </w:r>
      <w:r w:rsidR="0094303D" w:rsidRPr="005E28C5">
        <w:rPr>
          <w:sz w:val="22"/>
          <w:szCs w:val="22"/>
          <w:u w:val="single"/>
        </w:rPr>
        <w:t>á</w:t>
      </w:r>
      <w:r w:rsidRPr="005E28C5">
        <w:rPr>
          <w:sz w:val="22"/>
          <w:szCs w:val="22"/>
          <w:u w:val="single"/>
        </w:rPr>
        <w:t xml:space="preserve"> p</w:t>
      </w:r>
      <w:r w:rsidR="0094303D" w:rsidRPr="005E28C5">
        <w:rPr>
          <w:sz w:val="22"/>
          <w:szCs w:val="22"/>
          <w:u w:val="single"/>
        </w:rPr>
        <w:t>opulácia</w:t>
      </w:r>
      <w:r w:rsidRPr="005E28C5">
        <w:rPr>
          <w:sz w:val="22"/>
          <w:szCs w:val="22"/>
          <w:u w:val="single"/>
        </w:rPr>
        <w:t xml:space="preserve"> (vo veku </w:t>
      </w:r>
      <w:r w:rsidR="00F84D28" w:rsidRPr="005E28C5">
        <w:rPr>
          <w:sz w:val="22"/>
          <w:szCs w:val="22"/>
          <w:u w:val="single"/>
        </w:rPr>
        <w:t xml:space="preserve">6 </w:t>
      </w:r>
      <w:r w:rsidRPr="005E28C5">
        <w:rPr>
          <w:sz w:val="22"/>
          <w:szCs w:val="22"/>
          <w:u w:val="single"/>
        </w:rPr>
        <w:t>až 17 rokov)</w:t>
      </w:r>
    </w:p>
    <w:p w:rsidR="00F84D28" w:rsidRPr="005E28C5" w:rsidRDefault="00F84D28" w:rsidP="00F30C0D">
      <w:pPr>
        <w:adjustRightInd w:val="0"/>
        <w:snapToGrid w:val="0"/>
        <w:spacing w:after="0"/>
        <w:rPr>
          <w:bCs/>
          <w:iCs/>
          <w:sz w:val="22"/>
          <w:szCs w:val="22"/>
        </w:rPr>
      </w:pPr>
      <w:r w:rsidRPr="005E28C5">
        <w:rPr>
          <w:sz w:val="22"/>
          <w:szCs w:val="22"/>
        </w:rPr>
        <w:t xml:space="preserve">Účinnosť a bezpečnosť </w:t>
      </w:r>
      <w:r w:rsidR="003E75AB" w:rsidRPr="005E28C5">
        <w:rPr>
          <w:sz w:val="22"/>
          <w:szCs w:val="22"/>
        </w:rPr>
        <w:t>ezetimibu</w:t>
      </w:r>
      <w:r w:rsidRPr="005E28C5">
        <w:rPr>
          <w:sz w:val="22"/>
          <w:szCs w:val="22"/>
        </w:rPr>
        <w:t xml:space="preserve"> </w:t>
      </w:r>
      <w:r w:rsidR="00BF3FFE" w:rsidRPr="005E28C5">
        <w:rPr>
          <w:sz w:val="22"/>
          <w:szCs w:val="22"/>
        </w:rPr>
        <w:t>u</w:t>
      </w:r>
      <w:r w:rsidRPr="005E28C5">
        <w:rPr>
          <w:sz w:val="22"/>
          <w:szCs w:val="22"/>
        </w:rPr>
        <w:t> pacientov vo veku 6 až 10 rokov s heterozygotnou familiárnou alebo n</w:t>
      </w:r>
      <w:r w:rsidR="00B1099D" w:rsidRPr="005E28C5">
        <w:rPr>
          <w:sz w:val="22"/>
          <w:szCs w:val="22"/>
        </w:rPr>
        <w:t>on-</w:t>
      </w:r>
      <w:r w:rsidRPr="005E28C5">
        <w:rPr>
          <w:sz w:val="22"/>
          <w:szCs w:val="22"/>
        </w:rPr>
        <w:t>familiárnou hypercholesterolémiou boli hodnotené v 12-týž</w:t>
      </w:r>
      <w:r w:rsidR="00FC1CAD" w:rsidRPr="005E28C5">
        <w:rPr>
          <w:sz w:val="22"/>
          <w:szCs w:val="22"/>
        </w:rPr>
        <w:t>d</w:t>
      </w:r>
      <w:r w:rsidRPr="005E28C5">
        <w:rPr>
          <w:sz w:val="22"/>
          <w:szCs w:val="22"/>
        </w:rPr>
        <w:t xml:space="preserve">ňovom kontrolovanom klinickom skúšaní. Účinky ezetimibu počas obdobia liečby </w:t>
      </w:r>
      <w:r w:rsidRPr="005E28C5">
        <w:rPr>
          <w:bCs/>
          <w:iCs/>
          <w:sz w:val="22"/>
          <w:szCs w:val="22"/>
        </w:rPr>
        <w:t>&gt; 12 týždňov neboli v tejto vekovej skupine skúmané (pozri časti 4.2, 4.8, 5.1 a 5.2).</w:t>
      </w:r>
    </w:p>
    <w:p w:rsidR="00F84D28" w:rsidRPr="005E28C5" w:rsidRDefault="00F84D28" w:rsidP="00F30C0D">
      <w:pPr>
        <w:adjustRightInd w:val="0"/>
        <w:snapToGrid w:val="0"/>
        <w:spacing w:after="0"/>
        <w:rPr>
          <w:bCs/>
          <w:iCs/>
          <w:sz w:val="22"/>
          <w:szCs w:val="22"/>
        </w:rPr>
      </w:pPr>
    </w:p>
    <w:p w:rsidR="00F84D28" w:rsidRPr="005E28C5" w:rsidRDefault="00F84D28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Cs/>
          <w:iCs/>
          <w:sz w:val="22"/>
          <w:szCs w:val="22"/>
        </w:rPr>
        <w:t>E</w:t>
      </w:r>
      <w:r w:rsidR="003E75AB" w:rsidRPr="005E28C5">
        <w:rPr>
          <w:bCs/>
          <w:iCs/>
          <w:sz w:val="22"/>
          <w:szCs w:val="22"/>
        </w:rPr>
        <w:t>zetimib</w:t>
      </w:r>
      <w:r w:rsidRPr="005E28C5">
        <w:rPr>
          <w:bCs/>
          <w:iCs/>
          <w:sz w:val="22"/>
          <w:szCs w:val="22"/>
        </w:rPr>
        <w:t xml:space="preserve"> sa neskúmal u pacientov mladších ako 6 rokov (</w:t>
      </w:r>
      <w:r w:rsidR="003E75AB" w:rsidRPr="005E28C5">
        <w:rPr>
          <w:bCs/>
          <w:iCs/>
          <w:sz w:val="22"/>
          <w:szCs w:val="22"/>
        </w:rPr>
        <w:t>p</w:t>
      </w:r>
      <w:r w:rsidRPr="005E28C5">
        <w:rPr>
          <w:bCs/>
          <w:iCs/>
          <w:sz w:val="22"/>
          <w:szCs w:val="22"/>
        </w:rPr>
        <w:t>ozri časti 4.2 a 4.8).</w:t>
      </w:r>
    </w:p>
    <w:p w:rsidR="00F84D28" w:rsidRPr="005E28C5" w:rsidRDefault="00F84D28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C5346D" w:rsidRPr="005E28C5" w:rsidRDefault="00C5346D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Účinnosť a bezpečnosť </w:t>
      </w:r>
      <w:r w:rsidR="003E75AB" w:rsidRPr="005E28C5">
        <w:rPr>
          <w:sz w:val="22"/>
          <w:szCs w:val="22"/>
        </w:rPr>
        <w:t>ezetimibu</w:t>
      </w:r>
      <w:r w:rsidRPr="005E28C5">
        <w:rPr>
          <w:sz w:val="22"/>
          <w:szCs w:val="22"/>
        </w:rPr>
        <w:t xml:space="preserve"> </w:t>
      </w:r>
      <w:r w:rsidR="00462D48" w:rsidRPr="005E28C5">
        <w:rPr>
          <w:sz w:val="22"/>
          <w:szCs w:val="22"/>
        </w:rPr>
        <w:t>podávaného spolu</w:t>
      </w:r>
      <w:r w:rsidR="003E75AB" w:rsidRPr="005E28C5">
        <w:rPr>
          <w:sz w:val="22"/>
          <w:szCs w:val="22"/>
        </w:rPr>
        <w:t xml:space="preserve"> so simvastatínom </w:t>
      </w:r>
      <w:r w:rsidR="00462D48" w:rsidRPr="005E28C5">
        <w:rPr>
          <w:sz w:val="22"/>
          <w:szCs w:val="22"/>
        </w:rPr>
        <w:t> pacient</w:t>
      </w:r>
      <w:r w:rsidR="003E75AB" w:rsidRPr="005E28C5">
        <w:rPr>
          <w:sz w:val="22"/>
          <w:szCs w:val="22"/>
        </w:rPr>
        <w:t>om</w:t>
      </w:r>
      <w:r w:rsidR="00462D48" w:rsidRPr="005E28C5">
        <w:rPr>
          <w:sz w:val="22"/>
          <w:szCs w:val="22"/>
        </w:rPr>
        <w:t xml:space="preserve"> vo veku 10 až 17 rokov s heterozygotnou familiárnou hypercholesterolémiou sa hodnotila v </w:t>
      </w:r>
      <w:r w:rsidR="00A47266" w:rsidRPr="005E28C5">
        <w:rPr>
          <w:sz w:val="22"/>
          <w:szCs w:val="22"/>
        </w:rPr>
        <w:t xml:space="preserve">kontrolovanom klinickom skúšaní </w:t>
      </w:r>
      <w:r w:rsidR="00462D48" w:rsidRPr="005E28C5">
        <w:rPr>
          <w:sz w:val="22"/>
          <w:szCs w:val="22"/>
        </w:rPr>
        <w:t>u </w:t>
      </w:r>
      <w:r w:rsidR="00232227" w:rsidRPr="005E28C5">
        <w:rPr>
          <w:sz w:val="22"/>
          <w:szCs w:val="22"/>
        </w:rPr>
        <w:t>adolescentný</w:t>
      </w:r>
      <w:r w:rsidR="00462D48" w:rsidRPr="005E28C5">
        <w:rPr>
          <w:sz w:val="22"/>
          <w:szCs w:val="22"/>
        </w:rPr>
        <w:t>ch chlapcov (Tannerovo štádium II alebo vyššie) a</w:t>
      </w:r>
      <w:r w:rsidR="003E75AB" w:rsidRPr="005E28C5">
        <w:rPr>
          <w:sz w:val="22"/>
          <w:szCs w:val="22"/>
        </w:rPr>
        <w:t xml:space="preserve"> u </w:t>
      </w:r>
      <w:r w:rsidR="00462D48" w:rsidRPr="005E28C5">
        <w:rPr>
          <w:sz w:val="22"/>
          <w:szCs w:val="22"/>
        </w:rPr>
        <w:t>dievčat, ktoré boli minimálne jeden rok po menarché.</w:t>
      </w:r>
    </w:p>
    <w:p w:rsidR="00462D48" w:rsidRPr="005E28C5" w:rsidRDefault="00462D48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462D48" w:rsidRPr="005E28C5" w:rsidRDefault="00462D48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te</w:t>
      </w:r>
      <w:r w:rsidR="000146F9">
        <w:rPr>
          <w:sz w:val="22"/>
          <w:szCs w:val="22"/>
        </w:rPr>
        <w:t>mto</w:t>
      </w:r>
      <w:r w:rsidRPr="005E28C5">
        <w:rPr>
          <w:sz w:val="22"/>
          <w:szCs w:val="22"/>
        </w:rPr>
        <w:t xml:space="preserve"> limitovan</w:t>
      </w:r>
      <w:r w:rsidR="000146F9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kontrolovan</w:t>
      </w:r>
      <w:r w:rsidR="000146F9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</w:t>
      </w:r>
      <w:r w:rsidR="000146F9">
        <w:rPr>
          <w:sz w:val="22"/>
          <w:szCs w:val="22"/>
        </w:rPr>
        <w:t>skúšaní</w:t>
      </w:r>
      <w:r w:rsidRPr="005E28C5">
        <w:rPr>
          <w:sz w:val="22"/>
          <w:szCs w:val="22"/>
        </w:rPr>
        <w:t xml:space="preserve"> nebol u </w:t>
      </w:r>
      <w:r w:rsidR="00232227" w:rsidRPr="005E28C5">
        <w:rPr>
          <w:sz w:val="22"/>
          <w:szCs w:val="22"/>
        </w:rPr>
        <w:t>adolescentný</w:t>
      </w:r>
      <w:r w:rsidRPr="005E28C5">
        <w:rPr>
          <w:sz w:val="22"/>
          <w:szCs w:val="22"/>
        </w:rPr>
        <w:t xml:space="preserve">ch chlapcov alebo dievčat vo všeobecnosti </w:t>
      </w:r>
      <w:r w:rsidR="000572C9" w:rsidRPr="005E28C5">
        <w:rPr>
          <w:sz w:val="22"/>
          <w:szCs w:val="22"/>
        </w:rPr>
        <w:t xml:space="preserve">žiadny </w:t>
      </w:r>
      <w:r w:rsidRPr="005E28C5">
        <w:rPr>
          <w:sz w:val="22"/>
          <w:szCs w:val="22"/>
        </w:rPr>
        <w:t>zistiteľný vplyv na rast alebo sexuálne do</w:t>
      </w:r>
      <w:r w:rsidR="003E75AB" w:rsidRPr="005E28C5">
        <w:rPr>
          <w:sz w:val="22"/>
          <w:szCs w:val="22"/>
        </w:rPr>
        <w:t>spievanie</w:t>
      </w:r>
      <w:r w:rsidRPr="005E28C5">
        <w:rPr>
          <w:sz w:val="22"/>
          <w:szCs w:val="22"/>
        </w:rPr>
        <w:t xml:space="preserve">, ani </w:t>
      </w:r>
      <w:r w:rsidR="000572C9" w:rsidRPr="005E28C5">
        <w:rPr>
          <w:sz w:val="22"/>
          <w:szCs w:val="22"/>
        </w:rPr>
        <w:t xml:space="preserve">akýkoľvek </w:t>
      </w:r>
      <w:r w:rsidRPr="005E28C5">
        <w:rPr>
          <w:sz w:val="22"/>
          <w:szCs w:val="22"/>
        </w:rPr>
        <w:t>vplyv na d</w:t>
      </w:r>
      <w:r w:rsidR="000572C9" w:rsidRPr="005E28C5">
        <w:rPr>
          <w:sz w:val="22"/>
          <w:szCs w:val="22"/>
        </w:rPr>
        <w:t>ĺ</w:t>
      </w:r>
      <w:r w:rsidRPr="005E28C5">
        <w:rPr>
          <w:sz w:val="22"/>
          <w:szCs w:val="22"/>
        </w:rPr>
        <w:t xml:space="preserve">žku menštruačného cyklu u dievčat. </w:t>
      </w:r>
      <w:r w:rsidR="000572C9" w:rsidRPr="005E28C5">
        <w:rPr>
          <w:sz w:val="22"/>
          <w:szCs w:val="22"/>
        </w:rPr>
        <w:t xml:space="preserve">Účinky ezetimibu na rast a sexuálne </w:t>
      </w:r>
      <w:r w:rsidR="003E75AB" w:rsidRPr="005E28C5">
        <w:rPr>
          <w:sz w:val="22"/>
          <w:szCs w:val="22"/>
        </w:rPr>
        <w:t>dospievanie</w:t>
      </w:r>
      <w:r w:rsidR="000572C9" w:rsidRPr="005E28C5">
        <w:rPr>
          <w:sz w:val="22"/>
          <w:szCs w:val="22"/>
        </w:rPr>
        <w:t xml:space="preserve"> počas liečebného obdobia &gt;</w:t>
      </w:r>
      <w:r w:rsidR="000146F9">
        <w:rPr>
          <w:sz w:val="22"/>
          <w:szCs w:val="22"/>
        </w:rPr>
        <w:t xml:space="preserve"> </w:t>
      </w:r>
      <w:r w:rsidR="000572C9" w:rsidRPr="005E28C5">
        <w:rPr>
          <w:sz w:val="22"/>
          <w:szCs w:val="22"/>
        </w:rPr>
        <w:t>33 týždňov sa však neštudovali (pozri časti 4.2 a 4.8).</w:t>
      </w:r>
    </w:p>
    <w:p w:rsidR="000572C9" w:rsidRPr="005E28C5" w:rsidRDefault="000572C9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0572C9" w:rsidRPr="005E28C5" w:rsidRDefault="00621C3F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Bezpečnosť a účinnosť </w:t>
      </w:r>
      <w:r w:rsidR="003E75AB" w:rsidRPr="005E28C5">
        <w:rPr>
          <w:sz w:val="22"/>
          <w:szCs w:val="22"/>
        </w:rPr>
        <w:t>ezetimibu</w:t>
      </w:r>
      <w:r w:rsidRPr="005E28C5">
        <w:rPr>
          <w:sz w:val="22"/>
          <w:szCs w:val="22"/>
        </w:rPr>
        <w:t xml:space="preserve"> podávaného spolu s</w:t>
      </w:r>
      <w:r w:rsidR="00232227" w:rsidRPr="005E28C5">
        <w:rPr>
          <w:sz w:val="22"/>
          <w:szCs w:val="22"/>
        </w:rPr>
        <w:t xml:space="preserve"> dávkami </w:t>
      </w:r>
      <w:r w:rsidRPr="005E28C5">
        <w:rPr>
          <w:sz w:val="22"/>
          <w:szCs w:val="22"/>
        </w:rPr>
        <w:t>simvastatín</w:t>
      </w:r>
      <w:r w:rsidR="00232227" w:rsidRPr="005E28C5">
        <w:rPr>
          <w:sz w:val="22"/>
          <w:szCs w:val="22"/>
        </w:rPr>
        <w:t>u</w:t>
      </w:r>
      <w:r w:rsidRPr="005E28C5">
        <w:rPr>
          <w:sz w:val="22"/>
          <w:szCs w:val="22"/>
        </w:rPr>
        <w:t xml:space="preserve"> nad 40 mg denne sa u pediatrických pacientov vo veku 10 až 17 rokov neštudovali.</w:t>
      </w:r>
    </w:p>
    <w:p w:rsidR="00621C3F" w:rsidRPr="005E28C5" w:rsidRDefault="00621C3F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84D28" w:rsidRPr="005E28C5" w:rsidRDefault="00F84D28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Bezpečnosť a účinnosť </w:t>
      </w:r>
      <w:r w:rsidR="003E75AB" w:rsidRPr="005E28C5">
        <w:rPr>
          <w:sz w:val="22"/>
          <w:szCs w:val="22"/>
        </w:rPr>
        <w:t>ezetimibu</w:t>
      </w:r>
      <w:r w:rsidRPr="005E28C5">
        <w:rPr>
          <w:sz w:val="22"/>
          <w:szCs w:val="22"/>
        </w:rPr>
        <w:t xml:space="preserve"> </w:t>
      </w:r>
      <w:r w:rsidR="00B1099D" w:rsidRPr="005E28C5">
        <w:rPr>
          <w:sz w:val="22"/>
          <w:szCs w:val="22"/>
        </w:rPr>
        <w:t>podávaného spolu</w:t>
      </w:r>
      <w:r w:rsidRPr="005E28C5">
        <w:rPr>
          <w:sz w:val="22"/>
          <w:szCs w:val="22"/>
        </w:rPr>
        <w:t xml:space="preserve"> so simvastatínom sa u pediatrických pacientov vo veku </w:t>
      </w:r>
      <w:r w:rsidRPr="005E28C5">
        <w:rPr>
          <w:rFonts w:cs="TimesNewRomanPSMT"/>
          <w:sz w:val="22"/>
          <w:szCs w:val="22"/>
          <w:lang w:eastAsia="fr-FR" w:bidi="gu-IN"/>
        </w:rPr>
        <w:t>&lt; 10 rokov</w:t>
      </w:r>
      <w:r w:rsidR="00B1099D" w:rsidRPr="005E28C5">
        <w:rPr>
          <w:rFonts w:cs="TimesNewRomanPSMT"/>
          <w:sz w:val="22"/>
          <w:szCs w:val="22"/>
          <w:lang w:eastAsia="fr-FR" w:bidi="gu-IN"/>
        </w:rPr>
        <w:t xml:space="preserve"> neštudovali</w:t>
      </w:r>
      <w:r w:rsidR="003E75AB" w:rsidRPr="005E28C5">
        <w:rPr>
          <w:rFonts w:cs="TimesNewRomanPSMT"/>
          <w:sz w:val="22"/>
          <w:szCs w:val="22"/>
          <w:lang w:eastAsia="fr-FR" w:bidi="gu-IN"/>
        </w:rPr>
        <w:t xml:space="preserve"> (p</w:t>
      </w:r>
      <w:r w:rsidRPr="005E28C5">
        <w:rPr>
          <w:rFonts w:cs="TimesNewRomanPSMT"/>
          <w:sz w:val="22"/>
          <w:szCs w:val="22"/>
          <w:lang w:eastAsia="fr-FR" w:bidi="gu-IN"/>
        </w:rPr>
        <w:t>ozri časti 4.2 a 4.8).</w:t>
      </w:r>
    </w:p>
    <w:p w:rsidR="00F84D28" w:rsidRPr="005E28C5" w:rsidRDefault="00F84D28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052CEF" w:rsidRPr="005E28C5" w:rsidRDefault="00621C3F" w:rsidP="00052CE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Dlhodobá účinnosť terapie </w:t>
      </w:r>
      <w:r w:rsidR="00052CEF" w:rsidRPr="005E28C5">
        <w:rPr>
          <w:sz w:val="22"/>
          <w:szCs w:val="22"/>
        </w:rPr>
        <w:t>ezetimibom</w:t>
      </w:r>
      <w:r w:rsidRPr="005E28C5">
        <w:rPr>
          <w:sz w:val="22"/>
          <w:szCs w:val="22"/>
        </w:rPr>
        <w:t xml:space="preserve"> u pacientov mladších ako 17 rokov na zníženie morbidity a mortality v dospelosti sa neštudovala.</w:t>
      </w:r>
    </w:p>
    <w:p w:rsidR="00052CEF" w:rsidRPr="005E28C5" w:rsidRDefault="00052CEF" w:rsidP="00052CEF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052CEF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Fibráty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Bezpečnosť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účinnosť </w:t>
      </w:r>
      <w:r w:rsidR="00052CEF" w:rsidRPr="005E28C5">
        <w:rPr>
          <w:sz w:val="22"/>
          <w:szCs w:val="22"/>
        </w:rPr>
        <w:t>ezetimibu</w:t>
      </w:r>
      <w:r w:rsidR="004E7A86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podávaného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fibrátmi nebola stanovená.</w:t>
      </w:r>
    </w:p>
    <w:p w:rsidR="00F7686C" w:rsidRPr="005E28C5" w:rsidRDefault="00C520AA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lastRenderedPageBreak/>
        <w:t xml:space="preserve"> </w:t>
      </w:r>
    </w:p>
    <w:p w:rsidR="00052CEF" w:rsidRPr="005E28C5" w:rsidRDefault="004D7E97" w:rsidP="00052CEF">
      <w:pPr>
        <w:adjustRightInd w:val="0"/>
        <w:snapToGrid w:val="0"/>
        <w:spacing w:after="0"/>
        <w:rPr>
          <w:sz w:val="22"/>
          <w:szCs w:val="22"/>
        </w:rPr>
      </w:pPr>
      <w:bookmarkStart w:id="1" w:name="OLE_LINK3"/>
      <w:bookmarkStart w:id="2" w:name="OLE_LINK4"/>
      <w:r w:rsidRPr="005E28C5">
        <w:rPr>
          <w:sz w:val="22"/>
          <w:szCs w:val="22"/>
        </w:rPr>
        <w:t>Ak je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 xml:space="preserve">pacienta užívajúceho </w:t>
      </w:r>
      <w:r w:rsidR="00052CEF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fenofibrát podozrenie na cholelitiázu, je indikované vyšetrenie žlčníka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táto liečba sa má prerušiť (pozri časti 4.5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4.8).</w:t>
      </w:r>
      <w:bookmarkEnd w:id="1"/>
      <w:bookmarkEnd w:id="2"/>
    </w:p>
    <w:p w:rsidR="00052CEF" w:rsidRPr="005E28C5" w:rsidRDefault="00052CEF" w:rsidP="00052CEF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052CEF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Cyklosporín</w:t>
      </w:r>
    </w:p>
    <w:p w:rsidR="00052CEF" w:rsidRPr="005E28C5" w:rsidRDefault="00F7686C" w:rsidP="00052CE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Ak sa </w:t>
      </w:r>
      <w:r w:rsidR="00052CEF" w:rsidRPr="005E28C5">
        <w:rPr>
          <w:sz w:val="22"/>
          <w:szCs w:val="22"/>
        </w:rPr>
        <w:t xml:space="preserve">ezetimib </w:t>
      </w:r>
      <w:r w:rsidRPr="005E28C5">
        <w:rPr>
          <w:sz w:val="22"/>
          <w:szCs w:val="22"/>
        </w:rPr>
        <w:t xml:space="preserve">začína podávať </w:t>
      </w:r>
      <w:r w:rsidR="00752D96" w:rsidRPr="005E28C5">
        <w:rPr>
          <w:sz w:val="22"/>
          <w:szCs w:val="22"/>
        </w:rPr>
        <w:t>počas liečby</w:t>
      </w:r>
      <w:r w:rsidRPr="005E28C5">
        <w:rPr>
          <w:sz w:val="22"/>
          <w:szCs w:val="22"/>
        </w:rPr>
        <w:t xml:space="preserve"> cyklosporínom</w:t>
      </w:r>
      <w:r w:rsidR="004E7A86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je potrebná opatrnosť</w:t>
      </w:r>
      <w:r w:rsidR="004E7A86" w:rsidRPr="005E28C5">
        <w:rPr>
          <w:sz w:val="22"/>
          <w:szCs w:val="22"/>
        </w:rPr>
        <w:t>.</w:t>
      </w:r>
      <w:r w:rsidR="0020794C" w:rsidRPr="005E28C5">
        <w:rPr>
          <w:sz w:val="22"/>
          <w:szCs w:val="22"/>
        </w:rPr>
        <w:t xml:space="preserve"> U </w:t>
      </w:r>
      <w:r w:rsidR="004E7A86" w:rsidRPr="005E28C5">
        <w:rPr>
          <w:sz w:val="22"/>
          <w:szCs w:val="22"/>
        </w:rPr>
        <w:t xml:space="preserve">pacientov užívajúcich </w:t>
      </w:r>
      <w:r w:rsidR="00052CEF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a </w:t>
      </w:r>
      <w:r w:rsidR="004E7A86" w:rsidRPr="005E28C5">
        <w:rPr>
          <w:sz w:val="22"/>
          <w:szCs w:val="22"/>
        </w:rPr>
        <w:t xml:space="preserve">cyklosporín sa majú monitorovať koncentrácie cyklosporínu </w:t>
      </w:r>
      <w:r w:rsidRPr="005E28C5">
        <w:rPr>
          <w:sz w:val="22"/>
          <w:szCs w:val="22"/>
        </w:rPr>
        <w:t>(pozri časť 4.5).</w:t>
      </w:r>
    </w:p>
    <w:p w:rsidR="00052CEF" w:rsidRPr="005E28C5" w:rsidRDefault="00052CEF" w:rsidP="00052CEF">
      <w:pPr>
        <w:adjustRightInd w:val="0"/>
        <w:snapToGrid w:val="0"/>
        <w:spacing w:after="0"/>
        <w:rPr>
          <w:sz w:val="22"/>
          <w:szCs w:val="22"/>
        </w:rPr>
      </w:pPr>
    </w:p>
    <w:p w:rsidR="00365E28" w:rsidRPr="005E28C5" w:rsidRDefault="002341C8" w:rsidP="00052CEF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bCs/>
          <w:iCs/>
          <w:sz w:val="22"/>
          <w:szCs w:val="22"/>
          <w:u w:val="single"/>
        </w:rPr>
        <w:t>Antikoagulanciá</w:t>
      </w:r>
    </w:p>
    <w:p w:rsidR="00052CEF" w:rsidRPr="005E28C5" w:rsidRDefault="00365E28" w:rsidP="00052CEF">
      <w:pPr>
        <w:adjustRightInd w:val="0"/>
        <w:snapToGrid w:val="0"/>
        <w:spacing w:after="0"/>
        <w:rPr>
          <w:bCs/>
          <w:iCs/>
          <w:sz w:val="22"/>
          <w:szCs w:val="22"/>
        </w:rPr>
      </w:pPr>
      <w:r w:rsidRPr="005E28C5">
        <w:rPr>
          <w:bCs/>
          <w:iCs/>
          <w:sz w:val="22"/>
          <w:szCs w:val="22"/>
        </w:rPr>
        <w:t xml:space="preserve">Ak je </w:t>
      </w:r>
      <w:r w:rsidR="00052CEF" w:rsidRPr="005E28C5">
        <w:rPr>
          <w:bCs/>
          <w:iCs/>
          <w:sz w:val="22"/>
          <w:szCs w:val="22"/>
        </w:rPr>
        <w:t>ezetimib</w:t>
      </w:r>
      <w:r w:rsidRPr="005E28C5">
        <w:rPr>
          <w:bCs/>
          <w:iCs/>
          <w:sz w:val="22"/>
          <w:szCs w:val="22"/>
        </w:rPr>
        <w:t xml:space="preserve"> pridaný</w:t>
      </w:r>
      <w:r w:rsidR="0020794C" w:rsidRPr="005E28C5">
        <w:rPr>
          <w:bCs/>
          <w:iCs/>
          <w:sz w:val="22"/>
          <w:szCs w:val="22"/>
        </w:rPr>
        <w:t xml:space="preserve"> k </w:t>
      </w:r>
      <w:r w:rsidRPr="005E28C5">
        <w:rPr>
          <w:bCs/>
          <w:iCs/>
          <w:sz w:val="22"/>
          <w:szCs w:val="22"/>
        </w:rPr>
        <w:t>warfarínu</w:t>
      </w:r>
      <w:r w:rsidR="00575002" w:rsidRPr="005E28C5">
        <w:rPr>
          <w:bCs/>
          <w:iCs/>
          <w:sz w:val="22"/>
          <w:szCs w:val="22"/>
        </w:rPr>
        <w:t>,</w:t>
      </w:r>
      <w:r w:rsidR="0020794C" w:rsidRPr="005E28C5">
        <w:rPr>
          <w:bCs/>
          <w:iCs/>
          <w:sz w:val="22"/>
          <w:szCs w:val="22"/>
        </w:rPr>
        <w:t xml:space="preserve"> k </w:t>
      </w:r>
      <w:r w:rsidR="0045161E" w:rsidRPr="005E28C5">
        <w:rPr>
          <w:bCs/>
          <w:iCs/>
          <w:sz w:val="22"/>
          <w:szCs w:val="22"/>
        </w:rPr>
        <w:t>inému kumarínovému antikoagulantu</w:t>
      </w:r>
      <w:r w:rsidR="00575002" w:rsidRPr="005E28C5">
        <w:rPr>
          <w:bCs/>
          <w:iCs/>
          <w:sz w:val="22"/>
          <w:szCs w:val="22"/>
        </w:rPr>
        <w:t xml:space="preserve"> alebo</w:t>
      </w:r>
      <w:r w:rsidR="0020794C" w:rsidRPr="005E28C5">
        <w:rPr>
          <w:bCs/>
          <w:iCs/>
          <w:sz w:val="22"/>
          <w:szCs w:val="22"/>
        </w:rPr>
        <w:t xml:space="preserve"> k </w:t>
      </w:r>
      <w:r w:rsidR="00575002" w:rsidRPr="005E28C5">
        <w:rPr>
          <w:bCs/>
          <w:iCs/>
          <w:sz w:val="22"/>
          <w:szCs w:val="22"/>
        </w:rPr>
        <w:t>fluindiónu</w:t>
      </w:r>
      <w:r w:rsidRPr="005E28C5">
        <w:rPr>
          <w:bCs/>
          <w:iCs/>
          <w:sz w:val="22"/>
          <w:szCs w:val="22"/>
        </w:rPr>
        <w:t xml:space="preserve">, je potrebné </w:t>
      </w:r>
      <w:r w:rsidR="00752D96" w:rsidRPr="005E28C5">
        <w:rPr>
          <w:bCs/>
          <w:iCs/>
          <w:sz w:val="22"/>
          <w:szCs w:val="22"/>
        </w:rPr>
        <w:t>náležite</w:t>
      </w:r>
      <w:r w:rsidRPr="005E28C5">
        <w:rPr>
          <w:bCs/>
          <w:iCs/>
          <w:sz w:val="22"/>
          <w:szCs w:val="22"/>
        </w:rPr>
        <w:t xml:space="preserve"> monitorovať</w:t>
      </w:r>
      <w:r w:rsidR="007B7D54">
        <w:rPr>
          <w:bCs/>
          <w:iCs/>
          <w:sz w:val="22"/>
          <w:szCs w:val="22"/>
        </w:rPr>
        <w:t xml:space="preserve"> me</w:t>
      </w:r>
      <w:r w:rsidR="000146F9">
        <w:rPr>
          <w:bCs/>
          <w:iCs/>
          <w:sz w:val="22"/>
          <w:szCs w:val="22"/>
        </w:rPr>
        <w:t>dzinárodný normalizovaný pomer,</w:t>
      </w:r>
      <w:r w:rsidRPr="005E28C5">
        <w:rPr>
          <w:bCs/>
          <w:iCs/>
          <w:sz w:val="22"/>
          <w:szCs w:val="22"/>
        </w:rPr>
        <w:t xml:space="preserve"> International Normalized Ratio (INR) (pozri časť 4.5).</w:t>
      </w:r>
    </w:p>
    <w:p w:rsidR="00052CEF" w:rsidRPr="005E28C5" w:rsidRDefault="00052CEF" w:rsidP="00052CEF">
      <w:pPr>
        <w:adjustRightInd w:val="0"/>
        <w:snapToGrid w:val="0"/>
        <w:spacing w:after="0"/>
        <w:rPr>
          <w:bCs/>
          <w:iCs/>
          <w:sz w:val="22"/>
          <w:szCs w:val="22"/>
          <w:u w:val="single"/>
        </w:rPr>
      </w:pPr>
    </w:p>
    <w:p w:rsidR="00A5462F" w:rsidRPr="005E28C5" w:rsidRDefault="00A5462F" w:rsidP="00052CEF">
      <w:pPr>
        <w:adjustRightInd w:val="0"/>
        <w:snapToGrid w:val="0"/>
        <w:spacing w:after="0"/>
        <w:rPr>
          <w:bCs/>
          <w:iCs/>
          <w:sz w:val="22"/>
          <w:szCs w:val="22"/>
          <w:u w:val="single"/>
        </w:rPr>
      </w:pPr>
      <w:r w:rsidRPr="005E28C5">
        <w:rPr>
          <w:bCs/>
          <w:iCs/>
          <w:sz w:val="22"/>
          <w:szCs w:val="22"/>
          <w:u w:val="single"/>
        </w:rPr>
        <w:t>Pomocná látka</w:t>
      </w:r>
    </w:p>
    <w:p w:rsidR="00052CEF" w:rsidRPr="005E28C5" w:rsidRDefault="00EA0DFD" w:rsidP="00052CEF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Pacienti so zriedkavými dedičnými problémami galaktózovej intolerancie, lapónskeho deficitu laktázy alebo glukózo-galaktózovej malabsorpcie </w:t>
      </w:r>
      <w:r w:rsidR="000146F9">
        <w:rPr>
          <w:sz w:val="22"/>
          <w:szCs w:val="22"/>
        </w:rPr>
        <w:t>nesmú</w:t>
      </w:r>
      <w:r w:rsidR="000146F9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užívať tento liek.</w:t>
      </w:r>
    </w:p>
    <w:p w:rsidR="00052CEF" w:rsidRPr="005E28C5" w:rsidRDefault="00052CEF" w:rsidP="00052CEF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052CEF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4.5</w:t>
      </w:r>
      <w:r w:rsidRPr="005E28C5">
        <w:rPr>
          <w:b/>
          <w:sz w:val="22"/>
          <w:szCs w:val="22"/>
        </w:rPr>
        <w:tab/>
      </w:r>
      <w:smartTag w:uri="urn:schemas-microsoft-com:office:smarttags" w:element="PersonName">
        <w:r w:rsidR="00F7686C" w:rsidRPr="005E28C5">
          <w:rPr>
            <w:b/>
            <w:sz w:val="22"/>
            <w:szCs w:val="22"/>
          </w:rPr>
          <w:t>Liek</w:t>
        </w:r>
      </w:smartTag>
      <w:r w:rsidR="00F7686C" w:rsidRPr="005E28C5">
        <w:rPr>
          <w:b/>
          <w:sz w:val="22"/>
          <w:szCs w:val="22"/>
        </w:rPr>
        <w:t>ové</w:t>
      </w:r>
      <w:r w:rsidR="0020794C" w:rsidRPr="005E28C5">
        <w:rPr>
          <w:b/>
          <w:sz w:val="22"/>
          <w:szCs w:val="22"/>
        </w:rPr>
        <w:t xml:space="preserve"> a </w:t>
      </w:r>
      <w:r w:rsidR="00F7686C" w:rsidRPr="005E28C5">
        <w:rPr>
          <w:b/>
          <w:sz w:val="22"/>
          <w:szCs w:val="22"/>
        </w:rPr>
        <w:t>iné interakcie</w:t>
      </w:r>
    </w:p>
    <w:p w:rsidR="00052CEF" w:rsidRPr="005E28C5" w:rsidRDefault="00052CEF" w:rsidP="00052CEF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79716C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predklinických štúdiách sa preukázalo, že ezetimib neindukuje enzýmy cytochrómu P450, ktoré metabolizujú lieky. Nepozorovali sa žiadne klinicky významné farmakokinetické interakcie medzi ezetimibom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liekmi,</w:t>
      </w:r>
      <w:r w:rsidR="0020794C" w:rsidRPr="005E28C5">
        <w:rPr>
          <w:sz w:val="22"/>
          <w:szCs w:val="22"/>
        </w:rPr>
        <w:t xml:space="preserve"> o </w:t>
      </w:r>
      <w:r w:rsidRPr="005E28C5">
        <w:rPr>
          <w:sz w:val="22"/>
          <w:szCs w:val="22"/>
        </w:rPr>
        <w:t>ktorých je známe, že sú metabolizované cytochrómami P450 1A2, 2D6, 2C8, 2C9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3A4 alebo N-acetyltra</w:t>
      </w:r>
      <w:r w:rsidR="0079716C">
        <w:rPr>
          <w:sz w:val="22"/>
          <w:szCs w:val="22"/>
        </w:rPr>
        <w:t>n</w:t>
      </w:r>
      <w:r w:rsidRPr="0079716C">
        <w:rPr>
          <w:sz w:val="22"/>
          <w:szCs w:val="22"/>
        </w:rPr>
        <w:t>sferázou.</w:t>
      </w:r>
    </w:p>
    <w:p w:rsidR="00257F29" w:rsidRDefault="00257F29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>V</w:t>
      </w:r>
      <w:r w:rsidR="006C428E" w:rsidRPr="000D7562">
        <w:rPr>
          <w:sz w:val="22"/>
          <w:szCs w:val="22"/>
        </w:rPr>
        <w:t> </w:t>
      </w:r>
      <w:r w:rsidRPr="000D7562">
        <w:rPr>
          <w:sz w:val="22"/>
          <w:szCs w:val="22"/>
        </w:rPr>
        <w:t>štúdiách klinických interakcií</w:t>
      </w:r>
      <w:r w:rsidR="005C4767" w:rsidRPr="000D7562">
        <w:rPr>
          <w:sz w:val="22"/>
          <w:szCs w:val="22"/>
        </w:rPr>
        <w:t xml:space="preserve"> </w:t>
      </w:r>
      <w:r w:rsidRPr="000D7562">
        <w:rPr>
          <w:sz w:val="22"/>
          <w:szCs w:val="22"/>
        </w:rPr>
        <w:t>nemal ezetimib žiadn</w:t>
      </w:r>
      <w:r w:rsidR="002A25F4" w:rsidRPr="000D7562">
        <w:rPr>
          <w:sz w:val="22"/>
          <w:szCs w:val="22"/>
        </w:rPr>
        <w:t>y</w:t>
      </w:r>
      <w:r w:rsidRPr="000D7562">
        <w:rPr>
          <w:sz w:val="22"/>
          <w:szCs w:val="22"/>
        </w:rPr>
        <w:t xml:space="preserve"> vplyv na farmakokinetiku súčasne podávaného</w:t>
      </w:r>
      <w:r w:rsidR="005C4767" w:rsidRPr="00CC5179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daps</w:t>
      </w:r>
      <w:r w:rsidR="00C520AA" w:rsidRPr="005E28C5">
        <w:rPr>
          <w:sz w:val="22"/>
          <w:szCs w:val="22"/>
        </w:rPr>
        <w:t>ó</w:t>
      </w:r>
      <w:r w:rsidRPr="005E28C5">
        <w:rPr>
          <w:sz w:val="22"/>
          <w:szCs w:val="22"/>
        </w:rPr>
        <w:t>nu, dextrometorf</w:t>
      </w:r>
      <w:r w:rsidR="00752D96" w:rsidRPr="005E28C5">
        <w:rPr>
          <w:sz w:val="22"/>
          <w:szCs w:val="22"/>
        </w:rPr>
        <w:t>á</w:t>
      </w:r>
      <w:r w:rsidRPr="005E28C5">
        <w:rPr>
          <w:sz w:val="22"/>
          <w:szCs w:val="22"/>
        </w:rPr>
        <w:t>nu, digoxínu, perorálnych kontraceptív (etinylestradiol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levonorgestrel), glipizidu, tolbutamidu</w:t>
      </w:r>
      <w:r w:rsidR="009B4842" w:rsidRPr="005E28C5">
        <w:rPr>
          <w:sz w:val="22"/>
          <w:szCs w:val="22"/>
        </w:rPr>
        <w:t xml:space="preserve"> alebo</w:t>
      </w:r>
      <w:r w:rsidRPr="005E28C5">
        <w:rPr>
          <w:sz w:val="22"/>
          <w:szCs w:val="22"/>
        </w:rPr>
        <w:t xml:space="preserve"> midazolamu. Cimetidín p</w:t>
      </w:r>
      <w:r w:rsidR="002A25F4" w:rsidRPr="005E28C5">
        <w:rPr>
          <w:sz w:val="22"/>
          <w:szCs w:val="22"/>
        </w:rPr>
        <w:t>odávaný</w:t>
      </w:r>
      <w:r w:rsidR="00A31E8C" w:rsidRPr="005E28C5">
        <w:rPr>
          <w:sz w:val="22"/>
          <w:szCs w:val="22"/>
        </w:rPr>
        <w:t xml:space="preserve"> súbežne</w:t>
      </w:r>
      <w:r w:rsidR="0020794C" w:rsidRPr="005E28C5">
        <w:rPr>
          <w:sz w:val="22"/>
          <w:szCs w:val="22"/>
        </w:rPr>
        <w:t xml:space="preserve"> s </w:t>
      </w:r>
      <w:r w:rsidR="002A25F4" w:rsidRPr="005E28C5">
        <w:rPr>
          <w:sz w:val="22"/>
          <w:szCs w:val="22"/>
        </w:rPr>
        <w:t>ezetimibom nemal žiadny</w:t>
      </w:r>
      <w:r w:rsidRPr="005E28C5">
        <w:rPr>
          <w:sz w:val="22"/>
          <w:szCs w:val="22"/>
        </w:rPr>
        <w:t xml:space="preserve"> vplyv na biologickú dostupnosť ezetimibu.</w:t>
      </w:r>
    </w:p>
    <w:p w:rsidR="00F7686C" w:rsidRPr="005E28C5" w:rsidRDefault="00F7686C" w:rsidP="00F30C0D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A31E8C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Antacidá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Súčasné podanie antacíd znížilo mieru absorpcie ezetimibu, ale nemalo žiad</w:t>
      </w:r>
      <w:r w:rsidR="00FA5556" w:rsidRPr="005E28C5">
        <w:rPr>
          <w:sz w:val="22"/>
          <w:szCs w:val="22"/>
        </w:rPr>
        <w:t>ny</w:t>
      </w:r>
      <w:r w:rsidRPr="005E28C5">
        <w:rPr>
          <w:sz w:val="22"/>
          <w:szCs w:val="22"/>
        </w:rPr>
        <w:t xml:space="preserve"> vplyv na jeho biologickú dostupnosť. Toto zníženie miery absorpcie sa nepovažuje za klinicky významné.</w:t>
      </w:r>
    </w:p>
    <w:p w:rsidR="00F7686C" w:rsidRPr="005E28C5" w:rsidRDefault="00F7686C" w:rsidP="00F30C0D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A31E8C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Cholestyramín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Súčasné podanie cholestyramínu znížilo priemernú plochu pod krivkou (AUC) celkového ezetimibu (ezetimib + ezetimib-glukuronid) približne</w:t>
      </w:r>
      <w:r w:rsidR="0020794C" w:rsidRPr="005E28C5">
        <w:rPr>
          <w:sz w:val="22"/>
          <w:szCs w:val="22"/>
        </w:rPr>
        <w:t xml:space="preserve"> o </w:t>
      </w:r>
      <w:r w:rsidRPr="005E28C5">
        <w:rPr>
          <w:sz w:val="22"/>
          <w:szCs w:val="22"/>
        </w:rPr>
        <w:t>55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>. Prírastok zníženia LDL cholesterolu (LDL-C)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 xml:space="preserve">dôsledku pridania </w:t>
      </w:r>
      <w:r w:rsidR="00A31E8C" w:rsidRPr="005E28C5">
        <w:rPr>
          <w:sz w:val="22"/>
          <w:szCs w:val="22"/>
        </w:rPr>
        <w:t>ezetimibu</w:t>
      </w:r>
      <w:r w:rsidR="0020794C" w:rsidRPr="005E28C5">
        <w:rPr>
          <w:sz w:val="22"/>
          <w:szCs w:val="22"/>
        </w:rPr>
        <w:t xml:space="preserve"> k </w:t>
      </w:r>
      <w:r w:rsidRPr="005E28C5">
        <w:rPr>
          <w:sz w:val="22"/>
          <w:szCs w:val="22"/>
        </w:rPr>
        <w:t>cholestyramínu môže byť touto interakciou zmenšený (pozri časť 4.2).</w:t>
      </w:r>
    </w:p>
    <w:p w:rsidR="00F7686C" w:rsidRPr="005E28C5" w:rsidRDefault="00F7686C" w:rsidP="00F30C0D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A31E8C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Fibráty</w:t>
      </w:r>
    </w:p>
    <w:p w:rsidR="004D7E97" w:rsidRPr="005E28C5" w:rsidRDefault="004D7E97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U pacientov užívajúcich fenofibrát</w:t>
      </w:r>
      <w:r w:rsidR="0020794C" w:rsidRPr="005E28C5">
        <w:rPr>
          <w:sz w:val="22"/>
          <w:szCs w:val="22"/>
        </w:rPr>
        <w:t xml:space="preserve"> a </w:t>
      </w:r>
      <w:r w:rsidR="009A5EBD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</w:t>
      </w:r>
      <w:r w:rsidR="00457296" w:rsidRPr="005E28C5">
        <w:rPr>
          <w:sz w:val="22"/>
          <w:szCs w:val="22"/>
        </w:rPr>
        <w:t xml:space="preserve">si </w:t>
      </w:r>
      <w:r w:rsidRPr="005E28C5">
        <w:rPr>
          <w:sz w:val="22"/>
          <w:szCs w:val="22"/>
        </w:rPr>
        <w:t xml:space="preserve">má </w:t>
      </w:r>
      <w:r w:rsidR="00457296" w:rsidRPr="005E28C5">
        <w:rPr>
          <w:sz w:val="22"/>
          <w:szCs w:val="22"/>
        </w:rPr>
        <w:t>byť</w:t>
      </w:r>
      <w:r w:rsidR="0082568E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lekár vedom</w:t>
      </w:r>
      <w:r w:rsidR="00457296" w:rsidRPr="005E28C5">
        <w:rPr>
          <w:sz w:val="22"/>
          <w:szCs w:val="22"/>
        </w:rPr>
        <w:t>ý</w:t>
      </w:r>
      <w:r w:rsidRPr="005E28C5">
        <w:rPr>
          <w:sz w:val="22"/>
          <w:szCs w:val="22"/>
        </w:rPr>
        <w:t xml:space="preserve"> možné</w:t>
      </w:r>
      <w:r w:rsidR="00457296" w:rsidRPr="005E28C5">
        <w:rPr>
          <w:sz w:val="22"/>
          <w:szCs w:val="22"/>
        </w:rPr>
        <w:t>ho</w:t>
      </w:r>
      <w:r w:rsidRPr="005E28C5">
        <w:rPr>
          <w:sz w:val="22"/>
          <w:szCs w:val="22"/>
        </w:rPr>
        <w:t xml:space="preserve"> rizik</w:t>
      </w:r>
      <w:r w:rsidR="00457296" w:rsidRPr="005E28C5">
        <w:rPr>
          <w:sz w:val="22"/>
          <w:szCs w:val="22"/>
        </w:rPr>
        <w:t>a</w:t>
      </w:r>
      <w:r w:rsidRPr="005E28C5">
        <w:rPr>
          <w:sz w:val="22"/>
          <w:szCs w:val="22"/>
        </w:rPr>
        <w:t xml:space="preserve"> cholelitiázy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ochoreni</w:t>
      </w:r>
      <w:r w:rsidR="0082568E" w:rsidRPr="005E28C5">
        <w:rPr>
          <w:sz w:val="22"/>
          <w:szCs w:val="22"/>
        </w:rPr>
        <w:t>a</w:t>
      </w:r>
      <w:r w:rsidRPr="005E28C5">
        <w:rPr>
          <w:sz w:val="22"/>
          <w:szCs w:val="22"/>
        </w:rPr>
        <w:t xml:space="preserve"> žlčníka (pozri časti 4.4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4.8).</w:t>
      </w:r>
    </w:p>
    <w:p w:rsidR="004D7E97" w:rsidRPr="005E28C5" w:rsidRDefault="004D7E97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4D7E97" w:rsidRPr="005E28C5" w:rsidRDefault="004D7E97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Ak je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 xml:space="preserve">pacienta užívajúceho </w:t>
      </w:r>
      <w:r w:rsidR="003B3B70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fenofibrát podozrenie na cholelitiázu, je indikované vyšetrenie žlčníka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táto liečba sa má prerušiť (pozri časť 4.8).</w:t>
      </w:r>
    </w:p>
    <w:p w:rsidR="00D04834" w:rsidRPr="005E28C5" w:rsidRDefault="00D04834" w:rsidP="00D04834">
      <w:pPr>
        <w:adjustRightInd w:val="0"/>
        <w:snapToGrid w:val="0"/>
        <w:spacing w:after="0"/>
        <w:rPr>
          <w:sz w:val="22"/>
          <w:szCs w:val="22"/>
        </w:rPr>
      </w:pPr>
    </w:p>
    <w:p w:rsidR="00D04834" w:rsidRPr="005E28C5" w:rsidRDefault="00D04834" w:rsidP="00D04834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Súčasné podanie fenofibrátu alebo gemfibrozilu </w:t>
      </w:r>
      <w:r w:rsidR="00557398" w:rsidRPr="005E28C5">
        <w:rPr>
          <w:sz w:val="22"/>
          <w:szCs w:val="22"/>
        </w:rPr>
        <w:t xml:space="preserve">mierne </w:t>
      </w:r>
      <w:r w:rsidRPr="005E28C5">
        <w:rPr>
          <w:sz w:val="22"/>
          <w:szCs w:val="22"/>
        </w:rPr>
        <w:t xml:space="preserve">zvýšilo celkové koncentrácie ezetimibu </w:t>
      </w:r>
      <w:r w:rsidR="00557398" w:rsidRPr="005E28C5">
        <w:rPr>
          <w:sz w:val="22"/>
          <w:szCs w:val="22"/>
        </w:rPr>
        <w:t>(</w:t>
      </w:r>
      <w:r w:rsidRPr="005E28C5">
        <w:rPr>
          <w:sz w:val="22"/>
          <w:szCs w:val="22"/>
        </w:rPr>
        <w:t>približne 1,5</w:t>
      </w:r>
      <w:r w:rsidR="0071092E">
        <w:rPr>
          <w:sz w:val="22"/>
          <w:szCs w:val="22"/>
        </w:rPr>
        <w:t>-</w:t>
      </w:r>
      <w:r w:rsidRPr="005E28C5">
        <w:rPr>
          <w:sz w:val="22"/>
          <w:szCs w:val="22"/>
        </w:rPr>
        <w:t xml:space="preserve"> </w:t>
      </w:r>
      <w:r w:rsidR="00C520AA" w:rsidRPr="005E28C5">
        <w:rPr>
          <w:sz w:val="22"/>
          <w:szCs w:val="22"/>
        </w:rPr>
        <w:t>a</w:t>
      </w:r>
      <w:r w:rsidRPr="005E28C5">
        <w:rPr>
          <w:sz w:val="22"/>
          <w:szCs w:val="22"/>
        </w:rPr>
        <w:t xml:space="preserve"> 1,7-násobne</w:t>
      </w:r>
      <w:r w:rsidR="00557398" w:rsidRPr="005E28C5">
        <w:rPr>
          <w:sz w:val="22"/>
          <w:szCs w:val="22"/>
        </w:rPr>
        <w:t>)</w:t>
      </w:r>
      <w:r w:rsidRPr="005E28C5">
        <w:rPr>
          <w:sz w:val="22"/>
          <w:szCs w:val="22"/>
        </w:rPr>
        <w:t>.</w:t>
      </w:r>
    </w:p>
    <w:p w:rsidR="004D7E97" w:rsidRPr="005E28C5" w:rsidRDefault="004D7E97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4D7E97" w:rsidRPr="005E28C5" w:rsidRDefault="004D7E97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Sú</w:t>
      </w:r>
      <w:r w:rsidR="003B3B70" w:rsidRPr="005E28C5">
        <w:rPr>
          <w:sz w:val="22"/>
          <w:szCs w:val="22"/>
        </w:rPr>
        <w:t>bežné</w:t>
      </w:r>
      <w:r w:rsidRPr="005E28C5">
        <w:rPr>
          <w:sz w:val="22"/>
          <w:szCs w:val="22"/>
        </w:rPr>
        <w:t xml:space="preserve"> podávanie </w:t>
      </w:r>
      <w:r w:rsidR="003B3B70" w:rsidRPr="005E28C5">
        <w:rPr>
          <w:sz w:val="22"/>
          <w:szCs w:val="22"/>
        </w:rPr>
        <w:t>ezetimibu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inými fibrátmi sa neštudovalo.</w:t>
      </w:r>
    </w:p>
    <w:p w:rsidR="004D7E97" w:rsidRPr="005E28C5" w:rsidRDefault="004D7E97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Fibráty môžu zvýšiť vylučovanie cholesterolu do žlče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tým viesť</w:t>
      </w:r>
      <w:r w:rsidR="0020794C" w:rsidRPr="005E28C5">
        <w:rPr>
          <w:sz w:val="22"/>
          <w:szCs w:val="22"/>
        </w:rPr>
        <w:t xml:space="preserve"> k </w:t>
      </w:r>
      <w:r w:rsidRPr="005E28C5">
        <w:rPr>
          <w:sz w:val="22"/>
          <w:szCs w:val="22"/>
        </w:rPr>
        <w:t>cholelitiáze.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štúdi</w:t>
      </w:r>
      <w:r w:rsidR="00C55C31" w:rsidRPr="005E28C5">
        <w:rPr>
          <w:sz w:val="22"/>
          <w:szCs w:val="22"/>
        </w:rPr>
        <w:t>ách</w:t>
      </w:r>
      <w:r w:rsidRPr="005E28C5">
        <w:rPr>
          <w:sz w:val="22"/>
          <w:szCs w:val="22"/>
        </w:rPr>
        <w:t xml:space="preserve"> na </w:t>
      </w:r>
      <w:r w:rsidR="00C55C31" w:rsidRPr="005E28C5">
        <w:rPr>
          <w:sz w:val="22"/>
          <w:szCs w:val="22"/>
        </w:rPr>
        <w:t>zvieratách</w:t>
      </w:r>
      <w:r w:rsidRPr="005E28C5">
        <w:rPr>
          <w:sz w:val="22"/>
          <w:szCs w:val="22"/>
        </w:rPr>
        <w:t xml:space="preserve"> ezetimib </w:t>
      </w:r>
      <w:r w:rsidR="00557398" w:rsidRPr="005E28C5">
        <w:rPr>
          <w:sz w:val="22"/>
          <w:szCs w:val="22"/>
        </w:rPr>
        <w:t xml:space="preserve">niekedy </w:t>
      </w:r>
      <w:r w:rsidRPr="005E28C5">
        <w:rPr>
          <w:sz w:val="22"/>
          <w:szCs w:val="22"/>
        </w:rPr>
        <w:t>zvýšil cholesterol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žlčníkovej žlči</w:t>
      </w:r>
      <w:r w:rsidR="00557398" w:rsidRPr="005E28C5">
        <w:rPr>
          <w:sz w:val="22"/>
          <w:szCs w:val="22"/>
        </w:rPr>
        <w:t>, nie však u všetkých druhov</w:t>
      </w:r>
      <w:r w:rsidR="00C55C31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(pozri časť 5.3). </w:t>
      </w:r>
      <w:r w:rsidR="00C55C31" w:rsidRPr="005E28C5">
        <w:rPr>
          <w:sz w:val="22"/>
          <w:szCs w:val="22"/>
        </w:rPr>
        <w:t>Litogénne riziko spojené</w:t>
      </w:r>
      <w:r w:rsidR="00BB44EA" w:rsidRPr="005E28C5">
        <w:rPr>
          <w:sz w:val="22"/>
          <w:szCs w:val="22"/>
        </w:rPr>
        <w:t xml:space="preserve"> s </w:t>
      </w:r>
      <w:r w:rsidR="00C55C31" w:rsidRPr="005E28C5">
        <w:rPr>
          <w:sz w:val="22"/>
          <w:szCs w:val="22"/>
        </w:rPr>
        <w:t xml:space="preserve">terapeutickým použitím </w:t>
      </w:r>
      <w:r w:rsidR="003B3B70" w:rsidRPr="005E28C5">
        <w:rPr>
          <w:sz w:val="22"/>
          <w:szCs w:val="22"/>
        </w:rPr>
        <w:t>ezetimibu</w:t>
      </w:r>
      <w:r w:rsidR="00C55C31" w:rsidRPr="005E28C5">
        <w:rPr>
          <w:sz w:val="22"/>
          <w:szCs w:val="22"/>
        </w:rPr>
        <w:t xml:space="preserve"> nie je možné vylúčiť.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3B3B70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Statíny</w:t>
      </w:r>
    </w:p>
    <w:p w:rsidR="005F219D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lastRenderedPageBreak/>
        <w:t>Pri súčasnom podaní ezetimibu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atorvastatínom, simvastatínom, pravastatínom, lovastatínom</w:t>
      </w:r>
      <w:r w:rsidR="009B4842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fluvastatínom </w:t>
      </w:r>
      <w:r w:rsidR="009B4842" w:rsidRPr="005E28C5">
        <w:rPr>
          <w:sz w:val="22"/>
          <w:szCs w:val="22"/>
        </w:rPr>
        <w:t xml:space="preserve">alebo rosuvastatínom </w:t>
      </w:r>
      <w:r w:rsidRPr="005E28C5">
        <w:rPr>
          <w:sz w:val="22"/>
          <w:szCs w:val="22"/>
        </w:rPr>
        <w:t>sa nepozorovali žiadne klinicky signifikantné farmakokinetické interakcie.</w:t>
      </w:r>
    </w:p>
    <w:p w:rsidR="00556A5E" w:rsidRPr="005E28C5" w:rsidRDefault="00556A5E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3B3B70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Cyklosporín</w:t>
      </w:r>
    </w:p>
    <w:p w:rsidR="009B4842" w:rsidRPr="005E28C5" w:rsidRDefault="0020794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</w:t>
      </w:r>
      <w:r w:rsidRPr="005E28C5">
        <w:rPr>
          <w:b/>
          <w:i/>
          <w:sz w:val="22"/>
          <w:szCs w:val="22"/>
        </w:rPr>
        <w:t> </w:t>
      </w:r>
      <w:r w:rsidR="00F7686C" w:rsidRPr="005E28C5">
        <w:rPr>
          <w:sz w:val="22"/>
          <w:szCs w:val="22"/>
        </w:rPr>
        <w:t>štúdii ôsmich pacientov po transplantácii obličk</w:t>
      </w:r>
      <w:r w:rsidR="00C520AA" w:rsidRPr="005E28C5">
        <w:rPr>
          <w:sz w:val="22"/>
          <w:szCs w:val="22"/>
        </w:rPr>
        <w:t>y</w:t>
      </w:r>
      <w:r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 xml:space="preserve">klírensom kreatinínu </w:t>
      </w:r>
      <w:r w:rsidR="00340272" w:rsidRPr="005E28C5">
        <w:rPr>
          <w:sz w:val="22"/>
          <w:szCs w:val="22"/>
        </w:rPr>
        <w:t>&gt;</w:t>
      </w:r>
      <w:r w:rsidR="0071092E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50</w:t>
      </w:r>
      <w:r w:rsidRPr="005E28C5">
        <w:rPr>
          <w:sz w:val="22"/>
          <w:szCs w:val="22"/>
        </w:rPr>
        <w:t> ml</w:t>
      </w:r>
      <w:r w:rsidR="00F7686C" w:rsidRPr="005E28C5">
        <w:rPr>
          <w:sz w:val="22"/>
          <w:szCs w:val="22"/>
        </w:rPr>
        <w:t xml:space="preserve">/min na stabilnej dávke cyklosporínu mala jednorazová 10-mg dávka </w:t>
      </w:r>
      <w:r w:rsidR="003B3B70" w:rsidRPr="005E28C5">
        <w:rPr>
          <w:sz w:val="22"/>
          <w:szCs w:val="22"/>
        </w:rPr>
        <w:t>ezetimibu</w:t>
      </w:r>
      <w:r w:rsidR="009B4842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za následok 3,4-násobné (rozsah 2,3</w:t>
      </w:r>
      <w:r w:rsidR="0071092E">
        <w:rPr>
          <w:sz w:val="22"/>
          <w:szCs w:val="22"/>
        </w:rPr>
        <w:t>-</w:t>
      </w:r>
      <w:r w:rsidR="00F7686C" w:rsidRPr="005E28C5">
        <w:rPr>
          <w:sz w:val="22"/>
          <w:szCs w:val="22"/>
        </w:rPr>
        <w:t xml:space="preserve"> až 7,9-násobné) zvýšenie priemernej AUC celkového ezetimibu</w:t>
      </w:r>
      <w:r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porovnaní</w:t>
      </w:r>
      <w:r w:rsidRPr="005E28C5">
        <w:rPr>
          <w:sz w:val="22"/>
          <w:szCs w:val="22"/>
        </w:rPr>
        <w:t xml:space="preserve"> so </w:t>
      </w:r>
      <w:r w:rsidR="00F7686C" w:rsidRPr="005E28C5">
        <w:rPr>
          <w:sz w:val="22"/>
          <w:szCs w:val="22"/>
        </w:rPr>
        <w:t>zdravou kontrolnou populáciou</w:t>
      </w:r>
      <w:r w:rsidR="006C428E" w:rsidRPr="005E28C5">
        <w:rPr>
          <w:sz w:val="22"/>
          <w:szCs w:val="22"/>
        </w:rPr>
        <w:t>, ktorá dostávala samotný ezetimib</w:t>
      </w:r>
      <w:r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inej štúdi</w:t>
      </w:r>
      <w:r w:rsidR="006C428E" w:rsidRPr="005E28C5">
        <w:rPr>
          <w:sz w:val="22"/>
          <w:szCs w:val="22"/>
        </w:rPr>
        <w:t>i</w:t>
      </w:r>
      <w:r w:rsidR="00F7686C" w:rsidRPr="005E28C5">
        <w:rPr>
          <w:sz w:val="22"/>
          <w:szCs w:val="22"/>
        </w:rPr>
        <w:t xml:space="preserve"> (n=</w:t>
      </w:r>
      <w:r w:rsidR="00121AA2" w:rsidRPr="005E28C5">
        <w:rPr>
          <w:sz w:val="22"/>
          <w:szCs w:val="22"/>
        </w:rPr>
        <w:t>17).</w:t>
      </w:r>
      <w:r w:rsidRPr="005E28C5">
        <w:rPr>
          <w:sz w:val="22"/>
          <w:szCs w:val="22"/>
        </w:rPr>
        <w:t xml:space="preserve"> V </w:t>
      </w:r>
      <w:r w:rsidR="00121AA2" w:rsidRPr="005E28C5">
        <w:rPr>
          <w:sz w:val="22"/>
          <w:szCs w:val="22"/>
        </w:rPr>
        <w:t>inej štúdii</w:t>
      </w:r>
      <w:r w:rsidR="00F7686C" w:rsidRPr="005E28C5">
        <w:rPr>
          <w:sz w:val="22"/>
          <w:szCs w:val="22"/>
        </w:rPr>
        <w:t xml:space="preserve"> </w:t>
      </w:r>
      <w:r w:rsidR="00752D96" w:rsidRPr="005E28C5">
        <w:rPr>
          <w:sz w:val="22"/>
          <w:szCs w:val="22"/>
        </w:rPr>
        <w:t xml:space="preserve">mal </w:t>
      </w:r>
      <w:r w:rsidR="00F7686C" w:rsidRPr="005E28C5">
        <w:rPr>
          <w:sz w:val="22"/>
          <w:szCs w:val="22"/>
        </w:rPr>
        <w:t>pacient</w:t>
      </w:r>
      <w:r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>transplantovanou obličkou</w:t>
      </w:r>
      <w:r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 xml:space="preserve">ťažkou renálnou insuficienciou, ktorý užíval </w:t>
      </w:r>
      <w:r w:rsidR="00E84512" w:rsidRPr="005E28C5">
        <w:rPr>
          <w:sz w:val="22"/>
          <w:szCs w:val="22"/>
        </w:rPr>
        <w:t>cyklosporín</w:t>
      </w:r>
      <w:r w:rsidRPr="005E28C5">
        <w:rPr>
          <w:sz w:val="22"/>
          <w:szCs w:val="22"/>
        </w:rPr>
        <w:t xml:space="preserve"> a </w:t>
      </w:r>
      <w:r w:rsidR="00E84512" w:rsidRPr="005E28C5">
        <w:rPr>
          <w:sz w:val="22"/>
          <w:szCs w:val="22"/>
        </w:rPr>
        <w:t xml:space="preserve">inú </w:t>
      </w:r>
      <w:r w:rsidR="00F7686C" w:rsidRPr="005E28C5">
        <w:rPr>
          <w:sz w:val="22"/>
          <w:szCs w:val="22"/>
        </w:rPr>
        <w:t>mnohopočetnú liečbu</w:t>
      </w:r>
      <w:r w:rsidR="005807B1" w:rsidRPr="005E28C5">
        <w:rPr>
          <w:sz w:val="22"/>
          <w:szCs w:val="22"/>
        </w:rPr>
        <w:t>,</w:t>
      </w:r>
      <w:r w:rsidR="00F7686C" w:rsidRPr="005E28C5">
        <w:rPr>
          <w:sz w:val="22"/>
          <w:szCs w:val="22"/>
        </w:rPr>
        <w:t xml:space="preserve"> 12-násobne </w:t>
      </w:r>
      <w:r w:rsidR="00121AA2" w:rsidRPr="005E28C5">
        <w:rPr>
          <w:sz w:val="22"/>
          <w:szCs w:val="22"/>
        </w:rPr>
        <w:t>vyššiu expozíciu</w:t>
      </w:r>
      <w:r w:rsidRPr="005E28C5">
        <w:rPr>
          <w:sz w:val="22"/>
          <w:szCs w:val="22"/>
        </w:rPr>
        <w:t xml:space="preserve"> k </w:t>
      </w:r>
      <w:r w:rsidR="00F7686C" w:rsidRPr="005E28C5">
        <w:rPr>
          <w:sz w:val="22"/>
          <w:szCs w:val="22"/>
        </w:rPr>
        <w:t>celkovému ezetimibu</w:t>
      </w:r>
      <w:r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porovnaní</w:t>
      </w:r>
      <w:r w:rsidRPr="005E28C5">
        <w:rPr>
          <w:sz w:val="22"/>
          <w:szCs w:val="22"/>
        </w:rPr>
        <w:t xml:space="preserve"> so </w:t>
      </w:r>
      <w:r w:rsidR="00F7686C" w:rsidRPr="005E28C5">
        <w:rPr>
          <w:sz w:val="22"/>
          <w:szCs w:val="22"/>
        </w:rPr>
        <w:t>súbežnými kontrolami</w:t>
      </w:r>
      <w:r w:rsidR="00E84512" w:rsidRPr="005E28C5">
        <w:rPr>
          <w:sz w:val="22"/>
          <w:szCs w:val="22"/>
        </w:rPr>
        <w:t xml:space="preserve"> užívajúcimi samotný </w:t>
      </w:r>
      <w:r w:rsidR="00E84512" w:rsidRPr="00EC2DD4">
        <w:rPr>
          <w:sz w:val="22"/>
          <w:szCs w:val="22"/>
        </w:rPr>
        <w:t>ezetimib</w:t>
      </w:r>
      <w:r w:rsidR="009B4842" w:rsidRPr="00EC2DD4">
        <w:rPr>
          <w:sz w:val="22"/>
          <w:szCs w:val="22"/>
        </w:rPr>
        <w:t>.</w:t>
      </w:r>
      <w:r w:rsidRPr="00EC2DD4">
        <w:rPr>
          <w:sz w:val="22"/>
          <w:szCs w:val="22"/>
        </w:rPr>
        <w:t xml:space="preserve"> V</w:t>
      </w:r>
      <w:r w:rsidR="007B7D54">
        <w:rPr>
          <w:sz w:val="22"/>
          <w:szCs w:val="22"/>
        </w:rPr>
        <w:t> </w:t>
      </w:r>
      <w:r w:rsidR="009B4842" w:rsidRPr="00EC2DD4">
        <w:rPr>
          <w:sz w:val="22"/>
          <w:szCs w:val="22"/>
        </w:rPr>
        <w:t>skrížen</w:t>
      </w:r>
      <w:r w:rsidR="0071092E" w:rsidRPr="00EC2DD4">
        <w:rPr>
          <w:sz w:val="22"/>
          <w:szCs w:val="22"/>
        </w:rPr>
        <w:t>om</w:t>
      </w:r>
      <w:r w:rsidR="007B7D54">
        <w:rPr>
          <w:sz w:val="22"/>
          <w:szCs w:val="22"/>
        </w:rPr>
        <w:t xml:space="preserve"> </w:t>
      </w:r>
      <w:r w:rsidR="0071092E">
        <w:rPr>
          <w:sz w:val="22"/>
          <w:szCs w:val="22"/>
        </w:rPr>
        <w:t>skúšaní</w:t>
      </w:r>
      <w:r w:rsidR="00EC2DD4">
        <w:rPr>
          <w:sz w:val="22"/>
          <w:szCs w:val="22"/>
        </w:rPr>
        <w:t xml:space="preserve"> v dvoch obdobiach</w:t>
      </w:r>
      <w:r w:rsidRPr="005E28C5">
        <w:rPr>
          <w:sz w:val="22"/>
          <w:szCs w:val="22"/>
        </w:rPr>
        <w:t xml:space="preserve"> s </w:t>
      </w:r>
      <w:r w:rsidR="009B4842" w:rsidRPr="005E28C5">
        <w:rPr>
          <w:sz w:val="22"/>
          <w:szCs w:val="22"/>
        </w:rPr>
        <w:t xml:space="preserve">dvanástimi zdravými </w:t>
      </w:r>
      <w:r w:rsidR="0071092E">
        <w:rPr>
          <w:sz w:val="22"/>
          <w:szCs w:val="22"/>
        </w:rPr>
        <w:t>osobami</w:t>
      </w:r>
      <w:r w:rsidR="0071092E" w:rsidRPr="005E28C5">
        <w:rPr>
          <w:sz w:val="22"/>
          <w:szCs w:val="22"/>
        </w:rPr>
        <w:t xml:space="preserve"> </w:t>
      </w:r>
      <w:r w:rsidR="009B4842" w:rsidRPr="005E28C5">
        <w:rPr>
          <w:sz w:val="22"/>
          <w:szCs w:val="22"/>
        </w:rPr>
        <w:t>viedlo denné podávanie 20</w:t>
      </w:r>
      <w:r w:rsidRPr="005E28C5">
        <w:rPr>
          <w:sz w:val="22"/>
          <w:szCs w:val="22"/>
        </w:rPr>
        <w:t> mg</w:t>
      </w:r>
      <w:r w:rsidR="009B4842" w:rsidRPr="005E28C5">
        <w:rPr>
          <w:sz w:val="22"/>
          <w:szCs w:val="22"/>
        </w:rPr>
        <w:t xml:space="preserve"> ezetimibu počas 8 dní</w:t>
      </w:r>
      <w:r w:rsidRPr="005E28C5">
        <w:rPr>
          <w:sz w:val="22"/>
          <w:szCs w:val="22"/>
        </w:rPr>
        <w:t xml:space="preserve"> s </w:t>
      </w:r>
      <w:r w:rsidR="009B4842" w:rsidRPr="005E28C5">
        <w:rPr>
          <w:sz w:val="22"/>
          <w:szCs w:val="22"/>
        </w:rPr>
        <w:t>jednorazovou 100-mg dávkou cyklosporínu na 7.</w:t>
      </w:r>
      <w:r w:rsidR="00752D96" w:rsidRPr="005E28C5">
        <w:rPr>
          <w:sz w:val="22"/>
          <w:szCs w:val="22"/>
        </w:rPr>
        <w:t xml:space="preserve"> </w:t>
      </w:r>
      <w:r w:rsidR="009B4842" w:rsidRPr="005E28C5">
        <w:rPr>
          <w:sz w:val="22"/>
          <w:szCs w:val="22"/>
        </w:rPr>
        <w:t>deň</w:t>
      </w:r>
      <w:r w:rsidRPr="005E28C5">
        <w:rPr>
          <w:sz w:val="22"/>
          <w:szCs w:val="22"/>
        </w:rPr>
        <w:t xml:space="preserve"> k </w:t>
      </w:r>
      <w:r w:rsidR="009B4842" w:rsidRPr="005E28C5">
        <w:rPr>
          <w:sz w:val="22"/>
          <w:szCs w:val="22"/>
        </w:rPr>
        <w:t>priemernému 15</w:t>
      </w:r>
      <w:r w:rsidRPr="005E28C5">
        <w:rPr>
          <w:sz w:val="22"/>
          <w:szCs w:val="22"/>
        </w:rPr>
        <w:t> %</w:t>
      </w:r>
      <w:r w:rsidR="009B4842" w:rsidRPr="005E28C5">
        <w:rPr>
          <w:sz w:val="22"/>
          <w:szCs w:val="22"/>
        </w:rPr>
        <w:t xml:space="preserve"> nárastu AUC cyklosporínu (rozmedzie 10</w:t>
      </w:r>
      <w:r w:rsidRPr="005E28C5">
        <w:rPr>
          <w:sz w:val="22"/>
          <w:szCs w:val="22"/>
        </w:rPr>
        <w:t> %</w:t>
      </w:r>
      <w:r w:rsidR="009B4842" w:rsidRPr="005E28C5">
        <w:rPr>
          <w:sz w:val="22"/>
          <w:szCs w:val="22"/>
        </w:rPr>
        <w:t xml:space="preserve"> pokles až 51</w:t>
      </w:r>
      <w:r w:rsidRPr="005E28C5">
        <w:rPr>
          <w:sz w:val="22"/>
          <w:szCs w:val="22"/>
        </w:rPr>
        <w:t> %</w:t>
      </w:r>
      <w:r w:rsidR="009B4842" w:rsidRPr="005E28C5">
        <w:rPr>
          <w:sz w:val="22"/>
          <w:szCs w:val="22"/>
        </w:rPr>
        <w:t xml:space="preserve"> nárast)</w:t>
      </w:r>
      <w:r w:rsidRPr="005E28C5">
        <w:rPr>
          <w:sz w:val="22"/>
          <w:szCs w:val="22"/>
        </w:rPr>
        <w:t xml:space="preserve"> v </w:t>
      </w:r>
      <w:r w:rsidR="009B4842" w:rsidRPr="005E28C5">
        <w:rPr>
          <w:sz w:val="22"/>
          <w:szCs w:val="22"/>
        </w:rPr>
        <w:t>porovnaní</w:t>
      </w:r>
      <w:r w:rsidRPr="005E28C5">
        <w:rPr>
          <w:sz w:val="22"/>
          <w:szCs w:val="22"/>
        </w:rPr>
        <w:t xml:space="preserve"> s </w:t>
      </w:r>
      <w:r w:rsidR="009B4842" w:rsidRPr="005E28C5">
        <w:rPr>
          <w:sz w:val="22"/>
          <w:szCs w:val="22"/>
        </w:rPr>
        <w:t>jednorazovou 100-mg dávkou samotného cyklosporínu.</w:t>
      </w:r>
      <w:r w:rsidR="00752D96" w:rsidRPr="005E28C5">
        <w:rPr>
          <w:sz w:val="22"/>
          <w:szCs w:val="22"/>
        </w:rPr>
        <w:t xml:space="preserve"> </w:t>
      </w:r>
      <w:r w:rsidR="00E84512" w:rsidRPr="005E28C5">
        <w:rPr>
          <w:sz w:val="22"/>
          <w:szCs w:val="22"/>
        </w:rPr>
        <w:t>Kontrolovan</w:t>
      </w:r>
      <w:r w:rsidR="0071092E">
        <w:rPr>
          <w:sz w:val="22"/>
          <w:szCs w:val="22"/>
        </w:rPr>
        <w:t>é</w:t>
      </w:r>
      <w:r w:rsidR="00E84512" w:rsidRPr="005E28C5">
        <w:rPr>
          <w:sz w:val="22"/>
          <w:szCs w:val="22"/>
        </w:rPr>
        <w:t xml:space="preserve"> </w:t>
      </w:r>
      <w:r w:rsidR="0071092E">
        <w:rPr>
          <w:sz w:val="22"/>
          <w:szCs w:val="22"/>
        </w:rPr>
        <w:t>skúšanie</w:t>
      </w:r>
      <w:r w:rsidR="0071092E" w:rsidRPr="005E28C5">
        <w:rPr>
          <w:sz w:val="22"/>
          <w:szCs w:val="22"/>
        </w:rPr>
        <w:t xml:space="preserve"> </w:t>
      </w:r>
      <w:r w:rsidR="00C520AA" w:rsidRPr="005E28C5">
        <w:rPr>
          <w:sz w:val="22"/>
          <w:szCs w:val="22"/>
        </w:rPr>
        <w:t>účinku</w:t>
      </w:r>
      <w:r w:rsidR="00E84512" w:rsidRPr="005E28C5">
        <w:rPr>
          <w:sz w:val="22"/>
          <w:szCs w:val="22"/>
        </w:rPr>
        <w:t xml:space="preserve"> súčasného podania ezetimibu na expozíciu cyklosporínu</w:t>
      </w:r>
      <w:r w:rsidRPr="005E28C5">
        <w:rPr>
          <w:sz w:val="22"/>
          <w:szCs w:val="22"/>
        </w:rPr>
        <w:t xml:space="preserve"> u </w:t>
      </w:r>
      <w:r w:rsidR="00E84512" w:rsidRPr="005E28C5">
        <w:rPr>
          <w:sz w:val="22"/>
          <w:szCs w:val="22"/>
        </w:rPr>
        <w:t>pacientov</w:t>
      </w:r>
      <w:r w:rsidRPr="005E28C5">
        <w:rPr>
          <w:sz w:val="22"/>
          <w:szCs w:val="22"/>
        </w:rPr>
        <w:t xml:space="preserve"> s </w:t>
      </w:r>
      <w:r w:rsidR="00E84512" w:rsidRPr="005E28C5">
        <w:rPr>
          <w:sz w:val="22"/>
          <w:szCs w:val="22"/>
        </w:rPr>
        <w:t>transplantovanou obličkou</w:t>
      </w:r>
      <w:r w:rsidR="009B4842" w:rsidRPr="005E28C5">
        <w:rPr>
          <w:sz w:val="22"/>
          <w:szCs w:val="22"/>
        </w:rPr>
        <w:t xml:space="preserve"> </w:t>
      </w:r>
      <w:r w:rsidR="00E84512" w:rsidRPr="005E28C5">
        <w:rPr>
          <w:sz w:val="22"/>
          <w:szCs w:val="22"/>
        </w:rPr>
        <w:t>sa nevykonal</w:t>
      </w:r>
      <w:r w:rsidR="0071092E">
        <w:rPr>
          <w:sz w:val="22"/>
          <w:szCs w:val="22"/>
        </w:rPr>
        <w:t>o</w:t>
      </w:r>
      <w:r w:rsidR="00E84512" w:rsidRPr="005E28C5">
        <w:rPr>
          <w:sz w:val="22"/>
          <w:szCs w:val="22"/>
        </w:rPr>
        <w:t xml:space="preserve">. Ak sa začína podávať </w:t>
      </w:r>
      <w:r w:rsidR="003B3B70" w:rsidRPr="005E28C5">
        <w:rPr>
          <w:sz w:val="22"/>
          <w:szCs w:val="22"/>
        </w:rPr>
        <w:t>ezetimib</w:t>
      </w:r>
      <w:r w:rsidR="00E84512" w:rsidRPr="005E28C5">
        <w:rPr>
          <w:sz w:val="22"/>
          <w:szCs w:val="22"/>
        </w:rPr>
        <w:t xml:space="preserve"> pri liečbe cyklosporínom, je potrebná opatrnosť.</w:t>
      </w:r>
      <w:r w:rsidRPr="005E28C5">
        <w:rPr>
          <w:sz w:val="22"/>
          <w:szCs w:val="22"/>
        </w:rPr>
        <w:t xml:space="preserve"> U </w:t>
      </w:r>
      <w:r w:rsidR="008B14CE" w:rsidRPr="005E28C5">
        <w:rPr>
          <w:sz w:val="22"/>
          <w:szCs w:val="22"/>
        </w:rPr>
        <w:t xml:space="preserve">pacientov užívajúcich </w:t>
      </w:r>
      <w:r w:rsidR="003B3B70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a </w:t>
      </w:r>
      <w:r w:rsidR="008B14CE" w:rsidRPr="005E28C5">
        <w:rPr>
          <w:sz w:val="22"/>
          <w:szCs w:val="22"/>
        </w:rPr>
        <w:t xml:space="preserve">cyklosporín sa majú monitorovať koncentrácie cyklosporínu </w:t>
      </w:r>
      <w:r w:rsidR="00E84512" w:rsidRPr="005E28C5">
        <w:rPr>
          <w:sz w:val="22"/>
          <w:szCs w:val="22"/>
        </w:rPr>
        <w:t>(pozri časť 4.4)</w:t>
      </w:r>
      <w:r w:rsidR="008B14CE" w:rsidRPr="005E28C5">
        <w:rPr>
          <w:sz w:val="22"/>
          <w:szCs w:val="22"/>
        </w:rPr>
        <w:t>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3B3B70" w:rsidRPr="005E28C5" w:rsidRDefault="0066067C" w:rsidP="00F30C0D">
      <w:pPr>
        <w:adjustRightInd w:val="0"/>
        <w:snapToGrid w:val="0"/>
        <w:spacing w:after="0"/>
        <w:rPr>
          <w:bCs/>
          <w:iCs/>
          <w:sz w:val="22"/>
          <w:szCs w:val="22"/>
          <w:u w:val="single"/>
        </w:rPr>
      </w:pPr>
      <w:r w:rsidRPr="005E28C5">
        <w:rPr>
          <w:bCs/>
          <w:iCs/>
          <w:sz w:val="22"/>
          <w:szCs w:val="22"/>
          <w:u w:val="single"/>
        </w:rPr>
        <w:t>Antikoagulanciá</w:t>
      </w:r>
    </w:p>
    <w:p w:rsidR="009B4842" w:rsidRPr="005E28C5" w:rsidRDefault="0020794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Cs/>
          <w:iCs/>
          <w:sz w:val="22"/>
          <w:szCs w:val="22"/>
        </w:rPr>
        <w:t>V</w:t>
      </w:r>
      <w:r w:rsidRPr="005E28C5">
        <w:rPr>
          <w:b/>
          <w:bCs/>
          <w:i/>
          <w:iCs/>
          <w:sz w:val="22"/>
          <w:szCs w:val="22"/>
        </w:rPr>
        <w:t> </w:t>
      </w:r>
      <w:r w:rsidR="0071092E">
        <w:rPr>
          <w:sz w:val="22"/>
          <w:szCs w:val="22"/>
        </w:rPr>
        <w:t xml:space="preserve">skúšaní s </w:t>
      </w:r>
      <w:r w:rsidR="008B14CE" w:rsidRPr="005E28C5">
        <w:rPr>
          <w:sz w:val="22"/>
          <w:szCs w:val="22"/>
        </w:rPr>
        <w:t>dvanásti</w:t>
      </w:r>
      <w:r w:rsidR="0071092E">
        <w:rPr>
          <w:sz w:val="22"/>
          <w:szCs w:val="22"/>
        </w:rPr>
        <w:t>mi</w:t>
      </w:r>
      <w:r w:rsidR="008B14CE" w:rsidRPr="005E28C5">
        <w:rPr>
          <w:sz w:val="22"/>
          <w:szCs w:val="22"/>
        </w:rPr>
        <w:t xml:space="preserve"> zdravý</w:t>
      </w:r>
      <w:r w:rsidR="0071092E">
        <w:rPr>
          <w:sz w:val="22"/>
          <w:szCs w:val="22"/>
        </w:rPr>
        <w:t>mi</w:t>
      </w:r>
      <w:r w:rsidR="008B14CE" w:rsidRPr="005E28C5">
        <w:rPr>
          <w:sz w:val="22"/>
          <w:szCs w:val="22"/>
        </w:rPr>
        <w:t xml:space="preserve"> dospelý</w:t>
      </w:r>
      <w:r w:rsidR="0071092E">
        <w:rPr>
          <w:sz w:val="22"/>
          <w:szCs w:val="22"/>
        </w:rPr>
        <w:t>mi</w:t>
      </w:r>
      <w:r w:rsidR="008B14CE" w:rsidRPr="005E28C5">
        <w:rPr>
          <w:sz w:val="22"/>
          <w:szCs w:val="22"/>
        </w:rPr>
        <w:t xml:space="preserve"> muž</w:t>
      </w:r>
      <w:r w:rsidR="0071092E">
        <w:rPr>
          <w:sz w:val="22"/>
          <w:szCs w:val="22"/>
        </w:rPr>
        <w:t>mi</w:t>
      </w:r>
      <w:r w:rsidR="008B14CE" w:rsidRPr="005E28C5">
        <w:rPr>
          <w:sz w:val="22"/>
          <w:szCs w:val="22"/>
        </w:rPr>
        <w:t xml:space="preserve"> nemalo s</w:t>
      </w:r>
      <w:r w:rsidR="009B4842" w:rsidRPr="005E28C5">
        <w:rPr>
          <w:sz w:val="22"/>
          <w:szCs w:val="22"/>
        </w:rPr>
        <w:t>účasné podanie ezetimibu (10</w:t>
      </w:r>
      <w:r w:rsidRPr="005E28C5">
        <w:rPr>
          <w:sz w:val="22"/>
          <w:szCs w:val="22"/>
        </w:rPr>
        <w:t> mg</w:t>
      </w:r>
      <w:r w:rsidR="009B4842" w:rsidRPr="005E28C5">
        <w:rPr>
          <w:sz w:val="22"/>
          <w:szCs w:val="22"/>
        </w:rPr>
        <w:t xml:space="preserve"> raz denne) signifikantný účinok na bio</w:t>
      </w:r>
      <w:r w:rsidR="007D0135" w:rsidRPr="005E28C5">
        <w:rPr>
          <w:sz w:val="22"/>
          <w:szCs w:val="22"/>
        </w:rPr>
        <w:t xml:space="preserve">logickú </w:t>
      </w:r>
      <w:r w:rsidR="009B4842" w:rsidRPr="005E28C5">
        <w:rPr>
          <w:sz w:val="22"/>
          <w:szCs w:val="22"/>
        </w:rPr>
        <w:t>dostupnosť warfarínu</w:t>
      </w:r>
      <w:r w:rsidRPr="005E28C5">
        <w:rPr>
          <w:sz w:val="22"/>
          <w:szCs w:val="22"/>
        </w:rPr>
        <w:t xml:space="preserve"> a </w:t>
      </w:r>
      <w:r w:rsidR="009B4842" w:rsidRPr="005E28C5">
        <w:rPr>
          <w:sz w:val="22"/>
          <w:szCs w:val="22"/>
        </w:rPr>
        <w:t>protrombínov</w:t>
      </w:r>
      <w:r w:rsidR="00752D96" w:rsidRPr="005E28C5">
        <w:rPr>
          <w:sz w:val="22"/>
          <w:szCs w:val="22"/>
        </w:rPr>
        <w:t>ý</w:t>
      </w:r>
      <w:r w:rsidR="009B4842" w:rsidRPr="005E28C5">
        <w:rPr>
          <w:sz w:val="22"/>
          <w:szCs w:val="22"/>
        </w:rPr>
        <w:t xml:space="preserve"> čas. </w:t>
      </w:r>
      <w:r w:rsidR="007D0135" w:rsidRPr="005E28C5">
        <w:rPr>
          <w:sz w:val="22"/>
          <w:szCs w:val="22"/>
        </w:rPr>
        <w:t>Po</w:t>
      </w:r>
      <w:r w:rsidR="009B4842" w:rsidRPr="005E28C5">
        <w:rPr>
          <w:sz w:val="22"/>
          <w:szCs w:val="22"/>
        </w:rPr>
        <w:t xml:space="preserve"> uvedení do praxe </w:t>
      </w:r>
      <w:r w:rsidR="0045161E" w:rsidRPr="005E28C5">
        <w:rPr>
          <w:sz w:val="22"/>
          <w:szCs w:val="22"/>
        </w:rPr>
        <w:t xml:space="preserve">však </w:t>
      </w:r>
      <w:r w:rsidR="009B4842" w:rsidRPr="005E28C5">
        <w:rPr>
          <w:sz w:val="22"/>
          <w:szCs w:val="22"/>
        </w:rPr>
        <w:t xml:space="preserve">bolo hlásené zvýšenie </w:t>
      </w:r>
      <w:r w:rsidR="003D6C04" w:rsidRPr="005E28C5">
        <w:rPr>
          <w:bCs/>
          <w:iCs/>
          <w:sz w:val="22"/>
          <w:szCs w:val="22"/>
        </w:rPr>
        <w:t>International Normalized Ratio (INR)</w:t>
      </w:r>
      <w:r w:rsidRPr="005E28C5">
        <w:rPr>
          <w:bCs/>
          <w:iCs/>
          <w:sz w:val="22"/>
          <w:szCs w:val="22"/>
        </w:rPr>
        <w:t xml:space="preserve"> u </w:t>
      </w:r>
      <w:r w:rsidR="009B4842" w:rsidRPr="005E28C5">
        <w:rPr>
          <w:sz w:val="22"/>
          <w:szCs w:val="22"/>
        </w:rPr>
        <w:t>pacientov,</w:t>
      </w:r>
      <w:r w:rsidR="003B3B70" w:rsidRPr="005E28C5">
        <w:rPr>
          <w:sz w:val="22"/>
          <w:szCs w:val="22"/>
        </w:rPr>
        <w:t xml:space="preserve"> </w:t>
      </w:r>
      <w:r w:rsidR="009B4842" w:rsidRPr="005E28C5">
        <w:rPr>
          <w:sz w:val="22"/>
          <w:szCs w:val="22"/>
        </w:rPr>
        <w:t>ktorý</w:t>
      </w:r>
      <w:r w:rsidR="00C520AA" w:rsidRPr="005E28C5">
        <w:rPr>
          <w:sz w:val="22"/>
          <w:szCs w:val="22"/>
        </w:rPr>
        <w:t>m</w:t>
      </w:r>
      <w:r w:rsidR="009B4842" w:rsidRPr="005E28C5">
        <w:rPr>
          <w:sz w:val="22"/>
          <w:szCs w:val="22"/>
        </w:rPr>
        <w:t xml:space="preserve"> bol </w:t>
      </w:r>
      <w:r w:rsidR="003B3B70" w:rsidRPr="005E28C5">
        <w:rPr>
          <w:sz w:val="22"/>
          <w:szCs w:val="22"/>
        </w:rPr>
        <w:t>ezetimib</w:t>
      </w:r>
      <w:r w:rsidR="009B4842" w:rsidRPr="005E28C5">
        <w:rPr>
          <w:sz w:val="22"/>
          <w:szCs w:val="22"/>
        </w:rPr>
        <w:t xml:space="preserve"> pridaný</w:t>
      </w:r>
      <w:r w:rsidRPr="005E28C5">
        <w:rPr>
          <w:sz w:val="22"/>
          <w:szCs w:val="22"/>
        </w:rPr>
        <w:t xml:space="preserve"> k </w:t>
      </w:r>
      <w:r w:rsidR="009B4842" w:rsidRPr="005E28C5">
        <w:rPr>
          <w:sz w:val="22"/>
          <w:szCs w:val="22"/>
        </w:rPr>
        <w:t>warfarínu</w:t>
      </w:r>
      <w:r w:rsidR="0066067C" w:rsidRPr="005E28C5">
        <w:rPr>
          <w:sz w:val="22"/>
          <w:szCs w:val="22"/>
        </w:rPr>
        <w:t xml:space="preserve"> alebo fluindiónu</w:t>
      </w:r>
      <w:r w:rsidR="00940F4C" w:rsidRPr="005E28C5">
        <w:rPr>
          <w:sz w:val="22"/>
          <w:szCs w:val="22"/>
        </w:rPr>
        <w:t xml:space="preserve">. </w:t>
      </w:r>
      <w:r w:rsidR="00940F4C" w:rsidRPr="005E28C5">
        <w:rPr>
          <w:bCs/>
          <w:iCs/>
          <w:sz w:val="22"/>
          <w:szCs w:val="22"/>
        </w:rPr>
        <w:t xml:space="preserve">Ak je </w:t>
      </w:r>
      <w:r w:rsidR="003B3B70" w:rsidRPr="005E28C5">
        <w:rPr>
          <w:bCs/>
          <w:iCs/>
          <w:sz w:val="22"/>
          <w:szCs w:val="22"/>
        </w:rPr>
        <w:t>ezetimib</w:t>
      </w:r>
      <w:r w:rsidR="00940F4C" w:rsidRPr="005E28C5">
        <w:rPr>
          <w:bCs/>
          <w:iCs/>
          <w:sz w:val="22"/>
          <w:szCs w:val="22"/>
        </w:rPr>
        <w:t xml:space="preserve"> pridaný</w:t>
      </w:r>
      <w:r w:rsidRPr="005E28C5">
        <w:rPr>
          <w:bCs/>
          <w:iCs/>
          <w:sz w:val="22"/>
          <w:szCs w:val="22"/>
        </w:rPr>
        <w:t xml:space="preserve"> k </w:t>
      </w:r>
      <w:r w:rsidR="00940F4C" w:rsidRPr="005E28C5">
        <w:rPr>
          <w:bCs/>
          <w:iCs/>
          <w:sz w:val="22"/>
          <w:szCs w:val="22"/>
        </w:rPr>
        <w:t>warfarínu</w:t>
      </w:r>
      <w:r w:rsidR="0066067C" w:rsidRPr="005E28C5">
        <w:rPr>
          <w:bCs/>
          <w:iCs/>
          <w:sz w:val="22"/>
          <w:szCs w:val="22"/>
        </w:rPr>
        <w:t>,</w:t>
      </w:r>
      <w:r w:rsidRPr="005E28C5">
        <w:rPr>
          <w:bCs/>
          <w:iCs/>
          <w:sz w:val="22"/>
          <w:szCs w:val="22"/>
        </w:rPr>
        <w:t xml:space="preserve"> k </w:t>
      </w:r>
      <w:r w:rsidR="00940F4C" w:rsidRPr="005E28C5">
        <w:rPr>
          <w:bCs/>
          <w:iCs/>
          <w:sz w:val="22"/>
          <w:szCs w:val="22"/>
        </w:rPr>
        <w:t>inému kumarínovému antikoagulantu</w:t>
      </w:r>
      <w:r w:rsidR="0066067C" w:rsidRPr="005E28C5">
        <w:rPr>
          <w:bCs/>
          <w:iCs/>
          <w:sz w:val="22"/>
          <w:szCs w:val="22"/>
        </w:rPr>
        <w:t xml:space="preserve"> alebo fluindiónu</w:t>
      </w:r>
      <w:r w:rsidR="00940F4C" w:rsidRPr="005E28C5">
        <w:rPr>
          <w:bCs/>
          <w:iCs/>
          <w:sz w:val="22"/>
          <w:szCs w:val="22"/>
        </w:rPr>
        <w:t>, je potrebné náležite monitorovať INR</w:t>
      </w:r>
      <w:r w:rsidR="009B4842" w:rsidRPr="005E28C5">
        <w:rPr>
          <w:sz w:val="22"/>
          <w:szCs w:val="22"/>
        </w:rPr>
        <w:t xml:space="preserve"> (pozri časť 4.4).</w:t>
      </w:r>
    </w:p>
    <w:p w:rsidR="00301DC6" w:rsidRPr="005E28C5" w:rsidRDefault="00301DC6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301DC6" w:rsidRPr="005E28C5" w:rsidRDefault="00301DC6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Pediatrická populácia</w:t>
      </w:r>
    </w:p>
    <w:p w:rsidR="00301DC6" w:rsidRPr="0079716C" w:rsidRDefault="00301DC6" w:rsidP="00F30C0D">
      <w:pPr>
        <w:adjustRightInd w:val="0"/>
        <w:snapToGrid w:val="0"/>
        <w:spacing w:after="0"/>
        <w:rPr>
          <w:sz w:val="22"/>
          <w:szCs w:val="22"/>
        </w:rPr>
      </w:pPr>
      <w:r w:rsidRPr="0079716C">
        <w:rPr>
          <w:sz w:val="22"/>
          <w:szCs w:val="22"/>
        </w:rPr>
        <w:t>Interakčné štúdie sa uskutočnili len u dospelých.</w:t>
      </w:r>
    </w:p>
    <w:p w:rsidR="00F7686C" w:rsidRPr="0079716C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F30C0D">
      <w:pPr>
        <w:keepNext/>
        <w:keepLines/>
        <w:adjustRightInd w:val="0"/>
        <w:snapToGrid w:val="0"/>
        <w:spacing w:after="0"/>
        <w:rPr>
          <w:b/>
          <w:sz w:val="22"/>
          <w:szCs w:val="22"/>
        </w:rPr>
      </w:pPr>
      <w:r w:rsidRPr="00CC5179">
        <w:rPr>
          <w:b/>
          <w:sz w:val="22"/>
          <w:szCs w:val="22"/>
        </w:rPr>
        <w:t>4.6</w:t>
      </w:r>
      <w:r w:rsidRPr="00CC5179">
        <w:rPr>
          <w:b/>
          <w:sz w:val="22"/>
          <w:szCs w:val="22"/>
        </w:rPr>
        <w:tab/>
      </w:r>
      <w:r w:rsidR="00CB7C57" w:rsidRPr="005E28C5">
        <w:rPr>
          <w:b/>
          <w:sz w:val="22"/>
          <w:szCs w:val="22"/>
        </w:rPr>
        <w:t>Fertilita, g</w:t>
      </w:r>
      <w:r w:rsidR="00F7686C" w:rsidRPr="005E28C5">
        <w:rPr>
          <w:b/>
          <w:sz w:val="22"/>
          <w:szCs w:val="22"/>
        </w:rPr>
        <w:t>ravidit</w:t>
      </w:r>
      <w:r w:rsidR="00B3231E" w:rsidRPr="005E28C5">
        <w:rPr>
          <w:b/>
          <w:sz w:val="22"/>
          <w:szCs w:val="22"/>
        </w:rPr>
        <w:t>a</w:t>
      </w:r>
      <w:r w:rsidR="0020794C" w:rsidRPr="005E28C5">
        <w:rPr>
          <w:b/>
          <w:sz w:val="22"/>
          <w:szCs w:val="22"/>
        </w:rPr>
        <w:t xml:space="preserve"> a </w:t>
      </w:r>
      <w:r w:rsidR="00F7686C" w:rsidRPr="005E28C5">
        <w:rPr>
          <w:b/>
          <w:sz w:val="22"/>
          <w:szCs w:val="22"/>
        </w:rPr>
        <w:t>laktáci</w:t>
      </w:r>
      <w:r w:rsidR="00B3231E" w:rsidRPr="005E28C5">
        <w:rPr>
          <w:b/>
          <w:sz w:val="22"/>
          <w:szCs w:val="22"/>
        </w:rPr>
        <w:t>a</w:t>
      </w:r>
    </w:p>
    <w:p w:rsidR="00F7686C" w:rsidRPr="005E28C5" w:rsidRDefault="00F7686C" w:rsidP="00F30C0D">
      <w:pPr>
        <w:pStyle w:val="Textkomentra"/>
        <w:keepNext/>
        <w:keepLines/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3B70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Ezetimib</w:t>
      </w:r>
      <w:r w:rsidR="00F7686C" w:rsidRPr="005E28C5">
        <w:rPr>
          <w:sz w:val="22"/>
          <w:szCs w:val="22"/>
        </w:rPr>
        <w:t xml:space="preserve"> súčasne podávaný</w:t>
      </w:r>
      <w:r w:rsidR="0020794C" w:rsidRPr="005E28C5">
        <w:rPr>
          <w:sz w:val="22"/>
          <w:szCs w:val="22"/>
        </w:rPr>
        <w:t xml:space="preserve"> so </w:t>
      </w:r>
      <w:r w:rsidR="00F7686C" w:rsidRPr="005E28C5">
        <w:rPr>
          <w:sz w:val="22"/>
          <w:szCs w:val="22"/>
        </w:rPr>
        <w:t>statínom je kontraindikovaný počas gravidity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laktácie (pozri časť 4.3), oboznámte sa</w:t>
      </w:r>
      <w:r w:rsidR="00752D96" w:rsidRPr="005E28C5">
        <w:rPr>
          <w:sz w:val="22"/>
          <w:szCs w:val="22"/>
        </w:rPr>
        <w:t>,</w:t>
      </w:r>
      <w:r w:rsidR="00F7686C" w:rsidRPr="005E28C5">
        <w:rPr>
          <w:sz w:val="22"/>
          <w:szCs w:val="22"/>
        </w:rPr>
        <w:t xml:space="preserve"> prosím</w:t>
      </w:r>
      <w:r w:rsidR="00752D96" w:rsidRPr="005E28C5">
        <w:rPr>
          <w:sz w:val="22"/>
          <w:szCs w:val="22"/>
        </w:rPr>
        <w:t>,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>SPC príslušného statínu.</w:t>
      </w:r>
    </w:p>
    <w:p w:rsidR="00F7686C" w:rsidRPr="005E28C5" w:rsidRDefault="00F7686C" w:rsidP="00F30C0D">
      <w:pPr>
        <w:pStyle w:val="Textkomentra"/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  <w:u w:val="single"/>
        </w:rPr>
        <w:t>Gravidita</w:t>
      </w:r>
    </w:p>
    <w:p w:rsidR="00DC5EFF" w:rsidRPr="005E28C5" w:rsidRDefault="008443E1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</w:t>
      </w:r>
      <w:r w:rsidR="003B3B70" w:rsidRPr="005E28C5">
        <w:rPr>
          <w:sz w:val="22"/>
          <w:szCs w:val="22"/>
        </w:rPr>
        <w:t>zetimib</w:t>
      </w:r>
      <w:r w:rsidR="00F7686C" w:rsidRPr="005E28C5">
        <w:rPr>
          <w:sz w:val="22"/>
          <w:szCs w:val="22"/>
        </w:rPr>
        <w:t xml:space="preserve"> sa má podávať gravidným ženám </w:t>
      </w:r>
      <w:r w:rsidR="00121AA2" w:rsidRPr="005E28C5">
        <w:rPr>
          <w:sz w:val="22"/>
          <w:szCs w:val="22"/>
        </w:rPr>
        <w:t>iba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nevyhnutn</w:t>
      </w:r>
      <w:r w:rsidR="00121AA2" w:rsidRPr="005E28C5">
        <w:rPr>
          <w:sz w:val="22"/>
          <w:szCs w:val="22"/>
        </w:rPr>
        <w:t>ých</w:t>
      </w:r>
      <w:r w:rsidR="00F7686C" w:rsidRPr="005E28C5">
        <w:rPr>
          <w:sz w:val="22"/>
          <w:szCs w:val="22"/>
        </w:rPr>
        <w:t xml:space="preserve"> </w:t>
      </w:r>
      <w:r w:rsidR="00121AA2" w:rsidRPr="005E28C5">
        <w:rPr>
          <w:sz w:val="22"/>
          <w:szCs w:val="22"/>
        </w:rPr>
        <w:t>prípadoch</w:t>
      </w:r>
      <w:r w:rsidR="00F7686C" w:rsidRPr="005E28C5">
        <w:rPr>
          <w:sz w:val="22"/>
          <w:szCs w:val="22"/>
        </w:rPr>
        <w:t>. Nie sú</w:t>
      </w:r>
      <w:r w:rsidR="0020794C" w:rsidRPr="005E28C5">
        <w:rPr>
          <w:sz w:val="22"/>
          <w:szCs w:val="22"/>
        </w:rPr>
        <w:t xml:space="preserve"> k </w:t>
      </w:r>
      <w:r w:rsidR="00F7686C" w:rsidRPr="005E28C5">
        <w:rPr>
          <w:sz w:val="22"/>
          <w:szCs w:val="22"/>
        </w:rPr>
        <w:t xml:space="preserve">dispozícii žiadne </w:t>
      </w:r>
      <w:r w:rsidR="003B3B70" w:rsidRPr="005E28C5">
        <w:rPr>
          <w:sz w:val="22"/>
          <w:szCs w:val="22"/>
        </w:rPr>
        <w:t xml:space="preserve">klinické </w:t>
      </w:r>
      <w:r w:rsidR="00F7686C" w:rsidRPr="005E28C5">
        <w:rPr>
          <w:sz w:val="22"/>
          <w:szCs w:val="22"/>
        </w:rPr>
        <w:t>údaje</w:t>
      </w:r>
      <w:r w:rsidR="0020794C" w:rsidRPr="005E28C5">
        <w:rPr>
          <w:sz w:val="22"/>
          <w:szCs w:val="22"/>
        </w:rPr>
        <w:t xml:space="preserve"> o </w:t>
      </w:r>
      <w:r w:rsidR="00F7686C" w:rsidRPr="005E28C5">
        <w:rPr>
          <w:sz w:val="22"/>
          <w:szCs w:val="22"/>
        </w:rPr>
        <w:t xml:space="preserve">použití </w:t>
      </w:r>
      <w:r w:rsidR="003B3B70" w:rsidRPr="005E28C5">
        <w:rPr>
          <w:sz w:val="22"/>
          <w:szCs w:val="22"/>
        </w:rPr>
        <w:t>ezetimibu</w:t>
      </w:r>
      <w:r w:rsidR="00B53B9B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počas gravidity. Štúdie na zvieratách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>ezetimibom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monoterapii nepreukázali žiadne priame alebo nepriame škodlivé účinky na graviditu, embryofetálny výv</w:t>
      </w:r>
      <w:r w:rsidR="0071092E">
        <w:rPr>
          <w:sz w:val="22"/>
          <w:szCs w:val="22"/>
        </w:rPr>
        <w:t>in</w:t>
      </w:r>
      <w:r w:rsidR="00F7686C" w:rsidRPr="005E28C5">
        <w:rPr>
          <w:sz w:val="22"/>
          <w:szCs w:val="22"/>
        </w:rPr>
        <w:t>, pôrod alebo postnatálny výv</w:t>
      </w:r>
      <w:r w:rsidR="0071092E">
        <w:rPr>
          <w:sz w:val="22"/>
          <w:szCs w:val="22"/>
        </w:rPr>
        <w:t>in</w:t>
      </w:r>
      <w:r w:rsidR="00F7686C" w:rsidRPr="005E28C5">
        <w:rPr>
          <w:sz w:val="22"/>
          <w:szCs w:val="22"/>
        </w:rPr>
        <w:t xml:space="preserve"> (pozri časť 5.3).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  <w:u w:val="single"/>
        </w:rPr>
        <w:t>Laktácia</w:t>
      </w:r>
    </w:p>
    <w:p w:rsidR="00DC5EFF" w:rsidRPr="005E28C5" w:rsidRDefault="008443E1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</w:t>
      </w:r>
      <w:r w:rsidR="003B3B70" w:rsidRPr="005E28C5">
        <w:rPr>
          <w:sz w:val="22"/>
          <w:szCs w:val="22"/>
        </w:rPr>
        <w:t>zetimib</w:t>
      </w:r>
      <w:r w:rsidR="00F7686C" w:rsidRPr="005E28C5">
        <w:rPr>
          <w:sz w:val="22"/>
          <w:szCs w:val="22"/>
        </w:rPr>
        <w:t xml:space="preserve"> sa nemá užívať počas laktácie. Štúdie na potkanoch preukázali, že ezetimib sa vylučuje do materského</w:t>
      </w:r>
      <w:r w:rsidR="0020794C" w:rsidRPr="005E28C5">
        <w:rPr>
          <w:sz w:val="22"/>
          <w:szCs w:val="22"/>
        </w:rPr>
        <w:t> ml</w:t>
      </w:r>
      <w:r w:rsidR="00F7686C" w:rsidRPr="005E28C5">
        <w:rPr>
          <w:sz w:val="22"/>
          <w:szCs w:val="22"/>
        </w:rPr>
        <w:t>ieka potkanov. Nie je známe, či sa ezetimib vylučuje do ľudského materského</w:t>
      </w:r>
      <w:r w:rsidR="0020794C" w:rsidRPr="005E28C5">
        <w:rPr>
          <w:sz w:val="22"/>
          <w:szCs w:val="22"/>
        </w:rPr>
        <w:t> ml</w:t>
      </w:r>
      <w:r w:rsidR="00F7686C" w:rsidRPr="005E28C5">
        <w:rPr>
          <w:sz w:val="22"/>
          <w:szCs w:val="22"/>
        </w:rPr>
        <w:t>ieka.</w:t>
      </w:r>
    </w:p>
    <w:p w:rsidR="00A3340B" w:rsidRPr="005E28C5" w:rsidRDefault="00A3340B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CB7C57" w:rsidRPr="005E28C5" w:rsidRDefault="00CB7C57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Fertilita</w:t>
      </w:r>
    </w:p>
    <w:p w:rsidR="003B3B70" w:rsidRPr="005E28C5" w:rsidRDefault="00CB7C57" w:rsidP="003B3B70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Nie sú k dispozícii </w:t>
      </w:r>
      <w:r w:rsidR="00777EE3" w:rsidRPr="005E28C5">
        <w:rPr>
          <w:sz w:val="22"/>
          <w:szCs w:val="22"/>
        </w:rPr>
        <w:t>žiadne údaje z klinick</w:t>
      </w:r>
      <w:r w:rsidR="00631482" w:rsidRPr="005E28C5">
        <w:rPr>
          <w:sz w:val="22"/>
          <w:szCs w:val="22"/>
        </w:rPr>
        <w:t>ého</w:t>
      </w:r>
      <w:r w:rsidR="00777EE3" w:rsidRPr="005E28C5">
        <w:rPr>
          <w:sz w:val="22"/>
          <w:szCs w:val="22"/>
        </w:rPr>
        <w:t xml:space="preserve"> skúš</w:t>
      </w:r>
      <w:r w:rsidR="00631482" w:rsidRPr="005E28C5">
        <w:rPr>
          <w:sz w:val="22"/>
          <w:szCs w:val="22"/>
        </w:rPr>
        <w:t>ania</w:t>
      </w:r>
      <w:r w:rsidR="00777EE3" w:rsidRPr="005E28C5">
        <w:rPr>
          <w:sz w:val="22"/>
          <w:szCs w:val="22"/>
        </w:rPr>
        <w:t xml:space="preserve"> </w:t>
      </w:r>
      <w:r w:rsidR="003B3B70" w:rsidRPr="005E28C5">
        <w:rPr>
          <w:sz w:val="22"/>
          <w:szCs w:val="22"/>
        </w:rPr>
        <w:t xml:space="preserve">o </w:t>
      </w:r>
      <w:r w:rsidR="00777EE3" w:rsidRPr="005E28C5">
        <w:rPr>
          <w:sz w:val="22"/>
          <w:szCs w:val="22"/>
        </w:rPr>
        <w:t>účink</w:t>
      </w:r>
      <w:r w:rsidR="00631482" w:rsidRPr="005E28C5">
        <w:rPr>
          <w:sz w:val="22"/>
          <w:szCs w:val="22"/>
        </w:rPr>
        <w:t>o</w:t>
      </w:r>
      <w:r w:rsidR="003B3B70" w:rsidRPr="005E28C5">
        <w:rPr>
          <w:sz w:val="22"/>
          <w:szCs w:val="22"/>
        </w:rPr>
        <w:t>ch</w:t>
      </w:r>
      <w:r w:rsidR="007B7D54">
        <w:rPr>
          <w:sz w:val="22"/>
          <w:szCs w:val="22"/>
        </w:rPr>
        <w:t xml:space="preserve"> ezetimibu na fertilitu</w:t>
      </w:r>
      <w:r w:rsidR="00777EE3" w:rsidRPr="005E28C5">
        <w:rPr>
          <w:sz w:val="22"/>
          <w:szCs w:val="22"/>
        </w:rPr>
        <w:t> ľudí.</w:t>
      </w:r>
      <w:r w:rsidR="006372BF" w:rsidRPr="005E28C5">
        <w:rPr>
          <w:sz w:val="22"/>
          <w:szCs w:val="22"/>
        </w:rPr>
        <w:t xml:space="preserve"> Ezetimib n</w:t>
      </w:r>
      <w:r w:rsidR="007B7D54">
        <w:rPr>
          <w:sz w:val="22"/>
          <w:szCs w:val="22"/>
        </w:rPr>
        <w:t>emal žiadny účinok na fertilitu</w:t>
      </w:r>
      <w:r w:rsidR="006372BF" w:rsidRPr="005E28C5">
        <w:rPr>
          <w:sz w:val="22"/>
          <w:szCs w:val="22"/>
        </w:rPr>
        <w:t> samcov alebo samíc potkanov (pozri časť 5.3).</w:t>
      </w:r>
    </w:p>
    <w:p w:rsidR="003B3B70" w:rsidRPr="005E28C5" w:rsidRDefault="003B3B70" w:rsidP="003B3B70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3B3B70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4.7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Ovplyvnenie schopnosti viesť vozidlá</w:t>
      </w:r>
      <w:r w:rsidR="0020794C" w:rsidRPr="005E28C5">
        <w:rPr>
          <w:b/>
          <w:sz w:val="22"/>
          <w:szCs w:val="22"/>
        </w:rPr>
        <w:t xml:space="preserve"> a </w:t>
      </w:r>
      <w:r w:rsidR="00F7686C" w:rsidRPr="005E28C5">
        <w:rPr>
          <w:b/>
          <w:sz w:val="22"/>
          <w:szCs w:val="22"/>
        </w:rPr>
        <w:t>obsluhovať stroje</w:t>
      </w:r>
    </w:p>
    <w:p w:rsidR="003B3B70" w:rsidRPr="005E28C5" w:rsidRDefault="003B3B70" w:rsidP="003B3B70">
      <w:pPr>
        <w:adjustRightInd w:val="0"/>
        <w:snapToGrid w:val="0"/>
        <w:spacing w:after="0"/>
        <w:rPr>
          <w:sz w:val="22"/>
          <w:szCs w:val="22"/>
        </w:rPr>
      </w:pPr>
    </w:p>
    <w:p w:rsidR="003B3B70" w:rsidRPr="005E28C5" w:rsidRDefault="006270CB" w:rsidP="003B3B70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Neuskutočnili sa</w:t>
      </w:r>
      <w:r w:rsidR="00F7686C" w:rsidRPr="005E28C5">
        <w:rPr>
          <w:sz w:val="22"/>
          <w:szCs w:val="22"/>
        </w:rPr>
        <w:t xml:space="preserve"> žiadne štúdie</w:t>
      </w:r>
      <w:r w:rsidR="0020794C" w:rsidRPr="005E28C5">
        <w:rPr>
          <w:sz w:val="22"/>
          <w:szCs w:val="22"/>
        </w:rPr>
        <w:t xml:space="preserve"> o </w:t>
      </w:r>
      <w:r w:rsidR="00121AA2" w:rsidRPr="005E28C5">
        <w:rPr>
          <w:sz w:val="22"/>
          <w:szCs w:val="22"/>
        </w:rPr>
        <w:t>účinkoch</w:t>
      </w:r>
      <w:r w:rsidR="00F7686C" w:rsidRPr="005E28C5">
        <w:rPr>
          <w:sz w:val="22"/>
          <w:szCs w:val="22"/>
        </w:rPr>
        <w:t xml:space="preserve"> na schopnosť viesť vozidl</w:t>
      </w:r>
      <w:r w:rsidRPr="005E28C5">
        <w:rPr>
          <w:sz w:val="22"/>
          <w:szCs w:val="22"/>
        </w:rPr>
        <w:t>á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 xml:space="preserve">obsluhovať stroje. </w:t>
      </w:r>
      <w:r w:rsidR="004745FF" w:rsidRPr="005E28C5">
        <w:rPr>
          <w:sz w:val="22"/>
          <w:szCs w:val="22"/>
        </w:rPr>
        <w:t>Pri vedení vozidla alebo obsluhovaní strojov sa však má vziať do úvahy, že bol</w:t>
      </w:r>
      <w:r w:rsidR="0071092E">
        <w:rPr>
          <w:sz w:val="22"/>
          <w:szCs w:val="22"/>
        </w:rPr>
        <w:t>i</w:t>
      </w:r>
      <w:r w:rsidR="004745FF" w:rsidRPr="005E28C5">
        <w:rPr>
          <w:sz w:val="22"/>
          <w:szCs w:val="22"/>
        </w:rPr>
        <w:t xml:space="preserve"> hlásen</w:t>
      </w:r>
      <w:r w:rsidR="0071092E">
        <w:rPr>
          <w:sz w:val="22"/>
          <w:szCs w:val="22"/>
        </w:rPr>
        <w:t>é</w:t>
      </w:r>
      <w:r w:rsidR="004745FF" w:rsidRPr="005E28C5">
        <w:rPr>
          <w:sz w:val="22"/>
          <w:szCs w:val="22"/>
        </w:rPr>
        <w:t xml:space="preserve"> závrat</w:t>
      </w:r>
      <w:r w:rsidR="0071092E">
        <w:rPr>
          <w:sz w:val="22"/>
          <w:szCs w:val="22"/>
        </w:rPr>
        <w:t>y</w:t>
      </w:r>
      <w:r w:rsidR="004745FF" w:rsidRPr="005E28C5">
        <w:rPr>
          <w:sz w:val="22"/>
          <w:szCs w:val="22"/>
        </w:rPr>
        <w:t>.</w:t>
      </w:r>
    </w:p>
    <w:p w:rsidR="003B3B70" w:rsidRPr="005E28C5" w:rsidRDefault="003B3B70" w:rsidP="003B3B70">
      <w:pPr>
        <w:adjustRightInd w:val="0"/>
        <w:snapToGrid w:val="0"/>
        <w:spacing w:after="0"/>
        <w:rPr>
          <w:sz w:val="22"/>
          <w:szCs w:val="22"/>
        </w:rPr>
      </w:pPr>
    </w:p>
    <w:p w:rsidR="003B3B70" w:rsidRPr="005E28C5" w:rsidRDefault="003B57CE" w:rsidP="003B3B70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4.8</w:t>
      </w:r>
      <w:r w:rsidRPr="005E28C5">
        <w:rPr>
          <w:b/>
          <w:sz w:val="22"/>
          <w:szCs w:val="22"/>
        </w:rPr>
        <w:tab/>
      </w:r>
      <w:r w:rsidR="003B3B70" w:rsidRPr="005E28C5">
        <w:rPr>
          <w:b/>
          <w:sz w:val="22"/>
          <w:szCs w:val="22"/>
        </w:rPr>
        <w:t>Nežiaduce účinky</w:t>
      </w:r>
    </w:p>
    <w:p w:rsidR="003B3B70" w:rsidRPr="005E28C5" w:rsidRDefault="003B3B70" w:rsidP="003B3B70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56216C" w:rsidRPr="005E28C5" w:rsidRDefault="006D41CE" w:rsidP="003B3B70">
      <w:pPr>
        <w:adjustRightInd w:val="0"/>
        <w:snapToGrid w:val="0"/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>Zoznam nežiaducich účinkov v tabuľke (k</w:t>
      </w:r>
      <w:r w:rsidR="005F219D" w:rsidRPr="005E28C5">
        <w:rPr>
          <w:sz w:val="22"/>
          <w:szCs w:val="22"/>
          <w:u w:val="single"/>
        </w:rPr>
        <w:t xml:space="preserve">linické </w:t>
      </w:r>
      <w:r w:rsidR="0071092E">
        <w:rPr>
          <w:sz w:val="22"/>
          <w:szCs w:val="22"/>
          <w:u w:val="single"/>
        </w:rPr>
        <w:t>skúšania</w:t>
      </w:r>
      <w:r w:rsidR="0071092E" w:rsidRPr="005E28C5">
        <w:rPr>
          <w:sz w:val="22"/>
          <w:szCs w:val="22"/>
          <w:u w:val="single"/>
        </w:rPr>
        <w:t xml:space="preserve"> </w:t>
      </w:r>
      <w:r w:rsidR="006372BF" w:rsidRPr="005E28C5">
        <w:rPr>
          <w:sz w:val="22"/>
          <w:szCs w:val="22"/>
          <w:u w:val="single"/>
        </w:rPr>
        <w:t>a skúsenosti po uvedení lieku na trh</w:t>
      </w:r>
      <w:r>
        <w:rPr>
          <w:sz w:val="22"/>
          <w:szCs w:val="22"/>
          <w:u w:val="single"/>
        </w:rPr>
        <w:t>)</w:t>
      </w:r>
    </w:p>
    <w:p w:rsidR="000B22A4" w:rsidRPr="005E28C5" w:rsidRDefault="0027737E" w:rsidP="000B22A4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 k</w:t>
      </w:r>
      <w:r w:rsidR="00F7686C" w:rsidRPr="005E28C5">
        <w:rPr>
          <w:sz w:val="22"/>
          <w:szCs w:val="22"/>
        </w:rPr>
        <w:t>linick</w:t>
      </w:r>
      <w:r w:rsidRPr="005E28C5">
        <w:rPr>
          <w:sz w:val="22"/>
          <w:szCs w:val="22"/>
        </w:rPr>
        <w:t>ých</w:t>
      </w:r>
      <w:r w:rsidR="00F7686C" w:rsidRPr="005E28C5">
        <w:rPr>
          <w:sz w:val="22"/>
          <w:szCs w:val="22"/>
        </w:rPr>
        <w:t xml:space="preserve"> </w:t>
      </w:r>
      <w:r w:rsidR="0071092E">
        <w:rPr>
          <w:sz w:val="22"/>
          <w:szCs w:val="22"/>
        </w:rPr>
        <w:t>skúšaniach</w:t>
      </w:r>
      <w:r w:rsidR="0071092E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trva</w:t>
      </w:r>
      <w:r w:rsidRPr="005E28C5">
        <w:rPr>
          <w:sz w:val="22"/>
          <w:szCs w:val="22"/>
        </w:rPr>
        <w:t>júcich</w:t>
      </w:r>
      <w:r w:rsidR="00F7686C" w:rsidRPr="005E28C5">
        <w:rPr>
          <w:sz w:val="22"/>
          <w:szCs w:val="22"/>
        </w:rPr>
        <w:t xml:space="preserve"> do </w:t>
      </w:r>
      <w:r w:rsidR="00B74B1D" w:rsidRPr="005E28C5">
        <w:rPr>
          <w:sz w:val="22"/>
          <w:szCs w:val="22"/>
        </w:rPr>
        <w:t>112</w:t>
      </w:r>
      <w:r w:rsidR="00F7686C" w:rsidRPr="005E28C5">
        <w:rPr>
          <w:sz w:val="22"/>
          <w:szCs w:val="22"/>
        </w:rPr>
        <w:t xml:space="preserve"> týždňov</w:t>
      </w:r>
      <w:r w:rsidR="007F1848" w:rsidRPr="005E28C5">
        <w:rPr>
          <w:sz w:val="22"/>
          <w:szCs w:val="22"/>
        </w:rPr>
        <w:t xml:space="preserve"> bol</w:t>
      </w:r>
      <w:r w:rsidR="000B22A4" w:rsidRPr="005E28C5">
        <w:rPr>
          <w:sz w:val="22"/>
          <w:szCs w:val="22"/>
        </w:rPr>
        <w:t>o</w:t>
      </w:r>
      <w:r w:rsidR="007F1848" w:rsidRPr="005E28C5">
        <w:rPr>
          <w:sz w:val="22"/>
          <w:szCs w:val="22"/>
        </w:rPr>
        <w:t xml:space="preserve"> </w:t>
      </w:r>
      <w:r w:rsidR="008B14CE" w:rsidRPr="005E28C5">
        <w:rPr>
          <w:sz w:val="22"/>
          <w:szCs w:val="22"/>
        </w:rPr>
        <w:t xml:space="preserve">denne </w:t>
      </w:r>
      <w:r w:rsidR="007F1848" w:rsidRPr="005E28C5">
        <w:rPr>
          <w:sz w:val="22"/>
          <w:szCs w:val="22"/>
        </w:rPr>
        <w:t>podávan</w:t>
      </w:r>
      <w:r w:rsidR="000B22A4" w:rsidRPr="005E28C5">
        <w:rPr>
          <w:sz w:val="22"/>
          <w:szCs w:val="22"/>
        </w:rPr>
        <w:t>é 10 mg ezetimibu</w:t>
      </w:r>
      <w:r w:rsidR="008B14CE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 xml:space="preserve">samostatne </w:t>
      </w:r>
      <w:r w:rsidR="00B74B1D" w:rsidRPr="005E28C5">
        <w:rPr>
          <w:sz w:val="22"/>
          <w:szCs w:val="22"/>
        </w:rPr>
        <w:t xml:space="preserve">2 396 pacientom, </w:t>
      </w:r>
      <w:r w:rsidR="0020794C" w:rsidRPr="005E28C5">
        <w:rPr>
          <w:sz w:val="22"/>
          <w:szCs w:val="22"/>
        </w:rPr>
        <w:t>so </w:t>
      </w:r>
      <w:r w:rsidR="00F7686C" w:rsidRPr="005E28C5">
        <w:rPr>
          <w:sz w:val="22"/>
          <w:szCs w:val="22"/>
        </w:rPr>
        <w:t xml:space="preserve">statínom </w:t>
      </w:r>
      <w:r w:rsidR="00B74B1D" w:rsidRPr="005E28C5">
        <w:rPr>
          <w:sz w:val="22"/>
          <w:szCs w:val="22"/>
        </w:rPr>
        <w:t>11 308</w:t>
      </w:r>
      <w:r w:rsidR="007F1848" w:rsidRPr="005E28C5">
        <w:rPr>
          <w:sz w:val="22"/>
          <w:szCs w:val="22"/>
        </w:rPr>
        <w:t xml:space="preserve"> pacientom</w:t>
      </w:r>
      <w:r w:rsidR="00DC5EFF" w:rsidRPr="005E28C5">
        <w:rPr>
          <w:sz w:val="22"/>
          <w:szCs w:val="22"/>
        </w:rPr>
        <w:t xml:space="preserve"> alebo</w:t>
      </w:r>
      <w:r w:rsidR="0020794C" w:rsidRPr="005E28C5">
        <w:rPr>
          <w:sz w:val="22"/>
          <w:szCs w:val="22"/>
        </w:rPr>
        <w:t xml:space="preserve"> s </w:t>
      </w:r>
      <w:r w:rsidR="00DC5EFF" w:rsidRPr="005E28C5">
        <w:rPr>
          <w:sz w:val="22"/>
          <w:szCs w:val="22"/>
        </w:rPr>
        <w:t>fenofibrátom 185 pacientom</w:t>
      </w:r>
      <w:r w:rsidR="007F1848" w:rsidRPr="005E28C5">
        <w:rPr>
          <w:sz w:val="22"/>
          <w:szCs w:val="22"/>
        </w:rPr>
        <w:t xml:space="preserve">. </w:t>
      </w:r>
      <w:r w:rsidR="00F7686C" w:rsidRPr="005E28C5">
        <w:rPr>
          <w:sz w:val="22"/>
          <w:szCs w:val="22"/>
        </w:rPr>
        <w:t xml:space="preserve">Nežiaduce </w:t>
      </w:r>
      <w:r w:rsidR="00F23CFF" w:rsidRPr="005E28C5">
        <w:rPr>
          <w:sz w:val="22"/>
          <w:szCs w:val="22"/>
        </w:rPr>
        <w:t>reakcie</w:t>
      </w:r>
      <w:r w:rsidR="00F7686C" w:rsidRPr="005E28C5">
        <w:rPr>
          <w:sz w:val="22"/>
          <w:szCs w:val="22"/>
        </w:rPr>
        <w:t xml:space="preserve"> boli zvyčajn</w:t>
      </w:r>
      <w:r w:rsidR="008B14CE" w:rsidRPr="005E28C5">
        <w:rPr>
          <w:sz w:val="22"/>
          <w:szCs w:val="22"/>
        </w:rPr>
        <w:t>e</w:t>
      </w:r>
      <w:r w:rsidR="00F7686C" w:rsidRPr="005E28C5">
        <w:rPr>
          <w:sz w:val="22"/>
          <w:szCs w:val="22"/>
        </w:rPr>
        <w:t xml:space="preserve"> mierne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prechodné. Celková incidencia nežiaducich účinkov bola</w:t>
      </w:r>
      <w:r w:rsidR="0020794C" w:rsidRPr="005E28C5">
        <w:rPr>
          <w:sz w:val="22"/>
          <w:szCs w:val="22"/>
        </w:rPr>
        <w:t xml:space="preserve"> </w:t>
      </w:r>
      <w:r w:rsidR="002B1ABD" w:rsidRPr="005E28C5">
        <w:rPr>
          <w:sz w:val="22"/>
          <w:szCs w:val="22"/>
        </w:rPr>
        <w:t xml:space="preserve">pri </w:t>
      </w:r>
      <w:r w:rsidR="000B22A4" w:rsidRPr="005E28C5">
        <w:rPr>
          <w:sz w:val="22"/>
          <w:szCs w:val="22"/>
        </w:rPr>
        <w:t>ezetimibe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placeb</w:t>
      </w:r>
      <w:r w:rsidR="002B1ABD" w:rsidRPr="005E28C5">
        <w:rPr>
          <w:sz w:val="22"/>
          <w:szCs w:val="22"/>
        </w:rPr>
        <w:t>e</w:t>
      </w:r>
      <w:r w:rsidR="00340272" w:rsidRPr="005E28C5">
        <w:rPr>
          <w:sz w:val="22"/>
          <w:szCs w:val="22"/>
        </w:rPr>
        <w:t xml:space="preserve"> podobná</w:t>
      </w:r>
      <w:r w:rsidR="00F7686C" w:rsidRPr="005E28C5">
        <w:rPr>
          <w:sz w:val="22"/>
          <w:szCs w:val="22"/>
        </w:rPr>
        <w:t>. Podobne, počet prerušení účasti</w:t>
      </w:r>
      <w:r w:rsidR="0020794C" w:rsidRPr="005E28C5">
        <w:rPr>
          <w:sz w:val="22"/>
          <w:szCs w:val="22"/>
        </w:rPr>
        <w:t xml:space="preserve"> v </w:t>
      </w:r>
      <w:r w:rsidR="009504F7">
        <w:rPr>
          <w:sz w:val="22"/>
          <w:szCs w:val="22"/>
        </w:rPr>
        <w:t>skúšaní</w:t>
      </w:r>
      <w:r w:rsidR="009504F7" w:rsidRPr="005E28C5">
        <w:rPr>
          <w:sz w:val="22"/>
          <w:szCs w:val="22"/>
        </w:rPr>
        <w:t xml:space="preserve"> </w:t>
      </w:r>
      <w:r w:rsidR="0020794C" w:rsidRPr="005E28C5">
        <w:rPr>
          <w:sz w:val="22"/>
          <w:szCs w:val="22"/>
        </w:rPr>
        <w:t>z </w:t>
      </w:r>
      <w:r w:rsidR="00F7686C" w:rsidRPr="005E28C5">
        <w:rPr>
          <w:sz w:val="22"/>
          <w:szCs w:val="22"/>
        </w:rPr>
        <w:t xml:space="preserve">dôvodu nežiaducich účinkov bol </w:t>
      </w:r>
      <w:r w:rsidR="00A11A8A" w:rsidRPr="005E28C5">
        <w:rPr>
          <w:sz w:val="22"/>
          <w:szCs w:val="22"/>
        </w:rPr>
        <w:t xml:space="preserve">pre </w:t>
      </w:r>
      <w:r w:rsidR="000B22A4" w:rsidRPr="005E28C5">
        <w:rPr>
          <w:sz w:val="22"/>
          <w:szCs w:val="22"/>
        </w:rPr>
        <w:t>ezetimib</w:t>
      </w:r>
      <w:r w:rsidR="00A11A8A" w:rsidRPr="005E28C5">
        <w:rPr>
          <w:sz w:val="22"/>
          <w:szCs w:val="22"/>
        </w:rPr>
        <w:t xml:space="preserve"> a placebo </w:t>
      </w:r>
      <w:r w:rsidR="00F7686C" w:rsidRPr="005E28C5">
        <w:rPr>
          <w:sz w:val="22"/>
          <w:szCs w:val="22"/>
        </w:rPr>
        <w:t>porovnateľný.</w:t>
      </w:r>
    </w:p>
    <w:p w:rsidR="000B22A4" w:rsidRPr="005E28C5" w:rsidRDefault="000B22A4" w:rsidP="000B22A4">
      <w:pPr>
        <w:adjustRightInd w:val="0"/>
        <w:snapToGrid w:val="0"/>
        <w:spacing w:after="0"/>
        <w:rPr>
          <w:sz w:val="22"/>
          <w:szCs w:val="22"/>
        </w:rPr>
      </w:pPr>
    </w:p>
    <w:p w:rsidR="00BF79C8" w:rsidRDefault="000B22A4" w:rsidP="000B22A4">
      <w:pPr>
        <w:adjustRightInd w:val="0"/>
        <w:snapToGrid w:val="0"/>
        <w:spacing w:after="0"/>
        <w:rPr>
          <w:sz w:val="22"/>
          <w:szCs w:val="22"/>
        </w:rPr>
      </w:pPr>
      <w:r w:rsidRPr="006D41CE">
        <w:rPr>
          <w:sz w:val="22"/>
          <w:szCs w:val="22"/>
        </w:rPr>
        <w:t>Ezetimib</w:t>
      </w:r>
      <w:r w:rsidR="002B1ABD" w:rsidRPr="006D41CE">
        <w:rPr>
          <w:sz w:val="22"/>
          <w:szCs w:val="22"/>
        </w:rPr>
        <w:t xml:space="preserve"> podávaný samostatne alebo spolu so statínom</w:t>
      </w:r>
      <w:r w:rsidR="00BF79C8" w:rsidRPr="006D41CE">
        <w:rPr>
          <w:sz w:val="22"/>
          <w:szCs w:val="22"/>
        </w:rPr>
        <w:t>:</w:t>
      </w:r>
    </w:p>
    <w:p w:rsidR="006D41CE" w:rsidRPr="006D41CE" w:rsidRDefault="006D41CE" w:rsidP="000B22A4">
      <w:pPr>
        <w:adjustRightInd w:val="0"/>
        <w:snapToGrid w:val="0"/>
        <w:spacing w:after="0"/>
        <w:rPr>
          <w:sz w:val="22"/>
          <w:szCs w:val="22"/>
        </w:rPr>
      </w:pPr>
    </w:p>
    <w:p w:rsidR="002B1ABD" w:rsidRPr="005E28C5" w:rsidRDefault="00A11A8A" w:rsidP="002B1AB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U</w:t>
      </w:r>
      <w:r w:rsidR="002B1ABD" w:rsidRPr="005E28C5">
        <w:rPr>
          <w:sz w:val="22"/>
          <w:szCs w:val="22"/>
        </w:rPr>
        <w:t xml:space="preserve"> pacientov liečených </w:t>
      </w:r>
      <w:r w:rsidR="004515E1" w:rsidRPr="005E28C5">
        <w:rPr>
          <w:sz w:val="22"/>
          <w:szCs w:val="22"/>
        </w:rPr>
        <w:t>ezetimibom</w:t>
      </w:r>
      <w:r w:rsidR="002B1ABD" w:rsidRPr="005E28C5">
        <w:rPr>
          <w:sz w:val="22"/>
          <w:szCs w:val="22"/>
        </w:rPr>
        <w:t xml:space="preserve"> (</w:t>
      </w:r>
      <w:r w:rsidR="009504F7">
        <w:rPr>
          <w:sz w:val="22"/>
          <w:szCs w:val="22"/>
        </w:rPr>
        <w:t>n</w:t>
      </w:r>
      <w:r w:rsidR="002B1ABD" w:rsidRPr="005E28C5">
        <w:rPr>
          <w:sz w:val="22"/>
          <w:szCs w:val="22"/>
        </w:rPr>
        <w:t>=2 396) a vo väčšej miere ako pri placebe (</w:t>
      </w:r>
      <w:r w:rsidR="009504F7">
        <w:rPr>
          <w:sz w:val="22"/>
          <w:szCs w:val="22"/>
        </w:rPr>
        <w:t>n</w:t>
      </w:r>
      <w:r w:rsidR="002B1ABD" w:rsidRPr="005E28C5">
        <w:rPr>
          <w:sz w:val="22"/>
          <w:szCs w:val="22"/>
        </w:rPr>
        <w:t xml:space="preserve">=1 159), alebo u pacientov liečených </w:t>
      </w:r>
      <w:r w:rsidR="004515E1" w:rsidRPr="005E28C5">
        <w:rPr>
          <w:sz w:val="22"/>
          <w:szCs w:val="22"/>
        </w:rPr>
        <w:t>ezetimibom</w:t>
      </w:r>
      <w:r w:rsidR="002B1ABD" w:rsidRPr="005E28C5">
        <w:rPr>
          <w:sz w:val="22"/>
          <w:szCs w:val="22"/>
        </w:rPr>
        <w:t xml:space="preserve"> podávaným spolu so statínom (</w:t>
      </w:r>
      <w:r w:rsidR="009504F7">
        <w:rPr>
          <w:sz w:val="22"/>
          <w:szCs w:val="22"/>
        </w:rPr>
        <w:t>n</w:t>
      </w:r>
      <w:r w:rsidR="002B1ABD" w:rsidRPr="005E28C5">
        <w:rPr>
          <w:sz w:val="22"/>
          <w:szCs w:val="22"/>
        </w:rPr>
        <w:t>=11 308) a vo väčšej miere ako pri podávaní samotného statínu (</w:t>
      </w:r>
      <w:r w:rsidR="009504F7">
        <w:rPr>
          <w:sz w:val="22"/>
          <w:szCs w:val="22"/>
        </w:rPr>
        <w:t>n</w:t>
      </w:r>
      <w:r w:rsidR="002B1ABD" w:rsidRPr="005E28C5">
        <w:rPr>
          <w:sz w:val="22"/>
          <w:szCs w:val="22"/>
        </w:rPr>
        <w:t>=9 361)</w:t>
      </w:r>
      <w:r w:rsidRPr="005E28C5">
        <w:rPr>
          <w:sz w:val="22"/>
          <w:szCs w:val="22"/>
        </w:rPr>
        <w:t xml:space="preserve"> sa pozorovali nasledujúce nežiaduce reakcie</w:t>
      </w:r>
      <w:r w:rsidR="005C63B3" w:rsidRPr="005E28C5">
        <w:rPr>
          <w:sz w:val="22"/>
          <w:szCs w:val="22"/>
        </w:rPr>
        <w:t xml:space="preserve">. Nežiaduce reakcie po uvedení lieku na trh boli odvodené z hlásení pri podávaní </w:t>
      </w:r>
      <w:r w:rsidR="004515E1" w:rsidRPr="005E28C5">
        <w:rPr>
          <w:sz w:val="22"/>
          <w:szCs w:val="22"/>
        </w:rPr>
        <w:t>ezetimibu</w:t>
      </w:r>
      <w:r w:rsidR="005C63B3" w:rsidRPr="005E28C5">
        <w:rPr>
          <w:sz w:val="22"/>
          <w:szCs w:val="22"/>
        </w:rPr>
        <w:t xml:space="preserve"> samostatne alebo so statínom.</w:t>
      </w:r>
    </w:p>
    <w:p w:rsidR="002B1ABD" w:rsidRPr="005E28C5" w:rsidRDefault="002B1ABD" w:rsidP="002B1ABD">
      <w:pPr>
        <w:adjustRightInd w:val="0"/>
        <w:snapToGrid w:val="0"/>
        <w:spacing w:after="0"/>
        <w:rPr>
          <w:sz w:val="22"/>
          <w:szCs w:val="22"/>
        </w:rPr>
      </w:pPr>
    </w:p>
    <w:p w:rsidR="002B1ABD" w:rsidRPr="005E28C5" w:rsidRDefault="008C6E4E" w:rsidP="002B1AB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Frekvencie sú definované ako: veľmi časté (≥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1/10), časté (≥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1/100 až &lt;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1/10), menej časté (≥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1/1 000 až &lt;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1/100), zriedkavé (≥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1/10 000 až &lt;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1/1 000)</w:t>
      </w:r>
      <w:r w:rsidR="005C63B3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veľmi zriedkavé (&lt;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1/10 000)</w:t>
      </w:r>
      <w:r w:rsidR="005C63B3" w:rsidRPr="005E28C5">
        <w:rPr>
          <w:sz w:val="22"/>
          <w:szCs w:val="22"/>
        </w:rPr>
        <w:t xml:space="preserve"> a neznáme (z dostupných údajov)</w:t>
      </w:r>
      <w:r w:rsidRPr="005E28C5">
        <w:rPr>
          <w:sz w:val="22"/>
          <w:szCs w:val="22"/>
        </w:rPr>
        <w:t>.</w:t>
      </w:r>
    </w:p>
    <w:p w:rsidR="00B30966" w:rsidRDefault="00B30966" w:rsidP="00B30966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1"/>
        <w:gridCol w:w="4958"/>
        <w:gridCol w:w="1267"/>
      </w:tblGrid>
      <w:tr w:rsidR="00B30966" w:rsidRPr="00254852" w:rsidTr="000F3334">
        <w:tc>
          <w:tcPr>
            <w:tcW w:w="0" w:type="auto"/>
            <w:gridSpan w:val="3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Monoterapia ezetimibom</w:t>
            </w:r>
          </w:p>
        </w:tc>
      </w:tr>
      <w:tr w:rsidR="00CA1DDD" w:rsidRPr="00254852" w:rsidTr="000F3334">
        <w:tc>
          <w:tcPr>
            <w:tcW w:w="0" w:type="auto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Trieda orgánového systému</w:t>
            </w:r>
          </w:p>
        </w:tc>
        <w:tc>
          <w:tcPr>
            <w:tcW w:w="0" w:type="auto"/>
          </w:tcPr>
          <w:p w:rsidR="00B30966" w:rsidRPr="00254852" w:rsidRDefault="008B16DF" w:rsidP="005E006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Nežiaduc</w:t>
            </w:r>
            <w:r w:rsidR="005E006E">
              <w:rPr>
                <w:b/>
                <w:color w:val="000000"/>
                <w:sz w:val="22"/>
                <w:szCs w:val="22"/>
              </w:rPr>
              <w:t>e</w:t>
            </w:r>
            <w:r>
              <w:rPr>
                <w:b/>
                <w:color w:val="000000"/>
                <w:sz w:val="22"/>
                <w:szCs w:val="22"/>
              </w:rPr>
              <w:t xml:space="preserve"> reakci</w:t>
            </w:r>
            <w:r w:rsidR="005E006E">
              <w:rPr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0" w:type="auto"/>
          </w:tcPr>
          <w:p w:rsidR="00B30966" w:rsidRPr="00254852" w:rsidRDefault="003C7B84" w:rsidP="005E006E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Frekvenc</w:t>
            </w:r>
            <w:r w:rsidR="005E006E">
              <w:rPr>
                <w:b/>
                <w:color w:val="000000"/>
                <w:sz w:val="22"/>
                <w:szCs w:val="22"/>
              </w:rPr>
              <w:t>i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B30966" w:rsidRPr="008B16DF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>Laboratórne a funkčné vyšetrenia</w:t>
            </w:r>
          </w:p>
        </w:tc>
        <w:tc>
          <w:tcPr>
            <w:tcW w:w="0" w:type="auto"/>
            <w:vAlign w:val="center"/>
          </w:tcPr>
          <w:p w:rsidR="00B30966" w:rsidRPr="00254852" w:rsidRDefault="005E006E" w:rsidP="005E006E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zvýšené</w:t>
            </w:r>
            <w:r w:rsidRPr="00254852">
              <w:rPr>
                <w:color w:val="000000"/>
                <w:sz w:val="22"/>
                <w:szCs w:val="22"/>
              </w:rPr>
              <w:t xml:space="preserve"> </w:t>
            </w:r>
            <w:r w:rsidR="00B30966" w:rsidRPr="00254852">
              <w:rPr>
                <w:color w:val="000000"/>
                <w:sz w:val="22"/>
                <w:szCs w:val="22"/>
              </w:rPr>
              <w:t>ALT a</w:t>
            </w:r>
            <w:r w:rsidR="003C7B84">
              <w:rPr>
                <w:color w:val="000000"/>
                <w:sz w:val="22"/>
                <w:szCs w:val="22"/>
              </w:rPr>
              <w:t>/alebo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 AST; </w:t>
            </w:r>
            <w:r w:rsidR="003C7B84">
              <w:rPr>
                <w:color w:val="000000"/>
                <w:sz w:val="22"/>
                <w:szCs w:val="22"/>
              </w:rPr>
              <w:t>zvýšené</w:t>
            </w:r>
            <w:r w:rsidR="003C7B84" w:rsidRPr="00254852">
              <w:rPr>
                <w:color w:val="000000"/>
                <w:sz w:val="22"/>
                <w:szCs w:val="22"/>
              </w:rPr>
              <w:t xml:space="preserve"> 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CPK </w:t>
            </w:r>
            <w:r w:rsidR="003C7B84">
              <w:rPr>
                <w:color w:val="000000"/>
                <w:sz w:val="22"/>
                <w:szCs w:val="22"/>
              </w:rPr>
              <w:t>v krvi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; </w:t>
            </w:r>
            <w:r w:rsidR="005C419A">
              <w:rPr>
                <w:color w:val="000000"/>
                <w:sz w:val="22"/>
                <w:szCs w:val="22"/>
              </w:rPr>
              <w:t>zvýš</w:t>
            </w:r>
            <w:r w:rsidR="003C7B84">
              <w:rPr>
                <w:color w:val="000000"/>
                <w:sz w:val="22"/>
                <w:szCs w:val="22"/>
              </w:rPr>
              <w:t xml:space="preserve">ená </w:t>
            </w:r>
            <w:r w:rsidR="00B30966" w:rsidRPr="00254852">
              <w:rPr>
                <w:color w:val="000000"/>
                <w:sz w:val="22"/>
                <w:szCs w:val="22"/>
              </w:rPr>
              <w:t>gam</w:t>
            </w:r>
            <w:r w:rsidR="005C419A">
              <w:rPr>
                <w:color w:val="000000"/>
                <w:sz w:val="22"/>
                <w:szCs w:val="22"/>
              </w:rPr>
              <w:t>a</w:t>
            </w:r>
            <w:r w:rsidR="00B30966" w:rsidRPr="00254852">
              <w:rPr>
                <w:color w:val="000000"/>
                <w:sz w:val="22"/>
                <w:szCs w:val="22"/>
              </w:rPr>
              <w:t>glutamyltransfer</w:t>
            </w:r>
            <w:r w:rsidR="003C7B84">
              <w:rPr>
                <w:color w:val="000000"/>
                <w:sz w:val="22"/>
                <w:szCs w:val="22"/>
              </w:rPr>
              <w:t>áza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; </w:t>
            </w:r>
            <w:r w:rsidR="005C419A">
              <w:rPr>
                <w:color w:val="000000"/>
                <w:sz w:val="22"/>
                <w:szCs w:val="22"/>
              </w:rPr>
              <w:t xml:space="preserve">abnormálny test </w:t>
            </w:r>
            <w:r w:rsidR="00B30966" w:rsidRPr="00254852">
              <w:rPr>
                <w:color w:val="000000"/>
                <w:sz w:val="22"/>
                <w:szCs w:val="22"/>
              </w:rPr>
              <w:t>fun</w:t>
            </w:r>
            <w:r w:rsidR="00CA1DDD">
              <w:rPr>
                <w:color w:val="000000"/>
                <w:sz w:val="22"/>
                <w:szCs w:val="22"/>
              </w:rPr>
              <w:t>kcie pečene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C7B84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B30966" w:rsidRPr="008B16DF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0" w:type="auto"/>
            <w:vAlign w:val="center"/>
          </w:tcPr>
          <w:p w:rsidR="00B30966" w:rsidRPr="00254852" w:rsidRDefault="005C419A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kašeľ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C7B84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Merge w:val="restart"/>
            <w:vAlign w:val="center"/>
          </w:tcPr>
          <w:p w:rsidR="00B30966" w:rsidRPr="008B16DF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0" w:type="auto"/>
            <w:vAlign w:val="center"/>
          </w:tcPr>
          <w:p w:rsidR="00B30966" w:rsidRPr="00254852" w:rsidRDefault="00CA1DDD" w:rsidP="005C419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5C419A">
              <w:rPr>
                <w:color w:val="000000"/>
                <w:sz w:val="22"/>
                <w:szCs w:val="22"/>
              </w:rPr>
              <w:t>olesť brucha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; </w:t>
            </w:r>
            <w:r w:rsidR="005C419A">
              <w:rPr>
                <w:color w:val="000000"/>
                <w:sz w:val="22"/>
                <w:szCs w:val="22"/>
              </w:rPr>
              <w:t>hnačka</w:t>
            </w:r>
            <w:r w:rsidR="00B30966" w:rsidRPr="00254852">
              <w:rPr>
                <w:color w:val="000000"/>
                <w:sz w:val="22"/>
                <w:szCs w:val="22"/>
              </w:rPr>
              <w:t>; flatulenc</w:t>
            </w:r>
            <w:r w:rsidR="005C419A">
              <w:rPr>
                <w:color w:val="000000"/>
                <w:sz w:val="22"/>
                <w:szCs w:val="22"/>
              </w:rPr>
              <w:t>ia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</w:t>
            </w:r>
            <w:r w:rsidR="003C7B84" w:rsidRPr="005E28C5">
              <w:rPr>
                <w:sz w:val="22"/>
                <w:szCs w:val="22"/>
              </w:rPr>
              <w:t>asté</w:t>
            </w:r>
          </w:p>
        </w:tc>
      </w:tr>
      <w:tr w:rsidR="00CA1DDD" w:rsidRPr="00254852" w:rsidTr="000F3334">
        <w:tc>
          <w:tcPr>
            <w:tcW w:w="0" w:type="auto"/>
            <w:vMerge/>
            <w:vAlign w:val="center"/>
          </w:tcPr>
          <w:p w:rsidR="00B30966" w:rsidRPr="00254852" w:rsidRDefault="00B30966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30966" w:rsidRPr="00254852" w:rsidRDefault="00B30966" w:rsidP="005C419A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852">
              <w:rPr>
                <w:color w:val="000000"/>
                <w:sz w:val="22"/>
                <w:szCs w:val="22"/>
              </w:rPr>
              <w:t>dyspepsia; gastro</w:t>
            </w:r>
            <w:r w:rsidR="005C419A">
              <w:rPr>
                <w:color w:val="000000"/>
                <w:sz w:val="22"/>
                <w:szCs w:val="22"/>
              </w:rPr>
              <w:t>ezof</w:t>
            </w:r>
            <w:r w:rsidRPr="00254852">
              <w:rPr>
                <w:color w:val="000000"/>
                <w:sz w:val="22"/>
                <w:szCs w:val="22"/>
              </w:rPr>
              <w:t>age</w:t>
            </w:r>
            <w:r w:rsidR="005C419A">
              <w:rPr>
                <w:color w:val="000000"/>
                <w:sz w:val="22"/>
                <w:szCs w:val="22"/>
              </w:rPr>
              <w:t>álny reflux; nauz</w:t>
            </w:r>
            <w:r w:rsidRPr="00254852">
              <w:rPr>
                <w:color w:val="000000"/>
                <w:sz w:val="22"/>
                <w:szCs w:val="22"/>
              </w:rPr>
              <w:t>ea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C7B84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B30966" w:rsidRPr="008B16DF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0" w:type="auto"/>
            <w:vAlign w:val="center"/>
          </w:tcPr>
          <w:p w:rsidR="00B30966" w:rsidRPr="00254852" w:rsidRDefault="00CA1DDD" w:rsidP="00CA1DD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art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ralgia; </w:t>
            </w:r>
            <w:r>
              <w:rPr>
                <w:color w:val="000000"/>
                <w:sz w:val="22"/>
                <w:szCs w:val="22"/>
              </w:rPr>
              <w:t>kŕče svalov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>bolesť krku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C7B84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B30966" w:rsidRPr="008B16DF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>Poruchy metabolizmu a výživy</w:t>
            </w:r>
          </w:p>
        </w:tc>
        <w:tc>
          <w:tcPr>
            <w:tcW w:w="0" w:type="auto"/>
            <w:vAlign w:val="center"/>
          </w:tcPr>
          <w:p w:rsidR="00B30966" w:rsidRPr="00254852" w:rsidRDefault="00CA1DDD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znížená chuť do jedla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C7B84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B30966" w:rsidRPr="008B16DF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>Poruchy ciev</w:t>
            </w:r>
          </w:p>
        </w:tc>
        <w:tc>
          <w:tcPr>
            <w:tcW w:w="0" w:type="auto"/>
            <w:vAlign w:val="center"/>
          </w:tcPr>
          <w:p w:rsidR="00B30966" w:rsidRPr="00254852" w:rsidRDefault="00CA1DDD" w:rsidP="00CA1DD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nával</w:t>
            </w:r>
            <w:r w:rsidR="009504F7">
              <w:rPr>
                <w:color w:val="000000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 xml:space="preserve"> tepla</w:t>
            </w:r>
            <w:r w:rsidR="00B30966" w:rsidRPr="00254852">
              <w:rPr>
                <w:color w:val="000000"/>
                <w:sz w:val="22"/>
                <w:szCs w:val="22"/>
              </w:rPr>
              <w:t>; hyperten</w:t>
            </w:r>
            <w:r>
              <w:rPr>
                <w:color w:val="000000"/>
                <w:sz w:val="22"/>
                <w:szCs w:val="22"/>
              </w:rPr>
              <w:t>zia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C7B84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Merge w:val="restart"/>
            <w:vAlign w:val="center"/>
          </w:tcPr>
          <w:p w:rsidR="00B30966" w:rsidRPr="008B16DF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0" w:type="auto"/>
            <w:vAlign w:val="center"/>
          </w:tcPr>
          <w:p w:rsidR="00B30966" w:rsidRPr="00254852" w:rsidRDefault="00CA1DDD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únava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</w:t>
            </w:r>
            <w:r w:rsidR="003C7B84" w:rsidRPr="005E28C5">
              <w:rPr>
                <w:sz w:val="22"/>
                <w:szCs w:val="22"/>
              </w:rPr>
              <w:t>asté</w:t>
            </w:r>
          </w:p>
        </w:tc>
      </w:tr>
      <w:tr w:rsidR="00CA1DDD" w:rsidRPr="00254852" w:rsidTr="000F3334">
        <w:tc>
          <w:tcPr>
            <w:tcW w:w="0" w:type="auto"/>
            <w:vMerge/>
            <w:vAlign w:val="center"/>
          </w:tcPr>
          <w:p w:rsidR="00B30966" w:rsidRPr="00254852" w:rsidRDefault="00B30966" w:rsidP="000F3334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30966" w:rsidRPr="00254852" w:rsidRDefault="00CA1DDD" w:rsidP="00CA1DD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bolesť na hrudi, bolesť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3C7B84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B30966" w:rsidRPr="00254852" w:rsidTr="000F3334">
        <w:tc>
          <w:tcPr>
            <w:tcW w:w="0" w:type="auto"/>
            <w:gridSpan w:val="3"/>
          </w:tcPr>
          <w:p w:rsidR="00B30966" w:rsidRPr="00254852" w:rsidRDefault="008B16DF" w:rsidP="008B16DF">
            <w:pPr>
              <w:spacing w:after="0"/>
              <w:rPr>
                <w:b/>
                <w:color w:val="000000"/>
                <w:sz w:val="22"/>
                <w:szCs w:val="22"/>
              </w:rPr>
            </w:pPr>
            <w:r w:rsidRPr="005E28C5">
              <w:rPr>
                <w:b/>
                <w:sz w:val="22"/>
                <w:szCs w:val="22"/>
              </w:rPr>
              <w:t>Ďalšie nežiaduce reakcie pri ezetimibe podávanom spolu so statínom</w:t>
            </w:r>
          </w:p>
        </w:tc>
      </w:tr>
      <w:tr w:rsidR="00CA1DDD" w:rsidRPr="00254852" w:rsidTr="000F3334">
        <w:tc>
          <w:tcPr>
            <w:tcW w:w="0" w:type="auto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Trieda orgánového systému</w:t>
            </w:r>
          </w:p>
        </w:tc>
        <w:tc>
          <w:tcPr>
            <w:tcW w:w="0" w:type="auto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Nežiaduc</w:t>
            </w:r>
            <w:r w:rsidR="009504F7">
              <w:rPr>
                <w:b/>
                <w:color w:val="000000"/>
                <w:sz w:val="22"/>
                <w:szCs w:val="22"/>
              </w:rPr>
              <w:t>e</w:t>
            </w:r>
            <w:r>
              <w:rPr>
                <w:b/>
                <w:color w:val="000000"/>
                <w:sz w:val="22"/>
                <w:szCs w:val="22"/>
              </w:rPr>
              <w:t xml:space="preserve"> reakci</w:t>
            </w:r>
            <w:r w:rsidR="009504F7">
              <w:rPr>
                <w:b/>
                <w:color w:val="000000"/>
                <w:sz w:val="22"/>
                <w:szCs w:val="22"/>
              </w:rPr>
              <w:t>e</w:t>
            </w:r>
          </w:p>
        </w:tc>
        <w:tc>
          <w:tcPr>
            <w:tcW w:w="0" w:type="auto"/>
          </w:tcPr>
          <w:p w:rsidR="00B30966" w:rsidRPr="00254852" w:rsidRDefault="008E333E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Frekvencia</w:t>
            </w:r>
          </w:p>
        </w:tc>
      </w:tr>
      <w:tr w:rsidR="00CA1DDD" w:rsidRPr="00254852" w:rsidTr="000F3334">
        <w:tc>
          <w:tcPr>
            <w:tcW w:w="0" w:type="auto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>Laboratórne a funkčné vyšetrenia</w:t>
            </w:r>
          </w:p>
        </w:tc>
        <w:tc>
          <w:tcPr>
            <w:tcW w:w="0" w:type="auto"/>
          </w:tcPr>
          <w:p w:rsidR="00B30966" w:rsidRPr="00254852" w:rsidRDefault="00CA1DDD" w:rsidP="00CA1DD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zvýšené </w:t>
            </w:r>
            <w:r w:rsidR="00B30966" w:rsidRPr="00254852">
              <w:rPr>
                <w:color w:val="000000"/>
                <w:sz w:val="22"/>
                <w:szCs w:val="22"/>
              </w:rPr>
              <w:t>ALT a</w:t>
            </w:r>
            <w:r w:rsidR="008B16DF">
              <w:rPr>
                <w:color w:val="000000"/>
                <w:sz w:val="22"/>
                <w:szCs w:val="22"/>
              </w:rPr>
              <w:t>/alebo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 AST </w:t>
            </w:r>
          </w:p>
        </w:tc>
        <w:tc>
          <w:tcPr>
            <w:tcW w:w="0" w:type="auto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</w:t>
            </w:r>
            <w:r w:rsidR="005C419A" w:rsidRPr="005E28C5">
              <w:rPr>
                <w:sz w:val="22"/>
                <w:szCs w:val="22"/>
              </w:rPr>
              <w:t>asté</w:t>
            </w:r>
          </w:p>
        </w:tc>
      </w:tr>
      <w:tr w:rsidR="00CA1DDD" w:rsidRPr="00254852" w:rsidTr="000F3334">
        <w:tc>
          <w:tcPr>
            <w:tcW w:w="0" w:type="auto"/>
            <w:vMerge w:val="restart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nervového systému</w:t>
            </w:r>
          </w:p>
        </w:tc>
        <w:tc>
          <w:tcPr>
            <w:tcW w:w="0" w:type="auto"/>
          </w:tcPr>
          <w:p w:rsidR="00B30966" w:rsidRPr="00254852" w:rsidRDefault="00CA1DDD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bolesť hlavy</w:t>
            </w:r>
          </w:p>
        </w:tc>
        <w:tc>
          <w:tcPr>
            <w:tcW w:w="0" w:type="auto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</w:t>
            </w:r>
            <w:r w:rsidR="005C419A" w:rsidRPr="005E28C5">
              <w:rPr>
                <w:sz w:val="22"/>
                <w:szCs w:val="22"/>
              </w:rPr>
              <w:t>asté</w:t>
            </w:r>
          </w:p>
        </w:tc>
      </w:tr>
      <w:tr w:rsidR="00CA1DDD" w:rsidRPr="00254852" w:rsidTr="000F3334">
        <w:tc>
          <w:tcPr>
            <w:tcW w:w="0" w:type="auto"/>
            <w:vMerge/>
          </w:tcPr>
          <w:p w:rsidR="00B30966" w:rsidRPr="00254852" w:rsidRDefault="00B30966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</w:tcPr>
          <w:p w:rsidR="00B30966" w:rsidRPr="00254852" w:rsidRDefault="00B30966" w:rsidP="00CA1DDD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852">
              <w:rPr>
                <w:color w:val="000000"/>
                <w:sz w:val="22"/>
                <w:szCs w:val="22"/>
              </w:rPr>
              <w:t>par</w:t>
            </w:r>
            <w:r w:rsidR="00CA1DDD">
              <w:rPr>
                <w:color w:val="000000"/>
                <w:sz w:val="22"/>
                <w:szCs w:val="22"/>
              </w:rPr>
              <w:t>estéz</w:t>
            </w:r>
            <w:r w:rsidRPr="00254852">
              <w:rPr>
                <w:color w:val="000000"/>
                <w:sz w:val="22"/>
                <w:szCs w:val="22"/>
              </w:rPr>
              <w:t>ia</w:t>
            </w:r>
          </w:p>
        </w:tc>
        <w:tc>
          <w:tcPr>
            <w:tcW w:w="0" w:type="auto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5C419A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0" w:type="auto"/>
          </w:tcPr>
          <w:p w:rsidR="00B30966" w:rsidRPr="00254852" w:rsidRDefault="00CA1DDD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sucho v ústach</w:t>
            </w:r>
            <w:r w:rsidR="00B30966" w:rsidRPr="00254852">
              <w:rPr>
                <w:color w:val="000000"/>
                <w:sz w:val="22"/>
                <w:szCs w:val="22"/>
              </w:rPr>
              <w:t>; gastr</w:t>
            </w:r>
            <w:r w:rsidR="007B7D54">
              <w:rPr>
                <w:color w:val="000000"/>
                <w:sz w:val="22"/>
                <w:szCs w:val="22"/>
              </w:rPr>
              <w:t>ití</w:t>
            </w:r>
            <w:r>
              <w:rPr>
                <w:color w:val="000000"/>
                <w:sz w:val="22"/>
                <w:szCs w:val="22"/>
              </w:rPr>
              <w:t>da</w:t>
            </w:r>
          </w:p>
        </w:tc>
        <w:tc>
          <w:tcPr>
            <w:tcW w:w="0" w:type="auto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5C419A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kože a podkožného tkaniva</w:t>
            </w:r>
          </w:p>
        </w:tc>
        <w:tc>
          <w:tcPr>
            <w:tcW w:w="0" w:type="auto"/>
          </w:tcPr>
          <w:p w:rsidR="00B30966" w:rsidRPr="00254852" w:rsidRDefault="00CA1DDD" w:rsidP="00CA1DDD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pruritus; vyrážka; urtiká</w:t>
            </w:r>
            <w:r w:rsidR="00B30966" w:rsidRPr="00254852">
              <w:rPr>
                <w:color w:val="000000"/>
                <w:sz w:val="22"/>
                <w:szCs w:val="22"/>
              </w:rPr>
              <w:t>ria</w:t>
            </w:r>
          </w:p>
        </w:tc>
        <w:tc>
          <w:tcPr>
            <w:tcW w:w="0" w:type="auto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5C419A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Merge w:val="restart"/>
            <w:vAlign w:val="center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0" w:type="auto"/>
            <w:vAlign w:val="center"/>
          </w:tcPr>
          <w:p w:rsidR="00B30966" w:rsidRPr="00254852" w:rsidRDefault="00B30966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 w:rsidRPr="00254852">
              <w:rPr>
                <w:color w:val="000000"/>
                <w:sz w:val="22"/>
                <w:szCs w:val="22"/>
              </w:rPr>
              <w:t>myalgia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č</w:t>
            </w:r>
            <w:r w:rsidR="005C419A" w:rsidRPr="005E28C5">
              <w:rPr>
                <w:sz w:val="22"/>
                <w:szCs w:val="22"/>
              </w:rPr>
              <w:t>asté</w:t>
            </w:r>
          </w:p>
        </w:tc>
      </w:tr>
      <w:tr w:rsidR="00CA1DDD" w:rsidRPr="00254852" w:rsidTr="000F3334">
        <w:tc>
          <w:tcPr>
            <w:tcW w:w="0" w:type="auto"/>
            <w:vMerge/>
            <w:vAlign w:val="center"/>
          </w:tcPr>
          <w:p w:rsidR="00B30966" w:rsidRPr="00254852" w:rsidRDefault="00B30966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vAlign w:val="center"/>
          </w:tcPr>
          <w:p w:rsidR="00B30966" w:rsidRPr="00254852" w:rsidRDefault="00460979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</w:t>
            </w:r>
            <w:r w:rsidR="00CA1DDD">
              <w:rPr>
                <w:color w:val="000000"/>
                <w:sz w:val="22"/>
                <w:szCs w:val="22"/>
              </w:rPr>
              <w:t>olesť chrbta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>svalová slabosť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; </w:t>
            </w:r>
            <w:r>
              <w:rPr>
                <w:color w:val="000000"/>
                <w:sz w:val="22"/>
                <w:szCs w:val="22"/>
              </w:rPr>
              <w:t>bolesť v končatine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5C419A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B30966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 xml:space="preserve">Celkové poruchy a reakcie </w:t>
            </w:r>
            <w:r w:rsidRPr="008B16DF">
              <w:rPr>
                <w:sz w:val="22"/>
                <w:szCs w:val="22"/>
              </w:rPr>
              <w:lastRenderedPageBreak/>
              <w:t>v mieste podania</w:t>
            </w:r>
          </w:p>
        </w:tc>
        <w:tc>
          <w:tcPr>
            <w:tcW w:w="0" w:type="auto"/>
            <w:vAlign w:val="center"/>
          </w:tcPr>
          <w:p w:rsidR="00B30966" w:rsidRPr="00254852" w:rsidRDefault="00460979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asté</w:t>
            </w:r>
            <w:r w:rsidR="00B30966" w:rsidRPr="00254852">
              <w:rPr>
                <w:color w:val="000000"/>
                <w:sz w:val="22"/>
                <w:szCs w:val="22"/>
              </w:rPr>
              <w:t xml:space="preserve">nia; </w:t>
            </w:r>
            <w:r>
              <w:rPr>
                <w:color w:val="000000"/>
                <w:sz w:val="22"/>
                <w:szCs w:val="22"/>
              </w:rPr>
              <w:t>periférny edém</w:t>
            </w:r>
          </w:p>
        </w:tc>
        <w:tc>
          <w:tcPr>
            <w:tcW w:w="0" w:type="auto"/>
            <w:vAlign w:val="center"/>
          </w:tcPr>
          <w:p w:rsidR="00B30966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</w:t>
            </w:r>
            <w:r w:rsidR="005C419A">
              <w:rPr>
                <w:color w:val="000000"/>
                <w:sz w:val="22"/>
                <w:szCs w:val="22"/>
              </w:rPr>
              <w:t>enej časté</w:t>
            </w:r>
          </w:p>
        </w:tc>
      </w:tr>
      <w:tr w:rsidR="00B30966" w:rsidRPr="00254852" w:rsidTr="000F3334">
        <w:tc>
          <w:tcPr>
            <w:tcW w:w="0" w:type="auto"/>
            <w:gridSpan w:val="3"/>
          </w:tcPr>
          <w:p w:rsidR="00B30966" w:rsidRPr="00254852" w:rsidRDefault="00460979" w:rsidP="00460979">
            <w:pPr>
              <w:spacing w:after="0"/>
              <w:rPr>
                <w:color w:val="000000"/>
                <w:sz w:val="22"/>
                <w:szCs w:val="22"/>
              </w:rPr>
            </w:pPr>
            <w:r w:rsidRPr="005E28C5">
              <w:rPr>
                <w:b/>
                <w:sz w:val="22"/>
                <w:szCs w:val="22"/>
              </w:rPr>
              <w:lastRenderedPageBreak/>
              <w:t>Skúsenosti po uvedení lieku na trh (so statínom alebo bez neho)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B30966" w:rsidRPr="00254852" w:rsidRDefault="003C7B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Trieda orgánového systému</w:t>
            </w:r>
          </w:p>
        </w:tc>
        <w:tc>
          <w:tcPr>
            <w:tcW w:w="0" w:type="auto"/>
            <w:vAlign w:val="center"/>
          </w:tcPr>
          <w:p w:rsidR="00B30966" w:rsidRPr="00254852" w:rsidRDefault="003C7B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Nežiaduce reakcie</w:t>
            </w:r>
          </w:p>
        </w:tc>
        <w:tc>
          <w:tcPr>
            <w:tcW w:w="0" w:type="auto"/>
            <w:vAlign w:val="center"/>
          </w:tcPr>
          <w:p w:rsidR="00B30966" w:rsidRPr="00254852" w:rsidRDefault="00B30966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852">
              <w:rPr>
                <w:b/>
                <w:bCs/>
                <w:color w:val="000000"/>
                <w:sz w:val="22"/>
                <w:szCs w:val="22"/>
              </w:rPr>
              <w:t>Fre</w:t>
            </w:r>
            <w:r w:rsidR="003C7B84">
              <w:rPr>
                <w:b/>
                <w:bCs/>
                <w:color w:val="000000"/>
                <w:sz w:val="22"/>
                <w:szCs w:val="22"/>
              </w:rPr>
              <w:t>kvencia</w:t>
            </w:r>
          </w:p>
        </w:tc>
      </w:tr>
      <w:tr w:rsidR="005C419A" w:rsidRPr="00254852" w:rsidTr="000F3334">
        <w:tc>
          <w:tcPr>
            <w:tcW w:w="0" w:type="auto"/>
          </w:tcPr>
          <w:p w:rsidR="008B16DF" w:rsidRPr="008B16DF" w:rsidRDefault="008B16DF" w:rsidP="000F3334">
            <w:pPr>
              <w:adjustRightInd w:val="0"/>
              <w:snapToGrid w:val="0"/>
              <w:spacing w:after="0"/>
              <w:rPr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>Poruchy krvi a lymfatického systému</w:t>
            </w:r>
          </w:p>
        </w:tc>
        <w:tc>
          <w:tcPr>
            <w:tcW w:w="0" w:type="auto"/>
            <w:vAlign w:val="center"/>
          </w:tcPr>
          <w:p w:rsidR="008B16DF" w:rsidRPr="00254852" w:rsidRDefault="00460979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trombocytopé</w:t>
            </w:r>
            <w:r w:rsidR="008B16DF" w:rsidRPr="00254852">
              <w:rPr>
                <w:color w:val="000000"/>
                <w:sz w:val="22"/>
                <w:szCs w:val="22"/>
              </w:rPr>
              <w:t>nia</w:t>
            </w:r>
          </w:p>
        </w:tc>
        <w:tc>
          <w:tcPr>
            <w:tcW w:w="0" w:type="auto"/>
            <w:vAlign w:val="center"/>
          </w:tcPr>
          <w:p w:rsidR="008B16DF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28C5">
              <w:rPr>
                <w:sz w:val="22"/>
                <w:szCs w:val="22"/>
              </w:rPr>
              <w:t>n</w:t>
            </w:r>
            <w:r w:rsidR="005C419A" w:rsidRPr="005E28C5">
              <w:rPr>
                <w:sz w:val="22"/>
                <w:szCs w:val="22"/>
              </w:rPr>
              <w:t>eznáme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8B16DF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Poruchy nervového systému</w:t>
            </w:r>
          </w:p>
        </w:tc>
        <w:tc>
          <w:tcPr>
            <w:tcW w:w="0" w:type="auto"/>
            <w:vAlign w:val="center"/>
          </w:tcPr>
          <w:p w:rsidR="008B16DF" w:rsidRPr="00254852" w:rsidRDefault="00460979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závrat</w:t>
            </w:r>
            <w:r w:rsidR="009504F7">
              <w:rPr>
                <w:color w:val="000000"/>
                <w:sz w:val="22"/>
                <w:szCs w:val="22"/>
              </w:rPr>
              <w:t>y</w:t>
            </w:r>
            <w:r>
              <w:rPr>
                <w:color w:val="000000"/>
                <w:sz w:val="22"/>
                <w:szCs w:val="22"/>
              </w:rPr>
              <w:t>; parestéz</w:t>
            </w:r>
            <w:r w:rsidR="008B16DF" w:rsidRPr="00254852">
              <w:rPr>
                <w:color w:val="000000"/>
                <w:sz w:val="22"/>
                <w:szCs w:val="22"/>
              </w:rPr>
              <w:t>ia</w:t>
            </w:r>
          </w:p>
        </w:tc>
        <w:tc>
          <w:tcPr>
            <w:tcW w:w="0" w:type="auto"/>
            <w:vAlign w:val="center"/>
          </w:tcPr>
          <w:p w:rsidR="008B16DF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28C5">
              <w:rPr>
                <w:sz w:val="22"/>
                <w:szCs w:val="22"/>
              </w:rPr>
              <w:t>n</w:t>
            </w:r>
            <w:r w:rsidR="005C419A" w:rsidRPr="005E28C5">
              <w:rPr>
                <w:sz w:val="22"/>
                <w:szCs w:val="22"/>
              </w:rPr>
              <w:t>eznáme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8B16DF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dýchacej sústavy, hrudníka a mediastína</w:t>
            </w:r>
          </w:p>
        </w:tc>
        <w:tc>
          <w:tcPr>
            <w:tcW w:w="0" w:type="auto"/>
            <w:vAlign w:val="center"/>
          </w:tcPr>
          <w:p w:rsidR="008B16DF" w:rsidRPr="00254852" w:rsidRDefault="00460979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dyspnoe</w:t>
            </w:r>
          </w:p>
        </w:tc>
        <w:tc>
          <w:tcPr>
            <w:tcW w:w="0" w:type="auto"/>
            <w:vAlign w:val="center"/>
          </w:tcPr>
          <w:p w:rsidR="008B16DF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28C5">
              <w:rPr>
                <w:sz w:val="22"/>
                <w:szCs w:val="22"/>
              </w:rPr>
              <w:t>n</w:t>
            </w:r>
            <w:r w:rsidR="005C419A" w:rsidRPr="005E28C5">
              <w:rPr>
                <w:sz w:val="22"/>
                <w:szCs w:val="22"/>
              </w:rPr>
              <w:t>eznáme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8B16DF" w:rsidRPr="00254852" w:rsidRDefault="008B16DF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gastrointestinálneho traktu</w:t>
            </w:r>
          </w:p>
        </w:tc>
        <w:tc>
          <w:tcPr>
            <w:tcW w:w="0" w:type="auto"/>
            <w:vAlign w:val="center"/>
          </w:tcPr>
          <w:p w:rsidR="008B16DF" w:rsidRPr="00254852" w:rsidRDefault="008B16DF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852">
              <w:rPr>
                <w:color w:val="000000"/>
                <w:sz w:val="22"/>
                <w:szCs w:val="22"/>
              </w:rPr>
              <w:t>pan</w:t>
            </w:r>
            <w:r w:rsidR="00460979">
              <w:rPr>
                <w:color w:val="000000"/>
                <w:sz w:val="22"/>
                <w:szCs w:val="22"/>
              </w:rPr>
              <w:t>k</w:t>
            </w:r>
            <w:r w:rsidRPr="00254852">
              <w:rPr>
                <w:color w:val="000000"/>
                <w:sz w:val="22"/>
                <w:szCs w:val="22"/>
              </w:rPr>
              <w:t>reatit</w:t>
            </w:r>
            <w:r w:rsidR="00460979">
              <w:rPr>
                <w:color w:val="000000"/>
                <w:sz w:val="22"/>
                <w:szCs w:val="22"/>
              </w:rPr>
              <w:t>ída</w:t>
            </w:r>
            <w:r w:rsidRPr="00254852">
              <w:rPr>
                <w:color w:val="000000"/>
                <w:sz w:val="22"/>
                <w:szCs w:val="22"/>
              </w:rPr>
              <w:t xml:space="preserve">; </w:t>
            </w:r>
            <w:r w:rsidR="00460979">
              <w:rPr>
                <w:color w:val="000000"/>
                <w:sz w:val="22"/>
                <w:szCs w:val="22"/>
              </w:rPr>
              <w:t>zápcha</w:t>
            </w:r>
          </w:p>
        </w:tc>
        <w:tc>
          <w:tcPr>
            <w:tcW w:w="0" w:type="auto"/>
            <w:vAlign w:val="center"/>
          </w:tcPr>
          <w:p w:rsidR="008B16DF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28C5">
              <w:rPr>
                <w:sz w:val="22"/>
                <w:szCs w:val="22"/>
              </w:rPr>
              <w:t>n</w:t>
            </w:r>
            <w:r w:rsidR="005C419A" w:rsidRPr="005E28C5">
              <w:rPr>
                <w:sz w:val="22"/>
                <w:szCs w:val="22"/>
              </w:rPr>
              <w:t>eznáme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8B16DF" w:rsidRPr="00254852" w:rsidRDefault="003C7B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Poruchy kože a podkožného tkaniva</w:t>
            </w:r>
          </w:p>
        </w:tc>
        <w:tc>
          <w:tcPr>
            <w:tcW w:w="0" w:type="auto"/>
            <w:vAlign w:val="center"/>
          </w:tcPr>
          <w:p w:rsidR="008B16DF" w:rsidRPr="009504F7" w:rsidRDefault="00DA3925" w:rsidP="000F3334">
            <w:pPr>
              <w:widowControl w:val="0"/>
              <w:autoSpaceDE w:val="0"/>
              <w:autoSpaceDN w:val="0"/>
              <w:adjustRightInd w:val="0"/>
              <w:rPr>
                <w:i/>
                <w:color w:val="000000"/>
                <w:sz w:val="22"/>
                <w:szCs w:val="22"/>
              </w:rPr>
            </w:pPr>
            <w:r w:rsidRPr="00DA3925">
              <w:rPr>
                <w:i/>
                <w:color w:val="000000"/>
                <w:sz w:val="22"/>
                <w:szCs w:val="22"/>
              </w:rPr>
              <w:t>erythema multiforme</w:t>
            </w:r>
          </w:p>
        </w:tc>
        <w:tc>
          <w:tcPr>
            <w:tcW w:w="0" w:type="auto"/>
            <w:vAlign w:val="center"/>
          </w:tcPr>
          <w:p w:rsidR="008B16DF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28C5">
              <w:rPr>
                <w:sz w:val="22"/>
                <w:szCs w:val="22"/>
              </w:rPr>
              <w:t>n</w:t>
            </w:r>
            <w:r w:rsidR="005C419A" w:rsidRPr="005E28C5">
              <w:rPr>
                <w:sz w:val="22"/>
                <w:szCs w:val="22"/>
              </w:rPr>
              <w:t>eznáme</w:t>
            </w:r>
          </w:p>
        </w:tc>
      </w:tr>
      <w:tr w:rsidR="00CA1DDD" w:rsidRPr="00254852" w:rsidTr="000F3334">
        <w:tc>
          <w:tcPr>
            <w:tcW w:w="0" w:type="auto"/>
            <w:vAlign w:val="center"/>
          </w:tcPr>
          <w:p w:rsidR="008B16DF" w:rsidRPr="00254852" w:rsidRDefault="003C7B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bCs/>
                <w:sz w:val="22"/>
                <w:szCs w:val="22"/>
              </w:rPr>
              <w:t>Poruchy kostrovej a svalovej sústavy a spojivového tkaniva</w:t>
            </w:r>
          </w:p>
        </w:tc>
        <w:tc>
          <w:tcPr>
            <w:tcW w:w="0" w:type="auto"/>
            <w:vAlign w:val="center"/>
          </w:tcPr>
          <w:p w:rsidR="008B16DF" w:rsidRPr="00254852" w:rsidRDefault="008B16DF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852">
              <w:rPr>
                <w:color w:val="000000"/>
                <w:sz w:val="22"/>
                <w:szCs w:val="22"/>
              </w:rPr>
              <w:t>myalgia; myopat</w:t>
            </w:r>
            <w:r w:rsidR="00460979">
              <w:rPr>
                <w:color w:val="000000"/>
                <w:sz w:val="22"/>
                <w:szCs w:val="22"/>
              </w:rPr>
              <w:t>ia</w:t>
            </w:r>
            <w:r w:rsidRPr="00254852">
              <w:rPr>
                <w:color w:val="000000"/>
                <w:sz w:val="22"/>
                <w:szCs w:val="22"/>
              </w:rPr>
              <w:t>/r</w:t>
            </w:r>
            <w:r w:rsidR="00460979">
              <w:rPr>
                <w:color w:val="000000"/>
                <w:sz w:val="22"/>
                <w:szCs w:val="22"/>
              </w:rPr>
              <w:t>abdomyolýza</w:t>
            </w:r>
            <w:r w:rsidRPr="00254852">
              <w:rPr>
                <w:color w:val="000000"/>
                <w:sz w:val="22"/>
                <w:szCs w:val="22"/>
              </w:rPr>
              <w:t xml:space="preserve"> (</w:t>
            </w:r>
            <w:r w:rsidR="00460979">
              <w:rPr>
                <w:color w:val="000000"/>
                <w:sz w:val="22"/>
                <w:szCs w:val="22"/>
              </w:rPr>
              <w:t>pozri časť</w:t>
            </w:r>
            <w:r w:rsidRPr="00254852">
              <w:rPr>
                <w:color w:val="000000"/>
                <w:sz w:val="22"/>
                <w:szCs w:val="22"/>
              </w:rPr>
              <w:t xml:space="preserve"> 4.4)</w:t>
            </w:r>
          </w:p>
        </w:tc>
        <w:tc>
          <w:tcPr>
            <w:tcW w:w="0" w:type="auto"/>
            <w:vAlign w:val="center"/>
          </w:tcPr>
          <w:p w:rsidR="008B16DF" w:rsidRPr="00254852" w:rsidRDefault="009F7084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5E28C5">
              <w:rPr>
                <w:sz w:val="22"/>
                <w:szCs w:val="22"/>
              </w:rPr>
              <w:t>n</w:t>
            </w:r>
            <w:r w:rsidR="005C419A" w:rsidRPr="005E28C5">
              <w:rPr>
                <w:sz w:val="22"/>
                <w:szCs w:val="22"/>
              </w:rPr>
              <w:t>eznáme</w:t>
            </w:r>
          </w:p>
        </w:tc>
      </w:tr>
      <w:tr w:rsidR="005C419A" w:rsidRPr="00254852" w:rsidTr="000F3334">
        <w:tc>
          <w:tcPr>
            <w:tcW w:w="0" w:type="auto"/>
            <w:vAlign w:val="center"/>
          </w:tcPr>
          <w:p w:rsidR="005C419A" w:rsidRPr="00254852" w:rsidRDefault="005C419A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8B16DF">
              <w:rPr>
                <w:sz w:val="22"/>
                <w:szCs w:val="22"/>
              </w:rPr>
              <w:t>Celkové poruchy a reakcie v mieste podania</w:t>
            </w:r>
          </w:p>
        </w:tc>
        <w:tc>
          <w:tcPr>
            <w:tcW w:w="0" w:type="auto"/>
            <w:vAlign w:val="center"/>
          </w:tcPr>
          <w:p w:rsidR="005C419A" w:rsidRPr="00254852" w:rsidRDefault="00460979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asté</w:t>
            </w:r>
            <w:r w:rsidR="005C419A" w:rsidRPr="00254852">
              <w:rPr>
                <w:color w:val="000000"/>
                <w:sz w:val="22"/>
                <w:szCs w:val="22"/>
              </w:rPr>
              <w:t>nia</w:t>
            </w:r>
          </w:p>
        </w:tc>
        <w:tc>
          <w:tcPr>
            <w:tcW w:w="0" w:type="auto"/>
          </w:tcPr>
          <w:p w:rsidR="005C419A" w:rsidRDefault="009F7084">
            <w:r w:rsidRPr="005E28C5">
              <w:rPr>
                <w:sz w:val="22"/>
                <w:szCs w:val="22"/>
              </w:rPr>
              <w:t>n</w:t>
            </w:r>
            <w:r w:rsidR="005C419A" w:rsidRPr="0066011D">
              <w:rPr>
                <w:sz w:val="22"/>
                <w:szCs w:val="22"/>
              </w:rPr>
              <w:t>eznáme</w:t>
            </w:r>
          </w:p>
        </w:tc>
      </w:tr>
      <w:tr w:rsidR="005C419A" w:rsidRPr="00254852" w:rsidTr="000F3334">
        <w:tc>
          <w:tcPr>
            <w:tcW w:w="0" w:type="auto"/>
            <w:vAlign w:val="center"/>
          </w:tcPr>
          <w:p w:rsidR="005C419A" w:rsidRPr="003C7B84" w:rsidRDefault="005C419A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C7B84">
              <w:rPr>
                <w:sz w:val="22"/>
                <w:szCs w:val="22"/>
              </w:rPr>
              <w:t>Poruchy imunitného systému</w:t>
            </w:r>
          </w:p>
        </w:tc>
        <w:tc>
          <w:tcPr>
            <w:tcW w:w="0" w:type="auto"/>
            <w:vAlign w:val="center"/>
          </w:tcPr>
          <w:p w:rsidR="005C419A" w:rsidRPr="00254852" w:rsidRDefault="00460979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</w:t>
            </w:r>
            <w:r w:rsidR="005C419A" w:rsidRPr="00254852">
              <w:rPr>
                <w:color w:val="000000"/>
                <w:sz w:val="22"/>
                <w:szCs w:val="22"/>
              </w:rPr>
              <w:t>ypersen</w:t>
            </w:r>
            <w:r>
              <w:rPr>
                <w:color w:val="000000"/>
                <w:sz w:val="22"/>
                <w:szCs w:val="22"/>
              </w:rPr>
              <w:t>z</w:t>
            </w:r>
            <w:r w:rsidR="005C419A" w:rsidRPr="00254852">
              <w:rPr>
                <w:color w:val="000000"/>
                <w:sz w:val="22"/>
                <w:szCs w:val="22"/>
              </w:rPr>
              <w:t>itivit</w:t>
            </w:r>
            <w:r>
              <w:rPr>
                <w:color w:val="000000"/>
                <w:sz w:val="22"/>
                <w:szCs w:val="22"/>
              </w:rPr>
              <w:t>a vrátane vyrážky, urtikárie</w:t>
            </w:r>
            <w:r w:rsidR="005C419A" w:rsidRPr="00254852">
              <w:rPr>
                <w:color w:val="000000"/>
                <w:sz w:val="22"/>
                <w:szCs w:val="22"/>
              </w:rPr>
              <w:t>, ana</w:t>
            </w:r>
            <w:r>
              <w:rPr>
                <w:color w:val="000000"/>
                <w:sz w:val="22"/>
                <w:szCs w:val="22"/>
              </w:rPr>
              <w:t>f</w:t>
            </w:r>
            <w:r w:rsidR="005C419A" w:rsidRPr="00254852">
              <w:rPr>
                <w:color w:val="000000"/>
                <w:sz w:val="22"/>
                <w:szCs w:val="22"/>
              </w:rPr>
              <w:t>ylaxi</w:t>
            </w:r>
            <w:r>
              <w:rPr>
                <w:color w:val="000000"/>
                <w:sz w:val="22"/>
                <w:szCs w:val="22"/>
              </w:rPr>
              <w:t>e</w:t>
            </w:r>
            <w:r w:rsidR="005C419A" w:rsidRPr="00254852">
              <w:rPr>
                <w:color w:val="000000"/>
                <w:sz w:val="22"/>
                <w:szCs w:val="22"/>
              </w:rPr>
              <w:t xml:space="preserve"> a angioed</w:t>
            </w:r>
            <w:r>
              <w:rPr>
                <w:color w:val="000000"/>
                <w:sz w:val="22"/>
                <w:szCs w:val="22"/>
              </w:rPr>
              <w:t>é</w:t>
            </w:r>
            <w:r w:rsidR="005C419A" w:rsidRPr="00254852">
              <w:rPr>
                <w:color w:val="000000"/>
                <w:sz w:val="22"/>
                <w:szCs w:val="22"/>
              </w:rPr>
              <w:t>m</w:t>
            </w:r>
            <w:r>
              <w:rPr>
                <w:color w:val="000000"/>
                <w:sz w:val="22"/>
                <w:szCs w:val="22"/>
              </w:rPr>
              <w:t>u</w:t>
            </w:r>
          </w:p>
        </w:tc>
        <w:tc>
          <w:tcPr>
            <w:tcW w:w="0" w:type="auto"/>
          </w:tcPr>
          <w:p w:rsidR="005C419A" w:rsidRDefault="009F7084">
            <w:r w:rsidRPr="005E28C5">
              <w:rPr>
                <w:sz w:val="22"/>
                <w:szCs w:val="22"/>
              </w:rPr>
              <w:t>n</w:t>
            </w:r>
            <w:r w:rsidR="005C419A" w:rsidRPr="0066011D">
              <w:rPr>
                <w:sz w:val="22"/>
                <w:szCs w:val="22"/>
              </w:rPr>
              <w:t>eznáme</w:t>
            </w:r>
          </w:p>
        </w:tc>
      </w:tr>
      <w:tr w:rsidR="005C419A" w:rsidRPr="00254852" w:rsidTr="000F3334">
        <w:tc>
          <w:tcPr>
            <w:tcW w:w="0" w:type="auto"/>
            <w:vAlign w:val="center"/>
          </w:tcPr>
          <w:p w:rsidR="005C419A" w:rsidRPr="003C7B84" w:rsidRDefault="005C419A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C7B84">
              <w:rPr>
                <w:sz w:val="22"/>
                <w:szCs w:val="22"/>
              </w:rPr>
              <w:t>Poruchy pečene a žlčových ciest</w:t>
            </w:r>
          </w:p>
        </w:tc>
        <w:tc>
          <w:tcPr>
            <w:tcW w:w="0" w:type="auto"/>
            <w:vAlign w:val="center"/>
          </w:tcPr>
          <w:p w:rsidR="005C419A" w:rsidRPr="00254852" w:rsidRDefault="005C419A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254852">
              <w:rPr>
                <w:color w:val="000000"/>
                <w:sz w:val="22"/>
                <w:szCs w:val="22"/>
              </w:rPr>
              <w:t>hepati</w:t>
            </w:r>
            <w:r w:rsidR="00460979">
              <w:rPr>
                <w:color w:val="000000"/>
                <w:sz w:val="22"/>
                <w:szCs w:val="22"/>
              </w:rPr>
              <w:t>tída</w:t>
            </w:r>
            <w:r w:rsidRPr="00254852">
              <w:rPr>
                <w:color w:val="000000"/>
                <w:sz w:val="22"/>
                <w:szCs w:val="22"/>
              </w:rPr>
              <w:t>; cholelit</w:t>
            </w:r>
            <w:r w:rsidR="00460979">
              <w:rPr>
                <w:color w:val="000000"/>
                <w:sz w:val="22"/>
                <w:szCs w:val="22"/>
              </w:rPr>
              <w:t>iáza</w:t>
            </w:r>
            <w:r w:rsidRPr="00254852">
              <w:rPr>
                <w:color w:val="000000"/>
                <w:sz w:val="22"/>
                <w:szCs w:val="22"/>
              </w:rPr>
              <w:t>; cholecysti</w:t>
            </w:r>
            <w:r w:rsidR="00460979">
              <w:rPr>
                <w:color w:val="000000"/>
                <w:sz w:val="22"/>
                <w:szCs w:val="22"/>
              </w:rPr>
              <w:t>tída</w:t>
            </w:r>
          </w:p>
        </w:tc>
        <w:tc>
          <w:tcPr>
            <w:tcW w:w="0" w:type="auto"/>
          </w:tcPr>
          <w:p w:rsidR="005C419A" w:rsidRDefault="009F7084">
            <w:r w:rsidRPr="005E28C5">
              <w:rPr>
                <w:sz w:val="22"/>
                <w:szCs w:val="22"/>
              </w:rPr>
              <w:t>n</w:t>
            </w:r>
            <w:r w:rsidR="005C419A" w:rsidRPr="0066011D">
              <w:rPr>
                <w:sz w:val="22"/>
                <w:szCs w:val="22"/>
              </w:rPr>
              <w:t>eznáme</w:t>
            </w:r>
          </w:p>
        </w:tc>
      </w:tr>
      <w:tr w:rsidR="005C419A" w:rsidRPr="00254852" w:rsidTr="000F3334">
        <w:tc>
          <w:tcPr>
            <w:tcW w:w="0" w:type="auto"/>
            <w:vAlign w:val="center"/>
          </w:tcPr>
          <w:p w:rsidR="005C419A" w:rsidRPr="003C7B84" w:rsidRDefault="005C419A" w:rsidP="000F3334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3C7B84">
              <w:rPr>
                <w:sz w:val="22"/>
                <w:szCs w:val="22"/>
              </w:rPr>
              <w:t>Psychické poruchy</w:t>
            </w:r>
          </w:p>
        </w:tc>
        <w:tc>
          <w:tcPr>
            <w:tcW w:w="0" w:type="auto"/>
            <w:vAlign w:val="center"/>
          </w:tcPr>
          <w:p w:rsidR="005C419A" w:rsidRPr="00254852" w:rsidRDefault="00460979" w:rsidP="0046097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depresia</w:t>
            </w:r>
          </w:p>
        </w:tc>
        <w:tc>
          <w:tcPr>
            <w:tcW w:w="0" w:type="auto"/>
          </w:tcPr>
          <w:p w:rsidR="005C419A" w:rsidRDefault="009F7084">
            <w:r w:rsidRPr="005E28C5">
              <w:rPr>
                <w:sz w:val="22"/>
                <w:szCs w:val="22"/>
              </w:rPr>
              <w:t>n</w:t>
            </w:r>
            <w:r w:rsidR="005C419A" w:rsidRPr="0066011D">
              <w:rPr>
                <w:sz w:val="22"/>
                <w:szCs w:val="22"/>
              </w:rPr>
              <w:t>eznáme</w:t>
            </w:r>
          </w:p>
        </w:tc>
      </w:tr>
    </w:tbl>
    <w:p w:rsidR="00460979" w:rsidRDefault="00460979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8E333E" w:rsidRDefault="008E333E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Ezetimib podaný spolu s</w:t>
      </w:r>
      <w:r w:rsidR="00795D94">
        <w:rPr>
          <w:sz w:val="22"/>
          <w:szCs w:val="22"/>
          <w:u w:val="single"/>
        </w:rPr>
        <w:t> </w:t>
      </w:r>
      <w:r>
        <w:rPr>
          <w:sz w:val="22"/>
          <w:szCs w:val="22"/>
          <w:u w:val="single"/>
        </w:rPr>
        <w:t>fe</w:t>
      </w:r>
      <w:r w:rsidR="00795D94">
        <w:rPr>
          <w:sz w:val="22"/>
          <w:szCs w:val="22"/>
          <w:u w:val="single"/>
        </w:rPr>
        <w:t>no</w:t>
      </w:r>
      <w:r>
        <w:rPr>
          <w:sz w:val="22"/>
          <w:szCs w:val="22"/>
          <w:u w:val="single"/>
        </w:rPr>
        <w:t>fibrátom</w:t>
      </w:r>
      <w:r w:rsidR="00795D94">
        <w:rPr>
          <w:sz w:val="22"/>
          <w:szCs w:val="22"/>
          <w:u w:val="single"/>
        </w:rPr>
        <w:t>:</w:t>
      </w:r>
    </w:p>
    <w:p w:rsidR="00795D94" w:rsidRDefault="00795D94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:rsidR="00795D94" w:rsidRDefault="00795D94" w:rsidP="00F30C0D">
      <w:pPr>
        <w:adjustRightInd w:val="0"/>
        <w:snapToGrid w:val="0"/>
        <w:spacing w:after="0"/>
        <w:rPr>
          <w:bCs/>
          <w:sz w:val="22"/>
          <w:szCs w:val="22"/>
        </w:rPr>
      </w:pPr>
      <w:r w:rsidRPr="008B16DF">
        <w:rPr>
          <w:bCs/>
          <w:sz w:val="22"/>
          <w:szCs w:val="22"/>
        </w:rPr>
        <w:t>Poruchy gastrointestinálneho traktu</w:t>
      </w:r>
      <w:r>
        <w:rPr>
          <w:bCs/>
          <w:sz w:val="22"/>
          <w:szCs w:val="22"/>
        </w:rPr>
        <w:t>: abdominálna bolesť (časté).</w:t>
      </w:r>
    </w:p>
    <w:p w:rsidR="00795D94" w:rsidRPr="008E333E" w:rsidRDefault="00795D94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:rsidR="004F752E" w:rsidRPr="005E28C5" w:rsidRDefault="004F752E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multicentrick</w:t>
      </w:r>
      <w:r w:rsidR="009504F7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, dvojito </w:t>
      </w:r>
      <w:r w:rsidR="00E57333" w:rsidRPr="005E28C5">
        <w:rPr>
          <w:sz w:val="22"/>
          <w:szCs w:val="22"/>
        </w:rPr>
        <w:t>za</w:t>
      </w:r>
      <w:r w:rsidRPr="005E28C5">
        <w:rPr>
          <w:sz w:val="22"/>
          <w:szCs w:val="22"/>
        </w:rPr>
        <w:t>slepe</w:t>
      </w:r>
      <w:r w:rsidR="00E57333" w:rsidRPr="005E28C5">
        <w:rPr>
          <w:sz w:val="22"/>
          <w:szCs w:val="22"/>
        </w:rPr>
        <w:t>n</w:t>
      </w:r>
      <w:r w:rsidR="009504F7">
        <w:rPr>
          <w:sz w:val="22"/>
          <w:szCs w:val="22"/>
        </w:rPr>
        <w:t>om</w:t>
      </w:r>
      <w:r w:rsidRPr="005E28C5">
        <w:rPr>
          <w:sz w:val="22"/>
          <w:szCs w:val="22"/>
        </w:rPr>
        <w:t>, placebom kontrolovan</w:t>
      </w:r>
      <w:r w:rsidR="009504F7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klinick</w:t>
      </w:r>
      <w:r w:rsidR="009504F7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</w:t>
      </w:r>
      <w:r w:rsidR="009504F7">
        <w:rPr>
          <w:sz w:val="22"/>
          <w:szCs w:val="22"/>
        </w:rPr>
        <w:t>skúšaní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zmiešanou hyperlipidémiou bolo liečených 625 pacientov počas obdobia do 12 týždňov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576 pacientov počas obdobia do 1 roka.</w:t>
      </w:r>
      <w:r w:rsidR="0020794C" w:rsidRPr="005E28C5">
        <w:rPr>
          <w:sz w:val="22"/>
          <w:szCs w:val="22"/>
        </w:rPr>
        <w:t xml:space="preserve"> V </w:t>
      </w:r>
      <w:r w:rsidR="009F7084" w:rsidRPr="009F7084">
        <w:rPr>
          <w:sz w:val="22"/>
          <w:szCs w:val="22"/>
        </w:rPr>
        <w:t>klinická štúdia</w:t>
      </w:r>
      <w:r w:rsidR="009F7084">
        <w:rPr>
          <w:sz w:val="22"/>
          <w:szCs w:val="22"/>
        </w:rPr>
        <w:t xml:space="preserve"> </w:t>
      </w:r>
      <w:r w:rsidR="00EA37C5" w:rsidRPr="005E28C5">
        <w:rPr>
          <w:sz w:val="22"/>
          <w:szCs w:val="22"/>
        </w:rPr>
        <w:t xml:space="preserve">172 pacientov liečených </w:t>
      </w:r>
      <w:r w:rsidR="00F345B0" w:rsidRPr="005E28C5">
        <w:rPr>
          <w:sz w:val="22"/>
          <w:szCs w:val="22"/>
        </w:rPr>
        <w:t>ezetimibom</w:t>
      </w:r>
      <w:r w:rsidR="0020794C" w:rsidRPr="005E28C5">
        <w:rPr>
          <w:sz w:val="22"/>
          <w:szCs w:val="22"/>
        </w:rPr>
        <w:t xml:space="preserve"> a </w:t>
      </w:r>
      <w:r w:rsidR="00EA37C5" w:rsidRPr="005E28C5">
        <w:rPr>
          <w:sz w:val="22"/>
          <w:szCs w:val="22"/>
        </w:rPr>
        <w:t>fenofibrátom dokončilo 12 týždňov liečby</w:t>
      </w:r>
      <w:r w:rsidR="0020794C" w:rsidRPr="005E28C5">
        <w:rPr>
          <w:sz w:val="22"/>
          <w:szCs w:val="22"/>
        </w:rPr>
        <w:t xml:space="preserve"> a </w:t>
      </w:r>
      <w:r w:rsidR="00EA37C5" w:rsidRPr="005E28C5">
        <w:rPr>
          <w:sz w:val="22"/>
          <w:szCs w:val="22"/>
        </w:rPr>
        <w:t xml:space="preserve">230 pacientov liečených </w:t>
      </w:r>
      <w:r w:rsidR="00F345B0" w:rsidRPr="005E28C5">
        <w:rPr>
          <w:sz w:val="22"/>
          <w:szCs w:val="22"/>
        </w:rPr>
        <w:t>ezetimibom</w:t>
      </w:r>
      <w:r w:rsidR="0020794C" w:rsidRPr="005E28C5">
        <w:rPr>
          <w:sz w:val="22"/>
          <w:szCs w:val="22"/>
        </w:rPr>
        <w:t xml:space="preserve"> a </w:t>
      </w:r>
      <w:r w:rsidR="00EA37C5" w:rsidRPr="005E28C5">
        <w:rPr>
          <w:sz w:val="22"/>
          <w:szCs w:val="22"/>
        </w:rPr>
        <w:t xml:space="preserve">fenofibrátom (vrátane 109 </w:t>
      </w:r>
      <w:r w:rsidR="00EA37C5" w:rsidRPr="00666957">
        <w:rPr>
          <w:sz w:val="22"/>
          <w:szCs w:val="22"/>
        </w:rPr>
        <w:t xml:space="preserve">pacientov, ktorí počas prvých 12 týždňov dostávali samotný </w:t>
      </w:r>
      <w:r w:rsidR="00F345B0" w:rsidRPr="00666957">
        <w:rPr>
          <w:sz w:val="22"/>
          <w:szCs w:val="22"/>
        </w:rPr>
        <w:t>ezetimib</w:t>
      </w:r>
      <w:r w:rsidR="00EA37C5" w:rsidRPr="00666957">
        <w:rPr>
          <w:sz w:val="22"/>
          <w:szCs w:val="22"/>
        </w:rPr>
        <w:t xml:space="preserve">) dokončilo 1 rok liečby. </w:t>
      </w:r>
      <w:r w:rsidRPr="00666957">
        <w:rPr>
          <w:sz w:val="22"/>
          <w:szCs w:val="22"/>
        </w:rPr>
        <w:t>T</w:t>
      </w:r>
      <w:r w:rsidR="00666957" w:rsidRPr="00666957">
        <w:rPr>
          <w:sz w:val="22"/>
          <w:szCs w:val="22"/>
        </w:rPr>
        <w:t>oto skúšanie</w:t>
      </w:r>
      <w:r w:rsidR="0066695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nebol</w:t>
      </w:r>
      <w:r w:rsidR="00666957">
        <w:rPr>
          <w:sz w:val="22"/>
          <w:szCs w:val="22"/>
        </w:rPr>
        <w:t>o</w:t>
      </w:r>
      <w:r w:rsidRPr="005E28C5">
        <w:rPr>
          <w:sz w:val="22"/>
          <w:szCs w:val="22"/>
        </w:rPr>
        <w:t xml:space="preserve"> usporiadan</w:t>
      </w:r>
      <w:r w:rsidR="00666957">
        <w:rPr>
          <w:sz w:val="22"/>
          <w:szCs w:val="22"/>
        </w:rPr>
        <w:t>é</w:t>
      </w:r>
      <w:r w:rsidRPr="005E28C5">
        <w:rPr>
          <w:sz w:val="22"/>
          <w:szCs w:val="22"/>
        </w:rPr>
        <w:t xml:space="preserve"> tak, aby porovnával</w:t>
      </w:r>
      <w:r w:rsidR="00666957">
        <w:rPr>
          <w:sz w:val="22"/>
          <w:szCs w:val="22"/>
        </w:rPr>
        <w:t>o</w:t>
      </w:r>
      <w:r w:rsidRPr="005E28C5">
        <w:rPr>
          <w:sz w:val="22"/>
          <w:szCs w:val="22"/>
        </w:rPr>
        <w:t xml:space="preserve"> liečebné skupiny podľa z</w:t>
      </w:r>
      <w:r w:rsidR="00F345B0" w:rsidRPr="005E28C5">
        <w:rPr>
          <w:sz w:val="22"/>
          <w:szCs w:val="22"/>
        </w:rPr>
        <w:t>riedkavých nežiaducich účinkov.</w:t>
      </w:r>
      <w:r w:rsidR="00795D94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Hodnoty incidencie (95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IS) klinicky významných zvýšení (&gt;</w:t>
      </w:r>
      <w:r w:rsidR="009504F7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3 x HHN, </w:t>
      </w:r>
      <w:r w:rsidR="00B56514">
        <w:rPr>
          <w:sz w:val="22"/>
          <w:szCs w:val="22"/>
        </w:rPr>
        <w:t>po sebe</w:t>
      </w:r>
      <w:r w:rsidRPr="005E28C5">
        <w:rPr>
          <w:sz w:val="22"/>
          <w:szCs w:val="22"/>
        </w:rPr>
        <w:t>) sérových transamináz upravené na expozíciu liečbe boli 4,5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(1,9; 8,8) pre monoterapiu fenofibrátom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2,7</w:t>
      </w:r>
      <w:r w:rsidR="0020794C" w:rsidRPr="005E28C5">
        <w:rPr>
          <w:sz w:val="22"/>
          <w:szCs w:val="22"/>
        </w:rPr>
        <w:t> %</w:t>
      </w:r>
      <w:r w:rsidR="00795D94">
        <w:rPr>
          <w:sz w:val="22"/>
          <w:szCs w:val="22"/>
        </w:rPr>
        <w:t xml:space="preserve"> (1,</w:t>
      </w:r>
      <w:r w:rsidRPr="005E28C5">
        <w:rPr>
          <w:sz w:val="22"/>
          <w:szCs w:val="22"/>
        </w:rPr>
        <w:t xml:space="preserve">2; 5,4) pre </w:t>
      </w:r>
      <w:r w:rsidR="00F345B0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podávaný spolu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fenofibrátom. Zodpovedajúce hodnoty incidencie pre cholecystektómiu boli 0,6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(0,0; 3,1) pre monoterapiu fenofibrátom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1,7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(0,6; 4,0) pre </w:t>
      </w:r>
      <w:r w:rsidR="00F345B0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podávaný spolu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fenofibrátom (pozri čas</w:t>
      </w:r>
      <w:r w:rsidR="00EA37C5" w:rsidRPr="005E28C5">
        <w:rPr>
          <w:sz w:val="22"/>
          <w:szCs w:val="22"/>
        </w:rPr>
        <w:t>ti</w:t>
      </w:r>
      <w:r w:rsidRPr="005E28C5">
        <w:rPr>
          <w:sz w:val="22"/>
          <w:szCs w:val="22"/>
        </w:rPr>
        <w:t xml:space="preserve"> 4.4</w:t>
      </w:r>
      <w:r w:rsidR="0020794C" w:rsidRPr="005E28C5">
        <w:rPr>
          <w:sz w:val="22"/>
          <w:szCs w:val="22"/>
        </w:rPr>
        <w:t xml:space="preserve"> a </w:t>
      </w:r>
      <w:r w:rsidR="00EA37C5" w:rsidRPr="005E28C5">
        <w:rPr>
          <w:sz w:val="22"/>
          <w:szCs w:val="22"/>
        </w:rPr>
        <w:t>4.5).</w:t>
      </w:r>
    </w:p>
    <w:p w:rsidR="0082568E" w:rsidRPr="005E28C5" w:rsidRDefault="0082568E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020CA2" w:rsidRDefault="00074F56" w:rsidP="00074F56">
      <w:pPr>
        <w:keepNext/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Pediatrick</w:t>
      </w:r>
      <w:r w:rsidR="00FA0514" w:rsidRPr="005E28C5">
        <w:rPr>
          <w:sz w:val="22"/>
          <w:szCs w:val="22"/>
          <w:u w:val="single"/>
        </w:rPr>
        <w:t>á</w:t>
      </w:r>
      <w:r w:rsidRPr="005E28C5">
        <w:rPr>
          <w:sz w:val="22"/>
          <w:szCs w:val="22"/>
          <w:u w:val="single"/>
        </w:rPr>
        <w:t xml:space="preserve"> p</w:t>
      </w:r>
      <w:r w:rsidR="00FA0514" w:rsidRPr="005E28C5">
        <w:rPr>
          <w:sz w:val="22"/>
          <w:szCs w:val="22"/>
          <w:u w:val="single"/>
        </w:rPr>
        <w:t>opulácia</w:t>
      </w:r>
    </w:p>
    <w:p w:rsidR="00795D94" w:rsidRPr="005E28C5" w:rsidRDefault="00795D94" w:rsidP="00074F56">
      <w:pPr>
        <w:keepNext/>
        <w:adjustRightInd w:val="0"/>
        <w:snapToGrid w:val="0"/>
        <w:spacing w:after="0"/>
        <w:rPr>
          <w:sz w:val="22"/>
          <w:szCs w:val="22"/>
          <w:u w:val="single"/>
        </w:rPr>
      </w:pPr>
    </w:p>
    <w:p w:rsidR="00772790" w:rsidRPr="005E28C5" w:rsidRDefault="00772790" w:rsidP="00772790">
      <w:pPr>
        <w:adjustRightInd w:val="0"/>
        <w:snapToGrid w:val="0"/>
        <w:spacing w:after="0"/>
        <w:rPr>
          <w:sz w:val="22"/>
          <w:szCs w:val="22"/>
        </w:rPr>
      </w:pPr>
      <w:r w:rsidRPr="00666957">
        <w:rPr>
          <w:sz w:val="22"/>
          <w:szCs w:val="22"/>
        </w:rPr>
        <w:t>V </w:t>
      </w:r>
      <w:r w:rsidR="00666957" w:rsidRPr="00666957">
        <w:rPr>
          <w:sz w:val="22"/>
          <w:szCs w:val="22"/>
        </w:rPr>
        <w:t>skúšaní</w:t>
      </w:r>
      <w:r w:rsidRPr="00666957">
        <w:rPr>
          <w:sz w:val="22"/>
          <w:szCs w:val="22"/>
        </w:rPr>
        <w:t xml:space="preserve"> zahŕňajúc</w:t>
      </w:r>
      <w:r w:rsidR="00666957" w:rsidRPr="00666957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pediatrických pacientov (vo veku 6 až 10 rokov) s heterozygotnou familiárnou alebo n</w:t>
      </w:r>
      <w:r w:rsidR="00B1099D" w:rsidRPr="005E28C5">
        <w:rPr>
          <w:sz w:val="22"/>
          <w:szCs w:val="22"/>
        </w:rPr>
        <w:t>on-</w:t>
      </w:r>
      <w:r w:rsidRPr="005E28C5">
        <w:rPr>
          <w:sz w:val="22"/>
          <w:szCs w:val="22"/>
        </w:rPr>
        <w:t>familiárnou hypercholesterolémiou (n</w:t>
      </w:r>
      <w:r w:rsidR="00B1099D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=</w:t>
      </w:r>
      <w:r w:rsidR="00B1099D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138) sa zvýšenia ALT a/alebo AST (≥</w:t>
      </w:r>
      <w:r w:rsidR="009976B3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3 x HHN, </w:t>
      </w:r>
      <w:r w:rsidR="00B56514">
        <w:rPr>
          <w:sz w:val="22"/>
          <w:szCs w:val="22"/>
        </w:rPr>
        <w:t>po sebe</w:t>
      </w:r>
      <w:r w:rsidRPr="005E28C5">
        <w:rPr>
          <w:sz w:val="22"/>
          <w:szCs w:val="22"/>
        </w:rPr>
        <w:t>) pozorovali u</w:t>
      </w:r>
      <w:r w:rsidR="00D22EC6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1,1 % pacientov (1 pacient) liečených ezetimibom v porovnaní s 0 % v skupine s placebom. Zvýšenie CPK (≥</w:t>
      </w:r>
      <w:r w:rsidR="009976B3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10</w:t>
      </w:r>
      <w:r w:rsidR="00154C74" w:rsidRPr="005E28C5">
        <w:rPr>
          <w:sz w:val="22"/>
          <w:szCs w:val="22"/>
        </w:rPr>
        <w:t> x</w:t>
      </w:r>
      <w:r w:rsidRPr="005E28C5">
        <w:rPr>
          <w:sz w:val="22"/>
          <w:szCs w:val="22"/>
        </w:rPr>
        <w:t xml:space="preserve"> HHN) sa neobjavilo. Neboli hlásené prípady myopatie.</w:t>
      </w:r>
    </w:p>
    <w:p w:rsidR="00772790" w:rsidRPr="005E28C5" w:rsidRDefault="00772790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020CA2" w:rsidRPr="005E28C5" w:rsidRDefault="00074F56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</w:t>
      </w:r>
      <w:r w:rsidR="00772790" w:rsidRPr="005E28C5">
        <w:rPr>
          <w:sz w:val="22"/>
          <w:szCs w:val="22"/>
        </w:rPr>
        <w:t> separátn</w:t>
      </w:r>
      <w:r w:rsidR="00666957">
        <w:rPr>
          <w:sz w:val="22"/>
          <w:szCs w:val="22"/>
        </w:rPr>
        <w:t>om</w:t>
      </w:r>
      <w:r w:rsidR="00772790" w:rsidRPr="005E28C5">
        <w:rPr>
          <w:sz w:val="22"/>
          <w:szCs w:val="22"/>
        </w:rPr>
        <w:t xml:space="preserve"> </w:t>
      </w:r>
      <w:r w:rsidR="00666957">
        <w:rPr>
          <w:sz w:val="22"/>
          <w:szCs w:val="22"/>
        </w:rPr>
        <w:t>skúšaní</w:t>
      </w:r>
      <w:r w:rsidRPr="005E28C5">
        <w:rPr>
          <w:sz w:val="22"/>
          <w:szCs w:val="22"/>
        </w:rPr>
        <w:t xml:space="preserve"> zahŕňajúc</w:t>
      </w:r>
      <w:r w:rsidR="00666957">
        <w:rPr>
          <w:sz w:val="22"/>
          <w:szCs w:val="22"/>
        </w:rPr>
        <w:t>om</w:t>
      </w:r>
      <w:r w:rsidRPr="005E28C5">
        <w:rPr>
          <w:sz w:val="22"/>
          <w:szCs w:val="22"/>
        </w:rPr>
        <w:t xml:space="preserve"> </w:t>
      </w:r>
      <w:r w:rsidR="00232227" w:rsidRPr="005E28C5">
        <w:rPr>
          <w:sz w:val="22"/>
          <w:szCs w:val="22"/>
        </w:rPr>
        <w:t>adolescentný</w:t>
      </w:r>
      <w:r w:rsidRPr="005E28C5">
        <w:rPr>
          <w:sz w:val="22"/>
          <w:szCs w:val="22"/>
        </w:rPr>
        <w:t>ch pacientov (vo veku 10 až 17 rokov) s heterozygotnou familiárnou hypercholesterolémiou (n=248) sa zvýšenia ALT a/alebo AST (≥</w:t>
      </w:r>
      <w:r w:rsidR="009976B3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3 x HHN, </w:t>
      </w:r>
      <w:r w:rsidR="00B56514">
        <w:rPr>
          <w:sz w:val="22"/>
          <w:szCs w:val="22"/>
        </w:rPr>
        <w:t>po sebe</w:t>
      </w:r>
      <w:r w:rsidRPr="005E28C5">
        <w:rPr>
          <w:sz w:val="22"/>
          <w:szCs w:val="22"/>
        </w:rPr>
        <w:t xml:space="preserve">) pozorovali u 3 % pacientov </w:t>
      </w:r>
      <w:r w:rsidR="00537D50" w:rsidRPr="005E28C5">
        <w:rPr>
          <w:sz w:val="22"/>
          <w:szCs w:val="22"/>
        </w:rPr>
        <w:t xml:space="preserve">(4 pacienti) </w:t>
      </w:r>
      <w:r w:rsidRPr="005E28C5">
        <w:rPr>
          <w:sz w:val="22"/>
          <w:szCs w:val="22"/>
        </w:rPr>
        <w:t>liečených ezetimibom/simvastatínom v porovnaní s 2 % (2 pacienti) v skupine s monoterapiou simvastatínom. Zvýšenie CPK (≥</w:t>
      </w:r>
      <w:r w:rsidR="009976B3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10</w:t>
      </w:r>
      <w:r w:rsidR="009976B3">
        <w:rPr>
          <w:sz w:val="22"/>
          <w:szCs w:val="22"/>
        </w:rPr>
        <w:t>-</w:t>
      </w:r>
      <w:r w:rsidRPr="005E28C5">
        <w:rPr>
          <w:sz w:val="22"/>
          <w:szCs w:val="22"/>
        </w:rPr>
        <w:t xml:space="preserve">násobok HHN) sa pozorovalo u 2 % pacientov </w:t>
      </w:r>
      <w:r w:rsidR="00537D50" w:rsidRPr="005E28C5">
        <w:rPr>
          <w:sz w:val="22"/>
          <w:szCs w:val="22"/>
        </w:rPr>
        <w:t xml:space="preserve">(2 pacienti) </w:t>
      </w:r>
      <w:r w:rsidRPr="005E28C5">
        <w:rPr>
          <w:sz w:val="22"/>
          <w:szCs w:val="22"/>
        </w:rPr>
        <w:t xml:space="preserve">liečených ezetimibom/simvastatínom </w:t>
      </w:r>
      <w:r w:rsidR="00F24D2D" w:rsidRPr="005E28C5">
        <w:rPr>
          <w:sz w:val="22"/>
          <w:szCs w:val="22"/>
        </w:rPr>
        <w:t>a</w:t>
      </w:r>
      <w:r w:rsidR="00537D50" w:rsidRPr="005E28C5">
        <w:rPr>
          <w:sz w:val="22"/>
          <w:szCs w:val="22"/>
        </w:rPr>
        <w:t> u </w:t>
      </w:r>
      <w:r w:rsidR="00F24D2D" w:rsidRPr="005E28C5">
        <w:rPr>
          <w:sz w:val="22"/>
          <w:szCs w:val="22"/>
        </w:rPr>
        <w:t>0</w:t>
      </w:r>
      <w:r w:rsidRPr="005E28C5">
        <w:rPr>
          <w:sz w:val="22"/>
          <w:szCs w:val="22"/>
        </w:rPr>
        <w:t> % v skupine s monoterapiou simvastatínom.</w:t>
      </w:r>
      <w:r w:rsidR="00F24D2D" w:rsidRPr="005E28C5">
        <w:rPr>
          <w:sz w:val="22"/>
          <w:szCs w:val="22"/>
        </w:rPr>
        <w:t xml:space="preserve"> Neboli hlásené prípady myopatie.</w:t>
      </w:r>
    </w:p>
    <w:p w:rsidR="00F24D2D" w:rsidRPr="005E28C5" w:rsidRDefault="00F24D2D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C54026" w:rsidRPr="005E28C5" w:rsidRDefault="00A47266" w:rsidP="00C5402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T</w:t>
      </w:r>
      <w:r w:rsidR="00772790" w:rsidRPr="005E28C5">
        <w:rPr>
          <w:sz w:val="22"/>
          <w:szCs w:val="22"/>
        </w:rPr>
        <w:t>ieto</w:t>
      </w:r>
      <w:r w:rsidRPr="005E28C5">
        <w:rPr>
          <w:sz w:val="22"/>
          <w:szCs w:val="22"/>
        </w:rPr>
        <w:t xml:space="preserve"> skúšani</w:t>
      </w:r>
      <w:r w:rsidR="00772790" w:rsidRPr="005E28C5">
        <w:rPr>
          <w:sz w:val="22"/>
          <w:szCs w:val="22"/>
        </w:rPr>
        <w:t>a</w:t>
      </w:r>
      <w:r w:rsidRPr="005E28C5">
        <w:rPr>
          <w:sz w:val="22"/>
          <w:szCs w:val="22"/>
        </w:rPr>
        <w:t xml:space="preserve"> nebol</w:t>
      </w:r>
      <w:r w:rsidR="00772790" w:rsidRPr="005E28C5">
        <w:rPr>
          <w:sz w:val="22"/>
          <w:szCs w:val="22"/>
        </w:rPr>
        <w:t>i</w:t>
      </w:r>
      <w:r w:rsidRPr="005E28C5">
        <w:rPr>
          <w:sz w:val="22"/>
          <w:szCs w:val="22"/>
        </w:rPr>
        <w:t xml:space="preserve"> vhodné </w:t>
      </w:r>
      <w:r w:rsidR="00F24D2D" w:rsidRPr="005E28C5">
        <w:rPr>
          <w:sz w:val="22"/>
          <w:szCs w:val="22"/>
        </w:rPr>
        <w:t>na porovnanie zriedkavých nežiaducich liekových reakcií.</w:t>
      </w:r>
    </w:p>
    <w:p w:rsidR="00C54026" w:rsidRPr="005E28C5" w:rsidRDefault="00C54026" w:rsidP="00C54026">
      <w:pPr>
        <w:adjustRightInd w:val="0"/>
        <w:snapToGrid w:val="0"/>
        <w:spacing w:after="0"/>
        <w:rPr>
          <w:sz w:val="22"/>
          <w:szCs w:val="22"/>
        </w:rPr>
      </w:pPr>
    </w:p>
    <w:p w:rsidR="00F8617B" w:rsidRDefault="00F8617B" w:rsidP="00C54026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Pacienti s chronickým ochorením obličiek</w:t>
      </w:r>
    </w:p>
    <w:p w:rsidR="00D22EC6" w:rsidRPr="005E28C5" w:rsidRDefault="00D22EC6" w:rsidP="00C54026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:rsidR="006E77A7" w:rsidRPr="005E28C5" w:rsidRDefault="00F8617B" w:rsidP="006E77A7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</w:t>
      </w:r>
      <w:r w:rsidR="00666957" w:rsidRPr="00666957">
        <w:rPr>
          <w:sz w:val="22"/>
          <w:szCs w:val="22"/>
        </w:rPr>
        <w:t>skúšaní</w:t>
      </w:r>
      <w:r w:rsidRPr="00666957">
        <w:rPr>
          <w:sz w:val="22"/>
          <w:szCs w:val="22"/>
        </w:rPr>
        <w:t xml:space="preserve"> ochrany</w:t>
      </w:r>
      <w:r w:rsidRPr="005E28C5">
        <w:rPr>
          <w:sz w:val="22"/>
          <w:szCs w:val="22"/>
        </w:rPr>
        <w:t xml:space="preserve"> srdca a obličiek (</w:t>
      </w:r>
      <w:r w:rsidRPr="005E28C5">
        <w:rPr>
          <w:i/>
          <w:sz w:val="22"/>
          <w:szCs w:val="22"/>
        </w:rPr>
        <w:t xml:space="preserve">Study of Heart and Renal Protection, </w:t>
      </w:r>
      <w:r w:rsidRPr="005E28C5">
        <w:rPr>
          <w:sz w:val="22"/>
          <w:szCs w:val="22"/>
        </w:rPr>
        <w:t>SHARP)</w:t>
      </w:r>
      <w:r w:rsidR="00F6757C" w:rsidRPr="005E28C5">
        <w:rPr>
          <w:sz w:val="22"/>
          <w:szCs w:val="22"/>
        </w:rPr>
        <w:t xml:space="preserve"> (pozri časť 5.1)</w:t>
      </w:r>
      <w:r w:rsidRPr="005E28C5">
        <w:rPr>
          <w:sz w:val="22"/>
          <w:szCs w:val="22"/>
        </w:rPr>
        <w:t xml:space="preserve">, do ktorej bolo zapojených </w:t>
      </w:r>
      <w:r w:rsidR="00F6757C" w:rsidRPr="005E28C5">
        <w:rPr>
          <w:sz w:val="22"/>
          <w:szCs w:val="22"/>
        </w:rPr>
        <w:t xml:space="preserve">viac ako 9 000 pacientov liečených </w:t>
      </w:r>
      <w:r w:rsidR="00A74AC5" w:rsidRPr="005E28C5">
        <w:rPr>
          <w:sz w:val="22"/>
          <w:szCs w:val="22"/>
        </w:rPr>
        <w:t xml:space="preserve">kombináciou </w:t>
      </w:r>
      <w:r w:rsidR="00F6757C" w:rsidRPr="005E28C5">
        <w:rPr>
          <w:sz w:val="22"/>
          <w:szCs w:val="22"/>
        </w:rPr>
        <w:t>f</w:t>
      </w:r>
      <w:r w:rsidRPr="005E28C5">
        <w:rPr>
          <w:sz w:val="22"/>
          <w:szCs w:val="22"/>
        </w:rPr>
        <w:t>ixn</w:t>
      </w:r>
      <w:r w:rsidR="00A74AC5" w:rsidRPr="005E28C5">
        <w:rPr>
          <w:sz w:val="22"/>
          <w:szCs w:val="22"/>
        </w:rPr>
        <w:t>ých</w:t>
      </w:r>
      <w:r w:rsidRPr="005E28C5">
        <w:rPr>
          <w:sz w:val="22"/>
          <w:szCs w:val="22"/>
        </w:rPr>
        <w:t xml:space="preserve"> dáv</w:t>
      </w:r>
      <w:r w:rsidR="00A74AC5" w:rsidRPr="005E28C5">
        <w:rPr>
          <w:sz w:val="22"/>
          <w:szCs w:val="22"/>
        </w:rPr>
        <w:t>o</w:t>
      </w:r>
      <w:r w:rsidRPr="005E28C5">
        <w:rPr>
          <w:sz w:val="22"/>
          <w:szCs w:val="22"/>
        </w:rPr>
        <w:t xml:space="preserve">k </w:t>
      </w:r>
      <w:r w:rsidR="00C54026" w:rsidRPr="005E28C5">
        <w:rPr>
          <w:sz w:val="22"/>
          <w:szCs w:val="22"/>
        </w:rPr>
        <w:t>10 mg ezetimibu</w:t>
      </w:r>
      <w:r w:rsidR="00F6757C" w:rsidRPr="005E28C5">
        <w:rPr>
          <w:sz w:val="22"/>
          <w:szCs w:val="22"/>
        </w:rPr>
        <w:t xml:space="preserve"> s</w:t>
      </w:r>
      <w:r w:rsidR="005D1CC9" w:rsidRPr="005E28C5">
        <w:rPr>
          <w:sz w:val="22"/>
          <w:szCs w:val="22"/>
        </w:rPr>
        <w:t> </w:t>
      </w:r>
      <w:r w:rsidR="00F6757C" w:rsidRPr="005E28C5">
        <w:rPr>
          <w:sz w:val="22"/>
          <w:szCs w:val="22"/>
        </w:rPr>
        <w:t>20</w:t>
      </w:r>
      <w:r w:rsidR="005D1CC9" w:rsidRPr="005E28C5">
        <w:rPr>
          <w:sz w:val="22"/>
          <w:szCs w:val="22"/>
        </w:rPr>
        <w:t> </w:t>
      </w:r>
      <w:r w:rsidR="00F6757C" w:rsidRPr="005E28C5">
        <w:rPr>
          <w:sz w:val="22"/>
          <w:szCs w:val="22"/>
        </w:rPr>
        <w:t>mg simvastatínu denne (n = </w:t>
      </w:r>
      <w:r w:rsidRPr="005E28C5">
        <w:rPr>
          <w:sz w:val="22"/>
          <w:szCs w:val="22"/>
        </w:rPr>
        <w:t>4 650)</w:t>
      </w:r>
      <w:r w:rsidR="00F6757C" w:rsidRPr="005E28C5">
        <w:rPr>
          <w:sz w:val="22"/>
          <w:szCs w:val="22"/>
        </w:rPr>
        <w:t xml:space="preserve"> alebo placebom (n = </w:t>
      </w:r>
      <w:r w:rsidRPr="005E28C5">
        <w:rPr>
          <w:sz w:val="22"/>
          <w:szCs w:val="22"/>
        </w:rPr>
        <w:t xml:space="preserve">4 620), boli </w:t>
      </w:r>
      <w:r w:rsidR="00840BE5" w:rsidRPr="005E28C5">
        <w:rPr>
          <w:sz w:val="22"/>
          <w:szCs w:val="22"/>
        </w:rPr>
        <w:t xml:space="preserve">bezpečnostné </w:t>
      </w:r>
      <w:r w:rsidRPr="005E28C5">
        <w:rPr>
          <w:sz w:val="22"/>
          <w:szCs w:val="22"/>
        </w:rPr>
        <w:t xml:space="preserve">profily </w:t>
      </w:r>
      <w:r w:rsidR="00F6757C" w:rsidRPr="005E28C5">
        <w:rPr>
          <w:sz w:val="22"/>
          <w:szCs w:val="22"/>
        </w:rPr>
        <w:t>počas mediánu sledovaného obdobia 4,9 rokov porovnateľné</w:t>
      </w:r>
      <w:r w:rsidRPr="005E28C5">
        <w:rPr>
          <w:sz w:val="22"/>
          <w:szCs w:val="22"/>
        </w:rPr>
        <w:t>. V t</w:t>
      </w:r>
      <w:r w:rsidR="006D15A5" w:rsidRPr="005E28C5">
        <w:rPr>
          <w:sz w:val="22"/>
          <w:szCs w:val="22"/>
        </w:rPr>
        <w:t>omto</w:t>
      </w:r>
      <w:r w:rsidRPr="005E28C5">
        <w:rPr>
          <w:sz w:val="22"/>
          <w:szCs w:val="22"/>
        </w:rPr>
        <w:t xml:space="preserve"> skúš</w:t>
      </w:r>
      <w:r w:rsidR="006D15A5" w:rsidRPr="005E28C5">
        <w:rPr>
          <w:sz w:val="22"/>
          <w:szCs w:val="22"/>
        </w:rPr>
        <w:t xml:space="preserve">aní </w:t>
      </w:r>
      <w:r w:rsidRPr="005E28C5">
        <w:rPr>
          <w:sz w:val="22"/>
          <w:szCs w:val="22"/>
        </w:rPr>
        <w:t>sa zaznamen</w:t>
      </w:r>
      <w:r w:rsidR="00A74AC5" w:rsidRPr="005E28C5">
        <w:rPr>
          <w:sz w:val="22"/>
          <w:szCs w:val="22"/>
        </w:rPr>
        <w:t>áv</w:t>
      </w:r>
      <w:r w:rsidRPr="005E28C5">
        <w:rPr>
          <w:sz w:val="22"/>
          <w:szCs w:val="22"/>
        </w:rPr>
        <w:t xml:space="preserve">ali len závažné nežiaduce udalosti a vysadenia lieku z dôvodu </w:t>
      </w:r>
      <w:r w:rsidR="00D36D81" w:rsidRPr="005E28C5">
        <w:rPr>
          <w:sz w:val="22"/>
          <w:szCs w:val="22"/>
        </w:rPr>
        <w:t xml:space="preserve">akýchkoľvek </w:t>
      </w:r>
      <w:r w:rsidRPr="005E28C5">
        <w:rPr>
          <w:sz w:val="22"/>
          <w:szCs w:val="22"/>
        </w:rPr>
        <w:t>nežiaducich udalostí. Miery vysadenia lieku z</w:t>
      </w:r>
      <w:r w:rsidR="00A8782A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dôvodu</w:t>
      </w:r>
      <w:r w:rsidR="00A8782A" w:rsidRPr="005E28C5">
        <w:rPr>
          <w:sz w:val="22"/>
          <w:szCs w:val="22"/>
        </w:rPr>
        <w:t xml:space="preserve"> nežiaducich udalostí boli porovnateľné (10,4 % u pacientov liečených </w:t>
      </w:r>
      <w:r w:rsidR="00C54026" w:rsidRPr="005E28C5">
        <w:rPr>
          <w:sz w:val="22"/>
          <w:szCs w:val="22"/>
        </w:rPr>
        <w:t>ezetimibom</w:t>
      </w:r>
      <w:r w:rsidR="00A8782A" w:rsidRPr="005E28C5">
        <w:rPr>
          <w:sz w:val="22"/>
          <w:szCs w:val="22"/>
        </w:rPr>
        <w:t xml:space="preserve"> v kombinácii so simvastatínom, 9,8 % u pacientov liečených placebom). Výskyt myopatie/rabdomyolýzy bol 0,2 % u pacientov liečených </w:t>
      </w:r>
      <w:r w:rsidR="00C54026" w:rsidRPr="005E28C5">
        <w:rPr>
          <w:sz w:val="22"/>
          <w:szCs w:val="22"/>
        </w:rPr>
        <w:t>ezetimibom</w:t>
      </w:r>
      <w:r w:rsidR="00A8782A" w:rsidRPr="005E28C5">
        <w:rPr>
          <w:sz w:val="22"/>
          <w:szCs w:val="22"/>
        </w:rPr>
        <w:t xml:space="preserve"> v kombinácii so simvastatínom a 0,1 % u pacientov liečených placebom. </w:t>
      </w:r>
      <w:r w:rsidR="0053524F">
        <w:rPr>
          <w:sz w:val="22"/>
          <w:szCs w:val="22"/>
        </w:rPr>
        <w:t>Následné</w:t>
      </w:r>
      <w:r w:rsidR="00A8782A" w:rsidRPr="005E28C5">
        <w:rPr>
          <w:sz w:val="22"/>
          <w:szCs w:val="22"/>
        </w:rPr>
        <w:t xml:space="preserve"> zvýšenia transamináz (&gt; 3</w:t>
      </w:r>
      <w:r w:rsidR="005D1CC9" w:rsidRPr="005E28C5">
        <w:rPr>
          <w:sz w:val="22"/>
          <w:szCs w:val="22"/>
        </w:rPr>
        <w:t> x</w:t>
      </w:r>
      <w:r w:rsidR="00A8782A" w:rsidRPr="005E28C5">
        <w:rPr>
          <w:sz w:val="22"/>
          <w:szCs w:val="22"/>
        </w:rPr>
        <w:t xml:space="preserve"> HHN) sa objavili u 0,7 % pacientov liečených </w:t>
      </w:r>
      <w:r w:rsidR="00C54026" w:rsidRPr="005E28C5">
        <w:rPr>
          <w:sz w:val="22"/>
          <w:szCs w:val="22"/>
        </w:rPr>
        <w:t>ezetimibom</w:t>
      </w:r>
      <w:r w:rsidR="00A8782A" w:rsidRPr="005E28C5">
        <w:rPr>
          <w:sz w:val="22"/>
          <w:szCs w:val="22"/>
        </w:rPr>
        <w:t xml:space="preserve"> v kombinácii so simvastatínom v porovnaní s 0,6 % pacientov liečených placebom. V t</w:t>
      </w:r>
      <w:r w:rsidR="006D15A5" w:rsidRPr="005E28C5">
        <w:rPr>
          <w:sz w:val="22"/>
          <w:szCs w:val="22"/>
        </w:rPr>
        <w:t>omto</w:t>
      </w:r>
      <w:r w:rsidR="00A8782A" w:rsidRPr="005E28C5">
        <w:rPr>
          <w:sz w:val="22"/>
          <w:szCs w:val="22"/>
        </w:rPr>
        <w:t xml:space="preserve"> skúš</w:t>
      </w:r>
      <w:r w:rsidR="006D15A5" w:rsidRPr="005E28C5">
        <w:rPr>
          <w:sz w:val="22"/>
          <w:szCs w:val="22"/>
        </w:rPr>
        <w:t xml:space="preserve">aní </w:t>
      </w:r>
      <w:r w:rsidR="00A8782A" w:rsidRPr="005E28C5">
        <w:rPr>
          <w:sz w:val="22"/>
          <w:szCs w:val="22"/>
        </w:rPr>
        <w:t xml:space="preserve">sa neobjavili </w:t>
      </w:r>
      <w:r w:rsidR="00D36D81" w:rsidRPr="005E28C5">
        <w:rPr>
          <w:sz w:val="22"/>
          <w:szCs w:val="22"/>
        </w:rPr>
        <w:t xml:space="preserve">žiadne </w:t>
      </w:r>
      <w:r w:rsidR="00A8782A" w:rsidRPr="005E28C5">
        <w:rPr>
          <w:sz w:val="22"/>
          <w:szCs w:val="22"/>
        </w:rPr>
        <w:t xml:space="preserve">štatisticky významné zvýšenia </w:t>
      </w:r>
      <w:r w:rsidR="00D36D81" w:rsidRPr="005E28C5">
        <w:rPr>
          <w:sz w:val="22"/>
          <w:szCs w:val="22"/>
        </w:rPr>
        <w:t>výskytu</w:t>
      </w:r>
      <w:r w:rsidR="00A8782A" w:rsidRPr="005E28C5">
        <w:rPr>
          <w:sz w:val="22"/>
          <w:szCs w:val="22"/>
        </w:rPr>
        <w:t xml:space="preserve"> vopred špec</w:t>
      </w:r>
      <w:r w:rsidR="00C54026" w:rsidRPr="005E28C5">
        <w:rPr>
          <w:sz w:val="22"/>
          <w:szCs w:val="22"/>
        </w:rPr>
        <w:t>ifikovaných nežiaducich udalostí</w:t>
      </w:r>
      <w:r w:rsidR="00A8782A" w:rsidRPr="005E28C5">
        <w:rPr>
          <w:sz w:val="22"/>
          <w:szCs w:val="22"/>
        </w:rPr>
        <w:t xml:space="preserve"> </w:t>
      </w:r>
      <w:r w:rsidR="00D36D81" w:rsidRPr="005E28C5">
        <w:rPr>
          <w:sz w:val="22"/>
          <w:szCs w:val="22"/>
        </w:rPr>
        <w:t>vrátane rakoviny</w:t>
      </w:r>
      <w:r w:rsidR="00A8782A" w:rsidRPr="005E28C5">
        <w:rPr>
          <w:sz w:val="22"/>
          <w:szCs w:val="22"/>
        </w:rPr>
        <w:t xml:space="preserve"> (9,4 % pri </w:t>
      </w:r>
      <w:r w:rsidR="00C54026" w:rsidRPr="005E28C5">
        <w:rPr>
          <w:sz w:val="22"/>
          <w:szCs w:val="22"/>
        </w:rPr>
        <w:t>ezetimibe</w:t>
      </w:r>
      <w:r w:rsidR="00A8782A" w:rsidRPr="005E28C5">
        <w:rPr>
          <w:sz w:val="22"/>
          <w:szCs w:val="22"/>
        </w:rPr>
        <w:t xml:space="preserve"> v kombinácii so simvastatínom</w:t>
      </w:r>
      <w:r w:rsidR="00D36D81" w:rsidRPr="005E28C5">
        <w:rPr>
          <w:sz w:val="22"/>
          <w:szCs w:val="22"/>
        </w:rPr>
        <w:t>, 9,5 % pri placebe), hepatitídy, cholecystektómie</w:t>
      </w:r>
      <w:r w:rsidR="00A8782A" w:rsidRPr="005E28C5">
        <w:rPr>
          <w:sz w:val="22"/>
          <w:szCs w:val="22"/>
        </w:rPr>
        <w:t xml:space="preserve"> alebo</w:t>
      </w:r>
      <w:r w:rsidR="00D36D81" w:rsidRPr="005E28C5">
        <w:rPr>
          <w:sz w:val="22"/>
          <w:szCs w:val="22"/>
        </w:rPr>
        <w:t xml:space="preserve"> komplikácií</w:t>
      </w:r>
      <w:r w:rsidR="00A8782A" w:rsidRPr="005E28C5">
        <w:rPr>
          <w:sz w:val="22"/>
          <w:szCs w:val="22"/>
        </w:rPr>
        <w:t xml:space="preserve"> žlčových kameňov alebo pa</w:t>
      </w:r>
      <w:r w:rsidR="00F6757C" w:rsidRPr="005E28C5">
        <w:rPr>
          <w:sz w:val="22"/>
          <w:szCs w:val="22"/>
        </w:rPr>
        <w:t>n</w:t>
      </w:r>
      <w:r w:rsidR="00A8782A" w:rsidRPr="005E28C5">
        <w:rPr>
          <w:sz w:val="22"/>
          <w:szCs w:val="22"/>
        </w:rPr>
        <w:t>kreatitídy.</w:t>
      </w:r>
    </w:p>
    <w:p w:rsidR="006E77A7" w:rsidRPr="005E28C5" w:rsidRDefault="006E77A7" w:rsidP="006E77A7">
      <w:pPr>
        <w:adjustRightInd w:val="0"/>
        <w:snapToGrid w:val="0"/>
        <w:spacing w:after="0"/>
        <w:rPr>
          <w:sz w:val="22"/>
          <w:szCs w:val="22"/>
        </w:rPr>
      </w:pPr>
    </w:p>
    <w:p w:rsidR="00F7686C" w:rsidRDefault="00F7686C" w:rsidP="006E77A7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Laboratórne hodnoty</w:t>
      </w:r>
    </w:p>
    <w:p w:rsidR="00D22EC6" w:rsidRPr="005E28C5" w:rsidRDefault="00D22EC6" w:rsidP="006E77A7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V kontrolovaných klinických </w:t>
      </w:r>
      <w:r w:rsidR="005D1CC9" w:rsidRPr="005E28C5">
        <w:rPr>
          <w:sz w:val="22"/>
          <w:szCs w:val="22"/>
        </w:rPr>
        <w:t xml:space="preserve">skúšaniach </w:t>
      </w:r>
      <w:r w:rsidRPr="005E28C5">
        <w:rPr>
          <w:sz w:val="22"/>
          <w:szCs w:val="22"/>
        </w:rPr>
        <w:t xml:space="preserve">monoterapie bola incidencia klinicky významného zvýšenia sérových transamináz (ALT a/alebo AST </w:t>
      </w:r>
      <w:r w:rsidR="00340272" w:rsidRPr="005E28C5">
        <w:rPr>
          <w:sz w:val="22"/>
          <w:szCs w:val="22"/>
        </w:rPr>
        <w:t>≥</w:t>
      </w:r>
      <w:r w:rsidR="009976B3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3 x HHN</w:t>
      </w:r>
      <w:r w:rsidR="002E5B80" w:rsidRPr="005E28C5">
        <w:rPr>
          <w:sz w:val="22"/>
          <w:szCs w:val="22"/>
        </w:rPr>
        <w:t xml:space="preserve">, </w:t>
      </w:r>
      <w:r w:rsidR="00B56514">
        <w:rPr>
          <w:sz w:val="22"/>
          <w:szCs w:val="22"/>
        </w:rPr>
        <w:t>po sebe</w:t>
      </w:r>
      <w:r w:rsidRPr="005E28C5">
        <w:rPr>
          <w:sz w:val="22"/>
          <w:szCs w:val="22"/>
        </w:rPr>
        <w:t>) podobná</w:t>
      </w:r>
      <w:r w:rsidR="0020794C" w:rsidRPr="005E28C5">
        <w:rPr>
          <w:sz w:val="22"/>
          <w:szCs w:val="22"/>
        </w:rPr>
        <w:t xml:space="preserve"> </w:t>
      </w:r>
      <w:r w:rsidR="00E57333" w:rsidRPr="005E28C5">
        <w:rPr>
          <w:sz w:val="22"/>
          <w:szCs w:val="22"/>
        </w:rPr>
        <w:t xml:space="preserve">pri </w:t>
      </w:r>
      <w:r w:rsidR="006E77A7" w:rsidRPr="005E28C5">
        <w:rPr>
          <w:sz w:val="22"/>
          <w:szCs w:val="22"/>
        </w:rPr>
        <w:t>ezetimibe</w:t>
      </w:r>
      <w:r w:rsidRPr="005E28C5">
        <w:rPr>
          <w:sz w:val="22"/>
          <w:szCs w:val="22"/>
        </w:rPr>
        <w:t xml:space="preserve"> (0,5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>)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placeb</w:t>
      </w:r>
      <w:r w:rsidR="00E57333" w:rsidRPr="005E28C5">
        <w:rPr>
          <w:sz w:val="22"/>
          <w:szCs w:val="22"/>
        </w:rPr>
        <w:t>e</w:t>
      </w:r>
      <w:r w:rsidRPr="005E28C5">
        <w:rPr>
          <w:sz w:val="22"/>
          <w:szCs w:val="22"/>
        </w:rPr>
        <w:t xml:space="preserve"> (0,3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>).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štúdiách súčasného podávania bola incidencia 1,3</w:t>
      </w:r>
      <w:r w:rsidR="0020794C" w:rsidRPr="005E28C5">
        <w:rPr>
          <w:sz w:val="22"/>
          <w:szCs w:val="22"/>
        </w:rPr>
        <w:t> % u </w:t>
      </w:r>
      <w:r w:rsidRPr="005E28C5">
        <w:rPr>
          <w:sz w:val="22"/>
          <w:szCs w:val="22"/>
        </w:rPr>
        <w:t xml:space="preserve">pacientov liečených </w:t>
      </w:r>
      <w:r w:rsidR="006E77A7" w:rsidRPr="005E28C5">
        <w:rPr>
          <w:sz w:val="22"/>
          <w:szCs w:val="22"/>
        </w:rPr>
        <w:t>ezetimibom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kombinácii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statínom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0,4</w:t>
      </w:r>
      <w:r w:rsidR="0020794C" w:rsidRPr="005E28C5">
        <w:rPr>
          <w:sz w:val="22"/>
          <w:szCs w:val="22"/>
        </w:rPr>
        <w:t> % u </w:t>
      </w:r>
      <w:r w:rsidRPr="005E28C5">
        <w:rPr>
          <w:sz w:val="22"/>
          <w:szCs w:val="22"/>
        </w:rPr>
        <w:t>pacientov liečených samotným statínom. Tieto zvýšenia boli</w:t>
      </w:r>
      <w:r w:rsidR="0020794C" w:rsidRPr="005E28C5">
        <w:rPr>
          <w:sz w:val="22"/>
          <w:szCs w:val="22"/>
        </w:rPr>
        <w:t xml:space="preserve"> vo </w:t>
      </w:r>
      <w:r w:rsidRPr="005E28C5">
        <w:rPr>
          <w:sz w:val="22"/>
          <w:szCs w:val="22"/>
        </w:rPr>
        <w:t>všeobecnosti asymptomatické, neboli spojené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cholestázou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vrátili sa do východiskových hodnôt po prerušení liečby alebo pri jej pokračovaní (</w:t>
      </w:r>
      <w:r w:rsidR="006E77A7" w:rsidRPr="005E28C5">
        <w:rPr>
          <w:sz w:val="22"/>
          <w:szCs w:val="22"/>
        </w:rPr>
        <w:t>p</w:t>
      </w:r>
      <w:r w:rsidRPr="005E28C5">
        <w:rPr>
          <w:sz w:val="22"/>
          <w:szCs w:val="22"/>
        </w:rPr>
        <w:t>ozri časť 4.4)</w:t>
      </w:r>
      <w:r w:rsidR="006E77A7" w:rsidRPr="005E28C5">
        <w:rPr>
          <w:sz w:val="22"/>
          <w:szCs w:val="22"/>
        </w:rPr>
        <w:t>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6E77A7" w:rsidRPr="005E28C5" w:rsidRDefault="00D776B2" w:rsidP="006E77A7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</w:t>
      </w:r>
      <w:r w:rsidR="0084537C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klinických</w:t>
      </w:r>
      <w:r w:rsidR="0084537C" w:rsidRPr="005E28C5">
        <w:rPr>
          <w:sz w:val="22"/>
          <w:szCs w:val="22"/>
        </w:rPr>
        <w:t xml:space="preserve"> skúšaniach</w:t>
      </w:r>
      <w:r w:rsidRPr="005E28C5">
        <w:rPr>
          <w:sz w:val="22"/>
          <w:szCs w:val="22"/>
        </w:rPr>
        <w:t xml:space="preserve"> bola CPK </w:t>
      </w:r>
      <w:r w:rsidR="00340272" w:rsidRPr="005E28C5">
        <w:rPr>
          <w:sz w:val="22"/>
          <w:szCs w:val="22"/>
        </w:rPr>
        <w:t>&gt;</w:t>
      </w:r>
      <w:r w:rsidR="009976B3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10 x HHN hlásená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4</w:t>
      </w:r>
      <w:r w:rsidR="0020794C" w:rsidRPr="005E28C5">
        <w:rPr>
          <w:sz w:val="22"/>
          <w:szCs w:val="22"/>
        </w:rPr>
        <w:t xml:space="preserve"> z </w:t>
      </w:r>
      <w:r w:rsidRPr="005E28C5">
        <w:rPr>
          <w:sz w:val="22"/>
          <w:szCs w:val="22"/>
        </w:rPr>
        <w:t>1</w:t>
      </w:r>
      <w:r w:rsidR="002E5B80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674 (0,2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) pacientov, ktorí dostávali </w:t>
      </w:r>
      <w:r w:rsidR="006E77A7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samotný oproti 1</w:t>
      </w:r>
      <w:r w:rsidR="0020794C" w:rsidRPr="005E28C5">
        <w:rPr>
          <w:sz w:val="22"/>
          <w:szCs w:val="22"/>
        </w:rPr>
        <w:t xml:space="preserve"> zo </w:t>
      </w:r>
      <w:r w:rsidRPr="005E28C5">
        <w:rPr>
          <w:sz w:val="22"/>
          <w:szCs w:val="22"/>
        </w:rPr>
        <w:t>786 (0,1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>) pacientov, ktorí dostávali placebo</w:t>
      </w:r>
      <w:r w:rsidR="0020794C" w:rsidRPr="005E28C5">
        <w:rPr>
          <w:sz w:val="22"/>
          <w:szCs w:val="22"/>
        </w:rPr>
        <w:t xml:space="preserve"> a u </w:t>
      </w:r>
      <w:r w:rsidRPr="005E28C5">
        <w:rPr>
          <w:sz w:val="22"/>
          <w:szCs w:val="22"/>
        </w:rPr>
        <w:t>1</w:t>
      </w:r>
      <w:r w:rsidR="0020794C" w:rsidRPr="005E28C5">
        <w:rPr>
          <w:sz w:val="22"/>
          <w:szCs w:val="22"/>
        </w:rPr>
        <w:t xml:space="preserve"> z </w:t>
      </w:r>
      <w:r w:rsidRPr="005E28C5">
        <w:rPr>
          <w:sz w:val="22"/>
          <w:szCs w:val="22"/>
        </w:rPr>
        <w:t>917 (0,1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) pacientov, ktorí dostávali </w:t>
      </w:r>
      <w:r w:rsidR="00AB7FF4" w:rsidRPr="005E28C5">
        <w:rPr>
          <w:sz w:val="22"/>
          <w:szCs w:val="22"/>
        </w:rPr>
        <w:t xml:space="preserve">súčasne </w:t>
      </w:r>
      <w:r w:rsidR="006E77A7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statín oproti 4</w:t>
      </w:r>
      <w:r w:rsidR="0020794C" w:rsidRPr="005E28C5">
        <w:rPr>
          <w:sz w:val="22"/>
          <w:szCs w:val="22"/>
        </w:rPr>
        <w:t xml:space="preserve"> z </w:t>
      </w:r>
      <w:r w:rsidRPr="005E28C5">
        <w:rPr>
          <w:sz w:val="22"/>
          <w:szCs w:val="22"/>
        </w:rPr>
        <w:t>929 (0,4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) pacientov, ktorí dostávali </w:t>
      </w:r>
      <w:r w:rsidR="00752D96" w:rsidRPr="005E28C5">
        <w:rPr>
          <w:sz w:val="22"/>
          <w:szCs w:val="22"/>
        </w:rPr>
        <w:t xml:space="preserve">samotný </w:t>
      </w:r>
      <w:r w:rsidRPr="005E28C5">
        <w:rPr>
          <w:sz w:val="22"/>
          <w:szCs w:val="22"/>
        </w:rPr>
        <w:t xml:space="preserve">statín. </w:t>
      </w:r>
      <w:r w:rsidR="00E57333" w:rsidRPr="005E28C5">
        <w:rPr>
          <w:sz w:val="22"/>
          <w:szCs w:val="22"/>
        </w:rPr>
        <w:t>V porovnaní s príslušn</w:t>
      </w:r>
      <w:r w:rsidR="00764339" w:rsidRPr="005E28C5">
        <w:rPr>
          <w:sz w:val="22"/>
          <w:szCs w:val="22"/>
        </w:rPr>
        <w:t>ým</w:t>
      </w:r>
      <w:r w:rsidR="00E57333" w:rsidRPr="005E28C5">
        <w:rPr>
          <w:sz w:val="22"/>
          <w:szCs w:val="22"/>
        </w:rPr>
        <w:t xml:space="preserve"> kontroln</w:t>
      </w:r>
      <w:r w:rsidR="00764339" w:rsidRPr="005E28C5">
        <w:rPr>
          <w:sz w:val="22"/>
          <w:szCs w:val="22"/>
        </w:rPr>
        <w:t>ým</w:t>
      </w:r>
      <w:r w:rsidR="00E57333" w:rsidRPr="005E28C5">
        <w:rPr>
          <w:sz w:val="22"/>
          <w:szCs w:val="22"/>
        </w:rPr>
        <w:t xml:space="preserve"> </w:t>
      </w:r>
      <w:r w:rsidR="00764339" w:rsidRPr="005E28C5">
        <w:rPr>
          <w:sz w:val="22"/>
          <w:szCs w:val="22"/>
        </w:rPr>
        <w:t>ramenom</w:t>
      </w:r>
      <w:r w:rsidR="00E57333" w:rsidRPr="005E28C5">
        <w:rPr>
          <w:sz w:val="22"/>
          <w:szCs w:val="22"/>
        </w:rPr>
        <w:t xml:space="preserve"> (placebo alebo samotný statín) sa v súvislosti s </w:t>
      </w:r>
      <w:r w:rsidR="006E77A7" w:rsidRPr="005E28C5">
        <w:rPr>
          <w:sz w:val="22"/>
          <w:szCs w:val="22"/>
        </w:rPr>
        <w:t>ezetimibom</w:t>
      </w:r>
      <w:r w:rsidR="00E57333" w:rsidRPr="005E28C5">
        <w:rPr>
          <w:sz w:val="22"/>
          <w:szCs w:val="22"/>
        </w:rPr>
        <w:t xml:space="preserve"> n</w:t>
      </w:r>
      <w:r w:rsidRPr="005E28C5">
        <w:rPr>
          <w:sz w:val="22"/>
          <w:szCs w:val="22"/>
        </w:rPr>
        <w:t>evyskytla nadmerná myopatia alebo rabdomyolýza</w:t>
      </w:r>
      <w:r w:rsidR="002E5B80" w:rsidRPr="005E28C5">
        <w:rPr>
          <w:sz w:val="22"/>
          <w:szCs w:val="22"/>
        </w:rPr>
        <w:t xml:space="preserve"> (</w:t>
      </w:r>
      <w:r w:rsidR="006E77A7" w:rsidRPr="005E28C5">
        <w:rPr>
          <w:sz w:val="22"/>
          <w:szCs w:val="22"/>
        </w:rPr>
        <w:t>p</w:t>
      </w:r>
      <w:r w:rsidR="002E5B80" w:rsidRPr="005E28C5">
        <w:rPr>
          <w:sz w:val="22"/>
          <w:szCs w:val="22"/>
        </w:rPr>
        <w:t>ozri časť 4.4)</w:t>
      </w:r>
      <w:r w:rsidR="006E77A7" w:rsidRPr="005E28C5">
        <w:rPr>
          <w:sz w:val="22"/>
          <w:szCs w:val="22"/>
        </w:rPr>
        <w:t>.</w:t>
      </w:r>
    </w:p>
    <w:p w:rsidR="006E77A7" w:rsidRPr="005E28C5" w:rsidRDefault="006E77A7" w:rsidP="006E77A7">
      <w:pPr>
        <w:adjustRightInd w:val="0"/>
        <w:snapToGrid w:val="0"/>
        <w:spacing w:after="0"/>
        <w:rPr>
          <w:sz w:val="22"/>
          <w:szCs w:val="22"/>
        </w:rPr>
      </w:pPr>
    </w:p>
    <w:p w:rsidR="006E77A7" w:rsidRDefault="006E77A7" w:rsidP="006E77A7">
      <w:pPr>
        <w:adjustRightInd w:val="0"/>
        <w:snapToGrid w:val="0"/>
        <w:spacing w:after="0"/>
        <w:rPr>
          <w:noProof/>
          <w:sz w:val="22"/>
          <w:szCs w:val="22"/>
          <w:u w:val="single"/>
        </w:rPr>
      </w:pPr>
      <w:r w:rsidRPr="005E28C5">
        <w:rPr>
          <w:noProof/>
          <w:sz w:val="22"/>
          <w:szCs w:val="22"/>
          <w:u w:val="single"/>
        </w:rPr>
        <w:t>Hlásenie podozrení na nežiaduce reakcie</w:t>
      </w:r>
    </w:p>
    <w:p w:rsidR="00A755D0" w:rsidRPr="005E28C5" w:rsidRDefault="00A755D0" w:rsidP="006E77A7">
      <w:pPr>
        <w:adjustRightInd w:val="0"/>
        <w:snapToGrid w:val="0"/>
        <w:spacing w:after="0"/>
        <w:rPr>
          <w:sz w:val="22"/>
          <w:szCs w:val="22"/>
        </w:rPr>
      </w:pPr>
    </w:p>
    <w:p w:rsidR="009976B3" w:rsidRDefault="006E77A7" w:rsidP="009976B3">
      <w:pPr>
        <w:adjustRightInd w:val="0"/>
        <w:snapToGrid w:val="0"/>
        <w:spacing w:after="0"/>
        <w:rPr>
          <w:noProof/>
          <w:sz w:val="22"/>
          <w:szCs w:val="22"/>
        </w:rPr>
      </w:pPr>
      <w:r w:rsidRPr="005E28C5">
        <w:rPr>
          <w:noProof/>
          <w:sz w:val="22"/>
          <w:szCs w:val="22"/>
        </w:rPr>
        <w:t>Hlásenie podozrení na nežiaduce reakcie po registrácii lieku je dôležité.</w:t>
      </w:r>
      <w:r w:rsidRPr="005E28C5">
        <w:rPr>
          <w:sz w:val="22"/>
          <w:szCs w:val="22"/>
        </w:rPr>
        <w:t xml:space="preserve"> </w:t>
      </w:r>
      <w:r w:rsidRPr="005E28C5">
        <w:rPr>
          <w:noProof/>
          <w:sz w:val="22"/>
          <w:szCs w:val="22"/>
        </w:rPr>
        <w:t>Umožňuje priebežné monitorovanie pomeru prínosu a rizika lieku.</w:t>
      </w:r>
      <w:r w:rsidRPr="005E28C5">
        <w:rPr>
          <w:sz w:val="22"/>
          <w:szCs w:val="22"/>
        </w:rPr>
        <w:t xml:space="preserve"> Od </w:t>
      </w:r>
      <w:r w:rsidRPr="005E28C5">
        <w:rPr>
          <w:noProof/>
          <w:sz w:val="22"/>
          <w:szCs w:val="22"/>
        </w:rPr>
        <w:t xml:space="preserve">zdravotníckych pracovníkov sa vyžaduje, aby hlásili akékoľvek podozrenia na nežiaduce reakcie prostredníctvom </w:t>
      </w:r>
      <w:r w:rsidR="00DA3925" w:rsidRPr="00DA3925">
        <w:rPr>
          <w:noProof/>
          <w:sz w:val="22"/>
          <w:szCs w:val="22"/>
          <w:highlight w:val="lightGray"/>
        </w:rPr>
        <w:t>národného systému</w:t>
      </w:r>
      <w:r w:rsidR="009976B3">
        <w:rPr>
          <w:noProof/>
          <w:sz w:val="22"/>
          <w:szCs w:val="22"/>
          <w:highlight w:val="lightGray"/>
        </w:rPr>
        <w:t xml:space="preserve"> hlásenia</w:t>
      </w:r>
      <w:r w:rsidR="00DA3925" w:rsidRPr="00DA3925">
        <w:rPr>
          <w:noProof/>
          <w:sz w:val="22"/>
          <w:szCs w:val="22"/>
          <w:highlight w:val="lightGray"/>
        </w:rPr>
        <w:t xml:space="preserve"> uvedeného v </w:t>
      </w:r>
      <w:hyperlink r:id="rId7" w:history="1">
        <w:r w:rsidR="00DA3925" w:rsidRPr="002D6F2F">
          <w:rPr>
            <w:rStyle w:val="Hypertextovprepojenie"/>
            <w:noProof/>
            <w:sz w:val="22"/>
            <w:szCs w:val="22"/>
            <w:highlight w:val="lightGray"/>
          </w:rPr>
          <w:t>Prílohe V</w:t>
        </w:r>
      </w:hyperlink>
      <w:r w:rsidR="00DA3925" w:rsidRPr="00DA3925">
        <w:rPr>
          <w:noProof/>
          <w:sz w:val="22"/>
          <w:szCs w:val="22"/>
          <w:highlight w:val="lightGray"/>
        </w:rPr>
        <w:t>.</w:t>
      </w:r>
    </w:p>
    <w:p w:rsidR="00825D09" w:rsidRDefault="00825D09" w:rsidP="009976B3">
      <w:pPr>
        <w:adjustRightInd w:val="0"/>
        <w:snapToGrid w:val="0"/>
        <w:spacing w:after="0"/>
        <w:rPr>
          <w:noProof/>
          <w:sz w:val="22"/>
          <w:szCs w:val="22"/>
          <w:highlight w:val="lightGray"/>
          <w:lang w:val="fr-FR"/>
        </w:rPr>
      </w:pPr>
    </w:p>
    <w:p w:rsidR="00A140B9" w:rsidRPr="000D7562" w:rsidRDefault="00A140B9" w:rsidP="00F30C0D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F7686C" w:rsidRPr="00CC5179" w:rsidRDefault="003B57CE" w:rsidP="00F30C0D">
      <w:pPr>
        <w:pStyle w:val="Predmetkomentra"/>
        <w:keepNext/>
        <w:adjustRightInd w:val="0"/>
        <w:snapToGrid w:val="0"/>
        <w:spacing w:after="0"/>
        <w:rPr>
          <w:sz w:val="22"/>
          <w:szCs w:val="22"/>
        </w:rPr>
      </w:pPr>
      <w:r w:rsidRPr="00CC5179">
        <w:rPr>
          <w:sz w:val="22"/>
          <w:szCs w:val="22"/>
        </w:rPr>
        <w:t>4.9</w:t>
      </w:r>
      <w:r w:rsidRPr="00CC5179">
        <w:rPr>
          <w:sz w:val="22"/>
          <w:szCs w:val="22"/>
        </w:rPr>
        <w:tab/>
      </w:r>
      <w:r w:rsidR="00F7686C" w:rsidRPr="00CC5179">
        <w:rPr>
          <w:sz w:val="22"/>
          <w:szCs w:val="22"/>
        </w:rPr>
        <w:t>Predávkovanie</w:t>
      </w:r>
    </w:p>
    <w:p w:rsidR="00F7686C" w:rsidRPr="005E28C5" w:rsidRDefault="00F7686C" w:rsidP="00F30C0D">
      <w:pPr>
        <w:keepNext/>
        <w:adjustRightInd w:val="0"/>
        <w:snapToGrid w:val="0"/>
        <w:spacing w:after="0"/>
        <w:rPr>
          <w:sz w:val="22"/>
          <w:szCs w:val="22"/>
        </w:rPr>
      </w:pPr>
    </w:p>
    <w:p w:rsidR="009976B3" w:rsidRDefault="00DC6272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</w:t>
      </w:r>
      <w:r w:rsidRPr="00666957">
        <w:rPr>
          <w:sz w:val="22"/>
          <w:szCs w:val="22"/>
        </w:rPr>
        <w:t xml:space="preserve">klinických </w:t>
      </w:r>
      <w:r w:rsidR="00666957" w:rsidRPr="00666957">
        <w:rPr>
          <w:sz w:val="22"/>
          <w:szCs w:val="22"/>
        </w:rPr>
        <w:t xml:space="preserve">skúšaniach </w:t>
      </w:r>
      <w:r w:rsidR="007C415F" w:rsidRPr="00666957">
        <w:rPr>
          <w:sz w:val="22"/>
          <w:szCs w:val="22"/>
        </w:rPr>
        <w:t>bolo</w:t>
      </w:r>
      <w:r w:rsidR="007C415F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p</w:t>
      </w:r>
      <w:r w:rsidR="00F7686C" w:rsidRPr="005E28C5">
        <w:rPr>
          <w:sz w:val="22"/>
          <w:szCs w:val="22"/>
        </w:rPr>
        <w:t xml:space="preserve">odávanie ezetimibu 15 </w:t>
      </w:r>
      <w:r w:rsidRPr="005E28C5">
        <w:rPr>
          <w:sz w:val="22"/>
          <w:szCs w:val="22"/>
        </w:rPr>
        <w:t xml:space="preserve">zdravým </w:t>
      </w:r>
      <w:r w:rsidR="00F7686C" w:rsidRPr="005E28C5">
        <w:rPr>
          <w:sz w:val="22"/>
          <w:szCs w:val="22"/>
        </w:rPr>
        <w:t>jedincom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dávke 50</w:t>
      </w:r>
      <w:r w:rsidR="0020794C" w:rsidRPr="005E28C5">
        <w:rPr>
          <w:sz w:val="22"/>
          <w:szCs w:val="22"/>
        </w:rPr>
        <w:t> mg</w:t>
      </w:r>
      <w:r w:rsidR="00F7686C" w:rsidRPr="005E28C5">
        <w:rPr>
          <w:sz w:val="22"/>
          <w:szCs w:val="22"/>
        </w:rPr>
        <w:t xml:space="preserve">/deň až po dobu 14 dní </w:t>
      </w:r>
      <w:r w:rsidR="00DF5B73" w:rsidRPr="005E28C5">
        <w:rPr>
          <w:sz w:val="22"/>
          <w:szCs w:val="22"/>
        </w:rPr>
        <w:t>alebo 18 pacientom</w:t>
      </w:r>
      <w:r w:rsidR="0020794C" w:rsidRPr="005E28C5">
        <w:rPr>
          <w:sz w:val="22"/>
          <w:szCs w:val="22"/>
        </w:rPr>
        <w:t xml:space="preserve"> s </w:t>
      </w:r>
      <w:r w:rsidR="00DF5B73" w:rsidRPr="005E28C5">
        <w:rPr>
          <w:sz w:val="22"/>
          <w:szCs w:val="22"/>
        </w:rPr>
        <w:t>primárnou hypercholesterolémiou</w:t>
      </w:r>
      <w:r w:rsidR="0020794C" w:rsidRPr="005E28C5">
        <w:rPr>
          <w:sz w:val="22"/>
          <w:szCs w:val="22"/>
        </w:rPr>
        <w:t xml:space="preserve"> v </w:t>
      </w:r>
      <w:r w:rsidR="00DF5B73" w:rsidRPr="005E28C5">
        <w:rPr>
          <w:sz w:val="22"/>
          <w:szCs w:val="22"/>
        </w:rPr>
        <w:t>dávke 40</w:t>
      </w:r>
      <w:r w:rsidR="0020794C" w:rsidRPr="005E28C5">
        <w:rPr>
          <w:sz w:val="22"/>
          <w:szCs w:val="22"/>
        </w:rPr>
        <w:t> mg</w:t>
      </w:r>
      <w:r w:rsidR="00DF5B73" w:rsidRPr="005E28C5">
        <w:rPr>
          <w:sz w:val="22"/>
          <w:szCs w:val="22"/>
        </w:rPr>
        <w:t>/deň až po dobu 56 dní</w:t>
      </w:r>
      <w:r w:rsidR="0020794C" w:rsidRPr="005E28C5">
        <w:rPr>
          <w:sz w:val="22"/>
          <w:szCs w:val="22"/>
        </w:rPr>
        <w:t xml:space="preserve"> vo </w:t>
      </w:r>
      <w:r w:rsidR="00F7686C" w:rsidRPr="005E28C5">
        <w:rPr>
          <w:sz w:val="22"/>
          <w:szCs w:val="22"/>
        </w:rPr>
        <w:t>všeobecnosti dobre tolerované. Po jednorazovej perorálnej dávke 5</w:t>
      </w:r>
      <w:r w:rsidR="00206018" w:rsidRPr="005E28C5">
        <w:rPr>
          <w:sz w:val="22"/>
          <w:szCs w:val="22"/>
        </w:rPr>
        <w:t> </w:t>
      </w:r>
      <w:r w:rsidR="00F7686C" w:rsidRPr="005E28C5">
        <w:rPr>
          <w:sz w:val="22"/>
          <w:szCs w:val="22"/>
        </w:rPr>
        <w:t>000</w:t>
      </w:r>
      <w:r w:rsidR="0020794C" w:rsidRPr="005E28C5">
        <w:rPr>
          <w:sz w:val="22"/>
          <w:szCs w:val="22"/>
        </w:rPr>
        <w:t> mg</w:t>
      </w:r>
      <w:r w:rsidR="00F7686C" w:rsidRPr="005E28C5">
        <w:rPr>
          <w:sz w:val="22"/>
          <w:szCs w:val="22"/>
        </w:rPr>
        <w:t>/kg ezetimibu</w:t>
      </w:r>
      <w:r w:rsidR="0020794C" w:rsidRPr="005E28C5">
        <w:rPr>
          <w:sz w:val="22"/>
          <w:szCs w:val="22"/>
        </w:rPr>
        <w:t xml:space="preserve"> 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potkano</w:t>
      </w:r>
      <w:r w:rsidR="009976B3">
        <w:rPr>
          <w:sz w:val="22"/>
          <w:szCs w:val="22"/>
        </w:rPr>
        <w:t>m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myš</w:t>
      </w:r>
      <w:r w:rsidR="009976B3">
        <w:rPr>
          <w:sz w:val="22"/>
          <w:szCs w:val="22"/>
        </w:rPr>
        <w:t>iam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3</w:t>
      </w:r>
      <w:r w:rsidR="00206018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000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/kg</w:t>
      </w:r>
      <w:r w:rsidR="0020794C" w:rsidRPr="005E28C5">
        <w:rPr>
          <w:sz w:val="22"/>
          <w:szCs w:val="22"/>
        </w:rPr>
        <w:t xml:space="preserve"> </w:t>
      </w:r>
      <w:r w:rsidR="009976B3">
        <w:rPr>
          <w:sz w:val="22"/>
          <w:szCs w:val="22"/>
        </w:rPr>
        <w:t>psom,</w:t>
      </w:r>
      <w:r w:rsidRPr="005E28C5">
        <w:rPr>
          <w:sz w:val="22"/>
          <w:szCs w:val="22"/>
        </w:rPr>
        <w:t xml:space="preserve"> sa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týchto zvierat nepozorovala žiadna toxicita.</w:t>
      </w:r>
    </w:p>
    <w:p w:rsidR="00F7686C" w:rsidRPr="005E28C5" w:rsidRDefault="00F7686C" w:rsidP="00F30C0D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:rsidR="006E77A7" w:rsidRPr="005E28C5" w:rsidRDefault="00875D8B" w:rsidP="00F30C0D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5E28C5">
        <w:rPr>
          <w:rFonts w:ascii="Times New Roman" w:hAnsi="Times New Roman"/>
          <w:sz w:val="22"/>
          <w:szCs w:val="22"/>
        </w:rPr>
        <w:t xml:space="preserve">Bolo hlásených niekoľko prípadov predávkovania </w:t>
      </w:r>
      <w:r w:rsidR="006E77A7" w:rsidRPr="005E28C5">
        <w:rPr>
          <w:rFonts w:ascii="Times New Roman" w:hAnsi="Times New Roman"/>
          <w:sz w:val="22"/>
          <w:szCs w:val="22"/>
        </w:rPr>
        <w:t>ezetimibom</w:t>
      </w:r>
      <w:r w:rsidRPr="005E28C5">
        <w:rPr>
          <w:rFonts w:ascii="Times New Roman" w:hAnsi="Times New Roman"/>
          <w:sz w:val="22"/>
          <w:szCs w:val="22"/>
        </w:rPr>
        <w:t>; väčšina nebola spojená</w:t>
      </w:r>
      <w:r w:rsidR="0020794C" w:rsidRPr="005E28C5">
        <w:rPr>
          <w:rFonts w:ascii="Times New Roman" w:hAnsi="Times New Roman"/>
          <w:sz w:val="22"/>
          <w:szCs w:val="22"/>
        </w:rPr>
        <w:t xml:space="preserve"> s </w:t>
      </w:r>
      <w:r w:rsidR="006E77A7" w:rsidRPr="005E28C5">
        <w:rPr>
          <w:rFonts w:ascii="Times New Roman" w:hAnsi="Times New Roman"/>
          <w:sz w:val="22"/>
          <w:szCs w:val="22"/>
        </w:rPr>
        <w:t>nežiaducimi účinkami.</w:t>
      </w:r>
    </w:p>
    <w:p w:rsidR="006E77A7" w:rsidRPr="005E28C5" w:rsidRDefault="00875D8B" w:rsidP="006E77A7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  <w:r w:rsidRPr="005E28C5">
        <w:rPr>
          <w:rFonts w:ascii="Times New Roman" w:hAnsi="Times New Roman"/>
          <w:sz w:val="22"/>
          <w:szCs w:val="22"/>
        </w:rPr>
        <w:t>Hlásené nežiaduce účinky neboli závažné.</w:t>
      </w:r>
      <w:r w:rsidR="0020794C" w:rsidRPr="005E28C5">
        <w:rPr>
          <w:rFonts w:ascii="Times New Roman" w:hAnsi="Times New Roman"/>
          <w:sz w:val="22"/>
          <w:szCs w:val="22"/>
        </w:rPr>
        <w:t xml:space="preserve"> V </w:t>
      </w:r>
      <w:r w:rsidR="00F7686C" w:rsidRPr="005E28C5">
        <w:rPr>
          <w:rFonts w:ascii="Times New Roman" w:hAnsi="Times New Roman"/>
          <w:sz w:val="22"/>
          <w:szCs w:val="22"/>
        </w:rPr>
        <w:t>prípade predávkovania treba použiť symptomatické</w:t>
      </w:r>
      <w:r w:rsidR="0020794C" w:rsidRPr="005E28C5">
        <w:rPr>
          <w:rFonts w:ascii="Times New Roman" w:hAnsi="Times New Roman"/>
          <w:sz w:val="22"/>
          <w:szCs w:val="22"/>
        </w:rPr>
        <w:t xml:space="preserve"> a </w:t>
      </w:r>
      <w:r w:rsidR="00F7686C" w:rsidRPr="005E28C5">
        <w:rPr>
          <w:rFonts w:ascii="Times New Roman" w:hAnsi="Times New Roman"/>
          <w:sz w:val="22"/>
          <w:szCs w:val="22"/>
        </w:rPr>
        <w:t>podporné opatrenia.</w:t>
      </w:r>
    </w:p>
    <w:p w:rsidR="006E77A7" w:rsidRPr="005E28C5" w:rsidRDefault="006E77A7" w:rsidP="006E77A7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:rsidR="006E77A7" w:rsidRPr="005E28C5" w:rsidRDefault="006E77A7" w:rsidP="006E77A7">
      <w:pPr>
        <w:pStyle w:val="Zkladntext"/>
        <w:adjustRightInd w:val="0"/>
        <w:snapToGrid w:val="0"/>
        <w:spacing w:after="0"/>
        <w:rPr>
          <w:rFonts w:ascii="Times New Roman" w:hAnsi="Times New Roman"/>
          <w:sz w:val="22"/>
          <w:szCs w:val="22"/>
        </w:rPr>
      </w:pPr>
    </w:p>
    <w:p w:rsidR="00F7686C" w:rsidRPr="005E28C5" w:rsidRDefault="003B57CE" w:rsidP="006E77A7">
      <w:pPr>
        <w:pStyle w:val="Zkladntext"/>
        <w:adjustRightInd w:val="0"/>
        <w:snapToGrid w:val="0"/>
        <w:spacing w:after="0"/>
        <w:rPr>
          <w:rFonts w:ascii="Times New Roman" w:hAnsi="Times New Roman"/>
          <w:b/>
          <w:sz w:val="22"/>
          <w:szCs w:val="22"/>
        </w:rPr>
      </w:pPr>
      <w:r w:rsidRPr="005E28C5">
        <w:rPr>
          <w:rFonts w:ascii="Times New Roman" w:hAnsi="Times New Roman"/>
          <w:b/>
          <w:caps/>
          <w:sz w:val="22"/>
          <w:szCs w:val="22"/>
        </w:rPr>
        <w:t>5.</w:t>
      </w:r>
      <w:r w:rsidRPr="005E28C5">
        <w:rPr>
          <w:rFonts w:ascii="Times New Roman" w:hAnsi="Times New Roman"/>
          <w:b/>
          <w:caps/>
          <w:sz w:val="22"/>
          <w:szCs w:val="22"/>
        </w:rPr>
        <w:tab/>
      </w:r>
      <w:r w:rsidR="00F7686C" w:rsidRPr="005E28C5">
        <w:rPr>
          <w:rFonts w:ascii="Times New Roman" w:hAnsi="Times New Roman"/>
          <w:b/>
          <w:caps/>
          <w:sz w:val="22"/>
          <w:szCs w:val="22"/>
        </w:rPr>
        <w:t>Farmakologické vlastnosti</w:t>
      </w:r>
    </w:p>
    <w:p w:rsidR="00875D8B" w:rsidRPr="005E28C5" w:rsidRDefault="00875D8B" w:rsidP="00F30C0D">
      <w:pPr>
        <w:pStyle w:val="Textkomentra"/>
        <w:keepNext/>
        <w:keepLines/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F30C0D">
      <w:pPr>
        <w:keepNext/>
        <w:keepLines/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5.1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Farmakodynamické vlastnosti</w:t>
      </w:r>
    </w:p>
    <w:p w:rsidR="00F7686C" w:rsidRPr="005E28C5" w:rsidRDefault="00F7686C" w:rsidP="00F30C0D">
      <w:pPr>
        <w:keepNext/>
        <w:adjustRightInd w:val="0"/>
        <w:snapToGrid w:val="0"/>
        <w:spacing w:after="0"/>
        <w:rPr>
          <w:b/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Farmakoterapeutická skupina: </w:t>
      </w:r>
      <w:r w:rsidR="005807B1" w:rsidRPr="005E28C5">
        <w:rPr>
          <w:sz w:val="22"/>
          <w:szCs w:val="22"/>
        </w:rPr>
        <w:t>i</w:t>
      </w:r>
      <w:r w:rsidRPr="005E28C5">
        <w:rPr>
          <w:sz w:val="22"/>
          <w:szCs w:val="22"/>
        </w:rPr>
        <w:t xml:space="preserve">né látky </w:t>
      </w:r>
      <w:r w:rsidR="00D04834" w:rsidRPr="005E28C5">
        <w:rPr>
          <w:sz w:val="22"/>
          <w:szCs w:val="22"/>
        </w:rPr>
        <w:t>upravujúce lipidy</w:t>
      </w:r>
      <w:r w:rsidR="00B36366" w:rsidRPr="005E28C5">
        <w:rPr>
          <w:sz w:val="22"/>
          <w:szCs w:val="22"/>
        </w:rPr>
        <w:t>, ATC kód: C10A</w:t>
      </w:r>
      <w:r w:rsidRPr="005E28C5">
        <w:rPr>
          <w:sz w:val="22"/>
          <w:szCs w:val="22"/>
        </w:rPr>
        <w:t>X09</w:t>
      </w:r>
    </w:p>
    <w:p w:rsidR="00F7686C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A755D0" w:rsidRPr="00A755D0" w:rsidRDefault="00A755D0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Mechanizmus účinku</w:t>
      </w:r>
    </w:p>
    <w:p w:rsidR="00F7686C" w:rsidRPr="005E28C5" w:rsidRDefault="008443E1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</w:t>
      </w:r>
      <w:r w:rsidR="00B36366" w:rsidRPr="005E28C5">
        <w:rPr>
          <w:sz w:val="22"/>
          <w:szCs w:val="22"/>
        </w:rPr>
        <w:t>zetimib</w:t>
      </w:r>
      <w:r w:rsidR="00F7686C" w:rsidRPr="005E28C5">
        <w:rPr>
          <w:sz w:val="22"/>
          <w:szCs w:val="22"/>
        </w:rPr>
        <w:t xml:space="preserve"> </w:t>
      </w:r>
      <w:r w:rsidR="00493FA9">
        <w:rPr>
          <w:sz w:val="22"/>
          <w:szCs w:val="22"/>
        </w:rPr>
        <w:t>patrí do</w:t>
      </w:r>
      <w:r w:rsidR="00F7686C" w:rsidRPr="005E28C5">
        <w:rPr>
          <w:sz w:val="22"/>
          <w:szCs w:val="22"/>
        </w:rPr>
        <w:t xml:space="preserve"> nov</w:t>
      </w:r>
      <w:r w:rsidR="00493FA9">
        <w:rPr>
          <w:sz w:val="22"/>
          <w:szCs w:val="22"/>
        </w:rPr>
        <w:t>ej</w:t>
      </w:r>
      <w:r w:rsidR="00F7686C" w:rsidRPr="005E28C5">
        <w:rPr>
          <w:sz w:val="22"/>
          <w:szCs w:val="22"/>
        </w:rPr>
        <w:t xml:space="preserve"> </w:t>
      </w:r>
      <w:r w:rsidR="00493FA9">
        <w:rPr>
          <w:sz w:val="22"/>
          <w:szCs w:val="22"/>
        </w:rPr>
        <w:t>skupiny</w:t>
      </w:r>
      <w:r w:rsidR="00F7686C" w:rsidRPr="005E28C5">
        <w:rPr>
          <w:sz w:val="22"/>
          <w:szCs w:val="22"/>
        </w:rPr>
        <w:t xml:space="preserve"> </w:t>
      </w:r>
      <w:r w:rsidR="00BB0F2C">
        <w:rPr>
          <w:sz w:val="22"/>
          <w:szCs w:val="22"/>
        </w:rPr>
        <w:t>liečiv</w:t>
      </w:r>
      <w:r w:rsidR="00BB0F2C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znižujúcich lipidy, ktoré selektívne inhibujú črevnú absorpciu cholesterolu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 xml:space="preserve">príbuzných rastlinných sterolov. </w:t>
      </w:r>
      <w:r w:rsidRPr="005E28C5">
        <w:rPr>
          <w:sz w:val="22"/>
          <w:szCs w:val="22"/>
        </w:rPr>
        <w:t>E</w:t>
      </w:r>
      <w:r w:rsidR="00B36366" w:rsidRPr="005E28C5">
        <w:rPr>
          <w:sz w:val="22"/>
          <w:szCs w:val="22"/>
        </w:rPr>
        <w:t>zetimib</w:t>
      </w:r>
      <w:r w:rsidR="00F7686C" w:rsidRPr="005E28C5">
        <w:rPr>
          <w:sz w:val="22"/>
          <w:szCs w:val="22"/>
        </w:rPr>
        <w:t xml:space="preserve"> je aktívny po perorálnom podaní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 xml:space="preserve">má mechanizmus účinku, ktorý sa líši od iných skupín </w:t>
      </w:r>
      <w:r w:rsidR="00493FA9">
        <w:rPr>
          <w:sz w:val="22"/>
          <w:szCs w:val="22"/>
        </w:rPr>
        <w:t>liečiv</w:t>
      </w:r>
      <w:r w:rsidR="00493FA9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 xml:space="preserve">znižujúcich cholesterol (napr. statínov, sekvestrantov žlčových kyselín </w:t>
      </w:r>
      <w:r w:rsidR="00F7686C" w:rsidRPr="0079716C">
        <w:rPr>
          <w:sz w:val="22"/>
          <w:szCs w:val="22"/>
        </w:rPr>
        <w:sym w:font="Symbol" w:char="F05B"/>
      </w:r>
      <w:r w:rsidR="00F7686C" w:rsidRPr="0079716C">
        <w:rPr>
          <w:sz w:val="22"/>
          <w:szCs w:val="22"/>
        </w:rPr>
        <w:t>živíc</w:t>
      </w:r>
      <w:r w:rsidR="00F7686C" w:rsidRPr="0079716C">
        <w:rPr>
          <w:sz w:val="22"/>
          <w:szCs w:val="22"/>
        </w:rPr>
        <w:sym w:font="Symbol" w:char="F05D"/>
      </w:r>
      <w:r w:rsidR="00F7686C" w:rsidRPr="0079716C">
        <w:rPr>
          <w:sz w:val="22"/>
          <w:szCs w:val="22"/>
        </w:rPr>
        <w:t>, fibrátov</w:t>
      </w:r>
      <w:r w:rsidR="0020794C" w:rsidRPr="0079716C">
        <w:rPr>
          <w:sz w:val="22"/>
          <w:szCs w:val="22"/>
        </w:rPr>
        <w:t xml:space="preserve"> a </w:t>
      </w:r>
      <w:r w:rsidR="00F7686C" w:rsidRPr="000D7562">
        <w:rPr>
          <w:sz w:val="22"/>
          <w:szCs w:val="22"/>
        </w:rPr>
        <w:t>rastlinných stanolov).</w:t>
      </w:r>
      <w:r w:rsidR="0066067C" w:rsidRPr="000D7562">
        <w:rPr>
          <w:sz w:val="22"/>
          <w:szCs w:val="22"/>
        </w:rPr>
        <w:t xml:space="preserve"> Molekul</w:t>
      </w:r>
      <w:r w:rsidR="00B36366" w:rsidRPr="000D7562">
        <w:rPr>
          <w:sz w:val="22"/>
          <w:szCs w:val="22"/>
        </w:rPr>
        <w:t>árnym</w:t>
      </w:r>
      <w:r w:rsidR="0066067C" w:rsidRPr="000D7562">
        <w:rPr>
          <w:sz w:val="22"/>
          <w:szCs w:val="22"/>
        </w:rPr>
        <w:t xml:space="preserve"> </w:t>
      </w:r>
      <w:r w:rsidR="007B6ADA" w:rsidRPr="00CC5179">
        <w:rPr>
          <w:sz w:val="22"/>
          <w:szCs w:val="22"/>
        </w:rPr>
        <w:t>cieľom ezetimibu je sterolový transportér Niemann-Pick C1-Like 1 (NPC1L1), ktorý je zodpovedný za intestinálne vychytávanie cholesterolu</w:t>
      </w:r>
      <w:r w:rsidR="0020794C" w:rsidRPr="005E28C5">
        <w:rPr>
          <w:sz w:val="22"/>
          <w:szCs w:val="22"/>
        </w:rPr>
        <w:t xml:space="preserve"> a </w:t>
      </w:r>
      <w:r w:rsidR="0066067C" w:rsidRPr="005E28C5">
        <w:rPr>
          <w:sz w:val="22"/>
          <w:szCs w:val="22"/>
        </w:rPr>
        <w:t>fytosterolov.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DC5EFF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Ezetimib sa lokalizuje na kefkovitý lem sliznice tenkého čreva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inhibuje absorpciu cholesterolu, čo vedie</w:t>
      </w:r>
      <w:r w:rsidR="0020794C" w:rsidRPr="005E28C5">
        <w:rPr>
          <w:sz w:val="22"/>
          <w:szCs w:val="22"/>
        </w:rPr>
        <w:t xml:space="preserve"> k </w:t>
      </w:r>
      <w:r w:rsidRPr="005E28C5">
        <w:rPr>
          <w:sz w:val="22"/>
          <w:szCs w:val="22"/>
        </w:rPr>
        <w:t>znížen</w:t>
      </w:r>
      <w:r w:rsidR="00493FA9">
        <w:rPr>
          <w:sz w:val="22"/>
          <w:szCs w:val="22"/>
        </w:rPr>
        <w:t>ému</w:t>
      </w:r>
      <w:r w:rsidRPr="005E28C5">
        <w:rPr>
          <w:sz w:val="22"/>
          <w:szCs w:val="22"/>
        </w:rPr>
        <w:t xml:space="preserve"> </w:t>
      </w:r>
      <w:r w:rsidR="00493FA9">
        <w:rPr>
          <w:sz w:val="22"/>
          <w:szCs w:val="22"/>
        </w:rPr>
        <w:t>dodaniu</w:t>
      </w:r>
      <w:r w:rsidRPr="005E28C5">
        <w:rPr>
          <w:sz w:val="22"/>
          <w:szCs w:val="22"/>
        </w:rPr>
        <w:t xml:space="preserve"> črevného cholesterolu do pečene; statíny znižujú syntézu cholesterolu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pečeni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spolu tým</w:t>
      </w:r>
      <w:r w:rsidR="007C415F" w:rsidRPr="005E28C5">
        <w:rPr>
          <w:sz w:val="22"/>
          <w:szCs w:val="22"/>
        </w:rPr>
        <w:t>i</w:t>
      </w:r>
      <w:r w:rsidRPr="005E28C5">
        <w:rPr>
          <w:sz w:val="22"/>
          <w:szCs w:val="22"/>
        </w:rPr>
        <w:t>to odlišným</w:t>
      </w:r>
      <w:r w:rsidR="007C415F" w:rsidRPr="005E28C5">
        <w:rPr>
          <w:sz w:val="22"/>
          <w:szCs w:val="22"/>
        </w:rPr>
        <w:t>i</w:t>
      </w:r>
      <w:r w:rsidRPr="005E28C5">
        <w:rPr>
          <w:sz w:val="22"/>
          <w:szCs w:val="22"/>
        </w:rPr>
        <w:t xml:space="preserve"> mechanizm</w:t>
      </w:r>
      <w:r w:rsidR="007C415F" w:rsidRPr="005E28C5">
        <w:rPr>
          <w:sz w:val="22"/>
          <w:szCs w:val="22"/>
        </w:rPr>
        <w:t>ami</w:t>
      </w:r>
      <w:r w:rsidRPr="005E28C5">
        <w:rPr>
          <w:sz w:val="22"/>
          <w:szCs w:val="22"/>
        </w:rPr>
        <w:t xml:space="preserve"> poskytujú doplňujúcu redukciu cholesterolu.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dvojtýždňovej klinickej štúdii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18</w:t>
      </w:r>
      <w:r w:rsidR="005D60DD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 xml:space="preserve">hypercholesterolemických pacientov </w:t>
      </w:r>
      <w:r w:rsidR="007C415F" w:rsidRPr="005E28C5">
        <w:rPr>
          <w:sz w:val="22"/>
          <w:szCs w:val="22"/>
        </w:rPr>
        <w:t xml:space="preserve">inhiboval </w:t>
      </w:r>
      <w:r w:rsidR="00B36366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porovnaní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placebom absorpciu cholesterolu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čreve</w:t>
      </w:r>
      <w:r w:rsidR="0020794C" w:rsidRPr="005E28C5">
        <w:rPr>
          <w:sz w:val="22"/>
          <w:szCs w:val="22"/>
        </w:rPr>
        <w:t xml:space="preserve"> o </w:t>
      </w:r>
      <w:r w:rsidRPr="005E28C5">
        <w:rPr>
          <w:sz w:val="22"/>
          <w:szCs w:val="22"/>
        </w:rPr>
        <w:t>54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>.</w:t>
      </w:r>
    </w:p>
    <w:p w:rsidR="00A755D0" w:rsidRPr="00A755D0" w:rsidRDefault="00A755D0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:rsidR="00A755D0" w:rsidRPr="00A755D0" w:rsidRDefault="00A755D0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A755D0">
        <w:rPr>
          <w:sz w:val="22"/>
          <w:szCs w:val="22"/>
          <w:u w:val="single"/>
        </w:rPr>
        <w:t>Farmakodynamické účinky</w:t>
      </w:r>
    </w:p>
    <w:p w:rsidR="00F7686C" w:rsidRPr="005E28C5" w:rsidRDefault="007C415F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N</w:t>
      </w:r>
      <w:r w:rsidR="00F7686C" w:rsidRPr="005E28C5">
        <w:rPr>
          <w:sz w:val="22"/>
          <w:szCs w:val="22"/>
        </w:rPr>
        <w:t>a určenie selektivity ezetimibu na inhibíciu absorpcie cholesterolu</w:t>
      </w:r>
      <w:r w:rsidRPr="005E28C5">
        <w:rPr>
          <w:sz w:val="22"/>
          <w:szCs w:val="22"/>
        </w:rPr>
        <w:t xml:space="preserve"> sa vykonali série predklinických štúdií</w:t>
      </w:r>
      <w:r w:rsidR="00F7686C" w:rsidRPr="005E28C5">
        <w:rPr>
          <w:sz w:val="22"/>
          <w:szCs w:val="22"/>
        </w:rPr>
        <w:t>. Ezetimib inhiboval absorpciu [</w:t>
      </w:r>
      <w:r w:rsidR="00F7686C" w:rsidRPr="005E28C5">
        <w:rPr>
          <w:sz w:val="22"/>
          <w:szCs w:val="22"/>
          <w:vertAlign w:val="superscript"/>
        </w:rPr>
        <w:t>14</w:t>
      </w:r>
      <w:r w:rsidR="00F7686C" w:rsidRPr="005E28C5">
        <w:rPr>
          <w:sz w:val="22"/>
          <w:szCs w:val="22"/>
        </w:rPr>
        <w:t>C]-cholesterolu, pričom nemal žiadn</w:t>
      </w:r>
      <w:r w:rsidR="002A25F4" w:rsidRPr="005E28C5">
        <w:rPr>
          <w:sz w:val="22"/>
          <w:szCs w:val="22"/>
        </w:rPr>
        <w:t>y</w:t>
      </w:r>
      <w:r w:rsidR="00F7686C" w:rsidRPr="005E28C5">
        <w:rPr>
          <w:sz w:val="22"/>
          <w:szCs w:val="22"/>
        </w:rPr>
        <w:t xml:space="preserve"> účinok na absorpciu triglyceridov, mastných kyselín, žlčových kyselín, progesterónu, etinylestradiolu alebo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 xml:space="preserve">tukoch rozpustných </w:t>
      </w:r>
      <w:r w:rsidR="00F7686C" w:rsidRPr="005E28C5">
        <w:rPr>
          <w:sz w:val="22"/>
          <w:szCs w:val="22"/>
        </w:rPr>
        <w:t>vitamínov A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D.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4A0A1E" w:rsidRDefault="00F7686C" w:rsidP="00B3636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Epidemiologické štúdie preukázali, že kardiovaskulárna morbidita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mortalita </w:t>
      </w:r>
      <w:r w:rsidR="00153014" w:rsidRPr="005E28C5">
        <w:rPr>
          <w:sz w:val="22"/>
          <w:szCs w:val="22"/>
        </w:rPr>
        <w:t xml:space="preserve">sa </w:t>
      </w:r>
      <w:r w:rsidRPr="005E28C5">
        <w:rPr>
          <w:sz w:val="22"/>
          <w:szCs w:val="22"/>
        </w:rPr>
        <w:t xml:space="preserve">priamoúmerne </w:t>
      </w:r>
      <w:r w:rsidR="00153014" w:rsidRPr="005E28C5">
        <w:rPr>
          <w:sz w:val="22"/>
          <w:szCs w:val="22"/>
        </w:rPr>
        <w:t>mení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hladin</w:t>
      </w:r>
      <w:r w:rsidR="00153014" w:rsidRPr="005E28C5">
        <w:rPr>
          <w:sz w:val="22"/>
          <w:szCs w:val="22"/>
        </w:rPr>
        <w:t>ou</w:t>
      </w:r>
      <w:r w:rsidRPr="005E28C5">
        <w:rPr>
          <w:sz w:val="22"/>
          <w:szCs w:val="22"/>
        </w:rPr>
        <w:t xml:space="preserve"> celk</w:t>
      </w:r>
      <w:r w:rsidR="00153014" w:rsidRPr="005E28C5">
        <w:rPr>
          <w:sz w:val="22"/>
          <w:szCs w:val="22"/>
        </w:rPr>
        <w:t>ového</w:t>
      </w:r>
      <w:r w:rsidRPr="005E28C5">
        <w:rPr>
          <w:sz w:val="22"/>
          <w:szCs w:val="22"/>
        </w:rPr>
        <w:t>-C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LDL-C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nepriamoúmerne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hladin</w:t>
      </w:r>
      <w:r w:rsidR="00153014" w:rsidRPr="005E28C5">
        <w:rPr>
          <w:sz w:val="22"/>
          <w:szCs w:val="22"/>
        </w:rPr>
        <w:t>ou</w:t>
      </w:r>
      <w:r w:rsidRPr="005E28C5">
        <w:rPr>
          <w:sz w:val="22"/>
          <w:szCs w:val="22"/>
        </w:rPr>
        <w:t xml:space="preserve"> HDL-C</w:t>
      </w:r>
      <w:r w:rsidR="00A3340B" w:rsidRPr="005E28C5">
        <w:rPr>
          <w:sz w:val="22"/>
          <w:szCs w:val="22"/>
        </w:rPr>
        <w:t>.</w:t>
      </w:r>
      <w:r w:rsidRPr="005E28C5">
        <w:rPr>
          <w:sz w:val="22"/>
          <w:szCs w:val="22"/>
        </w:rPr>
        <w:t xml:space="preserve"> </w:t>
      </w:r>
    </w:p>
    <w:p w:rsidR="004A0A1E" w:rsidRDefault="004A0A1E" w:rsidP="00B36366">
      <w:pPr>
        <w:adjustRightInd w:val="0"/>
        <w:snapToGrid w:val="0"/>
        <w:spacing w:after="0"/>
        <w:rPr>
          <w:sz w:val="22"/>
          <w:szCs w:val="22"/>
        </w:rPr>
      </w:pPr>
    </w:p>
    <w:p w:rsidR="00B36366" w:rsidRPr="005E28C5" w:rsidRDefault="00F35BE6" w:rsidP="00B3636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Priaznivý účinok </w:t>
      </w:r>
      <w:r w:rsidR="00B36366" w:rsidRPr="005E28C5">
        <w:rPr>
          <w:sz w:val="22"/>
          <w:szCs w:val="22"/>
        </w:rPr>
        <w:t>ezetimibu</w:t>
      </w:r>
      <w:r w:rsidRPr="005E28C5">
        <w:rPr>
          <w:sz w:val="22"/>
          <w:szCs w:val="22"/>
        </w:rPr>
        <w:t xml:space="preserve"> na kardiovaskulárnu morbiditu a mortalitu zatiaľ nebol preukázaný.</w:t>
      </w:r>
    </w:p>
    <w:p w:rsidR="00B36366" w:rsidRPr="005E28C5" w:rsidRDefault="00B36366" w:rsidP="00B36366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4A0A1E" w:rsidRDefault="00F7686C" w:rsidP="00B36366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4A0A1E">
        <w:rPr>
          <w:sz w:val="22"/>
          <w:szCs w:val="22"/>
          <w:u w:val="single"/>
        </w:rPr>
        <w:t>K</w:t>
      </w:r>
      <w:r w:rsidR="004A0A1E">
        <w:rPr>
          <w:sz w:val="22"/>
          <w:szCs w:val="22"/>
          <w:u w:val="single"/>
        </w:rPr>
        <w:t>linická</w:t>
      </w:r>
      <w:r w:rsidR="00B36366" w:rsidRPr="004A0A1E">
        <w:rPr>
          <w:sz w:val="22"/>
          <w:szCs w:val="22"/>
          <w:u w:val="single"/>
        </w:rPr>
        <w:t xml:space="preserve"> </w:t>
      </w:r>
      <w:r w:rsidR="004A0A1E">
        <w:rPr>
          <w:sz w:val="22"/>
          <w:szCs w:val="22"/>
          <w:u w:val="single"/>
        </w:rPr>
        <w:t>účinnosť a bezpečnosť</w:t>
      </w:r>
    </w:p>
    <w:p w:rsidR="00B36366" w:rsidRPr="005E28C5" w:rsidRDefault="00F7686C" w:rsidP="00B3636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V kontrolovaných klinických štúdiách </w:t>
      </w:r>
      <w:r w:rsidR="00B36366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monoterapii aj súčasne podávaný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statínom signifikantne znížil celkový cholesterol (</w:t>
      </w:r>
      <w:r w:rsidR="00153014" w:rsidRPr="005E28C5">
        <w:rPr>
          <w:sz w:val="22"/>
          <w:szCs w:val="22"/>
        </w:rPr>
        <w:t>celkový</w:t>
      </w:r>
      <w:r w:rsidRPr="005E28C5">
        <w:rPr>
          <w:sz w:val="22"/>
          <w:szCs w:val="22"/>
        </w:rPr>
        <w:t>-C), cholesterol nízkodenzitných lipoproteínov (LDL</w:t>
      </w:r>
      <w:r w:rsidR="0037394B" w:rsidRPr="005E28C5">
        <w:rPr>
          <w:sz w:val="22"/>
          <w:szCs w:val="22"/>
        </w:rPr>
        <w:noBreakHyphen/>
      </w:r>
      <w:r w:rsidRPr="005E28C5">
        <w:rPr>
          <w:sz w:val="22"/>
          <w:szCs w:val="22"/>
        </w:rPr>
        <w:t>C), apolipoproteín B (Apo B)</w:t>
      </w:r>
      <w:r w:rsidR="004A0A1E">
        <w:rPr>
          <w:sz w:val="22"/>
          <w:szCs w:val="22"/>
        </w:rPr>
        <w:t xml:space="preserve"> a</w:t>
      </w:r>
      <w:r w:rsidRPr="005E28C5">
        <w:rPr>
          <w:sz w:val="22"/>
          <w:szCs w:val="22"/>
        </w:rPr>
        <w:t xml:space="preserve"> triglyceridy (TG)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zvýšil cholesterol vysokodenzitných lipoproteínov (HDL-C)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hypercholesterolémiou.</w:t>
      </w:r>
    </w:p>
    <w:p w:rsidR="00B36366" w:rsidRPr="005E28C5" w:rsidRDefault="00B36366" w:rsidP="00B36366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B36366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Primárna hypercholesterolémia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</w:t>
      </w:r>
      <w:r w:rsidR="005C4767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 xml:space="preserve">dvojito </w:t>
      </w:r>
      <w:r w:rsidR="005807B1" w:rsidRPr="005E28C5">
        <w:rPr>
          <w:sz w:val="22"/>
          <w:szCs w:val="22"/>
        </w:rPr>
        <w:t>za</w:t>
      </w:r>
      <w:r w:rsidRPr="005E28C5">
        <w:rPr>
          <w:sz w:val="22"/>
          <w:szCs w:val="22"/>
        </w:rPr>
        <w:t>slepe</w:t>
      </w:r>
      <w:r w:rsidR="005807B1" w:rsidRPr="005E28C5">
        <w:rPr>
          <w:sz w:val="22"/>
          <w:szCs w:val="22"/>
        </w:rPr>
        <w:t>ne</w:t>
      </w:r>
      <w:r w:rsidRPr="005E28C5">
        <w:rPr>
          <w:sz w:val="22"/>
          <w:szCs w:val="22"/>
        </w:rPr>
        <w:t>j, placebom kontrolovanej, 8-týždňovej štúdii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769 pacientov</w:t>
      </w:r>
      <w:r w:rsidR="0020794C" w:rsidRPr="005E28C5">
        <w:rPr>
          <w:sz w:val="22"/>
          <w:szCs w:val="22"/>
        </w:rPr>
        <w:t xml:space="preserve"> s</w:t>
      </w:r>
      <w:r w:rsidR="00B36366" w:rsidRPr="005E28C5">
        <w:rPr>
          <w:sz w:val="22"/>
          <w:szCs w:val="22"/>
        </w:rPr>
        <w:t> hyper</w:t>
      </w:r>
      <w:r w:rsidRPr="005E28C5">
        <w:rPr>
          <w:sz w:val="22"/>
          <w:szCs w:val="22"/>
        </w:rPr>
        <w:t>cholesterolémiou, ktorí už dostávali monoterapiu statínom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nedosiahli cieľovú hladinu LDL-C podľa </w:t>
      </w:r>
      <w:r w:rsidR="009D6777" w:rsidRPr="005E28C5">
        <w:rPr>
          <w:sz w:val="22"/>
          <w:szCs w:val="22"/>
        </w:rPr>
        <w:t>„</w:t>
      </w:r>
      <w:r w:rsidRPr="005E28C5">
        <w:rPr>
          <w:sz w:val="22"/>
          <w:szCs w:val="22"/>
        </w:rPr>
        <w:t>National Cholesterol Education Program (NCEP)</w:t>
      </w:r>
      <w:r w:rsidR="009D6777" w:rsidRPr="005E28C5">
        <w:rPr>
          <w:sz w:val="22"/>
          <w:szCs w:val="22"/>
        </w:rPr>
        <w:t>“</w:t>
      </w:r>
      <w:r w:rsidRPr="005E28C5">
        <w:rPr>
          <w:sz w:val="22"/>
          <w:szCs w:val="22"/>
        </w:rPr>
        <w:t xml:space="preserve"> (2,6 až 4,1 mmol/l [100 až 160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/dl]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závislosti od vstupných hodnôt</w:t>
      </w:r>
      <w:r w:rsidR="007C415F" w:rsidRPr="005E28C5">
        <w:rPr>
          <w:sz w:val="22"/>
          <w:szCs w:val="22"/>
        </w:rPr>
        <w:t>)</w:t>
      </w:r>
      <w:r w:rsidRPr="005E28C5">
        <w:rPr>
          <w:sz w:val="22"/>
          <w:szCs w:val="22"/>
        </w:rPr>
        <w:t xml:space="preserve"> bol</w:t>
      </w:r>
      <w:r w:rsidR="009D6777" w:rsidRPr="005E28C5">
        <w:rPr>
          <w:sz w:val="22"/>
          <w:szCs w:val="22"/>
        </w:rPr>
        <w:t xml:space="preserve">i pacienti </w:t>
      </w:r>
      <w:r w:rsidRPr="005E28C5">
        <w:rPr>
          <w:sz w:val="22"/>
          <w:szCs w:val="22"/>
        </w:rPr>
        <w:t>randomizovan</w:t>
      </w:r>
      <w:r w:rsidR="009D6777" w:rsidRPr="005E28C5">
        <w:rPr>
          <w:sz w:val="22"/>
          <w:szCs w:val="22"/>
        </w:rPr>
        <w:t>í</w:t>
      </w:r>
      <w:r w:rsidRPr="005E28C5">
        <w:rPr>
          <w:sz w:val="22"/>
          <w:szCs w:val="22"/>
        </w:rPr>
        <w:t xml:space="preserve"> tak, aby dostávali</w:t>
      </w:r>
      <w:r w:rsidR="0020794C" w:rsidRPr="005E28C5">
        <w:rPr>
          <w:sz w:val="22"/>
          <w:szCs w:val="22"/>
        </w:rPr>
        <w:t xml:space="preserve"> k </w:t>
      </w:r>
      <w:r w:rsidRPr="005E28C5">
        <w:rPr>
          <w:sz w:val="22"/>
          <w:szCs w:val="22"/>
        </w:rPr>
        <w:t>doterajšej liečbe statínom</w:t>
      </w:r>
      <w:r w:rsidR="00A3340B" w:rsidRPr="005E28C5">
        <w:rPr>
          <w:sz w:val="22"/>
          <w:szCs w:val="22"/>
        </w:rPr>
        <w:t xml:space="preserve"> buď</w:t>
      </w:r>
      <w:r w:rsidRPr="005E28C5">
        <w:rPr>
          <w:sz w:val="22"/>
          <w:szCs w:val="22"/>
        </w:rPr>
        <w:t xml:space="preserve"> </w:t>
      </w:r>
      <w:r w:rsidR="00B36366" w:rsidRPr="005E28C5">
        <w:rPr>
          <w:sz w:val="22"/>
          <w:szCs w:val="22"/>
        </w:rPr>
        <w:t>10 mg ezetimibu</w:t>
      </w:r>
      <w:r w:rsidRPr="005E28C5">
        <w:rPr>
          <w:sz w:val="22"/>
          <w:szCs w:val="22"/>
        </w:rPr>
        <w:t xml:space="preserve"> alebo placebo.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DC5EFF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Spomedzi pacientov liečených statínmi, ktorí pri vstupe do štúdie nespĺňali cieľovú hladinu LDL-C (~82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>)</w:t>
      </w:r>
      <w:r w:rsidR="00144CEE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</w:t>
      </w:r>
      <w:r w:rsidR="00144CEE" w:rsidRPr="005E28C5">
        <w:rPr>
          <w:sz w:val="22"/>
          <w:szCs w:val="22"/>
        </w:rPr>
        <w:t xml:space="preserve">dosiahlo cieľovú hodnotu LDL-C na konci štúdie </w:t>
      </w:r>
      <w:r w:rsidRPr="005E28C5">
        <w:rPr>
          <w:sz w:val="22"/>
          <w:szCs w:val="22"/>
        </w:rPr>
        <w:t>72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pacientov randomizovaných </w:t>
      </w:r>
      <w:r w:rsidR="00334A58">
        <w:rPr>
          <w:sz w:val="22"/>
          <w:szCs w:val="22"/>
        </w:rPr>
        <w:t>na</w:t>
      </w:r>
      <w:r w:rsidR="00334A58" w:rsidRPr="005E28C5">
        <w:rPr>
          <w:sz w:val="22"/>
          <w:szCs w:val="22"/>
        </w:rPr>
        <w:t xml:space="preserve"> </w:t>
      </w:r>
      <w:r w:rsidR="00B36366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19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pacientov randomizovaných </w:t>
      </w:r>
      <w:r w:rsidR="00334A58">
        <w:rPr>
          <w:sz w:val="22"/>
          <w:szCs w:val="22"/>
        </w:rPr>
        <w:t>na</w:t>
      </w:r>
      <w:r w:rsidR="00334A58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placebo. Korešpondujúce zníženia LDL-C boli signifikantne rozdielne (25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</w:t>
      </w:r>
      <w:r w:rsidR="007C415F" w:rsidRPr="005E28C5">
        <w:rPr>
          <w:sz w:val="22"/>
          <w:szCs w:val="22"/>
        </w:rPr>
        <w:t xml:space="preserve">pre </w:t>
      </w:r>
      <w:r w:rsidR="00D817F7" w:rsidRPr="005E28C5">
        <w:rPr>
          <w:sz w:val="22"/>
          <w:szCs w:val="22"/>
        </w:rPr>
        <w:t>ezetimib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4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pre placebo). </w:t>
      </w:r>
      <w:r w:rsidR="00980E46" w:rsidRPr="005E28C5">
        <w:rPr>
          <w:sz w:val="22"/>
          <w:szCs w:val="22"/>
        </w:rPr>
        <w:t>Okrem toho</w:t>
      </w:r>
      <w:r w:rsidR="007C415F" w:rsidRPr="005E28C5">
        <w:rPr>
          <w:sz w:val="22"/>
          <w:szCs w:val="22"/>
        </w:rPr>
        <w:t>,</w:t>
      </w:r>
      <w:r w:rsidR="00980E46" w:rsidRPr="005E28C5">
        <w:rPr>
          <w:sz w:val="22"/>
          <w:szCs w:val="22"/>
        </w:rPr>
        <w:t xml:space="preserve"> </w:t>
      </w:r>
      <w:r w:rsidR="00D817F7" w:rsidRPr="005E28C5">
        <w:rPr>
          <w:sz w:val="22"/>
          <w:szCs w:val="22"/>
        </w:rPr>
        <w:t>ezetimib</w:t>
      </w:r>
      <w:r w:rsidR="00980E46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pridaný</w:t>
      </w:r>
      <w:r w:rsidR="0020794C" w:rsidRPr="005E28C5">
        <w:rPr>
          <w:sz w:val="22"/>
          <w:szCs w:val="22"/>
        </w:rPr>
        <w:t xml:space="preserve"> k </w:t>
      </w:r>
      <w:r w:rsidRPr="005E28C5">
        <w:rPr>
          <w:sz w:val="22"/>
          <w:szCs w:val="22"/>
        </w:rPr>
        <w:t>prebiehajúcej liečbe statín</w:t>
      </w:r>
      <w:r w:rsidR="00980E46" w:rsidRPr="005E28C5">
        <w:rPr>
          <w:sz w:val="22"/>
          <w:szCs w:val="22"/>
        </w:rPr>
        <w:t>o</w:t>
      </w:r>
      <w:r w:rsidRPr="005E28C5">
        <w:rPr>
          <w:sz w:val="22"/>
          <w:szCs w:val="22"/>
        </w:rPr>
        <w:t>m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porovnaní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placebom signifikantne znížil celk</w:t>
      </w:r>
      <w:r w:rsidR="00153014" w:rsidRPr="005E28C5">
        <w:rPr>
          <w:sz w:val="22"/>
          <w:szCs w:val="22"/>
        </w:rPr>
        <w:t>ový</w:t>
      </w:r>
      <w:r w:rsidRPr="005E28C5">
        <w:rPr>
          <w:sz w:val="22"/>
          <w:szCs w:val="22"/>
        </w:rPr>
        <w:t>-C, Apo B, TG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zvýšil HDL-C. </w:t>
      </w:r>
      <w:r w:rsidR="008443E1" w:rsidRPr="005E28C5">
        <w:rPr>
          <w:sz w:val="22"/>
          <w:szCs w:val="22"/>
        </w:rPr>
        <w:t>E</w:t>
      </w:r>
      <w:r w:rsidR="00D817F7" w:rsidRPr="005E28C5">
        <w:rPr>
          <w:sz w:val="22"/>
          <w:szCs w:val="22"/>
        </w:rPr>
        <w:t>zetimib</w:t>
      </w:r>
      <w:r w:rsidR="00980E46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alebo placebo pridané</w:t>
      </w:r>
      <w:r w:rsidR="0020794C" w:rsidRPr="005E28C5">
        <w:rPr>
          <w:sz w:val="22"/>
          <w:szCs w:val="22"/>
        </w:rPr>
        <w:t xml:space="preserve"> k </w:t>
      </w:r>
      <w:r w:rsidRPr="005E28C5">
        <w:rPr>
          <w:sz w:val="22"/>
          <w:szCs w:val="22"/>
        </w:rPr>
        <w:t xml:space="preserve">liečbe statínom znížili </w:t>
      </w:r>
      <w:r w:rsidR="00980E46" w:rsidRPr="005E28C5">
        <w:rPr>
          <w:sz w:val="22"/>
          <w:szCs w:val="22"/>
        </w:rPr>
        <w:t xml:space="preserve">medián </w:t>
      </w:r>
      <w:r w:rsidRPr="005E28C5">
        <w:rPr>
          <w:sz w:val="22"/>
          <w:szCs w:val="22"/>
        </w:rPr>
        <w:t>C-reaktívn</w:t>
      </w:r>
      <w:r w:rsidR="00980E46" w:rsidRPr="005E28C5">
        <w:rPr>
          <w:sz w:val="22"/>
          <w:szCs w:val="22"/>
        </w:rPr>
        <w:t>eho</w:t>
      </w:r>
      <w:r w:rsidRPr="005E28C5">
        <w:rPr>
          <w:sz w:val="22"/>
          <w:szCs w:val="22"/>
        </w:rPr>
        <w:t xml:space="preserve"> proteín</w:t>
      </w:r>
      <w:r w:rsidR="00980E46" w:rsidRPr="005E28C5">
        <w:rPr>
          <w:sz w:val="22"/>
          <w:szCs w:val="22"/>
        </w:rPr>
        <w:t>u</w:t>
      </w:r>
      <w:r w:rsidR="0020794C" w:rsidRPr="005E28C5">
        <w:rPr>
          <w:sz w:val="22"/>
          <w:szCs w:val="22"/>
        </w:rPr>
        <w:t xml:space="preserve"> o </w:t>
      </w:r>
      <w:r w:rsidRPr="005E28C5">
        <w:rPr>
          <w:sz w:val="22"/>
          <w:szCs w:val="22"/>
        </w:rPr>
        <w:t>10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</w:t>
      </w:r>
      <w:r w:rsidR="00852EA8" w:rsidRPr="005E28C5">
        <w:rPr>
          <w:sz w:val="22"/>
          <w:szCs w:val="22"/>
        </w:rPr>
        <w:t xml:space="preserve">a </w:t>
      </w:r>
      <w:r w:rsidRPr="005E28C5">
        <w:rPr>
          <w:sz w:val="22"/>
          <w:szCs w:val="22"/>
        </w:rPr>
        <w:t>0</w:t>
      </w:r>
      <w:r w:rsidR="0020794C" w:rsidRPr="005E28C5">
        <w:rPr>
          <w:sz w:val="22"/>
          <w:szCs w:val="22"/>
        </w:rPr>
        <w:t> %</w:t>
      </w:r>
      <w:r w:rsidR="00E03954">
        <w:rPr>
          <w:sz w:val="22"/>
          <w:szCs w:val="22"/>
        </w:rPr>
        <w:t xml:space="preserve"> v tomto poradí</w:t>
      </w:r>
      <w:r w:rsidRPr="005E28C5">
        <w:rPr>
          <w:sz w:val="22"/>
          <w:szCs w:val="22"/>
        </w:rPr>
        <w:t xml:space="preserve"> oproti východiskovým hodnotám.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8462D8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dvoch</w:t>
      </w:r>
      <w:r w:rsidR="00F7686C" w:rsidRPr="005E28C5">
        <w:rPr>
          <w:sz w:val="22"/>
          <w:szCs w:val="22"/>
        </w:rPr>
        <w:t xml:space="preserve"> dvojito </w:t>
      </w:r>
      <w:r w:rsidR="006E104B" w:rsidRPr="005E28C5">
        <w:rPr>
          <w:sz w:val="22"/>
          <w:szCs w:val="22"/>
        </w:rPr>
        <w:t>za</w:t>
      </w:r>
      <w:r w:rsidR="00F7686C" w:rsidRPr="005E28C5">
        <w:rPr>
          <w:sz w:val="22"/>
          <w:szCs w:val="22"/>
        </w:rPr>
        <w:t>slep</w:t>
      </w:r>
      <w:r w:rsidR="006E104B" w:rsidRPr="005E28C5">
        <w:rPr>
          <w:sz w:val="22"/>
          <w:szCs w:val="22"/>
        </w:rPr>
        <w:t>en</w:t>
      </w:r>
      <w:r w:rsidR="00F7686C" w:rsidRPr="005E28C5">
        <w:rPr>
          <w:sz w:val="22"/>
          <w:szCs w:val="22"/>
        </w:rPr>
        <w:t>ých,</w:t>
      </w:r>
      <w:r w:rsidR="00144CEE" w:rsidRPr="005E28C5">
        <w:rPr>
          <w:sz w:val="22"/>
          <w:szCs w:val="22"/>
        </w:rPr>
        <w:t xml:space="preserve"> randomizovaných, </w:t>
      </w:r>
      <w:r w:rsidR="00F7686C" w:rsidRPr="005E28C5">
        <w:rPr>
          <w:sz w:val="22"/>
          <w:szCs w:val="22"/>
        </w:rPr>
        <w:t>placebom kontrolovaných, 12-týždňových štúdiách</w:t>
      </w:r>
      <w:r w:rsidR="0020794C" w:rsidRPr="005E28C5">
        <w:rPr>
          <w:sz w:val="22"/>
          <w:szCs w:val="22"/>
        </w:rPr>
        <w:t xml:space="preserve"> u </w:t>
      </w:r>
      <w:r w:rsidR="00F7686C" w:rsidRPr="005E28C5">
        <w:rPr>
          <w:sz w:val="22"/>
          <w:szCs w:val="22"/>
        </w:rPr>
        <w:t>1</w:t>
      </w:r>
      <w:r w:rsidR="00144CEE" w:rsidRPr="005E28C5">
        <w:rPr>
          <w:sz w:val="22"/>
          <w:szCs w:val="22"/>
        </w:rPr>
        <w:t> </w:t>
      </w:r>
      <w:r w:rsidR="00F7686C" w:rsidRPr="005E28C5">
        <w:rPr>
          <w:sz w:val="22"/>
          <w:szCs w:val="22"/>
        </w:rPr>
        <w:t>719 pacientov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 xml:space="preserve">primárnou hypercholesterolémiou </w:t>
      </w:r>
      <w:r w:rsidR="00D817F7" w:rsidRPr="005E28C5">
        <w:rPr>
          <w:sz w:val="22"/>
          <w:szCs w:val="22"/>
        </w:rPr>
        <w:t>ezetimibu v dávke 10 mg</w:t>
      </w:r>
      <w:r w:rsidR="0020794C" w:rsidRPr="005E28C5">
        <w:rPr>
          <w:sz w:val="22"/>
          <w:szCs w:val="22"/>
        </w:rPr>
        <w:t xml:space="preserve"> v </w:t>
      </w:r>
      <w:r w:rsidR="00F7686C" w:rsidRPr="005E28C5">
        <w:rPr>
          <w:sz w:val="22"/>
          <w:szCs w:val="22"/>
        </w:rPr>
        <w:t>porovnaní</w:t>
      </w:r>
      <w:r w:rsidR="0020794C" w:rsidRPr="005E28C5">
        <w:rPr>
          <w:sz w:val="22"/>
          <w:szCs w:val="22"/>
        </w:rPr>
        <w:t xml:space="preserve"> s </w:t>
      </w:r>
      <w:r w:rsidR="00F7686C" w:rsidRPr="005E28C5">
        <w:rPr>
          <w:sz w:val="22"/>
          <w:szCs w:val="22"/>
        </w:rPr>
        <w:t>placebom signifikantne znížil celk</w:t>
      </w:r>
      <w:r w:rsidR="00153014" w:rsidRPr="005E28C5">
        <w:rPr>
          <w:sz w:val="22"/>
          <w:szCs w:val="22"/>
        </w:rPr>
        <w:t>ový</w:t>
      </w:r>
      <w:r w:rsidR="00F7686C" w:rsidRPr="005E28C5">
        <w:rPr>
          <w:sz w:val="22"/>
          <w:szCs w:val="22"/>
        </w:rPr>
        <w:t>-C (13</w:t>
      </w:r>
      <w:r w:rsidR="0020794C" w:rsidRPr="005E28C5">
        <w:rPr>
          <w:sz w:val="22"/>
          <w:szCs w:val="22"/>
        </w:rPr>
        <w:t> %</w:t>
      </w:r>
      <w:r w:rsidR="00F7686C" w:rsidRPr="005E28C5">
        <w:rPr>
          <w:sz w:val="22"/>
          <w:szCs w:val="22"/>
        </w:rPr>
        <w:t>), LDL-C (19</w:t>
      </w:r>
      <w:r w:rsidR="0020794C" w:rsidRPr="005E28C5">
        <w:rPr>
          <w:sz w:val="22"/>
          <w:szCs w:val="22"/>
        </w:rPr>
        <w:t> %</w:t>
      </w:r>
      <w:r w:rsidR="00F7686C" w:rsidRPr="005E28C5">
        <w:rPr>
          <w:sz w:val="22"/>
          <w:szCs w:val="22"/>
        </w:rPr>
        <w:t>), Apo B (14</w:t>
      </w:r>
      <w:r w:rsidR="0020794C" w:rsidRPr="005E28C5">
        <w:rPr>
          <w:sz w:val="22"/>
          <w:szCs w:val="22"/>
        </w:rPr>
        <w:t> %</w:t>
      </w:r>
      <w:r w:rsidR="00F7686C" w:rsidRPr="005E28C5">
        <w:rPr>
          <w:sz w:val="22"/>
          <w:szCs w:val="22"/>
        </w:rPr>
        <w:t>)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TG (8</w:t>
      </w:r>
      <w:r w:rsidR="0020794C" w:rsidRPr="005E28C5">
        <w:rPr>
          <w:sz w:val="22"/>
          <w:szCs w:val="22"/>
        </w:rPr>
        <w:t> %</w:t>
      </w:r>
      <w:r w:rsidR="00F7686C" w:rsidRPr="005E28C5">
        <w:rPr>
          <w:sz w:val="22"/>
          <w:szCs w:val="22"/>
        </w:rPr>
        <w:t>)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zvýšil HDL-C (3</w:t>
      </w:r>
      <w:r w:rsidR="0020794C" w:rsidRPr="005E28C5">
        <w:rPr>
          <w:sz w:val="22"/>
          <w:szCs w:val="22"/>
        </w:rPr>
        <w:t> %</w:t>
      </w:r>
      <w:r w:rsidR="00F7686C" w:rsidRPr="005E28C5">
        <w:rPr>
          <w:sz w:val="22"/>
          <w:szCs w:val="22"/>
        </w:rPr>
        <w:t xml:space="preserve">). Navyše </w:t>
      </w:r>
      <w:r w:rsidR="00D817F7" w:rsidRPr="005E28C5">
        <w:rPr>
          <w:sz w:val="22"/>
          <w:szCs w:val="22"/>
        </w:rPr>
        <w:t>ezetimib</w:t>
      </w:r>
      <w:r w:rsidR="00541885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nemal žiad</w:t>
      </w:r>
      <w:r w:rsidR="002A25F4" w:rsidRPr="005E28C5">
        <w:rPr>
          <w:sz w:val="22"/>
          <w:szCs w:val="22"/>
        </w:rPr>
        <w:t>ny</w:t>
      </w:r>
      <w:r w:rsidR="00F7686C" w:rsidRPr="005E28C5">
        <w:rPr>
          <w:sz w:val="22"/>
          <w:szCs w:val="22"/>
        </w:rPr>
        <w:t xml:space="preserve"> účinok na plazmatické koncentrácie</w:t>
      </w:r>
      <w:r w:rsidR="0020794C" w:rsidRPr="005E28C5">
        <w:rPr>
          <w:sz w:val="22"/>
          <w:szCs w:val="22"/>
        </w:rPr>
        <w:t xml:space="preserve"> v </w:t>
      </w:r>
      <w:r w:rsidR="007C415F" w:rsidRPr="005E28C5">
        <w:rPr>
          <w:sz w:val="22"/>
          <w:szCs w:val="22"/>
        </w:rPr>
        <w:t xml:space="preserve">tukoch rozpustných </w:t>
      </w:r>
      <w:r w:rsidR="00F7686C" w:rsidRPr="005E28C5">
        <w:rPr>
          <w:sz w:val="22"/>
          <w:szCs w:val="22"/>
        </w:rPr>
        <w:t>vitamínov A, D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E,</w:t>
      </w:r>
      <w:r w:rsidR="007C415F" w:rsidRPr="005E28C5">
        <w:rPr>
          <w:sz w:val="22"/>
          <w:szCs w:val="22"/>
        </w:rPr>
        <w:t xml:space="preserve"> </w:t>
      </w:r>
      <w:r w:rsidR="00F7686C" w:rsidRPr="005E28C5">
        <w:rPr>
          <w:sz w:val="22"/>
          <w:szCs w:val="22"/>
        </w:rPr>
        <w:t>nemal žiad</w:t>
      </w:r>
      <w:r w:rsidR="002A25F4" w:rsidRPr="005E28C5">
        <w:rPr>
          <w:sz w:val="22"/>
          <w:szCs w:val="22"/>
        </w:rPr>
        <w:t>ny</w:t>
      </w:r>
      <w:r w:rsidR="00F7686C" w:rsidRPr="005E28C5">
        <w:rPr>
          <w:sz w:val="22"/>
          <w:szCs w:val="22"/>
        </w:rPr>
        <w:t xml:space="preserve"> účinok na protrombínový čas</w:t>
      </w:r>
      <w:r w:rsidR="0020794C" w:rsidRPr="005E28C5">
        <w:rPr>
          <w:sz w:val="22"/>
          <w:szCs w:val="22"/>
        </w:rPr>
        <w:t xml:space="preserve"> a </w:t>
      </w:r>
      <w:r w:rsidR="00F7686C" w:rsidRPr="005E28C5">
        <w:rPr>
          <w:sz w:val="22"/>
          <w:szCs w:val="22"/>
        </w:rPr>
        <w:t>tak, ako ostatné látky znižujúce lipidy</w:t>
      </w:r>
      <w:r w:rsidR="00A3340B" w:rsidRPr="005E28C5">
        <w:rPr>
          <w:sz w:val="22"/>
          <w:szCs w:val="22"/>
        </w:rPr>
        <w:t>,</w:t>
      </w:r>
      <w:r w:rsidR="00F7686C" w:rsidRPr="005E28C5">
        <w:rPr>
          <w:sz w:val="22"/>
          <w:szCs w:val="22"/>
        </w:rPr>
        <w:t xml:space="preserve"> neovplyvnil tvorbu adrenokortikáln</w:t>
      </w:r>
      <w:r w:rsidRPr="005E28C5">
        <w:rPr>
          <w:sz w:val="22"/>
          <w:szCs w:val="22"/>
        </w:rPr>
        <w:t>eho</w:t>
      </w:r>
      <w:r w:rsidR="00F7686C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steroidného </w:t>
      </w:r>
      <w:r w:rsidR="00F7686C" w:rsidRPr="005E28C5">
        <w:rPr>
          <w:sz w:val="22"/>
          <w:szCs w:val="22"/>
        </w:rPr>
        <w:t>hormón</w:t>
      </w:r>
      <w:r w:rsidRPr="005E28C5">
        <w:rPr>
          <w:sz w:val="22"/>
          <w:szCs w:val="22"/>
        </w:rPr>
        <w:t>u</w:t>
      </w:r>
      <w:r w:rsidR="00F7686C" w:rsidRPr="005E28C5">
        <w:rPr>
          <w:sz w:val="22"/>
          <w:szCs w:val="22"/>
        </w:rPr>
        <w:t>.</w:t>
      </w: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multicentrickej, dvojito zaslepenej, kontrolovanej klinickej štúdii (ENHANCE) bolo 720 pacientov s heterozygotnou familiárnou hypercholesterolémiou randomizovaných na ezetimib 10 mg v kombinácii so simvastatínom 80 mg (n = 357) alebo na simvastatín 80 mg (n = 363) počas 2 rokov. Primárnym cieľom štúdie bolo preskúmať účinok kombinovanej liečby ezetimib/simvastatín na hrúbku vrstvy intima-média (intima-media thickness, IMT) krčnej tepny v porovnaní s monoterapiou simvastatínom. Vplyv tohto zástupného markera na kardiovaskulárnu morbiditu a mortalitu nie je stále preukázaný.</w:t>
      </w: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Primárny cieľový ukazovateľ, zmena </w:t>
      </w:r>
      <w:r w:rsidR="00775CF7" w:rsidRPr="005E28C5">
        <w:rPr>
          <w:sz w:val="22"/>
          <w:szCs w:val="22"/>
        </w:rPr>
        <w:t>priemernej</w:t>
      </w:r>
      <w:r w:rsidRPr="005E28C5">
        <w:rPr>
          <w:sz w:val="22"/>
          <w:szCs w:val="22"/>
        </w:rPr>
        <w:t xml:space="preserve"> hodnoty IMT všetkých šiestich segmentov krčnej tepny meraná ultrazvukom v B móde, sa medzi dvoma liečebnými skupinami signifikantne nelíšil (p = 0,29). Počas 2-ročného trvania štúdie sa hrúbka vrstvy intima-média zväčšila o 0,0111 mm pri ezetimibe 10 mg v kombinácii so simvastatínom 80 mg (východisková</w:t>
      </w:r>
      <w:r w:rsidR="00775CF7" w:rsidRPr="005E28C5">
        <w:rPr>
          <w:sz w:val="22"/>
          <w:szCs w:val="22"/>
        </w:rPr>
        <w:t xml:space="preserve"> priemerná</w:t>
      </w:r>
      <w:r w:rsidRPr="005E28C5">
        <w:rPr>
          <w:sz w:val="22"/>
          <w:szCs w:val="22"/>
        </w:rPr>
        <w:t xml:space="preserve"> hodnota karotickej IMT 0,68 mm) a o 0,0058 mm pri samotnom simvastatíne 80 mg (východisková </w:t>
      </w:r>
      <w:r w:rsidR="00775CF7" w:rsidRPr="005E28C5">
        <w:rPr>
          <w:sz w:val="22"/>
          <w:szCs w:val="22"/>
        </w:rPr>
        <w:t xml:space="preserve">priemerná </w:t>
      </w:r>
      <w:r w:rsidRPr="005E28C5">
        <w:rPr>
          <w:sz w:val="22"/>
          <w:szCs w:val="22"/>
        </w:rPr>
        <w:t>hodnota karotickej IMT 0,69 mm).</w:t>
      </w: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Ezetimib 10 mg v kombinácii so simvastatínom 80 mg znížil LDL-C, celkový-C, Apo B a TG signifikantne viac ako simvastatín 80 mg. Percentuálne zvýšenie HDL-C bolo podobné pre obe liečebné skupiny. Nežiaduce reakcie hlásené pre ezetimib 10 mg v kombinácii so simvastatínom 80 mg boli zhodné s jeho známym bezpečnostným profilom.</w:t>
      </w:r>
    </w:p>
    <w:p w:rsidR="00D45BE8" w:rsidRPr="005E28C5" w:rsidRDefault="00D45BE8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D817F7" w:rsidRPr="005E28C5" w:rsidRDefault="00D817F7" w:rsidP="00D817F7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Pediatrická populácia</w:t>
      </w:r>
    </w:p>
    <w:p w:rsidR="00F24D2D" w:rsidRPr="005E28C5" w:rsidRDefault="00F24D2D" w:rsidP="00D817F7">
      <w:pPr>
        <w:adjustRightInd w:val="0"/>
        <w:snapToGrid w:val="0"/>
        <w:spacing w:after="0"/>
        <w:rPr>
          <w:sz w:val="22"/>
          <w:szCs w:val="22"/>
          <w:u w:val="single"/>
        </w:rPr>
      </w:pPr>
    </w:p>
    <w:p w:rsidR="00EA4069" w:rsidRPr="005E28C5" w:rsidRDefault="00FB5E37" w:rsidP="00F30C0D">
      <w:pPr>
        <w:adjustRightInd w:val="0"/>
        <w:snapToGrid w:val="0"/>
        <w:spacing w:after="0"/>
        <w:rPr>
          <w:sz w:val="22"/>
          <w:szCs w:val="22"/>
        </w:rPr>
      </w:pPr>
      <w:bookmarkStart w:id="3" w:name="OLE_LINK13"/>
      <w:bookmarkStart w:id="4" w:name="OLE_LINK14"/>
      <w:r w:rsidRPr="005E28C5">
        <w:rPr>
          <w:sz w:val="22"/>
          <w:szCs w:val="22"/>
        </w:rPr>
        <w:t>V multicentrickej, dvojito zaslepenej, kontrolovanej štúdii bolo 138 pacientov (59 chlapcov a 79 dievčat) vo veku 6 až 10 rokov (priemerný vek 8,3 rokov) s heterozygotnou familiárnou alebo n</w:t>
      </w:r>
      <w:r w:rsidR="00B1099D" w:rsidRPr="005E28C5">
        <w:rPr>
          <w:sz w:val="22"/>
          <w:szCs w:val="22"/>
        </w:rPr>
        <w:t>on-</w:t>
      </w:r>
      <w:r w:rsidRPr="005E28C5">
        <w:rPr>
          <w:sz w:val="22"/>
          <w:szCs w:val="22"/>
        </w:rPr>
        <w:t xml:space="preserve">familiárnou hypercholesterolémiou (HeFH) s východiskovými hladinami LDL-C medzi 3,74 a 9,92 mmol/l randomizovaných buď na </w:t>
      </w:r>
      <w:r w:rsidR="00D817F7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10</w:t>
      </w:r>
      <w:r w:rsidR="00154C74" w:rsidRPr="005E28C5">
        <w:rPr>
          <w:sz w:val="22"/>
          <w:szCs w:val="22"/>
        </w:rPr>
        <w:t> </w:t>
      </w:r>
      <w:r w:rsidR="0026786E">
        <w:rPr>
          <w:sz w:val="22"/>
          <w:szCs w:val="22"/>
        </w:rPr>
        <w:t xml:space="preserve">mg alebo na placebo počas 12 </w:t>
      </w:r>
      <w:r w:rsidRPr="005E28C5">
        <w:rPr>
          <w:sz w:val="22"/>
          <w:szCs w:val="22"/>
        </w:rPr>
        <w:t>týždňov.</w:t>
      </w:r>
    </w:p>
    <w:p w:rsidR="00EA4069" w:rsidRPr="005E28C5" w:rsidRDefault="00EA4069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24639D" w:rsidRPr="005E28C5" w:rsidRDefault="0024639D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V 12. týždni </w:t>
      </w:r>
      <w:r w:rsidR="00D817F7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v porovnaní s placebom signifikantne znížil celkový-C (-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21 % oproti 0 %), LDL-C (-28 % oproti -</w:t>
      </w:r>
      <w:r w:rsidR="00334A58">
        <w:rPr>
          <w:sz w:val="22"/>
          <w:szCs w:val="22"/>
        </w:rPr>
        <w:t xml:space="preserve"> </w:t>
      </w:r>
      <w:r w:rsidR="001F10C4">
        <w:rPr>
          <w:sz w:val="22"/>
          <w:szCs w:val="22"/>
        </w:rPr>
        <w:t>1 %), Apo B (-</w:t>
      </w:r>
      <w:r w:rsidR="00334A58">
        <w:rPr>
          <w:sz w:val="22"/>
          <w:szCs w:val="22"/>
        </w:rPr>
        <w:t xml:space="preserve"> </w:t>
      </w:r>
      <w:r w:rsidR="001F10C4">
        <w:rPr>
          <w:sz w:val="22"/>
          <w:szCs w:val="22"/>
        </w:rPr>
        <w:t>22 % oproti -</w:t>
      </w:r>
      <w:r w:rsidR="00334A58">
        <w:rPr>
          <w:sz w:val="22"/>
          <w:szCs w:val="22"/>
        </w:rPr>
        <w:t xml:space="preserve"> </w:t>
      </w:r>
      <w:r w:rsidR="001F10C4">
        <w:rPr>
          <w:sz w:val="22"/>
          <w:szCs w:val="22"/>
        </w:rPr>
        <w:t>1 %)</w:t>
      </w:r>
      <w:r w:rsidRPr="005E28C5">
        <w:rPr>
          <w:sz w:val="22"/>
          <w:szCs w:val="22"/>
        </w:rPr>
        <w:t xml:space="preserve"> a non-HDL-C (-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26 % oproti 0 %). Výsledky pri týchto dvoch liečebných skupinách boli podobné pre TG</w:t>
      </w:r>
      <w:r w:rsidR="00567F4D" w:rsidRPr="005E28C5">
        <w:rPr>
          <w:sz w:val="22"/>
          <w:szCs w:val="22"/>
        </w:rPr>
        <w:t xml:space="preserve"> a HDL-C</w:t>
      </w:r>
      <w:r w:rsidRPr="005E28C5">
        <w:rPr>
          <w:sz w:val="22"/>
          <w:szCs w:val="22"/>
        </w:rPr>
        <w:t xml:space="preserve"> (</w:t>
      </w:r>
      <w:r w:rsidRPr="005E28C5">
        <w:rPr>
          <w:sz w:val="22"/>
          <w:szCs w:val="22"/>
        </w:rPr>
        <w:noBreakHyphen/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6 % oproti +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8 % a +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2 % oproti +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1 %</w:t>
      </w:r>
      <w:r w:rsidR="00D817F7" w:rsidRPr="005E28C5">
        <w:rPr>
          <w:sz w:val="22"/>
          <w:szCs w:val="22"/>
        </w:rPr>
        <w:t xml:space="preserve"> v tomto poradí</w:t>
      </w:r>
      <w:r w:rsidRPr="005E28C5">
        <w:rPr>
          <w:sz w:val="22"/>
          <w:szCs w:val="22"/>
        </w:rPr>
        <w:t>).</w:t>
      </w:r>
    </w:p>
    <w:p w:rsidR="0024639D" w:rsidRPr="005E28C5" w:rsidRDefault="0024639D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24D2D" w:rsidRPr="00CC5179" w:rsidRDefault="00F24D2D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multicentrickej, dvojito zaslepenej, kontrolovanej štúdii bolo 142 chlapcov (Tannerovo štádium II a</w:t>
      </w:r>
      <w:r w:rsidR="00537D50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vy</w:t>
      </w:r>
      <w:r w:rsidR="001F10C4">
        <w:rPr>
          <w:sz w:val="22"/>
          <w:szCs w:val="22"/>
        </w:rPr>
        <w:t>ššie) a 106 dievčat po menarché</w:t>
      </w:r>
      <w:r w:rsidRPr="005E28C5">
        <w:rPr>
          <w:sz w:val="22"/>
          <w:szCs w:val="22"/>
        </w:rPr>
        <w:t xml:space="preserve"> vo veku 10 až 17 rokov (priemerný vek 14,2 rokov) s heterozygotnou familiárnou hypercholesterolémiou (HeFH) s východiskovými hladinami LDL-C medzi 4,1 a 10,4 mmol/l randomizovaných buď na </w:t>
      </w:r>
      <w:r w:rsidR="004748A0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10 mg podávaný spolu so simvastatínom (10, 20 alebo 40 mg) alebo na samotný simvastatín (10, 20 alebo 40 mg) počas 6 týždňov,</w:t>
      </w:r>
      <w:r w:rsidR="002C5574" w:rsidRPr="005E28C5">
        <w:rPr>
          <w:sz w:val="22"/>
          <w:szCs w:val="22"/>
        </w:rPr>
        <w:t xml:space="preserve"> ďalej </w:t>
      </w:r>
      <w:r w:rsidR="00065F6E" w:rsidRPr="005E28C5">
        <w:rPr>
          <w:sz w:val="22"/>
          <w:szCs w:val="22"/>
        </w:rPr>
        <w:t xml:space="preserve">na </w:t>
      </w:r>
      <w:r w:rsidR="004748A0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podávaný spolu so simvastatínom 40 mg alebo </w:t>
      </w:r>
      <w:r w:rsidR="00065F6E" w:rsidRPr="005E28C5">
        <w:rPr>
          <w:sz w:val="22"/>
          <w:szCs w:val="22"/>
        </w:rPr>
        <w:t xml:space="preserve">na </w:t>
      </w:r>
      <w:r w:rsidRPr="005E28C5">
        <w:rPr>
          <w:sz w:val="22"/>
          <w:szCs w:val="22"/>
        </w:rPr>
        <w:t>samotný simvastatín 40 mg počas ďalších 27 týždňov</w:t>
      </w:r>
      <w:r w:rsidR="002C5574" w:rsidRPr="005E28C5">
        <w:rPr>
          <w:sz w:val="22"/>
          <w:szCs w:val="22"/>
        </w:rPr>
        <w:t xml:space="preserve"> a následne na </w:t>
      </w:r>
      <w:r w:rsidR="00065F6E" w:rsidRPr="000D7562">
        <w:rPr>
          <w:sz w:val="22"/>
          <w:szCs w:val="22"/>
        </w:rPr>
        <w:t>otvorené</w:t>
      </w:r>
      <w:r w:rsidR="002C5574" w:rsidRPr="000D7562">
        <w:rPr>
          <w:sz w:val="22"/>
          <w:szCs w:val="22"/>
        </w:rPr>
        <w:t xml:space="preserve"> súbežné</w:t>
      </w:r>
      <w:r w:rsidR="002C5574" w:rsidRPr="0079716C">
        <w:rPr>
          <w:sz w:val="22"/>
          <w:szCs w:val="22"/>
        </w:rPr>
        <w:t xml:space="preserve"> podávanie </w:t>
      </w:r>
      <w:r w:rsidR="004748A0" w:rsidRPr="0079716C">
        <w:rPr>
          <w:sz w:val="22"/>
          <w:szCs w:val="22"/>
        </w:rPr>
        <w:t>ezetimibu</w:t>
      </w:r>
      <w:r w:rsidR="002C5574" w:rsidRPr="000D7562">
        <w:rPr>
          <w:sz w:val="22"/>
          <w:szCs w:val="22"/>
        </w:rPr>
        <w:t xml:space="preserve"> a simvastatínu (10, 20 alebo 40 mg) počas ďalších 20 týždňov.</w:t>
      </w:r>
    </w:p>
    <w:bookmarkEnd w:id="3"/>
    <w:bookmarkEnd w:id="4"/>
    <w:p w:rsidR="002C5574" w:rsidRPr="005E28C5" w:rsidRDefault="002C5574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2C5574" w:rsidRPr="005E28C5" w:rsidRDefault="002C5574" w:rsidP="00232227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V 6. týždni </w:t>
      </w:r>
      <w:r w:rsidR="004748A0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podávaný spolu so simvastatínom (všetky dávky) v porovnaní so </w:t>
      </w:r>
      <w:r w:rsidR="00537D50" w:rsidRPr="005E28C5">
        <w:rPr>
          <w:sz w:val="22"/>
          <w:szCs w:val="22"/>
        </w:rPr>
        <w:t>samotným</w:t>
      </w:r>
      <w:r w:rsidRPr="005E28C5">
        <w:rPr>
          <w:sz w:val="22"/>
          <w:szCs w:val="22"/>
        </w:rPr>
        <w:t xml:space="preserve"> simvastatínom (všetky dávky) signifikantne znížil celkový-C (38 % oproti 26 %), LDL-C (49 % oproti 34 %), Apo B (39 % oproti 27 %) a non-HDL-C (47 % oproti 33 %). Výsledky týchto </w:t>
      </w:r>
      <w:r w:rsidR="0018748B">
        <w:rPr>
          <w:sz w:val="22"/>
          <w:szCs w:val="22"/>
        </w:rPr>
        <w:t xml:space="preserve">dvoch </w:t>
      </w:r>
      <w:r w:rsidRPr="005E28C5">
        <w:rPr>
          <w:sz w:val="22"/>
          <w:szCs w:val="22"/>
        </w:rPr>
        <w:t>liečebných skupín boli podobné pre TG (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noBreakHyphen/>
        <w:t xml:space="preserve">17 % oproti </w:t>
      </w:r>
      <w:r w:rsidRPr="005E28C5">
        <w:rPr>
          <w:sz w:val="22"/>
          <w:szCs w:val="22"/>
        </w:rPr>
        <w:noBreakHyphen/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12 %) a HDL-C (+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7 % oproti +</w:t>
      </w:r>
      <w:r w:rsidR="00334A58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 xml:space="preserve">6 %). </w:t>
      </w:r>
      <w:r w:rsidR="00232227" w:rsidRPr="005E28C5">
        <w:rPr>
          <w:sz w:val="22"/>
          <w:szCs w:val="22"/>
        </w:rPr>
        <w:t xml:space="preserve">V 33. týždni boli výsledky konzistentné s výsledkami zo 6. týždňa a signifikantne viac pacientov užívajúcich </w:t>
      </w:r>
      <w:r w:rsidR="004748A0" w:rsidRPr="005E28C5">
        <w:rPr>
          <w:sz w:val="22"/>
          <w:szCs w:val="22"/>
        </w:rPr>
        <w:t>ezetimib</w:t>
      </w:r>
      <w:r w:rsidR="00232227" w:rsidRPr="005E28C5">
        <w:rPr>
          <w:sz w:val="22"/>
          <w:szCs w:val="22"/>
        </w:rPr>
        <w:t xml:space="preserve"> a simvastatín 40 mg (62 %) dosiahlo ideálny cieľ podľa NCEP APP (&lt;</w:t>
      </w:r>
      <w:r w:rsidR="00334A58">
        <w:rPr>
          <w:sz w:val="22"/>
          <w:szCs w:val="22"/>
        </w:rPr>
        <w:t xml:space="preserve"> </w:t>
      </w:r>
      <w:r w:rsidR="00232227" w:rsidRPr="005E28C5">
        <w:rPr>
          <w:sz w:val="22"/>
          <w:szCs w:val="22"/>
        </w:rPr>
        <w:t>2,8 mmol/l [110 mg/dl]) pre LDL-C v porovnaní s </w:t>
      </w:r>
      <w:r w:rsidR="00537D50" w:rsidRPr="005E28C5">
        <w:rPr>
          <w:sz w:val="22"/>
          <w:szCs w:val="22"/>
        </w:rPr>
        <w:t>pacientmi</w:t>
      </w:r>
      <w:r w:rsidR="00232227" w:rsidRPr="005E28C5">
        <w:rPr>
          <w:sz w:val="22"/>
          <w:szCs w:val="22"/>
        </w:rPr>
        <w:t xml:space="preserve"> užívajúcimi samotný simvastatín 40 mg (25 %). V 53. týždni na konci </w:t>
      </w:r>
      <w:r w:rsidR="00065F6E" w:rsidRPr="005E28C5">
        <w:rPr>
          <w:sz w:val="22"/>
          <w:szCs w:val="22"/>
        </w:rPr>
        <w:t>otvoreného</w:t>
      </w:r>
      <w:r w:rsidR="00232227" w:rsidRPr="005E28C5">
        <w:rPr>
          <w:sz w:val="22"/>
          <w:szCs w:val="22"/>
        </w:rPr>
        <w:t xml:space="preserve"> predĺženia boli účinky na lipidové parametre zachované.</w:t>
      </w:r>
    </w:p>
    <w:p w:rsidR="00232227" w:rsidRPr="005E28C5" w:rsidRDefault="00232227" w:rsidP="00232227">
      <w:pPr>
        <w:adjustRightInd w:val="0"/>
        <w:snapToGrid w:val="0"/>
        <w:spacing w:after="0"/>
        <w:rPr>
          <w:sz w:val="22"/>
          <w:szCs w:val="22"/>
        </w:rPr>
      </w:pPr>
    </w:p>
    <w:p w:rsidR="004748A0" w:rsidRPr="005E28C5" w:rsidRDefault="00232227" w:rsidP="004748A0">
      <w:pPr>
        <w:rPr>
          <w:sz w:val="22"/>
          <w:szCs w:val="22"/>
        </w:rPr>
      </w:pPr>
      <w:r w:rsidRPr="005E28C5">
        <w:rPr>
          <w:sz w:val="22"/>
          <w:szCs w:val="22"/>
        </w:rPr>
        <w:t xml:space="preserve">Bezpečnosť a účinnosť </w:t>
      </w:r>
      <w:r w:rsidR="004748A0" w:rsidRPr="005E28C5">
        <w:rPr>
          <w:sz w:val="22"/>
          <w:szCs w:val="22"/>
        </w:rPr>
        <w:t>ezetimibu</w:t>
      </w:r>
      <w:r w:rsidRPr="005E28C5">
        <w:rPr>
          <w:sz w:val="22"/>
          <w:szCs w:val="22"/>
        </w:rPr>
        <w:t xml:space="preserve"> podávaného spolu s dávkami simvastatínu nad 40 mg denne sa u pediatrických pacientov vo veku 10 až 17 rokov neštudovali. </w:t>
      </w:r>
      <w:r w:rsidR="0024639D" w:rsidRPr="005E28C5">
        <w:rPr>
          <w:sz w:val="22"/>
          <w:szCs w:val="22"/>
        </w:rPr>
        <w:t xml:space="preserve">Bezpečnosť a účinnosť </w:t>
      </w:r>
      <w:r w:rsidR="004748A0" w:rsidRPr="005E28C5">
        <w:rPr>
          <w:sz w:val="22"/>
          <w:szCs w:val="22"/>
        </w:rPr>
        <w:t>ezetimibu</w:t>
      </w:r>
      <w:r w:rsidR="0024639D" w:rsidRPr="005E28C5">
        <w:rPr>
          <w:sz w:val="22"/>
          <w:szCs w:val="22"/>
        </w:rPr>
        <w:t xml:space="preserve"> </w:t>
      </w:r>
      <w:r w:rsidR="00B1099D" w:rsidRPr="005E28C5">
        <w:rPr>
          <w:sz w:val="22"/>
          <w:szCs w:val="22"/>
        </w:rPr>
        <w:t>podávaného spolu</w:t>
      </w:r>
      <w:r w:rsidR="0024639D" w:rsidRPr="005E28C5">
        <w:rPr>
          <w:sz w:val="22"/>
          <w:szCs w:val="22"/>
        </w:rPr>
        <w:t xml:space="preserve"> so simvastatínom sa u pediatrických pacientov vo veku </w:t>
      </w:r>
      <w:r w:rsidR="0024639D" w:rsidRPr="005E28C5">
        <w:rPr>
          <w:rFonts w:cs="TimesNewRomanPSMT"/>
          <w:sz w:val="22"/>
          <w:szCs w:val="22"/>
          <w:lang w:eastAsia="fr-FR" w:bidi="gu-IN"/>
        </w:rPr>
        <w:t>&lt; 10 rokov ne</w:t>
      </w:r>
      <w:r w:rsidR="00B1099D" w:rsidRPr="005E28C5">
        <w:rPr>
          <w:rFonts w:cs="TimesNewRomanPSMT"/>
          <w:sz w:val="22"/>
          <w:szCs w:val="22"/>
          <w:lang w:eastAsia="fr-FR" w:bidi="gu-IN"/>
        </w:rPr>
        <w:t>št</w:t>
      </w:r>
      <w:r w:rsidR="00BF3FFE" w:rsidRPr="005E28C5">
        <w:rPr>
          <w:rFonts w:cs="TimesNewRomanPSMT"/>
          <w:sz w:val="22"/>
          <w:szCs w:val="22"/>
          <w:lang w:eastAsia="fr-FR" w:bidi="gu-IN"/>
        </w:rPr>
        <w:t>u</w:t>
      </w:r>
      <w:r w:rsidR="00B1099D" w:rsidRPr="005E28C5">
        <w:rPr>
          <w:rFonts w:cs="TimesNewRomanPSMT"/>
          <w:sz w:val="22"/>
          <w:szCs w:val="22"/>
          <w:lang w:eastAsia="fr-FR" w:bidi="gu-IN"/>
        </w:rPr>
        <w:t>dovali</w:t>
      </w:r>
      <w:r w:rsidR="0024639D" w:rsidRPr="005E28C5">
        <w:rPr>
          <w:rFonts w:cs="TimesNewRomanPSMT"/>
          <w:sz w:val="22"/>
          <w:szCs w:val="22"/>
          <w:lang w:eastAsia="fr-FR" w:bidi="gu-IN"/>
        </w:rPr>
        <w:t xml:space="preserve">. </w:t>
      </w:r>
      <w:r w:rsidRPr="005E28C5">
        <w:rPr>
          <w:sz w:val="22"/>
          <w:szCs w:val="22"/>
        </w:rPr>
        <w:t xml:space="preserve">Dlhodobá účinnosť terapie </w:t>
      </w:r>
      <w:r w:rsidR="004748A0" w:rsidRPr="005E28C5">
        <w:rPr>
          <w:sz w:val="22"/>
          <w:szCs w:val="22"/>
        </w:rPr>
        <w:t>ezetimibom</w:t>
      </w:r>
      <w:r w:rsidRPr="005E28C5">
        <w:rPr>
          <w:sz w:val="22"/>
          <w:szCs w:val="22"/>
        </w:rPr>
        <w:t xml:space="preserve"> u pacientov mladších ako 17 rokov na zníženie morbidity a mortality v dospelosti sa neštudovala.</w:t>
      </w:r>
    </w:p>
    <w:p w:rsidR="004748A0" w:rsidRPr="005E28C5" w:rsidRDefault="004748A0" w:rsidP="004748A0">
      <w:pPr>
        <w:rPr>
          <w:sz w:val="22"/>
          <w:szCs w:val="22"/>
        </w:rPr>
      </w:pPr>
    </w:p>
    <w:p w:rsidR="00F7686C" w:rsidRPr="005E28C5" w:rsidRDefault="00F7686C" w:rsidP="004748A0">
      <w:pPr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lastRenderedPageBreak/>
        <w:t>Homozygotná familiárna hypercholesterolémia (HoFH)</w:t>
      </w:r>
    </w:p>
    <w:p w:rsidR="004748A0" w:rsidRDefault="00F7686C" w:rsidP="004748A0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Dvojito </w:t>
      </w:r>
      <w:r w:rsidR="006E104B" w:rsidRPr="005E28C5">
        <w:rPr>
          <w:sz w:val="22"/>
          <w:szCs w:val="22"/>
        </w:rPr>
        <w:t>za</w:t>
      </w:r>
      <w:r w:rsidRPr="005E28C5">
        <w:rPr>
          <w:sz w:val="22"/>
          <w:szCs w:val="22"/>
        </w:rPr>
        <w:t>slep</w:t>
      </w:r>
      <w:r w:rsidR="006E104B" w:rsidRPr="005E28C5">
        <w:rPr>
          <w:sz w:val="22"/>
          <w:szCs w:val="22"/>
        </w:rPr>
        <w:t>en</w:t>
      </w:r>
      <w:r w:rsidRPr="005E28C5">
        <w:rPr>
          <w:sz w:val="22"/>
          <w:szCs w:val="22"/>
        </w:rPr>
        <w:t>á, randomizovaná, 12-týždňová štúdia zahŕňala 50 pacien</w:t>
      </w:r>
      <w:r w:rsidR="003474C8" w:rsidRPr="005E28C5">
        <w:rPr>
          <w:sz w:val="22"/>
          <w:szCs w:val="22"/>
        </w:rPr>
        <w:t>tov</w:t>
      </w:r>
      <w:r w:rsidR="0020794C" w:rsidRPr="005E28C5">
        <w:rPr>
          <w:sz w:val="22"/>
          <w:szCs w:val="22"/>
        </w:rPr>
        <w:t xml:space="preserve"> s </w:t>
      </w:r>
      <w:r w:rsidR="003474C8" w:rsidRPr="005E28C5">
        <w:rPr>
          <w:sz w:val="22"/>
          <w:szCs w:val="22"/>
        </w:rPr>
        <w:t>klinickou a/alebo genotypov</w:t>
      </w:r>
      <w:r w:rsidRPr="005E28C5">
        <w:rPr>
          <w:sz w:val="22"/>
          <w:szCs w:val="22"/>
        </w:rPr>
        <w:t>ou diagnózou HoFH, ktorí dostávali atorvastatín alebo simvastatín (40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)</w:t>
      </w:r>
      <w:r w:rsidR="0020794C" w:rsidRPr="005E28C5">
        <w:rPr>
          <w:sz w:val="22"/>
          <w:szCs w:val="22"/>
        </w:rPr>
        <w:t xml:space="preserve"> so </w:t>
      </w:r>
      <w:r w:rsidR="00BC0F62" w:rsidRPr="005E28C5">
        <w:rPr>
          <w:sz w:val="22"/>
          <w:szCs w:val="22"/>
        </w:rPr>
        <w:t>súčasnou</w:t>
      </w:r>
      <w:r w:rsidR="003D01FD" w:rsidRPr="005E28C5">
        <w:rPr>
          <w:sz w:val="22"/>
          <w:szCs w:val="22"/>
        </w:rPr>
        <w:t xml:space="preserve"> LDL aferéz</w:t>
      </w:r>
      <w:r w:rsidR="00BC0F62" w:rsidRPr="005E28C5">
        <w:rPr>
          <w:sz w:val="22"/>
          <w:szCs w:val="22"/>
        </w:rPr>
        <w:t>ou alebo bez nej</w:t>
      </w:r>
      <w:r w:rsidRPr="005E28C5">
        <w:rPr>
          <w:sz w:val="22"/>
          <w:szCs w:val="22"/>
        </w:rPr>
        <w:t xml:space="preserve">. </w:t>
      </w:r>
      <w:r w:rsidR="008443E1" w:rsidRPr="005E28C5">
        <w:rPr>
          <w:sz w:val="22"/>
          <w:szCs w:val="22"/>
        </w:rPr>
        <w:t>E</w:t>
      </w:r>
      <w:r w:rsidR="004748A0" w:rsidRPr="005E28C5">
        <w:rPr>
          <w:sz w:val="22"/>
          <w:szCs w:val="22"/>
        </w:rPr>
        <w:t>zetimib</w:t>
      </w:r>
      <w:r w:rsidR="00541885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podávaný sú</w:t>
      </w:r>
      <w:r w:rsidR="004748A0" w:rsidRPr="005E28C5">
        <w:rPr>
          <w:sz w:val="22"/>
          <w:szCs w:val="22"/>
        </w:rPr>
        <w:t>bežne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atorvastatínom (40 alebo 80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) alebo simvastatínom (40 alebo 80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) signifikantne znížil LDL-C</w:t>
      </w:r>
      <w:r w:rsidR="0020794C" w:rsidRPr="005E28C5">
        <w:rPr>
          <w:sz w:val="22"/>
          <w:szCs w:val="22"/>
        </w:rPr>
        <w:t xml:space="preserve"> o </w:t>
      </w:r>
      <w:r w:rsidRPr="005E28C5">
        <w:rPr>
          <w:sz w:val="22"/>
          <w:szCs w:val="22"/>
        </w:rPr>
        <w:t>15</w:t>
      </w:r>
      <w:r w:rsidR="0020794C" w:rsidRPr="005E28C5">
        <w:rPr>
          <w:sz w:val="22"/>
          <w:szCs w:val="22"/>
        </w:rPr>
        <w:t> % v </w:t>
      </w:r>
      <w:r w:rsidRPr="005E28C5">
        <w:rPr>
          <w:sz w:val="22"/>
          <w:szCs w:val="22"/>
        </w:rPr>
        <w:t>porovnaní</w:t>
      </w:r>
      <w:r w:rsidR="0020794C" w:rsidRPr="005E28C5">
        <w:rPr>
          <w:sz w:val="22"/>
          <w:szCs w:val="22"/>
        </w:rPr>
        <w:t xml:space="preserve"> so </w:t>
      </w:r>
      <w:r w:rsidR="00A65F7A" w:rsidRPr="005E28C5">
        <w:rPr>
          <w:sz w:val="22"/>
          <w:szCs w:val="22"/>
        </w:rPr>
        <w:t>zvýšením</w:t>
      </w:r>
      <w:r w:rsidRPr="005E28C5">
        <w:rPr>
          <w:sz w:val="22"/>
          <w:szCs w:val="22"/>
        </w:rPr>
        <w:t xml:space="preserve"> dávky</w:t>
      </w:r>
      <w:r w:rsidR="005C4767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simvastatín</w:t>
      </w:r>
      <w:r w:rsidR="00BC0F62" w:rsidRPr="005E28C5">
        <w:rPr>
          <w:sz w:val="22"/>
          <w:szCs w:val="22"/>
        </w:rPr>
        <w:t>u</w:t>
      </w:r>
      <w:r w:rsidRPr="005E28C5">
        <w:rPr>
          <w:sz w:val="22"/>
          <w:szCs w:val="22"/>
        </w:rPr>
        <w:t xml:space="preserve"> alebo atorvastatín</w:t>
      </w:r>
      <w:r w:rsidR="00BC0F62" w:rsidRPr="005E28C5">
        <w:rPr>
          <w:sz w:val="22"/>
          <w:szCs w:val="22"/>
        </w:rPr>
        <w:t>u</w:t>
      </w:r>
      <w:r w:rsidRPr="005E28C5">
        <w:rPr>
          <w:sz w:val="22"/>
          <w:szCs w:val="22"/>
        </w:rPr>
        <w:t xml:space="preserve"> od 40 do 80</w:t>
      </w:r>
      <w:r w:rsidR="0020794C" w:rsidRPr="005E28C5">
        <w:rPr>
          <w:sz w:val="22"/>
          <w:szCs w:val="22"/>
        </w:rPr>
        <w:t> mg</w:t>
      </w:r>
      <w:r w:rsidR="00BC0F62" w:rsidRPr="005E28C5">
        <w:rPr>
          <w:sz w:val="22"/>
          <w:szCs w:val="22"/>
        </w:rPr>
        <w:t xml:space="preserve"> pri monoterapii</w:t>
      </w:r>
      <w:r w:rsidRPr="005E28C5">
        <w:rPr>
          <w:sz w:val="22"/>
          <w:szCs w:val="22"/>
        </w:rPr>
        <w:t>.</w:t>
      </w:r>
    </w:p>
    <w:p w:rsidR="0044028D" w:rsidRDefault="0044028D" w:rsidP="004748A0">
      <w:pPr>
        <w:adjustRightInd w:val="0"/>
        <w:snapToGrid w:val="0"/>
        <w:spacing w:after="0"/>
        <w:rPr>
          <w:sz w:val="22"/>
          <w:szCs w:val="22"/>
        </w:rPr>
      </w:pPr>
    </w:p>
    <w:p w:rsidR="008B2BC7" w:rsidRPr="005E28C5" w:rsidRDefault="00A8782A" w:rsidP="004748A0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 xml:space="preserve">Prevencia veľkých vaskulárnych </w:t>
      </w:r>
      <w:r w:rsidR="00D36D81" w:rsidRPr="005E28C5">
        <w:rPr>
          <w:sz w:val="22"/>
          <w:szCs w:val="22"/>
          <w:u w:val="single"/>
        </w:rPr>
        <w:t>príhod</w:t>
      </w:r>
      <w:r w:rsidRPr="005E28C5">
        <w:rPr>
          <w:sz w:val="22"/>
          <w:szCs w:val="22"/>
          <w:u w:val="single"/>
        </w:rPr>
        <w:t xml:space="preserve"> pri chronickom ochorení obličiek (</w:t>
      </w:r>
      <w:r w:rsidR="00D36D81" w:rsidRPr="005E28C5">
        <w:rPr>
          <w:sz w:val="22"/>
          <w:szCs w:val="22"/>
          <w:u w:val="single"/>
        </w:rPr>
        <w:t xml:space="preserve">Chronic Kidney Disease, </w:t>
      </w:r>
      <w:r w:rsidRPr="005E28C5">
        <w:rPr>
          <w:sz w:val="22"/>
          <w:szCs w:val="22"/>
          <w:u w:val="single"/>
        </w:rPr>
        <w:t>C</w:t>
      </w:r>
      <w:r w:rsidR="00D36D81" w:rsidRPr="005E28C5">
        <w:rPr>
          <w:sz w:val="22"/>
          <w:szCs w:val="22"/>
          <w:u w:val="single"/>
        </w:rPr>
        <w:t>KD</w:t>
      </w:r>
      <w:r w:rsidRPr="005E28C5">
        <w:rPr>
          <w:sz w:val="22"/>
          <w:szCs w:val="22"/>
          <w:u w:val="single"/>
        </w:rPr>
        <w:t>)</w:t>
      </w:r>
    </w:p>
    <w:p w:rsidR="00A8782A" w:rsidRPr="005E28C5" w:rsidRDefault="00A8782A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Štúdia ochrany srdca a obličiek (</w:t>
      </w:r>
      <w:r w:rsidRPr="005E28C5">
        <w:rPr>
          <w:i/>
          <w:sz w:val="22"/>
          <w:szCs w:val="22"/>
        </w:rPr>
        <w:t>Study of Heart and Renal Protection</w:t>
      </w:r>
      <w:r w:rsidRPr="005E28C5">
        <w:rPr>
          <w:sz w:val="22"/>
          <w:szCs w:val="22"/>
        </w:rPr>
        <w:t>, SHARP) bola multinárodn</w:t>
      </w:r>
      <w:r w:rsidR="00BC616E" w:rsidRPr="005E28C5">
        <w:rPr>
          <w:sz w:val="22"/>
          <w:szCs w:val="22"/>
        </w:rPr>
        <w:t>á</w:t>
      </w:r>
      <w:r w:rsidRPr="005E28C5">
        <w:rPr>
          <w:sz w:val="22"/>
          <w:szCs w:val="22"/>
        </w:rPr>
        <w:t xml:space="preserve"> randomizovan</w:t>
      </w:r>
      <w:r w:rsidR="00BC616E" w:rsidRPr="005E28C5">
        <w:rPr>
          <w:sz w:val="22"/>
          <w:szCs w:val="22"/>
        </w:rPr>
        <w:t>á</w:t>
      </w:r>
      <w:r w:rsidRPr="005E28C5">
        <w:rPr>
          <w:sz w:val="22"/>
          <w:szCs w:val="22"/>
        </w:rPr>
        <w:t>, placebom kontrolovan</w:t>
      </w:r>
      <w:r w:rsidR="00BC616E" w:rsidRPr="005E28C5">
        <w:rPr>
          <w:sz w:val="22"/>
          <w:szCs w:val="22"/>
        </w:rPr>
        <w:t>á</w:t>
      </w:r>
      <w:r w:rsidR="00D64C75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dvojito zaslepen</w:t>
      </w:r>
      <w:r w:rsidR="00BC616E" w:rsidRPr="005E28C5">
        <w:rPr>
          <w:sz w:val="22"/>
          <w:szCs w:val="22"/>
        </w:rPr>
        <w:t>á</w:t>
      </w:r>
      <w:r w:rsidRPr="005E28C5">
        <w:rPr>
          <w:sz w:val="22"/>
          <w:szCs w:val="22"/>
        </w:rPr>
        <w:t xml:space="preserve"> štúdi</w:t>
      </w:r>
      <w:r w:rsidR="00BC616E" w:rsidRPr="005E28C5">
        <w:rPr>
          <w:sz w:val="22"/>
          <w:szCs w:val="22"/>
        </w:rPr>
        <w:t>a</w:t>
      </w:r>
      <w:r w:rsidR="007949F0" w:rsidRPr="005E28C5">
        <w:rPr>
          <w:sz w:val="22"/>
          <w:szCs w:val="22"/>
        </w:rPr>
        <w:t xml:space="preserve">, ktorá sa vykonala u 9 438 pacientov s chronickým ochorením obličiek, z ktorých tretina </w:t>
      </w:r>
      <w:r w:rsidR="00D64C75" w:rsidRPr="005E28C5">
        <w:rPr>
          <w:sz w:val="22"/>
          <w:szCs w:val="22"/>
        </w:rPr>
        <w:t>bola na začiatku štúdie</w:t>
      </w:r>
      <w:r w:rsidR="00D64C75" w:rsidRPr="005E28C5" w:rsidDel="00424701">
        <w:rPr>
          <w:sz w:val="22"/>
          <w:szCs w:val="22"/>
        </w:rPr>
        <w:t xml:space="preserve"> </w:t>
      </w:r>
      <w:r w:rsidR="00D64C75" w:rsidRPr="005E28C5">
        <w:rPr>
          <w:sz w:val="22"/>
          <w:szCs w:val="22"/>
        </w:rPr>
        <w:t xml:space="preserve">na </w:t>
      </w:r>
      <w:r w:rsidR="007949F0" w:rsidRPr="005E28C5">
        <w:rPr>
          <w:sz w:val="22"/>
          <w:szCs w:val="22"/>
        </w:rPr>
        <w:t>hemodial</w:t>
      </w:r>
      <w:r w:rsidR="00D64C75" w:rsidRPr="005E28C5">
        <w:rPr>
          <w:sz w:val="22"/>
          <w:szCs w:val="22"/>
        </w:rPr>
        <w:t>ýze</w:t>
      </w:r>
      <w:r w:rsidR="007949F0" w:rsidRPr="005E28C5">
        <w:rPr>
          <w:sz w:val="22"/>
          <w:szCs w:val="22"/>
        </w:rPr>
        <w:t xml:space="preserve">. Celkovo </w:t>
      </w:r>
      <w:r w:rsidR="00D64C75" w:rsidRPr="005E28C5">
        <w:rPr>
          <w:sz w:val="22"/>
          <w:szCs w:val="22"/>
        </w:rPr>
        <w:t xml:space="preserve">bolo </w:t>
      </w:r>
      <w:r w:rsidR="007949F0" w:rsidRPr="005E28C5">
        <w:rPr>
          <w:sz w:val="22"/>
          <w:szCs w:val="22"/>
        </w:rPr>
        <w:t xml:space="preserve">4 650 pacientov zaradených na </w:t>
      </w:r>
      <w:r w:rsidR="00D64C75" w:rsidRPr="005E28C5">
        <w:rPr>
          <w:sz w:val="22"/>
          <w:szCs w:val="22"/>
        </w:rPr>
        <w:t xml:space="preserve">kombináciu </w:t>
      </w:r>
      <w:r w:rsidR="007949F0" w:rsidRPr="005E28C5">
        <w:rPr>
          <w:sz w:val="22"/>
          <w:szCs w:val="22"/>
        </w:rPr>
        <w:t>fix</w:t>
      </w:r>
      <w:r w:rsidR="00D36D81" w:rsidRPr="005E28C5">
        <w:rPr>
          <w:sz w:val="22"/>
          <w:szCs w:val="22"/>
        </w:rPr>
        <w:t>n</w:t>
      </w:r>
      <w:r w:rsidR="00D64C75" w:rsidRPr="005E28C5">
        <w:rPr>
          <w:sz w:val="22"/>
          <w:szCs w:val="22"/>
        </w:rPr>
        <w:t>ých</w:t>
      </w:r>
      <w:r w:rsidR="00D36D81" w:rsidRPr="005E28C5">
        <w:rPr>
          <w:sz w:val="22"/>
          <w:szCs w:val="22"/>
        </w:rPr>
        <w:t xml:space="preserve"> dáv</w:t>
      </w:r>
      <w:r w:rsidR="00D64C75" w:rsidRPr="005E28C5">
        <w:rPr>
          <w:sz w:val="22"/>
          <w:szCs w:val="22"/>
        </w:rPr>
        <w:t>o</w:t>
      </w:r>
      <w:r w:rsidR="00D36D81" w:rsidRPr="005E28C5">
        <w:rPr>
          <w:sz w:val="22"/>
          <w:szCs w:val="22"/>
        </w:rPr>
        <w:t xml:space="preserve">k </w:t>
      </w:r>
      <w:r w:rsidR="004748A0" w:rsidRPr="005E28C5">
        <w:rPr>
          <w:sz w:val="22"/>
          <w:szCs w:val="22"/>
        </w:rPr>
        <w:t>ezetimibu</w:t>
      </w:r>
      <w:r w:rsidR="00D36D81" w:rsidRPr="005E28C5">
        <w:rPr>
          <w:sz w:val="22"/>
          <w:szCs w:val="22"/>
        </w:rPr>
        <w:t xml:space="preserve"> 10 </w:t>
      </w:r>
      <w:r w:rsidR="004748A0" w:rsidRPr="005E28C5">
        <w:rPr>
          <w:sz w:val="22"/>
          <w:szCs w:val="22"/>
        </w:rPr>
        <w:t>mg a</w:t>
      </w:r>
      <w:r w:rsidR="00424701" w:rsidRPr="005E28C5">
        <w:rPr>
          <w:sz w:val="22"/>
          <w:szCs w:val="22"/>
        </w:rPr>
        <w:t> </w:t>
      </w:r>
      <w:r w:rsidR="007949F0" w:rsidRPr="005E28C5">
        <w:rPr>
          <w:sz w:val="22"/>
          <w:szCs w:val="22"/>
        </w:rPr>
        <w:t>20</w:t>
      </w:r>
      <w:r w:rsidR="00424701" w:rsidRPr="005E28C5">
        <w:rPr>
          <w:sz w:val="22"/>
          <w:szCs w:val="22"/>
        </w:rPr>
        <w:t> </w:t>
      </w:r>
      <w:r w:rsidR="007949F0" w:rsidRPr="005E28C5">
        <w:rPr>
          <w:sz w:val="22"/>
          <w:szCs w:val="22"/>
        </w:rPr>
        <w:t>mg simvastatínu a 4 620 na placebo a pacienti boli sledovaní počas mediánu 4,9 rokov. Priemerný vek pacientov bol 62 r</w:t>
      </w:r>
      <w:r w:rsidR="00D36D81" w:rsidRPr="005E28C5">
        <w:rPr>
          <w:sz w:val="22"/>
          <w:szCs w:val="22"/>
        </w:rPr>
        <w:t>okov a 63 % boli muži, 72 % boli</w:t>
      </w:r>
      <w:r w:rsidR="007949F0" w:rsidRPr="005E28C5">
        <w:rPr>
          <w:sz w:val="22"/>
          <w:szCs w:val="22"/>
        </w:rPr>
        <w:t xml:space="preserve"> </w:t>
      </w:r>
      <w:r w:rsidR="00D36D81" w:rsidRPr="005E28C5">
        <w:rPr>
          <w:sz w:val="22"/>
          <w:szCs w:val="22"/>
        </w:rPr>
        <w:t>pacienti kaukazskej rasy, 23 % boli</w:t>
      </w:r>
      <w:r w:rsidR="007949F0" w:rsidRPr="005E28C5">
        <w:rPr>
          <w:sz w:val="22"/>
          <w:szCs w:val="22"/>
        </w:rPr>
        <w:t xml:space="preserve"> diabeti</w:t>
      </w:r>
      <w:r w:rsidR="00D36D81" w:rsidRPr="005E28C5">
        <w:rPr>
          <w:sz w:val="22"/>
          <w:szCs w:val="22"/>
        </w:rPr>
        <w:t>ci</w:t>
      </w:r>
      <w:r w:rsidR="004748A0" w:rsidRPr="005E28C5">
        <w:rPr>
          <w:sz w:val="22"/>
          <w:szCs w:val="22"/>
        </w:rPr>
        <w:t xml:space="preserve"> a u </w:t>
      </w:r>
      <w:r w:rsidR="007949F0" w:rsidRPr="005E28C5">
        <w:rPr>
          <w:sz w:val="22"/>
          <w:szCs w:val="22"/>
        </w:rPr>
        <w:t>nehemodialyzovaných pacientov bola priemerná odhadovaná rýchlosť glomerulárnej filtrácie (eGFR) 26,5</w:t>
      </w:r>
      <w:r w:rsidR="00D64C75" w:rsidRPr="005E28C5">
        <w:rPr>
          <w:sz w:val="22"/>
          <w:szCs w:val="22"/>
        </w:rPr>
        <w:t> </w:t>
      </w:r>
      <w:r w:rsidR="007949F0" w:rsidRPr="005E28C5">
        <w:rPr>
          <w:sz w:val="22"/>
          <w:szCs w:val="22"/>
        </w:rPr>
        <w:t>ml/min/1,73</w:t>
      </w:r>
      <w:r w:rsidR="00D64C75" w:rsidRPr="005E28C5">
        <w:rPr>
          <w:sz w:val="22"/>
          <w:szCs w:val="22"/>
        </w:rPr>
        <w:t> </w:t>
      </w:r>
      <w:r w:rsidR="007949F0" w:rsidRPr="005E28C5">
        <w:rPr>
          <w:sz w:val="22"/>
          <w:szCs w:val="22"/>
        </w:rPr>
        <w:t>m</w:t>
      </w:r>
      <w:r w:rsidR="007949F0" w:rsidRPr="005E28C5">
        <w:rPr>
          <w:sz w:val="22"/>
          <w:szCs w:val="22"/>
          <w:vertAlign w:val="superscript"/>
        </w:rPr>
        <w:t>2</w:t>
      </w:r>
      <w:r w:rsidR="007949F0" w:rsidRPr="005E28C5">
        <w:rPr>
          <w:sz w:val="22"/>
          <w:szCs w:val="22"/>
        </w:rPr>
        <w:t>. Neexistovali žiadne kritéria na zaradenie</w:t>
      </w:r>
      <w:r w:rsidR="00D36D81" w:rsidRPr="005E28C5">
        <w:rPr>
          <w:sz w:val="22"/>
          <w:szCs w:val="22"/>
        </w:rPr>
        <w:t>,</w:t>
      </w:r>
      <w:r w:rsidR="007949F0" w:rsidRPr="005E28C5">
        <w:rPr>
          <w:sz w:val="22"/>
          <w:szCs w:val="22"/>
        </w:rPr>
        <w:t xml:space="preserve"> </w:t>
      </w:r>
      <w:r w:rsidR="00D36D81" w:rsidRPr="005E28C5">
        <w:rPr>
          <w:sz w:val="22"/>
          <w:szCs w:val="22"/>
        </w:rPr>
        <w:t xml:space="preserve">ktoré sa </w:t>
      </w:r>
      <w:r w:rsidR="007949F0" w:rsidRPr="005E28C5">
        <w:rPr>
          <w:sz w:val="22"/>
          <w:szCs w:val="22"/>
        </w:rPr>
        <w:t>týka</w:t>
      </w:r>
      <w:r w:rsidR="00D36D81" w:rsidRPr="005E28C5">
        <w:rPr>
          <w:sz w:val="22"/>
          <w:szCs w:val="22"/>
        </w:rPr>
        <w:t>li</w:t>
      </w:r>
      <w:r w:rsidR="007949F0" w:rsidRPr="005E28C5">
        <w:rPr>
          <w:sz w:val="22"/>
          <w:szCs w:val="22"/>
        </w:rPr>
        <w:t xml:space="preserve"> lipidov. Priemerná východisková hladina LDL-C bola 108</w:t>
      </w:r>
      <w:r w:rsidR="00424701" w:rsidRPr="005E28C5">
        <w:rPr>
          <w:sz w:val="22"/>
          <w:szCs w:val="22"/>
        </w:rPr>
        <w:t> </w:t>
      </w:r>
      <w:r w:rsidR="007949F0" w:rsidRPr="005E28C5">
        <w:rPr>
          <w:sz w:val="22"/>
          <w:szCs w:val="22"/>
        </w:rPr>
        <w:t xml:space="preserve">mg/dl. </w:t>
      </w:r>
      <w:r w:rsidR="005E503E" w:rsidRPr="005E28C5">
        <w:rPr>
          <w:sz w:val="22"/>
          <w:szCs w:val="22"/>
        </w:rPr>
        <w:t>Vrátane pacientov, ktorí už viac neužívali skúšaný liek, došlo po jednom roku k zníženiu hladiny LDL-C samotným simvastatínom 20 mg o 26 % a </w:t>
      </w:r>
      <w:r w:rsidR="004748A0" w:rsidRPr="005E28C5">
        <w:rPr>
          <w:sz w:val="22"/>
          <w:szCs w:val="22"/>
        </w:rPr>
        <w:t>ezetimibom</w:t>
      </w:r>
      <w:r w:rsidR="005E503E" w:rsidRPr="005E28C5">
        <w:rPr>
          <w:sz w:val="22"/>
          <w:szCs w:val="22"/>
        </w:rPr>
        <w:t xml:space="preserve"> 10 mg v kombinácii s 20 mg simvastatínu o 38 % v porovnaní s placebom.</w:t>
      </w:r>
    </w:p>
    <w:p w:rsidR="00A8782A" w:rsidRPr="005E28C5" w:rsidRDefault="00A8782A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9D0BF1" w:rsidRPr="005E28C5" w:rsidRDefault="009D0BF1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Primárnym porovnaním špecifikovaným protokolom štúdie SHARP bola analýza </w:t>
      </w:r>
      <w:r w:rsidR="00D64C75" w:rsidRPr="005E28C5">
        <w:rPr>
          <w:sz w:val="22"/>
          <w:szCs w:val="22"/>
        </w:rPr>
        <w:t xml:space="preserve">podľa </w:t>
      </w:r>
      <w:r w:rsidRPr="005E28C5">
        <w:rPr>
          <w:sz w:val="22"/>
          <w:szCs w:val="22"/>
        </w:rPr>
        <w:t>z</w:t>
      </w:r>
      <w:r w:rsidR="00F6757C" w:rsidRPr="005E28C5">
        <w:rPr>
          <w:sz w:val="22"/>
          <w:szCs w:val="22"/>
        </w:rPr>
        <w:t xml:space="preserve">ámeru liečiť </w:t>
      </w:r>
      <w:r w:rsidR="00D64C75" w:rsidRPr="005E28C5">
        <w:rPr>
          <w:sz w:val="22"/>
          <w:szCs w:val="22"/>
        </w:rPr>
        <w:t>(</w:t>
      </w:r>
      <w:r w:rsidR="00D64C75" w:rsidRPr="005E28C5">
        <w:rPr>
          <w:i/>
          <w:sz w:val="22"/>
          <w:szCs w:val="22"/>
        </w:rPr>
        <w:t>intention to treat</w:t>
      </w:r>
      <w:r w:rsidR="00D64C75" w:rsidRPr="005E28C5">
        <w:rPr>
          <w:sz w:val="22"/>
          <w:szCs w:val="22"/>
        </w:rPr>
        <w:t xml:space="preserve">) </w:t>
      </w:r>
      <w:r w:rsidR="00F6757C" w:rsidRPr="005E28C5">
        <w:rPr>
          <w:sz w:val="22"/>
          <w:szCs w:val="22"/>
        </w:rPr>
        <w:t>„</w:t>
      </w:r>
      <w:r w:rsidR="005E503E" w:rsidRPr="005E28C5">
        <w:rPr>
          <w:sz w:val="22"/>
          <w:szCs w:val="22"/>
        </w:rPr>
        <w:t>veľk</w:t>
      </w:r>
      <w:r w:rsidR="004748A0" w:rsidRPr="005E28C5">
        <w:rPr>
          <w:sz w:val="22"/>
          <w:szCs w:val="22"/>
        </w:rPr>
        <w:t>é</w:t>
      </w:r>
      <w:r w:rsidR="00F6757C" w:rsidRPr="005E28C5">
        <w:rPr>
          <w:sz w:val="22"/>
          <w:szCs w:val="22"/>
        </w:rPr>
        <w:t xml:space="preserve"> vaskulárn</w:t>
      </w:r>
      <w:r w:rsidR="004748A0" w:rsidRPr="005E28C5">
        <w:rPr>
          <w:sz w:val="22"/>
          <w:szCs w:val="22"/>
        </w:rPr>
        <w:t>e</w:t>
      </w:r>
      <w:r w:rsidR="00F6757C" w:rsidRPr="005E28C5">
        <w:rPr>
          <w:sz w:val="22"/>
          <w:szCs w:val="22"/>
        </w:rPr>
        <w:t xml:space="preserve"> </w:t>
      </w:r>
      <w:r w:rsidR="0087767D" w:rsidRPr="005E28C5">
        <w:rPr>
          <w:sz w:val="22"/>
          <w:szCs w:val="22"/>
        </w:rPr>
        <w:t>príhod</w:t>
      </w:r>
      <w:r w:rsidR="004748A0" w:rsidRPr="005E28C5">
        <w:rPr>
          <w:sz w:val="22"/>
          <w:szCs w:val="22"/>
        </w:rPr>
        <w:t>y</w:t>
      </w:r>
      <w:r w:rsidRPr="005E28C5">
        <w:rPr>
          <w:sz w:val="22"/>
          <w:szCs w:val="22"/>
        </w:rPr>
        <w:t>“ (</w:t>
      </w:r>
      <w:r w:rsidR="00F93D5C" w:rsidRPr="005E28C5">
        <w:rPr>
          <w:i/>
          <w:sz w:val="22"/>
          <w:szCs w:val="22"/>
        </w:rPr>
        <w:t>major vascular events</w:t>
      </w:r>
      <w:r w:rsidR="00F93D5C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MVE</w:t>
      </w:r>
      <w:r w:rsidR="0087767D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definované ako </w:t>
      </w:r>
      <w:r w:rsidR="00D64C75" w:rsidRPr="005E28C5">
        <w:rPr>
          <w:sz w:val="22"/>
          <w:szCs w:val="22"/>
        </w:rPr>
        <w:t xml:space="preserve">nefatálny </w:t>
      </w:r>
      <w:r w:rsidRPr="005E28C5">
        <w:rPr>
          <w:sz w:val="22"/>
          <w:szCs w:val="22"/>
        </w:rPr>
        <w:t>IM alebo kardiálne úmrtie, cievna mozgová príhoda alebo ak</w:t>
      </w:r>
      <w:r w:rsidR="00D64C75" w:rsidRPr="005E28C5">
        <w:rPr>
          <w:sz w:val="22"/>
          <w:szCs w:val="22"/>
        </w:rPr>
        <w:t>á</w:t>
      </w:r>
      <w:r w:rsidRPr="005E28C5">
        <w:rPr>
          <w:sz w:val="22"/>
          <w:szCs w:val="22"/>
        </w:rPr>
        <w:t>koľvek revaskulariz</w:t>
      </w:r>
      <w:r w:rsidR="00D64C75" w:rsidRPr="005E28C5">
        <w:rPr>
          <w:sz w:val="22"/>
          <w:szCs w:val="22"/>
        </w:rPr>
        <w:t>ačná procedúra</w:t>
      </w:r>
      <w:r w:rsidRPr="005E28C5">
        <w:rPr>
          <w:sz w:val="22"/>
          <w:szCs w:val="22"/>
        </w:rPr>
        <w:t>) len u tých pacientov, ktorí boli na začiatku randomizovaní do skupiny s</w:t>
      </w:r>
      <w:r w:rsidR="008C1D6F" w:rsidRPr="005E28C5">
        <w:rPr>
          <w:sz w:val="22"/>
          <w:szCs w:val="22"/>
        </w:rPr>
        <w:t> </w:t>
      </w:r>
      <w:r w:rsidR="006B1B01" w:rsidRPr="005E28C5">
        <w:rPr>
          <w:sz w:val="22"/>
          <w:szCs w:val="22"/>
        </w:rPr>
        <w:t>ezetimibom</w:t>
      </w:r>
      <w:r w:rsidRPr="005E28C5">
        <w:rPr>
          <w:sz w:val="22"/>
          <w:szCs w:val="22"/>
        </w:rPr>
        <w:t xml:space="preserve"> v kombinácii </w:t>
      </w:r>
      <w:r w:rsidR="0087767D" w:rsidRPr="005E28C5">
        <w:rPr>
          <w:sz w:val="22"/>
          <w:szCs w:val="22"/>
        </w:rPr>
        <w:t>so simvastatínom (n = </w:t>
      </w:r>
      <w:r w:rsidRPr="005E28C5">
        <w:rPr>
          <w:sz w:val="22"/>
          <w:szCs w:val="22"/>
        </w:rPr>
        <w:t xml:space="preserve">4 193) alebo </w:t>
      </w:r>
      <w:r w:rsidR="0087767D" w:rsidRPr="005E28C5">
        <w:rPr>
          <w:sz w:val="22"/>
          <w:szCs w:val="22"/>
        </w:rPr>
        <w:t xml:space="preserve">do </w:t>
      </w:r>
      <w:r w:rsidRPr="005E28C5">
        <w:rPr>
          <w:sz w:val="22"/>
          <w:szCs w:val="22"/>
        </w:rPr>
        <w:t>skupiny s placebo</w:t>
      </w:r>
      <w:r w:rsidR="0087767D" w:rsidRPr="005E28C5">
        <w:rPr>
          <w:sz w:val="22"/>
          <w:szCs w:val="22"/>
        </w:rPr>
        <w:t>m (n = </w:t>
      </w:r>
      <w:r w:rsidRPr="005E28C5">
        <w:rPr>
          <w:sz w:val="22"/>
          <w:szCs w:val="22"/>
        </w:rPr>
        <w:t>4 191). Sekundárne analýzy zahŕňali rovnaký kompozit</w:t>
      </w:r>
      <w:r w:rsidR="00D5780E" w:rsidRPr="005E28C5">
        <w:rPr>
          <w:sz w:val="22"/>
          <w:szCs w:val="22"/>
        </w:rPr>
        <w:t>ný ukazovateľ</w:t>
      </w:r>
      <w:r w:rsidRPr="005E28C5">
        <w:rPr>
          <w:sz w:val="22"/>
          <w:szCs w:val="22"/>
        </w:rPr>
        <w:t xml:space="preserve"> </w:t>
      </w:r>
      <w:r w:rsidR="00D5780E" w:rsidRPr="005E28C5">
        <w:rPr>
          <w:sz w:val="22"/>
          <w:szCs w:val="22"/>
        </w:rPr>
        <w:t xml:space="preserve">analyzovaný </w:t>
      </w:r>
      <w:r w:rsidR="0089067A" w:rsidRPr="005E28C5">
        <w:rPr>
          <w:sz w:val="22"/>
          <w:szCs w:val="22"/>
        </w:rPr>
        <w:t>v </w:t>
      </w:r>
      <w:r w:rsidRPr="005E28C5">
        <w:rPr>
          <w:sz w:val="22"/>
          <w:szCs w:val="22"/>
        </w:rPr>
        <w:t xml:space="preserve">celej kohorte randomizovanej (na </w:t>
      </w:r>
      <w:r w:rsidR="0087767D" w:rsidRPr="005E28C5">
        <w:rPr>
          <w:sz w:val="22"/>
          <w:szCs w:val="22"/>
        </w:rPr>
        <w:t xml:space="preserve">začiatku štúdie alebo </w:t>
      </w:r>
      <w:r w:rsidR="00D5780E" w:rsidRPr="005E28C5">
        <w:rPr>
          <w:sz w:val="22"/>
          <w:szCs w:val="22"/>
        </w:rPr>
        <w:t>po</w:t>
      </w:r>
      <w:r w:rsidR="0087767D" w:rsidRPr="005E28C5">
        <w:rPr>
          <w:sz w:val="22"/>
          <w:szCs w:val="22"/>
        </w:rPr>
        <w:t xml:space="preserve"> 1. roku</w:t>
      </w:r>
      <w:r w:rsidRPr="005E28C5">
        <w:rPr>
          <w:sz w:val="22"/>
          <w:szCs w:val="22"/>
        </w:rPr>
        <w:t xml:space="preserve">) na </w:t>
      </w:r>
      <w:r w:rsidR="006B1B01" w:rsidRPr="005E28C5">
        <w:rPr>
          <w:sz w:val="22"/>
          <w:szCs w:val="22"/>
        </w:rPr>
        <w:t>ezetimib</w:t>
      </w:r>
      <w:r w:rsidRPr="005E28C5">
        <w:rPr>
          <w:sz w:val="22"/>
          <w:szCs w:val="22"/>
        </w:rPr>
        <w:t xml:space="preserve"> v kombinácii so simvastatínom </w:t>
      </w:r>
      <w:r w:rsidR="0087767D" w:rsidRPr="005E28C5">
        <w:rPr>
          <w:sz w:val="22"/>
          <w:szCs w:val="22"/>
        </w:rPr>
        <w:t>(n = 4 650) alebo na placebo (n = </w:t>
      </w:r>
      <w:r w:rsidRPr="005E28C5">
        <w:rPr>
          <w:sz w:val="22"/>
          <w:szCs w:val="22"/>
        </w:rPr>
        <w:t>4 620)</w:t>
      </w:r>
      <w:r w:rsidR="0089067A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ako aj zložky tohto kompozit</w:t>
      </w:r>
      <w:r w:rsidR="00D5780E" w:rsidRPr="005E28C5">
        <w:rPr>
          <w:sz w:val="22"/>
          <w:szCs w:val="22"/>
        </w:rPr>
        <w:t>ného ukazovateľa</w:t>
      </w:r>
      <w:r w:rsidRPr="005E28C5">
        <w:rPr>
          <w:sz w:val="22"/>
          <w:szCs w:val="22"/>
        </w:rPr>
        <w:t>.</w:t>
      </w:r>
    </w:p>
    <w:p w:rsidR="009D0BF1" w:rsidRPr="005E28C5" w:rsidRDefault="009D0BF1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9D0BF1" w:rsidRPr="005E28C5" w:rsidRDefault="00D01C69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Analýza primárneho cieľového ukazovateľa preukázala</w:t>
      </w:r>
      <w:r w:rsidR="00936D81" w:rsidRPr="005E28C5">
        <w:rPr>
          <w:sz w:val="22"/>
          <w:szCs w:val="22"/>
        </w:rPr>
        <w:t xml:space="preserve">, že </w:t>
      </w:r>
      <w:r w:rsidR="006B1B01" w:rsidRPr="005E28C5">
        <w:rPr>
          <w:sz w:val="22"/>
          <w:szCs w:val="22"/>
        </w:rPr>
        <w:t>ezetimib</w:t>
      </w:r>
      <w:r w:rsidR="00936D81" w:rsidRPr="005E28C5">
        <w:rPr>
          <w:sz w:val="22"/>
          <w:szCs w:val="22"/>
        </w:rPr>
        <w:t xml:space="preserve"> v kombinácii so simvastatínom signifikantne znížil riziko veľkých vaskulárnych </w:t>
      </w:r>
      <w:r w:rsidR="0087767D" w:rsidRPr="005E28C5">
        <w:rPr>
          <w:sz w:val="22"/>
          <w:szCs w:val="22"/>
        </w:rPr>
        <w:t>príhod</w:t>
      </w:r>
      <w:r w:rsidR="00936D81" w:rsidRPr="005E28C5">
        <w:rPr>
          <w:sz w:val="22"/>
          <w:szCs w:val="22"/>
        </w:rPr>
        <w:t xml:space="preserve"> (749 pacientov s príhodami v skupine s placebom oproti 639 v skupine s</w:t>
      </w:r>
      <w:r w:rsidR="00940B32" w:rsidRPr="005E28C5">
        <w:rPr>
          <w:sz w:val="22"/>
          <w:szCs w:val="22"/>
        </w:rPr>
        <w:t> </w:t>
      </w:r>
      <w:r w:rsidR="006B1B01" w:rsidRPr="005E28C5">
        <w:rPr>
          <w:sz w:val="22"/>
          <w:szCs w:val="22"/>
        </w:rPr>
        <w:t>ezetimibom</w:t>
      </w:r>
      <w:r w:rsidR="00936D81" w:rsidRPr="005E28C5">
        <w:rPr>
          <w:sz w:val="22"/>
          <w:szCs w:val="22"/>
        </w:rPr>
        <w:t xml:space="preserve"> v kombinácii so simvastatínom) s relatívnym znížením rizika o 16</w:t>
      </w:r>
      <w:r w:rsidR="0087767D" w:rsidRPr="005E28C5">
        <w:rPr>
          <w:sz w:val="22"/>
          <w:szCs w:val="22"/>
        </w:rPr>
        <w:t> % (p = </w:t>
      </w:r>
      <w:r w:rsidR="00936D81" w:rsidRPr="005E28C5">
        <w:rPr>
          <w:sz w:val="22"/>
          <w:szCs w:val="22"/>
        </w:rPr>
        <w:t>0,001).</w:t>
      </w:r>
    </w:p>
    <w:p w:rsidR="00936D81" w:rsidRPr="005E28C5" w:rsidRDefault="00936D81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936D81" w:rsidRPr="005E28C5" w:rsidRDefault="00C307B1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T</w:t>
      </w:r>
      <w:r w:rsidR="0087767D" w:rsidRPr="005E28C5">
        <w:rPr>
          <w:sz w:val="22"/>
          <w:szCs w:val="22"/>
        </w:rPr>
        <w:t>en</w:t>
      </w:r>
      <w:r w:rsidR="00936D81" w:rsidRPr="005E28C5">
        <w:rPr>
          <w:sz w:val="22"/>
          <w:szCs w:val="22"/>
        </w:rPr>
        <w:t xml:space="preserve">to dizajn štúdie neumožňoval </w:t>
      </w:r>
      <w:r w:rsidR="0029302A" w:rsidRPr="005E28C5">
        <w:rPr>
          <w:sz w:val="22"/>
          <w:szCs w:val="22"/>
        </w:rPr>
        <w:t>zistiť separátny</w:t>
      </w:r>
      <w:r w:rsidR="00936D81" w:rsidRPr="005E28C5">
        <w:rPr>
          <w:sz w:val="22"/>
          <w:szCs w:val="22"/>
        </w:rPr>
        <w:t xml:space="preserve"> prínos </w:t>
      </w:r>
      <w:r w:rsidR="0029302A" w:rsidRPr="005E28C5">
        <w:rPr>
          <w:sz w:val="22"/>
          <w:szCs w:val="22"/>
        </w:rPr>
        <w:t xml:space="preserve">samotného ezetimibu </w:t>
      </w:r>
      <w:r w:rsidR="0087767D" w:rsidRPr="005E28C5">
        <w:rPr>
          <w:sz w:val="22"/>
          <w:szCs w:val="22"/>
        </w:rPr>
        <w:t xml:space="preserve">k účinnosti </w:t>
      </w:r>
      <w:r w:rsidR="00936D81" w:rsidRPr="005E28C5">
        <w:rPr>
          <w:sz w:val="22"/>
          <w:szCs w:val="22"/>
        </w:rPr>
        <w:t>signifikantne znížiť riziko veľkých vaskulárnych príhod u pacientov s C</w:t>
      </w:r>
      <w:r w:rsidR="0087767D" w:rsidRPr="005E28C5">
        <w:rPr>
          <w:sz w:val="22"/>
          <w:szCs w:val="22"/>
        </w:rPr>
        <w:t>KD</w:t>
      </w:r>
      <w:r w:rsidR="00936D81" w:rsidRPr="005E28C5">
        <w:rPr>
          <w:sz w:val="22"/>
          <w:szCs w:val="22"/>
        </w:rPr>
        <w:t>.</w:t>
      </w:r>
    </w:p>
    <w:p w:rsidR="00936D81" w:rsidRPr="005E28C5" w:rsidRDefault="00936D81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6B1B01" w:rsidRPr="005E28C5" w:rsidRDefault="0087767D" w:rsidP="006B1B01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Jednotlivé</w:t>
      </w:r>
      <w:r w:rsidR="00936D81" w:rsidRPr="005E28C5">
        <w:rPr>
          <w:sz w:val="22"/>
          <w:szCs w:val="22"/>
        </w:rPr>
        <w:t xml:space="preserve"> zložky MVE u všetkých randomizovaných pacientov sú uvedené v tabuľke </w:t>
      </w:r>
      <w:r w:rsidR="00D6423F" w:rsidRPr="005E28C5">
        <w:rPr>
          <w:sz w:val="22"/>
          <w:szCs w:val="22"/>
        </w:rPr>
        <w:t>1</w:t>
      </w:r>
      <w:r w:rsidR="00936D81" w:rsidRPr="005E28C5">
        <w:rPr>
          <w:sz w:val="22"/>
          <w:szCs w:val="22"/>
        </w:rPr>
        <w:t>. E</w:t>
      </w:r>
      <w:r w:rsidR="006B1B01" w:rsidRPr="005E28C5">
        <w:rPr>
          <w:sz w:val="22"/>
          <w:szCs w:val="22"/>
        </w:rPr>
        <w:t>zetimib</w:t>
      </w:r>
      <w:r w:rsidR="00936D81" w:rsidRPr="005E28C5">
        <w:rPr>
          <w:sz w:val="22"/>
          <w:szCs w:val="22"/>
        </w:rPr>
        <w:t xml:space="preserve"> v kombinácii so simvastatínom signifikantne znížil riziko cievnej mozgovej príhody a akejkoľvek revaskularizácie</w:t>
      </w:r>
      <w:r w:rsidR="0089067A" w:rsidRPr="005E28C5">
        <w:rPr>
          <w:sz w:val="22"/>
          <w:szCs w:val="22"/>
        </w:rPr>
        <w:t>,</w:t>
      </w:r>
      <w:r w:rsidR="00936D81" w:rsidRPr="005E28C5">
        <w:rPr>
          <w:sz w:val="22"/>
          <w:szCs w:val="22"/>
        </w:rPr>
        <w:t xml:space="preserve"> s nevýznamnými číselnými odlišnosťami podporujúcimi </w:t>
      </w:r>
      <w:r w:rsidR="006B1B01" w:rsidRPr="005E28C5">
        <w:rPr>
          <w:sz w:val="22"/>
          <w:szCs w:val="22"/>
        </w:rPr>
        <w:t>ezetimib</w:t>
      </w:r>
      <w:r w:rsidR="00936D81" w:rsidRPr="005E28C5">
        <w:rPr>
          <w:sz w:val="22"/>
          <w:szCs w:val="22"/>
        </w:rPr>
        <w:t xml:space="preserve"> v kombinácii so simvastatínom pri </w:t>
      </w:r>
      <w:r w:rsidR="0089067A" w:rsidRPr="005E28C5">
        <w:rPr>
          <w:sz w:val="22"/>
          <w:szCs w:val="22"/>
        </w:rPr>
        <w:t xml:space="preserve">nefatálnom </w:t>
      </w:r>
      <w:r w:rsidR="00936D81" w:rsidRPr="005E28C5">
        <w:rPr>
          <w:sz w:val="22"/>
          <w:szCs w:val="22"/>
        </w:rPr>
        <w:t>IM a kardiáln</w:t>
      </w:r>
      <w:r w:rsidR="00F93D5C" w:rsidRPr="005E28C5">
        <w:rPr>
          <w:sz w:val="22"/>
          <w:szCs w:val="22"/>
        </w:rPr>
        <w:t>om úmrtí</w:t>
      </w:r>
      <w:r w:rsidR="00936D81" w:rsidRPr="005E28C5">
        <w:rPr>
          <w:sz w:val="22"/>
          <w:szCs w:val="22"/>
        </w:rPr>
        <w:t>.</w:t>
      </w:r>
    </w:p>
    <w:p w:rsidR="006B1B01" w:rsidRPr="005E28C5" w:rsidRDefault="006B1B01" w:rsidP="006B1B01">
      <w:pPr>
        <w:adjustRightInd w:val="0"/>
        <w:snapToGrid w:val="0"/>
        <w:spacing w:after="0"/>
        <w:rPr>
          <w:sz w:val="22"/>
          <w:szCs w:val="22"/>
        </w:rPr>
      </w:pPr>
    </w:p>
    <w:p w:rsidR="008E612C" w:rsidRDefault="008E612C" w:rsidP="006B1B01">
      <w:pPr>
        <w:adjustRightInd w:val="0"/>
        <w:snapToGrid w:val="0"/>
        <w:spacing w:after="0"/>
        <w:rPr>
          <w:sz w:val="22"/>
          <w:szCs w:val="22"/>
        </w:rPr>
      </w:pPr>
    </w:p>
    <w:p w:rsidR="00936D81" w:rsidRPr="005E28C5" w:rsidRDefault="00936D81" w:rsidP="006B1B01">
      <w:pPr>
        <w:adjustRightInd w:val="0"/>
        <w:snapToGrid w:val="0"/>
        <w:spacing w:after="0"/>
        <w:rPr>
          <w:sz w:val="22"/>
          <w:szCs w:val="22"/>
          <w:vertAlign w:val="superscript"/>
        </w:rPr>
      </w:pPr>
      <w:r w:rsidRPr="005E28C5">
        <w:rPr>
          <w:sz w:val="22"/>
          <w:szCs w:val="22"/>
        </w:rPr>
        <w:t xml:space="preserve">Tabuľka </w:t>
      </w:r>
      <w:r w:rsidR="00570599" w:rsidRPr="005E28C5">
        <w:rPr>
          <w:sz w:val="22"/>
          <w:szCs w:val="22"/>
        </w:rPr>
        <w:t>1</w:t>
      </w:r>
      <w:r w:rsidR="006B1B01" w:rsidRPr="005E28C5">
        <w:rPr>
          <w:sz w:val="22"/>
          <w:szCs w:val="22"/>
        </w:rPr>
        <w:t xml:space="preserve">: </w:t>
      </w:r>
      <w:r w:rsidR="00D01C69" w:rsidRPr="005E28C5">
        <w:rPr>
          <w:sz w:val="22"/>
          <w:szCs w:val="22"/>
        </w:rPr>
        <w:t>Veľké</w:t>
      </w:r>
      <w:r w:rsidRPr="005E28C5">
        <w:rPr>
          <w:sz w:val="22"/>
          <w:szCs w:val="22"/>
        </w:rPr>
        <w:t xml:space="preserve"> vaskulárne príhody podľa liečebnej skupiny u všetkých randomizovaných pacientov </w:t>
      </w:r>
      <w:r w:rsidR="00F93D5C" w:rsidRPr="005E28C5">
        <w:rPr>
          <w:sz w:val="22"/>
          <w:szCs w:val="22"/>
        </w:rPr>
        <w:t>v</w:t>
      </w:r>
      <w:r w:rsidRPr="005E28C5">
        <w:rPr>
          <w:sz w:val="22"/>
          <w:szCs w:val="22"/>
        </w:rPr>
        <w:t xml:space="preserve"> štúdii SHAR</w:t>
      </w:r>
      <w:r w:rsidR="006B1B01" w:rsidRPr="005E28C5">
        <w:rPr>
          <w:sz w:val="22"/>
          <w:szCs w:val="22"/>
        </w:rPr>
        <w:t>P</w:t>
      </w:r>
      <w:r w:rsidR="006B1B01" w:rsidRPr="005E28C5">
        <w:rPr>
          <w:sz w:val="22"/>
          <w:szCs w:val="22"/>
          <w:vertAlign w:val="superscript"/>
        </w:rPr>
        <w:t>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19"/>
        <w:gridCol w:w="1720"/>
        <w:gridCol w:w="1548"/>
        <w:gridCol w:w="1838"/>
        <w:gridCol w:w="1161"/>
      </w:tblGrid>
      <w:tr w:rsidR="00936D81" w:rsidRPr="005E28C5" w:rsidTr="00724B62">
        <w:trPr>
          <w:cantSplit/>
          <w:tblHeader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6B1B01">
            <w:pPr>
              <w:pStyle w:val="Tablenormal"/>
              <w:keepLines w:val="0"/>
              <w:rPr>
                <w:rFonts w:ascii="Times New Roman" w:hAnsi="Times New Roman"/>
                <w:b/>
                <w:sz w:val="22"/>
                <w:szCs w:val="22"/>
                <w:u w:val="single"/>
                <w:lang w:val="sk-SK"/>
              </w:rPr>
            </w:pPr>
          </w:p>
          <w:p w:rsidR="00936D81" w:rsidRPr="005E28C5" w:rsidRDefault="00936D81" w:rsidP="0089067A">
            <w:pPr>
              <w:pStyle w:val="Tablenormal"/>
              <w:keepLines w:val="0"/>
              <w:ind w:left="180" w:hanging="18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5E28C5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Výsledok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6B1B01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5E28C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E</w:t>
            </w:r>
            <w:r w:rsidR="006B1B01" w:rsidRPr="005E28C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zetimib</w:t>
            </w:r>
            <w:r w:rsidRPr="005E28C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 xml:space="preserve"> 10</w:t>
            </w:r>
            <w:r w:rsidR="008C1D6F" w:rsidRPr="005E28C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mg v</w:t>
            </w:r>
            <w:r w:rsidR="0029302A" w:rsidRPr="005E28C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color w:val="000000"/>
                <w:sz w:val="22"/>
                <w:szCs w:val="22"/>
                <w:lang w:val="sk-SK"/>
              </w:rPr>
              <w:t>kombinácii s 20 mg simvastatínu</w:t>
            </w:r>
            <w:r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br/>
              <w:t>(N</w:t>
            </w:r>
            <w:r w:rsidR="00F93D5C"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=</w:t>
            </w:r>
            <w:r w:rsidR="00F93D5C"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4 650)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Placebo</w:t>
            </w:r>
            <w:r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 xml:space="preserve"> </w:t>
            </w:r>
          </w:p>
          <w:p w:rsidR="00936D81" w:rsidRPr="005E28C5" w:rsidRDefault="00936D81" w:rsidP="0089067A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(N</w:t>
            </w:r>
            <w:r w:rsidR="00F93D5C"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=</w:t>
            </w:r>
            <w:r w:rsidR="00F93D5C"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bCs/>
                <w:sz w:val="22"/>
                <w:szCs w:val="22"/>
                <w:lang w:val="sk-SK"/>
              </w:rPr>
              <w:t>4 620)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tabs>
                <w:tab w:val="decimal" w:pos="432"/>
              </w:tabs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5E28C5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Pomer rizika</w:t>
            </w:r>
          </w:p>
          <w:p w:rsidR="00936D81" w:rsidRPr="005E28C5" w:rsidRDefault="00936D81" w:rsidP="0089067A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5E28C5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(IS 95 %)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29302A">
            <w:pPr>
              <w:pStyle w:val="Tablenormal"/>
              <w:keepLines w:val="0"/>
              <w:jc w:val="center"/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</w:pPr>
            <w:r w:rsidRPr="005E28C5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>hodnota</w:t>
            </w:r>
            <w:r w:rsidR="0029302A" w:rsidRPr="005E28C5">
              <w:rPr>
                <w:rFonts w:ascii="Times New Roman" w:hAnsi="Times New Roman"/>
                <w:bCs/>
                <w:sz w:val="22"/>
                <w:szCs w:val="22"/>
                <w:u w:val="single"/>
                <w:lang w:val="sk-SK"/>
              </w:rPr>
              <w:t xml:space="preserve"> p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120" w:after="120"/>
              <w:ind w:left="187" w:hanging="187"/>
              <w:rPr>
                <w:rFonts w:ascii="Times New Roman" w:hAnsi="Times New Roman"/>
                <w:bCs/>
                <w:sz w:val="22"/>
                <w:szCs w:val="22"/>
                <w:vertAlign w:val="superscript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Veľké vaskulárne príhody</w:t>
            </w:r>
          </w:p>
        </w:tc>
        <w:tc>
          <w:tcPr>
            <w:tcW w:w="160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701 (15,1</w:t>
            </w:r>
            <w:r w:rsidR="00C80EF2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814 (17,6</w:t>
            </w:r>
            <w:r w:rsidR="00C80EF2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tabs>
                <w:tab w:val="decimal" w:pos="-18"/>
                <w:tab w:val="decimal" w:pos="522"/>
              </w:tabs>
              <w:spacing w:before="120" w:after="12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0,85 (0,77-0,94)</w:t>
            </w:r>
          </w:p>
        </w:tc>
        <w:tc>
          <w:tcPr>
            <w:tcW w:w="1080" w:type="dxa"/>
            <w:tcBorders>
              <w:top w:val="single" w:sz="18" w:space="0" w:color="auto"/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120" w:after="12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0,001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:rsidR="00936D81" w:rsidRPr="005E28C5" w:rsidRDefault="00570599" w:rsidP="006B1B01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N</w:t>
            </w:r>
            <w:r w:rsidR="00724B62" w:rsidRPr="005E28C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efatálny </w:t>
            </w:r>
            <w:r w:rsidR="00936D81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IM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134 (2,9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159 (3,4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tabs>
                <w:tab w:val="decimal" w:pos="-18"/>
                <w:tab w:val="decimal" w:pos="522"/>
              </w:tabs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0,84 (0,66-1,05)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0,12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6B1B01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Kardiálne úmrtie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253 (5,4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272 (5,9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0,93 (0,78-1,10)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0,38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6B1B01">
            <w:pPr>
              <w:pStyle w:val="Tablenormal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lastRenderedPageBreak/>
              <w:t>Akákoľvek cievna mozgová príhoda</w:t>
            </w:r>
          </w:p>
        </w:tc>
        <w:tc>
          <w:tcPr>
            <w:tcW w:w="160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171 (3,7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210 (4,5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tabs>
                <w:tab w:val="decimal" w:pos="-18"/>
                <w:tab w:val="decimal" w:pos="522"/>
              </w:tabs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0,81 (0,66-0,99)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Lines w:val="0"/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0,038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6B1B01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Nehemoragická cievna mozgová príhoda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131 (2,8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174 (3,8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0,75 (0,60-0,94)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0,011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6B1B01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Hemoragická cievna mozgová príhoda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45 (1,0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37 (0,8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1,21 (0,78-1,86)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0,40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left w:val="nil"/>
              <w:right w:val="nil"/>
            </w:tcBorders>
          </w:tcPr>
          <w:p w:rsidR="00936D81" w:rsidRPr="005E28C5" w:rsidRDefault="00936D81" w:rsidP="006B1B01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Akákoľvek revaskularizácia</w:t>
            </w:r>
          </w:p>
        </w:tc>
        <w:tc>
          <w:tcPr>
            <w:tcW w:w="1600" w:type="dxa"/>
            <w:tcBorders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284 (6,1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352 (7,6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0,79 (0,68-0,93)</w:t>
            </w:r>
          </w:p>
        </w:tc>
        <w:tc>
          <w:tcPr>
            <w:tcW w:w="1080" w:type="dxa"/>
            <w:tcBorders>
              <w:left w:val="nil"/>
              <w:right w:val="nil"/>
            </w:tcBorders>
          </w:tcPr>
          <w:p w:rsidR="00936D81" w:rsidRPr="005E28C5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0,004</w:t>
            </w:r>
          </w:p>
        </w:tc>
      </w:tr>
      <w:tr w:rsidR="00936D81" w:rsidRPr="005E28C5" w:rsidTr="00724B62">
        <w:trPr>
          <w:cantSplit/>
        </w:trPr>
        <w:tc>
          <w:tcPr>
            <w:tcW w:w="2808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0D7562" w:rsidDel="003258B2" w:rsidRDefault="00936D81" w:rsidP="00724B62">
            <w:pPr>
              <w:pStyle w:val="Tablenormal"/>
              <w:keepNext w:val="0"/>
              <w:keepLines w:val="0"/>
              <w:spacing w:before="60" w:after="60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Veľké aterosklerotické príhody (</w:t>
            </w:r>
            <w:r w:rsidR="008508CC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Major Atherosclerotic Events,</w:t>
            </w:r>
            <w:r w:rsidR="008508CC" w:rsidRPr="005E28C5">
              <w:rPr>
                <w:lang w:val="sk-SK"/>
              </w:rPr>
              <w:t xml:space="preserve"> </w:t>
            </w:r>
            <w:r w:rsidRPr="0079716C">
              <w:rPr>
                <w:rFonts w:ascii="Times New Roman" w:hAnsi="Times New Roman"/>
                <w:sz w:val="22"/>
                <w:szCs w:val="22"/>
                <w:lang w:val="sk-SK"/>
              </w:rPr>
              <w:t>MAE)</w:t>
            </w:r>
            <w:r w:rsidRPr="0079716C">
              <w:rPr>
                <w:rFonts w:ascii="Times New Roman" w:hAnsi="Times New Roman"/>
                <w:sz w:val="22"/>
                <w:szCs w:val="22"/>
                <w:vertAlign w:val="superscript"/>
                <w:lang w:val="sk-SK"/>
              </w:rPr>
              <w:t>b</w:t>
            </w:r>
          </w:p>
        </w:tc>
        <w:tc>
          <w:tcPr>
            <w:tcW w:w="160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Del="003258B2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CC5179">
              <w:rPr>
                <w:rFonts w:ascii="Times New Roman" w:hAnsi="Times New Roman"/>
                <w:sz w:val="22"/>
                <w:szCs w:val="22"/>
                <w:lang w:val="sk-SK"/>
              </w:rPr>
              <w:t>526</w:t>
            </w:r>
            <w:r w:rsidR="00724B62" w:rsidRPr="00CC5179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(11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3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44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Del="003258B2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619</w:t>
            </w:r>
            <w:r w:rsidR="00724B62" w:rsidRPr="005E28C5"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(13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,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4</w:t>
            </w:r>
            <w:r w:rsidR="000866C9" w:rsidRPr="005E28C5">
              <w:rPr>
                <w:rFonts w:ascii="Times New Roman" w:hAnsi="Times New Roman"/>
                <w:sz w:val="22"/>
                <w:szCs w:val="22"/>
                <w:lang w:val="sk-SK"/>
              </w:rPr>
              <w:t> </w:t>
            </w:r>
            <w:r w:rsidRPr="005E28C5">
              <w:rPr>
                <w:rFonts w:ascii="Times New Roman" w:hAnsi="Times New Roman"/>
                <w:sz w:val="22"/>
                <w:szCs w:val="22"/>
                <w:lang w:val="sk-SK"/>
              </w:rPr>
              <w:t>%)</w:t>
            </w:r>
          </w:p>
        </w:tc>
        <w:tc>
          <w:tcPr>
            <w:tcW w:w="171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Del="003258B2" w:rsidRDefault="00936D81" w:rsidP="0089067A">
            <w:pPr>
              <w:pStyle w:val="Tablenormal"/>
              <w:keepNext w:val="0"/>
              <w:keepLines w:val="0"/>
              <w:tabs>
                <w:tab w:val="decimal" w:pos="-18"/>
                <w:tab w:val="decimal" w:pos="522"/>
              </w:tabs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</w:t>
            </w:r>
            <w:r w:rsidR="000866C9"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,</w:t>
            </w: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83 (0</w:t>
            </w:r>
            <w:r w:rsidR="000866C9"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,</w:t>
            </w: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74-0</w:t>
            </w:r>
            <w:r w:rsidR="000866C9"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,</w:t>
            </w: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94)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</w:tcPr>
          <w:p w:rsidR="00936D81" w:rsidRPr="005E28C5" w:rsidDel="003258B2" w:rsidRDefault="00936D81" w:rsidP="0089067A">
            <w:pPr>
              <w:pStyle w:val="Tablenormal"/>
              <w:keepNext w:val="0"/>
              <w:keepLines w:val="0"/>
              <w:spacing w:before="60" w:after="60"/>
              <w:jc w:val="center"/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</w:pP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</w:t>
            </w:r>
            <w:r w:rsidR="000866C9"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,</w:t>
            </w:r>
            <w:r w:rsidRPr="005E28C5">
              <w:rPr>
                <w:rFonts w:ascii="Times New Roman" w:hAnsi="Times New Roman"/>
                <w:snapToGrid w:val="0"/>
                <w:sz w:val="22"/>
                <w:szCs w:val="22"/>
                <w:lang w:val="sk-SK"/>
              </w:rPr>
              <w:t>002</w:t>
            </w:r>
          </w:p>
        </w:tc>
      </w:tr>
    </w:tbl>
    <w:p w:rsidR="008E612C" w:rsidRDefault="008E612C" w:rsidP="008E612C">
      <w:pPr>
        <w:keepNext/>
        <w:tabs>
          <w:tab w:val="left" w:pos="170"/>
        </w:tabs>
        <w:spacing w:after="0"/>
        <w:rPr>
          <w:sz w:val="18"/>
          <w:szCs w:val="18"/>
          <w:vertAlign w:val="superscript"/>
        </w:rPr>
      </w:pPr>
    </w:p>
    <w:p w:rsidR="00936D81" w:rsidRDefault="00936D81" w:rsidP="00724B62">
      <w:pPr>
        <w:keepNext/>
        <w:tabs>
          <w:tab w:val="left" w:pos="170"/>
        </w:tabs>
        <w:spacing w:after="0"/>
        <w:ind w:left="170" w:hanging="170"/>
        <w:rPr>
          <w:sz w:val="22"/>
          <w:szCs w:val="22"/>
        </w:rPr>
      </w:pPr>
      <w:r w:rsidRPr="008E612C">
        <w:rPr>
          <w:sz w:val="22"/>
          <w:szCs w:val="22"/>
          <w:vertAlign w:val="superscript"/>
        </w:rPr>
        <w:t>a</w:t>
      </w:r>
      <w:r w:rsidR="009348A6" w:rsidRPr="008E612C">
        <w:rPr>
          <w:sz w:val="22"/>
          <w:szCs w:val="22"/>
        </w:rPr>
        <w:tab/>
        <w:t xml:space="preserve">Analýza </w:t>
      </w:r>
      <w:r w:rsidR="00724B62" w:rsidRPr="008E612C">
        <w:rPr>
          <w:sz w:val="22"/>
          <w:szCs w:val="22"/>
        </w:rPr>
        <w:t xml:space="preserve">podľa </w:t>
      </w:r>
      <w:r w:rsidR="009348A6" w:rsidRPr="008E612C">
        <w:rPr>
          <w:sz w:val="22"/>
          <w:szCs w:val="22"/>
        </w:rPr>
        <w:t xml:space="preserve">zámeru liečiť u všetkých pacientov v štúdii </w:t>
      </w:r>
      <w:r w:rsidRPr="008E612C">
        <w:rPr>
          <w:sz w:val="22"/>
          <w:szCs w:val="22"/>
        </w:rPr>
        <w:t xml:space="preserve">SHARP </w:t>
      </w:r>
      <w:r w:rsidR="009348A6" w:rsidRPr="008E612C">
        <w:rPr>
          <w:sz w:val="22"/>
          <w:szCs w:val="22"/>
        </w:rPr>
        <w:t xml:space="preserve">randomizovaných na </w:t>
      </w:r>
      <w:r w:rsidR="006B1B01" w:rsidRPr="008E612C">
        <w:rPr>
          <w:sz w:val="22"/>
          <w:szCs w:val="22"/>
        </w:rPr>
        <w:t>ezetimib</w:t>
      </w:r>
      <w:r w:rsidRPr="008E612C">
        <w:rPr>
          <w:sz w:val="22"/>
          <w:szCs w:val="22"/>
        </w:rPr>
        <w:t xml:space="preserve"> </w:t>
      </w:r>
      <w:r w:rsidR="009348A6" w:rsidRPr="008E612C">
        <w:rPr>
          <w:sz w:val="22"/>
          <w:szCs w:val="22"/>
        </w:rPr>
        <w:t xml:space="preserve">v kombinácii so simvastatínom alebo placebo buď na začiatku alebo </w:t>
      </w:r>
      <w:r w:rsidR="00D5780E" w:rsidRPr="008E612C">
        <w:rPr>
          <w:sz w:val="22"/>
          <w:szCs w:val="22"/>
        </w:rPr>
        <w:t xml:space="preserve">po </w:t>
      </w:r>
      <w:r w:rsidR="009348A6" w:rsidRPr="008E612C">
        <w:rPr>
          <w:sz w:val="22"/>
          <w:szCs w:val="22"/>
        </w:rPr>
        <w:t>1. roku</w:t>
      </w:r>
      <w:r w:rsidR="00724B62" w:rsidRPr="008E612C">
        <w:rPr>
          <w:sz w:val="22"/>
          <w:szCs w:val="22"/>
        </w:rPr>
        <w:t>.</w:t>
      </w:r>
    </w:p>
    <w:p w:rsidR="008E612C" w:rsidRPr="008E612C" w:rsidRDefault="008E612C" w:rsidP="00724B62">
      <w:pPr>
        <w:keepNext/>
        <w:tabs>
          <w:tab w:val="left" w:pos="170"/>
        </w:tabs>
        <w:spacing w:after="0"/>
        <w:ind w:left="170" w:hanging="170"/>
        <w:rPr>
          <w:sz w:val="22"/>
          <w:szCs w:val="22"/>
        </w:rPr>
      </w:pPr>
    </w:p>
    <w:p w:rsidR="00936D81" w:rsidRPr="008E612C" w:rsidRDefault="00936D81" w:rsidP="00724B62">
      <w:pPr>
        <w:pStyle w:val="Footnote"/>
        <w:keepLines w:val="0"/>
        <w:tabs>
          <w:tab w:val="clear" w:pos="317"/>
          <w:tab w:val="clear" w:pos="346"/>
          <w:tab w:val="left" w:pos="170"/>
        </w:tabs>
        <w:ind w:left="170" w:hanging="170"/>
        <w:rPr>
          <w:rFonts w:ascii="Times New Roman" w:hAnsi="Times New Roman"/>
          <w:sz w:val="22"/>
          <w:szCs w:val="22"/>
          <w:lang w:val="sk-SK"/>
        </w:rPr>
      </w:pPr>
      <w:r w:rsidRPr="008E612C">
        <w:rPr>
          <w:rFonts w:ascii="Times New Roman" w:hAnsi="Times New Roman"/>
          <w:sz w:val="22"/>
          <w:szCs w:val="22"/>
          <w:vertAlign w:val="superscript"/>
          <w:lang w:val="sk-SK"/>
        </w:rPr>
        <w:t>b</w:t>
      </w:r>
      <w:r w:rsidR="009348A6" w:rsidRPr="008E612C">
        <w:rPr>
          <w:rFonts w:ascii="Times New Roman" w:hAnsi="Times New Roman"/>
          <w:sz w:val="22"/>
          <w:szCs w:val="22"/>
          <w:lang w:val="sk-SK"/>
        </w:rPr>
        <w:tab/>
      </w:r>
      <w:r w:rsidRPr="008E612C">
        <w:rPr>
          <w:rFonts w:ascii="Times New Roman" w:hAnsi="Times New Roman"/>
          <w:sz w:val="22"/>
          <w:szCs w:val="22"/>
          <w:lang w:val="sk-SK"/>
        </w:rPr>
        <w:t>MAE; defin</w:t>
      </w:r>
      <w:r w:rsidR="009348A6" w:rsidRPr="008E612C">
        <w:rPr>
          <w:rFonts w:ascii="Times New Roman" w:hAnsi="Times New Roman"/>
          <w:sz w:val="22"/>
          <w:szCs w:val="22"/>
          <w:lang w:val="sk-SK"/>
        </w:rPr>
        <w:t xml:space="preserve">ované ako </w:t>
      </w:r>
      <w:r w:rsidR="00F32963" w:rsidRPr="008E612C">
        <w:rPr>
          <w:rFonts w:ascii="Times New Roman" w:hAnsi="Times New Roman"/>
          <w:sz w:val="22"/>
          <w:szCs w:val="22"/>
          <w:lang w:val="sk-SK"/>
        </w:rPr>
        <w:t>kombinácia</w:t>
      </w:r>
      <w:r w:rsidR="009348A6" w:rsidRPr="008E612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724B62" w:rsidRPr="008E612C">
        <w:rPr>
          <w:rFonts w:ascii="Times New Roman" w:hAnsi="Times New Roman"/>
          <w:sz w:val="22"/>
          <w:szCs w:val="22"/>
          <w:lang w:val="sk-SK"/>
        </w:rPr>
        <w:t xml:space="preserve">nefatálneho </w:t>
      </w:r>
      <w:r w:rsidR="009348A6" w:rsidRPr="008E612C">
        <w:rPr>
          <w:rFonts w:ascii="Times New Roman" w:hAnsi="Times New Roman"/>
          <w:sz w:val="22"/>
          <w:szCs w:val="22"/>
          <w:lang w:val="sk-SK"/>
        </w:rPr>
        <w:t>infarktu myokardu</w:t>
      </w:r>
      <w:r w:rsidRPr="008E612C">
        <w:rPr>
          <w:rFonts w:ascii="Times New Roman" w:hAnsi="Times New Roman"/>
          <w:sz w:val="22"/>
          <w:szCs w:val="22"/>
          <w:lang w:val="sk-SK"/>
        </w:rPr>
        <w:t xml:space="preserve">, </w:t>
      </w:r>
      <w:r w:rsidR="009348A6" w:rsidRPr="008E612C">
        <w:rPr>
          <w:rFonts w:ascii="Times New Roman" w:hAnsi="Times New Roman"/>
          <w:sz w:val="22"/>
          <w:szCs w:val="22"/>
          <w:lang w:val="sk-SK"/>
        </w:rPr>
        <w:t>koronárneho úmrtia, nehemoragickej cievnej mozgovej príhody alebo akejkoľvek revaskularizácie</w:t>
      </w:r>
      <w:r w:rsidR="00724B62" w:rsidRPr="008E612C">
        <w:rPr>
          <w:rFonts w:ascii="Times New Roman" w:hAnsi="Times New Roman"/>
          <w:sz w:val="22"/>
          <w:szCs w:val="22"/>
          <w:lang w:val="sk-SK"/>
        </w:rPr>
        <w:t>.</w:t>
      </w:r>
    </w:p>
    <w:p w:rsidR="00936D81" w:rsidRPr="005E28C5" w:rsidRDefault="00936D81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47730A" w:rsidRPr="005E28C5" w:rsidRDefault="009348A6" w:rsidP="0047730A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Absolútne zníženie LDL chole</w:t>
      </w:r>
      <w:r w:rsidR="002E54B5" w:rsidRPr="005E28C5">
        <w:rPr>
          <w:sz w:val="22"/>
          <w:szCs w:val="22"/>
        </w:rPr>
        <w:t>sterolu dosiahnuté ezetimibom</w:t>
      </w:r>
      <w:r w:rsidRPr="005E28C5">
        <w:rPr>
          <w:sz w:val="22"/>
          <w:szCs w:val="22"/>
        </w:rPr>
        <w:t xml:space="preserve"> v kombinácii </w:t>
      </w:r>
      <w:r w:rsidR="00F93D5C" w:rsidRPr="005E28C5">
        <w:rPr>
          <w:sz w:val="22"/>
          <w:szCs w:val="22"/>
        </w:rPr>
        <w:t>so simvastatínom</w:t>
      </w:r>
      <w:r w:rsidRPr="005E28C5">
        <w:rPr>
          <w:sz w:val="22"/>
          <w:szCs w:val="22"/>
        </w:rPr>
        <w:t xml:space="preserve"> bolo nižšie medzi pacientmi s nižšou východiskovou hladinou LDL-C </w:t>
      </w:r>
      <w:r w:rsidRPr="005E28C5">
        <w:rPr>
          <w:bCs/>
          <w:sz w:val="22"/>
          <w:szCs w:val="22"/>
        </w:rPr>
        <w:t>(&lt;</w:t>
      </w:r>
      <w:r w:rsidRPr="005E28C5">
        <w:t> </w:t>
      </w:r>
      <w:r w:rsidRPr="005E28C5">
        <w:rPr>
          <w:bCs/>
          <w:sz w:val="22"/>
          <w:szCs w:val="22"/>
        </w:rPr>
        <w:t xml:space="preserve">2,5 mmol/l) a pacientmi na dialýze na začiatku ako u ostatných pacientov a zodpovedajúce </w:t>
      </w:r>
      <w:r w:rsidR="00F93D5C" w:rsidRPr="005E28C5">
        <w:rPr>
          <w:bCs/>
          <w:sz w:val="22"/>
          <w:szCs w:val="22"/>
        </w:rPr>
        <w:t xml:space="preserve">zníženia </w:t>
      </w:r>
      <w:r w:rsidRPr="005E28C5">
        <w:rPr>
          <w:bCs/>
          <w:sz w:val="22"/>
          <w:szCs w:val="22"/>
        </w:rPr>
        <w:t>rizik</w:t>
      </w:r>
      <w:r w:rsidR="00F93D5C" w:rsidRPr="005E28C5">
        <w:rPr>
          <w:bCs/>
          <w:sz w:val="22"/>
          <w:szCs w:val="22"/>
        </w:rPr>
        <w:t>a v týchto dvoch skupinách boli</w:t>
      </w:r>
      <w:r w:rsidRPr="005E28C5">
        <w:rPr>
          <w:bCs/>
          <w:sz w:val="22"/>
          <w:szCs w:val="22"/>
        </w:rPr>
        <w:t xml:space="preserve"> </w:t>
      </w:r>
      <w:r w:rsidR="000E741D" w:rsidRPr="005E28C5">
        <w:rPr>
          <w:bCs/>
          <w:sz w:val="22"/>
          <w:szCs w:val="22"/>
        </w:rPr>
        <w:t>z</w:t>
      </w:r>
      <w:r w:rsidR="00343CF9" w:rsidRPr="005E28C5">
        <w:rPr>
          <w:bCs/>
          <w:sz w:val="22"/>
          <w:szCs w:val="22"/>
        </w:rPr>
        <w:t>oslabené</w:t>
      </w:r>
      <w:r w:rsidRPr="005E28C5">
        <w:rPr>
          <w:bCs/>
          <w:sz w:val="22"/>
          <w:szCs w:val="22"/>
        </w:rPr>
        <w:t>.</w:t>
      </w:r>
    </w:p>
    <w:p w:rsidR="0047730A" w:rsidRPr="005E28C5" w:rsidRDefault="0047730A" w:rsidP="0047730A">
      <w:pPr>
        <w:adjustRightInd w:val="0"/>
        <w:snapToGrid w:val="0"/>
        <w:spacing w:after="0"/>
        <w:rPr>
          <w:sz w:val="22"/>
          <w:szCs w:val="22"/>
        </w:rPr>
      </w:pPr>
    </w:p>
    <w:p w:rsidR="008B2BC7" w:rsidRPr="005E28C5" w:rsidRDefault="006A1B2B" w:rsidP="0047730A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Aortálna stenóza</w:t>
      </w: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Multicentrická, dvojito zaslepená, placebom kontrolovaná štúdia „Simvastatín a </w:t>
      </w:r>
      <w:r w:rsidR="00570599" w:rsidRPr="005E28C5">
        <w:rPr>
          <w:sz w:val="22"/>
          <w:szCs w:val="22"/>
        </w:rPr>
        <w:t>E</w:t>
      </w:r>
      <w:r w:rsidRPr="005E28C5">
        <w:rPr>
          <w:sz w:val="22"/>
          <w:szCs w:val="22"/>
        </w:rPr>
        <w:t>zetimib na liečbu aortálnej stenózy“ (Simvastatin and Ezetimibe for the Treatment of Aortic Stenosis, SEAS) s mediánom trvania 4,4 rokov sa uskutočnila u 1 873 pacientov s asymptomatickou aortálnou stenózou (AS) zdokumentovanou pomocou Dopplerovho merania maximálnej rýchlosti prúdenia aortou v rozmedzí 2,5 až 4,0 m/s. Do štúdie boli zaradení len tí pacienti, u ktorých sa zvážilo, že nie je potrebná liečba statínmi za účelom zníženia rizika aterosklerotického kardiovaskulárneho ochorenia. Pacienti boli randomizovaní v pomere 1:1 a dostávali placebo alebo im bol denne súbežne podávaný ezetimib 10 mg a simvastatín 40 mg.</w:t>
      </w: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Primárnym cieľovým ukazovateľom bola kombinácia </w:t>
      </w:r>
      <w:r w:rsidR="00343CF9" w:rsidRPr="005E28C5">
        <w:rPr>
          <w:sz w:val="22"/>
          <w:szCs w:val="22"/>
        </w:rPr>
        <w:t xml:space="preserve">veľkých </w:t>
      </w:r>
      <w:r w:rsidRPr="005E28C5">
        <w:rPr>
          <w:sz w:val="22"/>
          <w:szCs w:val="22"/>
        </w:rPr>
        <w:t>kardiovaskulárnych udalostí (major cardiovascular events, MCE) pozostávajúca z kardiovaskulárneho úmrtia, chirurgickej náhrady aortálnej chlopne (aortic valve replacement, AVR), kongestívneho srdcového zlyhania (congestive heart failure, CHF) v dôsledku progresie AS, nefatálneho infarktu myokardu, bypassu koronárnej artérie (coronary artery bypass grafting, CABG), perkutánnej koronárnej intervencie (percutaneous coronary intervention, PCI), hospitalizácie pre nestabilnú angínu pe</w:t>
      </w:r>
      <w:r w:rsidR="002204A7" w:rsidRPr="005E28C5">
        <w:rPr>
          <w:sz w:val="22"/>
          <w:szCs w:val="22"/>
        </w:rPr>
        <w:t>k</w:t>
      </w:r>
      <w:r w:rsidRPr="005E28C5">
        <w:rPr>
          <w:sz w:val="22"/>
          <w:szCs w:val="22"/>
        </w:rPr>
        <w:t xml:space="preserve">toris a nehemoragickej </w:t>
      </w:r>
      <w:r w:rsidR="00343CF9" w:rsidRPr="005E28C5">
        <w:rPr>
          <w:sz w:val="22"/>
          <w:szCs w:val="22"/>
        </w:rPr>
        <w:t>cievnej mozgovej príhody</w:t>
      </w:r>
      <w:r w:rsidRPr="005E28C5">
        <w:rPr>
          <w:sz w:val="22"/>
          <w:szCs w:val="22"/>
        </w:rPr>
        <w:t>. Sekundárnymi cieľovými ukazovateľmi boli kombinácie podskupín kategórií udalostí primárneho cieľového ukazovateľa.</w:t>
      </w: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6A1B2B" w:rsidRPr="005E28C5" w:rsidRDefault="006A1B2B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Ezetimib/simvastatín 10/40 mg v porovnaní s placebom signifikantne neznížili riziko MCE.</w:t>
      </w:r>
    </w:p>
    <w:p w:rsidR="006A1B2B" w:rsidRDefault="006A1B2B" w:rsidP="006A1B2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Primárny výsledok sa vyskytol u 333 pacientov (35,3 %) v</w:t>
      </w:r>
      <w:r w:rsidR="0099291D">
        <w:rPr>
          <w:sz w:val="22"/>
          <w:szCs w:val="22"/>
        </w:rPr>
        <w:t xml:space="preserve"> skupine ezetimib/simvastatín a u </w:t>
      </w:r>
      <w:r w:rsidRPr="005E28C5">
        <w:rPr>
          <w:sz w:val="22"/>
          <w:szCs w:val="22"/>
        </w:rPr>
        <w:t xml:space="preserve">355 pacientov (38,2 %) v skupine s placebom (pomer rizika v skupine ezetimib/simvastatín 0,96; 95% interval spoľahlivosti 0,83 až 1,12; p = 0,59). Náhrada aortálnej chlopne sa uskutočnila u 267 pacientov (28,3 %) v skupine ezetimib/simvastatín a u 278 pacientov (29,9 %) v skupine s placebom (pomer rizika 1,00; 95% IS 0,84 až 1,18; p = 0,97). V skupine ezetimib/simvastatín (n = 148) malo menej pacientov ischemické kardiovaskulárne príhody ako v skupine s placebom </w:t>
      </w:r>
      <w:r w:rsidRPr="005E28C5">
        <w:rPr>
          <w:sz w:val="22"/>
          <w:szCs w:val="22"/>
        </w:rPr>
        <w:lastRenderedPageBreak/>
        <w:t>(n = 187) (pomer rizika 0,78; 95% IS 0,63 až 0,97; p = 0,02) predovšetkým kvôli menšiemu počtu pacientov, ktorí podstúpili bypass koronárnej artérie.</w:t>
      </w:r>
    </w:p>
    <w:p w:rsidR="0099291D" w:rsidRPr="005E28C5" w:rsidRDefault="0099291D" w:rsidP="006A1B2B">
      <w:pPr>
        <w:adjustRightInd w:val="0"/>
        <w:snapToGrid w:val="0"/>
        <w:spacing w:after="0"/>
        <w:rPr>
          <w:sz w:val="22"/>
          <w:szCs w:val="22"/>
        </w:rPr>
      </w:pPr>
    </w:p>
    <w:p w:rsidR="004C6AAB" w:rsidRPr="005E28C5" w:rsidRDefault="006A1B2B" w:rsidP="004C6AA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 skupine ezetimib/simvastatín sa častejšie vyskytovala rakovina (105 oproti 70, p = 0,01). Klinický význam tohto zistenia nie je jasný</w:t>
      </w:r>
      <w:r w:rsidR="009348A6" w:rsidRPr="005E28C5">
        <w:rPr>
          <w:sz w:val="22"/>
          <w:szCs w:val="22"/>
        </w:rPr>
        <w:t>, pretože vo väčš</w:t>
      </w:r>
      <w:r w:rsidR="006D15A5" w:rsidRPr="005E28C5">
        <w:rPr>
          <w:sz w:val="22"/>
          <w:szCs w:val="22"/>
        </w:rPr>
        <w:t>om</w:t>
      </w:r>
      <w:r w:rsidR="009348A6" w:rsidRPr="005E28C5">
        <w:rPr>
          <w:sz w:val="22"/>
          <w:szCs w:val="22"/>
        </w:rPr>
        <w:t xml:space="preserve"> skúš</w:t>
      </w:r>
      <w:r w:rsidR="006D15A5" w:rsidRPr="005E28C5">
        <w:rPr>
          <w:sz w:val="22"/>
          <w:szCs w:val="22"/>
        </w:rPr>
        <w:t>aní</w:t>
      </w:r>
      <w:r w:rsidR="009348A6" w:rsidRPr="005E28C5">
        <w:rPr>
          <w:sz w:val="22"/>
          <w:szCs w:val="22"/>
        </w:rPr>
        <w:t xml:space="preserve"> SHARP sa celkový počet pacientov s ak</w:t>
      </w:r>
      <w:r w:rsidR="00153B00" w:rsidRPr="005E28C5">
        <w:rPr>
          <w:sz w:val="22"/>
          <w:szCs w:val="22"/>
        </w:rPr>
        <w:t>ýmkoľvek</w:t>
      </w:r>
      <w:r w:rsidR="009348A6" w:rsidRPr="005E28C5">
        <w:rPr>
          <w:sz w:val="22"/>
          <w:szCs w:val="22"/>
        </w:rPr>
        <w:t xml:space="preserve"> </w:t>
      </w:r>
      <w:r w:rsidR="00153B00" w:rsidRPr="005E28C5">
        <w:rPr>
          <w:sz w:val="22"/>
          <w:szCs w:val="22"/>
        </w:rPr>
        <w:t>prípadom</w:t>
      </w:r>
      <w:r w:rsidR="009348A6" w:rsidRPr="005E28C5">
        <w:rPr>
          <w:sz w:val="22"/>
          <w:szCs w:val="22"/>
        </w:rPr>
        <w:t xml:space="preserve"> rakoviny (438 pri ezetimibe/simvastatíne oproti </w:t>
      </w:r>
      <w:r w:rsidR="001457E4" w:rsidRPr="005E28C5">
        <w:rPr>
          <w:sz w:val="22"/>
          <w:szCs w:val="22"/>
        </w:rPr>
        <w:t xml:space="preserve"> 439 </w:t>
      </w:r>
      <w:r w:rsidR="009348A6" w:rsidRPr="005E28C5">
        <w:rPr>
          <w:sz w:val="22"/>
          <w:szCs w:val="22"/>
        </w:rPr>
        <w:t xml:space="preserve">v skupine s placebom) nelíšil, a preto </w:t>
      </w:r>
      <w:r w:rsidR="00134318" w:rsidRPr="005E28C5">
        <w:rPr>
          <w:sz w:val="22"/>
          <w:szCs w:val="22"/>
        </w:rPr>
        <w:t>zistenie skúš</w:t>
      </w:r>
      <w:r w:rsidR="006D15A5" w:rsidRPr="005E28C5">
        <w:rPr>
          <w:sz w:val="22"/>
          <w:szCs w:val="22"/>
        </w:rPr>
        <w:t>ania</w:t>
      </w:r>
      <w:r w:rsidR="00134318" w:rsidRPr="005E28C5">
        <w:rPr>
          <w:sz w:val="22"/>
          <w:szCs w:val="22"/>
        </w:rPr>
        <w:t xml:space="preserve"> SEAS nie je možné potvrdiť štúdiou SHARP.</w:t>
      </w:r>
    </w:p>
    <w:p w:rsidR="004C6AAB" w:rsidRPr="005E28C5" w:rsidRDefault="004C6AAB" w:rsidP="004C6AA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4C6AAB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5.2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Farmakokinetické vlastnosti</w:t>
      </w:r>
    </w:p>
    <w:p w:rsidR="004C6AAB" w:rsidRPr="005E28C5" w:rsidRDefault="004C6AAB" w:rsidP="004C6AAB">
      <w:pPr>
        <w:adjustRightInd w:val="0"/>
        <w:snapToGrid w:val="0"/>
        <w:spacing w:after="0"/>
        <w:rPr>
          <w:sz w:val="22"/>
          <w:szCs w:val="22"/>
        </w:rPr>
      </w:pPr>
    </w:p>
    <w:p w:rsidR="00F2312F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Absorpcia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Po perorálnom podaní je ezetimib rýchlo absorbovaný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intenzívne konjugovaný na farmakologicky aktívny fenolový glukuronid (ezetimib-glukuronid).</w:t>
      </w:r>
      <w:r w:rsidR="005C4767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Priemern</w:t>
      </w:r>
      <w:r w:rsidR="00A3340B" w:rsidRPr="005E28C5">
        <w:rPr>
          <w:sz w:val="22"/>
          <w:szCs w:val="22"/>
        </w:rPr>
        <w:t>é</w:t>
      </w:r>
      <w:r w:rsidRPr="005E28C5">
        <w:rPr>
          <w:sz w:val="22"/>
          <w:szCs w:val="22"/>
        </w:rPr>
        <w:t xml:space="preserve"> maximáln</w:t>
      </w:r>
      <w:r w:rsidR="00A3340B" w:rsidRPr="005E28C5">
        <w:rPr>
          <w:sz w:val="22"/>
          <w:szCs w:val="22"/>
        </w:rPr>
        <w:t>e</w:t>
      </w:r>
      <w:r w:rsidRPr="005E28C5">
        <w:rPr>
          <w:sz w:val="22"/>
          <w:szCs w:val="22"/>
        </w:rPr>
        <w:t xml:space="preserve"> plazmatick</w:t>
      </w:r>
      <w:r w:rsidR="00A3340B" w:rsidRPr="005E28C5">
        <w:rPr>
          <w:sz w:val="22"/>
          <w:szCs w:val="22"/>
        </w:rPr>
        <w:t>é</w:t>
      </w:r>
      <w:r w:rsidRPr="005E28C5">
        <w:rPr>
          <w:sz w:val="22"/>
          <w:szCs w:val="22"/>
        </w:rPr>
        <w:t xml:space="preserve"> koncentráci</w:t>
      </w:r>
      <w:r w:rsidR="00A3340B" w:rsidRPr="005E28C5">
        <w:rPr>
          <w:sz w:val="22"/>
          <w:szCs w:val="22"/>
        </w:rPr>
        <w:t>e</w:t>
      </w:r>
      <w:r w:rsidRPr="005E28C5">
        <w:rPr>
          <w:sz w:val="22"/>
          <w:szCs w:val="22"/>
        </w:rPr>
        <w:t xml:space="preserve"> (C</w:t>
      </w:r>
      <w:r w:rsidRPr="005E28C5">
        <w:rPr>
          <w:sz w:val="22"/>
          <w:szCs w:val="22"/>
          <w:vertAlign w:val="subscript"/>
        </w:rPr>
        <w:t>max</w:t>
      </w:r>
      <w:r w:rsidRPr="005E28C5">
        <w:rPr>
          <w:sz w:val="22"/>
          <w:szCs w:val="22"/>
        </w:rPr>
        <w:t>) dosiahne ezetimib-glukuronid za 1 až 2 hodiny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ezetimib za 4 až 12 hodín. Absolútna biologická dostupnosť ezetimibu nemôže byť stanovená, pretože zlúčenina je prakticky nerozpustná</w:t>
      </w:r>
      <w:r w:rsidR="0020794C" w:rsidRPr="005E28C5">
        <w:rPr>
          <w:sz w:val="22"/>
          <w:szCs w:val="22"/>
        </w:rPr>
        <w:t xml:space="preserve"> vo </w:t>
      </w:r>
      <w:r w:rsidRPr="005E28C5">
        <w:rPr>
          <w:sz w:val="22"/>
          <w:szCs w:val="22"/>
        </w:rPr>
        <w:t xml:space="preserve">vodných médiách vhodných </w:t>
      </w:r>
      <w:r w:rsidR="00493FA9">
        <w:rPr>
          <w:sz w:val="22"/>
          <w:szCs w:val="22"/>
        </w:rPr>
        <w:t>na</w:t>
      </w:r>
      <w:r w:rsidR="00493FA9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injekciu.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Súčasné podávanie jedla (s vysokým obsahom tuku alebo bez tuku) nemalo žiadn</w:t>
      </w:r>
      <w:r w:rsidR="002A25F4" w:rsidRPr="005E28C5">
        <w:rPr>
          <w:sz w:val="22"/>
          <w:szCs w:val="22"/>
        </w:rPr>
        <w:t>y</w:t>
      </w:r>
      <w:r w:rsidRPr="005E28C5">
        <w:rPr>
          <w:sz w:val="22"/>
          <w:szCs w:val="22"/>
        </w:rPr>
        <w:t xml:space="preserve"> vplyv na perorálnu biologickú dostupnosť ezetimibu podávaného ako 10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 xml:space="preserve"> tablety</w:t>
      </w:r>
      <w:r w:rsidR="00295BCB" w:rsidRPr="005E28C5">
        <w:rPr>
          <w:sz w:val="22"/>
          <w:szCs w:val="22"/>
        </w:rPr>
        <w:t xml:space="preserve"> ezetimibu</w:t>
      </w:r>
      <w:r w:rsidRPr="005E28C5">
        <w:rPr>
          <w:sz w:val="22"/>
          <w:szCs w:val="22"/>
        </w:rPr>
        <w:t xml:space="preserve">. </w:t>
      </w:r>
      <w:r w:rsidR="008443E1" w:rsidRPr="005E28C5">
        <w:rPr>
          <w:sz w:val="22"/>
          <w:szCs w:val="22"/>
        </w:rPr>
        <w:t>E</w:t>
      </w:r>
      <w:r w:rsidR="00295BCB" w:rsidRPr="005E28C5">
        <w:rPr>
          <w:sz w:val="22"/>
          <w:szCs w:val="22"/>
        </w:rPr>
        <w:t>zetimib</w:t>
      </w:r>
      <w:r w:rsidRPr="005E28C5">
        <w:rPr>
          <w:sz w:val="22"/>
          <w:szCs w:val="22"/>
        </w:rPr>
        <w:t xml:space="preserve"> sa môže podávať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jedlom alebo bez jedla.</w:t>
      </w:r>
    </w:p>
    <w:p w:rsidR="00F7686C" w:rsidRPr="005E28C5" w:rsidRDefault="00F7686C" w:rsidP="00F30C0D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F2312F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Distribúcia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99,7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ezetimibu</w:t>
      </w:r>
      <w:r w:rsidR="0020794C" w:rsidRPr="005E28C5">
        <w:rPr>
          <w:sz w:val="22"/>
          <w:szCs w:val="22"/>
        </w:rPr>
        <w:t xml:space="preserve"> a</w:t>
      </w:r>
      <w:r w:rsidR="00493FA9">
        <w:rPr>
          <w:sz w:val="22"/>
          <w:szCs w:val="22"/>
        </w:rPr>
        <w:t> </w:t>
      </w:r>
      <w:r w:rsidRPr="005E28C5">
        <w:rPr>
          <w:sz w:val="22"/>
          <w:szCs w:val="22"/>
        </w:rPr>
        <w:t>88 až 92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ezetimib-glukuronidu sa viaže na ľudské plazmatické proteíny.</w:t>
      </w:r>
    </w:p>
    <w:p w:rsidR="00F7686C" w:rsidRPr="005E28C5" w:rsidRDefault="00F7686C" w:rsidP="00F30C0D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295BCB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Biotransformácia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Ezetimib je primárne metabolizovaný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tenkom čreve</w:t>
      </w:r>
      <w:r w:rsidR="0020794C" w:rsidRPr="005E28C5">
        <w:rPr>
          <w:sz w:val="22"/>
          <w:szCs w:val="22"/>
        </w:rPr>
        <w:t xml:space="preserve"> a v </w:t>
      </w:r>
      <w:r w:rsidRPr="005E28C5">
        <w:rPr>
          <w:sz w:val="22"/>
          <w:szCs w:val="22"/>
        </w:rPr>
        <w:t xml:space="preserve">pečeni </w:t>
      </w:r>
      <w:r w:rsidR="00744DD3" w:rsidRPr="005E28C5">
        <w:rPr>
          <w:sz w:val="22"/>
          <w:szCs w:val="22"/>
        </w:rPr>
        <w:t>cez</w:t>
      </w:r>
      <w:r w:rsidRPr="005E28C5">
        <w:rPr>
          <w:sz w:val="22"/>
          <w:szCs w:val="22"/>
        </w:rPr>
        <w:t xml:space="preserve"> konjugáciu </w:t>
      </w:r>
      <w:r w:rsidR="009B631E" w:rsidRPr="005E28C5">
        <w:rPr>
          <w:sz w:val="22"/>
          <w:szCs w:val="22"/>
        </w:rPr>
        <w:t xml:space="preserve">na glukuronid </w:t>
      </w:r>
      <w:r w:rsidRPr="005E28C5">
        <w:rPr>
          <w:sz w:val="22"/>
          <w:szCs w:val="22"/>
        </w:rPr>
        <w:t>(reakcia fázy II)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následným vylučovaním do žlče.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všetkých vyšetrovaných druhov sa pozoroval minimálny oxidatívny metabolizmus (reakcia fázy I). Ezetimib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ezetimib-glukuronid sú hlavné od lie</w:t>
      </w:r>
      <w:r w:rsidR="009B631E" w:rsidRPr="005E28C5">
        <w:rPr>
          <w:sz w:val="22"/>
          <w:szCs w:val="22"/>
        </w:rPr>
        <w:t>čiva</w:t>
      </w:r>
      <w:r w:rsidR="00A31A5A">
        <w:rPr>
          <w:sz w:val="22"/>
          <w:szCs w:val="22"/>
        </w:rPr>
        <w:t xml:space="preserve"> odvodené zlúčeniny deteg</w:t>
      </w:r>
      <w:r w:rsidRPr="005E28C5">
        <w:rPr>
          <w:sz w:val="22"/>
          <w:szCs w:val="22"/>
        </w:rPr>
        <w:t>ované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plazme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tvoria približne 10</w:t>
      </w:r>
      <w:r w:rsidR="009B631E" w:rsidRPr="005E28C5">
        <w:rPr>
          <w:sz w:val="22"/>
          <w:szCs w:val="22"/>
        </w:rPr>
        <w:t xml:space="preserve"> až </w:t>
      </w:r>
      <w:r w:rsidRPr="005E28C5">
        <w:rPr>
          <w:sz w:val="22"/>
          <w:szCs w:val="22"/>
        </w:rPr>
        <w:t>20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(ezetimib)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80</w:t>
      </w:r>
      <w:r w:rsidR="009B631E" w:rsidRPr="005E28C5">
        <w:rPr>
          <w:sz w:val="22"/>
          <w:szCs w:val="22"/>
        </w:rPr>
        <w:t xml:space="preserve"> až </w:t>
      </w:r>
      <w:r w:rsidRPr="005E28C5">
        <w:rPr>
          <w:sz w:val="22"/>
          <w:szCs w:val="22"/>
        </w:rPr>
        <w:t>90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(ezetimib-glukuronid) celkového lie</w:t>
      </w:r>
      <w:r w:rsidR="009B631E" w:rsidRPr="005E28C5">
        <w:rPr>
          <w:sz w:val="22"/>
          <w:szCs w:val="22"/>
        </w:rPr>
        <w:t>čiva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 xml:space="preserve">plazme. Ezetimib aj ezetimib-glukuronid sú pomaly </w:t>
      </w:r>
      <w:r w:rsidR="004154F4" w:rsidRPr="005E28C5">
        <w:rPr>
          <w:sz w:val="22"/>
          <w:szCs w:val="22"/>
        </w:rPr>
        <w:t>eliminované</w:t>
      </w:r>
      <w:r w:rsidR="0020794C" w:rsidRPr="005E28C5">
        <w:rPr>
          <w:sz w:val="22"/>
          <w:szCs w:val="22"/>
        </w:rPr>
        <w:t xml:space="preserve"> z </w:t>
      </w:r>
      <w:r w:rsidRPr="005E28C5">
        <w:rPr>
          <w:sz w:val="22"/>
          <w:szCs w:val="22"/>
        </w:rPr>
        <w:t>plazmy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dokázaným signifikantným enterohepatálnym obehom. Polčas ezetimibu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ezetimib-glukuronidu je približne 22 hodín.</w:t>
      </w:r>
    </w:p>
    <w:p w:rsidR="00F7686C" w:rsidRPr="005E28C5" w:rsidRDefault="00F7686C" w:rsidP="00F30C0D">
      <w:pPr>
        <w:adjustRightInd w:val="0"/>
        <w:snapToGrid w:val="0"/>
        <w:spacing w:after="0"/>
        <w:rPr>
          <w:b/>
          <w:i/>
          <w:sz w:val="22"/>
          <w:szCs w:val="22"/>
        </w:rPr>
      </w:pPr>
    </w:p>
    <w:p w:rsidR="00295BCB" w:rsidRPr="005E28C5" w:rsidRDefault="00F7686C" w:rsidP="00F30C0D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5E28C5">
        <w:rPr>
          <w:sz w:val="22"/>
          <w:szCs w:val="22"/>
          <w:u w:val="single"/>
        </w:rPr>
        <w:t>Eliminácia</w:t>
      </w:r>
    </w:p>
    <w:p w:rsidR="00295BCB" w:rsidRPr="005E28C5" w:rsidRDefault="00F7686C" w:rsidP="00295BC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Po perorálnom podaní </w:t>
      </w:r>
      <w:r w:rsidRPr="005E28C5">
        <w:rPr>
          <w:sz w:val="22"/>
          <w:szCs w:val="22"/>
          <w:vertAlign w:val="superscript"/>
        </w:rPr>
        <w:t>14</w:t>
      </w:r>
      <w:r w:rsidRPr="005E28C5">
        <w:rPr>
          <w:sz w:val="22"/>
          <w:szCs w:val="22"/>
        </w:rPr>
        <w:t>C-ezetimibu (20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) ľudským jedincom tvoril celkový ezetimib približne 93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celkovej </w:t>
      </w:r>
      <w:r w:rsidR="00493FA9">
        <w:rPr>
          <w:sz w:val="22"/>
          <w:szCs w:val="22"/>
        </w:rPr>
        <w:t>rádioaktívne značenej látky</w:t>
      </w:r>
      <w:r w:rsidR="00493FA9" w:rsidRPr="00972868">
        <w:rPr>
          <w:sz w:val="22"/>
          <w:szCs w:val="22"/>
        </w:rPr>
        <w:t xml:space="preserve"> v</w:t>
      </w:r>
      <w:r w:rsidR="00493FA9">
        <w:rPr>
          <w:sz w:val="22"/>
          <w:szCs w:val="22"/>
        </w:rPr>
        <w:t> </w:t>
      </w:r>
      <w:r w:rsidR="00493FA9" w:rsidRPr="00972868">
        <w:rPr>
          <w:sz w:val="22"/>
          <w:szCs w:val="22"/>
        </w:rPr>
        <w:t>plazme</w:t>
      </w:r>
      <w:r w:rsidR="00493FA9">
        <w:rPr>
          <w:sz w:val="22"/>
          <w:szCs w:val="22"/>
        </w:rPr>
        <w:t>.</w:t>
      </w:r>
      <w:r w:rsidRPr="005E28C5">
        <w:rPr>
          <w:sz w:val="22"/>
          <w:szCs w:val="22"/>
        </w:rPr>
        <w:t xml:space="preserve"> Približne 78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 xml:space="preserve"> podanej rádioakt</w:t>
      </w:r>
      <w:r w:rsidR="00493FA9">
        <w:rPr>
          <w:sz w:val="22"/>
          <w:szCs w:val="22"/>
        </w:rPr>
        <w:t>ívne značenej látky</w:t>
      </w:r>
      <w:r w:rsidRPr="005E28C5">
        <w:rPr>
          <w:sz w:val="22"/>
          <w:szCs w:val="22"/>
        </w:rPr>
        <w:t xml:space="preserve"> sa počas 10 dní vylúčilo do stolice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11</w:t>
      </w:r>
      <w:r w:rsidR="0020794C" w:rsidRPr="005E28C5">
        <w:rPr>
          <w:sz w:val="22"/>
          <w:szCs w:val="22"/>
        </w:rPr>
        <w:t> %</w:t>
      </w:r>
      <w:r w:rsidR="005C4767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do moču. Po 48 hodinách nebol</w:t>
      </w:r>
      <w:r w:rsidR="004154F4" w:rsidRPr="005E28C5">
        <w:rPr>
          <w:sz w:val="22"/>
          <w:szCs w:val="22"/>
        </w:rPr>
        <w:t>i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plazme zistiteľn</w:t>
      </w:r>
      <w:r w:rsidR="004154F4" w:rsidRPr="005E28C5">
        <w:rPr>
          <w:sz w:val="22"/>
          <w:szCs w:val="22"/>
        </w:rPr>
        <w:t>é</w:t>
      </w:r>
      <w:r w:rsidRPr="005E28C5">
        <w:rPr>
          <w:sz w:val="22"/>
          <w:szCs w:val="22"/>
        </w:rPr>
        <w:t xml:space="preserve"> žiadn</w:t>
      </w:r>
      <w:r w:rsidR="004154F4" w:rsidRPr="005E28C5">
        <w:rPr>
          <w:sz w:val="22"/>
          <w:szCs w:val="22"/>
        </w:rPr>
        <w:t xml:space="preserve">e </w:t>
      </w:r>
      <w:r w:rsidR="00493FA9">
        <w:rPr>
          <w:sz w:val="22"/>
          <w:szCs w:val="22"/>
        </w:rPr>
        <w:t>koncentrácie rádioaktívne značenej látky.</w:t>
      </w:r>
    </w:p>
    <w:p w:rsidR="00295BCB" w:rsidRPr="005E28C5" w:rsidRDefault="00295BCB" w:rsidP="00295BCB">
      <w:pPr>
        <w:adjustRightInd w:val="0"/>
        <w:snapToGrid w:val="0"/>
        <w:spacing w:after="0"/>
        <w:rPr>
          <w:sz w:val="22"/>
          <w:szCs w:val="22"/>
        </w:rPr>
      </w:pPr>
    </w:p>
    <w:p w:rsidR="00295BCB" w:rsidRPr="008D279E" w:rsidRDefault="0082568E" w:rsidP="00295BCB">
      <w:pPr>
        <w:adjustRightInd w:val="0"/>
        <w:snapToGrid w:val="0"/>
        <w:spacing w:after="0"/>
        <w:rPr>
          <w:sz w:val="22"/>
          <w:szCs w:val="22"/>
          <w:u w:val="single"/>
        </w:rPr>
      </w:pPr>
      <w:r w:rsidRPr="008D279E">
        <w:rPr>
          <w:sz w:val="22"/>
          <w:szCs w:val="22"/>
          <w:u w:val="single"/>
        </w:rPr>
        <w:t xml:space="preserve">Osobitné </w:t>
      </w:r>
      <w:r w:rsidR="009C491B" w:rsidRPr="008D279E">
        <w:rPr>
          <w:sz w:val="22"/>
          <w:szCs w:val="22"/>
          <w:u w:val="single"/>
        </w:rPr>
        <w:t>skupiny pacientov</w:t>
      </w:r>
    </w:p>
    <w:p w:rsidR="00295BCB" w:rsidRPr="005E28C5" w:rsidRDefault="00295BCB" w:rsidP="00295BC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8D279E" w:rsidRDefault="00F7686C" w:rsidP="00295BCB">
      <w:pPr>
        <w:adjustRightInd w:val="0"/>
        <w:snapToGrid w:val="0"/>
        <w:spacing w:after="0"/>
        <w:rPr>
          <w:i/>
          <w:sz w:val="22"/>
          <w:szCs w:val="22"/>
        </w:rPr>
      </w:pPr>
      <w:r w:rsidRPr="008D279E">
        <w:rPr>
          <w:i/>
          <w:sz w:val="22"/>
          <w:szCs w:val="22"/>
        </w:rPr>
        <w:t>Pediatrick</w:t>
      </w:r>
      <w:r w:rsidR="00AE65B2" w:rsidRPr="008D279E">
        <w:rPr>
          <w:i/>
          <w:sz w:val="22"/>
          <w:szCs w:val="22"/>
        </w:rPr>
        <w:t>á</w:t>
      </w:r>
      <w:r w:rsidRPr="008D279E">
        <w:rPr>
          <w:i/>
          <w:sz w:val="22"/>
          <w:szCs w:val="22"/>
        </w:rPr>
        <w:t xml:space="preserve"> p</w:t>
      </w:r>
      <w:r w:rsidR="00AE65B2" w:rsidRPr="008D279E">
        <w:rPr>
          <w:i/>
          <w:sz w:val="22"/>
          <w:szCs w:val="22"/>
        </w:rPr>
        <w:t>opulácia</w:t>
      </w:r>
    </w:p>
    <w:p w:rsidR="00295BCB" w:rsidRPr="000D7562" w:rsidRDefault="0024639D" w:rsidP="00295BC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Farmakokinetika ezetimibu je </w:t>
      </w:r>
      <w:r w:rsidR="00F7686C" w:rsidRPr="005E28C5">
        <w:rPr>
          <w:sz w:val="22"/>
          <w:szCs w:val="22"/>
        </w:rPr>
        <w:t>podobn</w:t>
      </w:r>
      <w:r w:rsidRPr="005E28C5">
        <w:rPr>
          <w:sz w:val="22"/>
          <w:szCs w:val="22"/>
        </w:rPr>
        <w:t>á</w:t>
      </w:r>
      <w:r w:rsidR="0020794C" w:rsidRPr="005E28C5">
        <w:rPr>
          <w:sz w:val="22"/>
          <w:szCs w:val="22"/>
        </w:rPr>
        <w:t xml:space="preserve"> </w:t>
      </w:r>
      <w:r w:rsidR="00B1099D" w:rsidRPr="005E28C5">
        <w:rPr>
          <w:sz w:val="22"/>
          <w:szCs w:val="22"/>
        </w:rPr>
        <w:t xml:space="preserve">medzi </w:t>
      </w:r>
      <w:r w:rsidR="00493FA9">
        <w:rPr>
          <w:sz w:val="22"/>
          <w:szCs w:val="22"/>
        </w:rPr>
        <w:t>deťmi nad 6 rokov</w:t>
      </w:r>
      <w:r w:rsidR="00B1099D" w:rsidRPr="005E28C5">
        <w:rPr>
          <w:sz w:val="22"/>
          <w:szCs w:val="22"/>
        </w:rPr>
        <w:t xml:space="preserve"> a</w:t>
      </w:r>
      <w:r w:rsidR="0020794C" w:rsidRPr="005E28C5">
        <w:rPr>
          <w:sz w:val="22"/>
          <w:szCs w:val="22"/>
        </w:rPr>
        <w:t> </w:t>
      </w:r>
      <w:r w:rsidR="00F7686C" w:rsidRPr="005E28C5">
        <w:rPr>
          <w:sz w:val="22"/>
          <w:szCs w:val="22"/>
        </w:rPr>
        <w:t>dospelý</w:t>
      </w:r>
      <w:r w:rsidR="00B1099D" w:rsidRPr="005E28C5">
        <w:rPr>
          <w:sz w:val="22"/>
          <w:szCs w:val="22"/>
        </w:rPr>
        <w:t>mi</w:t>
      </w:r>
      <w:r w:rsidR="00F7686C" w:rsidRPr="005E28C5">
        <w:rPr>
          <w:sz w:val="22"/>
          <w:szCs w:val="22"/>
        </w:rPr>
        <w:t xml:space="preserve">. Farmakokinetické údaje pre pediatrickú populáciu </w:t>
      </w:r>
      <w:r w:rsidR="00493FA9">
        <w:rPr>
          <w:sz w:val="22"/>
          <w:szCs w:val="22"/>
        </w:rPr>
        <w:t>do</w:t>
      </w:r>
      <w:r w:rsidRPr="0079716C">
        <w:rPr>
          <w:sz w:val="22"/>
          <w:szCs w:val="22"/>
        </w:rPr>
        <w:t> 6</w:t>
      </w:r>
      <w:r w:rsidR="00F7686C" w:rsidRPr="0079716C">
        <w:rPr>
          <w:sz w:val="22"/>
          <w:szCs w:val="22"/>
        </w:rPr>
        <w:t xml:space="preserve"> rokov nie sú</w:t>
      </w:r>
      <w:r w:rsidR="0020794C" w:rsidRPr="000D7562">
        <w:rPr>
          <w:sz w:val="22"/>
          <w:szCs w:val="22"/>
        </w:rPr>
        <w:t xml:space="preserve"> k </w:t>
      </w:r>
      <w:r w:rsidR="00F7686C" w:rsidRPr="000D7562">
        <w:rPr>
          <w:sz w:val="22"/>
          <w:szCs w:val="22"/>
        </w:rPr>
        <w:t>dispozícii. Klinick</w:t>
      </w:r>
      <w:r w:rsidR="00537D50" w:rsidRPr="000D7562">
        <w:rPr>
          <w:sz w:val="22"/>
          <w:szCs w:val="22"/>
        </w:rPr>
        <w:t>á</w:t>
      </w:r>
      <w:r w:rsidR="00F7686C" w:rsidRPr="000D7562">
        <w:rPr>
          <w:sz w:val="22"/>
          <w:szCs w:val="22"/>
        </w:rPr>
        <w:t xml:space="preserve"> skúsenos</w:t>
      </w:r>
      <w:r w:rsidR="00537D50" w:rsidRPr="000D7562">
        <w:rPr>
          <w:sz w:val="22"/>
          <w:szCs w:val="22"/>
        </w:rPr>
        <w:t>ť</w:t>
      </w:r>
      <w:r w:rsidR="0020794C" w:rsidRPr="000D7562">
        <w:rPr>
          <w:sz w:val="22"/>
          <w:szCs w:val="22"/>
        </w:rPr>
        <w:t xml:space="preserve"> u </w:t>
      </w:r>
      <w:r w:rsidR="00F7686C" w:rsidRPr="000D7562">
        <w:rPr>
          <w:sz w:val="22"/>
          <w:szCs w:val="22"/>
        </w:rPr>
        <w:t>pediatrických</w:t>
      </w:r>
      <w:r w:rsidR="0020794C" w:rsidRPr="000D7562">
        <w:rPr>
          <w:sz w:val="22"/>
          <w:szCs w:val="22"/>
        </w:rPr>
        <w:t xml:space="preserve"> a </w:t>
      </w:r>
      <w:r w:rsidR="00F7686C" w:rsidRPr="000D7562">
        <w:rPr>
          <w:sz w:val="22"/>
          <w:szCs w:val="22"/>
        </w:rPr>
        <w:t xml:space="preserve">adolescentných pacientov </w:t>
      </w:r>
      <w:r w:rsidR="00232227" w:rsidRPr="000D7562">
        <w:rPr>
          <w:sz w:val="22"/>
          <w:szCs w:val="22"/>
        </w:rPr>
        <w:t>zahŕňa</w:t>
      </w:r>
      <w:r w:rsidR="00F7686C" w:rsidRPr="000D7562">
        <w:rPr>
          <w:sz w:val="22"/>
          <w:szCs w:val="22"/>
        </w:rPr>
        <w:t xml:space="preserve"> pacientov</w:t>
      </w:r>
      <w:r w:rsidR="0020794C" w:rsidRPr="000D7562">
        <w:rPr>
          <w:sz w:val="22"/>
          <w:szCs w:val="22"/>
        </w:rPr>
        <w:t xml:space="preserve"> s</w:t>
      </w:r>
      <w:r w:rsidR="008D279E">
        <w:rPr>
          <w:sz w:val="22"/>
          <w:szCs w:val="22"/>
        </w:rPr>
        <w:t> </w:t>
      </w:r>
      <w:r w:rsidR="00F7686C" w:rsidRPr="000D7562">
        <w:rPr>
          <w:sz w:val="22"/>
          <w:szCs w:val="22"/>
        </w:rPr>
        <w:t>HoFH</w:t>
      </w:r>
      <w:r w:rsidR="008D279E">
        <w:rPr>
          <w:sz w:val="22"/>
          <w:szCs w:val="22"/>
        </w:rPr>
        <w:t>,</w:t>
      </w:r>
      <w:r w:rsidR="00232227" w:rsidRPr="000D7562">
        <w:rPr>
          <w:sz w:val="22"/>
          <w:szCs w:val="22"/>
        </w:rPr>
        <w:t xml:space="preserve"> HeFH</w:t>
      </w:r>
      <w:r w:rsidR="008D279E" w:rsidRPr="00556250">
        <w:rPr>
          <w:sz w:val="22"/>
          <w:szCs w:val="22"/>
        </w:rPr>
        <w:t>.</w:t>
      </w:r>
    </w:p>
    <w:p w:rsidR="00295BCB" w:rsidRPr="00CC5179" w:rsidRDefault="00295BCB" w:rsidP="00295BC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8D279E" w:rsidRDefault="00295BCB" w:rsidP="00295BCB">
      <w:pPr>
        <w:adjustRightInd w:val="0"/>
        <w:snapToGrid w:val="0"/>
        <w:spacing w:after="0"/>
        <w:rPr>
          <w:i/>
          <w:sz w:val="22"/>
          <w:szCs w:val="22"/>
        </w:rPr>
      </w:pPr>
      <w:r w:rsidRPr="008D279E">
        <w:rPr>
          <w:i/>
          <w:sz w:val="22"/>
          <w:szCs w:val="22"/>
        </w:rPr>
        <w:t xml:space="preserve">Starší </w:t>
      </w:r>
      <w:r w:rsidR="00493FA9">
        <w:rPr>
          <w:i/>
          <w:sz w:val="22"/>
          <w:szCs w:val="22"/>
        </w:rPr>
        <w:t>pacienti</w:t>
      </w:r>
    </w:p>
    <w:p w:rsidR="00295BCB" w:rsidRPr="005E28C5" w:rsidRDefault="00F7686C" w:rsidP="00295BCB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Plazmatické koncentrácie celkového ezetimibu sú asi 2-násobne vyššie</w:t>
      </w:r>
      <w:r w:rsidR="0020794C" w:rsidRPr="005E28C5">
        <w:rPr>
          <w:sz w:val="22"/>
          <w:szCs w:val="22"/>
        </w:rPr>
        <w:t xml:space="preserve"> u</w:t>
      </w:r>
      <w:r w:rsidR="00295BCB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starších</w:t>
      </w:r>
      <w:r w:rsidR="00295BCB" w:rsidRPr="005E28C5">
        <w:rPr>
          <w:sz w:val="22"/>
          <w:szCs w:val="22"/>
        </w:rPr>
        <w:t xml:space="preserve"> ľudí</w:t>
      </w:r>
      <w:r w:rsidRPr="005E28C5">
        <w:rPr>
          <w:sz w:val="22"/>
          <w:szCs w:val="22"/>
        </w:rPr>
        <w:t xml:space="preserve"> (</w:t>
      </w:r>
      <w:r w:rsidR="00340272" w:rsidRPr="005E28C5">
        <w:rPr>
          <w:sz w:val="22"/>
          <w:szCs w:val="22"/>
        </w:rPr>
        <w:t>≥</w:t>
      </w:r>
      <w:r w:rsidR="00493FA9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65 ro</w:t>
      </w:r>
      <w:r w:rsidR="00493FA9">
        <w:rPr>
          <w:sz w:val="22"/>
          <w:szCs w:val="22"/>
        </w:rPr>
        <w:t>kov</w:t>
      </w:r>
      <w:r w:rsidRPr="005E28C5">
        <w:rPr>
          <w:sz w:val="22"/>
          <w:szCs w:val="22"/>
        </w:rPr>
        <w:t>) ako</w:t>
      </w:r>
      <w:r w:rsidR="0020794C" w:rsidRPr="005E28C5">
        <w:rPr>
          <w:sz w:val="22"/>
          <w:szCs w:val="22"/>
        </w:rPr>
        <w:t xml:space="preserve"> u ml</w:t>
      </w:r>
      <w:r w:rsidRPr="005E28C5">
        <w:rPr>
          <w:sz w:val="22"/>
          <w:szCs w:val="22"/>
        </w:rPr>
        <w:t>adých (18 až 45 ročných). Zníženie LDL-C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bezpečnostný profil sú porovnateľné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starších</w:t>
      </w:r>
      <w:r w:rsidR="0020794C" w:rsidRPr="005E28C5">
        <w:rPr>
          <w:sz w:val="22"/>
          <w:szCs w:val="22"/>
        </w:rPr>
        <w:t xml:space="preserve"> </w:t>
      </w:r>
      <w:r w:rsidR="00493FA9">
        <w:rPr>
          <w:sz w:val="22"/>
          <w:szCs w:val="22"/>
        </w:rPr>
        <w:t>pacientov</w:t>
      </w:r>
      <w:r w:rsidR="00493FA9" w:rsidRPr="005E28C5">
        <w:rPr>
          <w:sz w:val="22"/>
          <w:szCs w:val="22"/>
        </w:rPr>
        <w:t xml:space="preserve"> </w:t>
      </w:r>
      <w:r w:rsidR="0020794C" w:rsidRPr="005E28C5">
        <w:rPr>
          <w:sz w:val="22"/>
          <w:szCs w:val="22"/>
        </w:rPr>
        <w:t>a ml</w:t>
      </w:r>
      <w:r w:rsidRPr="005E28C5">
        <w:rPr>
          <w:sz w:val="22"/>
          <w:szCs w:val="22"/>
        </w:rPr>
        <w:t xml:space="preserve">adých </w:t>
      </w:r>
      <w:r w:rsidR="00972050">
        <w:rPr>
          <w:sz w:val="22"/>
          <w:szCs w:val="22"/>
        </w:rPr>
        <w:t>osôb</w:t>
      </w:r>
      <w:r w:rsidRPr="005E28C5">
        <w:rPr>
          <w:sz w:val="22"/>
          <w:szCs w:val="22"/>
        </w:rPr>
        <w:t xml:space="preserve"> liečených </w:t>
      </w:r>
      <w:r w:rsidR="00295BCB" w:rsidRPr="005E28C5">
        <w:rPr>
          <w:sz w:val="22"/>
          <w:szCs w:val="22"/>
        </w:rPr>
        <w:t>ezetimibom</w:t>
      </w:r>
      <w:r w:rsidRPr="005E28C5">
        <w:rPr>
          <w:sz w:val="22"/>
          <w:szCs w:val="22"/>
        </w:rPr>
        <w:t>. Preto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 xml:space="preserve">starších </w:t>
      </w:r>
      <w:r w:rsidR="00972050">
        <w:rPr>
          <w:sz w:val="22"/>
          <w:szCs w:val="22"/>
        </w:rPr>
        <w:t>pacientov</w:t>
      </w:r>
      <w:r w:rsidR="00972050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nie je nutná úprava dávkovania.</w:t>
      </w:r>
    </w:p>
    <w:p w:rsidR="00295BCB" w:rsidRPr="005E28C5" w:rsidRDefault="00295BCB" w:rsidP="00295BCB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8D279E" w:rsidRDefault="00295BCB" w:rsidP="00295BCB">
      <w:pPr>
        <w:adjustRightInd w:val="0"/>
        <w:snapToGrid w:val="0"/>
        <w:spacing w:after="0"/>
        <w:rPr>
          <w:i/>
          <w:sz w:val="22"/>
          <w:szCs w:val="22"/>
        </w:rPr>
      </w:pPr>
      <w:r w:rsidRPr="008D279E">
        <w:rPr>
          <w:i/>
          <w:sz w:val="22"/>
          <w:szCs w:val="22"/>
        </w:rPr>
        <w:t>Porucha funkcie pečene</w:t>
      </w:r>
    </w:p>
    <w:p w:rsidR="00E02002" w:rsidRPr="005E28C5" w:rsidRDefault="00F7686C" w:rsidP="00E02002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Po podaní jednorazovej dávky 10</w:t>
      </w:r>
      <w:r w:rsidR="002204A7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mg ezetimibu stúpla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 xml:space="preserve">miernou </w:t>
      </w:r>
      <w:r w:rsidR="00295BCB" w:rsidRPr="005E28C5">
        <w:rPr>
          <w:sz w:val="22"/>
          <w:szCs w:val="22"/>
        </w:rPr>
        <w:t>poruchou funkcie pečene</w:t>
      </w:r>
      <w:r w:rsidRPr="005E28C5">
        <w:rPr>
          <w:sz w:val="22"/>
          <w:szCs w:val="22"/>
        </w:rPr>
        <w:t xml:space="preserve"> (Child</w:t>
      </w:r>
      <w:r w:rsidR="006E104B" w:rsidRPr="005E28C5">
        <w:rPr>
          <w:sz w:val="22"/>
          <w:szCs w:val="22"/>
        </w:rPr>
        <w:t>ovo</w:t>
      </w:r>
      <w:r w:rsidRPr="005E28C5">
        <w:rPr>
          <w:sz w:val="22"/>
          <w:szCs w:val="22"/>
        </w:rPr>
        <w:t>-Pughovo skóre 5 alebo 6)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porovnaní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zdravými jedincami priemerná AUC celkového ezetimibu približne 1,7-krát.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14-d</w:t>
      </w:r>
      <w:r w:rsidR="005E25D2" w:rsidRPr="005E28C5">
        <w:rPr>
          <w:sz w:val="22"/>
          <w:szCs w:val="22"/>
        </w:rPr>
        <w:t xml:space="preserve">ňovej štúdii opakovaných dávok </w:t>
      </w:r>
      <w:r w:rsidRPr="005E28C5">
        <w:rPr>
          <w:sz w:val="22"/>
          <w:szCs w:val="22"/>
        </w:rPr>
        <w:t>(10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 xml:space="preserve"> denne)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 xml:space="preserve">stredne ťažkou </w:t>
      </w:r>
      <w:r w:rsidR="00E02002" w:rsidRPr="005E28C5">
        <w:rPr>
          <w:sz w:val="22"/>
          <w:szCs w:val="22"/>
        </w:rPr>
        <w:t>poruchou funkcie pečene</w:t>
      </w:r>
      <w:r w:rsidRPr="005E28C5">
        <w:rPr>
          <w:sz w:val="22"/>
          <w:szCs w:val="22"/>
        </w:rPr>
        <w:t xml:space="preserve"> (Child</w:t>
      </w:r>
      <w:r w:rsidR="006E104B" w:rsidRPr="005E28C5">
        <w:rPr>
          <w:sz w:val="22"/>
          <w:szCs w:val="22"/>
        </w:rPr>
        <w:t>ovo</w:t>
      </w:r>
      <w:r w:rsidRPr="005E28C5">
        <w:rPr>
          <w:sz w:val="22"/>
          <w:szCs w:val="22"/>
        </w:rPr>
        <w:t xml:space="preserve">-Pughovo skóre 7 až 9) stúpla priemerná AUC </w:t>
      </w:r>
      <w:r w:rsidRPr="005E28C5">
        <w:rPr>
          <w:sz w:val="22"/>
          <w:szCs w:val="22"/>
        </w:rPr>
        <w:lastRenderedPageBreak/>
        <w:t>celkového ezetimibu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1.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14. deň štvornásobne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porovnaní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zdravými jedincami.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 xml:space="preserve">miernou </w:t>
      </w:r>
      <w:r w:rsidR="00E02002" w:rsidRPr="005E28C5">
        <w:rPr>
          <w:sz w:val="22"/>
          <w:szCs w:val="22"/>
        </w:rPr>
        <w:t>poruchou funkcie pečene</w:t>
      </w:r>
      <w:r w:rsidRPr="005E28C5">
        <w:rPr>
          <w:sz w:val="22"/>
          <w:szCs w:val="22"/>
        </w:rPr>
        <w:t xml:space="preserve"> nie je nutná úprava dávkovania. Vzhľadom na neznáme účinky zvýšenej expozície ezetimibu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stredne ťažkou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ťažkou </w:t>
      </w:r>
      <w:r w:rsidR="00E02002" w:rsidRPr="005E28C5">
        <w:rPr>
          <w:sz w:val="22"/>
          <w:szCs w:val="22"/>
        </w:rPr>
        <w:t>poruchou funkcie pečene</w:t>
      </w:r>
      <w:r w:rsidRPr="005E28C5">
        <w:rPr>
          <w:sz w:val="22"/>
          <w:szCs w:val="22"/>
        </w:rPr>
        <w:t xml:space="preserve"> (Child</w:t>
      </w:r>
      <w:r w:rsidR="006E104B" w:rsidRPr="005E28C5">
        <w:rPr>
          <w:sz w:val="22"/>
          <w:szCs w:val="22"/>
        </w:rPr>
        <w:t>ovo</w:t>
      </w:r>
      <w:r w:rsidRPr="005E28C5">
        <w:rPr>
          <w:sz w:val="22"/>
          <w:szCs w:val="22"/>
        </w:rPr>
        <w:t xml:space="preserve">-Pughovo skóre </w:t>
      </w:r>
      <w:r w:rsidR="00340272" w:rsidRPr="005E28C5">
        <w:rPr>
          <w:sz w:val="22"/>
          <w:szCs w:val="22"/>
        </w:rPr>
        <w:t>&gt;</w:t>
      </w:r>
      <w:r w:rsidR="00972050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9) sa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 xml:space="preserve">týchto pacientov </w:t>
      </w:r>
      <w:r w:rsidR="00E02002" w:rsidRPr="005E28C5">
        <w:rPr>
          <w:sz w:val="22"/>
          <w:szCs w:val="22"/>
        </w:rPr>
        <w:t>ezetimib</w:t>
      </w:r>
      <w:r w:rsidR="00901D84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neodporúča (pozri časť 4.4).</w:t>
      </w:r>
    </w:p>
    <w:p w:rsidR="00E02002" w:rsidRPr="005E28C5" w:rsidRDefault="00E02002" w:rsidP="00E02002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DB3B7B" w:rsidRDefault="00E02002" w:rsidP="00E02002">
      <w:pPr>
        <w:adjustRightInd w:val="0"/>
        <w:snapToGrid w:val="0"/>
        <w:spacing w:after="0"/>
        <w:rPr>
          <w:i/>
          <w:sz w:val="22"/>
          <w:szCs w:val="22"/>
        </w:rPr>
      </w:pPr>
      <w:r w:rsidRPr="00DB3B7B">
        <w:rPr>
          <w:i/>
          <w:sz w:val="22"/>
          <w:szCs w:val="22"/>
        </w:rPr>
        <w:t>Porucha funkcie obličiek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Po podaní jednorazovej 10-mg dávky ezetimibu stúpla priemerná AUC celkového ezetimibu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ťažk</w:t>
      </w:r>
      <w:r w:rsidR="00E02002" w:rsidRPr="005E28C5">
        <w:rPr>
          <w:sz w:val="22"/>
          <w:szCs w:val="22"/>
        </w:rPr>
        <w:t>ou</w:t>
      </w:r>
      <w:r w:rsidRPr="005E28C5">
        <w:rPr>
          <w:sz w:val="22"/>
          <w:szCs w:val="22"/>
        </w:rPr>
        <w:t xml:space="preserve"> </w:t>
      </w:r>
      <w:r w:rsidR="00E02002" w:rsidRPr="005E28C5">
        <w:rPr>
          <w:sz w:val="22"/>
          <w:szCs w:val="22"/>
        </w:rPr>
        <w:t>poruchou funkcie obličiek</w:t>
      </w:r>
      <w:r w:rsidRPr="005E28C5">
        <w:rPr>
          <w:sz w:val="22"/>
          <w:szCs w:val="22"/>
        </w:rPr>
        <w:t xml:space="preserve"> (n=8; priemerný klírens kreatinínu </w:t>
      </w:r>
      <w:r w:rsidR="00340272" w:rsidRPr="005E28C5">
        <w:rPr>
          <w:sz w:val="22"/>
          <w:szCs w:val="22"/>
        </w:rPr>
        <w:t>≤</w:t>
      </w:r>
      <w:r w:rsidR="00972050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30</w:t>
      </w:r>
      <w:r w:rsidR="0020794C" w:rsidRPr="005E28C5">
        <w:rPr>
          <w:sz w:val="22"/>
          <w:szCs w:val="22"/>
        </w:rPr>
        <w:t> ml</w:t>
      </w:r>
      <w:r w:rsidRPr="005E28C5">
        <w:rPr>
          <w:sz w:val="22"/>
          <w:szCs w:val="22"/>
        </w:rPr>
        <w:t>/min</w:t>
      </w:r>
      <w:r w:rsidR="007C415F" w:rsidRPr="005E28C5">
        <w:rPr>
          <w:sz w:val="22"/>
          <w:szCs w:val="22"/>
        </w:rPr>
        <w:t>/1,73 m</w:t>
      </w:r>
      <w:r w:rsidR="007C415F" w:rsidRPr="005E28C5">
        <w:rPr>
          <w:sz w:val="22"/>
          <w:szCs w:val="22"/>
          <w:vertAlign w:val="superscript"/>
        </w:rPr>
        <w:t>2</w:t>
      </w:r>
      <w:r w:rsidRPr="005E28C5">
        <w:rPr>
          <w:sz w:val="22"/>
          <w:szCs w:val="22"/>
        </w:rPr>
        <w:t>)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porovnaní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zdravými jedincami (n=9) približne 1,5-krát. Tento výsledok nie je považovaný za klinicky významný.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pacientov</w:t>
      </w:r>
      <w:r w:rsidR="0020794C" w:rsidRPr="005E28C5">
        <w:rPr>
          <w:sz w:val="22"/>
          <w:szCs w:val="22"/>
        </w:rPr>
        <w:t xml:space="preserve"> s</w:t>
      </w:r>
      <w:r w:rsidR="00E02002" w:rsidRPr="005E28C5">
        <w:rPr>
          <w:sz w:val="22"/>
          <w:szCs w:val="22"/>
        </w:rPr>
        <w:t> poruchou funkcie obličiek</w:t>
      </w:r>
      <w:r w:rsidRPr="005E28C5">
        <w:rPr>
          <w:sz w:val="22"/>
          <w:szCs w:val="22"/>
        </w:rPr>
        <w:t xml:space="preserve"> nie je potrebná úprava dávkovania.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E02002" w:rsidRPr="005E28C5" w:rsidRDefault="00F7686C" w:rsidP="00E02002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Ďalší pacient</w:t>
      </w:r>
      <w:r w:rsidR="0020794C" w:rsidRPr="005E28C5">
        <w:rPr>
          <w:sz w:val="22"/>
          <w:szCs w:val="22"/>
        </w:rPr>
        <w:t xml:space="preserve"> v </w:t>
      </w:r>
      <w:r w:rsidR="009F7084" w:rsidRPr="009F7084">
        <w:rPr>
          <w:sz w:val="22"/>
          <w:szCs w:val="22"/>
        </w:rPr>
        <w:t>klinická štúdia</w:t>
      </w:r>
      <w:r w:rsidR="009F7084" w:rsidRPr="009F7084" w:rsidDel="009F7084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(príjemca transplantovanej obličky, ktorý dostával mnohopočetnú liečbu vrátane cyklosporínu) mal 12-násobne vyššiu expozíciu</w:t>
      </w:r>
      <w:r w:rsidR="0020794C" w:rsidRPr="005E28C5">
        <w:rPr>
          <w:sz w:val="22"/>
          <w:szCs w:val="22"/>
        </w:rPr>
        <w:t xml:space="preserve">  </w:t>
      </w:r>
      <w:r w:rsidRPr="005E28C5">
        <w:rPr>
          <w:sz w:val="22"/>
          <w:szCs w:val="22"/>
        </w:rPr>
        <w:t>celkovému ezetimibu.</w:t>
      </w:r>
    </w:p>
    <w:p w:rsidR="00E02002" w:rsidRPr="005E28C5" w:rsidRDefault="00E02002" w:rsidP="00E02002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DB3B7B" w:rsidRDefault="00F7686C" w:rsidP="00E02002">
      <w:pPr>
        <w:adjustRightInd w:val="0"/>
        <w:snapToGrid w:val="0"/>
        <w:spacing w:after="0"/>
        <w:rPr>
          <w:sz w:val="22"/>
          <w:szCs w:val="22"/>
        </w:rPr>
      </w:pPr>
      <w:r w:rsidRPr="00DB3B7B">
        <w:rPr>
          <w:sz w:val="22"/>
          <w:szCs w:val="22"/>
        </w:rPr>
        <w:t>Pohlavie</w:t>
      </w:r>
    </w:p>
    <w:p w:rsidR="00E02002" w:rsidRPr="005E28C5" w:rsidRDefault="00F7686C" w:rsidP="00E02002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Plazmatické koncentrácie celkového ezetimibu sú mierne vyššie (približne</w:t>
      </w:r>
      <w:r w:rsidR="005C4767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20</w:t>
      </w:r>
      <w:r w:rsidR="0020794C" w:rsidRPr="005E28C5">
        <w:rPr>
          <w:sz w:val="22"/>
          <w:szCs w:val="22"/>
        </w:rPr>
        <w:t> %</w:t>
      </w:r>
      <w:r w:rsidRPr="005E28C5">
        <w:rPr>
          <w:sz w:val="22"/>
          <w:szCs w:val="22"/>
        </w:rPr>
        <w:t>)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žien ako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mužov. Zníženie LDL-C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bezpečnostný profil sú porovnateľné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mužov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žien liečených</w:t>
      </w:r>
      <w:r w:rsidR="00A17C59" w:rsidRPr="005E28C5">
        <w:rPr>
          <w:sz w:val="22"/>
          <w:szCs w:val="22"/>
        </w:rPr>
        <w:t xml:space="preserve"> </w:t>
      </w:r>
      <w:r w:rsidR="00E02002" w:rsidRPr="005E28C5">
        <w:rPr>
          <w:sz w:val="22"/>
          <w:szCs w:val="22"/>
        </w:rPr>
        <w:t>ezetimibom</w:t>
      </w:r>
      <w:r w:rsidRPr="005E28C5">
        <w:rPr>
          <w:sz w:val="22"/>
          <w:szCs w:val="22"/>
        </w:rPr>
        <w:t xml:space="preserve">. Preto nie je </w:t>
      </w:r>
      <w:r w:rsidR="00A17C59" w:rsidRPr="005E28C5">
        <w:rPr>
          <w:sz w:val="22"/>
          <w:szCs w:val="22"/>
        </w:rPr>
        <w:t xml:space="preserve">vzhľadom na pohlavie </w:t>
      </w:r>
      <w:r w:rsidRPr="005E28C5">
        <w:rPr>
          <w:sz w:val="22"/>
          <w:szCs w:val="22"/>
        </w:rPr>
        <w:t>nutná úprava dávkovania.</w:t>
      </w:r>
    </w:p>
    <w:p w:rsidR="00E02002" w:rsidRPr="005E28C5" w:rsidRDefault="00E02002" w:rsidP="00E02002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E02002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5.3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Predklinické údaje</w:t>
      </w:r>
      <w:r w:rsidR="0020794C" w:rsidRPr="005E28C5">
        <w:rPr>
          <w:b/>
          <w:sz w:val="22"/>
          <w:szCs w:val="22"/>
        </w:rPr>
        <w:t xml:space="preserve"> o </w:t>
      </w:r>
      <w:r w:rsidR="00F7686C" w:rsidRPr="005E28C5">
        <w:rPr>
          <w:b/>
          <w:sz w:val="22"/>
          <w:szCs w:val="22"/>
        </w:rPr>
        <w:t>bezpečnosti</w:t>
      </w:r>
    </w:p>
    <w:p w:rsidR="00E02002" w:rsidRPr="005E28C5" w:rsidRDefault="00E02002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Štúdie </w:t>
      </w:r>
      <w:r w:rsidR="00972050">
        <w:rPr>
          <w:sz w:val="22"/>
          <w:szCs w:val="22"/>
        </w:rPr>
        <w:t xml:space="preserve">chronickej </w:t>
      </w:r>
      <w:r w:rsidRPr="005E28C5">
        <w:rPr>
          <w:sz w:val="22"/>
          <w:szCs w:val="22"/>
        </w:rPr>
        <w:t>toxicity</w:t>
      </w:r>
      <w:r w:rsidR="00972050">
        <w:rPr>
          <w:sz w:val="22"/>
          <w:szCs w:val="22"/>
        </w:rPr>
        <w:t xml:space="preserve"> ezetimibu</w:t>
      </w:r>
      <w:r w:rsidRPr="005E28C5">
        <w:rPr>
          <w:sz w:val="22"/>
          <w:szCs w:val="22"/>
        </w:rPr>
        <w:t xml:space="preserve"> na zvieratách neidentifikovali žiadn</w:t>
      </w:r>
      <w:r w:rsidR="002A25F4" w:rsidRPr="005E28C5">
        <w:rPr>
          <w:sz w:val="22"/>
          <w:szCs w:val="22"/>
        </w:rPr>
        <w:t>y</w:t>
      </w:r>
      <w:r w:rsidRPr="005E28C5">
        <w:rPr>
          <w:sz w:val="22"/>
          <w:szCs w:val="22"/>
        </w:rPr>
        <w:t xml:space="preserve"> cieľový orgán pre toxick</w:t>
      </w:r>
      <w:r w:rsidR="00CA2614" w:rsidRPr="005E28C5">
        <w:rPr>
          <w:sz w:val="22"/>
          <w:szCs w:val="22"/>
        </w:rPr>
        <w:t>é</w:t>
      </w:r>
      <w:r w:rsidRPr="005E28C5">
        <w:rPr>
          <w:sz w:val="22"/>
          <w:szCs w:val="22"/>
        </w:rPr>
        <w:t xml:space="preserve"> účink</w:t>
      </w:r>
      <w:r w:rsidR="00CA2614" w:rsidRPr="005E28C5">
        <w:rPr>
          <w:sz w:val="22"/>
          <w:szCs w:val="22"/>
        </w:rPr>
        <w:t>y</w:t>
      </w:r>
      <w:r w:rsidRPr="005E28C5">
        <w:rPr>
          <w:sz w:val="22"/>
          <w:szCs w:val="22"/>
        </w:rPr>
        <w:t>.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psov liečených štyri týždne ezetimibom (</w:t>
      </w:r>
      <w:r w:rsidR="00340272" w:rsidRPr="005E28C5">
        <w:rPr>
          <w:sz w:val="22"/>
          <w:szCs w:val="22"/>
        </w:rPr>
        <w:t>≥</w:t>
      </w:r>
      <w:r w:rsidR="00972050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0,03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/kg/deň) sa koncentrácia cholesterolu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žlčníkovej žlči zvýšila 2,5</w:t>
      </w:r>
      <w:r w:rsidR="00972050">
        <w:rPr>
          <w:sz w:val="22"/>
          <w:szCs w:val="22"/>
        </w:rPr>
        <w:t>-</w:t>
      </w:r>
      <w:r w:rsidRPr="005E28C5">
        <w:rPr>
          <w:sz w:val="22"/>
          <w:szCs w:val="22"/>
        </w:rPr>
        <w:t xml:space="preserve"> až 3,5-krát.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jeden rok trvajúcej štúdii na psoch, ktor</w:t>
      </w:r>
      <w:r w:rsidR="006E104B" w:rsidRPr="005E28C5">
        <w:rPr>
          <w:sz w:val="22"/>
          <w:szCs w:val="22"/>
        </w:rPr>
        <w:t>é</w:t>
      </w:r>
      <w:r w:rsidRPr="005E28C5">
        <w:rPr>
          <w:sz w:val="22"/>
          <w:szCs w:val="22"/>
        </w:rPr>
        <w:t xml:space="preserve"> dostávali dávky až do 300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/kg/deň</w:t>
      </w:r>
      <w:r w:rsidR="006E104B" w:rsidRPr="005E28C5">
        <w:rPr>
          <w:sz w:val="22"/>
          <w:szCs w:val="22"/>
        </w:rPr>
        <w:t>,</w:t>
      </w:r>
      <w:r w:rsidRPr="005E28C5">
        <w:rPr>
          <w:sz w:val="22"/>
          <w:szCs w:val="22"/>
        </w:rPr>
        <w:t xml:space="preserve"> sa však nepozorovalo zvýšenie incidencie cholelitiázy alebo iné hepatobiliárne účinky. Významnosť týchto údajov pre ľudí nie je známa. Riziko litogenity pri terapeutickom použití </w:t>
      </w:r>
      <w:r w:rsidR="004A04AC" w:rsidRPr="005E28C5">
        <w:rPr>
          <w:sz w:val="22"/>
          <w:szCs w:val="22"/>
        </w:rPr>
        <w:t>ezetimibu</w:t>
      </w:r>
      <w:r w:rsidR="00901D84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sa nedá vylúčiť.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V</w:t>
      </w:r>
      <w:r w:rsidR="005C4767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štúdiách súčasného podávania ezetimibu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statínov boli pozorované </w:t>
      </w:r>
      <w:r w:rsidR="00334A58">
        <w:rPr>
          <w:sz w:val="22"/>
          <w:szCs w:val="22"/>
        </w:rPr>
        <w:t xml:space="preserve">rovnaké </w:t>
      </w:r>
      <w:r w:rsidRPr="005E28C5">
        <w:rPr>
          <w:sz w:val="22"/>
          <w:szCs w:val="22"/>
        </w:rPr>
        <w:t>toxické účinky, aké sú typicky spojené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užívaním statínov. Niektoré</w:t>
      </w:r>
      <w:r w:rsidR="0020794C" w:rsidRPr="005E28C5">
        <w:rPr>
          <w:sz w:val="22"/>
          <w:szCs w:val="22"/>
        </w:rPr>
        <w:t xml:space="preserve"> z </w:t>
      </w:r>
      <w:r w:rsidRPr="005E28C5">
        <w:rPr>
          <w:sz w:val="22"/>
          <w:szCs w:val="22"/>
        </w:rPr>
        <w:t>toxických</w:t>
      </w:r>
      <w:r w:rsidR="005C4767" w:rsidRPr="005E28C5">
        <w:rPr>
          <w:sz w:val="22"/>
          <w:szCs w:val="22"/>
        </w:rPr>
        <w:t xml:space="preserve"> </w:t>
      </w:r>
      <w:r w:rsidRPr="005E28C5">
        <w:rPr>
          <w:sz w:val="22"/>
          <w:szCs w:val="22"/>
        </w:rPr>
        <w:t>účinkov boli výraznejšie ako pozorované pri liečbe samostatnými statínmi. Toto sa pripisuje farmakokinetickým</w:t>
      </w:r>
      <w:r w:rsidR="004A04A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 xml:space="preserve">farmakodynamickým interakciám </w:t>
      </w:r>
      <w:r w:rsidR="00972050">
        <w:rPr>
          <w:sz w:val="22"/>
          <w:szCs w:val="22"/>
        </w:rPr>
        <w:t xml:space="preserve">súbežnej </w:t>
      </w:r>
      <w:r w:rsidRPr="005E28C5">
        <w:rPr>
          <w:sz w:val="22"/>
          <w:szCs w:val="22"/>
        </w:rPr>
        <w:t>liečby.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klinických štúdiách sa neobjavili žiadne takéto interakcie. Myopatie sa objavili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potkanov až po vystavení dávkam, ktoré boli niekoľkonásobne vyššie ako ľudské terapeutické dávky (približne 20-násobok AUC pre statíny</w:t>
      </w:r>
      <w:r w:rsidR="0020794C" w:rsidRPr="005E28C5">
        <w:rPr>
          <w:sz w:val="22"/>
          <w:szCs w:val="22"/>
        </w:rPr>
        <w:t xml:space="preserve"> a</w:t>
      </w:r>
      <w:r w:rsidR="00972050">
        <w:rPr>
          <w:sz w:val="22"/>
          <w:szCs w:val="22"/>
        </w:rPr>
        <w:t> </w:t>
      </w:r>
      <w:r w:rsidRPr="005E28C5">
        <w:rPr>
          <w:sz w:val="22"/>
          <w:szCs w:val="22"/>
        </w:rPr>
        <w:t>500</w:t>
      </w:r>
      <w:r w:rsidR="00972050">
        <w:rPr>
          <w:sz w:val="22"/>
          <w:szCs w:val="22"/>
        </w:rPr>
        <w:t>-</w:t>
      </w:r>
      <w:r w:rsidRPr="005E28C5">
        <w:rPr>
          <w:sz w:val="22"/>
          <w:szCs w:val="22"/>
        </w:rPr>
        <w:t xml:space="preserve"> až 2</w:t>
      </w:r>
      <w:r w:rsidR="00206018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000-násobok AUC pre aktívne metabolity).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V sérii </w:t>
      </w:r>
      <w:r w:rsidRPr="005E28C5">
        <w:rPr>
          <w:i/>
          <w:sz w:val="22"/>
          <w:szCs w:val="22"/>
        </w:rPr>
        <w:t>in vivo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i/>
          <w:sz w:val="22"/>
          <w:szCs w:val="22"/>
        </w:rPr>
        <w:t xml:space="preserve">in vitro </w:t>
      </w:r>
      <w:r w:rsidRPr="005E28C5">
        <w:rPr>
          <w:sz w:val="22"/>
          <w:szCs w:val="22"/>
        </w:rPr>
        <w:t>hodnotení ezetimib podávaný samostatne alebo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kombinácii</w:t>
      </w:r>
      <w:r w:rsidR="0020794C" w:rsidRPr="005E28C5">
        <w:rPr>
          <w:sz w:val="22"/>
          <w:szCs w:val="22"/>
        </w:rPr>
        <w:t xml:space="preserve"> so </w:t>
      </w:r>
      <w:r w:rsidRPr="005E28C5">
        <w:rPr>
          <w:sz w:val="22"/>
          <w:szCs w:val="22"/>
        </w:rPr>
        <w:t>statínmi neprejavil žiadn</w:t>
      </w:r>
      <w:r w:rsidR="002A25F4" w:rsidRPr="005E28C5">
        <w:rPr>
          <w:sz w:val="22"/>
          <w:szCs w:val="22"/>
        </w:rPr>
        <w:t>y</w:t>
      </w:r>
      <w:r w:rsidRPr="005E28C5">
        <w:rPr>
          <w:sz w:val="22"/>
          <w:szCs w:val="22"/>
        </w:rPr>
        <w:t xml:space="preserve"> genotoxický potenciál. Dlhodobé testy karcinogenity ezetimibu boli negatívne.</w:t>
      </w:r>
    </w:p>
    <w:p w:rsidR="00F7686C" w:rsidRPr="005E28C5" w:rsidRDefault="00F7686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4A04AC" w:rsidRPr="005E28C5" w:rsidRDefault="00F7686C" w:rsidP="004A04AC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Ezetimib nemal žiadn</w:t>
      </w:r>
      <w:r w:rsidR="002A25F4" w:rsidRPr="005E28C5">
        <w:rPr>
          <w:sz w:val="22"/>
          <w:szCs w:val="22"/>
        </w:rPr>
        <w:t>y</w:t>
      </w:r>
      <w:r w:rsidRPr="005E28C5">
        <w:rPr>
          <w:sz w:val="22"/>
          <w:szCs w:val="22"/>
        </w:rPr>
        <w:t xml:space="preserve"> vplyv na fertilitu samcov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samíc potkanov, ani sa nezistila jeho teratoge</w:t>
      </w:r>
      <w:r w:rsidR="00972050">
        <w:rPr>
          <w:sz w:val="22"/>
          <w:szCs w:val="22"/>
        </w:rPr>
        <w:t>nita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potkanov alebo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králikov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nemal ani vplyv na prenatálny alebo postnatálny výv</w:t>
      </w:r>
      <w:r w:rsidR="00972050">
        <w:rPr>
          <w:sz w:val="22"/>
          <w:szCs w:val="22"/>
        </w:rPr>
        <w:t>in</w:t>
      </w:r>
      <w:r w:rsidR="00666957">
        <w:rPr>
          <w:sz w:val="22"/>
          <w:szCs w:val="22"/>
        </w:rPr>
        <w:t>.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gravidných potkanov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králikov, ktor</w:t>
      </w:r>
      <w:r w:rsidR="002204A7" w:rsidRPr="005E28C5">
        <w:rPr>
          <w:sz w:val="22"/>
          <w:szCs w:val="22"/>
        </w:rPr>
        <w:t>é</w:t>
      </w:r>
      <w:r w:rsidRPr="005E28C5">
        <w:rPr>
          <w:sz w:val="22"/>
          <w:szCs w:val="22"/>
        </w:rPr>
        <w:t xml:space="preserve"> dostali opakované dávky ezetimibu 1</w:t>
      </w:r>
      <w:r w:rsidR="006E104B" w:rsidRPr="005E28C5">
        <w:rPr>
          <w:sz w:val="22"/>
          <w:szCs w:val="22"/>
        </w:rPr>
        <w:t> </w:t>
      </w:r>
      <w:r w:rsidRPr="005E28C5">
        <w:rPr>
          <w:sz w:val="22"/>
          <w:szCs w:val="22"/>
        </w:rPr>
        <w:t>000</w:t>
      </w:r>
      <w:r w:rsidR="0020794C" w:rsidRPr="005E28C5">
        <w:rPr>
          <w:sz w:val="22"/>
          <w:szCs w:val="22"/>
        </w:rPr>
        <w:t> mg</w:t>
      </w:r>
      <w:r w:rsidRPr="005E28C5">
        <w:rPr>
          <w:sz w:val="22"/>
          <w:szCs w:val="22"/>
        </w:rPr>
        <w:t>/kg/deň, prechádzal ezetimib cez placentárnu bariéru. Súčasné podávanie ezetimibu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statínov nebolo teratogénne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potkanov.</w:t>
      </w:r>
      <w:r w:rsidR="0020794C" w:rsidRPr="005E28C5">
        <w:rPr>
          <w:sz w:val="22"/>
          <w:szCs w:val="22"/>
        </w:rPr>
        <w:t xml:space="preserve"> U </w:t>
      </w:r>
      <w:r w:rsidRPr="005E28C5">
        <w:rPr>
          <w:sz w:val="22"/>
          <w:szCs w:val="22"/>
        </w:rPr>
        <w:t>gravidných králikov sa pozoroval malý počet deformít skeletu (spojené hrudné</w:t>
      </w:r>
      <w:r w:rsidR="0020794C" w:rsidRPr="005E28C5">
        <w:rPr>
          <w:sz w:val="22"/>
          <w:szCs w:val="22"/>
        </w:rPr>
        <w:t xml:space="preserve"> a </w:t>
      </w:r>
      <w:r w:rsidRPr="005E28C5">
        <w:rPr>
          <w:sz w:val="22"/>
          <w:szCs w:val="22"/>
        </w:rPr>
        <w:t>kaudálne stavce, znížený počet kaudálnych stavcov). Podávanie ezetimibu</w:t>
      </w:r>
      <w:r w:rsidR="0020794C" w:rsidRPr="005E28C5">
        <w:rPr>
          <w:sz w:val="22"/>
          <w:szCs w:val="22"/>
        </w:rPr>
        <w:t xml:space="preserve"> v </w:t>
      </w:r>
      <w:r w:rsidRPr="005E28C5">
        <w:rPr>
          <w:sz w:val="22"/>
          <w:szCs w:val="22"/>
        </w:rPr>
        <w:t>kombinácii</w:t>
      </w:r>
      <w:r w:rsidR="0020794C" w:rsidRPr="005E28C5">
        <w:rPr>
          <w:sz w:val="22"/>
          <w:szCs w:val="22"/>
        </w:rPr>
        <w:t xml:space="preserve"> s </w:t>
      </w:r>
      <w:r w:rsidRPr="005E28C5">
        <w:rPr>
          <w:sz w:val="22"/>
          <w:szCs w:val="22"/>
        </w:rPr>
        <w:t>lovastatínom malo za následok embryoletálne účinky.</w:t>
      </w:r>
    </w:p>
    <w:p w:rsidR="004A04AC" w:rsidRPr="005E28C5" w:rsidRDefault="004A04AC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4A04AC" w:rsidRPr="005E28C5" w:rsidRDefault="004A04AC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4A04AC" w:rsidRPr="005E28C5" w:rsidRDefault="003B57CE" w:rsidP="004A04AC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caps/>
          <w:sz w:val="22"/>
          <w:szCs w:val="22"/>
        </w:rPr>
        <w:t>6.</w:t>
      </w:r>
      <w:r w:rsidRPr="005E28C5">
        <w:rPr>
          <w:b/>
          <w:caps/>
          <w:sz w:val="22"/>
          <w:szCs w:val="22"/>
        </w:rPr>
        <w:tab/>
      </w:r>
      <w:r w:rsidR="00F7686C" w:rsidRPr="005E28C5">
        <w:rPr>
          <w:b/>
          <w:caps/>
          <w:sz w:val="22"/>
          <w:szCs w:val="22"/>
        </w:rPr>
        <w:t>Farmaceutické informácie</w:t>
      </w:r>
    </w:p>
    <w:p w:rsidR="004A04AC" w:rsidRPr="005E28C5" w:rsidRDefault="004A04AC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4A04AC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6.1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Zoznam pomocných látok</w:t>
      </w:r>
    </w:p>
    <w:p w:rsidR="00E52116" w:rsidRDefault="0071092E" w:rsidP="00F30C0D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ĺaktóza, monohydrát</w:t>
      </w:r>
    </w:p>
    <w:p w:rsidR="00B65328" w:rsidRPr="005E28C5" w:rsidRDefault="0071092E" w:rsidP="00B65328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kroskarmelóza, sodná soľ</w:t>
      </w:r>
      <w:r w:rsidR="00B65328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B65328" w:rsidRPr="00B65328">
        <w:rPr>
          <w:rFonts w:ascii="Times New Roman" w:hAnsi="Times New Roman"/>
          <w:color w:val="000000"/>
          <w:sz w:val="22"/>
          <w:szCs w:val="22"/>
        </w:rPr>
        <w:t>(E468)</w:t>
      </w:r>
    </w:p>
    <w:p w:rsidR="00B65328" w:rsidRPr="005E28C5" w:rsidRDefault="0071092E" w:rsidP="00F30C0D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</w:t>
      </w:r>
      <w:r w:rsidR="00B65328">
        <w:rPr>
          <w:rFonts w:ascii="Times New Roman" w:hAnsi="Times New Roman"/>
          <w:sz w:val="22"/>
          <w:szCs w:val="22"/>
          <w:lang w:val="sk-SK"/>
        </w:rPr>
        <w:t xml:space="preserve">ovidón k-30 </w:t>
      </w:r>
      <w:r w:rsidR="00B65328" w:rsidRPr="00B65328">
        <w:rPr>
          <w:rFonts w:ascii="Times New Roman" w:hAnsi="Times New Roman"/>
          <w:color w:val="000000"/>
          <w:sz w:val="22"/>
          <w:szCs w:val="22"/>
        </w:rPr>
        <w:t>(E1201)</w:t>
      </w:r>
    </w:p>
    <w:p w:rsidR="004A04AC" w:rsidRDefault="0071092E" w:rsidP="004A04AC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l</w:t>
      </w:r>
      <w:r w:rsidR="004A04AC" w:rsidRPr="005E28C5">
        <w:rPr>
          <w:rFonts w:ascii="Times New Roman" w:hAnsi="Times New Roman"/>
          <w:sz w:val="22"/>
          <w:szCs w:val="22"/>
          <w:lang w:val="sk-SK"/>
        </w:rPr>
        <w:t xml:space="preserve">aurylsíran sodný </w:t>
      </w:r>
    </w:p>
    <w:p w:rsidR="00B65328" w:rsidRPr="005E28C5" w:rsidRDefault="00666957" w:rsidP="00B65328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s</w:t>
      </w:r>
      <w:r w:rsidR="0071092E">
        <w:rPr>
          <w:sz w:val="22"/>
          <w:szCs w:val="22"/>
        </w:rPr>
        <w:t>tearan horečnatý</w:t>
      </w:r>
      <w:r w:rsidR="00B65328">
        <w:rPr>
          <w:sz w:val="22"/>
          <w:szCs w:val="22"/>
        </w:rPr>
        <w:t xml:space="preserve"> </w:t>
      </w:r>
      <w:r w:rsidR="00B65328" w:rsidRPr="00A64916">
        <w:rPr>
          <w:color w:val="000000"/>
          <w:sz w:val="22"/>
          <w:szCs w:val="22"/>
        </w:rPr>
        <w:t>(E470b)</w:t>
      </w:r>
    </w:p>
    <w:p w:rsidR="00B65328" w:rsidRPr="005E28C5" w:rsidRDefault="0071092E" w:rsidP="004A04AC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lastRenderedPageBreak/>
        <w:t>p</w:t>
      </w:r>
      <w:r w:rsidR="00B65328">
        <w:rPr>
          <w:rFonts w:ascii="Times New Roman" w:hAnsi="Times New Roman"/>
          <w:sz w:val="22"/>
          <w:szCs w:val="22"/>
          <w:lang w:val="sk-SK"/>
        </w:rPr>
        <w:t xml:space="preserve">olysorbát 80 </w:t>
      </w:r>
      <w:r w:rsidR="00B65328" w:rsidRPr="00B65328">
        <w:rPr>
          <w:rFonts w:ascii="Times New Roman" w:hAnsi="Times New Roman"/>
          <w:color w:val="000000"/>
          <w:sz w:val="22"/>
          <w:szCs w:val="22"/>
        </w:rPr>
        <w:t>(E433)</w:t>
      </w:r>
    </w:p>
    <w:p w:rsidR="004A04AC" w:rsidRPr="005E28C5" w:rsidRDefault="004A04AC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4A04AC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6.2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Inkompatibility</w:t>
      </w:r>
    </w:p>
    <w:p w:rsidR="004A04AC" w:rsidRPr="005E28C5" w:rsidRDefault="004A04AC" w:rsidP="00F30C0D">
      <w:pPr>
        <w:adjustRightInd w:val="0"/>
        <w:snapToGrid w:val="0"/>
        <w:spacing w:after="0"/>
        <w:rPr>
          <w:b/>
          <w:sz w:val="22"/>
          <w:szCs w:val="22"/>
        </w:rPr>
      </w:pPr>
    </w:p>
    <w:p w:rsidR="004A04AC" w:rsidRPr="005E28C5" w:rsidRDefault="00F7686C" w:rsidP="004A04AC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Neaplikovateľné.</w:t>
      </w:r>
    </w:p>
    <w:p w:rsidR="004A04AC" w:rsidRPr="005E28C5" w:rsidRDefault="004A04AC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4A04AC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6.3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Čas použiteľnosti</w:t>
      </w:r>
    </w:p>
    <w:p w:rsidR="004A04AC" w:rsidRPr="005E28C5" w:rsidRDefault="004A04AC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1B6662" w:rsidP="00F30C0D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3</w:t>
      </w:r>
      <w:r w:rsidR="00F7686C" w:rsidRPr="005E28C5">
        <w:rPr>
          <w:sz w:val="22"/>
          <w:szCs w:val="22"/>
        </w:rPr>
        <w:t xml:space="preserve"> roky</w:t>
      </w:r>
    </w:p>
    <w:p w:rsidR="004A04AC" w:rsidRPr="005E28C5" w:rsidRDefault="004A04AC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4A04AC">
      <w:pPr>
        <w:adjustRightInd w:val="0"/>
        <w:snapToGrid w:val="0"/>
        <w:spacing w:after="0"/>
        <w:rPr>
          <w:b/>
          <w:sz w:val="22"/>
          <w:szCs w:val="22"/>
        </w:rPr>
      </w:pPr>
      <w:r w:rsidRPr="005E28C5">
        <w:rPr>
          <w:b/>
          <w:sz w:val="22"/>
          <w:szCs w:val="22"/>
        </w:rPr>
        <w:t>6.4</w:t>
      </w:r>
      <w:r w:rsidRPr="005E28C5">
        <w:rPr>
          <w:b/>
          <w:sz w:val="22"/>
          <w:szCs w:val="22"/>
        </w:rPr>
        <w:tab/>
      </w:r>
      <w:r w:rsidR="00744B18" w:rsidRPr="005E28C5">
        <w:rPr>
          <w:b/>
          <w:sz w:val="22"/>
          <w:szCs w:val="22"/>
        </w:rPr>
        <w:t>Špeciálne u</w:t>
      </w:r>
      <w:r w:rsidR="00F7686C" w:rsidRPr="005E28C5">
        <w:rPr>
          <w:b/>
          <w:sz w:val="22"/>
          <w:szCs w:val="22"/>
        </w:rPr>
        <w:t>pozorneni</w:t>
      </w:r>
      <w:r w:rsidR="00744B18" w:rsidRPr="005E28C5">
        <w:rPr>
          <w:b/>
          <w:sz w:val="22"/>
          <w:szCs w:val="22"/>
        </w:rPr>
        <w:t>a</w:t>
      </w:r>
      <w:r w:rsidR="00F7686C" w:rsidRPr="005E28C5">
        <w:rPr>
          <w:b/>
          <w:sz w:val="22"/>
          <w:szCs w:val="22"/>
        </w:rPr>
        <w:t xml:space="preserve"> na </w:t>
      </w:r>
      <w:r w:rsidR="00744B18" w:rsidRPr="005E28C5">
        <w:rPr>
          <w:b/>
          <w:sz w:val="22"/>
          <w:szCs w:val="22"/>
        </w:rPr>
        <w:t>uchovávanie</w:t>
      </w:r>
    </w:p>
    <w:p w:rsidR="004A04AC" w:rsidRPr="005E28C5" w:rsidRDefault="004A04AC" w:rsidP="004A04AC">
      <w:pPr>
        <w:adjustRightInd w:val="0"/>
        <w:snapToGrid w:val="0"/>
        <w:spacing w:after="0"/>
        <w:rPr>
          <w:b/>
          <w:sz w:val="22"/>
          <w:szCs w:val="22"/>
        </w:rPr>
      </w:pPr>
    </w:p>
    <w:p w:rsidR="004A04AC" w:rsidRDefault="004A04AC" w:rsidP="004A04AC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>Tento liek nevyžaduje žiadne zvláštne podmienky na uchovávanie.</w:t>
      </w:r>
    </w:p>
    <w:p w:rsidR="00043F75" w:rsidRDefault="00043F75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043F75" w:rsidRDefault="00043F75" w:rsidP="004A04AC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Blistre: Uchovávajte v pôvodnom obale na ochranu pred vlhkom.</w:t>
      </w:r>
    </w:p>
    <w:p w:rsidR="00644A86" w:rsidRDefault="00043F75" w:rsidP="00644A86">
      <w:pPr>
        <w:adjustRightInd w:val="0"/>
        <w:snapToGrid w:val="0"/>
        <w:spacing w:after="0"/>
        <w:rPr>
          <w:sz w:val="22"/>
          <w:szCs w:val="22"/>
        </w:rPr>
      </w:pPr>
      <w:r>
        <w:rPr>
          <w:sz w:val="22"/>
          <w:szCs w:val="22"/>
        </w:rPr>
        <w:t>Fľaše: Fľašku uchovávajte pevne zatvorenú</w:t>
      </w:r>
      <w:r w:rsidR="00644A86">
        <w:rPr>
          <w:sz w:val="22"/>
          <w:szCs w:val="22"/>
        </w:rPr>
        <w:t xml:space="preserve"> na ochranu pred vlhkom.</w:t>
      </w:r>
    </w:p>
    <w:p w:rsidR="004A04AC" w:rsidRPr="005E28C5" w:rsidRDefault="004A04AC" w:rsidP="004A04AC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4A04AC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6.5</w:t>
      </w:r>
      <w:r w:rsidRPr="005E28C5">
        <w:rPr>
          <w:b/>
          <w:sz w:val="22"/>
          <w:szCs w:val="22"/>
        </w:rPr>
        <w:tab/>
      </w:r>
      <w:r w:rsidR="008710E1" w:rsidRPr="005E28C5">
        <w:rPr>
          <w:b/>
          <w:sz w:val="22"/>
          <w:szCs w:val="22"/>
        </w:rPr>
        <w:t>Druh</w:t>
      </w:r>
      <w:r w:rsidR="00F7686C" w:rsidRPr="005E28C5">
        <w:rPr>
          <w:b/>
          <w:sz w:val="22"/>
          <w:szCs w:val="22"/>
        </w:rPr>
        <w:t xml:space="preserve"> obalu</w:t>
      </w:r>
      <w:r w:rsidR="0020794C" w:rsidRPr="005E28C5">
        <w:rPr>
          <w:b/>
          <w:sz w:val="22"/>
          <w:szCs w:val="22"/>
        </w:rPr>
        <w:t xml:space="preserve"> a </w:t>
      </w:r>
      <w:r w:rsidR="008710E1" w:rsidRPr="005E28C5">
        <w:rPr>
          <w:b/>
          <w:sz w:val="22"/>
          <w:szCs w:val="22"/>
        </w:rPr>
        <w:t>obsah</w:t>
      </w:r>
      <w:r w:rsidR="00F7686C" w:rsidRPr="005E28C5">
        <w:rPr>
          <w:b/>
          <w:sz w:val="22"/>
          <w:szCs w:val="22"/>
        </w:rPr>
        <w:t xml:space="preserve"> balenia</w:t>
      </w:r>
    </w:p>
    <w:p w:rsidR="004A04AC" w:rsidRDefault="004A04AC" w:rsidP="00F30C0D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:rsidR="00644A86" w:rsidRDefault="00644A86" w:rsidP="00F30C0D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color w:val="000000"/>
          <w:sz w:val="22"/>
          <w:szCs w:val="22"/>
        </w:rPr>
      </w:pPr>
      <w:r>
        <w:rPr>
          <w:snapToGrid w:val="0"/>
          <w:sz w:val="22"/>
          <w:szCs w:val="22"/>
        </w:rPr>
        <w:t>Blister: Al/Al alebo Al</w:t>
      </w:r>
      <w:r w:rsidR="00AB6CFF">
        <w:rPr>
          <w:snapToGrid w:val="0"/>
          <w:sz w:val="22"/>
          <w:szCs w:val="22"/>
        </w:rPr>
        <w:t>/</w:t>
      </w:r>
      <w:r>
        <w:rPr>
          <w:snapToGrid w:val="0"/>
          <w:sz w:val="22"/>
          <w:szCs w:val="22"/>
        </w:rPr>
        <w:t>PVC/</w:t>
      </w:r>
      <w:r w:rsidRPr="00644A86">
        <w:rPr>
          <w:color w:val="000000"/>
          <w:sz w:val="22"/>
          <w:szCs w:val="22"/>
        </w:rPr>
        <w:t xml:space="preserve"> </w:t>
      </w:r>
      <w:r w:rsidRPr="007B2012">
        <w:rPr>
          <w:color w:val="000000"/>
          <w:sz w:val="22"/>
          <w:szCs w:val="22"/>
        </w:rPr>
        <w:t>Aclar</w:t>
      </w:r>
      <w:r>
        <w:rPr>
          <w:color w:val="000000"/>
          <w:sz w:val="22"/>
          <w:szCs w:val="22"/>
        </w:rPr>
        <w:t xml:space="preserve"> blister s veľkosťami balenia po </w:t>
      </w:r>
      <w:r w:rsidRPr="007B2012">
        <w:rPr>
          <w:color w:val="000000"/>
          <w:sz w:val="22"/>
          <w:szCs w:val="22"/>
        </w:rPr>
        <w:t xml:space="preserve">7, 10, 14, 20, 28, 30, 50, 98, 100, </w:t>
      </w:r>
      <w:r>
        <w:rPr>
          <w:color w:val="000000"/>
          <w:sz w:val="22"/>
          <w:szCs w:val="22"/>
        </w:rPr>
        <w:t xml:space="preserve">alebo </w:t>
      </w:r>
      <w:r w:rsidRPr="007B2012">
        <w:rPr>
          <w:color w:val="000000"/>
          <w:sz w:val="22"/>
          <w:szCs w:val="22"/>
        </w:rPr>
        <w:t>300</w:t>
      </w:r>
      <w:r>
        <w:rPr>
          <w:color w:val="000000"/>
          <w:sz w:val="22"/>
          <w:szCs w:val="22"/>
        </w:rPr>
        <w:t xml:space="preserve"> tabliet.</w:t>
      </w:r>
    </w:p>
    <w:p w:rsidR="00644A86" w:rsidRPr="005E28C5" w:rsidRDefault="00644A86" w:rsidP="00F30C0D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:rsidR="00F55046" w:rsidRPr="005E28C5" w:rsidRDefault="00A35275" w:rsidP="00644A86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  <w:r w:rsidRPr="005E28C5">
        <w:rPr>
          <w:snapToGrid w:val="0"/>
          <w:sz w:val="22"/>
          <w:szCs w:val="22"/>
        </w:rPr>
        <w:t>HDPE fľaša</w:t>
      </w:r>
      <w:r w:rsidR="00644A86">
        <w:rPr>
          <w:snapToGrid w:val="0"/>
          <w:sz w:val="22"/>
          <w:szCs w:val="22"/>
        </w:rPr>
        <w:t xml:space="preserve">: Biela nepriehľadná HDPE fľaša s bielym detským bezpečnostným </w:t>
      </w:r>
      <w:r w:rsidR="00644A86" w:rsidRPr="005E28C5">
        <w:rPr>
          <w:snapToGrid w:val="0"/>
          <w:sz w:val="22"/>
          <w:szCs w:val="22"/>
        </w:rPr>
        <w:t xml:space="preserve">polypropylénovým </w:t>
      </w:r>
      <w:r w:rsidR="00644A86">
        <w:rPr>
          <w:snapToGrid w:val="0"/>
          <w:sz w:val="22"/>
          <w:szCs w:val="22"/>
        </w:rPr>
        <w:t>uzáverom s</w:t>
      </w:r>
      <w:r w:rsidR="00E76062">
        <w:rPr>
          <w:snapToGrid w:val="0"/>
          <w:sz w:val="22"/>
          <w:szCs w:val="22"/>
        </w:rPr>
        <w:t xml:space="preserve"> </w:t>
      </w:r>
      <w:r w:rsidR="004354ED">
        <w:rPr>
          <w:snapToGrid w:val="0"/>
          <w:sz w:val="22"/>
          <w:szCs w:val="22"/>
        </w:rPr>
        <w:t>veľ</w:t>
      </w:r>
      <w:bookmarkStart w:id="5" w:name="_GoBack"/>
      <w:bookmarkEnd w:id="5"/>
      <w:r w:rsidR="00644A86">
        <w:rPr>
          <w:snapToGrid w:val="0"/>
          <w:sz w:val="22"/>
          <w:szCs w:val="22"/>
        </w:rPr>
        <w:t>kos</w:t>
      </w:r>
      <w:r w:rsidR="00E76062">
        <w:rPr>
          <w:snapToGrid w:val="0"/>
          <w:sz w:val="22"/>
          <w:szCs w:val="22"/>
        </w:rPr>
        <w:t>ť</w:t>
      </w:r>
      <w:r w:rsidR="00644A86">
        <w:rPr>
          <w:snapToGrid w:val="0"/>
          <w:sz w:val="22"/>
          <w:szCs w:val="22"/>
        </w:rPr>
        <w:t xml:space="preserve">ami balenia </w:t>
      </w:r>
      <w:r w:rsidR="00F55046" w:rsidRPr="005E28C5">
        <w:rPr>
          <w:snapToGrid w:val="0"/>
          <w:sz w:val="22"/>
          <w:szCs w:val="22"/>
        </w:rPr>
        <w:t xml:space="preserve">po </w:t>
      </w:r>
      <w:r w:rsidR="00644A86">
        <w:rPr>
          <w:snapToGrid w:val="0"/>
          <w:sz w:val="22"/>
          <w:szCs w:val="22"/>
        </w:rPr>
        <w:t xml:space="preserve">30 a </w:t>
      </w:r>
      <w:r w:rsidR="00F55046" w:rsidRPr="005E28C5">
        <w:rPr>
          <w:snapToGrid w:val="0"/>
          <w:sz w:val="22"/>
          <w:szCs w:val="22"/>
        </w:rPr>
        <w:t>100 tabliet.</w:t>
      </w:r>
    </w:p>
    <w:p w:rsidR="00623990" w:rsidRPr="005E28C5" w:rsidRDefault="00623990" w:rsidP="00623990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:rsidR="00623990" w:rsidRPr="005E28C5" w:rsidRDefault="00623990" w:rsidP="00623990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  <w:r w:rsidRPr="005E28C5">
        <w:rPr>
          <w:snapToGrid w:val="0"/>
          <w:sz w:val="22"/>
          <w:szCs w:val="22"/>
        </w:rPr>
        <w:t>Na trh nemusia byť uvedené všetky veľkosti balenia.</w:t>
      </w:r>
    </w:p>
    <w:p w:rsidR="00F55046" w:rsidRPr="005E28C5" w:rsidRDefault="00F55046" w:rsidP="00F55046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</w:p>
    <w:p w:rsidR="00B13B25" w:rsidRPr="005E28C5" w:rsidRDefault="00B13B25" w:rsidP="00F55046">
      <w:pPr>
        <w:pStyle w:val="Hlavika"/>
        <w:tabs>
          <w:tab w:val="clear" w:pos="4320"/>
          <w:tab w:val="clear" w:pos="8640"/>
        </w:tabs>
        <w:adjustRightInd w:val="0"/>
        <w:snapToGrid w:val="0"/>
        <w:spacing w:after="0"/>
        <w:rPr>
          <w:snapToGrid w:val="0"/>
          <w:sz w:val="22"/>
          <w:szCs w:val="22"/>
        </w:rPr>
      </w:pPr>
      <w:r w:rsidRPr="005E28C5">
        <w:rPr>
          <w:b/>
          <w:sz w:val="22"/>
          <w:szCs w:val="22"/>
        </w:rPr>
        <w:t>6.6</w:t>
      </w:r>
      <w:r w:rsidRPr="005E28C5">
        <w:rPr>
          <w:b/>
          <w:sz w:val="22"/>
          <w:szCs w:val="22"/>
        </w:rPr>
        <w:tab/>
        <w:t>Špeciálne opatrenia na likvidáciu</w:t>
      </w:r>
    </w:p>
    <w:p w:rsidR="00F55046" w:rsidRPr="005E28C5" w:rsidRDefault="00F55046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55046" w:rsidRPr="005E28C5" w:rsidRDefault="00F7686C" w:rsidP="00F5504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sz w:val="22"/>
          <w:szCs w:val="22"/>
        </w:rPr>
        <w:t xml:space="preserve">Žiadne </w:t>
      </w:r>
      <w:r w:rsidR="008A124D" w:rsidRPr="005E28C5">
        <w:rPr>
          <w:sz w:val="22"/>
          <w:szCs w:val="22"/>
        </w:rPr>
        <w:t>zvláštne</w:t>
      </w:r>
      <w:r w:rsidRPr="005E28C5">
        <w:rPr>
          <w:sz w:val="22"/>
          <w:szCs w:val="22"/>
        </w:rPr>
        <w:t xml:space="preserve"> </w:t>
      </w:r>
      <w:r w:rsidR="008A124D" w:rsidRPr="005E28C5">
        <w:rPr>
          <w:sz w:val="22"/>
          <w:szCs w:val="22"/>
        </w:rPr>
        <w:t>požiadavky</w:t>
      </w:r>
      <w:r w:rsidRPr="005E28C5">
        <w:rPr>
          <w:sz w:val="22"/>
          <w:szCs w:val="22"/>
        </w:rPr>
        <w:t>.</w:t>
      </w:r>
    </w:p>
    <w:p w:rsidR="00F55046" w:rsidRPr="005E28C5" w:rsidRDefault="00F55046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F55046" w:rsidRPr="005E28C5" w:rsidRDefault="00F55046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F55046" w:rsidRPr="005E28C5" w:rsidRDefault="003B57CE" w:rsidP="00F5504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7.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DRŽITEĽ ROZHODNUTIA</w:t>
      </w:r>
      <w:r w:rsidR="0020794C" w:rsidRPr="005E28C5">
        <w:rPr>
          <w:b/>
          <w:sz w:val="22"/>
          <w:szCs w:val="22"/>
        </w:rPr>
        <w:t xml:space="preserve"> O</w:t>
      </w:r>
      <w:r w:rsidR="00F55046" w:rsidRPr="005E28C5">
        <w:rPr>
          <w:b/>
          <w:sz w:val="22"/>
          <w:szCs w:val="22"/>
        </w:rPr>
        <w:t> </w:t>
      </w:r>
      <w:r w:rsidR="00F7686C" w:rsidRPr="005E28C5">
        <w:rPr>
          <w:b/>
          <w:sz w:val="22"/>
          <w:szCs w:val="22"/>
        </w:rPr>
        <w:t>REGISTRÁCII</w:t>
      </w:r>
    </w:p>
    <w:p w:rsidR="00747368" w:rsidRPr="005E28C5" w:rsidRDefault="00747368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E76062" w:rsidRPr="002E0247" w:rsidRDefault="00E76062" w:rsidP="00E76062">
      <w:pPr>
        <w:pStyle w:val="Hlavika"/>
        <w:spacing w:after="0"/>
        <w:rPr>
          <w:bCs/>
          <w:sz w:val="22"/>
          <w:szCs w:val="22"/>
        </w:rPr>
      </w:pPr>
      <w:r w:rsidRPr="002E0247">
        <w:rPr>
          <w:bCs/>
          <w:sz w:val="22"/>
          <w:szCs w:val="22"/>
        </w:rPr>
        <w:t>Accord Healthcare Limited,</w:t>
      </w:r>
    </w:p>
    <w:p w:rsidR="00E76062" w:rsidRPr="002E0247" w:rsidRDefault="00E76062" w:rsidP="00E76062">
      <w:pPr>
        <w:pStyle w:val="Hlavika"/>
        <w:spacing w:after="0"/>
        <w:rPr>
          <w:bCs/>
          <w:sz w:val="22"/>
          <w:szCs w:val="22"/>
        </w:rPr>
      </w:pPr>
      <w:r w:rsidRPr="002E0247">
        <w:rPr>
          <w:bCs/>
          <w:sz w:val="22"/>
          <w:szCs w:val="22"/>
        </w:rPr>
        <w:t xml:space="preserve">Sage house, 319 Pinner road, </w:t>
      </w:r>
    </w:p>
    <w:p w:rsidR="00E76062" w:rsidRPr="002E0247" w:rsidRDefault="00E76062" w:rsidP="00E76062">
      <w:pPr>
        <w:pStyle w:val="Hlavika"/>
        <w:spacing w:after="0"/>
        <w:rPr>
          <w:bCs/>
          <w:sz w:val="22"/>
          <w:szCs w:val="22"/>
          <w:lang w:val="de-AT"/>
        </w:rPr>
      </w:pPr>
      <w:r w:rsidRPr="002E0247">
        <w:rPr>
          <w:bCs/>
          <w:sz w:val="22"/>
          <w:szCs w:val="22"/>
          <w:lang w:val="de-DE"/>
        </w:rPr>
        <w:t>North Harrow, Middlesex HA1 4HF</w:t>
      </w:r>
      <w:r w:rsidRPr="002E0247" w:rsidDel="005F29F6">
        <w:rPr>
          <w:bCs/>
          <w:sz w:val="22"/>
          <w:szCs w:val="22"/>
          <w:lang w:val="de-AT"/>
        </w:rPr>
        <w:t xml:space="preserve"> </w:t>
      </w:r>
    </w:p>
    <w:p w:rsidR="00E76062" w:rsidRPr="002E0247" w:rsidRDefault="00AB6CFF" w:rsidP="00E76062">
      <w:pPr>
        <w:pStyle w:val="Hlavika"/>
        <w:spacing w:after="0"/>
        <w:rPr>
          <w:sz w:val="22"/>
          <w:szCs w:val="22"/>
          <w:lang w:val="de-AT"/>
        </w:rPr>
      </w:pPr>
      <w:r>
        <w:rPr>
          <w:sz w:val="22"/>
          <w:szCs w:val="22"/>
          <w:lang w:val="de-AT"/>
        </w:rPr>
        <w:t>Spojené kráľovstvo</w:t>
      </w:r>
    </w:p>
    <w:p w:rsidR="00F55046" w:rsidRPr="00E76062" w:rsidRDefault="00F55046" w:rsidP="00E76062">
      <w:pPr>
        <w:adjustRightInd w:val="0"/>
        <w:snapToGrid w:val="0"/>
        <w:spacing w:after="0"/>
        <w:rPr>
          <w:sz w:val="22"/>
          <w:szCs w:val="22"/>
          <w:lang w:val="de-AT"/>
        </w:rPr>
      </w:pPr>
    </w:p>
    <w:p w:rsidR="00F55046" w:rsidRPr="005E28C5" w:rsidRDefault="00F55046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F55046" w:rsidRPr="005E28C5" w:rsidRDefault="003B57CE" w:rsidP="00F5504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8.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REGISTRAČNÉ ČÍSLO</w:t>
      </w:r>
    </w:p>
    <w:p w:rsidR="00F55046" w:rsidRPr="005E28C5" w:rsidRDefault="00F55046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F55046" w:rsidRDefault="00FA40F2" w:rsidP="00F55046">
      <w:pPr>
        <w:adjustRightInd w:val="0"/>
        <w:snapToGrid w:val="0"/>
        <w:spacing w:after="0"/>
        <w:rPr>
          <w:sz w:val="22"/>
          <w:szCs w:val="22"/>
        </w:rPr>
      </w:pPr>
      <w:r w:rsidRPr="00FA40F2">
        <w:rPr>
          <w:sz w:val="22"/>
          <w:szCs w:val="22"/>
        </w:rPr>
        <w:t>31/0306/16-S</w:t>
      </w:r>
    </w:p>
    <w:p w:rsidR="00FA40F2" w:rsidRPr="005E28C5" w:rsidRDefault="00FA40F2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8508CC" w:rsidRPr="005E28C5" w:rsidRDefault="008508CC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F5504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9.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 xml:space="preserve">DÁTUM </w:t>
      </w:r>
      <w:r w:rsidR="006270CB" w:rsidRPr="005E28C5">
        <w:rPr>
          <w:b/>
          <w:sz w:val="22"/>
          <w:szCs w:val="22"/>
        </w:rPr>
        <w:t xml:space="preserve">PRVEJ </w:t>
      </w:r>
      <w:r w:rsidR="00F7686C" w:rsidRPr="005E28C5">
        <w:rPr>
          <w:b/>
          <w:sz w:val="22"/>
          <w:szCs w:val="22"/>
        </w:rPr>
        <w:t>REGISTRÁCIE/ PREDĹŽENIA REGISTRÁCIE</w:t>
      </w:r>
    </w:p>
    <w:p w:rsidR="00747368" w:rsidRPr="005E28C5" w:rsidRDefault="00747368" w:rsidP="00F30C0D">
      <w:pPr>
        <w:adjustRightInd w:val="0"/>
        <w:snapToGrid w:val="0"/>
        <w:spacing w:after="0"/>
        <w:rPr>
          <w:sz w:val="22"/>
          <w:szCs w:val="22"/>
        </w:rPr>
      </w:pPr>
    </w:p>
    <w:p w:rsidR="00F55046" w:rsidRPr="005E28C5" w:rsidRDefault="00F55046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F55046" w:rsidRPr="005E28C5" w:rsidRDefault="00F55046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F7686C" w:rsidRPr="005E28C5" w:rsidRDefault="003B57CE" w:rsidP="00F55046">
      <w:pPr>
        <w:adjustRightInd w:val="0"/>
        <w:snapToGrid w:val="0"/>
        <w:spacing w:after="0"/>
        <w:rPr>
          <w:sz w:val="22"/>
          <w:szCs w:val="22"/>
        </w:rPr>
      </w:pPr>
      <w:r w:rsidRPr="005E28C5">
        <w:rPr>
          <w:b/>
          <w:sz w:val="22"/>
          <w:szCs w:val="22"/>
        </w:rPr>
        <w:t>10.</w:t>
      </w:r>
      <w:r w:rsidRPr="005E28C5">
        <w:rPr>
          <w:b/>
          <w:sz w:val="22"/>
          <w:szCs w:val="22"/>
        </w:rPr>
        <w:tab/>
      </w:r>
      <w:r w:rsidR="00F7686C" w:rsidRPr="005E28C5">
        <w:rPr>
          <w:b/>
          <w:sz w:val="22"/>
          <w:szCs w:val="22"/>
        </w:rPr>
        <w:t>DÁTUM REVÍZIE TEXTU</w:t>
      </w:r>
    </w:p>
    <w:p w:rsidR="00F55046" w:rsidRPr="005E28C5" w:rsidRDefault="00F55046" w:rsidP="00F55046">
      <w:pPr>
        <w:adjustRightInd w:val="0"/>
        <w:snapToGrid w:val="0"/>
        <w:spacing w:after="0"/>
        <w:rPr>
          <w:sz w:val="22"/>
          <w:szCs w:val="22"/>
        </w:rPr>
      </w:pPr>
    </w:p>
    <w:p w:rsidR="00A65F7A" w:rsidRPr="005E28C5" w:rsidRDefault="00AB6CFF" w:rsidP="00F30C0D">
      <w:pPr>
        <w:pStyle w:val="Textkomentra"/>
        <w:adjustRightInd w:val="0"/>
        <w:snapToGrid w:val="0"/>
        <w:spacing w:after="0"/>
        <w:jc w:val="both"/>
        <w:rPr>
          <w:sz w:val="22"/>
          <w:szCs w:val="22"/>
        </w:rPr>
      </w:pPr>
      <w:r>
        <w:rPr>
          <w:sz w:val="22"/>
          <w:szCs w:val="22"/>
        </w:rPr>
        <w:t>0</w:t>
      </w:r>
      <w:r w:rsidR="002362E6">
        <w:rPr>
          <w:sz w:val="22"/>
          <w:szCs w:val="22"/>
        </w:rPr>
        <w:t>6</w:t>
      </w:r>
      <w:r>
        <w:rPr>
          <w:sz w:val="22"/>
          <w:szCs w:val="22"/>
        </w:rPr>
        <w:t>/2016</w:t>
      </w:r>
    </w:p>
    <w:sectPr w:rsidR="00A65F7A" w:rsidRPr="005E28C5" w:rsidSect="000174A0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418" w:header="737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CCB" w:rsidRDefault="009A7CCB">
      <w:r>
        <w:separator/>
      </w:r>
    </w:p>
  </w:endnote>
  <w:endnote w:type="continuationSeparator" w:id="0">
    <w:p w:rsidR="009A7CCB" w:rsidRDefault="009A7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80E0000" w:usb2="00000010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54" w:rsidRDefault="007B7D54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7B7D54" w:rsidRDefault="007B7D54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54" w:rsidRPr="000174A0" w:rsidRDefault="007B7D54">
    <w:pPr>
      <w:pStyle w:val="Pta"/>
      <w:jc w:val="center"/>
      <w:rPr>
        <w:sz w:val="18"/>
        <w:szCs w:val="18"/>
      </w:rPr>
    </w:pPr>
    <w:r w:rsidRPr="000174A0">
      <w:rPr>
        <w:sz w:val="18"/>
        <w:szCs w:val="18"/>
      </w:rPr>
      <w:fldChar w:fldCharType="begin"/>
    </w:r>
    <w:r w:rsidRPr="000174A0">
      <w:rPr>
        <w:sz w:val="18"/>
        <w:szCs w:val="18"/>
      </w:rPr>
      <w:instrText>PAGE   \* MERGEFORMAT</w:instrText>
    </w:r>
    <w:r w:rsidRPr="000174A0">
      <w:rPr>
        <w:sz w:val="18"/>
        <w:szCs w:val="18"/>
      </w:rPr>
      <w:fldChar w:fldCharType="separate"/>
    </w:r>
    <w:r w:rsidR="004354ED">
      <w:rPr>
        <w:noProof/>
        <w:sz w:val="18"/>
        <w:szCs w:val="18"/>
      </w:rPr>
      <w:t>15</w:t>
    </w:r>
    <w:r w:rsidRPr="000174A0">
      <w:rPr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54" w:rsidRPr="000174A0" w:rsidRDefault="007B7D54" w:rsidP="000174A0">
    <w:pPr>
      <w:pStyle w:val="Pta"/>
      <w:jc w:val="center"/>
      <w:rPr>
        <w:sz w:val="18"/>
        <w:szCs w:val="18"/>
      </w:rPr>
    </w:pPr>
    <w:r w:rsidRPr="000174A0">
      <w:rPr>
        <w:sz w:val="18"/>
        <w:szCs w:val="18"/>
      </w:rPr>
      <w:fldChar w:fldCharType="begin"/>
    </w:r>
    <w:r w:rsidRPr="000174A0">
      <w:rPr>
        <w:sz w:val="18"/>
        <w:szCs w:val="18"/>
      </w:rPr>
      <w:instrText>PAGE   \* MERGEFORMAT</w:instrText>
    </w:r>
    <w:r w:rsidRPr="000174A0">
      <w:rPr>
        <w:sz w:val="18"/>
        <w:szCs w:val="18"/>
      </w:rPr>
      <w:fldChar w:fldCharType="separate"/>
    </w:r>
    <w:r w:rsidR="004354ED">
      <w:rPr>
        <w:noProof/>
        <w:sz w:val="18"/>
        <w:szCs w:val="18"/>
      </w:rPr>
      <w:t>1</w:t>
    </w:r>
    <w:r w:rsidRPr="000174A0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CCB" w:rsidRDefault="009A7CCB">
      <w:r>
        <w:separator/>
      </w:r>
    </w:p>
  </w:footnote>
  <w:footnote w:type="continuationSeparator" w:id="0">
    <w:p w:rsidR="009A7CCB" w:rsidRDefault="009A7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54" w:rsidRDefault="007B7D54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D54" w:rsidRPr="005A23E1" w:rsidRDefault="007B7D54">
    <w:pPr>
      <w:pStyle w:val="Hlavika"/>
      <w:rPr>
        <w:sz w:val="18"/>
        <w:szCs w:val="18"/>
      </w:rPr>
    </w:pPr>
    <w:r w:rsidRPr="005A23E1">
      <w:rPr>
        <w:sz w:val="18"/>
        <w:szCs w:val="18"/>
      </w:rPr>
      <w:t xml:space="preserve">Schválený text k rozhodnutiu o registrácii, ev. č.: 2015/02143-REG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6437822"/>
    <w:multiLevelType w:val="singleLevel"/>
    <w:tmpl w:val="040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37229C0"/>
    <w:multiLevelType w:val="hybridMultilevel"/>
    <w:tmpl w:val="BFE2C7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6827B6"/>
    <w:multiLevelType w:val="hybridMultilevel"/>
    <w:tmpl w:val="E9A0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0F0903"/>
    <w:multiLevelType w:val="hybridMultilevel"/>
    <w:tmpl w:val="A4C0027E"/>
    <w:lvl w:ilvl="0" w:tplc="8FD8CEA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F25827"/>
    <w:multiLevelType w:val="hybridMultilevel"/>
    <w:tmpl w:val="F7565BD6"/>
    <w:lvl w:ilvl="0" w:tplc="04090001">
      <w:start w:val="1"/>
      <w:numFmt w:val="bullet"/>
      <w:lvlText w:val=""/>
      <w:lvlJc w:val="left"/>
      <w:pPr>
        <w:tabs>
          <w:tab w:val="num" w:pos="1570"/>
        </w:tabs>
        <w:ind w:left="15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794"/>
        </w:tabs>
        <w:ind w:left="2794" w:hanging="360"/>
      </w:pPr>
    </w:lvl>
    <w:lvl w:ilvl="3" w:tplc="0409000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4090003">
      <w:start w:val="1"/>
      <w:numFmt w:val="decimal"/>
      <w:lvlText w:val="%5."/>
      <w:lvlJc w:val="left"/>
      <w:pPr>
        <w:tabs>
          <w:tab w:val="num" w:pos="4234"/>
        </w:tabs>
        <w:ind w:left="4234" w:hanging="360"/>
      </w:pPr>
    </w:lvl>
    <w:lvl w:ilvl="5" w:tplc="04090005">
      <w:start w:val="1"/>
      <w:numFmt w:val="decimal"/>
      <w:lvlText w:val="%6."/>
      <w:lvlJc w:val="left"/>
      <w:pPr>
        <w:tabs>
          <w:tab w:val="num" w:pos="4954"/>
        </w:tabs>
        <w:ind w:left="4954" w:hanging="360"/>
      </w:pPr>
    </w:lvl>
    <w:lvl w:ilvl="6" w:tplc="0409000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4090003">
      <w:start w:val="1"/>
      <w:numFmt w:val="decimal"/>
      <w:lvlText w:val="%8."/>
      <w:lvlJc w:val="left"/>
      <w:pPr>
        <w:tabs>
          <w:tab w:val="num" w:pos="6394"/>
        </w:tabs>
        <w:ind w:left="6394" w:hanging="360"/>
      </w:pPr>
    </w:lvl>
    <w:lvl w:ilvl="8" w:tplc="04090005">
      <w:start w:val="1"/>
      <w:numFmt w:val="decimal"/>
      <w:lvlText w:val="%9."/>
      <w:lvlJc w:val="left"/>
      <w:pPr>
        <w:tabs>
          <w:tab w:val="num" w:pos="7114"/>
        </w:tabs>
        <w:ind w:left="7114" w:hanging="360"/>
      </w:pPr>
    </w:lvl>
  </w:abstractNum>
  <w:abstractNum w:abstractNumId="6" w15:restartNumberingAfterBreak="0">
    <w:nsid w:val="23D97265"/>
    <w:multiLevelType w:val="hybridMultilevel"/>
    <w:tmpl w:val="1652A0C6"/>
    <w:lvl w:ilvl="0" w:tplc="04090001">
      <w:start w:val="1"/>
      <w:numFmt w:val="bullet"/>
      <w:lvlText w:val="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7366DD7"/>
    <w:multiLevelType w:val="multilevel"/>
    <w:tmpl w:val="DF0EB77A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8" w15:restartNumberingAfterBreak="0">
    <w:nsid w:val="298E6BEF"/>
    <w:multiLevelType w:val="multilevel"/>
    <w:tmpl w:val="058AFA3E"/>
    <w:lvl w:ilvl="0">
      <w:start w:val="6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F7F6812"/>
    <w:multiLevelType w:val="singleLevel"/>
    <w:tmpl w:val="9B3233D0"/>
    <w:lvl w:ilvl="0">
      <w:start w:val="1"/>
      <w:numFmt w:val="decimal"/>
      <w:lvlText w:val="%1."/>
      <w:legacy w:legacy="1" w:legacySpace="0" w:legacyIndent="360"/>
      <w:lvlJc w:val="left"/>
      <w:pPr>
        <w:ind w:left="927" w:hanging="360"/>
      </w:pPr>
    </w:lvl>
  </w:abstractNum>
  <w:abstractNum w:abstractNumId="10" w15:restartNumberingAfterBreak="0">
    <w:nsid w:val="313D3BFC"/>
    <w:multiLevelType w:val="hybridMultilevel"/>
    <w:tmpl w:val="04A815DE"/>
    <w:lvl w:ilvl="0" w:tplc="040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8E485F"/>
    <w:multiLevelType w:val="hybridMultilevel"/>
    <w:tmpl w:val="2FBE1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E1217B"/>
    <w:multiLevelType w:val="hybridMultilevel"/>
    <w:tmpl w:val="2C9E2126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E02851"/>
    <w:multiLevelType w:val="hybridMultilevel"/>
    <w:tmpl w:val="B4244A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4649F7"/>
    <w:multiLevelType w:val="hybridMultilevel"/>
    <w:tmpl w:val="2DF68F9A"/>
    <w:lvl w:ilvl="0" w:tplc="04090001">
      <w:start w:val="1"/>
      <w:numFmt w:val="bullet"/>
      <w:lvlText w:val=""/>
      <w:lvlJc w:val="left"/>
      <w:pPr>
        <w:tabs>
          <w:tab w:val="num" w:pos="936"/>
        </w:tabs>
        <w:ind w:left="936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232"/>
        </w:tabs>
        <w:ind w:left="2232" w:hanging="360"/>
      </w:pPr>
      <w:rPr>
        <w:rFonts w:ascii="Courier New" w:hAnsi="Courier New" w:cs="Times New Roman" w:hint="default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66256C5"/>
    <w:multiLevelType w:val="hybridMultilevel"/>
    <w:tmpl w:val="0CC08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5D1B37"/>
    <w:multiLevelType w:val="multilevel"/>
    <w:tmpl w:val="6D4C6AF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6217FF7"/>
    <w:multiLevelType w:val="multilevel"/>
    <w:tmpl w:val="D8245C0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8322C1C"/>
    <w:multiLevelType w:val="multilevel"/>
    <w:tmpl w:val="CA2224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AF81C1A"/>
    <w:multiLevelType w:val="multilevel"/>
    <w:tmpl w:val="8DD813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62965FB6"/>
    <w:multiLevelType w:val="multilevel"/>
    <w:tmpl w:val="4C048A6C"/>
    <w:lvl w:ilvl="0">
      <w:start w:val="5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3A62D8E"/>
    <w:multiLevelType w:val="hybridMultilevel"/>
    <w:tmpl w:val="2736A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E55388"/>
    <w:multiLevelType w:val="multilevel"/>
    <w:tmpl w:val="1E4460C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6C4D08B9"/>
    <w:multiLevelType w:val="multilevel"/>
    <w:tmpl w:val="BFC09FB6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76736D9C"/>
    <w:multiLevelType w:val="multilevel"/>
    <w:tmpl w:val="62DE74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5" w15:restartNumberingAfterBreak="0">
    <w:nsid w:val="7D0507B9"/>
    <w:multiLevelType w:val="hybridMultilevel"/>
    <w:tmpl w:val="0C88FD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7"/>
  </w:num>
  <w:num w:numId="3">
    <w:abstractNumId w:val="7"/>
    <w:lvlOverride w:ilvl="0">
      <w:startOverride w:val="4"/>
    </w:lvlOverride>
  </w:num>
  <w:num w:numId="4">
    <w:abstractNumId w:val="19"/>
  </w:num>
  <w:num w:numId="5">
    <w:abstractNumId w:val="16"/>
  </w:num>
  <w:num w:numId="6">
    <w:abstractNumId w:val="18"/>
  </w:num>
  <w:num w:numId="7">
    <w:abstractNumId w:val="23"/>
  </w:num>
  <w:num w:numId="8">
    <w:abstractNumId w:val="20"/>
  </w:num>
  <w:num w:numId="9">
    <w:abstractNumId w:val="22"/>
  </w:num>
  <w:num w:numId="10">
    <w:abstractNumId w:val="8"/>
  </w:num>
  <w:num w:numId="11">
    <w:abstractNumId w:val="17"/>
  </w:num>
  <w:num w:numId="12">
    <w:abstractNumId w:val="1"/>
  </w:num>
  <w:num w:numId="13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927" w:hanging="360"/>
        </w:pPr>
      </w:lvl>
    </w:lvlOverride>
  </w:num>
  <w:num w:numId="14">
    <w:abstractNumId w:val="9"/>
    <w:lvlOverride w:ilvl="0">
      <w:startOverride w:val="1"/>
    </w:lvlOverride>
  </w:num>
  <w:num w:numId="15">
    <w:abstractNumId w:val="1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25"/>
  </w:num>
  <w:num w:numId="24">
    <w:abstractNumId w:val="21"/>
  </w:num>
  <w:num w:numId="25">
    <w:abstractNumId w:val="15"/>
  </w:num>
  <w:num w:numId="26">
    <w:abstractNumId w:val="2"/>
  </w:num>
  <w:num w:numId="27">
    <w:abstractNumId w:val="1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7C03"/>
    <w:rsid w:val="00003893"/>
    <w:rsid w:val="00004241"/>
    <w:rsid w:val="00010055"/>
    <w:rsid w:val="00012991"/>
    <w:rsid w:val="00012B08"/>
    <w:rsid w:val="000146F9"/>
    <w:rsid w:val="00015CE4"/>
    <w:rsid w:val="000174A0"/>
    <w:rsid w:val="0001757D"/>
    <w:rsid w:val="0001766B"/>
    <w:rsid w:val="00020CA2"/>
    <w:rsid w:val="0002154E"/>
    <w:rsid w:val="000323E1"/>
    <w:rsid w:val="00043F75"/>
    <w:rsid w:val="00052CEF"/>
    <w:rsid w:val="000572C9"/>
    <w:rsid w:val="0006090C"/>
    <w:rsid w:val="000653C7"/>
    <w:rsid w:val="00065F6E"/>
    <w:rsid w:val="0006630B"/>
    <w:rsid w:val="000679DB"/>
    <w:rsid w:val="00074F56"/>
    <w:rsid w:val="00076696"/>
    <w:rsid w:val="00083629"/>
    <w:rsid w:val="000866C9"/>
    <w:rsid w:val="00091F8F"/>
    <w:rsid w:val="0009262E"/>
    <w:rsid w:val="00094056"/>
    <w:rsid w:val="00097E2C"/>
    <w:rsid w:val="000A256C"/>
    <w:rsid w:val="000B1F0C"/>
    <w:rsid w:val="000B22A4"/>
    <w:rsid w:val="000B6CF0"/>
    <w:rsid w:val="000C5DE3"/>
    <w:rsid w:val="000D2BAB"/>
    <w:rsid w:val="000D6CE9"/>
    <w:rsid w:val="000D7562"/>
    <w:rsid w:val="000E28BA"/>
    <w:rsid w:val="000E741D"/>
    <w:rsid w:val="000E77EA"/>
    <w:rsid w:val="000E7875"/>
    <w:rsid w:val="000F1820"/>
    <w:rsid w:val="000F3334"/>
    <w:rsid w:val="000F7EB5"/>
    <w:rsid w:val="00105AA5"/>
    <w:rsid w:val="00115E86"/>
    <w:rsid w:val="00116E79"/>
    <w:rsid w:val="00121AA2"/>
    <w:rsid w:val="00122C51"/>
    <w:rsid w:val="001301C9"/>
    <w:rsid w:val="00132D12"/>
    <w:rsid w:val="00132EDD"/>
    <w:rsid w:val="00134318"/>
    <w:rsid w:val="00134AD6"/>
    <w:rsid w:val="0013552D"/>
    <w:rsid w:val="00136763"/>
    <w:rsid w:val="00144002"/>
    <w:rsid w:val="001442CF"/>
    <w:rsid w:val="00144CEE"/>
    <w:rsid w:val="001457E4"/>
    <w:rsid w:val="00153014"/>
    <w:rsid w:val="00153B00"/>
    <w:rsid w:val="00154941"/>
    <w:rsid w:val="00154C74"/>
    <w:rsid w:val="00157C03"/>
    <w:rsid w:val="00167F22"/>
    <w:rsid w:val="001721D0"/>
    <w:rsid w:val="00172334"/>
    <w:rsid w:val="00172681"/>
    <w:rsid w:val="0018023D"/>
    <w:rsid w:val="00183B00"/>
    <w:rsid w:val="001844B3"/>
    <w:rsid w:val="0018748B"/>
    <w:rsid w:val="001A14F8"/>
    <w:rsid w:val="001B363F"/>
    <w:rsid w:val="001B6662"/>
    <w:rsid w:val="001B7B59"/>
    <w:rsid w:val="001C6E6D"/>
    <w:rsid w:val="001D6EB8"/>
    <w:rsid w:val="001D759A"/>
    <w:rsid w:val="001E77C5"/>
    <w:rsid w:val="001F0B26"/>
    <w:rsid w:val="001F0D1B"/>
    <w:rsid w:val="001F10C4"/>
    <w:rsid w:val="001F126E"/>
    <w:rsid w:val="001F462A"/>
    <w:rsid w:val="001F7741"/>
    <w:rsid w:val="00206018"/>
    <w:rsid w:val="0020794C"/>
    <w:rsid w:val="002101CD"/>
    <w:rsid w:val="00210CC0"/>
    <w:rsid w:val="00216543"/>
    <w:rsid w:val="002204A7"/>
    <w:rsid w:val="00221BA2"/>
    <w:rsid w:val="002220BC"/>
    <w:rsid w:val="002220F4"/>
    <w:rsid w:val="002257E8"/>
    <w:rsid w:val="00232227"/>
    <w:rsid w:val="002341C8"/>
    <w:rsid w:val="002362E6"/>
    <w:rsid w:val="0024639D"/>
    <w:rsid w:val="00257F29"/>
    <w:rsid w:val="0026786E"/>
    <w:rsid w:val="0027737E"/>
    <w:rsid w:val="00282B33"/>
    <w:rsid w:val="0029302A"/>
    <w:rsid w:val="00295BCB"/>
    <w:rsid w:val="002A0DDC"/>
    <w:rsid w:val="002A25F4"/>
    <w:rsid w:val="002A4B24"/>
    <w:rsid w:val="002B1ABD"/>
    <w:rsid w:val="002B44EA"/>
    <w:rsid w:val="002C5574"/>
    <w:rsid w:val="002C7719"/>
    <w:rsid w:val="002D6F2F"/>
    <w:rsid w:val="002E064C"/>
    <w:rsid w:val="002E54B5"/>
    <w:rsid w:val="002E5B80"/>
    <w:rsid w:val="002F396A"/>
    <w:rsid w:val="002F3BFA"/>
    <w:rsid w:val="002F4605"/>
    <w:rsid w:val="002F5173"/>
    <w:rsid w:val="00301DC6"/>
    <w:rsid w:val="00311639"/>
    <w:rsid w:val="003126DD"/>
    <w:rsid w:val="00316966"/>
    <w:rsid w:val="003172F3"/>
    <w:rsid w:val="0032158F"/>
    <w:rsid w:val="00331ACF"/>
    <w:rsid w:val="00332C19"/>
    <w:rsid w:val="00334A58"/>
    <w:rsid w:val="00336915"/>
    <w:rsid w:val="00340272"/>
    <w:rsid w:val="00343CF9"/>
    <w:rsid w:val="00345932"/>
    <w:rsid w:val="003474C8"/>
    <w:rsid w:val="003503C2"/>
    <w:rsid w:val="00351F9C"/>
    <w:rsid w:val="003528CA"/>
    <w:rsid w:val="00353045"/>
    <w:rsid w:val="00353DFF"/>
    <w:rsid w:val="00365E28"/>
    <w:rsid w:val="00365E29"/>
    <w:rsid w:val="00367252"/>
    <w:rsid w:val="00367D94"/>
    <w:rsid w:val="0037394B"/>
    <w:rsid w:val="00380FED"/>
    <w:rsid w:val="00381629"/>
    <w:rsid w:val="0038257E"/>
    <w:rsid w:val="0038335C"/>
    <w:rsid w:val="00387F0D"/>
    <w:rsid w:val="003956B2"/>
    <w:rsid w:val="003A0883"/>
    <w:rsid w:val="003A1D5F"/>
    <w:rsid w:val="003A4B0B"/>
    <w:rsid w:val="003B1788"/>
    <w:rsid w:val="003B3B70"/>
    <w:rsid w:val="003B548A"/>
    <w:rsid w:val="003B57CE"/>
    <w:rsid w:val="003C7B84"/>
    <w:rsid w:val="003D01FD"/>
    <w:rsid w:val="003D6C04"/>
    <w:rsid w:val="003D7771"/>
    <w:rsid w:val="003E6305"/>
    <w:rsid w:val="003E75AB"/>
    <w:rsid w:val="003F27A1"/>
    <w:rsid w:val="0040710F"/>
    <w:rsid w:val="00412D6D"/>
    <w:rsid w:val="004154F4"/>
    <w:rsid w:val="004164EB"/>
    <w:rsid w:val="00417D26"/>
    <w:rsid w:val="00421D70"/>
    <w:rsid w:val="004229DA"/>
    <w:rsid w:val="00424701"/>
    <w:rsid w:val="004270EF"/>
    <w:rsid w:val="004354ED"/>
    <w:rsid w:val="00437463"/>
    <w:rsid w:val="0044028D"/>
    <w:rsid w:val="004445E6"/>
    <w:rsid w:val="004463DC"/>
    <w:rsid w:val="004515E1"/>
    <w:rsid w:val="0045161E"/>
    <w:rsid w:val="00454097"/>
    <w:rsid w:val="00457296"/>
    <w:rsid w:val="00460979"/>
    <w:rsid w:val="00462D48"/>
    <w:rsid w:val="004707D6"/>
    <w:rsid w:val="004745FF"/>
    <w:rsid w:val="004748A0"/>
    <w:rsid w:val="0047730A"/>
    <w:rsid w:val="004825FB"/>
    <w:rsid w:val="00491558"/>
    <w:rsid w:val="00491E45"/>
    <w:rsid w:val="004930B6"/>
    <w:rsid w:val="00493FA9"/>
    <w:rsid w:val="004A04AC"/>
    <w:rsid w:val="004A0A1E"/>
    <w:rsid w:val="004A1065"/>
    <w:rsid w:val="004B5939"/>
    <w:rsid w:val="004B68E3"/>
    <w:rsid w:val="004B698B"/>
    <w:rsid w:val="004C22BF"/>
    <w:rsid w:val="004C52B4"/>
    <w:rsid w:val="004C6AAB"/>
    <w:rsid w:val="004D508F"/>
    <w:rsid w:val="004D5D28"/>
    <w:rsid w:val="004D7E97"/>
    <w:rsid w:val="004E23C1"/>
    <w:rsid w:val="004E7A86"/>
    <w:rsid w:val="004E7E82"/>
    <w:rsid w:val="004F45B5"/>
    <w:rsid w:val="004F50CA"/>
    <w:rsid w:val="004F752E"/>
    <w:rsid w:val="004F7AD1"/>
    <w:rsid w:val="005224FF"/>
    <w:rsid w:val="00527E5C"/>
    <w:rsid w:val="0053338B"/>
    <w:rsid w:val="00534C75"/>
    <w:rsid w:val="0053524F"/>
    <w:rsid w:val="00537D50"/>
    <w:rsid w:val="00541885"/>
    <w:rsid w:val="00551DA6"/>
    <w:rsid w:val="00554CCB"/>
    <w:rsid w:val="00556250"/>
    <w:rsid w:val="00556A5E"/>
    <w:rsid w:val="00557398"/>
    <w:rsid w:val="00557855"/>
    <w:rsid w:val="0056216C"/>
    <w:rsid w:val="00562995"/>
    <w:rsid w:val="00567C2A"/>
    <w:rsid w:val="00567F4D"/>
    <w:rsid w:val="00570599"/>
    <w:rsid w:val="00575002"/>
    <w:rsid w:val="0057597D"/>
    <w:rsid w:val="005807B1"/>
    <w:rsid w:val="00585B55"/>
    <w:rsid w:val="005902CB"/>
    <w:rsid w:val="00591B8F"/>
    <w:rsid w:val="00597A35"/>
    <w:rsid w:val="00597B8F"/>
    <w:rsid w:val="005A1D75"/>
    <w:rsid w:val="005A23E1"/>
    <w:rsid w:val="005B6ED3"/>
    <w:rsid w:val="005C1FB3"/>
    <w:rsid w:val="005C211A"/>
    <w:rsid w:val="005C419A"/>
    <w:rsid w:val="005C4767"/>
    <w:rsid w:val="005C63B3"/>
    <w:rsid w:val="005D0D02"/>
    <w:rsid w:val="005D1CC9"/>
    <w:rsid w:val="005D419B"/>
    <w:rsid w:val="005D60DD"/>
    <w:rsid w:val="005D7FC5"/>
    <w:rsid w:val="005E006E"/>
    <w:rsid w:val="005E25D2"/>
    <w:rsid w:val="005E28C5"/>
    <w:rsid w:val="005E503E"/>
    <w:rsid w:val="005F219D"/>
    <w:rsid w:val="005F7E3D"/>
    <w:rsid w:val="00600E54"/>
    <w:rsid w:val="00603664"/>
    <w:rsid w:val="00605890"/>
    <w:rsid w:val="006110FD"/>
    <w:rsid w:val="0061360B"/>
    <w:rsid w:val="00617D0F"/>
    <w:rsid w:val="00621C3F"/>
    <w:rsid w:val="00623990"/>
    <w:rsid w:val="006270CB"/>
    <w:rsid w:val="00627B21"/>
    <w:rsid w:val="00631482"/>
    <w:rsid w:val="00635105"/>
    <w:rsid w:val="006370F8"/>
    <w:rsid w:val="006372BF"/>
    <w:rsid w:val="006448AE"/>
    <w:rsid w:val="00644A86"/>
    <w:rsid w:val="006450D1"/>
    <w:rsid w:val="00657D68"/>
    <w:rsid w:val="0066067C"/>
    <w:rsid w:val="00662259"/>
    <w:rsid w:val="0066315C"/>
    <w:rsid w:val="00666957"/>
    <w:rsid w:val="006759D5"/>
    <w:rsid w:val="00675D64"/>
    <w:rsid w:val="00676B9B"/>
    <w:rsid w:val="00690416"/>
    <w:rsid w:val="00692742"/>
    <w:rsid w:val="00694F50"/>
    <w:rsid w:val="006A0313"/>
    <w:rsid w:val="006A1B2B"/>
    <w:rsid w:val="006A4BE1"/>
    <w:rsid w:val="006A7242"/>
    <w:rsid w:val="006A7BCB"/>
    <w:rsid w:val="006B166E"/>
    <w:rsid w:val="006B1B01"/>
    <w:rsid w:val="006B4FEC"/>
    <w:rsid w:val="006B54E7"/>
    <w:rsid w:val="006B585F"/>
    <w:rsid w:val="006C3BC8"/>
    <w:rsid w:val="006C428E"/>
    <w:rsid w:val="006C46B0"/>
    <w:rsid w:val="006D15A5"/>
    <w:rsid w:val="006D41CE"/>
    <w:rsid w:val="006D7034"/>
    <w:rsid w:val="006E0CF9"/>
    <w:rsid w:val="006E104B"/>
    <w:rsid w:val="006E4895"/>
    <w:rsid w:val="006E55BD"/>
    <w:rsid w:val="006E77A7"/>
    <w:rsid w:val="006F0A2A"/>
    <w:rsid w:val="006F335B"/>
    <w:rsid w:val="006F352E"/>
    <w:rsid w:val="006F4EA1"/>
    <w:rsid w:val="006F7B7C"/>
    <w:rsid w:val="00700141"/>
    <w:rsid w:val="00700738"/>
    <w:rsid w:val="0071092E"/>
    <w:rsid w:val="00723B1E"/>
    <w:rsid w:val="00724B62"/>
    <w:rsid w:val="0072662C"/>
    <w:rsid w:val="00727AED"/>
    <w:rsid w:val="00727CE3"/>
    <w:rsid w:val="0074148E"/>
    <w:rsid w:val="00742272"/>
    <w:rsid w:val="00742AF5"/>
    <w:rsid w:val="00744B18"/>
    <w:rsid w:val="00744DD3"/>
    <w:rsid w:val="00747368"/>
    <w:rsid w:val="00752D96"/>
    <w:rsid w:val="00753E39"/>
    <w:rsid w:val="00757095"/>
    <w:rsid w:val="00757E8D"/>
    <w:rsid w:val="0076135C"/>
    <w:rsid w:val="00763286"/>
    <w:rsid w:val="00764339"/>
    <w:rsid w:val="00764D52"/>
    <w:rsid w:val="007676F4"/>
    <w:rsid w:val="00772790"/>
    <w:rsid w:val="00775CF7"/>
    <w:rsid w:val="00777EE3"/>
    <w:rsid w:val="00782769"/>
    <w:rsid w:val="0078374B"/>
    <w:rsid w:val="0078747C"/>
    <w:rsid w:val="00792DB5"/>
    <w:rsid w:val="007949F0"/>
    <w:rsid w:val="00795D94"/>
    <w:rsid w:val="0079716C"/>
    <w:rsid w:val="007A15D3"/>
    <w:rsid w:val="007B6ADA"/>
    <w:rsid w:val="007B7D54"/>
    <w:rsid w:val="007C082D"/>
    <w:rsid w:val="007C3D7B"/>
    <w:rsid w:val="007C415F"/>
    <w:rsid w:val="007C5AE5"/>
    <w:rsid w:val="007C6B52"/>
    <w:rsid w:val="007C6D59"/>
    <w:rsid w:val="007D0135"/>
    <w:rsid w:val="007D1ABA"/>
    <w:rsid w:val="007D6BEC"/>
    <w:rsid w:val="007E0994"/>
    <w:rsid w:val="007E167D"/>
    <w:rsid w:val="007E4F36"/>
    <w:rsid w:val="007E6567"/>
    <w:rsid w:val="007F1848"/>
    <w:rsid w:val="007F2F9D"/>
    <w:rsid w:val="0080178E"/>
    <w:rsid w:val="00802A7D"/>
    <w:rsid w:val="0080682D"/>
    <w:rsid w:val="00815F91"/>
    <w:rsid w:val="008202AA"/>
    <w:rsid w:val="0082568E"/>
    <w:rsid w:val="00825D09"/>
    <w:rsid w:val="00831737"/>
    <w:rsid w:val="00832430"/>
    <w:rsid w:val="00833DE4"/>
    <w:rsid w:val="0083594E"/>
    <w:rsid w:val="00840BE5"/>
    <w:rsid w:val="00840EF0"/>
    <w:rsid w:val="00841B14"/>
    <w:rsid w:val="008443E1"/>
    <w:rsid w:val="0084537C"/>
    <w:rsid w:val="008462D8"/>
    <w:rsid w:val="008508CC"/>
    <w:rsid w:val="00851BD3"/>
    <w:rsid w:val="00852EA8"/>
    <w:rsid w:val="008548A0"/>
    <w:rsid w:val="00857ED2"/>
    <w:rsid w:val="00866DE0"/>
    <w:rsid w:val="0087020E"/>
    <w:rsid w:val="008710E1"/>
    <w:rsid w:val="00875D8B"/>
    <w:rsid w:val="00876DF0"/>
    <w:rsid w:val="008770E0"/>
    <w:rsid w:val="0087767D"/>
    <w:rsid w:val="0089067A"/>
    <w:rsid w:val="008923B8"/>
    <w:rsid w:val="008A124D"/>
    <w:rsid w:val="008A6CD6"/>
    <w:rsid w:val="008A708E"/>
    <w:rsid w:val="008B14CE"/>
    <w:rsid w:val="008B16DF"/>
    <w:rsid w:val="008B2BC7"/>
    <w:rsid w:val="008B3189"/>
    <w:rsid w:val="008C1D6F"/>
    <w:rsid w:val="008C6E4E"/>
    <w:rsid w:val="008C7B3D"/>
    <w:rsid w:val="008D279E"/>
    <w:rsid w:val="008D7921"/>
    <w:rsid w:val="008E333E"/>
    <w:rsid w:val="008E353E"/>
    <w:rsid w:val="008E41D9"/>
    <w:rsid w:val="008E612C"/>
    <w:rsid w:val="008F25A7"/>
    <w:rsid w:val="008F3D13"/>
    <w:rsid w:val="00901D84"/>
    <w:rsid w:val="00906338"/>
    <w:rsid w:val="00907D89"/>
    <w:rsid w:val="00910405"/>
    <w:rsid w:val="00915D66"/>
    <w:rsid w:val="0091697D"/>
    <w:rsid w:val="009178AF"/>
    <w:rsid w:val="0093340D"/>
    <w:rsid w:val="009335FF"/>
    <w:rsid w:val="009348A6"/>
    <w:rsid w:val="00934DC0"/>
    <w:rsid w:val="00936BA6"/>
    <w:rsid w:val="00936D81"/>
    <w:rsid w:val="00940B32"/>
    <w:rsid w:val="00940F4C"/>
    <w:rsid w:val="0094303D"/>
    <w:rsid w:val="00945AFD"/>
    <w:rsid w:val="00947723"/>
    <w:rsid w:val="009504F7"/>
    <w:rsid w:val="0095747D"/>
    <w:rsid w:val="00964C4C"/>
    <w:rsid w:val="00965BB6"/>
    <w:rsid w:val="00971A3E"/>
    <w:rsid w:val="00972050"/>
    <w:rsid w:val="00980E46"/>
    <w:rsid w:val="0099291D"/>
    <w:rsid w:val="009976B3"/>
    <w:rsid w:val="009A5EBD"/>
    <w:rsid w:val="009A67E2"/>
    <w:rsid w:val="009A684F"/>
    <w:rsid w:val="009A7CCB"/>
    <w:rsid w:val="009B4842"/>
    <w:rsid w:val="009B631E"/>
    <w:rsid w:val="009C491B"/>
    <w:rsid w:val="009D0471"/>
    <w:rsid w:val="009D0BF1"/>
    <w:rsid w:val="009D33B6"/>
    <w:rsid w:val="009D37FB"/>
    <w:rsid w:val="009D3AC8"/>
    <w:rsid w:val="009D44A6"/>
    <w:rsid w:val="009D62C4"/>
    <w:rsid w:val="009D6777"/>
    <w:rsid w:val="009E12A0"/>
    <w:rsid w:val="009E2C90"/>
    <w:rsid w:val="009E4592"/>
    <w:rsid w:val="009E5B9D"/>
    <w:rsid w:val="009F45AF"/>
    <w:rsid w:val="009F6A06"/>
    <w:rsid w:val="009F7084"/>
    <w:rsid w:val="00A043E2"/>
    <w:rsid w:val="00A072E3"/>
    <w:rsid w:val="00A11A8A"/>
    <w:rsid w:val="00A140B9"/>
    <w:rsid w:val="00A159B9"/>
    <w:rsid w:val="00A17C59"/>
    <w:rsid w:val="00A24258"/>
    <w:rsid w:val="00A31A5A"/>
    <w:rsid w:val="00A31E8C"/>
    <w:rsid w:val="00A3340B"/>
    <w:rsid w:val="00A35275"/>
    <w:rsid w:val="00A35FB4"/>
    <w:rsid w:val="00A373F8"/>
    <w:rsid w:val="00A4424D"/>
    <w:rsid w:val="00A4437F"/>
    <w:rsid w:val="00A47266"/>
    <w:rsid w:val="00A47903"/>
    <w:rsid w:val="00A52EFA"/>
    <w:rsid w:val="00A5320E"/>
    <w:rsid w:val="00A539D7"/>
    <w:rsid w:val="00A5462F"/>
    <w:rsid w:val="00A54DF2"/>
    <w:rsid w:val="00A56417"/>
    <w:rsid w:val="00A56477"/>
    <w:rsid w:val="00A62A9C"/>
    <w:rsid w:val="00A65F7A"/>
    <w:rsid w:val="00A66A87"/>
    <w:rsid w:val="00A7049B"/>
    <w:rsid w:val="00A74AC5"/>
    <w:rsid w:val="00A755D0"/>
    <w:rsid w:val="00A831F1"/>
    <w:rsid w:val="00A83410"/>
    <w:rsid w:val="00A86695"/>
    <w:rsid w:val="00A8782A"/>
    <w:rsid w:val="00A91934"/>
    <w:rsid w:val="00AA0C72"/>
    <w:rsid w:val="00AA3B1A"/>
    <w:rsid w:val="00AB6CFF"/>
    <w:rsid w:val="00AB7FF4"/>
    <w:rsid w:val="00AC09FF"/>
    <w:rsid w:val="00AC4A50"/>
    <w:rsid w:val="00AC65A3"/>
    <w:rsid w:val="00AC7A9D"/>
    <w:rsid w:val="00AE65B2"/>
    <w:rsid w:val="00AF29B3"/>
    <w:rsid w:val="00AF409F"/>
    <w:rsid w:val="00AF7C09"/>
    <w:rsid w:val="00B1099D"/>
    <w:rsid w:val="00B128A5"/>
    <w:rsid w:val="00B13B25"/>
    <w:rsid w:val="00B14EA0"/>
    <w:rsid w:val="00B1700A"/>
    <w:rsid w:val="00B249DE"/>
    <w:rsid w:val="00B30966"/>
    <w:rsid w:val="00B3231E"/>
    <w:rsid w:val="00B345A3"/>
    <w:rsid w:val="00B36366"/>
    <w:rsid w:val="00B46320"/>
    <w:rsid w:val="00B53B9B"/>
    <w:rsid w:val="00B56514"/>
    <w:rsid w:val="00B56949"/>
    <w:rsid w:val="00B65328"/>
    <w:rsid w:val="00B65D97"/>
    <w:rsid w:val="00B7197D"/>
    <w:rsid w:val="00B7350D"/>
    <w:rsid w:val="00B74B1D"/>
    <w:rsid w:val="00B74C8C"/>
    <w:rsid w:val="00B768EB"/>
    <w:rsid w:val="00B77BE7"/>
    <w:rsid w:val="00B867DE"/>
    <w:rsid w:val="00B90624"/>
    <w:rsid w:val="00B933CD"/>
    <w:rsid w:val="00B93B7E"/>
    <w:rsid w:val="00B9549C"/>
    <w:rsid w:val="00B95959"/>
    <w:rsid w:val="00B9622F"/>
    <w:rsid w:val="00B9641D"/>
    <w:rsid w:val="00B9797A"/>
    <w:rsid w:val="00BA4A2D"/>
    <w:rsid w:val="00BB0F2C"/>
    <w:rsid w:val="00BB26A7"/>
    <w:rsid w:val="00BB44EA"/>
    <w:rsid w:val="00BC0DCF"/>
    <w:rsid w:val="00BC0F62"/>
    <w:rsid w:val="00BC1121"/>
    <w:rsid w:val="00BC616E"/>
    <w:rsid w:val="00BD01E0"/>
    <w:rsid w:val="00BD6872"/>
    <w:rsid w:val="00BE3112"/>
    <w:rsid w:val="00BE72B1"/>
    <w:rsid w:val="00BF28E6"/>
    <w:rsid w:val="00BF3FFE"/>
    <w:rsid w:val="00BF79C8"/>
    <w:rsid w:val="00C015C4"/>
    <w:rsid w:val="00C02193"/>
    <w:rsid w:val="00C10601"/>
    <w:rsid w:val="00C12B57"/>
    <w:rsid w:val="00C16B5D"/>
    <w:rsid w:val="00C2123F"/>
    <w:rsid w:val="00C253B4"/>
    <w:rsid w:val="00C26AE7"/>
    <w:rsid w:val="00C307B1"/>
    <w:rsid w:val="00C3317A"/>
    <w:rsid w:val="00C345BA"/>
    <w:rsid w:val="00C37F88"/>
    <w:rsid w:val="00C42945"/>
    <w:rsid w:val="00C43EA7"/>
    <w:rsid w:val="00C4612B"/>
    <w:rsid w:val="00C471B7"/>
    <w:rsid w:val="00C520AA"/>
    <w:rsid w:val="00C5346D"/>
    <w:rsid w:val="00C53C40"/>
    <w:rsid w:val="00C53E2E"/>
    <w:rsid w:val="00C53F8E"/>
    <w:rsid w:val="00C54026"/>
    <w:rsid w:val="00C55C31"/>
    <w:rsid w:val="00C57B81"/>
    <w:rsid w:val="00C61C86"/>
    <w:rsid w:val="00C620EE"/>
    <w:rsid w:val="00C66CC7"/>
    <w:rsid w:val="00C712EF"/>
    <w:rsid w:val="00C80EF2"/>
    <w:rsid w:val="00C8197E"/>
    <w:rsid w:val="00C86D3E"/>
    <w:rsid w:val="00C95B60"/>
    <w:rsid w:val="00C975AC"/>
    <w:rsid w:val="00CA1DDD"/>
    <w:rsid w:val="00CA241D"/>
    <w:rsid w:val="00CA2614"/>
    <w:rsid w:val="00CB1734"/>
    <w:rsid w:val="00CB5064"/>
    <w:rsid w:val="00CB7C57"/>
    <w:rsid w:val="00CC1F01"/>
    <w:rsid w:val="00CC40E4"/>
    <w:rsid w:val="00CC5179"/>
    <w:rsid w:val="00CD12A7"/>
    <w:rsid w:val="00CD16EF"/>
    <w:rsid w:val="00CD19D6"/>
    <w:rsid w:val="00CD60CA"/>
    <w:rsid w:val="00CD7556"/>
    <w:rsid w:val="00CE00CD"/>
    <w:rsid w:val="00CE02E1"/>
    <w:rsid w:val="00CE4D6C"/>
    <w:rsid w:val="00CE7843"/>
    <w:rsid w:val="00CE7E88"/>
    <w:rsid w:val="00CF0022"/>
    <w:rsid w:val="00CF1A04"/>
    <w:rsid w:val="00D01C69"/>
    <w:rsid w:val="00D04834"/>
    <w:rsid w:val="00D12B43"/>
    <w:rsid w:val="00D22EC6"/>
    <w:rsid w:val="00D23EC6"/>
    <w:rsid w:val="00D3030C"/>
    <w:rsid w:val="00D33CDB"/>
    <w:rsid w:val="00D36D81"/>
    <w:rsid w:val="00D42EFD"/>
    <w:rsid w:val="00D45BE8"/>
    <w:rsid w:val="00D52D6C"/>
    <w:rsid w:val="00D534D9"/>
    <w:rsid w:val="00D54E32"/>
    <w:rsid w:val="00D5604B"/>
    <w:rsid w:val="00D56978"/>
    <w:rsid w:val="00D5780E"/>
    <w:rsid w:val="00D6423F"/>
    <w:rsid w:val="00D643A0"/>
    <w:rsid w:val="00D64C75"/>
    <w:rsid w:val="00D654FC"/>
    <w:rsid w:val="00D734AA"/>
    <w:rsid w:val="00D776B2"/>
    <w:rsid w:val="00D814D7"/>
    <w:rsid w:val="00D817F7"/>
    <w:rsid w:val="00D84410"/>
    <w:rsid w:val="00D901BF"/>
    <w:rsid w:val="00DA090D"/>
    <w:rsid w:val="00DA0C92"/>
    <w:rsid w:val="00DA3925"/>
    <w:rsid w:val="00DB3B7B"/>
    <w:rsid w:val="00DC2C82"/>
    <w:rsid w:val="00DC5EFF"/>
    <w:rsid w:val="00DC6272"/>
    <w:rsid w:val="00DF3994"/>
    <w:rsid w:val="00DF3DA9"/>
    <w:rsid w:val="00DF5B73"/>
    <w:rsid w:val="00E02002"/>
    <w:rsid w:val="00E03954"/>
    <w:rsid w:val="00E06CCC"/>
    <w:rsid w:val="00E145B5"/>
    <w:rsid w:val="00E157A3"/>
    <w:rsid w:val="00E15DB3"/>
    <w:rsid w:val="00E3522C"/>
    <w:rsid w:val="00E44276"/>
    <w:rsid w:val="00E52116"/>
    <w:rsid w:val="00E569F1"/>
    <w:rsid w:val="00E57333"/>
    <w:rsid w:val="00E65DB7"/>
    <w:rsid w:val="00E76062"/>
    <w:rsid w:val="00E76204"/>
    <w:rsid w:val="00E84512"/>
    <w:rsid w:val="00E91244"/>
    <w:rsid w:val="00EA0DFD"/>
    <w:rsid w:val="00EA37C5"/>
    <w:rsid w:val="00EA4069"/>
    <w:rsid w:val="00EB10B1"/>
    <w:rsid w:val="00EC2DD4"/>
    <w:rsid w:val="00EC4E31"/>
    <w:rsid w:val="00ED1994"/>
    <w:rsid w:val="00ED1E93"/>
    <w:rsid w:val="00ED7E91"/>
    <w:rsid w:val="00EE23B9"/>
    <w:rsid w:val="00EE47FF"/>
    <w:rsid w:val="00EE551D"/>
    <w:rsid w:val="00EE6BAE"/>
    <w:rsid w:val="00EE7952"/>
    <w:rsid w:val="00EF4342"/>
    <w:rsid w:val="00F0167A"/>
    <w:rsid w:val="00F1346F"/>
    <w:rsid w:val="00F1413D"/>
    <w:rsid w:val="00F2312F"/>
    <w:rsid w:val="00F23CFF"/>
    <w:rsid w:val="00F23FDF"/>
    <w:rsid w:val="00F2402B"/>
    <w:rsid w:val="00F24D2D"/>
    <w:rsid w:val="00F30C0D"/>
    <w:rsid w:val="00F32963"/>
    <w:rsid w:val="00F33F03"/>
    <w:rsid w:val="00F345B0"/>
    <w:rsid w:val="00F35BE6"/>
    <w:rsid w:val="00F434A0"/>
    <w:rsid w:val="00F435A7"/>
    <w:rsid w:val="00F55046"/>
    <w:rsid w:val="00F63068"/>
    <w:rsid w:val="00F630E2"/>
    <w:rsid w:val="00F6757C"/>
    <w:rsid w:val="00F72EB6"/>
    <w:rsid w:val="00F7686C"/>
    <w:rsid w:val="00F808A8"/>
    <w:rsid w:val="00F84D28"/>
    <w:rsid w:val="00F84FEF"/>
    <w:rsid w:val="00F8617B"/>
    <w:rsid w:val="00F9346B"/>
    <w:rsid w:val="00F93D5C"/>
    <w:rsid w:val="00FA0514"/>
    <w:rsid w:val="00FA40F2"/>
    <w:rsid w:val="00FA4CB4"/>
    <w:rsid w:val="00FA5556"/>
    <w:rsid w:val="00FB0CC4"/>
    <w:rsid w:val="00FB43C9"/>
    <w:rsid w:val="00FB5E37"/>
    <w:rsid w:val="00FC1CAD"/>
    <w:rsid w:val="00FC6580"/>
    <w:rsid w:val="00FE3516"/>
    <w:rsid w:val="00FE413A"/>
    <w:rsid w:val="00FE7F89"/>
    <w:rsid w:val="00FF3B85"/>
    <w:rsid w:val="00FF5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32227"/>
    <w:pPr>
      <w:spacing w:after="120"/>
    </w:pPr>
    <w:rPr>
      <w:sz w:val="24"/>
      <w:szCs w:val="24"/>
      <w:lang w:val="sk-SK" w:eastAsia="sk-SK"/>
    </w:rPr>
  </w:style>
  <w:style w:type="paragraph" w:styleId="Nadpis1">
    <w:name w:val="heading 1"/>
    <w:basedOn w:val="Normlny"/>
    <w:next w:val="Normlny"/>
    <w:qFormat/>
    <w:rsid w:val="006110FD"/>
    <w:pPr>
      <w:keepNext/>
      <w:numPr>
        <w:numId w:val="2"/>
      </w:numPr>
      <w:spacing w:before="240"/>
      <w:ind w:left="357" w:hanging="357"/>
      <w:outlineLvl w:val="0"/>
    </w:pPr>
    <w:rPr>
      <w:rFonts w:cs="Arial"/>
      <w:b/>
      <w:bCs/>
      <w:caps/>
      <w:kern w:val="32"/>
      <w:sz w:val="28"/>
      <w:szCs w:val="28"/>
    </w:rPr>
  </w:style>
  <w:style w:type="paragraph" w:styleId="Nadpis2">
    <w:name w:val="heading 2"/>
    <w:basedOn w:val="Normlny"/>
    <w:next w:val="Normlny"/>
    <w:qFormat/>
    <w:rsid w:val="006110FD"/>
    <w:pPr>
      <w:keepNext/>
      <w:numPr>
        <w:ilvl w:val="1"/>
        <w:numId w:val="2"/>
      </w:numPr>
      <w:spacing w:before="240" w:after="60"/>
      <w:outlineLvl w:val="1"/>
    </w:pPr>
    <w:rPr>
      <w:rFonts w:cs="Arial"/>
      <w:b/>
      <w:bCs/>
      <w:iCs/>
      <w:szCs w:val="28"/>
    </w:rPr>
  </w:style>
  <w:style w:type="paragraph" w:styleId="Nadpis3">
    <w:name w:val="heading 3"/>
    <w:basedOn w:val="Normlny"/>
    <w:next w:val="Normlny"/>
    <w:qFormat/>
    <w:rsid w:val="006110FD"/>
    <w:pPr>
      <w:keepNext/>
      <w:spacing w:before="240" w:after="60"/>
      <w:outlineLvl w:val="2"/>
    </w:pPr>
    <w:rPr>
      <w:rFonts w:cs="Arial"/>
      <w:b/>
      <w:bCs/>
      <w:i/>
      <w:szCs w:val="26"/>
    </w:rPr>
  </w:style>
  <w:style w:type="paragraph" w:styleId="Nadpis4">
    <w:name w:val="heading 4"/>
    <w:basedOn w:val="Normlny"/>
    <w:next w:val="Normlny"/>
    <w:qFormat/>
    <w:rsid w:val="006110FD"/>
    <w:pPr>
      <w:keepNext/>
      <w:outlineLvl w:val="3"/>
    </w:pPr>
    <w:rPr>
      <w:rFonts w:ascii="Arial" w:hAnsi="Arial"/>
      <w:b/>
      <w:i/>
      <w:sz w:val="20"/>
    </w:rPr>
  </w:style>
  <w:style w:type="paragraph" w:styleId="Nadpis5">
    <w:name w:val="heading 5"/>
    <w:basedOn w:val="Normlny"/>
    <w:next w:val="Normlny"/>
    <w:qFormat/>
    <w:rsid w:val="006110FD"/>
    <w:pPr>
      <w:keepNext/>
      <w:spacing w:after="0"/>
      <w:jc w:val="both"/>
      <w:outlineLvl w:val="4"/>
    </w:pPr>
    <w:rPr>
      <w:rFonts w:ascii="Arial" w:hAnsi="Arial"/>
      <w:b/>
      <w:i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semiHidden/>
    <w:rsid w:val="006110FD"/>
    <w:rPr>
      <w:sz w:val="16"/>
      <w:szCs w:val="16"/>
    </w:rPr>
  </w:style>
  <w:style w:type="paragraph" w:styleId="Textkomentra">
    <w:name w:val="annotation text"/>
    <w:basedOn w:val="Normlny"/>
    <w:semiHidden/>
    <w:rsid w:val="006110FD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6110FD"/>
    <w:rPr>
      <w:b/>
      <w:bCs/>
    </w:rPr>
  </w:style>
  <w:style w:type="paragraph" w:styleId="Textbubliny">
    <w:name w:val="Balloon Text"/>
    <w:basedOn w:val="Normlny"/>
    <w:semiHidden/>
    <w:rsid w:val="006110FD"/>
    <w:rPr>
      <w:rFonts w:ascii="Tahoma" w:hAnsi="Tahoma" w:cs="Tahoma"/>
      <w:sz w:val="16"/>
      <w:szCs w:val="16"/>
    </w:rPr>
  </w:style>
  <w:style w:type="paragraph" w:customStyle="1" w:styleId="cellleft9">
    <w:name w:val="cell:left9"/>
    <w:basedOn w:val="Normlny"/>
    <w:next w:val="Normlny"/>
    <w:rsid w:val="006110FD"/>
    <w:pPr>
      <w:spacing w:before="30" w:after="30"/>
    </w:pPr>
    <w:rPr>
      <w:rFonts w:ascii="Arial" w:hAnsi="Arial"/>
      <w:sz w:val="18"/>
      <w:szCs w:val="20"/>
      <w:lang w:val="en-US" w:eastAsia="en-US"/>
    </w:rPr>
  </w:style>
  <w:style w:type="paragraph" w:customStyle="1" w:styleId="cellleft">
    <w:name w:val="cell:left"/>
    <w:basedOn w:val="Normlny"/>
    <w:next w:val="Normlny"/>
    <w:rsid w:val="006110FD"/>
    <w:pPr>
      <w:tabs>
        <w:tab w:val="left" w:pos="360"/>
      </w:tabs>
      <w:spacing w:after="43"/>
    </w:pPr>
    <w:rPr>
      <w:rFonts w:ascii="Arial" w:hAnsi="Arial"/>
      <w:szCs w:val="20"/>
      <w:lang w:val="en-US" w:eastAsia="en-US"/>
    </w:rPr>
  </w:style>
  <w:style w:type="paragraph" w:styleId="Zkladntext">
    <w:name w:val="Body Text"/>
    <w:basedOn w:val="Normlny"/>
    <w:rsid w:val="006110FD"/>
    <w:rPr>
      <w:rFonts w:ascii="Arial" w:hAnsi="Arial"/>
      <w:sz w:val="20"/>
    </w:rPr>
  </w:style>
  <w:style w:type="paragraph" w:styleId="Pta">
    <w:name w:val="footer"/>
    <w:basedOn w:val="Normlny"/>
    <w:link w:val="PtaChar"/>
    <w:uiPriority w:val="99"/>
    <w:rsid w:val="006110FD"/>
    <w:pPr>
      <w:tabs>
        <w:tab w:val="center" w:pos="4320"/>
        <w:tab w:val="right" w:pos="8640"/>
      </w:tabs>
    </w:pPr>
  </w:style>
  <w:style w:type="character" w:styleId="slostrany">
    <w:name w:val="page number"/>
    <w:basedOn w:val="Predvolenpsmoodseku"/>
    <w:rsid w:val="006110FD"/>
  </w:style>
  <w:style w:type="paragraph" w:styleId="Hlavika">
    <w:name w:val="header"/>
    <w:basedOn w:val="Normlny"/>
    <w:link w:val="HlavikaChar"/>
    <w:uiPriority w:val="99"/>
    <w:rsid w:val="006110FD"/>
    <w:pPr>
      <w:tabs>
        <w:tab w:val="center" w:pos="4320"/>
        <w:tab w:val="right" w:pos="8640"/>
      </w:tabs>
    </w:pPr>
  </w:style>
  <w:style w:type="paragraph" w:styleId="Zkladntext2">
    <w:name w:val="Body Text 2"/>
    <w:basedOn w:val="Normlny"/>
    <w:rsid w:val="006110FD"/>
    <w:pPr>
      <w:spacing w:after="0"/>
      <w:jc w:val="both"/>
    </w:pPr>
    <w:rPr>
      <w:rFonts w:ascii="Arial" w:hAnsi="Arial"/>
      <w:sz w:val="20"/>
    </w:rPr>
  </w:style>
  <w:style w:type="paragraph" w:customStyle="1" w:styleId="knZulassung01">
    <w:name w:val="knZulassung01"/>
    <w:basedOn w:val="Normlny"/>
    <w:rsid w:val="00E52116"/>
    <w:pPr>
      <w:tabs>
        <w:tab w:val="left" w:pos="567"/>
      </w:tabs>
      <w:spacing w:after="0"/>
      <w:ind w:left="1843" w:right="284" w:hanging="1843"/>
    </w:pPr>
    <w:rPr>
      <w:rFonts w:ascii="Courier" w:hAnsi="Courier"/>
      <w:szCs w:val="20"/>
      <w:lang w:val="de-DE" w:eastAsia="en-US"/>
    </w:rPr>
  </w:style>
  <w:style w:type="paragraph" w:styleId="Textpoznmkypodiarou">
    <w:name w:val="footnote text"/>
    <w:basedOn w:val="Normlny"/>
    <w:semiHidden/>
    <w:rsid w:val="000F7EB5"/>
    <w:rPr>
      <w:sz w:val="20"/>
      <w:szCs w:val="20"/>
    </w:rPr>
  </w:style>
  <w:style w:type="character" w:styleId="Odkaznapoznmkupodiarou">
    <w:name w:val="footnote reference"/>
    <w:semiHidden/>
    <w:rsid w:val="000F7EB5"/>
    <w:rPr>
      <w:vertAlign w:val="superscript"/>
    </w:rPr>
  </w:style>
  <w:style w:type="paragraph" w:styleId="Textvysvetlivky">
    <w:name w:val="endnote text"/>
    <w:basedOn w:val="Normlny"/>
    <w:semiHidden/>
    <w:rsid w:val="00AC09FF"/>
    <w:rPr>
      <w:sz w:val="20"/>
      <w:szCs w:val="20"/>
    </w:rPr>
  </w:style>
  <w:style w:type="character" w:styleId="Odkaznavysvetlivku">
    <w:name w:val="endnote reference"/>
    <w:semiHidden/>
    <w:rsid w:val="00AC09FF"/>
    <w:rPr>
      <w:vertAlign w:val="superscript"/>
    </w:rPr>
  </w:style>
  <w:style w:type="paragraph" w:styleId="Zarkazkladnhotextu">
    <w:name w:val="Body Text Indent"/>
    <w:basedOn w:val="Normlny"/>
    <w:rsid w:val="0020794C"/>
    <w:pPr>
      <w:ind w:left="283"/>
    </w:pPr>
  </w:style>
  <w:style w:type="paragraph" w:customStyle="1" w:styleId="Body">
    <w:name w:val="Body"/>
    <w:basedOn w:val="Normlny"/>
    <w:link w:val="BodyChar"/>
    <w:rsid w:val="0020794C"/>
    <w:pPr>
      <w:spacing w:after="0"/>
      <w:ind w:firstLine="288"/>
      <w:jc w:val="both"/>
    </w:pPr>
    <w:rPr>
      <w:rFonts w:ascii="Arial" w:hAnsi="Arial"/>
      <w:sz w:val="20"/>
      <w:szCs w:val="20"/>
      <w:lang w:eastAsia="en-US"/>
    </w:rPr>
  </w:style>
  <w:style w:type="paragraph" w:customStyle="1" w:styleId="knZulassung02">
    <w:name w:val="knZulassung02"/>
    <w:basedOn w:val="Normlny"/>
    <w:rsid w:val="0020794C"/>
    <w:pPr>
      <w:spacing w:after="0"/>
      <w:ind w:left="1843" w:right="284"/>
    </w:pPr>
    <w:rPr>
      <w:rFonts w:ascii="Courier" w:hAnsi="Courier"/>
      <w:szCs w:val="20"/>
      <w:lang w:val="de-DE" w:eastAsia="en-US"/>
    </w:rPr>
  </w:style>
  <w:style w:type="table" w:styleId="Mriekatabuky">
    <w:name w:val="Table Grid"/>
    <w:basedOn w:val="Normlnatabuka"/>
    <w:rsid w:val="008C6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">
    <w:name w:val="Footnote"/>
    <w:basedOn w:val="Normlny"/>
    <w:next w:val="Body"/>
    <w:rsid w:val="00936D81"/>
    <w:pPr>
      <w:keepLines/>
      <w:tabs>
        <w:tab w:val="right" w:pos="317"/>
        <w:tab w:val="left" w:pos="346"/>
      </w:tabs>
      <w:spacing w:after="0"/>
      <w:ind w:left="346" w:hanging="346"/>
    </w:pPr>
    <w:rPr>
      <w:rFonts w:ascii="Arial" w:hAnsi="Arial"/>
      <w:sz w:val="14"/>
      <w:szCs w:val="20"/>
      <w:lang w:val="en-US" w:eastAsia="en-US"/>
    </w:rPr>
  </w:style>
  <w:style w:type="paragraph" w:customStyle="1" w:styleId="Tablenormal">
    <w:name w:val="Table: normal"/>
    <w:basedOn w:val="Normlny"/>
    <w:rsid w:val="00936D81"/>
    <w:pPr>
      <w:keepNext/>
      <w:keepLines/>
      <w:spacing w:after="0"/>
    </w:pPr>
    <w:rPr>
      <w:rFonts w:ascii="Arial" w:hAnsi="Arial"/>
      <w:sz w:val="14"/>
      <w:szCs w:val="20"/>
      <w:lang w:val="en-US" w:eastAsia="en-US"/>
    </w:rPr>
  </w:style>
  <w:style w:type="character" w:customStyle="1" w:styleId="BodyChar">
    <w:name w:val="Body Char"/>
    <w:link w:val="Body"/>
    <w:rsid w:val="00936D81"/>
    <w:rPr>
      <w:rFonts w:ascii="Arial" w:hAnsi="Arial"/>
      <w:lang w:eastAsia="en-US"/>
    </w:rPr>
  </w:style>
  <w:style w:type="paragraph" w:customStyle="1" w:styleId="Revision1">
    <w:name w:val="Revision1"/>
    <w:hidden/>
    <w:uiPriority w:val="99"/>
    <w:semiHidden/>
    <w:rsid w:val="00BF3FFE"/>
    <w:rPr>
      <w:sz w:val="24"/>
      <w:szCs w:val="24"/>
      <w:lang w:val="sk-SK" w:eastAsia="sk-SK"/>
    </w:rPr>
  </w:style>
  <w:style w:type="character" w:customStyle="1" w:styleId="PtaChar">
    <w:name w:val="Päta Char"/>
    <w:link w:val="Pta"/>
    <w:uiPriority w:val="99"/>
    <w:rsid w:val="000174A0"/>
    <w:rPr>
      <w:sz w:val="24"/>
      <w:szCs w:val="24"/>
      <w:lang w:val="sk-SK"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E76062"/>
    <w:rPr>
      <w:sz w:val="24"/>
      <w:szCs w:val="24"/>
    </w:rPr>
  </w:style>
  <w:style w:type="character" w:styleId="Hypertextovprepojenie">
    <w:name w:val="Hyperlink"/>
    <w:basedOn w:val="Predvolenpsmoodseku"/>
    <w:rsid w:val="00825D09"/>
    <w:rPr>
      <w:color w:val="0000FF" w:themeColor="hyperlink"/>
      <w:u w:val="single"/>
    </w:rPr>
  </w:style>
  <w:style w:type="character" w:styleId="PouitHypertextovPrepojenie">
    <w:name w:val="FollowedHyperlink"/>
    <w:basedOn w:val="Predvolenpsmoodseku"/>
    <w:semiHidden/>
    <w:unhideWhenUsed/>
    <w:rsid w:val="002D6F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ma.europa.eu/docs/en_GB/document_library/Template_or_form/2013/03/WC500139752.doc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6690</Words>
  <Characters>38138</Characters>
  <Application>Microsoft Office Word</Application>
  <DocSecurity>0</DocSecurity>
  <Lines>317</Lines>
  <Paragraphs>89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44739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2016-06-16T10:13:00Z</dcterms:created>
  <dcterms:modified xsi:type="dcterms:W3CDTF">2016-06-20T05:53:00Z</dcterms:modified>
</cp:coreProperties>
</file>