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25" w:rsidRPr="0078319B" w:rsidRDefault="009D7BF9" w:rsidP="00A505E4">
      <w:pPr>
        <w:widowControl w:val="0"/>
        <w:spacing w:line="240" w:lineRule="auto"/>
        <w:rPr>
          <w:sz w:val="18"/>
          <w:szCs w:val="18"/>
          <w:lang w:val="sk-SK"/>
        </w:rPr>
      </w:pPr>
      <w:bookmarkStart w:id="0" w:name="_GoBack"/>
      <w:bookmarkEnd w:id="0"/>
      <w:r w:rsidRPr="0078319B">
        <w:rPr>
          <w:sz w:val="18"/>
          <w:szCs w:val="18"/>
          <w:lang w:val="sk-SK"/>
        </w:rPr>
        <w:t xml:space="preserve">Schválený text k rozhodnutiu o registrácii, </w:t>
      </w:r>
      <w:r w:rsidR="0078319B" w:rsidRPr="0078319B">
        <w:rPr>
          <w:sz w:val="18"/>
          <w:szCs w:val="18"/>
          <w:lang w:val="sk-SK"/>
        </w:rPr>
        <w:t>ev.</w:t>
      </w:r>
      <w:r w:rsidR="0078319B">
        <w:rPr>
          <w:sz w:val="18"/>
          <w:szCs w:val="18"/>
          <w:lang w:val="sk-SK"/>
        </w:rPr>
        <w:t xml:space="preserve"> </w:t>
      </w:r>
      <w:r w:rsidR="0078319B" w:rsidRPr="0078319B">
        <w:rPr>
          <w:sz w:val="18"/>
          <w:szCs w:val="18"/>
          <w:lang w:val="sk-SK"/>
        </w:rPr>
        <w:t>č.</w:t>
      </w:r>
      <w:r w:rsidRPr="0078319B">
        <w:rPr>
          <w:sz w:val="18"/>
          <w:szCs w:val="18"/>
          <w:lang w:val="sk-SK"/>
        </w:rPr>
        <w:t xml:space="preserve"> 2013/06547-REG</w:t>
      </w:r>
    </w:p>
    <w:p w:rsidR="009D7BF9" w:rsidRPr="0078319B" w:rsidRDefault="009D7BF9" w:rsidP="00A505E4">
      <w:pPr>
        <w:widowControl w:val="0"/>
        <w:spacing w:line="240" w:lineRule="auto"/>
        <w:rPr>
          <w:sz w:val="18"/>
          <w:szCs w:val="18"/>
          <w:lang w:val="sk-SK"/>
        </w:rPr>
      </w:pPr>
    </w:p>
    <w:p w:rsidR="009D7BF9" w:rsidRPr="0078319B" w:rsidRDefault="009D7BF9" w:rsidP="00A505E4">
      <w:pPr>
        <w:widowControl w:val="0"/>
        <w:spacing w:line="240" w:lineRule="auto"/>
        <w:rPr>
          <w:sz w:val="18"/>
          <w:szCs w:val="18"/>
          <w:lang w:val="sk-SK"/>
        </w:rPr>
      </w:pPr>
    </w:p>
    <w:p w:rsidR="009D7BF9" w:rsidRPr="0078319B" w:rsidRDefault="009D7BF9" w:rsidP="009D7BF9">
      <w:pPr>
        <w:widowControl w:val="0"/>
        <w:spacing w:line="240" w:lineRule="auto"/>
        <w:jc w:val="center"/>
        <w:rPr>
          <w:b/>
          <w:szCs w:val="22"/>
          <w:lang w:val="sk-SK"/>
        </w:rPr>
      </w:pPr>
      <w:r w:rsidRPr="0078319B">
        <w:rPr>
          <w:b/>
          <w:szCs w:val="22"/>
          <w:lang w:val="sk-SK"/>
        </w:rPr>
        <w:t>SÚHRN CHARAKTERISTICKÝCH VLASTNOSTÍ LIEKU</w:t>
      </w:r>
    </w:p>
    <w:p w:rsidR="00912E25" w:rsidRPr="0078319B" w:rsidRDefault="00912E25" w:rsidP="00A505E4">
      <w:pPr>
        <w:widowControl w:val="0"/>
        <w:spacing w:line="240" w:lineRule="auto"/>
        <w:rPr>
          <w:szCs w:val="22"/>
          <w:lang w:val="sk-SK"/>
        </w:rPr>
      </w:pPr>
    </w:p>
    <w:p w:rsidR="009D7BF9" w:rsidRPr="0078319B" w:rsidRDefault="009D7BF9" w:rsidP="00A505E4">
      <w:pPr>
        <w:widowControl w:val="0"/>
        <w:spacing w:line="240" w:lineRule="auto"/>
        <w:rPr>
          <w:szCs w:val="22"/>
          <w:lang w:val="sk-SK"/>
        </w:rPr>
      </w:pPr>
    </w:p>
    <w:p w:rsidR="00912E25" w:rsidRPr="0078319B" w:rsidRDefault="00912E25" w:rsidP="00A505E4">
      <w:pPr>
        <w:widowControl w:val="0"/>
        <w:spacing w:line="240" w:lineRule="auto"/>
        <w:rPr>
          <w:lang w:val="sk-SK"/>
        </w:rPr>
      </w:pPr>
      <w:r w:rsidRPr="0078319B">
        <w:rPr>
          <w:b/>
          <w:lang w:val="sk-SK"/>
        </w:rPr>
        <w:t>1.</w:t>
      </w:r>
      <w:r w:rsidRPr="0078319B">
        <w:rPr>
          <w:b/>
          <w:lang w:val="sk-SK"/>
        </w:rPr>
        <w:tab/>
      </w:r>
      <w:r w:rsidRPr="0078319B">
        <w:rPr>
          <w:b/>
          <w:szCs w:val="22"/>
          <w:lang w:val="sk-SK"/>
        </w:rPr>
        <w:t>NÁZOV LIEKU</w:t>
      </w:r>
    </w:p>
    <w:p w:rsidR="00912E25" w:rsidRPr="0078319B" w:rsidRDefault="00912E25" w:rsidP="00A505E4">
      <w:pPr>
        <w:spacing w:line="240" w:lineRule="auto"/>
        <w:rPr>
          <w:lang w:val="sk-SK"/>
        </w:rPr>
      </w:pPr>
    </w:p>
    <w:p w:rsidR="00912E25" w:rsidRPr="00D968B9" w:rsidRDefault="009D7BF9" w:rsidP="00A505E4">
      <w:pPr>
        <w:widowControl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CHORAPUR 1</w:t>
      </w:r>
      <w:r w:rsidR="00800FDB" w:rsidRPr="00D968B9">
        <w:rPr>
          <w:szCs w:val="22"/>
          <w:lang w:val="sk-SK"/>
        </w:rPr>
        <w:t> </w:t>
      </w:r>
      <w:r w:rsidRPr="00D968B9">
        <w:rPr>
          <w:szCs w:val="22"/>
          <w:lang w:val="sk-SK"/>
        </w:rPr>
        <w:t>500 IU</w:t>
      </w:r>
      <w:r w:rsidR="00243A7A" w:rsidRPr="00D968B9">
        <w:rPr>
          <w:szCs w:val="22"/>
          <w:lang w:val="sk-SK"/>
        </w:rPr>
        <w:t xml:space="preserve"> prášok a rozpúšťadlo na injekčný roztok</w:t>
      </w:r>
    </w:p>
    <w:p w:rsidR="00243A7A" w:rsidRPr="00D968B9" w:rsidRDefault="009D7BF9" w:rsidP="00243A7A">
      <w:pPr>
        <w:widowControl w:val="0"/>
        <w:spacing w:line="240" w:lineRule="auto"/>
        <w:rPr>
          <w:lang w:val="sk-SK"/>
        </w:rPr>
      </w:pPr>
      <w:r w:rsidRPr="00D968B9">
        <w:rPr>
          <w:szCs w:val="22"/>
          <w:lang w:val="sk-SK"/>
        </w:rPr>
        <w:t>CHORAPUR 5 000 IU</w:t>
      </w:r>
      <w:r w:rsidR="00243A7A" w:rsidRPr="00D968B9">
        <w:rPr>
          <w:szCs w:val="22"/>
          <w:lang w:val="sk-SK"/>
        </w:rPr>
        <w:t xml:space="preserve"> prášok a rozpúšťadlo na injekčný roztok</w:t>
      </w:r>
    </w:p>
    <w:p w:rsidR="009D7BF9" w:rsidRPr="00D968B9" w:rsidRDefault="009D7BF9" w:rsidP="00A505E4">
      <w:pPr>
        <w:widowControl w:val="0"/>
        <w:spacing w:line="240" w:lineRule="auto"/>
        <w:rPr>
          <w:szCs w:val="22"/>
          <w:lang w:val="sk-SK"/>
        </w:rPr>
      </w:pPr>
    </w:p>
    <w:p w:rsidR="00243A7A" w:rsidRPr="00D968B9" w:rsidRDefault="00243A7A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widowControl w:val="0"/>
        <w:spacing w:line="240" w:lineRule="auto"/>
        <w:rPr>
          <w:lang w:val="sk-SK"/>
        </w:rPr>
      </w:pPr>
      <w:r w:rsidRPr="00D968B9">
        <w:rPr>
          <w:b/>
          <w:lang w:val="sk-SK"/>
        </w:rPr>
        <w:t>2.</w:t>
      </w:r>
      <w:r w:rsidRPr="00D968B9">
        <w:rPr>
          <w:b/>
          <w:lang w:val="sk-SK"/>
        </w:rPr>
        <w:tab/>
      </w:r>
      <w:r w:rsidRPr="00D968B9">
        <w:rPr>
          <w:b/>
          <w:szCs w:val="22"/>
          <w:lang w:val="sk-SK"/>
        </w:rPr>
        <w:t>KVALITATÍVNE A KVANTITATÍVNE ZLOŽENIE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D7BF9" w:rsidRPr="00D968B9" w:rsidRDefault="009D7BF9" w:rsidP="00A505E4">
      <w:pPr>
        <w:spacing w:line="240" w:lineRule="auto"/>
        <w:outlineLvl w:val="0"/>
        <w:rPr>
          <w:color w:val="FF0000"/>
          <w:lang w:val="sk-SK"/>
        </w:rPr>
      </w:pPr>
      <w:r w:rsidRPr="00D968B9">
        <w:rPr>
          <w:lang w:val="sk-SK"/>
        </w:rPr>
        <w:t xml:space="preserve">1 injekčná liekovka CHORAPURU 1 500 IU obsahuje 1 500 IU </w:t>
      </w:r>
      <w:r w:rsidR="00942BE6" w:rsidRPr="00D968B9">
        <w:rPr>
          <w:lang w:val="sk-SK"/>
        </w:rPr>
        <w:t xml:space="preserve">vysoko čisteného </w:t>
      </w:r>
      <w:r w:rsidR="006546D8" w:rsidRPr="00D968B9">
        <w:rPr>
          <w:lang w:val="sk-SK"/>
        </w:rPr>
        <w:t xml:space="preserve">ľudského </w:t>
      </w:r>
      <w:r w:rsidRPr="00D968B9">
        <w:rPr>
          <w:lang w:val="sk-SK"/>
        </w:rPr>
        <w:t>chori</w:t>
      </w:r>
      <w:r w:rsidR="006546D8" w:rsidRPr="00D968B9">
        <w:rPr>
          <w:lang w:val="sk-SK"/>
        </w:rPr>
        <w:t>ového</w:t>
      </w:r>
      <w:r w:rsidR="0018160B" w:rsidRPr="00D968B9">
        <w:rPr>
          <w:lang w:val="sk-SK"/>
        </w:rPr>
        <w:t xml:space="preserve"> gona</w:t>
      </w:r>
      <w:r w:rsidRPr="00D968B9">
        <w:rPr>
          <w:lang w:val="sk-SK"/>
        </w:rPr>
        <w:t>dotropínu</w:t>
      </w:r>
      <w:r w:rsidR="00942BE6" w:rsidRPr="00D968B9">
        <w:rPr>
          <w:lang w:val="sk-SK"/>
        </w:rPr>
        <w:t xml:space="preserve"> (hCG)</w:t>
      </w:r>
      <w:r w:rsidRPr="00D968B9">
        <w:rPr>
          <w:lang w:val="sk-SK"/>
        </w:rPr>
        <w:t>.</w:t>
      </w:r>
    </w:p>
    <w:p w:rsidR="009D7BF9" w:rsidRPr="00D968B9" w:rsidRDefault="009D7BF9" w:rsidP="00A505E4">
      <w:pPr>
        <w:spacing w:line="240" w:lineRule="auto"/>
        <w:outlineLvl w:val="0"/>
        <w:rPr>
          <w:lang w:val="sk-SK"/>
        </w:rPr>
      </w:pPr>
      <w:r w:rsidRPr="00D968B9">
        <w:rPr>
          <w:lang w:val="sk-SK"/>
        </w:rPr>
        <w:t>1 injekčná liekovka CHORAPURU 5 000 IU obsahuje 5</w:t>
      </w:r>
      <w:r w:rsidR="00942BE6" w:rsidRPr="00D968B9">
        <w:rPr>
          <w:lang w:val="sk-SK"/>
        </w:rPr>
        <w:t> </w:t>
      </w:r>
      <w:r w:rsidRPr="00D968B9">
        <w:rPr>
          <w:lang w:val="sk-SK"/>
        </w:rPr>
        <w:t xml:space="preserve">000 IU </w:t>
      </w:r>
      <w:r w:rsidR="00942BE6" w:rsidRPr="00D968B9">
        <w:rPr>
          <w:lang w:val="sk-SK"/>
        </w:rPr>
        <w:t xml:space="preserve">vysoko čisteného </w:t>
      </w:r>
      <w:r w:rsidR="006546D8" w:rsidRPr="00D968B9">
        <w:rPr>
          <w:lang w:val="sk-SK"/>
        </w:rPr>
        <w:t xml:space="preserve">ľudského </w:t>
      </w:r>
      <w:r w:rsidRPr="00D968B9">
        <w:rPr>
          <w:lang w:val="sk-SK"/>
        </w:rPr>
        <w:t>chori</w:t>
      </w:r>
      <w:r w:rsidR="006546D8" w:rsidRPr="00D968B9">
        <w:rPr>
          <w:lang w:val="sk-SK"/>
        </w:rPr>
        <w:t>ového</w:t>
      </w:r>
      <w:r w:rsidR="0018160B" w:rsidRPr="00D968B9">
        <w:rPr>
          <w:lang w:val="sk-SK"/>
        </w:rPr>
        <w:t xml:space="preserve"> </w:t>
      </w:r>
      <w:r w:rsidRPr="00D968B9">
        <w:rPr>
          <w:lang w:val="sk-SK"/>
        </w:rPr>
        <w:t>gonadotropínu</w:t>
      </w:r>
      <w:r w:rsidR="00942BE6" w:rsidRPr="00D968B9">
        <w:rPr>
          <w:lang w:val="sk-SK"/>
        </w:rPr>
        <w:t xml:space="preserve"> (hCG)</w:t>
      </w:r>
      <w:r w:rsidRPr="00D968B9">
        <w:rPr>
          <w:lang w:val="sk-SK"/>
        </w:rPr>
        <w:t>.</w:t>
      </w:r>
    </w:p>
    <w:p w:rsidR="009D7BF9" w:rsidRPr="00D968B9" w:rsidRDefault="009D7BF9" w:rsidP="00A505E4">
      <w:pPr>
        <w:spacing w:line="240" w:lineRule="auto"/>
        <w:outlineLvl w:val="0"/>
        <w:rPr>
          <w:lang w:val="sk-SK"/>
        </w:rPr>
      </w:pPr>
      <w:r w:rsidRPr="00D968B9">
        <w:rPr>
          <w:lang w:val="sk-SK"/>
        </w:rPr>
        <w:t xml:space="preserve"> </w:t>
      </w:r>
    </w:p>
    <w:p w:rsidR="00942BE6" w:rsidRPr="00D968B9" w:rsidRDefault="00942BE6" w:rsidP="00A505E4">
      <w:pPr>
        <w:spacing w:line="240" w:lineRule="auto"/>
        <w:outlineLvl w:val="0"/>
        <w:rPr>
          <w:lang w:val="sk-SK"/>
        </w:rPr>
      </w:pPr>
      <w:r w:rsidRPr="00D968B9">
        <w:rPr>
          <w:lang w:val="sk-SK"/>
        </w:rPr>
        <w:t xml:space="preserve">Liečivo, ktoré sa nachádza v CHORAPURE, sa získava a čistí z moču tehotných žien. </w:t>
      </w:r>
    </w:p>
    <w:p w:rsidR="00942BE6" w:rsidRPr="00D968B9" w:rsidRDefault="00942BE6" w:rsidP="00A505E4">
      <w:pPr>
        <w:spacing w:line="240" w:lineRule="auto"/>
        <w:outlineLvl w:val="0"/>
        <w:rPr>
          <w:szCs w:val="22"/>
          <w:lang w:val="sk-SK"/>
        </w:rPr>
      </w:pPr>
    </w:p>
    <w:p w:rsidR="00912E25" w:rsidRPr="00D968B9" w:rsidRDefault="00912E25" w:rsidP="00A505E4">
      <w:pPr>
        <w:spacing w:line="240" w:lineRule="auto"/>
        <w:outlineLvl w:val="0"/>
        <w:rPr>
          <w:lang w:val="sk-SK"/>
        </w:rPr>
      </w:pPr>
      <w:r w:rsidRPr="00D968B9">
        <w:rPr>
          <w:szCs w:val="22"/>
          <w:lang w:val="sk-SK"/>
        </w:rPr>
        <w:t>Úplný zoznam pomocných látok, pozri časť 6.1.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ind w:left="567" w:hanging="567"/>
        <w:rPr>
          <w:caps/>
          <w:lang w:val="sk-SK"/>
        </w:rPr>
      </w:pPr>
      <w:r w:rsidRPr="00D968B9">
        <w:rPr>
          <w:b/>
          <w:lang w:val="sk-SK"/>
        </w:rPr>
        <w:t>3.</w:t>
      </w:r>
      <w:r w:rsidRPr="00D968B9">
        <w:rPr>
          <w:b/>
          <w:lang w:val="sk-SK"/>
        </w:rPr>
        <w:tab/>
      </w:r>
      <w:r w:rsidRPr="00D968B9">
        <w:rPr>
          <w:b/>
          <w:szCs w:val="22"/>
          <w:lang w:val="sk-SK"/>
        </w:rPr>
        <w:t>LIEKOVÁ FORMA</w:t>
      </w:r>
    </w:p>
    <w:p w:rsidR="00912E25" w:rsidRPr="00D968B9" w:rsidRDefault="00912E25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12E25" w:rsidRPr="00D968B9" w:rsidRDefault="009D7BF9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D968B9">
        <w:rPr>
          <w:lang w:val="sk-SK"/>
        </w:rPr>
        <w:t>Prášok a rozpúšťadlo na injekčný roztok</w:t>
      </w:r>
    </w:p>
    <w:p w:rsidR="00942BE6" w:rsidRPr="00D968B9" w:rsidRDefault="00942BE6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42BE6" w:rsidRPr="00D968B9" w:rsidRDefault="00942BE6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D968B9">
        <w:rPr>
          <w:lang w:val="sk-SK"/>
        </w:rPr>
        <w:t>Vzhľad prášku: biely lyofilizovaný prášok</w:t>
      </w:r>
      <w:r w:rsidR="0018160B" w:rsidRPr="00D968B9">
        <w:rPr>
          <w:lang w:val="sk-SK"/>
        </w:rPr>
        <w:t xml:space="preserve"> (koláč)</w:t>
      </w:r>
      <w:r w:rsidRPr="00D968B9">
        <w:rPr>
          <w:lang w:val="sk-SK"/>
        </w:rPr>
        <w:t>.</w:t>
      </w:r>
    </w:p>
    <w:p w:rsidR="00942BE6" w:rsidRPr="00D968B9" w:rsidRDefault="00942BE6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D968B9">
        <w:rPr>
          <w:lang w:val="sk-SK"/>
        </w:rPr>
        <w:t>Vzhľad rozpúšťadla: číry bezfarebný roztok.</w:t>
      </w:r>
    </w:p>
    <w:p w:rsidR="00942BE6" w:rsidRPr="00D968B9" w:rsidRDefault="00942BE6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ind w:left="567" w:hanging="567"/>
        <w:rPr>
          <w:caps/>
          <w:lang w:val="sk-SK"/>
        </w:rPr>
      </w:pPr>
      <w:r w:rsidRPr="00D968B9">
        <w:rPr>
          <w:b/>
          <w:caps/>
          <w:lang w:val="sk-SK"/>
        </w:rPr>
        <w:t>4.</w:t>
      </w:r>
      <w:r w:rsidRPr="00D968B9">
        <w:rPr>
          <w:b/>
          <w:caps/>
          <w:lang w:val="sk-SK"/>
        </w:rPr>
        <w:tab/>
      </w:r>
      <w:r w:rsidRPr="00D968B9">
        <w:rPr>
          <w:b/>
          <w:lang w:val="sk-SK"/>
        </w:rPr>
        <w:t>KLINICKÉ ÚDAJE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ind w:left="567" w:hanging="567"/>
        <w:outlineLvl w:val="0"/>
        <w:rPr>
          <w:lang w:val="sk-SK"/>
        </w:rPr>
      </w:pPr>
      <w:r w:rsidRPr="00D968B9">
        <w:rPr>
          <w:b/>
          <w:lang w:val="sk-SK"/>
        </w:rPr>
        <w:t>4.1</w:t>
      </w:r>
      <w:r w:rsidRPr="00D968B9">
        <w:rPr>
          <w:b/>
          <w:lang w:val="sk-SK"/>
        </w:rPr>
        <w:tab/>
      </w:r>
      <w:r w:rsidRPr="00D968B9">
        <w:rPr>
          <w:b/>
          <w:szCs w:val="22"/>
          <w:lang w:val="sk-SK"/>
        </w:rPr>
        <w:t>Terapeutické indikácie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42BE6" w:rsidRPr="00D968B9" w:rsidRDefault="00942BE6" w:rsidP="00A505E4">
      <w:pPr>
        <w:spacing w:line="240" w:lineRule="auto"/>
        <w:rPr>
          <w:lang w:val="sk-SK"/>
        </w:rPr>
      </w:pPr>
      <w:r w:rsidRPr="00D968B9">
        <w:rPr>
          <w:b/>
          <w:lang w:val="sk-SK"/>
        </w:rPr>
        <w:t>1</w:t>
      </w:r>
      <w:r w:rsidR="00800FDB" w:rsidRPr="00D968B9">
        <w:rPr>
          <w:b/>
          <w:lang w:val="sk-SK"/>
        </w:rPr>
        <w:t> </w:t>
      </w:r>
      <w:r w:rsidRPr="00D968B9">
        <w:rPr>
          <w:b/>
          <w:lang w:val="sk-SK"/>
        </w:rPr>
        <w:t>500 IU</w:t>
      </w:r>
    </w:p>
    <w:p w:rsidR="00912E25" w:rsidRPr="00D968B9" w:rsidRDefault="00942BE6" w:rsidP="00A505E4">
      <w:pPr>
        <w:spacing w:line="240" w:lineRule="auto"/>
        <w:rPr>
          <w:b/>
          <w:i/>
          <w:lang w:val="sk-SK"/>
        </w:rPr>
      </w:pPr>
      <w:r w:rsidRPr="00D968B9">
        <w:rPr>
          <w:i/>
          <w:lang w:val="sk-SK"/>
        </w:rPr>
        <w:t>Andrológia</w:t>
      </w:r>
      <w:r w:rsidRPr="00D968B9">
        <w:rPr>
          <w:b/>
          <w:i/>
          <w:lang w:val="sk-SK"/>
        </w:rPr>
        <w:t xml:space="preserve"> </w:t>
      </w:r>
    </w:p>
    <w:p w:rsidR="00942BE6" w:rsidRPr="00D968B9" w:rsidRDefault="00942BE6" w:rsidP="00A505E4">
      <w:pPr>
        <w:spacing w:line="240" w:lineRule="auto"/>
        <w:rPr>
          <w:lang w:val="sk-SK"/>
        </w:rPr>
      </w:pPr>
      <w:r w:rsidRPr="00D968B9">
        <w:rPr>
          <w:lang w:val="sk-SK"/>
        </w:rPr>
        <w:t>Podpora</w:t>
      </w:r>
      <w:r w:rsidR="00243A7A" w:rsidRPr="00D968B9">
        <w:rPr>
          <w:lang w:val="sk-SK"/>
        </w:rPr>
        <w:t xml:space="preserve"> </w:t>
      </w:r>
      <w:r w:rsidRPr="00D968B9">
        <w:rPr>
          <w:lang w:val="sk-SK"/>
        </w:rPr>
        <w:t>plodnosti v prípade hypogonadotropného hypogonadizmu (tiež v kombinácii s hMG alebo FSH).</w:t>
      </w:r>
    </w:p>
    <w:p w:rsidR="00942BE6" w:rsidRPr="00D968B9" w:rsidRDefault="00942BE6" w:rsidP="00A505E4">
      <w:pPr>
        <w:spacing w:line="240" w:lineRule="auto"/>
        <w:rPr>
          <w:lang w:val="sk-SK"/>
        </w:rPr>
      </w:pPr>
    </w:p>
    <w:p w:rsidR="00942BE6" w:rsidRPr="00D968B9" w:rsidRDefault="000047F3" w:rsidP="00A505E4">
      <w:pPr>
        <w:spacing w:line="240" w:lineRule="auto"/>
        <w:rPr>
          <w:lang w:val="sk-SK"/>
        </w:rPr>
      </w:pPr>
      <w:r w:rsidRPr="00D968B9">
        <w:rPr>
          <w:i/>
          <w:lang w:val="sk-SK"/>
        </w:rPr>
        <w:t>Pediatrická populácia</w:t>
      </w:r>
    </w:p>
    <w:p w:rsidR="000047F3" w:rsidRPr="00D968B9" w:rsidRDefault="000047F3" w:rsidP="00A505E4">
      <w:pPr>
        <w:spacing w:line="240" w:lineRule="auto"/>
        <w:rPr>
          <w:lang w:val="sk-SK"/>
        </w:rPr>
      </w:pPr>
      <w:r w:rsidRPr="00D968B9">
        <w:rPr>
          <w:lang w:val="sk-SK"/>
        </w:rPr>
        <w:t>Liečba nezostúpených semenníkov</w:t>
      </w:r>
      <w:r w:rsidR="009D4D5C" w:rsidRPr="00D968B9">
        <w:rPr>
          <w:lang w:val="sk-SK"/>
        </w:rPr>
        <w:t>.</w:t>
      </w:r>
    </w:p>
    <w:p w:rsidR="000047F3" w:rsidRPr="00D968B9" w:rsidRDefault="000047F3" w:rsidP="00A505E4">
      <w:pPr>
        <w:spacing w:line="240" w:lineRule="auto"/>
        <w:rPr>
          <w:lang w:val="sk-SK"/>
        </w:rPr>
      </w:pPr>
    </w:p>
    <w:p w:rsidR="000047F3" w:rsidRPr="00D968B9" w:rsidRDefault="000047F3" w:rsidP="00A505E4">
      <w:pPr>
        <w:spacing w:line="240" w:lineRule="auto"/>
        <w:rPr>
          <w:b/>
          <w:lang w:val="sk-SK"/>
        </w:rPr>
      </w:pPr>
      <w:r w:rsidRPr="00D968B9">
        <w:rPr>
          <w:b/>
          <w:lang w:val="sk-SK"/>
        </w:rPr>
        <w:t>5 000 IU</w:t>
      </w:r>
    </w:p>
    <w:p w:rsidR="000047F3" w:rsidRPr="00D968B9" w:rsidRDefault="000047F3" w:rsidP="00A505E4">
      <w:pPr>
        <w:spacing w:line="240" w:lineRule="auto"/>
        <w:rPr>
          <w:lang w:val="sk-SK"/>
        </w:rPr>
      </w:pPr>
      <w:r w:rsidRPr="00D968B9">
        <w:rPr>
          <w:u w:val="single"/>
          <w:lang w:val="sk-SK"/>
        </w:rPr>
        <w:t>Liečba</w:t>
      </w:r>
    </w:p>
    <w:p w:rsidR="000047F3" w:rsidRPr="00D968B9" w:rsidRDefault="000047F3" w:rsidP="00A505E4">
      <w:pPr>
        <w:spacing w:line="240" w:lineRule="auto"/>
        <w:rPr>
          <w:i/>
          <w:lang w:val="sk-SK"/>
        </w:rPr>
      </w:pPr>
      <w:r w:rsidRPr="00D968B9">
        <w:rPr>
          <w:i/>
          <w:lang w:val="sk-SK"/>
        </w:rPr>
        <w:t>Gynekológia</w:t>
      </w:r>
    </w:p>
    <w:p w:rsidR="000047F3" w:rsidRPr="00D968B9" w:rsidRDefault="000047F3" w:rsidP="00A505E4">
      <w:pPr>
        <w:spacing w:line="240" w:lineRule="auto"/>
        <w:rPr>
          <w:lang w:val="sk-SK"/>
        </w:rPr>
      </w:pPr>
      <w:r w:rsidRPr="00D968B9">
        <w:rPr>
          <w:lang w:val="sk-SK"/>
        </w:rPr>
        <w:t>U žien s </w:t>
      </w:r>
      <w:r w:rsidR="00AF3458" w:rsidRPr="00D968B9">
        <w:rPr>
          <w:lang w:val="sk-SK"/>
        </w:rPr>
        <w:t>anovuláciou a oligoovuláciou na indukciu</w:t>
      </w:r>
      <w:r w:rsidRPr="00D968B9">
        <w:rPr>
          <w:lang w:val="sk-SK"/>
        </w:rPr>
        <w:t xml:space="preserve"> ovulácie a luteinizácie po stimulácii folikulárneho rastu.</w:t>
      </w:r>
    </w:p>
    <w:p w:rsidR="009D7BF9" w:rsidRPr="00D968B9" w:rsidRDefault="000047F3" w:rsidP="000047F3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V programoch </w:t>
      </w:r>
      <w:r w:rsidR="009D7BF9" w:rsidRPr="00D968B9">
        <w:rPr>
          <w:lang w:val="sk-SK"/>
        </w:rPr>
        <w:t>asistovanej reprodukcie (ART)</w:t>
      </w:r>
      <w:r w:rsidRPr="00D968B9">
        <w:rPr>
          <w:lang w:val="sk-SK"/>
        </w:rPr>
        <w:t xml:space="preserve">, ako </w:t>
      </w:r>
      <w:r w:rsidRPr="00D968B9">
        <w:rPr>
          <w:i/>
          <w:lang w:val="sk-SK"/>
        </w:rPr>
        <w:t>in vitro</w:t>
      </w:r>
      <w:r w:rsidRPr="00D968B9">
        <w:rPr>
          <w:lang w:val="sk-SK"/>
        </w:rPr>
        <w:t xml:space="preserve"> fertilizácia:</w:t>
      </w:r>
      <w:r w:rsidR="009D7BF9" w:rsidRPr="00D968B9">
        <w:rPr>
          <w:lang w:val="sk-SK"/>
        </w:rPr>
        <w:t xml:space="preserve"> </w:t>
      </w:r>
      <w:r w:rsidRPr="00D968B9">
        <w:rPr>
          <w:lang w:val="sk-SK"/>
        </w:rPr>
        <w:t>vyvolanie</w:t>
      </w:r>
      <w:r w:rsidR="009D7BF9" w:rsidRPr="00D968B9">
        <w:rPr>
          <w:lang w:val="sk-SK"/>
        </w:rPr>
        <w:t xml:space="preserve"> finálnej folikulárnej maturácie a luteinizácie po stimulácii folikulárneho rastu.</w:t>
      </w:r>
    </w:p>
    <w:p w:rsidR="009D7BF9" w:rsidRPr="00D968B9" w:rsidRDefault="009D7BF9" w:rsidP="009D7BF9">
      <w:pPr>
        <w:spacing w:line="240" w:lineRule="auto"/>
        <w:rPr>
          <w:lang w:val="sk-SK"/>
        </w:rPr>
      </w:pPr>
    </w:p>
    <w:p w:rsidR="000047F3" w:rsidRPr="00D968B9" w:rsidRDefault="000047F3" w:rsidP="009D7BF9">
      <w:pPr>
        <w:spacing w:line="240" w:lineRule="auto"/>
        <w:rPr>
          <w:i/>
          <w:lang w:val="sk-SK"/>
        </w:rPr>
      </w:pPr>
      <w:r w:rsidRPr="00D968B9">
        <w:rPr>
          <w:i/>
          <w:lang w:val="sk-SK"/>
        </w:rPr>
        <w:t>Pediatrická populácia</w:t>
      </w:r>
    </w:p>
    <w:p w:rsidR="009D7BF9" w:rsidRPr="00D968B9" w:rsidRDefault="009D7BF9" w:rsidP="000047F3">
      <w:pPr>
        <w:spacing w:line="240" w:lineRule="auto"/>
        <w:rPr>
          <w:lang w:val="sk-SK"/>
        </w:rPr>
      </w:pPr>
      <w:r w:rsidRPr="00D968B9">
        <w:rPr>
          <w:lang w:val="sk-SK"/>
        </w:rPr>
        <w:t>Oneskorená puberta u chlapcov so sprievodným hypogonadotropným hypogonadizmom.</w:t>
      </w:r>
    </w:p>
    <w:p w:rsidR="009D7BF9" w:rsidRPr="00D968B9" w:rsidRDefault="009D7BF9" w:rsidP="009D7BF9">
      <w:pPr>
        <w:spacing w:line="240" w:lineRule="auto"/>
        <w:rPr>
          <w:lang w:val="sk-SK"/>
        </w:rPr>
      </w:pPr>
    </w:p>
    <w:p w:rsidR="009D7BF9" w:rsidRPr="00D968B9" w:rsidRDefault="009D7BF9" w:rsidP="009D7BF9">
      <w:pPr>
        <w:spacing w:line="240" w:lineRule="auto"/>
        <w:rPr>
          <w:u w:val="single"/>
          <w:lang w:val="sk-SK"/>
        </w:rPr>
      </w:pPr>
      <w:r w:rsidRPr="00D968B9">
        <w:rPr>
          <w:u w:val="single"/>
          <w:lang w:val="sk-SK"/>
        </w:rPr>
        <w:t>Diagnosti</w:t>
      </w:r>
      <w:r w:rsidR="006467A7" w:rsidRPr="00D968B9">
        <w:rPr>
          <w:u w:val="single"/>
          <w:lang w:val="sk-SK"/>
        </w:rPr>
        <w:t>cké použitie</w:t>
      </w:r>
    </w:p>
    <w:p w:rsidR="006467A7" w:rsidRPr="00D968B9" w:rsidRDefault="006467A7" w:rsidP="009D7BF9">
      <w:pPr>
        <w:spacing w:line="240" w:lineRule="auto"/>
        <w:rPr>
          <w:i/>
          <w:lang w:val="sk-SK"/>
        </w:rPr>
      </w:pPr>
      <w:r w:rsidRPr="00D968B9">
        <w:rPr>
          <w:i/>
          <w:lang w:val="sk-SK"/>
        </w:rPr>
        <w:t>Andrológia</w:t>
      </w:r>
    </w:p>
    <w:p w:rsidR="006467A7" w:rsidRPr="00D968B9" w:rsidRDefault="006467A7" w:rsidP="006467A7">
      <w:pPr>
        <w:spacing w:line="240" w:lineRule="auto"/>
        <w:rPr>
          <w:lang w:val="sk-SK"/>
        </w:rPr>
      </w:pPr>
      <w:r w:rsidRPr="00D968B9">
        <w:rPr>
          <w:lang w:val="sk-SK"/>
        </w:rPr>
        <w:t>Posúdenie funkcie semenníkov s hypogonadotropným hypogonadizmom pred stimulačnou liečbou.</w:t>
      </w:r>
    </w:p>
    <w:p w:rsidR="006467A7" w:rsidRPr="00D968B9" w:rsidRDefault="006467A7" w:rsidP="009D7BF9">
      <w:pPr>
        <w:spacing w:line="240" w:lineRule="auto"/>
        <w:rPr>
          <w:i/>
          <w:lang w:val="sk-SK"/>
        </w:rPr>
      </w:pPr>
    </w:p>
    <w:p w:rsidR="006467A7" w:rsidRPr="00D968B9" w:rsidRDefault="006467A7" w:rsidP="009D7BF9">
      <w:pPr>
        <w:spacing w:line="240" w:lineRule="auto"/>
        <w:rPr>
          <w:i/>
          <w:lang w:val="sk-SK"/>
        </w:rPr>
      </w:pPr>
      <w:r w:rsidRPr="00D968B9">
        <w:rPr>
          <w:i/>
          <w:lang w:val="sk-SK"/>
        </w:rPr>
        <w:t>Pediatrická populácia</w:t>
      </w:r>
    </w:p>
    <w:p w:rsidR="009D7BF9" w:rsidRPr="00D968B9" w:rsidRDefault="009D7BF9" w:rsidP="006467A7">
      <w:pPr>
        <w:spacing w:line="240" w:lineRule="auto"/>
        <w:rPr>
          <w:lang w:val="sk-SK"/>
        </w:rPr>
      </w:pPr>
      <w:r w:rsidRPr="00D968B9">
        <w:rPr>
          <w:lang w:val="sk-SK"/>
        </w:rPr>
        <w:t>Diferenciálna diagnostika na rozlíšenie kryptorchizmu a</w:t>
      </w:r>
      <w:r w:rsidR="00896A65" w:rsidRPr="00D968B9">
        <w:rPr>
          <w:lang w:val="sk-SK"/>
        </w:rPr>
        <w:t> </w:t>
      </w:r>
      <w:r w:rsidRPr="00D968B9">
        <w:rPr>
          <w:lang w:val="sk-SK"/>
        </w:rPr>
        <w:t>anorchizmu</w:t>
      </w:r>
      <w:r w:rsidR="00896A65" w:rsidRPr="00D968B9">
        <w:rPr>
          <w:lang w:val="sk-SK"/>
        </w:rPr>
        <w:t>.</w:t>
      </w:r>
    </w:p>
    <w:p w:rsidR="00896A65" w:rsidRPr="00D968B9" w:rsidRDefault="00896A65" w:rsidP="00896A65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outlineLvl w:val="0"/>
        <w:rPr>
          <w:b/>
          <w:lang w:val="sk-SK"/>
        </w:rPr>
      </w:pPr>
      <w:r w:rsidRPr="00D968B9">
        <w:rPr>
          <w:b/>
          <w:lang w:val="sk-SK"/>
        </w:rPr>
        <w:t>4.2</w:t>
      </w:r>
      <w:r w:rsidRPr="00D968B9">
        <w:rPr>
          <w:b/>
          <w:lang w:val="sk-SK"/>
        </w:rPr>
        <w:tab/>
      </w:r>
      <w:r w:rsidRPr="00D968B9">
        <w:rPr>
          <w:b/>
          <w:szCs w:val="22"/>
          <w:lang w:val="sk-SK"/>
        </w:rPr>
        <w:t>Dávkovanie a spôsob podávania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6467A7" w:rsidRPr="00D968B9" w:rsidRDefault="006467A7" w:rsidP="00A505E4">
      <w:pPr>
        <w:spacing w:line="240" w:lineRule="auto"/>
        <w:rPr>
          <w:u w:val="single"/>
          <w:lang w:val="sk-SK"/>
        </w:rPr>
      </w:pPr>
      <w:r w:rsidRPr="00D968B9">
        <w:rPr>
          <w:u w:val="single"/>
          <w:lang w:val="sk-SK"/>
        </w:rPr>
        <w:t>Dávkovanie</w:t>
      </w:r>
    </w:p>
    <w:p w:rsidR="006467A7" w:rsidRPr="00D968B9" w:rsidRDefault="006467A7" w:rsidP="00A505E4">
      <w:pPr>
        <w:spacing w:line="240" w:lineRule="auto"/>
        <w:rPr>
          <w:u w:val="single"/>
          <w:lang w:val="sk-SK"/>
        </w:rPr>
      </w:pPr>
    </w:p>
    <w:p w:rsidR="006467A7" w:rsidRPr="00D968B9" w:rsidRDefault="006467A7" w:rsidP="00A505E4">
      <w:pPr>
        <w:spacing w:line="240" w:lineRule="auto"/>
        <w:rPr>
          <w:b/>
          <w:lang w:val="sk-SK"/>
        </w:rPr>
      </w:pPr>
      <w:r w:rsidRPr="00D968B9">
        <w:rPr>
          <w:b/>
          <w:lang w:val="sk-SK"/>
        </w:rPr>
        <w:t>1</w:t>
      </w:r>
      <w:r w:rsidR="007E32F0" w:rsidRPr="00D968B9">
        <w:rPr>
          <w:b/>
          <w:lang w:val="sk-SK"/>
        </w:rPr>
        <w:t> </w:t>
      </w:r>
      <w:r w:rsidRPr="00D968B9">
        <w:rPr>
          <w:b/>
          <w:lang w:val="sk-SK"/>
        </w:rPr>
        <w:t>500 IU</w:t>
      </w:r>
    </w:p>
    <w:p w:rsidR="006467A7" w:rsidRPr="00D968B9" w:rsidRDefault="006467A7" w:rsidP="00A505E4">
      <w:pPr>
        <w:spacing w:line="240" w:lineRule="auto"/>
        <w:rPr>
          <w:i/>
          <w:lang w:val="sk-SK"/>
        </w:rPr>
      </w:pPr>
      <w:r w:rsidRPr="00D968B9">
        <w:rPr>
          <w:i/>
          <w:lang w:val="sk-SK"/>
        </w:rPr>
        <w:t>Andrológia</w:t>
      </w:r>
    </w:p>
    <w:p w:rsidR="006467A7" w:rsidRPr="00D968B9" w:rsidRDefault="006467A7" w:rsidP="006467A7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Liečba CHORAPUROM sa má uskutočniť pod dohľadom lekára so skúsenosťami v liečbe porúch plodnosti.</w:t>
      </w:r>
    </w:p>
    <w:p w:rsidR="006467A7" w:rsidRPr="00D968B9" w:rsidRDefault="006467A7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467A7" w:rsidRPr="00D968B9" w:rsidRDefault="00BA5E19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Na liečbu hypogonadotropného hypogonadizmu sa použije 1 injekčná liekovka CHORAPURU 1 500 IU dvakrát týžden</w:t>
      </w:r>
      <w:r w:rsidR="00024785" w:rsidRPr="00D968B9">
        <w:rPr>
          <w:szCs w:val="22"/>
          <w:lang w:val="sk-SK"/>
        </w:rPr>
        <w:t xml:space="preserve">ne (čo zodpovedá 3 000 IU </w:t>
      </w:r>
      <w:r w:rsidR="0078319B" w:rsidRPr="00D968B9">
        <w:rPr>
          <w:szCs w:val="22"/>
          <w:lang w:val="sk-SK"/>
        </w:rPr>
        <w:t>choriového</w:t>
      </w:r>
      <w:r w:rsidR="00024785" w:rsidRPr="00D968B9">
        <w:rPr>
          <w:szCs w:val="22"/>
          <w:lang w:val="sk-SK"/>
        </w:rPr>
        <w:t xml:space="preserve"> gonad</w:t>
      </w:r>
      <w:r w:rsidRPr="00D968B9">
        <w:rPr>
          <w:szCs w:val="22"/>
          <w:lang w:val="sk-SK"/>
        </w:rPr>
        <w:t>otropínu za týždeň) v kombinácii s hMG alebo FSH počas niekoľkých mesiacov.</w:t>
      </w:r>
    </w:p>
    <w:p w:rsidR="006467A7" w:rsidRPr="00D968B9" w:rsidRDefault="006467A7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783A31" w:rsidRPr="00D968B9" w:rsidRDefault="00024785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 xml:space="preserve">Na dosiahnutie akéhokoľvek zlepšenia spermatogenézy </w:t>
      </w:r>
      <w:r w:rsidR="00121421" w:rsidRPr="00D968B9">
        <w:rPr>
          <w:szCs w:val="22"/>
          <w:lang w:val="sk-SK"/>
        </w:rPr>
        <w:t>sa má v</w:t>
      </w:r>
      <w:r w:rsidRPr="00D968B9">
        <w:rPr>
          <w:szCs w:val="22"/>
          <w:lang w:val="sk-SK"/>
        </w:rPr>
        <w:t xml:space="preserve"> l</w:t>
      </w:r>
      <w:r w:rsidR="0018160B" w:rsidRPr="00D968B9">
        <w:rPr>
          <w:szCs w:val="22"/>
          <w:lang w:val="sk-SK"/>
        </w:rPr>
        <w:t>iečb</w:t>
      </w:r>
      <w:r w:rsidR="00121421" w:rsidRPr="00D968B9">
        <w:rPr>
          <w:szCs w:val="22"/>
          <w:lang w:val="sk-SK"/>
        </w:rPr>
        <w:t>e</w:t>
      </w:r>
      <w:r w:rsidR="0018160B" w:rsidRPr="00D968B9">
        <w:rPr>
          <w:szCs w:val="22"/>
          <w:lang w:val="sk-SK"/>
        </w:rPr>
        <w:t xml:space="preserve"> pokračovať </w:t>
      </w:r>
      <w:r w:rsidR="00121421" w:rsidRPr="00D968B9">
        <w:rPr>
          <w:szCs w:val="22"/>
          <w:lang w:val="sk-SK"/>
        </w:rPr>
        <w:t>minimálne</w:t>
      </w:r>
      <w:r w:rsidR="0018160B" w:rsidRPr="00D968B9">
        <w:rPr>
          <w:szCs w:val="22"/>
          <w:lang w:val="sk-SK"/>
        </w:rPr>
        <w:t xml:space="preserve"> 3 mesiace</w:t>
      </w:r>
      <w:r w:rsidR="00BA5E19" w:rsidRPr="00D968B9">
        <w:rPr>
          <w:szCs w:val="22"/>
          <w:lang w:val="sk-SK"/>
        </w:rPr>
        <w:t xml:space="preserve">. Počas </w:t>
      </w:r>
      <w:r w:rsidR="0018160B" w:rsidRPr="00D968B9">
        <w:rPr>
          <w:szCs w:val="22"/>
          <w:lang w:val="sk-SK"/>
        </w:rPr>
        <w:t>liečby</w:t>
      </w:r>
      <w:r w:rsidR="00BA5E19" w:rsidRPr="00D968B9">
        <w:rPr>
          <w:szCs w:val="22"/>
          <w:lang w:val="sk-SK"/>
        </w:rPr>
        <w:t xml:space="preserve"> je potrebné </w:t>
      </w:r>
      <w:r w:rsidR="00783A31" w:rsidRPr="00D968B9">
        <w:rPr>
          <w:szCs w:val="22"/>
          <w:lang w:val="sk-SK"/>
        </w:rPr>
        <w:t>prerušiť substitučnú liečbu testosterónom a pravidelne kontrolovať hladiny testosterónu. Na dosiahnutie normálnych hladín testosterónu bude možno potrebné zvýšiť dávku hCG. Ak je odpoveď na liečbu hCG nedostatočná, môže byť potrebné poda</w:t>
      </w:r>
      <w:r w:rsidR="009D4D5C" w:rsidRPr="00D968B9">
        <w:rPr>
          <w:szCs w:val="22"/>
          <w:lang w:val="sk-SK"/>
        </w:rPr>
        <w:t>ť</w:t>
      </w:r>
      <w:r w:rsidR="00783A31" w:rsidRPr="00D968B9">
        <w:rPr>
          <w:szCs w:val="22"/>
          <w:lang w:val="sk-SK"/>
        </w:rPr>
        <w:t xml:space="preserve"> hMG alebo FSH. Ak sa dosiahne zlepšenie pomocou kombinovanej liečby, v niektorých prípadoch postačí pokračova</w:t>
      </w:r>
      <w:r w:rsidR="0085186D" w:rsidRPr="00D968B9">
        <w:rPr>
          <w:szCs w:val="22"/>
          <w:lang w:val="sk-SK"/>
        </w:rPr>
        <w:t>ť</w:t>
      </w:r>
      <w:r w:rsidR="00783A31" w:rsidRPr="00D968B9">
        <w:rPr>
          <w:szCs w:val="22"/>
          <w:lang w:val="sk-SK"/>
        </w:rPr>
        <w:t xml:space="preserve"> </w:t>
      </w:r>
      <w:r w:rsidR="005C6137" w:rsidRPr="00D968B9">
        <w:rPr>
          <w:szCs w:val="22"/>
          <w:lang w:val="sk-SK"/>
        </w:rPr>
        <w:t xml:space="preserve">už len </w:t>
      </w:r>
      <w:r w:rsidR="00783A31" w:rsidRPr="00D968B9">
        <w:rPr>
          <w:szCs w:val="22"/>
          <w:lang w:val="sk-SK"/>
        </w:rPr>
        <w:t xml:space="preserve">samotným hCG. </w:t>
      </w:r>
    </w:p>
    <w:p w:rsidR="00783A31" w:rsidRPr="00D968B9" w:rsidRDefault="00783A31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783A31" w:rsidRPr="00D968B9" w:rsidRDefault="00783A31" w:rsidP="00896A65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D968B9">
        <w:rPr>
          <w:i/>
          <w:szCs w:val="22"/>
          <w:lang w:val="sk-SK"/>
        </w:rPr>
        <w:t>Pediatrická populácia</w:t>
      </w:r>
    </w:p>
    <w:p w:rsidR="006467A7" w:rsidRPr="00D968B9" w:rsidRDefault="009D4D5C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L</w:t>
      </w:r>
      <w:r w:rsidR="00783A31" w:rsidRPr="00D968B9">
        <w:rPr>
          <w:szCs w:val="22"/>
          <w:lang w:val="sk-SK"/>
        </w:rPr>
        <w:t xml:space="preserve">iečba nezostúpených semenníkov </w:t>
      </w:r>
      <w:r w:rsidRPr="00D968B9">
        <w:rPr>
          <w:szCs w:val="22"/>
          <w:lang w:val="sk-SK"/>
        </w:rPr>
        <w:t>sa m</w:t>
      </w:r>
      <w:r w:rsidR="00121421" w:rsidRPr="00D968B9">
        <w:rPr>
          <w:szCs w:val="22"/>
          <w:lang w:val="sk-SK"/>
        </w:rPr>
        <w:t>á</w:t>
      </w:r>
      <w:r w:rsidRPr="00D968B9">
        <w:rPr>
          <w:szCs w:val="22"/>
          <w:lang w:val="sk-SK"/>
        </w:rPr>
        <w:t xml:space="preserve"> ukončiť do konca</w:t>
      </w:r>
      <w:r w:rsidR="00783A31" w:rsidRPr="00D968B9">
        <w:rPr>
          <w:szCs w:val="22"/>
          <w:lang w:val="sk-SK"/>
        </w:rPr>
        <w:t xml:space="preserve"> prvého roka života.</w:t>
      </w:r>
      <w:r w:rsidR="00BA5E19" w:rsidRPr="00D968B9">
        <w:rPr>
          <w:szCs w:val="22"/>
          <w:lang w:val="sk-SK"/>
        </w:rPr>
        <w:t xml:space="preserve"> </w:t>
      </w:r>
    </w:p>
    <w:p w:rsidR="00783A31" w:rsidRPr="00D968B9" w:rsidRDefault="00783A31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U</w:t>
      </w:r>
      <w:r w:rsidR="00824405" w:rsidRPr="00D968B9">
        <w:rPr>
          <w:szCs w:val="22"/>
          <w:lang w:val="sk-SK"/>
        </w:rPr>
        <w:t xml:space="preserve"> malých detí </w:t>
      </w:r>
      <w:r w:rsidRPr="00D968B9">
        <w:rPr>
          <w:szCs w:val="22"/>
          <w:lang w:val="sk-SK"/>
        </w:rPr>
        <w:t>sa odporúča nasledujúc</w:t>
      </w:r>
      <w:r w:rsidR="009D4D5C" w:rsidRPr="00D968B9">
        <w:rPr>
          <w:szCs w:val="22"/>
          <w:lang w:val="sk-SK"/>
        </w:rPr>
        <w:t>e</w:t>
      </w:r>
      <w:r w:rsidRPr="00D968B9">
        <w:rPr>
          <w:szCs w:val="22"/>
          <w:lang w:val="sk-SK"/>
        </w:rPr>
        <w:t xml:space="preserve"> dávk</w:t>
      </w:r>
      <w:r w:rsidR="009D4D5C" w:rsidRPr="00D968B9">
        <w:rPr>
          <w:szCs w:val="22"/>
          <w:lang w:val="sk-SK"/>
        </w:rPr>
        <w:t>ovanie</w:t>
      </w:r>
      <w:r w:rsidRPr="00D968B9">
        <w:rPr>
          <w:szCs w:val="22"/>
          <w:lang w:val="sk-SK"/>
        </w:rPr>
        <w:t>: 250 IU/dávka (0,17 ml sa odoberie z</w:t>
      </w:r>
      <w:r w:rsidR="00DA2A1A" w:rsidRPr="00D968B9">
        <w:rPr>
          <w:szCs w:val="22"/>
          <w:lang w:val="sk-SK"/>
        </w:rPr>
        <w:t xml:space="preserve"> injekčnej </w:t>
      </w:r>
      <w:r w:rsidRPr="00D968B9">
        <w:rPr>
          <w:szCs w:val="22"/>
          <w:lang w:val="sk-SK"/>
        </w:rPr>
        <w:t>liekovky s obsahom 1 500 IU) dvakrát do týždňa počas piatich týždňov.</w:t>
      </w:r>
    </w:p>
    <w:p w:rsidR="007E32F0" w:rsidRPr="00D968B9" w:rsidRDefault="007E32F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7E32F0" w:rsidRPr="00D968B9" w:rsidRDefault="007E32F0" w:rsidP="00896A65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D968B9">
        <w:rPr>
          <w:b/>
          <w:szCs w:val="22"/>
          <w:lang w:val="sk-SK"/>
        </w:rPr>
        <w:t>5 000 IU</w:t>
      </w:r>
    </w:p>
    <w:p w:rsidR="00783A31" w:rsidRPr="00D968B9" w:rsidRDefault="007E32F0" w:rsidP="00896A65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D968B9">
        <w:rPr>
          <w:i/>
          <w:szCs w:val="22"/>
          <w:lang w:val="sk-SK"/>
        </w:rPr>
        <w:t>Gynekológia</w:t>
      </w:r>
    </w:p>
    <w:p w:rsidR="007E32F0" w:rsidRPr="00D968B9" w:rsidRDefault="007E32F0" w:rsidP="007E32F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Liečba CHORAPUROM sa má uskutočniť pod dohľadom lekára so skúsenosťami v liečbe porúch plodnosti.</w:t>
      </w:r>
    </w:p>
    <w:p w:rsidR="007E32F0" w:rsidRPr="00D968B9" w:rsidRDefault="007E32F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BB5000" w:rsidRPr="00D968B9" w:rsidRDefault="007E32F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Ženy s anovuláciou alebo oligoovuláciou: Jedna</w:t>
      </w:r>
      <w:r w:rsidR="00824405" w:rsidRPr="00D968B9">
        <w:rPr>
          <w:szCs w:val="22"/>
          <w:lang w:val="sk-SK"/>
        </w:rPr>
        <w:t xml:space="preserve"> injekčná </w:t>
      </w:r>
      <w:r w:rsidRPr="00D968B9">
        <w:rPr>
          <w:szCs w:val="22"/>
          <w:lang w:val="sk-SK"/>
        </w:rPr>
        <w:t xml:space="preserve">liekovka (5 000 IU) alebo 2 </w:t>
      </w:r>
      <w:r w:rsidR="00824405" w:rsidRPr="00D968B9">
        <w:rPr>
          <w:szCs w:val="22"/>
          <w:lang w:val="sk-SK"/>
        </w:rPr>
        <w:t xml:space="preserve">injekčné </w:t>
      </w:r>
      <w:r w:rsidRPr="00D968B9">
        <w:rPr>
          <w:szCs w:val="22"/>
          <w:lang w:val="sk-SK"/>
        </w:rPr>
        <w:t xml:space="preserve">liekovky (10 000 IU) CHORAPURU </w:t>
      </w:r>
      <w:r w:rsidR="00BB5000" w:rsidRPr="00D968B9">
        <w:rPr>
          <w:szCs w:val="22"/>
          <w:lang w:val="sk-SK"/>
        </w:rPr>
        <w:t xml:space="preserve">sa podáva 24 až 48 hodín po dosiahnutí optimálnej stimulácie folikulárneho rastu. Pacientke sa odporučí pohlavný styk v deň podania injekcie CHORAPURU a v nasledujúci deň. </w:t>
      </w:r>
    </w:p>
    <w:p w:rsidR="00BB5000" w:rsidRPr="00D968B9" w:rsidRDefault="00BB500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E086D" w:rsidRPr="00D968B9" w:rsidRDefault="00BB500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 xml:space="preserve">Pri metódach asistovanej reprodukcie ako je </w:t>
      </w:r>
      <w:r w:rsidRPr="00D968B9">
        <w:rPr>
          <w:i/>
          <w:szCs w:val="22"/>
          <w:lang w:val="sk-SK"/>
        </w:rPr>
        <w:t>in vitro</w:t>
      </w:r>
      <w:r w:rsidRPr="00D968B9">
        <w:rPr>
          <w:szCs w:val="22"/>
          <w:lang w:val="sk-SK"/>
        </w:rPr>
        <w:t xml:space="preserve"> fertilizácia (IVF): Jedna </w:t>
      </w:r>
      <w:r w:rsidR="00824405" w:rsidRPr="00D968B9">
        <w:rPr>
          <w:szCs w:val="22"/>
          <w:lang w:val="sk-SK"/>
        </w:rPr>
        <w:t xml:space="preserve">injekčná </w:t>
      </w:r>
      <w:r w:rsidRPr="00D968B9">
        <w:rPr>
          <w:szCs w:val="22"/>
          <w:lang w:val="sk-SK"/>
        </w:rPr>
        <w:t>liekovka</w:t>
      </w:r>
    </w:p>
    <w:p w:rsidR="00BB5000" w:rsidRPr="00D968B9" w:rsidRDefault="00BB500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(5 000 IU) alebo dve</w:t>
      </w:r>
      <w:r w:rsidR="00824405" w:rsidRPr="00D968B9">
        <w:rPr>
          <w:szCs w:val="22"/>
          <w:lang w:val="sk-SK"/>
        </w:rPr>
        <w:t xml:space="preserve"> injekčné</w:t>
      </w:r>
      <w:r w:rsidRPr="00D968B9">
        <w:rPr>
          <w:szCs w:val="22"/>
          <w:lang w:val="sk-SK"/>
        </w:rPr>
        <w:t xml:space="preserve"> liekovky (10 000 IU) CHORAPURU sa podá 24 až 48 hodín po poslednom podaní FSH alebo hMG, t. j. keď sa dosiahne optimálna stimulácia folikulárneho rastu.</w:t>
      </w:r>
    </w:p>
    <w:p w:rsidR="00BB5000" w:rsidRPr="00D968B9" w:rsidRDefault="00BB500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BB5000" w:rsidRPr="00D968B9" w:rsidRDefault="00BB500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i/>
          <w:szCs w:val="22"/>
          <w:lang w:val="sk-SK"/>
        </w:rPr>
        <w:t>Andrológia</w:t>
      </w:r>
    </w:p>
    <w:p w:rsidR="00BB5000" w:rsidRPr="00D968B9" w:rsidRDefault="00BB500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 xml:space="preserve">Na vyhodnotenie funkcie semenníkov u pacientov s hypogonadotropným hypogonadizmom sa podá </w:t>
      </w:r>
      <w:r w:rsidR="00024785" w:rsidRPr="00D968B9">
        <w:rPr>
          <w:szCs w:val="22"/>
          <w:lang w:val="sk-SK"/>
        </w:rPr>
        <w:t xml:space="preserve">jednorazovo </w:t>
      </w:r>
      <w:r w:rsidRPr="00D968B9">
        <w:rPr>
          <w:szCs w:val="22"/>
          <w:lang w:val="sk-SK"/>
        </w:rPr>
        <w:t>1 injekčná liekovka (5 000 IU) CHORAPURU.</w:t>
      </w:r>
    </w:p>
    <w:p w:rsidR="007E32F0" w:rsidRPr="00D968B9" w:rsidRDefault="00BB500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 xml:space="preserve"> </w:t>
      </w:r>
    </w:p>
    <w:p w:rsidR="00BB5000" w:rsidRPr="00D968B9" w:rsidRDefault="00BB5000" w:rsidP="00896A65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D968B9">
        <w:rPr>
          <w:i/>
          <w:szCs w:val="22"/>
          <w:lang w:val="sk-SK"/>
        </w:rPr>
        <w:t>Pediatrická populácia</w:t>
      </w:r>
    </w:p>
    <w:p w:rsidR="00BB5000" w:rsidRPr="00D968B9" w:rsidRDefault="00BB5000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 xml:space="preserve">Na vyvolanie puberty u chlapcov s oneskorenou pubertou sa podá </w:t>
      </w:r>
      <w:r w:rsidR="000473A6" w:rsidRPr="00D968B9">
        <w:rPr>
          <w:szCs w:val="22"/>
          <w:lang w:val="sk-SK"/>
        </w:rPr>
        <w:t xml:space="preserve">1 injekčná liekovka (5 000 IU) CHORAPURU </w:t>
      </w:r>
      <w:r w:rsidR="005C6137" w:rsidRPr="00D968B9">
        <w:rPr>
          <w:szCs w:val="22"/>
          <w:lang w:val="sk-SK"/>
        </w:rPr>
        <w:t>raz za týždeň</w:t>
      </w:r>
      <w:r w:rsidR="000473A6" w:rsidRPr="00D968B9">
        <w:rPr>
          <w:szCs w:val="22"/>
          <w:lang w:val="sk-SK"/>
        </w:rPr>
        <w:t xml:space="preserve"> počas 3 mesiacov.</w:t>
      </w:r>
    </w:p>
    <w:p w:rsidR="000473A6" w:rsidRPr="00D968B9" w:rsidRDefault="000473A6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0473A6" w:rsidRPr="00D968B9" w:rsidRDefault="000473A6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V diferenciálnej diagnostik</w:t>
      </w:r>
      <w:r w:rsidR="003A722B">
        <w:rPr>
          <w:szCs w:val="22"/>
          <w:lang w:val="sk-SK"/>
        </w:rPr>
        <w:t>e</w:t>
      </w:r>
      <w:r w:rsidRPr="00D968B9">
        <w:rPr>
          <w:szCs w:val="22"/>
          <w:lang w:val="sk-SK"/>
        </w:rPr>
        <w:t xml:space="preserve"> u chlapcov na rozlíšenie kryptorchizmu a anorchizmu sa podá </w:t>
      </w:r>
      <w:r w:rsidR="00024785" w:rsidRPr="00D968B9">
        <w:rPr>
          <w:szCs w:val="22"/>
          <w:lang w:val="sk-SK"/>
        </w:rPr>
        <w:t xml:space="preserve"> jednorazovo </w:t>
      </w:r>
      <w:r w:rsidRPr="00D968B9">
        <w:rPr>
          <w:szCs w:val="22"/>
          <w:lang w:val="sk-SK"/>
        </w:rPr>
        <w:t xml:space="preserve">1 injekčná liekovka (5 000 IU) CHORAPURU.  </w:t>
      </w:r>
    </w:p>
    <w:p w:rsidR="000473A6" w:rsidRPr="00D968B9" w:rsidRDefault="000473A6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DA2A1A" w:rsidRPr="00D968B9" w:rsidRDefault="00DA2A1A" w:rsidP="00896A6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D968B9">
        <w:rPr>
          <w:szCs w:val="22"/>
          <w:u w:val="single"/>
          <w:lang w:val="sk-SK"/>
        </w:rPr>
        <w:t>Osobitné skupiny pacientov</w:t>
      </w:r>
    </w:p>
    <w:p w:rsidR="00DA2A1A" w:rsidRPr="00D968B9" w:rsidRDefault="00DA2A1A" w:rsidP="00896A65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D968B9">
        <w:rPr>
          <w:i/>
          <w:szCs w:val="22"/>
          <w:lang w:val="sk-SK"/>
        </w:rPr>
        <w:t>Pacienti s poruchou funkcie obličiek alebo pečene</w:t>
      </w:r>
    </w:p>
    <w:p w:rsidR="00DA2A1A" w:rsidRPr="00D968B9" w:rsidRDefault="00DA2A1A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Pacienti s</w:t>
      </w:r>
      <w:r w:rsidR="00121421" w:rsidRPr="00D968B9">
        <w:rPr>
          <w:szCs w:val="22"/>
          <w:lang w:val="sk-SK"/>
        </w:rPr>
        <w:t> </w:t>
      </w:r>
      <w:r w:rsidRPr="00D968B9">
        <w:rPr>
          <w:szCs w:val="22"/>
          <w:lang w:val="sk-SK"/>
        </w:rPr>
        <w:t>poruchou</w:t>
      </w:r>
      <w:r w:rsidR="00121421" w:rsidRPr="00D968B9">
        <w:rPr>
          <w:szCs w:val="22"/>
          <w:lang w:val="sk-SK"/>
        </w:rPr>
        <w:t xml:space="preserve"> funkcie</w:t>
      </w:r>
      <w:r w:rsidRPr="00D968B9">
        <w:rPr>
          <w:szCs w:val="22"/>
          <w:lang w:val="sk-SK"/>
        </w:rPr>
        <w:t xml:space="preserve"> obličiek alebo pečene neboli zahrnutí do klinick</w:t>
      </w:r>
      <w:r w:rsidR="00E65CC4" w:rsidRPr="00D968B9">
        <w:rPr>
          <w:szCs w:val="22"/>
          <w:lang w:val="sk-SK"/>
        </w:rPr>
        <w:t>ých</w:t>
      </w:r>
      <w:r w:rsidRPr="00D968B9">
        <w:rPr>
          <w:szCs w:val="22"/>
          <w:lang w:val="sk-SK"/>
        </w:rPr>
        <w:t xml:space="preserve"> skúšan</w:t>
      </w:r>
      <w:r w:rsidR="00E65CC4" w:rsidRPr="00D968B9">
        <w:rPr>
          <w:szCs w:val="22"/>
          <w:lang w:val="sk-SK"/>
        </w:rPr>
        <w:t>í</w:t>
      </w:r>
      <w:r w:rsidRPr="00D968B9">
        <w:rPr>
          <w:szCs w:val="22"/>
          <w:lang w:val="sk-SK"/>
        </w:rPr>
        <w:t>.</w:t>
      </w:r>
    </w:p>
    <w:p w:rsidR="00DA2A1A" w:rsidRPr="00D968B9" w:rsidRDefault="00DA2A1A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0473A6" w:rsidRPr="00D968B9" w:rsidRDefault="000473A6" w:rsidP="00896A6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D968B9">
        <w:rPr>
          <w:szCs w:val="22"/>
          <w:u w:val="single"/>
          <w:lang w:val="sk-SK"/>
        </w:rPr>
        <w:t>Spôsob p</w:t>
      </w:r>
      <w:r w:rsidR="007D6426" w:rsidRPr="00D968B9">
        <w:rPr>
          <w:szCs w:val="22"/>
          <w:u w:val="single"/>
          <w:lang w:val="sk-SK"/>
        </w:rPr>
        <w:t>o</w:t>
      </w:r>
      <w:r w:rsidRPr="00D968B9">
        <w:rPr>
          <w:szCs w:val="22"/>
          <w:u w:val="single"/>
          <w:lang w:val="sk-SK"/>
        </w:rPr>
        <w:t>dávania</w:t>
      </w:r>
    </w:p>
    <w:p w:rsidR="00896A65" w:rsidRPr="00D968B9" w:rsidRDefault="00896A65" w:rsidP="00896A6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 xml:space="preserve">CHORAPUR je určený na intramuskulárne podanie. Roztok sa má použiť </w:t>
      </w:r>
      <w:r w:rsidR="00E65CC4" w:rsidRPr="00D968B9">
        <w:rPr>
          <w:szCs w:val="22"/>
          <w:lang w:val="sk-SK"/>
        </w:rPr>
        <w:t xml:space="preserve">ihneď </w:t>
      </w:r>
      <w:r w:rsidRPr="00D968B9">
        <w:rPr>
          <w:szCs w:val="22"/>
          <w:lang w:val="sk-SK"/>
        </w:rPr>
        <w:t>po rozpustení prášku v priloženom rozpúšťadle.</w:t>
      </w:r>
    </w:p>
    <w:p w:rsidR="00896A65" w:rsidRPr="00D968B9" w:rsidRDefault="00896A65" w:rsidP="00896A65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ind w:left="567" w:hanging="567"/>
        <w:rPr>
          <w:szCs w:val="22"/>
          <w:lang w:val="sk-SK"/>
        </w:rPr>
      </w:pPr>
      <w:r w:rsidRPr="00D968B9">
        <w:rPr>
          <w:b/>
          <w:szCs w:val="22"/>
          <w:lang w:val="sk-SK"/>
        </w:rPr>
        <w:t>4.3</w:t>
      </w:r>
      <w:r w:rsidRPr="00D968B9">
        <w:rPr>
          <w:b/>
          <w:szCs w:val="22"/>
          <w:lang w:val="sk-SK"/>
        </w:rPr>
        <w:tab/>
        <w:t>Kontraindikácie</w:t>
      </w:r>
    </w:p>
    <w:p w:rsidR="00912E25" w:rsidRPr="00D968B9" w:rsidRDefault="00912E25" w:rsidP="00A505E4">
      <w:pPr>
        <w:spacing w:line="240" w:lineRule="auto"/>
        <w:rPr>
          <w:szCs w:val="22"/>
          <w:lang w:val="sk-SK"/>
        </w:rPr>
      </w:pPr>
    </w:p>
    <w:p w:rsidR="000473A6" w:rsidRPr="00D968B9" w:rsidRDefault="000473A6" w:rsidP="00A505E4">
      <w:pPr>
        <w:spacing w:line="240" w:lineRule="auto"/>
        <w:rPr>
          <w:i/>
          <w:szCs w:val="22"/>
          <w:lang w:val="sk-SK"/>
        </w:rPr>
      </w:pPr>
      <w:r w:rsidRPr="00D968B9">
        <w:rPr>
          <w:i/>
          <w:szCs w:val="22"/>
          <w:lang w:val="sk-SK"/>
        </w:rPr>
        <w:t>V</w:t>
      </w:r>
      <w:r w:rsidR="00024785" w:rsidRPr="00D968B9">
        <w:rPr>
          <w:i/>
          <w:szCs w:val="22"/>
          <w:lang w:val="sk-SK"/>
        </w:rPr>
        <w:t>o všeobecnosti</w:t>
      </w:r>
    </w:p>
    <w:p w:rsidR="00912E25" w:rsidRPr="00D968B9" w:rsidRDefault="00912E25" w:rsidP="00A505E4">
      <w:p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 xml:space="preserve">Precitlivenosť na liečivo alebo na ktorúkoľvek z pomocných látok uvedených v časti 6.1. </w:t>
      </w:r>
    </w:p>
    <w:p w:rsidR="000473A6" w:rsidRPr="00D968B9" w:rsidRDefault="000473A6" w:rsidP="00A505E4">
      <w:pPr>
        <w:spacing w:line="240" w:lineRule="auto"/>
        <w:rPr>
          <w:szCs w:val="22"/>
          <w:lang w:val="sk-SK"/>
        </w:rPr>
      </w:pPr>
    </w:p>
    <w:p w:rsidR="000473A6" w:rsidRPr="00D968B9" w:rsidRDefault="000473A6" w:rsidP="00A505E4">
      <w:pPr>
        <w:spacing w:line="240" w:lineRule="auto"/>
        <w:rPr>
          <w:i/>
          <w:szCs w:val="22"/>
          <w:lang w:val="sk-SK"/>
        </w:rPr>
      </w:pPr>
      <w:r w:rsidRPr="00D968B9">
        <w:rPr>
          <w:i/>
          <w:szCs w:val="22"/>
          <w:lang w:val="sk-SK"/>
        </w:rPr>
        <w:t>Gynekológia</w:t>
      </w:r>
    </w:p>
    <w:p w:rsidR="000473A6" w:rsidRPr="00D968B9" w:rsidRDefault="008E5531" w:rsidP="000473A6">
      <w:pPr>
        <w:pStyle w:val="Odsekzoznamu"/>
        <w:numPr>
          <w:ilvl w:val="0"/>
          <w:numId w:val="40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tumory</w:t>
      </w:r>
      <w:r w:rsidR="000473A6" w:rsidRPr="00D968B9">
        <w:rPr>
          <w:szCs w:val="22"/>
          <w:lang w:val="sk-SK"/>
        </w:rPr>
        <w:t xml:space="preserve"> </w:t>
      </w:r>
      <w:r w:rsidRPr="00D968B9">
        <w:rPr>
          <w:szCs w:val="22"/>
          <w:lang w:val="sk-SK"/>
        </w:rPr>
        <w:t>hypofýzy</w:t>
      </w:r>
      <w:r w:rsidR="000473A6" w:rsidRPr="00D968B9">
        <w:rPr>
          <w:szCs w:val="22"/>
          <w:lang w:val="sk-SK"/>
        </w:rPr>
        <w:t xml:space="preserve"> alebo hypotalamu</w:t>
      </w:r>
    </w:p>
    <w:p w:rsidR="000473A6" w:rsidRPr="00D968B9" w:rsidRDefault="000473A6" w:rsidP="000473A6">
      <w:pPr>
        <w:pStyle w:val="Odsekzoznamu"/>
        <w:numPr>
          <w:ilvl w:val="0"/>
          <w:numId w:val="40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cysty na vaječníkoch alebo zväčšené vaječníky</w:t>
      </w:r>
      <w:r w:rsidR="008E5531" w:rsidRPr="00D968B9">
        <w:rPr>
          <w:szCs w:val="22"/>
          <w:lang w:val="sk-SK"/>
        </w:rPr>
        <w:t xml:space="preserve"> z iných príčin ako</w:t>
      </w:r>
      <w:r w:rsidRPr="00D968B9">
        <w:rPr>
          <w:szCs w:val="22"/>
          <w:lang w:val="sk-SK"/>
        </w:rPr>
        <w:t xml:space="preserve"> </w:t>
      </w:r>
      <w:r w:rsidR="004B24A8" w:rsidRPr="00D968B9">
        <w:rPr>
          <w:szCs w:val="22"/>
          <w:lang w:val="sk-SK"/>
        </w:rPr>
        <w:t xml:space="preserve">je </w:t>
      </w:r>
      <w:r w:rsidRPr="00D968B9">
        <w:rPr>
          <w:szCs w:val="22"/>
          <w:lang w:val="sk-SK"/>
        </w:rPr>
        <w:t>ochoren</w:t>
      </w:r>
      <w:r w:rsidR="008E5531" w:rsidRPr="00D968B9">
        <w:rPr>
          <w:szCs w:val="22"/>
          <w:lang w:val="sk-SK"/>
        </w:rPr>
        <w:t>ie</w:t>
      </w:r>
      <w:r w:rsidRPr="00D968B9">
        <w:rPr>
          <w:szCs w:val="22"/>
          <w:lang w:val="sk-SK"/>
        </w:rPr>
        <w:t xml:space="preserve"> polycystických vaječníkov</w:t>
      </w:r>
    </w:p>
    <w:p w:rsidR="000473A6" w:rsidRPr="00D968B9" w:rsidRDefault="000473A6" w:rsidP="000473A6">
      <w:pPr>
        <w:pStyle w:val="Odsekzoznamu"/>
        <w:numPr>
          <w:ilvl w:val="0"/>
          <w:numId w:val="40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gynekologické krvácanie neznámej etiológie</w:t>
      </w:r>
    </w:p>
    <w:p w:rsidR="000473A6" w:rsidRPr="00D968B9" w:rsidRDefault="008E5531" w:rsidP="000473A6">
      <w:pPr>
        <w:pStyle w:val="Odsekzoznamu"/>
        <w:numPr>
          <w:ilvl w:val="0"/>
          <w:numId w:val="40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karcinóm</w:t>
      </w:r>
      <w:r w:rsidR="000473A6" w:rsidRPr="00D968B9">
        <w:rPr>
          <w:szCs w:val="22"/>
          <w:lang w:val="sk-SK"/>
        </w:rPr>
        <w:t xml:space="preserve"> vaječníkov, maternice alebo prsníka</w:t>
      </w:r>
    </w:p>
    <w:p w:rsidR="000473A6" w:rsidRPr="00D968B9" w:rsidRDefault="000473A6" w:rsidP="000473A6">
      <w:pPr>
        <w:pStyle w:val="Odsekzoznamu"/>
        <w:numPr>
          <w:ilvl w:val="0"/>
          <w:numId w:val="40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mimomaternic</w:t>
      </w:r>
      <w:r w:rsidR="008E5531" w:rsidRPr="00D968B9">
        <w:rPr>
          <w:szCs w:val="22"/>
          <w:lang w:val="sk-SK"/>
        </w:rPr>
        <w:t>ová gravidita</w:t>
      </w:r>
      <w:r w:rsidRPr="00D968B9">
        <w:rPr>
          <w:szCs w:val="22"/>
          <w:lang w:val="sk-SK"/>
        </w:rPr>
        <w:t xml:space="preserve"> v </w:t>
      </w:r>
      <w:r w:rsidR="00E65CC4" w:rsidRPr="00D968B9">
        <w:rPr>
          <w:szCs w:val="22"/>
          <w:lang w:val="sk-SK"/>
        </w:rPr>
        <w:t>predchádzajúcich</w:t>
      </w:r>
      <w:r w:rsidRPr="00D968B9">
        <w:rPr>
          <w:szCs w:val="22"/>
          <w:lang w:val="sk-SK"/>
        </w:rPr>
        <w:t xml:space="preserve"> 3 mesiacoch</w:t>
      </w:r>
    </w:p>
    <w:p w:rsidR="007E4CF3" w:rsidRPr="00D968B9" w:rsidRDefault="007E4CF3" w:rsidP="000473A6">
      <w:pPr>
        <w:pStyle w:val="Odsekzoznamu"/>
        <w:numPr>
          <w:ilvl w:val="0"/>
          <w:numId w:val="40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akútne trombembolické ochorenia</w:t>
      </w:r>
    </w:p>
    <w:p w:rsidR="007E4CF3" w:rsidRPr="00D968B9" w:rsidRDefault="007E4CF3" w:rsidP="000473A6">
      <w:pPr>
        <w:pStyle w:val="Odsekzoznamu"/>
        <w:numPr>
          <w:ilvl w:val="0"/>
          <w:numId w:val="40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syndróm ovariálnej hyperstimulácie</w:t>
      </w:r>
    </w:p>
    <w:p w:rsidR="007E4CF3" w:rsidRPr="00D968B9" w:rsidRDefault="007E4CF3" w:rsidP="007E4CF3">
      <w:pPr>
        <w:spacing w:line="240" w:lineRule="auto"/>
        <w:rPr>
          <w:szCs w:val="22"/>
          <w:lang w:val="sk-SK"/>
        </w:rPr>
      </w:pPr>
    </w:p>
    <w:p w:rsidR="007E4CF3" w:rsidRPr="00D968B9" w:rsidRDefault="007E4CF3" w:rsidP="007E4CF3">
      <w:p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V nasledujúcich prípadoch nemožno očakávať pozitívny výsledok liečby, a preto sa CHORAPUR nemá podávať:</w:t>
      </w:r>
    </w:p>
    <w:p w:rsidR="007E4CF3" w:rsidRPr="00D968B9" w:rsidRDefault="007E4CF3" w:rsidP="007E4CF3">
      <w:pPr>
        <w:pStyle w:val="Odsekzoznamu"/>
        <w:numPr>
          <w:ilvl w:val="0"/>
          <w:numId w:val="41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primárne zlyhanie vaječníkov</w:t>
      </w:r>
    </w:p>
    <w:p w:rsidR="007E4CF3" w:rsidRPr="00D968B9" w:rsidRDefault="007E4CF3" w:rsidP="007E4CF3">
      <w:pPr>
        <w:pStyle w:val="Odsekzoznamu"/>
        <w:numPr>
          <w:ilvl w:val="0"/>
          <w:numId w:val="41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malformácia pohlavných orgánov nezlučiteľná s graviditou</w:t>
      </w:r>
    </w:p>
    <w:p w:rsidR="007E4CF3" w:rsidRPr="00D968B9" w:rsidRDefault="007E4CF3" w:rsidP="007E4CF3">
      <w:pPr>
        <w:pStyle w:val="Odsekzoznamu"/>
        <w:numPr>
          <w:ilvl w:val="0"/>
          <w:numId w:val="41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myómy maternic</w:t>
      </w:r>
      <w:r w:rsidR="0018160B" w:rsidRPr="00D968B9">
        <w:rPr>
          <w:szCs w:val="22"/>
          <w:lang w:val="sk-SK"/>
        </w:rPr>
        <w:t>e</w:t>
      </w:r>
      <w:r w:rsidRPr="00D968B9">
        <w:rPr>
          <w:szCs w:val="22"/>
          <w:lang w:val="sk-SK"/>
        </w:rPr>
        <w:t xml:space="preserve"> nezlučiteľné s </w:t>
      </w:r>
      <w:r w:rsidR="008E5531" w:rsidRPr="00D968B9">
        <w:rPr>
          <w:szCs w:val="22"/>
          <w:lang w:val="sk-SK"/>
        </w:rPr>
        <w:t>graviditou</w:t>
      </w:r>
    </w:p>
    <w:p w:rsidR="007E4CF3" w:rsidRPr="00D968B9" w:rsidRDefault="007E4CF3" w:rsidP="007E4CF3">
      <w:pPr>
        <w:pStyle w:val="Odsekzoznamu"/>
        <w:numPr>
          <w:ilvl w:val="0"/>
          <w:numId w:val="41"/>
        </w:num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ženy po menopauze</w:t>
      </w:r>
    </w:p>
    <w:p w:rsidR="007E4CF3" w:rsidRPr="00D968B9" w:rsidRDefault="007E4CF3" w:rsidP="007E4CF3">
      <w:pPr>
        <w:spacing w:line="240" w:lineRule="auto"/>
        <w:rPr>
          <w:szCs w:val="22"/>
          <w:lang w:val="sk-SK"/>
        </w:rPr>
      </w:pPr>
    </w:p>
    <w:p w:rsidR="007E4CF3" w:rsidRPr="00D968B9" w:rsidRDefault="007E4CF3" w:rsidP="007E4CF3">
      <w:pPr>
        <w:spacing w:line="240" w:lineRule="auto"/>
        <w:rPr>
          <w:i/>
          <w:szCs w:val="22"/>
          <w:lang w:val="sk-SK"/>
        </w:rPr>
      </w:pPr>
      <w:r w:rsidRPr="00D968B9">
        <w:rPr>
          <w:i/>
          <w:szCs w:val="22"/>
          <w:lang w:val="sk-SK"/>
        </w:rPr>
        <w:t>Pediatrická populácia a andrológia</w:t>
      </w:r>
    </w:p>
    <w:p w:rsidR="007E4CF3" w:rsidRPr="00D968B9" w:rsidRDefault="007E4CF3" w:rsidP="007E4CF3">
      <w:p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 xml:space="preserve">CHORAPUR sa nesmie používať v prípade nádorov </w:t>
      </w:r>
      <w:r w:rsidR="00E26855" w:rsidRPr="00D968B9">
        <w:rPr>
          <w:szCs w:val="22"/>
          <w:lang w:val="sk-SK"/>
        </w:rPr>
        <w:t>závislých od</w:t>
      </w:r>
      <w:r w:rsidRPr="00D968B9">
        <w:rPr>
          <w:szCs w:val="22"/>
          <w:lang w:val="sk-SK"/>
        </w:rPr>
        <w:t xml:space="preserve"> pohlavný</w:t>
      </w:r>
      <w:r w:rsidR="00E26855" w:rsidRPr="00D968B9">
        <w:rPr>
          <w:szCs w:val="22"/>
          <w:lang w:val="sk-SK"/>
        </w:rPr>
        <w:t>ch</w:t>
      </w:r>
      <w:r w:rsidRPr="00D968B9">
        <w:rPr>
          <w:szCs w:val="22"/>
          <w:lang w:val="sk-SK"/>
        </w:rPr>
        <w:t xml:space="preserve"> hormón</w:t>
      </w:r>
      <w:r w:rsidR="00E26855" w:rsidRPr="00D968B9">
        <w:rPr>
          <w:szCs w:val="22"/>
          <w:lang w:val="sk-SK"/>
        </w:rPr>
        <w:t>ov</w:t>
      </w:r>
      <w:r w:rsidRPr="00D968B9">
        <w:rPr>
          <w:szCs w:val="22"/>
          <w:lang w:val="sk-SK"/>
        </w:rPr>
        <w:t>.</w:t>
      </w:r>
    </w:p>
    <w:p w:rsidR="007E4CF3" w:rsidRPr="00D968B9" w:rsidRDefault="007E4CF3" w:rsidP="007E4CF3">
      <w:p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CHORAPUR sa nesmie používať na liečbu nezostúpených semenníkov</w:t>
      </w:r>
      <w:r w:rsidR="00E26855" w:rsidRPr="00D968B9">
        <w:rPr>
          <w:szCs w:val="22"/>
          <w:lang w:val="sk-SK"/>
        </w:rPr>
        <w:t>, ktorých príčina je</w:t>
      </w:r>
      <w:r w:rsidRPr="00D968B9">
        <w:rPr>
          <w:szCs w:val="22"/>
          <w:lang w:val="sk-SK"/>
        </w:rPr>
        <w:t xml:space="preserve"> organického pôvodu (inguinálna hernia, </w:t>
      </w:r>
      <w:r w:rsidR="00072631" w:rsidRPr="00717AAB">
        <w:rPr>
          <w:szCs w:val="22"/>
          <w:lang w:val="sk-SK"/>
        </w:rPr>
        <w:t>operácia v</w:t>
      </w:r>
      <w:r w:rsidR="00717AAB">
        <w:rPr>
          <w:szCs w:val="22"/>
          <w:lang w:val="sk-SK"/>
        </w:rPr>
        <w:t> </w:t>
      </w:r>
      <w:r w:rsidR="00072631" w:rsidRPr="00717AAB">
        <w:rPr>
          <w:szCs w:val="22"/>
          <w:lang w:val="sk-SK"/>
        </w:rPr>
        <w:t>oblasti</w:t>
      </w:r>
      <w:r w:rsidR="00717AAB">
        <w:rPr>
          <w:szCs w:val="22"/>
          <w:lang w:val="sk-SK"/>
        </w:rPr>
        <w:t xml:space="preserve"> slabín</w:t>
      </w:r>
      <w:r w:rsidR="00072631" w:rsidRPr="00717AAB">
        <w:rPr>
          <w:szCs w:val="22"/>
          <w:lang w:val="sk-SK"/>
        </w:rPr>
        <w:t>,</w:t>
      </w:r>
      <w:r w:rsidRPr="00D968B9">
        <w:rPr>
          <w:szCs w:val="22"/>
          <w:lang w:val="sk-SK"/>
        </w:rPr>
        <w:t xml:space="preserve"> ektopický semenník).</w:t>
      </w:r>
    </w:p>
    <w:p w:rsidR="00912E25" w:rsidRPr="00D968B9" w:rsidRDefault="00912E25" w:rsidP="00A505E4">
      <w:pPr>
        <w:spacing w:line="240" w:lineRule="auto"/>
        <w:rPr>
          <w:szCs w:val="22"/>
          <w:lang w:val="sk-SK"/>
        </w:rPr>
      </w:pPr>
    </w:p>
    <w:p w:rsidR="00912E25" w:rsidRPr="00D968B9" w:rsidRDefault="00912E25" w:rsidP="00A505E4">
      <w:pPr>
        <w:spacing w:line="240" w:lineRule="auto"/>
        <w:ind w:left="567" w:hanging="567"/>
        <w:rPr>
          <w:b/>
          <w:szCs w:val="22"/>
          <w:lang w:val="sk-SK"/>
        </w:rPr>
      </w:pPr>
      <w:r w:rsidRPr="00D968B9">
        <w:rPr>
          <w:b/>
          <w:szCs w:val="22"/>
          <w:lang w:val="sk-SK"/>
        </w:rPr>
        <w:t>4.4</w:t>
      </w:r>
      <w:r w:rsidRPr="00D968B9">
        <w:rPr>
          <w:b/>
          <w:szCs w:val="22"/>
          <w:lang w:val="sk-SK"/>
        </w:rPr>
        <w:tab/>
        <w:t>Osobitné upozornenia a opatrenia pri používaní</w:t>
      </w:r>
    </w:p>
    <w:p w:rsidR="00912E25" w:rsidRPr="00D968B9" w:rsidRDefault="00912E25" w:rsidP="00A505E4">
      <w:pPr>
        <w:spacing w:line="240" w:lineRule="auto"/>
        <w:ind w:left="567" w:hanging="567"/>
        <w:rPr>
          <w:lang w:val="sk-SK"/>
        </w:rPr>
      </w:pPr>
    </w:p>
    <w:p w:rsidR="00E26855" w:rsidRPr="00D968B9" w:rsidRDefault="00E26855" w:rsidP="00A505E4">
      <w:pPr>
        <w:spacing w:line="240" w:lineRule="auto"/>
        <w:ind w:left="567" w:hanging="567"/>
        <w:rPr>
          <w:i/>
          <w:lang w:val="sk-SK"/>
        </w:rPr>
      </w:pPr>
      <w:r w:rsidRPr="00D968B9">
        <w:rPr>
          <w:i/>
          <w:lang w:val="sk-SK"/>
        </w:rPr>
        <w:t>V</w:t>
      </w:r>
      <w:r w:rsidR="00024785" w:rsidRPr="00D968B9">
        <w:rPr>
          <w:i/>
          <w:lang w:val="sk-SK"/>
        </w:rPr>
        <w:t>o všeobecnosti</w:t>
      </w:r>
    </w:p>
    <w:p w:rsidR="00E26855" w:rsidRPr="00D968B9" w:rsidRDefault="00E26855" w:rsidP="00E26855">
      <w:pPr>
        <w:spacing w:line="240" w:lineRule="auto"/>
        <w:rPr>
          <w:lang w:val="sk-SK"/>
        </w:rPr>
      </w:pPr>
      <w:r w:rsidRPr="00D968B9">
        <w:rPr>
          <w:lang w:val="sk-SK"/>
        </w:rPr>
        <w:t>hCG liečba vedie k zvýšen</w:t>
      </w:r>
      <w:r w:rsidR="00024785" w:rsidRPr="00D968B9">
        <w:rPr>
          <w:lang w:val="sk-SK"/>
        </w:rPr>
        <w:t>ej</w:t>
      </w:r>
      <w:r w:rsidRPr="00D968B9">
        <w:rPr>
          <w:lang w:val="sk-SK"/>
        </w:rPr>
        <w:t xml:space="preserve"> </w:t>
      </w:r>
      <w:r w:rsidR="00024785" w:rsidRPr="00D968B9">
        <w:rPr>
          <w:lang w:val="sk-SK"/>
        </w:rPr>
        <w:t>tvorbe</w:t>
      </w:r>
      <w:r w:rsidRPr="00D968B9">
        <w:rPr>
          <w:lang w:val="sk-SK"/>
        </w:rPr>
        <w:t xml:space="preserve"> androgénov a zadržiavaniu tekutín. Pacienti so suspektným alebo známym ochorením srdca a obličiek, </w:t>
      </w:r>
      <w:r w:rsidR="0018160B" w:rsidRPr="00D968B9">
        <w:rPr>
          <w:lang w:val="sk-SK"/>
        </w:rPr>
        <w:t>hypertenziou</w:t>
      </w:r>
      <w:r w:rsidRPr="00D968B9">
        <w:rPr>
          <w:lang w:val="sk-SK"/>
        </w:rPr>
        <w:t>, epilepsiou alebo migrénou (</w:t>
      </w:r>
      <w:r w:rsidR="00E65CC4" w:rsidRPr="00D968B9">
        <w:rPr>
          <w:lang w:val="sk-SK"/>
        </w:rPr>
        <w:t xml:space="preserve">tiež ak majú tieto </w:t>
      </w:r>
      <w:r w:rsidR="0018160B" w:rsidRPr="00D968B9">
        <w:rPr>
          <w:lang w:val="sk-SK"/>
        </w:rPr>
        <w:t>ochorenia v anamnéze</w:t>
      </w:r>
      <w:r w:rsidRPr="00D968B9">
        <w:rPr>
          <w:lang w:val="sk-SK"/>
        </w:rPr>
        <w:t xml:space="preserve">) sa musia pozorne sledovať, pretože </w:t>
      </w:r>
      <w:r w:rsidR="00D4298C" w:rsidRPr="00D968B9">
        <w:rPr>
          <w:lang w:val="sk-SK"/>
        </w:rPr>
        <w:t xml:space="preserve">použitie CHORAPURU môže </w:t>
      </w:r>
      <w:r w:rsidR="006546D8" w:rsidRPr="00D968B9">
        <w:rPr>
          <w:lang w:val="sk-SK"/>
        </w:rPr>
        <w:t>niekedy</w:t>
      </w:r>
      <w:r w:rsidR="00D4298C" w:rsidRPr="00D968B9">
        <w:rPr>
          <w:color w:val="FF0000"/>
          <w:lang w:val="sk-SK"/>
        </w:rPr>
        <w:t xml:space="preserve"> </w:t>
      </w:r>
      <w:r w:rsidR="00D4298C" w:rsidRPr="00D968B9">
        <w:rPr>
          <w:lang w:val="sk-SK"/>
        </w:rPr>
        <w:t>spôsobiť zhoršenie alebo recidívu týchto ochorení (pozri časť 4.8).</w:t>
      </w:r>
    </w:p>
    <w:p w:rsidR="00D4298C" w:rsidRPr="00D968B9" w:rsidRDefault="00D4298C" w:rsidP="00E26855">
      <w:pPr>
        <w:spacing w:line="240" w:lineRule="auto"/>
        <w:rPr>
          <w:lang w:val="sk-SK"/>
        </w:rPr>
      </w:pPr>
    </w:p>
    <w:p w:rsidR="00D4298C" w:rsidRPr="00D968B9" w:rsidRDefault="00D4298C" w:rsidP="00E26855">
      <w:pPr>
        <w:spacing w:line="240" w:lineRule="auto"/>
        <w:rPr>
          <w:i/>
          <w:lang w:val="sk-SK"/>
        </w:rPr>
      </w:pPr>
      <w:r w:rsidRPr="00D968B9">
        <w:rPr>
          <w:i/>
          <w:lang w:val="sk-SK"/>
        </w:rPr>
        <w:t>Trombembolizmus</w:t>
      </w:r>
    </w:p>
    <w:p w:rsidR="00D4298C" w:rsidRPr="00D968B9" w:rsidRDefault="00D4298C" w:rsidP="00E26855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U pacientov s potvrdenými rizikovými faktormi </w:t>
      </w:r>
      <w:r w:rsidR="0085186D" w:rsidRPr="00D968B9">
        <w:rPr>
          <w:lang w:val="sk-SK"/>
        </w:rPr>
        <w:t xml:space="preserve">pre </w:t>
      </w:r>
      <w:r w:rsidRPr="00D968B9">
        <w:rPr>
          <w:lang w:val="sk-SK"/>
        </w:rPr>
        <w:t>trombembolick</w:t>
      </w:r>
      <w:r w:rsidR="0085186D" w:rsidRPr="00D968B9">
        <w:rPr>
          <w:lang w:val="sk-SK"/>
        </w:rPr>
        <w:t>é</w:t>
      </w:r>
      <w:r w:rsidRPr="00D968B9">
        <w:rPr>
          <w:lang w:val="sk-SK"/>
        </w:rPr>
        <w:t xml:space="preserve"> príhod</w:t>
      </w:r>
      <w:r w:rsidR="0085186D" w:rsidRPr="00D968B9">
        <w:rPr>
          <w:lang w:val="sk-SK"/>
        </w:rPr>
        <w:t>y</w:t>
      </w:r>
      <w:r w:rsidRPr="00D968B9">
        <w:rPr>
          <w:lang w:val="sk-SK"/>
        </w:rPr>
        <w:t>, ako je osobná a rodinná anamnéza, obezita (BMI &gt; 30 kg/m</w:t>
      </w:r>
      <w:r w:rsidRPr="00D968B9">
        <w:rPr>
          <w:vertAlign w:val="superscript"/>
          <w:lang w:val="sk-SK"/>
        </w:rPr>
        <w:t>2</w:t>
      </w:r>
      <w:r w:rsidRPr="00D968B9">
        <w:rPr>
          <w:lang w:val="sk-SK"/>
        </w:rPr>
        <w:t>) alebo trombofíli</w:t>
      </w:r>
      <w:r w:rsidR="0018160B" w:rsidRPr="00D968B9">
        <w:rPr>
          <w:lang w:val="sk-SK"/>
        </w:rPr>
        <w:t>a</w:t>
      </w:r>
      <w:r w:rsidR="0085186D" w:rsidRPr="00D968B9">
        <w:rPr>
          <w:lang w:val="sk-SK"/>
        </w:rPr>
        <w:t xml:space="preserve"> môže byť počas </w:t>
      </w:r>
      <w:r w:rsidR="00B849B1" w:rsidRPr="00D968B9">
        <w:rPr>
          <w:lang w:val="sk-SK"/>
        </w:rPr>
        <w:t xml:space="preserve">liečby </w:t>
      </w:r>
      <w:r w:rsidR="0085186D" w:rsidRPr="00D968B9">
        <w:rPr>
          <w:lang w:val="sk-SK"/>
        </w:rPr>
        <w:t xml:space="preserve">a po liečbe gonadotropínmi </w:t>
      </w:r>
      <w:r w:rsidRPr="00D968B9">
        <w:rPr>
          <w:lang w:val="sk-SK"/>
        </w:rPr>
        <w:t>zvýšené riziko venóznych alebo arteriálnych trombembolických príhod.</w:t>
      </w:r>
      <w:r w:rsidR="0085186D" w:rsidRPr="00D968B9">
        <w:rPr>
          <w:lang w:val="sk-SK"/>
        </w:rPr>
        <w:t xml:space="preserve"> U týchto pacientov je treba zvážiť </w:t>
      </w:r>
      <w:r w:rsidR="00B849B1" w:rsidRPr="00D968B9">
        <w:rPr>
          <w:lang w:val="sk-SK"/>
        </w:rPr>
        <w:t>prospech a rizik</w:t>
      </w:r>
      <w:r w:rsidR="00121421" w:rsidRPr="00D968B9">
        <w:rPr>
          <w:lang w:val="sk-SK"/>
        </w:rPr>
        <w:t>o</w:t>
      </w:r>
      <w:r w:rsidR="00B849B1" w:rsidRPr="00D968B9">
        <w:rPr>
          <w:lang w:val="sk-SK"/>
        </w:rPr>
        <w:t xml:space="preserve"> liečby gonadotropínmi</w:t>
      </w:r>
      <w:r w:rsidR="0085186D" w:rsidRPr="00D968B9">
        <w:rPr>
          <w:lang w:val="sk-SK"/>
        </w:rPr>
        <w:t>. No je potrebné poznamenať, že aj samotná gravidita je sprevádza</w:t>
      </w:r>
      <w:r w:rsidR="005909F1">
        <w:rPr>
          <w:lang w:val="sk-SK"/>
        </w:rPr>
        <w:t>ná</w:t>
      </w:r>
      <w:r w:rsidR="0085186D" w:rsidRPr="00D968B9">
        <w:rPr>
          <w:lang w:val="sk-SK"/>
        </w:rPr>
        <w:t xml:space="preserve"> vyšším rizikom trombembolických príhod.</w:t>
      </w:r>
      <w:r w:rsidRPr="00D968B9">
        <w:rPr>
          <w:lang w:val="sk-SK"/>
        </w:rPr>
        <w:t xml:space="preserve">  </w:t>
      </w:r>
    </w:p>
    <w:p w:rsidR="00E26855" w:rsidRPr="00D968B9" w:rsidRDefault="00E26855" w:rsidP="00E26855">
      <w:pPr>
        <w:spacing w:line="240" w:lineRule="auto"/>
        <w:ind w:left="567" w:hanging="567"/>
        <w:rPr>
          <w:lang w:val="sk-SK"/>
        </w:rPr>
      </w:pPr>
    </w:p>
    <w:p w:rsidR="00E26855" w:rsidRPr="00D968B9" w:rsidRDefault="0085186D" w:rsidP="00A505E4">
      <w:pPr>
        <w:spacing w:line="240" w:lineRule="auto"/>
        <w:ind w:left="567" w:hanging="567"/>
        <w:rPr>
          <w:i/>
          <w:lang w:val="sk-SK"/>
        </w:rPr>
      </w:pPr>
      <w:r w:rsidRPr="00D968B9">
        <w:rPr>
          <w:i/>
          <w:lang w:val="sk-SK"/>
        </w:rPr>
        <w:t>Gynekológia</w:t>
      </w:r>
    </w:p>
    <w:p w:rsidR="0085186D" w:rsidRPr="00D968B9" w:rsidRDefault="00FE16D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Pred začiatkom liečby sa má vyhodnotiť príčina neplodnosti pre prípad možných kontraindikácií gravidity. Pacientky sa majú vyšetriť hlavne na hypotyreodizmus, adrenokortikálnu </w:t>
      </w:r>
      <w:r w:rsidR="00AF3458" w:rsidRPr="00D968B9">
        <w:rPr>
          <w:lang w:val="sk-SK"/>
        </w:rPr>
        <w:t>insuficienciu</w:t>
      </w:r>
      <w:r w:rsidRPr="00D968B9">
        <w:rPr>
          <w:lang w:val="sk-SK"/>
        </w:rPr>
        <w:t>, hyperprolaktinémiu a nádory hypofýzy a</w:t>
      </w:r>
      <w:r w:rsidR="00E65CC4" w:rsidRPr="00D968B9">
        <w:rPr>
          <w:lang w:val="sk-SK"/>
        </w:rPr>
        <w:t>lebo</w:t>
      </w:r>
      <w:r w:rsidRPr="00D968B9">
        <w:rPr>
          <w:lang w:val="sk-SK"/>
        </w:rPr>
        <w:t> hypotalamu a v prípade potreby sa má začať vhodná liečba.</w:t>
      </w:r>
    </w:p>
    <w:p w:rsidR="00FE16D6" w:rsidRPr="00D968B9" w:rsidRDefault="00FE16D6" w:rsidP="00FE16D6">
      <w:pPr>
        <w:spacing w:line="240" w:lineRule="auto"/>
        <w:rPr>
          <w:lang w:val="sk-SK"/>
        </w:rPr>
      </w:pPr>
    </w:p>
    <w:p w:rsidR="00FE16D6" w:rsidRPr="00D968B9" w:rsidRDefault="00FE16D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Syndróm ovariálnej hyperstimulácie (OHSS):</w:t>
      </w:r>
    </w:p>
    <w:p w:rsidR="00FE16D6" w:rsidRPr="00D968B9" w:rsidRDefault="00FE16D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U pacientok podstupujúcich stimuláciu folikulárneho rastu môže byť zvýšené riziko syndrómu ovariálnej hyperstimulácie (OHSS) z dôvodu vývoja</w:t>
      </w:r>
      <w:r w:rsidR="0059668A" w:rsidRPr="00D968B9">
        <w:rPr>
          <w:lang w:val="sk-SK"/>
        </w:rPr>
        <w:t xml:space="preserve"> viacerých folikulov</w:t>
      </w:r>
      <w:r w:rsidRPr="00D968B9">
        <w:rPr>
          <w:lang w:val="sk-SK"/>
        </w:rPr>
        <w:t>.</w:t>
      </w:r>
    </w:p>
    <w:p w:rsidR="00FE16D6" w:rsidRPr="00D968B9" w:rsidRDefault="00FE16D6" w:rsidP="00FE16D6">
      <w:pPr>
        <w:spacing w:line="240" w:lineRule="auto"/>
        <w:rPr>
          <w:lang w:val="sk-SK"/>
        </w:rPr>
      </w:pPr>
    </w:p>
    <w:p w:rsidR="00436C5C" w:rsidRPr="00D968B9" w:rsidRDefault="00FE16D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OHSS je stav, ktorý sa líši od nekomplikovaného zväčšenia v</w:t>
      </w:r>
      <w:r w:rsidR="00FD0AB1" w:rsidRPr="00D968B9">
        <w:rPr>
          <w:lang w:val="sk-SK"/>
        </w:rPr>
        <w:t>a</w:t>
      </w:r>
      <w:r w:rsidRPr="00D968B9">
        <w:rPr>
          <w:lang w:val="sk-SK"/>
        </w:rPr>
        <w:t xml:space="preserve">ječníkov. </w:t>
      </w:r>
      <w:r w:rsidR="00FD0AB1" w:rsidRPr="00D968B9">
        <w:rPr>
          <w:lang w:val="sk-SK"/>
        </w:rPr>
        <w:t xml:space="preserve">OHSS je syndróm, ktorý môže </w:t>
      </w:r>
      <w:r w:rsidR="0018160B" w:rsidRPr="00D968B9">
        <w:rPr>
          <w:lang w:val="sk-SK"/>
        </w:rPr>
        <w:t xml:space="preserve">nadobudnúť </w:t>
      </w:r>
      <w:r w:rsidR="00FD0AB1" w:rsidRPr="00D968B9">
        <w:rPr>
          <w:lang w:val="sk-SK"/>
        </w:rPr>
        <w:t>vy</w:t>
      </w:r>
      <w:r w:rsidR="0018160B" w:rsidRPr="00D968B9">
        <w:rPr>
          <w:lang w:val="sk-SK"/>
        </w:rPr>
        <w:t>soký</w:t>
      </w:r>
      <w:r w:rsidR="00436C5C" w:rsidRPr="00D968B9">
        <w:rPr>
          <w:lang w:val="sk-SK"/>
        </w:rPr>
        <w:t xml:space="preserve"> </w:t>
      </w:r>
      <w:r w:rsidR="00FD0AB1" w:rsidRPr="00D968B9">
        <w:rPr>
          <w:lang w:val="sk-SK"/>
        </w:rPr>
        <w:t>stup</w:t>
      </w:r>
      <w:r w:rsidR="0018160B" w:rsidRPr="00D968B9">
        <w:rPr>
          <w:lang w:val="sk-SK"/>
        </w:rPr>
        <w:t>e</w:t>
      </w:r>
      <w:r w:rsidR="00FD0AB1" w:rsidRPr="00D968B9">
        <w:rPr>
          <w:lang w:val="sk-SK"/>
        </w:rPr>
        <w:t xml:space="preserve">ň závažnosti. Nadmerná reakcia vaječníkov na liečbu gonadotropínmi </w:t>
      </w:r>
      <w:r w:rsidR="00436C5C" w:rsidRPr="00D968B9">
        <w:rPr>
          <w:lang w:val="sk-SK"/>
        </w:rPr>
        <w:t xml:space="preserve">málokedy spôsobuje vznik OHSS, ak sa </w:t>
      </w:r>
      <w:r w:rsidR="00121421" w:rsidRPr="00D968B9">
        <w:rPr>
          <w:lang w:val="sk-SK"/>
        </w:rPr>
        <w:t xml:space="preserve">na vyvolanie ovulácie nepodá </w:t>
      </w:r>
      <w:r w:rsidR="00436C5C" w:rsidRPr="00D968B9">
        <w:rPr>
          <w:lang w:val="sk-SK"/>
        </w:rPr>
        <w:t xml:space="preserve">hCG. Preto v prípade ovariálnej hyperstimulácie </w:t>
      </w:r>
      <w:r w:rsidR="0059668A" w:rsidRPr="00D968B9">
        <w:rPr>
          <w:lang w:val="sk-SK"/>
        </w:rPr>
        <w:t>sa odporúča</w:t>
      </w:r>
      <w:r w:rsidR="00436C5C" w:rsidRPr="00D968B9">
        <w:rPr>
          <w:lang w:val="sk-SK"/>
        </w:rPr>
        <w:t xml:space="preserve"> hCG </w:t>
      </w:r>
      <w:r w:rsidR="0059668A" w:rsidRPr="00D968B9">
        <w:rPr>
          <w:lang w:val="sk-SK"/>
        </w:rPr>
        <w:t xml:space="preserve">nepodať </w:t>
      </w:r>
      <w:r w:rsidR="00436C5C" w:rsidRPr="00D968B9">
        <w:rPr>
          <w:lang w:val="sk-SK"/>
        </w:rPr>
        <w:t>a odporučiť pacientke, aby používala bariérové metódy antikoncepcie alebo sa zdržala pohlavného styku do začiatku ďalšej menštruácie.</w:t>
      </w:r>
    </w:p>
    <w:p w:rsidR="00436C5C" w:rsidRPr="00D968B9" w:rsidRDefault="00436C5C" w:rsidP="00FE16D6">
      <w:pPr>
        <w:spacing w:line="240" w:lineRule="auto"/>
        <w:rPr>
          <w:lang w:val="sk-SK"/>
        </w:rPr>
      </w:pPr>
    </w:p>
    <w:p w:rsidR="00B65AA8" w:rsidRPr="00D968B9" w:rsidRDefault="00065FC1" w:rsidP="00FE16D6">
      <w:pPr>
        <w:spacing w:line="240" w:lineRule="auto"/>
        <w:rPr>
          <w:lang w:val="sk-SK"/>
        </w:rPr>
      </w:pPr>
      <w:r w:rsidRPr="00B32312">
        <w:rPr>
          <w:lang w:val="sk-SK"/>
        </w:rPr>
        <w:t>OHSS môže rýchlo progredovať (počas 24 hodín) alebo niekoľkých</w:t>
      </w:r>
      <w:r w:rsidR="00436C5C" w:rsidRPr="00D968B9">
        <w:rPr>
          <w:lang w:val="sk-SK"/>
        </w:rPr>
        <w:t xml:space="preserve"> dní a</w:t>
      </w:r>
      <w:r w:rsidR="0018160B" w:rsidRPr="00D968B9">
        <w:rPr>
          <w:lang w:val="sk-SK"/>
        </w:rPr>
        <w:t> </w:t>
      </w:r>
      <w:r w:rsidR="00436C5C" w:rsidRPr="00D968B9">
        <w:rPr>
          <w:lang w:val="sk-SK"/>
        </w:rPr>
        <w:t>sta</w:t>
      </w:r>
      <w:r w:rsidR="0018160B" w:rsidRPr="00D968B9">
        <w:rPr>
          <w:lang w:val="sk-SK"/>
        </w:rPr>
        <w:t>ť sa z lekárskeho hľadiska</w:t>
      </w:r>
      <w:r w:rsidR="00436C5C" w:rsidRPr="00D968B9">
        <w:rPr>
          <w:lang w:val="sk-SK"/>
        </w:rPr>
        <w:t xml:space="preserve"> závažným. Skorý OHSS obyčajne nastáva počas prvých 9 dní po spustení konečného dozretia oocytov </w:t>
      </w:r>
      <w:r w:rsidR="00A379A3" w:rsidRPr="00D968B9">
        <w:rPr>
          <w:lang w:val="sk-SK"/>
        </w:rPr>
        <w:t xml:space="preserve">podaním </w:t>
      </w:r>
      <w:r w:rsidR="00436C5C" w:rsidRPr="00D968B9">
        <w:rPr>
          <w:lang w:val="sk-SK"/>
        </w:rPr>
        <w:t xml:space="preserve">hCG, pričom neskorý OHSS </w:t>
      </w:r>
      <w:r w:rsidR="00B65AA8" w:rsidRPr="00D968B9">
        <w:rPr>
          <w:lang w:val="sk-SK"/>
        </w:rPr>
        <w:t>môž</w:t>
      </w:r>
      <w:r w:rsidR="0018160B" w:rsidRPr="00D968B9">
        <w:rPr>
          <w:lang w:val="sk-SK"/>
        </w:rPr>
        <w:t>e</w:t>
      </w:r>
      <w:r w:rsidR="00B65AA8" w:rsidRPr="00D968B9">
        <w:rPr>
          <w:lang w:val="sk-SK"/>
        </w:rPr>
        <w:t xml:space="preserve"> vzniknúť až po začatí gravidity. Obyčajne OHSS </w:t>
      </w:r>
      <w:r w:rsidR="00740537" w:rsidRPr="00D968B9">
        <w:rPr>
          <w:lang w:val="sk-SK"/>
        </w:rPr>
        <w:t>vymizne</w:t>
      </w:r>
      <w:r w:rsidR="00B65AA8" w:rsidRPr="00D968B9">
        <w:rPr>
          <w:lang w:val="sk-SK"/>
        </w:rPr>
        <w:t xml:space="preserve"> spontánne s menštruáciou. V prípade gravidity môže mať OHSS ťažší priebeh a trvať dlhšie. Preto sa majú pacientky sledovať najmenej dva týždne po podaní hCG.</w:t>
      </w:r>
    </w:p>
    <w:p w:rsidR="00B65AA8" w:rsidRPr="00D968B9" w:rsidRDefault="00B65AA8" w:rsidP="00FE16D6">
      <w:pPr>
        <w:spacing w:line="240" w:lineRule="auto"/>
        <w:rPr>
          <w:lang w:val="sk-SK"/>
        </w:rPr>
      </w:pPr>
    </w:p>
    <w:p w:rsidR="00942B11" w:rsidRPr="00D968B9" w:rsidRDefault="00B65AA8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Medzi klinické znaky a príznaky mierneho a stredne závažného OHSS, ktoré zvyčajne vymiznú spontánne</w:t>
      </w:r>
      <w:r w:rsidR="0059668A" w:rsidRPr="00D968B9">
        <w:rPr>
          <w:lang w:val="sk-SK"/>
        </w:rPr>
        <w:t>,</w:t>
      </w:r>
      <w:r w:rsidRPr="00D968B9">
        <w:rPr>
          <w:lang w:val="sk-SK"/>
        </w:rPr>
        <w:t xml:space="preserve"> patria gastrointestinálne </w:t>
      </w:r>
      <w:r w:rsidR="00B849B1" w:rsidRPr="00D968B9">
        <w:rPr>
          <w:lang w:val="sk-SK"/>
        </w:rPr>
        <w:t>ťažkosti</w:t>
      </w:r>
      <w:r w:rsidRPr="00D968B9">
        <w:rPr>
          <w:lang w:val="sk-SK"/>
        </w:rPr>
        <w:t xml:space="preserve"> (diskomfort</w:t>
      </w:r>
      <w:r w:rsidR="00A379A3" w:rsidRPr="00D968B9">
        <w:rPr>
          <w:lang w:val="sk-SK"/>
        </w:rPr>
        <w:t xml:space="preserve"> a bolesť brucha</w:t>
      </w:r>
      <w:r w:rsidRPr="00D968B9">
        <w:rPr>
          <w:lang w:val="sk-SK"/>
        </w:rPr>
        <w:t xml:space="preserve">, </w:t>
      </w:r>
      <w:r w:rsidR="00A379A3" w:rsidRPr="00D968B9">
        <w:rPr>
          <w:lang w:val="sk-SK"/>
        </w:rPr>
        <w:t>distenzia brucha</w:t>
      </w:r>
      <w:r w:rsidRPr="00D968B9">
        <w:rPr>
          <w:lang w:val="sk-SK"/>
        </w:rPr>
        <w:t xml:space="preserve">, nauzea, vracanie a/alebo hnačka), </w:t>
      </w:r>
      <w:r w:rsidR="00A379A3" w:rsidRPr="00D968B9">
        <w:rPr>
          <w:lang w:val="sk-SK"/>
        </w:rPr>
        <w:t>mierne až stredné</w:t>
      </w:r>
      <w:r w:rsidRPr="00D968B9">
        <w:rPr>
          <w:lang w:val="sk-SK"/>
        </w:rPr>
        <w:t xml:space="preserve"> zväčšenie </w:t>
      </w:r>
      <w:r w:rsidR="00A379A3" w:rsidRPr="00D968B9">
        <w:rPr>
          <w:lang w:val="sk-SK"/>
        </w:rPr>
        <w:t>ovárií</w:t>
      </w:r>
      <w:r w:rsidRPr="00D968B9">
        <w:rPr>
          <w:lang w:val="sk-SK"/>
        </w:rPr>
        <w:t xml:space="preserve">, prírastok </w:t>
      </w:r>
      <w:r w:rsidR="00B849B1" w:rsidRPr="00D968B9">
        <w:rPr>
          <w:lang w:val="sk-SK"/>
        </w:rPr>
        <w:t xml:space="preserve">telesnej </w:t>
      </w:r>
      <w:r w:rsidRPr="00D968B9">
        <w:rPr>
          <w:lang w:val="sk-SK"/>
        </w:rPr>
        <w:t xml:space="preserve">hmotnosti, </w:t>
      </w:r>
      <w:r w:rsidR="00A379A3" w:rsidRPr="00D968B9">
        <w:rPr>
          <w:lang w:val="sk-SK"/>
        </w:rPr>
        <w:t xml:space="preserve">ovariálne </w:t>
      </w:r>
      <w:r w:rsidRPr="00D968B9">
        <w:rPr>
          <w:lang w:val="sk-SK"/>
        </w:rPr>
        <w:t>cysty. V </w:t>
      </w:r>
      <w:r w:rsidR="00A379A3" w:rsidRPr="00D968B9">
        <w:rPr>
          <w:lang w:val="sk-SK"/>
        </w:rPr>
        <w:t>závažnejších</w:t>
      </w:r>
      <w:r w:rsidR="0059668A" w:rsidRPr="00D968B9">
        <w:rPr>
          <w:lang w:val="sk-SK"/>
        </w:rPr>
        <w:t xml:space="preserve"> prípadoch mo</w:t>
      </w:r>
      <w:r w:rsidRPr="00D968B9">
        <w:rPr>
          <w:lang w:val="sk-SK"/>
        </w:rPr>
        <w:t xml:space="preserve">žno pozorovať ďalšie príznaky ako závažné zväčšenie </w:t>
      </w:r>
      <w:r w:rsidR="00DC1CAA" w:rsidRPr="00D968B9">
        <w:rPr>
          <w:lang w:val="sk-SK"/>
        </w:rPr>
        <w:t>ovárií,</w:t>
      </w:r>
      <w:r w:rsidRPr="00D968B9">
        <w:rPr>
          <w:lang w:val="sk-SK"/>
        </w:rPr>
        <w:t xml:space="preserve"> dyspnoe a oligúri</w:t>
      </w:r>
      <w:r w:rsidR="005C6137" w:rsidRPr="00D968B9">
        <w:rPr>
          <w:lang w:val="sk-SK"/>
        </w:rPr>
        <w:t>u</w:t>
      </w:r>
      <w:r w:rsidRPr="00D968B9">
        <w:rPr>
          <w:lang w:val="sk-SK"/>
        </w:rPr>
        <w:t xml:space="preserve">. Klinickým vyšetrením sa môže zistiť vysoká koncentrácia pohlavných steroidov v sére, hypovolémia, </w:t>
      </w:r>
      <w:r w:rsidR="00942B11" w:rsidRPr="00D968B9">
        <w:rPr>
          <w:lang w:val="sk-SK"/>
        </w:rPr>
        <w:t>hemokoncentrácia, nerovnováha elektrolytov, as</w:t>
      </w:r>
      <w:r w:rsidR="00AF3458" w:rsidRPr="00D968B9">
        <w:rPr>
          <w:lang w:val="sk-SK"/>
        </w:rPr>
        <w:t>cites, hemoperitoneum, pleurálny výpotok</w:t>
      </w:r>
      <w:r w:rsidR="00942B11" w:rsidRPr="00D968B9">
        <w:rPr>
          <w:lang w:val="sk-SK"/>
        </w:rPr>
        <w:t xml:space="preserve">, hydrotorax a/alebo akútne pľúcne </w:t>
      </w:r>
      <w:r w:rsidR="00A379A3" w:rsidRPr="00D968B9">
        <w:rPr>
          <w:lang w:val="sk-SK"/>
        </w:rPr>
        <w:t>problémy</w:t>
      </w:r>
      <w:r w:rsidR="00942B11" w:rsidRPr="00D968B9">
        <w:rPr>
          <w:lang w:val="sk-SK"/>
        </w:rPr>
        <w:t>.</w:t>
      </w:r>
      <w:r w:rsidR="00DB0871" w:rsidRPr="00D968B9">
        <w:rPr>
          <w:lang w:val="sk-SK"/>
        </w:rPr>
        <w:t xml:space="preserve"> Veľmi zriedkavo môže byť závažný OHSS skomplikovaný torziou vaječníkov alebo trombembolickými príhodami.</w:t>
      </w:r>
    </w:p>
    <w:p w:rsidR="00942B11" w:rsidRPr="00D968B9" w:rsidRDefault="00942B11" w:rsidP="00FE16D6">
      <w:pPr>
        <w:spacing w:line="240" w:lineRule="auto"/>
        <w:rPr>
          <w:lang w:val="sk-SK"/>
        </w:rPr>
      </w:pPr>
    </w:p>
    <w:p w:rsidR="00942B11" w:rsidRPr="00D968B9" w:rsidRDefault="00942B11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Na minimalizáciu rizika OHSS sa odporúča pre všetky pacientky buď samotné monitorovanie odpovede ovárií ultrasonograficky alebo v kombinácii s meraním hladín estradiolu pred a počas stimulačnej liečby. Dodržiavanie odporúčaných dávok CHORAPURU, režimu podávania a dôsledné monitorovanie liečby minimalizuje výskyt OHSS. Pri metódach asistovanej reprodukcie (ART) aspirácia všetkých folikulov pred ovuláciou môže znížiť výskyt OHSS. </w:t>
      </w:r>
    </w:p>
    <w:p w:rsidR="00942B11" w:rsidRPr="00D968B9" w:rsidRDefault="00942B11" w:rsidP="00FE16D6">
      <w:pPr>
        <w:spacing w:line="240" w:lineRule="auto"/>
        <w:rPr>
          <w:lang w:val="sk-SK"/>
        </w:rPr>
      </w:pPr>
    </w:p>
    <w:p w:rsidR="00BE6402" w:rsidRPr="00D968B9" w:rsidRDefault="00942B11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V prípade </w:t>
      </w:r>
      <w:r w:rsidR="00BE6402" w:rsidRPr="00D968B9">
        <w:rPr>
          <w:lang w:val="sk-SK"/>
        </w:rPr>
        <w:t xml:space="preserve">závažného OHSS sa má liečba gonadotropínmi ukončiť, ak </w:t>
      </w:r>
      <w:r w:rsidR="00A379A3" w:rsidRPr="00D968B9">
        <w:rPr>
          <w:lang w:val="sk-SK"/>
        </w:rPr>
        <w:t>ešte</w:t>
      </w:r>
      <w:r w:rsidR="00BE6402" w:rsidRPr="00D968B9">
        <w:rPr>
          <w:lang w:val="sk-SK"/>
        </w:rPr>
        <w:t xml:space="preserve"> pokračuje, pacientka má byť hospitalizovaná a má </w:t>
      </w:r>
      <w:r w:rsidR="0059668A" w:rsidRPr="00D968B9">
        <w:rPr>
          <w:lang w:val="sk-SK"/>
        </w:rPr>
        <w:t>sa začať</w:t>
      </w:r>
      <w:r w:rsidR="00BE6402" w:rsidRPr="00D968B9">
        <w:rPr>
          <w:lang w:val="sk-SK"/>
        </w:rPr>
        <w:t xml:space="preserve"> špecifická liečba</w:t>
      </w:r>
      <w:r w:rsidR="007E7696" w:rsidRPr="00D968B9">
        <w:rPr>
          <w:lang w:val="sk-SK"/>
        </w:rPr>
        <w:t xml:space="preserve"> OHSS</w:t>
      </w:r>
      <w:r w:rsidR="00BE6402" w:rsidRPr="00D968B9">
        <w:rPr>
          <w:lang w:val="sk-SK"/>
        </w:rPr>
        <w:t>.</w:t>
      </w:r>
    </w:p>
    <w:p w:rsidR="00BE6402" w:rsidRPr="00D968B9" w:rsidRDefault="00BE6402" w:rsidP="00FE16D6">
      <w:pPr>
        <w:spacing w:line="240" w:lineRule="auto"/>
        <w:rPr>
          <w:lang w:val="sk-SK"/>
        </w:rPr>
      </w:pPr>
    </w:p>
    <w:p w:rsidR="007E7696" w:rsidRPr="00D968B9" w:rsidRDefault="007E769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OHSS sa vyskytuje s väčšou incidenciou u pacientok s</w:t>
      </w:r>
      <w:r w:rsidR="00AF3458" w:rsidRPr="00D968B9">
        <w:rPr>
          <w:lang w:val="sk-SK"/>
        </w:rPr>
        <w:t>o syndrómom polycystických vaječníkov (PCOS)</w:t>
      </w:r>
      <w:r w:rsidRPr="00D968B9">
        <w:rPr>
          <w:lang w:val="sk-SK"/>
        </w:rPr>
        <w:t>.</w:t>
      </w:r>
    </w:p>
    <w:p w:rsidR="007E7696" w:rsidRPr="00D968B9" w:rsidRDefault="007E7696" w:rsidP="00FE16D6">
      <w:pPr>
        <w:spacing w:line="240" w:lineRule="auto"/>
        <w:rPr>
          <w:lang w:val="sk-SK"/>
        </w:rPr>
      </w:pPr>
    </w:p>
    <w:p w:rsidR="007E7696" w:rsidRPr="00D968B9" w:rsidRDefault="007E769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Viac</w:t>
      </w:r>
      <w:r w:rsidR="00F43076" w:rsidRPr="00D968B9">
        <w:rPr>
          <w:lang w:val="sk-SK"/>
        </w:rPr>
        <w:t>početná</w:t>
      </w:r>
      <w:r w:rsidRPr="00D968B9">
        <w:rPr>
          <w:lang w:val="sk-SK"/>
        </w:rPr>
        <w:t xml:space="preserve"> gravidita:</w:t>
      </w:r>
    </w:p>
    <w:p w:rsidR="007E7696" w:rsidRPr="00D968B9" w:rsidRDefault="007E769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Viac</w:t>
      </w:r>
      <w:r w:rsidR="00F43076" w:rsidRPr="00D968B9">
        <w:rPr>
          <w:lang w:val="sk-SK"/>
        </w:rPr>
        <w:t>početná</w:t>
      </w:r>
      <w:r w:rsidRPr="00D968B9">
        <w:rPr>
          <w:lang w:val="sk-SK"/>
        </w:rPr>
        <w:t xml:space="preserve"> gravidita, </w:t>
      </w:r>
      <w:r w:rsidR="00F43076" w:rsidRPr="00D968B9">
        <w:rPr>
          <w:lang w:val="sk-SK"/>
        </w:rPr>
        <w:t>obzvlášť pri vyššom počte plodov</w:t>
      </w:r>
      <w:r w:rsidRPr="00D968B9">
        <w:rPr>
          <w:lang w:val="sk-SK"/>
        </w:rPr>
        <w:t xml:space="preserve">, predstavuje vysoké riziko </w:t>
      </w:r>
      <w:r w:rsidR="00F43076" w:rsidRPr="00D968B9">
        <w:rPr>
          <w:lang w:val="sk-SK"/>
        </w:rPr>
        <w:t>vedľajších</w:t>
      </w:r>
      <w:r w:rsidRPr="00D968B9">
        <w:rPr>
          <w:lang w:val="sk-SK"/>
        </w:rPr>
        <w:t xml:space="preserve"> </w:t>
      </w:r>
      <w:r w:rsidR="00072631" w:rsidRPr="007A4129">
        <w:rPr>
          <w:lang w:val="sk-SK"/>
        </w:rPr>
        <w:t>materských</w:t>
      </w:r>
      <w:r w:rsidRPr="00D968B9">
        <w:rPr>
          <w:lang w:val="sk-SK"/>
        </w:rPr>
        <w:t xml:space="preserve"> a perinatálnych </w:t>
      </w:r>
      <w:r w:rsidR="00F43076" w:rsidRPr="00D968B9">
        <w:rPr>
          <w:lang w:val="sk-SK"/>
        </w:rPr>
        <w:t>následkov</w:t>
      </w:r>
      <w:r w:rsidRPr="00D968B9">
        <w:rPr>
          <w:lang w:val="sk-SK"/>
        </w:rPr>
        <w:t>.</w:t>
      </w:r>
    </w:p>
    <w:p w:rsidR="007E7696" w:rsidRPr="00D968B9" w:rsidRDefault="007E7696" w:rsidP="00FE16D6">
      <w:pPr>
        <w:spacing w:line="240" w:lineRule="auto"/>
        <w:rPr>
          <w:lang w:val="sk-SK"/>
        </w:rPr>
      </w:pPr>
    </w:p>
    <w:p w:rsidR="007E7696" w:rsidRPr="00D968B9" w:rsidRDefault="007E769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U pacientok podstupujúcich indukciu ovulácie gonadotropínmi je zvýšené riziko viacpočetnej gravidity v porovnaní </w:t>
      </w:r>
      <w:r w:rsidR="00121421" w:rsidRPr="00D968B9">
        <w:rPr>
          <w:lang w:val="sk-SK"/>
        </w:rPr>
        <w:t xml:space="preserve">s </w:t>
      </w:r>
      <w:r w:rsidR="0059668A" w:rsidRPr="00D968B9">
        <w:rPr>
          <w:lang w:val="sk-SK"/>
        </w:rPr>
        <w:t>priro</w:t>
      </w:r>
      <w:r w:rsidRPr="00D968B9">
        <w:rPr>
          <w:lang w:val="sk-SK"/>
        </w:rPr>
        <w:t>dzeným počatím. Väčšina viacnásobných počatí sú dvojičky. Na minimalizáciu rizika viac</w:t>
      </w:r>
      <w:r w:rsidR="00F43076" w:rsidRPr="00D968B9">
        <w:rPr>
          <w:lang w:val="sk-SK"/>
        </w:rPr>
        <w:t>početnej</w:t>
      </w:r>
      <w:r w:rsidRPr="00D968B9">
        <w:rPr>
          <w:lang w:val="sk-SK"/>
        </w:rPr>
        <w:t xml:space="preserve"> gravidity sa odporúča dôsledné monitorovanie odpovede </w:t>
      </w:r>
      <w:r w:rsidR="00F43076" w:rsidRPr="00D968B9">
        <w:rPr>
          <w:lang w:val="sk-SK"/>
        </w:rPr>
        <w:t>ovárií</w:t>
      </w:r>
      <w:r w:rsidRPr="00D968B9">
        <w:rPr>
          <w:lang w:val="sk-SK"/>
        </w:rPr>
        <w:t>.</w:t>
      </w:r>
    </w:p>
    <w:p w:rsidR="007E7696" w:rsidRPr="00D968B9" w:rsidRDefault="007E7696" w:rsidP="00FE16D6">
      <w:pPr>
        <w:spacing w:line="240" w:lineRule="auto"/>
        <w:rPr>
          <w:lang w:val="sk-SK"/>
        </w:rPr>
      </w:pPr>
    </w:p>
    <w:p w:rsidR="007E7696" w:rsidRPr="00D968B9" w:rsidRDefault="007E769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U pacientok podstupujúcich ART liečbu </w:t>
      </w:r>
      <w:r w:rsidR="0059668A" w:rsidRPr="00D968B9">
        <w:rPr>
          <w:lang w:val="sk-SK"/>
        </w:rPr>
        <w:t xml:space="preserve">súvisí </w:t>
      </w:r>
      <w:r w:rsidRPr="00D968B9">
        <w:rPr>
          <w:lang w:val="sk-SK"/>
        </w:rPr>
        <w:t>riziko viacpočetnej gravidity hlavne s</w:t>
      </w:r>
      <w:r w:rsidR="00AF3458" w:rsidRPr="00D968B9">
        <w:rPr>
          <w:lang w:val="sk-SK"/>
        </w:rPr>
        <w:t> </w:t>
      </w:r>
      <w:r w:rsidRPr="00D968B9">
        <w:rPr>
          <w:lang w:val="sk-SK"/>
        </w:rPr>
        <w:t>počto</w:t>
      </w:r>
      <w:r w:rsidR="00AF3458" w:rsidRPr="00D968B9">
        <w:rPr>
          <w:lang w:val="sk-SK"/>
        </w:rPr>
        <w:t>m transferovaných</w:t>
      </w:r>
      <w:r w:rsidRPr="00D968B9">
        <w:rPr>
          <w:lang w:val="sk-SK"/>
        </w:rPr>
        <w:t xml:space="preserve"> embryí, ich kvalitou a vekom pacientky.</w:t>
      </w:r>
    </w:p>
    <w:p w:rsidR="007E7696" w:rsidRPr="00D968B9" w:rsidRDefault="007E7696" w:rsidP="00FE16D6">
      <w:pPr>
        <w:spacing w:line="240" w:lineRule="auto"/>
        <w:rPr>
          <w:lang w:val="sk-SK"/>
        </w:rPr>
      </w:pPr>
    </w:p>
    <w:p w:rsidR="007E7696" w:rsidRPr="00D968B9" w:rsidRDefault="007E7696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Pacientky majú byť pred začiatkom liečby informované o potenciálnom riziku viacpočetn</w:t>
      </w:r>
      <w:r w:rsidR="00F43076" w:rsidRPr="00D968B9">
        <w:rPr>
          <w:lang w:val="sk-SK"/>
        </w:rPr>
        <w:t>ej</w:t>
      </w:r>
      <w:r w:rsidRPr="00D968B9">
        <w:rPr>
          <w:lang w:val="sk-SK"/>
        </w:rPr>
        <w:t xml:space="preserve"> </w:t>
      </w:r>
      <w:r w:rsidR="00F43076" w:rsidRPr="00D968B9">
        <w:rPr>
          <w:lang w:val="sk-SK"/>
        </w:rPr>
        <w:t>gravidity</w:t>
      </w:r>
      <w:r w:rsidRPr="00D968B9">
        <w:rPr>
          <w:lang w:val="sk-SK"/>
        </w:rPr>
        <w:t>.</w:t>
      </w:r>
    </w:p>
    <w:p w:rsidR="007E7696" w:rsidRPr="00D968B9" w:rsidRDefault="007E7696" w:rsidP="00FE16D6">
      <w:pPr>
        <w:spacing w:line="240" w:lineRule="auto"/>
        <w:rPr>
          <w:lang w:val="sk-SK"/>
        </w:rPr>
      </w:pPr>
    </w:p>
    <w:p w:rsidR="00446032" w:rsidRPr="00D968B9" w:rsidRDefault="00A379A3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Ukončenie gravidity</w:t>
      </w:r>
      <w:r w:rsidR="00446032" w:rsidRPr="00D968B9">
        <w:rPr>
          <w:lang w:val="sk-SK"/>
        </w:rPr>
        <w:t>:</w:t>
      </w:r>
    </w:p>
    <w:p w:rsidR="00446032" w:rsidRPr="00D968B9" w:rsidRDefault="00446032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Incidencia </w:t>
      </w:r>
      <w:r w:rsidR="00A379A3" w:rsidRPr="00D968B9">
        <w:rPr>
          <w:lang w:val="sk-SK"/>
        </w:rPr>
        <w:t xml:space="preserve">spontánneho </w:t>
      </w:r>
      <w:r w:rsidRPr="00D968B9">
        <w:rPr>
          <w:lang w:val="sk-SK"/>
        </w:rPr>
        <w:t xml:space="preserve">potratu </w:t>
      </w:r>
      <w:r w:rsidR="00A379A3" w:rsidRPr="00D968B9">
        <w:rPr>
          <w:lang w:val="sk-SK"/>
        </w:rPr>
        <w:t xml:space="preserve">alebo umelého prerušenia gravidity </w:t>
      </w:r>
      <w:r w:rsidRPr="00D968B9">
        <w:rPr>
          <w:lang w:val="sk-SK"/>
        </w:rPr>
        <w:t>je vyššia u pacientok podstupujúcich stimuláciu folikulárneho rastu pri ART</w:t>
      </w:r>
      <w:r w:rsidR="00A379A3" w:rsidRPr="00D968B9">
        <w:rPr>
          <w:lang w:val="sk-SK"/>
        </w:rPr>
        <w:t xml:space="preserve"> v porovnaní s bežnou</w:t>
      </w:r>
      <w:r w:rsidRPr="00D968B9">
        <w:rPr>
          <w:lang w:val="sk-SK"/>
        </w:rPr>
        <w:t xml:space="preserve"> populáci</w:t>
      </w:r>
      <w:r w:rsidR="00A379A3" w:rsidRPr="00D968B9">
        <w:rPr>
          <w:lang w:val="sk-SK"/>
        </w:rPr>
        <w:t>ou</w:t>
      </w:r>
      <w:r w:rsidRPr="00D968B9">
        <w:rPr>
          <w:lang w:val="sk-SK"/>
        </w:rPr>
        <w:t>.</w:t>
      </w:r>
    </w:p>
    <w:p w:rsidR="00446032" w:rsidRPr="00D968B9" w:rsidRDefault="00446032" w:rsidP="00FE16D6">
      <w:pPr>
        <w:spacing w:line="240" w:lineRule="auto"/>
        <w:rPr>
          <w:lang w:val="sk-SK"/>
        </w:rPr>
      </w:pPr>
    </w:p>
    <w:p w:rsidR="00446032" w:rsidRPr="00D968B9" w:rsidRDefault="00446032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Mimomaternicov</w:t>
      </w:r>
      <w:r w:rsidR="00F43076" w:rsidRPr="00D968B9">
        <w:rPr>
          <w:lang w:val="sk-SK"/>
        </w:rPr>
        <w:t>á gravidita</w:t>
      </w:r>
      <w:r w:rsidRPr="00D968B9">
        <w:rPr>
          <w:lang w:val="sk-SK"/>
        </w:rPr>
        <w:t>:</w:t>
      </w:r>
    </w:p>
    <w:p w:rsidR="00446032" w:rsidRPr="00D968B9" w:rsidRDefault="00446032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U žien s anamnézou ochorenia vajcovodov je zvýšené riziko mimomaternicov</w:t>
      </w:r>
      <w:r w:rsidR="00F43076" w:rsidRPr="00D968B9">
        <w:rPr>
          <w:lang w:val="sk-SK"/>
        </w:rPr>
        <w:t>ej gravidity</w:t>
      </w:r>
      <w:r w:rsidRPr="00D968B9">
        <w:rPr>
          <w:lang w:val="sk-SK"/>
        </w:rPr>
        <w:t xml:space="preserve">, nezávisle </w:t>
      </w:r>
      <w:r w:rsidR="00F43076" w:rsidRPr="00D968B9">
        <w:rPr>
          <w:lang w:val="sk-SK"/>
        </w:rPr>
        <w:t>od toho</w:t>
      </w:r>
      <w:r w:rsidRPr="00D968B9">
        <w:rPr>
          <w:lang w:val="sk-SK"/>
        </w:rPr>
        <w:t xml:space="preserve">, či </w:t>
      </w:r>
      <w:r w:rsidR="00F43076" w:rsidRPr="00D968B9">
        <w:rPr>
          <w:lang w:val="sk-SK"/>
        </w:rPr>
        <w:t>ide o spontánne počatie</w:t>
      </w:r>
      <w:r w:rsidRPr="00D968B9">
        <w:rPr>
          <w:lang w:val="sk-SK"/>
        </w:rPr>
        <w:t xml:space="preserve"> alebo </w:t>
      </w:r>
      <w:r w:rsidR="00F43076" w:rsidRPr="00D968B9">
        <w:rPr>
          <w:lang w:val="sk-SK"/>
        </w:rPr>
        <w:t>liečb</w:t>
      </w:r>
      <w:r w:rsidR="00175F4D" w:rsidRPr="00D968B9">
        <w:rPr>
          <w:lang w:val="sk-SK"/>
        </w:rPr>
        <w:t>u</w:t>
      </w:r>
      <w:r w:rsidR="00F43076" w:rsidRPr="00D968B9">
        <w:rPr>
          <w:lang w:val="sk-SK"/>
        </w:rPr>
        <w:t xml:space="preserve"> neplodnosti</w:t>
      </w:r>
      <w:r w:rsidRPr="00D968B9">
        <w:rPr>
          <w:lang w:val="sk-SK"/>
        </w:rPr>
        <w:t xml:space="preserve">. Prevalencia mimomaternicového tehotenstva po IVF </w:t>
      </w:r>
      <w:r w:rsidR="00DB0871" w:rsidRPr="00D968B9">
        <w:rPr>
          <w:lang w:val="sk-SK"/>
        </w:rPr>
        <w:t>je</w:t>
      </w:r>
      <w:r w:rsidRPr="00D968B9">
        <w:rPr>
          <w:lang w:val="sk-SK"/>
        </w:rPr>
        <w:t xml:space="preserve"> 2 až 5 % v porovnaní s 1 až 1,5 % v </w:t>
      </w:r>
      <w:r w:rsidR="00DC1CAA" w:rsidRPr="00D968B9">
        <w:rPr>
          <w:lang w:val="sk-SK"/>
        </w:rPr>
        <w:t>bežnej</w:t>
      </w:r>
      <w:r w:rsidRPr="00D968B9">
        <w:rPr>
          <w:lang w:val="sk-SK"/>
        </w:rPr>
        <w:t xml:space="preserve"> populácii.</w:t>
      </w:r>
    </w:p>
    <w:p w:rsidR="00446032" w:rsidRPr="00D968B9" w:rsidRDefault="00446032" w:rsidP="00FE16D6">
      <w:pPr>
        <w:spacing w:line="240" w:lineRule="auto"/>
        <w:rPr>
          <w:lang w:val="sk-SK"/>
        </w:rPr>
      </w:pPr>
    </w:p>
    <w:p w:rsidR="00446032" w:rsidRPr="00D968B9" w:rsidRDefault="00DC1CAA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Nádory reprodukčných orgánov</w:t>
      </w:r>
      <w:r w:rsidR="00446032" w:rsidRPr="00D968B9">
        <w:rPr>
          <w:lang w:val="sk-SK"/>
        </w:rPr>
        <w:t>:</w:t>
      </w:r>
    </w:p>
    <w:p w:rsidR="00626A9B" w:rsidRPr="00D968B9" w:rsidRDefault="00446032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lastRenderedPageBreak/>
        <w:t>U</w:t>
      </w:r>
      <w:r w:rsidR="00DC1CAA" w:rsidRPr="00D968B9">
        <w:rPr>
          <w:lang w:val="sk-SK"/>
        </w:rPr>
        <w:t> </w:t>
      </w:r>
      <w:r w:rsidRPr="00D968B9">
        <w:rPr>
          <w:lang w:val="sk-SK"/>
        </w:rPr>
        <w:t>žien</w:t>
      </w:r>
      <w:r w:rsidR="00DC1CAA" w:rsidRPr="00D968B9">
        <w:rPr>
          <w:lang w:val="sk-SK"/>
        </w:rPr>
        <w:t xml:space="preserve"> podstupujúcich</w:t>
      </w:r>
      <w:r w:rsidRPr="00D968B9">
        <w:rPr>
          <w:lang w:val="sk-SK"/>
        </w:rPr>
        <w:t xml:space="preserve"> viacnásobné </w:t>
      </w:r>
      <w:r w:rsidR="00DC1CAA" w:rsidRPr="00D968B9">
        <w:rPr>
          <w:lang w:val="sk-SK"/>
        </w:rPr>
        <w:t>liečebné cykly pri liečbe neplodnosti</w:t>
      </w:r>
      <w:r w:rsidRPr="00D968B9">
        <w:rPr>
          <w:lang w:val="sk-SK"/>
        </w:rPr>
        <w:t xml:space="preserve"> boli hlásené </w:t>
      </w:r>
      <w:r w:rsidR="00DC1CAA" w:rsidRPr="00D968B9">
        <w:rPr>
          <w:lang w:val="sk-SK"/>
        </w:rPr>
        <w:t xml:space="preserve">nádory </w:t>
      </w:r>
      <w:r w:rsidRPr="00D968B9">
        <w:rPr>
          <w:lang w:val="sk-SK"/>
        </w:rPr>
        <w:t xml:space="preserve">vaječníkov a iných pohlavných orgánov, benígne aj malígne. </w:t>
      </w:r>
      <w:r w:rsidR="00DC1CAA" w:rsidRPr="00D968B9">
        <w:rPr>
          <w:lang w:val="sk-SK"/>
        </w:rPr>
        <w:t>Dosiaľ nie je známe</w:t>
      </w:r>
      <w:r w:rsidR="00626A9B" w:rsidRPr="00D968B9">
        <w:rPr>
          <w:lang w:val="sk-SK"/>
        </w:rPr>
        <w:t>, či liečba gonadotropínmi zvyšuje základné riziko vzniku týchto nádorov.</w:t>
      </w:r>
    </w:p>
    <w:p w:rsidR="00626A9B" w:rsidRPr="00D968B9" w:rsidRDefault="00626A9B" w:rsidP="00FE16D6">
      <w:pPr>
        <w:spacing w:line="240" w:lineRule="auto"/>
        <w:rPr>
          <w:lang w:val="sk-SK"/>
        </w:rPr>
      </w:pPr>
    </w:p>
    <w:p w:rsidR="00626A9B" w:rsidRPr="00D968B9" w:rsidRDefault="00626A9B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Kongenitálna malformácia:</w:t>
      </w:r>
    </w:p>
    <w:p w:rsidR="00626A9B" w:rsidRPr="00D968B9" w:rsidRDefault="00626A9B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Prevalencia kongenitáln</w:t>
      </w:r>
      <w:r w:rsidR="00DC1CAA" w:rsidRPr="00D968B9">
        <w:rPr>
          <w:lang w:val="sk-SK"/>
        </w:rPr>
        <w:t>ych</w:t>
      </w:r>
      <w:r w:rsidRPr="00D968B9">
        <w:rPr>
          <w:lang w:val="sk-SK"/>
        </w:rPr>
        <w:t xml:space="preserve"> malformáci</w:t>
      </w:r>
      <w:r w:rsidR="00DC1CAA" w:rsidRPr="00D968B9">
        <w:rPr>
          <w:lang w:val="sk-SK"/>
        </w:rPr>
        <w:t>í</w:t>
      </w:r>
      <w:r w:rsidRPr="00D968B9">
        <w:rPr>
          <w:lang w:val="sk-SK"/>
        </w:rPr>
        <w:t xml:space="preserve"> po ART môže byť mierne zvýšená </w:t>
      </w:r>
      <w:r w:rsidR="00DC1CAA" w:rsidRPr="00D968B9">
        <w:rPr>
          <w:lang w:val="sk-SK"/>
        </w:rPr>
        <w:t>oproti</w:t>
      </w:r>
      <w:r w:rsidRPr="00D968B9">
        <w:rPr>
          <w:lang w:val="sk-SK"/>
        </w:rPr>
        <w:t> prirodzen</w:t>
      </w:r>
      <w:r w:rsidR="00DC1CAA" w:rsidRPr="00D968B9">
        <w:rPr>
          <w:lang w:val="sk-SK"/>
        </w:rPr>
        <w:t>ému</w:t>
      </w:r>
      <w:r w:rsidRPr="00D968B9">
        <w:rPr>
          <w:lang w:val="sk-SK"/>
        </w:rPr>
        <w:t xml:space="preserve"> počat</w:t>
      </w:r>
      <w:r w:rsidR="00DC1CAA" w:rsidRPr="00D968B9">
        <w:rPr>
          <w:lang w:val="sk-SK"/>
        </w:rPr>
        <w:t>iu</w:t>
      </w:r>
      <w:r w:rsidRPr="00D968B9">
        <w:rPr>
          <w:lang w:val="sk-SK"/>
        </w:rPr>
        <w:t xml:space="preserve">. Je to pravdepodobne </w:t>
      </w:r>
      <w:r w:rsidR="0059668A" w:rsidRPr="00D968B9">
        <w:rPr>
          <w:lang w:val="sk-SK"/>
        </w:rPr>
        <w:t>spôsobené</w:t>
      </w:r>
      <w:r w:rsidRPr="00D968B9">
        <w:rPr>
          <w:lang w:val="sk-SK"/>
        </w:rPr>
        <w:t xml:space="preserve"> rozdiel</w:t>
      </w:r>
      <w:r w:rsidR="0059668A" w:rsidRPr="00D968B9">
        <w:rPr>
          <w:lang w:val="sk-SK"/>
        </w:rPr>
        <w:t>mi v</w:t>
      </w:r>
      <w:r w:rsidRPr="00D968B9">
        <w:rPr>
          <w:lang w:val="sk-SK"/>
        </w:rPr>
        <w:t xml:space="preserve"> charakterist</w:t>
      </w:r>
      <w:r w:rsidR="0059668A" w:rsidRPr="00D968B9">
        <w:rPr>
          <w:lang w:val="sk-SK"/>
        </w:rPr>
        <w:t>i</w:t>
      </w:r>
      <w:r w:rsidRPr="00D968B9">
        <w:rPr>
          <w:lang w:val="sk-SK"/>
        </w:rPr>
        <w:t>k</w:t>
      </w:r>
      <w:r w:rsidR="0059668A" w:rsidRPr="00D968B9">
        <w:rPr>
          <w:lang w:val="sk-SK"/>
        </w:rPr>
        <w:t>ách</w:t>
      </w:r>
      <w:r w:rsidRPr="00D968B9">
        <w:rPr>
          <w:lang w:val="sk-SK"/>
        </w:rPr>
        <w:t xml:space="preserve"> </w:t>
      </w:r>
      <w:r w:rsidR="00DC1CAA" w:rsidRPr="00D968B9">
        <w:rPr>
          <w:lang w:val="sk-SK"/>
        </w:rPr>
        <w:t xml:space="preserve">rodičov </w:t>
      </w:r>
      <w:r w:rsidRPr="00D968B9">
        <w:rPr>
          <w:lang w:val="sk-SK"/>
        </w:rPr>
        <w:t>(napr. vek matky, charakter spermií) a</w:t>
      </w:r>
      <w:r w:rsidR="00DC1CAA" w:rsidRPr="00D968B9">
        <w:rPr>
          <w:lang w:val="sk-SK"/>
        </w:rPr>
        <w:t> </w:t>
      </w:r>
      <w:r w:rsidRPr="00D968B9">
        <w:rPr>
          <w:lang w:val="sk-SK"/>
        </w:rPr>
        <w:t>viacpočetn</w:t>
      </w:r>
      <w:r w:rsidR="0059668A" w:rsidRPr="00D968B9">
        <w:rPr>
          <w:lang w:val="sk-SK"/>
        </w:rPr>
        <w:t>ým</w:t>
      </w:r>
      <w:r w:rsidR="00DC1CAA" w:rsidRPr="00D968B9">
        <w:rPr>
          <w:lang w:val="sk-SK"/>
        </w:rPr>
        <w:t>i graviditami</w:t>
      </w:r>
      <w:r w:rsidRPr="00D968B9">
        <w:rPr>
          <w:lang w:val="sk-SK"/>
        </w:rPr>
        <w:t>.</w:t>
      </w:r>
    </w:p>
    <w:p w:rsidR="00626A9B" w:rsidRPr="00D968B9" w:rsidRDefault="00626A9B" w:rsidP="00FE16D6">
      <w:pPr>
        <w:spacing w:line="240" w:lineRule="auto"/>
        <w:rPr>
          <w:lang w:val="sk-SK"/>
        </w:rPr>
      </w:pPr>
    </w:p>
    <w:p w:rsidR="00626A9B" w:rsidRPr="00D968B9" w:rsidRDefault="00626A9B" w:rsidP="00FE16D6">
      <w:pPr>
        <w:spacing w:line="240" w:lineRule="auto"/>
        <w:rPr>
          <w:i/>
          <w:lang w:val="sk-SK"/>
        </w:rPr>
      </w:pPr>
      <w:r w:rsidRPr="00D968B9">
        <w:rPr>
          <w:i/>
          <w:lang w:val="sk-SK"/>
        </w:rPr>
        <w:t>Interferencia s laboratórnymi testami</w:t>
      </w:r>
    </w:p>
    <w:p w:rsidR="00626A9B" w:rsidRPr="00D968B9" w:rsidRDefault="00626A9B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CHORAPUR</w:t>
      </w:r>
      <w:r w:rsidR="0059668A" w:rsidRPr="00D968B9">
        <w:rPr>
          <w:lang w:val="sk-SK"/>
        </w:rPr>
        <w:t xml:space="preserve"> môže po podaní </w:t>
      </w:r>
      <w:r w:rsidRPr="00D968B9">
        <w:rPr>
          <w:lang w:val="sk-SK"/>
        </w:rPr>
        <w:t>až do 10 dní interferovať s imunologickým stanovením hCG v sére/moči, čo vedie</w:t>
      </w:r>
      <w:r w:rsidR="0059668A" w:rsidRPr="00D968B9">
        <w:rPr>
          <w:lang w:val="sk-SK"/>
        </w:rPr>
        <w:t xml:space="preserve"> k falošne</w:t>
      </w:r>
      <w:r w:rsidRPr="00D968B9">
        <w:rPr>
          <w:lang w:val="sk-SK"/>
        </w:rPr>
        <w:t xml:space="preserve"> pozitívnym </w:t>
      </w:r>
      <w:r w:rsidR="0059668A" w:rsidRPr="00D968B9">
        <w:rPr>
          <w:lang w:val="sk-SK"/>
        </w:rPr>
        <w:t>výsledkom tehotenského testu</w:t>
      </w:r>
      <w:r w:rsidRPr="00D968B9">
        <w:rPr>
          <w:lang w:val="sk-SK"/>
        </w:rPr>
        <w:t>.</w:t>
      </w:r>
    </w:p>
    <w:p w:rsidR="00626A9B" w:rsidRPr="00D968B9" w:rsidRDefault="00626A9B" w:rsidP="00FE16D6">
      <w:pPr>
        <w:spacing w:line="240" w:lineRule="auto"/>
        <w:rPr>
          <w:lang w:val="sk-SK"/>
        </w:rPr>
      </w:pPr>
    </w:p>
    <w:p w:rsidR="00626A9B" w:rsidRPr="00D968B9" w:rsidRDefault="00626A9B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CHORAPUR obsahuje sodík, ale menej ako 1 mmol (23 mg) sodíka na m</w:t>
      </w:r>
      <w:r w:rsidR="0059668A" w:rsidRPr="00D968B9">
        <w:rPr>
          <w:lang w:val="sk-SK"/>
        </w:rPr>
        <w:t>i</w:t>
      </w:r>
      <w:r w:rsidRPr="00D968B9">
        <w:rPr>
          <w:lang w:val="sk-SK"/>
        </w:rPr>
        <w:t>l</w:t>
      </w:r>
      <w:r w:rsidR="0059668A" w:rsidRPr="00D968B9">
        <w:rPr>
          <w:lang w:val="sk-SK"/>
        </w:rPr>
        <w:t>iliter</w:t>
      </w:r>
      <w:r w:rsidRPr="00D968B9">
        <w:rPr>
          <w:lang w:val="sk-SK"/>
        </w:rPr>
        <w:t xml:space="preserve"> rozpúšťadla.</w:t>
      </w:r>
    </w:p>
    <w:p w:rsidR="00626A9B" w:rsidRPr="00D968B9" w:rsidRDefault="00626A9B" w:rsidP="00FE16D6">
      <w:pPr>
        <w:spacing w:line="240" w:lineRule="auto"/>
        <w:rPr>
          <w:lang w:val="sk-SK"/>
        </w:rPr>
      </w:pPr>
    </w:p>
    <w:p w:rsidR="00626A9B" w:rsidRPr="00D968B9" w:rsidRDefault="00626A9B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Použitie CHORAPURU môže spôsobiť pozitívne výsledky pri dopingovej kontrole.</w:t>
      </w:r>
    </w:p>
    <w:p w:rsidR="00626A9B" w:rsidRPr="00D968B9" w:rsidRDefault="00626A9B" w:rsidP="00FE16D6">
      <w:pPr>
        <w:spacing w:line="240" w:lineRule="auto"/>
        <w:rPr>
          <w:lang w:val="sk-SK"/>
        </w:rPr>
      </w:pPr>
    </w:p>
    <w:p w:rsidR="00626A9B" w:rsidRPr="00D968B9" w:rsidRDefault="00626A9B" w:rsidP="00FE16D6">
      <w:pPr>
        <w:spacing w:line="240" w:lineRule="auto"/>
        <w:rPr>
          <w:lang w:val="sk-SK"/>
        </w:rPr>
      </w:pPr>
      <w:r w:rsidRPr="00D968B9">
        <w:rPr>
          <w:lang w:val="sk-SK"/>
        </w:rPr>
        <w:t>Použitie CHORAPURU na účely dopingu môže poškod</w:t>
      </w:r>
      <w:r w:rsidR="00343F25" w:rsidRPr="00D968B9">
        <w:rPr>
          <w:lang w:val="sk-SK"/>
        </w:rPr>
        <w:t>iť</w:t>
      </w:r>
      <w:r w:rsidR="006C7307" w:rsidRPr="00D968B9">
        <w:rPr>
          <w:lang w:val="sk-SK"/>
        </w:rPr>
        <w:t xml:space="preserve"> zdravie</w:t>
      </w:r>
      <w:r w:rsidRPr="00D968B9">
        <w:rPr>
          <w:lang w:val="sk-SK"/>
        </w:rPr>
        <w:t>.</w:t>
      </w:r>
    </w:p>
    <w:p w:rsidR="00626A9B" w:rsidRPr="00D968B9" w:rsidRDefault="00626A9B" w:rsidP="00FE16D6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rPr>
          <w:szCs w:val="22"/>
          <w:u w:val="single"/>
          <w:lang w:val="sk-SK"/>
        </w:rPr>
      </w:pPr>
      <w:r w:rsidRPr="00D968B9">
        <w:rPr>
          <w:szCs w:val="22"/>
          <w:u w:val="single"/>
          <w:lang w:val="sk-SK"/>
        </w:rPr>
        <w:t>Pediatrická populácia</w:t>
      </w:r>
    </w:p>
    <w:p w:rsidR="00626A9B" w:rsidRPr="00D968B9" w:rsidRDefault="00626A9B" w:rsidP="00A505E4">
      <w:pPr>
        <w:spacing w:line="240" w:lineRule="auto"/>
        <w:rPr>
          <w:lang w:val="sk-SK"/>
        </w:rPr>
      </w:pPr>
      <w:r w:rsidRPr="00D968B9">
        <w:rPr>
          <w:szCs w:val="22"/>
          <w:lang w:val="sk-SK"/>
        </w:rPr>
        <w:t>hCG sa má používať s opatrnosťou u chlapcov v predpubertálnom veku, aby nedošl</w:t>
      </w:r>
      <w:r w:rsidR="00DC1CAA" w:rsidRPr="00D968B9">
        <w:rPr>
          <w:szCs w:val="22"/>
          <w:lang w:val="sk-SK"/>
        </w:rPr>
        <w:t>o k predčasnému uzavretiu epifyzárnych štrbín</w:t>
      </w:r>
      <w:r w:rsidRPr="00D968B9">
        <w:rPr>
          <w:szCs w:val="22"/>
          <w:lang w:val="sk-SK"/>
        </w:rPr>
        <w:t xml:space="preserve"> alebo predčasnému sexuálnemu vývoju. </w:t>
      </w:r>
      <w:r w:rsidR="00343F25" w:rsidRPr="00D968B9">
        <w:rPr>
          <w:szCs w:val="22"/>
          <w:lang w:val="sk-SK"/>
        </w:rPr>
        <w:t xml:space="preserve">Pravidelne sa má monitorovať </w:t>
      </w:r>
      <w:r w:rsidR="00175F4D" w:rsidRPr="00D968B9">
        <w:rPr>
          <w:szCs w:val="22"/>
          <w:lang w:val="sk-SK"/>
        </w:rPr>
        <w:t xml:space="preserve">zrenie kostry. </w:t>
      </w:r>
    </w:p>
    <w:p w:rsidR="00912E25" w:rsidRPr="00D968B9" w:rsidRDefault="001B5F01" w:rsidP="00A505E4">
      <w:pPr>
        <w:spacing w:line="240" w:lineRule="auto"/>
        <w:outlineLvl w:val="0"/>
        <w:rPr>
          <w:szCs w:val="22"/>
          <w:lang w:val="sk-SK"/>
        </w:rPr>
      </w:pPr>
      <w:r w:rsidRPr="00D968B9">
        <w:rPr>
          <w:szCs w:val="22"/>
          <w:lang w:val="sk-SK"/>
        </w:rPr>
        <w:t>hCG môže spôsobiť u chlapcov liečených na nezostúpené semenníky príznaky zápalu a aktivovať apoptózu zárodočných buniek po prvom roku života.</w:t>
      </w:r>
    </w:p>
    <w:p w:rsidR="006C7307" w:rsidRPr="00D968B9" w:rsidRDefault="006C7307" w:rsidP="00A505E4">
      <w:pPr>
        <w:spacing w:line="240" w:lineRule="auto"/>
        <w:outlineLvl w:val="0"/>
        <w:rPr>
          <w:szCs w:val="22"/>
          <w:lang w:val="sk-SK"/>
        </w:rPr>
      </w:pPr>
    </w:p>
    <w:p w:rsidR="00912E25" w:rsidRPr="00D968B9" w:rsidRDefault="00912E25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D968B9">
        <w:rPr>
          <w:b/>
          <w:szCs w:val="22"/>
          <w:lang w:val="sk-SK"/>
        </w:rPr>
        <w:t>4.5</w:t>
      </w:r>
      <w:r w:rsidRPr="00D968B9">
        <w:rPr>
          <w:b/>
          <w:szCs w:val="22"/>
          <w:lang w:val="sk-SK"/>
        </w:rPr>
        <w:tab/>
        <w:t>Liekové a iné interakcie</w:t>
      </w:r>
    </w:p>
    <w:p w:rsidR="00912E25" w:rsidRPr="00D968B9" w:rsidRDefault="00912E25" w:rsidP="00A505E4">
      <w:pPr>
        <w:spacing w:line="240" w:lineRule="auto"/>
        <w:rPr>
          <w:szCs w:val="22"/>
          <w:lang w:val="sk-SK"/>
        </w:rPr>
      </w:pPr>
    </w:p>
    <w:p w:rsidR="00912E25" w:rsidRPr="00D968B9" w:rsidRDefault="00912E25" w:rsidP="00A505E4">
      <w:p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Neuskutočnili sa žiadne interakčné štúdie</w:t>
      </w:r>
      <w:r w:rsidR="0086242C" w:rsidRPr="00D968B9">
        <w:rPr>
          <w:szCs w:val="22"/>
          <w:lang w:val="sk-SK"/>
        </w:rPr>
        <w:t xml:space="preserve"> u ľudí</w:t>
      </w:r>
      <w:r w:rsidRPr="00D968B9">
        <w:rPr>
          <w:szCs w:val="22"/>
          <w:lang w:val="sk-SK"/>
        </w:rPr>
        <w:t>.</w:t>
      </w:r>
    </w:p>
    <w:p w:rsidR="00912E25" w:rsidRPr="00D968B9" w:rsidRDefault="00912E25" w:rsidP="00A505E4">
      <w:pPr>
        <w:spacing w:line="240" w:lineRule="auto"/>
        <w:rPr>
          <w:szCs w:val="22"/>
          <w:lang w:val="sk-SK"/>
        </w:rPr>
      </w:pPr>
    </w:p>
    <w:p w:rsidR="00912E25" w:rsidRPr="00D968B9" w:rsidRDefault="00912E25" w:rsidP="00A505E4">
      <w:pPr>
        <w:spacing w:line="240" w:lineRule="auto"/>
        <w:ind w:left="567" w:hanging="567"/>
        <w:outlineLvl w:val="0"/>
        <w:rPr>
          <w:lang w:val="sk-SK"/>
        </w:rPr>
      </w:pPr>
      <w:r w:rsidRPr="00D968B9">
        <w:rPr>
          <w:b/>
          <w:lang w:val="sk-SK"/>
        </w:rPr>
        <w:t>4.6</w:t>
      </w:r>
      <w:r w:rsidRPr="00D968B9">
        <w:rPr>
          <w:b/>
          <w:lang w:val="sk-SK"/>
        </w:rPr>
        <w:tab/>
      </w:r>
      <w:r w:rsidRPr="00D968B9">
        <w:rPr>
          <w:b/>
          <w:szCs w:val="22"/>
          <w:lang w:val="sk-SK"/>
        </w:rPr>
        <w:t>Fertilita, gravidita a laktácia</w:t>
      </w:r>
    </w:p>
    <w:p w:rsidR="0086242C" w:rsidRPr="00D968B9" w:rsidRDefault="0086242C" w:rsidP="00A505E4">
      <w:pPr>
        <w:spacing w:line="240" w:lineRule="auto"/>
        <w:rPr>
          <w:lang w:val="sk-SK"/>
        </w:rPr>
      </w:pPr>
    </w:p>
    <w:p w:rsidR="0086242C" w:rsidRPr="00D968B9" w:rsidRDefault="0086242C" w:rsidP="0086242C">
      <w:pPr>
        <w:spacing w:line="240" w:lineRule="auto"/>
        <w:rPr>
          <w:szCs w:val="22"/>
          <w:u w:val="single"/>
          <w:lang w:val="sk-SK"/>
        </w:rPr>
      </w:pPr>
      <w:r w:rsidRPr="00D968B9">
        <w:rPr>
          <w:szCs w:val="22"/>
          <w:u w:val="single"/>
          <w:lang w:val="sk-SK"/>
        </w:rPr>
        <w:t>Fertilita</w:t>
      </w:r>
    </w:p>
    <w:p w:rsidR="0086242C" w:rsidRPr="00D968B9" w:rsidRDefault="0086242C" w:rsidP="0086242C">
      <w:p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CHORAPUR sa používa na liečbu neplodnosti (pozri časť 4.1).</w:t>
      </w:r>
    </w:p>
    <w:p w:rsidR="0086242C" w:rsidRPr="00D968B9" w:rsidRDefault="0086242C" w:rsidP="0086242C">
      <w:pPr>
        <w:spacing w:line="240" w:lineRule="auto"/>
        <w:rPr>
          <w:lang w:val="sk-SK"/>
        </w:rPr>
      </w:pPr>
    </w:p>
    <w:p w:rsidR="00912E25" w:rsidRPr="00D968B9" w:rsidRDefault="001B5F01" w:rsidP="00A505E4">
      <w:pPr>
        <w:spacing w:line="240" w:lineRule="auto"/>
        <w:rPr>
          <w:szCs w:val="22"/>
          <w:lang w:val="sk-SK"/>
        </w:rPr>
      </w:pPr>
      <w:r w:rsidRPr="00D968B9">
        <w:rPr>
          <w:szCs w:val="22"/>
          <w:u w:val="single"/>
          <w:lang w:val="sk-SK"/>
        </w:rPr>
        <w:t>Tehotenstvo</w:t>
      </w:r>
    </w:p>
    <w:p w:rsidR="0086242C" w:rsidRPr="00D968B9" w:rsidRDefault="0086242C" w:rsidP="00A505E4">
      <w:pPr>
        <w:spacing w:line="240" w:lineRule="auto"/>
        <w:rPr>
          <w:lang w:val="sk-SK"/>
        </w:rPr>
      </w:pPr>
      <w:r w:rsidRPr="00D968B9">
        <w:rPr>
          <w:lang w:val="sk-SK"/>
        </w:rPr>
        <w:t>Vzhľadom na indikáciu sa CHORAPUR nesmie používať v tehotenstve.</w:t>
      </w:r>
    </w:p>
    <w:p w:rsidR="0086242C" w:rsidRPr="00D968B9" w:rsidRDefault="00F77E5C" w:rsidP="00A505E4">
      <w:pPr>
        <w:spacing w:line="240" w:lineRule="auto"/>
        <w:rPr>
          <w:lang w:val="sk-SK"/>
        </w:rPr>
      </w:pPr>
      <w:r w:rsidRPr="00D968B9">
        <w:rPr>
          <w:lang w:val="sk-SK"/>
        </w:rPr>
        <w:t>U m</w:t>
      </w:r>
      <w:r w:rsidR="0086242C" w:rsidRPr="00D968B9">
        <w:rPr>
          <w:lang w:val="sk-SK"/>
        </w:rPr>
        <w:t>yš</w:t>
      </w:r>
      <w:r w:rsidRPr="00D968B9">
        <w:rPr>
          <w:lang w:val="sk-SK"/>
        </w:rPr>
        <w:t>í</w:t>
      </w:r>
      <w:r w:rsidR="0086242C" w:rsidRPr="00D968B9">
        <w:rPr>
          <w:lang w:val="sk-SK"/>
        </w:rPr>
        <w:t>, ktorým bol podávaný hCG na indukciu ovulácie</w:t>
      </w:r>
      <w:r w:rsidRPr="00D968B9">
        <w:rPr>
          <w:lang w:val="sk-SK"/>
        </w:rPr>
        <w:t>, sa</w:t>
      </w:r>
      <w:r w:rsidR="0086242C" w:rsidRPr="00D968B9">
        <w:rPr>
          <w:lang w:val="sk-SK"/>
        </w:rPr>
        <w:t xml:space="preserve"> preukázal</w:t>
      </w:r>
      <w:r w:rsidRPr="00D968B9">
        <w:rPr>
          <w:lang w:val="sk-SK"/>
        </w:rPr>
        <w:t>a zvýšená</w:t>
      </w:r>
      <w:r w:rsidR="0086242C" w:rsidRPr="00D968B9">
        <w:rPr>
          <w:lang w:val="sk-SK"/>
        </w:rPr>
        <w:t xml:space="preserve"> úmrtnosť embryí zá</w:t>
      </w:r>
      <w:r w:rsidR="001B5F01" w:rsidRPr="00D968B9">
        <w:rPr>
          <w:lang w:val="sk-SK"/>
        </w:rPr>
        <w:t>visl</w:t>
      </w:r>
      <w:r w:rsidRPr="00D968B9">
        <w:rPr>
          <w:lang w:val="sk-SK"/>
        </w:rPr>
        <w:t>á</w:t>
      </w:r>
      <w:r w:rsidR="001B5F01" w:rsidRPr="00D968B9">
        <w:rPr>
          <w:lang w:val="sk-SK"/>
        </w:rPr>
        <w:t xml:space="preserve"> od dávky, hlavne predimplantačné</w:t>
      </w:r>
      <w:r w:rsidR="0086242C" w:rsidRPr="00D968B9">
        <w:rPr>
          <w:lang w:val="sk-SK"/>
        </w:rPr>
        <w:t xml:space="preserve"> straty (pozri časť 5.3).</w:t>
      </w:r>
    </w:p>
    <w:p w:rsidR="0086242C" w:rsidRPr="00D968B9" w:rsidRDefault="0086242C" w:rsidP="00A505E4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 </w:t>
      </w:r>
    </w:p>
    <w:p w:rsidR="00912E25" w:rsidRPr="00D968B9" w:rsidRDefault="00912E25" w:rsidP="00A505E4">
      <w:pPr>
        <w:spacing w:line="240" w:lineRule="auto"/>
        <w:rPr>
          <w:lang w:val="sk-SK"/>
        </w:rPr>
      </w:pPr>
      <w:r w:rsidRPr="00D968B9">
        <w:rPr>
          <w:szCs w:val="22"/>
          <w:u w:val="single"/>
          <w:lang w:val="sk-SK"/>
        </w:rPr>
        <w:t>Dojčenie</w:t>
      </w:r>
    </w:p>
    <w:p w:rsidR="00912E25" w:rsidRPr="00D968B9" w:rsidRDefault="0086242C" w:rsidP="00A505E4">
      <w:pPr>
        <w:spacing w:line="240" w:lineRule="auto"/>
        <w:rPr>
          <w:lang w:val="sk-SK"/>
        </w:rPr>
      </w:pPr>
      <w:r w:rsidRPr="00D968B9">
        <w:rPr>
          <w:lang w:val="sk-SK"/>
        </w:rPr>
        <w:t>Vzhľadom na indikáciu sa CHORAPUR nesmie používať počas dojčenia.</w:t>
      </w:r>
    </w:p>
    <w:p w:rsidR="0086242C" w:rsidRPr="00D968B9" w:rsidRDefault="0086242C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ind w:left="567" w:hanging="567"/>
        <w:outlineLvl w:val="0"/>
        <w:rPr>
          <w:lang w:val="sk-SK"/>
        </w:rPr>
      </w:pPr>
      <w:r w:rsidRPr="00D968B9">
        <w:rPr>
          <w:b/>
          <w:lang w:val="sk-SK"/>
        </w:rPr>
        <w:t>4.7</w:t>
      </w:r>
      <w:r w:rsidRPr="00D968B9">
        <w:rPr>
          <w:b/>
          <w:lang w:val="sk-SK"/>
        </w:rPr>
        <w:tab/>
      </w:r>
      <w:r w:rsidRPr="00D968B9">
        <w:rPr>
          <w:b/>
          <w:szCs w:val="22"/>
          <w:lang w:val="sk-SK"/>
        </w:rPr>
        <w:t>Ovplyvnenie schopnosti viesť vozidlá a obsluhovať stroje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86242C" w:rsidRPr="00D968B9" w:rsidRDefault="0086242C" w:rsidP="00A505E4">
      <w:pPr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Neuskutočnili sa žiadne štúdie na schopnosť viesť motorové vozidlá a obsluhovať stroje.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1B5F01" w:rsidRPr="00D968B9" w:rsidRDefault="001B5F01" w:rsidP="00A505E4">
      <w:pPr>
        <w:spacing w:line="240" w:lineRule="auto"/>
        <w:rPr>
          <w:lang w:val="sk-SK"/>
        </w:rPr>
      </w:pPr>
      <w:r w:rsidRPr="00D968B9">
        <w:rPr>
          <w:lang w:val="sk-SK"/>
        </w:rPr>
        <w:t>Predpokladá sa, že CHORAPUR nemá žiaden alebo len zanedbateľný vplyv na schopnosť viesť vozidlá a obsluhovať stroje.</w:t>
      </w:r>
    </w:p>
    <w:p w:rsidR="001B5F01" w:rsidRPr="00D968B9" w:rsidRDefault="001B5F01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outlineLvl w:val="0"/>
        <w:rPr>
          <w:b/>
          <w:lang w:val="sk-SK"/>
        </w:rPr>
      </w:pPr>
      <w:r w:rsidRPr="00D968B9">
        <w:rPr>
          <w:b/>
          <w:lang w:val="sk-SK"/>
        </w:rPr>
        <w:t>4.8</w:t>
      </w:r>
      <w:r w:rsidRPr="00D968B9">
        <w:rPr>
          <w:b/>
          <w:lang w:val="sk-SK"/>
        </w:rPr>
        <w:tab/>
      </w:r>
      <w:r w:rsidRPr="00D968B9">
        <w:rPr>
          <w:b/>
          <w:szCs w:val="22"/>
          <w:lang w:val="sk-SK"/>
        </w:rPr>
        <w:t>Nežiaduce účinky</w:t>
      </w:r>
    </w:p>
    <w:p w:rsidR="00912E25" w:rsidRPr="00D968B9" w:rsidRDefault="00912E25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86242C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Veľmi často pozorované nežiaduce účinky súvisia s hyperstimuláciou vaječníkov, napr. OHSS. Väčšinou sú závislé na dávke a závisia od individuálnej odpovede pacientky na liečbu.</w:t>
      </w:r>
    </w:p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Nežiaduce účinky sú rozdelené podľa frekvencie ich výskytu:</w:t>
      </w:r>
    </w:p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Veľmi časté (</w:t>
      </w:r>
      <w:r w:rsidRPr="00D968B9">
        <w:rPr>
          <w:szCs w:val="22"/>
          <w:lang w:val="sk-SK"/>
        </w:rPr>
        <w:sym w:font="Symbol" w:char="F0B3"/>
      </w:r>
      <w:r w:rsidRPr="00D968B9">
        <w:rPr>
          <w:szCs w:val="22"/>
          <w:lang w:val="sk-SK"/>
        </w:rPr>
        <w:t> 1/10)</w:t>
      </w:r>
    </w:p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lastRenderedPageBreak/>
        <w:t>Časté (</w:t>
      </w:r>
      <w:r w:rsidRPr="00D968B9">
        <w:rPr>
          <w:szCs w:val="22"/>
          <w:lang w:val="sk-SK"/>
        </w:rPr>
        <w:sym w:font="Symbol" w:char="F0B3"/>
      </w:r>
      <w:r w:rsidRPr="00D968B9">
        <w:rPr>
          <w:szCs w:val="22"/>
          <w:lang w:val="sk-SK"/>
        </w:rPr>
        <w:t xml:space="preserve"> 1/100 až </w:t>
      </w:r>
      <w:r w:rsidRPr="00D968B9">
        <w:rPr>
          <w:szCs w:val="22"/>
          <w:lang w:val="sk-SK"/>
        </w:rPr>
        <w:sym w:font="Symbol" w:char="F03C"/>
      </w:r>
      <w:r w:rsidRPr="00D968B9">
        <w:rPr>
          <w:szCs w:val="22"/>
          <w:lang w:val="sk-SK"/>
        </w:rPr>
        <w:t xml:space="preserve"> 1/10)</w:t>
      </w:r>
    </w:p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Menej časté (</w:t>
      </w:r>
      <w:r w:rsidRPr="00D968B9">
        <w:rPr>
          <w:szCs w:val="22"/>
          <w:lang w:val="sk-SK"/>
        </w:rPr>
        <w:sym w:font="Symbol" w:char="F0B3"/>
      </w:r>
      <w:r w:rsidRPr="00D968B9">
        <w:rPr>
          <w:szCs w:val="22"/>
          <w:lang w:val="sk-SK"/>
        </w:rPr>
        <w:t xml:space="preserve"> 1/1 000 až </w:t>
      </w:r>
      <w:r w:rsidRPr="00D968B9">
        <w:rPr>
          <w:szCs w:val="22"/>
          <w:lang w:val="sk-SK"/>
        </w:rPr>
        <w:sym w:font="Symbol" w:char="F03C"/>
      </w:r>
      <w:r w:rsidRPr="00D968B9">
        <w:rPr>
          <w:szCs w:val="22"/>
          <w:lang w:val="sk-SK"/>
        </w:rPr>
        <w:t> 1/100)</w:t>
      </w:r>
    </w:p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Zriedkavé (</w:t>
      </w:r>
      <w:r w:rsidRPr="00D968B9">
        <w:rPr>
          <w:szCs w:val="22"/>
          <w:lang w:val="sk-SK"/>
        </w:rPr>
        <w:sym w:font="Symbol" w:char="F0B3"/>
      </w:r>
      <w:r w:rsidRPr="00D968B9">
        <w:rPr>
          <w:szCs w:val="22"/>
          <w:lang w:val="sk-SK"/>
        </w:rPr>
        <w:t xml:space="preserve"> 1/10 000 až </w:t>
      </w:r>
      <w:r w:rsidRPr="00D968B9">
        <w:rPr>
          <w:szCs w:val="22"/>
          <w:lang w:val="sk-SK"/>
        </w:rPr>
        <w:sym w:font="Symbol" w:char="F03C"/>
      </w:r>
      <w:r w:rsidRPr="00D968B9">
        <w:rPr>
          <w:szCs w:val="22"/>
          <w:lang w:val="sk-SK"/>
        </w:rPr>
        <w:t> 1/1 000)</w:t>
      </w:r>
    </w:p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Veľmi zriedkavé (</w:t>
      </w:r>
      <w:r w:rsidRPr="00D968B9">
        <w:rPr>
          <w:szCs w:val="22"/>
          <w:lang w:val="sk-SK"/>
        </w:rPr>
        <w:sym w:font="Symbol" w:char="F03C"/>
      </w:r>
      <w:r w:rsidRPr="00D968B9">
        <w:rPr>
          <w:szCs w:val="22"/>
          <w:lang w:val="sk-SK"/>
        </w:rPr>
        <w:t> 1/10 000)</w:t>
      </w:r>
    </w:p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lang w:val="sk-SK"/>
        </w:rPr>
        <w:t>Neznáme (z dostupných údajov)</w:t>
      </w:r>
    </w:p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tbl>
      <w:tblPr>
        <w:tblStyle w:val="Mriekatabuky"/>
        <w:tblW w:w="0" w:type="auto"/>
        <w:tblLook w:val="04A0"/>
      </w:tblPr>
      <w:tblGrid>
        <w:gridCol w:w="2123"/>
        <w:gridCol w:w="1771"/>
        <w:gridCol w:w="1740"/>
        <w:gridCol w:w="1773"/>
        <w:gridCol w:w="1880"/>
      </w:tblGrid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Trieda orgánových systémov podľa MedDRA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Veľmi časté (</w:t>
            </w:r>
            <w:r w:rsidRPr="00D968B9">
              <w:rPr>
                <w:b/>
                <w:szCs w:val="22"/>
                <w:lang w:val="sk-SK"/>
              </w:rPr>
              <w:sym w:font="Symbol" w:char="F0B3"/>
            </w:r>
            <w:r w:rsidRPr="00D968B9">
              <w:rPr>
                <w:b/>
                <w:szCs w:val="22"/>
                <w:lang w:val="sk-SK"/>
              </w:rPr>
              <w:t> 1/10)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:rsidR="003872CA" w:rsidRPr="00D968B9" w:rsidRDefault="003872CA" w:rsidP="003872CA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Časté (</w:t>
            </w:r>
            <w:r w:rsidRPr="00D968B9">
              <w:rPr>
                <w:b/>
                <w:szCs w:val="22"/>
                <w:lang w:val="sk-SK"/>
              </w:rPr>
              <w:sym w:font="Symbol" w:char="F0B3"/>
            </w:r>
            <w:r w:rsidRPr="00D968B9">
              <w:rPr>
                <w:b/>
                <w:szCs w:val="22"/>
                <w:lang w:val="sk-SK"/>
              </w:rPr>
              <w:t xml:space="preserve"> 1/100 až </w:t>
            </w:r>
            <w:r w:rsidRPr="00D968B9">
              <w:rPr>
                <w:b/>
                <w:szCs w:val="22"/>
                <w:lang w:val="sk-SK"/>
              </w:rPr>
              <w:sym w:font="Symbol" w:char="F03C"/>
            </w:r>
            <w:r w:rsidRPr="00D968B9">
              <w:rPr>
                <w:b/>
                <w:szCs w:val="22"/>
                <w:lang w:val="sk-SK"/>
              </w:rPr>
              <w:t xml:space="preserve"> 1/10)</w:t>
            </w:r>
          </w:p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1825" w:type="dxa"/>
            <w:shd w:val="clear" w:color="auto" w:fill="F2F2F2" w:themeFill="background1" w:themeFillShade="F2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Menej časté (</w:t>
            </w:r>
            <w:r w:rsidRPr="00D968B9">
              <w:rPr>
                <w:b/>
                <w:szCs w:val="22"/>
                <w:lang w:val="sk-SK"/>
              </w:rPr>
              <w:sym w:font="Symbol" w:char="F0B3"/>
            </w:r>
            <w:r w:rsidRPr="00D968B9">
              <w:rPr>
                <w:b/>
                <w:szCs w:val="22"/>
                <w:lang w:val="sk-SK"/>
              </w:rPr>
              <w:t xml:space="preserve"> 1/1 000 až </w:t>
            </w:r>
            <w:r w:rsidRPr="00D968B9">
              <w:rPr>
                <w:b/>
                <w:szCs w:val="22"/>
                <w:lang w:val="sk-SK"/>
              </w:rPr>
              <w:sym w:font="Symbol" w:char="F03C"/>
            </w:r>
            <w:r w:rsidRPr="00D968B9">
              <w:rPr>
                <w:b/>
                <w:szCs w:val="22"/>
                <w:lang w:val="sk-SK"/>
              </w:rPr>
              <w:t> 1/100)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:rsidR="003872CA" w:rsidRPr="00D968B9" w:rsidRDefault="003872CA" w:rsidP="00451B58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Neznáme (</w:t>
            </w:r>
            <w:r w:rsidR="00451B58" w:rsidRPr="00D968B9">
              <w:rPr>
                <w:b/>
                <w:szCs w:val="22"/>
                <w:lang w:val="sk-SK"/>
              </w:rPr>
              <w:t>z</w:t>
            </w:r>
            <w:r w:rsidRPr="00D968B9">
              <w:rPr>
                <w:b/>
                <w:szCs w:val="22"/>
                <w:lang w:val="sk-SK"/>
              </w:rPr>
              <w:t> dostupných údajov)</w:t>
            </w: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Poruchy imunitného systému</w:t>
            </w:r>
          </w:p>
        </w:tc>
        <w:tc>
          <w:tcPr>
            <w:tcW w:w="1819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1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5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34" w:type="dxa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hypersenzitívne reakcie</w:t>
            </w:r>
            <w:r w:rsidRPr="00D968B9">
              <w:rPr>
                <w:szCs w:val="22"/>
                <w:vertAlign w:val="superscript"/>
                <w:lang w:val="sk-SK"/>
              </w:rPr>
              <w:t>d</w:t>
            </w: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Poruchy endokrinného systému</w:t>
            </w:r>
          </w:p>
        </w:tc>
        <w:tc>
          <w:tcPr>
            <w:tcW w:w="1819" w:type="dxa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gynekomastia</w:t>
            </w:r>
            <w:r w:rsidRPr="00D968B9">
              <w:rPr>
                <w:szCs w:val="22"/>
                <w:vertAlign w:val="superscript"/>
                <w:lang w:val="sk-SK"/>
              </w:rPr>
              <w:t>a</w:t>
            </w:r>
          </w:p>
        </w:tc>
        <w:tc>
          <w:tcPr>
            <w:tcW w:w="1821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5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34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3872CA" w:rsidRPr="00D968B9" w:rsidRDefault="00451B58" w:rsidP="00451B58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Poruchy metabolizmu a výživy</w:t>
            </w:r>
          </w:p>
        </w:tc>
        <w:tc>
          <w:tcPr>
            <w:tcW w:w="1819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1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5" w:type="dxa"/>
          </w:tcPr>
          <w:p w:rsidR="003872CA" w:rsidRPr="00D968B9" w:rsidRDefault="00451B58" w:rsidP="00451B5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retencia vody a elektrolytov</w:t>
            </w:r>
          </w:p>
        </w:tc>
        <w:tc>
          <w:tcPr>
            <w:tcW w:w="1834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Psychické poruchy</w:t>
            </w:r>
          </w:p>
        </w:tc>
        <w:tc>
          <w:tcPr>
            <w:tcW w:w="1819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1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5" w:type="dxa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depresia, podráždenosť, nepokoj</w:t>
            </w:r>
          </w:p>
        </w:tc>
        <w:tc>
          <w:tcPr>
            <w:tcW w:w="1834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Poruchy nervového systému</w:t>
            </w:r>
          </w:p>
        </w:tc>
        <w:tc>
          <w:tcPr>
            <w:tcW w:w="1819" w:type="dxa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bolesť hlavy</w:t>
            </w:r>
          </w:p>
        </w:tc>
        <w:tc>
          <w:tcPr>
            <w:tcW w:w="1821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5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34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Poruchy ciev</w:t>
            </w:r>
          </w:p>
        </w:tc>
        <w:tc>
          <w:tcPr>
            <w:tcW w:w="1819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1" w:type="dxa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návaly tepla</w:t>
            </w:r>
            <w:r w:rsidRPr="00D968B9">
              <w:rPr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825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34" w:type="dxa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trombembolizmus</w:t>
            </w:r>
            <w:r w:rsidRPr="00D968B9">
              <w:rPr>
                <w:szCs w:val="22"/>
                <w:vertAlign w:val="superscript"/>
                <w:lang w:val="sk-SK"/>
              </w:rPr>
              <w:t>c</w:t>
            </w: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Poruchy gastrointestinálneho traktu</w:t>
            </w:r>
          </w:p>
        </w:tc>
        <w:tc>
          <w:tcPr>
            <w:tcW w:w="1819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1" w:type="dxa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 xml:space="preserve">nauzea, bolesť brucha, vracanie </w:t>
            </w:r>
          </w:p>
        </w:tc>
        <w:tc>
          <w:tcPr>
            <w:tcW w:w="1825" w:type="dxa"/>
          </w:tcPr>
          <w:p w:rsidR="003872CA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hnačka</w:t>
            </w:r>
          </w:p>
        </w:tc>
        <w:tc>
          <w:tcPr>
            <w:tcW w:w="1834" w:type="dxa"/>
          </w:tcPr>
          <w:p w:rsidR="003872CA" w:rsidRPr="00D968B9" w:rsidRDefault="003872CA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451B58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Poruchy kože a podkožného tkaniva</w:t>
            </w:r>
          </w:p>
        </w:tc>
        <w:tc>
          <w:tcPr>
            <w:tcW w:w="1819" w:type="dxa"/>
          </w:tcPr>
          <w:p w:rsidR="00451B58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1" w:type="dxa"/>
          </w:tcPr>
          <w:p w:rsidR="00451B58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exantém, akné</w:t>
            </w:r>
          </w:p>
        </w:tc>
        <w:tc>
          <w:tcPr>
            <w:tcW w:w="1825" w:type="dxa"/>
          </w:tcPr>
          <w:p w:rsidR="00451B58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34" w:type="dxa"/>
          </w:tcPr>
          <w:p w:rsidR="00451B58" w:rsidRPr="00D968B9" w:rsidRDefault="00451B58" w:rsidP="00C70200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vyrážka, erytém, svrbe</w:t>
            </w:r>
            <w:r w:rsidR="00C70200" w:rsidRPr="00D968B9">
              <w:rPr>
                <w:szCs w:val="22"/>
                <w:lang w:val="sk-SK"/>
              </w:rPr>
              <w:t>n</w:t>
            </w:r>
            <w:r w:rsidRPr="00D968B9">
              <w:rPr>
                <w:szCs w:val="22"/>
                <w:lang w:val="sk-SK"/>
              </w:rPr>
              <w:t>ie</w:t>
            </w: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451B58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1819" w:type="dxa"/>
          </w:tcPr>
          <w:p w:rsidR="00451B58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1" w:type="dxa"/>
          </w:tcPr>
          <w:p w:rsidR="00451B58" w:rsidRPr="00D968B9" w:rsidRDefault="007D2D3F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mierny až stredne závažný OHSS</w:t>
            </w:r>
            <w:r w:rsidRPr="00D968B9">
              <w:rPr>
                <w:szCs w:val="22"/>
                <w:vertAlign w:val="superscript"/>
                <w:lang w:val="sk-SK"/>
              </w:rPr>
              <w:t>c</w:t>
            </w:r>
            <w:r w:rsidRPr="00D968B9">
              <w:rPr>
                <w:szCs w:val="22"/>
                <w:lang w:val="sk-SK"/>
              </w:rPr>
              <w:t>, opuch prsníkov, bolesť semenníkov</w:t>
            </w:r>
          </w:p>
        </w:tc>
        <w:tc>
          <w:tcPr>
            <w:tcW w:w="1825" w:type="dxa"/>
          </w:tcPr>
          <w:p w:rsidR="00451B58" w:rsidRPr="00D968B9" w:rsidRDefault="007D2D3F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závažný OHSS</w:t>
            </w:r>
            <w:r w:rsidRPr="00D968B9">
              <w:rPr>
                <w:szCs w:val="22"/>
                <w:vertAlign w:val="superscript"/>
                <w:lang w:val="sk-SK"/>
              </w:rPr>
              <w:t>c</w:t>
            </w:r>
          </w:p>
        </w:tc>
        <w:tc>
          <w:tcPr>
            <w:tcW w:w="1834" w:type="dxa"/>
          </w:tcPr>
          <w:p w:rsidR="00451B58" w:rsidRPr="00D968B9" w:rsidRDefault="007D2D3F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citlivosť prsníkov a bolesť</w:t>
            </w:r>
          </w:p>
        </w:tc>
      </w:tr>
      <w:tr w:rsidR="00451B58" w:rsidRPr="00D968B9" w:rsidTr="00C70200">
        <w:tc>
          <w:tcPr>
            <w:tcW w:w="1988" w:type="dxa"/>
            <w:shd w:val="clear" w:color="auto" w:fill="F2F2F2" w:themeFill="background1" w:themeFillShade="F2"/>
          </w:tcPr>
          <w:p w:rsidR="00451B58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  <w:r w:rsidRPr="00D968B9">
              <w:rPr>
                <w:b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819" w:type="dxa"/>
          </w:tcPr>
          <w:p w:rsidR="00451B58" w:rsidRPr="00D968B9" w:rsidRDefault="007D2D3F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reakcia v mieste podania injekcie</w:t>
            </w:r>
          </w:p>
        </w:tc>
        <w:tc>
          <w:tcPr>
            <w:tcW w:w="1821" w:type="dxa"/>
          </w:tcPr>
          <w:p w:rsidR="00451B58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25" w:type="dxa"/>
          </w:tcPr>
          <w:p w:rsidR="00451B58" w:rsidRPr="00D968B9" w:rsidRDefault="00451B58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1834" w:type="dxa"/>
          </w:tcPr>
          <w:p w:rsidR="00451B58" w:rsidRPr="00D968B9" w:rsidRDefault="007D2D3F" w:rsidP="00A505E4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D968B9">
              <w:rPr>
                <w:szCs w:val="22"/>
                <w:lang w:val="sk-SK"/>
              </w:rPr>
              <w:t>teplota, únava, asténia</w:t>
            </w:r>
          </w:p>
        </w:tc>
      </w:tr>
    </w:tbl>
    <w:p w:rsidR="003872CA" w:rsidRPr="00D968B9" w:rsidRDefault="003872CA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7D2D3F" w:rsidRPr="00D968B9" w:rsidRDefault="007D2D3F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vertAlign w:val="superscript"/>
          <w:lang w:val="sk-SK"/>
        </w:rPr>
        <w:t>a</w:t>
      </w:r>
      <w:r w:rsidRPr="00D968B9">
        <w:rPr>
          <w:szCs w:val="22"/>
          <w:lang w:val="sk-SK"/>
        </w:rPr>
        <w:t> Literárne údaje hlásené u dospievajúcich mužov</w:t>
      </w:r>
      <w:r w:rsidR="00C62F66" w:rsidRPr="00D968B9">
        <w:rPr>
          <w:szCs w:val="22"/>
          <w:lang w:val="sk-SK"/>
        </w:rPr>
        <w:t>.</w:t>
      </w:r>
    </w:p>
    <w:p w:rsidR="007D2D3F" w:rsidRPr="00D968B9" w:rsidRDefault="007D2D3F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7D2D3F" w:rsidRPr="00D968B9" w:rsidRDefault="007D2D3F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968B9">
        <w:rPr>
          <w:szCs w:val="22"/>
          <w:vertAlign w:val="superscript"/>
          <w:lang w:val="sk-SK"/>
        </w:rPr>
        <w:t xml:space="preserve">b </w:t>
      </w:r>
      <w:r w:rsidRPr="00D968B9">
        <w:rPr>
          <w:szCs w:val="22"/>
          <w:lang w:val="sk-SK"/>
        </w:rPr>
        <w:t>Návaly tepla boli hlásené len u</w:t>
      </w:r>
      <w:r w:rsidR="00C62F66" w:rsidRPr="00D968B9">
        <w:rPr>
          <w:szCs w:val="22"/>
          <w:lang w:val="sk-SK"/>
        </w:rPr>
        <w:t> </w:t>
      </w:r>
      <w:r w:rsidRPr="00D968B9">
        <w:rPr>
          <w:szCs w:val="22"/>
          <w:lang w:val="sk-SK"/>
        </w:rPr>
        <w:t>mužov</w:t>
      </w:r>
      <w:r w:rsidR="00C62F66" w:rsidRPr="00D968B9">
        <w:rPr>
          <w:szCs w:val="22"/>
          <w:lang w:val="sk-SK"/>
        </w:rPr>
        <w:t>.</w:t>
      </w:r>
    </w:p>
    <w:p w:rsidR="007D2D3F" w:rsidRPr="00D968B9" w:rsidRDefault="007D2D3F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7D2D3F" w:rsidRPr="00D968B9" w:rsidRDefault="00065FC1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vertAlign w:val="superscript"/>
          <w:lang w:val="sk-SK"/>
        </w:rPr>
        <w:t>c</w:t>
      </w:r>
      <w:r>
        <w:rPr>
          <w:szCs w:val="22"/>
          <w:lang w:val="sk-SK"/>
        </w:rPr>
        <w:t xml:space="preserve"> Klinické znaky a príznaky mierneho až stredne závažného OHSS zahŕňajú gastrointestinálne problémy (abdominálny diskomfort, abdominálna bolesť, abdominálna distenzia, nevoľnosť, vracanie a/alebo hnačka), mierne až stredne závažné zväčšenie vaječníkov, prírastok hmotnosti, cysty na vaječníkoch. V prípade závažného OHSS boli zriedkavo hlásené ascites, hromadenie tekutín v pelvickej oblasti, pleurálna efúzia, dyspnoe, oligúria, trombembolické príhody (arteriálne a venózne) a torzia vaječníkov.</w:t>
      </w:r>
    </w:p>
    <w:p w:rsidR="007D2D3F" w:rsidRPr="00D968B9" w:rsidRDefault="007D2D3F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A0F01" w:rsidRPr="00D968B9" w:rsidRDefault="00065FC1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vertAlign w:val="superscript"/>
          <w:lang w:val="sk-SK"/>
        </w:rPr>
        <w:t>d</w:t>
      </w:r>
      <w:r>
        <w:rPr>
          <w:szCs w:val="22"/>
          <w:lang w:val="sk-SK"/>
        </w:rPr>
        <w:t xml:space="preserve"> Hlásené boli ojedinelé prípady lokalizovaných alebo generalizovaných alergických reakcií, vrátane anafylaktickej reakcie, anafylaktického šoku s pridruženou symptomatológiou.</w:t>
      </w:r>
    </w:p>
    <w:p w:rsidR="001A0F01" w:rsidRPr="00D968B9" w:rsidRDefault="001A0F01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A0F01" w:rsidRPr="00D968B9" w:rsidRDefault="00065FC1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Hlásené bolo zväčšenie veľkosti penisu a erekcie spôsobené zvýšenou produkciou testosterónu a/alebo proliferatívna zmena prostaty.</w:t>
      </w:r>
    </w:p>
    <w:p w:rsidR="007D2D3F" w:rsidRPr="00D968B9" w:rsidRDefault="00065FC1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  </w:t>
      </w:r>
    </w:p>
    <w:p w:rsidR="00912E25" w:rsidRPr="00D968B9" w:rsidRDefault="00065FC1" w:rsidP="00A505E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Pediatrická populácia</w:t>
      </w:r>
    </w:p>
    <w:p w:rsidR="001A0F01" w:rsidRPr="00D968B9" w:rsidRDefault="00065FC1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Občas sa môžu vyskytnúť menej závažné emocionálne zmeny u chlapcov, ktoré sú podobné zmenám na začiatku puberty. Vyskytujú sa len počas liečby. </w:t>
      </w:r>
    </w:p>
    <w:p w:rsidR="00912E25" w:rsidRPr="00D968B9" w:rsidRDefault="00912E25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912E25" w:rsidRPr="00D968B9" w:rsidRDefault="00065FC1" w:rsidP="00A505E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Hlásenie podozrení na nežiaduce reakcie</w:t>
      </w:r>
    </w:p>
    <w:p w:rsidR="00912E25" w:rsidRPr="00D968B9" w:rsidRDefault="00065FC1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Hlásenie podozrení na nežiaduce reakcie po registrácii lieku je dôležité. Umožňuje priebežné monitorovanie pomeru prínosu</w:t>
      </w:r>
      <w:r>
        <w:rPr>
          <w:lang w:val="sk-SK"/>
        </w:rPr>
        <w:t xml:space="preserve"> a</w:t>
      </w:r>
      <w:r>
        <w:rPr>
          <w:szCs w:val="22"/>
          <w:lang w:val="sk-SK"/>
        </w:rPr>
        <w:t xml:space="preserve"> rizika lieku. Od zdravotníckych pracovníkov sa vyžaduje, aby hlásili akékoľvek podozrenia na nežiaduce reakcie prostredníctvom </w:t>
      </w:r>
      <w:r>
        <w:rPr>
          <w:szCs w:val="22"/>
          <w:highlight w:val="lightGray"/>
          <w:shd w:val="clear" w:color="auto" w:fill="F2F2F2" w:themeFill="background1" w:themeFillShade="F2"/>
          <w:lang w:val="sk-SK"/>
        </w:rPr>
        <w:t>národného systému hlásenia uvedeného v </w:t>
      </w:r>
      <w:hyperlink r:id="rId7" w:history="1">
        <w:r>
          <w:rPr>
            <w:rStyle w:val="Hypertextovprepojenie"/>
            <w:szCs w:val="22"/>
            <w:highlight w:val="lightGray"/>
            <w:shd w:val="clear" w:color="auto" w:fill="F2F2F2" w:themeFill="background1" w:themeFillShade="F2"/>
            <w:lang w:val="sk-SK"/>
          </w:rPr>
          <w:t>P</w:t>
        </w:r>
        <w:r>
          <w:rPr>
            <w:rStyle w:val="Hypertextovprepojenie"/>
            <w:highlight w:val="lightGray"/>
            <w:shd w:val="clear" w:color="auto" w:fill="F2F2F2" w:themeFill="background1" w:themeFillShade="F2"/>
            <w:lang w:val="sk-SK"/>
          </w:rPr>
          <w:t xml:space="preserve">rílohe </w:t>
        </w:r>
        <w:r>
          <w:rPr>
            <w:rStyle w:val="Hypertextovprepojenie"/>
            <w:szCs w:val="22"/>
            <w:highlight w:val="lightGray"/>
            <w:shd w:val="clear" w:color="auto" w:fill="F2F2F2" w:themeFill="background1" w:themeFillShade="F2"/>
            <w:lang w:val="sk-SK"/>
          </w:rPr>
          <w:t>V</w:t>
        </w:r>
      </w:hyperlink>
      <w:r w:rsidR="00912E25" w:rsidRPr="00D968B9">
        <w:rPr>
          <w:szCs w:val="22"/>
          <w:lang w:val="sk-SK"/>
        </w:rPr>
        <w:t>.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ind w:left="567" w:hanging="567"/>
        <w:outlineLvl w:val="0"/>
        <w:rPr>
          <w:lang w:val="sk-SK"/>
        </w:rPr>
      </w:pPr>
      <w:r w:rsidRPr="00D968B9">
        <w:rPr>
          <w:b/>
          <w:lang w:val="sk-SK"/>
        </w:rPr>
        <w:t>4.9</w:t>
      </w:r>
      <w:r w:rsidRPr="00D968B9">
        <w:rPr>
          <w:b/>
          <w:lang w:val="sk-SK"/>
        </w:rPr>
        <w:tab/>
      </w:r>
      <w:r w:rsidRPr="00D968B9">
        <w:rPr>
          <w:b/>
          <w:szCs w:val="22"/>
          <w:lang w:val="sk-SK"/>
        </w:rPr>
        <w:t>Predávkovanie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1A0F01" w:rsidP="00A505E4">
      <w:pPr>
        <w:spacing w:line="240" w:lineRule="auto"/>
        <w:rPr>
          <w:lang w:val="sk-SK"/>
        </w:rPr>
      </w:pPr>
      <w:r w:rsidRPr="00D968B9">
        <w:rPr>
          <w:lang w:val="sk-SK"/>
        </w:rPr>
        <w:t xml:space="preserve">Účinky predávkovania nie sú známe, avšak možno očakávať výskyt syndrómu </w:t>
      </w:r>
      <w:r w:rsidR="00121421" w:rsidRPr="00D968B9">
        <w:rPr>
          <w:lang w:val="sk-SK"/>
        </w:rPr>
        <w:t xml:space="preserve">ovariálnej </w:t>
      </w:r>
      <w:r w:rsidRPr="00D968B9">
        <w:rPr>
          <w:lang w:val="sk-SK"/>
        </w:rPr>
        <w:t>hyperstimulácie.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1A0F01" w:rsidRPr="00D968B9" w:rsidRDefault="001A0F01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rPr>
          <w:lang w:val="sk-SK"/>
        </w:rPr>
      </w:pPr>
      <w:r w:rsidRPr="0032487F">
        <w:rPr>
          <w:b/>
          <w:lang w:val="sk-SK"/>
        </w:rPr>
        <w:t>5.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FARMAKOLOGICKÉ VLASTNOSTI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outlineLvl w:val="0"/>
        <w:rPr>
          <w:lang w:val="sk-SK"/>
        </w:rPr>
      </w:pPr>
      <w:r w:rsidRPr="0032487F">
        <w:rPr>
          <w:b/>
          <w:lang w:val="sk-SK"/>
        </w:rPr>
        <w:t>5.1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Farmakodynamické vlastnosti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szCs w:val="22"/>
          <w:lang w:val="sk-SK"/>
        </w:rPr>
        <w:t>Farmakoterapeutická skupina:</w:t>
      </w:r>
      <w:r w:rsidRPr="0032487F">
        <w:rPr>
          <w:lang w:val="sk-SK"/>
        </w:rPr>
        <w:t xml:space="preserve"> Gonadotropíny</w:t>
      </w:r>
      <w:r w:rsidRPr="0032487F">
        <w:rPr>
          <w:szCs w:val="22"/>
          <w:lang w:val="sk-SK"/>
        </w:rPr>
        <w:t>, ATC kód:</w:t>
      </w:r>
      <w:r w:rsidRPr="0032487F">
        <w:rPr>
          <w:lang w:val="sk-SK"/>
        </w:rPr>
        <w:t xml:space="preserve"> G03GA01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2487F">
        <w:rPr>
          <w:szCs w:val="22"/>
          <w:u w:val="single"/>
          <w:lang w:val="sk-SK"/>
        </w:rPr>
        <w:t>Mechanizmus účinku</w:t>
      </w:r>
    </w:p>
    <w:p w:rsidR="001A0F01" w:rsidRPr="00D968B9" w:rsidRDefault="00CB68D9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2487F">
        <w:rPr>
          <w:szCs w:val="22"/>
          <w:lang w:val="sk-SK"/>
        </w:rPr>
        <w:t>Ľudský choriový gonadotropín (hCG) je glykoproteín pozostávajúci z alfa podjednotky, ktorá je spoločná pre luteinizačný hormón (LH) a folikuly stimulujúci hormón (FSH) a beta podjednotky, ktorá je špecifická pre hCG. hCG sa čistí z moču tehotných žien a nie je homogénny. Aj vysoko čistené produkty obsahujú niekoľko frakcií, ktoré sa líšia obsahom a aktivitou  kyseliny sialovej. Množstvo hCG sa označuje v jednotkách biologickej aktivity.</w:t>
      </w:r>
    </w:p>
    <w:p w:rsidR="00064804" w:rsidRPr="00D968B9" w:rsidRDefault="00064804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064804" w:rsidRPr="00D968B9" w:rsidRDefault="00CB68D9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2487F">
        <w:rPr>
          <w:szCs w:val="22"/>
          <w:lang w:val="sk-SK"/>
        </w:rPr>
        <w:t xml:space="preserve">Hormonálny účinok choriového gonadotropínu sa zakladá na jeho schopnosti stimulovať biosyntézu pohlavných hormónov v gonádach (vaječníky a semenníky). Účinok hCG je kvalitatívne rovnaký ako gonadotropínu LH v hypofýze. Avšak hCG má signifikantne dlhší polčas, a preto má väčší účinok v porovnaní s LH v prípade kumulatívneho podania. </w:t>
      </w:r>
    </w:p>
    <w:p w:rsidR="00064804" w:rsidRPr="00D968B9" w:rsidRDefault="00064804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12E25" w:rsidRPr="00D968B9" w:rsidRDefault="00CB68D9" w:rsidP="00AF3916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32487F">
        <w:rPr>
          <w:szCs w:val="22"/>
          <w:u w:val="single"/>
          <w:lang w:val="sk-SK"/>
        </w:rPr>
        <w:t>Farmakodynamické účinky</w:t>
      </w:r>
    </w:p>
    <w:p w:rsidR="00A03B79" w:rsidRPr="00D968B9" w:rsidRDefault="00CB68D9" w:rsidP="00AF3916">
      <w:pPr>
        <w:rPr>
          <w:szCs w:val="22"/>
          <w:lang w:val="sk-SK"/>
        </w:rPr>
      </w:pPr>
      <w:r w:rsidRPr="0032487F">
        <w:rPr>
          <w:szCs w:val="22"/>
          <w:lang w:val="sk-SK"/>
        </w:rPr>
        <w:t>V ováriách hCG stimuluje bunky granulózy, téky a strómy alebo luteálne bunky k produkcii progesterónu a estradiolu.</w:t>
      </w:r>
    </w:p>
    <w:p w:rsidR="00D44BD5" w:rsidRPr="00D968B9" w:rsidRDefault="00CB68D9" w:rsidP="00AF3916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32487F">
        <w:rPr>
          <w:lang w:val="sk-SK"/>
        </w:rPr>
        <w:t xml:space="preserve">V granulózových bunkách malých folikulov vysoké dávky hCG stimulujú predovšetkým biosyntézu estradiolu, zakiaľ čo v granulózových bunkách zrelých dominantných folikulov a/alebo v luteinizovaných granulózových bunkách vysoké dávky hCG stimulujú biosyntézu progesterónu. Taktiež hCG stimuluje produkciu biologicky aktívnych peptidov vo vaječníkoch, ktoré sú dôležité pre reguláciu reprodukcie (napr. inhibín, relaxín, prorenín, aktivátor/inhibítor plazminogénu).     </w:t>
      </w:r>
    </w:p>
    <w:p w:rsidR="00623734" w:rsidRPr="00D968B9" w:rsidRDefault="00623734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23734" w:rsidRPr="00D968B9" w:rsidRDefault="00CB68D9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32487F">
        <w:rPr>
          <w:lang w:val="sk-SK"/>
        </w:rPr>
        <w:t xml:space="preserve">U žien s dozretými folikulami (napr. po stimulácii gonadotropínmi alebo klomifénom) podanie 5 000 IU až 10 000 IU hCG indukuje ovuláciu približne 36 hodín po intramuskulárnom podaní. </w:t>
      </w:r>
    </w:p>
    <w:p w:rsidR="00623734" w:rsidRPr="00D968B9" w:rsidRDefault="00623734" w:rsidP="00A505E4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912E25" w:rsidRPr="00D968B9" w:rsidRDefault="00CB68D9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2487F">
        <w:rPr>
          <w:szCs w:val="22"/>
          <w:u w:val="single"/>
          <w:lang w:val="sk-SK"/>
        </w:rPr>
        <w:t>Klinická účinnosť a bezpečnosť</w:t>
      </w:r>
    </w:p>
    <w:p w:rsidR="00DD7884" w:rsidRPr="00D968B9" w:rsidRDefault="00CB68D9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2487F">
        <w:rPr>
          <w:szCs w:val="22"/>
          <w:lang w:val="sk-SK"/>
        </w:rPr>
        <w:t xml:space="preserve">V Leydingových bunkách u mužov hCG stimuluje produkciu testosterónu a iných steroidov ako 17 OH-progesterónu a estradiolu. Jednorazové podanie 5 000 IU hCG chlapcom a mužom zvyšuje vylučovanie testosterónu bifázickým spôsobom s prvým maximom koncentrácie v plazme po 2 až 4 hodinách a druhým maximom po 3 až 4 dňoch. Maximálne množstvo estradiolu v sére sa dosiahne približne 24 hodín po podaní hCG. Tento princíp sa využíva v diferenciálnej diagnostike kryptorchizmu na odlíšenie medzi kryptorchizmom a anorchizmom a tiež na vyhodnotenie funkcie semenníkov s hypogonadotropným hypogonadizmom. </w:t>
      </w:r>
    </w:p>
    <w:p w:rsidR="00912E25" w:rsidRPr="00D968B9" w:rsidRDefault="00912E25" w:rsidP="00A505E4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outlineLvl w:val="0"/>
        <w:rPr>
          <w:b/>
          <w:lang w:val="sk-SK"/>
        </w:rPr>
      </w:pPr>
      <w:r w:rsidRPr="0032487F">
        <w:rPr>
          <w:b/>
          <w:lang w:val="sk-SK"/>
        </w:rPr>
        <w:t>5.2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Farmakokinetické vlastnosti</w:t>
      </w:r>
    </w:p>
    <w:p w:rsidR="00912E25" w:rsidRPr="00D968B9" w:rsidRDefault="00912E25" w:rsidP="00A505E4">
      <w:pPr>
        <w:spacing w:line="240" w:lineRule="auto"/>
        <w:ind w:left="567" w:hanging="567"/>
        <w:outlineLvl w:val="0"/>
        <w:rPr>
          <w:lang w:val="sk-SK"/>
        </w:rPr>
      </w:pPr>
    </w:p>
    <w:p w:rsidR="00912E25" w:rsidRPr="00D968B9" w:rsidRDefault="00CB68D9" w:rsidP="00A505E4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  <w:r w:rsidRPr="0032487F">
        <w:rPr>
          <w:lang w:val="sk-SK"/>
        </w:rPr>
        <w:lastRenderedPageBreak/>
        <w:t xml:space="preserve">hCG sa podáva ako intramuskulárna injekcia. Maximálna hladina hCG v sére sa dosiahne približne po 10 hodinách (od dávky závislá) a následne dochádza k zníženiu s polčasom približne 30 hodín. Vzhľadom na pomalú elimináciu sa môže hCG kumulovať v sére po podaní niekoľkých (napr. denných) intramuskulárnych injekcií. </w:t>
      </w:r>
    </w:p>
    <w:p w:rsidR="006042CA" w:rsidRPr="00D968B9" w:rsidRDefault="006042CA" w:rsidP="00A505E4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:rsidR="006042CA" w:rsidRPr="00D968B9" w:rsidRDefault="00CB68D9" w:rsidP="00A505E4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  <w:r w:rsidRPr="0032487F">
        <w:rPr>
          <w:lang w:val="sk-SK"/>
        </w:rPr>
        <w:t>hCG sa vylučuje obličkami a 10 – 20 % sa nachádza v moči v nezmenenej forme, pričom zostávajúca časť sa pravdepodobne vylučuje ako beta fragment.</w:t>
      </w:r>
    </w:p>
    <w:p w:rsidR="006042CA" w:rsidRPr="00D968B9" w:rsidRDefault="006042CA" w:rsidP="00A505E4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outlineLvl w:val="0"/>
        <w:rPr>
          <w:lang w:val="sk-SK"/>
        </w:rPr>
      </w:pPr>
      <w:r w:rsidRPr="0032487F">
        <w:rPr>
          <w:b/>
          <w:lang w:val="sk-SK"/>
        </w:rPr>
        <w:t>5.3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Predklinické údaje o bezpečnosti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B06E4E" w:rsidRPr="00D968B9" w:rsidRDefault="00CB68D9" w:rsidP="00A505E4">
      <w:pPr>
        <w:spacing w:line="240" w:lineRule="auto"/>
        <w:rPr>
          <w:szCs w:val="22"/>
          <w:lang w:val="sk-SK"/>
        </w:rPr>
      </w:pPr>
      <w:r w:rsidRPr="0032487F">
        <w:rPr>
          <w:szCs w:val="22"/>
          <w:lang w:val="sk-SK"/>
        </w:rPr>
        <w:t>Skúšky na myšiach po podaní hCG v terapeutických dávkach na indukciu ovulácie ukázali od dávky závislé predimplatančné a postimplantačné úmrtia embryí, malé embryá, znížený počet plodov na jeden vrh a taktiež signifikantné zvýšenie kongenitálnych malformácií (prerazené očné štrbiny, rázštep podnebia).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rPr>
          <w:b/>
          <w:lang w:val="sk-SK"/>
        </w:rPr>
      </w:pPr>
      <w:r w:rsidRPr="0032487F">
        <w:rPr>
          <w:b/>
          <w:lang w:val="sk-SK"/>
        </w:rPr>
        <w:t>6.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FARMACEUTICKÉ INFORMÁCIE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outlineLvl w:val="0"/>
        <w:rPr>
          <w:lang w:val="sk-SK"/>
        </w:rPr>
      </w:pPr>
      <w:r w:rsidRPr="0032487F">
        <w:rPr>
          <w:b/>
          <w:lang w:val="sk-SK"/>
        </w:rPr>
        <w:t>6.1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Zoznam pomocných látok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rPr>
          <w:b/>
          <w:lang w:val="sk-SK"/>
        </w:rPr>
      </w:pPr>
      <w:r w:rsidRPr="0032487F">
        <w:rPr>
          <w:b/>
          <w:lang w:val="sk-SK"/>
        </w:rPr>
        <w:t>Prášok:</w:t>
      </w:r>
    </w:p>
    <w:p w:rsidR="00B06E4E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monohydrát laktózy</w:t>
      </w:r>
    </w:p>
    <w:p w:rsidR="00B06E4E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hydroxid sodný</w:t>
      </w:r>
    </w:p>
    <w:p w:rsidR="00B06E4E" w:rsidRPr="00D968B9" w:rsidRDefault="00B06E4E" w:rsidP="00A505E4">
      <w:pPr>
        <w:spacing w:line="240" w:lineRule="auto"/>
        <w:rPr>
          <w:lang w:val="sk-SK"/>
        </w:rPr>
      </w:pPr>
    </w:p>
    <w:p w:rsidR="00B06E4E" w:rsidRPr="00D968B9" w:rsidRDefault="00CB68D9" w:rsidP="00A505E4">
      <w:pPr>
        <w:spacing w:line="240" w:lineRule="auto"/>
        <w:rPr>
          <w:b/>
          <w:lang w:val="sk-SK"/>
        </w:rPr>
      </w:pPr>
      <w:r w:rsidRPr="0032487F">
        <w:rPr>
          <w:b/>
          <w:lang w:val="sk-SK"/>
        </w:rPr>
        <w:t>Rozpúšťadlo:</w:t>
      </w:r>
    </w:p>
    <w:p w:rsidR="00B06E4E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chlorid sodný</w:t>
      </w:r>
    </w:p>
    <w:p w:rsidR="00B06E4E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kyselina chlorovodíková 10 %</w:t>
      </w:r>
    </w:p>
    <w:p w:rsidR="00B06E4E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voda na injekciu</w:t>
      </w:r>
    </w:p>
    <w:p w:rsidR="00B06E4E" w:rsidRPr="00D968B9" w:rsidRDefault="00B06E4E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outlineLvl w:val="0"/>
        <w:rPr>
          <w:lang w:val="sk-SK"/>
        </w:rPr>
      </w:pPr>
      <w:r w:rsidRPr="0032487F">
        <w:rPr>
          <w:b/>
          <w:lang w:val="sk-SK"/>
        </w:rPr>
        <w:t>6.2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Inkompatibility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rPr>
          <w:lang w:val="sk-SK"/>
        </w:rPr>
      </w:pPr>
      <w:r w:rsidRPr="0032487F">
        <w:rPr>
          <w:szCs w:val="22"/>
          <w:lang w:val="sk-SK"/>
        </w:rPr>
        <w:t>Nevykonali sa štúdie kompatibility, preto sa tento liek nesmie miešať s inými liekmi.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outlineLvl w:val="0"/>
        <w:rPr>
          <w:lang w:val="sk-SK"/>
        </w:rPr>
      </w:pPr>
      <w:r w:rsidRPr="0032487F">
        <w:rPr>
          <w:b/>
          <w:lang w:val="sk-SK"/>
        </w:rPr>
        <w:t>6.3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Čas použiteľnosti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3 roky</w:t>
      </w:r>
    </w:p>
    <w:p w:rsidR="00B06E4E" w:rsidRPr="00D968B9" w:rsidRDefault="00B06E4E" w:rsidP="00A505E4">
      <w:pPr>
        <w:spacing w:line="240" w:lineRule="auto"/>
        <w:rPr>
          <w:lang w:val="sk-SK"/>
        </w:rPr>
      </w:pPr>
    </w:p>
    <w:p w:rsidR="00B06E4E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Na okamžité a jednorazové použitie po otvorení a rozpustení.</w:t>
      </w:r>
    </w:p>
    <w:p w:rsidR="00B06E4E" w:rsidRPr="00D968B9" w:rsidRDefault="00B06E4E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outlineLvl w:val="0"/>
        <w:rPr>
          <w:b/>
          <w:lang w:val="sk-SK"/>
        </w:rPr>
      </w:pPr>
      <w:r w:rsidRPr="0032487F">
        <w:rPr>
          <w:b/>
          <w:lang w:val="sk-SK"/>
        </w:rPr>
        <w:t>6.4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Špeciálne upozornenia na uchovávanie</w:t>
      </w:r>
    </w:p>
    <w:p w:rsidR="00912E25" w:rsidRPr="00D968B9" w:rsidRDefault="00912E25" w:rsidP="00A505E4">
      <w:pPr>
        <w:spacing w:line="240" w:lineRule="auto"/>
        <w:ind w:left="567" w:hanging="567"/>
        <w:outlineLvl w:val="0"/>
        <w:rPr>
          <w:lang w:val="sk-SK"/>
        </w:rPr>
      </w:pPr>
    </w:p>
    <w:p w:rsidR="00912E25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Tento liek nevyžaduje žiadne zvláštne podmienky na uchovávanie. Neuchovávajte v mrazničke. Uchovávajte v pôvodnom obale na ochranu pred svetlom.</w:t>
      </w:r>
    </w:p>
    <w:p w:rsidR="00B06E4E" w:rsidRPr="00D968B9" w:rsidRDefault="00B06E4E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outlineLvl w:val="0"/>
        <w:rPr>
          <w:b/>
          <w:lang w:val="sk-SK"/>
        </w:rPr>
      </w:pPr>
      <w:r w:rsidRPr="0032487F">
        <w:rPr>
          <w:b/>
          <w:lang w:val="sk-SK"/>
        </w:rPr>
        <w:t>6.5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Druh obalu a obsah balenia</w:t>
      </w:r>
    </w:p>
    <w:p w:rsidR="00912E25" w:rsidRPr="00D968B9" w:rsidRDefault="00912E25" w:rsidP="00A505E4">
      <w:pPr>
        <w:spacing w:line="240" w:lineRule="auto"/>
        <w:outlineLvl w:val="0"/>
        <w:rPr>
          <w:lang w:val="sk-SK"/>
        </w:rPr>
      </w:pPr>
    </w:p>
    <w:p w:rsidR="006727C8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lang w:val="sk-SK"/>
        </w:rPr>
        <w:t>Balenie CHORAPURU obsahuje:</w:t>
      </w:r>
    </w:p>
    <w:p w:rsidR="006727C8" w:rsidRPr="00D968B9" w:rsidRDefault="006727C8" w:rsidP="00A505E4">
      <w:pPr>
        <w:spacing w:line="240" w:lineRule="auto"/>
        <w:outlineLvl w:val="0"/>
        <w:rPr>
          <w:lang w:val="sk-SK"/>
        </w:rPr>
      </w:pPr>
    </w:p>
    <w:p w:rsidR="006727C8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lang w:val="sk-SK"/>
        </w:rPr>
        <w:t>Prášok:</w:t>
      </w:r>
    </w:p>
    <w:p w:rsidR="006727C8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lang w:val="sk-SK"/>
        </w:rPr>
        <w:t>Injekčná liekovka z bezfarebného skla (typ I) s gumovou zátkou uzatvorená viečkom.</w:t>
      </w:r>
    </w:p>
    <w:p w:rsidR="006727C8" w:rsidRPr="00D968B9" w:rsidRDefault="006727C8" w:rsidP="00A505E4">
      <w:pPr>
        <w:spacing w:line="240" w:lineRule="auto"/>
        <w:outlineLvl w:val="0"/>
        <w:rPr>
          <w:lang w:val="sk-SK"/>
        </w:rPr>
      </w:pPr>
    </w:p>
    <w:p w:rsidR="006727C8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lang w:val="sk-SK"/>
        </w:rPr>
        <w:t>Rozpúšťadlo:</w:t>
      </w:r>
    </w:p>
    <w:p w:rsidR="006727C8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lang w:val="sk-SK"/>
        </w:rPr>
        <w:t>1 ml sklené (typ I) ampulky.</w:t>
      </w:r>
    </w:p>
    <w:p w:rsidR="006727C8" w:rsidRPr="00D968B9" w:rsidRDefault="006727C8" w:rsidP="00A505E4">
      <w:pPr>
        <w:spacing w:line="240" w:lineRule="auto"/>
        <w:outlineLvl w:val="0"/>
        <w:rPr>
          <w:lang w:val="sk-SK"/>
        </w:rPr>
      </w:pPr>
    </w:p>
    <w:p w:rsidR="00740537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lang w:val="sk-SK"/>
        </w:rPr>
        <w:t>CHORAPUR sa dodáva v nasledujúcich veľkostiach balenia:</w:t>
      </w:r>
    </w:p>
    <w:p w:rsidR="00740537" w:rsidRPr="00D968B9" w:rsidRDefault="00740537" w:rsidP="00A505E4">
      <w:pPr>
        <w:spacing w:line="240" w:lineRule="auto"/>
        <w:outlineLvl w:val="0"/>
        <w:rPr>
          <w:lang w:val="sk-SK"/>
        </w:rPr>
      </w:pPr>
    </w:p>
    <w:p w:rsidR="006727C8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b/>
          <w:lang w:val="sk-SK"/>
        </w:rPr>
        <w:t>1 500 IU</w:t>
      </w:r>
    </w:p>
    <w:p w:rsidR="006727C8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lang w:val="sk-SK"/>
        </w:rPr>
        <w:lastRenderedPageBreak/>
        <w:t>Liek sa dodáva v balení, ktoré obsahuje 1, 3 alebo 5 injekčných liekoviek s práškom so zodpovedajúcim počtom ampuliek s rozpúšťadlom.</w:t>
      </w:r>
    </w:p>
    <w:p w:rsidR="006727C8" w:rsidRPr="00D968B9" w:rsidRDefault="006727C8" w:rsidP="00A505E4">
      <w:pPr>
        <w:spacing w:line="240" w:lineRule="auto"/>
        <w:outlineLvl w:val="0"/>
        <w:rPr>
          <w:lang w:val="sk-SK"/>
        </w:rPr>
      </w:pPr>
    </w:p>
    <w:p w:rsidR="006727C8" w:rsidRPr="00D968B9" w:rsidRDefault="00CB68D9" w:rsidP="00A505E4">
      <w:pPr>
        <w:spacing w:line="240" w:lineRule="auto"/>
        <w:outlineLvl w:val="0"/>
        <w:rPr>
          <w:b/>
          <w:lang w:val="sk-SK"/>
        </w:rPr>
      </w:pPr>
      <w:r w:rsidRPr="0032487F">
        <w:rPr>
          <w:b/>
          <w:lang w:val="sk-SK"/>
        </w:rPr>
        <w:t>5 000 IU</w:t>
      </w:r>
    </w:p>
    <w:p w:rsidR="006727C8" w:rsidRPr="00D968B9" w:rsidRDefault="00CB68D9" w:rsidP="00A505E4">
      <w:pPr>
        <w:spacing w:line="240" w:lineRule="auto"/>
        <w:outlineLvl w:val="0"/>
        <w:rPr>
          <w:lang w:val="sk-SK"/>
        </w:rPr>
      </w:pPr>
      <w:r w:rsidRPr="0032487F">
        <w:rPr>
          <w:lang w:val="sk-SK"/>
        </w:rPr>
        <w:t>Liek sa dodáva v balení, ktoré obsahuje 1, 3 alebo 5 injekčných liekoviek s práškom so zodpovedajúcim počtom ampuliek s rozpúšťadlom.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outlineLvl w:val="0"/>
        <w:rPr>
          <w:lang w:val="sk-SK"/>
        </w:rPr>
      </w:pPr>
      <w:bookmarkStart w:id="1" w:name="OLE_LINK1"/>
      <w:r w:rsidRPr="0032487F">
        <w:rPr>
          <w:b/>
          <w:lang w:val="sk-SK"/>
        </w:rPr>
        <w:t>6.6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Špeciálne opatrenia na likvidáciu a</w:t>
      </w:r>
      <w:r w:rsidRPr="0032487F">
        <w:rPr>
          <w:szCs w:val="22"/>
          <w:lang w:val="sk-SK"/>
        </w:rPr>
        <w:t> </w:t>
      </w:r>
      <w:r w:rsidRPr="0032487F">
        <w:rPr>
          <w:b/>
          <w:szCs w:val="22"/>
          <w:lang w:val="sk-SK"/>
        </w:rPr>
        <w:t>iné zaobchádzanie s</w:t>
      </w:r>
      <w:r w:rsidRPr="0032487F">
        <w:rPr>
          <w:szCs w:val="22"/>
          <w:lang w:val="sk-SK"/>
        </w:rPr>
        <w:t> </w:t>
      </w:r>
      <w:r w:rsidRPr="0032487F">
        <w:rPr>
          <w:b/>
          <w:szCs w:val="22"/>
          <w:lang w:val="sk-SK"/>
        </w:rPr>
        <w:t>liekom</w:t>
      </w:r>
    </w:p>
    <w:bookmarkEnd w:id="1"/>
    <w:p w:rsidR="00912E25" w:rsidRPr="00D968B9" w:rsidRDefault="00912E25" w:rsidP="00A505E4">
      <w:pPr>
        <w:spacing w:line="240" w:lineRule="auto"/>
        <w:rPr>
          <w:lang w:val="sk-SK"/>
        </w:rPr>
      </w:pPr>
    </w:p>
    <w:p w:rsidR="006727C8" w:rsidRPr="00D968B9" w:rsidRDefault="00CB68D9" w:rsidP="00A505E4">
      <w:pPr>
        <w:spacing w:line="240" w:lineRule="auto"/>
        <w:rPr>
          <w:szCs w:val="22"/>
          <w:lang w:val="sk-SK"/>
        </w:rPr>
      </w:pPr>
      <w:r w:rsidRPr="0032487F">
        <w:rPr>
          <w:szCs w:val="22"/>
          <w:lang w:val="sk-SK"/>
        </w:rPr>
        <w:t>Prášok sa smie rozpúšťať len v priloženom rozpúšťadle.</w:t>
      </w:r>
    </w:p>
    <w:p w:rsidR="006727C8" w:rsidRPr="00D968B9" w:rsidRDefault="006727C8" w:rsidP="00A505E4">
      <w:pPr>
        <w:spacing w:line="240" w:lineRule="auto"/>
        <w:rPr>
          <w:szCs w:val="22"/>
          <w:lang w:val="sk-SK"/>
        </w:rPr>
      </w:pPr>
    </w:p>
    <w:p w:rsidR="006727C8" w:rsidRPr="00D968B9" w:rsidRDefault="00CB68D9" w:rsidP="00A505E4">
      <w:pPr>
        <w:spacing w:line="240" w:lineRule="auto"/>
        <w:rPr>
          <w:szCs w:val="22"/>
          <w:lang w:val="sk-SK"/>
        </w:rPr>
      </w:pPr>
      <w:r w:rsidRPr="0032487F">
        <w:rPr>
          <w:szCs w:val="22"/>
          <w:lang w:val="sk-SK"/>
        </w:rPr>
        <w:t xml:space="preserve">Injekčný roztok sa nesmie podať, ak obsahuje čiastočky alebo nie je číry. </w:t>
      </w:r>
    </w:p>
    <w:p w:rsidR="006727C8" w:rsidRPr="00D968B9" w:rsidRDefault="006727C8" w:rsidP="00A505E4">
      <w:pPr>
        <w:spacing w:line="240" w:lineRule="auto"/>
        <w:rPr>
          <w:szCs w:val="22"/>
          <w:lang w:val="sk-SK"/>
        </w:rPr>
      </w:pPr>
    </w:p>
    <w:p w:rsidR="00912E25" w:rsidRPr="00D968B9" w:rsidRDefault="00CB68D9" w:rsidP="00A505E4">
      <w:pPr>
        <w:spacing w:line="240" w:lineRule="auto"/>
        <w:rPr>
          <w:lang w:val="sk-SK"/>
        </w:rPr>
      </w:pPr>
      <w:r w:rsidRPr="0032487F">
        <w:rPr>
          <w:szCs w:val="22"/>
          <w:lang w:val="sk-SK"/>
        </w:rPr>
        <w:t>Všetok nepoužitý liek alebo odpad vzniknutý z lieku sa má zlikvidovať v súlade s národnými požiadavkami.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rPr>
          <w:u w:val="single"/>
          <w:lang w:val="sk-SK"/>
        </w:rPr>
      </w:pPr>
      <w:r w:rsidRPr="0032487F">
        <w:rPr>
          <w:u w:val="single"/>
          <w:lang w:val="sk-SK"/>
        </w:rPr>
        <w:t>Spôsob podávania</w:t>
      </w:r>
    </w:p>
    <w:p w:rsidR="006727C8" w:rsidRPr="00D968B9" w:rsidRDefault="00CB68D9" w:rsidP="006727C8">
      <w:pPr>
        <w:pStyle w:val="Odsekzoznamu"/>
        <w:numPr>
          <w:ilvl w:val="0"/>
          <w:numId w:val="42"/>
        </w:numPr>
        <w:spacing w:line="240" w:lineRule="auto"/>
        <w:rPr>
          <w:u w:val="single"/>
          <w:lang w:val="sk-SK"/>
        </w:rPr>
      </w:pPr>
      <w:r w:rsidRPr="0032487F">
        <w:rPr>
          <w:u w:val="single"/>
          <w:lang w:val="sk-SK"/>
        </w:rPr>
        <w:t>CHORAPUR sa musí podávať intramuskulárne ihneď po nariedení</w:t>
      </w:r>
      <w:r w:rsidRPr="0032487F">
        <w:rPr>
          <w:lang w:val="sk-SK"/>
        </w:rPr>
        <w:t>.</w:t>
      </w:r>
    </w:p>
    <w:p w:rsidR="006727C8" w:rsidRPr="00D968B9" w:rsidRDefault="00CB68D9" w:rsidP="006727C8">
      <w:pPr>
        <w:pStyle w:val="Odsekzoznamu"/>
        <w:numPr>
          <w:ilvl w:val="0"/>
          <w:numId w:val="42"/>
        </w:numPr>
        <w:spacing w:line="240" w:lineRule="auto"/>
        <w:rPr>
          <w:lang w:val="sk-SK"/>
        </w:rPr>
      </w:pPr>
      <w:r w:rsidRPr="0032487F">
        <w:rPr>
          <w:lang w:val="sk-SK"/>
        </w:rPr>
        <w:t>Pripojte ihlu na riedenie k injekčnej striekačke.</w:t>
      </w:r>
    </w:p>
    <w:p w:rsidR="006727C8" w:rsidRPr="00D968B9" w:rsidRDefault="00CB68D9" w:rsidP="006727C8">
      <w:pPr>
        <w:pStyle w:val="Odsekzoznamu"/>
        <w:numPr>
          <w:ilvl w:val="0"/>
          <w:numId w:val="42"/>
        </w:numPr>
        <w:spacing w:line="240" w:lineRule="auto"/>
        <w:rPr>
          <w:lang w:val="sk-SK"/>
        </w:rPr>
      </w:pPr>
      <w:r w:rsidRPr="0032487F">
        <w:rPr>
          <w:lang w:val="sk-SK"/>
        </w:rPr>
        <w:t xml:space="preserve">Odoberte celý obsah z ampulky s rozpúšťadlom a vstreknite celé množstvo rozpúšťadla do injekčnej liekovky s práškom. Prášok sa má rýchlo rozpustiť na číry roztok. Ak sa hneď nerozpustí, opatrne otáčajte liekovkou medzi prstami (dlaňami) pokiaľ roztok nebude číry. Vyhýbajte sa pretrepávaniu. </w:t>
      </w:r>
    </w:p>
    <w:p w:rsidR="007D6426" w:rsidRPr="00D968B9" w:rsidRDefault="00CB68D9" w:rsidP="006727C8">
      <w:pPr>
        <w:pStyle w:val="Odsekzoznamu"/>
        <w:numPr>
          <w:ilvl w:val="0"/>
          <w:numId w:val="42"/>
        </w:numPr>
        <w:spacing w:line="240" w:lineRule="auto"/>
        <w:rPr>
          <w:lang w:val="sk-SK"/>
        </w:rPr>
      </w:pPr>
      <w:r w:rsidRPr="0032487F">
        <w:rPr>
          <w:lang w:val="sk-SK"/>
        </w:rPr>
        <w:t xml:space="preserve">Nariedený roztok obsahuje 1 500 IU alebo 5 000 IU/1 ml. </w:t>
      </w:r>
    </w:p>
    <w:p w:rsidR="007D6426" w:rsidRPr="00D968B9" w:rsidRDefault="00CB68D9" w:rsidP="006727C8">
      <w:pPr>
        <w:pStyle w:val="Odsekzoznamu"/>
        <w:numPr>
          <w:ilvl w:val="0"/>
          <w:numId w:val="42"/>
        </w:numPr>
        <w:spacing w:line="240" w:lineRule="auto"/>
        <w:rPr>
          <w:lang w:val="sk-SK"/>
        </w:rPr>
      </w:pPr>
      <w:r w:rsidRPr="0032487F">
        <w:rPr>
          <w:lang w:val="sk-SK"/>
        </w:rPr>
        <w:t>V závislosti na požadovanej dávke, odoberte potrebné množstvo nariedeného roztoku z liekovky do injekčnej striekačky, vymeňte ihlu za injekčnú (</w:t>
      </w:r>
      <w:r w:rsidRPr="008916AC">
        <w:rPr>
          <w:lang w:val="sk-SK"/>
        </w:rPr>
        <w:t>hypodermickú</w:t>
      </w:r>
      <w:r w:rsidRPr="0032487F">
        <w:rPr>
          <w:lang w:val="sk-SK"/>
        </w:rPr>
        <w:t xml:space="preserve">) ihlu a ihneď podajte. </w:t>
      </w:r>
    </w:p>
    <w:p w:rsidR="006727C8" w:rsidRPr="00D968B9" w:rsidRDefault="006727C8" w:rsidP="00A505E4">
      <w:pPr>
        <w:spacing w:line="240" w:lineRule="auto"/>
        <w:rPr>
          <w:lang w:val="sk-SK"/>
        </w:rPr>
      </w:pPr>
    </w:p>
    <w:p w:rsidR="006727C8" w:rsidRPr="00D968B9" w:rsidRDefault="006727C8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rPr>
          <w:lang w:val="sk-SK"/>
        </w:rPr>
      </w:pPr>
      <w:r w:rsidRPr="0032487F">
        <w:rPr>
          <w:b/>
          <w:lang w:val="sk-SK"/>
        </w:rPr>
        <w:t>7.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DRŽITEĽ ROZHODNUTIA O REGISTRÁCII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FERRING Slovakia s.r.o.</w:t>
      </w:r>
    </w:p>
    <w:p w:rsidR="007D6426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BC Aruba, Galvaniho 7/D</w:t>
      </w:r>
    </w:p>
    <w:p w:rsidR="007D6426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821 04 Bratislava</w:t>
      </w:r>
    </w:p>
    <w:p w:rsidR="00912E25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Slovenská repub</w:t>
      </w:r>
      <w:r w:rsidR="005909F1">
        <w:rPr>
          <w:lang w:val="sk-SK"/>
        </w:rPr>
        <w:t>l</w:t>
      </w:r>
      <w:r w:rsidRPr="0032487F">
        <w:rPr>
          <w:lang w:val="sk-SK"/>
        </w:rPr>
        <w:t>ika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7D6426" w:rsidRPr="00D968B9" w:rsidRDefault="007D6426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rPr>
          <w:b/>
          <w:lang w:val="sk-SK"/>
        </w:rPr>
      </w:pPr>
      <w:r w:rsidRPr="0032487F">
        <w:rPr>
          <w:b/>
          <w:lang w:val="sk-SK"/>
        </w:rPr>
        <w:t>8.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REGISTRAČNÉ ČÍSLA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AF08C1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CHORAPUR 1 500 IU prášok a rozpúšťadlo na injekčný roztok:</w:t>
      </w:r>
      <w:r w:rsidR="00B058A5" w:rsidRPr="00B058A5">
        <w:t xml:space="preserve"> </w:t>
      </w:r>
      <w:r w:rsidR="00B058A5" w:rsidRPr="00B058A5">
        <w:rPr>
          <w:lang w:val="sk-SK"/>
        </w:rPr>
        <w:t>56/0304/16-S</w:t>
      </w:r>
    </w:p>
    <w:p w:rsidR="00AF08C1" w:rsidRPr="00D968B9" w:rsidRDefault="00CB68D9" w:rsidP="00A505E4">
      <w:pPr>
        <w:spacing w:line="240" w:lineRule="auto"/>
        <w:rPr>
          <w:lang w:val="sk-SK"/>
        </w:rPr>
      </w:pPr>
      <w:r w:rsidRPr="0032487F">
        <w:rPr>
          <w:lang w:val="sk-SK"/>
        </w:rPr>
        <w:t>CHORAPUR 5 000 IU prášok a rozpúšťadlo na injekčný roztok:</w:t>
      </w:r>
      <w:r w:rsidR="00B058A5" w:rsidRPr="00B058A5">
        <w:t xml:space="preserve"> </w:t>
      </w:r>
      <w:r w:rsidR="00B058A5">
        <w:rPr>
          <w:lang w:val="sk-SK"/>
        </w:rPr>
        <w:t>56/0305</w:t>
      </w:r>
      <w:r w:rsidR="00B058A5" w:rsidRPr="00B058A5">
        <w:rPr>
          <w:lang w:val="sk-SK"/>
        </w:rPr>
        <w:t>/16-S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AF08C1" w:rsidRPr="00D968B9" w:rsidRDefault="00AF08C1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rPr>
          <w:lang w:val="sk-SK"/>
        </w:rPr>
      </w:pPr>
      <w:r w:rsidRPr="0032487F">
        <w:rPr>
          <w:b/>
          <w:lang w:val="sk-SK"/>
        </w:rPr>
        <w:t>9.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DÁTUM PRVEJ REGISTRÁCIE/PREDĹŽENIA REGISTRÁCIE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rPr>
          <w:i/>
          <w:lang w:val="sk-SK"/>
        </w:rPr>
      </w:pPr>
      <w:r w:rsidRPr="0032487F">
        <w:rPr>
          <w:szCs w:val="22"/>
          <w:lang w:val="sk-SK"/>
        </w:rPr>
        <w:t>Dátum prvej registrácie:</w:t>
      </w:r>
      <w:r w:rsidRPr="0032487F">
        <w:rPr>
          <w:lang w:val="sk-SK"/>
        </w:rPr>
        <w:t xml:space="preserve"> </w:t>
      </w:r>
    </w:p>
    <w:p w:rsidR="00912E25" w:rsidRPr="00D968B9" w:rsidRDefault="00CB68D9" w:rsidP="00A505E4">
      <w:pPr>
        <w:spacing w:line="240" w:lineRule="auto"/>
        <w:rPr>
          <w:lang w:val="sk-SK"/>
        </w:rPr>
      </w:pPr>
      <w:r w:rsidRPr="0032487F">
        <w:rPr>
          <w:szCs w:val="22"/>
          <w:lang w:val="sk-SK"/>
        </w:rPr>
        <w:t>Dátum posledného predĺženia registrácie:</w:t>
      </w:r>
      <w:r w:rsidRPr="0032487F">
        <w:rPr>
          <w:lang w:val="sk-SK"/>
        </w:rPr>
        <w:t xml:space="preserve"> 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CB68D9" w:rsidP="00A505E4">
      <w:pPr>
        <w:spacing w:line="240" w:lineRule="auto"/>
        <w:ind w:left="567" w:hanging="567"/>
        <w:rPr>
          <w:b/>
          <w:lang w:val="sk-SK"/>
        </w:rPr>
      </w:pPr>
      <w:r w:rsidRPr="0032487F">
        <w:rPr>
          <w:b/>
          <w:lang w:val="sk-SK"/>
        </w:rPr>
        <w:t>10.</w:t>
      </w:r>
      <w:r w:rsidRPr="0032487F">
        <w:rPr>
          <w:b/>
          <w:lang w:val="sk-SK"/>
        </w:rPr>
        <w:tab/>
      </w:r>
      <w:r w:rsidRPr="0032487F">
        <w:rPr>
          <w:b/>
          <w:szCs w:val="22"/>
          <w:lang w:val="sk-SK"/>
        </w:rPr>
        <w:t>DÁTUM REVÍZIE TEXTU</w:t>
      </w:r>
    </w:p>
    <w:p w:rsidR="00912E25" w:rsidRPr="00D968B9" w:rsidRDefault="00912E25" w:rsidP="00A505E4">
      <w:pPr>
        <w:spacing w:line="240" w:lineRule="auto"/>
        <w:rPr>
          <w:lang w:val="sk-SK"/>
        </w:rPr>
      </w:pPr>
    </w:p>
    <w:p w:rsidR="00912E25" w:rsidRPr="00D968B9" w:rsidRDefault="000E3CB9" w:rsidP="00A505E4">
      <w:pPr>
        <w:spacing w:line="240" w:lineRule="auto"/>
        <w:rPr>
          <w:lang w:val="sk-SK"/>
        </w:rPr>
      </w:pPr>
      <w:r>
        <w:rPr>
          <w:lang w:val="sk-SK"/>
        </w:rPr>
        <w:t>06/2016</w:t>
      </w:r>
    </w:p>
    <w:sectPr w:rsidR="00912E25" w:rsidRPr="00D968B9" w:rsidSect="009C3299">
      <w:footerReference w:type="defaul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581" w:rsidRDefault="008A358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8A3581" w:rsidRDefault="008A3581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8A3581" w:rsidRDefault="008A3581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C8" w:rsidRPr="009C3299" w:rsidRDefault="006538BD">
    <w:pPr>
      <w:tabs>
        <w:tab w:val="right" w:pos="8931"/>
      </w:tabs>
      <w:ind w:right="96"/>
      <w:jc w:val="center"/>
      <w:rPr>
        <w:sz w:val="18"/>
        <w:szCs w:val="18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="006727C8"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9C3299">
      <w:rPr>
        <w:rStyle w:val="slostrany"/>
        <w:sz w:val="18"/>
        <w:szCs w:val="18"/>
      </w:rPr>
      <w:fldChar w:fldCharType="begin"/>
    </w:r>
    <w:r w:rsidR="006727C8" w:rsidRPr="009C3299">
      <w:rPr>
        <w:rStyle w:val="slostrany"/>
        <w:sz w:val="18"/>
        <w:szCs w:val="18"/>
      </w:rPr>
      <w:instrText xml:space="preserve">PAGE  </w:instrText>
    </w:r>
    <w:r w:rsidRPr="009C3299">
      <w:rPr>
        <w:rStyle w:val="slostrany"/>
        <w:sz w:val="18"/>
        <w:szCs w:val="18"/>
      </w:rPr>
      <w:fldChar w:fldCharType="separate"/>
    </w:r>
    <w:r w:rsidR="008916AC">
      <w:rPr>
        <w:rStyle w:val="slostrany"/>
        <w:noProof/>
        <w:sz w:val="18"/>
        <w:szCs w:val="18"/>
      </w:rPr>
      <w:t>6</w:t>
    </w:r>
    <w:r w:rsidRPr="009C3299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C8" w:rsidRPr="009C3299" w:rsidRDefault="006538BD">
    <w:pPr>
      <w:tabs>
        <w:tab w:val="right" w:pos="8931"/>
      </w:tabs>
      <w:ind w:right="96"/>
      <w:jc w:val="center"/>
      <w:rPr>
        <w:sz w:val="18"/>
        <w:szCs w:val="18"/>
      </w:rPr>
    </w:pPr>
    <w:r>
      <w:rPr>
        <w:szCs w:val="24"/>
      </w:rPr>
      <w:fldChar w:fldCharType="begin"/>
    </w:r>
    <w:r w:rsidR="006727C8">
      <w:rPr>
        <w:szCs w:val="24"/>
      </w:rPr>
      <w:instrText xml:space="preserve"> EQ </w:instrText>
    </w:r>
    <w:r>
      <w:rPr>
        <w:szCs w:val="24"/>
      </w:rPr>
      <w:fldChar w:fldCharType="end"/>
    </w:r>
    <w:r w:rsidRPr="009C3299">
      <w:rPr>
        <w:rStyle w:val="slostrany"/>
        <w:sz w:val="18"/>
        <w:szCs w:val="18"/>
      </w:rPr>
      <w:fldChar w:fldCharType="begin"/>
    </w:r>
    <w:r w:rsidR="006727C8" w:rsidRPr="009C3299">
      <w:rPr>
        <w:rStyle w:val="slostrany"/>
        <w:sz w:val="18"/>
        <w:szCs w:val="18"/>
      </w:rPr>
      <w:instrText xml:space="preserve">PAGE  </w:instrText>
    </w:r>
    <w:r w:rsidRPr="009C3299">
      <w:rPr>
        <w:rStyle w:val="slostrany"/>
        <w:sz w:val="18"/>
        <w:szCs w:val="18"/>
      </w:rPr>
      <w:fldChar w:fldCharType="separate"/>
    </w:r>
    <w:r w:rsidR="008916AC">
      <w:rPr>
        <w:rStyle w:val="slostrany"/>
        <w:noProof/>
        <w:sz w:val="18"/>
        <w:szCs w:val="18"/>
      </w:rPr>
      <w:t>1</w:t>
    </w:r>
    <w:r w:rsidRPr="009C3299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581" w:rsidRDefault="008A358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8A3581" w:rsidRDefault="008A3581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8A3581" w:rsidRDefault="008A3581">
      <w:pPr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6258ED"/>
    <w:multiLevelType w:val="hybridMultilevel"/>
    <w:tmpl w:val="9912EF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F13B0C"/>
    <w:multiLevelType w:val="hybridMultilevel"/>
    <w:tmpl w:val="D8C21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38350577"/>
    <w:multiLevelType w:val="hybridMultilevel"/>
    <w:tmpl w:val="D26886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4CB511A7"/>
    <w:multiLevelType w:val="hybridMultilevel"/>
    <w:tmpl w:val="DE18BAEC"/>
    <w:lvl w:ilvl="0" w:tplc="38D0EF4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5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6B7B27FA"/>
    <w:multiLevelType w:val="hybridMultilevel"/>
    <w:tmpl w:val="DB2CD48A"/>
    <w:lvl w:ilvl="0" w:tplc="38D0EF4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7F38654E"/>
    <w:multiLevelType w:val="hybridMultilevel"/>
    <w:tmpl w:val="38D2510E"/>
    <w:lvl w:ilvl="0" w:tplc="38D0EF4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5"/>
  </w:num>
  <w:num w:numId="7">
    <w:abstractNumId w:val="8"/>
  </w:num>
  <w:num w:numId="8">
    <w:abstractNumId w:val="11"/>
  </w:num>
  <w:num w:numId="9">
    <w:abstractNumId w:val="25"/>
  </w:num>
  <w:num w:numId="10">
    <w:abstractNumId w:val="1"/>
  </w:num>
  <w:num w:numId="11">
    <w:abstractNumId w:val="20"/>
  </w:num>
  <w:num w:numId="12">
    <w:abstractNumId w:val="9"/>
  </w:num>
  <w:num w:numId="13">
    <w:abstractNumId w:val="6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2"/>
  </w:num>
  <w:num w:numId="17">
    <w:abstractNumId w:val="12"/>
  </w:num>
  <w:num w:numId="18">
    <w:abstractNumId w:val="14"/>
  </w:num>
  <w:num w:numId="19">
    <w:abstractNumId w:val="26"/>
  </w:num>
  <w:num w:numId="20">
    <w:abstractNumId w:val="16"/>
  </w:num>
  <w:num w:numId="21">
    <w:abstractNumId w:val="23"/>
  </w:num>
  <w:num w:numId="22">
    <w:abstractNumId w:val="19"/>
  </w:num>
  <w:num w:numId="23">
    <w:abstractNumId w:val="7"/>
  </w:num>
  <w:num w:numId="24">
    <w:abstractNumId w:val="23"/>
  </w:num>
  <w:num w:numId="25">
    <w:abstractNumId w:val="4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3"/>
  </w:num>
  <w:num w:numId="34">
    <w:abstractNumId w:val="4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4"/>
  </w:num>
  <w:num w:numId="37">
    <w:abstractNumId w:val="10"/>
  </w:num>
  <w:num w:numId="38">
    <w:abstractNumId w:val="2"/>
  </w:num>
  <w:num w:numId="39">
    <w:abstractNumId w:val="5"/>
  </w:num>
  <w:num w:numId="40">
    <w:abstractNumId w:val="13"/>
  </w:num>
  <w:num w:numId="41">
    <w:abstractNumId w:val="27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47F3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4649"/>
    <w:rsid w:val="00024785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FDB"/>
    <w:rsid w:val="000344F6"/>
    <w:rsid w:val="00042263"/>
    <w:rsid w:val="00042C8C"/>
    <w:rsid w:val="00043505"/>
    <w:rsid w:val="00044042"/>
    <w:rsid w:val="000473A6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4804"/>
    <w:rsid w:val="00065FC1"/>
    <w:rsid w:val="00067B16"/>
    <w:rsid w:val="00071F8A"/>
    <w:rsid w:val="00071FC3"/>
    <w:rsid w:val="0007200A"/>
    <w:rsid w:val="00072631"/>
    <w:rsid w:val="00072BF9"/>
    <w:rsid w:val="00073E04"/>
    <w:rsid w:val="00074632"/>
    <w:rsid w:val="000759AB"/>
    <w:rsid w:val="0007628D"/>
    <w:rsid w:val="00077D20"/>
    <w:rsid w:val="00081DAB"/>
    <w:rsid w:val="0008506F"/>
    <w:rsid w:val="000851A9"/>
    <w:rsid w:val="00085600"/>
    <w:rsid w:val="00086028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2EAA"/>
    <w:rsid w:val="000D4D07"/>
    <w:rsid w:val="000D7535"/>
    <w:rsid w:val="000E165D"/>
    <w:rsid w:val="000E1BAF"/>
    <w:rsid w:val="000E223E"/>
    <w:rsid w:val="000E2491"/>
    <w:rsid w:val="000E2EA9"/>
    <w:rsid w:val="000E3CB9"/>
    <w:rsid w:val="000E46A3"/>
    <w:rsid w:val="000E4E88"/>
    <w:rsid w:val="000E5726"/>
    <w:rsid w:val="000E6C94"/>
    <w:rsid w:val="000F1BB2"/>
    <w:rsid w:val="000F3F94"/>
    <w:rsid w:val="000F4279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1421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33AB"/>
    <w:rsid w:val="00143516"/>
    <w:rsid w:val="001449DF"/>
    <w:rsid w:val="0014569B"/>
    <w:rsid w:val="001470E0"/>
    <w:rsid w:val="00150060"/>
    <w:rsid w:val="001507A2"/>
    <w:rsid w:val="00154C69"/>
    <w:rsid w:val="00155D7F"/>
    <w:rsid w:val="00156108"/>
    <w:rsid w:val="0015704C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52D8"/>
    <w:rsid w:val="00175931"/>
    <w:rsid w:val="00175F4D"/>
    <w:rsid w:val="00176A15"/>
    <w:rsid w:val="00176B25"/>
    <w:rsid w:val="00177736"/>
    <w:rsid w:val="0018160B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3DD3"/>
    <w:rsid w:val="001946BE"/>
    <w:rsid w:val="00195F65"/>
    <w:rsid w:val="001967A7"/>
    <w:rsid w:val="00197377"/>
    <w:rsid w:val="001A07E2"/>
    <w:rsid w:val="001A0F01"/>
    <w:rsid w:val="001A2018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9BD"/>
    <w:rsid w:val="001B5F01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D19A4"/>
    <w:rsid w:val="001D3C05"/>
    <w:rsid w:val="001D6AF4"/>
    <w:rsid w:val="001D6F48"/>
    <w:rsid w:val="001E0CC1"/>
    <w:rsid w:val="001E1C10"/>
    <w:rsid w:val="001E2B3E"/>
    <w:rsid w:val="001E2E9B"/>
    <w:rsid w:val="001E3CC0"/>
    <w:rsid w:val="001E45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D16"/>
    <w:rsid w:val="001F7494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0CF"/>
    <w:rsid w:val="002128BC"/>
    <w:rsid w:val="00213FB8"/>
    <w:rsid w:val="002157EA"/>
    <w:rsid w:val="00215FDA"/>
    <w:rsid w:val="002160C2"/>
    <w:rsid w:val="0022043D"/>
    <w:rsid w:val="00220C9A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365F7"/>
    <w:rsid w:val="0024178D"/>
    <w:rsid w:val="00242244"/>
    <w:rsid w:val="00242619"/>
    <w:rsid w:val="0024392B"/>
    <w:rsid w:val="00243A7A"/>
    <w:rsid w:val="002450C6"/>
    <w:rsid w:val="00245DCF"/>
    <w:rsid w:val="00246C65"/>
    <w:rsid w:val="002542A8"/>
    <w:rsid w:val="002572CD"/>
    <w:rsid w:val="00260A11"/>
    <w:rsid w:val="00261316"/>
    <w:rsid w:val="0026169A"/>
    <w:rsid w:val="00262763"/>
    <w:rsid w:val="002636C8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426A"/>
    <w:rsid w:val="002B543F"/>
    <w:rsid w:val="002B7D73"/>
    <w:rsid w:val="002C054C"/>
    <w:rsid w:val="002C06E3"/>
    <w:rsid w:val="002C0801"/>
    <w:rsid w:val="002C33B3"/>
    <w:rsid w:val="002C44B0"/>
    <w:rsid w:val="002C4E07"/>
    <w:rsid w:val="002C4E48"/>
    <w:rsid w:val="002C736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5545"/>
    <w:rsid w:val="002E7CBB"/>
    <w:rsid w:val="002F1F28"/>
    <w:rsid w:val="002F43CA"/>
    <w:rsid w:val="002F57AA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2003B"/>
    <w:rsid w:val="00320203"/>
    <w:rsid w:val="00320F02"/>
    <w:rsid w:val="00321FEB"/>
    <w:rsid w:val="00322002"/>
    <w:rsid w:val="00323EEC"/>
    <w:rsid w:val="003247B0"/>
    <w:rsid w:val="0032487F"/>
    <w:rsid w:val="00325E81"/>
    <w:rsid w:val="00326948"/>
    <w:rsid w:val="00327052"/>
    <w:rsid w:val="003336BB"/>
    <w:rsid w:val="0033486D"/>
    <w:rsid w:val="003367C4"/>
    <w:rsid w:val="00336D8E"/>
    <w:rsid w:val="003376B3"/>
    <w:rsid w:val="00340BF3"/>
    <w:rsid w:val="00343F25"/>
    <w:rsid w:val="00345F9C"/>
    <w:rsid w:val="0034654B"/>
    <w:rsid w:val="00347776"/>
    <w:rsid w:val="003519C0"/>
    <w:rsid w:val="00351A91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D7F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2CA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119"/>
    <w:rsid w:val="003A5BC5"/>
    <w:rsid w:val="003A5D55"/>
    <w:rsid w:val="003A722B"/>
    <w:rsid w:val="003A75E6"/>
    <w:rsid w:val="003A76CC"/>
    <w:rsid w:val="003A77D2"/>
    <w:rsid w:val="003B1382"/>
    <w:rsid w:val="003B255B"/>
    <w:rsid w:val="003B3317"/>
    <w:rsid w:val="003B4B2F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86D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400D04"/>
    <w:rsid w:val="004016F5"/>
    <w:rsid w:val="00402B07"/>
    <w:rsid w:val="004045AA"/>
    <w:rsid w:val="0040549A"/>
    <w:rsid w:val="00405CC9"/>
    <w:rsid w:val="00405FDA"/>
    <w:rsid w:val="004063D0"/>
    <w:rsid w:val="00407D67"/>
    <w:rsid w:val="00407D6C"/>
    <w:rsid w:val="00412450"/>
    <w:rsid w:val="004138DE"/>
    <w:rsid w:val="004143E8"/>
    <w:rsid w:val="00414B2F"/>
    <w:rsid w:val="00415E58"/>
    <w:rsid w:val="00416231"/>
    <w:rsid w:val="004208AB"/>
    <w:rsid w:val="00420F63"/>
    <w:rsid w:val="004219EF"/>
    <w:rsid w:val="00426A7B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36C5C"/>
    <w:rsid w:val="00442DF1"/>
    <w:rsid w:val="004431FE"/>
    <w:rsid w:val="00444F0D"/>
    <w:rsid w:val="0044516D"/>
    <w:rsid w:val="00446032"/>
    <w:rsid w:val="004460E9"/>
    <w:rsid w:val="00447B6F"/>
    <w:rsid w:val="00447FF2"/>
    <w:rsid w:val="004501D4"/>
    <w:rsid w:val="00451555"/>
    <w:rsid w:val="00451B58"/>
    <w:rsid w:val="00452E50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77D0A"/>
    <w:rsid w:val="00485117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24A8"/>
    <w:rsid w:val="004B34A7"/>
    <w:rsid w:val="004B3B06"/>
    <w:rsid w:val="004B4643"/>
    <w:rsid w:val="004B5D02"/>
    <w:rsid w:val="004B7F67"/>
    <w:rsid w:val="004C0FD6"/>
    <w:rsid w:val="004C147B"/>
    <w:rsid w:val="004C1994"/>
    <w:rsid w:val="004C6B22"/>
    <w:rsid w:val="004C6B2B"/>
    <w:rsid w:val="004D0477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12EB"/>
    <w:rsid w:val="005221F0"/>
    <w:rsid w:val="00522AE6"/>
    <w:rsid w:val="00523396"/>
    <w:rsid w:val="0052379E"/>
    <w:rsid w:val="005237D2"/>
    <w:rsid w:val="00523E07"/>
    <w:rsid w:val="00524807"/>
    <w:rsid w:val="00525FF9"/>
    <w:rsid w:val="00532C41"/>
    <w:rsid w:val="00532D3F"/>
    <w:rsid w:val="00532DC5"/>
    <w:rsid w:val="0053386D"/>
    <w:rsid w:val="00533A2A"/>
    <w:rsid w:val="00533A3F"/>
    <w:rsid w:val="00534700"/>
    <w:rsid w:val="0053791F"/>
    <w:rsid w:val="00540AA5"/>
    <w:rsid w:val="00544F5D"/>
    <w:rsid w:val="0054506E"/>
    <w:rsid w:val="00547538"/>
    <w:rsid w:val="005502FA"/>
    <w:rsid w:val="005522E0"/>
    <w:rsid w:val="00553BFA"/>
    <w:rsid w:val="005546C5"/>
    <w:rsid w:val="00554D05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5EB8"/>
    <w:rsid w:val="00576E5E"/>
    <w:rsid w:val="00582A9B"/>
    <w:rsid w:val="005832AB"/>
    <w:rsid w:val="00584001"/>
    <w:rsid w:val="0058437C"/>
    <w:rsid w:val="00587B6A"/>
    <w:rsid w:val="005909F1"/>
    <w:rsid w:val="005935F4"/>
    <w:rsid w:val="00593E0A"/>
    <w:rsid w:val="005965DA"/>
    <w:rsid w:val="00596683"/>
    <w:rsid w:val="0059668A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39E8"/>
    <w:rsid w:val="005C5660"/>
    <w:rsid w:val="005C6137"/>
    <w:rsid w:val="005C7072"/>
    <w:rsid w:val="005D33D8"/>
    <w:rsid w:val="005D3CF4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4914"/>
    <w:rsid w:val="005F62B7"/>
    <w:rsid w:val="005F6869"/>
    <w:rsid w:val="005F6BB9"/>
    <w:rsid w:val="00603148"/>
    <w:rsid w:val="006042CA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3734"/>
    <w:rsid w:val="006266A9"/>
    <w:rsid w:val="00626A9B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0D2F"/>
    <w:rsid w:val="006414EE"/>
    <w:rsid w:val="00642524"/>
    <w:rsid w:val="00642D0A"/>
    <w:rsid w:val="0064431A"/>
    <w:rsid w:val="006467A7"/>
    <w:rsid w:val="00646FE1"/>
    <w:rsid w:val="00647BDA"/>
    <w:rsid w:val="00651E31"/>
    <w:rsid w:val="0065380A"/>
    <w:rsid w:val="006538BD"/>
    <w:rsid w:val="006546D8"/>
    <w:rsid w:val="0065581D"/>
    <w:rsid w:val="00655C2F"/>
    <w:rsid w:val="00657765"/>
    <w:rsid w:val="00660403"/>
    <w:rsid w:val="00661140"/>
    <w:rsid w:val="00664999"/>
    <w:rsid w:val="0066578D"/>
    <w:rsid w:val="006659D2"/>
    <w:rsid w:val="00665C4B"/>
    <w:rsid w:val="00670863"/>
    <w:rsid w:val="00670B10"/>
    <w:rsid w:val="006710DD"/>
    <w:rsid w:val="006727C8"/>
    <w:rsid w:val="00673200"/>
    <w:rsid w:val="0067499B"/>
    <w:rsid w:val="0067501E"/>
    <w:rsid w:val="006773D2"/>
    <w:rsid w:val="00680498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2B9A"/>
    <w:rsid w:val="006C39BB"/>
    <w:rsid w:val="006C4502"/>
    <w:rsid w:val="006C68C0"/>
    <w:rsid w:val="006C6C6A"/>
    <w:rsid w:val="006C7307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5C83"/>
    <w:rsid w:val="006F67CC"/>
    <w:rsid w:val="006F6E73"/>
    <w:rsid w:val="0070139B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558B"/>
    <w:rsid w:val="00717893"/>
    <w:rsid w:val="00717AAB"/>
    <w:rsid w:val="007207E5"/>
    <w:rsid w:val="00721189"/>
    <w:rsid w:val="007221C3"/>
    <w:rsid w:val="00722F2C"/>
    <w:rsid w:val="007254D1"/>
    <w:rsid w:val="00725B32"/>
    <w:rsid w:val="00725B3C"/>
    <w:rsid w:val="00732B42"/>
    <w:rsid w:val="00733D54"/>
    <w:rsid w:val="00736A4F"/>
    <w:rsid w:val="0073708B"/>
    <w:rsid w:val="00737753"/>
    <w:rsid w:val="00740537"/>
    <w:rsid w:val="00740CE9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77F55"/>
    <w:rsid w:val="0078031B"/>
    <w:rsid w:val="007803D0"/>
    <w:rsid w:val="00782F0A"/>
    <w:rsid w:val="0078319B"/>
    <w:rsid w:val="00783A31"/>
    <w:rsid w:val="00784F44"/>
    <w:rsid w:val="007851F8"/>
    <w:rsid w:val="0078667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976DB"/>
    <w:rsid w:val="007A047D"/>
    <w:rsid w:val="007A06AC"/>
    <w:rsid w:val="007A31B8"/>
    <w:rsid w:val="007A4129"/>
    <w:rsid w:val="007A5510"/>
    <w:rsid w:val="007A5B78"/>
    <w:rsid w:val="007B1014"/>
    <w:rsid w:val="007B103F"/>
    <w:rsid w:val="007B1484"/>
    <w:rsid w:val="007B1A10"/>
    <w:rsid w:val="007B42D3"/>
    <w:rsid w:val="007B6659"/>
    <w:rsid w:val="007B76AB"/>
    <w:rsid w:val="007B7DBD"/>
    <w:rsid w:val="007C039F"/>
    <w:rsid w:val="007C322E"/>
    <w:rsid w:val="007C33AD"/>
    <w:rsid w:val="007C3A2B"/>
    <w:rsid w:val="007C45D3"/>
    <w:rsid w:val="007C597B"/>
    <w:rsid w:val="007C760C"/>
    <w:rsid w:val="007D08FD"/>
    <w:rsid w:val="007D0A87"/>
    <w:rsid w:val="007D1584"/>
    <w:rsid w:val="007D2044"/>
    <w:rsid w:val="007D2D3F"/>
    <w:rsid w:val="007D4F33"/>
    <w:rsid w:val="007D6426"/>
    <w:rsid w:val="007D65C7"/>
    <w:rsid w:val="007D74D2"/>
    <w:rsid w:val="007D79B5"/>
    <w:rsid w:val="007E0419"/>
    <w:rsid w:val="007E18B3"/>
    <w:rsid w:val="007E2334"/>
    <w:rsid w:val="007E23CE"/>
    <w:rsid w:val="007E2CE7"/>
    <w:rsid w:val="007E32F0"/>
    <w:rsid w:val="007E4041"/>
    <w:rsid w:val="007E43D0"/>
    <w:rsid w:val="007E4CF3"/>
    <w:rsid w:val="007E4F00"/>
    <w:rsid w:val="007E54F8"/>
    <w:rsid w:val="007E5987"/>
    <w:rsid w:val="007E5BD8"/>
    <w:rsid w:val="007E5BED"/>
    <w:rsid w:val="007E6FA7"/>
    <w:rsid w:val="007E71EA"/>
    <w:rsid w:val="007E7696"/>
    <w:rsid w:val="007E7A4B"/>
    <w:rsid w:val="007E7BF9"/>
    <w:rsid w:val="007F0235"/>
    <w:rsid w:val="007F02BC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0FDB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05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86D"/>
    <w:rsid w:val="00851D49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65C"/>
    <w:rsid w:val="00861B26"/>
    <w:rsid w:val="0086242C"/>
    <w:rsid w:val="00862EED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C17"/>
    <w:rsid w:val="00875E32"/>
    <w:rsid w:val="008763DF"/>
    <w:rsid w:val="008770D4"/>
    <w:rsid w:val="0088127F"/>
    <w:rsid w:val="008815EF"/>
    <w:rsid w:val="00885273"/>
    <w:rsid w:val="00885F2C"/>
    <w:rsid w:val="00886386"/>
    <w:rsid w:val="0088701C"/>
    <w:rsid w:val="008916AC"/>
    <w:rsid w:val="00892AA5"/>
    <w:rsid w:val="0089499B"/>
    <w:rsid w:val="00894ACA"/>
    <w:rsid w:val="00894EC5"/>
    <w:rsid w:val="00895B09"/>
    <w:rsid w:val="00896658"/>
    <w:rsid w:val="008967B5"/>
    <w:rsid w:val="00896A65"/>
    <w:rsid w:val="008A03AC"/>
    <w:rsid w:val="008A06DF"/>
    <w:rsid w:val="008A1008"/>
    <w:rsid w:val="008A345A"/>
    <w:rsid w:val="008A3581"/>
    <w:rsid w:val="008A3DB9"/>
    <w:rsid w:val="008A5552"/>
    <w:rsid w:val="008A6A5C"/>
    <w:rsid w:val="008A7316"/>
    <w:rsid w:val="008A7352"/>
    <w:rsid w:val="008B01A4"/>
    <w:rsid w:val="008B1696"/>
    <w:rsid w:val="008B500A"/>
    <w:rsid w:val="008B7973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36CD"/>
    <w:rsid w:val="008D4380"/>
    <w:rsid w:val="008D48D1"/>
    <w:rsid w:val="008D4EED"/>
    <w:rsid w:val="008D52E1"/>
    <w:rsid w:val="008D6BE8"/>
    <w:rsid w:val="008E27E9"/>
    <w:rsid w:val="008E2A0F"/>
    <w:rsid w:val="008E5373"/>
    <w:rsid w:val="008E5531"/>
    <w:rsid w:val="008E66A2"/>
    <w:rsid w:val="008F0CAC"/>
    <w:rsid w:val="008F1F3A"/>
    <w:rsid w:val="008F2C49"/>
    <w:rsid w:val="008F32CD"/>
    <w:rsid w:val="008F36F0"/>
    <w:rsid w:val="008F7CFF"/>
    <w:rsid w:val="008F7ED1"/>
    <w:rsid w:val="008F7FEA"/>
    <w:rsid w:val="009018CF"/>
    <w:rsid w:val="00901C8D"/>
    <w:rsid w:val="00904945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E25"/>
    <w:rsid w:val="00914BE6"/>
    <w:rsid w:val="00914E0E"/>
    <w:rsid w:val="00917907"/>
    <w:rsid w:val="00917C0F"/>
    <w:rsid w:val="0092040E"/>
    <w:rsid w:val="00920C6C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7F7"/>
    <w:rsid w:val="00942040"/>
    <w:rsid w:val="00942B11"/>
    <w:rsid w:val="00942BE6"/>
    <w:rsid w:val="00942C9F"/>
    <w:rsid w:val="00942EFC"/>
    <w:rsid w:val="009445C9"/>
    <w:rsid w:val="00945631"/>
    <w:rsid w:val="00947549"/>
    <w:rsid w:val="00952CFC"/>
    <w:rsid w:val="00956C5C"/>
    <w:rsid w:val="009572C4"/>
    <w:rsid w:val="0095793C"/>
    <w:rsid w:val="0096045D"/>
    <w:rsid w:val="0096111E"/>
    <w:rsid w:val="00961125"/>
    <w:rsid w:val="00963362"/>
    <w:rsid w:val="00963BD1"/>
    <w:rsid w:val="009641CC"/>
    <w:rsid w:val="009662BD"/>
    <w:rsid w:val="00966B1F"/>
    <w:rsid w:val="00967D26"/>
    <w:rsid w:val="0097116E"/>
    <w:rsid w:val="00972BF8"/>
    <w:rsid w:val="00972EF6"/>
    <w:rsid w:val="00973CB3"/>
    <w:rsid w:val="00974518"/>
    <w:rsid w:val="0097513C"/>
    <w:rsid w:val="00975617"/>
    <w:rsid w:val="00975D53"/>
    <w:rsid w:val="00976C34"/>
    <w:rsid w:val="0098035D"/>
    <w:rsid w:val="00980FE0"/>
    <w:rsid w:val="00985686"/>
    <w:rsid w:val="00987D67"/>
    <w:rsid w:val="00990C3B"/>
    <w:rsid w:val="00991CBD"/>
    <w:rsid w:val="009928B7"/>
    <w:rsid w:val="0099321A"/>
    <w:rsid w:val="009947E8"/>
    <w:rsid w:val="009960B7"/>
    <w:rsid w:val="009972FE"/>
    <w:rsid w:val="009A18AD"/>
    <w:rsid w:val="009A4F77"/>
    <w:rsid w:val="009A7B2B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1528"/>
    <w:rsid w:val="009C20CC"/>
    <w:rsid w:val="009C3057"/>
    <w:rsid w:val="009C3299"/>
    <w:rsid w:val="009C3558"/>
    <w:rsid w:val="009C504A"/>
    <w:rsid w:val="009C562E"/>
    <w:rsid w:val="009C7531"/>
    <w:rsid w:val="009D0862"/>
    <w:rsid w:val="009D220C"/>
    <w:rsid w:val="009D221F"/>
    <w:rsid w:val="009D4D5C"/>
    <w:rsid w:val="009D55B7"/>
    <w:rsid w:val="009D7BF9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3B79"/>
    <w:rsid w:val="00A05C86"/>
    <w:rsid w:val="00A076F9"/>
    <w:rsid w:val="00A07997"/>
    <w:rsid w:val="00A07F87"/>
    <w:rsid w:val="00A135C8"/>
    <w:rsid w:val="00A158E7"/>
    <w:rsid w:val="00A206ED"/>
    <w:rsid w:val="00A20806"/>
    <w:rsid w:val="00A20C7F"/>
    <w:rsid w:val="00A21D41"/>
    <w:rsid w:val="00A22422"/>
    <w:rsid w:val="00A22DBA"/>
    <w:rsid w:val="00A2329D"/>
    <w:rsid w:val="00A25BFF"/>
    <w:rsid w:val="00A26F79"/>
    <w:rsid w:val="00A27522"/>
    <w:rsid w:val="00A30F9A"/>
    <w:rsid w:val="00A3136F"/>
    <w:rsid w:val="00A31403"/>
    <w:rsid w:val="00A34D0C"/>
    <w:rsid w:val="00A34D76"/>
    <w:rsid w:val="00A365D0"/>
    <w:rsid w:val="00A379A3"/>
    <w:rsid w:val="00A402B8"/>
    <w:rsid w:val="00A4043E"/>
    <w:rsid w:val="00A4264A"/>
    <w:rsid w:val="00A43B7C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5BD9"/>
    <w:rsid w:val="00A66718"/>
    <w:rsid w:val="00A66A7C"/>
    <w:rsid w:val="00A70B31"/>
    <w:rsid w:val="00A734B6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7396"/>
    <w:rsid w:val="00A902DD"/>
    <w:rsid w:val="00A91617"/>
    <w:rsid w:val="00A91EA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3B17"/>
    <w:rsid w:val="00AC68C6"/>
    <w:rsid w:val="00AC79C1"/>
    <w:rsid w:val="00AC7CA4"/>
    <w:rsid w:val="00AD1FF3"/>
    <w:rsid w:val="00AD41A2"/>
    <w:rsid w:val="00AD4A64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6CB0"/>
    <w:rsid w:val="00AE7D78"/>
    <w:rsid w:val="00AF08C1"/>
    <w:rsid w:val="00AF0C33"/>
    <w:rsid w:val="00AF2CCF"/>
    <w:rsid w:val="00AF308B"/>
    <w:rsid w:val="00AF3458"/>
    <w:rsid w:val="00AF3916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44DD"/>
    <w:rsid w:val="00B047B0"/>
    <w:rsid w:val="00B058A5"/>
    <w:rsid w:val="00B06370"/>
    <w:rsid w:val="00B06E4E"/>
    <w:rsid w:val="00B073E6"/>
    <w:rsid w:val="00B074F8"/>
    <w:rsid w:val="00B121B0"/>
    <w:rsid w:val="00B150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312"/>
    <w:rsid w:val="00B33711"/>
    <w:rsid w:val="00B34889"/>
    <w:rsid w:val="00B37550"/>
    <w:rsid w:val="00B3785D"/>
    <w:rsid w:val="00B402C6"/>
    <w:rsid w:val="00B4195B"/>
    <w:rsid w:val="00B41DC1"/>
    <w:rsid w:val="00B42607"/>
    <w:rsid w:val="00B43C2C"/>
    <w:rsid w:val="00B46EC7"/>
    <w:rsid w:val="00B50A91"/>
    <w:rsid w:val="00B5176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5AA8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49B1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126E"/>
    <w:rsid w:val="00BA5273"/>
    <w:rsid w:val="00BA5821"/>
    <w:rsid w:val="00BA5E19"/>
    <w:rsid w:val="00BA6419"/>
    <w:rsid w:val="00BA6550"/>
    <w:rsid w:val="00BB0FC6"/>
    <w:rsid w:val="00BB3642"/>
    <w:rsid w:val="00BB5000"/>
    <w:rsid w:val="00BB59F6"/>
    <w:rsid w:val="00BB66AB"/>
    <w:rsid w:val="00BC0AD6"/>
    <w:rsid w:val="00BC122E"/>
    <w:rsid w:val="00BC1825"/>
    <w:rsid w:val="00BC3584"/>
    <w:rsid w:val="00BC6075"/>
    <w:rsid w:val="00BE4ED6"/>
    <w:rsid w:val="00BE54F3"/>
    <w:rsid w:val="00BE5F67"/>
    <w:rsid w:val="00BE6402"/>
    <w:rsid w:val="00BE7920"/>
    <w:rsid w:val="00BF1E46"/>
    <w:rsid w:val="00BF22CD"/>
    <w:rsid w:val="00BF2CD1"/>
    <w:rsid w:val="00BF4B6A"/>
    <w:rsid w:val="00BF5135"/>
    <w:rsid w:val="00BF7DD0"/>
    <w:rsid w:val="00C00312"/>
    <w:rsid w:val="00C009F5"/>
    <w:rsid w:val="00C01129"/>
    <w:rsid w:val="00C015E8"/>
    <w:rsid w:val="00C02239"/>
    <w:rsid w:val="00C022E1"/>
    <w:rsid w:val="00C0398D"/>
    <w:rsid w:val="00C03E65"/>
    <w:rsid w:val="00C03EA6"/>
    <w:rsid w:val="00C071AC"/>
    <w:rsid w:val="00C07EF8"/>
    <w:rsid w:val="00C100F1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3E9"/>
    <w:rsid w:val="00C23B23"/>
    <w:rsid w:val="00C25BB2"/>
    <w:rsid w:val="00C26C22"/>
    <w:rsid w:val="00C27B03"/>
    <w:rsid w:val="00C3089B"/>
    <w:rsid w:val="00C34B40"/>
    <w:rsid w:val="00C35836"/>
    <w:rsid w:val="00C37AD8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2F66"/>
    <w:rsid w:val="00C64143"/>
    <w:rsid w:val="00C6434D"/>
    <w:rsid w:val="00C652E5"/>
    <w:rsid w:val="00C67446"/>
    <w:rsid w:val="00C701F5"/>
    <w:rsid w:val="00C70200"/>
    <w:rsid w:val="00C702CC"/>
    <w:rsid w:val="00C70898"/>
    <w:rsid w:val="00C742D9"/>
    <w:rsid w:val="00C76238"/>
    <w:rsid w:val="00C7697F"/>
    <w:rsid w:val="00C77AB6"/>
    <w:rsid w:val="00C8136C"/>
    <w:rsid w:val="00C823C1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D8D"/>
    <w:rsid w:val="00C97C7F"/>
    <w:rsid w:val="00CA2283"/>
    <w:rsid w:val="00CA2AEF"/>
    <w:rsid w:val="00CA325F"/>
    <w:rsid w:val="00CA33B8"/>
    <w:rsid w:val="00CA4D80"/>
    <w:rsid w:val="00CA6AF5"/>
    <w:rsid w:val="00CB0721"/>
    <w:rsid w:val="00CB0AAA"/>
    <w:rsid w:val="00CB1582"/>
    <w:rsid w:val="00CB22B7"/>
    <w:rsid w:val="00CB31DA"/>
    <w:rsid w:val="00CB4B22"/>
    <w:rsid w:val="00CB5032"/>
    <w:rsid w:val="00CB68D9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4239"/>
    <w:rsid w:val="00CE6A0B"/>
    <w:rsid w:val="00CF0950"/>
    <w:rsid w:val="00CF3B07"/>
    <w:rsid w:val="00CF4C13"/>
    <w:rsid w:val="00CF4D03"/>
    <w:rsid w:val="00CF6384"/>
    <w:rsid w:val="00CF6902"/>
    <w:rsid w:val="00D03851"/>
    <w:rsid w:val="00D039E7"/>
    <w:rsid w:val="00D06E88"/>
    <w:rsid w:val="00D11F90"/>
    <w:rsid w:val="00D13527"/>
    <w:rsid w:val="00D15B0B"/>
    <w:rsid w:val="00D15E4E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0A50"/>
    <w:rsid w:val="00D31BA6"/>
    <w:rsid w:val="00D33373"/>
    <w:rsid w:val="00D335E1"/>
    <w:rsid w:val="00D33A7D"/>
    <w:rsid w:val="00D347ED"/>
    <w:rsid w:val="00D3545E"/>
    <w:rsid w:val="00D35FEA"/>
    <w:rsid w:val="00D3664B"/>
    <w:rsid w:val="00D366E4"/>
    <w:rsid w:val="00D37C05"/>
    <w:rsid w:val="00D40D80"/>
    <w:rsid w:val="00D411D5"/>
    <w:rsid w:val="00D41BAA"/>
    <w:rsid w:val="00D423AC"/>
    <w:rsid w:val="00D4298C"/>
    <w:rsid w:val="00D44BD5"/>
    <w:rsid w:val="00D44DC6"/>
    <w:rsid w:val="00D50AA5"/>
    <w:rsid w:val="00D514E5"/>
    <w:rsid w:val="00D5174E"/>
    <w:rsid w:val="00D53589"/>
    <w:rsid w:val="00D539D5"/>
    <w:rsid w:val="00D544D5"/>
    <w:rsid w:val="00D57EDB"/>
    <w:rsid w:val="00D602DE"/>
    <w:rsid w:val="00D6096A"/>
    <w:rsid w:val="00D60ABE"/>
    <w:rsid w:val="00D60CE5"/>
    <w:rsid w:val="00D60D9E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CFF"/>
    <w:rsid w:val="00D93FDB"/>
    <w:rsid w:val="00D95457"/>
    <w:rsid w:val="00D968B9"/>
    <w:rsid w:val="00D97A7B"/>
    <w:rsid w:val="00DA1259"/>
    <w:rsid w:val="00DA1AAD"/>
    <w:rsid w:val="00DA1E08"/>
    <w:rsid w:val="00DA25D9"/>
    <w:rsid w:val="00DA2A1A"/>
    <w:rsid w:val="00DA4A52"/>
    <w:rsid w:val="00DA4FBC"/>
    <w:rsid w:val="00DA7457"/>
    <w:rsid w:val="00DB0871"/>
    <w:rsid w:val="00DB1083"/>
    <w:rsid w:val="00DB2995"/>
    <w:rsid w:val="00DB2ED0"/>
    <w:rsid w:val="00DB38F0"/>
    <w:rsid w:val="00DB3EE8"/>
    <w:rsid w:val="00DB4701"/>
    <w:rsid w:val="00DB59C0"/>
    <w:rsid w:val="00DC011A"/>
    <w:rsid w:val="00DC0146"/>
    <w:rsid w:val="00DC03EE"/>
    <w:rsid w:val="00DC1CAA"/>
    <w:rsid w:val="00DC26FD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6D1"/>
    <w:rsid w:val="00DD4FF2"/>
    <w:rsid w:val="00DD66FA"/>
    <w:rsid w:val="00DD7667"/>
    <w:rsid w:val="00DD777C"/>
    <w:rsid w:val="00DD7884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B3F"/>
    <w:rsid w:val="00E053DD"/>
    <w:rsid w:val="00E060C1"/>
    <w:rsid w:val="00E06B1E"/>
    <w:rsid w:val="00E075C5"/>
    <w:rsid w:val="00E07787"/>
    <w:rsid w:val="00E109F8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24"/>
    <w:rsid w:val="00E24E3A"/>
    <w:rsid w:val="00E25AF8"/>
    <w:rsid w:val="00E25CE8"/>
    <w:rsid w:val="00E26855"/>
    <w:rsid w:val="00E26C55"/>
    <w:rsid w:val="00E26F6C"/>
    <w:rsid w:val="00E31BD0"/>
    <w:rsid w:val="00E34CA3"/>
    <w:rsid w:val="00E35C4A"/>
    <w:rsid w:val="00E37DA6"/>
    <w:rsid w:val="00E37FE3"/>
    <w:rsid w:val="00E43AAA"/>
    <w:rsid w:val="00E44B4A"/>
    <w:rsid w:val="00E44C62"/>
    <w:rsid w:val="00E45B54"/>
    <w:rsid w:val="00E51141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5CC4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5257"/>
    <w:rsid w:val="00EA59B6"/>
    <w:rsid w:val="00EB0062"/>
    <w:rsid w:val="00EB0433"/>
    <w:rsid w:val="00EB1B8B"/>
    <w:rsid w:val="00EB3C54"/>
    <w:rsid w:val="00EB4951"/>
    <w:rsid w:val="00EB595B"/>
    <w:rsid w:val="00EB6FF4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3441"/>
    <w:rsid w:val="00F03E0D"/>
    <w:rsid w:val="00F1030E"/>
    <w:rsid w:val="00F10925"/>
    <w:rsid w:val="00F12F6C"/>
    <w:rsid w:val="00F13DAE"/>
    <w:rsid w:val="00F14BCA"/>
    <w:rsid w:val="00F157D8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F5D"/>
    <w:rsid w:val="00F277CD"/>
    <w:rsid w:val="00F3543E"/>
    <w:rsid w:val="00F35D19"/>
    <w:rsid w:val="00F40712"/>
    <w:rsid w:val="00F41269"/>
    <w:rsid w:val="00F41319"/>
    <w:rsid w:val="00F43076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6785E"/>
    <w:rsid w:val="00F7058F"/>
    <w:rsid w:val="00F70D21"/>
    <w:rsid w:val="00F70FEF"/>
    <w:rsid w:val="00F7105D"/>
    <w:rsid w:val="00F721FB"/>
    <w:rsid w:val="00F74F3A"/>
    <w:rsid w:val="00F7505D"/>
    <w:rsid w:val="00F75C02"/>
    <w:rsid w:val="00F77E5C"/>
    <w:rsid w:val="00F77ECB"/>
    <w:rsid w:val="00F81583"/>
    <w:rsid w:val="00F819E3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5BB8"/>
    <w:rsid w:val="00F97A0A"/>
    <w:rsid w:val="00FA2A20"/>
    <w:rsid w:val="00FA3883"/>
    <w:rsid w:val="00FA45F7"/>
    <w:rsid w:val="00FA5654"/>
    <w:rsid w:val="00FA74EB"/>
    <w:rsid w:val="00FA78FD"/>
    <w:rsid w:val="00FB11BE"/>
    <w:rsid w:val="00FB1357"/>
    <w:rsid w:val="00FB1B56"/>
    <w:rsid w:val="00FB27F1"/>
    <w:rsid w:val="00FB3418"/>
    <w:rsid w:val="00FB4C6F"/>
    <w:rsid w:val="00FB52A0"/>
    <w:rsid w:val="00FB76CC"/>
    <w:rsid w:val="00FC34DF"/>
    <w:rsid w:val="00FC357E"/>
    <w:rsid w:val="00FC5E76"/>
    <w:rsid w:val="00FC66A5"/>
    <w:rsid w:val="00FC69CF"/>
    <w:rsid w:val="00FC7214"/>
    <w:rsid w:val="00FD0AB1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6D6"/>
    <w:rsid w:val="00FE185C"/>
    <w:rsid w:val="00FE3C5F"/>
    <w:rsid w:val="00FE401B"/>
    <w:rsid w:val="00FE4705"/>
    <w:rsid w:val="00FE557C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036"/>
    <w:pPr>
      <w:tabs>
        <w:tab w:val="left" w:pos="567"/>
      </w:tabs>
      <w:spacing w:line="260" w:lineRule="exact"/>
    </w:pPr>
    <w:rPr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E61036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E61036"/>
    <w:rPr>
      <w:snapToGrid w:val="0"/>
      <w:sz w:val="22"/>
      <w:lang w:val="en-GB"/>
    </w:rPr>
  </w:style>
  <w:style w:type="character" w:styleId="slostrany">
    <w:name w:val="page number"/>
    <w:basedOn w:val="Predvolenpsmoodseku"/>
    <w:uiPriority w:val="99"/>
    <w:rsid w:val="00E61036"/>
    <w:rPr>
      <w:rFonts w:cs="Times New Roman"/>
    </w:rPr>
  </w:style>
  <w:style w:type="character" w:styleId="Hypertextovprepojenie">
    <w:name w:val="Hyperlink"/>
    <w:basedOn w:val="Predvolenpsmoodseku"/>
    <w:uiPriority w:val="99"/>
    <w:rsid w:val="00E61036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E6103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uiPriority w:val="99"/>
    <w:rsid w:val="00E61036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uiPriority w:val="99"/>
    <w:rsid w:val="00E61036"/>
    <w:rPr>
      <w:rFonts w:ascii="Verdana" w:hAnsi="Verdana"/>
      <w:sz w:val="18"/>
      <w:szCs w:val="20"/>
      <w:lang w:eastAsia="en-US"/>
    </w:rPr>
  </w:style>
  <w:style w:type="paragraph" w:customStyle="1" w:styleId="TabletextrowsAgency">
    <w:name w:val="Table text rows (Agency)"/>
    <w:basedOn w:val="Normlny"/>
    <w:uiPriority w:val="99"/>
    <w:rsid w:val="00E61036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E6103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6103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61036"/>
    <w:rPr>
      <w:color w:val="0000FF"/>
    </w:rPr>
  </w:style>
  <w:style w:type="character" w:customStyle="1" w:styleId="tw4winPopup">
    <w:name w:val="tw4winPopup"/>
    <w:uiPriority w:val="99"/>
    <w:rsid w:val="00E6103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6103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6103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6103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61036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uiPriority w:val="99"/>
    <w:rsid w:val="001E2B3E"/>
    <w:pPr>
      <w:spacing w:line="240" w:lineRule="auto"/>
    </w:pPr>
    <w:rPr>
      <w:rFonts w:ascii="Tahoma" w:hAnsi="Tahoma"/>
      <w:sz w:val="16"/>
      <w:szCs w:val="16"/>
      <w:lang w:eastAsia="zh-CN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E2B3E"/>
    <w:rPr>
      <w:rFonts w:ascii="Tahoma" w:hAnsi="Tahoma" w:cs="Times New Roman"/>
      <w:snapToGrid w:val="0"/>
      <w:sz w:val="16"/>
      <w:lang w:val="en-GB"/>
    </w:rPr>
  </w:style>
  <w:style w:type="character" w:styleId="PouitHypertextovPrepojenie">
    <w:name w:val="FollowedHyperlink"/>
    <w:basedOn w:val="Predvolenpsmoodseku"/>
    <w:uiPriority w:val="99"/>
    <w:rsid w:val="009B061C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7A047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A047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A047D"/>
    <w:rPr>
      <w:rFonts w:cs="Times New Roman"/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738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738E9"/>
    <w:rPr>
      <w:rFonts w:cs="Times New Roman"/>
      <w:b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zCs w:val="20"/>
      <w:lang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9D7BF9"/>
    <w:pPr>
      <w:ind w:left="720"/>
      <w:contextualSpacing/>
    </w:pPr>
  </w:style>
  <w:style w:type="table" w:styleId="Mriekatabuky">
    <w:name w:val="Table Grid"/>
    <w:basedOn w:val="Normlnatabuka"/>
    <w:locked/>
    <w:rsid w:val="00387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036"/>
    <w:pPr>
      <w:tabs>
        <w:tab w:val="left" w:pos="567"/>
      </w:tabs>
      <w:spacing w:line="260" w:lineRule="exact"/>
    </w:pPr>
    <w:rPr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E61036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E61036"/>
    <w:rPr>
      <w:snapToGrid w:val="0"/>
      <w:sz w:val="22"/>
      <w:lang w:val="en-GB"/>
    </w:rPr>
  </w:style>
  <w:style w:type="character" w:styleId="slostrany">
    <w:name w:val="page number"/>
    <w:basedOn w:val="Predvolenpsmoodseku"/>
    <w:uiPriority w:val="99"/>
    <w:rsid w:val="00E61036"/>
    <w:rPr>
      <w:rFonts w:cs="Times New Roman"/>
    </w:rPr>
  </w:style>
  <w:style w:type="character" w:styleId="Hypertextovprepojenie">
    <w:name w:val="Hyperlink"/>
    <w:basedOn w:val="Predvolenpsmoodseku"/>
    <w:uiPriority w:val="99"/>
    <w:rsid w:val="00E61036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E6103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uiPriority w:val="99"/>
    <w:rsid w:val="00E61036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uiPriority w:val="99"/>
    <w:rsid w:val="00E61036"/>
    <w:rPr>
      <w:rFonts w:ascii="Verdana" w:hAnsi="Verdana"/>
      <w:sz w:val="18"/>
      <w:szCs w:val="20"/>
      <w:lang w:eastAsia="en-US"/>
    </w:rPr>
  </w:style>
  <w:style w:type="paragraph" w:customStyle="1" w:styleId="TabletextrowsAgency">
    <w:name w:val="Table text rows (Agency)"/>
    <w:basedOn w:val="Normlny"/>
    <w:uiPriority w:val="99"/>
    <w:rsid w:val="00E61036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E6103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6103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61036"/>
    <w:rPr>
      <w:color w:val="0000FF"/>
    </w:rPr>
  </w:style>
  <w:style w:type="character" w:customStyle="1" w:styleId="tw4winPopup">
    <w:name w:val="tw4winPopup"/>
    <w:uiPriority w:val="99"/>
    <w:rsid w:val="00E6103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6103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6103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6103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61036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uiPriority w:val="99"/>
    <w:rsid w:val="001E2B3E"/>
    <w:pPr>
      <w:spacing w:line="240" w:lineRule="auto"/>
    </w:pPr>
    <w:rPr>
      <w:rFonts w:ascii="Tahoma" w:hAnsi="Tahoma"/>
      <w:sz w:val="16"/>
      <w:szCs w:val="16"/>
      <w:lang w:eastAsia="zh-CN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E2B3E"/>
    <w:rPr>
      <w:rFonts w:ascii="Tahoma" w:hAnsi="Tahoma" w:cs="Times New Roman"/>
      <w:snapToGrid w:val="0"/>
      <w:sz w:val="16"/>
      <w:lang w:val="en-GB"/>
    </w:rPr>
  </w:style>
  <w:style w:type="character" w:styleId="PouitHypertextovPrepojenie">
    <w:name w:val="FollowedHyperlink"/>
    <w:basedOn w:val="Predvolenpsmoodseku"/>
    <w:uiPriority w:val="99"/>
    <w:rsid w:val="009B061C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7A047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A047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A047D"/>
    <w:rPr>
      <w:rFonts w:cs="Times New Roman"/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738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738E9"/>
    <w:rPr>
      <w:rFonts w:cs="Times New Roman"/>
      <w:b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zCs w:val="20"/>
      <w:lang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9D7BF9"/>
    <w:pPr>
      <w:ind w:left="720"/>
      <w:contextualSpacing/>
    </w:pPr>
  </w:style>
  <w:style w:type="table" w:styleId="Mriekatabuky">
    <w:name w:val="Table Grid"/>
    <w:basedOn w:val="Normlnatabuka"/>
    <w:locked/>
    <w:rsid w:val="00387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Hqrdtemplatecleansk</vt:lpstr>
    </vt:vector>
  </TitlesOfParts>
  <Company>Translation Centre</Company>
  <LinksUpToDate>false</LinksUpToDate>
  <CharactersWithSpaces>20915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Hqrdtemplatecleansk</dc:title>
  <dc:creator>Translation Centre</dc:creator>
  <cp:lastModifiedBy> sulejova</cp:lastModifiedBy>
  <cp:revision>3</cp:revision>
  <cp:lastPrinted>2016-03-11T09:06:00Z</cp:lastPrinted>
  <dcterms:created xsi:type="dcterms:W3CDTF">2016-06-17T09:19:00Z</dcterms:created>
  <dcterms:modified xsi:type="dcterms:W3CDTF">2016-06-20T07:18:00Z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_NewReviewCycle">
    <vt:lpwstr/>
  </property>
  <property fmtid="{D5CDD505-2E9C-101B-9397-08002B2CF9AE}" pid="31" name="DM_Version">
    <vt:lpwstr>CURRENT,1.1</vt:lpwstr>
  </property>
  <property fmtid="{D5CDD505-2E9C-101B-9397-08002B2CF9AE}" pid="32" name="DM_Name">
    <vt:lpwstr>Hqrdtemplatecleansk</vt:lpwstr>
  </property>
  <property fmtid="{D5CDD505-2E9C-101B-9397-08002B2CF9AE}" pid="33" name="DM_Creation_Date">
    <vt:lpwstr>05/06/2015 11:14:17</vt:lpwstr>
  </property>
  <property fmtid="{D5CDD505-2E9C-101B-9397-08002B2CF9AE}" pid="34" name="DM_Modify_Date">
    <vt:lpwstr>05/06/2015 11:33:43</vt:lpwstr>
  </property>
  <property fmtid="{D5CDD505-2E9C-101B-9397-08002B2CF9AE}" pid="35" name="DM_Creator_Name">
    <vt:lpwstr>Akhtar Tia</vt:lpwstr>
  </property>
  <property fmtid="{D5CDD505-2E9C-101B-9397-08002B2CF9AE}" pid="36" name="DM_Modifier_Name">
    <vt:lpwstr>Akhtar Tia</vt:lpwstr>
  </property>
  <property fmtid="{D5CDD505-2E9C-101B-9397-08002B2CF9AE}" pid="37" name="DM_Type">
    <vt:lpwstr>emea_document</vt:lpwstr>
  </property>
  <property fmtid="{D5CDD505-2E9C-101B-9397-08002B2CF9AE}" pid="38" name="DM_DocRefId">
    <vt:lpwstr>EMA/366557/2015</vt:lpwstr>
  </property>
  <property fmtid="{D5CDD505-2E9C-101B-9397-08002B2CF9AE}" pid="39" name="DM_Category">
    <vt:lpwstr>Templates and Form</vt:lpwstr>
  </property>
  <property fmtid="{D5CDD505-2E9C-101B-9397-08002B2CF9AE}" pid="40" name="DM_Path">
    <vt:lpwstr>/02b. Administration of Scientific Meeting/WPs SAGs DGs and other WGs/CxMP - QRD/3. Other activities/02. Procedures/01. QRD PI templates/01 QRD Human Templates/05 H-qrd template v9.1/Review by MSs</vt:lpwstr>
  </property>
  <property fmtid="{D5CDD505-2E9C-101B-9397-08002B2CF9AE}" pid="41" name="DM_emea_doc_ref_id">
    <vt:lpwstr>EMA/366557/2015</vt:lpwstr>
  </property>
  <property fmtid="{D5CDD505-2E9C-101B-9397-08002B2CF9AE}" pid="42" name="DM_Modifer_Name">
    <vt:lpwstr>Akhtar Tia</vt:lpwstr>
  </property>
  <property fmtid="{D5CDD505-2E9C-101B-9397-08002B2CF9AE}" pid="43" name="DM_Modified_Date">
    <vt:lpwstr>05/06/2015 11:33:43</vt:lpwstr>
  </property>
</Properties>
</file>