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26" w:rsidRPr="009F009A" w:rsidRDefault="00780926" w:rsidP="009F009A">
      <w:pPr>
        <w:jc w:val="center"/>
        <w:rPr>
          <w:b/>
          <w:szCs w:val="22"/>
        </w:rPr>
      </w:pPr>
      <w:r w:rsidRPr="009F009A">
        <w:rPr>
          <w:b/>
          <w:szCs w:val="22"/>
        </w:rPr>
        <w:t>SÚHRN CHARAKTERISTICKÝCH VLASTNOSTÍ LIEKU</w:t>
      </w:r>
    </w:p>
    <w:p w:rsidR="00B06E24" w:rsidRPr="009F009A" w:rsidRDefault="00B06E24" w:rsidP="009F009A">
      <w:pPr>
        <w:rPr>
          <w:szCs w:val="22"/>
        </w:rPr>
      </w:pPr>
    </w:p>
    <w:p w:rsidR="00B06E24" w:rsidRPr="009F009A" w:rsidRDefault="00B06E24" w:rsidP="009F009A">
      <w:pPr>
        <w:rPr>
          <w:szCs w:val="22"/>
        </w:rPr>
      </w:pPr>
    </w:p>
    <w:p w:rsidR="00780926" w:rsidRPr="009F009A" w:rsidRDefault="00780926" w:rsidP="009F009A">
      <w:pPr>
        <w:rPr>
          <w:szCs w:val="22"/>
        </w:rPr>
      </w:pPr>
      <w:r w:rsidRPr="009F009A">
        <w:rPr>
          <w:b/>
          <w:szCs w:val="22"/>
        </w:rPr>
        <w:t>1.</w:t>
      </w:r>
      <w:r w:rsidRPr="009F009A">
        <w:rPr>
          <w:b/>
          <w:szCs w:val="22"/>
        </w:rPr>
        <w:tab/>
        <w:t>NÁZOV LIEKU</w:t>
      </w:r>
    </w:p>
    <w:p w:rsidR="00780926" w:rsidRPr="009F009A" w:rsidRDefault="00780926" w:rsidP="009F009A">
      <w:pPr>
        <w:rPr>
          <w:szCs w:val="22"/>
          <w:lang w:eastAsia="en-US"/>
        </w:rPr>
      </w:pPr>
    </w:p>
    <w:p w:rsidR="00780926" w:rsidRPr="009F009A" w:rsidRDefault="00861A89" w:rsidP="009F009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55E80">
        <w:rPr>
          <w:szCs w:val="22"/>
          <w:lang w:eastAsia="en-US"/>
        </w:rPr>
        <w:t>Fuci</w:t>
      </w:r>
      <w:r w:rsidR="00F657AC" w:rsidRPr="00B55E80">
        <w:rPr>
          <w:szCs w:val="22"/>
          <w:lang w:eastAsia="en-US"/>
        </w:rPr>
        <w:t>din</w:t>
      </w:r>
      <w:r w:rsidRPr="00B55E80">
        <w:rPr>
          <w:szCs w:val="22"/>
          <w:lang w:eastAsia="en-US"/>
        </w:rPr>
        <w:t xml:space="preserve"> </w:t>
      </w:r>
      <w:r w:rsidR="00A8486F" w:rsidRPr="00B55E80">
        <w:rPr>
          <w:szCs w:val="22"/>
          <w:lang w:eastAsia="en-US"/>
        </w:rPr>
        <w:t>30 mg/100 cm</w:t>
      </w:r>
      <w:r w:rsidR="00A8486F" w:rsidRPr="00B55E80">
        <w:rPr>
          <w:vertAlign w:val="superscript"/>
        </w:rPr>
        <w:t xml:space="preserve">2 </w:t>
      </w:r>
      <w:r w:rsidR="00A8486F" w:rsidRPr="00B55E80">
        <w:t>im</w:t>
      </w:r>
      <w:r w:rsidR="00A8486F" w:rsidRPr="00B55E80">
        <w:rPr>
          <w:color w:val="000000"/>
        </w:rPr>
        <w:t>pregnovaný obväz</w:t>
      </w:r>
    </w:p>
    <w:p w:rsidR="00780926" w:rsidRPr="009F009A" w:rsidRDefault="00780926" w:rsidP="009F009A">
      <w:pPr>
        <w:rPr>
          <w:szCs w:val="22"/>
        </w:rPr>
      </w:pPr>
    </w:p>
    <w:p w:rsidR="00D83357" w:rsidRPr="006B0D14" w:rsidRDefault="00D83357" w:rsidP="006B0D14">
      <w:pPr>
        <w:rPr>
          <w:szCs w:val="22"/>
        </w:rPr>
      </w:pPr>
    </w:p>
    <w:p w:rsidR="00780926" w:rsidRPr="00DD5AF6" w:rsidRDefault="00780926" w:rsidP="00DD5AF6">
      <w:pPr>
        <w:rPr>
          <w:szCs w:val="22"/>
        </w:rPr>
      </w:pPr>
      <w:r w:rsidRPr="00DD5AF6">
        <w:rPr>
          <w:b/>
          <w:szCs w:val="22"/>
        </w:rPr>
        <w:t>2.</w:t>
      </w:r>
      <w:r w:rsidRPr="00DD5AF6">
        <w:rPr>
          <w:b/>
          <w:szCs w:val="22"/>
        </w:rPr>
        <w:tab/>
        <w:t>KVALITATÍVNE A KVANTITATÍVNE ZLOŽENIE</w:t>
      </w:r>
    </w:p>
    <w:p w:rsidR="00780926" w:rsidRPr="00DD5AF6" w:rsidRDefault="00780926" w:rsidP="00DD5AF6">
      <w:pPr>
        <w:ind w:left="0" w:firstLine="0"/>
        <w:rPr>
          <w:szCs w:val="22"/>
        </w:rPr>
      </w:pPr>
    </w:p>
    <w:p w:rsidR="000467A4" w:rsidRDefault="00797755" w:rsidP="00C6710E">
      <w:pPr>
        <w:ind w:left="0" w:right="-1" w:firstLine="0"/>
        <w:rPr>
          <w:szCs w:val="22"/>
        </w:rPr>
      </w:pPr>
      <w:r>
        <w:rPr>
          <w:szCs w:val="22"/>
        </w:rPr>
        <w:t xml:space="preserve">Každý impregnovaný obväz </w:t>
      </w:r>
      <w:r w:rsidR="000C0224">
        <w:rPr>
          <w:szCs w:val="22"/>
        </w:rPr>
        <w:t>s veľkosťou 10 cm x 10 cm</w:t>
      </w:r>
      <w:r w:rsidR="00712A21">
        <w:rPr>
          <w:szCs w:val="22"/>
        </w:rPr>
        <w:t xml:space="preserve"> </w:t>
      </w:r>
      <w:r>
        <w:rPr>
          <w:szCs w:val="22"/>
        </w:rPr>
        <w:t xml:space="preserve">obsahuje </w:t>
      </w:r>
      <w:r w:rsidRPr="00192C5B">
        <w:rPr>
          <w:bCs/>
          <w:noProof/>
          <w:szCs w:val="22"/>
          <w:lang w:val="en-GB"/>
        </w:rPr>
        <w:t>30</w:t>
      </w:r>
      <w:r w:rsidR="008900D5">
        <w:rPr>
          <w:bCs/>
          <w:noProof/>
          <w:szCs w:val="22"/>
          <w:lang w:val="en-GB"/>
        </w:rPr>
        <w:t> </w:t>
      </w:r>
      <w:r w:rsidRPr="00192C5B">
        <w:rPr>
          <w:bCs/>
          <w:noProof/>
          <w:szCs w:val="22"/>
          <w:lang w:val="en-GB"/>
        </w:rPr>
        <w:t>mg/100</w:t>
      </w:r>
      <w:r w:rsidR="008900D5">
        <w:rPr>
          <w:bCs/>
          <w:noProof/>
          <w:szCs w:val="22"/>
          <w:lang w:val="en-GB"/>
        </w:rPr>
        <w:t> </w:t>
      </w:r>
      <w:r w:rsidRPr="00192C5B">
        <w:rPr>
          <w:bCs/>
          <w:noProof/>
          <w:szCs w:val="22"/>
          <w:lang w:val="en-GB"/>
        </w:rPr>
        <w:t>cm</w:t>
      </w:r>
      <w:r w:rsidRPr="00192C5B">
        <w:rPr>
          <w:bCs/>
          <w:noProof/>
          <w:szCs w:val="22"/>
          <w:vertAlign w:val="superscript"/>
          <w:lang w:val="en-GB"/>
        </w:rPr>
        <w:t xml:space="preserve">2 </w:t>
      </w:r>
      <w:r w:rsidR="007F5B49">
        <w:rPr>
          <w:szCs w:val="22"/>
        </w:rPr>
        <w:t>sodnej soli f</w:t>
      </w:r>
      <w:r w:rsidRPr="008900D5">
        <w:rPr>
          <w:szCs w:val="22"/>
        </w:rPr>
        <w:t>usidátu</w:t>
      </w:r>
      <w:r w:rsidR="000C0224">
        <w:rPr>
          <w:szCs w:val="22"/>
        </w:rPr>
        <w:t>.</w:t>
      </w:r>
    </w:p>
    <w:p w:rsidR="007646CA" w:rsidRPr="00774BE8" w:rsidRDefault="007646CA" w:rsidP="00C6710E">
      <w:pPr>
        <w:ind w:left="0" w:right="-1" w:firstLine="0"/>
        <w:rPr>
          <w:szCs w:val="22"/>
        </w:rPr>
      </w:pPr>
    </w:p>
    <w:p w:rsidR="00780926" w:rsidRPr="00774BE8" w:rsidRDefault="00DD3EED" w:rsidP="00C6710E">
      <w:pPr>
        <w:pStyle w:val="Bezriadkovania"/>
        <w:rPr>
          <w:u w:val="single"/>
        </w:rPr>
      </w:pPr>
      <w:r>
        <w:rPr>
          <w:u w:val="single"/>
        </w:rPr>
        <w:t>P</w:t>
      </w:r>
      <w:r w:rsidR="00780926" w:rsidRPr="00774BE8">
        <w:rPr>
          <w:u w:val="single"/>
        </w:rPr>
        <w:t>omocné látky</w:t>
      </w:r>
      <w:r w:rsidR="00CB25B2" w:rsidRPr="00774BE8">
        <w:rPr>
          <w:u w:val="single"/>
        </w:rPr>
        <w:t xml:space="preserve"> so známym účinkom</w:t>
      </w:r>
      <w:r w:rsidR="00780926" w:rsidRPr="00774BE8">
        <w:rPr>
          <w:u w:val="single"/>
        </w:rPr>
        <w:t>:</w:t>
      </w:r>
    </w:p>
    <w:p w:rsidR="00797755" w:rsidRPr="00192C5B" w:rsidRDefault="00797755" w:rsidP="00BF229F">
      <w:pPr>
        <w:ind w:left="0" w:firstLine="0"/>
      </w:pPr>
      <w:r>
        <w:rPr>
          <w:szCs w:val="22"/>
        </w:rPr>
        <w:t xml:space="preserve">Každý impregnovaný obväz obsahuje </w:t>
      </w:r>
      <w:r w:rsidR="00F32563">
        <w:rPr>
          <w:szCs w:val="22"/>
        </w:rPr>
        <w:t xml:space="preserve">maximálne </w:t>
      </w:r>
      <w:r>
        <w:rPr>
          <w:szCs w:val="22"/>
        </w:rPr>
        <w:t>9</w:t>
      </w:r>
      <w:r w:rsidRPr="00192C5B">
        <w:rPr>
          <w:bCs/>
        </w:rPr>
        <w:t> </w:t>
      </w:r>
      <w:r w:rsidR="007F5B49">
        <w:rPr>
          <w:bCs/>
        </w:rPr>
        <w:t>mikrogramov</w:t>
      </w:r>
      <w:r w:rsidR="007F5B49" w:rsidRPr="00192C5B">
        <w:rPr>
          <w:bCs/>
        </w:rPr>
        <w:t xml:space="preserve"> </w:t>
      </w:r>
      <w:r w:rsidRPr="00192C5B">
        <w:rPr>
          <w:bCs/>
        </w:rPr>
        <w:t>butylhy</w:t>
      </w:r>
      <w:r w:rsidR="004A3003">
        <w:rPr>
          <w:bCs/>
        </w:rPr>
        <w:t>droxytolu</w:t>
      </w:r>
      <w:r w:rsidR="008900D5">
        <w:rPr>
          <w:bCs/>
        </w:rPr>
        <w:t>énu</w:t>
      </w:r>
      <w:r w:rsidR="004A3003">
        <w:rPr>
          <w:bCs/>
        </w:rPr>
        <w:t xml:space="preserve"> (E321), 6 mg cetyl</w:t>
      </w:r>
      <w:r>
        <w:rPr>
          <w:bCs/>
        </w:rPr>
        <w:t>alk</w:t>
      </w:r>
      <w:r w:rsidRPr="00192C5B">
        <w:rPr>
          <w:bCs/>
        </w:rPr>
        <w:t>ohol</w:t>
      </w:r>
      <w:r>
        <w:rPr>
          <w:bCs/>
        </w:rPr>
        <w:t>u</w:t>
      </w:r>
      <w:r w:rsidRPr="00192C5B">
        <w:rPr>
          <w:bCs/>
        </w:rPr>
        <w:t xml:space="preserve"> a 69 mg </w:t>
      </w:r>
      <w:r w:rsidR="007F5B49">
        <w:rPr>
          <w:bCs/>
        </w:rPr>
        <w:t xml:space="preserve">vosku </w:t>
      </w:r>
      <w:r w:rsidR="004A3003">
        <w:rPr>
          <w:bCs/>
        </w:rPr>
        <w:t>z ovčej vlny</w:t>
      </w:r>
      <w:r w:rsidRPr="00192C5B">
        <w:t>.</w:t>
      </w:r>
    </w:p>
    <w:p w:rsidR="004A3003" w:rsidRDefault="004A3003" w:rsidP="006B0D14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:rsidR="00780926" w:rsidRPr="00774BE8" w:rsidRDefault="00780926" w:rsidP="006B0D14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774BE8">
        <w:rPr>
          <w:szCs w:val="22"/>
          <w:lang w:eastAsia="en-US"/>
        </w:rPr>
        <w:t>Úplný zoznam pomocných látok, pozri časť 6.1.</w:t>
      </w:r>
    </w:p>
    <w:p w:rsidR="00797755" w:rsidRPr="00192C5B" w:rsidRDefault="00797755" w:rsidP="00797755">
      <w:pPr>
        <w:pStyle w:val="EMEAEnBodyText"/>
        <w:autoSpaceDE w:val="0"/>
        <w:autoSpaceDN w:val="0"/>
        <w:adjustRightInd w:val="0"/>
        <w:spacing w:before="0" w:after="0"/>
        <w:rPr>
          <w:lang w:val="en-GB"/>
        </w:rPr>
      </w:pPr>
    </w:p>
    <w:p w:rsidR="00780926" w:rsidRPr="00774BE8" w:rsidRDefault="00780926" w:rsidP="00DD5AF6">
      <w:pPr>
        <w:rPr>
          <w:szCs w:val="22"/>
        </w:rPr>
      </w:pPr>
    </w:p>
    <w:p w:rsidR="00780926" w:rsidRPr="00774BE8" w:rsidRDefault="00780926" w:rsidP="00774BE8">
      <w:pPr>
        <w:rPr>
          <w:caps/>
          <w:szCs w:val="22"/>
        </w:rPr>
      </w:pPr>
      <w:r w:rsidRPr="00774BE8">
        <w:rPr>
          <w:b/>
          <w:szCs w:val="22"/>
        </w:rPr>
        <w:t>3.</w:t>
      </w:r>
      <w:r w:rsidRPr="00774BE8">
        <w:rPr>
          <w:b/>
          <w:szCs w:val="22"/>
        </w:rPr>
        <w:tab/>
        <w:t>LIEKOVÁ FORMA</w:t>
      </w:r>
    </w:p>
    <w:p w:rsidR="00780926" w:rsidRPr="00774BE8" w:rsidRDefault="00780926" w:rsidP="00774BE8">
      <w:pPr>
        <w:rPr>
          <w:szCs w:val="22"/>
        </w:rPr>
      </w:pPr>
    </w:p>
    <w:p w:rsidR="003E62F0" w:rsidRDefault="003E62F0" w:rsidP="003E62F0">
      <w:pPr>
        <w:rPr>
          <w:szCs w:val="22"/>
        </w:rPr>
      </w:pPr>
      <w:r>
        <w:rPr>
          <w:szCs w:val="22"/>
        </w:rPr>
        <w:t>Impregnovaný obväz</w:t>
      </w:r>
    </w:p>
    <w:p w:rsidR="003E62F0" w:rsidRPr="00192C5B" w:rsidRDefault="003E62F0" w:rsidP="003E62F0"/>
    <w:p w:rsidR="003E62F0" w:rsidRDefault="003E62F0" w:rsidP="00BF229F">
      <w:pPr>
        <w:ind w:left="0" w:firstLine="0"/>
        <w:rPr>
          <w:noProof/>
          <w:szCs w:val="22"/>
        </w:rPr>
      </w:pPr>
      <w:r>
        <w:rPr>
          <w:szCs w:val="22"/>
        </w:rPr>
        <w:t xml:space="preserve">Impregnovaný obväz </w:t>
      </w:r>
      <w:r w:rsidR="00DD3EED">
        <w:rPr>
          <w:szCs w:val="22"/>
        </w:rPr>
        <w:t xml:space="preserve">sa skladá </w:t>
      </w:r>
      <w:r w:rsidR="00C40B62">
        <w:rPr>
          <w:szCs w:val="22"/>
        </w:rPr>
        <w:t xml:space="preserve">z </w:t>
      </w:r>
      <w:r w:rsidR="00DD3EED">
        <w:rPr>
          <w:noProof/>
          <w:szCs w:val="22"/>
        </w:rPr>
        <w:t>bavlnenej gázy veľkosti</w:t>
      </w:r>
      <w:r w:rsidR="00DD3EED" w:rsidRPr="00565E10">
        <w:rPr>
          <w:noProof/>
          <w:szCs w:val="22"/>
        </w:rPr>
        <w:t xml:space="preserve"> </w:t>
      </w:r>
      <w:r w:rsidR="00C40B62" w:rsidRPr="00565E10">
        <w:rPr>
          <w:noProof/>
          <w:szCs w:val="22"/>
        </w:rPr>
        <w:t>10</w:t>
      </w:r>
      <w:r w:rsidR="00C40B62">
        <w:rPr>
          <w:noProof/>
          <w:szCs w:val="22"/>
        </w:rPr>
        <w:t xml:space="preserve"> cm </w:t>
      </w:r>
      <w:r w:rsidR="00C40B62" w:rsidRPr="00565E10">
        <w:rPr>
          <w:noProof/>
          <w:szCs w:val="22"/>
        </w:rPr>
        <w:t>x 10</w:t>
      </w:r>
      <w:r w:rsidR="00C40B62">
        <w:rPr>
          <w:noProof/>
          <w:szCs w:val="22"/>
        </w:rPr>
        <w:t xml:space="preserve"> cm, </w:t>
      </w:r>
      <w:r>
        <w:rPr>
          <w:noProof/>
          <w:szCs w:val="22"/>
        </w:rPr>
        <w:t xml:space="preserve">ktorá je impregnovaná masťou. </w:t>
      </w:r>
    </w:p>
    <w:p w:rsidR="003E62F0" w:rsidRPr="00192C5B" w:rsidRDefault="003E62F0" w:rsidP="003E62F0">
      <w:r>
        <w:rPr>
          <w:noProof/>
          <w:szCs w:val="22"/>
        </w:rPr>
        <w:t>Mas</w:t>
      </w:r>
      <w:r w:rsidRPr="00D6486B">
        <w:rPr>
          <w:noProof/>
          <w:szCs w:val="22"/>
        </w:rPr>
        <w:t>ť je sivobielej až</w:t>
      </w:r>
      <w:r>
        <w:rPr>
          <w:noProof/>
          <w:szCs w:val="22"/>
        </w:rPr>
        <w:t xml:space="preserve"> bielej farby.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DD5AF6">
      <w:pPr>
        <w:rPr>
          <w:szCs w:val="22"/>
        </w:rPr>
      </w:pPr>
    </w:p>
    <w:p w:rsidR="00780926" w:rsidRPr="00774BE8" w:rsidRDefault="00780926" w:rsidP="00DD5AF6">
      <w:pPr>
        <w:rPr>
          <w:caps/>
          <w:szCs w:val="22"/>
        </w:rPr>
      </w:pPr>
      <w:r w:rsidRPr="00774BE8">
        <w:rPr>
          <w:b/>
          <w:caps/>
          <w:szCs w:val="22"/>
        </w:rPr>
        <w:t>4.</w:t>
      </w:r>
      <w:r w:rsidRPr="00774BE8">
        <w:rPr>
          <w:b/>
          <w:caps/>
          <w:szCs w:val="22"/>
        </w:rPr>
        <w:tab/>
        <w:t>KLINICKÉ ÚDAJE</w:t>
      </w:r>
    </w:p>
    <w:p w:rsidR="00780926" w:rsidRPr="00774BE8" w:rsidRDefault="00780926" w:rsidP="00774BE8">
      <w:pPr>
        <w:rPr>
          <w:szCs w:val="22"/>
        </w:rPr>
      </w:pPr>
    </w:p>
    <w:p w:rsidR="00780926" w:rsidRPr="00774BE8" w:rsidRDefault="00780926" w:rsidP="00774BE8">
      <w:pPr>
        <w:rPr>
          <w:szCs w:val="22"/>
        </w:rPr>
      </w:pPr>
      <w:r w:rsidRPr="00774BE8">
        <w:rPr>
          <w:b/>
          <w:szCs w:val="22"/>
        </w:rPr>
        <w:t>4.1</w:t>
      </w:r>
      <w:r w:rsidRPr="00774BE8">
        <w:rPr>
          <w:b/>
          <w:szCs w:val="22"/>
        </w:rPr>
        <w:tab/>
        <w:t>Terapeutické indikácie</w:t>
      </w:r>
    </w:p>
    <w:p w:rsidR="00791416" w:rsidRDefault="00791416" w:rsidP="00774BE8">
      <w:pPr>
        <w:rPr>
          <w:szCs w:val="22"/>
        </w:rPr>
      </w:pPr>
    </w:p>
    <w:p w:rsidR="00EC6954" w:rsidRDefault="00EC6954" w:rsidP="00E26692">
      <w:pPr>
        <w:ind w:left="0" w:firstLine="0"/>
      </w:pPr>
      <w:r w:rsidRPr="00422854">
        <w:rPr>
          <w:noProof/>
          <w:szCs w:val="22"/>
        </w:rPr>
        <w:t>Fucidin je indikovaný</w:t>
      </w:r>
      <w:r>
        <w:rPr>
          <w:noProof/>
          <w:szCs w:val="22"/>
        </w:rPr>
        <w:t xml:space="preserve"> </w:t>
      </w:r>
      <w:r w:rsidR="007F5EF7" w:rsidRPr="00200581">
        <w:rPr>
          <w:szCs w:val="22"/>
        </w:rPr>
        <w:t>deťom</w:t>
      </w:r>
      <w:r w:rsidR="007F5EF7" w:rsidRPr="00200581">
        <w:rPr>
          <w:noProof/>
          <w:szCs w:val="22"/>
        </w:rPr>
        <w:t xml:space="preserve"> vo veku od </w:t>
      </w:r>
      <w:r w:rsidR="007F5EF7" w:rsidRPr="00200581">
        <w:rPr>
          <w:szCs w:val="22"/>
        </w:rPr>
        <w:t>1 roka a dospelým</w:t>
      </w:r>
      <w:r w:rsidR="007F5EF7">
        <w:rPr>
          <w:noProof/>
          <w:szCs w:val="22"/>
        </w:rPr>
        <w:t xml:space="preserve"> </w:t>
      </w:r>
      <w:r>
        <w:rPr>
          <w:noProof/>
          <w:szCs w:val="22"/>
        </w:rPr>
        <w:t xml:space="preserve">na liečbu kožných infekcií spôsobených baktériami citlivými </w:t>
      </w:r>
      <w:r w:rsidRPr="00200581">
        <w:rPr>
          <w:noProof/>
          <w:szCs w:val="22"/>
        </w:rPr>
        <w:t xml:space="preserve">na </w:t>
      </w:r>
      <w:r w:rsidR="00865742">
        <w:rPr>
          <w:noProof/>
          <w:szCs w:val="22"/>
        </w:rPr>
        <w:t xml:space="preserve">sodnú soľ </w:t>
      </w:r>
      <w:r w:rsidRPr="00200581">
        <w:rPr>
          <w:szCs w:val="22"/>
        </w:rPr>
        <w:t>fusidát</w:t>
      </w:r>
      <w:r w:rsidR="00865742">
        <w:rPr>
          <w:szCs w:val="22"/>
        </w:rPr>
        <w:t>u</w:t>
      </w:r>
      <w:r w:rsidRPr="00200581">
        <w:rPr>
          <w:noProof/>
          <w:szCs w:val="22"/>
        </w:rPr>
        <w:t>. Informácie týkajúce sa citlivosti baktérií</w:t>
      </w:r>
      <w:r w:rsidR="000A7DF2" w:rsidRPr="00200581">
        <w:rPr>
          <w:noProof/>
          <w:szCs w:val="22"/>
        </w:rPr>
        <w:t xml:space="preserve"> sú uvedené</w:t>
      </w:r>
      <w:r w:rsidR="000A7DF2">
        <w:rPr>
          <w:noProof/>
          <w:szCs w:val="22"/>
        </w:rPr>
        <w:t xml:space="preserve"> v časti </w:t>
      </w:r>
      <w:r w:rsidRPr="00192C5B">
        <w:t>5.1.</w:t>
      </w:r>
    </w:p>
    <w:p w:rsidR="00870980" w:rsidRPr="00192C5B" w:rsidRDefault="00870980" w:rsidP="00E26692">
      <w:pPr>
        <w:ind w:left="0" w:firstLine="0"/>
      </w:pPr>
    </w:p>
    <w:p w:rsidR="000A7DF2" w:rsidRPr="00774BE8" w:rsidRDefault="000A7DF2" w:rsidP="000A7DF2">
      <w:pPr>
        <w:autoSpaceDE w:val="0"/>
        <w:autoSpaceDN w:val="0"/>
        <w:adjustRightInd w:val="0"/>
        <w:ind w:left="0" w:firstLine="0"/>
        <w:rPr>
          <w:szCs w:val="22"/>
        </w:rPr>
      </w:pPr>
      <w:r w:rsidRPr="00774BE8">
        <w:rPr>
          <w:szCs w:val="22"/>
        </w:rPr>
        <w:t>Je potrebné vziať do úvahy oficiálne odporúčania pre správne používanie antibakteriálnych látok.</w:t>
      </w:r>
    </w:p>
    <w:p w:rsidR="00EC6954" w:rsidRDefault="006A5254" w:rsidP="00EC6954">
      <w:r>
        <w:t>Predpisujúci lekári majú zvážiť údaje o miestnej rezistencii a citlivosti.</w:t>
      </w:r>
    </w:p>
    <w:p w:rsidR="00EC6954" w:rsidRPr="00774BE8" w:rsidRDefault="00EC6954" w:rsidP="00EC6954">
      <w:pPr>
        <w:rPr>
          <w:szCs w:val="22"/>
        </w:rPr>
      </w:pPr>
    </w:p>
    <w:p w:rsidR="00780926" w:rsidRPr="00774BE8" w:rsidRDefault="00780926" w:rsidP="00774BE8">
      <w:pPr>
        <w:rPr>
          <w:b/>
          <w:szCs w:val="22"/>
        </w:rPr>
      </w:pPr>
      <w:r w:rsidRPr="00774BE8">
        <w:rPr>
          <w:b/>
          <w:szCs w:val="22"/>
        </w:rPr>
        <w:t>4.2</w:t>
      </w:r>
      <w:r w:rsidRPr="00774BE8">
        <w:rPr>
          <w:b/>
          <w:szCs w:val="22"/>
        </w:rPr>
        <w:tab/>
        <w:t>Dávkovanie a spôsob podávania</w:t>
      </w:r>
    </w:p>
    <w:p w:rsidR="00780926" w:rsidRPr="00774BE8" w:rsidRDefault="00780926" w:rsidP="00774BE8">
      <w:pPr>
        <w:rPr>
          <w:szCs w:val="22"/>
        </w:rPr>
      </w:pPr>
    </w:p>
    <w:p w:rsidR="00666F25" w:rsidRPr="005942E0" w:rsidRDefault="00666F25" w:rsidP="00BF229F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Dospelí a deti vo veku od 1 roka</w:t>
      </w:r>
      <w:r w:rsidRPr="00781AA4">
        <w:rPr>
          <w:szCs w:val="22"/>
        </w:rPr>
        <w:t>:</w:t>
      </w:r>
      <w:r w:rsidRPr="00192C5B">
        <w:rPr>
          <w:szCs w:val="22"/>
        </w:rPr>
        <w:t xml:space="preserve"> </w:t>
      </w:r>
      <w:r w:rsidRPr="00192C5B">
        <w:t xml:space="preserve">Fucidin </w:t>
      </w:r>
      <w:r>
        <w:t xml:space="preserve">sa má </w:t>
      </w:r>
      <w:r w:rsidR="00143322">
        <w:t>použ</w:t>
      </w:r>
      <w:r w:rsidR="00FD4B86">
        <w:t xml:space="preserve">ívať </w:t>
      </w:r>
      <w:r>
        <w:t xml:space="preserve">raz </w:t>
      </w:r>
      <w:r w:rsidRPr="007D4A04">
        <w:t xml:space="preserve">denne počas </w:t>
      </w:r>
      <w:r w:rsidR="00E00271" w:rsidRPr="007D4A04">
        <w:t xml:space="preserve">maximálne </w:t>
      </w:r>
      <w:r w:rsidRPr="007D4A04">
        <w:rPr>
          <w:szCs w:val="22"/>
        </w:rPr>
        <w:t>14 dní.</w:t>
      </w:r>
      <w:r w:rsidRPr="005942E0">
        <w:rPr>
          <w:szCs w:val="22"/>
        </w:rPr>
        <w:t xml:space="preserve"> </w:t>
      </w:r>
    </w:p>
    <w:p w:rsidR="00666F25" w:rsidRPr="005942E0" w:rsidRDefault="00666F25" w:rsidP="00666F25">
      <w:pPr>
        <w:suppressLineNumbers/>
        <w:autoSpaceDE w:val="0"/>
        <w:autoSpaceDN w:val="0"/>
        <w:adjustRightInd w:val="0"/>
        <w:rPr>
          <w:szCs w:val="22"/>
        </w:rPr>
      </w:pPr>
    </w:p>
    <w:p w:rsidR="00E00271" w:rsidRPr="00774BE8" w:rsidRDefault="00E00271" w:rsidP="00E00271">
      <w:pPr>
        <w:rPr>
          <w:szCs w:val="22"/>
          <w:u w:val="single"/>
        </w:rPr>
      </w:pPr>
      <w:r w:rsidRPr="00774BE8">
        <w:rPr>
          <w:szCs w:val="22"/>
          <w:u w:val="single"/>
        </w:rPr>
        <w:t>Osobitné skupiny pacientov</w:t>
      </w:r>
    </w:p>
    <w:p w:rsidR="00666F25" w:rsidRPr="005942E0" w:rsidRDefault="00666F25" w:rsidP="00666F25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:rsidR="00666F25" w:rsidRPr="005942E0" w:rsidRDefault="00E00271" w:rsidP="00666F25">
      <w:pPr>
        <w:suppressLineNumbers/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Starší pacienti</w:t>
      </w:r>
    </w:p>
    <w:p w:rsidR="009339DE" w:rsidRPr="00774BE8" w:rsidRDefault="00D0040F" w:rsidP="009339D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Pri </w:t>
      </w:r>
      <w:r w:rsidR="009339DE" w:rsidRPr="00774BE8">
        <w:rPr>
          <w:szCs w:val="22"/>
        </w:rPr>
        <w:t>liek</w:t>
      </w:r>
      <w:r>
        <w:rPr>
          <w:szCs w:val="22"/>
        </w:rPr>
        <w:t>u</w:t>
      </w:r>
      <w:r w:rsidR="009339DE" w:rsidRPr="00774BE8">
        <w:rPr>
          <w:szCs w:val="22"/>
        </w:rPr>
        <w:t xml:space="preserve"> Fuci</w:t>
      </w:r>
      <w:r w:rsidR="009339DE">
        <w:rPr>
          <w:szCs w:val="22"/>
        </w:rPr>
        <w:t>din</w:t>
      </w:r>
      <w:r w:rsidR="009339DE" w:rsidRPr="006B0D14">
        <w:rPr>
          <w:szCs w:val="22"/>
        </w:rPr>
        <w:t xml:space="preserve"> neboli zistené žiadne osobitné riziká </w:t>
      </w:r>
      <w:r w:rsidR="009339DE" w:rsidRPr="00DD5AF6">
        <w:rPr>
          <w:szCs w:val="22"/>
        </w:rPr>
        <w:t xml:space="preserve">u </w:t>
      </w:r>
      <w:r w:rsidR="009339DE" w:rsidRPr="00774BE8">
        <w:rPr>
          <w:szCs w:val="22"/>
        </w:rPr>
        <w:t>starš</w:t>
      </w:r>
      <w:r w:rsidR="009339DE">
        <w:rPr>
          <w:szCs w:val="22"/>
        </w:rPr>
        <w:t>ích pacientov.</w:t>
      </w:r>
      <w:r w:rsidR="009339DE" w:rsidRPr="00774BE8">
        <w:rPr>
          <w:szCs w:val="22"/>
        </w:rPr>
        <w:t xml:space="preserve"> Nevyžadujú sa žiadne zvláštne opatrenia alebo úprava dávkovania.</w:t>
      </w:r>
    </w:p>
    <w:p w:rsidR="00666F25" w:rsidRPr="00192C5B" w:rsidRDefault="00666F25" w:rsidP="00666F25">
      <w:pPr>
        <w:suppressLineNumbers/>
        <w:autoSpaceDE w:val="0"/>
        <w:autoSpaceDN w:val="0"/>
        <w:adjustRightInd w:val="0"/>
        <w:rPr>
          <w:i/>
          <w:szCs w:val="22"/>
        </w:rPr>
      </w:pPr>
    </w:p>
    <w:p w:rsidR="009339DE" w:rsidRPr="00774BE8" w:rsidRDefault="009339DE" w:rsidP="009339DE">
      <w:pPr>
        <w:rPr>
          <w:i/>
          <w:szCs w:val="22"/>
        </w:rPr>
      </w:pPr>
      <w:r w:rsidRPr="00774BE8">
        <w:rPr>
          <w:i/>
          <w:szCs w:val="22"/>
        </w:rPr>
        <w:t>Porucha funkcie obličiek</w:t>
      </w:r>
    </w:p>
    <w:p w:rsidR="00140C6E" w:rsidRPr="00774BE8" w:rsidRDefault="00D0040F" w:rsidP="00140C6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Pri </w:t>
      </w:r>
      <w:r w:rsidRPr="00774BE8">
        <w:rPr>
          <w:szCs w:val="22"/>
        </w:rPr>
        <w:t>liek</w:t>
      </w:r>
      <w:r>
        <w:rPr>
          <w:szCs w:val="22"/>
        </w:rPr>
        <w:t>u</w:t>
      </w:r>
      <w:r w:rsidRPr="00774BE8">
        <w:rPr>
          <w:szCs w:val="22"/>
        </w:rPr>
        <w:t xml:space="preserve"> </w:t>
      </w:r>
      <w:r w:rsidR="00140C6E" w:rsidRPr="00BE5007">
        <w:rPr>
          <w:szCs w:val="22"/>
        </w:rPr>
        <w:t>Fuci</w:t>
      </w:r>
      <w:r w:rsidR="00140C6E">
        <w:rPr>
          <w:szCs w:val="22"/>
        </w:rPr>
        <w:t>din</w:t>
      </w:r>
      <w:r w:rsidR="00140C6E" w:rsidRPr="006B0D14">
        <w:rPr>
          <w:szCs w:val="22"/>
        </w:rPr>
        <w:t xml:space="preserve"> neboli zistené žiadne osobitné riziká </w:t>
      </w:r>
      <w:r w:rsidR="00140C6E" w:rsidRPr="00DD5AF6">
        <w:rPr>
          <w:szCs w:val="22"/>
        </w:rPr>
        <w:t>u pacientov s poruchou</w:t>
      </w:r>
      <w:r w:rsidR="00140C6E" w:rsidRPr="00774BE8">
        <w:rPr>
          <w:szCs w:val="22"/>
        </w:rPr>
        <w:t xml:space="preserve"> funkcie obličiek. Nevyžadujú sa žiadne zvláštne opatrenia alebo úprava dávkovania.</w:t>
      </w:r>
    </w:p>
    <w:p w:rsidR="00666F25" w:rsidRPr="00192C5B" w:rsidRDefault="00666F25" w:rsidP="00666F25">
      <w:pPr>
        <w:suppressLineNumbers/>
        <w:autoSpaceDE w:val="0"/>
        <w:autoSpaceDN w:val="0"/>
        <w:adjustRightInd w:val="0"/>
        <w:rPr>
          <w:szCs w:val="22"/>
        </w:rPr>
      </w:pPr>
    </w:p>
    <w:p w:rsidR="00140C6E" w:rsidRPr="00774BE8" w:rsidRDefault="00140C6E" w:rsidP="00140C6E">
      <w:pPr>
        <w:keepNext/>
        <w:keepLines/>
        <w:rPr>
          <w:i/>
          <w:szCs w:val="22"/>
        </w:rPr>
      </w:pPr>
      <w:r w:rsidRPr="00774BE8">
        <w:rPr>
          <w:i/>
          <w:szCs w:val="22"/>
        </w:rPr>
        <w:t>Porucha funkcie pečene</w:t>
      </w:r>
    </w:p>
    <w:p w:rsidR="00140C6E" w:rsidRPr="00774BE8" w:rsidRDefault="00D0040F" w:rsidP="00140C6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Pri </w:t>
      </w:r>
      <w:r w:rsidRPr="00774BE8">
        <w:rPr>
          <w:szCs w:val="22"/>
        </w:rPr>
        <w:t>liek</w:t>
      </w:r>
      <w:r>
        <w:rPr>
          <w:szCs w:val="22"/>
        </w:rPr>
        <w:t>u</w:t>
      </w:r>
      <w:r w:rsidRPr="00774BE8">
        <w:rPr>
          <w:szCs w:val="22"/>
        </w:rPr>
        <w:t xml:space="preserve"> </w:t>
      </w:r>
      <w:r w:rsidR="00140C6E" w:rsidRPr="00BE5007">
        <w:rPr>
          <w:szCs w:val="22"/>
        </w:rPr>
        <w:t>Fuci</w:t>
      </w:r>
      <w:r w:rsidR="00140C6E">
        <w:rPr>
          <w:szCs w:val="22"/>
        </w:rPr>
        <w:t>din</w:t>
      </w:r>
      <w:r w:rsidR="00140C6E" w:rsidRPr="006B0D14">
        <w:rPr>
          <w:szCs w:val="22"/>
        </w:rPr>
        <w:t xml:space="preserve"> neboli zistené žiadne osobitné riziká </w:t>
      </w:r>
      <w:r w:rsidR="00140C6E" w:rsidRPr="00DD5AF6">
        <w:rPr>
          <w:szCs w:val="22"/>
        </w:rPr>
        <w:t>u pacientov s poruchou funkcie pečene. Nevyžadujú sa žiadne zvláštne opatrenia al</w:t>
      </w:r>
      <w:r w:rsidR="00140C6E" w:rsidRPr="00774BE8">
        <w:rPr>
          <w:szCs w:val="22"/>
        </w:rPr>
        <w:t>ebo úprava dávkovania.</w:t>
      </w:r>
    </w:p>
    <w:p w:rsidR="00B50B11" w:rsidRDefault="00B50B11" w:rsidP="00666F25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:rsidR="00666F25" w:rsidRPr="00192C5B" w:rsidRDefault="00B50B11" w:rsidP="00666F25">
      <w:pPr>
        <w:suppressLineNumbers/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  <w:u w:val="single"/>
        </w:rPr>
        <w:lastRenderedPageBreak/>
        <w:t>Spôsob podávania</w:t>
      </w:r>
    </w:p>
    <w:p w:rsidR="00666F25" w:rsidRPr="00192C5B" w:rsidRDefault="00666F25" w:rsidP="00666F25"/>
    <w:p w:rsidR="00666F25" w:rsidRPr="00192C5B" w:rsidRDefault="00666F25" w:rsidP="00666F25">
      <w:pPr>
        <w:rPr>
          <w:szCs w:val="22"/>
        </w:rPr>
      </w:pPr>
      <w:r w:rsidRPr="00192C5B">
        <w:rPr>
          <w:szCs w:val="22"/>
        </w:rPr>
        <w:t xml:space="preserve">Fucidin </w:t>
      </w:r>
      <w:r w:rsidR="00AE1BAE">
        <w:rPr>
          <w:szCs w:val="22"/>
        </w:rPr>
        <w:t>je určený len na kožné použitie</w:t>
      </w:r>
      <w:r w:rsidRPr="00192C5B">
        <w:rPr>
          <w:szCs w:val="22"/>
        </w:rPr>
        <w:t>.</w:t>
      </w:r>
    </w:p>
    <w:p w:rsidR="00666F25" w:rsidRPr="00192C5B" w:rsidRDefault="00666F25" w:rsidP="00666F25">
      <w:pPr>
        <w:rPr>
          <w:szCs w:val="22"/>
        </w:rPr>
      </w:pPr>
    </w:p>
    <w:p w:rsidR="00666F25" w:rsidRPr="005942E0" w:rsidRDefault="00153F98" w:rsidP="00BF229F">
      <w:pPr>
        <w:spacing w:before="40"/>
        <w:ind w:left="0" w:firstLine="0"/>
        <w:rPr>
          <w:szCs w:val="22"/>
        </w:rPr>
      </w:pPr>
      <w:r w:rsidRPr="00BC293C">
        <w:rPr>
          <w:szCs w:val="22"/>
        </w:rPr>
        <w:t>Pred</w:t>
      </w:r>
      <w:r w:rsidR="00BC293C" w:rsidRPr="00BC293C">
        <w:rPr>
          <w:szCs w:val="22"/>
        </w:rPr>
        <w:t xml:space="preserve"> </w:t>
      </w:r>
      <w:r w:rsidRPr="00BC293C">
        <w:rPr>
          <w:szCs w:val="22"/>
        </w:rPr>
        <w:t xml:space="preserve">použitím lieku </w:t>
      </w:r>
      <w:r w:rsidR="00666F25" w:rsidRPr="00BC293C">
        <w:rPr>
          <w:szCs w:val="22"/>
        </w:rPr>
        <w:t>Fucidin</w:t>
      </w:r>
      <w:r w:rsidRPr="00BC293C">
        <w:rPr>
          <w:szCs w:val="22"/>
        </w:rPr>
        <w:t xml:space="preserve"> sa musia odstrániť z impregnovaného obväzu dva kusy pergamenového papiera</w:t>
      </w:r>
      <w:r w:rsidR="00666F25" w:rsidRPr="00BC293C">
        <w:rPr>
          <w:szCs w:val="22"/>
        </w:rPr>
        <w:t xml:space="preserve">. </w:t>
      </w:r>
      <w:r w:rsidRPr="00BC293C">
        <w:rPr>
          <w:szCs w:val="22"/>
        </w:rPr>
        <w:t xml:space="preserve">Impregnovaný obväz sa priloží na infikovanú oblasť </w:t>
      </w:r>
      <w:r w:rsidR="00666F25" w:rsidRPr="00BC293C">
        <w:rPr>
          <w:szCs w:val="22"/>
        </w:rPr>
        <w:t>a</w:t>
      </w:r>
      <w:r w:rsidRPr="00BC293C">
        <w:rPr>
          <w:szCs w:val="22"/>
        </w:rPr>
        <w:t> upevní sa napríklad ovínadlom</w:t>
      </w:r>
      <w:r w:rsidR="00666F25" w:rsidRPr="00BC293C">
        <w:rPr>
          <w:szCs w:val="22"/>
        </w:rPr>
        <w:t xml:space="preserve">. </w:t>
      </w:r>
      <w:r w:rsidR="00465514" w:rsidRPr="00BC293C">
        <w:rPr>
          <w:szCs w:val="22"/>
        </w:rPr>
        <w:t>Impregnovaný obväz sa musí vymieňať raz denne.</w:t>
      </w:r>
      <w:r w:rsidR="00666F25" w:rsidRPr="00BC293C">
        <w:rPr>
          <w:szCs w:val="22"/>
        </w:rPr>
        <w:t xml:space="preserve"> </w:t>
      </w:r>
      <w:r w:rsidR="00465514" w:rsidRPr="00BC293C">
        <w:rPr>
          <w:szCs w:val="22"/>
        </w:rPr>
        <w:t>V prípade potreby je možné impregnovaný</w:t>
      </w:r>
      <w:r w:rsidR="00465514">
        <w:rPr>
          <w:szCs w:val="22"/>
        </w:rPr>
        <w:t xml:space="preserve"> obväz pred odstránením pergamenového papiera odstrihnúť na vhodnú veľkosť. </w:t>
      </w:r>
      <w:r w:rsidR="00BC6756">
        <w:rPr>
          <w:szCs w:val="22"/>
        </w:rPr>
        <w:t>Impregnovaný obväz má prekryť celú infikovanú oblasť</w:t>
      </w:r>
      <w:r w:rsidR="00666F25" w:rsidRPr="005942E0">
        <w:rPr>
          <w:szCs w:val="22"/>
        </w:rPr>
        <w:t>.</w:t>
      </w:r>
    </w:p>
    <w:p w:rsidR="00780926" w:rsidRPr="006B0D14" w:rsidRDefault="00780926" w:rsidP="006B0D14">
      <w:pPr>
        <w:rPr>
          <w:szCs w:val="22"/>
        </w:rPr>
      </w:pPr>
    </w:p>
    <w:p w:rsidR="00780926" w:rsidRPr="00DD5AF6" w:rsidRDefault="00780926" w:rsidP="00DD5AF6">
      <w:pPr>
        <w:rPr>
          <w:szCs w:val="22"/>
        </w:rPr>
      </w:pPr>
      <w:r w:rsidRPr="00DD5AF6">
        <w:rPr>
          <w:b/>
          <w:szCs w:val="22"/>
        </w:rPr>
        <w:t>4.3</w:t>
      </w:r>
      <w:r w:rsidRPr="00DD5AF6">
        <w:rPr>
          <w:b/>
          <w:szCs w:val="22"/>
        </w:rPr>
        <w:tab/>
        <w:t>Kontraindikácie</w:t>
      </w:r>
    </w:p>
    <w:p w:rsidR="00780926" w:rsidRPr="00774BE8" w:rsidRDefault="00780926" w:rsidP="00774BE8">
      <w:pPr>
        <w:rPr>
          <w:szCs w:val="22"/>
        </w:rPr>
      </w:pPr>
    </w:p>
    <w:p w:rsidR="00780926" w:rsidRPr="00774BE8" w:rsidRDefault="00780926" w:rsidP="00774BE8">
      <w:pPr>
        <w:pStyle w:val="Zkladntext"/>
        <w:rPr>
          <w:szCs w:val="22"/>
        </w:rPr>
      </w:pPr>
      <w:r w:rsidRPr="00774BE8">
        <w:rPr>
          <w:szCs w:val="22"/>
        </w:rPr>
        <w:t xml:space="preserve">Precitlivenosť na </w:t>
      </w:r>
      <w:r w:rsidR="00DA3C1D">
        <w:rPr>
          <w:szCs w:val="22"/>
        </w:rPr>
        <w:t>liečivo</w:t>
      </w:r>
      <w:r w:rsidR="00854192" w:rsidRPr="00774BE8">
        <w:rPr>
          <w:szCs w:val="22"/>
        </w:rPr>
        <w:t xml:space="preserve"> </w:t>
      </w:r>
      <w:r w:rsidRPr="00774BE8">
        <w:rPr>
          <w:szCs w:val="22"/>
        </w:rPr>
        <w:t xml:space="preserve">alebo na ktorúkoľvek z pomocných látok </w:t>
      </w:r>
      <w:r w:rsidR="001B73FD" w:rsidRPr="00774BE8">
        <w:rPr>
          <w:szCs w:val="22"/>
        </w:rPr>
        <w:t>uvedených v časti 6.1.</w:t>
      </w:r>
    </w:p>
    <w:p w:rsidR="00780926" w:rsidRPr="00774BE8" w:rsidRDefault="00780926" w:rsidP="006B0D14">
      <w:pPr>
        <w:ind w:left="0" w:firstLine="0"/>
        <w:rPr>
          <w:szCs w:val="22"/>
        </w:rPr>
      </w:pPr>
    </w:p>
    <w:p w:rsidR="00780926" w:rsidRPr="00774BE8" w:rsidRDefault="00780926" w:rsidP="00DD5AF6">
      <w:pPr>
        <w:rPr>
          <w:b/>
          <w:szCs w:val="22"/>
        </w:rPr>
      </w:pPr>
      <w:r w:rsidRPr="00774BE8">
        <w:rPr>
          <w:b/>
          <w:szCs w:val="22"/>
        </w:rPr>
        <w:t>4.4</w:t>
      </w:r>
      <w:r w:rsidRPr="00774BE8">
        <w:rPr>
          <w:b/>
          <w:szCs w:val="22"/>
        </w:rPr>
        <w:tab/>
        <w:t>Osobitné upozornenia a opatrenia pri používaní</w:t>
      </w:r>
    </w:p>
    <w:p w:rsidR="00E1698A" w:rsidRPr="00774BE8" w:rsidRDefault="00E1698A" w:rsidP="00774BE8">
      <w:pPr>
        <w:rPr>
          <w:szCs w:val="22"/>
        </w:rPr>
      </w:pPr>
    </w:p>
    <w:p w:rsidR="00B53D02" w:rsidRDefault="00F73AE9" w:rsidP="00BF229F">
      <w:pPr>
        <w:ind w:left="0" w:firstLine="0"/>
        <w:rPr>
          <w:szCs w:val="22"/>
        </w:rPr>
      </w:pPr>
      <w:r>
        <w:rPr>
          <w:noProof/>
          <w:szCs w:val="22"/>
        </w:rPr>
        <w:t xml:space="preserve">Pri použití lieku Fucidin sa zaznamenal </w:t>
      </w:r>
      <w:r w:rsidRPr="00BC293C">
        <w:rPr>
          <w:noProof/>
          <w:szCs w:val="22"/>
        </w:rPr>
        <w:t xml:space="preserve">výskyt bakteriálnej rezistencie </w:t>
      </w:r>
      <w:r w:rsidR="00BC293C" w:rsidRPr="00BC293C">
        <w:rPr>
          <w:noProof/>
          <w:szCs w:val="22"/>
        </w:rPr>
        <w:t xml:space="preserve">u </w:t>
      </w:r>
      <w:r w:rsidRPr="00BC293C">
        <w:rPr>
          <w:i/>
          <w:noProof/>
          <w:szCs w:val="22"/>
        </w:rPr>
        <w:t>Staphylococcus aureus</w:t>
      </w:r>
      <w:r w:rsidR="00B53D02">
        <w:rPr>
          <w:i/>
          <w:noProof/>
          <w:szCs w:val="22"/>
        </w:rPr>
        <w:t>.</w:t>
      </w:r>
      <w:r w:rsidRPr="00192C5B">
        <w:rPr>
          <w:noProof/>
          <w:szCs w:val="22"/>
        </w:rPr>
        <w:t xml:space="preserve"> </w:t>
      </w:r>
      <w:r w:rsidR="00B53D02">
        <w:rPr>
          <w:noProof/>
          <w:szCs w:val="22"/>
        </w:rPr>
        <w:t>Podobne ako u všetkých antibiotík sa r</w:t>
      </w:r>
      <w:r w:rsidR="00B53D02" w:rsidRPr="006B0D14">
        <w:rPr>
          <w:szCs w:val="22"/>
        </w:rPr>
        <w:t>iziko vzniku rezistencie na antibiotiká môže zvýšiť nadmern</w:t>
      </w:r>
      <w:r w:rsidR="00B53D02">
        <w:rPr>
          <w:szCs w:val="22"/>
        </w:rPr>
        <w:t>ým</w:t>
      </w:r>
      <w:r w:rsidR="00B53D02" w:rsidRPr="006B0D14">
        <w:rPr>
          <w:szCs w:val="22"/>
        </w:rPr>
        <w:t xml:space="preserve"> alebo opakovan</w:t>
      </w:r>
      <w:r w:rsidR="00B53D02">
        <w:rPr>
          <w:szCs w:val="22"/>
        </w:rPr>
        <w:t>ým</w:t>
      </w:r>
      <w:r w:rsidR="00B53D02" w:rsidRPr="006B0D14">
        <w:rPr>
          <w:szCs w:val="22"/>
        </w:rPr>
        <w:t xml:space="preserve"> </w:t>
      </w:r>
      <w:r w:rsidR="00B53D02" w:rsidRPr="00BC293C">
        <w:rPr>
          <w:szCs w:val="22"/>
        </w:rPr>
        <w:t xml:space="preserve">používaním </w:t>
      </w:r>
      <w:r w:rsidR="00CE24BF">
        <w:rPr>
          <w:szCs w:val="22"/>
        </w:rPr>
        <w:t xml:space="preserve">sodnej soli </w:t>
      </w:r>
      <w:r w:rsidR="00B53D02" w:rsidRPr="00BC293C">
        <w:rPr>
          <w:szCs w:val="22"/>
        </w:rPr>
        <w:t>fusidátu.</w:t>
      </w:r>
      <w:r w:rsidR="00B53D02" w:rsidRPr="00DD5AF6">
        <w:rPr>
          <w:szCs w:val="22"/>
        </w:rPr>
        <w:t xml:space="preserve"> </w:t>
      </w:r>
    </w:p>
    <w:p w:rsidR="00F73AE9" w:rsidRPr="00192C5B" w:rsidRDefault="00F73AE9" w:rsidP="00F73AE9">
      <w:pPr>
        <w:rPr>
          <w:noProof/>
          <w:szCs w:val="22"/>
        </w:rPr>
      </w:pPr>
    </w:p>
    <w:p w:rsidR="0053388A" w:rsidRPr="00774BE8" w:rsidRDefault="0053388A" w:rsidP="0053388A">
      <w:pPr>
        <w:ind w:left="0" w:firstLine="0"/>
        <w:rPr>
          <w:szCs w:val="22"/>
        </w:rPr>
      </w:pPr>
      <w:r w:rsidRPr="00BC293C">
        <w:rPr>
          <w:szCs w:val="22"/>
        </w:rPr>
        <w:t xml:space="preserve">Ak sa Fucidin používa na tvár, je potrebné zabrániť kontaktu s očami, pretože pomocné látky </w:t>
      </w:r>
      <w:r w:rsidR="00BC293C" w:rsidRPr="00BC293C">
        <w:rPr>
          <w:szCs w:val="22"/>
        </w:rPr>
        <w:t xml:space="preserve">obsiahnuté </w:t>
      </w:r>
      <w:r w:rsidRPr="00BC293C">
        <w:rPr>
          <w:szCs w:val="22"/>
        </w:rPr>
        <w:t>v impregnovanom obväze môžu spôsobiť podráždenie spojovky.</w:t>
      </w:r>
    </w:p>
    <w:p w:rsidR="0053388A" w:rsidRPr="00774BE8" w:rsidRDefault="0053388A" w:rsidP="0053388A">
      <w:pPr>
        <w:ind w:left="0" w:firstLine="0"/>
        <w:rPr>
          <w:szCs w:val="22"/>
        </w:rPr>
      </w:pPr>
    </w:p>
    <w:p w:rsidR="00F73AE9" w:rsidRDefault="00F73AE9" w:rsidP="00F73AE9">
      <w:pPr>
        <w:suppressLineNumbers/>
        <w:rPr>
          <w:noProof/>
          <w:szCs w:val="22"/>
        </w:rPr>
      </w:pPr>
      <w:r w:rsidRPr="00192C5B">
        <w:rPr>
          <w:noProof/>
          <w:szCs w:val="22"/>
        </w:rPr>
        <w:t xml:space="preserve">Fucidin </w:t>
      </w:r>
      <w:r w:rsidR="0053388A">
        <w:rPr>
          <w:noProof/>
          <w:szCs w:val="22"/>
        </w:rPr>
        <w:t>sa nesmie používať na závažne poškodenú pokožku.</w:t>
      </w:r>
    </w:p>
    <w:p w:rsidR="00F73AE9" w:rsidRDefault="00F73AE9" w:rsidP="00F73AE9">
      <w:pPr>
        <w:suppressLineNumbers/>
        <w:rPr>
          <w:noProof/>
          <w:szCs w:val="22"/>
        </w:rPr>
      </w:pPr>
    </w:p>
    <w:p w:rsidR="00F73AE9" w:rsidRPr="00192C5B" w:rsidRDefault="00430F88" w:rsidP="00BF229F">
      <w:pPr>
        <w:suppressLineNumbers/>
        <w:ind w:left="0" w:firstLine="0"/>
        <w:rPr>
          <w:noProof/>
          <w:szCs w:val="22"/>
        </w:rPr>
      </w:pPr>
      <w:r>
        <w:rPr>
          <w:noProof/>
          <w:szCs w:val="22"/>
        </w:rPr>
        <w:t>Súbežné po</w:t>
      </w:r>
      <w:r w:rsidR="00F07728">
        <w:rPr>
          <w:noProof/>
          <w:szCs w:val="22"/>
        </w:rPr>
        <w:t xml:space="preserve">dávanie statínov a systémové </w:t>
      </w:r>
      <w:r w:rsidR="00F07728" w:rsidRPr="00430F88">
        <w:rPr>
          <w:noProof/>
          <w:szCs w:val="22"/>
        </w:rPr>
        <w:t>po</w:t>
      </w:r>
      <w:r>
        <w:rPr>
          <w:noProof/>
          <w:szCs w:val="22"/>
        </w:rPr>
        <w:t>užitie</w:t>
      </w:r>
      <w:r w:rsidR="00F07728" w:rsidRPr="00430F88">
        <w:rPr>
          <w:noProof/>
          <w:szCs w:val="22"/>
        </w:rPr>
        <w:t xml:space="preserve"> </w:t>
      </w:r>
      <w:r w:rsidR="00D51240">
        <w:rPr>
          <w:noProof/>
          <w:szCs w:val="22"/>
        </w:rPr>
        <w:t xml:space="preserve">sodnej soli </w:t>
      </w:r>
      <w:r w:rsidR="00F07728" w:rsidRPr="00430F88">
        <w:rPr>
          <w:szCs w:val="22"/>
        </w:rPr>
        <w:t>fusidátu sa neodporúča</w:t>
      </w:r>
      <w:r w:rsidR="00F07728">
        <w:rPr>
          <w:szCs w:val="22"/>
        </w:rPr>
        <w:t>. Počas liečby liekom Fucidin impregnovaný obväz sa má zvážiť dočasné prerušenie podávania statínov</w:t>
      </w:r>
      <w:r w:rsidR="00F73AE9" w:rsidRPr="008B1091">
        <w:rPr>
          <w:noProof/>
          <w:szCs w:val="22"/>
        </w:rPr>
        <w:t xml:space="preserve"> (</w:t>
      </w:r>
      <w:r w:rsidR="00F07728">
        <w:rPr>
          <w:noProof/>
          <w:szCs w:val="22"/>
        </w:rPr>
        <w:t>pozri časť</w:t>
      </w:r>
      <w:r w:rsidR="00F73AE9" w:rsidRPr="008B1091">
        <w:rPr>
          <w:noProof/>
          <w:szCs w:val="22"/>
        </w:rPr>
        <w:t xml:space="preserve"> 4.5).</w:t>
      </w:r>
    </w:p>
    <w:p w:rsidR="00F73AE9" w:rsidRPr="00192C5B" w:rsidRDefault="00F73AE9" w:rsidP="00F73AE9">
      <w:pPr>
        <w:rPr>
          <w:noProof/>
          <w:szCs w:val="22"/>
        </w:rPr>
      </w:pPr>
    </w:p>
    <w:p w:rsidR="00F73AE9" w:rsidRPr="00192C5B" w:rsidRDefault="00F73AE9" w:rsidP="00BF229F">
      <w:pPr>
        <w:ind w:left="0" w:firstLine="0"/>
        <w:rPr>
          <w:noProof/>
          <w:szCs w:val="22"/>
        </w:rPr>
      </w:pPr>
      <w:r w:rsidRPr="00192C5B">
        <w:rPr>
          <w:noProof/>
          <w:szCs w:val="22"/>
        </w:rPr>
        <w:t xml:space="preserve">Fucidin </w:t>
      </w:r>
      <w:r w:rsidR="00BE6C1C">
        <w:rPr>
          <w:noProof/>
          <w:szCs w:val="22"/>
        </w:rPr>
        <w:t xml:space="preserve">obsahuje </w:t>
      </w:r>
      <w:r w:rsidRPr="00192C5B">
        <w:rPr>
          <w:noProof/>
          <w:szCs w:val="22"/>
        </w:rPr>
        <w:t>cetylal</w:t>
      </w:r>
      <w:r w:rsidR="00BE6C1C">
        <w:rPr>
          <w:noProof/>
          <w:szCs w:val="22"/>
        </w:rPr>
        <w:t>k</w:t>
      </w:r>
      <w:r w:rsidRPr="00192C5B">
        <w:rPr>
          <w:noProof/>
          <w:szCs w:val="22"/>
        </w:rPr>
        <w:t>ohol a</w:t>
      </w:r>
      <w:r w:rsidR="00BE6C1C">
        <w:rPr>
          <w:noProof/>
          <w:szCs w:val="22"/>
        </w:rPr>
        <w:t> </w:t>
      </w:r>
      <w:r w:rsidR="00A83D4C">
        <w:rPr>
          <w:noProof/>
          <w:szCs w:val="22"/>
        </w:rPr>
        <w:t xml:space="preserve">vosk </w:t>
      </w:r>
      <w:r w:rsidR="00BE6C1C">
        <w:rPr>
          <w:noProof/>
          <w:szCs w:val="22"/>
        </w:rPr>
        <w:t>z ovčej vlny</w:t>
      </w:r>
      <w:r w:rsidRPr="00192C5B">
        <w:rPr>
          <w:noProof/>
          <w:szCs w:val="22"/>
        </w:rPr>
        <w:t>. T</w:t>
      </w:r>
      <w:r w:rsidR="00BE6C1C">
        <w:rPr>
          <w:noProof/>
          <w:szCs w:val="22"/>
        </w:rPr>
        <w:t>ie</w:t>
      </w:r>
      <w:r w:rsidR="002D5434">
        <w:rPr>
          <w:noProof/>
          <w:szCs w:val="22"/>
        </w:rPr>
        <w:t xml:space="preserve">to pomocné látky môžu spôsobiť </w:t>
      </w:r>
      <w:r w:rsidR="00BE6C1C">
        <w:rPr>
          <w:noProof/>
          <w:szCs w:val="22"/>
        </w:rPr>
        <w:t>lokálne kožn</w:t>
      </w:r>
      <w:r w:rsidR="002D5434">
        <w:rPr>
          <w:noProof/>
          <w:szCs w:val="22"/>
        </w:rPr>
        <w:t>é</w:t>
      </w:r>
      <w:r w:rsidR="00BE6C1C">
        <w:rPr>
          <w:noProof/>
          <w:szCs w:val="22"/>
        </w:rPr>
        <w:t xml:space="preserve"> vyrážky (napr. kontaktná dermatitída</w:t>
      </w:r>
      <w:r w:rsidRPr="00192C5B">
        <w:rPr>
          <w:noProof/>
          <w:szCs w:val="22"/>
        </w:rPr>
        <w:t xml:space="preserve">). Fucidin </w:t>
      </w:r>
      <w:r w:rsidR="00BE6C1C">
        <w:rPr>
          <w:noProof/>
          <w:szCs w:val="22"/>
        </w:rPr>
        <w:t xml:space="preserve">obsahuje </w:t>
      </w:r>
      <w:r w:rsidRPr="00192C5B">
        <w:rPr>
          <w:noProof/>
          <w:szCs w:val="22"/>
        </w:rPr>
        <w:t>butylhydroxytolu</w:t>
      </w:r>
      <w:r w:rsidR="00BE6C1C">
        <w:rPr>
          <w:noProof/>
          <w:szCs w:val="22"/>
        </w:rPr>
        <w:t>én</w:t>
      </w:r>
      <w:r w:rsidRPr="00192C5B">
        <w:rPr>
          <w:noProof/>
          <w:szCs w:val="22"/>
        </w:rPr>
        <w:t xml:space="preserve"> (E321)</w:t>
      </w:r>
      <w:r w:rsidR="00BE6C1C">
        <w:rPr>
          <w:noProof/>
          <w:szCs w:val="22"/>
        </w:rPr>
        <w:t xml:space="preserve">, ktorý môže </w:t>
      </w:r>
      <w:r w:rsidR="00911F75">
        <w:rPr>
          <w:noProof/>
          <w:szCs w:val="22"/>
        </w:rPr>
        <w:t>vyvolať</w:t>
      </w:r>
      <w:r w:rsidR="00BE6C1C">
        <w:rPr>
          <w:noProof/>
          <w:szCs w:val="22"/>
        </w:rPr>
        <w:t xml:space="preserve"> lokáln</w:t>
      </w:r>
      <w:r w:rsidR="00911F75">
        <w:rPr>
          <w:noProof/>
          <w:szCs w:val="22"/>
        </w:rPr>
        <w:t>e</w:t>
      </w:r>
      <w:r w:rsidR="00BE6C1C">
        <w:rPr>
          <w:noProof/>
          <w:szCs w:val="22"/>
        </w:rPr>
        <w:t xml:space="preserve"> kožn</w:t>
      </w:r>
      <w:r w:rsidR="00911F75">
        <w:rPr>
          <w:noProof/>
          <w:szCs w:val="22"/>
        </w:rPr>
        <w:t>é</w:t>
      </w:r>
      <w:r w:rsidR="00BE6C1C">
        <w:rPr>
          <w:noProof/>
          <w:szCs w:val="22"/>
        </w:rPr>
        <w:t xml:space="preserve"> reakci</w:t>
      </w:r>
      <w:r w:rsidR="00911F75">
        <w:rPr>
          <w:noProof/>
          <w:szCs w:val="22"/>
        </w:rPr>
        <w:t>e</w:t>
      </w:r>
      <w:r w:rsidR="00BE6C1C">
        <w:rPr>
          <w:noProof/>
          <w:szCs w:val="22"/>
        </w:rPr>
        <w:t xml:space="preserve"> </w:t>
      </w:r>
      <w:r w:rsidRPr="00192C5B">
        <w:rPr>
          <w:noProof/>
          <w:szCs w:val="22"/>
        </w:rPr>
        <w:t>(</w:t>
      </w:r>
      <w:r w:rsidR="00BE6C1C">
        <w:rPr>
          <w:noProof/>
          <w:szCs w:val="22"/>
        </w:rPr>
        <w:t>napr. kontaktná dermatitída</w:t>
      </w:r>
      <w:r w:rsidRPr="00192C5B">
        <w:rPr>
          <w:noProof/>
          <w:szCs w:val="22"/>
        </w:rPr>
        <w:t xml:space="preserve">) </w:t>
      </w:r>
      <w:r w:rsidR="00BE6C1C">
        <w:rPr>
          <w:noProof/>
          <w:szCs w:val="22"/>
        </w:rPr>
        <w:t>alebo podráždenie očí a slizníc</w:t>
      </w:r>
      <w:r w:rsidRPr="00192C5B">
        <w:rPr>
          <w:noProof/>
          <w:szCs w:val="22"/>
        </w:rPr>
        <w:t>.</w:t>
      </w:r>
    </w:p>
    <w:p w:rsidR="0098710D" w:rsidRPr="00DD5AF6" w:rsidRDefault="0098710D" w:rsidP="00774BE8">
      <w:pPr>
        <w:ind w:left="0" w:firstLine="0"/>
        <w:rPr>
          <w:szCs w:val="22"/>
        </w:rPr>
      </w:pPr>
    </w:p>
    <w:p w:rsidR="00780926" w:rsidRPr="006B0D14" w:rsidRDefault="00780926" w:rsidP="00C6710E">
      <w:pPr>
        <w:keepNext/>
        <w:keepLines/>
        <w:rPr>
          <w:b/>
          <w:szCs w:val="22"/>
        </w:rPr>
      </w:pPr>
      <w:r w:rsidRPr="006B0D14">
        <w:rPr>
          <w:b/>
          <w:szCs w:val="22"/>
        </w:rPr>
        <w:t>4.5</w:t>
      </w:r>
      <w:r w:rsidRPr="006B0D14">
        <w:rPr>
          <w:b/>
          <w:szCs w:val="22"/>
        </w:rPr>
        <w:tab/>
        <w:t>Liekové a iné interakcie</w:t>
      </w:r>
    </w:p>
    <w:p w:rsidR="00780926" w:rsidRPr="00DD5AF6" w:rsidRDefault="00780926" w:rsidP="00C6710E">
      <w:pPr>
        <w:keepNext/>
        <w:keepLines/>
        <w:rPr>
          <w:szCs w:val="22"/>
        </w:rPr>
      </w:pPr>
    </w:p>
    <w:p w:rsidR="00075839" w:rsidRPr="00774BE8" w:rsidRDefault="00075839" w:rsidP="006B0D14">
      <w:pPr>
        <w:ind w:left="0" w:firstLine="0"/>
        <w:rPr>
          <w:szCs w:val="22"/>
        </w:rPr>
      </w:pPr>
      <w:r w:rsidRPr="00774BE8">
        <w:rPr>
          <w:szCs w:val="22"/>
        </w:rPr>
        <w:t>Neuskutočnili sa žiadne interakčné štúdie. Interakcie so systémovo podávanými liekmi sa považujú za minimálne</w:t>
      </w:r>
      <w:r w:rsidR="00D40A1B">
        <w:rPr>
          <w:szCs w:val="22"/>
        </w:rPr>
        <w:t>, nakoľko systémová absorpcia lieku Fucidin je zanedbateľná</w:t>
      </w:r>
      <w:r w:rsidRPr="00774BE8">
        <w:rPr>
          <w:szCs w:val="22"/>
        </w:rPr>
        <w:t>.</w:t>
      </w:r>
    </w:p>
    <w:p w:rsidR="00D40A1B" w:rsidRDefault="00D40A1B" w:rsidP="00D40A1B">
      <w:pPr>
        <w:rPr>
          <w:noProof/>
          <w:szCs w:val="22"/>
        </w:rPr>
      </w:pPr>
    </w:p>
    <w:p w:rsidR="00D40A1B" w:rsidRPr="00975913" w:rsidRDefault="00FB6907" w:rsidP="00BF229F">
      <w:pPr>
        <w:ind w:left="0" w:firstLine="0"/>
        <w:rPr>
          <w:noProof/>
          <w:szCs w:val="22"/>
        </w:rPr>
      </w:pPr>
      <w:r>
        <w:rPr>
          <w:noProof/>
          <w:szCs w:val="22"/>
        </w:rPr>
        <w:t>U pacientov, ktorým bol</w:t>
      </w:r>
      <w:r w:rsidR="00AA5659">
        <w:rPr>
          <w:noProof/>
          <w:szCs w:val="22"/>
        </w:rPr>
        <w:t>a</w:t>
      </w:r>
      <w:r>
        <w:rPr>
          <w:noProof/>
          <w:szCs w:val="22"/>
        </w:rPr>
        <w:t xml:space="preserve"> systémovo podávan</w:t>
      </w:r>
      <w:r w:rsidR="00AA5659">
        <w:rPr>
          <w:noProof/>
          <w:szCs w:val="22"/>
        </w:rPr>
        <w:t xml:space="preserve">á </w:t>
      </w:r>
      <w:r w:rsidR="00CC4738">
        <w:rPr>
          <w:noProof/>
          <w:szCs w:val="22"/>
        </w:rPr>
        <w:t xml:space="preserve">sodná soľ </w:t>
      </w:r>
      <w:r>
        <w:rPr>
          <w:noProof/>
          <w:szCs w:val="22"/>
        </w:rPr>
        <w:t>fu</w:t>
      </w:r>
      <w:r w:rsidR="00430F88">
        <w:rPr>
          <w:noProof/>
          <w:szCs w:val="22"/>
        </w:rPr>
        <w:t>s</w:t>
      </w:r>
      <w:r>
        <w:rPr>
          <w:noProof/>
          <w:szCs w:val="22"/>
        </w:rPr>
        <w:t>idát</w:t>
      </w:r>
      <w:r w:rsidR="00CC4738">
        <w:rPr>
          <w:noProof/>
          <w:szCs w:val="22"/>
        </w:rPr>
        <w:t>u</w:t>
      </w:r>
      <w:r>
        <w:rPr>
          <w:noProof/>
          <w:szCs w:val="22"/>
        </w:rPr>
        <w:t xml:space="preserve"> a statíny, sa zaznamenali sa prípady </w:t>
      </w:r>
      <w:r w:rsidR="00D40A1B" w:rsidRPr="00975913">
        <w:rPr>
          <w:noProof/>
          <w:szCs w:val="22"/>
        </w:rPr>
        <w:t>rabdomyol</w:t>
      </w:r>
      <w:r>
        <w:rPr>
          <w:noProof/>
          <w:szCs w:val="22"/>
        </w:rPr>
        <w:t>ýzy</w:t>
      </w:r>
      <w:r w:rsidR="00D40A1B" w:rsidRPr="00975913">
        <w:rPr>
          <w:noProof/>
          <w:szCs w:val="22"/>
        </w:rPr>
        <w:t xml:space="preserve"> (</w:t>
      </w:r>
      <w:r>
        <w:rPr>
          <w:noProof/>
          <w:szCs w:val="22"/>
        </w:rPr>
        <w:t>vrátane smrteľných</w:t>
      </w:r>
      <w:r w:rsidR="00D40A1B" w:rsidRPr="00975913">
        <w:rPr>
          <w:noProof/>
          <w:szCs w:val="22"/>
        </w:rPr>
        <w:t xml:space="preserve">). </w:t>
      </w:r>
      <w:r>
        <w:rPr>
          <w:noProof/>
          <w:szCs w:val="22"/>
        </w:rPr>
        <w:t xml:space="preserve">U pacientov, u ktorých sa považuje systémové podávanie </w:t>
      </w:r>
      <w:r w:rsidR="00CC4738">
        <w:rPr>
          <w:noProof/>
          <w:szCs w:val="22"/>
        </w:rPr>
        <w:t xml:space="preserve">sodnej soli </w:t>
      </w:r>
      <w:r>
        <w:rPr>
          <w:noProof/>
          <w:szCs w:val="22"/>
        </w:rPr>
        <w:t>fu</w:t>
      </w:r>
      <w:r w:rsidR="00071BB3">
        <w:rPr>
          <w:noProof/>
          <w:szCs w:val="22"/>
        </w:rPr>
        <w:t>s</w:t>
      </w:r>
      <w:r>
        <w:rPr>
          <w:noProof/>
          <w:szCs w:val="22"/>
        </w:rPr>
        <w:t>idátu za nevyhnutné,</w:t>
      </w:r>
      <w:r w:rsidR="00430F88" w:rsidRPr="00430F88">
        <w:rPr>
          <w:noProof/>
          <w:szCs w:val="22"/>
        </w:rPr>
        <w:t xml:space="preserve"> </w:t>
      </w:r>
      <w:r w:rsidR="00430F88">
        <w:rPr>
          <w:noProof/>
          <w:szCs w:val="22"/>
        </w:rPr>
        <w:t>sa má</w:t>
      </w:r>
      <w:r>
        <w:rPr>
          <w:noProof/>
          <w:szCs w:val="22"/>
        </w:rPr>
        <w:t xml:space="preserve"> liečba statínmi počas trvania liečby </w:t>
      </w:r>
      <w:r w:rsidR="00A602CB">
        <w:rPr>
          <w:noProof/>
          <w:szCs w:val="22"/>
        </w:rPr>
        <w:t xml:space="preserve">sodnou soľou </w:t>
      </w:r>
      <w:r>
        <w:rPr>
          <w:noProof/>
          <w:szCs w:val="22"/>
        </w:rPr>
        <w:t>fu</w:t>
      </w:r>
      <w:r w:rsidR="00430F88">
        <w:rPr>
          <w:noProof/>
          <w:szCs w:val="22"/>
        </w:rPr>
        <w:t>s</w:t>
      </w:r>
      <w:r>
        <w:rPr>
          <w:noProof/>
          <w:szCs w:val="22"/>
        </w:rPr>
        <w:t>idát</w:t>
      </w:r>
      <w:r w:rsidR="00A602CB">
        <w:rPr>
          <w:noProof/>
          <w:szCs w:val="22"/>
        </w:rPr>
        <w:t xml:space="preserve">u </w:t>
      </w:r>
      <w:r>
        <w:rPr>
          <w:noProof/>
          <w:szCs w:val="22"/>
        </w:rPr>
        <w:t>prerušiť</w:t>
      </w:r>
      <w:r w:rsidR="00D40A1B" w:rsidRPr="00975913">
        <w:rPr>
          <w:noProof/>
          <w:szCs w:val="22"/>
        </w:rPr>
        <w:t xml:space="preserve">. </w:t>
      </w:r>
      <w:r>
        <w:rPr>
          <w:noProof/>
          <w:szCs w:val="22"/>
        </w:rPr>
        <w:t xml:space="preserve">Pacienta je potrebné poučiť, aby vyhľadal lekársku pomoc ihneď, ako sa u neho objavia akékoľvek príznaky svalovej slabosti, bolesti alebo </w:t>
      </w:r>
      <w:r w:rsidR="00EE1637">
        <w:rPr>
          <w:noProof/>
          <w:szCs w:val="22"/>
        </w:rPr>
        <w:t>zvýšenej citlivosti</w:t>
      </w:r>
      <w:r w:rsidR="00D40A1B" w:rsidRPr="00975913">
        <w:rPr>
          <w:noProof/>
          <w:szCs w:val="22"/>
        </w:rPr>
        <w:t xml:space="preserve">. </w:t>
      </w:r>
      <w:r w:rsidR="00FA5718">
        <w:rPr>
          <w:noProof/>
          <w:szCs w:val="22"/>
        </w:rPr>
        <w:t>Liečba statínmi sa môž</w:t>
      </w:r>
      <w:r w:rsidR="007A7024">
        <w:rPr>
          <w:noProof/>
          <w:szCs w:val="22"/>
        </w:rPr>
        <w:t>e</w:t>
      </w:r>
      <w:r w:rsidR="00FA5718">
        <w:rPr>
          <w:noProof/>
          <w:szCs w:val="22"/>
        </w:rPr>
        <w:t xml:space="preserve"> znovu začať sedem dní po podaní poslednej </w:t>
      </w:r>
      <w:r w:rsidR="005C34D8">
        <w:rPr>
          <w:noProof/>
          <w:szCs w:val="22"/>
        </w:rPr>
        <w:t xml:space="preserve">dávky </w:t>
      </w:r>
      <w:r w:rsidR="005B344F">
        <w:rPr>
          <w:noProof/>
          <w:szCs w:val="22"/>
        </w:rPr>
        <w:t xml:space="preserve">sodnej soli </w:t>
      </w:r>
      <w:r w:rsidR="005C34D8">
        <w:rPr>
          <w:noProof/>
          <w:szCs w:val="22"/>
        </w:rPr>
        <w:t>fus</w:t>
      </w:r>
      <w:r w:rsidR="00FA5718">
        <w:rPr>
          <w:noProof/>
          <w:szCs w:val="22"/>
        </w:rPr>
        <w:t>idátu</w:t>
      </w:r>
      <w:r w:rsidR="00D40A1B" w:rsidRPr="00975913">
        <w:rPr>
          <w:noProof/>
          <w:szCs w:val="22"/>
        </w:rPr>
        <w:t xml:space="preserve">. </w:t>
      </w:r>
    </w:p>
    <w:p w:rsidR="00D40A1B" w:rsidRPr="00192C5B" w:rsidRDefault="007A7024" w:rsidP="00BF229F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Neexistuje žiaden dôkaz, </w:t>
      </w:r>
      <w:r w:rsidRPr="00993EE2">
        <w:rPr>
          <w:noProof/>
          <w:szCs w:val="22"/>
        </w:rPr>
        <w:t xml:space="preserve">že by </w:t>
      </w:r>
      <w:r w:rsidR="00993EE2" w:rsidRPr="00993EE2">
        <w:rPr>
          <w:noProof/>
          <w:szCs w:val="22"/>
        </w:rPr>
        <w:t xml:space="preserve">lokálne aplikované formy </w:t>
      </w:r>
      <w:r w:rsidR="0002164D">
        <w:rPr>
          <w:noProof/>
          <w:szCs w:val="22"/>
        </w:rPr>
        <w:t xml:space="preserve">sodnej soli </w:t>
      </w:r>
      <w:r w:rsidR="00993EE2" w:rsidRPr="00993EE2">
        <w:rPr>
          <w:noProof/>
          <w:szCs w:val="22"/>
        </w:rPr>
        <w:t>fus</w:t>
      </w:r>
      <w:r w:rsidRPr="00993EE2">
        <w:rPr>
          <w:noProof/>
          <w:szCs w:val="22"/>
        </w:rPr>
        <w:t>idátu interagovali so statínmi.</w:t>
      </w:r>
      <w:r>
        <w:rPr>
          <w:noProof/>
          <w:szCs w:val="22"/>
        </w:rPr>
        <w:t xml:space="preserve"> Počas liečby liekom Fucidin impregnovaný obväz sa však môže </w:t>
      </w:r>
      <w:r w:rsidR="00E462D5">
        <w:rPr>
          <w:noProof/>
          <w:szCs w:val="22"/>
        </w:rPr>
        <w:t xml:space="preserve">zvážiť </w:t>
      </w:r>
      <w:r>
        <w:rPr>
          <w:noProof/>
          <w:szCs w:val="22"/>
        </w:rPr>
        <w:t>dočasné prerušenie liečby statínmi</w:t>
      </w:r>
      <w:r w:rsidR="00D40A1B" w:rsidRPr="00975913">
        <w:rPr>
          <w:noProof/>
          <w:szCs w:val="22"/>
        </w:rPr>
        <w:t>.</w:t>
      </w:r>
    </w:p>
    <w:p w:rsidR="00780926" w:rsidRPr="00774BE8" w:rsidRDefault="00780926" w:rsidP="00DD5AF6">
      <w:pPr>
        <w:rPr>
          <w:szCs w:val="22"/>
        </w:rPr>
      </w:pPr>
    </w:p>
    <w:p w:rsidR="00780926" w:rsidRPr="00774BE8" w:rsidRDefault="00780926" w:rsidP="00774BE8">
      <w:pPr>
        <w:rPr>
          <w:szCs w:val="22"/>
        </w:rPr>
      </w:pPr>
      <w:r w:rsidRPr="00774BE8">
        <w:rPr>
          <w:b/>
          <w:szCs w:val="22"/>
        </w:rPr>
        <w:t>4.6</w:t>
      </w:r>
      <w:r w:rsidRPr="00774BE8">
        <w:rPr>
          <w:b/>
          <w:szCs w:val="22"/>
        </w:rPr>
        <w:tab/>
      </w:r>
      <w:r w:rsidR="00E1698A" w:rsidRPr="00774BE8">
        <w:rPr>
          <w:b/>
          <w:szCs w:val="22"/>
        </w:rPr>
        <w:t>Fertilita, g</w:t>
      </w:r>
      <w:r w:rsidRPr="00774BE8">
        <w:rPr>
          <w:b/>
          <w:szCs w:val="22"/>
        </w:rPr>
        <w:t>ravidita a laktácia</w:t>
      </w:r>
    </w:p>
    <w:p w:rsidR="00E1698A" w:rsidRPr="00774BE8" w:rsidRDefault="00E1698A" w:rsidP="00774BE8">
      <w:pPr>
        <w:rPr>
          <w:szCs w:val="22"/>
        </w:rPr>
      </w:pPr>
    </w:p>
    <w:p w:rsidR="00DE695C" w:rsidRPr="00192C5B" w:rsidRDefault="00DE695C" w:rsidP="00DE695C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Gravidita</w:t>
      </w:r>
    </w:p>
    <w:p w:rsidR="00DE695C" w:rsidRPr="005942E0" w:rsidRDefault="009033E0" w:rsidP="00174BA7">
      <w:pPr>
        <w:ind w:left="0" w:firstLine="0"/>
        <w:outlineLvl w:val="0"/>
        <w:rPr>
          <w:noProof/>
          <w:szCs w:val="22"/>
        </w:rPr>
      </w:pPr>
      <w:r w:rsidRPr="00774BE8">
        <w:rPr>
          <w:szCs w:val="22"/>
        </w:rPr>
        <w:t xml:space="preserve">Počas gravidity sa neočakávajú žiadne </w:t>
      </w:r>
      <w:r w:rsidR="00493D51">
        <w:rPr>
          <w:szCs w:val="22"/>
        </w:rPr>
        <w:t xml:space="preserve">nežiaduce </w:t>
      </w:r>
      <w:r w:rsidRPr="00774BE8">
        <w:rPr>
          <w:szCs w:val="22"/>
        </w:rPr>
        <w:t xml:space="preserve">účinky, </w:t>
      </w:r>
      <w:r w:rsidR="00493D51">
        <w:rPr>
          <w:szCs w:val="22"/>
        </w:rPr>
        <w:t>keď</w:t>
      </w:r>
      <w:r w:rsidRPr="00774BE8">
        <w:rPr>
          <w:szCs w:val="22"/>
        </w:rPr>
        <w:t xml:space="preserve">že systémová expozícia </w:t>
      </w:r>
      <w:r>
        <w:rPr>
          <w:szCs w:val="22"/>
        </w:rPr>
        <w:t>lokálne podávan</w:t>
      </w:r>
      <w:r w:rsidR="003A1C8B">
        <w:rPr>
          <w:szCs w:val="22"/>
        </w:rPr>
        <w:t xml:space="preserve">ej sodnej soli </w:t>
      </w:r>
      <w:r>
        <w:rPr>
          <w:szCs w:val="22"/>
        </w:rPr>
        <w:t>fu</w:t>
      </w:r>
      <w:r w:rsidR="00B86A5F">
        <w:rPr>
          <w:szCs w:val="22"/>
        </w:rPr>
        <w:t>s</w:t>
      </w:r>
      <w:r>
        <w:rPr>
          <w:szCs w:val="22"/>
        </w:rPr>
        <w:t>idátu je</w:t>
      </w:r>
      <w:r w:rsidRPr="00774BE8">
        <w:rPr>
          <w:szCs w:val="22"/>
        </w:rPr>
        <w:t xml:space="preserve"> zanedbateľná.</w:t>
      </w:r>
      <w:r>
        <w:rPr>
          <w:szCs w:val="22"/>
        </w:rPr>
        <w:t xml:space="preserve"> </w:t>
      </w:r>
      <w:r w:rsidR="00DE695C" w:rsidRPr="00192C5B">
        <w:rPr>
          <w:noProof/>
          <w:szCs w:val="22"/>
        </w:rPr>
        <w:t xml:space="preserve">Fucidin </w:t>
      </w:r>
      <w:r w:rsidR="00174BA7">
        <w:rPr>
          <w:noProof/>
          <w:szCs w:val="22"/>
        </w:rPr>
        <w:t>sa môže používať počas gravidity</w:t>
      </w:r>
      <w:r w:rsidR="00DE695C" w:rsidRPr="005942E0">
        <w:rPr>
          <w:noProof/>
          <w:szCs w:val="22"/>
        </w:rPr>
        <w:t>.</w:t>
      </w:r>
    </w:p>
    <w:p w:rsidR="00DE695C" w:rsidRPr="00192C5B" w:rsidRDefault="00DE695C" w:rsidP="00DE695C">
      <w:pPr>
        <w:rPr>
          <w:noProof/>
          <w:szCs w:val="22"/>
        </w:rPr>
      </w:pPr>
    </w:p>
    <w:p w:rsidR="000B4BD9" w:rsidRPr="00774BE8" w:rsidRDefault="000B4BD9" w:rsidP="000B4BD9">
      <w:pPr>
        <w:rPr>
          <w:szCs w:val="22"/>
          <w:u w:val="single"/>
        </w:rPr>
      </w:pPr>
      <w:r w:rsidRPr="00774BE8">
        <w:rPr>
          <w:szCs w:val="22"/>
          <w:u w:val="single"/>
        </w:rPr>
        <w:t>Dojčenie</w:t>
      </w:r>
    </w:p>
    <w:p w:rsidR="00DE695C" w:rsidRPr="00192C5B" w:rsidRDefault="000B4BD9" w:rsidP="000B4BD9">
      <w:pPr>
        <w:ind w:left="0" w:firstLine="0"/>
        <w:outlineLvl w:val="0"/>
        <w:rPr>
          <w:noProof/>
          <w:szCs w:val="22"/>
        </w:rPr>
      </w:pPr>
      <w:r w:rsidRPr="00774BE8">
        <w:rPr>
          <w:szCs w:val="22"/>
        </w:rPr>
        <w:lastRenderedPageBreak/>
        <w:t>Neočakáva sa žiad</w:t>
      </w:r>
      <w:r w:rsidR="007C1D9B">
        <w:rPr>
          <w:szCs w:val="22"/>
        </w:rPr>
        <w:t>en</w:t>
      </w:r>
      <w:r w:rsidRPr="00774BE8">
        <w:rPr>
          <w:szCs w:val="22"/>
        </w:rPr>
        <w:t xml:space="preserve"> účin</w:t>
      </w:r>
      <w:r w:rsidR="007C1D9B">
        <w:rPr>
          <w:szCs w:val="22"/>
        </w:rPr>
        <w:t>o</w:t>
      </w:r>
      <w:r w:rsidRPr="00774BE8">
        <w:rPr>
          <w:szCs w:val="22"/>
        </w:rPr>
        <w:t>k</w:t>
      </w:r>
      <w:r w:rsidR="007C1D9B">
        <w:rPr>
          <w:szCs w:val="22"/>
        </w:rPr>
        <w:t xml:space="preserve"> u</w:t>
      </w:r>
      <w:r w:rsidRPr="00774BE8">
        <w:rPr>
          <w:szCs w:val="22"/>
        </w:rPr>
        <w:t xml:space="preserve"> dojčen</w:t>
      </w:r>
      <w:r w:rsidR="007C1D9B">
        <w:rPr>
          <w:szCs w:val="22"/>
        </w:rPr>
        <w:t>ých</w:t>
      </w:r>
      <w:r w:rsidRPr="00774BE8">
        <w:rPr>
          <w:szCs w:val="22"/>
        </w:rPr>
        <w:t xml:space="preserve"> novorodenc</w:t>
      </w:r>
      <w:r w:rsidR="007C1D9B">
        <w:rPr>
          <w:szCs w:val="22"/>
        </w:rPr>
        <w:t>ov</w:t>
      </w:r>
      <w:r w:rsidRPr="00774BE8">
        <w:rPr>
          <w:szCs w:val="22"/>
        </w:rPr>
        <w:t>/dojč</w:t>
      </w:r>
      <w:r w:rsidR="007C1D9B">
        <w:rPr>
          <w:szCs w:val="22"/>
        </w:rPr>
        <w:t>i</w:t>
      </w:r>
      <w:r w:rsidRPr="00774BE8">
        <w:rPr>
          <w:szCs w:val="22"/>
        </w:rPr>
        <w:t>a</w:t>
      </w:r>
      <w:r w:rsidR="007C1D9B">
        <w:rPr>
          <w:szCs w:val="22"/>
        </w:rPr>
        <w:t>t, keď</w:t>
      </w:r>
      <w:r w:rsidRPr="00774BE8">
        <w:rPr>
          <w:szCs w:val="22"/>
        </w:rPr>
        <w:t xml:space="preserve">že systémová expozícia </w:t>
      </w:r>
      <w:r w:rsidR="00B86A5F">
        <w:rPr>
          <w:szCs w:val="22"/>
        </w:rPr>
        <w:t xml:space="preserve">lokálne </w:t>
      </w:r>
      <w:r w:rsidR="00B86A5F" w:rsidRPr="00B86A5F">
        <w:rPr>
          <w:szCs w:val="22"/>
        </w:rPr>
        <w:t>podávan</w:t>
      </w:r>
      <w:r w:rsidR="002C482A">
        <w:rPr>
          <w:szCs w:val="22"/>
        </w:rPr>
        <w:t xml:space="preserve">ej sodnej soli </w:t>
      </w:r>
      <w:r w:rsidR="00B86A5F" w:rsidRPr="00B86A5F">
        <w:rPr>
          <w:szCs w:val="22"/>
        </w:rPr>
        <w:t>fus</w:t>
      </w:r>
      <w:r w:rsidRPr="00B86A5F">
        <w:rPr>
          <w:szCs w:val="22"/>
        </w:rPr>
        <w:t>idátu u</w:t>
      </w:r>
      <w:r w:rsidR="007C1D9B">
        <w:rPr>
          <w:szCs w:val="22"/>
        </w:rPr>
        <w:t> </w:t>
      </w:r>
      <w:r w:rsidRPr="00B86A5F">
        <w:rPr>
          <w:szCs w:val="22"/>
        </w:rPr>
        <w:t>dojčiac</w:t>
      </w:r>
      <w:r w:rsidR="007C1D9B">
        <w:rPr>
          <w:szCs w:val="22"/>
        </w:rPr>
        <w:t xml:space="preserve">ich </w:t>
      </w:r>
      <w:r w:rsidRPr="00B86A5F">
        <w:rPr>
          <w:szCs w:val="22"/>
        </w:rPr>
        <w:t>ž</w:t>
      </w:r>
      <w:r w:rsidR="007C1D9B">
        <w:rPr>
          <w:szCs w:val="22"/>
        </w:rPr>
        <w:t>i</w:t>
      </w:r>
      <w:r w:rsidRPr="00B86A5F">
        <w:rPr>
          <w:szCs w:val="22"/>
        </w:rPr>
        <w:t xml:space="preserve">en je zanedbateľná. </w:t>
      </w:r>
      <w:r w:rsidR="00DE695C" w:rsidRPr="00B86A5F">
        <w:rPr>
          <w:noProof/>
          <w:szCs w:val="22"/>
        </w:rPr>
        <w:t xml:space="preserve">Fucidin </w:t>
      </w:r>
      <w:r w:rsidR="00E80A65" w:rsidRPr="00B86A5F">
        <w:rPr>
          <w:noProof/>
          <w:szCs w:val="22"/>
        </w:rPr>
        <w:t xml:space="preserve">sa môže používať počas dojčenia, ale </w:t>
      </w:r>
      <w:r w:rsidR="00734189" w:rsidRPr="00B86A5F">
        <w:rPr>
          <w:noProof/>
          <w:szCs w:val="22"/>
        </w:rPr>
        <w:t>neodporúča sa, aby sa liek</w:t>
      </w:r>
      <w:r w:rsidR="00E80A65" w:rsidRPr="00B86A5F">
        <w:rPr>
          <w:noProof/>
          <w:szCs w:val="22"/>
        </w:rPr>
        <w:t xml:space="preserve"> Fucidin </w:t>
      </w:r>
      <w:r w:rsidR="00734189" w:rsidRPr="00B86A5F">
        <w:rPr>
          <w:noProof/>
          <w:szCs w:val="22"/>
        </w:rPr>
        <w:t xml:space="preserve">používal </w:t>
      </w:r>
      <w:r w:rsidR="00E80A65" w:rsidRPr="00B86A5F">
        <w:rPr>
          <w:noProof/>
          <w:szCs w:val="22"/>
        </w:rPr>
        <w:t>na oblasť pŕs</w:t>
      </w:r>
      <w:r w:rsidR="00DE695C" w:rsidRPr="00B86A5F">
        <w:rPr>
          <w:noProof/>
          <w:szCs w:val="22"/>
        </w:rPr>
        <w:t>.</w:t>
      </w:r>
    </w:p>
    <w:p w:rsidR="00DE695C" w:rsidRPr="00192C5B" w:rsidRDefault="00DE695C" w:rsidP="00DE695C">
      <w:pPr>
        <w:rPr>
          <w:noProof/>
          <w:szCs w:val="22"/>
        </w:rPr>
      </w:pPr>
    </w:p>
    <w:p w:rsidR="00BE31BA" w:rsidRPr="00FB11EB" w:rsidRDefault="00BE31BA" w:rsidP="00BE31BA">
      <w:pPr>
        <w:rPr>
          <w:szCs w:val="22"/>
          <w:u w:val="single"/>
        </w:rPr>
      </w:pPr>
      <w:r w:rsidRPr="00FB11EB">
        <w:rPr>
          <w:szCs w:val="22"/>
          <w:u w:val="single"/>
        </w:rPr>
        <w:t>Fertilita</w:t>
      </w:r>
    </w:p>
    <w:p w:rsidR="00DE695C" w:rsidRPr="00192C5B" w:rsidRDefault="00BE31BA" w:rsidP="00BF229F">
      <w:pPr>
        <w:ind w:left="0" w:right="-1" w:firstLine="0"/>
      </w:pPr>
      <w:r w:rsidRPr="00FB11EB">
        <w:rPr>
          <w:szCs w:val="22"/>
        </w:rPr>
        <w:t>Neexistujú žiadne klinické štúdie s liekom Fucidin s ohľadom na fertilitu. Neočakáva sa žiad</w:t>
      </w:r>
      <w:r w:rsidR="00FB11EB" w:rsidRPr="00FB11EB">
        <w:rPr>
          <w:szCs w:val="22"/>
        </w:rPr>
        <w:t>e</w:t>
      </w:r>
      <w:r w:rsidRPr="00FB11EB">
        <w:rPr>
          <w:szCs w:val="22"/>
        </w:rPr>
        <w:t>n účin</w:t>
      </w:r>
      <w:r w:rsidR="00FB11EB" w:rsidRPr="00FB11EB">
        <w:rPr>
          <w:szCs w:val="22"/>
        </w:rPr>
        <w:t>o</w:t>
      </w:r>
      <w:r w:rsidRPr="00FB11EB">
        <w:rPr>
          <w:szCs w:val="22"/>
        </w:rPr>
        <w:t>k u žien vo fertilnom veku</w:t>
      </w:r>
      <w:r w:rsidR="00DE695C" w:rsidRPr="00FB11EB">
        <w:t xml:space="preserve">, </w:t>
      </w:r>
      <w:r w:rsidR="00FB11EB" w:rsidRPr="00FB11EB">
        <w:rPr>
          <w:szCs w:val="22"/>
        </w:rPr>
        <w:t>k</w:t>
      </w:r>
      <w:r w:rsidRPr="00FB11EB">
        <w:rPr>
          <w:szCs w:val="22"/>
        </w:rPr>
        <w:t>e</w:t>
      </w:r>
      <w:r w:rsidR="00FB11EB" w:rsidRPr="00FB11EB">
        <w:rPr>
          <w:szCs w:val="22"/>
        </w:rPr>
        <w:t>ď</w:t>
      </w:r>
      <w:r w:rsidRPr="00FB11EB">
        <w:rPr>
          <w:szCs w:val="22"/>
        </w:rPr>
        <w:t xml:space="preserve">že systémová </w:t>
      </w:r>
      <w:r w:rsidR="00D03AC4" w:rsidRPr="00FB11EB">
        <w:rPr>
          <w:szCs w:val="22"/>
        </w:rPr>
        <w:t>expozícia lokálne podávan</w:t>
      </w:r>
      <w:r w:rsidR="0068205E">
        <w:rPr>
          <w:szCs w:val="22"/>
        </w:rPr>
        <w:t xml:space="preserve">ej sodnej soli </w:t>
      </w:r>
      <w:r w:rsidR="00D03AC4" w:rsidRPr="00FB11EB">
        <w:rPr>
          <w:szCs w:val="22"/>
        </w:rPr>
        <w:t>fus</w:t>
      </w:r>
      <w:r w:rsidRPr="00FB11EB">
        <w:rPr>
          <w:szCs w:val="22"/>
        </w:rPr>
        <w:t>idátu je zanedbateľná</w:t>
      </w:r>
      <w:r w:rsidR="00DE695C" w:rsidRPr="00FB11EB">
        <w:t>.</w:t>
      </w:r>
    </w:p>
    <w:p w:rsidR="00075839" w:rsidRPr="00774BE8" w:rsidRDefault="00075839" w:rsidP="00774BE8">
      <w:pPr>
        <w:ind w:left="0" w:firstLine="0"/>
        <w:outlineLvl w:val="0"/>
        <w:rPr>
          <w:szCs w:val="22"/>
        </w:rPr>
      </w:pPr>
    </w:p>
    <w:p w:rsidR="00780926" w:rsidRPr="00774BE8" w:rsidRDefault="00780926" w:rsidP="00DD5AF6">
      <w:pPr>
        <w:rPr>
          <w:szCs w:val="22"/>
        </w:rPr>
      </w:pPr>
      <w:r w:rsidRPr="00774BE8">
        <w:rPr>
          <w:b/>
          <w:szCs w:val="22"/>
        </w:rPr>
        <w:t>4.7</w:t>
      </w:r>
      <w:r w:rsidRPr="00774BE8">
        <w:rPr>
          <w:b/>
          <w:szCs w:val="22"/>
        </w:rPr>
        <w:tab/>
        <w:t>Ovplyvnenie schopnosti viesť vozidlá a obsluhovať stroje</w:t>
      </w:r>
    </w:p>
    <w:p w:rsidR="00780926" w:rsidRPr="00774BE8" w:rsidRDefault="00780926" w:rsidP="00774BE8">
      <w:pPr>
        <w:rPr>
          <w:szCs w:val="22"/>
        </w:rPr>
      </w:pPr>
    </w:p>
    <w:p w:rsidR="006E24E7" w:rsidRPr="00DD5AF6" w:rsidRDefault="009F009A" w:rsidP="00C6710E">
      <w:pPr>
        <w:ind w:left="0" w:right="-1" w:firstLine="0"/>
        <w:outlineLvl w:val="0"/>
        <w:rPr>
          <w:szCs w:val="22"/>
        </w:rPr>
      </w:pPr>
      <w:r w:rsidRPr="00BE5007">
        <w:rPr>
          <w:szCs w:val="22"/>
        </w:rPr>
        <w:t>Fuc</w:t>
      </w:r>
      <w:r w:rsidR="009469CB">
        <w:rPr>
          <w:szCs w:val="22"/>
        </w:rPr>
        <w:t>idin</w:t>
      </w:r>
      <w:r w:rsidRPr="006B0D14" w:rsidDel="009F009A">
        <w:rPr>
          <w:szCs w:val="22"/>
        </w:rPr>
        <w:t xml:space="preserve"> </w:t>
      </w:r>
      <w:r w:rsidR="006E24E7" w:rsidRPr="00DD5AF6">
        <w:rPr>
          <w:szCs w:val="22"/>
        </w:rPr>
        <w:t>nemá žiadny alebo má zanedbateľný vplyv na schopnosť viesť vozidlá a obsluhovať stroje.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DD5AF6">
      <w:pPr>
        <w:rPr>
          <w:b/>
          <w:szCs w:val="22"/>
        </w:rPr>
      </w:pPr>
      <w:r w:rsidRPr="00CD374C">
        <w:rPr>
          <w:b/>
          <w:szCs w:val="22"/>
        </w:rPr>
        <w:t>4.8</w:t>
      </w:r>
      <w:r w:rsidRPr="00CD374C">
        <w:rPr>
          <w:b/>
          <w:szCs w:val="22"/>
        </w:rPr>
        <w:tab/>
        <w:t>Nežiaduce účinky</w:t>
      </w:r>
    </w:p>
    <w:p w:rsidR="00780926" w:rsidRPr="00774BE8" w:rsidRDefault="00780926" w:rsidP="00774BE8">
      <w:pPr>
        <w:rPr>
          <w:szCs w:val="22"/>
        </w:rPr>
      </w:pPr>
    </w:p>
    <w:p w:rsidR="00CD374C" w:rsidRPr="00774BE8" w:rsidRDefault="00CD374C" w:rsidP="00CD374C">
      <w:pPr>
        <w:ind w:left="0" w:firstLine="0"/>
        <w:rPr>
          <w:szCs w:val="22"/>
        </w:rPr>
      </w:pPr>
      <w:r w:rsidRPr="00774BE8">
        <w:rPr>
          <w:szCs w:val="22"/>
        </w:rPr>
        <w:t>Odhad frekvencie výskytu nežiaducich účinkov vychádza zo združenej analýzy údajov z klinických štúdií a spontánneho hlásenia.</w:t>
      </w:r>
    </w:p>
    <w:p w:rsidR="00CD374C" w:rsidRPr="00192C5B" w:rsidRDefault="00CD374C" w:rsidP="00CD374C"/>
    <w:p w:rsidR="00CD374C" w:rsidRPr="00774BE8" w:rsidRDefault="00CD374C" w:rsidP="00CD374C">
      <w:pPr>
        <w:ind w:left="0" w:firstLine="0"/>
        <w:rPr>
          <w:szCs w:val="22"/>
        </w:rPr>
      </w:pPr>
      <w:r>
        <w:rPr>
          <w:szCs w:val="22"/>
        </w:rPr>
        <w:t>Medzi n</w:t>
      </w:r>
      <w:r w:rsidRPr="00774BE8">
        <w:rPr>
          <w:szCs w:val="22"/>
        </w:rPr>
        <w:t>ajčastejšie hlásen</w:t>
      </w:r>
      <w:r>
        <w:rPr>
          <w:szCs w:val="22"/>
        </w:rPr>
        <w:t>é</w:t>
      </w:r>
      <w:r w:rsidRPr="00774BE8">
        <w:rPr>
          <w:szCs w:val="22"/>
        </w:rPr>
        <w:t xml:space="preserve"> nežiaduc</w:t>
      </w:r>
      <w:r>
        <w:rPr>
          <w:szCs w:val="22"/>
        </w:rPr>
        <w:t>e</w:t>
      </w:r>
      <w:r w:rsidRPr="00774BE8">
        <w:rPr>
          <w:szCs w:val="22"/>
        </w:rPr>
        <w:t xml:space="preserve"> reakci</w:t>
      </w:r>
      <w:r>
        <w:rPr>
          <w:szCs w:val="22"/>
        </w:rPr>
        <w:t xml:space="preserve">e </w:t>
      </w:r>
      <w:r w:rsidRPr="00774BE8">
        <w:rPr>
          <w:szCs w:val="22"/>
        </w:rPr>
        <w:t xml:space="preserve">počas liečby </w:t>
      </w:r>
      <w:r>
        <w:rPr>
          <w:szCs w:val="22"/>
        </w:rPr>
        <w:t xml:space="preserve">patria rôzne kožné reakcie, ako je </w:t>
      </w:r>
      <w:r w:rsidRPr="00774BE8">
        <w:rPr>
          <w:szCs w:val="22"/>
        </w:rPr>
        <w:t>svrbenie</w:t>
      </w:r>
      <w:r>
        <w:rPr>
          <w:szCs w:val="22"/>
        </w:rPr>
        <w:t xml:space="preserve"> a vyrážka, nasledované rôznymi ťažkosťami v mieste podania, ako je bolesť a podráždenie, </w:t>
      </w:r>
      <w:r w:rsidR="00A73242">
        <w:rPr>
          <w:szCs w:val="22"/>
        </w:rPr>
        <w:t xml:space="preserve">ktoré sa vyskytovali u menej ako </w:t>
      </w:r>
      <w:r w:rsidR="00A73242" w:rsidRPr="00192C5B">
        <w:rPr>
          <w:bCs/>
        </w:rPr>
        <w:t>1</w:t>
      </w:r>
      <w:r w:rsidR="00A73242">
        <w:rPr>
          <w:bCs/>
        </w:rPr>
        <w:t> </w:t>
      </w:r>
      <w:r w:rsidR="00A73242" w:rsidRPr="00192C5B">
        <w:rPr>
          <w:bCs/>
        </w:rPr>
        <w:t>%</w:t>
      </w:r>
      <w:r w:rsidR="00A73242">
        <w:rPr>
          <w:bCs/>
        </w:rPr>
        <w:t xml:space="preserve"> pacientov.</w:t>
      </w:r>
    </w:p>
    <w:p w:rsidR="00CD374C" w:rsidRPr="00192C5B" w:rsidRDefault="00CD374C" w:rsidP="00CD374C">
      <w:pPr>
        <w:rPr>
          <w:bCs/>
        </w:rPr>
      </w:pPr>
    </w:p>
    <w:p w:rsidR="00CD374C" w:rsidRPr="00192C5B" w:rsidRDefault="00936613" w:rsidP="00CD374C">
      <w:pPr>
        <w:rPr>
          <w:bCs/>
        </w:rPr>
      </w:pPr>
      <w:r>
        <w:rPr>
          <w:bCs/>
        </w:rPr>
        <w:t>Hlásila sa h</w:t>
      </w:r>
      <w:r w:rsidR="00CD374C" w:rsidRPr="00192C5B">
        <w:rPr>
          <w:bCs/>
        </w:rPr>
        <w:t>ypersen</w:t>
      </w:r>
      <w:r>
        <w:rPr>
          <w:bCs/>
        </w:rPr>
        <w:t>z</w:t>
      </w:r>
      <w:r w:rsidR="00CD374C" w:rsidRPr="00192C5B">
        <w:rPr>
          <w:bCs/>
        </w:rPr>
        <w:t>itivit</w:t>
      </w:r>
      <w:r>
        <w:rPr>
          <w:bCs/>
        </w:rPr>
        <w:t>a a</w:t>
      </w:r>
      <w:r w:rsidR="00CD374C" w:rsidRPr="00192C5B">
        <w:rPr>
          <w:bCs/>
        </w:rPr>
        <w:t xml:space="preserve"> angioed</w:t>
      </w:r>
      <w:r>
        <w:rPr>
          <w:bCs/>
        </w:rPr>
        <w:t>ém</w:t>
      </w:r>
      <w:r w:rsidR="00CD374C" w:rsidRPr="00192C5B">
        <w:rPr>
          <w:bCs/>
        </w:rPr>
        <w:t>. </w:t>
      </w:r>
    </w:p>
    <w:p w:rsidR="00CD374C" w:rsidRPr="00192C5B" w:rsidRDefault="00CD374C" w:rsidP="00CD374C">
      <w:pPr>
        <w:rPr>
          <w:bCs/>
        </w:rPr>
      </w:pPr>
    </w:p>
    <w:p w:rsidR="006E24E7" w:rsidRPr="00774BE8" w:rsidRDefault="006E24E7" w:rsidP="00774BE8">
      <w:pPr>
        <w:ind w:left="0" w:firstLine="0"/>
        <w:rPr>
          <w:szCs w:val="22"/>
        </w:rPr>
      </w:pPr>
      <w:r w:rsidRPr="00774BE8">
        <w:rPr>
          <w:szCs w:val="22"/>
        </w:rPr>
        <w:t>Nežiaduce účinky sú uvedené podľa tried</w:t>
      </w:r>
      <w:r w:rsidR="00C415FF" w:rsidRPr="00774BE8">
        <w:rPr>
          <w:szCs w:val="22"/>
        </w:rPr>
        <w:t>y</w:t>
      </w:r>
      <w:r w:rsidRPr="00774BE8">
        <w:rPr>
          <w:szCs w:val="22"/>
        </w:rPr>
        <w:t xml:space="preserve"> orgánov</w:t>
      </w:r>
      <w:r w:rsidR="00C415FF" w:rsidRPr="00774BE8">
        <w:rPr>
          <w:szCs w:val="22"/>
        </w:rPr>
        <w:t>ého</w:t>
      </w:r>
      <w:r w:rsidRPr="00774BE8">
        <w:rPr>
          <w:szCs w:val="22"/>
        </w:rPr>
        <w:t xml:space="preserve"> systém</w:t>
      </w:r>
      <w:r w:rsidR="00C415FF" w:rsidRPr="00774BE8">
        <w:rPr>
          <w:szCs w:val="22"/>
        </w:rPr>
        <w:t>u</w:t>
      </w:r>
      <w:r w:rsidRPr="00774BE8">
        <w:rPr>
          <w:szCs w:val="22"/>
        </w:rPr>
        <w:t xml:space="preserve"> </w:t>
      </w:r>
      <w:r w:rsidR="00C415FF" w:rsidRPr="00774BE8">
        <w:rPr>
          <w:szCs w:val="22"/>
        </w:rPr>
        <w:t xml:space="preserve">podľa </w:t>
      </w:r>
      <w:r w:rsidRPr="00774BE8">
        <w:rPr>
          <w:szCs w:val="22"/>
        </w:rPr>
        <w:t xml:space="preserve">MedDRA </w:t>
      </w:r>
      <w:r w:rsidR="00C415FF" w:rsidRPr="00774BE8">
        <w:rPr>
          <w:szCs w:val="22"/>
        </w:rPr>
        <w:t>a j</w:t>
      </w:r>
      <w:r w:rsidRPr="00774BE8">
        <w:rPr>
          <w:szCs w:val="22"/>
        </w:rPr>
        <w:t xml:space="preserve">ednotlivé nežiaduce účinky sú </w:t>
      </w:r>
      <w:r w:rsidR="00C415FF" w:rsidRPr="00774BE8">
        <w:rPr>
          <w:szCs w:val="22"/>
        </w:rPr>
        <w:t>uvedené</w:t>
      </w:r>
      <w:r w:rsidRPr="00774BE8">
        <w:rPr>
          <w:szCs w:val="22"/>
        </w:rPr>
        <w:t xml:space="preserve"> v poradí od najčastejšie hláseného účinku. </w:t>
      </w:r>
      <w:r w:rsidR="00C415FF" w:rsidRPr="00774BE8">
        <w:rPr>
          <w:szCs w:val="22"/>
        </w:rPr>
        <w:t>V rámci každej skupiny frekvencie výskytu sú nežiaduce reakcie uvedené v poradí klesajúcej závažnosti</w:t>
      </w:r>
      <w:r w:rsidRPr="00774BE8">
        <w:rPr>
          <w:szCs w:val="22"/>
        </w:rPr>
        <w:t>.</w:t>
      </w:r>
    </w:p>
    <w:p w:rsidR="006E24E7" w:rsidRPr="00774BE8" w:rsidRDefault="006E24E7" w:rsidP="00774BE8">
      <w:pPr>
        <w:ind w:left="0" w:firstLine="0"/>
        <w:rPr>
          <w:szCs w:val="22"/>
        </w:rPr>
      </w:pPr>
    </w:p>
    <w:p w:rsidR="006E24E7" w:rsidRPr="006B0D14" w:rsidRDefault="006E24E7" w:rsidP="00774BE8">
      <w:pPr>
        <w:ind w:left="0" w:firstLine="0"/>
        <w:rPr>
          <w:szCs w:val="22"/>
        </w:rPr>
      </w:pPr>
      <w:r w:rsidRPr="00774BE8">
        <w:rPr>
          <w:szCs w:val="22"/>
        </w:rPr>
        <w:t xml:space="preserve">Veľmi časté </w:t>
      </w:r>
      <w:r w:rsidRPr="006B0D14">
        <w:rPr>
          <w:szCs w:val="22"/>
        </w:rPr>
        <w:sym w:font="Symbol" w:char="F0B3"/>
      </w:r>
      <w:r w:rsidR="00C415FF" w:rsidRPr="006B0D14">
        <w:rPr>
          <w:szCs w:val="22"/>
        </w:rPr>
        <w:t> </w:t>
      </w:r>
      <w:r w:rsidRPr="006B0D14">
        <w:rPr>
          <w:szCs w:val="22"/>
        </w:rPr>
        <w:t>1/10</w:t>
      </w:r>
    </w:p>
    <w:p w:rsidR="006E24E7" w:rsidRPr="00DD5AF6" w:rsidRDefault="006E24E7" w:rsidP="00774BE8">
      <w:pPr>
        <w:ind w:left="0" w:firstLine="0"/>
        <w:rPr>
          <w:szCs w:val="22"/>
        </w:rPr>
      </w:pPr>
      <w:r w:rsidRPr="006B0D14">
        <w:rPr>
          <w:szCs w:val="22"/>
        </w:rPr>
        <w:t xml:space="preserve">Časté </w:t>
      </w:r>
      <w:r w:rsidRPr="006B0D14">
        <w:rPr>
          <w:szCs w:val="22"/>
        </w:rPr>
        <w:sym w:font="Symbol" w:char="F0B3"/>
      </w:r>
      <w:r w:rsidR="00C415FF" w:rsidRPr="006B0D14">
        <w:rPr>
          <w:szCs w:val="22"/>
        </w:rPr>
        <w:t> </w:t>
      </w:r>
      <w:r w:rsidRPr="006B0D14">
        <w:rPr>
          <w:szCs w:val="22"/>
        </w:rPr>
        <w:t>1/100 a</w:t>
      </w:r>
      <w:r w:rsidR="00C415FF" w:rsidRPr="006B0D14">
        <w:rPr>
          <w:szCs w:val="22"/>
        </w:rPr>
        <w:t>ž</w:t>
      </w:r>
      <w:r w:rsidRPr="006B0D14">
        <w:rPr>
          <w:szCs w:val="22"/>
        </w:rPr>
        <w:t xml:space="preserve"> &lt;</w:t>
      </w:r>
      <w:r w:rsidR="00C415FF" w:rsidRPr="00DD5AF6">
        <w:rPr>
          <w:szCs w:val="22"/>
        </w:rPr>
        <w:t> </w:t>
      </w:r>
      <w:r w:rsidRPr="00DD5AF6">
        <w:rPr>
          <w:szCs w:val="22"/>
        </w:rPr>
        <w:t>1/10</w:t>
      </w:r>
    </w:p>
    <w:p w:rsidR="006E24E7" w:rsidRPr="00774BE8" w:rsidRDefault="006E24E7" w:rsidP="00774BE8">
      <w:pPr>
        <w:ind w:left="0" w:firstLine="0"/>
        <w:rPr>
          <w:szCs w:val="22"/>
        </w:rPr>
      </w:pPr>
      <w:r w:rsidRPr="00DD5AF6">
        <w:rPr>
          <w:szCs w:val="22"/>
        </w:rPr>
        <w:t xml:space="preserve">Menej časté </w:t>
      </w:r>
      <w:r w:rsidRPr="006B0D14">
        <w:rPr>
          <w:szCs w:val="22"/>
        </w:rPr>
        <w:sym w:font="Symbol" w:char="F0B3"/>
      </w:r>
      <w:r w:rsidR="00C415FF" w:rsidRPr="006B0D14">
        <w:rPr>
          <w:szCs w:val="22"/>
        </w:rPr>
        <w:t> </w:t>
      </w:r>
      <w:r w:rsidRPr="006B0D14">
        <w:rPr>
          <w:szCs w:val="22"/>
        </w:rPr>
        <w:t>1/1</w:t>
      </w:r>
      <w:r w:rsidR="00C415FF" w:rsidRPr="006B0D14">
        <w:rPr>
          <w:szCs w:val="22"/>
        </w:rPr>
        <w:t> </w:t>
      </w:r>
      <w:r w:rsidRPr="006B0D14">
        <w:rPr>
          <w:szCs w:val="22"/>
        </w:rPr>
        <w:t>000 a</w:t>
      </w:r>
      <w:r w:rsidR="00C415FF" w:rsidRPr="00DD5AF6">
        <w:rPr>
          <w:szCs w:val="22"/>
        </w:rPr>
        <w:t>ž</w:t>
      </w:r>
      <w:r w:rsidRPr="00DD5AF6">
        <w:rPr>
          <w:szCs w:val="22"/>
        </w:rPr>
        <w:t xml:space="preserve"> &lt;</w:t>
      </w:r>
      <w:r w:rsidR="00C415FF" w:rsidRPr="00DD5AF6">
        <w:rPr>
          <w:szCs w:val="22"/>
        </w:rPr>
        <w:t> </w:t>
      </w:r>
      <w:r w:rsidRPr="00774BE8">
        <w:rPr>
          <w:szCs w:val="22"/>
        </w:rPr>
        <w:t>1/100</w:t>
      </w:r>
    </w:p>
    <w:p w:rsidR="006E24E7" w:rsidRPr="00774BE8" w:rsidRDefault="006E24E7" w:rsidP="00774BE8">
      <w:pPr>
        <w:ind w:left="0" w:firstLine="0"/>
        <w:rPr>
          <w:szCs w:val="22"/>
        </w:rPr>
      </w:pPr>
      <w:r w:rsidRPr="00774BE8">
        <w:rPr>
          <w:szCs w:val="22"/>
        </w:rPr>
        <w:t xml:space="preserve">Zriedkavé </w:t>
      </w:r>
      <w:r w:rsidRPr="006B0D14">
        <w:rPr>
          <w:szCs w:val="22"/>
        </w:rPr>
        <w:sym w:font="Symbol" w:char="F0B3"/>
      </w:r>
      <w:r w:rsidR="00C415FF" w:rsidRPr="006B0D14">
        <w:rPr>
          <w:szCs w:val="22"/>
        </w:rPr>
        <w:t> </w:t>
      </w:r>
      <w:r w:rsidRPr="006B0D14">
        <w:rPr>
          <w:szCs w:val="22"/>
        </w:rPr>
        <w:t xml:space="preserve">1/10 </w:t>
      </w:r>
      <w:smartTag w:uri="urn:schemas-microsoft-com:office:smarttags" w:element="metricconverter">
        <w:smartTagPr>
          <w:attr w:name="ProductID" w:val="000 a"/>
        </w:smartTagPr>
        <w:r w:rsidRPr="006B0D14">
          <w:rPr>
            <w:szCs w:val="22"/>
          </w:rPr>
          <w:t>000 a</w:t>
        </w:r>
        <w:r w:rsidR="00C415FF" w:rsidRPr="006B0D14">
          <w:rPr>
            <w:szCs w:val="22"/>
          </w:rPr>
          <w:t>ž</w:t>
        </w:r>
      </w:smartTag>
      <w:r w:rsidRPr="006B0D14">
        <w:rPr>
          <w:szCs w:val="22"/>
        </w:rPr>
        <w:t xml:space="preserve"> &lt;</w:t>
      </w:r>
      <w:r w:rsidR="00C415FF" w:rsidRPr="00DD5AF6">
        <w:rPr>
          <w:szCs w:val="22"/>
        </w:rPr>
        <w:t> </w:t>
      </w:r>
      <w:r w:rsidRPr="00DD5AF6">
        <w:rPr>
          <w:szCs w:val="22"/>
        </w:rPr>
        <w:t>1/1</w:t>
      </w:r>
      <w:r w:rsidR="00C415FF" w:rsidRPr="00DD5AF6">
        <w:rPr>
          <w:szCs w:val="22"/>
        </w:rPr>
        <w:t> </w:t>
      </w:r>
      <w:r w:rsidRPr="00774BE8">
        <w:rPr>
          <w:szCs w:val="22"/>
        </w:rPr>
        <w:t>000</w:t>
      </w:r>
    </w:p>
    <w:p w:rsidR="006E24E7" w:rsidRPr="00774BE8" w:rsidRDefault="006E24E7" w:rsidP="00774BE8">
      <w:pPr>
        <w:ind w:left="0" w:firstLine="0"/>
        <w:rPr>
          <w:szCs w:val="22"/>
        </w:rPr>
      </w:pPr>
      <w:r w:rsidRPr="00774BE8">
        <w:rPr>
          <w:szCs w:val="22"/>
        </w:rPr>
        <w:t>Veľmi zriedkavé &lt;</w:t>
      </w:r>
      <w:r w:rsidR="00C415FF" w:rsidRPr="00774BE8">
        <w:rPr>
          <w:szCs w:val="22"/>
        </w:rPr>
        <w:t> </w:t>
      </w:r>
      <w:r w:rsidRPr="00774BE8">
        <w:rPr>
          <w:szCs w:val="22"/>
        </w:rPr>
        <w:t>1/10 000</w:t>
      </w:r>
    </w:p>
    <w:p w:rsidR="006E24E7" w:rsidRPr="00774BE8" w:rsidRDefault="006E24E7" w:rsidP="00C6710E">
      <w:pPr>
        <w:ind w:right="-1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7"/>
        <w:gridCol w:w="4606"/>
      </w:tblGrid>
      <w:tr w:rsidR="006E24E7" w:rsidRPr="00774BE8" w:rsidTr="00C6710E"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6E24E7" w:rsidP="00C6710E">
            <w:pPr>
              <w:keepNext/>
              <w:keepLines/>
              <w:rPr>
                <w:b/>
                <w:szCs w:val="22"/>
              </w:rPr>
            </w:pPr>
            <w:r w:rsidRPr="00774BE8">
              <w:rPr>
                <w:b/>
                <w:szCs w:val="22"/>
              </w:rPr>
              <w:t>Poruchy imunitného systému</w:t>
            </w:r>
          </w:p>
        </w:tc>
      </w:tr>
      <w:tr w:rsidR="006E24E7" w:rsidRPr="00774BE8" w:rsidTr="00C6710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115638" w:rsidP="00C6710E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Zriedkavé</w:t>
            </w:r>
            <w:r w:rsidR="006E24E7" w:rsidRPr="00774BE8">
              <w:rPr>
                <w:szCs w:val="22"/>
              </w:rPr>
              <w:t>:</w:t>
            </w:r>
          </w:p>
          <w:p w:rsidR="006E24E7" w:rsidRPr="00774BE8" w:rsidRDefault="006E24E7" w:rsidP="00115638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(</w:t>
            </w:r>
            <w:r w:rsidRPr="006B0D14">
              <w:rPr>
                <w:szCs w:val="22"/>
              </w:rPr>
              <w:sym w:font="Symbol" w:char="F0B3"/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1/10</w:t>
            </w:r>
            <w:r w:rsidR="00115638">
              <w:rPr>
                <w:szCs w:val="22"/>
              </w:rPr>
              <w:t> 0</w:t>
            </w:r>
            <w:r w:rsidRPr="006B0D14">
              <w:rPr>
                <w:szCs w:val="22"/>
              </w:rPr>
              <w:t>00 a</w:t>
            </w:r>
            <w:r w:rsidR="00C415FF" w:rsidRPr="00DD5AF6">
              <w:rPr>
                <w:szCs w:val="22"/>
              </w:rPr>
              <w:t>ž</w:t>
            </w:r>
            <w:r w:rsidRPr="00DD5AF6">
              <w:rPr>
                <w:szCs w:val="22"/>
              </w:rPr>
              <w:t xml:space="preserve"> &lt;</w:t>
            </w:r>
            <w:r w:rsidR="00C415FF" w:rsidRPr="00DD5AF6">
              <w:rPr>
                <w:szCs w:val="22"/>
              </w:rPr>
              <w:t> </w:t>
            </w:r>
            <w:r w:rsidRPr="00774BE8">
              <w:rPr>
                <w:szCs w:val="22"/>
              </w:rPr>
              <w:t>1/1</w:t>
            </w:r>
            <w:r w:rsidR="00115638">
              <w:rPr>
                <w:szCs w:val="22"/>
              </w:rPr>
              <w:t>0</w:t>
            </w:r>
            <w:r w:rsidRPr="00774BE8">
              <w:rPr>
                <w:szCs w:val="22"/>
              </w:rPr>
              <w:t>00)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C415FF" w:rsidP="00C6710E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p</w:t>
            </w:r>
            <w:r w:rsidR="006E24E7" w:rsidRPr="00774BE8">
              <w:rPr>
                <w:szCs w:val="22"/>
              </w:rPr>
              <w:t>recitlivenosť</w:t>
            </w:r>
          </w:p>
        </w:tc>
      </w:tr>
      <w:tr w:rsidR="00115638" w:rsidRPr="00774BE8" w:rsidTr="00C6710E"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8" w:rsidRPr="00774BE8" w:rsidRDefault="00115638" w:rsidP="00C6710E">
            <w:pPr>
              <w:keepNext/>
              <w:keepLines/>
              <w:rPr>
                <w:b/>
                <w:szCs w:val="22"/>
              </w:rPr>
            </w:pPr>
            <w:r>
              <w:rPr>
                <w:b/>
                <w:szCs w:val="22"/>
              </w:rPr>
              <w:t>Poruchy oka</w:t>
            </w:r>
          </w:p>
        </w:tc>
      </w:tr>
      <w:tr w:rsidR="00115638" w:rsidRPr="00774BE8" w:rsidTr="00115638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8" w:rsidRPr="00774BE8" w:rsidRDefault="00115638" w:rsidP="00115638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Zriedkavé</w:t>
            </w:r>
            <w:r w:rsidRPr="00774BE8">
              <w:rPr>
                <w:szCs w:val="22"/>
              </w:rPr>
              <w:t>:</w:t>
            </w:r>
          </w:p>
          <w:p w:rsidR="00115638" w:rsidRPr="00774BE8" w:rsidRDefault="00115638" w:rsidP="00115638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(</w:t>
            </w:r>
            <w:r w:rsidRPr="006B0D14">
              <w:rPr>
                <w:szCs w:val="22"/>
              </w:rPr>
              <w:sym w:font="Symbol" w:char="F0B3"/>
            </w:r>
            <w:r w:rsidRPr="006B0D14">
              <w:rPr>
                <w:szCs w:val="22"/>
              </w:rPr>
              <w:t> 1/10</w:t>
            </w:r>
            <w:r>
              <w:rPr>
                <w:szCs w:val="22"/>
              </w:rPr>
              <w:t> 0</w:t>
            </w:r>
            <w:r w:rsidRPr="006B0D14">
              <w:rPr>
                <w:szCs w:val="22"/>
              </w:rPr>
              <w:t>00 a</w:t>
            </w:r>
            <w:r w:rsidRPr="00DD5AF6">
              <w:rPr>
                <w:szCs w:val="22"/>
              </w:rPr>
              <w:t>ž &lt; </w:t>
            </w:r>
            <w:r w:rsidRPr="00774BE8">
              <w:rPr>
                <w:szCs w:val="22"/>
              </w:rPr>
              <w:t>1/1</w:t>
            </w:r>
            <w:r>
              <w:rPr>
                <w:szCs w:val="22"/>
              </w:rPr>
              <w:t>0</w:t>
            </w:r>
            <w:r w:rsidRPr="00774BE8">
              <w:rPr>
                <w:szCs w:val="22"/>
              </w:rPr>
              <w:t>00)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38" w:rsidRPr="00774BE8" w:rsidRDefault="00115638" w:rsidP="00115638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konjunktivitída</w:t>
            </w:r>
          </w:p>
        </w:tc>
      </w:tr>
      <w:tr w:rsidR="006E24E7" w:rsidRPr="00774BE8" w:rsidTr="00C6710E"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6E24E7" w:rsidP="00C6710E">
            <w:pPr>
              <w:keepNext/>
              <w:keepLines/>
              <w:rPr>
                <w:b/>
                <w:szCs w:val="22"/>
              </w:rPr>
            </w:pPr>
            <w:r w:rsidRPr="00774BE8">
              <w:rPr>
                <w:b/>
                <w:szCs w:val="22"/>
              </w:rPr>
              <w:t>Poruchy kože a podkožného tkaniva</w:t>
            </w:r>
          </w:p>
        </w:tc>
      </w:tr>
      <w:tr w:rsidR="006E24E7" w:rsidRPr="00774BE8" w:rsidTr="00C6710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6E24E7" w:rsidP="00C6710E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Menej časté:</w:t>
            </w:r>
          </w:p>
          <w:p w:rsidR="006E24E7" w:rsidRPr="00774BE8" w:rsidRDefault="006E24E7" w:rsidP="00C6710E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(</w:t>
            </w:r>
            <w:r w:rsidRPr="006B0D14">
              <w:rPr>
                <w:szCs w:val="22"/>
              </w:rPr>
              <w:sym w:font="Symbol" w:char="F0B3"/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1/1</w:t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000 a</w:t>
            </w:r>
            <w:r w:rsidR="00C415FF" w:rsidRPr="00DD5AF6">
              <w:rPr>
                <w:szCs w:val="22"/>
              </w:rPr>
              <w:t>ž</w:t>
            </w:r>
            <w:r w:rsidRPr="00DD5AF6">
              <w:rPr>
                <w:szCs w:val="22"/>
              </w:rPr>
              <w:t xml:space="preserve"> &lt;</w:t>
            </w:r>
            <w:r w:rsidR="00C415FF" w:rsidRPr="00DD5AF6">
              <w:rPr>
                <w:szCs w:val="22"/>
              </w:rPr>
              <w:t> </w:t>
            </w:r>
            <w:r w:rsidRPr="00774BE8">
              <w:rPr>
                <w:szCs w:val="22"/>
              </w:rPr>
              <w:t>1/100)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BA43B5" w:rsidP="00377F5C">
            <w:pPr>
              <w:keepNext/>
              <w:keepLines/>
              <w:ind w:left="0" w:firstLine="0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6E24E7" w:rsidRPr="00774BE8">
              <w:rPr>
                <w:szCs w:val="22"/>
              </w:rPr>
              <w:t>ermatitída</w:t>
            </w:r>
            <w:r>
              <w:rPr>
                <w:szCs w:val="22"/>
              </w:rPr>
              <w:t xml:space="preserve"> (vrátane kontaktnej dermatitídy, </w:t>
            </w:r>
            <w:r w:rsidR="00C415FF" w:rsidRPr="00774BE8">
              <w:rPr>
                <w:szCs w:val="22"/>
              </w:rPr>
              <w:t>e</w:t>
            </w:r>
            <w:r w:rsidR="006E24E7" w:rsidRPr="00774BE8">
              <w:rPr>
                <w:szCs w:val="22"/>
              </w:rPr>
              <w:t>kzém)</w:t>
            </w:r>
          </w:p>
          <w:p w:rsidR="00EC50B1" w:rsidRDefault="00EC50B1" w:rsidP="00C6710E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vyrážka</w:t>
            </w:r>
            <w:r w:rsidRPr="00192C5B">
              <w:rPr>
                <w:bCs/>
              </w:rPr>
              <w:t>*</w:t>
            </w:r>
          </w:p>
          <w:p w:rsidR="006E24E7" w:rsidRPr="00774BE8" w:rsidRDefault="00C415FF" w:rsidP="00C6710E">
            <w:pPr>
              <w:keepNext/>
              <w:keepLines/>
              <w:rPr>
                <w:szCs w:val="22"/>
              </w:rPr>
            </w:pPr>
            <w:r w:rsidRPr="00774BE8">
              <w:rPr>
                <w:szCs w:val="22"/>
              </w:rPr>
              <w:t>s</w:t>
            </w:r>
            <w:r w:rsidR="006E24E7" w:rsidRPr="00774BE8">
              <w:rPr>
                <w:szCs w:val="22"/>
              </w:rPr>
              <w:t>vrbenie</w:t>
            </w:r>
          </w:p>
          <w:p w:rsidR="006E24E7" w:rsidRDefault="00EC50B1" w:rsidP="00EC50B1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erytém</w:t>
            </w:r>
          </w:p>
          <w:p w:rsidR="00EC50B1" w:rsidRDefault="00EC50B1" w:rsidP="00EC50B1">
            <w:pPr>
              <w:keepNext/>
              <w:keepLines/>
              <w:rPr>
                <w:szCs w:val="22"/>
              </w:rPr>
            </w:pPr>
          </w:p>
          <w:p w:rsidR="00EC50B1" w:rsidRPr="00774BE8" w:rsidRDefault="00EC50B1" w:rsidP="00377F5C">
            <w:pPr>
              <w:keepNext/>
              <w:keepLines/>
              <w:ind w:left="0" w:firstLine="0"/>
              <w:rPr>
                <w:szCs w:val="22"/>
              </w:rPr>
            </w:pPr>
            <w:r w:rsidRPr="00192C5B">
              <w:rPr>
                <w:bCs/>
              </w:rPr>
              <w:t>*</w:t>
            </w:r>
            <w:r w:rsidR="00DC6541">
              <w:rPr>
                <w:bCs/>
              </w:rPr>
              <w:t xml:space="preserve">Zaznamenali sa rôzne typy vyrážky ako </w:t>
            </w:r>
            <w:r w:rsidR="00DC6541" w:rsidRPr="002A3BA4">
              <w:rPr>
                <w:sz w:val="23"/>
                <w:szCs w:val="23"/>
              </w:rPr>
              <w:t>erytematózn</w:t>
            </w:r>
            <w:r w:rsidR="00DC6541">
              <w:rPr>
                <w:sz w:val="23"/>
                <w:szCs w:val="23"/>
              </w:rPr>
              <w:t>e</w:t>
            </w:r>
            <w:r w:rsidR="00DC6541" w:rsidRPr="002A3BA4">
              <w:rPr>
                <w:sz w:val="23"/>
                <w:szCs w:val="23"/>
              </w:rPr>
              <w:t>, p</w:t>
            </w:r>
            <w:r w:rsidR="00DC6541">
              <w:rPr>
                <w:sz w:val="23"/>
                <w:szCs w:val="23"/>
              </w:rPr>
              <w:t>ľuzgierové</w:t>
            </w:r>
            <w:r w:rsidR="00DC6541" w:rsidRPr="002A3BA4">
              <w:rPr>
                <w:sz w:val="23"/>
                <w:szCs w:val="23"/>
              </w:rPr>
              <w:t>, ve</w:t>
            </w:r>
            <w:r w:rsidR="00DC6541">
              <w:rPr>
                <w:sz w:val="23"/>
                <w:szCs w:val="23"/>
              </w:rPr>
              <w:t>z</w:t>
            </w:r>
            <w:r w:rsidR="00DC6541" w:rsidRPr="002A3BA4">
              <w:rPr>
                <w:sz w:val="23"/>
                <w:szCs w:val="23"/>
              </w:rPr>
              <w:t>ikulárn</w:t>
            </w:r>
            <w:r w:rsidR="00DC6541">
              <w:rPr>
                <w:sz w:val="23"/>
                <w:szCs w:val="23"/>
              </w:rPr>
              <w:t>e</w:t>
            </w:r>
            <w:r w:rsidR="00DC6541" w:rsidRPr="002A3BA4">
              <w:rPr>
                <w:sz w:val="23"/>
                <w:szCs w:val="23"/>
              </w:rPr>
              <w:t>, makulopapul</w:t>
            </w:r>
            <w:r w:rsidR="00DC6541">
              <w:rPr>
                <w:sz w:val="23"/>
                <w:szCs w:val="23"/>
              </w:rPr>
              <w:t>árne</w:t>
            </w:r>
            <w:r w:rsidR="00DC6541" w:rsidRPr="002A3BA4">
              <w:rPr>
                <w:sz w:val="23"/>
                <w:szCs w:val="23"/>
              </w:rPr>
              <w:t xml:space="preserve"> a</w:t>
            </w:r>
            <w:r w:rsidR="00675E1C">
              <w:rPr>
                <w:sz w:val="23"/>
                <w:szCs w:val="23"/>
              </w:rPr>
              <w:t> </w:t>
            </w:r>
            <w:r w:rsidR="00DC6541" w:rsidRPr="002A3BA4">
              <w:rPr>
                <w:sz w:val="23"/>
                <w:szCs w:val="23"/>
              </w:rPr>
              <w:t>papulózn</w:t>
            </w:r>
            <w:r w:rsidR="00DC6541">
              <w:rPr>
                <w:sz w:val="23"/>
                <w:szCs w:val="23"/>
              </w:rPr>
              <w:t>e</w:t>
            </w:r>
            <w:r w:rsidR="00675E1C">
              <w:rPr>
                <w:sz w:val="23"/>
                <w:szCs w:val="23"/>
              </w:rPr>
              <w:t>. Vyskytla sa taktiež generalizovaná vyrážka.</w:t>
            </w:r>
          </w:p>
        </w:tc>
      </w:tr>
      <w:tr w:rsidR="006E24E7" w:rsidRPr="00774BE8" w:rsidTr="00C6710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6E24E7" w:rsidP="00C6710E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t>Zriedkavé:</w:t>
            </w:r>
          </w:p>
          <w:p w:rsidR="006E24E7" w:rsidRPr="00DD5AF6" w:rsidRDefault="006E24E7" w:rsidP="00C6710E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t>(</w:t>
            </w:r>
            <w:r w:rsidRPr="006B0D14">
              <w:rPr>
                <w:szCs w:val="22"/>
              </w:rPr>
              <w:sym w:font="Symbol" w:char="F0B3"/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 xml:space="preserve">1/10 </w:t>
            </w:r>
            <w:smartTag w:uri="urn:schemas-microsoft-com:office:smarttags" w:element="metricconverter">
              <w:smartTagPr>
                <w:attr w:name="ProductID" w:val="000 a"/>
              </w:smartTagPr>
              <w:r w:rsidRPr="006B0D14">
                <w:rPr>
                  <w:szCs w:val="22"/>
                </w:rPr>
                <w:t>000 a</w:t>
              </w:r>
              <w:r w:rsidR="002064D1">
                <w:rPr>
                  <w:szCs w:val="22"/>
                </w:rPr>
                <w:t>ž</w:t>
              </w:r>
            </w:smartTag>
            <w:r w:rsidRPr="006B0D14">
              <w:rPr>
                <w:szCs w:val="22"/>
              </w:rPr>
              <w:t xml:space="preserve"> &lt;</w:t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1/1</w:t>
            </w:r>
            <w:r w:rsidR="00C415FF" w:rsidRPr="00DD5AF6">
              <w:rPr>
                <w:szCs w:val="22"/>
              </w:rPr>
              <w:t> </w:t>
            </w:r>
            <w:r w:rsidRPr="00DD5AF6">
              <w:rPr>
                <w:szCs w:val="22"/>
              </w:rPr>
              <w:t>000)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EC50B1" w:rsidP="00C6710E">
            <w:pPr>
              <w:ind w:right="-1"/>
              <w:rPr>
                <w:szCs w:val="22"/>
              </w:rPr>
            </w:pPr>
            <w:r>
              <w:rPr>
                <w:szCs w:val="22"/>
              </w:rPr>
              <w:t>angioedém</w:t>
            </w:r>
          </w:p>
          <w:p w:rsidR="006E24E7" w:rsidRPr="00774BE8" w:rsidRDefault="00C415FF" w:rsidP="00C6710E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t>u</w:t>
            </w:r>
            <w:r w:rsidR="006E24E7" w:rsidRPr="00774BE8">
              <w:rPr>
                <w:szCs w:val="22"/>
              </w:rPr>
              <w:t>rtikária</w:t>
            </w:r>
          </w:p>
          <w:p w:rsidR="006E24E7" w:rsidRPr="00774BE8" w:rsidRDefault="00EC50B1" w:rsidP="006B0D14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pľuzgier</w:t>
            </w:r>
          </w:p>
        </w:tc>
      </w:tr>
      <w:tr w:rsidR="00E8148A" w:rsidRPr="00774BE8" w:rsidTr="002C004B"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8A" w:rsidRPr="00774BE8" w:rsidRDefault="00E8148A" w:rsidP="00C6710E">
            <w:pPr>
              <w:ind w:right="-1"/>
              <w:rPr>
                <w:szCs w:val="22"/>
              </w:rPr>
            </w:pPr>
            <w:r w:rsidRPr="00774BE8">
              <w:rPr>
                <w:b/>
                <w:szCs w:val="22"/>
              </w:rPr>
              <w:t>Celkové poruchy a reakcie v mieste podania</w:t>
            </w:r>
          </w:p>
        </w:tc>
      </w:tr>
      <w:tr w:rsidR="006E24E7" w:rsidRPr="00774BE8" w:rsidTr="00C6710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6E24E7" w:rsidP="00C6710E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t>Menej časté:</w:t>
            </w:r>
          </w:p>
          <w:p w:rsidR="006E24E7" w:rsidRPr="00774BE8" w:rsidRDefault="006E24E7" w:rsidP="00C6710E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lastRenderedPageBreak/>
              <w:t>(</w:t>
            </w:r>
            <w:r w:rsidRPr="006B0D14">
              <w:rPr>
                <w:szCs w:val="22"/>
              </w:rPr>
              <w:sym w:font="Symbol" w:char="F0B3"/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1/1</w:t>
            </w:r>
            <w:r w:rsidR="00C415FF" w:rsidRPr="006B0D14">
              <w:rPr>
                <w:szCs w:val="22"/>
              </w:rPr>
              <w:t> </w:t>
            </w:r>
            <w:r w:rsidRPr="006B0D14">
              <w:rPr>
                <w:szCs w:val="22"/>
              </w:rPr>
              <w:t>000 a</w:t>
            </w:r>
            <w:r w:rsidR="00C415FF" w:rsidRPr="00DD5AF6">
              <w:rPr>
                <w:szCs w:val="22"/>
              </w:rPr>
              <w:t>ž</w:t>
            </w:r>
            <w:r w:rsidRPr="00DD5AF6">
              <w:rPr>
                <w:szCs w:val="22"/>
              </w:rPr>
              <w:t xml:space="preserve"> &lt;</w:t>
            </w:r>
            <w:r w:rsidR="00C415FF" w:rsidRPr="00DD5AF6">
              <w:rPr>
                <w:szCs w:val="22"/>
              </w:rPr>
              <w:t> </w:t>
            </w:r>
            <w:r w:rsidRPr="00774BE8">
              <w:rPr>
                <w:szCs w:val="22"/>
              </w:rPr>
              <w:t>1/100)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E7" w:rsidRPr="00774BE8" w:rsidRDefault="00223662" w:rsidP="00377F5C">
            <w:pPr>
              <w:ind w:left="0" w:right="-1" w:firstLine="0"/>
              <w:rPr>
                <w:szCs w:val="22"/>
              </w:rPr>
            </w:pPr>
            <w:r w:rsidRPr="00774BE8">
              <w:rPr>
                <w:szCs w:val="22"/>
              </w:rPr>
              <w:lastRenderedPageBreak/>
              <w:t>b</w:t>
            </w:r>
            <w:r w:rsidR="006E24E7" w:rsidRPr="00774BE8">
              <w:rPr>
                <w:szCs w:val="22"/>
              </w:rPr>
              <w:t xml:space="preserve">olesť v mieste </w:t>
            </w:r>
            <w:r w:rsidR="008E0A06">
              <w:rPr>
                <w:szCs w:val="22"/>
              </w:rPr>
              <w:t>po</w:t>
            </w:r>
            <w:r w:rsidR="00EA45D4">
              <w:rPr>
                <w:szCs w:val="22"/>
              </w:rPr>
              <w:t>užitia</w:t>
            </w:r>
            <w:r w:rsidR="008E0A06">
              <w:rPr>
                <w:szCs w:val="22"/>
              </w:rPr>
              <w:t xml:space="preserve"> (vrátane pocitu pálenia </w:t>
            </w:r>
            <w:r w:rsidR="008915C8">
              <w:rPr>
                <w:szCs w:val="22"/>
              </w:rPr>
              <w:lastRenderedPageBreak/>
              <w:t xml:space="preserve">na </w:t>
            </w:r>
            <w:r w:rsidR="008E0A06">
              <w:rPr>
                <w:szCs w:val="22"/>
              </w:rPr>
              <w:t>kož</w:t>
            </w:r>
            <w:r w:rsidR="008915C8">
              <w:rPr>
                <w:szCs w:val="22"/>
              </w:rPr>
              <w:t>i</w:t>
            </w:r>
            <w:r w:rsidR="008E0A06">
              <w:rPr>
                <w:szCs w:val="22"/>
              </w:rPr>
              <w:t>)</w:t>
            </w:r>
          </w:p>
          <w:p w:rsidR="006E24E7" w:rsidRPr="00774BE8" w:rsidRDefault="00223662" w:rsidP="00EA45D4">
            <w:pPr>
              <w:ind w:right="-1"/>
              <w:rPr>
                <w:szCs w:val="22"/>
              </w:rPr>
            </w:pPr>
            <w:r w:rsidRPr="00774BE8">
              <w:rPr>
                <w:szCs w:val="22"/>
              </w:rPr>
              <w:t>p</w:t>
            </w:r>
            <w:r w:rsidR="006E24E7" w:rsidRPr="00774BE8">
              <w:rPr>
                <w:szCs w:val="22"/>
              </w:rPr>
              <w:t xml:space="preserve">odráždenie v mieste </w:t>
            </w:r>
            <w:r w:rsidR="008E0A06">
              <w:rPr>
                <w:szCs w:val="22"/>
              </w:rPr>
              <w:t>po</w:t>
            </w:r>
            <w:r w:rsidR="00EA45D4">
              <w:rPr>
                <w:szCs w:val="22"/>
              </w:rPr>
              <w:t>užitia</w:t>
            </w:r>
          </w:p>
        </w:tc>
      </w:tr>
    </w:tbl>
    <w:p w:rsidR="006E24E7" w:rsidRPr="00774BE8" w:rsidRDefault="006E24E7" w:rsidP="00C6710E">
      <w:pPr>
        <w:ind w:right="-1"/>
        <w:rPr>
          <w:szCs w:val="22"/>
        </w:rPr>
      </w:pPr>
    </w:p>
    <w:p w:rsidR="00AB09C3" w:rsidRPr="00192C5B" w:rsidRDefault="00AB09C3" w:rsidP="00AB09C3">
      <w:pPr>
        <w:rPr>
          <w:bCs/>
          <w:u w:val="single"/>
        </w:rPr>
      </w:pPr>
      <w:r w:rsidRPr="00192C5B">
        <w:rPr>
          <w:bCs/>
          <w:u w:val="single"/>
        </w:rPr>
        <w:t>P</w:t>
      </w:r>
      <w:r>
        <w:rPr>
          <w:bCs/>
          <w:u w:val="single"/>
        </w:rPr>
        <w:t>ediatrická populácia</w:t>
      </w:r>
    </w:p>
    <w:p w:rsidR="00AB09C3" w:rsidRPr="00192C5B" w:rsidRDefault="00AB09C3" w:rsidP="00AB09C3">
      <w:pPr>
        <w:rPr>
          <w:bCs/>
        </w:rPr>
      </w:pPr>
      <w:r>
        <w:rPr>
          <w:bCs/>
        </w:rPr>
        <w:t>U deti sa očakáva rovnaká frekvencia, typ a závažnosť nežiaducich reakcií ako u dospelých pacientov</w:t>
      </w:r>
      <w:r w:rsidRPr="00192C5B">
        <w:rPr>
          <w:bCs/>
        </w:rPr>
        <w:t xml:space="preserve">. </w:t>
      </w:r>
    </w:p>
    <w:p w:rsidR="00AB09C3" w:rsidRPr="00192C5B" w:rsidRDefault="00AB09C3" w:rsidP="00AB09C3">
      <w:pPr>
        <w:rPr>
          <w:szCs w:val="22"/>
          <w:u w:val="single"/>
        </w:rPr>
      </w:pPr>
    </w:p>
    <w:p w:rsidR="007E5956" w:rsidRPr="00774BE8" w:rsidRDefault="007E5956" w:rsidP="00DD5AF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774BE8">
        <w:rPr>
          <w:szCs w:val="22"/>
          <w:u w:val="single"/>
        </w:rPr>
        <w:t>Hlásenie podozrení na nežiaduce reakcie</w:t>
      </w:r>
    </w:p>
    <w:p w:rsidR="007E5956" w:rsidRPr="006B0D14" w:rsidRDefault="007E5956" w:rsidP="00774BE8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74BE8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583813">
        <w:rPr>
          <w:szCs w:val="22"/>
          <w:highlight w:val="lightGray"/>
        </w:rPr>
        <w:t>národného systému hlásenia uvedeného v </w:t>
      </w:r>
      <w:hyperlink r:id="rId8" w:history="1">
        <w:r w:rsidRPr="00583813">
          <w:rPr>
            <w:rStyle w:val="Hypertextovprepojenie"/>
            <w:szCs w:val="22"/>
            <w:highlight w:val="lightGray"/>
          </w:rPr>
          <w:t>Prílohe V</w:t>
        </w:r>
      </w:hyperlink>
      <w:r w:rsidRPr="006B0D14">
        <w:rPr>
          <w:szCs w:val="22"/>
        </w:rPr>
        <w:t>.</w:t>
      </w:r>
    </w:p>
    <w:p w:rsidR="007E5956" w:rsidRPr="00DD5AF6" w:rsidRDefault="007E5956" w:rsidP="00774BE8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:rsidR="00780926" w:rsidRPr="00774BE8" w:rsidRDefault="00780926" w:rsidP="00774BE8">
      <w:pPr>
        <w:rPr>
          <w:szCs w:val="22"/>
        </w:rPr>
      </w:pPr>
      <w:r w:rsidRPr="00774BE8">
        <w:rPr>
          <w:b/>
          <w:szCs w:val="22"/>
        </w:rPr>
        <w:t>4.9</w:t>
      </w:r>
      <w:r w:rsidRPr="00774BE8">
        <w:rPr>
          <w:b/>
          <w:szCs w:val="22"/>
        </w:rPr>
        <w:tab/>
        <w:t>Predávkovanie</w:t>
      </w:r>
    </w:p>
    <w:p w:rsidR="00780926" w:rsidRPr="00774BE8" w:rsidRDefault="00780926" w:rsidP="00774BE8">
      <w:pPr>
        <w:rPr>
          <w:szCs w:val="22"/>
        </w:rPr>
      </w:pPr>
    </w:p>
    <w:p w:rsidR="00B97C20" w:rsidRPr="00192C5B" w:rsidRDefault="006B0D14" w:rsidP="00BF229F">
      <w:pPr>
        <w:ind w:left="0" w:firstLine="0"/>
        <w:rPr>
          <w:i/>
          <w:noProof/>
          <w:szCs w:val="22"/>
        </w:rPr>
      </w:pPr>
      <w:r w:rsidRPr="00774BE8">
        <w:rPr>
          <w:szCs w:val="22"/>
        </w:rPr>
        <w:t>Pri lokáln</w:t>
      </w:r>
      <w:r>
        <w:rPr>
          <w:szCs w:val="22"/>
        </w:rPr>
        <w:t>om</w:t>
      </w:r>
      <w:r w:rsidR="00AC7CAF" w:rsidRPr="006B0D14">
        <w:rPr>
          <w:szCs w:val="22"/>
        </w:rPr>
        <w:t xml:space="preserve"> </w:t>
      </w:r>
      <w:r w:rsidRPr="00054562">
        <w:rPr>
          <w:szCs w:val="22"/>
        </w:rPr>
        <w:t>podávaní</w:t>
      </w:r>
      <w:r w:rsidR="00EF30A9" w:rsidRPr="00054562">
        <w:rPr>
          <w:szCs w:val="22"/>
        </w:rPr>
        <w:t xml:space="preserve"> </w:t>
      </w:r>
      <w:r w:rsidR="00667F80">
        <w:rPr>
          <w:szCs w:val="22"/>
        </w:rPr>
        <w:t xml:space="preserve">sodnej soli </w:t>
      </w:r>
      <w:r w:rsidR="00AC7CAF" w:rsidRPr="00054562">
        <w:rPr>
          <w:szCs w:val="22"/>
        </w:rPr>
        <w:t>f</w:t>
      </w:r>
      <w:r w:rsidR="00EF30A9" w:rsidRPr="00054562">
        <w:rPr>
          <w:szCs w:val="22"/>
        </w:rPr>
        <w:t>usidátu</w:t>
      </w:r>
      <w:r w:rsidR="00AC7CAF" w:rsidRPr="00054562">
        <w:rPr>
          <w:szCs w:val="22"/>
        </w:rPr>
        <w:t xml:space="preserve"> n</w:t>
      </w:r>
      <w:r w:rsidR="006E24E7" w:rsidRPr="00054562">
        <w:rPr>
          <w:szCs w:val="22"/>
        </w:rPr>
        <w:t>ie sú k dispozícii</w:t>
      </w:r>
      <w:r w:rsidR="006E24E7" w:rsidRPr="006B0D14">
        <w:rPr>
          <w:szCs w:val="22"/>
        </w:rPr>
        <w:t xml:space="preserve"> žiadne údaje </w:t>
      </w:r>
      <w:r w:rsidR="00AC7CAF" w:rsidRPr="006B0D14">
        <w:rPr>
          <w:szCs w:val="22"/>
        </w:rPr>
        <w:t>týkajúce sa možných</w:t>
      </w:r>
      <w:r w:rsidR="006E24E7" w:rsidRPr="00DD5AF6">
        <w:rPr>
          <w:szCs w:val="22"/>
        </w:rPr>
        <w:t xml:space="preserve"> príznako</w:t>
      </w:r>
      <w:r w:rsidR="00AC7CAF" w:rsidRPr="00DD5AF6">
        <w:rPr>
          <w:szCs w:val="22"/>
        </w:rPr>
        <w:t>v</w:t>
      </w:r>
      <w:r w:rsidR="006E24E7" w:rsidRPr="00774BE8">
        <w:rPr>
          <w:szCs w:val="22"/>
        </w:rPr>
        <w:t xml:space="preserve"> alebo </w:t>
      </w:r>
      <w:r w:rsidR="007E78DE" w:rsidRPr="00774BE8">
        <w:rPr>
          <w:szCs w:val="22"/>
        </w:rPr>
        <w:t>prejavo</w:t>
      </w:r>
      <w:r w:rsidR="00AC7CAF" w:rsidRPr="00774BE8">
        <w:rPr>
          <w:szCs w:val="22"/>
        </w:rPr>
        <w:t>v</w:t>
      </w:r>
      <w:r w:rsidR="007E78DE" w:rsidRPr="00774BE8">
        <w:rPr>
          <w:szCs w:val="22"/>
        </w:rPr>
        <w:t xml:space="preserve"> </w:t>
      </w:r>
      <w:r w:rsidR="00AC7CAF" w:rsidRPr="00774BE8">
        <w:rPr>
          <w:szCs w:val="22"/>
        </w:rPr>
        <w:t xml:space="preserve">spôsobených </w:t>
      </w:r>
      <w:r w:rsidR="006E24E7" w:rsidRPr="00774BE8">
        <w:rPr>
          <w:szCs w:val="22"/>
        </w:rPr>
        <w:t>predávkovan</w:t>
      </w:r>
      <w:r w:rsidR="00AC7CAF" w:rsidRPr="00774BE8">
        <w:rPr>
          <w:szCs w:val="22"/>
        </w:rPr>
        <w:t>ím</w:t>
      </w:r>
      <w:r w:rsidR="006E24E7" w:rsidRPr="00774BE8">
        <w:rPr>
          <w:szCs w:val="22"/>
        </w:rPr>
        <w:t xml:space="preserve">. </w:t>
      </w:r>
      <w:r w:rsidR="00B97C20" w:rsidRPr="00192C5B">
        <w:rPr>
          <w:noProof/>
          <w:szCs w:val="22"/>
        </w:rPr>
        <w:t>Syst</w:t>
      </w:r>
      <w:r w:rsidR="00B97C20">
        <w:rPr>
          <w:noProof/>
          <w:szCs w:val="22"/>
        </w:rPr>
        <w:t>émová expozícia lokálne podan</w:t>
      </w:r>
      <w:r w:rsidR="00575A28">
        <w:rPr>
          <w:noProof/>
          <w:szCs w:val="22"/>
        </w:rPr>
        <w:t xml:space="preserve">ej sodnej soli </w:t>
      </w:r>
      <w:r w:rsidR="00B97C20" w:rsidRPr="00054562">
        <w:rPr>
          <w:szCs w:val="22"/>
        </w:rPr>
        <w:t>fusidátu</w:t>
      </w:r>
      <w:r w:rsidR="000C1773" w:rsidRPr="00054562">
        <w:rPr>
          <w:szCs w:val="22"/>
        </w:rPr>
        <w:t xml:space="preserve"> </w:t>
      </w:r>
      <w:r w:rsidR="00B97C20" w:rsidRPr="00054562">
        <w:rPr>
          <w:szCs w:val="22"/>
        </w:rPr>
        <w:t>je</w:t>
      </w:r>
      <w:r w:rsidR="00B97C20">
        <w:rPr>
          <w:szCs w:val="22"/>
        </w:rPr>
        <w:t xml:space="preserve"> zanedbate</w:t>
      </w:r>
      <w:r w:rsidR="00381B55">
        <w:rPr>
          <w:szCs w:val="22"/>
        </w:rPr>
        <w:t>ľná</w:t>
      </w:r>
      <w:r w:rsidR="00B97C20">
        <w:rPr>
          <w:szCs w:val="22"/>
        </w:rPr>
        <w:t xml:space="preserve"> </w:t>
      </w:r>
      <w:r w:rsidR="00B97C20" w:rsidRPr="00192C5B">
        <w:rPr>
          <w:noProof/>
          <w:szCs w:val="22"/>
        </w:rPr>
        <w:t>a</w:t>
      </w:r>
      <w:r w:rsidR="00B97C20">
        <w:rPr>
          <w:noProof/>
          <w:szCs w:val="22"/>
        </w:rPr>
        <w:t xml:space="preserve"> </w:t>
      </w:r>
      <w:r w:rsidR="00381B55">
        <w:rPr>
          <w:noProof/>
          <w:szCs w:val="22"/>
        </w:rPr>
        <w:t>výskyt systémového predávkovania po lokálnom podaní sa preto javí ako nepravdepodobný</w:t>
      </w:r>
      <w:r w:rsidR="00B97C20" w:rsidRPr="00192C5B">
        <w:rPr>
          <w:noProof/>
          <w:szCs w:val="22"/>
        </w:rPr>
        <w:t xml:space="preserve">. </w:t>
      </w:r>
      <w:r w:rsidR="00B97C20">
        <w:rPr>
          <w:noProof/>
          <w:szCs w:val="22"/>
        </w:rPr>
        <w:t>Predávkovanie po náhodnom perorálnom požití je nepravdepodobné vzhľadom na liekovú formu lieku</w:t>
      </w:r>
      <w:r w:rsidR="00B97C20" w:rsidRPr="00192C5B">
        <w:rPr>
          <w:noProof/>
          <w:szCs w:val="22"/>
        </w:rPr>
        <w:t xml:space="preserve">. </w:t>
      </w:r>
    </w:p>
    <w:p w:rsidR="00B97C20" w:rsidRDefault="00B97C20" w:rsidP="00774BE8">
      <w:pPr>
        <w:ind w:left="0" w:firstLine="0"/>
        <w:outlineLvl w:val="0"/>
        <w:rPr>
          <w:szCs w:val="22"/>
        </w:rPr>
      </w:pPr>
    </w:p>
    <w:p w:rsidR="00780926" w:rsidRPr="00774BE8" w:rsidRDefault="00780926" w:rsidP="00774BE8">
      <w:pPr>
        <w:rPr>
          <w:szCs w:val="22"/>
        </w:rPr>
      </w:pPr>
    </w:p>
    <w:p w:rsidR="00780926" w:rsidRPr="00774BE8" w:rsidRDefault="00780926" w:rsidP="00C6710E">
      <w:pPr>
        <w:keepNext/>
        <w:keepLines/>
        <w:rPr>
          <w:szCs w:val="22"/>
        </w:rPr>
      </w:pPr>
      <w:r w:rsidRPr="00774BE8">
        <w:rPr>
          <w:b/>
          <w:szCs w:val="22"/>
        </w:rPr>
        <w:t>5.</w:t>
      </w:r>
      <w:r w:rsidRPr="00774BE8">
        <w:rPr>
          <w:b/>
          <w:szCs w:val="22"/>
        </w:rPr>
        <w:tab/>
        <w:t>FARMAKOLOGICKÉ VLASTNOSTI</w:t>
      </w:r>
    </w:p>
    <w:p w:rsidR="00780926" w:rsidRPr="00774BE8" w:rsidRDefault="00780926" w:rsidP="00C6710E">
      <w:pPr>
        <w:keepNext/>
        <w:keepLines/>
        <w:rPr>
          <w:bCs/>
          <w:szCs w:val="22"/>
        </w:rPr>
      </w:pPr>
    </w:p>
    <w:p w:rsidR="00780926" w:rsidRPr="00774BE8" w:rsidRDefault="00780926" w:rsidP="00C6710E">
      <w:pPr>
        <w:keepNext/>
        <w:keepLines/>
        <w:rPr>
          <w:szCs w:val="22"/>
        </w:rPr>
      </w:pPr>
      <w:r w:rsidRPr="00774BE8">
        <w:rPr>
          <w:b/>
          <w:szCs w:val="22"/>
        </w:rPr>
        <w:t>5.1</w:t>
      </w:r>
      <w:r w:rsidRPr="00774BE8">
        <w:rPr>
          <w:b/>
          <w:szCs w:val="22"/>
        </w:rPr>
        <w:tab/>
        <w:t>Farmakodynamické vlastnosti</w:t>
      </w:r>
    </w:p>
    <w:p w:rsidR="00780926" w:rsidRPr="00774BE8" w:rsidRDefault="00780926" w:rsidP="00C6710E">
      <w:pPr>
        <w:keepNext/>
        <w:keepLines/>
        <w:rPr>
          <w:szCs w:val="22"/>
        </w:rPr>
      </w:pPr>
    </w:p>
    <w:p w:rsidR="006B6634" w:rsidRPr="006B0D14" w:rsidRDefault="006B6634" w:rsidP="00C6710E">
      <w:pPr>
        <w:ind w:left="0" w:firstLine="0"/>
        <w:outlineLvl w:val="0"/>
        <w:rPr>
          <w:szCs w:val="22"/>
        </w:rPr>
      </w:pPr>
      <w:r w:rsidRPr="00774BE8">
        <w:rPr>
          <w:szCs w:val="22"/>
        </w:rPr>
        <w:t xml:space="preserve">Farmakoterapeutická skupina: </w:t>
      </w:r>
      <w:r w:rsidR="00B54A77">
        <w:t xml:space="preserve">liečivé </w:t>
      </w:r>
      <w:r w:rsidR="00B54A77" w:rsidRPr="006846A0">
        <w:t>obväzy</w:t>
      </w:r>
      <w:r w:rsidR="000C1773">
        <w:t>, masťové obväzy</w:t>
      </w:r>
      <w:r w:rsidR="00B54A77" w:rsidRPr="006846A0">
        <w:t xml:space="preserve"> s antiinfektívami</w:t>
      </w:r>
      <w:r w:rsidR="009B02A3" w:rsidRPr="006846A0">
        <w:rPr>
          <w:szCs w:val="22"/>
        </w:rPr>
        <w:t>,</w:t>
      </w:r>
      <w:r w:rsidR="009B02A3" w:rsidRPr="006B0D14">
        <w:rPr>
          <w:szCs w:val="22"/>
        </w:rPr>
        <w:t xml:space="preserve"> </w:t>
      </w:r>
      <w:r w:rsidRPr="006B0D14">
        <w:rPr>
          <w:szCs w:val="22"/>
        </w:rPr>
        <w:t xml:space="preserve">ATC kód: </w:t>
      </w:r>
      <w:r w:rsidR="00B54A77">
        <w:rPr>
          <w:noProof/>
          <w:szCs w:val="22"/>
        </w:rPr>
        <w:t>D</w:t>
      </w:r>
      <w:r w:rsidR="00AC3DC3" w:rsidRPr="005942E0">
        <w:rPr>
          <w:noProof/>
          <w:szCs w:val="22"/>
        </w:rPr>
        <w:t>09</w:t>
      </w:r>
      <w:r w:rsidR="00B54A77">
        <w:rPr>
          <w:noProof/>
          <w:szCs w:val="22"/>
        </w:rPr>
        <w:t>AA</w:t>
      </w:r>
      <w:r w:rsidR="00AC3DC3" w:rsidRPr="005942E0">
        <w:rPr>
          <w:noProof/>
          <w:szCs w:val="22"/>
        </w:rPr>
        <w:t>02</w:t>
      </w:r>
    </w:p>
    <w:p w:rsidR="006B6634" w:rsidRPr="006B0D14" w:rsidRDefault="006B6634" w:rsidP="00C6710E">
      <w:pPr>
        <w:ind w:right="-1"/>
        <w:rPr>
          <w:szCs w:val="22"/>
        </w:rPr>
      </w:pPr>
    </w:p>
    <w:p w:rsidR="00E1698A" w:rsidRPr="00774BE8" w:rsidRDefault="00B06E24" w:rsidP="00DD5AF6">
      <w:pPr>
        <w:autoSpaceDE w:val="0"/>
        <w:autoSpaceDN w:val="0"/>
        <w:adjustRightInd w:val="0"/>
        <w:rPr>
          <w:szCs w:val="22"/>
        </w:rPr>
      </w:pPr>
      <w:r w:rsidRPr="00774BE8">
        <w:rPr>
          <w:szCs w:val="22"/>
          <w:u w:val="single"/>
        </w:rPr>
        <w:t>Mechanizmus účinku</w:t>
      </w:r>
    </w:p>
    <w:p w:rsidR="00AB7E98" w:rsidRDefault="00A02DBB" w:rsidP="00774BE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Sodná soľ f</w:t>
      </w:r>
      <w:r w:rsidR="00AB7E98" w:rsidRPr="00913F86">
        <w:rPr>
          <w:szCs w:val="22"/>
        </w:rPr>
        <w:t>usidát</w:t>
      </w:r>
      <w:r>
        <w:rPr>
          <w:szCs w:val="22"/>
        </w:rPr>
        <w:t xml:space="preserve">u </w:t>
      </w:r>
      <w:r w:rsidR="009B02A3" w:rsidRPr="00913F86">
        <w:rPr>
          <w:szCs w:val="22"/>
        </w:rPr>
        <w:t>účinkuje</w:t>
      </w:r>
      <w:r w:rsidR="006547B2" w:rsidRPr="00774BE8">
        <w:rPr>
          <w:szCs w:val="22"/>
        </w:rPr>
        <w:t xml:space="preserve"> tak, že bráni </w:t>
      </w:r>
      <w:r w:rsidR="0015678D" w:rsidRPr="00774BE8">
        <w:rPr>
          <w:szCs w:val="22"/>
        </w:rPr>
        <w:t xml:space="preserve">disociácii </w:t>
      </w:r>
      <w:r w:rsidR="009B02A3" w:rsidRPr="00774BE8">
        <w:rPr>
          <w:szCs w:val="22"/>
        </w:rPr>
        <w:t>komplexu tvoreného e</w:t>
      </w:r>
      <w:r w:rsidR="006547B2" w:rsidRPr="00774BE8">
        <w:rPr>
          <w:szCs w:val="22"/>
        </w:rPr>
        <w:t>long</w:t>
      </w:r>
      <w:r w:rsidR="0015678D" w:rsidRPr="00774BE8">
        <w:rPr>
          <w:szCs w:val="22"/>
        </w:rPr>
        <w:t>a</w:t>
      </w:r>
      <w:r w:rsidR="009B02A3" w:rsidRPr="00774BE8">
        <w:rPr>
          <w:szCs w:val="22"/>
        </w:rPr>
        <w:t>čným</w:t>
      </w:r>
      <w:r w:rsidR="0015678D" w:rsidRPr="00774BE8">
        <w:rPr>
          <w:szCs w:val="22"/>
        </w:rPr>
        <w:t xml:space="preserve"> </w:t>
      </w:r>
      <w:r w:rsidR="0015678D" w:rsidRPr="006B0D14">
        <w:rPr>
          <w:szCs w:val="22"/>
        </w:rPr>
        <w:t>faktor</w:t>
      </w:r>
      <w:r w:rsidR="009B02A3" w:rsidRPr="006B0D14">
        <w:rPr>
          <w:szCs w:val="22"/>
        </w:rPr>
        <w:t>om</w:t>
      </w:r>
      <w:r w:rsidR="006547B2" w:rsidRPr="006B0D14">
        <w:rPr>
          <w:szCs w:val="22"/>
        </w:rPr>
        <w:t xml:space="preserve"> </w:t>
      </w:r>
      <w:r w:rsidR="0015678D" w:rsidRPr="006B0D14">
        <w:rPr>
          <w:szCs w:val="22"/>
        </w:rPr>
        <w:t>G (EF-G)</w:t>
      </w:r>
      <w:r w:rsidR="006B0D14">
        <w:rPr>
          <w:szCs w:val="22"/>
        </w:rPr>
        <w:t xml:space="preserve"> a </w:t>
      </w:r>
      <w:r w:rsidR="0015678D" w:rsidRPr="006B0D14">
        <w:rPr>
          <w:szCs w:val="22"/>
        </w:rPr>
        <w:t>ribozómo</w:t>
      </w:r>
      <w:r w:rsidR="009B02A3" w:rsidRPr="006B0D14">
        <w:rPr>
          <w:szCs w:val="22"/>
        </w:rPr>
        <w:t>m</w:t>
      </w:r>
      <w:r w:rsidR="0015678D" w:rsidRPr="006B0D14">
        <w:rPr>
          <w:szCs w:val="22"/>
        </w:rPr>
        <w:t xml:space="preserve"> </w:t>
      </w:r>
      <w:r w:rsidR="009B02A3" w:rsidRPr="006B0D14">
        <w:rPr>
          <w:szCs w:val="22"/>
        </w:rPr>
        <w:t>počas</w:t>
      </w:r>
      <w:r w:rsidR="0015678D" w:rsidRPr="006B0D14">
        <w:rPr>
          <w:szCs w:val="22"/>
        </w:rPr>
        <w:t xml:space="preserve"> syntézy </w:t>
      </w:r>
      <w:r w:rsidR="009B02A3" w:rsidRPr="006B0D14">
        <w:rPr>
          <w:szCs w:val="22"/>
        </w:rPr>
        <w:t xml:space="preserve">bakteriálnych </w:t>
      </w:r>
      <w:r w:rsidR="0015678D" w:rsidRPr="00DD5AF6">
        <w:rPr>
          <w:szCs w:val="22"/>
        </w:rPr>
        <w:t xml:space="preserve">bielkovín. </w:t>
      </w:r>
      <w:r w:rsidR="009B02A3" w:rsidRPr="00DD5AF6">
        <w:rPr>
          <w:szCs w:val="22"/>
        </w:rPr>
        <w:t xml:space="preserve">Dochádza k blokáde </w:t>
      </w:r>
      <w:r w:rsidR="0015678D" w:rsidRPr="00DD5AF6">
        <w:rPr>
          <w:szCs w:val="22"/>
        </w:rPr>
        <w:t>EF-G</w:t>
      </w:r>
      <w:r w:rsidR="009B02A3" w:rsidRPr="00774BE8">
        <w:rPr>
          <w:szCs w:val="22"/>
        </w:rPr>
        <w:t>,</w:t>
      </w:r>
      <w:r w:rsidR="006B0D14" w:rsidRPr="00774BE8">
        <w:rPr>
          <w:szCs w:val="22"/>
        </w:rPr>
        <w:t xml:space="preserve"> jeho funkcia</w:t>
      </w:r>
      <w:r w:rsidR="009B02A3" w:rsidRPr="00774BE8">
        <w:rPr>
          <w:szCs w:val="22"/>
        </w:rPr>
        <w:t xml:space="preserve"> zanikla</w:t>
      </w:r>
      <w:r w:rsidR="0015678D" w:rsidRPr="00774BE8">
        <w:rPr>
          <w:szCs w:val="22"/>
        </w:rPr>
        <w:t xml:space="preserve"> </w:t>
      </w:r>
      <w:r w:rsidR="009B02A3" w:rsidRPr="00774BE8">
        <w:rPr>
          <w:szCs w:val="22"/>
        </w:rPr>
        <w:t xml:space="preserve">a </w:t>
      </w:r>
      <w:r w:rsidR="0015678D" w:rsidRPr="00774BE8">
        <w:rPr>
          <w:szCs w:val="22"/>
        </w:rPr>
        <w:t xml:space="preserve">syntéza bielkovín sa zastaví, </w:t>
      </w:r>
      <w:r w:rsidR="00DD5555">
        <w:rPr>
          <w:szCs w:val="22"/>
        </w:rPr>
        <w:t>nakoniec</w:t>
      </w:r>
      <w:r w:rsidR="00DD5555" w:rsidRPr="00774BE8">
        <w:rPr>
          <w:szCs w:val="22"/>
        </w:rPr>
        <w:t xml:space="preserve"> </w:t>
      </w:r>
      <w:r w:rsidR="009B02A3" w:rsidRPr="00774BE8">
        <w:rPr>
          <w:szCs w:val="22"/>
        </w:rPr>
        <w:t xml:space="preserve">dochádza k smrti bakteriálnej </w:t>
      </w:r>
      <w:r w:rsidR="009B02A3" w:rsidRPr="00913F86">
        <w:rPr>
          <w:szCs w:val="22"/>
        </w:rPr>
        <w:t xml:space="preserve">bunky. </w:t>
      </w:r>
      <w:r w:rsidR="0045744E">
        <w:rPr>
          <w:szCs w:val="22"/>
        </w:rPr>
        <w:t>Sodná soľ f</w:t>
      </w:r>
      <w:r w:rsidR="00AB7E98" w:rsidRPr="00913F86">
        <w:rPr>
          <w:szCs w:val="22"/>
        </w:rPr>
        <w:t>usidát</w:t>
      </w:r>
      <w:r w:rsidR="0045744E">
        <w:rPr>
          <w:szCs w:val="22"/>
        </w:rPr>
        <w:t xml:space="preserve">u </w:t>
      </w:r>
      <w:r w:rsidR="009B02A3" w:rsidRPr="00913F86">
        <w:rPr>
          <w:szCs w:val="22"/>
        </w:rPr>
        <w:t>má</w:t>
      </w:r>
      <w:r w:rsidR="009B02A3" w:rsidRPr="00774BE8">
        <w:rPr>
          <w:szCs w:val="22"/>
        </w:rPr>
        <w:t xml:space="preserve"> v</w:t>
      </w:r>
      <w:r w:rsidR="005F3D78" w:rsidRPr="00774BE8">
        <w:rPr>
          <w:szCs w:val="22"/>
        </w:rPr>
        <w:t xml:space="preserve"> </w:t>
      </w:r>
      <w:r w:rsidR="006E2582" w:rsidRPr="00774BE8">
        <w:rPr>
          <w:szCs w:val="22"/>
        </w:rPr>
        <w:t>nízkych koncentráciách</w:t>
      </w:r>
      <w:r w:rsidR="005F3D78" w:rsidRPr="00774BE8">
        <w:rPr>
          <w:szCs w:val="22"/>
        </w:rPr>
        <w:t xml:space="preserve"> bakt</w:t>
      </w:r>
      <w:r w:rsidR="00913F86">
        <w:rPr>
          <w:szCs w:val="22"/>
        </w:rPr>
        <w:t>e</w:t>
      </w:r>
      <w:r w:rsidR="005F3D78" w:rsidRPr="00774BE8">
        <w:rPr>
          <w:szCs w:val="22"/>
        </w:rPr>
        <w:t>riostatick</w:t>
      </w:r>
      <w:r w:rsidR="009B02A3" w:rsidRPr="00774BE8">
        <w:rPr>
          <w:szCs w:val="22"/>
        </w:rPr>
        <w:t>ý účinok</w:t>
      </w:r>
      <w:r w:rsidR="005F3D78" w:rsidRPr="006B0D14">
        <w:rPr>
          <w:szCs w:val="22"/>
        </w:rPr>
        <w:t>, ale</w:t>
      </w:r>
      <w:r w:rsidR="009B02A3" w:rsidRPr="006B0D14">
        <w:rPr>
          <w:szCs w:val="22"/>
        </w:rPr>
        <w:t xml:space="preserve"> </w:t>
      </w:r>
      <w:r w:rsidR="005F3D78" w:rsidRPr="006B0D14">
        <w:rPr>
          <w:szCs w:val="22"/>
        </w:rPr>
        <w:t xml:space="preserve">pri vysokých koncentráciách </w:t>
      </w:r>
      <w:r w:rsidR="009B02A3" w:rsidRPr="006B0D14">
        <w:rPr>
          <w:szCs w:val="22"/>
        </w:rPr>
        <w:t xml:space="preserve">vykazuje </w:t>
      </w:r>
      <w:r w:rsidR="005F3D78" w:rsidRPr="006B0D14">
        <w:rPr>
          <w:szCs w:val="22"/>
        </w:rPr>
        <w:t xml:space="preserve">baktericídny </w:t>
      </w:r>
      <w:r w:rsidR="00D714B0" w:rsidRPr="00DD5AF6">
        <w:rPr>
          <w:szCs w:val="22"/>
        </w:rPr>
        <w:t>účinok</w:t>
      </w:r>
      <w:r w:rsidR="005F3D78" w:rsidRPr="00DD5AF6">
        <w:rPr>
          <w:szCs w:val="22"/>
        </w:rPr>
        <w:t xml:space="preserve">. </w:t>
      </w:r>
    </w:p>
    <w:p w:rsidR="00AB7E98" w:rsidRDefault="00AB7E98" w:rsidP="00774B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F3D78" w:rsidRPr="00774BE8" w:rsidRDefault="0071659B" w:rsidP="00774BE8">
      <w:pPr>
        <w:autoSpaceDE w:val="0"/>
        <w:autoSpaceDN w:val="0"/>
        <w:adjustRightInd w:val="0"/>
        <w:ind w:left="0" w:firstLine="0"/>
        <w:rPr>
          <w:color w:val="222222"/>
          <w:szCs w:val="22"/>
        </w:rPr>
      </w:pPr>
      <w:r>
        <w:rPr>
          <w:szCs w:val="22"/>
        </w:rPr>
        <w:t>Sodná soľ f</w:t>
      </w:r>
      <w:r w:rsidR="00AB7E98" w:rsidRPr="00EF7678">
        <w:rPr>
          <w:szCs w:val="22"/>
        </w:rPr>
        <w:t>usidát</w:t>
      </w:r>
      <w:r>
        <w:rPr>
          <w:szCs w:val="22"/>
        </w:rPr>
        <w:t xml:space="preserve">u </w:t>
      </w:r>
      <w:r w:rsidR="009B02A3" w:rsidRPr="00774BE8">
        <w:rPr>
          <w:szCs w:val="22"/>
        </w:rPr>
        <w:t>účinkuje</w:t>
      </w:r>
      <w:r w:rsidR="005F3D78" w:rsidRPr="00774BE8">
        <w:rPr>
          <w:szCs w:val="22"/>
        </w:rPr>
        <w:t xml:space="preserve"> </w:t>
      </w:r>
      <w:r w:rsidR="009B02A3" w:rsidRPr="00774BE8">
        <w:rPr>
          <w:szCs w:val="22"/>
        </w:rPr>
        <w:t>primárne</w:t>
      </w:r>
      <w:r w:rsidR="005F3D78" w:rsidRPr="00774BE8">
        <w:rPr>
          <w:szCs w:val="22"/>
        </w:rPr>
        <w:t xml:space="preserve"> na grampozitívne baktérie</w:t>
      </w:r>
      <w:r w:rsidR="00AB7E98">
        <w:rPr>
          <w:szCs w:val="22"/>
        </w:rPr>
        <w:t xml:space="preserve">, najmä </w:t>
      </w:r>
      <w:r w:rsidR="00AB7E98" w:rsidRPr="00774BE8">
        <w:rPr>
          <w:rStyle w:val="hps"/>
          <w:i/>
          <w:color w:val="222222"/>
          <w:szCs w:val="22"/>
        </w:rPr>
        <w:t>Staphylococcus</w:t>
      </w:r>
      <w:r w:rsidR="00AB7E98" w:rsidRPr="00774BE8">
        <w:rPr>
          <w:i/>
          <w:color w:val="222222"/>
          <w:szCs w:val="22"/>
        </w:rPr>
        <w:t xml:space="preserve"> </w:t>
      </w:r>
      <w:r w:rsidR="00AB7E98" w:rsidRPr="00774BE8">
        <w:rPr>
          <w:rStyle w:val="hps"/>
          <w:i/>
          <w:color w:val="222222"/>
          <w:szCs w:val="22"/>
        </w:rPr>
        <w:t>aureus</w:t>
      </w:r>
      <w:r w:rsidR="005F3D78" w:rsidRPr="00EF7678">
        <w:rPr>
          <w:szCs w:val="22"/>
        </w:rPr>
        <w:t xml:space="preserve">. </w:t>
      </w:r>
      <w:r w:rsidR="00CF1147">
        <w:rPr>
          <w:szCs w:val="22"/>
        </w:rPr>
        <w:t>Sodná soľ f</w:t>
      </w:r>
      <w:r w:rsidR="00AB7E98" w:rsidRPr="00EF7678">
        <w:rPr>
          <w:szCs w:val="22"/>
        </w:rPr>
        <w:t>usidát</w:t>
      </w:r>
      <w:r w:rsidR="00CF1147">
        <w:rPr>
          <w:szCs w:val="22"/>
        </w:rPr>
        <w:t xml:space="preserve">u </w:t>
      </w:r>
      <w:r w:rsidR="009B02A3" w:rsidRPr="00EF7678">
        <w:rPr>
          <w:szCs w:val="22"/>
        </w:rPr>
        <w:t xml:space="preserve">je </w:t>
      </w:r>
      <w:r w:rsidR="00AB7E98" w:rsidRPr="00EF7678">
        <w:rPr>
          <w:szCs w:val="22"/>
        </w:rPr>
        <w:t xml:space="preserve">tiež </w:t>
      </w:r>
      <w:r w:rsidR="009B02A3" w:rsidRPr="00EF7678">
        <w:rPr>
          <w:szCs w:val="22"/>
        </w:rPr>
        <w:t>účinn</w:t>
      </w:r>
      <w:r w:rsidR="00CF1147">
        <w:rPr>
          <w:szCs w:val="22"/>
        </w:rPr>
        <w:t>á</w:t>
      </w:r>
      <w:r w:rsidR="009B02A3" w:rsidRPr="00EF7678">
        <w:rPr>
          <w:szCs w:val="22"/>
        </w:rPr>
        <w:t xml:space="preserve"> proti</w:t>
      </w:r>
      <w:r w:rsidR="005F3D78" w:rsidRPr="00EF7678">
        <w:rPr>
          <w:szCs w:val="22"/>
        </w:rPr>
        <w:t xml:space="preserve"> </w:t>
      </w:r>
      <w:r w:rsidR="00AB7E98" w:rsidRPr="00EF7678">
        <w:rPr>
          <w:i/>
        </w:rPr>
        <w:t>Streptococcus spp</w:t>
      </w:r>
      <w:r w:rsidR="00AB7E98" w:rsidRPr="00EF7678">
        <w:rPr>
          <w:rStyle w:val="hps"/>
          <w:i/>
          <w:color w:val="222222"/>
          <w:szCs w:val="22"/>
        </w:rPr>
        <w:t xml:space="preserve">., Corynebacterium </w:t>
      </w:r>
      <w:r w:rsidR="00AB7E98" w:rsidRPr="00EF7678">
        <w:rPr>
          <w:i/>
        </w:rPr>
        <w:t>minutissimum</w:t>
      </w:r>
      <w:r w:rsidR="00AB7E98" w:rsidRPr="00EF7678">
        <w:t xml:space="preserve">, </w:t>
      </w:r>
      <w:r w:rsidR="00AB7E98" w:rsidRPr="00EF7678">
        <w:rPr>
          <w:i/>
        </w:rPr>
        <w:t>Neisseria sp</w:t>
      </w:r>
      <w:r w:rsidR="00AB7E98" w:rsidRPr="0061480B">
        <w:rPr>
          <w:i/>
        </w:rPr>
        <w:t>p</w:t>
      </w:r>
      <w:r w:rsidR="00AB7E98" w:rsidRPr="0061480B">
        <w:t xml:space="preserve">. </w:t>
      </w:r>
      <w:r w:rsidR="00AB7E98">
        <w:t xml:space="preserve">a niektorým kmeňom </w:t>
      </w:r>
      <w:r w:rsidR="008B5149" w:rsidRPr="006D349C">
        <w:rPr>
          <w:i/>
        </w:rPr>
        <w:t>Clostridium spp</w:t>
      </w:r>
      <w:r w:rsidR="00AB7E98">
        <w:rPr>
          <w:color w:val="222222"/>
          <w:szCs w:val="22"/>
        </w:rPr>
        <w:t>.</w:t>
      </w:r>
    </w:p>
    <w:p w:rsidR="009B02A3" w:rsidRPr="00774BE8" w:rsidRDefault="009B02A3" w:rsidP="00774B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F2D4E" w:rsidRPr="00774BE8" w:rsidRDefault="00FF2D4E" w:rsidP="00774BE8">
      <w:pPr>
        <w:numPr>
          <w:ilvl w:val="12"/>
          <w:numId w:val="0"/>
        </w:numPr>
        <w:suppressLineNumbers/>
        <w:ind w:right="-2"/>
        <w:rPr>
          <w:szCs w:val="22"/>
          <w:u w:val="single"/>
        </w:rPr>
      </w:pPr>
      <w:r w:rsidRPr="00774BE8">
        <w:rPr>
          <w:szCs w:val="22"/>
          <w:u w:val="single"/>
        </w:rPr>
        <w:t>Re</w:t>
      </w:r>
      <w:r w:rsidR="000B11DA" w:rsidRPr="00774BE8">
        <w:rPr>
          <w:szCs w:val="22"/>
          <w:u w:val="single"/>
        </w:rPr>
        <w:t>z</w:t>
      </w:r>
      <w:r w:rsidRPr="00774BE8">
        <w:rPr>
          <w:szCs w:val="22"/>
          <w:u w:val="single"/>
        </w:rPr>
        <w:t>ist</w:t>
      </w:r>
      <w:r w:rsidR="000B11DA" w:rsidRPr="00774BE8">
        <w:rPr>
          <w:szCs w:val="22"/>
          <w:u w:val="single"/>
        </w:rPr>
        <w:t>encia</w:t>
      </w:r>
    </w:p>
    <w:p w:rsidR="005421B1" w:rsidRPr="006B0D14" w:rsidRDefault="005421B1" w:rsidP="00774BE8">
      <w:pPr>
        <w:autoSpaceDE w:val="0"/>
        <w:autoSpaceDN w:val="0"/>
        <w:adjustRightInd w:val="0"/>
        <w:ind w:left="0" w:firstLine="0"/>
        <w:rPr>
          <w:szCs w:val="22"/>
        </w:rPr>
      </w:pPr>
      <w:r w:rsidRPr="00774BE8">
        <w:rPr>
          <w:szCs w:val="22"/>
        </w:rPr>
        <w:t xml:space="preserve">Mechanizmus </w:t>
      </w:r>
      <w:r w:rsidR="009B02A3" w:rsidRPr="00774BE8">
        <w:rPr>
          <w:szCs w:val="22"/>
        </w:rPr>
        <w:t xml:space="preserve">vzniku </w:t>
      </w:r>
      <w:r w:rsidRPr="00774BE8">
        <w:rPr>
          <w:szCs w:val="22"/>
        </w:rPr>
        <w:t xml:space="preserve">rezistencie zahŕňa predovšetkým mutácie, ktoré vedú k zmenám </w:t>
      </w:r>
      <w:r w:rsidR="009B02A3" w:rsidRPr="00774BE8">
        <w:rPr>
          <w:szCs w:val="22"/>
        </w:rPr>
        <w:t>bielkoviny</w:t>
      </w:r>
      <w:r w:rsidRPr="00774BE8">
        <w:rPr>
          <w:szCs w:val="22"/>
        </w:rPr>
        <w:t xml:space="preserve"> EF</w:t>
      </w:r>
      <w:r w:rsidR="009B02A3" w:rsidRPr="00774BE8">
        <w:rPr>
          <w:szCs w:val="22"/>
        </w:rPr>
        <w:noBreakHyphen/>
      </w:r>
      <w:r w:rsidRPr="00774BE8">
        <w:rPr>
          <w:szCs w:val="22"/>
        </w:rPr>
        <w:t xml:space="preserve">G alebo </w:t>
      </w:r>
      <w:r w:rsidR="009B02A3" w:rsidRPr="00774BE8">
        <w:rPr>
          <w:szCs w:val="22"/>
        </w:rPr>
        <w:t xml:space="preserve">k </w:t>
      </w:r>
      <w:r w:rsidRPr="00774BE8">
        <w:rPr>
          <w:szCs w:val="22"/>
        </w:rPr>
        <w:t>zmen</w:t>
      </w:r>
      <w:r w:rsidR="009B02A3" w:rsidRPr="00774BE8">
        <w:rPr>
          <w:szCs w:val="22"/>
        </w:rPr>
        <w:t>e</w:t>
      </w:r>
      <w:r w:rsidRPr="00774BE8">
        <w:rPr>
          <w:szCs w:val="22"/>
        </w:rPr>
        <w:t xml:space="preserve"> syntéz</w:t>
      </w:r>
      <w:r w:rsidR="009B02A3" w:rsidRPr="00774BE8">
        <w:rPr>
          <w:szCs w:val="22"/>
        </w:rPr>
        <w:t>y</w:t>
      </w:r>
      <w:r w:rsidRPr="00774BE8">
        <w:rPr>
          <w:szCs w:val="22"/>
        </w:rPr>
        <w:t xml:space="preserve"> </w:t>
      </w:r>
      <w:r w:rsidR="009B02A3" w:rsidRPr="00774BE8">
        <w:rPr>
          <w:szCs w:val="22"/>
        </w:rPr>
        <w:t>bielkovín</w:t>
      </w:r>
      <w:r w:rsidRPr="006B0D14">
        <w:rPr>
          <w:szCs w:val="22"/>
        </w:rPr>
        <w:t xml:space="preserve">. </w:t>
      </w:r>
      <w:r w:rsidR="00E55E66" w:rsidRPr="006B0D14">
        <w:rPr>
          <w:szCs w:val="22"/>
        </w:rPr>
        <w:t xml:space="preserve">Ďalej môže dochádzať k </w:t>
      </w:r>
      <w:r w:rsidRPr="006B0D14">
        <w:rPr>
          <w:szCs w:val="22"/>
        </w:rPr>
        <w:t>inaktiváci</w:t>
      </w:r>
      <w:r w:rsidR="006B0D14">
        <w:rPr>
          <w:szCs w:val="22"/>
        </w:rPr>
        <w:t>i</w:t>
      </w:r>
      <w:r w:rsidRPr="006B0D14">
        <w:rPr>
          <w:szCs w:val="22"/>
        </w:rPr>
        <w:t xml:space="preserve"> </w:t>
      </w:r>
      <w:r w:rsidR="00E55E66" w:rsidRPr="006B0D14">
        <w:rPr>
          <w:szCs w:val="22"/>
        </w:rPr>
        <w:t>spôsobenej enzýmami</w:t>
      </w:r>
      <w:r w:rsidRPr="006B0D14">
        <w:rPr>
          <w:szCs w:val="22"/>
        </w:rPr>
        <w:t xml:space="preserve">. </w:t>
      </w:r>
      <w:r w:rsidR="00E55E66" w:rsidRPr="006B0D14">
        <w:rPr>
          <w:szCs w:val="22"/>
        </w:rPr>
        <w:t>Hlásených b</w:t>
      </w:r>
      <w:r w:rsidRPr="006B0D14">
        <w:rPr>
          <w:szCs w:val="22"/>
        </w:rPr>
        <w:t>olo 5 typov génov rezistenci</w:t>
      </w:r>
      <w:r w:rsidR="006B0D14">
        <w:rPr>
          <w:szCs w:val="22"/>
        </w:rPr>
        <w:t>e</w:t>
      </w:r>
      <w:r w:rsidRPr="006B0D14">
        <w:rPr>
          <w:szCs w:val="22"/>
        </w:rPr>
        <w:t xml:space="preserve">: fusA, fusB, fusC, fusD a fusE. Rezistencia môže byť chromozomálna alebo </w:t>
      </w:r>
      <w:r w:rsidR="00E55E66" w:rsidRPr="006B0D14">
        <w:rPr>
          <w:szCs w:val="22"/>
        </w:rPr>
        <w:t>sprostredkovaná</w:t>
      </w:r>
      <w:r w:rsidRPr="006B0D14">
        <w:rPr>
          <w:szCs w:val="22"/>
        </w:rPr>
        <w:t xml:space="preserve"> plazmidom.</w:t>
      </w:r>
    </w:p>
    <w:p w:rsidR="00E55E66" w:rsidRPr="006B0D14" w:rsidRDefault="00E55E66" w:rsidP="00774B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421B1" w:rsidRPr="006B0D14" w:rsidRDefault="005421B1" w:rsidP="00774BE8">
      <w:pPr>
        <w:autoSpaceDE w:val="0"/>
        <w:autoSpaceDN w:val="0"/>
        <w:adjustRightInd w:val="0"/>
        <w:ind w:left="0" w:firstLine="0"/>
        <w:rPr>
          <w:szCs w:val="22"/>
        </w:rPr>
      </w:pPr>
      <w:r w:rsidRPr="006B0D14">
        <w:rPr>
          <w:szCs w:val="22"/>
        </w:rPr>
        <w:t>Vďaka jedinečnej molekulárnej štruktúre a výrazn</w:t>
      </w:r>
      <w:r w:rsidR="00E55E66" w:rsidRPr="006B0D14">
        <w:rPr>
          <w:szCs w:val="22"/>
        </w:rPr>
        <w:t>e</w:t>
      </w:r>
      <w:r w:rsidRPr="006B0D14">
        <w:rPr>
          <w:szCs w:val="22"/>
        </w:rPr>
        <w:t xml:space="preserve"> </w:t>
      </w:r>
      <w:r w:rsidR="00E55E66" w:rsidRPr="006B0D14">
        <w:rPr>
          <w:szCs w:val="22"/>
        </w:rPr>
        <w:t xml:space="preserve">odlišnému mechanizmu </w:t>
      </w:r>
      <w:r w:rsidRPr="006B0D14">
        <w:rPr>
          <w:szCs w:val="22"/>
        </w:rPr>
        <w:t xml:space="preserve">účinku </w:t>
      </w:r>
      <w:r w:rsidR="00E55E66" w:rsidRPr="00DD5AF6">
        <w:rPr>
          <w:szCs w:val="22"/>
        </w:rPr>
        <w:t xml:space="preserve">sa </w:t>
      </w:r>
      <w:r w:rsidRPr="00DD5AF6">
        <w:rPr>
          <w:szCs w:val="22"/>
        </w:rPr>
        <w:t>ciel</w:t>
      </w:r>
      <w:r w:rsidR="00115F8D" w:rsidRPr="00DD5AF6">
        <w:rPr>
          <w:szCs w:val="22"/>
        </w:rPr>
        <w:t>en</w:t>
      </w:r>
      <w:r w:rsidR="00E55E66" w:rsidRPr="00774BE8">
        <w:rPr>
          <w:szCs w:val="22"/>
        </w:rPr>
        <w:t>á</w:t>
      </w:r>
      <w:r w:rsidR="00115F8D" w:rsidRPr="00774BE8">
        <w:rPr>
          <w:szCs w:val="22"/>
        </w:rPr>
        <w:t xml:space="preserve"> </w:t>
      </w:r>
      <w:r w:rsidRPr="00774BE8">
        <w:rPr>
          <w:szCs w:val="22"/>
        </w:rPr>
        <w:t>špecifick</w:t>
      </w:r>
      <w:r w:rsidR="00E55E66" w:rsidRPr="00774BE8">
        <w:rPr>
          <w:szCs w:val="22"/>
        </w:rPr>
        <w:t>á</w:t>
      </w:r>
      <w:r w:rsidRPr="00774BE8">
        <w:rPr>
          <w:szCs w:val="22"/>
        </w:rPr>
        <w:t xml:space="preserve"> skrížen</w:t>
      </w:r>
      <w:r w:rsidR="00E55E66" w:rsidRPr="00774BE8">
        <w:rPr>
          <w:szCs w:val="22"/>
        </w:rPr>
        <w:t>á</w:t>
      </w:r>
      <w:r w:rsidRPr="00774BE8">
        <w:rPr>
          <w:szCs w:val="22"/>
        </w:rPr>
        <w:t xml:space="preserve"> rezistenci</w:t>
      </w:r>
      <w:r w:rsidR="00E55E66" w:rsidRPr="00774BE8">
        <w:rPr>
          <w:szCs w:val="22"/>
        </w:rPr>
        <w:t>a</w:t>
      </w:r>
      <w:r w:rsidRPr="00774BE8">
        <w:rPr>
          <w:szCs w:val="22"/>
        </w:rPr>
        <w:t xml:space="preserve"> </w:t>
      </w:r>
      <w:r w:rsidR="00E55E66" w:rsidRPr="00774BE8">
        <w:rPr>
          <w:szCs w:val="22"/>
        </w:rPr>
        <w:t>s inými skupinami antibakteriálnych liečiv nezistila</w:t>
      </w:r>
      <w:r w:rsidRPr="00774BE8">
        <w:rPr>
          <w:szCs w:val="22"/>
        </w:rPr>
        <w:t>.</w:t>
      </w:r>
    </w:p>
    <w:p w:rsidR="005421B1" w:rsidRPr="006B0D14" w:rsidRDefault="005421B1" w:rsidP="00774B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55E66" w:rsidRPr="006B0D14" w:rsidRDefault="00E55E66" w:rsidP="00774BE8">
      <w:pPr>
        <w:autoSpaceDE w:val="0"/>
        <w:autoSpaceDN w:val="0"/>
        <w:adjustRightInd w:val="0"/>
        <w:ind w:left="0" w:firstLine="0"/>
        <w:rPr>
          <w:szCs w:val="22"/>
        </w:rPr>
      </w:pPr>
      <w:r w:rsidRPr="006B0D14">
        <w:rPr>
          <w:szCs w:val="22"/>
          <w:u w:val="single"/>
        </w:rPr>
        <w:t>Hraničné hodnoty pri t</w:t>
      </w:r>
      <w:r w:rsidR="005421B1" w:rsidRPr="006B0D14">
        <w:rPr>
          <w:szCs w:val="22"/>
          <w:u w:val="single"/>
        </w:rPr>
        <w:t>estovan</w:t>
      </w:r>
      <w:r w:rsidRPr="006B0D14">
        <w:rPr>
          <w:szCs w:val="22"/>
          <w:u w:val="single"/>
        </w:rPr>
        <w:t>í</w:t>
      </w:r>
      <w:r w:rsidR="005421B1" w:rsidRPr="006B0D14">
        <w:rPr>
          <w:szCs w:val="22"/>
          <w:u w:val="single"/>
        </w:rPr>
        <w:t xml:space="preserve"> citlivosti</w:t>
      </w:r>
    </w:p>
    <w:p w:rsidR="00FF2D4E" w:rsidRPr="00DD5AF6" w:rsidRDefault="00E55E66" w:rsidP="00774BE8">
      <w:pPr>
        <w:autoSpaceDE w:val="0"/>
        <w:autoSpaceDN w:val="0"/>
        <w:adjustRightInd w:val="0"/>
        <w:ind w:left="0" w:firstLine="0"/>
        <w:rPr>
          <w:szCs w:val="22"/>
        </w:rPr>
      </w:pPr>
      <w:r w:rsidRPr="00E95BE0">
        <w:rPr>
          <w:szCs w:val="22"/>
        </w:rPr>
        <w:t xml:space="preserve">Pri </w:t>
      </w:r>
      <w:r w:rsidR="00630130">
        <w:rPr>
          <w:szCs w:val="22"/>
        </w:rPr>
        <w:t xml:space="preserve">sodnej soli </w:t>
      </w:r>
      <w:r w:rsidR="00BA7192" w:rsidRPr="00E95BE0">
        <w:rPr>
          <w:szCs w:val="22"/>
        </w:rPr>
        <w:t>fusidát</w:t>
      </w:r>
      <w:r w:rsidR="00630130">
        <w:rPr>
          <w:szCs w:val="22"/>
        </w:rPr>
        <w:t xml:space="preserve">u </w:t>
      </w:r>
      <w:r w:rsidRPr="00E95BE0">
        <w:rPr>
          <w:szCs w:val="22"/>
        </w:rPr>
        <w:t>podávan</w:t>
      </w:r>
      <w:r w:rsidR="001E6DA1">
        <w:rPr>
          <w:szCs w:val="22"/>
        </w:rPr>
        <w:t xml:space="preserve">ej </w:t>
      </w:r>
      <w:r w:rsidRPr="006B0D14">
        <w:rPr>
          <w:szCs w:val="22"/>
        </w:rPr>
        <w:t>na kožu nie je možné stanoviť hraničné hodnoty pri testovaní citlivosti a neexistujú žiadne klinické hraničné hodnoty.</w:t>
      </w:r>
      <w:r w:rsidR="00115F8D" w:rsidRPr="006B0D14">
        <w:rPr>
          <w:szCs w:val="22"/>
        </w:rPr>
        <w:t xml:space="preserve"> </w:t>
      </w:r>
      <w:r w:rsidR="004272AC" w:rsidRPr="006B0D14">
        <w:rPr>
          <w:szCs w:val="22"/>
        </w:rPr>
        <w:t xml:space="preserve">Epidemiologické hraničné hodnoty </w:t>
      </w:r>
      <w:r w:rsidR="00115F8D" w:rsidRPr="006B0D14">
        <w:rPr>
          <w:szCs w:val="22"/>
        </w:rPr>
        <w:t xml:space="preserve">(ECOFF) </w:t>
      </w:r>
      <w:r w:rsidR="00115F8D" w:rsidRPr="00E95BE0">
        <w:rPr>
          <w:szCs w:val="22"/>
        </w:rPr>
        <w:t xml:space="preserve">pre </w:t>
      </w:r>
      <w:r w:rsidR="000D3BF8">
        <w:rPr>
          <w:szCs w:val="22"/>
        </w:rPr>
        <w:t xml:space="preserve">sodnú soľ </w:t>
      </w:r>
      <w:r w:rsidR="00BA7192" w:rsidRPr="00E95BE0">
        <w:rPr>
          <w:szCs w:val="22"/>
        </w:rPr>
        <w:t>fusidát</w:t>
      </w:r>
      <w:r w:rsidR="000D3BF8">
        <w:rPr>
          <w:szCs w:val="22"/>
        </w:rPr>
        <w:t>u</w:t>
      </w:r>
      <w:r w:rsidR="00BA7192" w:rsidRPr="00E95BE0">
        <w:rPr>
          <w:szCs w:val="22"/>
        </w:rPr>
        <w:t>/</w:t>
      </w:r>
      <w:r w:rsidR="00115F8D" w:rsidRPr="00E95BE0">
        <w:rPr>
          <w:szCs w:val="22"/>
        </w:rPr>
        <w:t>kyselinu</w:t>
      </w:r>
      <w:r w:rsidR="00115F8D" w:rsidRPr="006B0D14">
        <w:rPr>
          <w:szCs w:val="22"/>
        </w:rPr>
        <w:t xml:space="preserve"> fusidov</w:t>
      </w:r>
      <w:r w:rsidR="009E1A0A" w:rsidRPr="006B0D14">
        <w:rPr>
          <w:szCs w:val="22"/>
        </w:rPr>
        <w:t>ú</w:t>
      </w:r>
      <w:r w:rsidR="00115F8D" w:rsidRPr="006B0D14">
        <w:rPr>
          <w:szCs w:val="22"/>
        </w:rPr>
        <w:t xml:space="preserve"> bol</w:t>
      </w:r>
      <w:r w:rsidR="009E1A0A" w:rsidRPr="006B0D14">
        <w:rPr>
          <w:szCs w:val="22"/>
        </w:rPr>
        <w:t>i</w:t>
      </w:r>
      <w:r w:rsidR="00115F8D" w:rsidRPr="006B0D14">
        <w:rPr>
          <w:szCs w:val="22"/>
        </w:rPr>
        <w:t xml:space="preserve"> stanoven</w:t>
      </w:r>
      <w:r w:rsidR="009E1A0A" w:rsidRPr="006B0D14">
        <w:rPr>
          <w:szCs w:val="22"/>
        </w:rPr>
        <w:t>é</w:t>
      </w:r>
      <w:r w:rsidR="00115F8D" w:rsidRPr="006B0D14">
        <w:rPr>
          <w:szCs w:val="22"/>
        </w:rPr>
        <w:t xml:space="preserve"> Európsky</w:t>
      </w:r>
      <w:r w:rsidR="009E1A0A" w:rsidRPr="006B0D14">
        <w:rPr>
          <w:szCs w:val="22"/>
        </w:rPr>
        <w:t>m</w:t>
      </w:r>
      <w:r w:rsidR="00115F8D" w:rsidRPr="006B0D14">
        <w:rPr>
          <w:szCs w:val="22"/>
        </w:rPr>
        <w:t xml:space="preserve"> výbor</w:t>
      </w:r>
      <w:r w:rsidR="009E1A0A" w:rsidRPr="006B0D14">
        <w:rPr>
          <w:szCs w:val="22"/>
        </w:rPr>
        <w:t>om</w:t>
      </w:r>
      <w:r w:rsidR="00115F8D" w:rsidRPr="006B0D14">
        <w:rPr>
          <w:szCs w:val="22"/>
        </w:rPr>
        <w:t xml:space="preserve"> pre </w:t>
      </w:r>
      <w:r w:rsidR="00CA0912">
        <w:rPr>
          <w:szCs w:val="22"/>
        </w:rPr>
        <w:t xml:space="preserve">testovanie </w:t>
      </w:r>
      <w:r w:rsidR="00115F8D" w:rsidRPr="006B0D14">
        <w:rPr>
          <w:szCs w:val="22"/>
        </w:rPr>
        <w:t>antimikrobiál</w:t>
      </w:r>
      <w:r w:rsidR="00CA0912">
        <w:rPr>
          <w:szCs w:val="22"/>
        </w:rPr>
        <w:t>nej</w:t>
      </w:r>
      <w:r w:rsidR="00115F8D" w:rsidRPr="006B0D14">
        <w:rPr>
          <w:szCs w:val="22"/>
        </w:rPr>
        <w:t xml:space="preserve"> citlivos</w:t>
      </w:r>
      <w:r w:rsidR="00CA0912">
        <w:rPr>
          <w:szCs w:val="22"/>
        </w:rPr>
        <w:t>ti</w:t>
      </w:r>
      <w:r w:rsidR="00115F8D" w:rsidRPr="006B0D14">
        <w:rPr>
          <w:szCs w:val="22"/>
        </w:rPr>
        <w:t xml:space="preserve"> (EUCAST) pre niektoré z </w:t>
      </w:r>
      <w:r w:rsidR="00AD3E63" w:rsidRPr="006B0D14">
        <w:rPr>
          <w:szCs w:val="22"/>
        </w:rPr>
        <w:t>citlivých</w:t>
      </w:r>
      <w:r w:rsidR="00115F8D" w:rsidRPr="006B0D14">
        <w:rPr>
          <w:szCs w:val="22"/>
        </w:rPr>
        <w:t xml:space="preserve"> </w:t>
      </w:r>
      <w:r w:rsidRPr="006B0D14">
        <w:rPr>
          <w:szCs w:val="22"/>
        </w:rPr>
        <w:t>kmeňov,</w:t>
      </w:r>
      <w:r w:rsidR="00115F8D" w:rsidRPr="006B0D14">
        <w:rPr>
          <w:szCs w:val="22"/>
        </w:rPr>
        <w:t xml:space="preserve"> </w:t>
      </w:r>
      <w:r w:rsidR="009E1A0A" w:rsidRPr="006B0D14">
        <w:rPr>
          <w:szCs w:val="22"/>
        </w:rPr>
        <w:t>pozri</w:t>
      </w:r>
      <w:r w:rsidR="00115F8D" w:rsidRPr="006B0D14">
        <w:rPr>
          <w:szCs w:val="22"/>
        </w:rPr>
        <w:t xml:space="preserve"> tabuľk</w:t>
      </w:r>
      <w:r w:rsidRPr="006B0D14">
        <w:rPr>
          <w:szCs w:val="22"/>
        </w:rPr>
        <w:t>e</w:t>
      </w:r>
      <w:r w:rsidR="00115F8D" w:rsidRPr="006B0D14">
        <w:rPr>
          <w:szCs w:val="22"/>
        </w:rPr>
        <w:t xml:space="preserve"> nižšie. ECOFF </w:t>
      </w:r>
      <w:r w:rsidRPr="006B0D14">
        <w:rPr>
          <w:szCs w:val="22"/>
        </w:rPr>
        <w:t>predstavujú</w:t>
      </w:r>
      <w:r w:rsidR="00115F8D" w:rsidRPr="006B0D14">
        <w:rPr>
          <w:szCs w:val="22"/>
        </w:rPr>
        <w:t xml:space="preserve"> </w:t>
      </w:r>
      <w:r w:rsidR="004272AC" w:rsidRPr="006B0D14">
        <w:rPr>
          <w:szCs w:val="22"/>
        </w:rPr>
        <w:t>hraničné hodnoty</w:t>
      </w:r>
      <w:r w:rsidR="009E1A0A" w:rsidRPr="006B0D14">
        <w:rPr>
          <w:szCs w:val="22"/>
        </w:rPr>
        <w:t xml:space="preserve"> </w:t>
      </w:r>
      <w:r w:rsidR="004272AC" w:rsidRPr="006B0D14">
        <w:rPr>
          <w:szCs w:val="22"/>
        </w:rPr>
        <w:t xml:space="preserve">rozlišujúce populáciu </w:t>
      </w:r>
      <w:r w:rsidRPr="006B0D14">
        <w:rPr>
          <w:szCs w:val="22"/>
        </w:rPr>
        <w:t xml:space="preserve">baktérií </w:t>
      </w:r>
      <w:r w:rsidR="004272AC" w:rsidRPr="006B0D14">
        <w:rPr>
          <w:szCs w:val="22"/>
        </w:rPr>
        <w:t>divokého typu od izolátov</w:t>
      </w:r>
      <w:r w:rsidRPr="006B0D14">
        <w:rPr>
          <w:szCs w:val="22"/>
        </w:rPr>
        <w:t xml:space="preserve"> so </w:t>
      </w:r>
      <w:r w:rsidR="004272AC" w:rsidRPr="006B0D14">
        <w:rPr>
          <w:szCs w:val="22"/>
        </w:rPr>
        <w:t>získan</w:t>
      </w:r>
      <w:r w:rsidRPr="006B0D14">
        <w:rPr>
          <w:szCs w:val="22"/>
        </w:rPr>
        <w:t>ou</w:t>
      </w:r>
      <w:r w:rsidR="004272AC" w:rsidRPr="006B0D14">
        <w:rPr>
          <w:szCs w:val="22"/>
        </w:rPr>
        <w:t xml:space="preserve"> rezistenci</w:t>
      </w:r>
      <w:r w:rsidRPr="006B0D14">
        <w:rPr>
          <w:szCs w:val="22"/>
        </w:rPr>
        <w:t>ou</w:t>
      </w:r>
      <w:r w:rsidR="004272AC" w:rsidRPr="006B0D14">
        <w:rPr>
          <w:szCs w:val="22"/>
        </w:rPr>
        <w:t>.</w:t>
      </w:r>
    </w:p>
    <w:p w:rsidR="00E55E66" w:rsidRPr="00774BE8" w:rsidRDefault="00E55E66" w:rsidP="00774BE8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3"/>
        <w:gridCol w:w="1956"/>
      </w:tblGrid>
      <w:tr w:rsidR="00A94B42" w:rsidRPr="00774BE8" w:rsidTr="00C6710E">
        <w:trPr>
          <w:trHeight w:val="333"/>
        </w:trPr>
        <w:tc>
          <w:tcPr>
            <w:tcW w:w="3573" w:type="dxa"/>
            <w:shd w:val="clear" w:color="auto" w:fill="D9D9D9"/>
          </w:tcPr>
          <w:p w:rsidR="00FF2D4E" w:rsidRPr="00774BE8" w:rsidRDefault="00E55E66" w:rsidP="00774BE8">
            <w:pPr>
              <w:spacing w:after="120" w:line="300" w:lineRule="auto"/>
              <w:rPr>
                <w:szCs w:val="22"/>
              </w:rPr>
            </w:pPr>
            <w:r w:rsidRPr="00774BE8">
              <w:rPr>
                <w:szCs w:val="22"/>
              </w:rPr>
              <w:t>Mikroo</w:t>
            </w:r>
            <w:r w:rsidR="000B11DA" w:rsidRPr="00774BE8">
              <w:rPr>
                <w:szCs w:val="22"/>
              </w:rPr>
              <w:t>rganizmy</w:t>
            </w:r>
          </w:p>
        </w:tc>
        <w:tc>
          <w:tcPr>
            <w:tcW w:w="1956" w:type="dxa"/>
            <w:shd w:val="clear" w:color="auto" w:fill="D9D9D9"/>
          </w:tcPr>
          <w:p w:rsidR="00FF2D4E" w:rsidRPr="00774BE8" w:rsidRDefault="00FF2D4E" w:rsidP="00774BE8">
            <w:pPr>
              <w:spacing w:after="120" w:line="300" w:lineRule="auto"/>
              <w:rPr>
                <w:szCs w:val="22"/>
              </w:rPr>
            </w:pPr>
            <w:r w:rsidRPr="00774BE8">
              <w:rPr>
                <w:szCs w:val="22"/>
              </w:rPr>
              <w:t>ECOFF (mg/</w:t>
            </w:r>
            <w:r w:rsidR="000B11DA" w:rsidRPr="00774BE8">
              <w:rPr>
                <w:szCs w:val="22"/>
              </w:rPr>
              <w:t>l</w:t>
            </w:r>
            <w:r w:rsidRPr="00774BE8">
              <w:rPr>
                <w:szCs w:val="22"/>
              </w:rPr>
              <w:t>) ≤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lastRenderedPageBreak/>
              <w:t>Staphylococcus aureus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0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910454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910454">
              <w:rPr>
                <w:i/>
                <w:szCs w:val="22"/>
              </w:rPr>
              <w:t>Staphylococcus aureus MRSA</w:t>
            </w:r>
          </w:p>
        </w:tc>
        <w:tc>
          <w:tcPr>
            <w:tcW w:w="1956" w:type="dxa"/>
            <w:shd w:val="clear" w:color="auto" w:fill="auto"/>
          </w:tcPr>
          <w:p w:rsidR="00FF2D4E" w:rsidRPr="006B0D14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6B0D14">
              <w:rPr>
                <w:szCs w:val="22"/>
              </w:rPr>
              <w:t>0</w:t>
            </w:r>
            <w:r w:rsidR="000B11DA" w:rsidRPr="006B0D14">
              <w:rPr>
                <w:szCs w:val="22"/>
              </w:rPr>
              <w:t>,</w:t>
            </w:r>
            <w:r w:rsidRPr="006B0D14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910454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910454">
              <w:rPr>
                <w:i/>
                <w:szCs w:val="22"/>
              </w:rPr>
              <w:t>Staphylococcus aureus MSSA</w:t>
            </w:r>
          </w:p>
        </w:tc>
        <w:tc>
          <w:tcPr>
            <w:tcW w:w="1956" w:type="dxa"/>
            <w:shd w:val="clear" w:color="auto" w:fill="auto"/>
          </w:tcPr>
          <w:p w:rsidR="00FF2D4E" w:rsidRPr="006B0D14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6B0D14">
              <w:rPr>
                <w:szCs w:val="22"/>
              </w:rPr>
              <w:t>0</w:t>
            </w:r>
            <w:r w:rsidR="000B11DA" w:rsidRPr="006B0D14">
              <w:rPr>
                <w:szCs w:val="22"/>
              </w:rPr>
              <w:t>,</w:t>
            </w:r>
            <w:r w:rsidRPr="006B0D14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t>Staphylococcus epidermidis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0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t>Staphylococcus haemolyticus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0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t>Staphylococcus lugdunensis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0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5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t>Streptococcus agalactiae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32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0</w:t>
            </w:r>
          </w:p>
        </w:tc>
      </w:tr>
      <w:tr w:rsidR="00A94B42" w:rsidRPr="00774BE8" w:rsidTr="00C6710E">
        <w:tc>
          <w:tcPr>
            <w:tcW w:w="3573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i/>
                <w:szCs w:val="22"/>
              </w:rPr>
            </w:pPr>
            <w:r w:rsidRPr="00774BE8">
              <w:rPr>
                <w:i/>
                <w:szCs w:val="22"/>
              </w:rPr>
              <w:t>Streptococcus pyogenes</w:t>
            </w:r>
          </w:p>
        </w:tc>
        <w:tc>
          <w:tcPr>
            <w:tcW w:w="1956" w:type="dxa"/>
            <w:shd w:val="clear" w:color="auto" w:fill="auto"/>
          </w:tcPr>
          <w:p w:rsidR="00FF2D4E" w:rsidRPr="00774BE8" w:rsidRDefault="00FF2D4E" w:rsidP="006B0D14">
            <w:pPr>
              <w:keepNext/>
              <w:spacing w:before="40" w:after="40"/>
              <w:rPr>
                <w:szCs w:val="22"/>
              </w:rPr>
            </w:pPr>
            <w:r w:rsidRPr="00774BE8">
              <w:rPr>
                <w:szCs w:val="22"/>
              </w:rPr>
              <w:t>16</w:t>
            </w:r>
            <w:r w:rsidR="000B11DA" w:rsidRPr="00774BE8">
              <w:rPr>
                <w:szCs w:val="22"/>
              </w:rPr>
              <w:t>,</w:t>
            </w:r>
            <w:r w:rsidRPr="00774BE8">
              <w:rPr>
                <w:szCs w:val="22"/>
              </w:rPr>
              <w:t>0</w:t>
            </w:r>
          </w:p>
        </w:tc>
      </w:tr>
    </w:tbl>
    <w:p w:rsidR="00FF2D4E" w:rsidRPr="00774BE8" w:rsidRDefault="00FF2D4E" w:rsidP="006B0D14">
      <w:pPr>
        <w:rPr>
          <w:szCs w:val="22"/>
          <w:u w:val="single"/>
        </w:rPr>
      </w:pPr>
    </w:p>
    <w:p w:rsidR="00FF2D4E" w:rsidRPr="00774BE8" w:rsidRDefault="000B11DA" w:rsidP="00C6710E">
      <w:pPr>
        <w:keepNext/>
        <w:keepLines/>
        <w:rPr>
          <w:szCs w:val="22"/>
          <w:u w:val="single"/>
        </w:rPr>
      </w:pPr>
      <w:r w:rsidRPr="00774BE8">
        <w:rPr>
          <w:szCs w:val="22"/>
          <w:u w:val="single"/>
        </w:rPr>
        <w:t xml:space="preserve">Prirodzene rezistentné </w:t>
      </w:r>
      <w:r w:rsidR="00E55E66" w:rsidRPr="00774BE8">
        <w:rPr>
          <w:szCs w:val="22"/>
          <w:u w:val="single"/>
        </w:rPr>
        <w:t>kmene</w:t>
      </w:r>
    </w:p>
    <w:p w:rsidR="00FF2D4E" w:rsidRPr="006B0D14" w:rsidRDefault="000B11DA" w:rsidP="006B0D14">
      <w:pPr>
        <w:autoSpaceDE w:val="0"/>
        <w:autoSpaceDN w:val="0"/>
        <w:adjustRightInd w:val="0"/>
        <w:ind w:left="0" w:firstLine="0"/>
        <w:rPr>
          <w:szCs w:val="22"/>
        </w:rPr>
      </w:pPr>
      <w:r w:rsidRPr="00774BE8">
        <w:rPr>
          <w:szCs w:val="22"/>
        </w:rPr>
        <w:t>Väčšina</w:t>
      </w:r>
      <w:r w:rsidR="00FF2D4E" w:rsidRPr="00774BE8">
        <w:rPr>
          <w:szCs w:val="22"/>
        </w:rPr>
        <w:t xml:space="preserve"> gramnegat</w:t>
      </w:r>
      <w:r w:rsidRPr="00774BE8">
        <w:rPr>
          <w:szCs w:val="22"/>
        </w:rPr>
        <w:t>ívnych</w:t>
      </w:r>
      <w:r w:rsidR="00FF2D4E" w:rsidRPr="00774BE8">
        <w:rPr>
          <w:szCs w:val="22"/>
        </w:rPr>
        <w:t xml:space="preserve"> ba</w:t>
      </w:r>
      <w:r w:rsidRPr="00774BE8">
        <w:rPr>
          <w:szCs w:val="22"/>
        </w:rPr>
        <w:t>ktérií</w:t>
      </w:r>
      <w:r w:rsidR="00FF2D4E" w:rsidRPr="00774BE8">
        <w:rPr>
          <w:szCs w:val="22"/>
        </w:rPr>
        <w:t xml:space="preserve"> (</w:t>
      </w:r>
      <w:r w:rsidRPr="00774BE8">
        <w:rPr>
          <w:szCs w:val="22"/>
        </w:rPr>
        <w:t>vrátane</w:t>
      </w:r>
      <w:r w:rsidR="00FF2D4E" w:rsidRPr="00774BE8">
        <w:rPr>
          <w:szCs w:val="22"/>
        </w:rPr>
        <w:t xml:space="preserve"> </w:t>
      </w:r>
      <w:r w:rsidR="00FF2D4E" w:rsidRPr="00774BE8">
        <w:rPr>
          <w:i/>
          <w:szCs w:val="22"/>
        </w:rPr>
        <w:t>Haemophilus influenza</w:t>
      </w:r>
      <w:r w:rsidR="00E55E66" w:rsidRPr="00774BE8">
        <w:rPr>
          <w:i/>
          <w:szCs w:val="22"/>
        </w:rPr>
        <w:t>e</w:t>
      </w:r>
      <w:r w:rsidR="00FF2D4E" w:rsidRPr="00774BE8">
        <w:rPr>
          <w:szCs w:val="22"/>
        </w:rPr>
        <w:t xml:space="preserve">; </w:t>
      </w:r>
      <w:r w:rsidR="00FF2D4E" w:rsidRPr="00774BE8">
        <w:rPr>
          <w:i/>
          <w:szCs w:val="22"/>
        </w:rPr>
        <w:t>Enterobactericeae</w:t>
      </w:r>
      <w:r w:rsidR="00FF2D4E" w:rsidRPr="00774BE8">
        <w:rPr>
          <w:szCs w:val="22"/>
        </w:rPr>
        <w:t xml:space="preserve"> </w:t>
      </w:r>
      <w:r w:rsidRPr="00774BE8">
        <w:rPr>
          <w:szCs w:val="22"/>
        </w:rPr>
        <w:t xml:space="preserve">ako sú </w:t>
      </w:r>
      <w:r w:rsidR="00FF2D4E" w:rsidRPr="00774BE8">
        <w:rPr>
          <w:i/>
          <w:szCs w:val="22"/>
        </w:rPr>
        <w:t>Escherichia coli</w:t>
      </w:r>
      <w:r w:rsidR="00FF2D4E" w:rsidRPr="00774BE8">
        <w:rPr>
          <w:szCs w:val="22"/>
        </w:rPr>
        <w:t xml:space="preserve"> a </w:t>
      </w:r>
      <w:r w:rsidR="00FF2D4E" w:rsidRPr="00774BE8">
        <w:rPr>
          <w:i/>
          <w:szCs w:val="22"/>
        </w:rPr>
        <w:t>Klebsiella pneumonia</w:t>
      </w:r>
      <w:r w:rsidR="00E55E66" w:rsidRPr="00774BE8">
        <w:rPr>
          <w:i/>
          <w:szCs w:val="22"/>
        </w:rPr>
        <w:t>e</w:t>
      </w:r>
      <w:r w:rsidR="00FF2D4E" w:rsidRPr="00774BE8">
        <w:rPr>
          <w:szCs w:val="22"/>
        </w:rPr>
        <w:t xml:space="preserve">; </w:t>
      </w:r>
      <w:r w:rsidR="00FF2D4E" w:rsidRPr="00774BE8">
        <w:rPr>
          <w:i/>
          <w:szCs w:val="22"/>
        </w:rPr>
        <w:t xml:space="preserve">Pseudomonas </w:t>
      </w:r>
      <w:r w:rsidR="00FF2D4E" w:rsidRPr="00C6710E">
        <w:rPr>
          <w:szCs w:val="22"/>
        </w:rPr>
        <w:t>spp</w:t>
      </w:r>
      <w:r w:rsidR="00FF2D4E" w:rsidRPr="006B0D14">
        <w:rPr>
          <w:szCs w:val="22"/>
        </w:rPr>
        <w:t xml:space="preserve">.) </w:t>
      </w:r>
      <w:r w:rsidRPr="006B0D14">
        <w:rPr>
          <w:szCs w:val="22"/>
        </w:rPr>
        <w:t xml:space="preserve">sú </w:t>
      </w:r>
      <w:r w:rsidRPr="00E95BE0">
        <w:rPr>
          <w:szCs w:val="22"/>
        </w:rPr>
        <w:t xml:space="preserve">prirodzene </w:t>
      </w:r>
      <w:r w:rsidR="00FF2D4E" w:rsidRPr="00E95BE0">
        <w:rPr>
          <w:szCs w:val="22"/>
        </w:rPr>
        <w:t>re</w:t>
      </w:r>
      <w:r w:rsidRPr="00E95BE0">
        <w:rPr>
          <w:szCs w:val="22"/>
        </w:rPr>
        <w:t xml:space="preserve">zistentné na </w:t>
      </w:r>
      <w:r w:rsidR="00CB3824">
        <w:rPr>
          <w:szCs w:val="22"/>
        </w:rPr>
        <w:t xml:space="preserve">sodnú soľ </w:t>
      </w:r>
      <w:r w:rsidR="00AF60A6" w:rsidRPr="00E95BE0">
        <w:rPr>
          <w:szCs w:val="22"/>
        </w:rPr>
        <w:t>fusidát</w:t>
      </w:r>
      <w:r w:rsidR="00CB3824">
        <w:rPr>
          <w:szCs w:val="22"/>
        </w:rPr>
        <w:t>u</w:t>
      </w:r>
      <w:r w:rsidRPr="00E95BE0">
        <w:rPr>
          <w:szCs w:val="22"/>
        </w:rPr>
        <w:t>.</w:t>
      </w:r>
    </w:p>
    <w:p w:rsidR="00780926" w:rsidRPr="006B0D14" w:rsidRDefault="00780926" w:rsidP="006B0D14">
      <w:pPr>
        <w:ind w:left="0" w:firstLine="0"/>
        <w:rPr>
          <w:szCs w:val="22"/>
        </w:rPr>
      </w:pPr>
    </w:p>
    <w:p w:rsidR="00780926" w:rsidRPr="006B0D14" w:rsidRDefault="00780926" w:rsidP="006B0D14">
      <w:pPr>
        <w:rPr>
          <w:b/>
          <w:szCs w:val="22"/>
        </w:rPr>
      </w:pPr>
      <w:r w:rsidRPr="006B0D14">
        <w:rPr>
          <w:b/>
          <w:szCs w:val="22"/>
        </w:rPr>
        <w:t>5.2</w:t>
      </w:r>
      <w:r w:rsidRPr="006B0D14">
        <w:rPr>
          <w:b/>
          <w:szCs w:val="22"/>
        </w:rPr>
        <w:tab/>
        <w:t>Farmakokinetické vlastnosti</w:t>
      </w:r>
    </w:p>
    <w:p w:rsidR="00E1698A" w:rsidRPr="006B0D14" w:rsidRDefault="00E1698A" w:rsidP="006B0D14">
      <w:pPr>
        <w:rPr>
          <w:szCs w:val="22"/>
        </w:rPr>
      </w:pPr>
    </w:p>
    <w:p w:rsidR="00780926" w:rsidRPr="006B0D14" w:rsidRDefault="006336DF" w:rsidP="006B0D14">
      <w:pPr>
        <w:ind w:left="0" w:firstLine="0"/>
        <w:rPr>
          <w:szCs w:val="22"/>
        </w:rPr>
      </w:pPr>
      <w:r>
        <w:rPr>
          <w:szCs w:val="22"/>
        </w:rPr>
        <w:t>Sodná soľ f</w:t>
      </w:r>
      <w:r w:rsidR="00752191" w:rsidRPr="00E95BE0">
        <w:rPr>
          <w:szCs w:val="22"/>
        </w:rPr>
        <w:t>usidát</w:t>
      </w:r>
      <w:r>
        <w:rPr>
          <w:szCs w:val="22"/>
        </w:rPr>
        <w:t xml:space="preserve">u </w:t>
      </w:r>
      <w:r w:rsidR="009F009A" w:rsidRPr="00E95BE0">
        <w:rPr>
          <w:szCs w:val="22"/>
        </w:rPr>
        <w:t>má po lokálnom</w:t>
      </w:r>
      <w:r w:rsidR="009F009A" w:rsidRPr="006B0D14">
        <w:rPr>
          <w:szCs w:val="22"/>
        </w:rPr>
        <w:t xml:space="preserve"> podaní schopnosť prestupovať cez kožu, </w:t>
      </w:r>
      <w:r w:rsidR="00A53B27">
        <w:rPr>
          <w:szCs w:val="22"/>
        </w:rPr>
        <w:t xml:space="preserve">najmä </w:t>
      </w:r>
      <w:r w:rsidR="009F009A" w:rsidRPr="006B0D14">
        <w:rPr>
          <w:szCs w:val="22"/>
        </w:rPr>
        <w:t>preto</w:t>
      </w:r>
      <w:r w:rsidR="00A53B27">
        <w:rPr>
          <w:szCs w:val="22"/>
        </w:rPr>
        <w:t xml:space="preserve">, </w:t>
      </w:r>
      <w:r w:rsidR="009F009A" w:rsidRPr="006B0D14">
        <w:rPr>
          <w:szCs w:val="22"/>
        </w:rPr>
        <w:t>že pomer jej hydrofilných a lipofilných vlastností je optimálny pre jej difúziu medzi vodn</w:t>
      </w:r>
      <w:r w:rsidR="006B0D14">
        <w:rPr>
          <w:szCs w:val="22"/>
        </w:rPr>
        <w:t>ú</w:t>
      </w:r>
      <w:r w:rsidR="009F009A" w:rsidRPr="006B0D14">
        <w:rPr>
          <w:szCs w:val="22"/>
        </w:rPr>
        <w:t xml:space="preserve"> a olejov</w:t>
      </w:r>
      <w:r w:rsidR="006B0D14">
        <w:rPr>
          <w:szCs w:val="22"/>
        </w:rPr>
        <w:t>ú</w:t>
      </w:r>
      <w:r w:rsidR="009F009A" w:rsidRPr="006B0D14">
        <w:rPr>
          <w:szCs w:val="22"/>
        </w:rPr>
        <w:t xml:space="preserve"> </w:t>
      </w:r>
      <w:r w:rsidR="00246B63" w:rsidRPr="006B0D14">
        <w:rPr>
          <w:szCs w:val="22"/>
        </w:rPr>
        <w:t>fáz</w:t>
      </w:r>
      <w:r w:rsidR="00246B63">
        <w:rPr>
          <w:szCs w:val="22"/>
        </w:rPr>
        <w:t>u</w:t>
      </w:r>
      <w:r w:rsidR="009F009A" w:rsidRPr="006B0D14">
        <w:rPr>
          <w:szCs w:val="22"/>
        </w:rPr>
        <w:t xml:space="preserve"> epidermy.</w:t>
      </w:r>
      <w:r w:rsidR="00150E69" w:rsidRPr="006B0D14">
        <w:rPr>
          <w:szCs w:val="22"/>
        </w:rPr>
        <w:t xml:space="preserve"> </w:t>
      </w:r>
      <w:r w:rsidR="0065161F">
        <w:rPr>
          <w:szCs w:val="22"/>
        </w:rPr>
        <w:t>Preto l</w:t>
      </w:r>
      <w:r w:rsidR="009F009A" w:rsidRPr="00E95BE0">
        <w:rPr>
          <w:szCs w:val="22"/>
        </w:rPr>
        <w:t xml:space="preserve">okálne podávanie </w:t>
      </w:r>
      <w:r w:rsidR="001D52E9">
        <w:rPr>
          <w:szCs w:val="22"/>
        </w:rPr>
        <w:t xml:space="preserve">sodnej soli </w:t>
      </w:r>
      <w:r w:rsidR="00752191" w:rsidRPr="00E95BE0">
        <w:rPr>
          <w:szCs w:val="22"/>
        </w:rPr>
        <w:t>fusidátu</w:t>
      </w:r>
      <w:r w:rsidR="00752191" w:rsidRPr="006B0D14">
        <w:rPr>
          <w:szCs w:val="22"/>
        </w:rPr>
        <w:t xml:space="preserve"> </w:t>
      </w:r>
      <w:r w:rsidR="009F009A" w:rsidRPr="006B0D14">
        <w:rPr>
          <w:szCs w:val="22"/>
        </w:rPr>
        <w:t xml:space="preserve">vedie k vysokým koncentráciám v koži. </w:t>
      </w:r>
      <w:r w:rsidR="00150E69" w:rsidRPr="006B0D14">
        <w:rPr>
          <w:szCs w:val="22"/>
        </w:rPr>
        <w:t>Systémov</w:t>
      </w:r>
      <w:r w:rsidR="009F009A" w:rsidRPr="006B0D14">
        <w:rPr>
          <w:szCs w:val="22"/>
        </w:rPr>
        <w:t>é</w:t>
      </w:r>
      <w:r w:rsidR="00150E69" w:rsidRPr="006B0D14">
        <w:rPr>
          <w:szCs w:val="22"/>
        </w:rPr>
        <w:t xml:space="preserve"> </w:t>
      </w:r>
      <w:r w:rsidR="009F009A" w:rsidRPr="006B0D14">
        <w:rPr>
          <w:szCs w:val="22"/>
        </w:rPr>
        <w:t>vstrebávanie</w:t>
      </w:r>
      <w:r w:rsidR="00752191" w:rsidRPr="006B0D14">
        <w:rPr>
          <w:szCs w:val="22"/>
        </w:rPr>
        <w:t xml:space="preserve"> </w:t>
      </w:r>
      <w:r w:rsidR="00150E69" w:rsidRPr="006B0D14">
        <w:rPr>
          <w:szCs w:val="22"/>
        </w:rPr>
        <w:t>je zanedbateľn</w:t>
      </w:r>
      <w:r w:rsidR="009F009A" w:rsidRPr="006B0D14">
        <w:rPr>
          <w:szCs w:val="22"/>
        </w:rPr>
        <w:t>é</w:t>
      </w:r>
      <w:r w:rsidR="00150E69" w:rsidRPr="006B0D14">
        <w:rPr>
          <w:szCs w:val="22"/>
        </w:rPr>
        <w:t>.</w:t>
      </w:r>
    </w:p>
    <w:p w:rsidR="00150E69" w:rsidRPr="006B0D14" w:rsidRDefault="00150E69" w:rsidP="006B0D14">
      <w:pPr>
        <w:ind w:left="0" w:firstLine="0"/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  <w:r w:rsidRPr="006B0D14">
        <w:rPr>
          <w:b/>
          <w:szCs w:val="22"/>
        </w:rPr>
        <w:t>5.3</w:t>
      </w:r>
      <w:r w:rsidRPr="006B0D14">
        <w:rPr>
          <w:b/>
          <w:szCs w:val="22"/>
        </w:rPr>
        <w:tab/>
        <w:t>Predklinické údaje o bezpečnosti</w:t>
      </w:r>
    </w:p>
    <w:p w:rsidR="00780926" w:rsidRPr="006B0D14" w:rsidRDefault="00780926" w:rsidP="006B0D14">
      <w:pPr>
        <w:rPr>
          <w:szCs w:val="22"/>
        </w:rPr>
      </w:pPr>
    </w:p>
    <w:p w:rsidR="00752191" w:rsidRPr="00F50B46" w:rsidRDefault="00F50B46" w:rsidP="00752191">
      <w:pPr>
        <w:ind w:left="0" w:firstLine="0"/>
      </w:pPr>
      <w:r w:rsidRPr="00F50B46">
        <w:t>Predk</w:t>
      </w:r>
      <w:r w:rsidR="003277A9" w:rsidRPr="00F50B46">
        <w:t>linické údaje získané na základe</w:t>
      </w:r>
      <w:r w:rsidR="00752191" w:rsidRPr="00F50B46">
        <w:t xml:space="preserve"> </w:t>
      </w:r>
      <w:r w:rsidR="0030201F" w:rsidRPr="00F50B46">
        <w:t>farmakologických štú</w:t>
      </w:r>
      <w:r w:rsidR="00752191" w:rsidRPr="00F50B46">
        <w:t>dií bezpečnosti</w:t>
      </w:r>
      <w:r w:rsidR="003277A9" w:rsidRPr="00F50B46">
        <w:t xml:space="preserve"> a </w:t>
      </w:r>
      <w:r w:rsidRPr="00F50B46">
        <w:t>obvyklých</w:t>
      </w:r>
      <w:r w:rsidR="003277A9" w:rsidRPr="00F50B46">
        <w:t xml:space="preserve"> štúdií</w:t>
      </w:r>
      <w:r w:rsidR="00752191" w:rsidRPr="00F50B46">
        <w:t xml:space="preserve"> toxicity po opakovan</w:t>
      </w:r>
      <w:r w:rsidR="003277A9" w:rsidRPr="00F50B46">
        <w:t>o</w:t>
      </w:r>
      <w:r w:rsidR="00752191" w:rsidRPr="00F50B46">
        <w:t>m pod</w:t>
      </w:r>
      <w:r w:rsidR="00C723D2">
        <w:t>áv</w:t>
      </w:r>
      <w:r w:rsidR="003277A9" w:rsidRPr="00F50B46">
        <w:t xml:space="preserve">aní, genotoxicity a </w:t>
      </w:r>
      <w:r w:rsidR="00752191" w:rsidRPr="00F50B46">
        <w:t>reprodukčn</w:t>
      </w:r>
      <w:r w:rsidR="003277A9" w:rsidRPr="00F50B46">
        <w:t>ej</w:t>
      </w:r>
      <w:r w:rsidR="00752191" w:rsidRPr="00F50B46">
        <w:t xml:space="preserve"> </w:t>
      </w:r>
      <w:r w:rsidRPr="00F50B46">
        <w:t xml:space="preserve">toxicity a </w:t>
      </w:r>
      <w:r w:rsidR="00752191" w:rsidRPr="00F50B46">
        <w:rPr>
          <w:noProof/>
          <w:szCs w:val="22"/>
        </w:rPr>
        <w:t>výv</w:t>
      </w:r>
      <w:r w:rsidRPr="00F50B46">
        <w:rPr>
          <w:noProof/>
          <w:szCs w:val="22"/>
        </w:rPr>
        <w:t>inu</w:t>
      </w:r>
      <w:r w:rsidR="00752191" w:rsidRPr="00F50B46">
        <w:t xml:space="preserve"> neodhalil</w:t>
      </w:r>
      <w:r w:rsidR="001643C1" w:rsidRPr="00F50B46">
        <w:t>i žia</w:t>
      </w:r>
      <w:r w:rsidR="00752191" w:rsidRPr="00F50B46">
        <w:t>dn</w:t>
      </w:r>
      <w:r w:rsidR="001643C1" w:rsidRPr="00F50B46">
        <w:t>e</w:t>
      </w:r>
      <w:r w:rsidR="00752191" w:rsidRPr="00F50B46">
        <w:t xml:space="preserve"> </w:t>
      </w:r>
      <w:r w:rsidRPr="00F50B46">
        <w:t>osobitné</w:t>
      </w:r>
      <w:r w:rsidR="001643C1" w:rsidRPr="00F50B46">
        <w:t xml:space="preserve"> </w:t>
      </w:r>
      <w:r w:rsidR="00752191" w:rsidRPr="00F50B46">
        <w:t>riziko pr</w:t>
      </w:r>
      <w:r w:rsidR="001643C1" w:rsidRPr="00F50B46">
        <w:t xml:space="preserve">e </w:t>
      </w:r>
      <w:r w:rsidRPr="00F50B46">
        <w:t>ľudí</w:t>
      </w:r>
      <w:r w:rsidR="00752191" w:rsidRPr="00F50B46">
        <w:t>.</w:t>
      </w:r>
    </w:p>
    <w:p w:rsidR="00752191" w:rsidRPr="00F26F0E" w:rsidRDefault="00752191" w:rsidP="00752191">
      <w:pPr>
        <w:ind w:left="0" w:firstLine="0"/>
      </w:pPr>
      <w:r w:rsidRPr="00F50B46">
        <w:t>Štúdie kancerogenity sa ne</w:t>
      </w:r>
      <w:r w:rsidR="00F50B46" w:rsidRPr="00F50B46">
        <w:t>vykonali</w:t>
      </w:r>
      <w:r w:rsidRPr="00F50B46">
        <w:t>.</w:t>
      </w:r>
    </w:p>
    <w:p w:rsidR="00780926" w:rsidRPr="00774BE8" w:rsidRDefault="00780926" w:rsidP="006B0D14">
      <w:pPr>
        <w:rPr>
          <w:szCs w:val="22"/>
        </w:rPr>
      </w:pPr>
    </w:p>
    <w:p w:rsidR="00E1698A" w:rsidRPr="00774BE8" w:rsidRDefault="00E1698A" w:rsidP="006B0D14">
      <w:pPr>
        <w:rPr>
          <w:szCs w:val="22"/>
        </w:rPr>
      </w:pPr>
    </w:p>
    <w:p w:rsidR="00780926" w:rsidRPr="00774BE8" w:rsidRDefault="00780926" w:rsidP="006B0D14">
      <w:pPr>
        <w:rPr>
          <w:b/>
          <w:szCs w:val="22"/>
        </w:rPr>
      </w:pPr>
      <w:r w:rsidRPr="00774BE8">
        <w:rPr>
          <w:b/>
          <w:szCs w:val="22"/>
        </w:rPr>
        <w:t>6.</w:t>
      </w:r>
      <w:r w:rsidRPr="00774BE8">
        <w:rPr>
          <w:b/>
          <w:szCs w:val="22"/>
        </w:rPr>
        <w:tab/>
        <w:t>FARMACEUTICKÉ INFORMÁCIE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6B0D14">
      <w:pPr>
        <w:rPr>
          <w:szCs w:val="22"/>
        </w:rPr>
      </w:pPr>
      <w:r w:rsidRPr="00774BE8">
        <w:rPr>
          <w:b/>
          <w:szCs w:val="22"/>
        </w:rPr>
        <w:t>6.1</w:t>
      </w:r>
      <w:r w:rsidRPr="00774BE8">
        <w:rPr>
          <w:b/>
          <w:szCs w:val="22"/>
        </w:rPr>
        <w:tab/>
        <w:t>Zoznam pomocných látok</w:t>
      </w:r>
    </w:p>
    <w:p w:rsidR="00780926" w:rsidRPr="00774BE8" w:rsidRDefault="00780926" w:rsidP="006B0D14">
      <w:pPr>
        <w:rPr>
          <w:szCs w:val="22"/>
        </w:rPr>
      </w:pPr>
    </w:p>
    <w:p w:rsidR="00B721EC" w:rsidRPr="008B2CFC" w:rsidRDefault="00B721EC" w:rsidP="00C6710E">
      <w:pPr>
        <w:ind w:right="-1"/>
        <w:rPr>
          <w:szCs w:val="22"/>
        </w:rPr>
      </w:pPr>
      <w:r w:rsidRPr="008B2CFC">
        <w:rPr>
          <w:szCs w:val="22"/>
        </w:rPr>
        <w:t>Cetylalkohol</w:t>
      </w:r>
    </w:p>
    <w:p w:rsidR="003D433A" w:rsidRPr="008B2CFC" w:rsidRDefault="00087D5B" w:rsidP="00C6710E">
      <w:pPr>
        <w:ind w:right="-1"/>
        <w:rPr>
          <w:szCs w:val="22"/>
        </w:rPr>
      </w:pPr>
      <w:r>
        <w:rPr>
          <w:szCs w:val="22"/>
        </w:rPr>
        <w:t>Vosk</w:t>
      </w:r>
      <w:r w:rsidRPr="008B2CFC">
        <w:rPr>
          <w:szCs w:val="22"/>
        </w:rPr>
        <w:t xml:space="preserve"> </w:t>
      </w:r>
      <w:r w:rsidR="003D433A" w:rsidRPr="008B2CFC">
        <w:rPr>
          <w:szCs w:val="22"/>
        </w:rPr>
        <w:t>z ovčej vlny</w:t>
      </w:r>
    </w:p>
    <w:p w:rsidR="003D433A" w:rsidRPr="008B2CFC" w:rsidRDefault="003D433A" w:rsidP="003D433A">
      <w:pPr>
        <w:ind w:right="-1"/>
        <w:rPr>
          <w:szCs w:val="22"/>
        </w:rPr>
      </w:pPr>
      <w:r w:rsidRPr="008B2CFC">
        <w:rPr>
          <w:szCs w:val="22"/>
        </w:rPr>
        <w:t>Tekutý parafín</w:t>
      </w:r>
    </w:p>
    <w:p w:rsidR="00AC7CAF" w:rsidRPr="008B2CFC" w:rsidRDefault="00B721EC" w:rsidP="00C6710E">
      <w:pPr>
        <w:ind w:right="-1"/>
        <w:rPr>
          <w:szCs w:val="22"/>
        </w:rPr>
      </w:pPr>
      <w:r w:rsidRPr="008B2CFC">
        <w:rPr>
          <w:szCs w:val="22"/>
        </w:rPr>
        <w:t>Biel</w:t>
      </w:r>
      <w:r w:rsidR="007B4CF7">
        <w:rPr>
          <w:szCs w:val="22"/>
        </w:rPr>
        <w:t>a vazelina</w:t>
      </w:r>
      <w:bookmarkStart w:id="0" w:name="_GoBack"/>
      <w:bookmarkEnd w:id="0"/>
    </w:p>
    <w:p w:rsidR="0009515C" w:rsidRPr="008B2CFC" w:rsidRDefault="0009515C" w:rsidP="0009515C">
      <w:pPr>
        <w:pStyle w:val="EMEAEnBodyText"/>
        <w:suppressLineNumbers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8B2CFC">
        <w:rPr>
          <w:szCs w:val="22"/>
          <w:lang w:val="sk-SK" w:eastAsia="da-DK"/>
        </w:rPr>
        <w:t>All-</w:t>
      </w:r>
      <w:r w:rsidRPr="008B2CFC">
        <w:rPr>
          <w:i/>
          <w:szCs w:val="22"/>
          <w:lang w:val="sk-SK" w:eastAsia="da-DK"/>
        </w:rPr>
        <w:t>rac-α</w:t>
      </w:r>
      <w:r w:rsidRPr="008B2CFC">
        <w:rPr>
          <w:szCs w:val="22"/>
          <w:lang w:val="sk-SK" w:eastAsia="da-DK"/>
        </w:rPr>
        <w:t>-tokoferol</w:t>
      </w:r>
    </w:p>
    <w:p w:rsidR="00B721EC" w:rsidRPr="006B0D14" w:rsidRDefault="0009515C" w:rsidP="00C6710E">
      <w:pPr>
        <w:ind w:right="-1"/>
        <w:rPr>
          <w:szCs w:val="22"/>
        </w:rPr>
      </w:pPr>
      <w:r w:rsidRPr="008B2CFC">
        <w:rPr>
          <w:szCs w:val="22"/>
        </w:rPr>
        <w:t>Butylhydroxytoluén (E321)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  <w:r w:rsidRPr="006B0D14">
        <w:rPr>
          <w:b/>
          <w:szCs w:val="22"/>
        </w:rPr>
        <w:t>6.2</w:t>
      </w:r>
      <w:r w:rsidRPr="006B0D14">
        <w:rPr>
          <w:b/>
          <w:szCs w:val="22"/>
        </w:rPr>
        <w:tab/>
        <w:t>Inkompatibility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  <w:r w:rsidRPr="006B0D14">
        <w:rPr>
          <w:szCs w:val="22"/>
        </w:rPr>
        <w:t>Neaplikovateľné</w:t>
      </w:r>
      <w:r w:rsidR="00B721EC" w:rsidRPr="006B0D14">
        <w:rPr>
          <w:szCs w:val="22"/>
        </w:rPr>
        <w:t>.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  <w:r w:rsidRPr="006B0D14">
        <w:rPr>
          <w:b/>
          <w:szCs w:val="22"/>
        </w:rPr>
        <w:t>6.3</w:t>
      </w:r>
      <w:r w:rsidRPr="006B0D14">
        <w:rPr>
          <w:b/>
          <w:szCs w:val="22"/>
        </w:rPr>
        <w:tab/>
        <w:t>Čas použiteľnosti</w:t>
      </w:r>
    </w:p>
    <w:p w:rsidR="00780926" w:rsidRPr="006B0D14" w:rsidRDefault="00780926" w:rsidP="006B0D14">
      <w:pPr>
        <w:rPr>
          <w:szCs w:val="22"/>
        </w:rPr>
      </w:pPr>
    </w:p>
    <w:p w:rsidR="00B721EC" w:rsidRPr="006B0D14" w:rsidRDefault="00A130EB" w:rsidP="00C6710E">
      <w:pPr>
        <w:ind w:right="-1"/>
        <w:rPr>
          <w:szCs w:val="22"/>
        </w:rPr>
      </w:pPr>
      <w:r>
        <w:rPr>
          <w:szCs w:val="22"/>
        </w:rPr>
        <w:t>3</w:t>
      </w:r>
      <w:r w:rsidR="00B721EC" w:rsidRPr="006B0D14">
        <w:rPr>
          <w:szCs w:val="22"/>
        </w:rPr>
        <w:t xml:space="preserve"> roky</w:t>
      </w:r>
    </w:p>
    <w:p w:rsidR="00B721EC" w:rsidRPr="00774BE8" w:rsidRDefault="00B721EC" w:rsidP="006B0D14">
      <w:pPr>
        <w:rPr>
          <w:szCs w:val="22"/>
        </w:rPr>
      </w:pPr>
    </w:p>
    <w:p w:rsidR="00780926" w:rsidRPr="00774BE8" w:rsidRDefault="00780926" w:rsidP="006B0D14">
      <w:pPr>
        <w:rPr>
          <w:szCs w:val="22"/>
        </w:rPr>
      </w:pPr>
      <w:r w:rsidRPr="00774BE8">
        <w:rPr>
          <w:b/>
          <w:szCs w:val="22"/>
        </w:rPr>
        <w:t>6.4</w:t>
      </w:r>
      <w:r w:rsidRPr="00774BE8">
        <w:rPr>
          <w:b/>
          <w:szCs w:val="22"/>
        </w:rPr>
        <w:tab/>
        <w:t>Špeciálne upozornenia na uchovávanie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B721EC" w:rsidP="00C6710E">
      <w:pPr>
        <w:ind w:right="-1"/>
        <w:outlineLvl w:val="0"/>
        <w:rPr>
          <w:szCs w:val="22"/>
        </w:rPr>
      </w:pPr>
      <w:r w:rsidRPr="00774BE8">
        <w:rPr>
          <w:szCs w:val="22"/>
        </w:rPr>
        <w:t xml:space="preserve">Uchovávajte pri teplote </w:t>
      </w:r>
      <w:r w:rsidR="00AC7CAF" w:rsidRPr="00774BE8">
        <w:rPr>
          <w:szCs w:val="22"/>
        </w:rPr>
        <w:t xml:space="preserve">neprevyšujúcej </w:t>
      </w:r>
      <w:r w:rsidRPr="00774BE8">
        <w:rPr>
          <w:szCs w:val="22"/>
        </w:rPr>
        <w:t>30 °C.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6B0D14">
      <w:pPr>
        <w:rPr>
          <w:szCs w:val="22"/>
        </w:rPr>
      </w:pPr>
      <w:r w:rsidRPr="00774BE8">
        <w:rPr>
          <w:b/>
          <w:szCs w:val="22"/>
        </w:rPr>
        <w:t>6.5</w:t>
      </w:r>
      <w:r w:rsidRPr="00774BE8">
        <w:rPr>
          <w:b/>
          <w:szCs w:val="22"/>
        </w:rPr>
        <w:tab/>
        <w:t>Druh obalu a obsah balenia</w:t>
      </w:r>
      <w:r w:rsidRPr="00774BE8">
        <w:rPr>
          <w:b/>
          <w:color w:val="0000FF"/>
          <w:szCs w:val="22"/>
        </w:rPr>
        <w:t xml:space="preserve"> </w:t>
      </w:r>
    </w:p>
    <w:p w:rsidR="00780926" w:rsidRPr="00774BE8" w:rsidRDefault="00780926" w:rsidP="006B0D14">
      <w:pPr>
        <w:rPr>
          <w:szCs w:val="22"/>
        </w:rPr>
      </w:pPr>
    </w:p>
    <w:p w:rsidR="0086062C" w:rsidRDefault="0086062C" w:rsidP="0086062C">
      <w:pPr>
        <w:ind w:left="0" w:firstLine="0"/>
      </w:pPr>
      <w:r>
        <w:lastRenderedPageBreak/>
        <w:t xml:space="preserve">Každý </w:t>
      </w:r>
      <w:r w:rsidRPr="00192C5B">
        <w:t>impregn</w:t>
      </w:r>
      <w:r>
        <w:t>ovaný obväz</w:t>
      </w:r>
      <w:r w:rsidRPr="00192C5B">
        <w:t xml:space="preserve"> (10 cm x 10 cm)</w:t>
      </w:r>
      <w:r>
        <w:t xml:space="preserve"> je </w:t>
      </w:r>
      <w:r w:rsidRPr="00966287">
        <w:t>umiestnený medzi dvomi kusmi pergamenového papiera</w:t>
      </w:r>
      <w:r w:rsidR="009818D8" w:rsidRPr="00966287">
        <w:t xml:space="preserve">, ktorý je vložený </w:t>
      </w:r>
      <w:r w:rsidRPr="00966287">
        <w:t>vo vrecku z </w:t>
      </w:r>
      <w:r w:rsidR="009517F7" w:rsidRPr="00966287">
        <w:t xml:space="preserve">laminátovej </w:t>
      </w:r>
      <w:r w:rsidRPr="00966287">
        <w:t>hliníkovej fólie na jednorazové použitie.</w:t>
      </w:r>
    </w:p>
    <w:p w:rsidR="0086062C" w:rsidRDefault="0086062C" w:rsidP="0086062C"/>
    <w:p w:rsidR="00A130EB" w:rsidRPr="00A130EB" w:rsidRDefault="00A130EB" w:rsidP="006B0D14">
      <w:pPr>
        <w:tabs>
          <w:tab w:val="left" w:pos="700"/>
        </w:tabs>
        <w:rPr>
          <w:szCs w:val="22"/>
          <w:u w:val="single"/>
        </w:rPr>
      </w:pPr>
      <w:r w:rsidRPr="00A130EB">
        <w:rPr>
          <w:szCs w:val="22"/>
          <w:u w:val="single"/>
        </w:rPr>
        <w:t>Veľkosti balenia</w:t>
      </w:r>
    </w:p>
    <w:p w:rsidR="00A130EB" w:rsidRPr="00192C5B" w:rsidRDefault="00A130EB" w:rsidP="00A130EB">
      <w:r w:rsidRPr="00192C5B">
        <w:t>10 impregn</w:t>
      </w:r>
      <w:r>
        <w:t>ovaných obväzov</w:t>
      </w:r>
      <w:r w:rsidRPr="00192C5B">
        <w:t xml:space="preserve"> (10 cm x 10 cm)</w:t>
      </w:r>
    </w:p>
    <w:p w:rsidR="00A130EB" w:rsidRDefault="00A130EB" w:rsidP="00A130EB">
      <w:r w:rsidRPr="00192C5B">
        <w:t>50 impregn</w:t>
      </w:r>
      <w:r>
        <w:t>ovaných obväzov</w:t>
      </w:r>
      <w:r w:rsidRPr="00192C5B">
        <w:t xml:space="preserve"> (10 cm x 10 cm)</w:t>
      </w:r>
    </w:p>
    <w:p w:rsidR="00A130EB" w:rsidRPr="00192C5B" w:rsidRDefault="00A130EB" w:rsidP="00A130EB"/>
    <w:p w:rsidR="00780926" w:rsidRPr="00774BE8" w:rsidRDefault="00D71CEA" w:rsidP="006B0D14">
      <w:pPr>
        <w:rPr>
          <w:szCs w:val="22"/>
        </w:rPr>
      </w:pPr>
      <w:r w:rsidRPr="00774BE8">
        <w:rPr>
          <w:szCs w:val="22"/>
        </w:rPr>
        <w:t xml:space="preserve">Na trh nemusia byť uvedené </w:t>
      </w:r>
      <w:r w:rsidR="00780926" w:rsidRPr="00774BE8">
        <w:rPr>
          <w:szCs w:val="22"/>
        </w:rPr>
        <w:t>všetky veľkosti balenia.</w:t>
      </w: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6B0D14">
      <w:pPr>
        <w:rPr>
          <w:b/>
          <w:bCs/>
          <w:szCs w:val="22"/>
        </w:rPr>
      </w:pPr>
      <w:r w:rsidRPr="00774BE8">
        <w:rPr>
          <w:b/>
          <w:szCs w:val="22"/>
        </w:rPr>
        <w:t>6.6</w:t>
      </w:r>
      <w:r w:rsidRPr="00774BE8">
        <w:rPr>
          <w:b/>
          <w:szCs w:val="22"/>
        </w:rPr>
        <w:tab/>
      </w:r>
      <w:r w:rsidRPr="00774BE8">
        <w:rPr>
          <w:b/>
          <w:bCs/>
          <w:szCs w:val="22"/>
        </w:rPr>
        <w:t>Špeciálne opatrenia na likvidáciu</w:t>
      </w:r>
      <w:r w:rsidRPr="00774BE8">
        <w:rPr>
          <w:b/>
          <w:szCs w:val="22"/>
        </w:rPr>
        <w:t xml:space="preserve"> </w:t>
      </w:r>
      <w:r w:rsidR="001049E0">
        <w:rPr>
          <w:b/>
          <w:szCs w:val="22"/>
        </w:rPr>
        <w:t>a iné zaobchádzanie s liekom</w:t>
      </w:r>
    </w:p>
    <w:p w:rsidR="00780926" w:rsidRPr="00774BE8" w:rsidRDefault="00780926" w:rsidP="006B0D14">
      <w:pPr>
        <w:rPr>
          <w:bCs/>
          <w:szCs w:val="22"/>
        </w:rPr>
      </w:pPr>
    </w:p>
    <w:p w:rsidR="00780926" w:rsidRPr="00774BE8" w:rsidRDefault="00780926" w:rsidP="006B0D14">
      <w:pPr>
        <w:rPr>
          <w:szCs w:val="22"/>
        </w:rPr>
      </w:pPr>
      <w:r w:rsidRPr="00774BE8">
        <w:rPr>
          <w:szCs w:val="22"/>
        </w:rPr>
        <w:t>Žiadne zvláštne požiadavky</w:t>
      </w:r>
      <w:r w:rsidR="0086062C">
        <w:rPr>
          <w:szCs w:val="22"/>
        </w:rPr>
        <w:t xml:space="preserve"> na likvidáciu</w:t>
      </w:r>
      <w:r w:rsidR="006B6634" w:rsidRPr="00774BE8">
        <w:rPr>
          <w:szCs w:val="22"/>
        </w:rPr>
        <w:t>.</w:t>
      </w:r>
    </w:p>
    <w:p w:rsidR="00BC798A" w:rsidRPr="00774BE8" w:rsidRDefault="00BC798A" w:rsidP="006B0D14">
      <w:pPr>
        <w:rPr>
          <w:szCs w:val="22"/>
        </w:rPr>
      </w:pPr>
    </w:p>
    <w:p w:rsidR="00780926" w:rsidRPr="00774BE8" w:rsidRDefault="00780926" w:rsidP="006B0D14">
      <w:pPr>
        <w:rPr>
          <w:szCs w:val="22"/>
        </w:rPr>
      </w:pPr>
    </w:p>
    <w:p w:rsidR="00780926" w:rsidRPr="00774BE8" w:rsidRDefault="00780926" w:rsidP="006B0D14">
      <w:pPr>
        <w:rPr>
          <w:b/>
          <w:szCs w:val="22"/>
        </w:rPr>
      </w:pPr>
      <w:r w:rsidRPr="00774BE8">
        <w:rPr>
          <w:b/>
          <w:szCs w:val="22"/>
        </w:rPr>
        <w:t>7.</w:t>
      </w:r>
      <w:r w:rsidRPr="00774BE8">
        <w:rPr>
          <w:b/>
          <w:szCs w:val="22"/>
        </w:rPr>
        <w:tab/>
        <w:t>DRŽITEĽ ROZHODNUTIA O REGISTRÁCII</w:t>
      </w:r>
    </w:p>
    <w:p w:rsidR="00780926" w:rsidRPr="00774BE8" w:rsidRDefault="00780926" w:rsidP="006B0D14">
      <w:pPr>
        <w:rPr>
          <w:szCs w:val="22"/>
        </w:rPr>
      </w:pPr>
    </w:p>
    <w:p w:rsidR="006B6634" w:rsidRPr="00774BE8" w:rsidRDefault="006B6634" w:rsidP="00C6710E">
      <w:pPr>
        <w:ind w:right="-1"/>
        <w:outlineLvl w:val="0"/>
        <w:rPr>
          <w:szCs w:val="22"/>
        </w:rPr>
      </w:pPr>
      <w:r w:rsidRPr="00774BE8">
        <w:rPr>
          <w:szCs w:val="22"/>
        </w:rPr>
        <w:t>LEO Pharma A/S</w:t>
      </w:r>
    </w:p>
    <w:p w:rsidR="006B6634" w:rsidRPr="00774BE8" w:rsidRDefault="006B6634" w:rsidP="00C6710E">
      <w:pPr>
        <w:ind w:right="-1"/>
        <w:rPr>
          <w:szCs w:val="22"/>
        </w:rPr>
      </w:pPr>
      <w:r w:rsidRPr="00774BE8">
        <w:rPr>
          <w:szCs w:val="22"/>
        </w:rPr>
        <w:t>Industriparken 55</w:t>
      </w:r>
    </w:p>
    <w:p w:rsidR="006B6634" w:rsidRPr="00774BE8" w:rsidRDefault="006B6634" w:rsidP="00C6710E">
      <w:pPr>
        <w:ind w:right="-1"/>
        <w:rPr>
          <w:szCs w:val="22"/>
        </w:rPr>
      </w:pPr>
      <w:r w:rsidRPr="00774BE8">
        <w:rPr>
          <w:szCs w:val="22"/>
        </w:rPr>
        <w:t>DK-2750 Ballerup</w:t>
      </w:r>
    </w:p>
    <w:p w:rsidR="00780926" w:rsidRPr="00774BE8" w:rsidRDefault="006B6634" w:rsidP="006B0D14">
      <w:pPr>
        <w:rPr>
          <w:szCs w:val="22"/>
        </w:rPr>
      </w:pPr>
      <w:r w:rsidRPr="00774BE8">
        <w:rPr>
          <w:szCs w:val="22"/>
        </w:rPr>
        <w:t>Dánsko</w:t>
      </w:r>
    </w:p>
    <w:p w:rsidR="00780926" w:rsidRDefault="00780926" w:rsidP="006B0D14">
      <w:pPr>
        <w:rPr>
          <w:szCs w:val="22"/>
        </w:rPr>
      </w:pPr>
    </w:p>
    <w:p w:rsidR="00321419" w:rsidRPr="006B0D14" w:rsidRDefault="00321419" w:rsidP="006B0D14">
      <w:pPr>
        <w:rPr>
          <w:szCs w:val="22"/>
        </w:rPr>
      </w:pPr>
    </w:p>
    <w:p w:rsidR="00780926" w:rsidRPr="006B0D14" w:rsidRDefault="006B6634" w:rsidP="006B0D14">
      <w:pPr>
        <w:rPr>
          <w:b/>
          <w:szCs w:val="22"/>
        </w:rPr>
      </w:pPr>
      <w:r w:rsidRPr="006B0D14">
        <w:rPr>
          <w:b/>
          <w:szCs w:val="22"/>
        </w:rPr>
        <w:t>8.</w:t>
      </w:r>
      <w:r w:rsidRPr="006B0D14">
        <w:rPr>
          <w:b/>
          <w:szCs w:val="22"/>
        </w:rPr>
        <w:tab/>
        <w:t xml:space="preserve">REGISTRAČNÉ </w:t>
      </w:r>
      <w:r w:rsidR="00780926" w:rsidRPr="006B0D14">
        <w:rPr>
          <w:b/>
          <w:szCs w:val="22"/>
        </w:rPr>
        <w:t>ČÍSLO</w:t>
      </w:r>
    </w:p>
    <w:p w:rsidR="00321419" w:rsidRDefault="00321419" w:rsidP="006B0D14">
      <w:pPr>
        <w:rPr>
          <w:szCs w:val="22"/>
        </w:rPr>
      </w:pPr>
    </w:p>
    <w:p w:rsidR="00321419" w:rsidRPr="006B0D14" w:rsidRDefault="00597F22" w:rsidP="006B0D14">
      <w:pPr>
        <w:rPr>
          <w:szCs w:val="22"/>
        </w:rPr>
      </w:pPr>
      <w:r>
        <w:rPr>
          <w:szCs w:val="22"/>
        </w:rPr>
        <w:t>Reg. číslo:</w:t>
      </w:r>
      <w:r w:rsidR="009B3201">
        <w:rPr>
          <w:szCs w:val="22"/>
        </w:rPr>
        <w:t xml:space="preserve"> </w:t>
      </w:r>
      <w:r w:rsidR="00087D5B" w:rsidRPr="00087D5B">
        <w:rPr>
          <w:szCs w:val="22"/>
        </w:rPr>
        <w:t>46/0319/16-S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b/>
          <w:szCs w:val="22"/>
        </w:rPr>
      </w:pPr>
      <w:r w:rsidRPr="006B0D14">
        <w:rPr>
          <w:b/>
          <w:szCs w:val="22"/>
        </w:rPr>
        <w:t>9.</w:t>
      </w:r>
      <w:r w:rsidRPr="006B0D14">
        <w:rPr>
          <w:b/>
          <w:szCs w:val="22"/>
        </w:rPr>
        <w:tab/>
        <w:t>DÁTUM PRVEJ REGISTRÁCIE/PREDĹŽENIA REGISTRÁCIE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1D1B4B" w:rsidP="006B0D14">
      <w:pPr>
        <w:rPr>
          <w:szCs w:val="22"/>
        </w:rPr>
      </w:pPr>
      <w:r w:rsidRPr="006B0D14">
        <w:rPr>
          <w:szCs w:val="22"/>
        </w:rPr>
        <w:t>Dátum prvej registrácie:</w:t>
      </w: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szCs w:val="22"/>
        </w:rPr>
      </w:pPr>
    </w:p>
    <w:p w:rsidR="00780926" w:rsidRPr="006B0D14" w:rsidRDefault="00780926" w:rsidP="006B0D14">
      <w:pPr>
        <w:rPr>
          <w:b/>
          <w:szCs w:val="22"/>
        </w:rPr>
      </w:pPr>
      <w:r w:rsidRPr="006B0D14">
        <w:rPr>
          <w:b/>
          <w:szCs w:val="22"/>
        </w:rPr>
        <w:t>10.</w:t>
      </w:r>
      <w:r w:rsidRPr="006B0D14">
        <w:rPr>
          <w:b/>
          <w:szCs w:val="22"/>
        </w:rPr>
        <w:tab/>
        <w:t>DÁTUM REVÍZIE TEXTU</w:t>
      </w:r>
    </w:p>
    <w:p w:rsidR="00780926" w:rsidRPr="006B0D14" w:rsidRDefault="00780926" w:rsidP="006B0D14">
      <w:pPr>
        <w:rPr>
          <w:szCs w:val="22"/>
        </w:rPr>
      </w:pPr>
    </w:p>
    <w:p w:rsidR="00AC7CAF" w:rsidRPr="006B0D14" w:rsidRDefault="00087D5B" w:rsidP="006B0D14">
      <w:pPr>
        <w:ind w:left="0" w:firstLine="0"/>
        <w:rPr>
          <w:szCs w:val="22"/>
        </w:rPr>
      </w:pPr>
      <w:r>
        <w:rPr>
          <w:szCs w:val="22"/>
        </w:rPr>
        <w:t xml:space="preserve">Júl </w:t>
      </w:r>
      <w:r w:rsidR="0086062C">
        <w:rPr>
          <w:szCs w:val="22"/>
        </w:rPr>
        <w:t>2016</w:t>
      </w:r>
    </w:p>
    <w:p w:rsidR="00AC7CAF" w:rsidRPr="006B0D14" w:rsidRDefault="00AC7CAF" w:rsidP="006B0D14">
      <w:pPr>
        <w:ind w:left="0" w:firstLine="0"/>
        <w:rPr>
          <w:szCs w:val="22"/>
        </w:rPr>
      </w:pPr>
    </w:p>
    <w:p w:rsidR="00780926" w:rsidRDefault="00780926" w:rsidP="00C6710E">
      <w:pPr>
        <w:ind w:left="0" w:firstLine="0"/>
        <w:rPr>
          <w:szCs w:val="22"/>
        </w:rPr>
      </w:pPr>
    </w:p>
    <w:p w:rsidR="00A932E9" w:rsidRPr="00774BE8" w:rsidRDefault="00A932E9" w:rsidP="00C6710E">
      <w:pPr>
        <w:ind w:left="0" w:firstLine="0"/>
        <w:rPr>
          <w:szCs w:val="22"/>
        </w:rPr>
      </w:pPr>
    </w:p>
    <w:sectPr w:rsidR="00A932E9" w:rsidRPr="00774BE8" w:rsidSect="00174C94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7C" w:rsidRDefault="008F027C">
      <w:r>
        <w:separator/>
      </w:r>
    </w:p>
  </w:endnote>
  <w:endnote w:type="continuationSeparator" w:id="0">
    <w:p w:rsidR="008F027C" w:rsidRDefault="008F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AF" w:rsidRPr="00B13F68" w:rsidRDefault="000F005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AC7CAF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="00AC7CAF"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F374FA">
      <w:rPr>
        <w:rStyle w:val="slostrany"/>
        <w:rFonts w:ascii="Arial" w:hAnsi="Arial" w:cs="Arial"/>
        <w:noProof/>
      </w:rPr>
      <w:t>6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AF" w:rsidRDefault="000F005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AC7CAF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AC7CAF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374F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7C" w:rsidRDefault="008F027C">
      <w:r>
        <w:separator/>
      </w:r>
    </w:p>
  </w:footnote>
  <w:footnote w:type="continuationSeparator" w:id="0">
    <w:p w:rsidR="008F027C" w:rsidRDefault="008F0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AF" w:rsidRDefault="00AC7CAF" w:rsidP="00861A89">
    <w:pPr>
      <w:rPr>
        <w:sz w:val="18"/>
        <w:szCs w:val="18"/>
      </w:rPr>
    </w:pPr>
    <w:r w:rsidRPr="002474CE">
      <w:rPr>
        <w:sz w:val="18"/>
        <w:szCs w:val="18"/>
      </w:rPr>
      <w:t>Schválený text k</w:t>
    </w:r>
    <w:r>
      <w:rPr>
        <w:sz w:val="18"/>
        <w:szCs w:val="18"/>
      </w:rPr>
      <w:t> rozhodnutiu o </w:t>
    </w:r>
    <w:r w:rsidRPr="002474CE">
      <w:rPr>
        <w:sz w:val="18"/>
        <w:szCs w:val="18"/>
      </w:rPr>
      <w:t>registrácii</w:t>
    </w:r>
    <w:r>
      <w:rPr>
        <w:sz w:val="18"/>
        <w:szCs w:val="18"/>
      </w:rPr>
      <w:t xml:space="preserve">, </w:t>
    </w:r>
    <w:r w:rsidRPr="002474CE">
      <w:rPr>
        <w:sz w:val="18"/>
        <w:szCs w:val="18"/>
      </w:rPr>
      <w:t>ev.</w:t>
    </w:r>
    <w:r>
      <w:rPr>
        <w:sz w:val="18"/>
        <w:szCs w:val="18"/>
      </w:rPr>
      <w:t xml:space="preserve"> </w:t>
    </w:r>
    <w:r w:rsidRPr="002474CE">
      <w:rPr>
        <w:sz w:val="18"/>
        <w:szCs w:val="18"/>
      </w:rPr>
      <w:t>č.</w:t>
    </w:r>
    <w:r w:rsidR="006B7E48">
      <w:rPr>
        <w:sz w:val="18"/>
        <w:szCs w:val="18"/>
      </w:rPr>
      <w:t>: 2014/04090-REG</w:t>
    </w:r>
  </w:p>
  <w:p w:rsidR="00AC7CAF" w:rsidRDefault="00AC7CA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6C68B7"/>
    <w:multiLevelType w:val="hybridMultilevel"/>
    <w:tmpl w:val="FCB8DF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3001D"/>
    <w:multiLevelType w:val="hybridMultilevel"/>
    <w:tmpl w:val="FD508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77770"/>
    <w:multiLevelType w:val="hybridMultilevel"/>
    <w:tmpl w:val="B92E9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425CE"/>
    <w:multiLevelType w:val="hybridMultilevel"/>
    <w:tmpl w:val="3282FC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976"/>
    <w:multiLevelType w:val="hybridMultilevel"/>
    <w:tmpl w:val="483C8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4241B"/>
    <w:multiLevelType w:val="hybridMultilevel"/>
    <w:tmpl w:val="B34A9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29A7"/>
    <w:multiLevelType w:val="hybridMultilevel"/>
    <w:tmpl w:val="2CD2B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5835005"/>
    <w:multiLevelType w:val="hybridMultilevel"/>
    <w:tmpl w:val="0C4C4464"/>
    <w:lvl w:ilvl="0" w:tplc="BEF67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70851"/>
    <w:multiLevelType w:val="hybridMultilevel"/>
    <w:tmpl w:val="6890D3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DF7C75"/>
    <w:multiLevelType w:val="hybridMultilevel"/>
    <w:tmpl w:val="B2CA9094"/>
    <w:lvl w:ilvl="0" w:tplc="C7A470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7F52DA"/>
    <w:multiLevelType w:val="hybridMultilevel"/>
    <w:tmpl w:val="7452D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007CD"/>
    <w:multiLevelType w:val="hybridMultilevel"/>
    <w:tmpl w:val="02943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C5B30"/>
    <w:multiLevelType w:val="hybridMultilevel"/>
    <w:tmpl w:val="03D0921A"/>
    <w:lvl w:ilvl="0" w:tplc="BEF67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C2CF8"/>
    <w:multiLevelType w:val="hybridMultilevel"/>
    <w:tmpl w:val="4AC6E490"/>
    <w:lvl w:ilvl="0" w:tplc="C7CEBD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14343"/>
    <w:multiLevelType w:val="hybridMultilevel"/>
    <w:tmpl w:val="22382C6A"/>
    <w:lvl w:ilvl="0" w:tplc="32D6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76B6FD7"/>
    <w:multiLevelType w:val="hybridMultilevel"/>
    <w:tmpl w:val="D8DAA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E001C"/>
    <w:multiLevelType w:val="hybridMultilevel"/>
    <w:tmpl w:val="C85297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411B6"/>
    <w:multiLevelType w:val="hybridMultilevel"/>
    <w:tmpl w:val="316C67D4"/>
    <w:lvl w:ilvl="0" w:tplc="32D6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>
    <w:nsid w:val="68386BBE"/>
    <w:multiLevelType w:val="hybridMultilevel"/>
    <w:tmpl w:val="6332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63403B6"/>
    <w:multiLevelType w:val="hybridMultilevel"/>
    <w:tmpl w:val="205E1534"/>
    <w:lvl w:ilvl="0" w:tplc="32D6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64605"/>
    <w:multiLevelType w:val="hybridMultilevel"/>
    <w:tmpl w:val="F5322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F1D2E"/>
    <w:multiLevelType w:val="hybridMultilevel"/>
    <w:tmpl w:val="4364E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8"/>
  </w:num>
  <w:num w:numId="5">
    <w:abstractNumId w:val="13"/>
  </w:num>
  <w:num w:numId="6">
    <w:abstractNumId w:val="21"/>
  </w:num>
  <w:num w:numId="7">
    <w:abstractNumId w:val="20"/>
  </w:num>
  <w:num w:numId="8">
    <w:abstractNumId w:val="9"/>
  </w:num>
  <w:num w:numId="9">
    <w:abstractNumId w:val="25"/>
  </w:num>
  <w:num w:numId="10">
    <w:abstractNumId w:val="27"/>
  </w:num>
  <w:num w:numId="11">
    <w:abstractNumId w:val="2"/>
  </w:num>
  <w:num w:numId="12">
    <w:abstractNumId w:val="11"/>
  </w:num>
  <w:num w:numId="13">
    <w:abstractNumId w:val="18"/>
  </w:num>
  <w:num w:numId="14">
    <w:abstractNumId w:val="17"/>
  </w:num>
  <w:num w:numId="15">
    <w:abstractNumId w:val="19"/>
  </w:num>
  <w:num w:numId="16">
    <w:abstractNumId w:val="24"/>
  </w:num>
  <w:num w:numId="17">
    <w:abstractNumId w:val="30"/>
  </w:num>
  <w:num w:numId="18">
    <w:abstractNumId w:val="14"/>
  </w:num>
  <w:num w:numId="19">
    <w:abstractNumId w:val="10"/>
  </w:num>
  <w:num w:numId="20">
    <w:abstractNumId w:val="7"/>
  </w:num>
  <w:num w:numId="21">
    <w:abstractNumId w:val="12"/>
  </w:num>
  <w:num w:numId="22">
    <w:abstractNumId w:val="1"/>
  </w:num>
  <w:num w:numId="23">
    <w:abstractNumId w:val="6"/>
  </w:num>
  <w:num w:numId="24">
    <w:abstractNumId w:val="8"/>
  </w:num>
  <w:num w:numId="25">
    <w:abstractNumId w:val="26"/>
  </w:num>
  <w:num w:numId="26">
    <w:abstractNumId w:val="5"/>
  </w:num>
  <w:num w:numId="27">
    <w:abstractNumId w:val="15"/>
  </w:num>
  <w:num w:numId="28">
    <w:abstractNumId w:val="32"/>
  </w:num>
  <w:num w:numId="29">
    <w:abstractNumId w:val="22"/>
  </w:num>
  <w:num w:numId="30">
    <w:abstractNumId w:val="23"/>
  </w:num>
  <w:num w:numId="31">
    <w:abstractNumId w:val="16"/>
  </w:num>
  <w:num w:numId="32">
    <w:abstractNumId w:val="3"/>
  </w:num>
  <w:num w:numId="33">
    <w:abstractNumId w:val="31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istered" w:val="-1"/>
    <w:docVar w:name="Version" w:val="0"/>
  </w:docVars>
  <w:rsids>
    <w:rsidRoot w:val="00780926"/>
    <w:rsid w:val="00004384"/>
    <w:rsid w:val="00014749"/>
    <w:rsid w:val="00016934"/>
    <w:rsid w:val="0002164D"/>
    <w:rsid w:val="0004126E"/>
    <w:rsid w:val="00044BC7"/>
    <w:rsid w:val="000467A4"/>
    <w:rsid w:val="0004747A"/>
    <w:rsid w:val="00054562"/>
    <w:rsid w:val="00056045"/>
    <w:rsid w:val="00061445"/>
    <w:rsid w:val="0006160E"/>
    <w:rsid w:val="00071BB3"/>
    <w:rsid w:val="00075839"/>
    <w:rsid w:val="00077CF6"/>
    <w:rsid w:val="00082784"/>
    <w:rsid w:val="00084764"/>
    <w:rsid w:val="00087D5B"/>
    <w:rsid w:val="00090230"/>
    <w:rsid w:val="0009515C"/>
    <w:rsid w:val="00096CAA"/>
    <w:rsid w:val="000A75BE"/>
    <w:rsid w:val="000A7DF2"/>
    <w:rsid w:val="000B11DA"/>
    <w:rsid w:val="000B13AD"/>
    <w:rsid w:val="000B4BD9"/>
    <w:rsid w:val="000B6759"/>
    <w:rsid w:val="000C0224"/>
    <w:rsid w:val="000C1773"/>
    <w:rsid w:val="000D3B1B"/>
    <w:rsid w:val="000D3BF8"/>
    <w:rsid w:val="000E3D7D"/>
    <w:rsid w:val="000E5BBC"/>
    <w:rsid w:val="000E7685"/>
    <w:rsid w:val="000F0053"/>
    <w:rsid w:val="00101646"/>
    <w:rsid w:val="001049E0"/>
    <w:rsid w:val="00110E61"/>
    <w:rsid w:val="001114AF"/>
    <w:rsid w:val="00115638"/>
    <w:rsid w:val="00115AE9"/>
    <w:rsid w:val="00115F8D"/>
    <w:rsid w:val="001236D2"/>
    <w:rsid w:val="001334A2"/>
    <w:rsid w:val="001406CE"/>
    <w:rsid w:val="00140C6E"/>
    <w:rsid w:val="00141412"/>
    <w:rsid w:val="00143322"/>
    <w:rsid w:val="00150E69"/>
    <w:rsid w:val="0015367B"/>
    <w:rsid w:val="00153F98"/>
    <w:rsid w:val="0015678D"/>
    <w:rsid w:val="001643C1"/>
    <w:rsid w:val="00174BA7"/>
    <w:rsid w:val="00174C94"/>
    <w:rsid w:val="00177A4A"/>
    <w:rsid w:val="00185CB1"/>
    <w:rsid w:val="00187ECC"/>
    <w:rsid w:val="001967D9"/>
    <w:rsid w:val="001A2426"/>
    <w:rsid w:val="001A3218"/>
    <w:rsid w:val="001A4B68"/>
    <w:rsid w:val="001A7645"/>
    <w:rsid w:val="001B08B2"/>
    <w:rsid w:val="001B1D28"/>
    <w:rsid w:val="001B289D"/>
    <w:rsid w:val="001B29C0"/>
    <w:rsid w:val="001B2BFD"/>
    <w:rsid w:val="001B73FD"/>
    <w:rsid w:val="001C463D"/>
    <w:rsid w:val="001C6665"/>
    <w:rsid w:val="001D1B4B"/>
    <w:rsid w:val="001D4230"/>
    <w:rsid w:val="001D52E9"/>
    <w:rsid w:val="001E05EB"/>
    <w:rsid w:val="001E277B"/>
    <w:rsid w:val="001E6DA1"/>
    <w:rsid w:val="001F4E7E"/>
    <w:rsid w:val="002003FB"/>
    <w:rsid w:val="00200581"/>
    <w:rsid w:val="00200BF3"/>
    <w:rsid w:val="00203B07"/>
    <w:rsid w:val="00205F0E"/>
    <w:rsid w:val="00205FC2"/>
    <w:rsid w:val="002064D1"/>
    <w:rsid w:val="002071E1"/>
    <w:rsid w:val="00220A3F"/>
    <w:rsid w:val="002227EB"/>
    <w:rsid w:val="00223662"/>
    <w:rsid w:val="0022527A"/>
    <w:rsid w:val="00237447"/>
    <w:rsid w:val="00237E94"/>
    <w:rsid w:val="00242767"/>
    <w:rsid w:val="00243805"/>
    <w:rsid w:val="00246B63"/>
    <w:rsid w:val="0025422C"/>
    <w:rsid w:val="0025642A"/>
    <w:rsid w:val="0025696C"/>
    <w:rsid w:val="00256F00"/>
    <w:rsid w:val="00264EA4"/>
    <w:rsid w:val="00270B82"/>
    <w:rsid w:val="002721FE"/>
    <w:rsid w:val="00272DDB"/>
    <w:rsid w:val="00281C02"/>
    <w:rsid w:val="00282559"/>
    <w:rsid w:val="00293C4C"/>
    <w:rsid w:val="002A24BE"/>
    <w:rsid w:val="002A40C6"/>
    <w:rsid w:val="002A46DA"/>
    <w:rsid w:val="002B1120"/>
    <w:rsid w:val="002B7838"/>
    <w:rsid w:val="002C004B"/>
    <w:rsid w:val="002C428B"/>
    <w:rsid w:val="002C482A"/>
    <w:rsid w:val="002C5553"/>
    <w:rsid w:val="002D5434"/>
    <w:rsid w:val="002D6EFF"/>
    <w:rsid w:val="002E4CAC"/>
    <w:rsid w:val="002F6056"/>
    <w:rsid w:val="0030201F"/>
    <w:rsid w:val="003021DE"/>
    <w:rsid w:val="00302800"/>
    <w:rsid w:val="00302F2A"/>
    <w:rsid w:val="0030389A"/>
    <w:rsid w:val="003051C1"/>
    <w:rsid w:val="00306120"/>
    <w:rsid w:val="0031186C"/>
    <w:rsid w:val="00312C88"/>
    <w:rsid w:val="00320E10"/>
    <w:rsid w:val="00321419"/>
    <w:rsid w:val="00326483"/>
    <w:rsid w:val="003277A9"/>
    <w:rsid w:val="00332012"/>
    <w:rsid w:val="003323AB"/>
    <w:rsid w:val="00332DC3"/>
    <w:rsid w:val="003356BC"/>
    <w:rsid w:val="00353C87"/>
    <w:rsid w:val="00355F02"/>
    <w:rsid w:val="00360566"/>
    <w:rsid w:val="00366DB7"/>
    <w:rsid w:val="00371DAB"/>
    <w:rsid w:val="00374CAD"/>
    <w:rsid w:val="00377F5C"/>
    <w:rsid w:val="00381B55"/>
    <w:rsid w:val="00382713"/>
    <w:rsid w:val="0039456F"/>
    <w:rsid w:val="003A1C8B"/>
    <w:rsid w:val="003A706F"/>
    <w:rsid w:val="003B0728"/>
    <w:rsid w:val="003B7AF2"/>
    <w:rsid w:val="003C383B"/>
    <w:rsid w:val="003C7DE5"/>
    <w:rsid w:val="003D433A"/>
    <w:rsid w:val="003D6D0A"/>
    <w:rsid w:val="003E5283"/>
    <w:rsid w:val="003E62F0"/>
    <w:rsid w:val="003F2753"/>
    <w:rsid w:val="0041172C"/>
    <w:rsid w:val="00415EDA"/>
    <w:rsid w:val="00420B36"/>
    <w:rsid w:val="004210D4"/>
    <w:rsid w:val="00422854"/>
    <w:rsid w:val="0042285A"/>
    <w:rsid w:val="0042356B"/>
    <w:rsid w:val="004272AC"/>
    <w:rsid w:val="00430F88"/>
    <w:rsid w:val="004310B2"/>
    <w:rsid w:val="00433C3F"/>
    <w:rsid w:val="00435D1B"/>
    <w:rsid w:val="00444984"/>
    <w:rsid w:val="00445CFC"/>
    <w:rsid w:val="0045744E"/>
    <w:rsid w:val="00457BB5"/>
    <w:rsid w:val="004605F8"/>
    <w:rsid w:val="00465514"/>
    <w:rsid w:val="00476652"/>
    <w:rsid w:val="00486C3D"/>
    <w:rsid w:val="0048706C"/>
    <w:rsid w:val="00493D51"/>
    <w:rsid w:val="0049731D"/>
    <w:rsid w:val="004A3003"/>
    <w:rsid w:val="004C0111"/>
    <w:rsid w:val="004D457B"/>
    <w:rsid w:val="00504E83"/>
    <w:rsid w:val="00510CCB"/>
    <w:rsid w:val="0053388A"/>
    <w:rsid w:val="00537894"/>
    <w:rsid w:val="005421B1"/>
    <w:rsid w:val="00543D35"/>
    <w:rsid w:val="005529E6"/>
    <w:rsid w:val="00567010"/>
    <w:rsid w:val="005720E2"/>
    <w:rsid w:val="00575A28"/>
    <w:rsid w:val="00583813"/>
    <w:rsid w:val="005872E0"/>
    <w:rsid w:val="00597F22"/>
    <w:rsid w:val="005B344F"/>
    <w:rsid w:val="005C01F5"/>
    <w:rsid w:val="005C34D8"/>
    <w:rsid w:val="005C4889"/>
    <w:rsid w:val="005D349B"/>
    <w:rsid w:val="005E422C"/>
    <w:rsid w:val="005E4F97"/>
    <w:rsid w:val="005E7C2C"/>
    <w:rsid w:val="005E7D52"/>
    <w:rsid w:val="005F0B78"/>
    <w:rsid w:val="005F1583"/>
    <w:rsid w:val="005F3D78"/>
    <w:rsid w:val="00611823"/>
    <w:rsid w:val="00622DE6"/>
    <w:rsid w:val="00626759"/>
    <w:rsid w:val="006278A1"/>
    <w:rsid w:val="00630130"/>
    <w:rsid w:val="006312E8"/>
    <w:rsid w:val="006333F7"/>
    <w:rsid w:val="006336DF"/>
    <w:rsid w:val="00635C39"/>
    <w:rsid w:val="00650EBD"/>
    <w:rsid w:val="0065161F"/>
    <w:rsid w:val="006547B2"/>
    <w:rsid w:val="00664192"/>
    <w:rsid w:val="00666F25"/>
    <w:rsid w:val="00667F80"/>
    <w:rsid w:val="00671E24"/>
    <w:rsid w:val="00675D3F"/>
    <w:rsid w:val="00675E1C"/>
    <w:rsid w:val="0068205E"/>
    <w:rsid w:val="006846A0"/>
    <w:rsid w:val="00693217"/>
    <w:rsid w:val="00695A74"/>
    <w:rsid w:val="006A0574"/>
    <w:rsid w:val="006A2992"/>
    <w:rsid w:val="006A513D"/>
    <w:rsid w:val="006A5254"/>
    <w:rsid w:val="006A68C6"/>
    <w:rsid w:val="006B0D14"/>
    <w:rsid w:val="006B1053"/>
    <w:rsid w:val="006B2B66"/>
    <w:rsid w:val="006B3B35"/>
    <w:rsid w:val="006B6634"/>
    <w:rsid w:val="006B7E48"/>
    <w:rsid w:val="006C3768"/>
    <w:rsid w:val="006E24E7"/>
    <w:rsid w:val="006E2582"/>
    <w:rsid w:val="006E41C1"/>
    <w:rsid w:val="006E6F0D"/>
    <w:rsid w:val="00712A21"/>
    <w:rsid w:val="0071659B"/>
    <w:rsid w:val="00724E11"/>
    <w:rsid w:val="00726C6F"/>
    <w:rsid w:val="0072705D"/>
    <w:rsid w:val="0073167B"/>
    <w:rsid w:val="007323A2"/>
    <w:rsid w:val="00734189"/>
    <w:rsid w:val="00734C0D"/>
    <w:rsid w:val="007367AB"/>
    <w:rsid w:val="00742590"/>
    <w:rsid w:val="00752191"/>
    <w:rsid w:val="00752FD9"/>
    <w:rsid w:val="007646CA"/>
    <w:rsid w:val="00774BE8"/>
    <w:rsid w:val="00777744"/>
    <w:rsid w:val="00780926"/>
    <w:rsid w:val="007824C5"/>
    <w:rsid w:val="00783152"/>
    <w:rsid w:val="00785AD5"/>
    <w:rsid w:val="00791189"/>
    <w:rsid w:val="00791416"/>
    <w:rsid w:val="00792B8A"/>
    <w:rsid w:val="00797755"/>
    <w:rsid w:val="007A4C2E"/>
    <w:rsid w:val="007A4CC9"/>
    <w:rsid w:val="007A7024"/>
    <w:rsid w:val="007B4CF7"/>
    <w:rsid w:val="007C1D9B"/>
    <w:rsid w:val="007D0D78"/>
    <w:rsid w:val="007D4A04"/>
    <w:rsid w:val="007D7241"/>
    <w:rsid w:val="007E1F8F"/>
    <w:rsid w:val="007E5956"/>
    <w:rsid w:val="007E78DE"/>
    <w:rsid w:val="007F163D"/>
    <w:rsid w:val="007F5B49"/>
    <w:rsid w:val="007F5EF7"/>
    <w:rsid w:val="00803841"/>
    <w:rsid w:val="00830A02"/>
    <w:rsid w:val="00842E85"/>
    <w:rsid w:val="008521DF"/>
    <w:rsid w:val="0085357F"/>
    <w:rsid w:val="00854192"/>
    <w:rsid w:val="00855528"/>
    <w:rsid w:val="0086062C"/>
    <w:rsid w:val="00861A89"/>
    <w:rsid w:val="00862C01"/>
    <w:rsid w:val="00865742"/>
    <w:rsid w:val="00867A8C"/>
    <w:rsid w:val="00870980"/>
    <w:rsid w:val="00873520"/>
    <w:rsid w:val="00875302"/>
    <w:rsid w:val="00882319"/>
    <w:rsid w:val="00884AB9"/>
    <w:rsid w:val="008873CC"/>
    <w:rsid w:val="008900D5"/>
    <w:rsid w:val="008915C8"/>
    <w:rsid w:val="008936AA"/>
    <w:rsid w:val="008A4CB5"/>
    <w:rsid w:val="008B2CFC"/>
    <w:rsid w:val="008B5149"/>
    <w:rsid w:val="008C1B51"/>
    <w:rsid w:val="008C3233"/>
    <w:rsid w:val="008D3544"/>
    <w:rsid w:val="008E0A06"/>
    <w:rsid w:val="008E4CFA"/>
    <w:rsid w:val="008F027C"/>
    <w:rsid w:val="008F0FE9"/>
    <w:rsid w:val="008F4B62"/>
    <w:rsid w:val="008F596C"/>
    <w:rsid w:val="008F6257"/>
    <w:rsid w:val="00901C80"/>
    <w:rsid w:val="009033E0"/>
    <w:rsid w:val="009058FE"/>
    <w:rsid w:val="00910454"/>
    <w:rsid w:val="0091185E"/>
    <w:rsid w:val="00911F75"/>
    <w:rsid w:val="00913F86"/>
    <w:rsid w:val="00926746"/>
    <w:rsid w:val="00933680"/>
    <w:rsid w:val="009339DE"/>
    <w:rsid w:val="0093424C"/>
    <w:rsid w:val="00936613"/>
    <w:rsid w:val="009469CB"/>
    <w:rsid w:val="009517F7"/>
    <w:rsid w:val="0095258D"/>
    <w:rsid w:val="00955C41"/>
    <w:rsid w:val="00960F43"/>
    <w:rsid w:val="00966287"/>
    <w:rsid w:val="00971E50"/>
    <w:rsid w:val="00972A05"/>
    <w:rsid w:val="009818D8"/>
    <w:rsid w:val="0098710D"/>
    <w:rsid w:val="00990742"/>
    <w:rsid w:val="009915F9"/>
    <w:rsid w:val="00993EE2"/>
    <w:rsid w:val="00997765"/>
    <w:rsid w:val="009B02A3"/>
    <w:rsid w:val="009B3201"/>
    <w:rsid w:val="009B423F"/>
    <w:rsid w:val="009B5DBD"/>
    <w:rsid w:val="009B6597"/>
    <w:rsid w:val="009C5E1E"/>
    <w:rsid w:val="009D773C"/>
    <w:rsid w:val="009E1A0A"/>
    <w:rsid w:val="009F009A"/>
    <w:rsid w:val="00A0053E"/>
    <w:rsid w:val="00A02DBB"/>
    <w:rsid w:val="00A03650"/>
    <w:rsid w:val="00A10438"/>
    <w:rsid w:val="00A12D87"/>
    <w:rsid w:val="00A130EB"/>
    <w:rsid w:val="00A14B08"/>
    <w:rsid w:val="00A166DC"/>
    <w:rsid w:val="00A2097F"/>
    <w:rsid w:val="00A2444C"/>
    <w:rsid w:val="00A30DCE"/>
    <w:rsid w:val="00A31A9C"/>
    <w:rsid w:val="00A37C43"/>
    <w:rsid w:val="00A4213A"/>
    <w:rsid w:val="00A43F3E"/>
    <w:rsid w:val="00A52F86"/>
    <w:rsid w:val="00A53B27"/>
    <w:rsid w:val="00A602CB"/>
    <w:rsid w:val="00A73242"/>
    <w:rsid w:val="00A737B8"/>
    <w:rsid w:val="00A75ECC"/>
    <w:rsid w:val="00A80F9E"/>
    <w:rsid w:val="00A824EB"/>
    <w:rsid w:val="00A82BFB"/>
    <w:rsid w:val="00A833E5"/>
    <w:rsid w:val="00A83D4C"/>
    <w:rsid w:val="00A8486F"/>
    <w:rsid w:val="00A85CCE"/>
    <w:rsid w:val="00A932E9"/>
    <w:rsid w:val="00A94B42"/>
    <w:rsid w:val="00A95527"/>
    <w:rsid w:val="00AA5659"/>
    <w:rsid w:val="00AB09C3"/>
    <w:rsid w:val="00AB2CA3"/>
    <w:rsid w:val="00AB7E98"/>
    <w:rsid w:val="00AC3DC3"/>
    <w:rsid w:val="00AC5BE1"/>
    <w:rsid w:val="00AC69D1"/>
    <w:rsid w:val="00AC7CAF"/>
    <w:rsid w:val="00AD3E63"/>
    <w:rsid w:val="00AE1BAE"/>
    <w:rsid w:val="00AE1C24"/>
    <w:rsid w:val="00AE45F7"/>
    <w:rsid w:val="00AE4D65"/>
    <w:rsid w:val="00AF4DCD"/>
    <w:rsid w:val="00AF60A6"/>
    <w:rsid w:val="00B04CE0"/>
    <w:rsid w:val="00B06E24"/>
    <w:rsid w:val="00B07509"/>
    <w:rsid w:val="00B07EB7"/>
    <w:rsid w:val="00B1281C"/>
    <w:rsid w:val="00B13F68"/>
    <w:rsid w:val="00B27B76"/>
    <w:rsid w:val="00B323B9"/>
    <w:rsid w:val="00B36677"/>
    <w:rsid w:val="00B36EA3"/>
    <w:rsid w:val="00B464C1"/>
    <w:rsid w:val="00B50B11"/>
    <w:rsid w:val="00B51C53"/>
    <w:rsid w:val="00B53D02"/>
    <w:rsid w:val="00B54A77"/>
    <w:rsid w:val="00B55E80"/>
    <w:rsid w:val="00B61B6C"/>
    <w:rsid w:val="00B628AB"/>
    <w:rsid w:val="00B721EC"/>
    <w:rsid w:val="00B73CCA"/>
    <w:rsid w:val="00B74283"/>
    <w:rsid w:val="00B75344"/>
    <w:rsid w:val="00B86A5F"/>
    <w:rsid w:val="00B9187E"/>
    <w:rsid w:val="00B95482"/>
    <w:rsid w:val="00B95A19"/>
    <w:rsid w:val="00B97C20"/>
    <w:rsid w:val="00BA1168"/>
    <w:rsid w:val="00BA43B5"/>
    <w:rsid w:val="00BA7192"/>
    <w:rsid w:val="00BA7E37"/>
    <w:rsid w:val="00BC293C"/>
    <w:rsid w:val="00BC47FA"/>
    <w:rsid w:val="00BC6756"/>
    <w:rsid w:val="00BC76B5"/>
    <w:rsid w:val="00BC798A"/>
    <w:rsid w:val="00BD0135"/>
    <w:rsid w:val="00BD1AC2"/>
    <w:rsid w:val="00BE24F8"/>
    <w:rsid w:val="00BE31BA"/>
    <w:rsid w:val="00BE3E86"/>
    <w:rsid w:val="00BE6113"/>
    <w:rsid w:val="00BE6C1C"/>
    <w:rsid w:val="00BE73F1"/>
    <w:rsid w:val="00BE7822"/>
    <w:rsid w:val="00BF0071"/>
    <w:rsid w:val="00BF229F"/>
    <w:rsid w:val="00BF6308"/>
    <w:rsid w:val="00C26F80"/>
    <w:rsid w:val="00C3762E"/>
    <w:rsid w:val="00C40B62"/>
    <w:rsid w:val="00C415FF"/>
    <w:rsid w:val="00C55DBB"/>
    <w:rsid w:val="00C6710E"/>
    <w:rsid w:val="00C723D2"/>
    <w:rsid w:val="00C82AA0"/>
    <w:rsid w:val="00C82B4A"/>
    <w:rsid w:val="00C8543F"/>
    <w:rsid w:val="00C85B40"/>
    <w:rsid w:val="00CA0912"/>
    <w:rsid w:val="00CA1B03"/>
    <w:rsid w:val="00CA34F6"/>
    <w:rsid w:val="00CB25B2"/>
    <w:rsid w:val="00CB317C"/>
    <w:rsid w:val="00CB3824"/>
    <w:rsid w:val="00CB3BA1"/>
    <w:rsid w:val="00CB3C78"/>
    <w:rsid w:val="00CC1B67"/>
    <w:rsid w:val="00CC4738"/>
    <w:rsid w:val="00CC644C"/>
    <w:rsid w:val="00CD175A"/>
    <w:rsid w:val="00CD374C"/>
    <w:rsid w:val="00CE110B"/>
    <w:rsid w:val="00CE24BF"/>
    <w:rsid w:val="00CF0244"/>
    <w:rsid w:val="00CF0342"/>
    <w:rsid w:val="00CF1147"/>
    <w:rsid w:val="00CF76C2"/>
    <w:rsid w:val="00D0040F"/>
    <w:rsid w:val="00D03AC4"/>
    <w:rsid w:val="00D06B2B"/>
    <w:rsid w:val="00D11700"/>
    <w:rsid w:val="00D15C7A"/>
    <w:rsid w:val="00D326E1"/>
    <w:rsid w:val="00D33F2E"/>
    <w:rsid w:val="00D40A1B"/>
    <w:rsid w:val="00D51240"/>
    <w:rsid w:val="00D513D2"/>
    <w:rsid w:val="00D52196"/>
    <w:rsid w:val="00D647A0"/>
    <w:rsid w:val="00D6486B"/>
    <w:rsid w:val="00D67CF2"/>
    <w:rsid w:val="00D714B0"/>
    <w:rsid w:val="00D71CEA"/>
    <w:rsid w:val="00D7238F"/>
    <w:rsid w:val="00D7643F"/>
    <w:rsid w:val="00D83357"/>
    <w:rsid w:val="00D92F55"/>
    <w:rsid w:val="00D96D7D"/>
    <w:rsid w:val="00D96F2E"/>
    <w:rsid w:val="00DA3C1D"/>
    <w:rsid w:val="00DA4090"/>
    <w:rsid w:val="00DA63C9"/>
    <w:rsid w:val="00DB2A92"/>
    <w:rsid w:val="00DC6541"/>
    <w:rsid w:val="00DD0E94"/>
    <w:rsid w:val="00DD3EED"/>
    <w:rsid w:val="00DD452B"/>
    <w:rsid w:val="00DD5555"/>
    <w:rsid w:val="00DD5AF6"/>
    <w:rsid w:val="00DE086F"/>
    <w:rsid w:val="00DE695C"/>
    <w:rsid w:val="00DF413E"/>
    <w:rsid w:val="00DF5C1F"/>
    <w:rsid w:val="00E00271"/>
    <w:rsid w:val="00E004DE"/>
    <w:rsid w:val="00E00E33"/>
    <w:rsid w:val="00E13A3E"/>
    <w:rsid w:val="00E15524"/>
    <w:rsid w:val="00E1698A"/>
    <w:rsid w:val="00E2279A"/>
    <w:rsid w:val="00E23A3A"/>
    <w:rsid w:val="00E26692"/>
    <w:rsid w:val="00E3121F"/>
    <w:rsid w:val="00E34F6C"/>
    <w:rsid w:val="00E41B3F"/>
    <w:rsid w:val="00E44849"/>
    <w:rsid w:val="00E462D5"/>
    <w:rsid w:val="00E53CD7"/>
    <w:rsid w:val="00E54172"/>
    <w:rsid w:val="00E55E66"/>
    <w:rsid w:val="00E5741D"/>
    <w:rsid w:val="00E76723"/>
    <w:rsid w:val="00E76A45"/>
    <w:rsid w:val="00E80A65"/>
    <w:rsid w:val="00E8148A"/>
    <w:rsid w:val="00E83C50"/>
    <w:rsid w:val="00E842C3"/>
    <w:rsid w:val="00E877C8"/>
    <w:rsid w:val="00E9003A"/>
    <w:rsid w:val="00E90A9B"/>
    <w:rsid w:val="00E93671"/>
    <w:rsid w:val="00E938EF"/>
    <w:rsid w:val="00E95BE0"/>
    <w:rsid w:val="00EA3A07"/>
    <w:rsid w:val="00EA405A"/>
    <w:rsid w:val="00EA45D4"/>
    <w:rsid w:val="00EB33AF"/>
    <w:rsid w:val="00EB4811"/>
    <w:rsid w:val="00EC2CE9"/>
    <w:rsid w:val="00EC50B1"/>
    <w:rsid w:val="00EC6954"/>
    <w:rsid w:val="00EC7D96"/>
    <w:rsid w:val="00ED0FB1"/>
    <w:rsid w:val="00EE1637"/>
    <w:rsid w:val="00EE1F4B"/>
    <w:rsid w:val="00EF30A9"/>
    <w:rsid w:val="00EF7678"/>
    <w:rsid w:val="00EF777A"/>
    <w:rsid w:val="00F00D87"/>
    <w:rsid w:val="00F02F60"/>
    <w:rsid w:val="00F06E69"/>
    <w:rsid w:val="00F06F4D"/>
    <w:rsid w:val="00F07529"/>
    <w:rsid w:val="00F07728"/>
    <w:rsid w:val="00F11AE3"/>
    <w:rsid w:val="00F145AE"/>
    <w:rsid w:val="00F1652D"/>
    <w:rsid w:val="00F30177"/>
    <w:rsid w:val="00F32563"/>
    <w:rsid w:val="00F374FA"/>
    <w:rsid w:val="00F44613"/>
    <w:rsid w:val="00F500E3"/>
    <w:rsid w:val="00F50B46"/>
    <w:rsid w:val="00F51F69"/>
    <w:rsid w:val="00F54EF0"/>
    <w:rsid w:val="00F55076"/>
    <w:rsid w:val="00F63DAD"/>
    <w:rsid w:val="00F657AC"/>
    <w:rsid w:val="00F73AE9"/>
    <w:rsid w:val="00F81142"/>
    <w:rsid w:val="00F8384D"/>
    <w:rsid w:val="00F85EAC"/>
    <w:rsid w:val="00FA5718"/>
    <w:rsid w:val="00FA6804"/>
    <w:rsid w:val="00FB11EB"/>
    <w:rsid w:val="00FB533E"/>
    <w:rsid w:val="00FB6907"/>
    <w:rsid w:val="00FC6918"/>
    <w:rsid w:val="00FC6DC7"/>
    <w:rsid w:val="00FD4B86"/>
    <w:rsid w:val="00FD7B3F"/>
    <w:rsid w:val="00FE1133"/>
    <w:rsid w:val="00FF25FE"/>
    <w:rsid w:val="00FF2D4E"/>
    <w:rsid w:val="00FF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7A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D647A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647A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647A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647A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647A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647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647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647A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647A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647A0"/>
  </w:style>
  <w:style w:type="paragraph" w:styleId="Pta">
    <w:name w:val="footer"/>
    <w:basedOn w:val="Normlny"/>
    <w:rsid w:val="00D647A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D647A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647A0"/>
    <w:rPr>
      <w:color w:val="0000FF"/>
      <w:u w:val="single"/>
    </w:rPr>
  </w:style>
  <w:style w:type="paragraph" w:customStyle="1" w:styleId="EMEAEnBodyText">
    <w:name w:val="EMEA En Body Text"/>
    <w:basedOn w:val="Normlny"/>
    <w:rsid w:val="00D647A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647A0"/>
    <w:pPr>
      <w:ind w:left="0" w:firstLine="0"/>
    </w:pPr>
  </w:style>
  <w:style w:type="paragraph" w:styleId="Textbubliny">
    <w:name w:val="Balloon Text"/>
    <w:basedOn w:val="Normlny"/>
    <w:semiHidden/>
    <w:rsid w:val="00D647A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647A0"/>
    <w:rPr>
      <w:color w:val="800080"/>
      <w:u w:val="single"/>
    </w:rPr>
  </w:style>
  <w:style w:type="character" w:styleId="Odkaznakomentr">
    <w:name w:val="annotation reference"/>
    <w:semiHidden/>
    <w:rsid w:val="00D647A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D647A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647A0"/>
    <w:rPr>
      <w:b/>
      <w:bCs/>
    </w:rPr>
  </w:style>
  <w:style w:type="character" w:customStyle="1" w:styleId="HlavikaChar">
    <w:name w:val="Hlavička Char"/>
    <w:link w:val="Hlavika"/>
    <w:uiPriority w:val="99"/>
    <w:rsid w:val="00861A89"/>
    <w:rPr>
      <w:rFonts w:ascii="Helvetica" w:hAnsi="Helvetica"/>
      <w:lang w:val="cs-CZ" w:eastAsia="en-US"/>
    </w:rPr>
  </w:style>
  <w:style w:type="character" w:customStyle="1" w:styleId="st">
    <w:name w:val="st"/>
    <w:rsid w:val="000467A4"/>
  </w:style>
  <w:style w:type="character" w:styleId="Zvraznenie">
    <w:name w:val="Emphasis"/>
    <w:uiPriority w:val="20"/>
    <w:qFormat/>
    <w:rsid w:val="000467A4"/>
    <w:rPr>
      <w:i/>
      <w:iCs/>
    </w:rPr>
  </w:style>
  <w:style w:type="character" w:customStyle="1" w:styleId="hps">
    <w:name w:val="hps"/>
    <w:rsid w:val="00D11700"/>
  </w:style>
  <w:style w:type="character" w:customStyle="1" w:styleId="TextkomentraChar">
    <w:name w:val="Text komentára Char"/>
    <w:link w:val="Textkomentra"/>
    <w:semiHidden/>
    <w:rsid w:val="00854192"/>
  </w:style>
  <w:style w:type="table" w:styleId="Mriekatabuky">
    <w:name w:val="Table Grid"/>
    <w:basedOn w:val="Normlnatabuka"/>
    <w:rsid w:val="00FF2D4E"/>
    <w:pPr>
      <w:spacing w:after="240" w:line="30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n">
    <w:name w:val="atn"/>
    <w:rsid w:val="00F1652D"/>
  </w:style>
  <w:style w:type="paragraph" w:styleId="Bezriadkovania">
    <w:name w:val="No Spacing"/>
    <w:uiPriority w:val="1"/>
    <w:qFormat/>
    <w:rsid w:val="00AB2CA3"/>
    <w:pPr>
      <w:ind w:left="567" w:hanging="567"/>
    </w:pPr>
    <w:rPr>
      <w:sz w:val="22"/>
      <w:szCs w:val="24"/>
    </w:rPr>
  </w:style>
  <w:style w:type="paragraph" w:styleId="Revzia">
    <w:name w:val="Revision"/>
    <w:hidden/>
    <w:uiPriority w:val="99"/>
    <w:semiHidden/>
    <w:rsid w:val="00774BE8"/>
    <w:rPr>
      <w:sz w:val="22"/>
      <w:szCs w:val="24"/>
    </w:rPr>
  </w:style>
  <w:style w:type="paragraph" w:customStyle="1" w:styleId="AHeader1">
    <w:name w:val="AHeader 1"/>
    <w:basedOn w:val="Normlny"/>
    <w:rsid w:val="00AB7E98"/>
    <w:pPr>
      <w:numPr>
        <w:numId w:val="19"/>
      </w:numPr>
      <w:spacing w:after="120"/>
    </w:pPr>
    <w:rPr>
      <w:rFonts w:ascii="Arial" w:hAnsi="Arial" w:cs="Arial"/>
      <w:b/>
      <w:bCs/>
      <w:sz w:val="24"/>
      <w:szCs w:val="20"/>
      <w:lang w:val="en-GB" w:eastAsia="en-US"/>
    </w:rPr>
  </w:style>
  <w:style w:type="paragraph" w:customStyle="1" w:styleId="AHeader2">
    <w:name w:val="AHeader 2"/>
    <w:basedOn w:val="AHeader1"/>
    <w:rsid w:val="00AB7E9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B7E9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B7E9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B7E98"/>
    <w:pPr>
      <w:numPr>
        <w:ilvl w:val="4"/>
      </w:numPr>
      <w:tabs>
        <w:tab w:val="clear" w:pos="1701"/>
        <w:tab w:val="num" w:pos="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0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90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1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09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49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8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85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7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021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8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97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63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4AFE-D7FB-4967-B66A-A0086166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Company>EMEA</Company>
  <LinksUpToDate>false</LinksUpToDate>
  <CharactersWithSpaces>11781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Lenka Kukolíková</dc:creator>
  <cp:keywords/>
  <cp:lastModifiedBy> </cp:lastModifiedBy>
  <cp:revision>2</cp:revision>
  <cp:lastPrinted>2003-05-16T07:55:00Z</cp:lastPrinted>
  <dcterms:created xsi:type="dcterms:W3CDTF">2016-07-14T05:03:00Z</dcterms:created>
  <dcterms:modified xsi:type="dcterms:W3CDTF">2016-07-14T05:03:00Z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