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4F4" w:rsidRPr="00D73A56" w:rsidRDefault="00F134F4" w:rsidP="00FE4006">
      <w:pPr>
        <w:rPr>
          <w:rFonts w:ascii="Times New Roman" w:hAnsi="Times New Roman" w:cs="Times New Roman"/>
          <w:bCs/>
          <w:iCs/>
          <w:sz w:val="18"/>
          <w:szCs w:val="18"/>
          <w:lang w:val="sk-SK"/>
        </w:rPr>
      </w:pPr>
      <w:r>
        <w:rPr>
          <w:rFonts w:ascii="Times New Roman" w:hAnsi="Times New Roman" w:cs="Times New Roman"/>
          <w:bCs/>
          <w:sz w:val="18"/>
          <w:szCs w:val="18"/>
          <w:lang w:val="sk-SK"/>
        </w:rPr>
        <w:t> Schválený text k rozhodnutiu</w:t>
      </w:r>
      <w:r w:rsidRPr="00D73A56">
        <w:rPr>
          <w:rFonts w:ascii="Times New Roman" w:hAnsi="Times New Roman" w:cs="Times New Roman"/>
          <w:bCs/>
          <w:sz w:val="18"/>
          <w:szCs w:val="18"/>
          <w:lang w:val="sk-SK"/>
        </w:rPr>
        <w:t xml:space="preserve"> o zmene, ev. č.: </w:t>
      </w:r>
      <w:r>
        <w:rPr>
          <w:rFonts w:ascii="Times New Roman" w:hAnsi="Times New Roman" w:cs="Times New Roman"/>
          <w:bCs/>
          <w:sz w:val="18"/>
          <w:szCs w:val="18"/>
          <w:lang w:val="sk-SK"/>
        </w:rPr>
        <w:t xml:space="preserve">2015/00002-ZME </w:t>
      </w:r>
    </w:p>
    <w:p w:rsidR="00F134F4" w:rsidRPr="00C475AC" w:rsidRDefault="00F134F4" w:rsidP="00FE4006">
      <w:pPr>
        <w:rPr>
          <w:rFonts w:ascii="Times New Roman" w:hAnsi="Times New Roman" w:cs="Times New Roman"/>
          <w:b/>
          <w:caps/>
          <w:sz w:val="22"/>
          <w:szCs w:val="22"/>
          <w:u w:val="single"/>
          <w:lang w:val="sk-SK"/>
        </w:rPr>
      </w:pPr>
      <w:r>
        <w:rPr>
          <w:rFonts w:ascii="Times New Roman" w:hAnsi="Times New Roman" w:cs="Times New Roman"/>
          <w:sz w:val="18"/>
          <w:szCs w:val="18"/>
        </w:rPr>
        <w:t>Schválený text k rozhodnutiu</w:t>
      </w:r>
      <w:r w:rsidRPr="00FE49CC">
        <w:rPr>
          <w:rFonts w:ascii="Times New Roman" w:hAnsi="Times New Roman" w:cs="Times New Roman"/>
          <w:sz w:val="18"/>
          <w:szCs w:val="18"/>
        </w:rPr>
        <w:t xml:space="preserve"> o</w:t>
      </w:r>
      <w:r w:rsidRPr="00E21A83">
        <w:rPr>
          <w:rFonts w:ascii="Times New Roman" w:hAnsi="Times New Roman" w:cs="Times New Roman"/>
          <w:sz w:val="18"/>
          <w:szCs w:val="18"/>
        </w:rPr>
        <w:t> </w:t>
      </w:r>
      <w:r w:rsidRPr="00FE49CC">
        <w:rPr>
          <w:rFonts w:ascii="Times New Roman" w:hAnsi="Times New Roman" w:cs="Times New Roman"/>
          <w:sz w:val="18"/>
          <w:szCs w:val="18"/>
        </w:rPr>
        <w:t>zmene, ev. č.: 2015/06123-ZME</w:t>
      </w:r>
    </w:p>
    <w:p w:rsidR="00F134F4" w:rsidRPr="00F00DE4" w:rsidRDefault="00F134F4" w:rsidP="00FE4006">
      <w:pPr>
        <w:rPr>
          <w:rFonts w:ascii="Times New Roman" w:hAnsi="Times New Roman" w:cs="Times New Roman"/>
          <w:b/>
          <w:caps/>
          <w:sz w:val="22"/>
          <w:szCs w:val="22"/>
          <w:u w:val="single"/>
          <w:lang w:val="sk-SK"/>
        </w:rPr>
      </w:pPr>
    </w:p>
    <w:p w:rsidR="00F134F4" w:rsidRPr="00F00DE4" w:rsidRDefault="00F134F4" w:rsidP="00FE4006">
      <w:pPr>
        <w:jc w:val="center"/>
        <w:rPr>
          <w:rFonts w:ascii="Times New Roman" w:hAnsi="Times New Roman" w:cs="Times New Roman"/>
          <w:b/>
          <w:caps/>
          <w:sz w:val="22"/>
          <w:szCs w:val="22"/>
          <w:lang w:val="sk-SK"/>
        </w:rPr>
      </w:pPr>
      <w:r w:rsidRPr="00F00DE4">
        <w:rPr>
          <w:rFonts w:ascii="Times New Roman" w:hAnsi="Times New Roman" w:cs="Times New Roman"/>
          <w:b/>
          <w:caps/>
          <w:sz w:val="22"/>
          <w:szCs w:val="22"/>
          <w:lang w:val="sk-SK"/>
        </w:rPr>
        <w:t>SÚHRN CHARAKTERISTICKÝCH VLASTNOSTÍ LIEKU</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b/>
          <w:caps/>
          <w:sz w:val="22"/>
          <w:szCs w:val="22"/>
          <w:lang w:val="sk-SK"/>
        </w:rPr>
      </w:pPr>
      <w:r w:rsidRPr="00F00DE4">
        <w:rPr>
          <w:rFonts w:ascii="Times New Roman" w:hAnsi="Times New Roman" w:cs="Times New Roman"/>
          <w:b/>
          <w:sz w:val="22"/>
          <w:szCs w:val="22"/>
          <w:lang w:val="sk-SK"/>
        </w:rPr>
        <w:t>1.</w:t>
      </w:r>
      <w:r w:rsidRPr="00F00DE4">
        <w:rPr>
          <w:rFonts w:ascii="Times New Roman" w:hAnsi="Times New Roman" w:cs="Times New Roman"/>
          <w:b/>
          <w:sz w:val="22"/>
          <w:szCs w:val="22"/>
          <w:lang w:val="sk-SK"/>
        </w:rPr>
        <w:tab/>
      </w:r>
      <w:r w:rsidRPr="00F00DE4">
        <w:rPr>
          <w:rFonts w:ascii="Times New Roman" w:hAnsi="Times New Roman" w:cs="Times New Roman"/>
          <w:b/>
          <w:caps/>
          <w:sz w:val="22"/>
          <w:szCs w:val="22"/>
          <w:lang w:val="sk-SK"/>
        </w:rPr>
        <w:t>Názov LIEKU</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b/>
          <w:sz w:val="22"/>
          <w:szCs w:val="22"/>
          <w:lang w:val="sk-SK"/>
        </w:rPr>
      </w:pPr>
      <w:r w:rsidRPr="00F00DE4">
        <w:rPr>
          <w:rFonts w:ascii="Times New Roman" w:hAnsi="Times New Roman" w:cs="Times New Roman"/>
          <w:b/>
          <w:sz w:val="22"/>
          <w:szCs w:val="22"/>
          <w:lang w:val="sk-SK"/>
        </w:rPr>
        <w:t>Dysport 500 U</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prášok na injekčný roztok</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b/>
          <w:caps/>
          <w:sz w:val="22"/>
          <w:szCs w:val="22"/>
          <w:lang w:val="sk-SK"/>
        </w:rPr>
      </w:pPr>
      <w:r w:rsidRPr="00F00DE4">
        <w:rPr>
          <w:rFonts w:ascii="Times New Roman" w:hAnsi="Times New Roman" w:cs="Times New Roman"/>
          <w:b/>
          <w:sz w:val="22"/>
          <w:szCs w:val="22"/>
          <w:lang w:val="sk-SK"/>
        </w:rPr>
        <w:t>2.</w:t>
      </w:r>
      <w:r w:rsidRPr="00F00DE4">
        <w:rPr>
          <w:rFonts w:ascii="Times New Roman" w:hAnsi="Times New Roman" w:cs="Times New Roman"/>
          <w:b/>
          <w:sz w:val="22"/>
          <w:szCs w:val="22"/>
          <w:lang w:val="sk-SK"/>
        </w:rPr>
        <w:tab/>
      </w:r>
      <w:r w:rsidRPr="00F00DE4">
        <w:rPr>
          <w:rFonts w:ascii="Times New Roman" w:hAnsi="Times New Roman" w:cs="Times New Roman"/>
          <w:b/>
          <w:caps/>
          <w:sz w:val="22"/>
          <w:szCs w:val="22"/>
          <w:lang w:val="sk-SK"/>
        </w:rPr>
        <w:t xml:space="preserve">KvalitatÍvnE A kvantitatÍvnE ZLOŽENIE </w:t>
      </w:r>
    </w:p>
    <w:p w:rsidR="00F134F4" w:rsidRPr="00F00DE4" w:rsidRDefault="00F134F4" w:rsidP="00FE4006">
      <w:pPr>
        <w:jc w:val="both"/>
        <w:rPr>
          <w:rFonts w:ascii="Times New Roman" w:hAnsi="Times New Roman" w:cs="Times New Roman"/>
          <w:b/>
          <w:caps/>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1 injekčná liekovka obsahuje:</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Botulotoxín typu A – hemaglutinínový komplex</w:t>
      </w:r>
      <w:r w:rsidRPr="00F00DE4" w:rsidDel="00F06E5E">
        <w:rPr>
          <w:rFonts w:ascii="Times New Roman" w:hAnsi="Times New Roman" w:cs="Times New Roman"/>
          <w:sz w:val="22"/>
          <w:szCs w:val="22"/>
          <w:lang w:val="sk-SK"/>
        </w:rPr>
        <w:t xml:space="preserve"> </w:t>
      </w:r>
      <w:r w:rsidRPr="00F00DE4">
        <w:rPr>
          <w:rFonts w:ascii="Times New Roman" w:hAnsi="Times New Roman" w:cs="Times New Roman"/>
          <w:sz w:val="22"/>
          <w:szCs w:val="22"/>
          <w:lang w:val="sk-SK"/>
        </w:rPr>
        <w:t>500 jednotiek (U) suchej substancie.</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*1 U je definovaná ako stredná letálna intraperitoneálna dávka pre myš</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outlineLvl w:val="0"/>
        <w:rPr>
          <w:rFonts w:ascii="Times New Roman" w:hAnsi="Times New Roman" w:cs="Times New Roman"/>
          <w:noProof/>
          <w:sz w:val="22"/>
          <w:szCs w:val="22"/>
          <w:lang w:val="sk-SK"/>
        </w:rPr>
      </w:pPr>
      <w:r w:rsidRPr="00F00DE4">
        <w:rPr>
          <w:rFonts w:ascii="Times New Roman" w:hAnsi="Times New Roman" w:cs="Times New Roman"/>
          <w:noProof/>
          <w:sz w:val="22"/>
          <w:szCs w:val="22"/>
          <w:lang w:val="sk-SK"/>
        </w:rPr>
        <w:t>Úplný zoznam pomocných látok, pozri časť 6.1.</w:t>
      </w:r>
    </w:p>
    <w:p w:rsidR="00F134F4" w:rsidRPr="00F00DE4" w:rsidRDefault="00F134F4" w:rsidP="00FE4006">
      <w:pPr>
        <w:jc w:val="both"/>
        <w:rPr>
          <w:rFonts w:ascii="Times New Roman" w:hAnsi="Times New Roman" w:cs="Times New Roman"/>
          <w:b/>
          <w:sz w:val="22"/>
          <w:szCs w:val="22"/>
          <w:lang w:val="sk-SK"/>
        </w:rPr>
      </w:pPr>
    </w:p>
    <w:p w:rsidR="00F134F4" w:rsidRPr="00F00DE4" w:rsidRDefault="00F134F4" w:rsidP="00FE4006">
      <w:pPr>
        <w:jc w:val="both"/>
        <w:rPr>
          <w:rFonts w:ascii="Times New Roman" w:hAnsi="Times New Roman" w:cs="Times New Roman"/>
          <w:b/>
          <w:sz w:val="22"/>
          <w:szCs w:val="22"/>
          <w:lang w:val="sk-SK"/>
        </w:rPr>
      </w:pPr>
    </w:p>
    <w:p w:rsidR="00F134F4" w:rsidRPr="00F00DE4" w:rsidRDefault="00F134F4" w:rsidP="00FE4006">
      <w:pPr>
        <w:jc w:val="both"/>
        <w:rPr>
          <w:rFonts w:ascii="Times New Roman" w:hAnsi="Times New Roman" w:cs="Times New Roman"/>
          <w:b/>
          <w:sz w:val="22"/>
          <w:szCs w:val="22"/>
          <w:lang w:val="sk-SK"/>
        </w:rPr>
      </w:pPr>
      <w:r w:rsidRPr="00F00DE4">
        <w:rPr>
          <w:rFonts w:ascii="Times New Roman" w:hAnsi="Times New Roman" w:cs="Times New Roman"/>
          <w:b/>
          <w:sz w:val="22"/>
          <w:szCs w:val="22"/>
          <w:lang w:val="sk-SK"/>
        </w:rPr>
        <w:t>3.</w:t>
      </w:r>
      <w:r w:rsidRPr="00F00DE4">
        <w:rPr>
          <w:rFonts w:ascii="Times New Roman" w:hAnsi="Times New Roman" w:cs="Times New Roman"/>
          <w:b/>
          <w:sz w:val="22"/>
          <w:szCs w:val="22"/>
          <w:lang w:val="sk-SK"/>
        </w:rPr>
        <w:tab/>
        <w:t>LIEKOVÁ FORMA</w:t>
      </w:r>
    </w:p>
    <w:p w:rsidR="00F134F4" w:rsidRPr="00F00DE4" w:rsidRDefault="00F134F4" w:rsidP="00FE4006">
      <w:pPr>
        <w:jc w:val="both"/>
        <w:rPr>
          <w:rFonts w:ascii="Times New Roman" w:hAnsi="Times New Roman" w:cs="Times New Roman"/>
          <w:b/>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Prášok na injekčný roztok.</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Biely sterilný prášok vo forme pelet</w:t>
      </w:r>
      <w:r>
        <w:rPr>
          <w:rFonts w:ascii="Times New Roman" w:hAnsi="Times New Roman" w:cs="Times New Roman"/>
          <w:sz w:val="22"/>
          <w:szCs w:val="22"/>
          <w:lang w:val="sk-SK"/>
        </w:rPr>
        <w:t>u</w:t>
      </w:r>
      <w:r w:rsidRPr="00F00DE4">
        <w:rPr>
          <w:rFonts w:ascii="Times New Roman" w:hAnsi="Times New Roman" w:cs="Times New Roman"/>
          <w:sz w:val="22"/>
          <w:szCs w:val="22"/>
          <w:lang w:val="sk-SK"/>
        </w:rPr>
        <w:t>.</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4.</w:t>
      </w:r>
      <w:r w:rsidRPr="00F00DE4">
        <w:rPr>
          <w:rFonts w:ascii="Times New Roman" w:hAnsi="Times New Roman" w:cs="Times New Roman"/>
          <w:b/>
          <w:sz w:val="22"/>
          <w:szCs w:val="22"/>
          <w:lang w:val="sk-SK"/>
        </w:rPr>
        <w:tab/>
        <w:t>KLINICKÉ ÚDAJE</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4.1</w:t>
      </w:r>
      <w:r w:rsidRPr="00F00DE4">
        <w:rPr>
          <w:rFonts w:ascii="Times New Roman" w:hAnsi="Times New Roman" w:cs="Times New Roman"/>
          <w:b/>
          <w:sz w:val="22"/>
          <w:szCs w:val="22"/>
          <w:lang w:val="sk-SK"/>
        </w:rPr>
        <w:tab/>
        <w:t>Terapeutické indikácie</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Dysport 500 U je indikovaný na:</w:t>
      </w:r>
    </w:p>
    <w:p w:rsidR="00F134F4" w:rsidRPr="00F00DE4" w:rsidRDefault="00F134F4" w:rsidP="00C55A16">
      <w:pPr>
        <w:numPr>
          <w:ilvl w:val="0"/>
          <w:numId w:val="5"/>
          <w:numberingChange w:id="0" w:author="Unknown" w:date="2016-07-20T15:02:00Z" w:original=""/>
        </w:num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symptomatickú liečbu fokálnej spasticity horných končatín u dospelých,</w:t>
      </w:r>
    </w:p>
    <w:p w:rsidR="00F134F4" w:rsidRPr="00F00DE4" w:rsidRDefault="00F134F4" w:rsidP="00486345">
      <w:pPr>
        <w:numPr>
          <w:ilvl w:val="0"/>
          <w:numId w:val="5"/>
          <w:numberingChange w:id="1" w:author="Unknown" w:date="2016-07-20T15:02:00Z" w:original=""/>
        </w:num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dynamická deformita nohy v zmysle pes ekvinus na podklade spasticity u ambulantných pacientoch s detskou mozgovou obrnou (DMO) od 2 rokov,</w:t>
      </w:r>
    </w:p>
    <w:p w:rsidR="00F134F4" w:rsidRPr="00486345" w:rsidRDefault="00F134F4" w:rsidP="00486345">
      <w:pPr>
        <w:numPr>
          <w:ilvl w:val="0"/>
          <w:numId w:val="5"/>
          <w:numberingChange w:id="2" w:author="Unknown" w:date="2016-07-20T15:02:00Z" w:original=""/>
        </w:numPr>
        <w:jc w:val="both"/>
        <w:rPr>
          <w:rFonts w:ascii="Times New Roman" w:hAnsi="Times New Roman" w:cs="Times New Roman"/>
          <w:sz w:val="22"/>
          <w:szCs w:val="22"/>
          <w:lang w:val="sk-SK"/>
        </w:rPr>
      </w:pPr>
      <w:r w:rsidRPr="00486345">
        <w:rPr>
          <w:rFonts w:ascii="Times New Roman" w:hAnsi="Times New Roman" w:cs="Times New Roman"/>
          <w:sz w:val="22"/>
          <w:szCs w:val="22"/>
          <w:lang w:val="sk-SK"/>
        </w:rPr>
        <w:t>spastickú torticollis dospelých,</w:t>
      </w:r>
    </w:p>
    <w:p w:rsidR="00F134F4" w:rsidRPr="00F00DE4" w:rsidRDefault="00F134F4" w:rsidP="00C55A16">
      <w:pPr>
        <w:numPr>
          <w:ilvl w:val="0"/>
          <w:numId w:val="5"/>
          <w:numberingChange w:id="3" w:author="Unknown" w:date="2016-07-20T15:02:00Z" w:original=""/>
        </w:num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blefarospazmus dospelých,</w:t>
      </w:r>
    </w:p>
    <w:p w:rsidR="00F134F4" w:rsidRPr="00F00DE4" w:rsidRDefault="00F134F4" w:rsidP="00C55A16">
      <w:pPr>
        <w:numPr>
          <w:ilvl w:val="0"/>
          <w:numId w:val="5"/>
          <w:numberingChange w:id="4" w:author="Unknown" w:date="2016-07-20T15:02:00Z" w:original=""/>
        </w:num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hemifaciálny spazmus dospelých,</w:t>
      </w:r>
    </w:p>
    <w:p w:rsidR="00F134F4" w:rsidRPr="00F00DE4" w:rsidRDefault="00F134F4" w:rsidP="00C55A16">
      <w:pPr>
        <w:numPr>
          <w:ilvl w:val="0"/>
          <w:numId w:val="5"/>
          <w:numberingChange w:id="5" w:author="Unknown" w:date="2016-07-20T15:02:00Z" w:original=""/>
        </w:numPr>
        <w:jc w:val="both"/>
        <w:rPr>
          <w:rFonts w:ascii="Times New Roman" w:hAnsi="Times New Roman" w:cs="Times New Roman"/>
          <w:b/>
          <w:bCs/>
          <w:sz w:val="22"/>
          <w:szCs w:val="22"/>
          <w:lang w:val="sk-SK"/>
        </w:rPr>
      </w:pPr>
      <w:r w:rsidRPr="00F00DE4">
        <w:rPr>
          <w:rFonts w:ascii="Times New Roman" w:hAnsi="Times New Roman" w:cs="Times New Roman"/>
          <w:bCs/>
          <w:sz w:val="22"/>
          <w:szCs w:val="22"/>
          <w:lang w:val="sk-SK"/>
        </w:rPr>
        <w:t>hyperfunkčné línie na tvári a hyperhidróza.</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4.2</w:t>
      </w:r>
      <w:r w:rsidRPr="00F00DE4">
        <w:rPr>
          <w:rFonts w:ascii="Times New Roman" w:hAnsi="Times New Roman" w:cs="Times New Roman"/>
          <w:b/>
          <w:sz w:val="22"/>
          <w:szCs w:val="22"/>
          <w:lang w:val="sk-SK"/>
        </w:rPr>
        <w:tab/>
        <w:t>Dávkovanie a spôsob podávania</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pStyle w:val="BodyText"/>
        <w:rPr>
          <w:rFonts w:ascii="Times New Roman" w:hAnsi="Times New Roman" w:cs="Times New Roman"/>
          <w:sz w:val="22"/>
          <w:szCs w:val="22"/>
          <w:lang w:val="sk-SK"/>
        </w:rPr>
      </w:pPr>
      <w:r w:rsidRPr="00F00DE4">
        <w:rPr>
          <w:rFonts w:ascii="Times New Roman" w:hAnsi="Times New Roman" w:cs="Times New Roman"/>
          <w:sz w:val="22"/>
          <w:szCs w:val="22"/>
          <w:lang w:val="sk-SK"/>
        </w:rPr>
        <w:t>Jednotky lieku sú špecifické pre liek Dysport 500 U a nie sú zameniteľné s iným liekom obsahujúcim botulínový toxín.</w:t>
      </w:r>
    </w:p>
    <w:p w:rsidR="00F134F4" w:rsidRPr="00F00DE4" w:rsidRDefault="00F134F4" w:rsidP="00FE4006">
      <w:pPr>
        <w:pStyle w:val="BodyText"/>
        <w:rPr>
          <w:rFonts w:ascii="Times New Roman" w:hAnsi="Times New Roman" w:cs="Times New Roman"/>
          <w:sz w:val="22"/>
          <w:szCs w:val="22"/>
          <w:lang w:val="sk-SK"/>
        </w:rPr>
      </w:pPr>
    </w:p>
    <w:p w:rsidR="00F134F4" w:rsidRPr="00F00DE4" w:rsidRDefault="00F134F4" w:rsidP="00FE4006">
      <w:pPr>
        <w:pStyle w:val="Body"/>
        <w:rPr>
          <w:sz w:val="22"/>
          <w:szCs w:val="22"/>
          <w:lang w:val="sk-SK"/>
        </w:rPr>
      </w:pPr>
      <w:r w:rsidRPr="00F00DE4">
        <w:rPr>
          <w:sz w:val="22"/>
          <w:szCs w:val="22"/>
          <w:lang w:val="sk-SK"/>
        </w:rPr>
        <w:t xml:space="preserve">Dysport 500 U majú podávať len školení lekári. Pred prepichnutím septa sa musí exponované miesto podania hlavnej dávky vyčistiť alkoholom. Odporúčajú sa ihly veľkosti 23 alebo </w:t>
      </w:r>
      <w:smartTag w:uri="urn:schemas-microsoft-com:office:smarttags" w:element="metricconverter">
        <w:smartTagPr>
          <w:attr w:name="ProductID" w:val="25 G"/>
        </w:smartTagPr>
        <w:r w:rsidRPr="00F00DE4">
          <w:rPr>
            <w:sz w:val="22"/>
            <w:szCs w:val="22"/>
            <w:lang w:val="sk-SK"/>
          </w:rPr>
          <w:t>25 G</w:t>
        </w:r>
      </w:smartTag>
      <w:r w:rsidRPr="00F00DE4">
        <w:rPr>
          <w:sz w:val="22"/>
          <w:szCs w:val="22"/>
          <w:lang w:val="sk-SK"/>
        </w:rPr>
        <w:t xml:space="preserve"> /gauge/.</w:t>
      </w:r>
    </w:p>
    <w:p w:rsidR="00F134F4" w:rsidRPr="00F00DE4" w:rsidRDefault="00F134F4" w:rsidP="00FE4006">
      <w:pPr>
        <w:pStyle w:val="Body"/>
        <w:rPr>
          <w:sz w:val="22"/>
          <w:szCs w:val="22"/>
          <w:lang w:val="sk-SK"/>
        </w:rPr>
      </w:pPr>
    </w:p>
    <w:p w:rsidR="00F134F4" w:rsidRPr="00F04D54" w:rsidRDefault="00F134F4" w:rsidP="000528D5">
      <w:pPr>
        <w:pStyle w:val="Default"/>
        <w:rPr>
          <w:color w:val="0000CC"/>
          <w:sz w:val="22"/>
          <w:szCs w:val="22"/>
          <w:lang w:val="sk-SK"/>
        </w:rPr>
      </w:pPr>
      <w:r w:rsidRPr="00F04D54">
        <w:rPr>
          <w:color w:val="0000CC"/>
          <w:sz w:val="22"/>
          <w:szCs w:val="22"/>
          <w:lang w:val="sk-SK"/>
        </w:rPr>
        <w:t>Návody na riedenie injekčných liekoviek sú špecifické  pre každú jednotlivú 300 U a 500 U injekčnú liekovku. Objemy uvedené v tabuľke riedenia nižšie</w:t>
      </w:r>
      <w:r>
        <w:rPr>
          <w:color w:val="0000CC"/>
          <w:sz w:val="22"/>
          <w:szCs w:val="22"/>
          <w:lang w:val="sk-SK"/>
        </w:rPr>
        <w:t xml:space="preserve"> </w:t>
      </w:r>
      <w:r w:rsidRPr="00F04D54">
        <w:rPr>
          <w:color w:val="0000CC"/>
          <w:sz w:val="22"/>
          <w:szCs w:val="22"/>
          <w:lang w:val="sk-SK"/>
        </w:rPr>
        <w:t>poskytujú koncentrácie špecifické pre použitie pre jednotlivé indikácie.</w:t>
      </w:r>
    </w:p>
    <w:p w:rsidR="00F134F4" w:rsidRPr="00F04D54" w:rsidRDefault="00F134F4" w:rsidP="000528D5">
      <w:pPr>
        <w:pStyle w:val="Default"/>
        <w:rPr>
          <w:sz w:val="22"/>
          <w:szCs w:val="22"/>
          <w:lang w:val="sk-SK"/>
        </w:rPr>
      </w:pPr>
    </w:p>
    <w:tbl>
      <w:tblPr>
        <w:tblW w:w="6008" w:type="dxa"/>
        <w:jc w:val="center"/>
        <w:tblLook w:val="0000"/>
      </w:tblPr>
      <w:tblGrid>
        <w:gridCol w:w="1958"/>
        <w:gridCol w:w="1890"/>
        <w:gridCol w:w="2160"/>
      </w:tblGrid>
      <w:tr w:rsidR="00F134F4" w:rsidRPr="00D73A56" w:rsidTr="000528D5">
        <w:trPr>
          <w:trHeight w:val="591"/>
          <w:jc w:val="center"/>
        </w:trPr>
        <w:tc>
          <w:tcPr>
            <w:tcW w:w="1958" w:type="dxa"/>
            <w:tcBorders>
              <w:top w:val="single" w:sz="2" w:space="0" w:color="000000"/>
              <w:left w:val="single" w:sz="2" w:space="0" w:color="000000"/>
              <w:right w:val="single" w:sz="2" w:space="0" w:color="000000"/>
            </w:tcBorders>
            <w:vAlign w:val="center"/>
          </w:tcPr>
          <w:p w:rsidR="00F134F4" w:rsidRPr="00F04D54" w:rsidRDefault="00F134F4" w:rsidP="000528D5">
            <w:pPr>
              <w:pStyle w:val="Default"/>
              <w:rPr>
                <w:sz w:val="22"/>
                <w:szCs w:val="22"/>
                <w:lang w:val="sk-SK"/>
              </w:rPr>
            </w:pPr>
            <w:r w:rsidRPr="00F04D54">
              <w:rPr>
                <w:sz w:val="22"/>
                <w:szCs w:val="22"/>
                <w:lang w:val="sk-SK"/>
              </w:rPr>
              <w:t>Výsledná dávka</w:t>
            </w:r>
          </w:p>
          <w:p w:rsidR="00F134F4" w:rsidRPr="00F04D54" w:rsidRDefault="00F134F4" w:rsidP="000528D5">
            <w:pPr>
              <w:pStyle w:val="Default"/>
              <w:rPr>
                <w:sz w:val="22"/>
                <w:szCs w:val="22"/>
                <w:lang w:val="sk-SK"/>
              </w:rPr>
            </w:pPr>
            <w:r w:rsidRPr="00F04D54">
              <w:rPr>
                <w:sz w:val="22"/>
                <w:szCs w:val="22"/>
                <w:lang w:val="sk-SK"/>
              </w:rPr>
              <w:t xml:space="preserve">   Units/ml</w:t>
            </w:r>
          </w:p>
        </w:tc>
        <w:tc>
          <w:tcPr>
            <w:tcW w:w="1890" w:type="dxa"/>
            <w:tcBorders>
              <w:top w:val="single" w:sz="2" w:space="0" w:color="000000"/>
              <w:left w:val="single" w:sz="2" w:space="0" w:color="000000"/>
              <w:right w:val="single" w:sz="2" w:space="0" w:color="000000"/>
            </w:tcBorders>
            <w:vAlign w:val="center"/>
          </w:tcPr>
          <w:p w:rsidR="00F134F4" w:rsidRPr="00F04D54" w:rsidRDefault="00F134F4" w:rsidP="000528D5">
            <w:pPr>
              <w:pStyle w:val="Default"/>
              <w:rPr>
                <w:sz w:val="22"/>
                <w:szCs w:val="22"/>
                <w:lang w:val="sk-SK"/>
              </w:rPr>
            </w:pPr>
            <w:r w:rsidRPr="00F04D54">
              <w:rPr>
                <w:sz w:val="22"/>
                <w:szCs w:val="22"/>
                <w:lang w:val="sk-SK"/>
              </w:rPr>
              <w:t>Množstvo rozpúšťadla* pre injekčnú liekovku s 500 jednotkami</w:t>
            </w:r>
          </w:p>
        </w:tc>
        <w:tc>
          <w:tcPr>
            <w:tcW w:w="2160" w:type="dxa"/>
            <w:tcBorders>
              <w:top w:val="single" w:sz="2" w:space="0" w:color="000000"/>
              <w:left w:val="single" w:sz="2" w:space="0" w:color="000000"/>
              <w:right w:val="single" w:sz="2" w:space="0" w:color="000000"/>
            </w:tcBorders>
            <w:vAlign w:val="center"/>
          </w:tcPr>
          <w:p w:rsidR="00F134F4" w:rsidRPr="00F04D54" w:rsidRDefault="00F134F4" w:rsidP="000528D5">
            <w:pPr>
              <w:pStyle w:val="Default"/>
              <w:rPr>
                <w:sz w:val="22"/>
                <w:szCs w:val="22"/>
                <w:lang w:val="sk-SK"/>
              </w:rPr>
            </w:pPr>
            <w:r w:rsidRPr="00F04D54">
              <w:rPr>
                <w:sz w:val="22"/>
                <w:szCs w:val="22"/>
                <w:lang w:val="sk-SK"/>
              </w:rPr>
              <w:t xml:space="preserve">Množstvo rozpúšťadla* pre injekčnú liekovku s 300 jednotkami </w:t>
            </w:r>
          </w:p>
        </w:tc>
      </w:tr>
      <w:tr w:rsidR="00F134F4" w:rsidRPr="00D73A56" w:rsidTr="000528D5">
        <w:trPr>
          <w:trHeight w:val="270"/>
          <w:jc w:val="center"/>
        </w:trPr>
        <w:tc>
          <w:tcPr>
            <w:tcW w:w="1958" w:type="dxa"/>
            <w:tcBorders>
              <w:top w:val="single" w:sz="2" w:space="0" w:color="000000"/>
              <w:left w:val="single" w:sz="2" w:space="0" w:color="000000"/>
              <w:right w:val="single" w:sz="2" w:space="0" w:color="000000"/>
            </w:tcBorders>
            <w:vAlign w:val="center"/>
          </w:tcPr>
          <w:p w:rsidR="00F134F4" w:rsidRPr="00F04D54" w:rsidRDefault="00F134F4" w:rsidP="000528D5">
            <w:pPr>
              <w:pStyle w:val="Default"/>
              <w:rPr>
                <w:sz w:val="22"/>
                <w:szCs w:val="22"/>
                <w:lang w:val="sk-SK"/>
              </w:rPr>
            </w:pPr>
            <w:r w:rsidRPr="00F04D54">
              <w:rPr>
                <w:sz w:val="22"/>
                <w:szCs w:val="22"/>
                <w:lang w:val="sk-SK"/>
              </w:rPr>
              <w:t>500 Units</w:t>
            </w:r>
            <w:r>
              <w:rPr>
                <w:sz w:val="22"/>
                <w:szCs w:val="22"/>
                <w:lang w:val="sk-SK"/>
              </w:rPr>
              <w:t>/ml</w:t>
            </w:r>
          </w:p>
        </w:tc>
        <w:tc>
          <w:tcPr>
            <w:tcW w:w="1890" w:type="dxa"/>
            <w:tcBorders>
              <w:top w:val="single" w:sz="2" w:space="0" w:color="000000"/>
              <w:left w:val="single" w:sz="2" w:space="0" w:color="000000"/>
              <w:right w:val="single" w:sz="2" w:space="0" w:color="000000"/>
            </w:tcBorders>
            <w:vAlign w:val="center"/>
          </w:tcPr>
          <w:p w:rsidR="00F134F4" w:rsidRPr="00F04D54" w:rsidRDefault="00F134F4" w:rsidP="000528D5">
            <w:pPr>
              <w:pStyle w:val="Default"/>
              <w:rPr>
                <w:sz w:val="22"/>
                <w:szCs w:val="22"/>
                <w:lang w:val="sk-SK"/>
              </w:rPr>
            </w:pPr>
            <w:r w:rsidRPr="00F04D54">
              <w:rPr>
                <w:sz w:val="22"/>
                <w:szCs w:val="22"/>
                <w:lang w:val="sk-SK"/>
              </w:rPr>
              <w:t>1 m</w:t>
            </w:r>
            <w:r>
              <w:rPr>
                <w:sz w:val="22"/>
                <w:szCs w:val="22"/>
                <w:lang w:val="sk-SK"/>
              </w:rPr>
              <w:t>l</w:t>
            </w:r>
          </w:p>
        </w:tc>
        <w:tc>
          <w:tcPr>
            <w:tcW w:w="2160" w:type="dxa"/>
            <w:tcBorders>
              <w:top w:val="single" w:sz="2" w:space="0" w:color="000000"/>
              <w:left w:val="single" w:sz="2" w:space="0" w:color="000000"/>
              <w:right w:val="single" w:sz="2" w:space="0" w:color="000000"/>
            </w:tcBorders>
            <w:vAlign w:val="center"/>
          </w:tcPr>
          <w:p w:rsidR="00F134F4" w:rsidRPr="00F04D54" w:rsidRDefault="00F134F4" w:rsidP="000528D5">
            <w:pPr>
              <w:pStyle w:val="Default"/>
              <w:rPr>
                <w:sz w:val="22"/>
                <w:szCs w:val="22"/>
                <w:lang w:val="sk-SK"/>
              </w:rPr>
            </w:pPr>
            <w:r w:rsidRPr="00F04D54">
              <w:rPr>
                <w:sz w:val="22"/>
                <w:szCs w:val="22"/>
                <w:lang w:val="sk-SK"/>
              </w:rPr>
              <w:t>0.6 m</w:t>
            </w:r>
            <w:r>
              <w:rPr>
                <w:sz w:val="22"/>
                <w:szCs w:val="22"/>
                <w:lang w:val="sk-SK"/>
              </w:rPr>
              <w:t>l</w:t>
            </w:r>
          </w:p>
        </w:tc>
      </w:tr>
      <w:tr w:rsidR="00F134F4" w:rsidRPr="00D73A56" w:rsidTr="000528D5">
        <w:trPr>
          <w:trHeight w:val="275"/>
          <w:jc w:val="center"/>
        </w:trPr>
        <w:tc>
          <w:tcPr>
            <w:tcW w:w="1958" w:type="dxa"/>
            <w:tcBorders>
              <w:left w:val="single" w:sz="2" w:space="0" w:color="000000"/>
              <w:bottom w:val="nil"/>
              <w:right w:val="single" w:sz="2" w:space="0" w:color="000000"/>
            </w:tcBorders>
            <w:vAlign w:val="center"/>
          </w:tcPr>
          <w:p w:rsidR="00F134F4" w:rsidRPr="00F04D54" w:rsidRDefault="00F134F4" w:rsidP="000528D5">
            <w:pPr>
              <w:pStyle w:val="Default"/>
              <w:rPr>
                <w:sz w:val="22"/>
                <w:szCs w:val="22"/>
                <w:lang w:val="sk-SK"/>
              </w:rPr>
            </w:pPr>
            <w:r w:rsidRPr="00F04D54">
              <w:rPr>
                <w:sz w:val="22"/>
                <w:szCs w:val="22"/>
                <w:lang w:val="sk-SK"/>
              </w:rPr>
              <w:t>200 Units</w:t>
            </w:r>
            <w:r>
              <w:rPr>
                <w:sz w:val="22"/>
                <w:szCs w:val="22"/>
                <w:lang w:val="sk-SK"/>
              </w:rPr>
              <w:t>/ml</w:t>
            </w:r>
          </w:p>
        </w:tc>
        <w:tc>
          <w:tcPr>
            <w:tcW w:w="1890" w:type="dxa"/>
            <w:tcBorders>
              <w:left w:val="single" w:sz="2" w:space="0" w:color="000000"/>
              <w:bottom w:val="nil"/>
              <w:right w:val="single" w:sz="2" w:space="0" w:color="000000"/>
            </w:tcBorders>
            <w:vAlign w:val="center"/>
          </w:tcPr>
          <w:p w:rsidR="00F134F4" w:rsidRPr="00F04D54" w:rsidRDefault="00F134F4" w:rsidP="000528D5">
            <w:pPr>
              <w:pStyle w:val="Default"/>
              <w:rPr>
                <w:sz w:val="22"/>
                <w:szCs w:val="22"/>
                <w:lang w:val="sk-SK"/>
              </w:rPr>
            </w:pPr>
            <w:r w:rsidRPr="00F04D54">
              <w:rPr>
                <w:sz w:val="22"/>
                <w:szCs w:val="22"/>
                <w:lang w:val="sk-SK"/>
              </w:rPr>
              <w:t>2.5 m</w:t>
            </w:r>
            <w:r>
              <w:rPr>
                <w:sz w:val="22"/>
                <w:szCs w:val="22"/>
                <w:lang w:val="sk-SK"/>
              </w:rPr>
              <w:t>l</w:t>
            </w:r>
          </w:p>
        </w:tc>
        <w:tc>
          <w:tcPr>
            <w:tcW w:w="2160" w:type="dxa"/>
            <w:tcBorders>
              <w:left w:val="single" w:sz="2" w:space="0" w:color="000000"/>
              <w:bottom w:val="nil"/>
              <w:right w:val="single" w:sz="2" w:space="0" w:color="000000"/>
            </w:tcBorders>
            <w:vAlign w:val="center"/>
          </w:tcPr>
          <w:p w:rsidR="00F134F4" w:rsidRPr="00F04D54" w:rsidRDefault="00F134F4" w:rsidP="000528D5">
            <w:pPr>
              <w:pStyle w:val="Default"/>
              <w:rPr>
                <w:sz w:val="22"/>
                <w:szCs w:val="22"/>
                <w:lang w:val="sk-SK"/>
              </w:rPr>
            </w:pPr>
            <w:r w:rsidRPr="00F04D54">
              <w:rPr>
                <w:sz w:val="22"/>
                <w:szCs w:val="22"/>
                <w:lang w:val="sk-SK"/>
              </w:rPr>
              <w:t>1.5 m</w:t>
            </w:r>
            <w:r>
              <w:rPr>
                <w:sz w:val="22"/>
                <w:szCs w:val="22"/>
                <w:lang w:val="sk-SK"/>
              </w:rPr>
              <w:t>l</w:t>
            </w:r>
          </w:p>
        </w:tc>
      </w:tr>
      <w:tr w:rsidR="00F134F4" w:rsidRPr="00D73A56" w:rsidTr="000528D5">
        <w:trPr>
          <w:trHeight w:val="278"/>
          <w:jc w:val="center"/>
        </w:trPr>
        <w:tc>
          <w:tcPr>
            <w:tcW w:w="1958" w:type="dxa"/>
            <w:tcBorders>
              <w:top w:val="nil"/>
              <w:left w:val="single" w:sz="2" w:space="0" w:color="000000"/>
              <w:bottom w:val="single" w:sz="4" w:space="0" w:color="auto"/>
              <w:right w:val="single" w:sz="2" w:space="0" w:color="000000"/>
            </w:tcBorders>
            <w:vAlign w:val="center"/>
          </w:tcPr>
          <w:p w:rsidR="00F134F4" w:rsidRPr="00F04D54" w:rsidRDefault="00F134F4" w:rsidP="000528D5">
            <w:pPr>
              <w:pStyle w:val="Default"/>
              <w:rPr>
                <w:sz w:val="22"/>
                <w:szCs w:val="22"/>
                <w:lang w:val="sk-SK"/>
              </w:rPr>
            </w:pPr>
            <w:r w:rsidRPr="00F04D54">
              <w:rPr>
                <w:sz w:val="22"/>
                <w:szCs w:val="22"/>
                <w:lang w:val="sk-SK"/>
              </w:rPr>
              <w:t>100 Units</w:t>
            </w:r>
            <w:r>
              <w:rPr>
                <w:sz w:val="22"/>
                <w:szCs w:val="22"/>
                <w:lang w:val="sk-SK"/>
              </w:rPr>
              <w:t>/ml</w:t>
            </w:r>
          </w:p>
        </w:tc>
        <w:tc>
          <w:tcPr>
            <w:tcW w:w="1890" w:type="dxa"/>
            <w:tcBorders>
              <w:top w:val="nil"/>
              <w:left w:val="single" w:sz="2" w:space="0" w:color="000000"/>
              <w:bottom w:val="single" w:sz="4" w:space="0" w:color="auto"/>
              <w:right w:val="single" w:sz="2" w:space="0" w:color="000000"/>
            </w:tcBorders>
            <w:vAlign w:val="center"/>
          </w:tcPr>
          <w:p w:rsidR="00F134F4" w:rsidRPr="00F04D54" w:rsidRDefault="00F134F4" w:rsidP="000528D5">
            <w:pPr>
              <w:pStyle w:val="Default"/>
              <w:rPr>
                <w:sz w:val="22"/>
                <w:szCs w:val="22"/>
                <w:lang w:val="sk-SK"/>
              </w:rPr>
            </w:pPr>
            <w:r w:rsidRPr="00F04D54">
              <w:rPr>
                <w:sz w:val="22"/>
                <w:szCs w:val="22"/>
                <w:lang w:val="sk-SK"/>
              </w:rPr>
              <w:t>5 m</w:t>
            </w:r>
            <w:r>
              <w:rPr>
                <w:sz w:val="22"/>
                <w:szCs w:val="22"/>
                <w:lang w:val="sk-SK"/>
              </w:rPr>
              <w:t>l</w:t>
            </w:r>
          </w:p>
        </w:tc>
        <w:tc>
          <w:tcPr>
            <w:tcW w:w="2160" w:type="dxa"/>
            <w:tcBorders>
              <w:top w:val="nil"/>
              <w:left w:val="single" w:sz="2" w:space="0" w:color="000000"/>
              <w:bottom w:val="single" w:sz="4" w:space="0" w:color="auto"/>
              <w:right w:val="single" w:sz="2" w:space="0" w:color="000000"/>
            </w:tcBorders>
            <w:vAlign w:val="center"/>
          </w:tcPr>
          <w:p w:rsidR="00F134F4" w:rsidRPr="00F04D54" w:rsidRDefault="00F134F4" w:rsidP="000528D5">
            <w:pPr>
              <w:pStyle w:val="Default"/>
              <w:rPr>
                <w:sz w:val="22"/>
                <w:szCs w:val="22"/>
                <w:lang w:val="sk-SK"/>
              </w:rPr>
            </w:pPr>
            <w:r w:rsidRPr="00F04D54">
              <w:rPr>
                <w:sz w:val="22"/>
                <w:szCs w:val="22"/>
                <w:lang w:val="sk-SK"/>
              </w:rPr>
              <w:t>3 m</w:t>
            </w:r>
            <w:r>
              <w:rPr>
                <w:sz w:val="22"/>
                <w:szCs w:val="22"/>
                <w:lang w:val="sk-SK"/>
              </w:rPr>
              <w:t>l</w:t>
            </w:r>
          </w:p>
        </w:tc>
      </w:tr>
      <w:tr w:rsidR="00F134F4" w:rsidRPr="00D73A56" w:rsidTr="000528D5">
        <w:trPr>
          <w:trHeight w:val="278"/>
          <w:jc w:val="center"/>
        </w:trPr>
        <w:tc>
          <w:tcPr>
            <w:tcW w:w="6008" w:type="dxa"/>
            <w:gridSpan w:val="3"/>
            <w:tcBorders>
              <w:top w:val="single" w:sz="4" w:space="0" w:color="auto"/>
              <w:left w:val="nil"/>
              <w:bottom w:val="nil"/>
              <w:right w:val="nil"/>
            </w:tcBorders>
          </w:tcPr>
          <w:p w:rsidR="00F134F4" w:rsidRPr="00F04D54" w:rsidRDefault="00F134F4" w:rsidP="007A1559">
            <w:pPr>
              <w:pStyle w:val="Default"/>
              <w:rPr>
                <w:sz w:val="22"/>
                <w:szCs w:val="22"/>
                <w:highlight w:val="yellow"/>
                <w:lang w:val="sk-SK"/>
              </w:rPr>
            </w:pPr>
            <w:r w:rsidRPr="00F04D54">
              <w:rPr>
                <w:sz w:val="16"/>
                <w:szCs w:val="22"/>
                <w:lang w:val="sk-SK"/>
              </w:rPr>
              <w:t>*0,9 % roztok chloridu sodného bez konzervačných látok</w:t>
            </w:r>
          </w:p>
        </w:tc>
      </w:tr>
    </w:tbl>
    <w:p w:rsidR="00F134F4" w:rsidRPr="00FE49CC" w:rsidRDefault="00F134F4" w:rsidP="000528D5">
      <w:pPr>
        <w:pStyle w:val="BodyText"/>
        <w:rPr>
          <w:rFonts w:ascii="Times New Roman" w:hAnsi="Times New Roman"/>
          <w:b w:val="0"/>
          <w:color w:val="000000"/>
          <w:szCs w:val="24"/>
          <w:lang w:val="sk-SK"/>
        </w:rPr>
      </w:pPr>
    </w:p>
    <w:p w:rsidR="00F134F4" w:rsidRPr="00D73A56" w:rsidRDefault="00F134F4" w:rsidP="00FE4006">
      <w:pPr>
        <w:pStyle w:val="Body"/>
        <w:rPr>
          <w:sz w:val="22"/>
          <w:szCs w:val="22"/>
          <w:lang w:val="sk-SK"/>
        </w:rPr>
      </w:pPr>
    </w:p>
    <w:p w:rsidR="00F134F4" w:rsidRPr="00F00DE4" w:rsidRDefault="00F134F4" w:rsidP="00FE4006">
      <w:pPr>
        <w:pStyle w:val="BodyText"/>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b/>
          <w:sz w:val="22"/>
          <w:szCs w:val="22"/>
          <w:lang w:val="sk-SK"/>
        </w:rPr>
      </w:pPr>
      <w:r w:rsidRPr="00F00DE4">
        <w:rPr>
          <w:rFonts w:ascii="Times New Roman" w:hAnsi="Times New Roman" w:cs="Times New Roman"/>
          <w:b/>
          <w:sz w:val="22"/>
          <w:szCs w:val="22"/>
          <w:lang w:val="sk-SK"/>
        </w:rPr>
        <w:t>Symptomatická liečba fokálnej spasticity horných končatín u dospelých:</w:t>
      </w:r>
    </w:p>
    <w:p w:rsidR="00F134F4" w:rsidRPr="00F00DE4" w:rsidRDefault="00F134F4" w:rsidP="00FE4006">
      <w:pPr>
        <w:pStyle w:val="WW-Zkladntext2"/>
        <w:rPr>
          <w:rFonts w:ascii="Times New Roman" w:hAnsi="Times New Roman" w:cs="Times New Roman"/>
          <w:sz w:val="22"/>
          <w:szCs w:val="22"/>
          <w:u w:val="single"/>
        </w:rPr>
      </w:pPr>
      <w:r w:rsidRPr="00F00DE4">
        <w:rPr>
          <w:rFonts w:ascii="Times New Roman" w:hAnsi="Times New Roman" w:cs="Times New Roman"/>
          <w:sz w:val="22"/>
          <w:szCs w:val="22"/>
          <w:u w:val="single"/>
        </w:rPr>
        <w:t>Dávkovanie:</w:t>
      </w:r>
    </w:p>
    <w:p w:rsidR="00F134F4" w:rsidRPr="00F00DE4" w:rsidRDefault="00F134F4" w:rsidP="00FE4006">
      <w:pPr>
        <w:pStyle w:val="WW-Zkladntext2"/>
        <w:rPr>
          <w:rFonts w:ascii="Times New Roman" w:hAnsi="Times New Roman" w:cs="Times New Roman"/>
          <w:sz w:val="22"/>
          <w:szCs w:val="22"/>
          <w:u w:val="single"/>
        </w:rPr>
      </w:pPr>
    </w:p>
    <w:p w:rsidR="00F134F4" w:rsidRPr="00F00DE4" w:rsidRDefault="00F134F4" w:rsidP="003576CA">
      <w:pPr>
        <w:pStyle w:val="Heading5"/>
        <w:numPr>
          <w:numberingChange w:id="6" w:author="Unknown" w:date="2016-07-20T15:02:00Z" w:original=""/>
        </w:numPr>
        <w:jc w:val="both"/>
        <w:rPr>
          <w:rFonts w:ascii="Times New Roman" w:hAnsi="Times New Roman" w:cs="Times New Roman"/>
          <w:szCs w:val="22"/>
          <w:lang w:val="sk-SK"/>
        </w:rPr>
      </w:pPr>
      <w:r w:rsidRPr="00F00DE4">
        <w:rPr>
          <w:rFonts w:ascii="Times New Roman" w:hAnsi="Times New Roman" w:cs="Times New Roman"/>
          <w:szCs w:val="22"/>
          <w:lang w:val="sk-SK"/>
        </w:rPr>
        <w:t xml:space="preserve">Dávkovanie pre iniciálne a následné liečebné podania by malo byť prispôsobené individuálne na základe veľkosti, počtu a lokalizácii postihnutých svalov, stupňa spasticity, prítomnosti lokálnej svalovej slabosti, reakcie pacienta na predchádzajúcu liečbu  a/alebo  na základe predchádzajúceho  nežiaduceho účinku s botulotoxínom typu A – komplex hemaglutinínu v anamnéze.  V klinických štúdiách, boli dávky 500 U a 1000 U  rozdelené medzi vybrané svaly v liečebných podaniach ako je uvedené nižšie. </w:t>
      </w:r>
    </w:p>
    <w:p w:rsidR="00F134F4" w:rsidRPr="00F04D54" w:rsidRDefault="00F134F4" w:rsidP="00F04D54">
      <w:pPr>
        <w:pStyle w:val="Default"/>
        <w:numPr>
          <w:ilvl w:val="0"/>
          <w:numId w:val="1"/>
          <w:numberingChange w:id="7" w:author="Unknown" w:date="2016-07-20T15:02:00Z" w:original=""/>
        </w:numPr>
        <w:rPr>
          <w:lang w:val="sk-SK"/>
        </w:rPr>
      </w:pPr>
      <w:r w:rsidRPr="00F04D54">
        <w:rPr>
          <w:sz w:val="22"/>
          <w:lang w:val="sk-SK"/>
        </w:rPr>
        <w:t>Zvyčajne sa nepodáva viac ako 1 ml do jedného miesta vpichu.</w:t>
      </w:r>
    </w:p>
    <w:p w:rsidR="00F134F4" w:rsidRPr="00F00DE4" w:rsidRDefault="00F134F4" w:rsidP="00CD3187">
      <w:pPr>
        <w:numPr>
          <w:ilvl w:val="0"/>
          <w:numId w:val="1"/>
          <w:numberingChange w:id="8" w:author="Unknown" w:date="2016-07-20T15:02:00Z" w:original=""/>
        </w:numPr>
        <w:rPr>
          <w:rFonts w:ascii="Times New Roman" w:hAnsi="Times New Roman" w:cs="Times New Roman"/>
          <w:sz w:val="22"/>
          <w:szCs w:val="22"/>
          <w:lang w:val="sk-SK"/>
        </w:rPr>
      </w:pPr>
      <w:r w:rsidRPr="00F00DE4">
        <w:rPr>
          <w:rFonts w:ascii="Times New Roman" w:hAnsi="Times New Roman" w:cs="Times New Roman"/>
          <w:sz w:val="22"/>
          <w:szCs w:val="22"/>
          <w:lang w:val="sk-SK"/>
        </w:rPr>
        <w:t>Maximálna podaná dávka nesmie presiahnuť 1000 U.</w:t>
      </w:r>
    </w:p>
    <w:p w:rsidR="00F134F4" w:rsidRPr="00F04D54" w:rsidRDefault="00F134F4" w:rsidP="003576CA">
      <w:pPr>
        <w:pStyle w:val="Default"/>
        <w:numPr>
          <w:ilvl w:val="0"/>
          <w:numId w:val="1"/>
          <w:numberingChange w:id="9" w:author="Unknown" w:date="2016-07-20T15:02:00Z" w:original=""/>
        </w:numPr>
        <w:rPr>
          <w:lang w:val="sk-SK"/>
        </w:rPr>
      </w:pPr>
    </w:p>
    <w:tbl>
      <w:tblPr>
        <w:tblW w:w="4968" w:type="dxa"/>
        <w:jc w:val="center"/>
        <w:tblLayout w:type="fixed"/>
        <w:tblLook w:val="0000"/>
      </w:tblPr>
      <w:tblGrid>
        <w:gridCol w:w="3036"/>
        <w:gridCol w:w="1932"/>
      </w:tblGrid>
      <w:tr w:rsidR="00F134F4" w:rsidRPr="00D73A56" w:rsidTr="003576CA">
        <w:trPr>
          <w:trHeight w:val="253"/>
          <w:jc w:val="center"/>
        </w:trPr>
        <w:tc>
          <w:tcPr>
            <w:tcW w:w="3036" w:type="dxa"/>
            <w:tcBorders>
              <w:top w:val="single" w:sz="4" w:space="0" w:color="000000"/>
              <w:left w:val="single" w:sz="4" w:space="0" w:color="000000"/>
              <w:bottom w:val="single" w:sz="4" w:space="0" w:color="000000"/>
              <w:right w:val="single" w:sz="4" w:space="0" w:color="000000"/>
            </w:tcBorders>
          </w:tcPr>
          <w:p w:rsidR="00F134F4" w:rsidRPr="00F04D54" w:rsidRDefault="00F134F4" w:rsidP="007A1559">
            <w:pPr>
              <w:pStyle w:val="Default"/>
              <w:rPr>
                <w:b/>
                <w:bCs/>
                <w:color w:val="auto"/>
                <w:sz w:val="22"/>
                <w:szCs w:val="22"/>
                <w:lang w:val="sk-SK"/>
              </w:rPr>
            </w:pPr>
            <w:r w:rsidRPr="00F04D54">
              <w:rPr>
                <w:b/>
                <w:bCs/>
                <w:color w:val="auto"/>
                <w:sz w:val="22"/>
                <w:szCs w:val="22"/>
                <w:lang w:val="sk-SK"/>
              </w:rPr>
              <w:t>Injikovaný sval</w:t>
            </w:r>
          </w:p>
        </w:tc>
        <w:tc>
          <w:tcPr>
            <w:tcW w:w="1932" w:type="dxa"/>
            <w:tcBorders>
              <w:top w:val="single" w:sz="4" w:space="0" w:color="000000"/>
              <w:left w:val="single" w:sz="4" w:space="0" w:color="000000"/>
              <w:bottom w:val="single" w:sz="4" w:space="0" w:color="000000"/>
              <w:right w:val="single" w:sz="4" w:space="0" w:color="000000"/>
            </w:tcBorders>
          </w:tcPr>
          <w:p w:rsidR="00F134F4" w:rsidRPr="00F04D54" w:rsidRDefault="00F134F4" w:rsidP="003576CA">
            <w:pPr>
              <w:pStyle w:val="Default"/>
              <w:jc w:val="center"/>
              <w:rPr>
                <w:b/>
                <w:bCs/>
                <w:color w:val="auto"/>
                <w:sz w:val="22"/>
                <w:szCs w:val="22"/>
                <w:lang w:val="sk-SK"/>
              </w:rPr>
            </w:pPr>
            <w:r w:rsidRPr="00F04D54">
              <w:rPr>
                <w:b/>
                <w:bCs/>
                <w:color w:val="auto"/>
                <w:sz w:val="22"/>
                <w:szCs w:val="22"/>
                <w:lang w:val="sk-SK"/>
              </w:rPr>
              <w:t>Odporučená dávka DYSPORTU (U)</w:t>
            </w:r>
          </w:p>
        </w:tc>
      </w:tr>
      <w:tr w:rsidR="00F134F4" w:rsidRPr="00D73A56" w:rsidTr="003576CA">
        <w:trPr>
          <w:trHeight w:val="220"/>
          <w:jc w:val="center"/>
        </w:trPr>
        <w:tc>
          <w:tcPr>
            <w:tcW w:w="3036" w:type="dxa"/>
            <w:tcBorders>
              <w:top w:val="single" w:sz="4" w:space="0" w:color="000000"/>
              <w:left w:val="single" w:sz="4" w:space="0" w:color="000000"/>
              <w:right w:val="single" w:sz="4" w:space="0" w:color="000000"/>
            </w:tcBorders>
            <w:vAlign w:val="center"/>
          </w:tcPr>
          <w:p w:rsidR="00F134F4" w:rsidRPr="00F04D54" w:rsidRDefault="00F134F4" w:rsidP="003576CA">
            <w:pPr>
              <w:pStyle w:val="Default"/>
              <w:rPr>
                <w:color w:val="auto"/>
                <w:sz w:val="22"/>
                <w:szCs w:val="22"/>
                <w:lang w:val="sk-SK"/>
              </w:rPr>
            </w:pPr>
            <w:r w:rsidRPr="00F04D54">
              <w:rPr>
                <w:color w:val="auto"/>
                <w:sz w:val="22"/>
                <w:szCs w:val="22"/>
                <w:lang w:val="sk-SK"/>
              </w:rPr>
              <w:t>Flexor carpi radialis (FCR)</w:t>
            </w:r>
          </w:p>
        </w:tc>
        <w:tc>
          <w:tcPr>
            <w:tcW w:w="1932" w:type="dxa"/>
            <w:tcBorders>
              <w:top w:val="single" w:sz="4" w:space="0" w:color="000000"/>
              <w:left w:val="single" w:sz="4" w:space="0" w:color="000000"/>
              <w:right w:val="single" w:sz="4" w:space="0" w:color="000000"/>
            </w:tcBorders>
            <w:vAlign w:val="center"/>
          </w:tcPr>
          <w:p w:rsidR="00F134F4" w:rsidRPr="00F04D54" w:rsidRDefault="00F134F4" w:rsidP="003576CA">
            <w:pPr>
              <w:pStyle w:val="Default"/>
              <w:jc w:val="center"/>
              <w:rPr>
                <w:color w:val="auto"/>
                <w:sz w:val="22"/>
                <w:szCs w:val="22"/>
                <w:lang w:val="sk-SK"/>
              </w:rPr>
            </w:pPr>
            <w:r w:rsidRPr="00F04D54">
              <w:rPr>
                <w:color w:val="auto"/>
                <w:sz w:val="22"/>
                <w:szCs w:val="22"/>
                <w:lang w:val="sk-SK"/>
              </w:rPr>
              <w:t xml:space="preserve">100-200 U </w:t>
            </w:r>
          </w:p>
        </w:tc>
      </w:tr>
      <w:tr w:rsidR="00F134F4" w:rsidRPr="00D73A56" w:rsidTr="003576CA">
        <w:trPr>
          <w:trHeight w:val="250"/>
          <w:jc w:val="center"/>
        </w:trPr>
        <w:tc>
          <w:tcPr>
            <w:tcW w:w="3036" w:type="dxa"/>
            <w:tcBorders>
              <w:left w:val="single" w:sz="4" w:space="0" w:color="000000"/>
              <w:bottom w:val="single" w:sz="4" w:space="0" w:color="000000"/>
              <w:right w:val="single" w:sz="4" w:space="0" w:color="000000"/>
            </w:tcBorders>
            <w:vAlign w:val="center"/>
          </w:tcPr>
          <w:p w:rsidR="00F134F4" w:rsidRPr="00F04D54" w:rsidRDefault="00F134F4" w:rsidP="003576CA">
            <w:pPr>
              <w:pStyle w:val="Default"/>
              <w:rPr>
                <w:color w:val="auto"/>
                <w:sz w:val="22"/>
                <w:szCs w:val="22"/>
                <w:lang w:val="sk-SK"/>
              </w:rPr>
            </w:pPr>
            <w:r w:rsidRPr="00F04D54">
              <w:rPr>
                <w:color w:val="auto"/>
                <w:sz w:val="22"/>
                <w:szCs w:val="22"/>
                <w:lang w:val="sk-SK"/>
              </w:rPr>
              <w:t>Flexor carpi ulnaris (FCU)</w:t>
            </w:r>
          </w:p>
        </w:tc>
        <w:tc>
          <w:tcPr>
            <w:tcW w:w="1932" w:type="dxa"/>
            <w:tcBorders>
              <w:left w:val="single" w:sz="4" w:space="0" w:color="000000"/>
              <w:bottom w:val="single" w:sz="4" w:space="0" w:color="000000"/>
              <w:right w:val="single" w:sz="4" w:space="0" w:color="000000"/>
            </w:tcBorders>
            <w:vAlign w:val="center"/>
          </w:tcPr>
          <w:p w:rsidR="00F134F4" w:rsidRPr="00F04D54" w:rsidRDefault="00F134F4" w:rsidP="003576CA">
            <w:pPr>
              <w:pStyle w:val="Default"/>
              <w:jc w:val="center"/>
              <w:rPr>
                <w:color w:val="auto"/>
                <w:sz w:val="22"/>
                <w:szCs w:val="22"/>
                <w:lang w:val="sk-SK"/>
              </w:rPr>
            </w:pPr>
            <w:r w:rsidRPr="00F04D54">
              <w:rPr>
                <w:color w:val="auto"/>
                <w:sz w:val="22"/>
                <w:szCs w:val="22"/>
                <w:lang w:val="sk-SK"/>
              </w:rPr>
              <w:t xml:space="preserve">100-200 U </w:t>
            </w:r>
          </w:p>
        </w:tc>
      </w:tr>
      <w:tr w:rsidR="00F134F4" w:rsidRPr="00D73A56" w:rsidTr="003576CA">
        <w:trPr>
          <w:trHeight w:val="220"/>
          <w:jc w:val="center"/>
        </w:trPr>
        <w:tc>
          <w:tcPr>
            <w:tcW w:w="3036" w:type="dxa"/>
            <w:tcBorders>
              <w:top w:val="single" w:sz="4" w:space="0" w:color="000000"/>
              <w:left w:val="single" w:sz="4" w:space="0" w:color="000000"/>
              <w:right w:val="single" w:sz="4" w:space="0" w:color="000000"/>
            </w:tcBorders>
            <w:vAlign w:val="center"/>
          </w:tcPr>
          <w:p w:rsidR="00F134F4" w:rsidRPr="00F04D54" w:rsidRDefault="00F134F4" w:rsidP="003576CA">
            <w:pPr>
              <w:pStyle w:val="Default"/>
              <w:rPr>
                <w:color w:val="auto"/>
                <w:sz w:val="22"/>
                <w:szCs w:val="22"/>
                <w:lang w:val="sk-SK"/>
              </w:rPr>
            </w:pPr>
            <w:r w:rsidRPr="00F04D54">
              <w:rPr>
                <w:color w:val="auto"/>
                <w:sz w:val="22"/>
                <w:szCs w:val="22"/>
                <w:lang w:val="sk-SK"/>
              </w:rPr>
              <w:t>Flexor digitorum profundus (FDP)</w:t>
            </w:r>
          </w:p>
        </w:tc>
        <w:tc>
          <w:tcPr>
            <w:tcW w:w="1932" w:type="dxa"/>
            <w:tcBorders>
              <w:top w:val="single" w:sz="4" w:space="0" w:color="000000"/>
              <w:left w:val="single" w:sz="4" w:space="0" w:color="000000"/>
              <w:right w:val="single" w:sz="4" w:space="0" w:color="000000"/>
            </w:tcBorders>
            <w:vAlign w:val="center"/>
          </w:tcPr>
          <w:p w:rsidR="00F134F4" w:rsidRPr="00F04D54" w:rsidRDefault="00F134F4" w:rsidP="003576CA">
            <w:pPr>
              <w:pStyle w:val="Default"/>
              <w:jc w:val="center"/>
              <w:rPr>
                <w:color w:val="auto"/>
                <w:sz w:val="22"/>
                <w:szCs w:val="22"/>
                <w:lang w:val="sk-SK"/>
              </w:rPr>
            </w:pPr>
            <w:r w:rsidRPr="00F04D54">
              <w:rPr>
                <w:color w:val="auto"/>
                <w:sz w:val="22"/>
                <w:szCs w:val="22"/>
                <w:lang w:val="sk-SK"/>
              </w:rPr>
              <w:t xml:space="preserve">100-200 U </w:t>
            </w:r>
          </w:p>
        </w:tc>
      </w:tr>
      <w:tr w:rsidR="00F134F4" w:rsidRPr="00D73A56" w:rsidTr="003576CA">
        <w:trPr>
          <w:trHeight w:val="230"/>
          <w:jc w:val="center"/>
        </w:trPr>
        <w:tc>
          <w:tcPr>
            <w:tcW w:w="3036" w:type="dxa"/>
            <w:tcBorders>
              <w:left w:val="single" w:sz="4" w:space="0" w:color="000000"/>
              <w:right w:val="single" w:sz="4" w:space="0" w:color="000000"/>
            </w:tcBorders>
            <w:vAlign w:val="center"/>
          </w:tcPr>
          <w:p w:rsidR="00F134F4" w:rsidRPr="00F04D54" w:rsidRDefault="00F134F4" w:rsidP="003576CA">
            <w:pPr>
              <w:pStyle w:val="Default"/>
              <w:rPr>
                <w:color w:val="auto"/>
                <w:sz w:val="22"/>
                <w:szCs w:val="22"/>
                <w:lang w:val="sk-SK"/>
              </w:rPr>
            </w:pPr>
            <w:r w:rsidRPr="00F04D54">
              <w:rPr>
                <w:color w:val="auto"/>
                <w:sz w:val="22"/>
                <w:szCs w:val="22"/>
                <w:lang w:val="sk-SK"/>
              </w:rPr>
              <w:t>Flexor digitorum superficialis (FDS)</w:t>
            </w:r>
          </w:p>
        </w:tc>
        <w:tc>
          <w:tcPr>
            <w:tcW w:w="1932" w:type="dxa"/>
            <w:tcBorders>
              <w:left w:val="single" w:sz="4" w:space="0" w:color="000000"/>
              <w:right w:val="single" w:sz="4" w:space="0" w:color="000000"/>
            </w:tcBorders>
            <w:vAlign w:val="center"/>
          </w:tcPr>
          <w:p w:rsidR="00F134F4" w:rsidRPr="00F04D54" w:rsidRDefault="00F134F4" w:rsidP="003576CA">
            <w:pPr>
              <w:pStyle w:val="Default"/>
              <w:jc w:val="center"/>
              <w:rPr>
                <w:color w:val="auto"/>
                <w:sz w:val="22"/>
                <w:szCs w:val="22"/>
                <w:lang w:val="sk-SK"/>
              </w:rPr>
            </w:pPr>
            <w:r w:rsidRPr="00F04D54">
              <w:rPr>
                <w:color w:val="auto"/>
                <w:sz w:val="22"/>
                <w:szCs w:val="22"/>
                <w:lang w:val="sk-SK"/>
              </w:rPr>
              <w:t>100-200 U</w:t>
            </w:r>
          </w:p>
        </w:tc>
      </w:tr>
      <w:tr w:rsidR="00F134F4" w:rsidRPr="00D73A56" w:rsidTr="003576CA">
        <w:trPr>
          <w:trHeight w:val="260"/>
          <w:jc w:val="center"/>
        </w:trPr>
        <w:tc>
          <w:tcPr>
            <w:tcW w:w="3036" w:type="dxa"/>
            <w:tcBorders>
              <w:left w:val="single" w:sz="4" w:space="0" w:color="000000"/>
              <w:right w:val="single" w:sz="4" w:space="0" w:color="000000"/>
            </w:tcBorders>
            <w:vAlign w:val="center"/>
          </w:tcPr>
          <w:p w:rsidR="00F134F4" w:rsidRPr="00F04D54" w:rsidRDefault="00F134F4" w:rsidP="003576CA">
            <w:pPr>
              <w:pStyle w:val="Default"/>
              <w:rPr>
                <w:color w:val="auto"/>
                <w:sz w:val="22"/>
                <w:szCs w:val="22"/>
                <w:lang w:val="sk-SK"/>
              </w:rPr>
            </w:pPr>
            <w:r w:rsidRPr="00F04D54">
              <w:rPr>
                <w:color w:val="auto"/>
                <w:sz w:val="22"/>
                <w:szCs w:val="22"/>
                <w:lang w:val="sk-SK"/>
              </w:rPr>
              <w:t xml:space="preserve">Flexor Pollicis Longus </w:t>
            </w:r>
          </w:p>
        </w:tc>
        <w:tc>
          <w:tcPr>
            <w:tcW w:w="1932" w:type="dxa"/>
            <w:tcBorders>
              <w:left w:val="single" w:sz="4" w:space="0" w:color="000000"/>
              <w:right w:val="single" w:sz="4" w:space="0" w:color="000000"/>
            </w:tcBorders>
            <w:vAlign w:val="center"/>
          </w:tcPr>
          <w:p w:rsidR="00F134F4" w:rsidRPr="00F04D54" w:rsidRDefault="00F134F4" w:rsidP="003576CA">
            <w:pPr>
              <w:pStyle w:val="Default"/>
              <w:jc w:val="center"/>
              <w:rPr>
                <w:color w:val="auto"/>
                <w:sz w:val="22"/>
                <w:szCs w:val="22"/>
                <w:lang w:val="sk-SK"/>
              </w:rPr>
            </w:pPr>
            <w:r w:rsidRPr="00F04D54">
              <w:rPr>
                <w:color w:val="auto"/>
                <w:sz w:val="22"/>
                <w:szCs w:val="22"/>
                <w:lang w:val="sk-SK"/>
              </w:rPr>
              <w:t>100-200 U</w:t>
            </w:r>
          </w:p>
        </w:tc>
      </w:tr>
      <w:tr w:rsidR="00F134F4" w:rsidRPr="00D73A56" w:rsidTr="003576CA">
        <w:trPr>
          <w:trHeight w:val="218"/>
          <w:jc w:val="center"/>
        </w:trPr>
        <w:tc>
          <w:tcPr>
            <w:tcW w:w="3036" w:type="dxa"/>
            <w:tcBorders>
              <w:left w:val="single" w:sz="4" w:space="0" w:color="000000"/>
              <w:bottom w:val="single" w:sz="4" w:space="0" w:color="auto"/>
              <w:right w:val="single" w:sz="4" w:space="0" w:color="000000"/>
            </w:tcBorders>
          </w:tcPr>
          <w:p w:rsidR="00F134F4" w:rsidRPr="00F04D54" w:rsidRDefault="00F134F4" w:rsidP="003576CA">
            <w:pPr>
              <w:pStyle w:val="Default"/>
              <w:rPr>
                <w:color w:val="auto"/>
                <w:sz w:val="22"/>
                <w:szCs w:val="22"/>
                <w:lang w:val="sk-SK"/>
              </w:rPr>
            </w:pPr>
            <w:r w:rsidRPr="00F04D54">
              <w:rPr>
                <w:color w:val="auto"/>
                <w:sz w:val="22"/>
                <w:szCs w:val="22"/>
                <w:lang w:val="sk-SK"/>
              </w:rPr>
              <w:t xml:space="preserve">Adductor Pollicis </w:t>
            </w:r>
          </w:p>
        </w:tc>
        <w:tc>
          <w:tcPr>
            <w:tcW w:w="1932" w:type="dxa"/>
            <w:tcBorders>
              <w:left w:val="single" w:sz="4" w:space="0" w:color="000000"/>
              <w:bottom w:val="single" w:sz="4" w:space="0" w:color="auto"/>
              <w:right w:val="single" w:sz="4" w:space="0" w:color="000000"/>
            </w:tcBorders>
          </w:tcPr>
          <w:p w:rsidR="00F134F4" w:rsidRPr="00F04D54" w:rsidRDefault="00F134F4" w:rsidP="003576CA">
            <w:pPr>
              <w:pStyle w:val="Default"/>
              <w:jc w:val="center"/>
              <w:rPr>
                <w:color w:val="auto"/>
                <w:sz w:val="22"/>
                <w:szCs w:val="22"/>
                <w:lang w:val="sk-SK"/>
              </w:rPr>
            </w:pPr>
            <w:r w:rsidRPr="00F04D54">
              <w:rPr>
                <w:color w:val="auto"/>
                <w:sz w:val="22"/>
                <w:szCs w:val="22"/>
                <w:lang w:val="sk-SK"/>
              </w:rPr>
              <w:t xml:space="preserve">25-50 U </w:t>
            </w:r>
          </w:p>
        </w:tc>
      </w:tr>
      <w:tr w:rsidR="00F134F4" w:rsidRPr="00D73A56" w:rsidTr="003576CA">
        <w:trPr>
          <w:trHeight w:val="228"/>
          <w:jc w:val="center"/>
        </w:trPr>
        <w:tc>
          <w:tcPr>
            <w:tcW w:w="3036" w:type="dxa"/>
            <w:tcBorders>
              <w:top w:val="single" w:sz="4" w:space="0" w:color="auto"/>
              <w:left w:val="single" w:sz="4" w:space="0" w:color="000000"/>
              <w:right w:val="single" w:sz="4" w:space="0" w:color="000000"/>
            </w:tcBorders>
            <w:vAlign w:val="center"/>
          </w:tcPr>
          <w:p w:rsidR="00F134F4" w:rsidRPr="00F04D54" w:rsidRDefault="00F134F4" w:rsidP="003576CA">
            <w:pPr>
              <w:pStyle w:val="Default"/>
              <w:rPr>
                <w:color w:val="auto"/>
                <w:sz w:val="22"/>
                <w:szCs w:val="22"/>
                <w:lang w:val="sk-SK"/>
              </w:rPr>
            </w:pPr>
            <w:r w:rsidRPr="00F04D54">
              <w:rPr>
                <w:color w:val="auto"/>
                <w:sz w:val="22"/>
                <w:szCs w:val="22"/>
                <w:lang w:val="sk-SK"/>
              </w:rPr>
              <w:t xml:space="preserve">Brachialis </w:t>
            </w:r>
          </w:p>
        </w:tc>
        <w:tc>
          <w:tcPr>
            <w:tcW w:w="1932" w:type="dxa"/>
            <w:tcBorders>
              <w:top w:val="single" w:sz="4" w:space="0" w:color="auto"/>
              <w:left w:val="single" w:sz="4" w:space="0" w:color="000000"/>
              <w:right w:val="single" w:sz="4" w:space="0" w:color="000000"/>
            </w:tcBorders>
            <w:vAlign w:val="center"/>
          </w:tcPr>
          <w:p w:rsidR="00F134F4" w:rsidRPr="00F04D54" w:rsidRDefault="00F134F4" w:rsidP="003576CA">
            <w:pPr>
              <w:pStyle w:val="Default"/>
              <w:jc w:val="center"/>
              <w:rPr>
                <w:color w:val="auto"/>
                <w:sz w:val="22"/>
                <w:szCs w:val="22"/>
                <w:lang w:val="sk-SK"/>
              </w:rPr>
            </w:pPr>
            <w:r w:rsidRPr="00F04D54">
              <w:rPr>
                <w:color w:val="auto"/>
                <w:sz w:val="22"/>
                <w:szCs w:val="22"/>
                <w:lang w:val="sk-SK"/>
              </w:rPr>
              <w:t xml:space="preserve">200-400 U </w:t>
            </w:r>
          </w:p>
        </w:tc>
      </w:tr>
      <w:tr w:rsidR="00F134F4" w:rsidRPr="00D73A56" w:rsidTr="003576CA">
        <w:trPr>
          <w:trHeight w:val="228"/>
          <w:jc w:val="center"/>
        </w:trPr>
        <w:tc>
          <w:tcPr>
            <w:tcW w:w="3036" w:type="dxa"/>
            <w:tcBorders>
              <w:left w:val="single" w:sz="4" w:space="0" w:color="000000"/>
              <w:right w:val="single" w:sz="4" w:space="0" w:color="000000"/>
            </w:tcBorders>
            <w:vAlign w:val="center"/>
          </w:tcPr>
          <w:p w:rsidR="00F134F4" w:rsidRPr="00F04D54" w:rsidRDefault="00F134F4" w:rsidP="003576CA">
            <w:pPr>
              <w:pStyle w:val="Default"/>
              <w:rPr>
                <w:color w:val="auto"/>
                <w:sz w:val="22"/>
                <w:szCs w:val="22"/>
                <w:lang w:val="sk-SK"/>
              </w:rPr>
            </w:pPr>
            <w:r w:rsidRPr="00F04D54">
              <w:rPr>
                <w:color w:val="auto"/>
                <w:sz w:val="22"/>
                <w:szCs w:val="22"/>
                <w:lang w:val="sk-SK"/>
              </w:rPr>
              <w:t>Brachioradialis</w:t>
            </w:r>
          </w:p>
        </w:tc>
        <w:tc>
          <w:tcPr>
            <w:tcW w:w="1932" w:type="dxa"/>
            <w:tcBorders>
              <w:left w:val="single" w:sz="4" w:space="0" w:color="000000"/>
              <w:right w:val="single" w:sz="4" w:space="0" w:color="000000"/>
            </w:tcBorders>
            <w:vAlign w:val="center"/>
          </w:tcPr>
          <w:p w:rsidR="00F134F4" w:rsidRPr="00F04D54" w:rsidRDefault="00F134F4" w:rsidP="003576CA">
            <w:pPr>
              <w:pStyle w:val="Default"/>
              <w:jc w:val="center"/>
              <w:rPr>
                <w:color w:val="auto"/>
                <w:sz w:val="22"/>
                <w:szCs w:val="22"/>
                <w:lang w:val="sk-SK"/>
              </w:rPr>
            </w:pPr>
            <w:r w:rsidRPr="00F04D54">
              <w:rPr>
                <w:color w:val="auto"/>
                <w:sz w:val="22"/>
                <w:szCs w:val="22"/>
                <w:lang w:val="sk-SK"/>
              </w:rPr>
              <w:t>100-200 U</w:t>
            </w:r>
          </w:p>
        </w:tc>
      </w:tr>
      <w:tr w:rsidR="00F134F4" w:rsidRPr="00D73A56" w:rsidTr="003576CA">
        <w:trPr>
          <w:trHeight w:val="260"/>
          <w:jc w:val="center"/>
        </w:trPr>
        <w:tc>
          <w:tcPr>
            <w:tcW w:w="3036" w:type="dxa"/>
            <w:tcBorders>
              <w:left w:val="single" w:sz="4" w:space="0" w:color="000000"/>
              <w:right w:val="single" w:sz="4" w:space="0" w:color="000000"/>
            </w:tcBorders>
            <w:vAlign w:val="center"/>
          </w:tcPr>
          <w:p w:rsidR="00F134F4" w:rsidRPr="00F04D54" w:rsidRDefault="00F134F4" w:rsidP="003576CA">
            <w:pPr>
              <w:pStyle w:val="Default"/>
              <w:rPr>
                <w:color w:val="auto"/>
                <w:sz w:val="22"/>
                <w:szCs w:val="22"/>
                <w:lang w:val="sk-SK"/>
              </w:rPr>
            </w:pPr>
            <w:r w:rsidRPr="00F04D54">
              <w:rPr>
                <w:color w:val="auto"/>
                <w:sz w:val="22"/>
                <w:szCs w:val="22"/>
                <w:lang w:val="sk-SK"/>
              </w:rPr>
              <w:t>Biceps Brachii (BB)</w:t>
            </w:r>
          </w:p>
        </w:tc>
        <w:tc>
          <w:tcPr>
            <w:tcW w:w="1932" w:type="dxa"/>
            <w:tcBorders>
              <w:left w:val="single" w:sz="4" w:space="0" w:color="000000"/>
              <w:right w:val="single" w:sz="4" w:space="0" w:color="000000"/>
            </w:tcBorders>
            <w:vAlign w:val="center"/>
          </w:tcPr>
          <w:p w:rsidR="00F134F4" w:rsidRPr="00F04D54" w:rsidRDefault="00F134F4" w:rsidP="003576CA">
            <w:pPr>
              <w:pStyle w:val="Default"/>
              <w:jc w:val="center"/>
              <w:rPr>
                <w:color w:val="auto"/>
                <w:sz w:val="22"/>
                <w:szCs w:val="22"/>
                <w:lang w:val="sk-SK"/>
              </w:rPr>
            </w:pPr>
            <w:r w:rsidRPr="00F04D54">
              <w:rPr>
                <w:color w:val="auto"/>
                <w:sz w:val="22"/>
                <w:szCs w:val="22"/>
                <w:lang w:val="sk-SK"/>
              </w:rPr>
              <w:t xml:space="preserve">200-400 U </w:t>
            </w:r>
          </w:p>
        </w:tc>
      </w:tr>
      <w:tr w:rsidR="00F134F4" w:rsidRPr="00D73A56" w:rsidTr="003576CA">
        <w:trPr>
          <w:trHeight w:val="260"/>
          <w:jc w:val="center"/>
        </w:trPr>
        <w:tc>
          <w:tcPr>
            <w:tcW w:w="3036" w:type="dxa"/>
            <w:tcBorders>
              <w:left w:val="single" w:sz="4" w:space="0" w:color="000000"/>
              <w:bottom w:val="single" w:sz="4" w:space="0" w:color="auto"/>
              <w:right w:val="single" w:sz="4" w:space="0" w:color="000000"/>
            </w:tcBorders>
            <w:vAlign w:val="center"/>
          </w:tcPr>
          <w:p w:rsidR="00F134F4" w:rsidRPr="00F04D54" w:rsidRDefault="00F134F4" w:rsidP="003576CA">
            <w:pPr>
              <w:pStyle w:val="Default"/>
              <w:rPr>
                <w:color w:val="auto"/>
                <w:sz w:val="22"/>
                <w:szCs w:val="22"/>
                <w:lang w:val="sk-SK"/>
              </w:rPr>
            </w:pPr>
            <w:r w:rsidRPr="00F04D54">
              <w:rPr>
                <w:color w:val="auto"/>
                <w:sz w:val="22"/>
                <w:szCs w:val="22"/>
                <w:lang w:val="sk-SK"/>
              </w:rPr>
              <w:t>Pronator Teres</w:t>
            </w:r>
          </w:p>
        </w:tc>
        <w:tc>
          <w:tcPr>
            <w:tcW w:w="1932" w:type="dxa"/>
            <w:tcBorders>
              <w:left w:val="single" w:sz="4" w:space="0" w:color="000000"/>
              <w:bottom w:val="single" w:sz="4" w:space="0" w:color="auto"/>
              <w:right w:val="single" w:sz="4" w:space="0" w:color="000000"/>
            </w:tcBorders>
            <w:vAlign w:val="center"/>
          </w:tcPr>
          <w:p w:rsidR="00F134F4" w:rsidRPr="00F04D54" w:rsidRDefault="00F134F4" w:rsidP="003576CA">
            <w:pPr>
              <w:pStyle w:val="Default"/>
              <w:jc w:val="center"/>
              <w:rPr>
                <w:color w:val="auto"/>
                <w:sz w:val="22"/>
                <w:szCs w:val="22"/>
                <w:lang w:val="sk-SK"/>
              </w:rPr>
            </w:pPr>
            <w:r w:rsidRPr="00F04D54">
              <w:rPr>
                <w:color w:val="auto"/>
                <w:sz w:val="22"/>
                <w:szCs w:val="22"/>
                <w:lang w:val="sk-SK"/>
              </w:rPr>
              <w:t>100-200 U</w:t>
            </w:r>
          </w:p>
        </w:tc>
      </w:tr>
    </w:tbl>
    <w:p w:rsidR="00F134F4" w:rsidRPr="00F04D54" w:rsidRDefault="00F134F4" w:rsidP="003576CA">
      <w:pPr>
        <w:pStyle w:val="Default"/>
        <w:numPr>
          <w:ilvl w:val="0"/>
          <w:numId w:val="1"/>
          <w:numberingChange w:id="10" w:author="Unknown" w:date="2016-07-20T15:02:00Z" w:original=""/>
        </w:numPr>
        <w:rPr>
          <w:rFonts w:ascii="Arial" w:hAnsi="Arial" w:cs="Arial"/>
          <w:color w:val="FF0000"/>
          <w:sz w:val="18"/>
          <w:szCs w:val="18"/>
          <w:u w:val="single"/>
          <w:lang w:val="sk-SK"/>
        </w:rPr>
      </w:pPr>
    </w:p>
    <w:p w:rsidR="00F134F4" w:rsidRPr="00F04D54" w:rsidRDefault="00F134F4" w:rsidP="00F04D54">
      <w:pPr>
        <w:pStyle w:val="Default"/>
        <w:numPr>
          <w:ilvl w:val="0"/>
          <w:numId w:val="1"/>
          <w:numberingChange w:id="11" w:author="Unknown" w:date="2016-07-20T15:02:00Z" w:original=""/>
        </w:numPr>
        <w:tabs>
          <w:tab w:val="left" w:pos="0"/>
        </w:tabs>
        <w:jc w:val="both"/>
        <w:rPr>
          <w:szCs w:val="22"/>
          <w:lang w:val="sk-SK"/>
        </w:rPr>
      </w:pPr>
      <w:r w:rsidRPr="00F04D54">
        <w:rPr>
          <w:sz w:val="22"/>
          <w:szCs w:val="22"/>
          <w:lang w:val="sk-SK"/>
        </w:rPr>
        <w:t xml:space="preserve">Aj keď konkrétna lokalizácia miesta vpichu môže byť určená palpáciou, odporúča sa použitie techník ako napr. elektromyografia, elektrická stimulácia alebo ultrazvuk pre určenie miesta vpichu. </w:t>
      </w:r>
    </w:p>
    <w:p w:rsidR="00F134F4" w:rsidRPr="00F00DE4" w:rsidRDefault="00F134F4" w:rsidP="00FE4006">
      <w:pPr>
        <w:pStyle w:val="BodyText"/>
        <w:rPr>
          <w:rFonts w:ascii="Times New Roman" w:hAnsi="Times New Roman" w:cs="Times New Roman"/>
          <w:b w:val="0"/>
          <w:i w:val="0"/>
          <w:sz w:val="22"/>
          <w:szCs w:val="22"/>
          <w:lang w:val="sk-SK"/>
        </w:rPr>
      </w:pPr>
      <w:r w:rsidRPr="00F00DE4">
        <w:rPr>
          <w:rFonts w:ascii="Times New Roman" w:hAnsi="Times New Roman" w:cs="Times New Roman"/>
          <w:b w:val="0"/>
          <w:i w:val="0"/>
          <w:sz w:val="22"/>
          <w:szCs w:val="22"/>
          <w:lang w:val="sk-SK"/>
        </w:rPr>
        <w:t xml:space="preserve"> </w:t>
      </w:r>
    </w:p>
    <w:p w:rsidR="00F134F4" w:rsidRPr="00F04D54" w:rsidRDefault="00F134F4" w:rsidP="005A170F">
      <w:pPr>
        <w:pStyle w:val="Default"/>
        <w:rPr>
          <w:sz w:val="22"/>
          <w:lang w:val="sk-SK"/>
        </w:rPr>
      </w:pPr>
      <w:r w:rsidRPr="00F04D54">
        <w:rPr>
          <w:sz w:val="22"/>
          <w:lang w:val="sk-SK"/>
        </w:rPr>
        <w:t xml:space="preserve">Opakovaná liečba s botulotoxínom typu A – komplex hemaglutinínu by mala byť podaná, </w:t>
      </w:r>
      <w:r>
        <w:rPr>
          <w:sz w:val="22"/>
          <w:lang w:val="sk-SK"/>
        </w:rPr>
        <w:t>až vtedy, keď</w:t>
      </w:r>
      <w:r w:rsidRPr="00F04D54">
        <w:rPr>
          <w:sz w:val="22"/>
          <w:lang w:val="sk-SK"/>
        </w:rPr>
        <w:t xml:space="preserve"> účinok predchádzajúcej injekcie vymizol, ale nie skôr ako 12 týždňov po predchádzajúcej injekcii. Väčšina pacientov v klinických štúdiách bola opakovane liečená medzi 12-16 týždňami, avšak niektorí pacienti mali dlhšie trvanie odpovede na liečbu, t.j 20 týždňov. Stupeň a charakter svalovej spasticity v dobe podania opakovanej injekcie si môže vyžadovať zmenu v dávkovaní  </w:t>
      </w:r>
      <w:r w:rsidRPr="00F04D54">
        <w:rPr>
          <w:sz w:val="22"/>
          <w:szCs w:val="22"/>
          <w:lang w:val="sk-SK"/>
        </w:rPr>
        <w:t>botulotoxínu typu A – komplex hemaglutinínu</w:t>
      </w:r>
      <w:r w:rsidRPr="00F04D54">
        <w:rPr>
          <w:sz w:val="22"/>
          <w:lang w:val="sk-SK"/>
        </w:rPr>
        <w:t xml:space="preserve"> a zmenu svalov, do ktorých je podávaný.  </w:t>
      </w:r>
    </w:p>
    <w:p w:rsidR="00F134F4" w:rsidRPr="00F04D54" w:rsidRDefault="00F134F4" w:rsidP="005A170F">
      <w:pPr>
        <w:pStyle w:val="Default"/>
        <w:rPr>
          <w:sz w:val="22"/>
          <w:lang w:val="sk-SK"/>
        </w:rPr>
      </w:pPr>
      <w:r w:rsidRPr="00F04D54">
        <w:rPr>
          <w:sz w:val="22"/>
          <w:lang w:val="sk-SK"/>
        </w:rPr>
        <w:t xml:space="preserve">Klinické zlepšenie môže byť očakávané týždeň po podaní </w:t>
      </w:r>
      <w:r w:rsidRPr="00F04D54">
        <w:rPr>
          <w:sz w:val="22"/>
          <w:szCs w:val="22"/>
          <w:lang w:val="sk-SK"/>
        </w:rPr>
        <w:t>botulotoxínu typu A – komplex hemaglutinínu</w:t>
      </w:r>
      <w:r w:rsidRPr="00F04D54">
        <w:rPr>
          <w:sz w:val="22"/>
          <w:lang w:val="sk-SK"/>
        </w:rPr>
        <w:t>.</w:t>
      </w:r>
    </w:p>
    <w:p w:rsidR="00F134F4" w:rsidRPr="00D73A56" w:rsidRDefault="00F134F4" w:rsidP="00FE4006">
      <w:pPr>
        <w:pStyle w:val="BodyText"/>
        <w:rPr>
          <w:rFonts w:ascii="Times New Roman" w:hAnsi="Times New Roman" w:cs="Times New Roman"/>
          <w:b w:val="0"/>
          <w:i w:val="0"/>
          <w:sz w:val="22"/>
          <w:szCs w:val="22"/>
          <w:lang w:val="sk-SK"/>
        </w:rPr>
      </w:pP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Deti:</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Bezpečnosť a účinnosť Dysportu 500 U v liečbe spasticity horných končatín</w:t>
      </w:r>
      <w:r w:rsidRPr="00F00DE4">
        <w:rPr>
          <w:rFonts w:ascii="Times New Roman" w:hAnsi="Times New Roman" w:cs="Times New Roman"/>
          <w:b/>
          <w:sz w:val="22"/>
          <w:szCs w:val="22"/>
          <w:lang w:val="sk-SK"/>
        </w:rPr>
        <w:t xml:space="preserve"> </w:t>
      </w:r>
      <w:r w:rsidRPr="00F00DE4">
        <w:rPr>
          <w:rFonts w:ascii="Times New Roman" w:hAnsi="Times New Roman" w:cs="Times New Roman"/>
          <w:sz w:val="22"/>
          <w:szCs w:val="22"/>
          <w:lang w:val="sk-SK"/>
        </w:rPr>
        <w:t>u detí nebola preukázaná.</w:t>
      </w:r>
    </w:p>
    <w:p w:rsidR="00F134F4" w:rsidRPr="00F00DE4" w:rsidRDefault="00F134F4" w:rsidP="00FE4006">
      <w:pPr>
        <w:rPr>
          <w:rFonts w:ascii="Times New Roman" w:hAnsi="Times New Roman" w:cs="Times New Roman"/>
          <w:sz w:val="22"/>
          <w:szCs w:val="22"/>
          <w:lang w:val="sk-SK"/>
        </w:rPr>
      </w:pPr>
    </w:p>
    <w:p w:rsidR="00F134F4" w:rsidRPr="00D73A56" w:rsidRDefault="00F134F4" w:rsidP="00FE4006">
      <w:pPr>
        <w:rPr>
          <w:rFonts w:ascii="Times New Roman" w:hAnsi="Times New Roman" w:cs="Times New Roman"/>
          <w:sz w:val="22"/>
          <w:szCs w:val="22"/>
          <w:lang w:val="sk-SK"/>
        </w:rPr>
      </w:pPr>
      <w:r w:rsidRPr="00174BF6">
        <w:rPr>
          <w:rFonts w:ascii="Times New Roman" w:hAnsi="Times New Roman" w:cs="Times New Roman"/>
          <w:sz w:val="22"/>
          <w:szCs w:val="22"/>
          <w:lang w:val="sk-SK"/>
        </w:rPr>
        <w:t xml:space="preserve">Starší pacienti </w:t>
      </w:r>
      <w:r w:rsidRPr="00D73A56">
        <w:rPr>
          <w:rFonts w:ascii="Times New Roman" w:hAnsi="Times New Roman" w:cs="Times New Roman"/>
          <w:sz w:val="22"/>
          <w:szCs w:val="22"/>
          <w:lang w:val="sk-SK"/>
        </w:rPr>
        <w:t xml:space="preserve">(≥65 r): Klinická skúsenosť nepotvrdila </w:t>
      </w:r>
      <w:r>
        <w:rPr>
          <w:rFonts w:ascii="Times New Roman" w:hAnsi="Times New Roman" w:cs="Times New Roman"/>
          <w:sz w:val="22"/>
          <w:szCs w:val="22"/>
          <w:lang w:val="sk-SK"/>
        </w:rPr>
        <w:t xml:space="preserve">rozdiely </w:t>
      </w:r>
      <w:r w:rsidRPr="00D73A56">
        <w:rPr>
          <w:rFonts w:ascii="Times New Roman" w:hAnsi="Times New Roman" w:cs="Times New Roman"/>
          <w:sz w:val="22"/>
          <w:szCs w:val="22"/>
          <w:lang w:val="sk-SK"/>
        </w:rPr>
        <w:t xml:space="preserve">v odpovedi na liečbu medzi staršími a mladšími dospelými pacientmi. Vo všeobecnosti, starší pacienti </w:t>
      </w:r>
      <w:r>
        <w:rPr>
          <w:rFonts w:ascii="Times New Roman" w:hAnsi="Times New Roman" w:cs="Times New Roman"/>
          <w:sz w:val="22"/>
          <w:szCs w:val="22"/>
          <w:lang w:val="sk-SK"/>
        </w:rPr>
        <w:t xml:space="preserve">majú </w:t>
      </w:r>
      <w:r w:rsidRPr="00D73A56">
        <w:rPr>
          <w:rFonts w:ascii="Times New Roman" w:hAnsi="Times New Roman" w:cs="Times New Roman"/>
          <w:sz w:val="22"/>
          <w:szCs w:val="22"/>
          <w:lang w:val="sk-SK"/>
        </w:rPr>
        <w:t xml:space="preserve">byť sledovaní za účelom zhodnotenia ich </w:t>
      </w:r>
      <w:r>
        <w:rPr>
          <w:rFonts w:ascii="Times New Roman" w:hAnsi="Times New Roman" w:cs="Times New Roman"/>
          <w:sz w:val="22"/>
          <w:szCs w:val="22"/>
          <w:lang w:val="sk-SK"/>
        </w:rPr>
        <w:t>znášania</w:t>
      </w:r>
      <w:r w:rsidRPr="00D73A56">
        <w:rPr>
          <w:rFonts w:ascii="Times New Roman" w:hAnsi="Times New Roman" w:cs="Times New Roman"/>
          <w:sz w:val="22"/>
          <w:szCs w:val="22"/>
          <w:lang w:val="sk-SK"/>
        </w:rPr>
        <w:t xml:space="preserve"> liečby s botulotoxínom typu A – komplex hemaglu</w:t>
      </w:r>
      <w:r w:rsidRPr="00F00DE4">
        <w:rPr>
          <w:rFonts w:ascii="Times New Roman" w:hAnsi="Times New Roman" w:cs="Times New Roman"/>
          <w:sz w:val="22"/>
          <w:szCs w:val="22"/>
          <w:lang w:val="sk-SK"/>
        </w:rPr>
        <w:t xml:space="preserve">tinínu, </w:t>
      </w:r>
      <w:r>
        <w:rPr>
          <w:rFonts w:ascii="Times New Roman" w:hAnsi="Times New Roman" w:cs="Times New Roman"/>
          <w:sz w:val="22"/>
          <w:szCs w:val="22"/>
          <w:lang w:val="sk-SK"/>
        </w:rPr>
        <w:t>z dôvodu</w:t>
      </w:r>
      <w:r w:rsidRPr="00F00DE4">
        <w:rPr>
          <w:rFonts w:ascii="Times New Roman" w:hAnsi="Times New Roman" w:cs="Times New Roman"/>
          <w:sz w:val="22"/>
          <w:szCs w:val="22"/>
          <w:lang w:val="sk-SK"/>
        </w:rPr>
        <w:t xml:space="preserve"> vyšš</w:t>
      </w:r>
      <w:r>
        <w:rPr>
          <w:rFonts w:ascii="Times New Roman" w:hAnsi="Times New Roman" w:cs="Times New Roman"/>
          <w:sz w:val="22"/>
          <w:szCs w:val="22"/>
          <w:lang w:val="sk-SK"/>
        </w:rPr>
        <w:t>ieho</w:t>
      </w:r>
      <w:r w:rsidRPr="00F00DE4">
        <w:rPr>
          <w:rFonts w:ascii="Times New Roman" w:hAnsi="Times New Roman" w:cs="Times New Roman"/>
          <w:sz w:val="22"/>
          <w:szCs w:val="22"/>
          <w:lang w:val="sk-SK"/>
        </w:rPr>
        <w:t xml:space="preserve"> poč</w:t>
      </w:r>
      <w:r w:rsidRPr="00174BF6">
        <w:rPr>
          <w:rFonts w:ascii="Times New Roman" w:hAnsi="Times New Roman" w:cs="Times New Roman"/>
          <w:sz w:val="22"/>
          <w:szCs w:val="22"/>
          <w:lang w:val="sk-SK"/>
        </w:rPr>
        <w:t>t</w:t>
      </w:r>
      <w:r>
        <w:rPr>
          <w:rFonts w:ascii="Times New Roman" w:hAnsi="Times New Roman" w:cs="Times New Roman"/>
          <w:sz w:val="22"/>
          <w:szCs w:val="22"/>
          <w:lang w:val="sk-SK"/>
        </w:rPr>
        <w:t>u</w:t>
      </w:r>
      <w:r w:rsidRPr="00174BF6">
        <w:rPr>
          <w:rFonts w:ascii="Times New Roman" w:hAnsi="Times New Roman" w:cs="Times New Roman"/>
          <w:sz w:val="22"/>
          <w:szCs w:val="22"/>
          <w:lang w:val="sk-SK"/>
        </w:rPr>
        <w:t xml:space="preserve"> sprievodných ochorení a </w:t>
      </w:r>
      <w:r w:rsidRPr="00D73A56">
        <w:rPr>
          <w:rFonts w:ascii="Times New Roman" w:hAnsi="Times New Roman" w:cs="Times New Roman"/>
          <w:sz w:val="22"/>
          <w:szCs w:val="22"/>
          <w:lang w:val="sk-SK"/>
        </w:rPr>
        <w:t>užívani</w:t>
      </w:r>
      <w:r>
        <w:rPr>
          <w:rFonts w:ascii="Times New Roman" w:hAnsi="Times New Roman" w:cs="Times New Roman"/>
          <w:sz w:val="22"/>
          <w:szCs w:val="22"/>
          <w:lang w:val="sk-SK"/>
        </w:rPr>
        <w:t>a</w:t>
      </w:r>
      <w:r w:rsidRPr="00D73A56">
        <w:rPr>
          <w:rFonts w:ascii="Times New Roman" w:hAnsi="Times New Roman" w:cs="Times New Roman"/>
          <w:sz w:val="22"/>
          <w:szCs w:val="22"/>
          <w:lang w:val="sk-SK"/>
        </w:rPr>
        <w:t xml:space="preserve"> iných liekov.</w:t>
      </w:r>
    </w:p>
    <w:p w:rsidR="00F134F4" w:rsidRPr="00F00DE4" w:rsidRDefault="00F134F4" w:rsidP="00FE4006">
      <w:pPr>
        <w:rPr>
          <w:rFonts w:ascii="Times New Roman" w:hAnsi="Times New Roman" w:cs="Times New Roman"/>
          <w:sz w:val="22"/>
          <w:szCs w:val="22"/>
          <w:lang w:val="sk-SK"/>
        </w:rPr>
      </w:pPr>
    </w:p>
    <w:p w:rsidR="00F134F4" w:rsidRPr="00F00DE4" w:rsidRDefault="00F134F4" w:rsidP="00FE4006">
      <w:pPr>
        <w:pStyle w:val="Heading3"/>
        <w:numPr>
          <w:numberingChange w:id="12" w:author="Unknown" w:date="2016-07-20T15:02:00Z" w:original=""/>
        </w:numPr>
        <w:tabs>
          <w:tab w:val="left" w:pos="0"/>
        </w:tabs>
        <w:rPr>
          <w:rFonts w:cs="Times New Roman"/>
          <w:b w:val="0"/>
          <w:sz w:val="22"/>
          <w:szCs w:val="22"/>
          <w:u w:val="single"/>
        </w:rPr>
      </w:pPr>
      <w:r w:rsidRPr="00F00DE4">
        <w:rPr>
          <w:rFonts w:cs="Times New Roman"/>
          <w:b w:val="0"/>
          <w:sz w:val="22"/>
          <w:szCs w:val="22"/>
          <w:u w:val="single"/>
        </w:rPr>
        <w:t>Spôsob podávania</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pStyle w:val="WW-Zkladntext2"/>
        <w:rPr>
          <w:rFonts w:ascii="Times New Roman" w:hAnsi="Times New Roman" w:cs="Times New Roman"/>
          <w:sz w:val="22"/>
          <w:szCs w:val="22"/>
        </w:rPr>
      </w:pPr>
      <w:r w:rsidRPr="00F00DE4">
        <w:rPr>
          <w:rFonts w:ascii="Times New Roman" w:hAnsi="Times New Roman" w:cs="Times New Roman"/>
          <w:sz w:val="22"/>
          <w:szCs w:val="22"/>
        </w:rPr>
        <w:t>Pri liečbe fokálnej spasticity horných končatín u dospelých sa Dysport 500 U riedi v 1,0 ml 0,9 % roztoku chloridu sodného injekcie, čím vznikne roztok Dysportu 500 U obsahujúci 100 U v 1 ml, 200 U v 1 ml alebo 500 U v 1 ml. Dysport 500 U sa v tejto indikácii podáva intramuskulárne do vyššie popísaných svalov.</w:t>
      </w:r>
    </w:p>
    <w:p w:rsidR="00F134F4" w:rsidRPr="00F00DE4" w:rsidRDefault="00F134F4" w:rsidP="00FE4006">
      <w:pPr>
        <w:pStyle w:val="Heading1"/>
        <w:numPr>
          <w:numberingChange w:id="13" w:author="Unknown" w:date="2016-07-20T15:02:00Z" w:original=""/>
        </w:numPr>
        <w:tabs>
          <w:tab w:val="left" w:pos="0"/>
        </w:tabs>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sz w:val="22"/>
          <w:szCs w:val="22"/>
          <w:u w:val="single"/>
          <w:lang w:val="sk-SK"/>
        </w:rPr>
      </w:pPr>
      <w:r w:rsidRPr="00F00DE4">
        <w:rPr>
          <w:rFonts w:ascii="Times New Roman" w:hAnsi="Times New Roman" w:cs="Times New Roman"/>
          <w:b/>
          <w:sz w:val="22"/>
          <w:szCs w:val="22"/>
          <w:lang w:val="sk-SK"/>
        </w:rPr>
        <w:t>Dynamická deformita nohy (pes equinus) v dôsledku spasticity pri DMO u detských pacientov, vo veku 2 roky alebo starších:</w:t>
      </w:r>
    </w:p>
    <w:p w:rsidR="00F134F4" w:rsidRPr="00F00DE4" w:rsidRDefault="00F134F4" w:rsidP="00FE4006">
      <w:pPr>
        <w:rPr>
          <w:rFonts w:ascii="Times New Roman" w:hAnsi="Times New Roman" w:cs="Times New Roman"/>
          <w:sz w:val="22"/>
          <w:szCs w:val="22"/>
          <w:u w:val="single"/>
          <w:lang w:val="sk-SK"/>
        </w:rPr>
      </w:pPr>
      <w:r w:rsidRPr="00F00DE4">
        <w:rPr>
          <w:rFonts w:ascii="Times New Roman" w:hAnsi="Times New Roman" w:cs="Times New Roman"/>
          <w:sz w:val="22"/>
          <w:szCs w:val="22"/>
          <w:u w:val="single"/>
          <w:lang w:val="sk-SK"/>
        </w:rPr>
        <w:t>Dávkovanie:</w:t>
      </w:r>
    </w:p>
    <w:p w:rsidR="00F134F4" w:rsidRPr="00F00DE4" w:rsidRDefault="00F134F4" w:rsidP="00FE4006">
      <w:pPr>
        <w:pStyle w:val="BodyText"/>
        <w:rPr>
          <w:rFonts w:ascii="Times New Roman" w:hAnsi="Times New Roman" w:cs="Times New Roman"/>
          <w:i w:val="0"/>
          <w:iCs/>
          <w:sz w:val="22"/>
          <w:szCs w:val="22"/>
          <w:lang w:val="sk-SK"/>
        </w:rPr>
      </w:pPr>
    </w:p>
    <w:p w:rsidR="00F134F4" w:rsidRPr="00F00DE4" w:rsidRDefault="00F134F4" w:rsidP="00FE4006">
      <w:pPr>
        <w:pStyle w:val="BodyText"/>
        <w:rPr>
          <w:rFonts w:ascii="Times New Roman" w:hAnsi="Times New Roman" w:cs="Times New Roman"/>
          <w:b w:val="0"/>
          <w:bCs/>
          <w:i w:val="0"/>
          <w:iCs/>
          <w:sz w:val="22"/>
          <w:szCs w:val="22"/>
          <w:lang w:val="sk-SK"/>
        </w:rPr>
      </w:pPr>
      <w:r w:rsidRPr="00F00DE4">
        <w:rPr>
          <w:rFonts w:ascii="Times New Roman" w:hAnsi="Times New Roman" w:cs="Times New Roman"/>
          <w:b w:val="0"/>
          <w:bCs/>
          <w:i w:val="0"/>
          <w:iCs/>
          <w:sz w:val="22"/>
          <w:szCs w:val="22"/>
          <w:lang w:val="sk-SK"/>
        </w:rPr>
        <w:t xml:space="preserve">Počiatočná odporúčaná dávka je 20 U/kg telesnej hmotnosti rozdelená do lýtkových svalov oboch končatín. Pokiaľ je postihnuté len jedno lýtko, podáva sa 10 U/kg telesnej hmotnosti. Maximálna podaná dávka nesmie prekročiť 30 U/kg alebo 1000 U podľa toho, čo sa pokladá za nižšie. Použitie elektromyografie (EMG) môže pomôcť pri identifikácii najaktívnejších svalov. Ústup príznakov sa dá očakávať v priebehu dvoch týždňov po injekcii. Injekcie sa majú opakovať približne každých 16 týždňov alebo tak, ako to vyžadujú vracajúce sa príznaky, ale nie častejšie než každých 12 týždňov. Odporúča sa byť opatrný a dávka sa má znížiť, ak sú príznaky, ktoré naznačujú, že táto dávka môže vyústiť do excesívnej slabosti cieľových svalov, ako v prípade pacientov, ktorých cieľové svaly sú malé, alebo pacientov, u ktorých sa musia podať sprievodné injekcie do iných svalových skupín. Na základe vývoja odpovede po úvodnej dávke sa nasledujúca liečba môže titrovať úhrnom v rozmedzí 10 U/kg až 30 U/kg, ktorá sa rozdelí do oboch dolných končatín. </w:t>
      </w:r>
    </w:p>
    <w:p w:rsidR="00F134F4" w:rsidRPr="00F00DE4" w:rsidRDefault="00F134F4" w:rsidP="00FE4006">
      <w:pPr>
        <w:pStyle w:val="BodyText"/>
        <w:rPr>
          <w:rFonts w:ascii="Times New Roman" w:hAnsi="Times New Roman" w:cs="Times New Roman"/>
          <w:b w:val="0"/>
          <w:bCs/>
          <w:i w:val="0"/>
          <w:iCs/>
          <w:sz w:val="22"/>
          <w:szCs w:val="22"/>
          <w:lang w:val="sk-SK"/>
        </w:rPr>
      </w:pPr>
      <w:r w:rsidRPr="00F00DE4">
        <w:rPr>
          <w:rFonts w:ascii="Times New Roman" w:hAnsi="Times New Roman" w:cs="Times New Roman"/>
          <w:b w:val="0"/>
          <w:bCs/>
          <w:i w:val="0"/>
          <w:iCs/>
          <w:sz w:val="22"/>
          <w:szCs w:val="22"/>
          <w:lang w:val="sk-SK"/>
        </w:rPr>
        <w:t xml:space="preserve">Má sa uprednostňovať cielené podanie do </w:t>
      </w:r>
      <w:r w:rsidRPr="00F00DE4">
        <w:rPr>
          <w:rFonts w:ascii="Times New Roman" w:hAnsi="Times New Roman" w:cs="Times New Roman"/>
          <w:b w:val="0"/>
          <w:bCs/>
          <w:iCs/>
          <w:sz w:val="22"/>
          <w:szCs w:val="22"/>
          <w:lang w:val="sk-SK"/>
        </w:rPr>
        <w:t>m. gastrocnemius</w:t>
      </w:r>
      <w:r w:rsidRPr="00F00DE4">
        <w:rPr>
          <w:rFonts w:ascii="Times New Roman" w:hAnsi="Times New Roman" w:cs="Times New Roman"/>
          <w:b w:val="0"/>
          <w:bCs/>
          <w:i w:val="0"/>
          <w:iCs/>
          <w:sz w:val="22"/>
          <w:szCs w:val="22"/>
          <w:lang w:val="sk-SK"/>
        </w:rPr>
        <w:t xml:space="preserve">, aj keď sa má zvážiť aj injekcia do </w:t>
      </w:r>
      <w:r w:rsidRPr="00F00DE4">
        <w:rPr>
          <w:rFonts w:ascii="Times New Roman" w:hAnsi="Times New Roman" w:cs="Times New Roman"/>
          <w:b w:val="0"/>
          <w:bCs/>
          <w:iCs/>
          <w:sz w:val="22"/>
          <w:szCs w:val="22"/>
          <w:lang w:val="sk-SK"/>
        </w:rPr>
        <w:t>m. soleus</w:t>
      </w:r>
      <w:r w:rsidRPr="00F00DE4">
        <w:rPr>
          <w:rFonts w:ascii="Times New Roman" w:hAnsi="Times New Roman" w:cs="Times New Roman"/>
          <w:b w:val="0"/>
          <w:bCs/>
          <w:i w:val="0"/>
          <w:iCs/>
          <w:sz w:val="22"/>
          <w:szCs w:val="22"/>
          <w:lang w:val="sk-SK"/>
        </w:rPr>
        <w:t xml:space="preserve"> a </w:t>
      </w:r>
      <w:r w:rsidRPr="00F00DE4">
        <w:rPr>
          <w:rFonts w:ascii="Times New Roman" w:hAnsi="Times New Roman" w:cs="Times New Roman"/>
          <w:b w:val="0"/>
          <w:bCs/>
          <w:iCs/>
          <w:sz w:val="22"/>
          <w:szCs w:val="22"/>
          <w:lang w:val="sk-SK"/>
        </w:rPr>
        <w:t>m. tibialis posterior</w:t>
      </w:r>
      <w:r w:rsidRPr="00F00DE4">
        <w:rPr>
          <w:rFonts w:ascii="Times New Roman" w:hAnsi="Times New Roman" w:cs="Times New Roman"/>
          <w:b w:val="0"/>
          <w:bCs/>
          <w:i w:val="0"/>
          <w:iCs/>
          <w:sz w:val="22"/>
          <w:szCs w:val="22"/>
          <w:lang w:val="sk-SK"/>
        </w:rPr>
        <w:t>.</w:t>
      </w:r>
    </w:p>
    <w:p w:rsidR="00F134F4" w:rsidRPr="00F00DE4" w:rsidRDefault="00F134F4" w:rsidP="00FE4006">
      <w:pPr>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sz w:val="22"/>
          <w:szCs w:val="22"/>
          <w:u w:val="single"/>
          <w:lang w:val="sk-SK"/>
        </w:rPr>
      </w:pPr>
      <w:r w:rsidRPr="00F00DE4">
        <w:rPr>
          <w:rFonts w:ascii="Times New Roman" w:hAnsi="Times New Roman" w:cs="Times New Roman"/>
          <w:sz w:val="22"/>
          <w:szCs w:val="22"/>
          <w:u w:val="single"/>
          <w:lang w:val="sk-SK"/>
        </w:rPr>
        <w:t>Spôsob podávania</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Pri liečbe pediatrickej spasticity pri DMO sa riedi Dysport 500 U v 1,0 ml 0,9 % roztoku chloridu sodného injekcie, čím vznikne roztok Dysportu 500 U obsahujúci 500 U v 1 ml. Dysport 500 U sa podáva intramuskulárne do lýtkových svalov tak, ako je popísané vyššie.</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b/>
          <w:sz w:val="22"/>
          <w:szCs w:val="22"/>
          <w:lang w:val="sk-SK"/>
        </w:rPr>
      </w:pPr>
      <w:r w:rsidRPr="00F00DE4">
        <w:rPr>
          <w:rFonts w:ascii="Times New Roman" w:hAnsi="Times New Roman" w:cs="Times New Roman"/>
          <w:b/>
          <w:sz w:val="22"/>
          <w:szCs w:val="22"/>
          <w:lang w:val="sk-SK"/>
        </w:rPr>
        <w:t>Liečba spastického torticollis:</w:t>
      </w:r>
    </w:p>
    <w:p w:rsidR="00F134F4" w:rsidRPr="00F00DE4" w:rsidRDefault="00F134F4" w:rsidP="00FE4006">
      <w:pPr>
        <w:jc w:val="both"/>
        <w:rPr>
          <w:rFonts w:ascii="Times New Roman" w:hAnsi="Times New Roman" w:cs="Times New Roman"/>
          <w:sz w:val="22"/>
          <w:szCs w:val="22"/>
          <w:u w:val="single"/>
          <w:lang w:val="sk-SK"/>
        </w:rPr>
      </w:pPr>
      <w:r w:rsidRPr="00F00DE4">
        <w:rPr>
          <w:rFonts w:ascii="Times New Roman" w:hAnsi="Times New Roman" w:cs="Times New Roman"/>
          <w:sz w:val="22"/>
          <w:szCs w:val="22"/>
          <w:u w:val="single"/>
          <w:lang w:val="sk-SK"/>
        </w:rPr>
        <w:t>Dávkovanie:</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Dávky odporúčané na torticollis sa dajú podať dospelým každého veku za predpokladu, že majú normálnu hmotnosť a žiadne známky zmenšenej krčnej svalovej hmoty. Nižšia dávka je vhodná u pacientov so zmenšenou telesnou hmotnosťou a u starších pacientov, kde môže byť zmenšená  svalová hmota.</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Iniciálna odporúčaná dávka na liečbu spastického torticollis je 500 U (1 ml) na pacienta, podaná rozdelene do 2 alebo 3 najaktívnejších krčných svalov. </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Pri rotačnom torticollis sa rozdelí 500 U podaním 350 U do </w:t>
      </w:r>
      <w:r w:rsidRPr="00F00DE4">
        <w:rPr>
          <w:rFonts w:ascii="Times New Roman" w:hAnsi="Times New Roman" w:cs="Times New Roman"/>
          <w:i/>
          <w:sz w:val="22"/>
          <w:szCs w:val="22"/>
          <w:lang w:val="sk-SK"/>
        </w:rPr>
        <w:t xml:space="preserve">musculus splenius capitis </w:t>
      </w:r>
      <w:r w:rsidRPr="00F00DE4">
        <w:rPr>
          <w:rFonts w:ascii="Times New Roman" w:hAnsi="Times New Roman" w:cs="Times New Roman"/>
          <w:sz w:val="22"/>
          <w:szCs w:val="22"/>
          <w:lang w:val="sk-SK"/>
        </w:rPr>
        <w:t xml:space="preserve">ipsilaterálne v smere rotácie brady/hlavy a 150 U do </w:t>
      </w:r>
      <w:r w:rsidRPr="00F00DE4">
        <w:rPr>
          <w:rFonts w:ascii="Times New Roman" w:hAnsi="Times New Roman" w:cs="Times New Roman"/>
          <w:i/>
          <w:sz w:val="22"/>
          <w:szCs w:val="22"/>
          <w:lang w:val="sk-SK"/>
        </w:rPr>
        <w:t xml:space="preserve">musculus sternocleidomastoideus </w:t>
      </w:r>
      <w:r w:rsidRPr="00F00DE4">
        <w:rPr>
          <w:rFonts w:ascii="Times New Roman" w:hAnsi="Times New Roman" w:cs="Times New Roman"/>
          <w:sz w:val="22"/>
          <w:szCs w:val="22"/>
          <w:lang w:val="sk-SK"/>
        </w:rPr>
        <w:t>kontralaterálne k rotácii.</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Pri laterocollis sa rozdelí 500 U podaním 350 U do ipsilaterálneho </w:t>
      </w:r>
      <w:r w:rsidRPr="00F00DE4">
        <w:rPr>
          <w:rFonts w:ascii="Times New Roman" w:hAnsi="Times New Roman" w:cs="Times New Roman"/>
          <w:i/>
          <w:sz w:val="22"/>
          <w:szCs w:val="22"/>
          <w:lang w:val="sk-SK"/>
        </w:rPr>
        <w:t>musculus splenius capitis</w:t>
      </w:r>
      <w:r w:rsidRPr="00F00DE4">
        <w:rPr>
          <w:rFonts w:ascii="Times New Roman" w:hAnsi="Times New Roman" w:cs="Times New Roman"/>
          <w:sz w:val="22"/>
          <w:szCs w:val="22"/>
          <w:lang w:val="sk-SK"/>
        </w:rPr>
        <w:t xml:space="preserve"> a 150 U do ipsilaterálneho </w:t>
      </w:r>
      <w:r w:rsidRPr="00F00DE4">
        <w:rPr>
          <w:rFonts w:ascii="Times New Roman" w:hAnsi="Times New Roman" w:cs="Times New Roman"/>
          <w:i/>
          <w:sz w:val="22"/>
          <w:szCs w:val="22"/>
          <w:lang w:val="sk-SK"/>
        </w:rPr>
        <w:t>musculus sternocleidomastoideus</w:t>
      </w:r>
      <w:r w:rsidRPr="00F00DE4">
        <w:rPr>
          <w:rFonts w:ascii="Times New Roman" w:hAnsi="Times New Roman" w:cs="Times New Roman"/>
          <w:sz w:val="22"/>
          <w:szCs w:val="22"/>
          <w:lang w:val="sk-SK"/>
        </w:rPr>
        <w:t xml:space="preserve">. V prípadoch spojených s eleváciou ramena môže vyžadovať liečbu aj ipsilaterálny </w:t>
      </w:r>
      <w:r w:rsidRPr="00F00DE4">
        <w:rPr>
          <w:rFonts w:ascii="Times New Roman" w:hAnsi="Times New Roman" w:cs="Times New Roman"/>
          <w:i/>
          <w:sz w:val="22"/>
          <w:szCs w:val="22"/>
          <w:lang w:val="sk-SK"/>
        </w:rPr>
        <w:t>musculus trapezoideus</w:t>
      </w:r>
      <w:r w:rsidRPr="00F00DE4">
        <w:rPr>
          <w:rFonts w:ascii="Times New Roman" w:hAnsi="Times New Roman" w:cs="Times New Roman"/>
          <w:sz w:val="22"/>
          <w:szCs w:val="22"/>
          <w:lang w:val="sk-SK"/>
        </w:rPr>
        <w:t xml:space="preserve"> alebo </w:t>
      </w:r>
      <w:r w:rsidRPr="00F00DE4">
        <w:rPr>
          <w:rFonts w:ascii="Times New Roman" w:hAnsi="Times New Roman" w:cs="Times New Roman"/>
          <w:i/>
          <w:sz w:val="22"/>
          <w:szCs w:val="22"/>
          <w:lang w:val="sk-SK"/>
        </w:rPr>
        <w:t>musculus levator scapulae,</w:t>
      </w:r>
      <w:r w:rsidRPr="00F00DE4">
        <w:rPr>
          <w:rFonts w:ascii="Times New Roman" w:hAnsi="Times New Roman" w:cs="Times New Roman"/>
          <w:sz w:val="22"/>
          <w:szCs w:val="22"/>
          <w:lang w:val="sk-SK"/>
        </w:rPr>
        <w:t xml:space="preserve"> a to pri viditeľnej hypertrofii svalu alebo podľa elektromyografických nálezov (EMG). Pokiaľ je potrebné podať injekciu do 3 svalov, rozdelí sa 500 U podaním 300 U do </w:t>
      </w:r>
      <w:r w:rsidRPr="00F00DE4">
        <w:rPr>
          <w:rFonts w:ascii="Times New Roman" w:hAnsi="Times New Roman" w:cs="Times New Roman"/>
          <w:i/>
          <w:sz w:val="22"/>
          <w:szCs w:val="22"/>
          <w:lang w:val="sk-SK"/>
        </w:rPr>
        <w:t>musculus splenius capitis</w:t>
      </w:r>
      <w:r w:rsidRPr="00F00DE4">
        <w:rPr>
          <w:rFonts w:ascii="Times New Roman" w:hAnsi="Times New Roman" w:cs="Times New Roman"/>
          <w:sz w:val="22"/>
          <w:szCs w:val="22"/>
          <w:lang w:val="sk-SK"/>
        </w:rPr>
        <w:t xml:space="preserve">, 100 U do </w:t>
      </w:r>
      <w:r w:rsidRPr="00F00DE4">
        <w:rPr>
          <w:rFonts w:ascii="Times New Roman" w:hAnsi="Times New Roman" w:cs="Times New Roman"/>
          <w:i/>
          <w:sz w:val="22"/>
          <w:szCs w:val="22"/>
          <w:lang w:val="sk-SK"/>
        </w:rPr>
        <w:t>musculus sternocleidomastoideus</w:t>
      </w:r>
      <w:r w:rsidRPr="00F00DE4">
        <w:rPr>
          <w:rFonts w:ascii="Times New Roman" w:hAnsi="Times New Roman" w:cs="Times New Roman"/>
          <w:sz w:val="22"/>
          <w:szCs w:val="22"/>
          <w:lang w:val="sk-SK"/>
        </w:rPr>
        <w:t xml:space="preserve"> a 100 U do tretieho svalu. </w:t>
      </w:r>
    </w:p>
    <w:p w:rsidR="00F134F4" w:rsidRPr="00F00DE4" w:rsidRDefault="00F134F4" w:rsidP="00FE4006">
      <w:pPr>
        <w:jc w:val="both"/>
        <w:rPr>
          <w:rFonts w:ascii="Times New Roman" w:hAnsi="Times New Roman" w:cs="Times New Roman"/>
          <w:b/>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Pri retrocollis sa rozdelí 500 U podaním 250 U do každého </w:t>
      </w:r>
      <w:r w:rsidRPr="00F00DE4">
        <w:rPr>
          <w:rFonts w:ascii="Times New Roman" w:hAnsi="Times New Roman" w:cs="Times New Roman"/>
          <w:i/>
          <w:sz w:val="22"/>
          <w:szCs w:val="22"/>
          <w:lang w:val="sk-SK"/>
        </w:rPr>
        <w:t>musculus splenius capitis</w:t>
      </w:r>
      <w:r w:rsidRPr="00F00DE4">
        <w:rPr>
          <w:rFonts w:ascii="Times New Roman" w:hAnsi="Times New Roman" w:cs="Times New Roman"/>
          <w:sz w:val="22"/>
          <w:szCs w:val="22"/>
          <w:lang w:val="sk-SK"/>
        </w:rPr>
        <w:t xml:space="preserve">.  Obojstranná injekcia do </w:t>
      </w:r>
      <w:r w:rsidRPr="00F00DE4">
        <w:rPr>
          <w:rFonts w:ascii="Times New Roman" w:hAnsi="Times New Roman" w:cs="Times New Roman"/>
          <w:i/>
          <w:sz w:val="22"/>
          <w:szCs w:val="22"/>
          <w:lang w:val="sk-SK"/>
        </w:rPr>
        <w:t>musculus splenius</w:t>
      </w:r>
      <w:r w:rsidRPr="00F00DE4">
        <w:rPr>
          <w:rFonts w:ascii="Times New Roman" w:hAnsi="Times New Roman" w:cs="Times New Roman"/>
          <w:sz w:val="22"/>
          <w:szCs w:val="22"/>
          <w:lang w:val="sk-SK"/>
        </w:rPr>
        <w:t xml:space="preserve"> môže zvýšiť riziko slabosti krčných svalov.</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U všetkých ostatných foriem torticollis veľmi závisí na znalosti špecialistu a na EMG, aby boli určené a liečené najaktívnejšie svaly. EMG sa má používať diagnosticky na všetky komplexné formy torticollis, na prehodnotenie po neúspešnej injekcii u nekomplexných prípadov a na zavádzanie injekcie do hlbokých svalov alebo u pacientov s nadváhou so zle palpovateľnými krčnými svalmi.</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622EA3">
      <w:pPr>
        <w:rPr>
          <w:rFonts w:ascii="Times New Roman" w:hAnsi="Times New Roman" w:cs="Times New Roman"/>
          <w:sz w:val="22"/>
          <w:szCs w:val="22"/>
          <w:lang w:val="sk-SK"/>
        </w:rPr>
      </w:pPr>
      <w:r w:rsidRPr="00F00DE4">
        <w:rPr>
          <w:rFonts w:ascii="Times New Roman" w:hAnsi="Times New Roman" w:cs="Times New Roman"/>
          <w:sz w:val="22"/>
          <w:szCs w:val="22"/>
          <w:lang w:val="sk-SK"/>
        </w:rPr>
        <w:t>Pri opakovanom podaní môže byť dávka prispôsobená klinickej odpovedi a pozorovaným nežiaducim účinkom. Odporúča sa rozmedzie dávok od 250 U do 1000 U. Vyššia dávka už môže byť spojená so zvýšením nežiaducich účinkov, predovšetkým dysfágie. Maximálna podaná dávka nesmie presiahnuť 1000 U.</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Ústup symptómov pri torticollis sa dá očakávať v priebehu týždňa po injekcii. Injekcia sa má opakovať približne každých 16 týždňov alebo tak, </w:t>
      </w:r>
      <w:r w:rsidRPr="00F00DE4">
        <w:rPr>
          <w:rFonts w:ascii="Times New Roman" w:hAnsi="Times New Roman" w:cs="Times New Roman"/>
          <w:bCs/>
          <w:i/>
          <w:iCs/>
          <w:sz w:val="22"/>
          <w:szCs w:val="22"/>
          <w:lang w:val="sk-SK"/>
        </w:rPr>
        <w:t>ako to vyžadujú opakujúce  sa príznaky, ale nie častejšie než každých 12 týždňov.</w:t>
      </w:r>
      <w:r w:rsidRPr="00F00DE4">
        <w:rPr>
          <w:rFonts w:ascii="Times New Roman" w:hAnsi="Times New Roman" w:cs="Times New Roman"/>
          <w:sz w:val="22"/>
          <w:szCs w:val="22"/>
          <w:lang w:val="sk-SK"/>
        </w:rPr>
        <w:t xml:space="preserve"> </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u w:val="single"/>
          <w:lang w:val="sk-SK"/>
        </w:rPr>
      </w:pPr>
      <w:r w:rsidRPr="00F00DE4">
        <w:rPr>
          <w:rFonts w:ascii="Times New Roman" w:hAnsi="Times New Roman" w:cs="Times New Roman"/>
          <w:sz w:val="22"/>
          <w:szCs w:val="22"/>
          <w:u w:val="single"/>
          <w:lang w:val="sk-SK"/>
        </w:rPr>
        <w:t>Deti:</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Bezpečnosť a účinnosť Dysportu 500 U u detí v liečbe spastického torticollis nebola preukázaná.</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u w:val="single"/>
          <w:lang w:val="sk-SK"/>
        </w:rPr>
      </w:pPr>
      <w:r w:rsidRPr="00F00DE4">
        <w:rPr>
          <w:rFonts w:ascii="Times New Roman" w:hAnsi="Times New Roman" w:cs="Times New Roman"/>
          <w:sz w:val="22"/>
          <w:szCs w:val="22"/>
          <w:u w:val="single"/>
          <w:lang w:val="sk-SK"/>
        </w:rPr>
        <w:t>Spôsob podávania</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Na liečbu spastického torticollis sa Dysport 500 U pripraví pridaním 1 ml 0,9 % roztoku chloridu sodného injekcie, aby sa získal roztok obsahujúci 500 U v 1 ml Dysportu 500 U. Dysport 500 U sa podáva intramuskulárnou injekciou do určených miest.</w:t>
      </w:r>
    </w:p>
    <w:p w:rsidR="00F134F4" w:rsidRPr="00F00DE4" w:rsidRDefault="00F134F4" w:rsidP="00FE4006">
      <w:pPr>
        <w:jc w:val="both"/>
        <w:rPr>
          <w:rFonts w:ascii="Times New Roman" w:hAnsi="Times New Roman" w:cs="Times New Roman"/>
          <w:b/>
          <w:sz w:val="22"/>
          <w:szCs w:val="22"/>
          <w:lang w:val="sk-SK"/>
        </w:rPr>
      </w:pPr>
    </w:p>
    <w:p w:rsidR="00F134F4" w:rsidRPr="00F00DE4" w:rsidRDefault="00F134F4" w:rsidP="00FE4006">
      <w:pPr>
        <w:jc w:val="both"/>
        <w:rPr>
          <w:rFonts w:ascii="Times New Roman" w:hAnsi="Times New Roman" w:cs="Times New Roman"/>
          <w:b/>
          <w:sz w:val="22"/>
          <w:szCs w:val="22"/>
          <w:lang w:val="sk-SK"/>
        </w:rPr>
      </w:pPr>
      <w:r w:rsidRPr="00F00DE4">
        <w:rPr>
          <w:rFonts w:ascii="Times New Roman" w:hAnsi="Times New Roman" w:cs="Times New Roman"/>
          <w:b/>
          <w:sz w:val="22"/>
          <w:szCs w:val="22"/>
          <w:lang w:val="sk-SK"/>
        </w:rPr>
        <w:t>Liečba blefarospazmu a hemifaciálneho spazmu:</w:t>
      </w:r>
    </w:p>
    <w:p w:rsidR="00F134F4" w:rsidRDefault="00F134F4" w:rsidP="00FE4006">
      <w:pPr>
        <w:rPr>
          <w:rFonts w:ascii="Times New Roman" w:hAnsi="Times New Roman" w:cs="Times New Roman"/>
          <w:i/>
          <w:sz w:val="22"/>
          <w:szCs w:val="22"/>
          <w:u w:val="single"/>
          <w:lang w:val="sk-SK"/>
        </w:rPr>
      </w:pPr>
      <w:r w:rsidRPr="00F00DE4">
        <w:rPr>
          <w:rFonts w:ascii="Times New Roman" w:hAnsi="Times New Roman" w:cs="Times New Roman"/>
          <w:i/>
          <w:sz w:val="22"/>
          <w:szCs w:val="22"/>
          <w:u w:val="single"/>
          <w:lang w:val="sk-SK"/>
        </w:rPr>
        <w:t>Dávkovanie:</w:t>
      </w:r>
    </w:p>
    <w:p w:rsidR="00F134F4" w:rsidRPr="00F00DE4" w:rsidRDefault="00F134F4" w:rsidP="00FE4006">
      <w:pPr>
        <w:rPr>
          <w:rFonts w:ascii="Times New Roman" w:hAnsi="Times New Roman" w:cs="Times New Roman"/>
          <w:sz w:val="22"/>
          <w:szCs w:val="22"/>
          <w:lang w:val="sk-SK"/>
        </w:rPr>
      </w:pPr>
      <w:r w:rsidRPr="00D73A56">
        <w:rPr>
          <w:rFonts w:ascii="Times New Roman" w:hAnsi="Times New Roman" w:cs="Times New Roman"/>
          <w:sz w:val="22"/>
          <w:szCs w:val="22"/>
          <w:lang w:val="sk-SK"/>
        </w:rPr>
        <w:t>V klinických štúdiá</w:t>
      </w:r>
      <w:r w:rsidRPr="00F00DE4">
        <w:rPr>
          <w:rFonts w:ascii="Times New Roman" w:hAnsi="Times New Roman" w:cs="Times New Roman"/>
          <w:sz w:val="22"/>
          <w:szCs w:val="22"/>
          <w:lang w:val="sk-SK"/>
        </w:rPr>
        <w:t xml:space="preserve">ch skúmajúcich dávku použitého Dysportu 500 U na liečbu benígneho esenciálneho blefarospazmu bola dávka 40 U na jedno oko významne účinná. Dávka 80 U na jedno oko mala za následok dlhšie trvanie účinku. Avšak výskyt lokálnych nežiaducich účinkov (najmä ptóza), boli závislé na dávke. </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Injekcia 10 U (0,05 ml ) sa má podať mediálne a 10 U (0,05 ml ) laterálne do spojenia medzi preseptálnou a orbitálnou časťou horného (3 a 4) a dolného </w:t>
      </w:r>
      <w:r w:rsidRPr="00F00DE4">
        <w:rPr>
          <w:rFonts w:ascii="Times New Roman" w:hAnsi="Times New Roman" w:cs="Times New Roman"/>
          <w:i/>
          <w:sz w:val="22"/>
          <w:szCs w:val="22"/>
          <w:lang w:val="sk-SK"/>
        </w:rPr>
        <w:t>musculus orbicularis oculi</w:t>
      </w:r>
      <w:r w:rsidRPr="00F00DE4">
        <w:rPr>
          <w:rFonts w:ascii="Times New Roman" w:hAnsi="Times New Roman" w:cs="Times New Roman"/>
          <w:sz w:val="22"/>
          <w:szCs w:val="22"/>
          <w:lang w:val="sk-SK"/>
        </w:rPr>
        <w:t xml:space="preserve"> (5 a 6) každého oka.</w:t>
      </w:r>
    </w:p>
    <w:p w:rsidR="00F134F4" w:rsidRPr="00F00DE4" w:rsidRDefault="00F134F4" w:rsidP="00FE4006">
      <w:pPr>
        <w:pStyle w:val="EndnoteText"/>
        <w:widowControl w:val="0"/>
        <w:jc w:val="both"/>
        <w:rPr>
          <w:i/>
          <w:sz w:val="22"/>
          <w:szCs w:val="22"/>
          <w:lang w:val="sk-SK"/>
        </w:rPr>
      </w:pPr>
      <w:r w:rsidRPr="00F00DE4">
        <w:rPr>
          <w:sz w:val="22"/>
          <w:szCs w:val="22"/>
          <w:lang w:val="sk-SK"/>
        </w:rPr>
        <w:t xml:space="preserve">Za účelom zníženia rizika ptózy, je potrebné sa vyvarovať injekcie blízko </w:t>
      </w:r>
      <w:r w:rsidRPr="00F00DE4">
        <w:rPr>
          <w:i/>
          <w:sz w:val="22"/>
          <w:szCs w:val="22"/>
          <w:lang w:val="sk-SK"/>
        </w:rPr>
        <w:t>musculus levator palpebrae superioris.</w:t>
      </w:r>
    </w:p>
    <w:p w:rsidR="00F134F4" w:rsidRPr="00F00DE4" w:rsidRDefault="00F134F4" w:rsidP="00FE4006">
      <w:pPr>
        <w:pStyle w:val="EndnoteText"/>
        <w:widowControl w:val="0"/>
        <w:jc w:val="both"/>
        <w:rPr>
          <w:sz w:val="22"/>
          <w:szCs w:val="22"/>
          <w:lang w:val="sk-SK"/>
        </w:rPr>
      </w:pP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center"/>
        <w:rPr>
          <w:rFonts w:ascii="Times New Roman" w:hAnsi="Times New Roman" w:cs="Times New Roman"/>
          <w:sz w:val="22"/>
          <w:szCs w:val="22"/>
          <w:lang w:val="sk-SK"/>
        </w:rPr>
      </w:pPr>
      <w:r w:rsidRPr="00603053">
        <w:rPr>
          <w:rFonts w:ascii="Times New Roman" w:hAnsi="Times New Roman" w:cs="Times New Roman"/>
          <w:noProof/>
          <w:sz w:val="22"/>
          <w:szCs w:val="22"/>
          <w:lang w:val="sk-SK"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ok 1" o:spid="_x0000_i1025" type="#_x0000_t75" style="width:235.5pt;height:185.25pt;visibility:visible">
            <v:imagedata r:id="rId7" o:title=""/>
          </v:shape>
        </w:pic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Pri injekcii do horného viečka sa ihla má smerovať von z jeho stredu, aby nebol zasiahnutý </w:t>
      </w:r>
      <w:r w:rsidRPr="00F00DE4">
        <w:rPr>
          <w:rFonts w:ascii="Times New Roman" w:hAnsi="Times New Roman" w:cs="Times New Roman"/>
          <w:i/>
          <w:sz w:val="22"/>
          <w:szCs w:val="22"/>
          <w:lang w:val="sk-SK"/>
        </w:rPr>
        <w:t>musculus levator</w:t>
      </w:r>
      <w:r w:rsidRPr="00F00DE4">
        <w:rPr>
          <w:rFonts w:ascii="Times New Roman" w:hAnsi="Times New Roman" w:cs="Times New Roman"/>
          <w:sz w:val="22"/>
          <w:szCs w:val="22"/>
          <w:lang w:val="sk-SK"/>
        </w:rPr>
        <w:t>. Priložený obrázok má pomôcť v umiestnení injekcií. Začiatok ústupu symptómov sa dá očakávať v priebehu 2 až 4 dní s maximálnym efektom za 2 týždne.</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682658">
      <w:pPr>
        <w:pStyle w:val="BodyTextIndent2"/>
        <w:widowControl w:val="0"/>
        <w:spacing w:line="240" w:lineRule="auto"/>
        <w:ind w:left="0"/>
        <w:jc w:val="both"/>
        <w:rPr>
          <w:sz w:val="22"/>
          <w:szCs w:val="22"/>
          <w:lang w:val="sk-SK"/>
        </w:rPr>
      </w:pPr>
      <w:r w:rsidRPr="00F00DE4">
        <w:rPr>
          <w:sz w:val="22"/>
          <w:szCs w:val="22"/>
          <w:lang w:val="sk-SK"/>
        </w:rPr>
        <w:t>Injekcie sa majú opakovať približne každých 12 týždňov alebo podľa potreby k prevencii návratu príznakov, ale nie častejšie než každých dvanásť týždňov. Pri nasledujúcom podaní, ak odpoveď počiatočnej liečby je považovaná za nedostatočnú, potreba dávky môže byť zvýšená na 60 jednotiek: 10 U (0,05 ml) mediálne a 20 U (0,1 ml) laterálne, na 80 jednotiek: 20 U (0,1 ml) mediálne a 20 U (0,1 ml) laterálne alebo až na 120 jednotiek: 20 U (0,1 ml) mediálne a 40 U (0,2 ml) laterálne nad a pod každé oko podľa vyššie popísaného spôsobu. Je možné injikovať rovnaké miesta v </w:t>
      </w:r>
      <w:r w:rsidRPr="00F00DE4">
        <w:rPr>
          <w:i/>
          <w:sz w:val="22"/>
          <w:szCs w:val="22"/>
          <w:lang w:val="sk-SK"/>
        </w:rPr>
        <w:t>musculus frontalis</w:t>
      </w:r>
      <w:r w:rsidRPr="00F00DE4">
        <w:rPr>
          <w:sz w:val="22"/>
          <w:szCs w:val="22"/>
          <w:lang w:val="sk-SK"/>
        </w:rPr>
        <w:t xml:space="preserve"> nad obočím (1 a 2), ak spazmus prekáža zraku.</w:t>
      </w:r>
    </w:p>
    <w:p w:rsidR="00F134F4" w:rsidRPr="00F00DE4" w:rsidRDefault="00F134F4" w:rsidP="00A234DF">
      <w:pPr>
        <w:jc w:val="both"/>
        <w:rPr>
          <w:rFonts w:ascii="Times New Roman" w:hAnsi="Times New Roman" w:cs="Times New Roman"/>
          <w:sz w:val="22"/>
          <w:szCs w:val="22"/>
          <w:lang w:val="sk-SK"/>
        </w:rPr>
      </w:pPr>
    </w:p>
    <w:p w:rsidR="00F134F4" w:rsidRPr="00F00DE4" w:rsidRDefault="00F134F4" w:rsidP="00A234DF">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V prípade jednostranného blefarospazmu sa injekcie obmedzia na postihnuté oko.</w:t>
      </w:r>
    </w:p>
    <w:p w:rsidR="00F134F4" w:rsidRPr="00F00DE4" w:rsidRDefault="00F134F4" w:rsidP="00682658">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Pacienti s hemifaciálnym spazmom sa majú liečiť ako pri jednostrannom blefarospazme. </w:t>
      </w:r>
    </w:p>
    <w:p w:rsidR="00F134F4" w:rsidRPr="00F00DE4" w:rsidRDefault="00F134F4" w:rsidP="00682658">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Odporúčané dávky sa dajú podať dospelým každého veku vrátane starších pacientov.</w:t>
      </w:r>
    </w:p>
    <w:p w:rsidR="00F134F4" w:rsidRPr="00F00DE4" w:rsidRDefault="00F134F4" w:rsidP="00682658">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V liečbe blefarospazmu a hemifaciálneho spazmu, maximálna dávka nemá prekročiť celkovú dávku 120 U na jedno oko.</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Deti:</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Bezpečnosť a účinnosť Dysportu 500 U v liečbe blefarospazmu a hemifaciálneho spazmu u detí nebola preukázaná.</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b/>
          <w:sz w:val="22"/>
          <w:szCs w:val="22"/>
          <w:u w:val="single"/>
          <w:lang w:val="sk-SK"/>
        </w:rPr>
      </w:pPr>
      <w:r w:rsidRPr="00F00DE4">
        <w:rPr>
          <w:rFonts w:ascii="Times New Roman" w:hAnsi="Times New Roman" w:cs="Times New Roman"/>
          <w:sz w:val="22"/>
          <w:szCs w:val="22"/>
          <w:u w:val="single"/>
          <w:lang w:val="sk-SK"/>
        </w:rPr>
        <w:t>Spôsob podávania</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Na liečbu blefarospazmu alebo hemifaciálneho spazmu sa Dysport 500 U pripraví pridaním 2,5 ml </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0,9 % roztoku chloridu sodného injekcie, aby sa dosiahlo riedenie roztoku obsahujúce 200 U v 1 ml Dysportu 500 U. Dysport 500 U sa podáva subkutánnou injekciou mediálne a laterálne do spojenia  medzi preseptálnou a orbitálnou časťou horného a dolného </w:t>
      </w:r>
      <w:r w:rsidRPr="00F00DE4">
        <w:rPr>
          <w:rFonts w:ascii="Times New Roman" w:hAnsi="Times New Roman" w:cs="Times New Roman"/>
          <w:i/>
          <w:sz w:val="22"/>
          <w:szCs w:val="22"/>
          <w:lang w:val="sk-SK"/>
        </w:rPr>
        <w:t>musculus orbicularis oculi</w:t>
      </w:r>
      <w:r w:rsidRPr="00F00DE4">
        <w:rPr>
          <w:rFonts w:ascii="Times New Roman" w:hAnsi="Times New Roman" w:cs="Times New Roman"/>
          <w:sz w:val="22"/>
          <w:szCs w:val="22"/>
          <w:lang w:val="sk-SK"/>
        </w:rPr>
        <w:t>.</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
          <w:bCs/>
          <w:sz w:val="22"/>
          <w:szCs w:val="22"/>
          <w:lang w:val="sk-SK"/>
        </w:rPr>
        <w:t>Axilárna hyperhidróza</w:t>
      </w:r>
    </w:p>
    <w:p w:rsidR="00F134F4" w:rsidRPr="00F00DE4" w:rsidRDefault="00F134F4" w:rsidP="00FE4006">
      <w:pPr>
        <w:jc w:val="both"/>
        <w:rPr>
          <w:rFonts w:ascii="Times New Roman" w:hAnsi="Times New Roman" w:cs="Times New Roman"/>
          <w:bCs/>
          <w:sz w:val="22"/>
          <w:szCs w:val="22"/>
          <w:lang w:val="sk-SK"/>
        </w:rPr>
      </w:pP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u w:val="single"/>
          <w:lang w:val="sk-SK"/>
        </w:rPr>
        <w:t>Dávkovanie</w:t>
      </w:r>
      <w:r w:rsidRPr="00F00DE4">
        <w:rPr>
          <w:rFonts w:ascii="Times New Roman" w:hAnsi="Times New Roman" w:cs="Times New Roman"/>
          <w:bCs/>
          <w:sz w:val="22"/>
          <w:szCs w:val="22"/>
          <w:lang w:val="sk-SK"/>
        </w:rPr>
        <w:t>:</w:t>
      </w:r>
    </w:p>
    <w:p w:rsidR="00F134F4" w:rsidRPr="00F00DE4" w:rsidRDefault="00F134F4" w:rsidP="00FE4006">
      <w:pPr>
        <w:jc w:val="both"/>
        <w:rPr>
          <w:rFonts w:ascii="Times New Roman" w:hAnsi="Times New Roman" w:cs="Times New Roman"/>
          <w:bCs/>
          <w:sz w:val="22"/>
          <w:szCs w:val="22"/>
          <w:lang w:val="sk-SK"/>
        </w:rPr>
      </w:pPr>
    </w:p>
    <w:p w:rsidR="00F134F4" w:rsidRPr="00F00DE4" w:rsidRDefault="00F134F4" w:rsidP="00AA06FF">
      <w:pPr>
        <w:rPr>
          <w:rFonts w:ascii="Times New Roman" w:hAnsi="Times New Roman" w:cs="Times New Roman"/>
          <w:bCs/>
          <w:sz w:val="22"/>
          <w:szCs w:val="22"/>
          <w:lang w:val="sk-SK"/>
        </w:rPr>
      </w:pPr>
      <w:r w:rsidRPr="00F00DE4">
        <w:rPr>
          <w:rFonts w:ascii="Times New Roman" w:hAnsi="Times New Roman" w:cs="Times New Roman"/>
          <w:bCs/>
          <w:sz w:val="22"/>
          <w:szCs w:val="22"/>
          <w:lang w:val="sk-SK"/>
        </w:rPr>
        <w:t xml:space="preserve">Odporúčaná počiatočná dávka je 100 U na podpazušie. Ak sa požadovaný efekt nedostaví, v opakovaných aplikáciách sa môže zvýšiť dávka až na 200 U. </w:t>
      </w:r>
    </w:p>
    <w:p w:rsidR="00F134F4" w:rsidRPr="00F00DE4" w:rsidRDefault="00F134F4" w:rsidP="00AA06FF">
      <w:pPr>
        <w:rPr>
          <w:rFonts w:ascii="Times New Roman" w:hAnsi="Times New Roman" w:cs="Times New Roman"/>
          <w:bCs/>
          <w:sz w:val="22"/>
          <w:szCs w:val="22"/>
          <w:lang w:val="sk-SK"/>
        </w:rPr>
      </w:pPr>
      <w:r w:rsidRPr="00F00DE4">
        <w:rPr>
          <w:rFonts w:ascii="Times New Roman" w:hAnsi="Times New Roman" w:cs="Times New Roman"/>
          <w:bCs/>
          <w:sz w:val="22"/>
          <w:szCs w:val="22"/>
          <w:lang w:val="sk-SK"/>
        </w:rPr>
        <w:t>Maximálna podaná dávka nesmie presiahnuť 200 U na axillu.</w:t>
      </w:r>
    </w:p>
    <w:p w:rsidR="00F134F4" w:rsidRPr="00F00DE4" w:rsidRDefault="00F134F4" w:rsidP="00FE4006">
      <w:pPr>
        <w:tabs>
          <w:tab w:val="left" w:pos="720"/>
        </w:tabs>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Oblasť, ktorá sa má ošetriť, sa má určiť dopredu Minorovým „jódamidovým“ testom. Obe axily sa majú očistiť a dezinfikovať. Liek sa má injikovať do 10 bodov intradermálne po 10 U a tak sa dosiahne celková dávka 100 U. Maximálny účinok sa dostaví na druhý týždeň po aplikácii. Vo väčšine prípadov odporúčaná dávka zabezpečí 48 týždňový ústup potenia. Ďalšia aplikácia sa má načasovať individuálne, keď sa pacientove potenie vráti k hodnotám pred aplikáciou, ale nie častejšie ako každých 12 týždňov. Existujú dôkazy kumulatívneho efektu opakovaných dávok, a preto sa tieto musia určiť individuálne. U palmárnej hyperhidrózy je celková dávka na jednu dlaň 120 U subkutánne, rozmiestnená do 6 rôznych miest, 20 U na jedno injekčné miesto.</w:t>
      </w:r>
    </w:p>
    <w:p w:rsidR="00F134F4" w:rsidRPr="00F00DE4" w:rsidRDefault="00F134F4" w:rsidP="00FE4006">
      <w:pPr>
        <w:jc w:val="both"/>
        <w:rPr>
          <w:rFonts w:ascii="Times New Roman" w:hAnsi="Times New Roman" w:cs="Times New Roman"/>
          <w:bCs/>
          <w:sz w:val="22"/>
          <w:szCs w:val="22"/>
          <w:lang w:val="sk-SK"/>
        </w:rPr>
      </w:pP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 xml:space="preserve">Deti: Bezpečnosť a účinnosť Dysportu 500 U v liečbe hyperhidrózy detí nie je dokázaná. </w:t>
      </w:r>
    </w:p>
    <w:p w:rsidR="00F134F4" w:rsidRPr="00F00DE4" w:rsidRDefault="00F134F4" w:rsidP="00FE4006">
      <w:pPr>
        <w:pStyle w:val="Heading4"/>
        <w:numPr>
          <w:numberingChange w:id="14" w:author="Unknown" w:date="2016-07-20T15:02:00Z" w:original=""/>
        </w:numPr>
        <w:rPr>
          <w:rFonts w:cs="Times New Roman"/>
          <w:color w:val="000000"/>
          <w:sz w:val="22"/>
          <w:szCs w:val="22"/>
        </w:rPr>
      </w:pPr>
    </w:p>
    <w:p w:rsidR="00F134F4" w:rsidRPr="00F00DE4" w:rsidRDefault="00F134F4" w:rsidP="00FE4006">
      <w:pPr>
        <w:pStyle w:val="Heading4"/>
        <w:numPr>
          <w:numberingChange w:id="15" w:author="Unknown" w:date="2016-07-20T15:02:00Z" w:original=""/>
        </w:numPr>
        <w:rPr>
          <w:rFonts w:cs="Times New Roman"/>
          <w:b w:val="0"/>
          <w:i w:val="0"/>
          <w:color w:val="000000"/>
          <w:sz w:val="22"/>
          <w:szCs w:val="22"/>
          <w:u w:val="single"/>
        </w:rPr>
      </w:pPr>
      <w:r w:rsidRPr="00F00DE4">
        <w:rPr>
          <w:rFonts w:cs="Times New Roman"/>
          <w:b w:val="0"/>
          <w:i w:val="0"/>
          <w:color w:val="000000"/>
          <w:sz w:val="22"/>
          <w:szCs w:val="22"/>
          <w:u w:val="single"/>
        </w:rPr>
        <w:t>Spôsob podávania</w:t>
      </w:r>
    </w:p>
    <w:p w:rsidR="00F134F4" w:rsidRPr="00F00DE4" w:rsidRDefault="00F134F4" w:rsidP="00682658">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Na liečbu axilárnej hyperhidrózy sa Dysport 500 U rekonštituuje s 2, 5 ml 0,9 % roztoku chloridu sodného injekcie, ktorý obsahuje 200 U v 1 ml Dysportu 500 U</w:t>
      </w:r>
      <w:r>
        <w:rPr>
          <w:rFonts w:ascii="Times New Roman" w:hAnsi="Times New Roman" w:cs="Times New Roman"/>
          <w:sz w:val="22"/>
          <w:szCs w:val="22"/>
          <w:lang w:val="sk-SK"/>
        </w:rPr>
        <w:t xml:space="preserve"> </w:t>
      </w:r>
      <w:r w:rsidRPr="00D73A56">
        <w:rPr>
          <w:rFonts w:ascii="Times New Roman" w:hAnsi="Times New Roman" w:cs="Times New Roman"/>
          <w:sz w:val="22"/>
          <w:szCs w:val="22"/>
          <w:lang w:val="sk-SK"/>
        </w:rPr>
        <w:t>a podáva sa intradermálnou injekciou tak, ako je popísané vyššie</w:t>
      </w:r>
      <w:r w:rsidRPr="00F00DE4">
        <w:rPr>
          <w:rFonts w:ascii="Times New Roman" w:hAnsi="Times New Roman" w:cs="Times New Roman"/>
          <w:sz w:val="22"/>
          <w:szCs w:val="22"/>
          <w:lang w:val="sk-SK"/>
        </w:rPr>
        <w:t>. Dysport 500 U sa aplikuje intradermálnou  injekciou na desiatich miestach.</w:t>
      </w:r>
    </w:p>
    <w:p w:rsidR="00F134F4" w:rsidRPr="00F00DE4" w:rsidRDefault="00F134F4" w:rsidP="00FE4006">
      <w:pPr>
        <w:jc w:val="both"/>
        <w:rPr>
          <w:rFonts w:ascii="Times New Roman" w:hAnsi="Times New Roman" w:cs="Times New Roman"/>
          <w:bCs/>
          <w:sz w:val="22"/>
          <w:szCs w:val="22"/>
          <w:lang w:val="sk-SK"/>
        </w:rPr>
      </w:pPr>
    </w:p>
    <w:p w:rsidR="00F134F4" w:rsidRPr="00F00DE4" w:rsidRDefault="00F134F4" w:rsidP="00FE4006">
      <w:pPr>
        <w:jc w:val="both"/>
        <w:rPr>
          <w:rFonts w:ascii="Times New Roman" w:hAnsi="Times New Roman" w:cs="Times New Roman"/>
          <w:b/>
          <w:bCs/>
          <w:sz w:val="22"/>
          <w:szCs w:val="22"/>
          <w:lang w:val="sk-SK"/>
        </w:rPr>
      </w:pPr>
      <w:r w:rsidRPr="00F00DE4">
        <w:rPr>
          <w:rFonts w:ascii="Times New Roman" w:hAnsi="Times New Roman" w:cs="Times New Roman"/>
          <w:b/>
          <w:bCs/>
          <w:sz w:val="22"/>
          <w:szCs w:val="22"/>
          <w:lang w:val="sk-SK"/>
        </w:rPr>
        <w:t>Hyperfunkčné línie na tvári</w:t>
      </w:r>
    </w:p>
    <w:p w:rsidR="00F134F4" w:rsidRPr="00F00DE4" w:rsidRDefault="00F134F4" w:rsidP="00FE4006">
      <w:pPr>
        <w:jc w:val="both"/>
        <w:rPr>
          <w:rFonts w:ascii="Times New Roman" w:hAnsi="Times New Roman" w:cs="Times New Roman"/>
          <w:b/>
          <w:bCs/>
          <w:sz w:val="22"/>
          <w:szCs w:val="22"/>
          <w:lang w:val="sk-SK"/>
        </w:rPr>
      </w:pPr>
    </w:p>
    <w:p w:rsidR="00F134F4" w:rsidRPr="00F00DE4" w:rsidRDefault="00F134F4" w:rsidP="00FE4006">
      <w:pPr>
        <w:jc w:val="both"/>
        <w:rPr>
          <w:rFonts w:ascii="Times New Roman" w:hAnsi="Times New Roman" w:cs="Times New Roman"/>
          <w:bCs/>
          <w:sz w:val="22"/>
          <w:szCs w:val="22"/>
          <w:u w:val="single"/>
          <w:lang w:val="sk-SK"/>
        </w:rPr>
      </w:pPr>
      <w:r w:rsidRPr="00F00DE4">
        <w:rPr>
          <w:rFonts w:ascii="Times New Roman" w:hAnsi="Times New Roman" w:cs="Times New Roman"/>
          <w:bCs/>
          <w:sz w:val="22"/>
          <w:szCs w:val="22"/>
          <w:u w:val="single"/>
          <w:lang w:val="sk-SK"/>
        </w:rPr>
        <w:t>Dávkovanie:</w:t>
      </w:r>
    </w:p>
    <w:p w:rsidR="00F134F4" w:rsidRPr="00F00DE4" w:rsidRDefault="00F134F4" w:rsidP="00FE4006">
      <w:pPr>
        <w:jc w:val="both"/>
        <w:rPr>
          <w:rFonts w:ascii="Times New Roman" w:hAnsi="Times New Roman" w:cs="Times New Roman"/>
          <w:b/>
          <w:bCs/>
          <w:sz w:val="22"/>
          <w:szCs w:val="22"/>
          <w:lang w:val="sk-SK"/>
        </w:rPr>
      </w:pP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Na liečbu hyperfunkčných línií na tvári sa odporúča použiť elektromyografiu s cieľom získať maximálny terapeutický efekt pri minimálnej možnej použitej dávke lieku.</w:t>
      </w: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Dávku musí stanoviť lekár na základe svalovej sily a svalovej kinetiky pacienta.</w:t>
      </w: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Aplikácia sa vykonáva intramuskulárne do svalu súvisiaceho s hyperfunkčnou líniou, a to injekčnou striekačkou s inzulínovou ihlou 30 ½ gauge.</w:t>
      </w: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Objem sa môže líšiť podľa rekonštitúcie (nariedenia), o ktorom rozhodne lekár podľa toho, aký objem považuje za najvhodnejší pre daného pacienta.</w:t>
      </w:r>
    </w:p>
    <w:p w:rsidR="00F134F4" w:rsidRPr="00F00DE4" w:rsidRDefault="00F134F4" w:rsidP="00FE4006">
      <w:pPr>
        <w:pStyle w:val="Text"/>
        <w:ind w:left="0"/>
        <w:jc w:val="left"/>
        <w:rPr>
          <w:rFonts w:ascii="Times New Roman" w:hAnsi="Times New Roman"/>
          <w:sz w:val="22"/>
          <w:szCs w:val="22"/>
          <w:lang w:val="sk-SK"/>
        </w:rPr>
      </w:pPr>
    </w:p>
    <w:p w:rsidR="00F134F4" w:rsidRPr="00F00DE4" w:rsidRDefault="00F134F4" w:rsidP="00FE4006">
      <w:pPr>
        <w:pStyle w:val="Text"/>
        <w:ind w:left="0"/>
        <w:jc w:val="left"/>
        <w:rPr>
          <w:rFonts w:ascii="Times New Roman" w:hAnsi="Times New Roman"/>
          <w:sz w:val="22"/>
          <w:szCs w:val="22"/>
          <w:lang w:val="sk-SK"/>
        </w:rPr>
      </w:pPr>
      <w:r w:rsidRPr="00F00DE4">
        <w:rPr>
          <w:rFonts w:ascii="Times New Roman" w:hAnsi="Times New Roman"/>
          <w:sz w:val="22"/>
          <w:szCs w:val="22"/>
          <w:lang w:val="sk-SK"/>
        </w:rPr>
        <w:t>Odlíčte a dezinfikujte pokožku lokálnym antiseptikom v glabelárnej oblasti. Intramuskulárnu injekciu treba aplikovať do pokožky pod pravým uhlom pri použití sterilných ihiel veľkosti 29 – 30.</w:t>
      </w:r>
    </w:p>
    <w:p w:rsidR="00F134F4" w:rsidRPr="00F00DE4" w:rsidRDefault="00F134F4" w:rsidP="00682658">
      <w:pPr>
        <w:pStyle w:val="Text"/>
        <w:ind w:left="0"/>
        <w:rPr>
          <w:rFonts w:ascii="Times New Roman" w:hAnsi="Times New Roman"/>
          <w:sz w:val="22"/>
          <w:szCs w:val="22"/>
          <w:lang w:val="sk-SK"/>
        </w:rPr>
      </w:pPr>
      <w:r w:rsidRPr="00F00DE4">
        <w:rPr>
          <w:rFonts w:ascii="Times New Roman" w:hAnsi="Times New Roman"/>
          <w:sz w:val="22"/>
          <w:szCs w:val="22"/>
          <w:lang w:val="sk-SK"/>
        </w:rPr>
        <w:t>Odporúčaná dávka 50 U (0,25 ml) Dysportu 500 U sa musí rozdeliť do 5 injekčných miest.</w:t>
      </w:r>
    </w:p>
    <w:p w:rsidR="00F134F4" w:rsidRPr="00F00DE4" w:rsidRDefault="00F134F4" w:rsidP="00682658">
      <w:pPr>
        <w:pStyle w:val="Text"/>
        <w:ind w:left="0"/>
        <w:rPr>
          <w:rFonts w:ascii="Times New Roman" w:hAnsi="Times New Roman"/>
          <w:sz w:val="22"/>
          <w:szCs w:val="22"/>
          <w:lang w:val="sk-SK"/>
        </w:rPr>
      </w:pPr>
      <w:r w:rsidRPr="00F00DE4">
        <w:rPr>
          <w:rFonts w:ascii="Times New Roman" w:hAnsi="Times New Roman"/>
          <w:sz w:val="22"/>
          <w:szCs w:val="22"/>
          <w:lang w:val="sk-SK"/>
        </w:rPr>
        <w:t>10 jednotiek je nutné intramuskulárne aplikovať do každého z piatich miest: 2 injekcie do zvrašťovača obočia (</w:t>
      </w:r>
      <w:r w:rsidRPr="00F00DE4">
        <w:rPr>
          <w:rFonts w:ascii="Times New Roman" w:hAnsi="Times New Roman"/>
          <w:i/>
          <w:sz w:val="22"/>
          <w:szCs w:val="22"/>
          <w:lang w:val="sk-SK"/>
        </w:rPr>
        <w:t>corrugator supercilii</w:t>
      </w:r>
      <w:r w:rsidRPr="00F00DE4">
        <w:rPr>
          <w:rFonts w:ascii="Times New Roman" w:hAnsi="Times New Roman"/>
          <w:sz w:val="22"/>
          <w:szCs w:val="22"/>
          <w:lang w:val="sk-SK"/>
        </w:rPr>
        <w:t>) v 5 mm rozmedzí a jedna injekcia do štíhleho svalu (</w:t>
      </w:r>
      <w:r w:rsidRPr="00F00DE4">
        <w:rPr>
          <w:rFonts w:ascii="Times New Roman" w:hAnsi="Times New Roman"/>
          <w:i/>
          <w:sz w:val="22"/>
          <w:szCs w:val="22"/>
          <w:lang w:val="sk-SK"/>
        </w:rPr>
        <w:t>musculus procerus</w:t>
      </w:r>
      <w:r w:rsidRPr="00F00DE4">
        <w:rPr>
          <w:rFonts w:ascii="Times New Roman" w:hAnsi="Times New Roman"/>
          <w:sz w:val="22"/>
          <w:szCs w:val="22"/>
          <w:lang w:val="sk-SK"/>
        </w:rPr>
        <w:t xml:space="preserve">) blízko nazálno frontálneho oblúka. </w:t>
      </w:r>
    </w:p>
    <w:p w:rsidR="00F134F4" w:rsidRPr="00F00DE4" w:rsidRDefault="00F134F4" w:rsidP="00682658">
      <w:pPr>
        <w:pStyle w:val="Text"/>
        <w:ind w:left="0"/>
        <w:rPr>
          <w:rFonts w:ascii="Times New Roman" w:hAnsi="Times New Roman"/>
          <w:sz w:val="22"/>
          <w:szCs w:val="22"/>
          <w:lang w:val="sk-SK"/>
        </w:rPr>
      </w:pPr>
      <w:r w:rsidRPr="00F00DE4">
        <w:rPr>
          <w:rFonts w:ascii="Times New Roman" w:hAnsi="Times New Roman"/>
          <w:sz w:val="22"/>
          <w:szCs w:val="22"/>
          <w:lang w:val="sk-SK"/>
        </w:rPr>
        <w:t xml:space="preserve">Najvnútornejší bod, </w:t>
      </w:r>
      <w:r w:rsidRPr="00F00DE4">
        <w:rPr>
          <w:rFonts w:ascii="Times New Roman" w:hAnsi="Times New Roman"/>
          <w:i/>
          <w:sz w:val="22"/>
          <w:szCs w:val="22"/>
          <w:lang w:val="sk-SK"/>
        </w:rPr>
        <w:t>corrugator</w:t>
      </w:r>
      <w:r w:rsidRPr="00F00DE4">
        <w:rPr>
          <w:rFonts w:ascii="Times New Roman" w:hAnsi="Times New Roman"/>
          <w:sz w:val="22"/>
          <w:szCs w:val="22"/>
          <w:lang w:val="sk-SK"/>
        </w:rPr>
        <w:t xml:space="preserve">, sa nachádza 8 mm od </w:t>
      </w:r>
      <w:r w:rsidRPr="00F00DE4">
        <w:rPr>
          <w:rFonts w:ascii="Times New Roman" w:hAnsi="Times New Roman"/>
          <w:i/>
          <w:sz w:val="22"/>
          <w:szCs w:val="22"/>
          <w:lang w:val="sk-SK"/>
        </w:rPr>
        <w:t>procerus</w:t>
      </w:r>
      <w:r w:rsidRPr="00F00DE4">
        <w:rPr>
          <w:rFonts w:ascii="Times New Roman" w:hAnsi="Times New Roman"/>
          <w:sz w:val="22"/>
          <w:szCs w:val="22"/>
          <w:lang w:val="sk-SK"/>
        </w:rPr>
        <w:t xml:space="preserve"> a 8 mm od vrchnej strany očnice. Pacient by mal pravidelne zmršťovať čelo, aby sa tieto body dali lepšie určiť.</w:t>
      </w:r>
    </w:p>
    <w:p w:rsidR="00F134F4" w:rsidRPr="00F00DE4" w:rsidRDefault="00F134F4" w:rsidP="00682658">
      <w:pPr>
        <w:pStyle w:val="Text"/>
        <w:ind w:left="0"/>
        <w:rPr>
          <w:rFonts w:ascii="Times New Roman" w:hAnsi="Times New Roman"/>
          <w:sz w:val="22"/>
          <w:szCs w:val="22"/>
          <w:lang w:val="sk-SK"/>
        </w:rPr>
      </w:pPr>
      <w:r w:rsidRPr="00F00DE4">
        <w:rPr>
          <w:rFonts w:ascii="Times New Roman" w:hAnsi="Times New Roman"/>
          <w:sz w:val="22"/>
          <w:szCs w:val="22"/>
          <w:lang w:val="sk-SK"/>
        </w:rPr>
        <w:t xml:space="preserve">Aby nedošlo k ptóze, je nutné vyhnúť sa injekciám do oblasti </w:t>
      </w:r>
      <w:r w:rsidRPr="00F00DE4">
        <w:rPr>
          <w:rFonts w:ascii="Times New Roman" w:hAnsi="Times New Roman"/>
          <w:i/>
          <w:sz w:val="22"/>
          <w:szCs w:val="22"/>
          <w:lang w:val="sk-SK"/>
        </w:rPr>
        <w:t>levator palpebrae superoris</w:t>
      </w:r>
      <w:r w:rsidRPr="00F00DE4">
        <w:rPr>
          <w:rFonts w:ascii="Times New Roman" w:hAnsi="Times New Roman"/>
          <w:sz w:val="22"/>
          <w:szCs w:val="22"/>
          <w:lang w:val="sk-SK"/>
        </w:rPr>
        <w:t xml:space="preserve">. Vpichy do laterálneho </w:t>
      </w:r>
      <w:r w:rsidRPr="00F00DE4">
        <w:rPr>
          <w:rFonts w:ascii="Times New Roman" w:hAnsi="Times New Roman"/>
          <w:i/>
          <w:sz w:val="22"/>
          <w:szCs w:val="22"/>
          <w:lang w:val="sk-SK"/>
        </w:rPr>
        <w:t>corrugatora</w:t>
      </w:r>
      <w:r w:rsidRPr="00F00DE4">
        <w:rPr>
          <w:rFonts w:ascii="Times New Roman" w:hAnsi="Times New Roman"/>
          <w:sz w:val="22"/>
          <w:szCs w:val="22"/>
          <w:lang w:val="sk-SK"/>
        </w:rPr>
        <w:t xml:space="preserve"> musia byť vykonané aspoň 1cm nad oblasťou nadočnicovej kosti.</w:t>
      </w:r>
    </w:p>
    <w:p w:rsidR="00F134F4" w:rsidRPr="00F00DE4" w:rsidRDefault="00F134F4" w:rsidP="00FE4006">
      <w:pPr>
        <w:pStyle w:val="Text"/>
        <w:ind w:left="0"/>
        <w:jc w:val="left"/>
        <w:rPr>
          <w:rFonts w:ascii="Times New Roman" w:hAnsi="Times New Roman"/>
          <w:sz w:val="22"/>
          <w:szCs w:val="22"/>
          <w:lang w:val="sk-SK"/>
        </w:rPr>
      </w:pPr>
      <w:r w:rsidRPr="00F00DE4">
        <w:rPr>
          <w:rFonts w:ascii="Times New Roman" w:hAnsi="Times New Roman"/>
          <w:sz w:val="22"/>
          <w:szCs w:val="22"/>
          <w:lang w:val="sk-SK"/>
        </w:rPr>
        <w:t>(obr.:C1- C2</w:t>
      </w:r>
      <w:r w:rsidRPr="00F00DE4">
        <w:rPr>
          <w:rFonts w:ascii="Times New Roman" w:hAnsi="Times New Roman"/>
          <w:i/>
          <w:sz w:val="22"/>
          <w:szCs w:val="22"/>
          <w:lang w:val="sk-SK"/>
        </w:rPr>
        <w:t>: Corrugator supercilii</w:t>
      </w:r>
      <w:r w:rsidRPr="00F00DE4">
        <w:rPr>
          <w:rFonts w:ascii="Times New Roman" w:hAnsi="Times New Roman"/>
          <w:sz w:val="22"/>
          <w:szCs w:val="22"/>
          <w:lang w:val="sk-SK"/>
        </w:rPr>
        <w:t xml:space="preserve">/ P: </w:t>
      </w:r>
      <w:r w:rsidRPr="00F00DE4">
        <w:rPr>
          <w:rFonts w:ascii="Times New Roman" w:hAnsi="Times New Roman"/>
          <w:i/>
          <w:sz w:val="22"/>
          <w:szCs w:val="22"/>
          <w:lang w:val="sk-SK"/>
        </w:rPr>
        <w:t>Musculus procerus</w:t>
      </w:r>
      <w:r w:rsidRPr="00F00DE4">
        <w:rPr>
          <w:rFonts w:ascii="Times New Roman" w:hAnsi="Times New Roman"/>
          <w:sz w:val="22"/>
          <w:szCs w:val="22"/>
          <w:lang w:val="sk-SK"/>
        </w:rPr>
        <w:t>).</w:t>
      </w:r>
    </w:p>
    <w:p w:rsidR="00F134F4" w:rsidRPr="00F00DE4" w:rsidRDefault="00F134F4" w:rsidP="00FE4006">
      <w:pPr>
        <w:pStyle w:val="Text"/>
        <w:ind w:left="0"/>
        <w:jc w:val="left"/>
        <w:rPr>
          <w:rFonts w:ascii="Times New Roman" w:hAnsi="Times New Roman"/>
          <w:sz w:val="22"/>
          <w:szCs w:val="22"/>
          <w:lang w:val="sk-SK"/>
        </w:rPr>
      </w:pPr>
    </w:p>
    <w:p w:rsidR="00F134F4" w:rsidRPr="00F00DE4" w:rsidRDefault="00F134F4" w:rsidP="00FE4006">
      <w:pPr>
        <w:pStyle w:val="Text"/>
        <w:ind w:left="0"/>
        <w:jc w:val="center"/>
        <w:rPr>
          <w:rFonts w:ascii="Times New Roman" w:hAnsi="Times New Roman"/>
          <w:sz w:val="22"/>
          <w:szCs w:val="22"/>
          <w:lang w:val="sk-SK"/>
        </w:rPr>
      </w:pPr>
      <w:bookmarkStart w:id="16" w:name="OLE_LINK1"/>
      <w:r w:rsidRPr="00603053">
        <w:rPr>
          <w:rFonts w:ascii="Times New Roman" w:hAnsi="Times New Roman"/>
          <w:noProof/>
          <w:sz w:val="22"/>
          <w:szCs w:val="22"/>
          <w:lang w:val="sk-SK" w:eastAsia="sk-SK"/>
        </w:rPr>
        <w:pict>
          <v:shape id="Obrázok 2" o:spid="_x0000_i1026" type="#_x0000_t75" style="width:186pt;height:164.25pt;visibility:visible">
            <v:imagedata r:id="rId8" o:title=""/>
          </v:shape>
        </w:pict>
      </w:r>
      <w:bookmarkEnd w:id="16"/>
    </w:p>
    <w:p w:rsidR="00F134F4" w:rsidRPr="00F00DE4" w:rsidRDefault="00F134F4" w:rsidP="00FE4006">
      <w:pPr>
        <w:pStyle w:val="Text"/>
        <w:ind w:left="0"/>
        <w:jc w:val="center"/>
        <w:rPr>
          <w:rFonts w:ascii="Times New Roman" w:hAnsi="Times New Roman"/>
          <w:sz w:val="22"/>
          <w:szCs w:val="22"/>
          <w:lang w:val="sk-SK"/>
        </w:rPr>
      </w:pPr>
      <w:r w:rsidRPr="00603053">
        <w:rPr>
          <w:rFonts w:ascii="Times New Roman" w:hAnsi="Times New Roman"/>
          <w:noProof/>
          <w:color w:val="FF0000"/>
          <w:sz w:val="22"/>
          <w:szCs w:val="22"/>
          <w:lang w:val="sk-SK" w:eastAsia="sk-SK"/>
        </w:rPr>
        <w:pict>
          <v:shape id="Obrázok 3" o:spid="_x0000_i1027" type="#_x0000_t75" style="width:317.25pt;height:154.5pt;visibility:visible" filled="t" fillcolor="black">
            <v:imagedata r:id="rId9" o:title=""/>
          </v:shape>
        </w:pict>
      </w:r>
    </w:p>
    <w:p w:rsidR="00F134F4" w:rsidRPr="00F00DE4" w:rsidRDefault="00F134F4" w:rsidP="00FE4006">
      <w:pPr>
        <w:pStyle w:val="Text"/>
        <w:ind w:left="0"/>
        <w:rPr>
          <w:rFonts w:ascii="Times New Roman" w:hAnsi="Times New Roman"/>
          <w:sz w:val="22"/>
          <w:szCs w:val="22"/>
          <w:lang w:val="sk-SK"/>
        </w:rPr>
      </w:pPr>
    </w:p>
    <w:p w:rsidR="00F134F4" w:rsidRPr="00F00DE4" w:rsidRDefault="00F134F4" w:rsidP="00FE4006">
      <w:pPr>
        <w:pStyle w:val="Text"/>
        <w:pBdr>
          <w:top w:val="single" w:sz="4" w:space="1" w:color="auto"/>
          <w:left w:val="single" w:sz="4" w:space="4" w:color="auto"/>
          <w:bottom w:val="single" w:sz="4" w:space="1" w:color="auto"/>
          <w:right w:val="single" w:sz="4" w:space="4" w:color="auto"/>
        </w:pBdr>
        <w:ind w:left="0"/>
        <w:jc w:val="left"/>
        <w:rPr>
          <w:rFonts w:ascii="Times New Roman" w:hAnsi="Times New Roman"/>
          <w:b/>
          <w:sz w:val="22"/>
          <w:szCs w:val="22"/>
          <w:lang w:val="sk-SK"/>
        </w:rPr>
      </w:pPr>
      <w:r w:rsidRPr="00F00DE4">
        <w:rPr>
          <w:rFonts w:ascii="Times New Roman" w:hAnsi="Times New Roman"/>
          <w:b/>
          <w:sz w:val="22"/>
          <w:szCs w:val="22"/>
          <w:lang w:val="sk-SK"/>
        </w:rPr>
        <w:t>Injekcie sa musia opakovať približne každých 16 týždňov. Prestávka medzi injekciami nemá byť menej ako 3 mesiace.</w:t>
      </w: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u w:val="single"/>
          <w:lang w:val="sk-SK"/>
        </w:rPr>
        <w:t>Vejáriky vrások:</w:t>
      </w:r>
      <w:r w:rsidRPr="00F00DE4">
        <w:rPr>
          <w:rFonts w:ascii="Times New Roman" w:hAnsi="Times New Roman" w:cs="Times New Roman"/>
          <w:bCs/>
          <w:sz w:val="22"/>
          <w:szCs w:val="22"/>
          <w:lang w:val="sk-SK"/>
        </w:rPr>
        <w:t xml:space="preserve"> 30 U - 45 U na každej strane, rozmiestnených do troch bodov od 10 U do 15 U v úrovni očného kútika a 1 cm laterálne k laterálnej stene orbity. Ďalší bod leží 1,5 cm pod vyššie uvedeným bodom a mierne mediálne od prvého aplikačného miesta.</w:t>
      </w: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 xml:space="preserve">Aby sa dosiahol lepší výsledok liečby, môže sa aplikačné miesto jemne masírovať, silnejšie vonkajším smerom. Je možné pridať aplikačné miesta, je však treba mať na pamäti, že  účinok toxínu sa obvykle rozšíri v oblasti 1 cm od injekčného miesta. Táto injekcia môže spôsobiť diplopiu, ektropium a asymetrický úsmev z poškodenia hornej časti </w:t>
      </w:r>
      <w:r w:rsidRPr="00F00DE4">
        <w:rPr>
          <w:rFonts w:ascii="Times New Roman" w:hAnsi="Times New Roman" w:cs="Times New Roman"/>
          <w:bCs/>
          <w:i/>
          <w:sz w:val="22"/>
          <w:szCs w:val="22"/>
          <w:lang w:val="sk-SK"/>
        </w:rPr>
        <w:t>m. zygomaticus</w:t>
      </w:r>
      <w:r w:rsidRPr="00F00DE4">
        <w:rPr>
          <w:rFonts w:ascii="Times New Roman" w:hAnsi="Times New Roman" w:cs="Times New Roman"/>
          <w:bCs/>
          <w:sz w:val="22"/>
          <w:szCs w:val="22"/>
          <w:lang w:val="sk-SK"/>
        </w:rPr>
        <w:t>.</w:t>
      </w: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u w:val="single"/>
          <w:lang w:val="sk-SK"/>
        </w:rPr>
        <w:t>Horizontálne línie v oblasti čela:</w:t>
      </w:r>
      <w:r w:rsidRPr="00F00DE4">
        <w:rPr>
          <w:rFonts w:ascii="Times New Roman" w:hAnsi="Times New Roman" w:cs="Times New Roman"/>
          <w:bCs/>
          <w:sz w:val="22"/>
          <w:szCs w:val="22"/>
          <w:lang w:val="sk-SK"/>
        </w:rPr>
        <w:t xml:space="preserve"> aplikuje sa 30 U - 45 U pre parciálnu liečbu a 60 U - 80 U pre úplnú paralýzu. Zdanlivá čiara sa vedie horizontálne cez čelo medzi obočím a vlasovou čiarou. Do každého bodu sa aplikuje 6 U. Počiatočná čiara môže začínať na vertikálnej čiare prechádzajúcej cez každú pupilu. Medzi tieto dve miesta sa aplikujú dve ďalšie injekcie s rovnakými dávkami, takže celkom sa liek podá na tejto horizontálnej čiare do štyroch rovnako vzdialených miest. Miesta aplikácie sa pevne masírujú.</w:t>
      </w:r>
    </w:p>
    <w:p w:rsidR="00F134F4" w:rsidRPr="00F00DE4" w:rsidRDefault="00F134F4" w:rsidP="00FE4006">
      <w:pPr>
        <w:jc w:val="both"/>
        <w:rPr>
          <w:rFonts w:ascii="Times New Roman" w:hAnsi="Times New Roman" w:cs="Times New Roman"/>
          <w:bCs/>
          <w:sz w:val="22"/>
          <w:szCs w:val="22"/>
          <w:lang w:val="sk-SK"/>
        </w:rPr>
      </w:pP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Pevne masírujte nasledujúce miesta; krk (platyzma) 90 U - 180 U celkom na oboch stranách. Vyššie dávky môžu spôsobiť dysfágiu alebo slabosť krčných svalov z pôsobenia toxínu na svalovú skupinu v blízkosti miesta aplikácie.</w:t>
      </w: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Poučte pacienta, aby vyvolal kontrakciu platyzmy, čím sa zreteľne ukážu pruhy platyzmy.</w:t>
      </w: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Celková dávka 45 U sa aplikuje do 3 miest (15 U do každého miesta). Normálne sa liek aplikuje pri každej návšteve do 2 - 4 oblastí, celkom teda 90 U - 180 U. Horizontálne línie sa liečia podaním 60 U - 90 U pozdĺž línií vo vzdialenostiach 2-3 cm.</w:t>
      </w: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u w:val="single"/>
          <w:lang w:val="sk-SK"/>
        </w:rPr>
        <w:t>Línie v hornej oblasti pery</w:t>
      </w:r>
      <w:r w:rsidRPr="00F00DE4">
        <w:rPr>
          <w:rFonts w:ascii="Times New Roman" w:hAnsi="Times New Roman" w:cs="Times New Roman"/>
          <w:bCs/>
          <w:sz w:val="22"/>
          <w:szCs w:val="22"/>
          <w:lang w:val="sk-SK"/>
        </w:rPr>
        <w:t xml:space="preserve">: aplikuje sa 6 U - 27 U, 3 U - 6 U na líniu. Začína sa s nižšou dávkou a povrchnejšie, aby sa neohrozila činnosť úst. </w:t>
      </w:r>
      <w:r w:rsidRPr="00F00DE4">
        <w:rPr>
          <w:rFonts w:ascii="Times New Roman" w:hAnsi="Times New Roman" w:cs="Times New Roman"/>
          <w:bCs/>
          <w:i/>
          <w:sz w:val="22"/>
          <w:szCs w:val="22"/>
          <w:lang w:val="sk-SK"/>
        </w:rPr>
        <w:t>Sulcus nasolabialis</w:t>
      </w:r>
      <w:r w:rsidRPr="00F00DE4">
        <w:rPr>
          <w:rFonts w:ascii="Times New Roman" w:hAnsi="Times New Roman" w:cs="Times New Roman"/>
          <w:bCs/>
          <w:sz w:val="22"/>
          <w:szCs w:val="22"/>
          <w:lang w:val="sk-SK"/>
        </w:rPr>
        <w:t xml:space="preserve"> – 6 U - 10 U na každej strane za EMG lokalizácie </w:t>
      </w:r>
      <w:r w:rsidRPr="00F00DE4">
        <w:rPr>
          <w:rFonts w:ascii="Times New Roman" w:hAnsi="Times New Roman" w:cs="Times New Roman"/>
          <w:bCs/>
          <w:i/>
          <w:sz w:val="22"/>
          <w:szCs w:val="22"/>
          <w:lang w:val="sk-SK"/>
        </w:rPr>
        <w:t>m. levator labii superioris</w:t>
      </w:r>
      <w:r w:rsidRPr="00F00DE4">
        <w:rPr>
          <w:rFonts w:ascii="Times New Roman" w:hAnsi="Times New Roman" w:cs="Times New Roman"/>
          <w:bCs/>
          <w:sz w:val="22"/>
          <w:szCs w:val="22"/>
          <w:lang w:val="sk-SK"/>
        </w:rPr>
        <w:t xml:space="preserve"> a nosného krídla. Oblasť brady – 15 U - 30 U. Injekcie v tejto oblasti môžu ľahko viesť k poškodeniu funkcie úst. Použite nižšiu počiatočnú dávku. Stupňujte oslabovanie ďalšími aplikáciami pri opakovaných návštevách. Účinok začína obvykle za 4-72 hodín po podaní a trvá 4-6 mesiacov.</w:t>
      </w:r>
    </w:p>
    <w:p w:rsidR="00F134F4" w:rsidRPr="00F00DE4" w:rsidRDefault="00F134F4" w:rsidP="00206052">
      <w:pPr>
        <w:jc w:val="both"/>
        <w:rPr>
          <w:rFonts w:ascii="Times New Roman" w:hAnsi="Times New Roman" w:cs="Times New Roman"/>
          <w:bCs/>
          <w:sz w:val="22"/>
          <w:szCs w:val="22"/>
          <w:lang w:val="sk-SK"/>
        </w:rPr>
      </w:pPr>
    </w:p>
    <w:p w:rsidR="00F134F4" w:rsidRPr="00F00DE4" w:rsidRDefault="00F134F4" w:rsidP="00206052">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Deti: Použitie Dysportu 500 U pri liečbe hyperfunkčných línií na tvári sa neodporúča u pacientov mladších ako 18 rokov.</w:t>
      </w:r>
    </w:p>
    <w:p w:rsidR="00F134F4" w:rsidRPr="00F00DE4" w:rsidRDefault="00F134F4" w:rsidP="00FE4006">
      <w:pPr>
        <w:jc w:val="both"/>
        <w:rPr>
          <w:rFonts w:ascii="Times New Roman" w:hAnsi="Times New Roman" w:cs="Times New Roman"/>
          <w:bCs/>
          <w:sz w:val="22"/>
          <w:szCs w:val="22"/>
          <w:lang w:val="sk-SK"/>
        </w:rPr>
      </w:pPr>
    </w:p>
    <w:p w:rsidR="00F134F4" w:rsidRPr="00F00DE4" w:rsidRDefault="00F134F4" w:rsidP="00FE4006">
      <w:pPr>
        <w:jc w:val="both"/>
        <w:rPr>
          <w:rFonts w:ascii="Times New Roman" w:hAnsi="Times New Roman" w:cs="Times New Roman"/>
          <w:bCs/>
          <w:sz w:val="22"/>
          <w:szCs w:val="22"/>
          <w:u w:val="single"/>
          <w:lang w:val="sk-SK"/>
        </w:rPr>
      </w:pPr>
      <w:r w:rsidRPr="00F00DE4">
        <w:rPr>
          <w:rFonts w:ascii="Times New Roman" w:hAnsi="Times New Roman" w:cs="Times New Roman"/>
          <w:bCs/>
          <w:sz w:val="22"/>
          <w:szCs w:val="22"/>
          <w:u w:val="single"/>
          <w:lang w:val="sk-SK"/>
        </w:rPr>
        <w:t>Spôsob podávania</w:t>
      </w:r>
    </w:p>
    <w:p w:rsidR="00F134F4" w:rsidRPr="00F00DE4" w:rsidRDefault="00F134F4" w:rsidP="00FE4006">
      <w:pPr>
        <w:jc w:val="both"/>
        <w:rPr>
          <w:rFonts w:ascii="Times New Roman" w:hAnsi="Times New Roman" w:cs="Times New Roman"/>
          <w:bCs/>
          <w:sz w:val="22"/>
          <w:szCs w:val="22"/>
          <w:lang w:val="sk-SK"/>
        </w:rPr>
      </w:pP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Stredná časť veka (gumová zátka), ktorá je vystavená vplyvu vzduchu, sa musí bezprostredne pred prepichnutím gumovej zátky očistiť alkoholom.</w:t>
      </w:r>
    </w:p>
    <w:p w:rsidR="00F134F4" w:rsidRPr="00F00DE4" w:rsidRDefault="00F134F4" w:rsidP="00FE4006">
      <w:pPr>
        <w:jc w:val="both"/>
        <w:rPr>
          <w:rFonts w:ascii="Times New Roman" w:hAnsi="Times New Roman" w:cs="Times New Roman"/>
          <w:bCs/>
          <w:sz w:val="22"/>
          <w:szCs w:val="22"/>
          <w:lang w:val="sk-SK"/>
        </w:rPr>
      </w:pPr>
    </w:p>
    <w:p w:rsidR="00F134F4" w:rsidRPr="00F00DE4" w:rsidRDefault="00F134F4" w:rsidP="00FE4006">
      <w:pPr>
        <w:jc w:val="both"/>
        <w:rPr>
          <w:rFonts w:ascii="Times New Roman" w:hAnsi="Times New Roman" w:cs="Times New Roman"/>
          <w:b/>
          <w:bCs/>
          <w:caps/>
          <w:sz w:val="22"/>
          <w:szCs w:val="22"/>
          <w:lang w:val="sk-SK"/>
        </w:rPr>
      </w:pPr>
      <w:r w:rsidRPr="00F00DE4">
        <w:rPr>
          <w:rFonts w:ascii="Times New Roman" w:hAnsi="Times New Roman" w:cs="Times New Roman"/>
          <w:b/>
          <w:bCs/>
          <w:caps/>
          <w:sz w:val="22"/>
          <w:szCs w:val="22"/>
          <w:lang w:val="sk-SK"/>
        </w:rPr>
        <w:t xml:space="preserve">rekonštitúcia LIEku </w:t>
      </w:r>
      <w:r w:rsidRPr="00F00DE4">
        <w:rPr>
          <w:rFonts w:ascii="Times New Roman" w:hAnsi="Times New Roman" w:cs="Times New Roman"/>
          <w:b/>
          <w:bCs/>
          <w:sz w:val="22"/>
          <w:szCs w:val="22"/>
          <w:lang w:val="sk-SK"/>
        </w:rPr>
        <w:t>Dysport 500 U</w:t>
      </w:r>
    </w:p>
    <w:p w:rsidR="00F134F4" w:rsidRPr="00F00DE4" w:rsidRDefault="00F134F4" w:rsidP="00FE4006">
      <w:pPr>
        <w:jc w:val="both"/>
        <w:rPr>
          <w:rFonts w:ascii="Times New Roman" w:hAnsi="Times New Roman" w:cs="Times New Roman"/>
          <w:b/>
          <w:bCs/>
          <w:caps/>
          <w:sz w:val="22"/>
          <w:szCs w:val="22"/>
          <w:vertAlign w:val="superscript"/>
          <w:lang w:val="sk-SK"/>
        </w:rPr>
      </w:pPr>
    </w:p>
    <w:tbl>
      <w:tblPr>
        <w:tblW w:w="0" w:type="auto"/>
        <w:tblInd w:w="-13" w:type="dxa"/>
        <w:tblLayout w:type="fixed"/>
        <w:tblCellMar>
          <w:left w:w="70" w:type="dxa"/>
          <w:right w:w="70" w:type="dxa"/>
        </w:tblCellMar>
        <w:tblLook w:val="0000"/>
      </w:tblPr>
      <w:tblGrid>
        <w:gridCol w:w="3295"/>
        <w:gridCol w:w="3323"/>
      </w:tblGrid>
      <w:tr w:rsidR="00F134F4" w:rsidRPr="00F00DE4">
        <w:trPr>
          <w:cantSplit/>
        </w:trPr>
        <w:tc>
          <w:tcPr>
            <w:tcW w:w="3295" w:type="dxa"/>
            <w:tcBorders>
              <w:top w:val="single" w:sz="2" w:space="0" w:color="000000"/>
              <w:left w:val="single" w:sz="2" w:space="0" w:color="000000"/>
              <w:bottom w:val="single" w:sz="2" w:space="0" w:color="000000"/>
            </w:tcBorders>
          </w:tcPr>
          <w:p w:rsidR="00F134F4" w:rsidRPr="00F00DE4" w:rsidRDefault="00F134F4" w:rsidP="00EB4AD4">
            <w:pPr>
              <w:snapToGrid w:val="0"/>
              <w:jc w:val="both"/>
              <w:rPr>
                <w:rFonts w:ascii="Times New Roman" w:hAnsi="Times New Roman" w:cs="Times New Roman"/>
                <w:b/>
                <w:bCs/>
                <w:sz w:val="22"/>
                <w:szCs w:val="22"/>
                <w:lang w:val="sk-SK"/>
              </w:rPr>
            </w:pPr>
            <w:r w:rsidRPr="00F00DE4">
              <w:rPr>
                <w:rFonts w:ascii="Times New Roman" w:hAnsi="Times New Roman" w:cs="Times New Roman"/>
                <w:b/>
                <w:bCs/>
                <w:sz w:val="22"/>
                <w:szCs w:val="22"/>
                <w:lang w:val="sk-SK"/>
              </w:rPr>
              <w:t>fyziologický roztok</w:t>
            </w:r>
          </w:p>
        </w:tc>
        <w:tc>
          <w:tcPr>
            <w:tcW w:w="3323" w:type="dxa"/>
            <w:tcBorders>
              <w:top w:val="single" w:sz="2" w:space="0" w:color="000000"/>
              <w:left w:val="single" w:sz="2" w:space="0" w:color="000000"/>
              <w:bottom w:val="single" w:sz="2" w:space="0" w:color="000000"/>
              <w:right w:val="single" w:sz="2" w:space="0" w:color="000000"/>
            </w:tcBorders>
          </w:tcPr>
          <w:p w:rsidR="00F134F4" w:rsidRPr="00F00DE4" w:rsidRDefault="00F134F4" w:rsidP="00EB4AD4">
            <w:pPr>
              <w:snapToGrid w:val="0"/>
              <w:jc w:val="both"/>
              <w:rPr>
                <w:rFonts w:ascii="Times New Roman" w:hAnsi="Times New Roman" w:cs="Times New Roman"/>
                <w:b/>
                <w:bCs/>
                <w:sz w:val="22"/>
                <w:szCs w:val="22"/>
                <w:lang w:val="sk-SK"/>
              </w:rPr>
            </w:pPr>
            <w:r w:rsidRPr="00F00DE4">
              <w:rPr>
                <w:rFonts w:ascii="Times New Roman" w:hAnsi="Times New Roman" w:cs="Times New Roman"/>
                <w:b/>
                <w:bCs/>
                <w:sz w:val="22"/>
                <w:szCs w:val="22"/>
                <w:lang w:val="sk-SK"/>
              </w:rPr>
              <w:t>jednotky / 0,1 ml</w:t>
            </w:r>
          </w:p>
        </w:tc>
      </w:tr>
      <w:tr w:rsidR="00F134F4" w:rsidRPr="00F00DE4">
        <w:trPr>
          <w:cantSplit/>
        </w:trPr>
        <w:tc>
          <w:tcPr>
            <w:tcW w:w="3295" w:type="dxa"/>
            <w:tcBorders>
              <w:left w:val="single" w:sz="2" w:space="0" w:color="000000"/>
              <w:bottom w:val="single" w:sz="2" w:space="0" w:color="000000"/>
            </w:tcBorders>
          </w:tcPr>
          <w:p w:rsidR="00F134F4" w:rsidRPr="00F00DE4" w:rsidRDefault="00F134F4" w:rsidP="00EB4AD4">
            <w:pPr>
              <w:snapToGrid w:val="0"/>
              <w:jc w:val="both"/>
              <w:rPr>
                <w:rFonts w:ascii="Times New Roman" w:hAnsi="Times New Roman" w:cs="Times New Roman"/>
                <w:b/>
                <w:bCs/>
                <w:sz w:val="22"/>
                <w:szCs w:val="22"/>
                <w:lang w:val="sk-SK"/>
              </w:rPr>
            </w:pPr>
            <w:r w:rsidRPr="00F00DE4">
              <w:rPr>
                <w:rFonts w:ascii="Times New Roman" w:hAnsi="Times New Roman" w:cs="Times New Roman"/>
                <w:b/>
                <w:bCs/>
                <w:sz w:val="22"/>
                <w:szCs w:val="22"/>
                <w:lang w:val="sk-SK"/>
              </w:rPr>
              <w:t>1,66 ml</w:t>
            </w:r>
          </w:p>
        </w:tc>
        <w:tc>
          <w:tcPr>
            <w:tcW w:w="3323" w:type="dxa"/>
            <w:tcBorders>
              <w:left w:val="single" w:sz="2" w:space="0" w:color="000000"/>
              <w:bottom w:val="single" w:sz="2" w:space="0" w:color="000000"/>
              <w:right w:val="single" w:sz="2" w:space="0" w:color="000000"/>
            </w:tcBorders>
          </w:tcPr>
          <w:p w:rsidR="00F134F4" w:rsidRPr="00F00DE4" w:rsidRDefault="00F134F4" w:rsidP="00EB4AD4">
            <w:pPr>
              <w:snapToGrid w:val="0"/>
              <w:jc w:val="both"/>
              <w:rPr>
                <w:rFonts w:ascii="Times New Roman" w:hAnsi="Times New Roman" w:cs="Times New Roman"/>
                <w:b/>
                <w:bCs/>
                <w:sz w:val="22"/>
                <w:szCs w:val="22"/>
                <w:lang w:val="sk-SK"/>
              </w:rPr>
            </w:pPr>
            <w:r w:rsidRPr="00F00DE4">
              <w:rPr>
                <w:rFonts w:ascii="Times New Roman" w:hAnsi="Times New Roman" w:cs="Times New Roman"/>
                <w:b/>
                <w:bCs/>
                <w:sz w:val="22"/>
                <w:szCs w:val="22"/>
                <w:lang w:val="sk-SK"/>
              </w:rPr>
              <w:t>30 U</w:t>
            </w:r>
          </w:p>
        </w:tc>
      </w:tr>
      <w:tr w:rsidR="00F134F4" w:rsidRPr="00F00DE4">
        <w:trPr>
          <w:cantSplit/>
        </w:trPr>
        <w:tc>
          <w:tcPr>
            <w:tcW w:w="3295" w:type="dxa"/>
            <w:tcBorders>
              <w:left w:val="single" w:sz="2" w:space="0" w:color="000000"/>
              <w:bottom w:val="single" w:sz="2" w:space="0" w:color="000000"/>
            </w:tcBorders>
          </w:tcPr>
          <w:p w:rsidR="00F134F4" w:rsidRPr="00F00DE4" w:rsidRDefault="00F134F4" w:rsidP="00EB4AD4">
            <w:pPr>
              <w:snapToGrid w:val="0"/>
              <w:jc w:val="both"/>
              <w:rPr>
                <w:rFonts w:ascii="Times New Roman" w:hAnsi="Times New Roman" w:cs="Times New Roman"/>
                <w:b/>
                <w:bCs/>
                <w:sz w:val="22"/>
                <w:szCs w:val="22"/>
                <w:lang w:val="sk-SK"/>
              </w:rPr>
            </w:pPr>
            <w:r w:rsidRPr="00F00DE4">
              <w:rPr>
                <w:rFonts w:ascii="Times New Roman" w:hAnsi="Times New Roman" w:cs="Times New Roman"/>
                <w:b/>
                <w:bCs/>
                <w:sz w:val="22"/>
                <w:szCs w:val="22"/>
                <w:lang w:val="sk-SK"/>
              </w:rPr>
              <w:t>2,5 ml</w:t>
            </w:r>
          </w:p>
        </w:tc>
        <w:tc>
          <w:tcPr>
            <w:tcW w:w="3323" w:type="dxa"/>
            <w:tcBorders>
              <w:left w:val="single" w:sz="2" w:space="0" w:color="000000"/>
              <w:bottom w:val="single" w:sz="2" w:space="0" w:color="000000"/>
              <w:right w:val="single" w:sz="2" w:space="0" w:color="000000"/>
            </w:tcBorders>
          </w:tcPr>
          <w:p w:rsidR="00F134F4" w:rsidRPr="00F00DE4" w:rsidRDefault="00F134F4" w:rsidP="00EB4AD4">
            <w:pPr>
              <w:snapToGrid w:val="0"/>
              <w:jc w:val="both"/>
              <w:rPr>
                <w:rFonts w:ascii="Times New Roman" w:hAnsi="Times New Roman" w:cs="Times New Roman"/>
                <w:b/>
                <w:bCs/>
                <w:sz w:val="22"/>
                <w:szCs w:val="22"/>
                <w:lang w:val="sk-SK"/>
              </w:rPr>
            </w:pPr>
            <w:r w:rsidRPr="00F00DE4">
              <w:rPr>
                <w:rFonts w:ascii="Times New Roman" w:hAnsi="Times New Roman" w:cs="Times New Roman"/>
                <w:b/>
                <w:bCs/>
                <w:sz w:val="22"/>
                <w:szCs w:val="22"/>
                <w:lang w:val="sk-SK"/>
              </w:rPr>
              <w:t>20 U</w:t>
            </w:r>
          </w:p>
        </w:tc>
      </w:tr>
      <w:tr w:rsidR="00F134F4" w:rsidRPr="00F00DE4">
        <w:trPr>
          <w:cantSplit/>
        </w:trPr>
        <w:tc>
          <w:tcPr>
            <w:tcW w:w="3295" w:type="dxa"/>
            <w:tcBorders>
              <w:left w:val="single" w:sz="2" w:space="0" w:color="000000"/>
              <w:bottom w:val="single" w:sz="2" w:space="0" w:color="000000"/>
            </w:tcBorders>
          </w:tcPr>
          <w:p w:rsidR="00F134F4" w:rsidRPr="00F00DE4" w:rsidRDefault="00F134F4" w:rsidP="00EB4AD4">
            <w:pPr>
              <w:snapToGrid w:val="0"/>
              <w:jc w:val="both"/>
              <w:rPr>
                <w:rFonts w:ascii="Times New Roman" w:hAnsi="Times New Roman" w:cs="Times New Roman"/>
                <w:b/>
                <w:bCs/>
                <w:sz w:val="22"/>
                <w:szCs w:val="22"/>
                <w:lang w:val="sk-SK"/>
              </w:rPr>
            </w:pPr>
            <w:r w:rsidRPr="00F00DE4">
              <w:rPr>
                <w:rFonts w:ascii="Times New Roman" w:hAnsi="Times New Roman" w:cs="Times New Roman"/>
                <w:b/>
                <w:bCs/>
                <w:sz w:val="22"/>
                <w:szCs w:val="22"/>
                <w:lang w:val="sk-SK"/>
              </w:rPr>
              <w:t>3,3 ml</w:t>
            </w:r>
          </w:p>
        </w:tc>
        <w:tc>
          <w:tcPr>
            <w:tcW w:w="3323" w:type="dxa"/>
            <w:tcBorders>
              <w:left w:val="single" w:sz="2" w:space="0" w:color="000000"/>
              <w:bottom w:val="single" w:sz="2" w:space="0" w:color="000000"/>
              <w:right w:val="single" w:sz="2" w:space="0" w:color="000000"/>
            </w:tcBorders>
          </w:tcPr>
          <w:p w:rsidR="00F134F4" w:rsidRPr="00F00DE4" w:rsidRDefault="00F134F4" w:rsidP="00EB4AD4">
            <w:pPr>
              <w:snapToGrid w:val="0"/>
              <w:jc w:val="both"/>
              <w:rPr>
                <w:rFonts w:ascii="Times New Roman" w:hAnsi="Times New Roman" w:cs="Times New Roman"/>
                <w:b/>
                <w:bCs/>
                <w:sz w:val="22"/>
                <w:szCs w:val="22"/>
                <w:lang w:val="sk-SK"/>
              </w:rPr>
            </w:pPr>
            <w:r w:rsidRPr="00F00DE4">
              <w:rPr>
                <w:rFonts w:ascii="Times New Roman" w:hAnsi="Times New Roman" w:cs="Times New Roman"/>
                <w:b/>
                <w:bCs/>
                <w:sz w:val="22"/>
                <w:szCs w:val="22"/>
                <w:lang w:val="sk-SK"/>
              </w:rPr>
              <w:t>15 U</w:t>
            </w:r>
          </w:p>
        </w:tc>
      </w:tr>
      <w:tr w:rsidR="00F134F4" w:rsidRPr="00F00DE4">
        <w:trPr>
          <w:cantSplit/>
        </w:trPr>
        <w:tc>
          <w:tcPr>
            <w:tcW w:w="3295" w:type="dxa"/>
            <w:tcBorders>
              <w:left w:val="single" w:sz="2" w:space="0" w:color="000000"/>
              <w:bottom w:val="single" w:sz="2" w:space="0" w:color="000000"/>
            </w:tcBorders>
          </w:tcPr>
          <w:p w:rsidR="00F134F4" w:rsidRPr="00F00DE4" w:rsidRDefault="00F134F4" w:rsidP="00EB4AD4">
            <w:pPr>
              <w:snapToGrid w:val="0"/>
              <w:jc w:val="both"/>
              <w:rPr>
                <w:rFonts w:ascii="Times New Roman" w:hAnsi="Times New Roman" w:cs="Times New Roman"/>
                <w:b/>
                <w:bCs/>
                <w:sz w:val="22"/>
                <w:szCs w:val="22"/>
                <w:lang w:val="sk-SK"/>
              </w:rPr>
            </w:pPr>
            <w:r w:rsidRPr="00F00DE4">
              <w:rPr>
                <w:rFonts w:ascii="Times New Roman" w:hAnsi="Times New Roman" w:cs="Times New Roman"/>
                <w:b/>
                <w:bCs/>
                <w:sz w:val="22"/>
                <w:szCs w:val="22"/>
                <w:lang w:val="sk-SK"/>
              </w:rPr>
              <w:t>4,0 ml</w:t>
            </w:r>
          </w:p>
        </w:tc>
        <w:tc>
          <w:tcPr>
            <w:tcW w:w="3323" w:type="dxa"/>
            <w:tcBorders>
              <w:left w:val="single" w:sz="2" w:space="0" w:color="000000"/>
              <w:bottom w:val="single" w:sz="2" w:space="0" w:color="000000"/>
              <w:right w:val="single" w:sz="2" w:space="0" w:color="000000"/>
            </w:tcBorders>
          </w:tcPr>
          <w:p w:rsidR="00F134F4" w:rsidRPr="00F00DE4" w:rsidRDefault="00F134F4" w:rsidP="00EB4AD4">
            <w:pPr>
              <w:snapToGrid w:val="0"/>
              <w:jc w:val="both"/>
              <w:rPr>
                <w:rFonts w:ascii="Times New Roman" w:hAnsi="Times New Roman" w:cs="Times New Roman"/>
                <w:b/>
                <w:bCs/>
                <w:sz w:val="22"/>
                <w:szCs w:val="22"/>
                <w:lang w:val="sk-SK"/>
              </w:rPr>
            </w:pPr>
            <w:r w:rsidRPr="00F00DE4">
              <w:rPr>
                <w:rFonts w:ascii="Times New Roman" w:hAnsi="Times New Roman" w:cs="Times New Roman"/>
                <w:b/>
                <w:bCs/>
                <w:sz w:val="22"/>
                <w:szCs w:val="22"/>
                <w:lang w:val="sk-SK"/>
              </w:rPr>
              <w:t>12,5 U</w:t>
            </w:r>
          </w:p>
        </w:tc>
      </w:tr>
    </w:tbl>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Pri liečbe hyperfunkčných línií na tvári a hyperhidrózy sa musí urobiť rekonštitúcia (nariedenie) podľa indikácií pomocou tabuľky</w:t>
      </w:r>
      <w:r w:rsidRPr="00F00DE4">
        <w:rPr>
          <w:rFonts w:ascii="Times New Roman" w:hAnsi="Times New Roman" w:cs="Times New Roman"/>
          <w:bCs/>
          <w:caps/>
          <w:sz w:val="22"/>
          <w:szCs w:val="22"/>
          <w:lang w:val="sk-SK"/>
        </w:rPr>
        <w:t xml:space="preserve"> rekonštitúcia LIEku </w:t>
      </w:r>
      <w:r w:rsidRPr="00F00DE4">
        <w:rPr>
          <w:rFonts w:ascii="Times New Roman" w:hAnsi="Times New Roman" w:cs="Times New Roman"/>
          <w:bCs/>
          <w:sz w:val="22"/>
          <w:szCs w:val="22"/>
          <w:lang w:val="sk-SK"/>
        </w:rPr>
        <w:t>Dysportu 500 U uvedenej vyššie. Lekár určí správne dávkovanie na základe klinickej anamnézy pacienta.</w:t>
      </w:r>
    </w:p>
    <w:p w:rsidR="00F134F4" w:rsidRPr="00F00DE4" w:rsidRDefault="00F134F4" w:rsidP="00FE4006">
      <w:pPr>
        <w:jc w:val="both"/>
        <w:rPr>
          <w:rFonts w:ascii="Times New Roman" w:hAnsi="Times New Roman" w:cs="Times New Roman"/>
          <w:bCs/>
          <w:sz w:val="22"/>
          <w:szCs w:val="22"/>
          <w:lang w:val="sk-SK"/>
        </w:rPr>
      </w:pP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Pri liečbe hyperfunkčných línií na tvári sa liek musí rekonštituovať 0,9 % roztokom chloridu sodného pre intravenózne použitie (fyziologický roztok). Liek sa musí aplikovať intramuskulárne, obvykle ihlou 30 G do vopred určených oblastí.</w:t>
      </w:r>
    </w:p>
    <w:p w:rsidR="00F134F4" w:rsidRPr="00F00DE4" w:rsidRDefault="00F134F4" w:rsidP="00FE4006">
      <w:pPr>
        <w:pStyle w:val="Text"/>
        <w:ind w:left="0"/>
        <w:jc w:val="left"/>
        <w:rPr>
          <w:rFonts w:ascii="Times New Roman" w:hAnsi="Times New Roman"/>
          <w:sz w:val="22"/>
          <w:szCs w:val="22"/>
          <w:lang w:val="sk-SK"/>
        </w:rPr>
      </w:pPr>
    </w:p>
    <w:p w:rsidR="00F134F4" w:rsidRPr="00F00DE4" w:rsidRDefault="00F134F4" w:rsidP="00682658">
      <w:pPr>
        <w:pStyle w:val="Text"/>
        <w:ind w:left="0"/>
        <w:rPr>
          <w:rFonts w:ascii="Times New Roman" w:hAnsi="Times New Roman"/>
          <w:sz w:val="22"/>
          <w:szCs w:val="22"/>
          <w:lang w:val="sk-SK"/>
        </w:rPr>
      </w:pPr>
      <w:r w:rsidRPr="00F00DE4">
        <w:rPr>
          <w:rFonts w:ascii="Times New Roman" w:hAnsi="Times New Roman"/>
          <w:sz w:val="22"/>
          <w:szCs w:val="22"/>
          <w:lang w:val="sk-SK"/>
        </w:rPr>
        <w:t>Pri liečbe glabelárnych vrások má byť liek pred injekciou pripravený pomocou 0,6 ml roztoku chloridu sodného 9 mg/ml (0,9 %). Toto poskytne číry roztok obsahujúci 125 Ipsenove jednotky aktívneho roztoku.</w:t>
      </w:r>
    </w:p>
    <w:p w:rsidR="00F134F4" w:rsidRPr="00F00DE4" w:rsidRDefault="00F134F4" w:rsidP="00FE4006">
      <w:pPr>
        <w:jc w:val="both"/>
        <w:rPr>
          <w:rFonts w:ascii="Times New Roman" w:hAnsi="Times New Roman" w:cs="Times New Roman"/>
          <w:bCs/>
          <w:sz w:val="22"/>
          <w:szCs w:val="22"/>
          <w:lang w:val="sk-SK"/>
        </w:rPr>
      </w:pPr>
    </w:p>
    <w:p w:rsidR="00F134F4" w:rsidRPr="00F00DE4" w:rsidRDefault="00F134F4" w:rsidP="00FE4006">
      <w:pPr>
        <w:jc w:val="both"/>
        <w:rPr>
          <w:rFonts w:ascii="Times New Roman" w:hAnsi="Times New Roman" w:cs="Times New Roman"/>
          <w:bCs/>
          <w:sz w:val="22"/>
          <w:szCs w:val="22"/>
          <w:lang w:val="sk-SK"/>
        </w:rPr>
      </w:pPr>
      <w:r w:rsidRPr="00F00DE4">
        <w:rPr>
          <w:rFonts w:ascii="Times New Roman" w:hAnsi="Times New Roman" w:cs="Times New Roman"/>
          <w:bCs/>
          <w:sz w:val="22"/>
          <w:szCs w:val="22"/>
          <w:lang w:val="sk-SK"/>
        </w:rPr>
        <w:t>Jednotky liečiva (botulotoxín typu A) sú špecifické pre tento liek a nesmú byť použité ako numericky rovnocenné u iných prípravkov obsahujúcich botulotoxín typu A. Štúdie klinickej ekvivalencie ukazujú na pomer jednotiek 1:3 medzi botulotoxínom typu A amerického a európskeho pôvodu. Dávku a riedenie musí určiť odborný lekár, pričom berie do úvahy kinetické svalové rozdiely medzi jednotlivými pacientmi.</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4.3</w:t>
      </w:r>
      <w:r w:rsidRPr="00F00DE4">
        <w:rPr>
          <w:rFonts w:ascii="Times New Roman" w:hAnsi="Times New Roman" w:cs="Times New Roman"/>
          <w:b/>
          <w:sz w:val="22"/>
          <w:szCs w:val="22"/>
          <w:lang w:val="sk-SK"/>
        </w:rPr>
        <w:tab/>
        <w:t>Kontraindikácie</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Precitlivenosť na liečivo alebo na ktorúkoľvek z pomocných látok uvedených v časti 6.1.</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b/>
          <w:noProof/>
          <w:sz w:val="22"/>
          <w:szCs w:val="22"/>
          <w:lang w:val="sk-SK"/>
        </w:rPr>
      </w:pPr>
      <w:r w:rsidRPr="00F00DE4">
        <w:rPr>
          <w:rFonts w:ascii="Times New Roman" w:hAnsi="Times New Roman" w:cs="Times New Roman"/>
          <w:b/>
          <w:noProof/>
          <w:sz w:val="22"/>
          <w:szCs w:val="22"/>
          <w:lang w:val="sk-SK"/>
        </w:rPr>
        <w:t>4.4</w:t>
      </w:r>
      <w:r w:rsidRPr="00F00DE4">
        <w:rPr>
          <w:rFonts w:ascii="Times New Roman" w:hAnsi="Times New Roman" w:cs="Times New Roman"/>
          <w:b/>
          <w:noProof/>
          <w:sz w:val="22"/>
          <w:szCs w:val="22"/>
          <w:lang w:val="sk-SK"/>
        </w:rPr>
        <w:tab/>
        <w:t>Osobitné upozornenia a opatrenia pri používaní</w:t>
      </w:r>
    </w:p>
    <w:p w:rsidR="00F134F4" w:rsidRPr="00F00DE4" w:rsidRDefault="00F134F4" w:rsidP="00FE4006">
      <w:pPr>
        <w:rPr>
          <w:rFonts w:ascii="Times New Roman" w:hAnsi="Times New Roman" w:cs="Times New Roman"/>
          <w:b/>
          <w:noProof/>
          <w:sz w:val="22"/>
          <w:szCs w:val="22"/>
          <w:lang w:val="sk-SK"/>
        </w:rPr>
      </w:pPr>
    </w:p>
    <w:p w:rsidR="00F134F4" w:rsidRPr="00F00DE4" w:rsidRDefault="00F134F4" w:rsidP="00FE4006">
      <w:pPr>
        <w:tabs>
          <w:tab w:val="left" w:pos="5387"/>
        </w:tabs>
        <w:jc w:val="both"/>
        <w:rPr>
          <w:rFonts w:ascii="Times New Roman" w:hAnsi="Times New Roman" w:cs="Times New Roman"/>
          <w:i/>
          <w:strike/>
          <w:sz w:val="22"/>
          <w:szCs w:val="22"/>
          <w:lang w:val="sk-SK"/>
        </w:rPr>
      </w:pPr>
      <w:r w:rsidRPr="00F00DE4">
        <w:rPr>
          <w:rFonts w:ascii="Times New Roman" w:hAnsi="Times New Roman" w:cs="Times New Roman"/>
          <w:sz w:val="22"/>
          <w:szCs w:val="22"/>
          <w:lang w:val="sk-SK"/>
        </w:rPr>
        <w:t xml:space="preserve">Hlásené boli nežiaduce účinky súvisiace so šírením toxínu mimo miesta aplikácie (pozri časť 4.8).   </w:t>
      </w:r>
    </w:p>
    <w:p w:rsidR="00F134F4" w:rsidRPr="00F00DE4" w:rsidRDefault="00F134F4" w:rsidP="00FE4006">
      <w:pPr>
        <w:pStyle w:val="Body"/>
        <w:rPr>
          <w:color w:val="FF0000"/>
          <w:sz w:val="22"/>
          <w:szCs w:val="22"/>
          <w:lang w:val="sk-SK"/>
        </w:rPr>
      </w:pPr>
      <w:r w:rsidRPr="00F00DE4">
        <w:rPr>
          <w:sz w:val="22"/>
          <w:szCs w:val="22"/>
          <w:lang w:val="sk-SK"/>
        </w:rPr>
        <w:t>U pacientov liečených terapeutickými dávkami sa môže vyskytnúť nadmerná svalová slabosť.</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Riziko výskytu týchto nežiaducich účinkov môže byť znížené použitím najnižšej účinnej dávky a neprekročením maximálnej odporučenej dávky.</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Komplex botulotoxínu typu A - hemaglutinín sa má použiť s opatrnosťou pod prísnym dohľadom a u pacientov so subklinickými alebo klinickými známkami zistiteľnej poruchy neuromuskulárneho prenosu (napr. myasténia gravis). Títo pacienti môžu mať na liečivá ako je komplex botulotoxínu typu A – hemaglutinín  zvýšenú citlivosť, ktorá môže viesť k nadmernej slabosti svalov.</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Pri liečbe spasticity súvisiacej s detskou mozgovou obrnou má byť Dysport 500 U použitý len u detí starších ako 2 roky.</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shd w:val="clear" w:color="auto" w:fill="FFFFFF"/>
        <w:spacing w:line="278" w:lineRule="exact"/>
        <w:ind w:right="120"/>
        <w:jc w:val="both"/>
        <w:rPr>
          <w:rFonts w:ascii="Times New Roman" w:hAnsi="Times New Roman" w:cs="Times New Roman"/>
          <w:sz w:val="22"/>
          <w:szCs w:val="22"/>
          <w:lang w:val="sk-SK"/>
        </w:rPr>
      </w:pPr>
      <w:r w:rsidRPr="00F00DE4">
        <w:rPr>
          <w:rFonts w:ascii="Times New Roman" w:hAnsi="Times New Roman" w:cs="Times New Roman"/>
          <w:color w:val="000000"/>
          <w:sz w:val="22"/>
          <w:szCs w:val="22"/>
          <w:lang w:val="sk-SK"/>
        </w:rPr>
        <w:t>Odporúčané dávkovanie a frekvencia podávania Dysportu 500 U sa nesmie prekročiť.</w:t>
      </w:r>
    </w:p>
    <w:p w:rsidR="00F134F4" w:rsidRPr="00F00DE4" w:rsidRDefault="00F134F4" w:rsidP="00FE4006">
      <w:pPr>
        <w:tabs>
          <w:tab w:val="left" w:pos="5387"/>
        </w:tabs>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U pacientov liečených terapeutickými dávkami sa môže vyskytnúť nadmerná svalová slabosť. </w:t>
      </w:r>
    </w:p>
    <w:p w:rsidR="00F134F4" w:rsidRPr="00F00DE4" w:rsidRDefault="00F134F4" w:rsidP="00F66231">
      <w:pPr>
        <w:tabs>
          <w:tab w:val="left" w:pos="5387"/>
        </w:tabs>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Veľmi vzácne prípady smrti boli hlásené po liečbe botulotoxínom typu A alebo B, občas  súvisiace s dysfágiou, pneumopatiou (ktorá zahŕňala, ale nebola obmedzená len na dyspnoe, respiračné zlyhanie, zastavenie dýchania) a/alebo u pacientov s významnou asténiou. </w:t>
      </w:r>
    </w:p>
    <w:p w:rsidR="00F134F4" w:rsidRPr="00F00DE4" w:rsidRDefault="00F134F4" w:rsidP="00FE4006">
      <w:pPr>
        <w:tabs>
          <w:tab w:val="left" w:pos="5387"/>
        </w:tabs>
        <w:jc w:val="both"/>
        <w:rPr>
          <w:rFonts w:ascii="Times New Roman" w:hAnsi="Times New Roman" w:cs="Times New Roman"/>
          <w:iCs/>
          <w:sz w:val="22"/>
          <w:szCs w:val="22"/>
          <w:lang w:val="sk-SK"/>
        </w:rPr>
      </w:pPr>
      <w:r w:rsidRPr="00F00DE4">
        <w:rPr>
          <w:rFonts w:ascii="Times New Roman" w:hAnsi="Times New Roman" w:cs="Times New Roman"/>
          <w:iCs/>
          <w:sz w:val="22"/>
          <w:szCs w:val="22"/>
          <w:lang w:val="sk-SK"/>
        </w:rPr>
        <w:t xml:space="preserve">U pacientov s primárnymi neurologickými poruchami vrátane ťažkostí s prehĺtaním je zvýšené riziko výskytu týchto nežiaducich účinkov. U týchto pacientov musí byť liečba použitá pod dozorom lekára - špecialistu a má sa použiť len vtedy, ak sa zhodnotí, že prínos liečby vyváži riziko. </w:t>
      </w:r>
    </w:p>
    <w:p w:rsidR="00F134F4" w:rsidRPr="00F00DE4" w:rsidRDefault="00F134F4" w:rsidP="00FE4006">
      <w:pPr>
        <w:tabs>
          <w:tab w:val="left" w:pos="5387"/>
        </w:tabs>
        <w:jc w:val="both"/>
        <w:rPr>
          <w:rFonts w:ascii="Times New Roman" w:hAnsi="Times New Roman" w:cs="Times New Roman"/>
          <w:iCs/>
          <w:sz w:val="22"/>
          <w:szCs w:val="22"/>
          <w:lang w:val="sk-SK"/>
        </w:rPr>
      </w:pPr>
    </w:p>
    <w:p w:rsidR="00F134F4" w:rsidRPr="00F00DE4" w:rsidRDefault="00F134F4" w:rsidP="00FE4006">
      <w:pPr>
        <w:tabs>
          <w:tab w:val="left" w:pos="5387"/>
        </w:tabs>
        <w:jc w:val="both"/>
        <w:rPr>
          <w:rFonts w:ascii="Times New Roman" w:hAnsi="Times New Roman" w:cs="Times New Roman"/>
          <w:sz w:val="22"/>
          <w:szCs w:val="22"/>
          <w:lang w:val="sk-SK"/>
        </w:rPr>
      </w:pPr>
      <w:r w:rsidRPr="00F00DE4">
        <w:rPr>
          <w:rFonts w:ascii="Times New Roman" w:hAnsi="Times New Roman" w:cs="Times New Roman"/>
          <w:iCs/>
          <w:sz w:val="22"/>
          <w:szCs w:val="22"/>
          <w:lang w:val="sk-SK"/>
        </w:rPr>
        <w:t>Dysport 500 U sa má podávať s opatrnosťou u pacientov s už existujúcimi problémami s prehĺtaním alebo dýchaním, nakoľko tieto sa môžu zhoršiť a následne rozšíriť účinok toxínu do príslušných svalov. Zriedkavo sa pozorovala ašpirácia a je rizikom pri liečbe pacientov s chronickým respiračným ochorením.</w:t>
      </w:r>
    </w:p>
    <w:p w:rsidR="00F134F4" w:rsidRPr="00F00DE4" w:rsidRDefault="00F134F4" w:rsidP="00FE4006">
      <w:pPr>
        <w:pStyle w:val="Text"/>
        <w:spacing w:before="0" w:after="0"/>
        <w:ind w:left="0"/>
        <w:jc w:val="left"/>
        <w:rPr>
          <w:rFonts w:ascii="Times New Roman" w:hAnsi="Times New Roman"/>
          <w:iCs/>
          <w:color w:val="333399"/>
          <w:sz w:val="22"/>
          <w:szCs w:val="22"/>
          <w:lang w:val="sk-SK"/>
        </w:rPr>
      </w:pPr>
    </w:p>
    <w:p w:rsidR="00F134F4" w:rsidRPr="00F00DE4" w:rsidRDefault="00F134F4" w:rsidP="00FE4006">
      <w:pPr>
        <w:jc w:val="both"/>
        <w:rPr>
          <w:rFonts w:ascii="Times New Roman" w:hAnsi="Times New Roman" w:cs="Times New Roman"/>
          <w:color w:val="FF0000"/>
          <w:sz w:val="22"/>
          <w:szCs w:val="22"/>
          <w:lang w:val="sk-SK"/>
        </w:rPr>
      </w:pPr>
      <w:r w:rsidRPr="00F00DE4">
        <w:rPr>
          <w:rFonts w:ascii="Times New Roman" w:hAnsi="Times New Roman" w:cs="Times New Roman"/>
          <w:color w:val="000000"/>
          <w:sz w:val="22"/>
          <w:szCs w:val="22"/>
          <w:lang w:val="sk-SK"/>
        </w:rPr>
        <w:t>Pacienti a opatrovatelia musia byť poučení tak, aby vyhľadali okamžité lekárske ošetrenie ak sa objavia poruchy prehĺtania, reči alebo dýchania.</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Tréning: firma pomôže s tréningom na podávanie injekcií Dysportu 500 U.</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Dysport 500 U sa nesmie používať na liečbu spasticity u pacientov, ktorým sa vyvinula fixovaná kontraktúra.</w:t>
      </w:r>
    </w:p>
    <w:p w:rsidR="00F134F4" w:rsidRPr="00F00DE4" w:rsidRDefault="00F134F4" w:rsidP="00FE4006">
      <w:pPr>
        <w:shd w:val="clear" w:color="auto" w:fill="FFFFFF"/>
        <w:spacing w:before="115" w:line="274" w:lineRule="exact"/>
        <w:ind w:left="29" w:right="106"/>
        <w:jc w:val="both"/>
        <w:rPr>
          <w:rFonts w:ascii="Times New Roman" w:hAnsi="Times New Roman" w:cs="Times New Roman"/>
          <w:color w:val="000000"/>
          <w:sz w:val="22"/>
          <w:szCs w:val="22"/>
          <w:lang w:val="sk-SK"/>
        </w:rPr>
      </w:pPr>
      <w:r w:rsidRPr="00F00DE4">
        <w:rPr>
          <w:rFonts w:ascii="Times New Roman" w:hAnsi="Times New Roman" w:cs="Times New Roman"/>
          <w:sz w:val="22"/>
          <w:szCs w:val="22"/>
          <w:lang w:val="sk-SK"/>
        </w:rPr>
        <w:t xml:space="preserve">Je dôležité sledovať pacientovu anatómiu tváre pred podaním </w:t>
      </w:r>
      <w:r w:rsidRPr="00F00DE4">
        <w:rPr>
          <w:rFonts w:ascii="Times New Roman" w:hAnsi="Times New Roman" w:cs="Times New Roman"/>
          <w:color w:val="000000"/>
          <w:sz w:val="22"/>
          <w:szCs w:val="22"/>
          <w:lang w:val="sk-SK"/>
        </w:rPr>
        <w:t>Dysportu 500 U na reguláciu glabelárnych a laterálnych očných línii.</w:t>
      </w:r>
      <w:r w:rsidRPr="00F00DE4">
        <w:rPr>
          <w:rFonts w:ascii="Times New Roman" w:hAnsi="Times New Roman" w:cs="Times New Roman"/>
          <w:sz w:val="22"/>
          <w:szCs w:val="22"/>
          <w:lang w:val="sk-SK"/>
        </w:rPr>
        <w:t xml:space="preserve"> Asymetria tváre, </w:t>
      </w:r>
      <w:r w:rsidRPr="00F00DE4">
        <w:rPr>
          <w:rFonts w:ascii="Times New Roman" w:hAnsi="Times New Roman" w:cs="Times New Roman"/>
          <w:color w:val="000000"/>
          <w:sz w:val="22"/>
          <w:szCs w:val="22"/>
          <w:lang w:val="sk-SK"/>
        </w:rPr>
        <w:t>ptóza, neúmerné uvoľňovanie kože, zjazvenie a hociktoré zmeny tejto anatómie ako výsledok predchádzajúcich chirurgických zákrokov majú byť brané do úvahy.</w:t>
      </w:r>
    </w:p>
    <w:p w:rsidR="00F134F4" w:rsidRPr="00F00DE4" w:rsidRDefault="00F134F4" w:rsidP="00FE4006">
      <w:pPr>
        <w:shd w:val="clear" w:color="auto" w:fill="FFFFFF"/>
        <w:spacing w:before="115" w:line="274" w:lineRule="exact"/>
        <w:ind w:left="29" w:right="106"/>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Tvorba protilátok proti botulínovému toxínu bola vyšetrovaná u malého počtu pacientov liečených botulotoxínom typu A – komplex hemaglutinínu. Klinicky môžu byť neutralizujúce protilátky zistené významné zníženou odpoveďou a/alebo potrebou trvalého užívania vyšších dávok. </w:t>
      </w:r>
    </w:p>
    <w:p w:rsidR="00F134F4" w:rsidRPr="00F00DE4" w:rsidRDefault="00F134F4" w:rsidP="00FE4006">
      <w:pPr>
        <w:pStyle w:val="Text"/>
        <w:ind w:left="0"/>
        <w:jc w:val="left"/>
        <w:rPr>
          <w:rFonts w:ascii="Times New Roman" w:hAnsi="Times New Roman"/>
          <w:sz w:val="22"/>
          <w:szCs w:val="22"/>
          <w:lang w:val="sk-SK"/>
        </w:rPr>
      </w:pPr>
    </w:p>
    <w:p w:rsidR="00F134F4" w:rsidRPr="00F00DE4" w:rsidRDefault="00F134F4" w:rsidP="00FE4006">
      <w:pPr>
        <w:pStyle w:val="Text"/>
        <w:ind w:left="0"/>
        <w:jc w:val="left"/>
        <w:rPr>
          <w:rFonts w:ascii="Times New Roman" w:hAnsi="Times New Roman"/>
          <w:sz w:val="22"/>
          <w:szCs w:val="22"/>
          <w:lang w:val="sk-SK"/>
        </w:rPr>
      </w:pPr>
      <w:r w:rsidRPr="00F00DE4">
        <w:rPr>
          <w:rFonts w:ascii="Times New Roman" w:hAnsi="Times New Roman"/>
          <w:sz w:val="22"/>
          <w:szCs w:val="22"/>
          <w:lang w:val="sk-SK"/>
        </w:rPr>
        <w:t>Ako pri každej intramuskulárnej injekcii má byť Dysport 500 U používaný iba u tých pacientov, kde je to naozaj nutné - v prípade dlhotrvajúcich krvácaní, infekcií alebo zápalov na príslušnom mieste.</w:t>
      </w:r>
    </w:p>
    <w:p w:rsidR="00F134F4" w:rsidRPr="00F00DE4" w:rsidRDefault="00F134F4" w:rsidP="00FE4006">
      <w:pPr>
        <w:shd w:val="clear" w:color="auto" w:fill="FFFFFF"/>
        <w:spacing w:line="278" w:lineRule="exact"/>
        <w:ind w:right="120"/>
        <w:jc w:val="both"/>
        <w:rPr>
          <w:rFonts w:ascii="Times New Roman" w:hAnsi="Times New Roman" w:cs="Times New Roman"/>
          <w:sz w:val="22"/>
          <w:szCs w:val="22"/>
          <w:lang w:val="sk-SK"/>
        </w:rPr>
      </w:pPr>
      <w:r w:rsidRPr="00F00DE4">
        <w:rPr>
          <w:rFonts w:ascii="Times New Roman" w:hAnsi="Times New Roman" w:cs="Times New Roman"/>
          <w:color w:val="000000"/>
          <w:sz w:val="22"/>
          <w:szCs w:val="22"/>
          <w:lang w:val="sk-SK"/>
        </w:rPr>
        <w:t>Dysport 500 U má byť použitý len na liečbu jedného pacienta, počas jednej liečby . Akékoľvek nepoužité zvyšky lieku majú byť zlikvidované v súlade s časťou 6.6 (Špeciálne opatrenia na likvidáciu a iné zaobchádzanie s liekom). Špecifické opatrenia sú požadované k príprave a spôsobu podania lieku, k inaktivácii a </w:t>
      </w:r>
      <w:r w:rsidRPr="00F00DE4">
        <w:rPr>
          <w:rFonts w:ascii="Times New Roman" w:hAnsi="Times New Roman" w:cs="Times New Roman"/>
          <w:sz w:val="22"/>
          <w:szCs w:val="22"/>
          <w:lang w:val="sk-SK"/>
        </w:rPr>
        <w:t xml:space="preserve">likvidácii nepoužitého nariedeného roztoku </w:t>
      </w:r>
      <w:r w:rsidRPr="00F00DE4">
        <w:rPr>
          <w:rFonts w:ascii="Times New Roman" w:hAnsi="Times New Roman" w:cs="Times New Roman"/>
          <w:color w:val="000000"/>
          <w:sz w:val="22"/>
          <w:szCs w:val="22"/>
          <w:lang w:val="sk-SK"/>
        </w:rPr>
        <w:t>(pozri časť 6.6).</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Tento liek obsahuje malé množstvo ľudského albumínu. Riziko prenosu vírusovej infekcie po použití ľudskej krvi alebo prípravkov z krvi sa nemôže vylúčiť s absolútnou istotou.</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4.5</w:t>
      </w:r>
      <w:r w:rsidRPr="00F00DE4">
        <w:rPr>
          <w:rFonts w:ascii="Times New Roman" w:hAnsi="Times New Roman" w:cs="Times New Roman"/>
          <w:b/>
          <w:sz w:val="22"/>
          <w:szCs w:val="22"/>
          <w:lang w:val="sk-SK"/>
        </w:rPr>
        <w:tab/>
        <w:t>Liekové a iné interakcie</w:t>
      </w:r>
    </w:p>
    <w:p w:rsidR="00F134F4" w:rsidRPr="00F00DE4" w:rsidRDefault="00F134F4" w:rsidP="00FE4006">
      <w:pPr>
        <w:shd w:val="clear" w:color="auto" w:fill="FFFFFF"/>
        <w:spacing w:before="110" w:line="274" w:lineRule="exact"/>
        <w:ind w:left="53" w:right="72"/>
        <w:jc w:val="both"/>
        <w:rPr>
          <w:rFonts w:ascii="Times New Roman" w:hAnsi="Times New Roman" w:cs="Times New Roman"/>
          <w:sz w:val="22"/>
          <w:szCs w:val="22"/>
          <w:lang w:val="sk-SK"/>
        </w:rPr>
      </w:pPr>
      <w:r w:rsidRPr="00F00DE4">
        <w:rPr>
          <w:rFonts w:ascii="Times New Roman" w:hAnsi="Times New Roman" w:cs="Times New Roman"/>
          <w:color w:val="000000"/>
          <w:sz w:val="22"/>
          <w:szCs w:val="22"/>
          <w:lang w:val="sk-SK"/>
        </w:rPr>
        <w:t>Účinky botulotoxínu sa zosilňujú u liekov interferovaných priamo alebo nepriamo s neuromuskulárnou funkciou, a takéto lieky sa majú používať s opatrnosťou u pacientov liečených botulotoxínom.</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b/>
          <w:noProof/>
          <w:sz w:val="22"/>
          <w:szCs w:val="22"/>
          <w:lang w:val="sk-SK"/>
        </w:rPr>
      </w:pPr>
      <w:r w:rsidRPr="00F00DE4">
        <w:rPr>
          <w:rFonts w:ascii="Times New Roman" w:hAnsi="Times New Roman" w:cs="Times New Roman"/>
          <w:b/>
          <w:noProof/>
          <w:sz w:val="22"/>
          <w:szCs w:val="22"/>
          <w:lang w:val="sk-SK"/>
        </w:rPr>
        <w:t>4.6</w:t>
      </w:r>
      <w:r w:rsidRPr="00F00DE4">
        <w:rPr>
          <w:rFonts w:ascii="Times New Roman" w:hAnsi="Times New Roman" w:cs="Times New Roman"/>
          <w:b/>
          <w:noProof/>
          <w:sz w:val="22"/>
          <w:szCs w:val="22"/>
          <w:lang w:val="sk-SK"/>
        </w:rPr>
        <w:tab/>
        <w:t>Fertilita, gravidita a laktácia</w:t>
      </w:r>
    </w:p>
    <w:p w:rsidR="00F134F4" w:rsidRPr="00F00DE4" w:rsidRDefault="00F134F4" w:rsidP="00E12229">
      <w:pPr>
        <w:jc w:val="both"/>
        <w:rPr>
          <w:rFonts w:ascii="Times New Roman" w:hAnsi="Times New Roman" w:cs="Times New Roman"/>
          <w:sz w:val="22"/>
          <w:szCs w:val="22"/>
          <w:lang w:val="sk-SK"/>
        </w:rPr>
      </w:pPr>
    </w:p>
    <w:p w:rsidR="00F134F4" w:rsidRPr="00F00DE4" w:rsidRDefault="00F134F4" w:rsidP="00E12229">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Existujú obmedzené údaje o použití komplexu </w:t>
      </w:r>
      <w:r w:rsidRPr="00F00DE4">
        <w:rPr>
          <w:rFonts w:ascii="Times New Roman" w:hAnsi="Times New Roman" w:cs="Times New Roman"/>
          <w:i/>
          <w:sz w:val="22"/>
          <w:szCs w:val="22"/>
          <w:lang w:val="sk-SK"/>
        </w:rPr>
        <w:t>Clostridium botulinum</w:t>
      </w:r>
      <w:r w:rsidRPr="00F00DE4">
        <w:rPr>
          <w:rFonts w:ascii="Times New Roman" w:hAnsi="Times New Roman" w:cs="Times New Roman"/>
          <w:sz w:val="22"/>
          <w:szCs w:val="22"/>
          <w:lang w:val="sk-SK"/>
        </w:rPr>
        <w:t xml:space="preserve"> toxínu typu A - hemaglutinín u gravidných žien. Štúdie na zvieratách nesignalizujú priame a nepriame škodlivé účinky čo sa týka gravidity, embryonálneho/fetálneho vývoja, pôrodu alebo popôrodného vývoja, iné ako pri vysokých dávkach spôsobujúcich toxicitu u matiek (pozri časť 5.3).</w:t>
      </w:r>
    </w:p>
    <w:p w:rsidR="00F134F4" w:rsidRPr="00F00DE4" w:rsidRDefault="00F134F4" w:rsidP="00E12229">
      <w:pPr>
        <w:jc w:val="both"/>
        <w:rPr>
          <w:rFonts w:ascii="Times New Roman" w:hAnsi="Times New Roman" w:cs="Times New Roman"/>
          <w:sz w:val="22"/>
          <w:szCs w:val="22"/>
          <w:lang w:val="sk-SK"/>
        </w:rPr>
      </w:pPr>
    </w:p>
    <w:p w:rsidR="00F134F4" w:rsidRPr="00F00DE4" w:rsidRDefault="00F134F4" w:rsidP="00E12229">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Komplex botulotoxínu typu A s hemaglutinínom má byť použitý počas gravidity iba pokiaľ prínos prevýši akékoľvek potenciálne riziko pre plod. Pri predpísaní Dysportu 500 U tehotnej žene je potrebné ju náležité poučiť.</w:t>
      </w:r>
    </w:p>
    <w:p w:rsidR="00F134F4" w:rsidRPr="00F00DE4" w:rsidRDefault="00F134F4" w:rsidP="00E12229">
      <w:pPr>
        <w:jc w:val="both"/>
        <w:rPr>
          <w:rFonts w:ascii="Times New Roman" w:hAnsi="Times New Roman" w:cs="Times New Roman"/>
          <w:sz w:val="22"/>
          <w:szCs w:val="22"/>
          <w:lang w:val="sk-SK"/>
        </w:rPr>
      </w:pPr>
    </w:p>
    <w:p w:rsidR="00F134F4" w:rsidRPr="00F00DE4" w:rsidRDefault="00F134F4" w:rsidP="00682658">
      <w:pPr>
        <w:jc w:val="both"/>
        <w:rPr>
          <w:rFonts w:ascii="Times New Roman" w:hAnsi="Times New Roman" w:cs="Times New Roman"/>
          <w:noProof/>
          <w:sz w:val="22"/>
          <w:szCs w:val="22"/>
          <w:lang w:val="sk-SK"/>
        </w:rPr>
      </w:pPr>
      <w:r w:rsidRPr="00F00DE4">
        <w:rPr>
          <w:rFonts w:ascii="Times New Roman" w:hAnsi="Times New Roman" w:cs="Times New Roman"/>
          <w:sz w:val="22"/>
          <w:szCs w:val="22"/>
          <w:lang w:val="sk-SK"/>
        </w:rPr>
        <w:t xml:space="preserve">Nie je známe, či je komplex </w:t>
      </w:r>
      <w:r w:rsidRPr="00F00DE4">
        <w:rPr>
          <w:rFonts w:ascii="Times New Roman" w:hAnsi="Times New Roman" w:cs="Times New Roman"/>
          <w:i/>
          <w:sz w:val="22"/>
          <w:szCs w:val="22"/>
          <w:lang w:val="sk-SK"/>
        </w:rPr>
        <w:t>Clostridium botulinum</w:t>
      </w:r>
      <w:r w:rsidRPr="00F00DE4">
        <w:rPr>
          <w:rFonts w:ascii="Times New Roman" w:hAnsi="Times New Roman" w:cs="Times New Roman"/>
          <w:sz w:val="22"/>
          <w:szCs w:val="22"/>
          <w:lang w:val="sk-SK"/>
        </w:rPr>
        <w:t xml:space="preserve"> toxín A- hemaglutinín vylučovaný do materského mlieka. Exkrécia do mlieka nebola študovaná ani u zvierat. Použitie komplexu botulotoxín typu A- hemaglutinín počas laktácie sa neodporúča.</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numPr>
          <w:ilvl w:val="1"/>
          <w:numId w:val="2"/>
          <w:numberingChange w:id="17" w:author="Unknown" w:date="2016-07-20T15:02:00Z" w:original="%1:4:0:.%2:7:0:"/>
        </w:num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Ovplyvnenie schopnosti viesť vozidlá a obsluhovať stroje</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Existuje potenciálne riziko svalovej slabosti alebo poruchy zraku, ktorá, pokiaľ sa vyskytne, môže dočasne narušiť schopnosť viesť vozidlá a obsluhovať stroje.</w:t>
      </w:r>
      <w:r w:rsidRPr="00F00DE4" w:rsidDel="00D911D1">
        <w:rPr>
          <w:rFonts w:ascii="Times New Roman" w:hAnsi="Times New Roman" w:cs="Times New Roman"/>
          <w:sz w:val="22"/>
          <w:szCs w:val="22"/>
          <w:lang w:val="sk-SK"/>
        </w:rPr>
        <w:t xml:space="preserve"> </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D911D1">
      <w:pPr>
        <w:jc w:val="both"/>
        <w:rPr>
          <w:rFonts w:ascii="Times New Roman" w:hAnsi="Times New Roman" w:cs="Times New Roman"/>
          <w:b/>
          <w:sz w:val="22"/>
          <w:szCs w:val="22"/>
          <w:lang w:val="sk-SK"/>
        </w:rPr>
      </w:pPr>
      <w:r w:rsidRPr="00F00DE4">
        <w:rPr>
          <w:rFonts w:ascii="Times New Roman" w:hAnsi="Times New Roman" w:cs="Times New Roman"/>
          <w:b/>
          <w:sz w:val="22"/>
          <w:szCs w:val="22"/>
          <w:lang w:val="sk-SK"/>
        </w:rPr>
        <w:t>4.8</w:t>
      </w:r>
      <w:r w:rsidRPr="00F00DE4">
        <w:rPr>
          <w:rFonts w:ascii="Times New Roman" w:hAnsi="Times New Roman" w:cs="Times New Roman"/>
          <w:b/>
          <w:sz w:val="22"/>
          <w:szCs w:val="22"/>
          <w:lang w:val="sk-SK"/>
        </w:rPr>
        <w:tab/>
        <w:t>Nežiaduce účinky</w:t>
      </w:r>
    </w:p>
    <w:p w:rsidR="00F134F4" w:rsidRPr="00F00DE4" w:rsidRDefault="00F134F4" w:rsidP="00FE4006">
      <w:pPr>
        <w:autoSpaceDE w:val="0"/>
        <w:autoSpaceDN w:val="0"/>
        <w:adjustRightInd w:val="0"/>
        <w:rPr>
          <w:rFonts w:ascii="Times New Roman" w:hAnsi="Times New Roman" w:cs="Times New Roman"/>
          <w:sz w:val="22"/>
          <w:szCs w:val="22"/>
          <w:u w:val="single"/>
          <w:lang w:val="sk-SK"/>
        </w:rPr>
      </w:pPr>
    </w:p>
    <w:p w:rsidR="00F134F4" w:rsidRPr="00F00DE4" w:rsidRDefault="00F134F4" w:rsidP="00FE4006">
      <w:pPr>
        <w:autoSpaceDE w:val="0"/>
        <w:autoSpaceDN w:val="0"/>
        <w:adjustRightInd w:val="0"/>
        <w:rPr>
          <w:rFonts w:ascii="Times New Roman" w:hAnsi="Times New Roman" w:cs="Times New Roman"/>
          <w:noProof/>
          <w:sz w:val="22"/>
          <w:szCs w:val="22"/>
          <w:lang w:val="sk-SK"/>
        </w:rPr>
      </w:pPr>
      <w:r w:rsidRPr="00F00DE4">
        <w:rPr>
          <w:rFonts w:ascii="Times New Roman" w:hAnsi="Times New Roman" w:cs="Times New Roman"/>
          <w:sz w:val="22"/>
          <w:szCs w:val="22"/>
          <w:u w:val="single"/>
          <w:lang w:val="sk-SK"/>
        </w:rPr>
        <w:t>Veľmi časté:</w:t>
      </w:r>
      <w:r w:rsidRPr="00F00DE4">
        <w:rPr>
          <w:rFonts w:ascii="Times New Roman" w:hAnsi="Times New Roman" w:cs="Times New Roman"/>
          <w:sz w:val="22"/>
          <w:szCs w:val="22"/>
          <w:lang w:val="sk-SK"/>
        </w:rPr>
        <w:t xml:space="preserve"> </w:t>
      </w:r>
      <w:r w:rsidRPr="00F00DE4">
        <w:rPr>
          <w:rFonts w:ascii="Times New Roman" w:hAnsi="Times New Roman" w:cs="Times New Roman"/>
          <w:noProof/>
          <w:sz w:val="22"/>
          <w:szCs w:val="22"/>
          <w:lang w:val="sk-SK"/>
        </w:rPr>
        <w:t>(</w:t>
      </w:r>
      <w:r w:rsidRPr="00F00DE4">
        <w:rPr>
          <w:rFonts w:ascii="Times New Roman" w:hAnsi="Times New Roman" w:cs="Times New Roman"/>
          <w:bCs/>
          <w:iCs/>
          <w:sz w:val="22"/>
          <w:szCs w:val="22"/>
          <w:lang w:val="sk-SK"/>
        </w:rPr>
        <w:t xml:space="preserve">≥ </w:t>
      </w:r>
      <w:r w:rsidRPr="00F00DE4">
        <w:rPr>
          <w:rFonts w:ascii="Times New Roman" w:hAnsi="Times New Roman" w:cs="Times New Roman"/>
          <w:noProof/>
          <w:sz w:val="22"/>
          <w:szCs w:val="22"/>
          <w:lang w:val="sk-SK"/>
        </w:rPr>
        <w:t xml:space="preserve">1/10). </w:t>
      </w:r>
      <w:r w:rsidRPr="00F00DE4">
        <w:rPr>
          <w:rFonts w:ascii="Times New Roman" w:hAnsi="Times New Roman" w:cs="Times New Roman"/>
          <w:sz w:val="22"/>
          <w:szCs w:val="22"/>
          <w:u w:val="single"/>
          <w:lang w:val="sk-SK"/>
        </w:rPr>
        <w:t>Časté:</w:t>
      </w:r>
      <w:r w:rsidRPr="00F00DE4">
        <w:rPr>
          <w:rFonts w:ascii="Times New Roman" w:hAnsi="Times New Roman" w:cs="Times New Roman"/>
          <w:sz w:val="22"/>
          <w:szCs w:val="22"/>
          <w:lang w:val="sk-SK"/>
        </w:rPr>
        <w:t xml:space="preserve"> </w:t>
      </w:r>
      <w:r w:rsidRPr="00F00DE4">
        <w:rPr>
          <w:rFonts w:ascii="Times New Roman" w:hAnsi="Times New Roman" w:cs="Times New Roman"/>
          <w:noProof/>
          <w:sz w:val="22"/>
          <w:szCs w:val="22"/>
          <w:lang w:val="sk-SK"/>
        </w:rPr>
        <w:t>(</w:t>
      </w:r>
      <w:r w:rsidRPr="00F00DE4">
        <w:rPr>
          <w:rFonts w:ascii="Times New Roman" w:hAnsi="Times New Roman" w:cs="Times New Roman"/>
          <w:bCs/>
          <w:iCs/>
          <w:noProof/>
          <w:sz w:val="22"/>
          <w:szCs w:val="22"/>
          <w:lang w:val="sk-SK"/>
        </w:rPr>
        <w:t xml:space="preserve">≥ </w:t>
      </w:r>
      <w:r w:rsidRPr="00F00DE4">
        <w:rPr>
          <w:rFonts w:ascii="Times New Roman" w:hAnsi="Times New Roman" w:cs="Times New Roman"/>
          <w:noProof/>
          <w:sz w:val="22"/>
          <w:szCs w:val="22"/>
          <w:lang w:val="sk-SK"/>
        </w:rPr>
        <w:t xml:space="preserve">1/100 až &lt; 1/10). </w:t>
      </w:r>
      <w:r w:rsidRPr="00F00DE4">
        <w:rPr>
          <w:rFonts w:ascii="Times New Roman" w:hAnsi="Times New Roman" w:cs="Times New Roman"/>
          <w:sz w:val="22"/>
          <w:szCs w:val="22"/>
          <w:u w:val="single"/>
          <w:lang w:val="sk-SK"/>
        </w:rPr>
        <w:t>Menej časté:</w:t>
      </w:r>
      <w:r w:rsidRPr="00F00DE4">
        <w:rPr>
          <w:rFonts w:ascii="Times New Roman" w:hAnsi="Times New Roman" w:cs="Times New Roman"/>
          <w:sz w:val="22"/>
          <w:szCs w:val="22"/>
          <w:lang w:val="sk-SK"/>
        </w:rPr>
        <w:t xml:space="preserve"> </w:t>
      </w:r>
      <w:r w:rsidRPr="00F00DE4">
        <w:rPr>
          <w:rFonts w:ascii="Times New Roman" w:hAnsi="Times New Roman" w:cs="Times New Roman"/>
          <w:noProof/>
          <w:sz w:val="22"/>
          <w:szCs w:val="22"/>
          <w:lang w:val="sk-SK"/>
        </w:rPr>
        <w:t>(</w:t>
      </w:r>
      <w:r w:rsidRPr="00F00DE4">
        <w:rPr>
          <w:rFonts w:ascii="Times New Roman" w:hAnsi="Times New Roman" w:cs="Times New Roman"/>
          <w:bCs/>
          <w:iCs/>
          <w:noProof/>
          <w:sz w:val="22"/>
          <w:szCs w:val="22"/>
          <w:lang w:val="sk-SK"/>
        </w:rPr>
        <w:t xml:space="preserve">≥ </w:t>
      </w:r>
      <w:r w:rsidRPr="00F00DE4">
        <w:rPr>
          <w:rFonts w:ascii="Times New Roman" w:hAnsi="Times New Roman" w:cs="Times New Roman"/>
          <w:noProof/>
          <w:sz w:val="22"/>
          <w:szCs w:val="22"/>
          <w:lang w:val="sk-SK"/>
        </w:rPr>
        <w:t xml:space="preserve">1/1000 až&lt; 1/100). </w:t>
      </w:r>
      <w:r w:rsidRPr="00F00DE4">
        <w:rPr>
          <w:rFonts w:ascii="Times New Roman" w:hAnsi="Times New Roman" w:cs="Times New Roman"/>
          <w:sz w:val="22"/>
          <w:szCs w:val="22"/>
          <w:u w:val="single"/>
          <w:lang w:val="sk-SK"/>
        </w:rPr>
        <w:t>Zriedkavé</w:t>
      </w:r>
      <w:r w:rsidRPr="00F00DE4">
        <w:rPr>
          <w:rFonts w:ascii="Times New Roman" w:hAnsi="Times New Roman" w:cs="Times New Roman"/>
          <w:sz w:val="22"/>
          <w:szCs w:val="22"/>
          <w:lang w:val="sk-SK"/>
        </w:rPr>
        <w:t xml:space="preserve">: </w:t>
      </w:r>
      <w:r w:rsidRPr="00F00DE4">
        <w:rPr>
          <w:rFonts w:ascii="Times New Roman" w:hAnsi="Times New Roman" w:cs="Times New Roman"/>
          <w:noProof/>
          <w:sz w:val="22"/>
          <w:szCs w:val="22"/>
          <w:lang w:val="sk-SK"/>
        </w:rPr>
        <w:t>(</w:t>
      </w:r>
      <w:r w:rsidRPr="00F00DE4">
        <w:rPr>
          <w:rFonts w:ascii="Times New Roman" w:hAnsi="Times New Roman" w:cs="Times New Roman"/>
          <w:bCs/>
          <w:iCs/>
          <w:noProof/>
          <w:sz w:val="22"/>
          <w:szCs w:val="22"/>
          <w:lang w:val="sk-SK"/>
        </w:rPr>
        <w:t xml:space="preserve">≥ </w:t>
      </w:r>
      <w:r w:rsidRPr="00F00DE4">
        <w:rPr>
          <w:rFonts w:ascii="Times New Roman" w:hAnsi="Times New Roman" w:cs="Times New Roman"/>
          <w:noProof/>
          <w:sz w:val="22"/>
          <w:szCs w:val="22"/>
          <w:lang w:val="sk-SK"/>
        </w:rPr>
        <w:t xml:space="preserve">1/10000 až&lt; 1/1000). </w:t>
      </w:r>
      <w:r w:rsidRPr="00F00DE4">
        <w:rPr>
          <w:rFonts w:ascii="Times New Roman" w:hAnsi="Times New Roman" w:cs="Times New Roman"/>
          <w:sz w:val="22"/>
          <w:szCs w:val="22"/>
          <w:u w:val="single"/>
          <w:lang w:val="sk-SK"/>
        </w:rPr>
        <w:t>Veľmi zriedkavé:</w:t>
      </w:r>
      <w:r w:rsidRPr="00F00DE4">
        <w:rPr>
          <w:rFonts w:ascii="Times New Roman" w:hAnsi="Times New Roman" w:cs="Times New Roman"/>
          <w:sz w:val="22"/>
          <w:szCs w:val="22"/>
          <w:lang w:val="sk-SK"/>
        </w:rPr>
        <w:t xml:space="preserve"> </w:t>
      </w:r>
      <w:r w:rsidRPr="00F00DE4">
        <w:rPr>
          <w:rFonts w:ascii="Times New Roman" w:hAnsi="Times New Roman" w:cs="Times New Roman"/>
          <w:noProof/>
          <w:sz w:val="22"/>
          <w:szCs w:val="22"/>
          <w:lang w:val="sk-SK"/>
        </w:rPr>
        <w:t>(&lt; 1/10000)</w:t>
      </w:r>
    </w:p>
    <w:p w:rsidR="00F134F4" w:rsidRPr="00F00DE4" w:rsidRDefault="00F134F4" w:rsidP="00FE4006">
      <w:pPr>
        <w:autoSpaceDE w:val="0"/>
        <w:autoSpaceDN w:val="0"/>
        <w:adjustRightInd w:val="0"/>
        <w:rPr>
          <w:rFonts w:ascii="Times New Roman" w:hAnsi="Times New Roman" w:cs="Times New Roman"/>
          <w:b/>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Všeobecné:</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A13315">
      <w:pPr>
        <w:shd w:val="clear" w:color="auto" w:fill="FFFFFF"/>
        <w:rPr>
          <w:rFonts w:ascii="Times New Roman" w:hAnsi="Times New Roman" w:cs="Times New Roman"/>
          <w:color w:val="000000"/>
          <w:sz w:val="22"/>
          <w:szCs w:val="22"/>
          <w:lang w:val="sk-SK"/>
        </w:rPr>
      </w:pPr>
      <w:r>
        <w:rPr>
          <w:rFonts w:ascii="Times New Roman" w:hAnsi="Times New Roman" w:cs="Times New Roman"/>
          <w:color w:val="000000"/>
          <w:spacing w:val="-1"/>
          <w:sz w:val="22"/>
          <w:szCs w:val="22"/>
          <w:lang w:val="sk-SK"/>
        </w:rPr>
        <w:t>P</w:t>
      </w:r>
      <w:r w:rsidRPr="00F00DE4">
        <w:rPr>
          <w:rFonts w:ascii="Times New Roman" w:hAnsi="Times New Roman" w:cs="Times New Roman"/>
          <w:color w:val="000000"/>
          <w:spacing w:val="-1"/>
          <w:sz w:val="22"/>
          <w:szCs w:val="22"/>
          <w:lang w:val="sk-SK"/>
        </w:rPr>
        <w:t>ribližne</w:t>
      </w:r>
      <w:r>
        <w:rPr>
          <w:rFonts w:ascii="Times New Roman" w:hAnsi="Times New Roman" w:cs="Times New Roman"/>
          <w:color w:val="000000"/>
          <w:spacing w:val="-1"/>
          <w:sz w:val="22"/>
          <w:szCs w:val="22"/>
          <w:lang w:val="sk-SK"/>
        </w:rPr>
        <w:t xml:space="preserve"> u</w:t>
      </w:r>
      <w:r w:rsidRPr="00F00DE4">
        <w:rPr>
          <w:rFonts w:ascii="Times New Roman" w:hAnsi="Times New Roman" w:cs="Times New Roman"/>
          <w:color w:val="000000"/>
          <w:spacing w:val="-1"/>
          <w:sz w:val="22"/>
          <w:szCs w:val="22"/>
          <w:lang w:val="sk-SK"/>
        </w:rPr>
        <w:t xml:space="preserve"> 25 % pacientov, ktorí boli liečení Dysportom 500 U počas niekoľkých klinických štúdií na </w:t>
      </w:r>
      <w:r w:rsidRPr="00F00DE4">
        <w:rPr>
          <w:rFonts w:ascii="Times New Roman" w:hAnsi="Times New Roman" w:cs="Times New Roman"/>
          <w:color w:val="000000"/>
          <w:sz w:val="22"/>
          <w:szCs w:val="22"/>
          <w:lang w:val="sk-SK"/>
        </w:rPr>
        <w:t xml:space="preserve"> blefarospazmus, hemifaciálny spazmus, torticollis, spasticitu spojenú s mozgovým ochrnutím alebo cievnu mozgovú príhodu a bočné vejáriky vrások boli pozorované nežiaduce účinky.</w:t>
      </w:r>
    </w:p>
    <w:p w:rsidR="00F134F4" w:rsidRPr="00F00DE4" w:rsidRDefault="00F134F4" w:rsidP="00FE4006">
      <w:pPr>
        <w:rPr>
          <w:rFonts w:ascii="Times New Roman" w:hAnsi="Times New Roman" w:cs="Times New Roman"/>
          <w:noProof/>
          <w:sz w:val="22"/>
          <w:szCs w:val="22"/>
          <w:u w:val="single"/>
          <w:lang w:val="sk-SK"/>
        </w:rPr>
      </w:pPr>
    </w:p>
    <w:p w:rsidR="00F134F4" w:rsidRPr="00F00DE4" w:rsidRDefault="00F134F4" w:rsidP="00FE4006">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Poruchy nervového systému:</w:t>
      </w:r>
    </w:p>
    <w:p w:rsidR="00F134F4" w:rsidRPr="00F00DE4" w:rsidRDefault="00F134F4" w:rsidP="00FE4006">
      <w:pPr>
        <w:spacing w:line="240" w:lineRule="atLeast"/>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Zriedkavé: neuralgická amyotrofia</w:t>
      </w:r>
    </w:p>
    <w:p w:rsidR="00F134F4" w:rsidRPr="00F00DE4" w:rsidRDefault="00F134F4" w:rsidP="00FE4006">
      <w:pPr>
        <w:spacing w:line="240" w:lineRule="atLeast"/>
        <w:jc w:val="both"/>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Poruchy kože a podkožného tkaniva:</w:t>
      </w:r>
    </w:p>
    <w:p w:rsidR="00F134F4" w:rsidRPr="00F00DE4" w:rsidRDefault="00F134F4" w:rsidP="00FE4006">
      <w:pPr>
        <w:spacing w:line="240" w:lineRule="atLeast"/>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Menej časté: svrbenie</w:t>
      </w:r>
    </w:p>
    <w:p w:rsidR="00F134F4" w:rsidRPr="00F00DE4" w:rsidRDefault="00F134F4" w:rsidP="00FE4006">
      <w:pPr>
        <w:spacing w:line="240" w:lineRule="atLeast"/>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Zriedkavé: vyrážky</w:t>
      </w:r>
    </w:p>
    <w:p w:rsidR="00F134F4" w:rsidRPr="00F00DE4" w:rsidRDefault="00F134F4" w:rsidP="00FE4006">
      <w:pPr>
        <w:spacing w:line="240" w:lineRule="atLeast"/>
        <w:jc w:val="both"/>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Celkové poruchy a reakcie v mieste podania:</w:t>
      </w:r>
    </w:p>
    <w:p w:rsidR="00F134F4" w:rsidRPr="00F00DE4" w:rsidRDefault="00F134F4" w:rsidP="00FE4006">
      <w:pPr>
        <w:spacing w:line="240" w:lineRule="atLeast"/>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Časté: </w:t>
      </w:r>
      <w:r>
        <w:rPr>
          <w:rFonts w:ascii="Times New Roman" w:hAnsi="Times New Roman" w:cs="Times New Roman"/>
          <w:sz w:val="22"/>
          <w:szCs w:val="22"/>
          <w:lang w:val="sk-SK"/>
        </w:rPr>
        <w:t xml:space="preserve">celková </w:t>
      </w:r>
      <w:r w:rsidRPr="00F00DE4">
        <w:rPr>
          <w:rFonts w:ascii="Times New Roman" w:hAnsi="Times New Roman" w:cs="Times New Roman"/>
          <w:sz w:val="22"/>
          <w:szCs w:val="22"/>
          <w:lang w:val="sk-SK"/>
        </w:rPr>
        <w:t xml:space="preserve">slabosť, únava, </w:t>
      </w:r>
      <w:r>
        <w:rPr>
          <w:rFonts w:ascii="Times New Roman" w:hAnsi="Times New Roman" w:cs="Times New Roman"/>
          <w:sz w:val="22"/>
          <w:szCs w:val="22"/>
          <w:lang w:val="sk-SK"/>
        </w:rPr>
        <w:t>príznaky podobné chrípke</w:t>
      </w:r>
      <w:r w:rsidRPr="00F00DE4">
        <w:rPr>
          <w:rFonts w:ascii="Times New Roman" w:hAnsi="Times New Roman" w:cs="Times New Roman"/>
          <w:sz w:val="22"/>
          <w:szCs w:val="22"/>
          <w:lang w:val="sk-SK"/>
        </w:rPr>
        <w:t>, bolesť a/alebo modrina v mieste vpichu.</w:t>
      </w:r>
    </w:p>
    <w:p w:rsidR="00F134F4" w:rsidRPr="00F00DE4" w:rsidRDefault="00F134F4" w:rsidP="00FE4006">
      <w:pPr>
        <w:spacing w:line="240" w:lineRule="atLeast"/>
        <w:rPr>
          <w:rFonts w:ascii="Times New Roman" w:hAnsi="Times New Roman" w:cs="Times New Roman"/>
          <w:bCs/>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Symptomatick</w:t>
      </w:r>
      <w:r>
        <w:rPr>
          <w:rFonts w:ascii="Times New Roman" w:hAnsi="Times New Roman" w:cs="Times New Roman"/>
          <w:b/>
          <w:sz w:val="22"/>
          <w:szCs w:val="22"/>
          <w:lang w:val="sk-SK"/>
        </w:rPr>
        <w:t>á</w:t>
      </w:r>
      <w:r w:rsidRPr="00F00DE4">
        <w:rPr>
          <w:rFonts w:ascii="Times New Roman" w:hAnsi="Times New Roman" w:cs="Times New Roman"/>
          <w:b/>
          <w:sz w:val="22"/>
          <w:szCs w:val="22"/>
          <w:lang w:val="sk-SK"/>
        </w:rPr>
        <w:t xml:space="preserve"> liečba fokálnej spasticity horných končatín u dospelých:</w:t>
      </w:r>
    </w:p>
    <w:p w:rsidR="00F134F4" w:rsidRPr="00F00DE4" w:rsidRDefault="00F134F4" w:rsidP="00FE4006">
      <w:pPr>
        <w:shd w:val="clear" w:color="auto" w:fill="FFFFFF"/>
        <w:rPr>
          <w:rFonts w:ascii="Times New Roman" w:hAnsi="Times New Roman" w:cs="Times New Roman"/>
          <w:sz w:val="22"/>
          <w:szCs w:val="22"/>
          <w:lang w:val="sk-SK"/>
        </w:rPr>
      </w:pPr>
    </w:p>
    <w:p w:rsidR="00F134F4" w:rsidRPr="00F00DE4" w:rsidRDefault="00F134F4" w:rsidP="00FE4006">
      <w:pPr>
        <w:spacing w:line="240" w:lineRule="atLeast"/>
        <w:rPr>
          <w:rFonts w:ascii="Times New Roman" w:hAnsi="Times New Roman" w:cs="Times New Roman"/>
          <w:bCs/>
          <w:sz w:val="22"/>
          <w:szCs w:val="22"/>
          <w:lang w:val="sk-SK"/>
        </w:rPr>
      </w:pPr>
      <w:r w:rsidRPr="00F00DE4">
        <w:rPr>
          <w:rFonts w:ascii="Times New Roman" w:hAnsi="Times New Roman" w:cs="Times New Roman"/>
          <w:sz w:val="22"/>
          <w:szCs w:val="22"/>
          <w:lang w:val="sk-SK"/>
        </w:rPr>
        <w:t xml:space="preserve">Nasledujúce nežiaduce účinky, boli hlásené u pacientov liečených </w:t>
      </w:r>
      <w:r w:rsidRPr="00F00DE4">
        <w:rPr>
          <w:rFonts w:ascii="Times New Roman" w:hAnsi="Times New Roman" w:cs="Times New Roman"/>
          <w:color w:val="000000"/>
          <w:spacing w:val="-1"/>
          <w:sz w:val="22"/>
          <w:szCs w:val="22"/>
          <w:lang w:val="sk-SK"/>
        </w:rPr>
        <w:t xml:space="preserve">Dysportom 500 U </w:t>
      </w:r>
      <w:r w:rsidRPr="00F00DE4">
        <w:rPr>
          <w:rFonts w:ascii="Times New Roman" w:hAnsi="Times New Roman" w:cs="Times New Roman"/>
          <w:sz w:val="22"/>
          <w:szCs w:val="22"/>
          <w:lang w:val="sk-SK"/>
        </w:rPr>
        <w:t>pri symptomatickej liečbe fokálnej spasticity horných končatín u dospelých</w:t>
      </w:r>
      <w:r w:rsidRPr="00F00DE4">
        <w:rPr>
          <w:rFonts w:ascii="Times New Roman" w:hAnsi="Times New Roman" w:cs="Times New Roman"/>
          <w:bCs/>
          <w:sz w:val="22"/>
          <w:szCs w:val="22"/>
          <w:lang w:val="sk-SK"/>
        </w:rPr>
        <w:t>:</w:t>
      </w:r>
    </w:p>
    <w:p w:rsidR="00F134F4" w:rsidRPr="00F00DE4" w:rsidRDefault="00F134F4" w:rsidP="00FE4006">
      <w:pPr>
        <w:rPr>
          <w:rFonts w:ascii="Times New Roman" w:hAnsi="Times New Roman" w:cs="Times New Roman"/>
          <w:noProof/>
          <w:sz w:val="22"/>
          <w:szCs w:val="22"/>
          <w:u w:val="single"/>
          <w:lang w:val="sk-SK"/>
        </w:rPr>
      </w:pPr>
    </w:p>
    <w:p w:rsidR="00F134F4" w:rsidRPr="00F00DE4" w:rsidRDefault="00F134F4" w:rsidP="004A3A8D">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Celkové poruchy  a reakcie v miesta podania:</w:t>
      </w:r>
    </w:p>
    <w:p w:rsidR="00F134F4" w:rsidRPr="00F00DE4" w:rsidRDefault="00F134F4" w:rsidP="00FE4006">
      <w:pPr>
        <w:rPr>
          <w:rFonts w:ascii="Times New Roman" w:hAnsi="Times New Roman" w:cs="Times New Roman"/>
          <w:noProof/>
          <w:sz w:val="22"/>
          <w:szCs w:val="22"/>
          <w:lang w:val="sk-SK"/>
        </w:rPr>
      </w:pPr>
      <w:r w:rsidRPr="00575EE4">
        <w:rPr>
          <w:rFonts w:ascii="Times New Roman" w:hAnsi="Times New Roman" w:cs="Times New Roman"/>
          <w:noProof/>
          <w:sz w:val="22"/>
          <w:szCs w:val="22"/>
          <w:lang w:val="sk-SK"/>
        </w:rPr>
        <w:t xml:space="preserve">Časté: </w:t>
      </w:r>
      <w:r w:rsidRPr="00D73A56">
        <w:rPr>
          <w:rFonts w:ascii="Times New Roman" w:hAnsi="Times New Roman" w:cs="Times New Roman"/>
          <w:noProof/>
          <w:sz w:val="22"/>
          <w:szCs w:val="22"/>
          <w:lang w:val="sk-SK"/>
        </w:rPr>
        <w:t>po podaní boli hlásené reakcie v </w:t>
      </w:r>
      <w:r w:rsidRPr="00F00DE4">
        <w:rPr>
          <w:rFonts w:ascii="Times New Roman" w:hAnsi="Times New Roman" w:cs="Times New Roman"/>
          <w:noProof/>
          <w:sz w:val="22"/>
          <w:szCs w:val="22"/>
          <w:lang w:val="sk-SK"/>
        </w:rPr>
        <w:t>mieste vpichu ( napr. bolesť, erytém, opuch, atď) – ako možno očakávať pri akejkoľvek injekčnej aplikácii</w:t>
      </w:r>
    </w:p>
    <w:p w:rsidR="00F134F4" w:rsidRPr="00575EE4" w:rsidRDefault="00F134F4" w:rsidP="00FE4006">
      <w:pPr>
        <w:rPr>
          <w:rFonts w:ascii="Times New Roman" w:hAnsi="Times New Roman" w:cs="Times New Roman"/>
          <w:noProof/>
          <w:sz w:val="22"/>
          <w:szCs w:val="22"/>
          <w:lang w:val="sk-SK"/>
        </w:rPr>
      </w:pPr>
      <w:r w:rsidRPr="00F00DE4">
        <w:rPr>
          <w:rFonts w:ascii="Times New Roman" w:hAnsi="Times New Roman" w:cs="Times New Roman"/>
          <w:noProof/>
          <w:sz w:val="22"/>
          <w:szCs w:val="22"/>
          <w:lang w:val="sk-SK"/>
        </w:rPr>
        <w:t xml:space="preserve">Zriedkavé: asténia, únava, </w:t>
      </w:r>
      <w:r>
        <w:rPr>
          <w:rFonts w:ascii="Times New Roman" w:hAnsi="Times New Roman" w:cs="Times New Roman"/>
          <w:noProof/>
          <w:sz w:val="22"/>
          <w:szCs w:val="22"/>
          <w:lang w:val="sk-SK"/>
        </w:rPr>
        <w:t>príznaky</w:t>
      </w:r>
      <w:r w:rsidRPr="00F00DE4">
        <w:rPr>
          <w:rFonts w:ascii="Times New Roman" w:hAnsi="Times New Roman" w:cs="Times New Roman"/>
          <w:noProof/>
          <w:sz w:val="22"/>
          <w:szCs w:val="22"/>
          <w:lang w:val="sk-SK"/>
        </w:rPr>
        <w:t xml:space="preserve"> podobné chrípke</w:t>
      </w:r>
    </w:p>
    <w:p w:rsidR="00F134F4" w:rsidRPr="00F00DE4" w:rsidRDefault="00F134F4" w:rsidP="00FE4006">
      <w:pPr>
        <w:spacing w:line="240" w:lineRule="atLeast"/>
        <w:rPr>
          <w:rFonts w:ascii="Times New Roman" w:hAnsi="Times New Roman" w:cs="Times New Roman"/>
          <w:sz w:val="22"/>
          <w:szCs w:val="22"/>
          <w:lang w:val="sk-SK"/>
        </w:rPr>
      </w:pPr>
    </w:p>
    <w:p w:rsidR="00F134F4" w:rsidRPr="00F00DE4" w:rsidRDefault="00F134F4" w:rsidP="00FE4006">
      <w:pPr>
        <w:spacing w:line="240" w:lineRule="atLeast"/>
        <w:rPr>
          <w:rFonts w:ascii="Times New Roman" w:hAnsi="Times New Roman" w:cs="Times New Roman"/>
          <w:sz w:val="22"/>
          <w:szCs w:val="22"/>
          <w:u w:val="single"/>
          <w:lang w:val="sk-SK"/>
        </w:rPr>
      </w:pPr>
      <w:r w:rsidRPr="00F00DE4">
        <w:rPr>
          <w:rFonts w:ascii="Times New Roman" w:hAnsi="Times New Roman" w:cs="Times New Roman"/>
          <w:sz w:val="22"/>
          <w:szCs w:val="22"/>
          <w:u w:val="single"/>
          <w:lang w:val="sk-SK"/>
        </w:rPr>
        <w:t>Poruchy kostrovej a svalovej sústavy a spojivového tkaniva:</w:t>
      </w:r>
    </w:p>
    <w:p w:rsidR="00F134F4" w:rsidRPr="00F00DE4" w:rsidRDefault="00F134F4" w:rsidP="00FE4006">
      <w:pPr>
        <w:spacing w:line="240" w:lineRule="atLeast"/>
        <w:rPr>
          <w:rFonts w:ascii="Times New Roman" w:hAnsi="Times New Roman" w:cs="Times New Roman"/>
          <w:sz w:val="22"/>
          <w:szCs w:val="22"/>
          <w:lang w:val="sk-SK"/>
        </w:rPr>
      </w:pPr>
      <w:r w:rsidRPr="00F00DE4">
        <w:rPr>
          <w:rFonts w:ascii="Times New Roman" w:hAnsi="Times New Roman" w:cs="Times New Roman"/>
          <w:sz w:val="22"/>
          <w:szCs w:val="22"/>
          <w:lang w:val="sk-SK"/>
        </w:rPr>
        <w:t>Časté: svalová slabosť</w:t>
      </w:r>
    </w:p>
    <w:p w:rsidR="00F134F4" w:rsidRPr="00F00DE4" w:rsidRDefault="00F134F4" w:rsidP="00FE4006">
      <w:pPr>
        <w:spacing w:line="240" w:lineRule="atLeast"/>
        <w:rPr>
          <w:rFonts w:ascii="Times New Roman" w:hAnsi="Times New Roman" w:cs="Times New Roman"/>
          <w:sz w:val="22"/>
          <w:szCs w:val="22"/>
          <w:lang w:val="sk-SK"/>
        </w:rPr>
      </w:pPr>
    </w:p>
    <w:p w:rsidR="00F134F4" w:rsidRPr="00575EE4" w:rsidRDefault="00F134F4" w:rsidP="006D0A56">
      <w:pPr>
        <w:pStyle w:val="Body"/>
        <w:rPr>
          <w:color w:val="000000"/>
          <w:sz w:val="22"/>
          <w:szCs w:val="22"/>
          <w:lang w:val="sk-SK"/>
        </w:rPr>
      </w:pPr>
      <w:r w:rsidRPr="00575EE4">
        <w:rPr>
          <w:color w:val="000000"/>
          <w:sz w:val="22"/>
          <w:szCs w:val="22"/>
          <w:lang w:val="sk-SK"/>
        </w:rPr>
        <w:t xml:space="preserve">V otvorených štúdiách boli pozorované nasledujúce nežiaduce účinky: </w:t>
      </w:r>
    </w:p>
    <w:p w:rsidR="00F134F4" w:rsidRPr="00486345" w:rsidRDefault="00F134F4" w:rsidP="006D0A56">
      <w:pPr>
        <w:rPr>
          <w:rFonts w:ascii="Times New Roman" w:hAnsi="Times New Roman" w:cs="Times New Roman"/>
          <w:noProof/>
          <w:sz w:val="22"/>
          <w:szCs w:val="22"/>
          <w:u w:val="single"/>
          <w:lang w:val="sk-SK"/>
        </w:rPr>
      </w:pPr>
    </w:p>
    <w:p w:rsidR="00F134F4" w:rsidRPr="00F00DE4" w:rsidRDefault="00F134F4" w:rsidP="006D0A56">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Celkové poruchy a reakcie v miesta podania:</w:t>
      </w:r>
    </w:p>
    <w:p w:rsidR="00F134F4" w:rsidRPr="00F00DE4" w:rsidRDefault="00F134F4" w:rsidP="00FE4006">
      <w:pPr>
        <w:spacing w:line="240" w:lineRule="atLeast"/>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Porucha chôdze, podliatina v mieste vpichu a hemorágia </w:t>
      </w:r>
      <w:bookmarkStart w:id="18" w:name="_GoBack"/>
      <w:bookmarkEnd w:id="18"/>
    </w:p>
    <w:p w:rsidR="00F134F4" w:rsidRPr="00F00DE4" w:rsidRDefault="00F134F4" w:rsidP="00FE4006">
      <w:pPr>
        <w:spacing w:line="240" w:lineRule="atLeast"/>
        <w:rPr>
          <w:rFonts w:ascii="Times New Roman" w:hAnsi="Times New Roman" w:cs="Times New Roman"/>
          <w:sz w:val="22"/>
          <w:szCs w:val="22"/>
          <w:lang w:val="sk-SK"/>
        </w:rPr>
      </w:pPr>
    </w:p>
    <w:p w:rsidR="00F134F4" w:rsidRPr="00F00DE4" w:rsidRDefault="00F134F4" w:rsidP="006D0A56">
      <w:pPr>
        <w:spacing w:line="240" w:lineRule="atLeast"/>
        <w:rPr>
          <w:rFonts w:ascii="Times New Roman" w:hAnsi="Times New Roman" w:cs="Times New Roman"/>
          <w:sz w:val="22"/>
          <w:szCs w:val="22"/>
          <w:u w:val="single"/>
          <w:lang w:val="sk-SK"/>
        </w:rPr>
      </w:pPr>
      <w:r w:rsidRPr="00F00DE4">
        <w:rPr>
          <w:rFonts w:ascii="Times New Roman" w:hAnsi="Times New Roman" w:cs="Times New Roman"/>
          <w:sz w:val="22"/>
          <w:szCs w:val="22"/>
          <w:u w:val="single"/>
          <w:lang w:val="sk-SK"/>
        </w:rPr>
        <w:t>Poruchy kostrovej a svalovej sústavy a spojivového tkaniva:</w:t>
      </w:r>
    </w:p>
    <w:p w:rsidR="00F134F4" w:rsidRPr="00D73A56" w:rsidRDefault="00F134F4" w:rsidP="006D0A56">
      <w:pPr>
        <w:spacing w:line="240" w:lineRule="atLeast"/>
        <w:rPr>
          <w:rFonts w:ascii="Times New Roman" w:hAnsi="Times New Roman" w:cs="Times New Roman"/>
          <w:sz w:val="22"/>
          <w:szCs w:val="22"/>
          <w:lang w:val="sk-SK"/>
        </w:rPr>
      </w:pPr>
      <w:r w:rsidRPr="00F00DE4">
        <w:rPr>
          <w:rFonts w:ascii="Times New Roman" w:hAnsi="Times New Roman" w:cs="Times New Roman"/>
          <w:sz w:val="22"/>
          <w:szCs w:val="22"/>
          <w:lang w:val="sk-SK"/>
        </w:rPr>
        <w:t>B</w:t>
      </w:r>
      <w:r w:rsidRPr="00575EE4">
        <w:rPr>
          <w:rFonts w:ascii="Times New Roman" w:hAnsi="Times New Roman" w:cs="Times New Roman"/>
          <w:sz w:val="22"/>
          <w:szCs w:val="22"/>
          <w:lang w:val="sk-SK"/>
        </w:rPr>
        <w:t>olesť kostrovej a svalovej sústavy</w:t>
      </w:r>
      <w:r w:rsidRPr="00D73A56">
        <w:rPr>
          <w:rFonts w:ascii="Times New Roman" w:hAnsi="Times New Roman" w:cs="Times New Roman"/>
          <w:sz w:val="22"/>
          <w:szCs w:val="22"/>
          <w:lang w:val="sk-SK"/>
        </w:rPr>
        <w:t>, bolesť končat</w:t>
      </w:r>
      <w:r>
        <w:rPr>
          <w:rFonts w:ascii="Times New Roman" w:hAnsi="Times New Roman" w:cs="Times New Roman"/>
          <w:sz w:val="22"/>
          <w:szCs w:val="22"/>
          <w:lang w:val="sk-SK"/>
        </w:rPr>
        <w:t>í</w:t>
      </w:r>
      <w:r w:rsidRPr="00D73A56">
        <w:rPr>
          <w:rFonts w:ascii="Times New Roman" w:hAnsi="Times New Roman" w:cs="Times New Roman"/>
          <w:sz w:val="22"/>
          <w:szCs w:val="22"/>
          <w:lang w:val="sk-SK"/>
        </w:rPr>
        <w:t>n</w:t>
      </w:r>
    </w:p>
    <w:p w:rsidR="00F134F4" w:rsidRPr="00F00DE4" w:rsidRDefault="00F134F4" w:rsidP="006D0A56">
      <w:pPr>
        <w:spacing w:line="240" w:lineRule="atLeast"/>
        <w:rPr>
          <w:rFonts w:ascii="Times New Roman" w:hAnsi="Times New Roman" w:cs="Times New Roman"/>
          <w:sz w:val="22"/>
          <w:szCs w:val="22"/>
          <w:lang w:val="sk-SK"/>
        </w:rPr>
      </w:pPr>
    </w:p>
    <w:p w:rsidR="00F134F4" w:rsidRPr="00575EE4" w:rsidRDefault="00F134F4" w:rsidP="00F56759">
      <w:pPr>
        <w:pStyle w:val="Body"/>
        <w:rPr>
          <w:sz w:val="22"/>
          <w:szCs w:val="22"/>
          <w:u w:val="single"/>
          <w:lang w:val="sk-SK"/>
        </w:rPr>
      </w:pPr>
      <w:r w:rsidRPr="00575EE4">
        <w:rPr>
          <w:sz w:val="22"/>
          <w:szCs w:val="22"/>
          <w:u w:val="single"/>
          <w:lang w:val="sk-SK"/>
        </w:rPr>
        <w:t>Poruchy nervového systému:</w:t>
      </w:r>
    </w:p>
    <w:p w:rsidR="00F134F4" w:rsidRPr="00575EE4" w:rsidRDefault="00F134F4" w:rsidP="00F56759">
      <w:pPr>
        <w:pStyle w:val="Body"/>
        <w:rPr>
          <w:sz w:val="22"/>
          <w:szCs w:val="22"/>
          <w:lang w:val="sk-SK"/>
        </w:rPr>
      </w:pPr>
      <w:r w:rsidRPr="00575EE4">
        <w:rPr>
          <w:sz w:val="22"/>
          <w:szCs w:val="22"/>
          <w:lang w:val="sk-SK"/>
        </w:rPr>
        <w:t>Hypertónia</w:t>
      </w:r>
    </w:p>
    <w:p w:rsidR="00F134F4" w:rsidRPr="00575EE4" w:rsidRDefault="00F134F4" w:rsidP="00F56759">
      <w:pPr>
        <w:pStyle w:val="Body"/>
        <w:rPr>
          <w:sz w:val="22"/>
          <w:szCs w:val="22"/>
          <w:lang w:val="sk-SK"/>
        </w:rPr>
      </w:pPr>
    </w:p>
    <w:p w:rsidR="00F134F4" w:rsidRPr="00575EE4" w:rsidRDefault="00F134F4" w:rsidP="00F56759">
      <w:pPr>
        <w:pStyle w:val="Body"/>
        <w:rPr>
          <w:color w:val="000000"/>
          <w:sz w:val="22"/>
          <w:szCs w:val="22"/>
          <w:lang w:val="sk-SK"/>
        </w:rPr>
      </w:pPr>
      <w:r w:rsidRPr="00575EE4">
        <w:rPr>
          <w:color w:val="000000"/>
          <w:sz w:val="22"/>
          <w:szCs w:val="22"/>
          <w:lang w:val="sk-SK"/>
        </w:rPr>
        <w:t>Poruchy gastrointestinálneho traktu:</w:t>
      </w:r>
    </w:p>
    <w:p w:rsidR="00F134F4" w:rsidRPr="00575EE4" w:rsidRDefault="00F134F4" w:rsidP="00F56759">
      <w:pPr>
        <w:pStyle w:val="Body"/>
        <w:rPr>
          <w:color w:val="000000"/>
          <w:sz w:val="22"/>
          <w:szCs w:val="22"/>
          <w:lang w:val="sk-SK"/>
        </w:rPr>
      </w:pPr>
      <w:r w:rsidRPr="00575EE4">
        <w:rPr>
          <w:color w:val="000000"/>
          <w:sz w:val="22"/>
          <w:szCs w:val="22"/>
          <w:lang w:val="sk-SK"/>
        </w:rPr>
        <w:t>Dysfágia</w:t>
      </w:r>
    </w:p>
    <w:p w:rsidR="00F134F4" w:rsidRPr="00F00DE4" w:rsidRDefault="00F134F4" w:rsidP="00FE4006">
      <w:pPr>
        <w:pStyle w:val="Text"/>
        <w:ind w:left="0"/>
        <w:jc w:val="left"/>
        <w:rPr>
          <w:rFonts w:ascii="Times New Roman" w:hAnsi="Times New Roman"/>
          <w:sz w:val="22"/>
          <w:szCs w:val="22"/>
          <w:lang w:val="sk-SK"/>
        </w:rPr>
      </w:pPr>
    </w:p>
    <w:p w:rsidR="00F134F4" w:rsidRPr="00F00DE4" w:rsidRDefault="00F134F4" w:rsidP="00FE4006">
      <w:pPr>
        <w:pStyle w:val="Text"/>
        <w:ind w:left="0"/>
        <w:jc w:val="left"/>
        <w:rPr>
          <w:rFonts w:ascii="Times New Roman" w:hAnsi="Times New Roman"/>
          <w:sz w:val="22"/>
          <w:szCs w:val="22"/>
          <w:lang w:val="sk-SK"/>
        </w:rPr>
      </w:pPr>
      <w:r w:rsidRPr="00F00DE4">
        <w:rPr>
          <w:rFonts w:ascii="Times New Roman" w:hAnsi="Times New Roman"/>
          <w:sz w:val="22"/>
          <w:szCs w:val="22"/>
          <w:lang w:val="sk-SK"/>
        </w:rPr>
        <w:t>Dysfágia bola hlásená, ak dávky presahovali 2700 jednotiek podaných naraz či postupne.</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Detská spasticita pri DMO:</w:t>
      </w:r>
    </w:p>
    <w:p w:rsidR="00F134F4" w:rsidRPr="00F00DE4" w:rsidRDefault="00F134F4" w:rsidP="00FE4006">
      <w:pPr>
        <w:pStyle w:val="BodyText"/>
        <w:spacing w:line="240" w:lineRule="atLeast"/>
        <w:rPr>
          <w:rFonts w:ascii="Times New Roman" w:hAnsi="Times New Roman" w:cs="Times New Roman"/>
          <w:b w:val="0"/>
          <w:i w:val="0"/>
          <w:sz w:val="22"/>
          <w:szCs w:val="22"/>
          <w:lang w:val="sk-SK"/>
        </w:rPr>
      </w:pPr>
    </w:p>
    <w:p w:rsidR="00F134F4" w:rsidRPr="00F00DE4" w:rsidRDefault="00F134F4" w:rsidP="00FE4006">
      <w:pPr>
        <w:spacing w:line="240" w:lineRule="atLeast"/>
        <w:rPr>
          <w:rFonts w:ascii="Times New Roman" w:hAnsi="Times New Roman" w:cs="Times New Roman"/>
          <w:bCs/>
          <w:sz w:val="22"/>
          <w:szCs w:val="22"/>
          <w:lang w:val="sk-SK"/>
        </w:rPr>
      </w:pPr>
      <w:r w:rsidRPr="00F00DE4">
        <w:rPr>
          <w:rFonts w:ascii="Times New Roman" w:hAnsi="Times New Roman" w:cs="Times New Roman"/>
          <w:sz w:val="22"/>
          <w:szCs w:val="22"/>
          <w:lang w:val="sk-SK"/>
        </w:rPr>
        <w:t xml:space="preserve">Nasledujúce nežiaduce účinky, boli hlásené u pacientov liečených </w:t>
      </w:r>
      <w:r w:rsidRPr="00F00DE4">
        <w:rPr>
          <w:rFonts w:ascii="Times New Roman" w:hAnsi="Times New Roman" w:cs="Times New Roman"/>
          <w:color w:val="000000"/>
          <w:spacing w:val="-1"/>
          <w:sz w:val="22"/>
          <w:szCs w:val="22"/>
          <w:lang w:val="sk-SK"/>
        </w:rPr>
        <w:t>Dysportom 500 U</w:t>
      </w:r>
      <w:r w:rsidRPr="00F00DE4">
        <w:rPr>
          <w:rFonts w:ascii="Times New Roman" w:hAnsi="Times New Roman" w:cs="Times New Roman"/>
          <w:b/>
          <w:sz w:val="22"/>
          <w:szCs w:val="22"/>
          <w:lang w:val="sk-SK"/>
        </w:rPr>
        <w:t xml:space="preserve"> </w:t>
      </w:r>
      <w:r w:rsidRPr="00F00DE4">
        <w:rPr>
          <w:rFonts w:ascii="Times New Roman" w:hAnsi="Times New Roman" w:cs="Times New Roman"/>
          <w:sz w:val="22"/>
          <w:szCs w:val="22"/>
          <w:lang w:val="sk-SK"/>
        </w:rPr>
        <w:t>kvôli</w:t>
      </w:r>
      <w:r w:rsidRPr="00F00DE4">
        <w:rPr>
          <w:rFonts w:ascii="Times New Roman" w:hAnsi="Times New Roman" w:cs="Times New Roman"/>
          <w:b/>
          <w:sz w:val="22"/>
          <w:szCs w:val="22"/>
          <w:lang w:val="sk-SK"/>
        </w:rPr>
        <w:t xml:space="preserve"> </w:t>
      </w:r>
      <w:r w:rsidRPr="00F00DE4">
        <w:rPr>
          <w:rFonts w:ascii="Times New Roman" w:hAnsi="Times New Roman" w:cs="Times New Roman"/>
          <w:sz w:val="22"/>
          <w:szCs w:val="22"/>
          <w:lang w:val="sk-SK"/>
        </w:rPr>
        <w:t>detskej spasticite pri DMO</w:t>
      </w:r>
      <w:r w:rsidRPr="00F00DE4">
        <w:rPr>
          <w:rFonts w:ascii="Times New Roman" w:hAnsi="Times New Roman" w:cs="Times New Roman"/>
          <w:bCs/>
          <w:sz w:val="22"/>
          <w:szCs w:val="22"/>
          <w:lang w:val="sk-SK"/>
        </w:rPr>
        <w:t>:</w:t>
      </w:r>
    </w:p>
    <w:p w:rsidR="00F134F4" w:rsidRDefault="00F134F4" w:rsidP="00FE4006">
      <w:pPr>
        <w:rPr>
          <w:rFonts w:ascii="Times New Roman" w:hAnsi="Times New Roman" w:cs="Times New Roman"/>
          <w:noProof/>
          <w:sz w:val="22"/>
          <w:szCs w:val="22"/>
          <w:u w:val="single"/>
          <w:lang w:val="sk-SK"/>
        </w:rPr>
      </w:pPr>
    </w:p>
    <w:p w:rsidR="00F134F4" w:rsidRPr="00F00DE4" w:rsidRDefault="00F134F4" w:rsidP="00FE4006">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Poruchy gastrointestinálneho traktu:</w:t>
      </w:r>
    </w:p>
    <w:p w:rsidR="00F134F4" w:rsidRPr="00F00DE4" w:rsidRDefault="00F134F4" w:rsidP="00FE4006">
      <w:pPr>
        <w:rPr>
          <w:rFonts w:ascii="Times New Roman" w:hAnsi="Times New Roman" w:cs="Times New Roman"/>
          <w:sz w:val="22"/>
          <w:szCs w:val="22"/>
          <w:lang w:val="sk-SK"/>
        </w:rPr>
      </w:pPr>
      <w:r w:rsidRPr="00F00DE4">
        <w:rPr>
          <w:rFonts w:ascii="Times New Roman" w:hAnsi="Times New Roman" w:cs="Times New Roman"/>
          <w:sz w:val="22"/>
          <w:szCs w:val="22"/>
          <w:lang w:val="sk-SK"/>
        </w:rPr>
        <w:t>Časté: hnačka</w:t>
      </w:r>
    </w:p>
    <w:p w:rsidR="00F134F4" w:rsidRPr="00F00DE4" w:rsidRDefault="00F134F4" w:rsidP="00FE4006">
      <w:pPr>
        <w:pStyle w:val="Body"/>
        <w:rPr>
          <w:sz w:val="22"/>
          <w:szCs w:val="22"/>
          <w:u w:val="single"/>
          <w:lang w:val="sk-SK"/>
        </w:rPr>
      </w:pPr>
    </w:p>
    <w:p w:rsidR="00F134F4" w:rsidRPr="00F00DE4" w:rsidRDefault="00F134F4" w:rsidP="00FE4006">
      <w:pPr>
        <w:pStyle w:val="Body"/>
        <w:rPr>
          <w:sz w:val="22"/>
          <w:szCs w:val="22"/>
          <w:u w:val="single"/>
          <w:lang w:val="sk-SK"/>
        </w:rPr>
      </w:pPr>
      <w:r w:rsidRPr="00F00DE4">
        <w:rPr>
          <w:sz w:val="22"/>
          <w:szCs w:val="22"/>
          <w:u w:val="single"/>
          <w:lang w:val="sk-SK"/>
        </w:rPr>
        <w:t>Poruchy kostrovej a svalovej sústavy a spojivového tkaniva</w:t>
      </w:r>
    </w:p>
    <w:p w:rsidR="00F134F4" w:rsidRPr="00F00DE4" w:rsidRDefault="00F134F4" w:rsidP="00FE4006">
      <w:pPr>
        <w:pStyle w:val="Body"/>
        <w:rPr>
          <w:sz w:val="22"/>
          <w:szCs w:val="22"/>
          <w:lang w:val="sk-SK"/>
        </w:rPr>
      </w:pPr>
      <w:r w:rsidRPr="00F00DE4">
        <w:rPr>
          <w:sz w:val="22"/>
          <w:szCs w:val="22"/>
          <w:lang w:val="sk-SK"/>
        </w:rPr>
        <w:t>Časté: svalová slabosť nohy, svalová bolesť</w:t>
      </w:r>
    </w:p>
    <w:p w:rsidR="00F134F4" w:rsidRPr="00F00DE4" w:rsidRDefault="00F134F4" w:rsidP="00FE4006">
      <w:pPr>
        <w:rPr>
          <w:rFonts w:ascii="Times New Roman" w:hAnsi="Times New Roman" w:cs="Times New Roman"/>
          <w:i/>
          <w:sz w:val="22"/>
          <w:szCs w:val="22"/>
          <w:u w:val="single"/>
          <w:lang w:val="sk-SK"/>
        </w:rPr>
      </w:pPr>
    </w:p>
    <w:p w:rsidR="00F134F4" w:rsidRPr="00F00DE4" w:rsidRDefault="00F134F4" w:rsidP="00FE4006">
      <w:pPr>
        <w:pStyle w:val="Body"/>
        <w:rPr>
          <w:sz w:val="22"/>
          <w:szCs w:val="22"/>
          <w:u w:val="single"/>
          <w:lang w:val="sk-SK"/>
        </w:rPr>
      </w:pPr>
      <w:r w:rsidRPr="00F00DE4">
        <w:rPr>
          <w:sz w:val="22"/>
          <w:szCs w:val="22"/>
          <w:u w:val="single"/>
          <w:lang w:val="sk-SK"/>
        </w:rPr>
        <w:t>Poruchy obličiek a močových ciest</w:t>
      </w:r>
    </w:p>
    <w:p w:rsidR="00F134F4" w:rsidRPr="00F00DE4" w:rsidRDefault="00F134F4" w:rsidP="00FE4006">
      <w:pPr>
        <w:pStyle w:val="Body"/>
        <w:rPr>
          <w:sz w:val="22"/>
          <w:szCs w:val="22"/>
          <w:lang w:val="sk-SK"/>
        </w:rPr>
      </w:pPr>
      <w:r w:rsidRPr="00F00DE4">
        <w:rPr>
          <w:sz w:val="22"/>
          <w:szCs w:val="22"/>
          <w:lang w:val="sk-SK"/>
        </w:rPr>
        <w:t>Časté: močová inkontinencia</w:t>
      </w:r>
    </w:p>
    <w:p w:rsidR="00F134F4" w:rsidRPr="00F00DE4" w:rsidRDefault="00F134F4" w:rsidP="00FE4006">
      <w:pPr>
        <w:pStyle w:val="Body"/>
        <w:rPr>
          <w:sz w:val="22"/>
          <w:szCs w:val="22"/>
          <w:lang w:val="sk-SK"/>
        </w:rPr>
      </w:pPr>
    </w:p>
    <w:p w:rsidR="00F134F4" w:rsidRPr="00F00DE4" w:rsidRDefault="00F134F4" w:rsidP="00FE4006">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Celkové poruchy  a reakcie v miesta podania:</w:t>
      </w:r>
    </w:p>
    <w:p w:rsidR="00F134F4" w:rsidRPr="00F00DE4" w:rsidRDefault="00F134F4" w:rsidP="00FE4006">
      <w:pPr>
        <w:pStyle w:val="Body"/>
        <w:rPr>
          <w:sz w:val="22"/>
          <w:szCs w:val="22"/>
          <w:lang w:val="sk-SK"/>
        </w:rPr>
      </w:pPr>
      <w:r w:rsidRPr="00F00DE4">
        <w:rPr>
          <w:sz w:val="22"/>
          <w:szCs w:val="22"/>
          <w:lang w:val="sk-SK"/>
        </w:rPr>
        <w:t>Časté: abnormálna chôdza</w:t>
      </w:r>
    </w:p>
    <w:p w:rsidR="00F134F4" w:rsidRPr="00F00DE4" w:rsidRDefault="00F134F4" w:rsidP="00FE4006">
      <w:pPr>
        <w:rPr>
          <w:rFonts w:ascii="Times New Roman" w:hAnsi="Times New Roman" w:cs="Times New Roman"/>
          <w:i/>
          <w:sz w:val="22"/>
          <w:szCs w:val="22"/>
          <w:u w:val="single"/>
          <w:lang w:val="sk-SK"/>
        </w:rPr>
      </w:pPr>
    </w:p>
    <w:p w:rsidR="00F134F4" w:rsidRPr="00F00DE4" w:rsidRDefault="00F134F4" w:rsidP="00FE4006">
      <w:pPr>
        <w:rPr>
          <w:rFonts w:ascii="Times New Roman" w:hAnsi="Times New Roman" w:cs="Times New Roman"/>
          <w:sz w:val="22"/>
          <w:szCs w:val="22"/>
          <w:u w:val="single"/>
          <w:lang w:val="sk-SK"/>
        </w:rPr>
      </w:pPr>
      <w:r w:rsidRPr="00F00DE4">
        <w:rPr>
          <w:rFonts w:ascii="Times New Roman" w:hAnsi="Times New Roman" w:cs="Times New Roman"/>
          <w:sz w:val="22"/>
          <w:szCs w:val="22"/>
          <w:u w:val="single"/>
          <w:lang w:val="sk-SK"/>
        </w:rPr>
        <w:t>Úrazy, otravy a komplikácie liečebného postupu</w:t>
      </w:r>
    </w:p>
    <w:p w:rsidR="00F134F4" w:rsidRPr="00F00DE4" w:rsidRDefault="00F134F4" w:rsidP="00FE4006">
      <w:pPr>
        <w:pStyle w:val="Body"/>
        <w:rPr>
          <w:sz w:val="22"/>
          <w:szCs w:val="22"/>
          <w:lang w:val="sk-SK"/>
        </w:rPr>
      </w:pPr>
      <w:r w:rsidRPr="00F00DE4">
        <w:rPr>
          <w:sz w:val="22"/>
          <w:szCs w:val="22"/>
          <w:lang w:val="sk-SK"/>
        </w:rPr>
        <w:t>Časté: náhodné poranenia spôsobené pádom</w:t>
      </w:r>
    </w:p>
    <w:p w:rsidR="00F134F4" w:rsidRPr="00F00DE4" w:rsidRDefault="00F134F4" w:rsidP="00FE4006">
      <w:pPr>
        <w:rPr>
          <w:rFonts w:ascii="Times New Roman" w:hAnsi="Times New Roman" w:cs="Times New Roman"/>
          <w:b/>
          <w:sz w:val="22"/>
          <w:szCs w:val="22"/>
          <w:lang w:val="sk-SK"/>
        </w:rPr>
      </w:pPr>
    </w:p>
    <w:p w:rsidR="00F134F4" w:rsidRPr="00F00DE4" w:rsidRDefault="00F134F4" w:rsidP="00FE4006">
      <w:pPr>
        <w:pStyle w:val="Text"/>
        <w:ind w:left="0"/>
        <w:jc w:val="left"/>
        <w:rPr>
          <w:rFonts w:ascii="Times New Roman" w:hAnsi="Times New Roman"/>
          <w:sz w:val="22"/>
          <w:szCs w:val="22"/>
          <w:lang w:val="sk-SK"/>
        </w:rPr>
      </w:pPr>
      <w:r w:rsidRPr="00F00DE4">
        <w:rPr>
          <w:rFonts w:ascii="Times New Roman" w:hAnsi="Times New Roman"/>
          <w:sz w:val="22"/>
          <w:szCs w:val="22"/>
          <w:lang w:val="sk-SK"/>
        </w:rPr>
        <w:t xml:space="preserve">Úrazy spôsobené pádom a neprirodzenou chôdzou mohli byť zapríčinené preslabnutím svalov a/alebo lokálnym rozšírením Dysportu 500 U do iných svalov, ktoré zodpovedajú za pohyb alebo rovnováhu. </w:t>
      </w:r>
    </w:p>
    <w:p w:rsidR="00F134F4" w:rsidRPr="00F00DE4" w:rsidRDefault="00F134F4" w:rsidP="00FE4006">
      <w:pPr>
        <w:pStyle w:val="BodyText"/>
        <w:spacing w:line="240" w:lineRule="atLeast"/>
        <w:rPr>
          <w:rFonts w:ascii="Times New Roman" w:hAnsi="Times New Roman" w:cs="Times New Roman"/>
          <w:b w:val="0"/>
          <w:i w:val="0"/>
          <w:sz w:val="22"/>
          <w:szCs w:val="22"/>
          <w:lang w:val="sk-SK"/>
        </w:rPr>
      </w:pPr>
    </w:p>
    <w:p w:rsidR="00F134F4" w:rsidRPr="00F00DE4" w:rsidRDefault="00F134F4" w:rsidP="00FE4006">
      <w:pPr>
        <w:jc w:val="both"/>
        <w:rPr>
          <w:rFonts w:ascii="Times New Roman" w:hAnsi="Times New Roman" w:cs="Times New Roman"/>
          <w:b/>
          <w:sz w:val="22"/>
          <w:szCs w:val="22"/>
          <w:lang w:val="sk-SK"/>
        </w:rPr>
      </w:pPr>
      <w:r w:rsidRPr="00F00DE4">
        <w:rPr>
          <w:rFonts w:ascii="Times New Roman" w:hAnsi="Times New Roman" w:cs="Times New Roman"/>
          <w:b/>
          <w:sz w:val="22"/>
          <w:szCs w:val="22"/>
          <w:lang w:val="sk-SK"/>
        </w:rPr>
        <w:t>Nežiaduce účinky pri liečbe torticollis:</w:t>
      </w:r>
    </w:p>
    <w:p w:rsidR="00F134F4" w:rsidRPr="00F00DE4" w:rsidRDefault="00F134F4" w:rsidP="00FE4006">
      <w:pPr>
        <w:spacing w:line="240" w:lineRule="atLeast"/>
        <w:rPr>
          <w:rFonts w:ascii="Times New Roman" w:hAnsi="Times New Roman" w:cs="Times New Roman"/>
          <w:sz w:val="22"/>
          <w:szCs w:val="22"/>
          <w:lang w:val="sk-SK"/>
        </w:rPr>
      </w:pPr>
    </w:p>
    <w:p w:rsidR="00F134F4" w:rsidRPr="00F00DE4" w:rsidRDefault="00F134F4" w:rsidP="00FE4006">
      <w:pPr>
        <w:spacing w:line="240" w:lineRule="atLeast"/>
        <w:rPr>
          <w:rFonts w:ascii="Times New Roman" w:hAnsi="Times New Roman" w:cs="Times New Roman"/>
          <w:bCs/>
          <w:sz w:val="22"/>
          <w:szCs w:val="22"/>
          <w:lang w:val="sk-SK"/>
        </w:rPr>
      </w:pPr>
      <w:r w:rsidRPr="00F00DE4">
        <w:rPr>
          <w:rFonts w:ascii="Times New Roman" w:hAnsi="Times New Roman" w:cs="Times New Roman"/>
          <w:sz w:val="22"/>
          <w:szCs w:val="22"/>
          <w:lang w:val="sk-SK"/>
        </w:rPr>
        <w:t xml:space="preserve">Nasledujúce nežiaduce účinky, boli hlásené u pacientov liečených </w:t>
      </w:r>
      <w:r w:rsidRPr="00F00DE4">
        <w:rPr>
          <w:rFonts w:ascii="Times New Roman" w:hAnsi="Times New Roman" w:cs="Times New Roman"/>
          <w:color w:val="000000"/>
          <w:spacing w:val="-1"/>
          <w:sz w:val="22"/>
          <w:szCs w:val="22"/>
          <w:lang w:val="sk-SK"/>
        </w:rPr>
        <w:t>Dysportom 500 U</w:t>
      </w:r>
      <w:r w:rsidRPr="00F00DE4">
        <w:rPr>
          <w:rFonts w:ascii="Times New Roman" w:hAnsi="Times New Roman" w:cs="Times New Roman"/>
          <w:b/>
          <w:sz w:val="22"/>
          <w:szCs w:val="22"/>
          <w:lang w:val="sk-SK"/>
        </w:rPr>
        <w:t xml:space="preserve"> </w:t>
      </w:r>
      <w:r w:rsidRPr="00F00DE4">
        <w:rPr>
          <w:rFonts w:ascii="Times New Roman" w:hAnsi="Times New Roman" w:cs="Times New Roman"/>
          <w:sz w:val="22"/>
          <w:szCs w:val="22"/>
          <w:lang w:val="sk-SK"/>
        </w:rPr>
        <w:t>pri liečbe torticollis</w:t>
      </w:r>
      <w:r w:rsidRPr="00F00DE4">
        <w:rPr>
          <w:rFonts w:ascii="Times New Roman" w:hAnsi="Times New Roman" w:cs="Times New Roman"/>
          <w:bCs/>
          <w:sz w:val="22"/>
          <w:szCs w:val="22"/>
          <w:lang w:val="sk-SK"/>
        </w:rPr>
        <w:t>:</w:t>
      </w:r>
    </w:p>
    <w:p w:rsidR="00F134F4" w:rsidRPr="00F00DE4" w:rsidRDefault="00F134F4" w:rsidP="00FE4006">
      <w:pPr>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Poruchy nervového systému:</w:t>
      </w:r>
    </w:p>
    <w:p w:rsidR="00F134F4" w:rsidRPr="00F00DE4" w:rsidRDefault="00F134F4" w:rsidP="00FE4006">
      <w:pPr>
        <w:rPr>
          <w:rFonts w:ascii="Times New Roman" w:hAnsi="Times New Roman" w:cs="Times New Roman"/>
          <w:sz w:val="22"/>
          <w:szCs w:val="22"/>
          <w:lang w:val="sk-SK"/>
        </w:rPr>
      </w:pPr>
      <w:r w:rsidRPr="00F00DE4">
        <w:rPr>
          <w:rFonts w:ascii="Times New Roman" w:hAnsi="Times New Roman" w:cs="Times New Roman"/>
          <w:sz w:val="22"/>
          <w:szCs w:val="22"/>
          <w:lang w:val="sk-SK"/>
        </w:rPr>
        <w:t>Časté: bolesť hlavy, závrat, faciálna paréza</w:t>
      </w:r>
    </w:p>
    <w:p w:rsidR="00F134F4" w:rsidRPr="00F00DE4" w:rsidRDefault="00F134F4" w:rsidP="00FE4006">
      <w:pPr>
        <w:rPr>
          <w:rFonts w:ascii="Times New Roman" w:hAnsi="Times New Roman" w:cs="Times New Roman"/>
          <w:sz w:val="22"/>
          <w:szCs w:val="22"/>
          <w:u w:val="single"/>
          <w:lang w:val="sk-SK"/>
        </w:rPr>
      </w:pPr>
    </w:p>
    <w:p w:rsidR="00F134F4" w:rsidRPr="00F00DE4" w:rsidRDefault="00F134F4" w:rsidP="00FE4006">
      <w:pPr>
        <w:rPr>
          <w:rFonts w:ascii="Times New Roman" w:hAnsi="Times New Roman" w:cs="Times New Roman"/>
          <w:sz w:val="22"/>
          <w:szCs w:val="22"/>
          <w:u w:val="single"/>
          <w:lang w:val="sk-SK"/>
        </w:rPr>
      </w:pPr>
      <w:r w:rsidRPr="00F00DE4">
        <w:rPr>
          <w:rFonts w:ascii="Times New Roman" w:hAnsi="Times New Roman" w:cs="Times New Roman"/>
          <w:sz w:val="22"/>
          <w:szCs w:val="22"/>
          <w:u w:val="single"/>
          <w:lang w:val="sk-SK"/>
        </w:rPr>
        <w:t>Poruchy oka</w:t>
      </w:r>
    </w:p>
    <w:p w:rsidR="00F134F4" w:rsidRPr="00F00DE4" w:rsidRDefault="00F134F4" w:rsidP="00FE4006">
      <w:pPr>
        <w:rPr>
          <w:rFonts w:ascii="Times New Roman" w:hAnsi="Times New Roman" w:cs="Times New Roman"/>
          <w:sz w:val="22"/>
          <w:szCs w:val="22"/>
          <w:u w:val="single"/>
          <w:lang w:val="sk-SK"/>
        </w:rPr>
      </w:pPr>
      <w:r w:rsidRPr="00F00DE4">
        <w:rPr>
          <w:rFonts w:ascii="Times New Roman" w:hAnsi="Times New Roman" w:cs="Times New Roman"/>
          <w:sz w:val="22"/>
          <w:szCs w:val="22"/>
          <w:lang w:val="sk-SK"/>
        </w:rPr>
        <w:t>Časté: zahmlené videnie, zníženie zrakovej ostrosti</w:t>
      </w:r>
    </w:p>
    <w:p w:rsidR="00F134F4" w:rsidRPr="00F00DE4" w:rsidRDefault="00F134F4" w:rsidP="00FE4006">
      <w:pPr>
        <w:rPr>
          <w:rFonts w:ascii="Times New Roman" w:hAnsi="Times New Roman" w:cs="Times New Roman"/>
          <w:sz w:val="22"/>
          <w:szCs w:val="22"/>
          <w:lang w:val="sk-SK"/>
        </w:rPr>
      </w:pPr>
      <w:r w:rsidRPr="00F00DE4">
        <w:rPr>
          <w:rFonts w:ascii="Times New Roman" w:hAnsi="Times New Roman" w:cs="Times New Roman"/>
          <w:sz w:val="22"/>
          <w:szCs w:val="22"/>
          <w:lang w:val="sk-SK"/>
        </w:rPr>
        <w:t>Menej časté: diplopia, ptóza</w:t>
      </w:r>
    </w:p>
    <w:p w:rsidR="00F134F4" w:rsidRPr="00F00DE4" w:rsidRDefault="00F134F4" w:rsidP="00FE4006">
      <w:pPr>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Poruchy dýchacej sústavy, hrudníka a mediastína</w:t>
      </w:r>
    </w:p>
    <w:p w:rsidR="00F134F4" w:rsidRPr="00F00DE4" w:rsidRDefault="00F134F4" w:rsidP="00FE4006">
      <w:pPr>
        <w:rPr>
          <w:rFonts w:ascii="Times New Roman" w:hAnsi="Times New Roman" w:cs="Times New Roman"/>
          <w:noProof/>
          <w:sz w:val="22"/>
          <w:szCs w:val="22"/>
          <w:lang w:val="sk-SK"/>
        </w:rPr>
      </w:pPr>
      <w:r w:rsidRPr="00F00DE4">
        <w:rPr>
          <w:rFonts w:ascii="Times New Roman" w:hAnsi="Times New Roman" w:cs="Times New Roman"/>
          <w:noProof/>
          <w:sz w:val="22"/>
          <w:szCs w:val="22"/>
          <w:lang w:val="sk-SK"/>
        </w:rPr>
        <w:t>Časté: dysfónia, dýchavičnosť</w:t>
      </w:r>
    </w:p>
    <w:p w:rsidR="00F134F4" w:rsidRPr="00F00DE4" w:rsidRDefault="00F134F4" w:rsidP="00FE4006">
      <w:pPr>
        <w:rPr>
          <w:rFonts w:ascii="Times New Roman" w:hAnsi="Times New Roman" w:cs="Times New Roman"/>
          <w:sz w:val="22"/>
          <w:szCs w:val="22"/>
          <w:lang w:val="sk-SK"/>
        </w:rPr>
      </w:pPr>
      <w:r w:rsidRPr="00F00DE4">
        <w:rPr>
          <w:rFonts w:ascii="Times New Roman" w:hAnsi="Times New Roman" w:cs="Times New Roman"/>
          <w:sz w:val="22"/>
          <w:szCs w:val="22"/>
          <w:lang w:val="sk-SK"/>
        </w:rPr>
        <w:t>Zriedkavé: aspirácia</w:t>
      </w:r>
    </w:p>
    <w:p w:rsidR="00F134F4" w:rsidRPr="00F00DE4" w:rsidRDefault="00F134F4" w:rsidP="00FE4006">
      <w:pPr>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Poruchy gastrointestinálneho traktu:</w:t>
      </w:r>
    </w:p>
    <w:p w:rsidR="00F134F4" w:rsidRDefault="00F134F4" w:rsidP="00FE4006">
      <w:pPr>
        <w:rPr>
          <w:rFonts w:ascii="Times New Roman" w:hAnsi="Times New Roman" w:cs="Times New Roman"/>
          <w:sz w:val="22"/>
          <w:szCs w:val="22"/>
          <w:lang w:val="sk-SK"/>
        </w:rPr>
      </w:pPr>
      <w:r w:rsidRPr="00F00DE4">
        <w:rPr>
          <w:rFonts w:ascii="Times New Roman" w:hAnsi="Times New Roman" w:cs="Times New Roman"/>
          <w:sz w:val="22"/>
          <w:szCs w:val="22"/>
          <w:lang w:val="sk-SK"/>
        </w:rPr>
        <w:t>Veľmi časté: dysfágia, sucho v</w:t>
      </w:r>
      <w:r>
        <w:rPr>
          <w:rFonts w:ascii="Times New Roman" w:hAnsi="Times New Roman" w:cs="Times New Roman"/>
          <w:sz w:val="22"/>
          <w:szCs w:val="22"/>
          <w:lang w:val="sk-SK"/>
        </w:rPr>
        <w:t> </w:t>
      </w:r>
      <w:r w:rsidRPr="00F00DE4">
        <w:rPr>
          <w:rFonts w:ascii="Times New Roman" w:hAnsi="Times New Roman" w:cs="Times New Roman"/>
          <w:sz w:val="22"/>
          <w:szCs w:val="22"/>
          <w:lang w:val="sk-SK"/>
        </w:rPr>
        <w:t>ústach</w:t>
      </w:r>
    </w:p>
    <w:p w:rsidR="00F134F4" w:rsidRPr="00F00DE4" w:rsidRDefault="00F134F4" w:rsidP="00FE4006">
      <w:pPr>
        <w:rPr>
          <w:rFonts w:ascii="Times New Roman" w:hAnsi="Times New Roman" w:cs="Times New Roman"/>
          <w:sz w:val="22"/>
          <w:szCs w:val="22"/>
          <w:lang w:val="sk-SK"/>
        </w:rPr>
      </w:pPr>
      <w:r>
        <w:rPr>
          <w:rFonts w:ascii="Times New Roman" w:hAnsi="Times New Roman" w:cs="Times New Roman"/>
          <w:sz w:val="22"/>
          <w:szCs w:val="22"/>
          <w:lang w:val="sk-SK"/>
        </w:rPr>
        <w:t>Menej časté: nevoľnosť</w:t>
      </w:r>
    </w:p>
    <w:p w:rsidR="00F134F4" w:rsidRPr="00F00DE4" w:rsidRDefault="00F134F4" w:rsidP="00FE4006">
      <w:pPr>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i/>
          <w:sz w:val="22"/>
          <w:szCs w:val="22"/>
          <w:u w:val="single"/>
          <w:lang w:val="sk-SK"/>
        </w:rPr>
      </w:pPr>
      <w:r w:rsidRPr="00F00DE4">
        <w:rPr>
          <w:rFonts w:ascii="Times New Roman" w:hAnsi="Times New Roman" w:cs="Times New Roman"/>
          <w:sz w:val="22"/>
          <w:szCs w:val="22"/>
          <w:u w:val="single"/>
          <w:lang w:val="sk-SK"/>
        </w:rPr>
        <w:t>Poruchy kostrovej a svalovej sústavy a spojivového tkaniva</w:t>
      </w:r>
    </w:p>
    <w:p w:rsidR="00F134F4" w:rsidRPr="00F00DE4" w:rsidRDefault="00F134F4" w:rsidP="00FE4006">
      <w:pPr>
        <w:pStyle w:val="Body"/>
        <w:rPr>
          <w:sz w:val="22"/>
          <w:szCs w:val="22"/>
          <w:lang w:val="sk-SK"/>
        </w:rPr>
      </w:pPr>
      <w:r w:rsidRPr="00F00DE4">
        <w:rPr>
          <w:sz w:val="22"/>
          <w:szCs w:val="22"/>
          <w:lang w:val="sk-SK"/>
        </w:rPr>
        <w:t>Veľmi časté: svalová slabosť</w:t>
      </w:r>
    </w:p>
    <w:p w:rsidR="00F134F4" w:rsidRPr="00F00DE4" w:rsidRDefault="00F134F4" w:rsidP="00FE4006">
      <w:pPr>
        <w:pStyle w:val="Body"/>
        <w:rPr>
          <w:sz w:val="22"/>
          <w:szCs w:val="22"/>
          <w:lang w:val="sk-SK"/>
        </w:rPr>
      </w:pPr>
      <w:r w:rsidRPr="00F00DE4">
        <w:rPr>
          <w:sz w:val="22"/>
          <w:szCs w:val="22"/>
          <w:lang w:val="sk-SK"/>
        </w:rPr>
        <w:t>Časté: bolesť krku, bolesť kostrovej a svalovej sústavy, myalgia, bolesť rúk a prstov, stuhnutosť kostrovej a svalovej sústavy</w:t>
      </w:r>
    </w:p>
    <w:p w:rsidR="00F134F4" w:rsidRPr="00F00DE4" w:rsidRDefault="00F134F4" w:rsidP="00FE4006">
      <w:pPr>
        <w:pStyle w:val="Body"/>
        <w:rPr>
          <w:sz w:val="22"/>
          <w:szCs w:val="22"/>
          <w:lang w:val="sk-SK"/>
        </w:rPr>
      </w:pPr>
      <w:r w:rsidRPr="00F00DE4">
        <w:rPr>
          <w:sz w:val="22"/>
          <w:szCs w:val="22"/>
          <w:lang w:val="sk-SK"/>
        </w:rPr>
        <w:t>Zriedkavé: svalová atrofia, porucha čeľuste</w:t>
      </w:r>
    </w:p>
    <w:p w:rsidR="00F134F4" w:rsidRPr="00F00DE4" w:rsidRDefault="00F134F4" w:rsidP="00FE4006">
      <w:pPr>
        <w:rPr>
          <w:rFonts w:ascii="Times New Roman" w:hAnsi="Times New Roman" w:cs="Times New Roman"/>
          <w:sz w:val="22"/>
          <w:szCs w:val="22"/>
          <w:lang w:val="sk-SK"/>
        </w:rPr>
      </w:pPr>
    </w:p>
    <w:p w:rsidR="00F134F4" w:rsidRPr="00F00DE4" w:rsidRDefault="00F134F4" w:rsidP="00FE4006">
      <w:pPr>
        <w:pStyle w:val="Text"/>
        <w:ind w:left="0"/>
        <w:jc w:val="left"/>
        <w:rPr>
          <w:rFonts w:ascii="Times New Roman" w:hAnsi="Times New Roman"/>
          <w:sz w:val="22"/>
          <w:szCs w:val="22"/>
          <w:lang w:val="sk-SK"/>
        </w:rPr>
      </w:pPr>
      <w:r w:rsidRPr="00F00DE4">
        <w:rPr>
          <w:rFonts w:ascii="Times New Roman" w:hAnsi="Times New Roman"/>
          <w:sz w:val="22"/>
          <w:szCs w:val="22"/>
          <w:lang w:val="sk-SK"/>
        </w:rPr>
        <w:t>Dysfágia bola spojená s dávkovaním a vyskytla sa najčastejšie po injekcii do svalu kývača hlavy. Je potrebné dodržovať miernu diétu, pokiaľ nepominú príznaky.</w:t>
      </w:r>
    </w:p>
    <w:p w:rsidR="00F134F4" w:rsidRPr="00F00DE4" w:rsidRDefault="00F134F4" w:rsidP="00FE4006">
      <w:pPr>
        <w:jc w:val="both"/>
        <w:rPr>
          <w:rFonts w:ascii="Times New Roman" w:hAnsi="Times New Roman" w:cs="Times New Roman"/>
          <w:b/>
          <w:sz w:val="22"/>
          <w:szCs w:val="22"/>
          <w:lang w:val="sk-SK"/>
        </w:rPr>
      </w:pPr>
    </w:p>
    <w:p w:rsidR="00F134F4" w:rsidRPr="00F00DE4" w:rsidRDefault="00F134F4" w:rsidP="00FE4006">
      <w:pPr>
        <w:jc w:val="both"/>
        <w:rPr>
          <w:rFonts w:ascii="Times New Roman" w:hAnsi="Times New Roman" w:cs="Times New Roman"/>
          <w:b/>
          <w:sz w:val="22"/>
          <w:szCs w:val="22"/>
          <w:lang w:val="sk-SK"/>
        </w:rPr>
      </w:pPr>
      <w:r w:rsidRPr="00F00DE4">
        <w:rPr>
          <w:rFonts w:ascii="Times New Roman" w:hAnsi="Times New Roman" w:cs="Times New Roman"/>
          <w:b/>
          <w:sz w:val="22"/>
          <w:szCs w:val="22"/>
          <w:lang w:val="sk-SK"/>
        </w:rPr>
        <w:t>Nežiaduce účinky pri liečbe blefarospazmu a hemifaciálneho spazmu:</w:t>
      </w:r>
    </w:p>
    <w:p w:rsidR="00F134F4" w:rsidRPr="00F00DE4" w:rsidRDefault="00F134F4" w:rsidP="00FE4006">
      <w:pPr>
        <w:spacing w:line="240" w:lineRule="atLeast"/>
        <w:rPr>
          <w:rFonts w:ascii="Times New Roman" w:hAnsi="Times New Roman" w:cs="Times New Roman"/>
          <w:sz w:val="22"/>
          <w:szCs w:val="22"/>
          <w:lang w:val="sk-SK"/>
        </w:rPr>
      </w:pPr>
    </w:p>
    <w:p w:rsidR="00F134F4" w:rsidRPr="00F00DE4" w:rsidRDefault="00F134F4" w:rsidP="00FE4006">
      <w:pPr>
        <w:spacing w:line="240" w:lineRule="atLeast"/>
        <w:rPr>
          <w:rFonts w:ascii="Times New Roman" w:hAnsi="Times New Roman" w:cs="Times New Roman"/>
          <w:bCs/>
          <w:sz w:val="22"/>
          <w:szCs w:val="22"/>
          <w:lang w:val="sk-SK"/>
        </w:rPr>
      </w:pPr>
      <w:r w:rsidRPr="00F00DE4">
        <w:rPr>
          <w:rFonts w:ascii="Times New Roman" w:hAnsi="Times New Roman" w:cs="Times New Roman"/>
          <w:sz w:val="22"/>
          <w:szCs w:val="22"/>
          <w:lang w:val="sk-SK"/>
        </w:rPr>
        <w:t xml:space="preserve">Nasledujúce nežiaduce účinky, boli hlásené u pacientov liečených </w:t>
      </w:r>
      <w:r w:rsidRPr="00F00DE4">
        <w:rPr>
          <w:rFonts w:ascii="Times New Roman" w:hAnsi="Times New Roman" w:cs="Times New Roman"/>
          <w:color w:val="000000"/>
          <w:spacing w:val="-1"/>
          <w:sz w:val="22"/>
          <w:szCs w:val="22"/>
          <w:lang w:val="sk-SK"/>
        </w:rPr>
        <w:t>Dysportom</w:t>
      </w:r>
      <w:r w:rsidRPr="00F00DE4">
        <w:rPr>
          <w:rFonts w:ascii="Times New Roman" w:hAnsi="Times New Roman" w:cs="Times New Roman"/>
          <w:sz w:val="22"/>
          <w:szCs w:val="22"/>
          <w:lang w:val="sk-SK"/>
        </w:rPr>
        <w:t xml:space="preserve"> 500 U</w:t>
      </w:r>
      <w:r w:rsidRPr="00F00DE4">
        <w:rPr>
          <w:rFonts w:ascii="Times New Roman" w:hAnsi="Times New Roman" w:cs="Times New Roman"/>
          <w:b/>
          <w:sz w:val="22"/>
          <w:szCs w:val="22"/>
          <w:lang w:val="sk-SK"/>
        </w:rPr>
        <w:t xml:space="preserve"> </w:t>
      </w:r>
      <w:r w:rsidRPr="00F00DE4">
        <w:rPr>
          <w:rFonts w:ascii="Times New Roman" w:hAnsi="Times New Roman" w:cs="Times New Roman"/>
          <w:sz w:val="22"/>
          <w:szCs w:val="22"/>
          <w:lang w:val="sk-SK"/>
        </w:rPr>
        <w:t>pri liečbe blefarospazmu a hemifaciálneho spazmu</w:t>
      </w:r>
      <w:r w:rsidRPr="00F00DE4">
        <w:rPr>
          <w:rFonts w:ascii="Times New Roman" w:hAnsi="Times New Roman" w:cs="Times New Roman"/>
          <w:bCs/>
          <w:sz w:val="22"/>
          <w:szCs w:val="22"/>
          <w:lang w:val="sk-SK"/>
        </w:rPr>
        <w:t>:</w:t>
      </w:r>
    </w:p>
    <w:p w:rsidR="00F134F4" w:rsidRPr="00F00DE4" w:rsidRDefault="00F134F4" w:rsidP="00FE4006">
      <w:pPr>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Poruchy nervového systému</w:t>
      </w:r>
    </w:p>
    <w:p w:rsidR="00F134F4" w:rsidRPr="00F00DE4" w:rsidRDefault="00F134F4" w:rsidP="00FE4006">
      <w:pPr>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Časté: </w:t>
      </w:r>
      <w:r>
        <w:rPr>
          <w:rFonts w:ascii="Times New Roman" w:hAnsi="Times New Roman" w:cs="Times New Roman"/>
          <w:sz w:val="22"/>
          <w:szCs w:val="22"/>
          <w:lang w:val="sk-SK"/>
        </w:rPr>
        <w:t>faciálna paréza</w:t>
      </w:r>
      <w:r w:rsidRPr="00F00DE4">
        <w:rPr>
          <w:rFonts w:ascii="Times New Roman" w:hAnsi="Times New Roman" w:cs="Times New Roman"/>
          <w:sz w:val="22"/>
          <w:szCs w:val="22"/>
          <w:lang w:val="sk-SK"/>
        </w:rPr>
        <w:t xml:space="preserve"> </w:t>
      </w:r>
    </w:p>
    <w:p w:rsidR="00F134F4" w:rsidRPr="00F00DE4" w:rsidRDefault="00F134F4" w:rsidP="00FE4006">
      <w:pPr>
        <w:rPr>
          <w:rFonts w:ascii="Times New Roman" w:hAnsi="Times New Roman" w:cs="Times New Roman"/>
          <w:sz w:val="22"/>
          <w:szCs w:val="22"/>
          <w:lang w:val="sk-SK"/>
        </w:rPr>
      </w:pPr>
      <w:r w:rsidRPr="00F00DE4">
        <w:rPr>
          <w:rFonts w:ascii="Times New Roman" w:hAnsi="Times New Roman" w:cs="Times New Roman"/>
          <w:sz w:val="22"/>
          <w:szCs w:val="22"/>
          <w:lang w:val="sk-SK"/>
        </w:rPr>
        <w:t>Menej časté: paralýza</w:t>
      </w:r>
      <w:r>
        <w:rPr>
          <w:rFonts w:ascii="Times New Roman" w:hAnsi="Times New Roman" w:cs="Times New Roman"/>
          <w:sz w:val="22"/>
          <w:szCs w:val="22"/>
          <w:lang w:val="sk-SK"/>
        </w:rPr>
        <w:t xml:space="preserve"> VII. nervu</w:t>
      </w:r>
    </w:p>
    <w:p w:rsidR="00F134F4" w:rsidRPr="00F00DE4" w:rsidRDefault="00F134F4" w:rsidP="00FE4006">
      <w:pPr>
        <w:rPr>
          <w:rFonts w:ascii="Times New Roman" w:hAnsi="Times New Roman" w:cs="Times New Roman"/>
          <w:sz w:val="22"/>
          <w:szCs w:val="22"/>
          <w:u w:val="single"/>
          <w:lang w:val="sk-SK"/>
        </w:rPr>
      </w:pPr>
    </w:p>
    <w:p w:rsidR="00F134F4" w:rsidRPr="00F00DE4" w:rsidRDefault="00F134F4" w:rsidP="00FE4006">
      <w:pPr>
        <w:rPr>
          <w:rFonts w:ascii="Times New Roman" w:hAnsi="Times New Roman" w:cs="Times New Roman"/>
          <w:sz w:val="22"/>
          <w:szCs w:val="22"/>
          <w:u w:val="single"/>
          <w:lang w:val="sk-SK"/>
        </w:rPr>
      </w:pPr>
      <w:r w:rsidRPr="00F00DE4">
        <w:rPr>
          <w:rFonts w:ascii="Times New Roman" w:hAnsi="Times New Roman" w:cs="Times New Roman"/>
          <w:sz w:val="22"/>
          <w:szCs w:val="22"/>
          <w:u w:val="single"/>
          <w:lang w:val="sk-SK"/>
        </w:rPr>
        <w:t>Poruchy oka</w:t>
      </w:r>
    </w:p>
    <w:p w:rsidR="00F134F4" w:rsidRPr="00F00DE4" w:rsidRDefault="00F134F4" w:rsidP="00FE4006">
      <w:pPr>
        <w:rPr>
          <w:rFonts w:ascii="Times New Roman" w:hAnsi="Times New Roman" w:cs="Times New Roman"/>
          <w:sz w:val="22"/>
          <w:szCs w:val="22"/>
          <w:lang w:val="sk-SK"/>
        </w:rPr>
      </w:pPr>
      <w:r w:rsidRPr="00F00DE4">
        <w:rPr>
          <w:rFonts w:ascii="Times New Roman" w:hAnsi="Times New Roman" w:cs="Times New Roman"/>
          <w:sz w:val="22"/>
          <w:szCs w:val="22"/>
          <w:lang w:val="sk-SK"/>
        </w:rPr>
        <w:t>Veľmi časté: ptóza</w:t>
      </w:r>
    </w:p>
    <w:p w:rsidR="00F134F4" w:rsidRPr="00F00DE4" w:rsidRDefault="00F134F4" w:rsidP="00FE4006">
      <w:pPr>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Časté: diplopia, </w:t>
      </w:r>
      <w:r>
        <w:rPr>
          <w:rFonts w:ascii="Times New Roman" w:hAnsi="Times New Roman" w:cs="Times New Roman"/>
          <w:sz w:val="22"/>
          <w:szCs w:val="22"/>
          <w:lang w:val="sk-SK"/>
        </w:rPr>
        <w:t>suché oko</w:t>
      </w:r>
      <w:r w:rsidRPr="00F00DE4">
        <w:rPr>
          <w:rFonts w:ascii="Times New Roman" w:hAnsi="Times New Roman" w:cs="Times New Roman"/>
          <w:sz w:val="22"/>
          <w:szCs w:val="22"/>
          <w:lang w:val="sk-SK"/>
        </w:rPr>
        <w:t xml:space="preserve">, </w:t>
      </w:r>
      <w:r>
        <w:rPr>
          <w:rFonts w:ascii="Times New Roman" w:hAnsi="Times New Roman" w:cs="Times New Roman"/>
          <w:sz w:val="22"/>
          <w:szCs w:val="22"/>
          <w:lang w:val="sk-SK"/>
        </w:rPr>
        <w:t xml:space="preserve">zvýšené </w:t>
      </w:r>
      <w:r w:rsidRPr="00F00DE4">
        <w:rPr>
          <w:rFonts w:ascii="Times New Roman" w:hAnsi="Times New Roman" w:cs="Times New Roman"/>
          <w:sz w:val="22"/>
          <w:szCs w:val="22"/>
          <w:lang w:val="sk-SK"/>
        </w:rPr>
        <w:t>slzenie</w:t>
      </w:r>
    </w:p>
    <w:p w:rsidR="00F134F4" w:rsidRPr="00F00DE4" w:rsidRDefault="00F134F4" w:rsidP="00FE4006">
      <w:pPr>
        <w:rPr>
          <w:rFonts w:ascii="Times New Roman" w:hAnsi="Times New Roman" w:cs="Times New Roman"/>
          <w:sz w:val="22"/>
          <w:szCs w:val="22"/>
          <w:lang w:val="sk-SK"/>
        </w:rPr>
      </w:pPr>
      <w:r w:rsidRPr="00F00DE4">
        <w:rPr>
          <w:rFonts w:ascii="Times New Roman" w:hAnsi="Times New Roman" w:cs="Times New Roman"/>
          <w:sz w:val="22"/>
          <w:szCs w:val="22"/>
          <w:lang w:val="sk-SK"/>
        </w:rPr>
        <w:t>Zriedkavé: oftalmoplégia</w:t>
      </w:r>
    </w:p>
    <w:p w:rsidR="00F134F4" w:rsidRPr="00F00DE4" w:rsidRDefault="00F134F4" w:rsidP="00FE4006">
      <w:pPr>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Poruchy kože a podkožného tkaniva</w:t>
      </w:r>
    </w:p>
    <w:p w:rsidR="00F134F4" w:rsidRPr="00F00DE4" w:rsidRDefault="00F134F4" w:rsidP="00FE4006">
      <w:pPr>
        <w:rPr>
          <w:rFonts w:ascii="Times New Roman" w:hAnsi="Times New Roman" w:cs="Times New Roman"/>
          <w:sz w:val="22"/>
          <w:szCs w:val="22"/>
          <w:lang w:val="sk-SK"/>
        </w:rPr>
      </w:pPr>
      <w:r w:rsidRPr="00F00DE4">
        <w:rPr>
          <w:rFonts w:ascii="Times New Roman" w:hAnsi="Times New Roman" w:cs="Times New Roman"/>
          <w:sz w:val="22"/>
          <w:szCs w:val="22"/>
          <w:lang w:val="sk-SK"/>
        </w:rPr>
        <w:t>Časté: edém viečka</w:t>
      </w:r>
    </w:p>
    <w:p w:rsidR="00F134F4" w:rsidRPr="00F00DE4" w:rsidRDefault="00F134F4" w:rsidP="00FE4006">
      <w:pPr>
        <w:rPr>
          <w:rFonts w:ascii="Times New Roman" w:hAnsi="Times New Roman" w:cs="Times New Roman"/>
          <w:i/>
          <w:sz w:val="22"/>
          <w:szCs w:val="22"/>
          <w:u w:val="single"/>
          <w:lang w:val="sk-SK"/>
        </w:rPr>
      </w:pPr>
      <w:r w:rsidRPr="00F00DE4">
        <w:rPr>
          <w:rFonts w:ascii="Times New Roman" w:hAnsi="Times New Roman" w:cs="Times New Roman"/>
          <w:sz w:val="22"/>
          <w:szCs w:val="22"/>
          <w:lang w:val="sk-SK"/>
        </w:rPr>
        <w:t>Zriedkavé: entropia</w:t>
      </w:r>
    </w:p>
    <w:p w:rsidR="00F134F4" w:rsidRPr="00F00DE4" w:rsidRDefault="00F134F4" w:rsidP="00FE4006">
      <w:pPr>
        <w:rPr>
          <w:rFonts w:ascii="Times New Roman" w:hAnsi="Times New Roman" w:cs="Times New Roman"/>
          <w:color w:val="000000"/>
          <w:sz w:val="22"/>
          <w:szCs w:val="22"/>
          <w:lang w:val="sk-SK"/>
        </w:rPr>
      </w:pPr>
    </w:p>
    <w:p w:rsidR="00F134F4" w:rsidRPr="00F00DE4" w:rsidRDefault="00F134F4" w:rsidP="00FE4006">
      <w:pPr>
        <w:pStyle w:val="Text"/>
        <w:ind w:left="0"/>
        <w:jc w:val="left"/>
        <w:rPr>
          <w:rFonts w:ascii="Times New Roman" w:hAnsi="Times New Roman"/>
          <w:sz w:val="22"/>
          <w:szCs w:val="22"/>
          <w:lang w:val="sk-SK"/>
        </w:rPr>
      </w:pPr>
      <w:r w:rsidRPr="00F00DE4">
        <w:rPr>
          <w:rFonts w:ascii="Times New Roman" w:hAnsi="Times New Roman"/>
          <w:sz w:val="22"/>
          <w:szCs w:val="22"/>
          <w:lang w:val="sk-SK"/>
        </w:rPr>
        <w:t>Vedľajšie účinky môžu byť spôsobené injekciou Dysportu 500 U do nesprávneho miesta alebo hĺbky a následnou paralýzou susedných svalových skupín.</w:t>
      </w:r>
    </w:p>
    <w:p w:rsidR="00F134F4" w:rsidRPr="00F00DE4" w:rsidRDefault="00F134F4" w:rsidP="00FE4006">
      <w:pPr>
        <w:jc w:val="both"/>
        <w:rPr>
          <w:rFonts w:ascii="Times New Roman" w:hAnsi="Times New Roman" w:cs="Times New Roman"/>
          <w:b/>
          <w:bCs/>
          <w:sz w:val="22"/>
          <w:szCs w:val="22"/>
          <w:lang w:val="sk-SK"/>
        </w:rPr>
      </w:pPr>
    </w:p>
    <w:p w:rsidR="00F134F4" w:rsidRPr="00F00DE4" w:rsidRDefault="00F134F4" w:rsidP="00FE4006">
      <w:pPr>
        <w:jc w:val="both"/>
        <w:rPr>
          <w:rFonts w:ascii="Times New Roman" w:hAnsi="Times New Roman" w:cs="Times New Roman"/>
          <w:b/>
          <w:bCs/>
          <w:sz w:val="22"/>
          <w:szCs w:val="22"/>
          <w:lang w:val="sk-SK"/>
        </w:rPr>
      </w:pPr>
      <w:r w:rsidRPr="00F00DE4">
        <w:rPr>
          <w:rFonts w:ascii="Times New Roman" w:hAnsi="Times New Roman" w:cs="Times New Roman"/>
          <w:b/>
          <w:bCs/>
          <w:sz w:val="22"/>
          <w:szCs w:val="22"/>
          <w:lang w:val="sk-SK"/>
        </w:rPr>
        <w:t>Nežiaduce účinky pri liečbe hyperfunkčných línií na tvári:</w:t>
      </w:r>
    </w:p>
    <w:p w:rsidR="00F134F4" w:rsidRPr="00F00DE4" w:rsidRDefault="00F134F4" w:rsidP="00FE4006">
      <w:pPr>
        <w:jc w:val="both"/>
        <w:rPr>
          <w:rFonts w:ascii="Times New Roman" w:hAnsi="Times New Roman" w:cs="Times New Roman"/>
          <w:b/>
          <w:bCs/>
          <w:sz w:val="22"/>
          <w:szCs w:val="22"/>
          <w:lang w:val="sk-SK"/>
        </w:rPr>
      </w:pPr>
    </w:p>
    <w:p w:rsidR="00F134F4" w:rsidRPr="00F00DE4" w:rsidRDefault="00F134F4" w:rsidP="00FE4006">
      <w:pPr>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Nasledujúce nežiaduce účinky, boli hlásené u pacientov liečených </w:t>
      </w:r>
      <w:r w:rsidRPr="00F00DE4">
        <w:rPr>
          <w:rFonts w:ascii="Times New Roman" w:hAnsi="Times New Roman" w:cs="Times New Roman"/>
          <w:color w:val="000000"/>
          <w:spacing w:val="-1"/>
          <w:sz w:val="22"/>
          <w:szCs w:val="22"/>
          <w:lang w:val="sk-SK"/>
        </w:rPr>
        <w:t>Dysportom 500 U</w:t>
      </w:r>
      <w:r w:rsidRPr="00F00DE4">
        <w:rPr>
          <w:rFonts w:ascii="Times New Roman" w:hAnsi="Times New Roman" w:cs="Times New Roman"/>
          <w:b/>
          <w:sz w:val="22"/>
          <w:szCs w:val="22"/>
          <w:lang w:val="sk-SK"/>
        </w:rPr>
        <w:t xml:space="preserve"> </w:t>
      </w:r>
      <w:r w:rsidRPr="00F00DE4">
        <w:rPr>
          <w:rFonts w:ascii="Times New Roman" w:hAnsi="Times New Roman" w:cs="Times New Roman"/>
          <w:sz w:val="22"/>
          <w:szCs w:val="22"/>
          <w:lang w:val="sk-SK"/>
        </w:rPr>
        <w:t>pri liečbe hyperfunkčných línií na tvári:</w:t>
      </w:r>
    </w:p>
    <w:p w:rsidR="00F134F4" w:rsidRPr="00F00DE4" w:rsidRDefault="00F134F4" w:rsidP="00FE4006">
      <w:pPr>
        <w:rPr>
          <w:rFonts w:ascii="Times New Roman" w:hAnsi="Times New Roman" w:cs="Times New Roman"/>
          <w:sz w:val="22"/>
          <w:szCs w:val="22"/>
          <w:u w:val="single"/>
          <w:lang w:val="sk-SK"/>
        </w:rPr>
      </w:pPr>
    </w:p>
    <w:p w:rsidR="00F134F4" w:rsidRPr="00F00DE4" w:rsidRDefault="00F134F4" w:rsidP="00FE4006">
      <w:pPr>
        <w:rPr>
          <w:rFonts w:ascii="Times New Roman" w:hAnsi="Times New Roman" w:cs="Times New Roman"/>
          <w:sz w:val="22"/>
          <w:szCs w:val="22"/>
          <w:u w:val="single"/>
          <w:lang w:val="sk-SK"/>
        </w:rPr>
      </w:pPr>
      <w:r w:rsidRPr="00F00DE4">
        <w:rPr>
          <w:rFonts w:ascii="Times New Roman" w:hAnsi="Times New Roman" w:cs="Times New Roman"/>
          <w:sz w:val="22"/>
          <w:szCs w:val="22"/>
          <w:u w:val="single"/>
          <w:lang w:val="sk-SK"/>
        </w:rPr>
        <w:t>Poruchy oka</w:t>
      </w:r>
    </w:p>
    <w:p w:rsidR="00F134F4" w:rsidRPr="00F00DE4" w:rsidRDefault="00F134F4" w:rsidP="00FE4006">
      <w:pPr>
        <w:pStyle w:val="Text"/>
        <w:spacing w:before="0" w:after="0"/>
        <w:ind w:left="0"/>
        <w:jc w:val="left"/>
        <w:rPr>
          <w:rFonts w:ascii="Times New Roman" w:hAnsi="Times New Roman"/>
          <w:sz w:val="22"/>
          <w:szCs w:val="22"/>
          <w:lang w:val="sk-SK"/>
        </w:rPr>
      </w:pPr>
      <w:r w:rsidRPr="00F00DE4">
        <w:rPr>
          <w:rFonts w:ascii="Times New Roman" w:hAnsi="Times New Roman"/>
          <w:sz w:val="22"/>
          <w:szCs w:val="22"/>
          <w:lang w:val="sk-SK"/>
        </w:rPr>
        <w:t xml:space="preserve">Časté: astenopia, ptóza, edém viečka, zvýšené slzenie, suché oko, svalové trhanie.  </w:t>
      </w:r>
    </w:p>
    <w:p w:rsidR="00F134F4" w:rsidRPr="00F00DE4" w:rsidRDefault="00F134F4" w:rsidP="00FE4006">
      <w:pPr>
        <w:pStyle w:val="Text"/>
        <w:spacing w:before="0" w:after="0"/>
        <w:ind w:left="0"/>
        <w:jc w:val="left"/>
        <w:rPr>
          <w:rFonts w:ascii="Times New Roman" w:hAnsi="Times New Roman"/>
          <w:i/>
          <w:sz w:val="22"/>
          <w:szCs w:val="22"/>
          <w:u w:val="single"/>
          <w:lang w:val="sk-SK"/>
        </w:rPr>
      </w:pPr>
      <w:r w:rsidRPr="00F00DE4">
        <w:rPr>
          <w:rFonts w:ascii="Times New Roman" w:hAnsi="Times New Roman"/>
          <w:sz w:val="22"/>
          <w:szCs w:val="22"/>
          <w:lang w:val="sk-SK"/>
        </w:rPr>
        <w:t>Zriedkavé: porucha videnia, škvrnité videnie, diplopia, porucha pohyblivostí očí.</w:t>
      </w:r>
      <w:r w:rsidRPr="00F00DE4" w:rsidDel="002A29EE">
        <w:rPr>
          <w:rFonts w:ascii="Times New Roman" w:hAnsi="Times New Roman"/>
          <w:sz w:val="22"/>
          <w:szCs w:val="22"/>
          <w:lang w:val="sk-SK"/>
        </w:rPr>
        <w:t xml:space="preserve"> </w:t>
      </w:r>
    </w:p>
    <w:p w:rsidR="00F134F4" w:rsidRPr="00F00DE4" w:rsidRDefault="00F134F4" w:rsidP="00FE4006">
      <w:pPr>
        <w:pStyle w:val="Text"/>
        <w:spacing w:before="0" w:after="0"/>
        <w:ind w:left="0"/>
        <w:jc w:val="left"/>
        <w:rPr>
          <w:rFonts w:ascii="Times New Roman" w:hAnsi="Times New Roman"/>
          <w:sz w:val="22"/>
          <w:szCs w:val="22"/>
          <w:u w:val="single"/>
          <w:lang w:val="sk-SK"/>
        </w:rPr>
      </w:pPr>
    </w:p>
    <w:p w:rsidR="00F134F4" w:rsidRPr="00F00DE4" w:rsidRDefault="00F134F4" w:rsidP="00FE4006">
      <w:pPr>
        <w:pStyle w:val="Text"/>
        <w:spacing w:before="0" w:after="0"/>
        <w:ind w:left="0"/>
        <w:jc w:val="left"/>
        <w:rPr>
          <w:rFonts w:ascii="Times New Roman" w:hAnsi="Times New Roman"/>
          <w:sz w:val="22"/>
          <w:szCs w:val="22"/>
          <w:u w:val="single"/>
          <w:lang w:val="sk-SK"/>
        </w:rPr>
      </w:pPr>
      <w:r w:rsidRPr="00F00DE4">
        <w:rPr>
          <w:rFonts w:ascii="Times New Roman" w:hAnsi="Times New Roman"/>
          <w:sz w:val="22"/>
          <w:szCs w:val="22"/>
          <w:u w:val="single"/>
          <w:lang w:val="sk-SK"/>
        </w:rPr>
        <w:t xml:space="preserve">Poruchy imunitného systému </w:t>
      </w:r>
    </w:p>
    <w:p w:rsidR="00F134F4" w:rsidRPr="00F00DE4" w:rsidRDefault="00F134F4" w:rsidP="00FE4006">
      <w:pPr>
        <w:pStyle w:val="Text"/>
        <w:spacing w:before="0" w:after="0"/>
        <w:ind w:left="0"/>
        <w:jc w:val="left"/>
        <w:rPr>
          <w:rFonts w:ascii="Times New Roman" w:hAnsi="Times New Roman"/>
          <w:sz w:val="22"/>
          <w:szCs w:val="22"/>
          <w:lang w:val="sk-SK"/>
        </w:rPr>
      </w:pPr>
      <w:r w:rsidRPr="00F00DE4">
        <w:rPr>
          <w:rFonts w:ascii="Times New Roman" w:hAnsi="Times New Roman"/>
          <w:sz w:val="22"/>
          <w:szCs w:val="22"/>
          <w:lang w:val="sk-SK"/>
        </w:rPr>
        <w:t xml:space="preserve">Zriedkavé: hypersenzitivita </w:t>
      </w:r>
    </w:p>
    <w:p w:rsidR="00F134F4" w:rsidRPr="00F00DE4" w:rsidRDefault="00F134F4" w:rsidP="00FE4006">
      <w:pPr>
        <w:pStyle w:val="Text"/>
        <w:spacing w:before="0" w:after="0"/>
        <w:ind w:left="0"/>
        <w:jc w:val="left"/>
        <w:rPr>
          <w:rFonts w:ascii="Times New Roman" w:hAnsi="Times New Roman"/>
          <w:i/>
          <w:sz w:val="22"/>
          <w:szCs w:val="22"/>
          <w:lang w:val="sk-SK"/>
        </w:rPr>
      </w:pPr>
    </w:p>
    <w:p w:rsidR="00F134F4" w:rsidRPr="00F00DE4" w:rsidRDefault="00F134F4" w:rsidP="00FE4006">
      <w:pPr>
        <w:pStyle w:val="Text"/>
        <w:spacing w:before="0" w:after="0"/>
        <w:ind w:left="0"/>
        <w:jc w:val="left"/>
        <w:rPr>
          <w:rFonts w:ascii="Times New Roman" w:hAnsi="Times New Roman"/>
          <w:sz w:val="22"/>
          <w:szCs w:val="22"/>
          <w:u w:val="single"/>
          <w:lang w:val="sk-SK"/>
        </w:rPr>
      </w:pPr>
      <w:r w:rsidRPr="00F00DE4">
        <w:rPr>
          <w:rFonts w:ascii="Times New Roman" w:hAnsi="Times New Roman"/>
          <w:sz w:val="22"/>
          <w:szCs w:val="22"/>
          <w:u w:val="single"/>
          <w:lang w:val="sk-SK"/>
        </w:rPr>
        <w:t>Poruchy kostrovej a svalovej sústavy a spojivového tkaniva</w:t>
      </w:r>
    </w:p>
    <w:p w:rsidR="00F134F4" w:rsidRPr="00F00DE4" w:rsidRDefault="00F134F4" w:rsidP="00FE4006">
      <w:pPr>
        <w:pStyle w:val="Text"/>
        <w:spacing w:before="0" w:after="0"/>
        <w:ind w:left="0"/>
        <w:jc w:val="left"/>
        <w:rPr>
          <w:rFonts w:ascii="Times New Roman" w:hAnsi="Times New Roman"/>
          <w:sz w:val="22"/>
          <w:szCs w:val="22"/>
          <w:lang w:val="sk-SK"/>
        </w:rPr>
      </w:pPr>
      <w:r w:rsidRPr="00F00DE4">
        <w:rPr>
          <w:rFonts w:ascii="Times New Roman" w:hAnsi="Times New Roman"/>
          <w:sz w:val="22"/>
          <w:szCs w:val="22"/>
          <w:lang w:val="sk-SK"/>
        </w:rPr>
        <w:t>Časté: slabosť priľahlého svalu v oblasti injekcie. Toto môže zvyčajne viesť k zníženiu očného viečka, astenópii alebo paréze lícneho svalu alebo poruche zraku.</w:t>
      </w:r>
    </w:p>
    <w:p w:rsidR="00F134F4" w:rsidRPr="00F00DE4" w:rsidRDefault="00F134F4" w:rsidP="00FE4006">
      <w:pPr>
        <w:rPr>
          <w:rFonts w:ascii="Times New Roman" w:hAnsi="Times New Roman" w:cs="Times New Roman"/>
          <w:noProof/>
          <w:sz w:val="22"/>
          <w:szCs w:val="22"/>
          <w:u w:val="single"/>
          <w:lang w:val="sk-SK"/>
        </w:rPr>
      </w:pPr>
    </w:p>
    <w:p w:rsidR="00F134F4" w:rsidRPr="00F00DE4" w:rsidRDefault="00F134F4" w:rsidP="00FE4006">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Poruchy nervového systému</w:t>
      </w:r>
    </w:p>
    <w:p w:rsidR="00F134F4" w:rsidRPr="00F00DE4" w:rsidRDefault="00F134F4" w:rsidP="00FE4006">
      <w:pPr>
        <w:pStyle w:val="Text"/>
        <w:spacing w:before="0" w:after="0"/>
        <w:ind w:left="0"/>
        <w:jc w:val="left"/>
        <w:rPr>
          <w:rFonts w:ascii="Times New Roman" w:hAnsi="Times New Roman"/>
          <w:sz w:val="22"/>
          <w:szCs w:val="22"/>
          <w:highlight w:val="yellow"/>
          <w:lang w:val="sk-SK"/>
        </w:rPr>
      </w:pPr>
      <w:r w:rsidRPr="00F00DE4">
        <w:rPr>
          <w:rFonts w:ascii="Times New Roman" w:hAnsi="Times New Roman"/>
          <w:sz w:val="22"/>
          <w:szCs w:val="22"/>
          <w:lang w:val="sk-SK"/>
        </w:rPr>
        <w:t xml:space="preserve">Veľmi časté: bolesť hlavy </w:t>
      </w:r>
    </w:p>
    <w:p w:rsidR="00F134F4" w:rsidRPr="00F00DE4" w:rsidRDefault="00F134F4" w:rsidP="00FE4006">
      <w:pPr>
        <w:rPr>
          <w:rFonts w:ascii="Times New Roman" w:hAnsi="Times New Roman" w:cs="Times New Roman"/>
          <w:sz w:val="22"/>
          <w:szCs w:val="22"/>
          <w:lang w:val="sk-SK"/>
        </w:rPr>
      </w:pPr>
      <w:r w:rsidRPr="00F00DE4">
        <w:rPr>
          <w:rFonts w:ascii="Times New Roman" w:hAnsi="Times New Roman" w:cs="Times New Roman"/>
          <w:sz w:val="22"/>
          <w:szCs w:val="22"/>
          <w:lang w:val="sk-SK"/>
        </w:rPr>
        <w:t>Časté: paréza lícneho nervu</w:t>
      </w:r>
    </w:p>
    <w:p w:rsidR="00F134F4" w:rsidRPr="00F00DE4" w:rsidRDefault="00F134F4" w:rsidP="00FE4006">
      <w:pPr>
        <w:rPr>
          <w:rFonts w:ascii="Times New Roman" w:hAnsi="Times New Roman" w:cs="Times New Roman"/>
          <w:noProof/>
          <w:sz w:val="22"/>
          <w:szCs w:val="22"/>
          <w:lang w:val="sk-SK"/>
        </w:rPr>
      </w:pPr>
    </w:p>
    <w:p w:rsidR="00F134F4" w:rsidRPr="00F00DE4" w:rsidRDefault="00F134F4" w:rsidP="00FE4006">
      <w:pPr>
        <w:rPr>
          <w:rFonts w:ascii="Times New Roman" w:hAnsi="Times New Roman" w:cs="Times New Roman"/>
          <w:noProof/>
          <w:sz w:val="22"/>
          <w:szCs w:val="22"/>
          <w:u w:val="single"/>
          <w:lang w:val="sk-SK"/>
        </w:rPr>
      </w:pPr>
      <w:r w:rsidRPr="00F00DE4">
        <w:rPr>
          <w:rFonts w:ascii="Times New Roman" w:hAnsi="Times New Roman" w:cs="Times New Roman"/>
          <w:noProof/>
          <w:sz w:val="22"/>
          <w:szCs w:val="22"/>
          <w:u w:val="single"/>
          <w:lang w:val="sk-SK"/>
        </w:rPr>
        <w:t>Poruchy kože a podkožného tkaniva</w:t>
      </w:r>
    </w:p>
    <w:p w:rsidR="00F134F4" w:rsidRPr="00F00DE4" w:rsidRDefault="00F134F4" w:rsidP="00FE4006">
      <w:pPr>
        <w:pStyle w:val="Text"/>
        <w:spacing w:before="0" w:after="0"/>
        <w:ind w:left="0"/>
        <w:jc w:val="left"/>
        <w:rPr>
          <w:rFonts w:ascii="Times New Roman" w:hAnsi="Times New Roman"/>
          <w:color w:val="000000"/>
          <w:sz w:val="22"/>
          <w:szCs w:val="22"/>
          <w:lang w:val="sk-SK"/>
        </w:rPr>
      </w:pPr>
      <w:r w:rsidRPr="00F00DE4">
        <w:rPr>
          <w:rFonts w:ascii="Times New Roman" w:hAnsi="Times New Roman"/>
          <w:sz w:val="22"/>
          <w:szCs w:val="22"/>
          <w:lang w:val="sk-SK"/>
        </w:rPr>
        <w:t>Menej časté</w:t>
      </w:r>
      <w:r w:rsidRPr="00F00DE4">
        <w:rPr>
          <w:rFonts w:ascii="Times New Roman" w:hAnsi="Times New Roman"/>
          <w:color w:val="000000"/>
          <w:sz w:val="22"/>
          <w:szCs w:val="22"/>
          <w:lang w:val="sk-SK"/>
        </w:rPr>
        <w:t xml:space="preserve">: kožná vyrážka, svrbenie       </w:t>
      </w:r>
    </w:p>
    <w:p w:rsidR="00F134F4" w:rsidRPr="00F00DE4" w:rsidRDefault="00F134F4" w:rsidP="00FE4006">
      <w:pPr>
        <w:pStyle w:val="Text"/>
        <w:spacing w:before="0" w:after="0"/>
        <w:ind w:left="0"/>
        <w:jc w:val="left"/>
        <w:rPr>
          <w:rFonts w:ascii="Times New Roman" w:hAnsi="Times New Roman"/>
          <w:color w:val="000000"/>
          <w:sz w:val="22"/>
          <w:szCs w:val="22"/>
          <w:lang w:val="sk-SK"/>
        </w:rPr>
      </w:pPr>
      <w:r w:rsidRPr="00F00DE4">
        <w:rPr>
          <w:rFonts w:ascii="Times New Roman" w:hAnsi="Times New Roman"/>
          <w:sz w:val="22"/>
          <w:szCs w:val="22"/>
          <w:lang w:val="sk-SK"/>
        </w:rPr>
        <w:t>Zriedkavé</w:t>
      </w:r>
      <w:r w:rsidRPr="00F00DE4">
        <w:rPr>
          <w:rFonts w:ascii="Times New Roman" w:hAnsi="Times New Roman"/>
          <w:color w:val="000000"/>
          <w:sz w:val="22"/>
          <w:szCs w:val="22"/>
          <w:lang w:val="sk-SK"/>
        </w:rPr>
        <w:t>: žihľavka</w:t>
      </w:r>
    </w:p>
    <w:p w:rsidR="00F134F4" w:rsidRPr="00F00DE4" w:rsidRDefault="00F134F4" w:rsidP="00FE4006">
      <w:pPr>
        <w:pStyle w:val="Text"/>
        <w:spacing w:before="0" w:after="0"/>
        <w:ind w:left="0"/>
        <w:jc w:val="left"/>
        <w:rPr>
          <w:rFonts w:ascii="Times New Roman" w:hAnsi="Times New Roman"/>
          <w:color w:val="000000"/>
          <w:sz w:val="22"/>
          <w:szCs w:val="22"/>
          <w:lang w:val="sk-SK"/>
        </w:rPr>
      </w:pPr>
    </w:p>
    <w:p w:rsidR="00F134F4" w:rsidRPr="00F00DE4" w:rsidRDefault="00F134F4" w:rsidP="00FE4006">
      <w:pPr>
        <w:pStyle w:val="Text"/>
        <w:spacing w:before="0" w:after="0"/>
        <w:ind w:left="0"/>
        <w:jc w:val="left"/>
        <w:rPr>
          <w:rFonts w:ascii="Times New Roman" w:hAnsi="Times New Roman"/>
          <w:b/>
          <w:color w:val="000000"/>
          <w:sz w:val="22"/>
          <w:szCs w:val="22"/>
          <w:lang w:val="sk-SK"/>
        </w:rPr>
      </w:pPr>
      <w:r w:rsidRPr="00F00DE4">
        <w:rPr>
          <w:rFonts w:ascii="Times New Roman" w:hAnsi="Times New Roman"/>
          <w:b/>
          <w:color w:val="000000"/>
          <w:sz w:val="22"/>
          <w:szCs w:val="22"/>
          <w:lang w:val="sk-SK"/>
        </w:rPr>
        <w:t>Nežiaduce účinky pri liečbe hyperhidrózy:</w:t>
      </w:r>
    </w:p>
    <w:p w:rsidR="00F134F4" w:rsidRPr="00F00DE4" w:rsidRDefault="00F134F4" w:rsidP="00FE4006">
      <w:pPr>
        <w:pStyle w:val="Text"/>
        <w:spacing w:before="0" w:after="0"/>
        <w:ind w:left="0"/>
        <w:jc w:val="left"/>
        <w:rPr>
          <w:rFonts w:ascii="Times New Roman" w:hAnsi="Times New Roman"/>
          <w:color w:val="000000"/>
          <w:sz w:val="22"/>
          <w:szCs w:val="22"/>
          <w:lang w:val="sk-SK"/>
        </w:rPr>
      </w:pPr>
      <w:r w:rsidRPr="00F00DE4">
        <w:rPr>
          <w:rFonts w:ascii="Times New Roman" w:hAnsi="Times New Roman"/>
          <w:color w:val="000000"/>
          <w:sz w:val="22"/>
          <w:szCs w:val="22"/>
          <w:lang w:val="sk-SK"/>
        </w:rPr>
        <w:t>Nasledujúce nežiaduce účinky boli hlásené u pacientov liečených Dysportom 500 U pri liečbe hyperhidrózy:</w:t>
      </w:r>
    </w:p>
    <w:p w:rsidR="00F134F4" w:rsidRPr="00F00DE4" w:rsidRDefault="00F134F4" w:rsidP="00FE4006">
      <w:pPr>
        <w:pStyle w:val="Text"/>
        <w:spacing w:before="0" w:after="0"/>
        <w:ind w:left="0"/>
        <w:jc w:val="left"/>
        <w:rPr>
          <w:rFonts w:ascii="Times New Roman" w:hAnsi="Times New Roman"/>
          <w:color w:val="000000"/>
          <w:sz w:val="22"/>
          <w:szCs w:val="22"/>
          <w:lang w:val="sk-SK"/>
        </w:rPr>
      </w:pPr>
    </w:p>
    <w:p w:rsidR="00F134F4" w:rsidRPr="00F00DE4" w:rsidRDefault="00F134F4" w:rsidP="00FE4006">
      <w:pPr>
        <w:pStyle w:val="Text"/>
        <w:spacing w:before="0" w:after="0"/>
        <w:ind w:left="0"/>
        <w:jc w:val="left"/>
        <w:rPr>
          <w:rFonts w:ascii="Times New Roman" w:hAnsi="Times New Roman"/>
          <w:color w:val="000000"/>
          <w:sz w:val="22"/>
          <w:szCs w:val="22"/>
          <w:u w:val="single"/>
          <w:lang w:val="sk-SK"/>
        </w:rPr>
      </w:pPr>
      <w:r w:rsidRPr="00F00DE4">
        <w:rPr>
          <w:rFonts w:ascii="Times New Roman" w:hAnsi="Times New Roman"/>
          <w:color w:val="000000"/>
          <w:sz w:val="22"/>
          <w:szCs w:val="22"/>
          <w:u w:val="single"/>
          <w:lang w:val="sk-SK"/>
        </w:rPr>
        <w:t>Poruchy nervového systému</w:t>
      </w:r>
    </w:p>
    <w:p w:rsidR="00F134F4" w:rsidRPr="00F00DE4" w:rsidRDefault="00F134F4" w:rsidP="00FE4006">
      <w:pPr>
        <w:pStyle w:val="Text"/>
        <w:spacing w:before="0" w:after="0"/>
        <w:ind w:left="0"/>
        <w:jc w:val="left"/>
        <w:rPr>
          <w:rFonts w:ascii="Times New Roman" w:hAnsi="Times New Roman"/>
          <w:color w:val="000000"/>
          <w:sz w:val="22"/>
          <w:szCs w:val="22"/>
          <w:lang w:val="sk-SK"/>
        </w:rPr>
      </w:pPr>
      <w:r w:rsidRPr="00F00DE4">
        <w:rPr>
          <w:rFonts w:ascii="Times New Roman" w:hAnsi="Times New Roman"/>
          <w:color w:val="000000"/>
          <w:sz w:val="22"/>
          <w:szCs w:val="22"/>
          <w:lang w:val="sk-SK"/>
        </w:rPr>
        <w:t>Menej časté: závrat, bolesť hlavy, parestézia, mimovoľné svalové sťahy očného viečka</w:t>
      </w:r>
    </w:p>
    <w:p w:rsidR="00F134F4" w:rsidRPr="00F00DE4" w:rsidRDefault="00F134F4" w:rsidP="00FE4006">
      <w:pPr>
        <w:pStyle w:val="Text"/>
        <w:spacing w:before="0" w:after="0"/>
        <w:ind w:left="0"/>
        <w:jc w:val="left"/>
        <w:rPr>
          <w:rFonts w:ascii="Times New Roman" w:hAnsi="Times New Roman"/>
          <w:color w:val="000000"/>
          <w:sz w:val="22"/>
          <w:szCs w:val="22"/>
          <w:lang w:val="sk-SK"/>
        </w:rPr>
      </w:pPr>
    </w:p>
    <w:p w:rsidR="00F134F4" w:rsidRPr="00F00DE4" w:rsidRDefault="00F134F4" w:rsidP="00FE4006">
      <w:pPr>
        <w:pStyle w:val="Text"/>
        <w:spacing w:before="0" w:after="0"/>
        <w:ind w:left="0"/>
        <w:jc w:val="left"/>
        <w:rPr>
          <w:rFonts w:ascii="Times New Roman" w:hAnsi="Times New Roman"/>
          <w:color w:val="000000"/>
          <w:sz w:val="22"/>
          <w:szCs w:val="22"/>
          <w:u w:val="single"/>
          <w:lang w:val="sk-SK"/>
        </w:rPr>
      </w:pPr>
      <w:r w:rsidRPr="00F00DE4">
        <w:rPr>
          <w:rFonts w:ascii="Times New Roman" w:hAnsi="Times New Roman"/>
          <w:color w:val="000000"/>
          <w:sz w:val="22"/>
          <w:szCs w:val="22"/>
          <w:u w:val="single"/>
          <w:lang w:val="sk-SK"/>
        </w:rPr>
        <w:t>Poruchy ciev</w:t>
      </w:r>
    </w:p>
    <w:p w:rsidR="00F134F4" w:rsidRPr="00F00DE4" w:rsidRDefault="00F134F4" w:rsidP="00FE4006">
      <w:pPr>
        <w:pStyle w:val="Text"/>
        <w:spacing w:before="0" w:after="0"/>
        <w:ind w:left="0"/>
        <w:jc w:val="left"/>
        <w:rPr>
          <w:rFonts w:ascii="Times New Roman" w:hAnsi="Times New Roman"/>
          <w:color w:val="000000"/>
          <w:sz w:val="22"/>
          <w:szCs w:val="22"/>
          <w:lang w:val="sk-SK"/>
        </w:rPr>
      </w:pPr>
      <w:r w:rsidRPr="00F00DE4">
        <w:rPr>
          <w:rFonts w:ascii="Times New Roman" w:hAnsi="Times New Roman"/>
          <w:color w:val="000000"/>
          <w:sz w:val="22"/>
          <w:szCs w:val="22"/>
          <w:lang w:val="sk-SK"/>
        </w:rPr>
        <w:t>Menej časté: nával horúčavy</w:t>
      </w:r>
    </w:p>
    <w:p w:rsidR="00F134F4" w:rsidRPr="00F00DE4" w:rsidRDefault="00F134F4" w:rsidP="00FE4006">
      <w:pPr>
        <w:pStyle w:val="Text"/>
        <w:spacing w:before="0" w:after="0"/>
        <w:ind w:left="0"/>
        <w:jc w:val="left"/>
        <w:rPr>
          <w:rFonts w:ascii="Times New Roman" w:hAnsi="Times New Roman"/>
          <w:color w:val="000000"/>
          <w:sz w:val="22"/>
          <w:szCs w:val="22"/>
          <w:lang w:val="sk-SK"/>
        </w:rPr>
      </w:pPr>
    </w:p>
    <w:p w:rsidR="00F134F4" w:rsidRPr="00F00DE4" w:rsidRDefault="00F134F4" w:rsidP="00FE4006">
      <w:pPr>
        <w:pStyle w:val="Text"/>
        <w:spacing w:before="0" w:after="0"/>
        <w:ind w:left="0"/>
        <w:jc w:val="left"/>
        <w:rPr>
          <w:rFonts w:ascii="Times New Roman" w:hAnsi="Times New Roman"/>
          <w:color w:val="000000"/>
          <w:sz w:val="22"/>
          <w:szCs w:val="22"/>
          <w:u w:val="single"/>
          <w:lang w:val="sk-SK"/>
        </w:rPr>
      </w:pPr>
      <w:r w:rsidRPr="00F00DE4">
        <w:rPr>
          <w:rFonts w:ascii="Times New Roman" w:hAnsi="Times New Roman"/>
          <w:color w:val="000000"/>
          <w:sz w:val="22"/>
          <w:szCs w:val="22"/>
          <w:u w:val="single"/>
          <w:lang w:val="sk-SK"/>
        </w:rPr>
        <w:t>Poruchy dýchacej sústavy, hrudníka a mediastína</w:t>
      </w:r>
    </w:p>
    <w:p w:rsidR="00F134F4" w:rsidRPr="00F00DE4" w:rsidRDefault="00F134F4" w:rsidP="00FE4006">
      <w:pPr>
        <w:pStyle w:val="Text"/>
        <w:spacing w:before="0" w:after="0"/>
        <w:ind w:left="0"/>
        <w:jc w:val="left"/>
        <w:rPr>
          <w:rFonts w:ascii="Times New Roman" w:hAnsi="Times New Roman"/>
          <w:color w:val="000000"/>
          <w:sz w:val="22"/>
          <w:szCs w:val="22"/>
          <w:lang w:val="sk-SK"/>
        </w:rPr>
      </w:pPr>
      <w:r w:rsidRPr="00F00DE4">
        <w:rPr>
          <w:rFonts w:ascii="Times New Roman" w:hAnsi="Times New Roman"/>
          <w:color w:val="000000"/>
          <w:sz w:val="22"/>
          <w:szCs w:val="22"/>
          <w:lang w:val="sk-SK"/>
        </w:rPr>
        <w:t>Časté: dyspnoe</w:t>
      </w:r>
    </w:p>
    <w:p w:rsidR="00F134F4" w:rsidRPr="00F00DE4" w:rsidRDefault="00F134F4" w:rsidP="00FE4006">
      <w:pPr>
        <w:pStyle w:val="Text"/>
        <w:spacing w:before="0" w:after="0"/>
        <w:ind w:left="0"/>
        <w:jc w:val="left"/>
        <w:rPr>
          <w:rFonts w:ascii="Times New Roman" w:hAnsi="Times New Roman"/>
          <w:color w:val="000000"/>
          <w:sz w:val="22"/>
          <w:szCs w:val="22"/>
          <w:lang w:val="sk-SK"/>
        </w:rPr>
      </w:pPr>
      <w:r w:rsidRPr="00F00DE4">
        <w:rPr>
          <w:rFonts w:ascii="Times New Roman" w:hAnsi="Times New Roman"/>
          <w:color w:val="000000"/>
          <w:sz w:val="22"/>
          <w:szCs w:val="22"/>
          <w:lang w:val="sk-SK"/>
        </w:rPr>
        <w:t>Menej časté: epistaxa</w:t>
      </w:r>
    </w:p>
    <w:p w:rsidR="00F134F4" w:rsidRPr="00F00DE4" w:rsidRDefault="00F134F4" w:rsidP="00FE4006">
      <w:pPr>
        <w:pStyle w:val="Text"/>
        <w:spacing w:before="0" w:after="0"/>
        <w:ind w:left="0"/>
        <w:jc w:val="left"/>
        <w:rPr>
          <w:rFonts w:ascii="Times New Roman" w:hAnsi="Times New Roman"/>
          <w:color w:val="000000"/>
          <w:sz w:val="22"/>
          <w:szCs w:val="22"/>
          <w:lang w:val="sk-SK"/>
        </w:rPr>
      </w:pPr>
    </w:p>
    <w:p w:rsidR="00F134F4" w:rsidRPr="00F00DE4" w:rsidRDefault="00F134F4" w:rsidP="00FE4006">
      <w:pPr>
        <w:pStyle w:val="Text"/>
        <w:spacing w:before="0" w:after="0"/>
        <w:ind w:left="0"/>
        <w:jc w:val="left"/>
        <w:rPr>
          <w:rFonts w:ascii="Times New Roman" w:hAnsi="Times New Roman"/>
          <w:color w:val="000000"/>
          <w:sz w:val="22"/>
          <w:szCs w:val="22"/>
          <w:u w:val="single"/>
          <w:lang w:val="sk-SK"/>
        </w:rPr>
      </w:pPr>
      <w:r w:rsidRPr="00F00DE4">
        <w:rPr>
          <w:rFonts w:ascii="Times New Roman" w:hAnsi="Times New Roman"/>
          <w:color w:val="000000"/>
          <w:sz w:val="22"/>
          <w:szCs w:val="22"/>
          <w:u w:val="single"/>
          <w:lang w:val="sk-SK"/>
        </w:rPr>
        <w:t>Poruchy kože a podkožného tkaniva</w:t>
      </w:r>
    </w:p>
    <w:p w:rsidR="00F134F4" w:rsidRPr="00F00DE4" w:rsidRDefault="00F134F4" w:rsidP="00FE4006">
      <w:pPr>
        <w:pStyle w:val="Text"/>
        <w:spacing w:before="0" w:after="0"/>
        <w:ind w:left="0"/>
        <w:jc w:val="left"/>
        <w:rPr>
          <w:rFonts w:ascii="Times New Roman" w:hAnsi="Times New Roman"/>
          <w:color w:val="000000"/>
          <w:sz w:val="22"/>
          <w:szCs w:val="22"/>
          <w:lang w:val="sk-SK"/>
        </w:rPr>
      </w:pPr>
      <w:r w:rsidRPr="00F00DE4">
        <w:rPr>
          <w:rFonts w:ascii="Times New Roman" w:hAnsi="Times New Roman"/>
          <w:color w:val="000000"/>
          <w:sz w:val="22"/>
          <w:szCs w:val="22"/>
          <w:lang w:val="sk-SK"/>
        </w:rPr>
        <w:t>Časté: kompenzačné potenie</w:t>
      </w:r>
    </w:p>
    <w:p w:rsidR="00F134F4" w:rsidRPr="00F00DE4" w:rsidRDefault="00F134F4" w:rsidP="00FE4006">
      <w:pPr>
        <w:pStyle w:val="Text"/>
        <w:spacing w:before="0" w:after="0"/>
        <w:ind w:left="0"/>
        <w:jc w:val="left"/>
        <w:rPr>
          <w:rFonts w:ascii="Times New Roman" w:hAnsi="Times New Roman"/>
          <w:color w:val="000000"/>
          <w:sz w:val="22"/>
          <w:szCs w:val="22"/>
          <w:u w:val="single"/>
          <w:lang w:val="sk-SK"/>
        </w:rPr>
      </w:pPr>
    </w:p>
    <w:p w:rsidR="00F134F4" w:rsidRPr="00F00DE4" w:rsidRDefault="00F134F4" w:rsidP="00FE4006">
      <w:pPr>
        <w:pStyle w:val="Text"/>
        <w:spacing w:before="0" w:after="0"/>
        <w:ind w:left="0"/>
        <w:jc w:val="left"/>
        <w:rPr>
          <w:rFonts w:ascii="Times New Roman" w:hAnsi="Times New Roman"/>
          <w:color w:val="000000"/>
          <w:sz w:val="22"/>
          <w:szCs w:val="22"/>
          <w:u w:val="single"/>
          <w:lang w:val="sk-SK"/>
        </w:rPr>
      </w:pPr>
      <w:r w:rsidRPr="00F00DE4">
        <w:rPr>
          <w:rFonts w:ascii="Times New Roman" w:hAnsi="Times New Roman"/>
          <w:color w:val="000000"/>
          <w:sz w:val="22"/>
          <w:szCs w:val="22"/>
          <w:u w:val="single"/>
          <w:lang w:val="sk-SK"/>
        </w:rPr>
        <w:t>Poruchy kostrovej a svalovej sústavy a spojivového tkaniva</w:t>
      </w:r>
    </w:p>
    <w:p w:rsidR="00F134F4" w:rsidRPr="00F00DE4" w:rsidRDefault="00F134F4" w:rsidP="00FE4006">
      <w:pPr>
        <w:pStyle w:val="Text"/>
        <w:spacing w:before="0" w:after="0"/>
        <w:ind w:left="0"/>
        <w:jc w:val="left"/>
        <w:rPr>
          <w:rFonts w:ascii="Times New Roman" w:hAnsi="Times New Roman"/>
          <w:color w:val="000000"/>
          <w:sz w:val="22"/>
          <w:szCs w:val="22"/>
          <w:lang w:val="sk-SK"/>
        </w:rPr>
      </w:pPr>
      <w:r w:rsidRPr="00F00DE4">
        <w:rPr>
          <w:rFonts w:ascii="Times New Roman" w:hAnsi="Times New Roman"/>
          <w:color w:val="000000"/>
          <w:sz w:val="22"/>
          <w:szCs w:val="22"/>
          <w:lang w:val="sk-SK"/>
        </w:rPr>
        <w:t xml:space="preserve">Časté: bolesť  ramena, paže a krku, myalgia ramena a lýtka  </w:t>
      </w:r>
    </w:p>
    <w:p w:rsidR="00F134F4" w:rsidRPr="00F00DE4" w:rsidRDefault="00F134F4" w:rsidP="00FE4006">
      <w:pPr>
        <w:pStyle w:val="Text"/>
        <w:spacing w:before="0" w:after="0"/>
        <w:ind w:left="0"/>
        <w:jc w:val="left"/>
        <w:rPr>
          <w:rFonts w:ascii="Times New Roman" w:hAnsi="Times New Roman"/>
          <w:color w:val="000000"/>
          <w:sz w:val="22"/>
          <w:szCs w:val="22"/>
          <w:u w:val="single"/>
          <w:lang w:val="sk-SK"/>
        </w:rPr>
      </w:pPr>
    </w:p>
    <w:p w:rsidR="00F134F4" w:rsidRPr="00F00DE4" w:rsidRDefault="00F134F4" w:rsidP="00FE4006">
      <w:pPr>
        <w:pStyle w:val="Body"/>
        <w:rPr>
          <w:b/>
          <w:color w:val="000000"/>
          <w:sz w:val="22"/>
          <w:szCs w:val="22"/>
          <w:lang w:val="sk-SK"/>
        </w:rPr>
      </w:pPr>
      <w:r w:rsidRPr="00F00DE4">
        <w:rPr>
          <w:b/>
          <w:color w:val="000000"/>
          <w:sz w:val="22"/>
          <w:szCs w:val="22"/>
          <w:lang w:val="sk-SK"/>
        </w:rPr>
        <w:t>Post-marketingová skúsenosť</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Profil nežiaducich účinkov hlásených spoločnosti počas post-marketingového používania odráža farmakológiu lieku a odpovedá zodpovedá nežiaducim účinkom počas klinických štúdií. </w:t>
      </w:r>
    </w:p>
    <w:p w:rsidR="00F134F4" w:rsidRPr="00F00DE4" w:rsidRDefault="00F134F4" w:rsidP="00FE4006">
      <w:pPr>
        <w:shd w:val="clear" w:color="auto" w:fill="FFFFFF"/>
        <w:rPr>
          <w:rFonts w:ascii="Times New Roman" w:hAnsi="Times New Roman" w:cs="Times New Roman"/>
          <w:color w:val="000000"/>
          <w:sz w:val="22"/>
          <w:szCs w:val="22"/>
          <w:lang w:val="sk-SK"/>
        </w:rPr>
      </w:pPr>
    </w:p>
    <w:p w:rsidR="00F134F4" w:rsidRPr="00F00DE4" w:rsidRDefault="00F134F4" w:rsidP="00FE4006">
      <w:pPr>
        <w:shd w:val="clear" w:color="auto" w:fill="FFFFFF"/>
        <w:rPr>
          <w:rFonts w:ascii="Times New Roman" w:hAnsi="Times New Roman" w:cs="Times New Roman"/>
          <w:color w:val="000000"/>
          <w:sz w:val="22"/>
          <w:szCs w:val="22"/>
          <w:lang w:val="sk-SK"/>
        </w:rPr>
      </w:pPr>
      <w:r w:rsidRPr="00F00DE4">
        <w:rPr>
          <w:rFonts w:ascii="Times New Roman" w:hAnsi="Times New Roman" w:cs="Times New Roman"/>
          <w:color w:val="000000"/>
          <w:sz w:val="22"/>
          <w:szCs w:val="22"/>
          <w:lang w:val="sk-SK"/>
        </w:rPr>
        <w:t xml:space="preserve">Ojedinele bola hlásená precitlivenosť. </w:t>
      </w:r>
    </w:p>
    <w:p w:rsidR="00F134F4" w:rsidRPr="00F00DE4" w:rsidRDefault="00F134F4" w:rsidP="00FE4006">
      <w:pPr>
        <w:pStyle w:val="Body"/>
        <w:rPr>
          <w:color w:val="000000"/>
          <w:sz w:val="22"/>
          <w:szCs w:val="22"/>
          <w:lang w:val="sk-SK"/>
        </w:rPr>
      </w:pPr>
    </w:p>
    <w:p w:rsidR="00F134F4" w:rsidRPr="00F00DE4" w:rsidRDefault="00F134F4" w:rsidP="00FE4006">
      <w:pPr>
        <w:tabs>
          <w:tab w:val="left" w:pos="5387"/>
        </w:tabs>
        <w:jc w:val="both"/>
        <w:rPr>
          <w:rFonts w:ascii="Times New Roman" w:hAnsi="Times New Roman" w:cs="Times New Roman"/>
          <w:color w:val="000000"/>
          <w:sz w:val="22"/>
          <w:szCs w:val="22"/>
          <w:lang w:val="sk-SK"/>
        </w:rPr>
      </w:pPr>
      <w:r w:rsidRPr="00F00DE4">
        <w:rPr>
          <w:rFonts w:ascii="Times New Roman" w:hAnsi="Times New Roman" w:cs="Times New Roman"/>
          <w:color w:val="000000"/>
          <w:sz w:val="22"/>
          <w:szCs w:val="22"/>
          <w:lang w:val="sk-SK"/>
        </w:rPr>
        <w:t>Nežiaduce účinky súvisiace so šírením toxínu mimo miesta aplikácie boli hlásené veľmi zriedkavo (zvýšená svalová slabosť, dysfágia, aspiračná pneumónia s následkom smrti v niektorých prípadoch) (pozri časť 4.4).</w:t>
      </w:r>
    </w:p>
    <w:p w:rsidR="00F134F4" w:rsidRPr="00F00DE4" w:rsidRDefault="00F134F4" w:rsidP="00FE4006">
      <w:pPr>
        <w:tabs>
          <w:tab w:val="left" w:pos="5387"/>
        </w:tabs>
        <w:jc w:val="both"/>
        <w:rPr>
          <w:rFonts w:ascii="Times New Roman" w:hAnsi="Times New Roman" w:cs="Times New Roman"/>
          <w:color w:val="000000"/>
          <w:sz w:val="22"/>
          <w:szCs w:val="22"/>
          <w:lang w:val="sk-SK"/>
        </w:rPr>
      </w:pPr>
    </w:p>
    <w:p w:rsidR="00F134F4" w:rsidRPr="00F00DE4" w:rsidRDefault="00F134F4" w:rsidP="0032454E">
      <w:pPr>
        <w:suppressLineNumbers/>
        <w:autoSpaceDE w:val="0"/>
        <w:autoSpaceDN w:val="0"/>
        <w:adjustRightInd w:val="0"/>
        <w:rPr>
          <w:rFonts w:ascii="Times New Roman" w:hAnsi="Times New Roman" w:cs="Times New Roman"/>
          <w:color w:val="000000"/>
          <w:sz w:val="22"/>
          <w:szCs w:val="22"/>
          <w:u w:val="single"/>
          <w:lang w:val="sk-SK"/>
        </w:rPr>
      </w:pPr>
      <w:r w:rsidRPr="00F00DE4">
        <w:rPr>
          <w:rFonts w:ascii="Times New Roman" w:hAnsi="Times New Roman" w:cs="Times New Roman"/>
          <w:color w:val="000000"/>
          <w:sz w:val="22"/>
          <w:szCs w:val="22"/>
          <w:u w:val="single"/>
          <w:lang w:val="sk-SK"/>
        </w:rPr>
        <w:t>Hlásenie podozrení na nežiaduce reakcie</w:t>
      </w:r>
    </w:p>
    <w:p w:rsidR="00F134F4" w:rsidRPr="00D73A56" w:rsidRDefault="00F134F4" w:rsidP="00244608">
      <w:pPr>
        <w:suppressLineNumbers/>
        <w:autoSpaceDE w:val="0"/>
        <w:autoSpaceDN w:val="0"/>
        <w:adjustRightInd w:val="0"/>
        <w:jc w:val="both"/>
        <w:rPr>
          <w:rFonts w:ascii="Times New Roman" w:hAnsi="Times New Roman" w:cs="Times New Roman"/>
          <w:color w:val="000000"/>
          <w:sz w:val="22"/>
          <w:szCs w:val="22"/>
          <w:lang w:val="sk-SK"/>
        </w:rPr>
      </w:pPr>
      <w:r w:rsidRPr="00244608">
        <w:rPr>
          <w:rFonts w:ascii="Times New Roman" w:hAnsi="Times New Roman" w:cs="Times New Roman"/>
          <w:noProof/>
          <w:sz w:val="22"/>
          <w:szCs w:val="22"/>
          <w:lang w:val="sk-SK" w:eastAsia="sk-SK"/>
        </w:rPr>
        <w:t>Hlásenie podozrení na nežiaduce reakcie po registrácii lieku je dôležité.</w:t>
      </w:r>
      <w:r w:rsidRPr="00244608">
        <w:rPr>
          <w:rFonts w:ascii="Times New Roman" w:hAnsi="Times New Roman" w:cs="Times New Roman"/>
          <w:sz w:val="22"/>
          <w:szCs w:val="22"/>
          <w:lang w:val="sk-SK" w:eastAsia="sk-SK"/>
        </w:rPr>
        <w:t xml:space="preserve"> </w:t>
      </w:r>
      <w:r w:rsidRPr="00244608">
        <w:rPr>
          <w:rFonts w:ascii="Times New Roman" w:hAnsi="Times New Roman" w:cs="Times New Roman"/>
          <w:noProof/>
          <w:sz w:val="22"/>
          <w:szCs w:val="22"/>
          <w:lang w:val="sk-SK" w:eastAsia="sk-SK"/>
        </w:rPr>
        <w:t>Umožňuje priebežné monitorovanie pomeru prínosu a rizika lieku.</w:t>
      </w:r>
      <w:r w:rsidRPr="00244608">
        <w:rPr>
          <w:rFonts w:ascii="Times New Roman" w:hAnsi="Times New Roman" w:cs="Times New Roman"/>
          <w:sz w:val="22"/>
          <w:szCs w:val="22"/>
          <w:lang w:val="sk-SK" w:eastAsia="sk-SK"/>
        </w:rPr>
        <w:t xml:space="preserve"> Od </w:t>
      </w:r>
      <w:r w:rsidRPr="00244608">
        <w:rPr>
          <w:rFonts w:ascii="Times New Roman" w:hAnsi="Times New Roman" w:cs="Times New Roman"/>
          <w:noProof/>
          <w:sz w:val="22"/>
          <w:szCs w:val="22"/>
          <w:lang w:val="sk-SK" w:eastAsia="sk-SK"/>
        </w:rPr>
        <w:t xml:space="preserve">zdravotníckych pracovníkov sa vyžaduje, aby hlásili akékoľvek podozrenia na nežiaduce reakcie prostredníctvom </w:t>
      </w:r>
      <w:r w:rsidRPr="00244608">
        <w:rPr>
          <w:rFonts w:ascii="Times New Roman" w:hAnsi="Times New Roman" w:cs="Times New Roman"/>
          <w:noProof/>
          <w:sz w:val="22"/>
          <w:szCs w:val="22"/>
          <w:highlight w:val="lightGray"/>
          <w:lang w:val="sk-SK" w:eastAsia="sk-SK"/>
        </w:rPr>
        <w:t>národného systému hlásenia uvedeného v </w:t>
      </w:r>
      <w:hyperlink r:id="rId10" w:history="1">
        <w:r w:rsidRPr="00244608">
          <w:rPr>
            <w:rFonts w:ascii="Times New Roman" w:hAnsi="Times New Roman" w:cs="Times New Roman"/>
            <w:noProof/>
            <w:color w:val="0000FF"/>
            <w:sz w:val="22"/>
            <w:szCs w:val="22"/>
            <w:highlight w:val="lightGray"/>
            <w:u w:val="single"/>
            <w:lang w:val="sk-SK" w:eastAsia="sk-SK"/>
          </w:rPr>
          <w:t>Prílohe V</w:t>
        </w:r>
      </w:hyperlink>
      <w:r w:rsidRPr="00244608">
        <w:rPr>
          <w:rFonts w:ascii="Times New Roman" w:hAnsi="Times New Roman" w:cs="Times New Roman"/>
          <w:noProof/>
          <w:sz w:val="22"/>
          <w:szCs w:val="22"/>
          <w:lang w:val="sk-SK" w:eastAsia="sk-SK"/>
        </w:rPr>
        <w:t>.</w:t>
      </w:r>
    </w:p>
    <w:p w:rsidR="00F134F4" w:rsidRPr="00F00DE4" w:rsidRDefault="00F134F4" w:rsidP="00FE4006">
      <w:pPr>
        <w:tabs>
          <w:tab w:val="left" w:pos="5387"/>
        </w:tabs>
        <w:jc w:val="both"/>
        <w:rPr>
          <w:rFonts w:ascii="Times New Roman" w:hAnsi="Times New Roman" w:cs="Times New Roman"/>
          <w:color w:val="000000"/>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4.9</w:t>
      </w:r>
      <w:r w:rsidRPr="00F00DE4">
        <w:rPr>
          <w:rFonts w:ascii="Times New Roman" w:hAnsi="Times New Roman" w:cs="Times New Roman"/>
          <w:b/>
          <w:sz w:val="22"/>
          <w:szCs w:val="22"/>
          <w:lang w:val="sk-SK"/>
        </w:rPr>
        <w:tab/>
        <w:t>Predávkovanie</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EB2A6F">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Excesívne dávky môžu spôsobiť vzdialenú a hlbokú nervovosvalovú paralýzu. Predávkovanie môže viesť k zvýšenému riziku vstupu neurotoxínu do krvného obehu a môže zapríčiniť komplikácie spojené s účinkom perorálnej otravy botulotoxínom (napr. sťažené prehĺtanie a dysfónia).</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Pokiaľ spôsobia excesívne dávky paralýzu respiračných svalov, môže byť nutná respiračná podpora. Neexistuje žiadne špecifické antidotum, nedá sa očakávať úspešnosť antitoxínu a odporúča sa celková podporná starostlivosť. </w:t>
      </w:r>
    </w:p>
    <w:p w:rsidR="00F134F4" w:rsidRPr="00F00DE4" w:rsidRDefault="00F134F4" w:rsidP="00FE4006">
      <w:pPr>
        <w:shd w:val="clear" w:color="auto" w:fill="FFFFFF"/>
        <w:spacing w:line="274" w:lineRule="exact"/>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V prípade predávkovania má byť pacient sledovaný lekárom na prípadné známky a/alebo príznaky nadmernej svalovej slabosti alebo svalovej paralýzy. V prípade potreby môže byť začatá symptomatická liečba. </w:t>
      </w:r>
    </w:p>
    <w:p w:rsidR="00F134F4" w:rsidRPr="00F00DE4" w:rsidRDefault="00F134F4" w:rsidP="00FE4006">
      <w:pPr>
        <w:jc w:val="both"/>
        <w:rPr>
          <w:rFonts w:ascii="Times New Roman" w:hAnsi="Times New Roman" w:cs="Times New Roman"/>
          <w:sz w:val="22"/>
          <w:szCs w:val="22"/>
          <w:highlight w:val="yellow"/>
          <w:lang w:val="sk-SK"/>
        </w:rPr>
      </w:pPr>
    </w:p>
    <w:p w:rsidR="00F134F4" w:rsidRPr="00F00DE4" w:rsidRDefault="00F134F4" w:rsidP="00FA64EF">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Príznaky predávkovania sa nemusia objaviť bezprostredne po injekcií. V prípade použitia náhodnej injekcie alebo perorálneho užitia, pacient má byť sledovaný lekárskymi vyšetreniami až po dobu niekoľkých týždňov na prípadné prejavy a/alebo príznaky nadmernej svalovej slabosti alebo svalovej paralýzy.</w:t>
      </w:r>
    </w:p>
    <w:p w:rsidR="00F134F4" w:rsidRPr="00F00DE4" w:rsidRDefault="00F134F4" w:rsidP="00FA64EF">
      <w:pPr>
        <w:jc w:val="both"/>
        <w:rPr>
          <w:rFonts w:ascii="Times New Roman" w:hAnsi="Times New Roman" w:cs="Times New Roman"/>
          <w:sz w:val="22"/>
          <w:szCs w:val="22"/>
          <w:lang w:val="sk-SK"/>
        </w:rPr>
      </w:pPr>
    </w:p>
    <w:p w:rsidR="00F134F4" w:rsidRPr="00F00DE4" w:rsidRDefault="00F134F4" w:rsidP="00FA64EF">
      <w:pPr>
        <w:jc w:val="both"/>
        <w:rPr>
          <w:rFonts w:ascii="Times New Roman" w:hAnsi="Times New Roman" w:cs="Times New Roman"/>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5.</w:t>
      </w:r>
      <w:r w:rsidRPr="00F00DE4">
        <w:rPr>
          <w:rFonts w:ascii="Times New Roman" w:hAnsi="Times New Roman" w:cs="Times New Roman"/>
          <w:b/>
          <w:sz w:val="22"/>
          <w:szCs w:val="22"/>
          <w:lang w:val="sk-SK"/>
        </w:rPr>
        <w:tab/>
        <w:t>FARMAKOLOGICKÉ VLASTNOSTI</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5.1</w:t>
      </w:r>
      <w:r w:rsidRPr="00F00DE4">
        <w:rPr>
          <w:rFonts w:ascii="Times New Roman" w:hAnsi="Times New Roman" w:cs="Times New Roman"/>
          <w:b/>
          <w:sz w:val="22"/>
          <w:szCs w:val="22"/>
          <w:lang w:val="sk-SK"/>
        </w:rPr>
        <w:tab/>
        <w:t>Farmakodynamické vlastnosti</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spacing w:line="240" w:lineRule="atLeast"/>
        <w:rPr>
          <w:rFonts w:ascii="Times New Roman" w:hAnsi="Times New Roman" w:cs="Times New Roman"/>
          <w:sz w:val="22"/>
          <w:szCs w:val="22"/>
          <w:lang w:val="sk-SK"/>
        </w:rPr>
      </w:pPr>
      <w:r w:rsidRPr="00F00DE4">
        <w:rPr>
          <w:rFonts w:ascii="Times New Roman" w:hAnsi="Times New Roman" w:cs="Times New Roman"/>
          <w:sz w:val="22"/>
          <w:szCs w:val="22"/>
          <w:lang w:val="sk-SK"/>
        </w:rPr>
        <w:t>Farmakoterapeutická skupina: myorelaxans,</w:t>
      </w:r>
    </w:p>
    <w:p w:rsidR="00F134F4" w:rsidRPr="00F00DE4" w:rsidRDefault="00F134F4" w:rsidP="00FE4006">
      <w:pPr>
        <w:spacing w:line="240" w:lineRule="atLeast"/>
        <w:rPr>
          <w:rFonts w:ascii="Times New Roman" w:hAnsi="Times New Roman" w:cs="Times New Roman"/>
          <w:sz w:val="22"/>
          <w:szCs w:val="22"/>
          <w:lang w:val="sk-SK"/>
        </w:rPr>
      </w:pPr>
      <w:r w:rsidRPr="00F00DE4">
        <w:rPr>
          <w:rFonts w:ascii="Times New Roman" w:hAnsi="Times New Roman" w:cs="Times New Roman"/>
          <w:sz w:val="22"/>
          <w:szCs w:val="22"/>
          <w:lang w:val="sk-SK"/>
        </w:rPr>
        <w:t>ATC kód: M03AX01.</w:t>
      </w:r>
    </w:p>
    <w:p w:rsidR="00F134F4" w:rsidRPr="00F00DE4" w:rsidRDefault="00F134F4" w:rsidP="00FE4006">
      <w:pPr>
        <w:spacing w:line="240" w:lineRule="atLeast"/>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i/>
          <w:sz w:val="22"/>
          <w:szCs w:val="22"/>
          <w:lang w:val="sk-SK"/>
        </w:rPr>
        <w:t xml:space="preserve">Clostridium botulinum toxin </w:t>
      </w:r>
      <w:r w:rsidRPr="00F00DE4">
        <w:rPr>
          <w:rFonts w:ascii="Times New Roman" w:hAnsi="Times New Roman" w:cs="Times New Roman"/>
          <w:sz w:val="22"/>
          <w:szCs w:val="22"/>
          <w:lang w:val="sk-SK"/>
        </w:rPr>
        <w:t>typu A - hemaglutinín komplex blokuje periférny cholinergický prenos na neuromuskulárnom spojení blokádou uvoľňovania acetylcholínu na presynaptickej membráne. Toxín účinkuje na nervovom zakončení, kde antagonizuje tie pochody, ktoré sú spustené Ca</w:t>
      </w:r>
      <w:r w:rsidRPr="00F00DE4">
        <w:rPr>
          <w:rFonts w:ascii="Times New Roman" w:hAnsi="Times New Roman" w:cs="Times New Roman"/>
          <w:sz w:val="22"/>
          <w:szCs w:val="22"/>
          <w:vertAlign w:val="superscript"/>
          <w:lang w:val="sk-SK"/>
        </w:rPr>
        <w:t>2+</w:t>
      </w:r>
      <w:r w:rsidRPr="00F00DE4">
        <w:rPr>
          <w:rFonts w:ascii="Times New Roman" w:hAnsi="Times New Roman" w:cs="Times New Roman"/>
          <w:sz w:val="22"/>
          <w:szCs w:val="22"/>
          <w:lang w:val="sk-SK"/>
        </w:rPr>
        <w:t xml:space="preserve"> a vrcholí uvoľnením transmiteru. Neúčinkuje na postganglionálny cholinergický prenos ani na postganglionálny sympatický prenos.</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Účinok toxínu zahŕňa iniciálny krok naviazania sa, čím sa toxín rýchle a dychtivo pripojí na presynaptickú nervovú membránu. Druhotne nastáva krok internalizácie, v ktorom toxín prechádza presynaptickou membránou, ale ešte nenastáva paralýza. Nakoniec toxín inhibuje uvoľnenie acetylcholínu prerušením Ca</w:t>
      </w:r>
      <w:r w:rsidRPr="00F00DE4">
        <w:rPr>
          <w:rFonts w:ascii="Times New Roman" w:hAnsi="Times New Roman" w:cs="Times New Roman"/>
          <w:sz w:val="22"/>
          <w:szCs w:val="22"/>
          <w:vertAlign w:val="superscript"/>
          <w:lang w:val="sk-SK"/>
        </w:rPr>
        <w:t xml:space="preserve">2+ </w:t>
      </w:r>
      <w:r w:rsidRPr="00F00DE4">
        <w:rPr>
          <w:rFonts w:ascii="Times New Roman" w:hAnsi="Times New Roman" w:cs="Times New Roman"/>
          <w:sz w:val="22"/>
          <w:szCs w:val="22"/>
          <w:lang w:val="sk-SK"/>
        </w:rPr>
        <w:t>sprostredkovaného mechanizmu uvoľnenia acetylcholínu, čím zmenšuje potenciál platničiek a spôsobí paralýzu.</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Obnova prenosu vzruchu sa objavuje postupne tak, ako pučia nové nervové zakončenia a tvorí sa kontakt s postsynaptickou motorickou platničkou. Tento proces trvá u experimentálnych zvierat 6-8 týždňov. </w:t>
      </w:r>
    </w:p>
    <w:p w:rsidR="00F134F4" w:rsidRPr="00F00DE4" w:rsidRDefault="00F134F4" w:rsidP="00FE4006">
      <w:pPr>
        <w:jc w:val="both"/>
        <w:rPr>
          <w:rFonts w:ascii="Times New Roman" w:hAnsi="Times New Roman" w:cs="Times New Roman"/>
          <w:sz w:val="22"/>
          <w:szCs w:val="22"/>
          <w:lang w:val="sk-SK"/>
        </w:rPr>
      </w:pPr>
    </w:p>
    <w:p w:rsidR="00F134F4" w:rsidRPr="00D73A56" w:rsidRDefault="00F134F4" w:rsidP="00FE4006">
      <w:pPr>
        <w:jc w:val="both"/>
        <w:rPr>
          <w:rFonts w:ascii="Times New Roman" w:hAnsi="Times New Roman" w:cs="Times New Roman"/>
          <w:sz w:val="22"/>
          <w:szCs w:val="22"/>
          <w:u w:val="single"/>
          <w:lang w:val="sk-SK"/>
        </w:rPr>
      </w:pPr>
      <w:r w:rsidRPr="005D5FF7">
        <w:rPr>
          <w:rFonts w:ascii="Times New Roman" w:hAnsi="Times New Roman" w:cs="Times New Roman"/>
          <w:sz w:val="22"/>
          <w:szCs w:val="22"/>
          <w:u w:val="single"/>
          <w:lang w:val="sk-SK"/>
        </w:rPr>
        <w:t>Symptomatická liečba fokálnej spasticity horných končatín u</w:t>
      </w:r>
      <w:r w:rsidRPr="00D73A56">
        <w:rPr>
          <w:rFonts w:ascii="Times New Roman" w:hAnsi="Times New Roman" w:cs="Times New Roman"/>
          <w:sz w:val="22"/>
          <w:szCs w:val="22"/>
          <w:u w:val="single"/>
          <w:lang w:val="sk-SK"/>
        </w:rPr>
        <w:t> </w:t>
      </w:r>
      <w:r w:rsidRPr="005D5FF7">
        <w:rPr>
          <w:rFonts w:ascii="Times New Roman" w:hAnsi="Times New Roman" w:cs="Times New Roman"/>
          <w:sz w:val="22"/>
          <w:szCs w:val="22"/>
          <w:u w:val="single"/>
          <w:lang w:val="sk-SK"/>
        </w:rPr>
        <w:t>dospelých</w:t>
      </w:r>
    </w:p>
    <w:p w:rsidR="00F134F4" w:rsidRPr="00F00DE4" w:rsidRDefault="00F134F4" w:rsidP="00FE4006">
      <w:pPr>
        <w:jc w:val="both"/>
        <w:rPr>
          <w:rFonts w:ascii="Times New Roman" w:hAnsi="Times New Roman" w:cs="Times New Roman"/>
          <w:sz w:val="22"/>
          <w:szCs w:val="22"/>
          <w:u w:val="single"/>
          <w:lang w:val="sk-SK"/>
        </w:rPr>
      </w:pPr>
    </w:p>
    <w:p w:rsidR="00F134F4" w:rsidRPr="00D73A56" w:rsidRDefault="00F134F4" w:rsidP="00FE4006">
      <w:pPr>
        <w:jc w:val="both"/>
        <w:rPr>
          <w:rFonts w:ascii="Times New Roman" w:hAnsi="Times New Roman" w:cs="Times New Roman"/>
          <w:sz w:val="22"/>
          <w:szCs w:val="22"/>
          <w:lang w:val="sk-SK"/>
        </w:rPr>
      </w:pPr>
      <w:r w:rsidRPr="005D5FF7">
        <w:rPr>
          <w:rFonts w:ascii="Times New Roman" w:hAnsi="Times New Roman" w:cs="Times New Roman"/>
          <w:sz w:val="22"/>
          <w:szCs w:val="22"/>
          <w:lang w:val="sk-SK"/>
        </w:rPr>
        <w:t xml:space="preserve">Účinnosť a bezpečnosť liečby Dysportom </w:t>
      </w:r>
      <w:r>
        <w:rPr>
          <w:rFonts w:ascii="Times New Roman" w:hAnsi="Times New Roman" w:cs="Times New Roman"/>
          <w:sz w:val="22"/>
          <w:szCs w:val="22"/>
          <w:lang w:val="sk-SK"/>
        </w:rPr>
        <w:t>pri</w:t>
      </w:r>
      <w:r w:rsidRPr="005D5FF7">
        <w:rPr>
          <w:rFonts w:ascii="Times New Roman" w:hAnsi="Times New Roman" w:cs="Times New Roman"/>
          <w:sz w:val="22"/>
          <w:szCs w:val="22"/>
          <w:lang w:val="sk-SK"/>
        </w:rPr>
        <w:t xml:space="preserve"> spasticit</w:t>
      </w:r>
      <w:r>
        <w:rPr>
          <w:rFonts w:ascii="Times New Roman" w:hAnsi="Times New Roman" w:cs="Times New Roman"/>
          <w:sz w:val="22"/>
          <w:szCs w:val="22"/>
          <w:lang w:val="sk-SK"/>
        </w:rPr>
        <w:t>e</w:t>
      </w:r>
      <w:r w:rsidRPr="005D5FF7">
        <w:rPr>
          <w:rFonts w:ascii="Times New Roman" w:hAnsi="Times New Roman" w:cs="Times New Roman"/>
          <w:sz w:val="22"/>
          <w:szCs w:val="22"/>
          <w:lang w:val="sk-SK"/>
        </w:rPr>
        <w:t xml:space="preserve"> horných končatín bola hodnotená v randomizovanej, multicentrickej, dvojito-zaslepenej, placebom-kontrolovanej štúdii</w:t>
      </w:r>
      <w:r w:rsidRPr="00D73A56">
        <w:rPr>
          <w:rFonts w:ascii="Times New Roman" w:hAnsi="Times New Roman" w:cs="Times New Roman"/>
          <w:sz w:val="22"/>
          <w:szCs w:val="22"/>
          <w:lang w:val="sk-SK"/>
        </w:rPr>
        <w:t>,</w:t>
      </w:r>
      <w:r w:rsidRPr="005D5FF7">
        <w:rPr>
          <w:rFonts w:ascii="Times New Roman" w:hAnsi="Times New Roman" w:cs="Times New Roman"/>
          <w:sz w:val="22"/>
          <w:szCs w:val="22"/>
          <w:lang w:val="sk-SK"/>
        </w:rPr>
        <w:t xml:space="preserve"> v ktorej bolo zaradených 238 pacientov (159 </w:t>
      </w:r>
      <w:r>
        <w:rPr>
          <w:rFonts w:ascii="Times New Roman" w:hAnsi="Times New Roman" w:cs="Times New Roman"/>
          <w:sz w:val="22"/>
          <w:szCs w:val="22"/>
          <w:lang w:val="sk-SK"/>
        </w:rPr>
        <w:t xml:space="preserve">liečených liekom </w:t>
      </w:r>
      <w:r w:rsidRPr="005D5FF7">
        <w:rPr>
          <w:rFonts w:ascii="Times New Roman" w:hAnsi="Times New Roman" w:cs="Times New Roman"/>
          <w:sz w:val="22"/>
          <w:szCs w:val="22"/>
          <w:lang w:val="sk-SK"/>
        </w:rPr>
        <w:t>Dysport a 79 placebo</w:t>
      </w:r>
      <w:r>
        <w:rPr>
          <w:rFonts w:ascii="Times New Roman" w:hAnsi="Times New Roman" w:cs="Times New Roman"/>
          <w:sz w:val="22"/>
          <w:szCs w:val="22"/>
          <w:lang w:val="sk-SK"/>
        </w:rPr>
        <w:t>m</w:t>
      </w:r>
      <w:r w:rsidRPr="005D5FF7">
        <w:rPr>
          <w:rFonts w:ascii="Times New Roman" w:hAnsi="Times New Roman" w:cs="Times New Roman"/>
          <w:sz w:val="22"/>
          <w:szCs w:val="22"/>
          <w:lang w:val="sk-SK"/>
        </w:rPr>
        <w:t>) so spasticitou hornej končatiny</w:t>
      </w:r>
      <w:r w:rsidRPr="00D73A56">
        <w:rPr>
          <w:rFonts w:ascii="Times New Roman" w:hAnsi="Times New Roman" w:cs="Times New Roman"/>
          <w:sz w:val="22"/>
          <w:szCs w:val="22"/>
          <w:lang w:val="sk-SK"/>
        </w:rPr>
        <w:t>,</w:t>
      </w:r>
      <w:r w:rsidRPr="005D5FF7">
        <w:rPr>
          <w:rFonts w:ascii="Times New Roman" w:hAnsi="Times New Roman" w:cs="Times New Roman"/>
          <w:sz w:val="22"/>
          <w:szCs w:val="22"/>
          <w:lang w:val="sk-SK"/>
        </w:rPr>
        <w:t xml:space="preserve"> ktorí boli najmenej 6 mesiacov po cievnej mozgovej príhode alebo post-traumatickom poškodení mozgu.</w:t>
      </w:r>
    </w:p>
    <w:p w:rsidR="00F134F4" w:rsidRPr="00D73A56"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Primárnym parametrom účinnosti bol</w:t>
      </w:r>
      <w:r>
        <w:rPr>
          <w:rFonts w:ascii="Times New Roman" w:hAnsi="Times New Roman" w:cs="Times New Roman"/>
          <w:sz w:val="22"/>
          <w:szCs w:val="22"/>
          <w:lang w:val="sk-SK"/>
        </w:rPr>
        <w:t xml:space="preserve">a zmena </w:t>
      </w:r>
      <w:r w:rsidRPr="00F00DE4">
        <w:rPr>
          <w:rFonts w:ascii="Times New Roman" w:hAnsi="Times New Roman" w:cs="Times New Roman"/>
          <w:sz w:val="22"/>
          <w:szCs w:val="22"/>
          <w:lang w:val="sk-SK"/>
        </w:rPr>
        <w:t>svalov</w:t>
      </w:r>
      <w:r>
        <w:rPr>
          <w:rFonts w:ascii="Times New Roman" w:hAnsi="Times New Roman" w:cs="Times New Roman"/>
          <w:sz w:val="22"/>
          <w:szCs w:val="22"/>
          <w:lang w:val="sk-SK"/>
        </w:rPr>
        <w:t>ého</w:t>
      </w:r>
      <w:r w:rsidRPr="00F00DE4">
        <w:rPr>
          <w:rFonts w:ascii="Times New Roman" w:hAnsi="Times New Roman" w:cs="Times New Roman"/>
          <w:sz w:val="22"/>
          <w:szCs w:val="22"/>
          <w:lang w:val="sk-SK"/>
        </w:rPr>
        <w:t xml:space="preserve"> tonus</w:t>
      </w:r>
      <w:r>
        <w:rPr>
          <w:rFonts w:ascii="Times New Roman" w:hAnsi="Times New Roman" w:cs="Times New Roman"/>
          <w:sz w:val="22"/>
          <w:szCs w:val="22"/>
          <w:lang w:val="sk-SK"/>
        </w:rPr>
        <w:t>u</w:t>
      </w:r>
      <w:r w:rsidRPr="00F00DE4">
        <w:rPr>
          <w:rFonts w:ascii="Times New Roman" w:hAnsi="Times New Roman" w:cs="Times New Roman"/>
          <w:sz w:val="22"/>
          <w:szCs w:val="22"/>
          <w:lang w:val="sk-SK"/>
        </w:rPr>
        <w:t xml:space="preserve"> v 4. týždni v primárnej cieľovej svalovej skupine</w:t>
      </w:r>
      <w:r>
        <w:rPr>
          <w:rFonts w:ascii="Times New Roman" w:hAnsi="Times New Roman" w:cs="Times New Roman"/>
          <w:sz w:val="22"/>
          <w:szCs w:val="22"/>
          <w:lang w:val="sk-SK"/>
        </w:rPr>
        <w:t xml:space="preserve"> </w:t>
      </w:r>
      <w:r w:rsidRPr="00F00DE4">
        <w:rPr>
          <w:rFonts w:ascii="Times New Roman" w:hAnsi="Times New Roman" w:cs="Times New Roman"/>
          <w:sz w:val="22"/>
          <w:szCs w:val="22"/>
          <w:lang w:val="sk-SK"/>
        </w:rPr>
        <w:t>(PTMG)</w:t>
      </w:r>
      <w:r>
        <w:rPr>
          <w:rFonts w:ascii="Times New Roman" w:hAnsi="Times New Roman" w:cs="Times New Roman"/>
          <w:sz w:val="22"/>
          <w:szCs w:val="22"/>
          <w:lang w:val="sk-SK"/>
        </w:rPr>
        <w:t xml:space="preserve">, zahŕňajúcej vonkajšie flexory prstov </w:t>
      </w:r>
      <w:r w:rsidRPr="0068050D">
        <w:rPr>
          <w:rFonts w:ascii="Times New Roman" w:hAnsi="Times New Roman" w:cs="Times New Roman"/>
          <w:sz w:val="22"/>
          <w:szCs w:val="22"/>
          <w:lang w:val="sk-SK"/>
        </w:rPr>
        <w:t>(</w:t>
      </w:r>
      <w:r w:rsidRPr="005D5FF7">
        <w:rPr>
          <w:rFonts w:ascii="Times New Roman" w:hAnsi="Times New Roman" w:cs="Times New Roman"/>
          <w:i/>
          <w:sz w:val="22"/>
          <w:szCs w:val="22"/>
          <w:lang w:val="sk-SK"/>
        </w:rPr>
        <w:t>m. flexor digitorum profundus</w:t>
      </w:r>
      <w:r w:rsidRPr="0068050D">
        <w:rPr>
          <w:rFonts w:ascii="Times New Roman" w:hAnsi="Times New Roman" w:cs="Times New Roman"/>
          <w:sz w:val="22"/>
          <w:szCs w:val="22"/>
          <w:lang w:val="sk-SK"/>
        </w:rPr>
        <w:t xml:space="preserve"> a </w:t>
      </w:r>
      <w:r w:rsidRPr="005D5FF7">
        <w:rPr>
          <w:rFonts w:ascii="Times New Roman" w:hAnsi="Times New Roman" w:cs="Times New Roman"/>
          <w:i/>
          <w:sz w:val="22"/>
          <w:szCs w:val="22"/>
          <w:lang w:val="sk-SK"/>
        </w:rPr>
        <w:t>m. flexor digitorum superficialis</w:t>
      </w:r>
      <w:r>
        <w:rPr>
          <w:rFonts w:ascii="Times New Roman" w:hAnsi="Times New Roman" w:cs="Times New Roman"/>
          <w:sz w:val="22"/>
          <w:szCs w:val="22"/>
          <w:lang w:val="sk-SK"/>
        </w:rPr>
        <w:t>), flexory zápästia</w:t>
      </w:r>
      <w:r w:rsidRPr="0068050D">
        <w:rPr>
          <w:rFonts w:ascii="Times New Roman" w:hAnsi="Times New Roman" w:cs="Times New Roman"/>
          <w:sz w:val="22"/>
          <w:szCs w:val="22"/>
          <w:lang w:val="sk-SK"/>
        </w:rPr>
        <w:t xml:space="preserve"> (</w:t>
      </w:r>
      <w:r w:rsidRPr="005D5FF7">
        <w:rPr>
          <w:rFonts w:ascii="Times New Roman" w:hAnsi="Times New Roman" w:cs="Times New Roman"/>
          <w:i/>
          <w:sz w:val="22"/>
          <w:szCs w:val="22"/>
          <w:lang w:val="sk-SK"/>
        </w:rPr>
        <w:t>m. flexor carpi radialis</w:t>
      </w:r>
      <w:r w:rsidRPr="0068050D">
        <w:rPr>
          <w:rFonts w:ascii="Times New Roman" w:hAnsi="Times New Roman" w:cs="Times New Roman"/>
          <w:sz w:val="22"/>
          <w:szCs w:val="22"/>
          <w:lang w:val="sk-SK"/>
        </w:rPr>
        <w:t xml:space="preserve"> a </w:t>
      </w:r>
      <w:r w:rsidRPr="005D5FF7">
        <w:rPr>
          <w:rFonts w:ascii="Times New Roman" w:hAnsi="Times New Roman" w:cs="Times New Roman"/>
          <w:i/>
          <w:sz w:val="22"/>
          <w:szCs w:val="22"/>
          <w:lang w:val="sk-SK"/>
        </w:rPr>
        <w:t>m. carpi ulnaris</w:t>
      </w:r>
      <w:r>
        <w:rPr>
          <w:rFonts w:ascii="Times New Roman" w:hAnsi="Times New Roman" w:cs="Times New Roman"/>
          <w:sz w:val="22"/>
          <w:szCs w:val="22"/>
          <w:lang w:val="sk-SK"/>
        </w:rPr>
        <w:t>), alebo flexory lakťa (</w:t>
      </w:r>
      <w:r w:rsidRPr="005D5FF7">
        <w:rPr>
          <w:rFonts w:ascii="Times New Roman" w:hAnsi="Times New Roman" w:cs="Times New Roman"/>
          <w:i/>
          <w:sz w:val="22"/>
          <w:szCs w:val="22"/>
          <w:lang w:val="sk-SK"/>
        </w:rPr>
        <w:t>m. brachialis</w:t>
      </w:r>
      <w:r>
        <w:rPr>
          <w:rFonts w:ascii="Times New Roman" w:hAnsi="Times New Roman" w:cs="Times New Roman"/>
          <w:sz w:val="22"/>
          <w:szCs w:val="22"/>
          <w:lang w:val="sk-SK"/>
        </w:rPr>
        <w:t xml:space="preserve"> a prípadne</w:t>
      </w:r>
      <w:r w:rsidRPr="0068050D">
        <w:rPr>
          <w:rFonts w:ascii="Times New Roman" w:hAnsi="Times New Roman" w:cs="Times New Roman"/>
          <w:sz w:val="22"/>
          <w:szCs w:val="22"/>
          <w:lang w:val="sk-SK"/>
        </w:rPr>
        <w:t xml:space="preserve"> </w:t>
      </w:r>
      <w:r w:rsidRPr="005D5FF7">
        <w:rPr>
          <w:rFonts w:ascii="Times New Roman" w:hAnsi="Times New Roman" w:cs="Times New Roman"/>
          <w:i/>
          <w:sz w:val="22"/>
          <w:szCs w:val="22"/>
          <w:lang w:val="sk-SK"/>
        </w:rPr>
        <w:t>m. brachioradialis</w:t>
      </w:r>
      <w:r w:rsidRPr="0068050D">
        <w:rPr>
          <w:rFonts w:ascii="Times New Roman" w:hAnsi="Times New Roman" w:cs="Times New Roman"/>
          <w:sz w:val="22"/>
          <w:szCs w:val="22"/>
          <w:lang w:val="sk-SK"/>
        </w:rPr>
        <w:t>)</w:t>
      </w:r>
      <w:r w:rsidRPr="00F00DE4">
        <w:rPr>
          <w:rFonts w:ascii="Times New Roman" w:hAnsi="Times New Roman" w:cs="Times New Roman"/>
          <w:sz w:val="22"/>
          <w:szCs w:val="22"/>
          <w:lang w:val="sk-SK"/>
        </w:rPr>
        <w:t>, hodnoten</w:t>
      </w:r>
      <w:r>
        <w:rPr>
          <w:rFonts w:ascii="Times New Roman" w:hAnsi="Times New Roman" w:cs="Times New Roman"/>
          <w:sz w:val="22"/>
          <w:szCs w:val="22"/>
          <w:lang w:val="sk-SK"/>
        </w:rPr>
        <w:t>ého</w:t>
      </w:r>
      <w:r w:rsidRPr="00F00DE4">
        <w:rPr>
          <w:rFonts w:ascii="Times New Roman" w:hAnsi="Times New Roman" w:cs="Times New Roman"/>
          <w:sz w:val="22"/>
          <w:szCs w:val="22"/>
          <w:lang w:val="sk-SK"/>
        </w:rPr>
        <w:t xml:space="preserve"> </w:t>
      </w:r>
      <w:r w:rsidRPr="005D5FF7">
        <w:rPr>
          <w:rFonts w:ascii="Times New Roman" w:hAnsi="Times New Roman" w:cs="Times New Roman"/>
          <w:sz w:val="22"/>
          <w:szCs w:val="22"/>
          <w:lang w:val="sk-SK"/>
        </w:rPr>
        <w:t xml:space="preserve">pomocou </w:t>
      </w:r>
      <w:r>
        <w:rPr>
          <w:rFonts w:ascii="Times New Roman" w:hAnsi="Times New Roman" w:cs="Times New Roman"/>
          <w:sz w:val="22"/>
          <w:szCs w:val="22"/>
          <w:lang w:val="sk-SK"/>
        </w:rPr>
        <w:t>modifikovanej Ashworthovej škály</w:t>
      </w:r>
      <w:r w:rsidRPr="00D73A56">
        <w:rPr>
          <w:rFonts w:ascii="Times New Roman" w:hAnsi="Times New Roman" w:cs="Times New Roman"/>
          <w:sz w:val="22"/>
          <w:szCs w:val="22"/>
          <w:lang w:val="sk-SK"/>
        </w:rPr>
        <w:t xml:space="preserve"> (MAS)</w:t>
      </w:r>
      <w:r>
        <w:rPr>
          <w:rFonts w:ascii="Times New Roman" w:hAnsi="Times New Roman" w:cs="Times New Roman"/>
          <w:sz w:val="22"/>
          <w:szCs w:val="22"/>
          <w:lang w:val="sk-SK"/>
        </w:rPr>
        <w:t>.</w:t>
      </w:r>
      <w:r w:rsidRPr="00D73A56">
        <w:rPr>
          <w:rFonts w:ascii="Times New Roman" w:hAnsi="Times New Roman" w:cs="Times New Roman"/>
          <w:sz w:val="22"/>
          <w:szCs w:val="22"/>
          <w:lang w:val="sk-SK"/>
        </w:rPr>
        <w:t xml:space="preserve"> </w:t>
      </w:r>
      <w:r>
        <w:rPr>
          <w:rFonts w:ascii="Times New Roman" w:hAnsi="Times New Roman" w:cs="Times New Roman"/>
          <w:sz w:val="22"/>
          <w:szCs w:val="22"/>
          <w:lang w:val="sk-SK"/>
        </w:rPr>
        <w:t>S</w:t>
      </w:r>
      <w:r w:rsidRPr="00D73A56">
        <w:rPr>
          <w:rFonts w:ascii="Times New Roman" w:hAnsi="Times New Roman" w:cs="Times New Roman"/>
          <w:sz w:val="22"/>
          <w:szCs w:val="22"/>
          <w:lang w:val="sk-SK"/>
        </w:rPr>
        <w:t xml:space="preserve">ekundárnym </w:t>
      </w:r>
      <w:r>
        <w:rPr>
          <w:rFonts w:ascii="Times New Roman" w:hAnsi="Times New Roman" w:cs="Times New Roman"/>
          <w:sz w:val="22"/>
          <w:szCs w:val="22"/>
          <w:lang w:val="sk-SK"/>
        </w:rPr>
        <w:t>parametrom účinnosti bo</w:t>
      </w:r>
      <w:r w:rsidRPr="00D73A56">
        <w:rPr>
          <w:rFonts w:ascii="Times New Roman" w:hAnsi="Times New Roman" w:cs="Times New Roman"/>
          <w:sz w:val="22"/>
          <w:szCs w:val="22"/>
          <w:lang w:val="sk-SK"/>
        </w:rPr>
        <w:t>l</w:t>
      </w:r>
      <w:r w:rsidRPr="005D5FF7">
        <w:rPr>
          <w:rFonts w:ascii="Times New Roman" w:hAnsi="Times New Roman" w:cs="Times New Roman"/>
          <w:sz w:val="22"/>
          <w:szCs w:val="22"/>
          <w:lang w:val="sk-SK"/>
        </w:rPr>
        <w:t>o</w:t>
      </w:r>
      <w:r w:rsidRPr="00D73A56">
        <w:rPr>
          <w:rFonts w:ascii="Times New Roman" w:hAnsi="Times New Roman" w:cs="Times New Roman"/>
          <w:sz w:val="22"/>
          <w:szCs w:val="22"/>
          <w:lang w:val="sk-SK"/>
        </w:rPr>
        <w:t xml:space="preserve"> </w:t>
      </w:r>
      <w:r w:rsidRPr="005D5FF7">
        <w:rPr>
          <w:rFonts w:ascii="Times New Roman" w:hAnsi="Times New Roman" w:cs="Times New Roman"/>
          <w:sz w:val="22"/>
          <w:szCs w:val="22"/>
          <w:lang w:val="sk-SK"/>
        </w:rPr>
        <w:t xml:space="preserve">celkové hodnotenie </w:t>
      </w:r>
      <w:r w:rsidRPr="00D73A56">
        <w:rPr>
          <w:rFonts w:ascii="Times New Roman" w:hAnsi="Times New Roman" w:cs="Times New Roman"/>
          <w:sz w:val="22"/>
          <w:szCs w:val="22"/>
          <w:lang w:val="sk-SK"/>
        </w:rPr>
        <w:t>odpo</w:t>
      </w:r>
      <w:r w:rsidRPr="005D5FF7">
        <w:rPr>
          <w:rFonts w:ascii="Times New Roman" w:hAnsi="Times New Roman" w:cs="Times New Roman"/>
          <w:sz w:val="22"/>
          <w:szCs w:val="22"/>
          <w:lang w:val="sk-SK"/>
        </w:rPr>
        <w:t>vede na liečbu lekárom</w:t>
      </w:r>
      <w:r>
        <w:rPr>
          <w:rFonts w:ascii="Times New Roman" w:hAnsi="Times New Roman" w:cs="Times New Roman"/>
          <w:sz w:val="22"/>
          <w:szCs w:val="22"/>
          <w:lang w:val="sk-SK"/>
        </w:rPr>
        <w:t xml:space="preserve"> </w:t>
      </w:r>
      <w:r w:rsidRPr="001B3C80">
        <w:rPr>
          <w:rFonts w:ascii="Times New Roman" w:hAnsi="Times New Roman" w:cs="Times New Roman"/>
          <w:sz w:val="22"/>
          <w:szCs w:val="22"/>
          <w:lang w:val="sk-SK"/>
        </w:rPr>
        <w:t>(P</w:t>
      </w:r>
      <w:r w:rsidRPr="00D73A56">
        <w:rPr>
          <w:rFonts w:ascii="Times New Roman" w:hAnsi="Times New Roman" w:cs="Times New Roman"/>
          <w:sz w:val="22"/>
          <w:szCs w:val="22"/>
          <w:lang w:val="sk-SK"/>
        </w:rPr>
        <w:t>GA)</w:t>
      </w:r>
      <w:r>
        <w:rPr>
          <w:rFonts w:ascii="Times New Roman" w:hAnsi="Times New Roman" w:cs="Times New Roman"/>
          <w:sz w:val="22"/>
          <w:szCs w:val="22"/>
          <w:lang w:val="sk-SK"/>
        </w:rPr>
        <w:t xml:space="preserve"> v 4. týždni v porovnaní s placebom</w:t>
      </w:r>
      <w:r w:rsidRPr="005D5FF7">
        <w:rPr>
          <w:rFonts w:ascii="Times New Roman" w:hAnsi="Times New Roman" w:cs="Times New Roman"/>
          <w:sz w:val="22"/>
          <w:szCs w:val="22"/>
          <w:lang w:val="sk-SK"/>
        </w:rPr>
        <w:t xml:space="preserve">. Hlavné </w:t>
      </w:r>
      <w:r w:rsidRPr="00D73A56">
        <w:rPr>
          <w:rFonts w:ascii="Times New Roman" w:hAnsi="Times New Roman" w:cs="Times New Roman"/>
          <w:sz w:val="22"/>
          <w:szCs w:val="22"/>
          <w:lang w:val="sk-SK"/>
        </w:rPr>
        <w:t>výsledky dosiahnuté v</w:t>
      </w:r>
      <w:r w:rsidRPr="005D5FF7">
        <w:rPr>
          <w:rFonts w:ascii="Times New Roman" w:hAnsi="Times New Roman" w:cs="Times New Roman"/>
          <w:sz w:val="22"/>
          <w:szCs w:val="22"/>
          <w:lang w:val="sk-SK"/>
        </w:rPr>
        <w:t xml:space="preserve"> 4. a 12. </w:t>
      </w:r>
      <w:r w:rsidRPr="00D73A56">
        <w:rPr>
          <w:rFonts w:ascii="Times New Roman" w:hAnsi="Times New Roman" w:cs="Times New Roman"/>
          <w:sz w:val="22"/>
          <w:szCs w:val="22"/>
          <w:lang w:val="sk-SK"/>
        </w:rPr>
        <w:t>týždni sú uvedené nižšie.</w:t>
      </w:r>
    </w:p>
    <w:p w:rsidR="00F134F4" w:rsidRPr="00F00DE4" w:rsidRDefault="00F134F4" w:rsidP="00FE4006">
      <w:pPr>
        <w:jc w:val="both"/>
        <w:rPr>
          <w:rFonts w:ascii="Times New Roman" w:hAnsi="Times New Roman" w:cs="Times New Roman"/>
          <w:sz w:val="22"/>
          <w:szCs w:val="22"/>
          <w:lang w:val="sk-SK"/>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tblPr>
      <w:tblGrid>
        <w:gridCol w:w="2580"/>
        <w:gridCol w:w="913"/>
        <w:gridCol w:w="1108"/>
        <w:gridCol w:w="1108"/>
        <w:gridCol w:w="913"/>
        <w:gridCol w:w="1108"/>
        <w:gridCol w:w="1108"/>
      </w:tblGrid>
      <w:tr w:rsidR="00F134F4" w:rsidRPr="00D73A56" w:rsidTr="006C3BB3">
        <w:trPr>
          <w:trHeight w:val="333"/>
        </w:trPr>
        <w:tc>
          <w:tcPr>
            <w:tcW w:w="1586" w:type="pct"/>
            <w:vMerge w:val="restart"/>
          </w:tcPr>
          <w:p w:rsidR="00F134F4" w:rsidRPr="005D5FF7" w:rsidRDefault="00F134F4" w:rsidP="006C3BB3">
            <w:pPr>
              <w:spacing w:before="100" w:beforeAutospacing="1" w:after="100" w:afterAutospacing="1"/>
              <w:rPr>
                <w:rFonts w:ascii="Times New Roman" w:hAnsi="Times New Roman"/>
                <w:szCs w:val="24"/>
                <w:highlight w:val="yellow"/>
                <w:lang w:val="sk-SK"/>
              </w:rPr>
            </w:pPr>
          </w:p>
        </w:tc>
        <w:tc>
          <w:tcPr>
            <w:tcW w:w="1705" w:type="pct"/>
            <w:gridSpan w:val="3"/>
          </w:tcPr>
          <w:p w:rsidR="00F134F4" w:rsidRPr="005D5FF7" w:rsidRDefault="00F134F4" w:rsidP="005D5FF7">
            <w:pPr>
              <w:pStyle w:val="Body"/>
              <w:jc w:val="center"/>
              <w:rPr>
                <w:sz w:val="22"/>
                <w:lang w:val="sk-SK"/>
              </w:rPr>
            </w:pPr>
            <w:r w:rsidRPr="005D5FF7">
              <w:rPr>
                <w:sz w:val="22"/>
                <w:lang w:val="sk-SK"/>
              </w:rPr>
              <w:t>4. týždeň</w:t>
            </w:r>
          </w:p>
        </w:tc>
        <w:tc>
          <w:tcPr>
            <w:tcW w:w="1709" w:type="pct"/>
            <w:gridSpan w:val="3"/>
          </w:tcPr>
          <w:p w:rsidR="00F134F4" w:rsidRPr="005D5FF7" w:rsidRDefault="00F134F4" w:rsidP="005D5FF7">
            <w:pPr>
              <w:pStyle w:val="Body"/>
              <w:jc w:val="center"/>
              <w:rPr>
                <w:sz w:val="22"/>
                <w:lang w:val="sk-SK"/>
              </w:rPr>
            </w:pPr>
            <w:r w:rsidRPr="005D5FF7">
              <w:rPr>
                <w:sz w:val="22"/>
                <w:lang w:val="sk-SK"/>
              </w:rPr>
              <w:t>12. týždeň</w:t>
            </w:r>
          </w:p>
        </w:tc>
      </w:tr>
      <w:tr w:rsidR="00F134F4" w:rsidRPr="00D73A56" w:rsidTr="00AA1E3A">
        <w:trPr>
          <w:trHeight w:val="584"/>
        </w:trPr>
        <w:tc>
          <w:tcPr>
            <w:tcW w:w="1586" w:type="pct"/>
            <w:vMerge/>
          </w:tcPr>
          <w:p w:rsidR="00F134F4" w:rsidRPr="005D5FF7" w:rsidRDefault="00F134F4" w:rsidP="006C3BB3">
            <w:pPr>
              <w:spacing w:before="100" w:beforeAutospacing="1" w:after="100" w:afterAutospacing="1"/>
              <w:rPr>
                <w:rFonts w:ascii="Times New Roman" w:hAnsi="Times New Roman"/>
                <w:szCs w:val="24"/>
                <w:highlight w:val="yellow"/>
                <w:lang w:val="sk-SK"/>
              </w:rPr>
            </w:pPr>
          </w:p>
        </w:tc>
        <w:tc>
          <w:tcPr>
            <w:tcW w:w="547" w:type="pct"/>
          </w:tcPr>
          <w:p w:rsidR="00F134F4" w:rsidRPr="005D5FF7" w:rsidRDefault="00F134F4" w:rsidP="005D5FF7">
            <w:pPr>
              <w:pStyle w:val="Body"/>
              <w:jc w:val="center"/>
              <w:rPr>
                <w:sz w:val="22"/>
                <w:lang w:val="sk-SK"/>
              </w:rPr>
            </w:pPr>
            <w:r w:rsidRPr="005D5FF7">
              <w:rPr>
                <w:sz w:val="22"/>
                <w:lang w:val="sk-SK"/>
              </w:rPr>
              <w:t>Placebo</w:t>
            </w:r>
          </w:p>
          <w:p w:rsidR="00F134F4" w:rsidRPr="005D5FF7" w:rsidRDefault="00F134F4" w:rsidP="005D5FF7">
            <w:pPr>
              <w:pStyle w:val="Body"/>
              <w:jc w:val="center"/>
              <w:rPr>
                <w:sz w:val="22"/>
                <w:lang w:val="sk-SK"/>
              </w:rPr>
            </w:pPr>
            <w:r w:rsidRPr="005D5FF7">
              <w:rPr>
                <w:sz w:val="22"/>
                <w:lang w:val="sk-SK"/>
              </w:rPr>
              <w:t>(N=79)</w:t>
            </w:r>
          </w:p>
        </w:tc>
        <w:tc>
          <w:tcPr>
            <w:tcW w:w="578" w:type="pct"/>
          </w:tcPr>
          <w:p w:rsidR="00F134F4" w:rsidRPr="005D5FF7" w:rsidRDefault="00F134F4" w:rsidP="005D5FF7">
            <w:pPr>
              <w:pStyle w:val="Body"/>
              <w:jc w:val="center"/>
              <w:rPr>
                <w:sz w:val="22"/>
                <w:lang w:val="sk-SK"/>
              </w:rPr>
            </w:pPr>
            <w:r w:rsidRPr="005D5FF7">
              <w:rPr>
                <w:sz w:val="22"/>
                <w:lang w:val="sk-SK"/>
              </w:rPr>
              <w:t>Dysport</w:t>
            </w:r>
          </w:p>
          <w:p w:rsidR="00F134F4" w:rsidRPr="005D5FF7" w:rsidRDefault="00F134F4" w:rsidP="005D5FF7">
            <w:pPr>
              <w:pStyle w:val="Body"/>
              <w:jc w:val="center"/>
              <w:rPr>
                <w:sz w:val="22"/>
                <w:lang w:val="sk-SK"/>
              </w:rPr>
            </w:pPr>
            <w:r w:rsidRPr="005D5FF7">
              <w:rPr>
                <w:sz w:val="22"/>
                <w:lang w:val="sk-SK"/>
              </w:rPr>
              <w:t xml:space="preserve">(500 </w:t>
            </w:r>
            <w:r>
              <w:rPr>
                <w:sz w:val="22"/>
                <w:lang w:val="sk-SK"/>
              </w:rPr>
              <w:t>jednotiek</w:t>
            </w:r>
            <w:r w:rsidRPr="005D5FF7">
              <w:rPr>
                <w:sz w:val="22"/>
                <w:lang w:val="sk-SK"/>
              </w:rPr>
              <w:t>)</w:t>
            </w:r>
          </w:p>
          <w:p w:rsidR="00F134F4" w:rsidRPr="005D5FF7" w:rsidRDefault="00F134F4" w:rsidP="005D5FF7">
            <w:pPr>
              <w:pStyle w:val="Body"/>
              <w:jc w:val="center"/>
              <w:rPr>
                <w:sz w:val="22"/>
                <w:lang w:val="sk-SK"/>
              </w:rPr>
            </w:pPr>
            <w:r w:rsidRPr="005D5FF7">
              <w:rPr>
                <w:sz w:val="22"/>
                <w:lang w:val="sk-SK"/>
              </w:rPr>
              <w:t>(N=80)</w:t>
            </w:r>
          </w:p>
        </w:tc>
        <w:tc>
          <w:tcPr>
            <w:tcW w:w="580" w:type="pct"/>
          </w:tcPr>
          <w:p w:rsidR="00F134F4" w:rsidRPr="005D5FF7" w:rsidRDefault="00F134F4" w:rsidP="005D5FF7">
            <w:pPr>
              <w:pStyle w:val="Body"/>
              <w:jc w:val="center"/>
              <w:rPr>
                <w:sz w:val="22"/>
                <w:lang w:val="sk-SK"/>
              </w:rPr>
            </w:pPr>
            <w:r w:rsidRPr="005D5FF7">
              <w:rPr>
                <w:sz w:val="22"/>
                <w:lang w:val="sk-SK"/>
              </w:rPr>
              <w:t>Dysport</w:t>
            </w:r>
          </w:p>
          <w:p w:rsidR="00F134F4" w:rsidRPr="005D5FF7" w:rsidRDefault="00F134F4" w:rsidP="005D5FF7">
            <w:pPr>
              <w:pStyle w:val="Body"/>
              <w:jc w:val="center"/>
              <w:rPr>
                <w:sz w:val="22"/>
                <w:lang w:val="sk-SK"/>
              </w:rPr>
            </w:pPr>
            <w:r w:rsidRPr="005D5FF7">
              <w:rPr>
                <w:sz w:val="22"/>
                <w:lang w:val="sk-SK"/>
              </w:rPr>
              <w:t xml:space="preserve">(1000 </w:t>
            </w:r>
            <w:r>
              <w:rPr>
                <w:sz w:val="22"/>
                <w:lang w:val="sk-SK"/>
              </w:rPr>
              <w:t>jednotiek</w:t>
            </w:r>
            <w:r w:rsidRPr="005D5FF7">
              <w:rPr>
                <w:sz w:val="22"/>
                <w:lang w:val="sk-SK"/>
              </w:rPr>
              <w:t>)</w:t>
            </w:r>
          </w:p>
          <w:p w:rsidR="00F134F4" w:rsidRPr="005D5FF7" w:rsidRDefault="00F134F4" w:rsidP="005D5FF7">
            <w:pPr>
              <w:pStyle w:val="Body"/>
              <w:jc w:val="center"/>
              <w:rPr>
                <w:sz w:val="22"/>
                <w:lang w:val="sk-SK"/>
              </w:rPr>
            </w:pPr>
            <w:r w:rsidRPr="005D5FF7">
              <w:rPr>
                <w:sz w:val="22"/>
                <w:lang w:val="sk-SK"/>
              </w:rPr>
              <w:t>(N=79)</w:t>
            </w:r>
          </w:p>
        </w:tc>
        <w:tc>
          <w:tcPr>
            <w:tcW w:w="525" w:type="pct"/>
          </w:tcPr>
          <w:p w:rsidR="00F134F4" w:rsidRPr="005D5FF7" w:rsidRDefault="00F134F4" w:rsidP="005D5FF7">
            <w:pPr>
              <w:pStyle w:val="Body"/>
              <w:jc w:val="center"/>
              <w:rPr>
                <w:sz w:val="22"/>
                <w:lang w:val="sk-SK"/>
              </w:rPr>
            </w:pPr>
            <w:r w:rsidRPr="005D5FF7">
              <w:rPr>
                <w:sz w:val="22"/>
                <w:lang w:val="sk-SK"/>
              </w:rPr>
              <w:t>Placebo</w:t>
            </w:r>
          </w:p>
          <w:p w:rsidR="00F134F4" w:rsidRPr="005D5FF7" w:rsidRDefault="00F134F4" w:rsidP="005D5FF7">
            <w:pPr>
              <w:pStyle w:val="Body"/>
              <w:jc w:val="center"/>
              <w:rPr>
                <w:sz w:val="22"/>
                <w:lang w:val="sk-SK"/>
              </w:rPr>
            </w:pPr>
            <w:r w:rsidRPr="005D5FF7">
              <w:rPr>
                <w:sz w:val="22"/>
                <w:lang w:val="sk-SK"/>
              </w:rPr>
              <w:t>(N=79)</w:t>
            </w:r>
          </w:p>
        </w:tc>
        <w:tc>
          <w:tcPr>
            <w:tcW w:w="657" w:type="pct"/>
          </w:tcPr>
          <w:p w:rsidR="00F134F4" w:rsidRPr="005D5FF7" w:rsidRDefault="00F134F4" w:rsidP="005D5FF7">
            <w:pPr>
              <w:pStyle w:val="Body"/>
              <w:jc w:val="center"/>
              <w:rPr>
                <w:sz w:val="22"/>
                <w:lang w:val="sk-SK"/>
              </w:rPr>
            </w:pPr>
            <w:r w:rsidRPr="005D5FF7">
              <w:rPr>
                <w:sz w:val="22"/>
                <w:lang w:val="sk-SK"/>
              </w:rPr>
              <w:t>Dysport</w:t>
            </w:r>
          </w:p>
          <w:p w:rsidR="00F134F4" w:rsidRPr="005D5FF7" w:rsidRDefault="00F134F4" w:rsidP="005D5FF7">
            <w:pPr>
              <w:pStyle w:val="Body"/>
              <w:jc w:val="center"/>
              <w:rPr>
                <w:sz w:val="22"/>
                <w:lang w:val="sk-SK"/>
              </w:rPr>
            </w:pPr>
            <w:r w:rsidRPr="005D5FF7">
              <w:rPr>
                <w:sz w:val="22"/>
                <w:lang w:val="sk-SK"/>
              </w:rPr>
              <w:t xml:space="preserve">(500 </w:t>
            </w:r>
            <w:r>
              <w:rPr>
                <w:sz w:val="22"/>
                <w:lang w:val="sk-SK"/>
              </w:rPr>
              <w:t>jednotiek</w:t>
            </w:r>
            <w:r w:rsidRPr="005D5FF7">
              <w:rPr>
                <w:sz w:val="22"/>
                <w:lang w:val="sk-SK"/>
              </w:rPr>
              <w:t>)</w:t>
            </w:r>
          </w:p>
          <w:p w:rsidR="00F134F4" w:rsidRPr="005D5FF7" w:rsidRDefault="00F134F4" w:rsidP="005D5FF7">
            <w:pPr>
              <w:pStyle w:val="Body"/>
              <w:jc w:val="center"/>
              <w:rPr>
                <w:sz w:val="22"/>
                <w:lang w:val="sk-SK"/>
              </w:rPr>
            </w:pPr>
            <w:r w:rsidRPr="005D5FF7">
              <w:rPr>
                <w:sz w:val="22"/>
                <w:lang w:val="sk-SK"/>
              </w:rPr>
              <w:t>(N=80)</w:t>
            </w:r>
          </w:p>
        </w:tc>
        <w:tc>
          <w:tcPr>
            <w:tcW w:w="527" w:type="pct"/>
          </w:tcPr>
          <w:p w:rsidR="00F134F4" w:rsidRPr="005D5FF7" w:rsidRDefault="00F134F4" w:rsidP="005D5FF7">
            <w:pPr>
              <w:pStyle w:val="Body"/>
              <w:jc w:val="center"/>
              <w:rPr>
                <w:sz w:val="22"/>
                <w:lang w:val="sk-SK"/>
              </w:rPr>
            </w:pPr>
            <w:r w:rsidRPr="005D5FF7">
              <w:rPr>
                <w:sz w:val="22"/>
                <w:lang w:val="sk-SK"/>
              </w:rPr>
              <w:t>Dysport</w:t>
            </w:r>
          </w:p>
          <w:p w:rsidR="00F134F4" w:rsidRPr="005D5FF7" w:rsidRDefault="00F134F4" w:rsidP="005D5FF7">
            <w:pPr>
              <w:pStyle w:val="Body"/>
              <w:jc w:val="center"/>
              <w:rPr>
                <w:sz w:val="22"/>
                <w:lang w:val="sk-SK"/>
              </w:rPr>
            </w:pPr>
            <w:r w:rsidRPr="005D5FF7">
              <w:rPr>
                <w:sz w:val="22"/>
                <w:lang w:val="sk-SK"/>
              </w:rPr>
              <w:t xml:space="preserve">(1000 </w:t>
            </w:r>
            <w:r>
              <w:rPr>
                <w:sz w:val="22"/>
                <w:lang w:val="sk-SK"/>
              </w:rPr>
              <w:t>jednotiek</w:t>
            </w:r>
            <w:r w:rsidRPr="005D5FF7">
              <w:rPr>
                <w:sz w:val="22"/>
                <w:lang w:val="sk-SK"/>
              </w:rPr>
              <w:t>)</w:t>
            </w:r>
          </w:p>
          <w:p w:rsidR="00F134F4" w:rsidRPr="005D5FF7" w:rsidRDefault="00F134F4" w:rsidP="005D5FF7">
            <w:pPr>
              <w:pStyle w:val="Body"/>
              <w:jc w:val="center"/>
              <w:rPr>
                <w:sz w:val="22"/>
                <w:lang w:val="sk-SK"/>
              </w:rPr>
            </w:pPr>
            <w:r w:rsidRPr="005D5FF7">
              <w:rPr>
                <w:sz w:val="22"/>
                <w:lang w:val="sk-SK"/>
              </w:rPr>
              <w:t>(N=79)</w:t>
            </w:r>
          </w:p>
        </w:tc>
      </w:tr>
      <w:tr w:rsidR="00F134F4" w:rsidRPr="00D73A56" w:rsidTr="00AA1E3A">
        <w:trPr>
          <w:trHeight w:val="800"/>
        </w:trPr>
        <w:tc>
          <w:tcPr>
            <w:tcW w:w="1586" w:type="pct"/>
          </w:tcPr>
          <w:p w:rsidR="00F134F4" w:rsidRPr="005D5FF7" w:rsidRDefault="00F134F4" w:rsidP="00742F91">
            <w:pPr>
              <w:pStyle w:val="Body"/>
              <w:rPr>
                <w:sz w:val="22"/>
                <w:lang w:val="sk-SK"/>
              </w:rPr>
            </w:pPr>
            <w:r w:rsidRPr="005D5FF7">
              <w:rPr>
                <w:sz w:val="22"/>
                <w:lang w:val="sk-SK"/>
              </w:rPr>
              <w:t>LS priemerná zmena z východiskovej hodnoty pre PTMG svalový tonus na MAS</w:t>
            </w:r>
          </w:p>
        </w:tc>
        <w:tc>
          <w:tcPr>
            <w:tcW w:w="547" w:type="pct"/>
            <w:vAlign w:val="center"/>
          </w:tcPr>
          <w:p w:rsidR="00F134F4" w:rsidRPr="005D5FF7" w:rsidRDefault="00F134F4" w:rsidP="006C3BB3">
            <w:pPr>
              <w:pStyle w:val="Body"/>
              <w:jc w:val="center"/>
              <w:rPr>
                <w:lang w:val="sk-SK"/>
              </w:rPr>
            </w:pPr>
            <w:r w:rsidRPr="005D5FF7">
              <w:rPr>
                <w:lang w:val="sk-SK"/>
              </w:rPr>
              <w:t>-0.3</w:t>
            </w:r>
          </w:p>
        </w:tc>
        <w:tc>
          <w:tcPr>
            <w:tcW w:w="578" w:type="pct"/>
            <w:vAlign w:val="center"/>
          </w:tcPr>
          <w:p w:rsidR="00F134F4" w:rsidRPr="005D5FF7" w:rsidRDefault="00F134F4" w:rsidP="006C3BB3">
            <w:pPr>
              <w:pStyle w:val="Body"/>
              <w:jc w:val="center"/>
              <w:rPr>
                <w:lang w:val="sk-SK"/>
              </w:rPr>
            </w:pPr>
            <w:r w:rsidRPr="005D5FF7">
              <w:rPr>
                <w:lang w:val="sk-SK"/>
              </w:rPr>
              <w:t>-1.2**</w:t>
            </w:r>
          </w:p>
        </w:tc>
        <w:tc>
          <w:tcPr>
            <w:tcW w:w="580" w:type="pct"/>
            <w:vAlign w:val="center"/>
          </w:tcPr>
          <w:p w:rsidR="00F134F4" w:rsidRPr="005D5FF7" w:rsidRDefault="00F134F4" w:rsidP="006C3BB3">
            <w:pPr>
              <w:pStyle w:val="Body"/>
              <w:jc w:val="center"/>
              <w:rPr>
                <w:lang w:val="sk-SK"/>
              </w:rPr>
            </w:pPr>
            <w:r w:rsidRPr="005D5FF7">
              <w:rPr>
                <w:lang w:val="sk-SK"/>
              </w:rPr>
              <w:t>-1.4**</w:t>
            </w:r>
          </w:p>
        </w:tc>
        <w:tc>
          <w:tcPr>
            <w:tcW w:w="525" w:type="pct"/>
            <w:vAlign w:val="center"/>
          </w:tcPr>
          <w:p w:rsidR="00F134F4" w:rsidRPr="005D5FF7" w:rsidRDefault="00F134F4" w:rsidP="006C3BB3">
            <w:pPr>
              <w:pStyle w:val="Body"/>
              <w:jc w:val="center"/>
              <w:rPr>
                <w:lang w:val="sk-SK"/>
              </w:rPr>
            </w:pPr>
            <w:r w:rsidRPr="005D5FF7">
              <w:rPr>
                <w:lang w:val="sk-SK"/>
              </w:rPr>
              <w:t>-0.1</w:t>
            </w:r>
          </w:p>
          <w:p w:rsidR="00F134F4" w:rsidRPr="005D5FF7" w:rsidRDefault="00F134F4" w:rsidP="006C3BB3">
            <w:pPr>
              <w:pStyle w:val="Body"/>
              <w:jc w:val="center"/>
              <w:rPr>
                <w:lang w:val="sk-SK"/>
              </w:rPr>
            </w:pPr>
            <w:r w:rsidRPr="005D5FF7">
              <w:rPr>
                <w:lang w:val="sk-SK"/>
              </w:rPr>
              <w:t>n=75</w:t>
            </w:r>
          </w:p>
        </w:tc>
        <w:tc>
          <w:tcPr>
            <w:tcW w:w="657" w:type="pct"/>
            <w:vAlign w:val="center"/>
          </w:tcPr>
          <w:p w:rsidR="00F134F4" w:rsidRPr="005D5FF7" w:rsidRDefault="00F134F4" w:rsidP="006C3BB3">
            <w:pPr>
              <w:pStyle w:val="Body"/>
              <w:jc w:val="center"/>
              <w:rPr>
                <w:lang w:val="sk-SK"/>
              </w:rPr>
            </w:pPr>
            <w:r w:rsidRPr="005D5FF7">
              <w:rPr>
                <w:lang w:val="sk-SK"/>
              </w:rPr>
              <w:t>-0.7**</w:t>
            </w:r>
          </w:p>
          <w:p w:rsidR="00F134F4" w:rsidRPr="005D5FF7" w:rsidRDefault="00F134F4" w:rsidP="006C3BB3">
            <w:pPr>
              <w:pStyle w:val="Body"/>
              <w:jc w:val="center"/>
              <w:rPr>
                <w:lang w:val="sk-SK"/>
              </w:rPr>
            </w:pPr>
            <w:r w:rsidRPr="005D5FF7">
              <w:rPr>
                <w:lang w:val="sk-SK"/>
              </w:rPr>
              <w:t>n=76</w:t>
            </w:r>
          </w:p>
        </w:tc>
        <w:tc>
          <w:tcPr>
            <w:tcW w:w="527" w:type="pct"/>
            <w:vAlign w:val="center"/>
          </w:tcPr>
          <w:p w:rsidR="00F134F4" w:rsidRPr="005D5FF7" w:rsidRDefault="00F134F4" w:rsidP="006C3BB3">
            <w:pPr>
              <w:pStyle w:val="Body"/>
              <w:jc w:val="center"/>
              <w:rPr>
                <w:lang w:val="sk-SK"/>
              </w:rPr>
            </w:pPr>
            <w:r w:rsidRPr="005D5FF7">
              <w:rPr>
                <w:lang w:val="sk-SK"/>
              </w:rPr>
              <w:t>-0.8**</w:t>
            </w:r>
          </w:p>
          <w:p w:rsidR="00F134F4" w:rsidRPr="005D5FF7" w:rsidRDefault="00F134F4" w:rsidP="006C3BB3">
            <w:pPr>
              <w:pStyle w:val="Body"/>
              <w:jc w:val="center"/>
              <w:rPr>
                <w:lang w:val="sk-SK"/>
              </w:rPr>
            </w:pPr>
            <w:r w:rsidRPr="005D5FF7">
              <w:rPr>
                <w:lang w:val="sk-SK"/>
              </w:rPr>
              <w:t>n=76</w:t>
            </w:r>
          </w:p>
        </w:tc>
      </w:tr>
      <w:tr w:rsidR="00F134F4" w:rsidRPr="00D73A56" w:rsidTr="00AA1E3A">
        <w:trPr>
          <w:trHeight w:val="584"/>
        </w:trPr>
        <w:tc>
          <w:tcPr>
            <w:tcW w:w="1586" w:type="pct"/>
          </w:tcPr>
          <w:p w:rsidR="00F134F4" w:rsidRPr="005D5FF7" w:rsidRDefault="00F134F4" w:rsidP="005D5FF7">
            <w:pPr>
              <w:pStyle w:val="Body"/>
              <w:rPr>
                <w:sz w:val="22"/>
                <w:lang w:val="sk-SK"/>
              </w:rPr>
            </w:pPr>
            <w:r w:rsidRPr="005D5FF7">
              <w:rPr>
                <w:sz w:val="22"/>
                <w:lang w:val="sk-SK"/>
              </w:rPr>
              <w:t xml:space="preserve">LS priemerné </w:t>
            </w:r>
            <w:r>
              <w:rPr>
                <w:sz w:val="22"/>
                <w:lang w:val="sk-SK"/>
              </w:rPr>
              <w:t xml:space="preserve">zmena </w:t>
            </w:r>
            <w:r w:rsidRPr="005D5FF7">
              <w:rPr>
                <w:sz w:val="22"/>
                <w:lang w:val="sk-SK"/>
              </w:rPr>
              <w:t>PGA odpovede na liečbu</w:t>
            </w:r>
          </w:p>
        </w:tc>
        <w:tc>
          <w:tcPr>
            <w:tcW w:w="547" w:type="pct"/>
            <w:vAlign w:val="center"/>
          </w:tcPr>
          <w:p w:rsidR="00F134F4" w:rsidRPr="005D5FF7" w:rsidRDefault="00F134F4" w:rsidP="005D5FF7">
            <w:pPr>
              <w:pStyle w:val="Body"/>
              <w:jc w:val="center"/>
              <w:rPr>
                <w:lang w:val="sk-SK"/>
              </w:rPr>
            </w:pPr>
            <w:r w:rsidRPr="005D5FF7">
              <w:rPr>
                <w:lang w:val="sk-SK"/>
              </w:rPr>
              <w:t>0.7</w:t>
            </w:r>
          </w:p>
        </w:tc>
        <w:tc>
          <w:tcPr>
            <w:tcW w:w="578" w:type="pct"/>
            <w:vAlign w:val="center"/>
          </w:tcPr>
          <w:p w:rsidR="00F134F4" w:rsidRPr="005D5FF7" w:rsidRDefault="00F134F4" w:rsidP="005D5FF7">
            <w:pPr>
              <w:pStyle w:val="Body"/>
              <w:jc w:val="center"/>
              <w:rPr>
                <w:lang w:val="sk-SK"/>
              </w:rPr>
            </w:pPr>
            <w:r w:rsidRPr="005D5FF7">
              <w:rPr>
                <w:lang w:val="sk-SK"/>
              </w:rPr>
              <w:t>1.4*</w:t>
            </w:r>
          </w:p>
        </w:tc>
        <w:tc>
          <w:tcPr>
            <w:tcW w:w="580" w:type="pct"/>
            <w:vAlign w:val="center"/>
          </w:tcPr>
          <w:p w:rsidR="00F134F4" w:rsidRPr="005D5FF7" w:rsidRDefault="00F134F4" w:rsidP="005D5FF7">
            <w:pPr>
              <w:pStyle w:val="Body"/>
              <w:jc w:val="center"/>
              <w:rPr>
                <w:lang w:val="sk-SK"/>
              </w:rPr>
            </w:pPr>
            <w:r w:rsidRPr="005D5FF7">
              <w:rPr>
                <w:lang w:val="sk-SK"/>
              </w:rPr>
              <w:t>1.8**</w:t>
            </w:r>
          </w:p>
        </w:tc>
        <w:tc>
          <w:tcPr>
            <w:tcW w:w="525" w:type="pct"/>
            <w:vAlign w:val="center"/>
          </w:tcPr>
          <w:p w:rsidR="00F134F4" w:rsidRPr="005D5FF7" w:rsidRDefault="00F134F4" w:rsidP="005D5FF7">
            <w:pPr>
              <w:pStyle w:val="Body"/>
              <w:jc w:val="center"/>
              <w:rPr>
                <w:lang w:val="sk-SK"/>
              </w:rPr>
            </w:pPr>
            <w:r w:rsidRPr="005D5FF7">
              <w:rPr>
                <w:lang w:val="sk-SK"/>
              </w:rPr>
              <w:t>0.4</w:t>
            </w:r>
          </w:p>
          <w:p w:rsidR="00F134F4" w:rsidRPr="005D5FF7" w:rsidRDefault="00F134F4" w:rsidP="00F00DE4">
            <w:pPr>
              <w:pStyle w:val="Body"/>
              <w:jc w:val="center"/>
              <w:rPr>
                <w:lang w:val="sk-SK"/>
              </w:rPr>
            </w:pPr>
            <w:r w:rsidRPr="005D5FF7">
              <w:rPr>
                <w:lang w:val="sk-SK"/>
              </w:rPr>
              <w:t>n=75</w:t>
            </w:r>
          </w:p>
        </w:tc>
        <w:tc>
          <w:tcPr>
            <w:tcW w:w="657" w:type="pct"/>
            <w:vAlign w:val="center"/>
          </w:tcPr>
          <w:p w:rsidR="00F134F4" w:rsidRPr="005D5FF7" w:rsidRDefault="00F134F4" w:rsidP="005D5FF7">
            <w:pPr>
              <w:pStyle w:val="Body"/>
              <w:jc w:val="center"/>
              <w:rPr>
                <w:lang w:val="sk-SK"/>
              </w:rPr>
            </w:pPr>
            <w:r w:rsidRPr="005D5FF7">
              <w:rPr>
                <w:lang w:val="sk-SK"/>
              </w:rPr>
              <w:t>0.5</w:t>
            </w:r>
          </w:p>
          <w:p w:rsidR="00F134F4" w:rsidRPr="005D5FF7" w:rsidRDefault="00F134F4" w:rsidP="00F00DE4">
            <w:pPr>
              <w:pStyle w:val="Body"/>
              <w:jc w:val="center"/>
              <w:rPr>
                <w:lang w:val="sk-SK"/>
              </w:rPr>
            </w:pPr>
            <w:r w:rsidRPr="005D5FF7">
              <w:rPr>
                <w:lang w:val="sk-SK"/>
              </w:rPr>
              <w:t>n=76</w:t>
            </w:r>
          </w:p>
        </w:tc>
        <w:tc>
          <w:tcPr>
            <w:tcW w:w="527" w:type="pct"/>
            <w:vAlign w:val="center"/>
          </w:tcPr>
          <w:p w:rsidR="00F134F4" w:rsidRPr="005D5FF7" w:rsidRDefault="00F134F4" w:rsidP="005D5FF7">
            <w:pPr>
              <w:pStyle w:val="Body"/>
              <w:jc w:val="center"/>
              <w:rPr>
                <w:lang w:val="sk-SK"/>
              </w:rPr>
            </w:pPr>
            <w:r w:rsidRPr="005D5FF7">
              <w:rPr>
                <w:lang w:val="sk-SK"/>
              </w:rPr>
              <w:t>1.0*</w:t>
            </w:r>
          </w:p>
          <w:p w:rsidR="00F134F4" w:rsidRPr="005D5FF7" w:rsidRDefault="00F134F4" w:rsidP="00F00DE4">
            <w:pPr>
              <w:pStyle w:val="Body"/>
              <w:jc w:val="center"/>
              <w:rPr>
                <w:lang w:val="sk-SK"/>
              </w:rPr>
            </w:pPr>
            <w:r w:rsidRPr="005D5FF7">
              <w:rPr>
                <w:lang w:val="sk-SK"/>
              </w:rPr>
              <w:t>n=76</w:t>
            </w:r>
          </w:p>
        </w:tc>
      </w:tr>
      <w:tr w:rsidR="00F134F4" w:rsidRPr="00D73A56" w:rsidTr="00AA1E3A">
        <w:trPr>
          <w:trHeight w:val="584"/>
        </w:trPr>
        <w:tc>
          <w:tcPr>
            <w:tcW w:w="1586" w:type="pct"/>
          </w:tcPr>
          <w:p w:rsidR="00F134F4" w:rsidRPr="005D5FF7" w:rsidRDefault="00F134F4" w:rsidP="005D5FF7">
            <w:pPr>
              <w:pStyle w:val="Body"/>
              <w:rPr>
                <w:sz w:val="22"/>
                <w:lang w:val="sk-SK"/>
              </w:rPr>
            </w:pPr>
            <w:r w:rsidRPr="005D5FF7">
              <w:rPr>
                <w:sz w:val="22"/>
                <w:lang w:val="sk-SK"/>
              </w:rPr>
              <w:t xml:space="preserve">LS priemerná zmena </w:t>
            </w:r>
            <w:r>
              <w:rPr>
                <w:sz w:val="22"/>
                <w:lang w:val="sk-SK"/>
              </w:rPr>
              <w:t xml:space="preserve">svalového tonu </w:t>
            </w:r>
            <w:r w:rsidRPr="0092224C">
              <w:rPr>
                <w:sz w:val="22"/>
                <w:lang w:val="sk-SK"/>
              </w:rPr>
              <w:t xml:space="preserve"> </w:t>
            </w:r>
            <w:r>
              <w:rPr>
                <w:sz w:val="22"/>
                <w:lang w:val="sk-SK"/>
              </w:rPr>
              <w:t>f</w:t>
            </w:r>
            <w:r w:rsidRPr="0092224C">
              <w:rPr>
                <w:sz w:val="22"/>
                <w:lang w:val="sk-SK"/>
              </w:rPr>
              <w:t>lexor</w:t>
            </w:r>
            <w:r>
              <w:rPr>
                <w:sz w:val="22"/>
                <w:lang w:val="sk-SK"/>
              </w:rPr>
              <w:t xml:space="preserve">a zápästia </w:t>
            </w:r>
            <w:r w:rsidRPr="005D5FF7">
              <w:rPr>
                <w:sz w:val="22"/>
                <w:lang w:val="sk-SK"/>
              </w:rPr>
              <w:t>z východiskovej hodnoty na MAS</w:t>
            </w:r>
          </w:p>
        </w:tc>
        <w:tc>
          <w:tcPr>
            <w:tcW w:w="547" w:type="pct"/>
            <w:vAlign w:val="center"/>
          </w:tcPr>
          <w:p w:rsidR="00F134F4" w:rsidRPr="005D5FF7" w:rsidRDefault="00F134F4" w:rsidP="006C3BB3">
            <w:pPr>
              <w:pStyle w:val="Body"/>
              <w:jc w:val="center"/>
              <w:rPr>
                <w:lang w:val="sk-SK"/>
              </w:rPr>
            </w:pPr>
            <w:r w:rsidRPr="005D5FF7">
              <w:rPr>
                <w:lang w:val="sk-SK"/>
              </w:rPr>
              <w:t>-0.3</w:t>
            </w:r>
          </w:p>
          <w:p w:rsidR="00F134F4" w:rsidRPr="005D5FF7" w:rsidRDefault="00F134F4" w:rsidP="006C3BB3">
            <w:pPr>
              <w:pStyle w:val="Body"/>
              <w:jc w:val="center"/>
              <w:rPr>
                <w:lang w:val="sk-SK"/>
              </w:rPr>
            </w:pPr>
            <w:r w:rsidRPr="005D5FF7">
              <w:rPr>
                <w:lang w:val="sk-SK"/>
              </w:rPr>
              <w:t>n=54</w:t>
            </w:r>
          </w:p>
        </w:tc>
        <w:tc>
          <w:tcPr>
            <w:tcW w:w="578" w:type="pct"/>
            <w:vAlign w:val="center"/>
          </w:tcPr>
          <w:p w:rsidR="00F134F4" w:rsidRPr="005D5FF7" w:rsidRDefault="00F134F4" w:rsidP="006C3BB3">
            <w:pPr>
              <w:pStyle w:val="Body"/>
              <w:jc w:val="center"/>
              <w:rPr>
                <w:lang w:val="sk-SK"/>
              </w:rPr>
            </w:pPr>
            <w:r w:rsidRPr="005D5FF7">
              <w:rPr>
                <w:lang w:val="sk-SK"/>
              </w:rPr>
              <w:t>-1.4**</w:t>
            </w:r>
          </w:p>
          <w:p w:rsidR="00F134F4" w:rsidRPr="005D5FF7" w:rsidRDefault="00F134F4" w:rsidP="006C3BB3">
            <w:pPr>
              <w:pStyle w:val="Body"/>
              <w:jc w:val="center"/>
              <w:rPr>
                <w:lang w:val="sk-SK"/>
              </w:rPr>
            </w:pPr>
            <w:r w:rsidRPr="005D5FF7">
              <w:rPr>
                <w:lang w:val="sk-SK"/>
              </w:rPr>
              <w:t>n=57</w:t>
            </w:r>
          </w:p>
        </w:tc>
        <w:tc>
          <w:tcPr>
            <w:tcW w:w="580" w:type="pct"/>
            <w:vAlign w:val="center"/>
          </w:tcPr>
          <w:p w:rsidR="00F134F4" w:rsidRPr="005D5FF7" w:rsidRDefault="00F134F4" w:rsidP="006C3BB3">
            <w:pPr>
              <w:pStyle w:val="Body"/>
              <w:jc w:val="center"/>
              <w:rPr>
                <w:lang w:val="sk-SK"/>
              </w:rPr>
            </w:pPr>
            <w:r w:rsidRPr="005D5FF7">
              <w:rPr>
                <w:lang w:val="sk-SK"/>
              </w:rPr>
              <w:t>-1.6**</w:t>
            </w:r>
          </w:p>
          <w:p w:rsidR="00F134F4" w:rsidRPr="005D5FF7" w:rsidRDefault="00F134F4" w:rsidP="006C3BB3">
            <w:pPr>
              <w:pStyle w:val="Body"/>
              <w:jc w:val="center"/>
              <w:rPr>
                <w:lang w:val="sk-SK"/>
              </w:rPr>
            </w:pPr>
            <w:r w:rsidRPr="005D5FF7">
              <w:rPr>
                <w:lang w:val="sk-SK"/>
              </w:rPr>
              <w:t>n=58</w:t>
            </w:r>
          </w:p>
        </w:tc>
        <w:tc>
          <w:tcPr>
            <w:tcW w:w="525" w:type="pct"/>
            <w:vAlign w:val="center"/>
          </w:tcPr>
          <w:p w:rsidR="00F134F4" w:rsidRPr="005D5FF7" w:rsidRDefault="00F134F4" w:rsidP="006C3BB3">
            <w:pPr>
              <w:pStyle w:val="Body"/>
              <w:jc w:val="center"/>
              <w:rPr>
                <w:lang w:val="sk-SK"/>
              </w:rPr>
            </w:pPr>
            <w:r w:rsidRPr="005D5FF7">
              <w:rPr>
                <w:lang w:val="sk-SK"/>
              </w:rPr>
              <w:t>-0.3</w:t>
            </w:r>
          </w:p>
          <w:p w:rsidR="00F134F4" w:rsidRPr="005D5FF7" w:rsidRDefault="00F134F4" w:rsidP="006C3BB3">
            <w:pPr>
              <w:pStyle w:val="Body"/>
              <w:jc w:val="center"/>
              <w:rPr>
                <w:lang w:val="sk-SK"/>
              </w:rPr>
            </w:pPr>
            <w:r w:rsidRPr="005D5FF7">
              <w:rPr>
                <w:lang w:val="sk-SK"/>
              </w:rPr>
              <w:t>n=52</w:t>
            </w:r>
          </w:p>
        </w:tc>
        <w:tc>
          <w:tcPr>
            <w:tcW w:w="657" w:type="pct"/>
            <w:vAlign w:val="center"/>
          </w:tcPr>
          <w:p w:rsidR="00F134F4" w:rsidRPr="005D5FF7" w:rsidRDefault="00F134F4" w:rsidP="006C3BB3">
            <w:pPr>
              <w:pStyle w:val="Body"/>
              <w:jc w:val="center"/>
              <w:rPr>
                <w:lang w:val="sk-SK"/>
              </w:rPr>
            </w:pPr>
            <w:r w:rsidRPr="005D5FF7">
              <w:rPr>
                <w:lang w:val="sk-SK"/>
              </w:rPr>
              <w:t>-0.7*</w:t>
            </w:r>
          </w:p>
          <w:p w:rsidR="00F134F4" w:rsidRPr="005D5FF7" w:rsidRDefault="00F134F4" w:rsidP="006C3BB3">
            <w:pPr>
              <w:pStyle w:val="Body"/>
              <w:jc w:val="center"/>
              <w:rPr>
                <w:lang w:val="sk-SK"/>
              </w:rPr>
            </w:pPr>
            <w:r w:rsidRPr="005D5FF7">
              <w:rPr>
                <w:lang w:val="sk-SK"/>
              </w:rPr>
              <w:t>n=54</w:t>
            </w:r>
          </w:p>
        </w:tc>
        <w:tc>
          <w:tcPr>
            <w:tcW w:w="527" w:type="pct"/>
            <w:vAlign w:val="center"/>
          </w:tcPr>
          <w:p w:rsidR="00F134F4" w:rsidRPr="005D5FF7" w:rsidRDefault="00F134F4" w:rsidP="006C3BB3">
            <w:pPr>
              <w:pStyle w:val="Body"/>
              <w:jc w:val="center"/>
              <w:rPr>
                <w:lang w:val="sk-SK"/>
              </w:rPr>
            </w:pPr>
            <w:r w:rsidRPr="005D5FF7">
              <w:rPr>
                <w:lang w:val="sk-SK"/>
              </w:rPr>
              <w:t>-0.9*</w:t>
            </w:r>
          </w:p>
          <w:p w:rsidR="00F134F4" w:rsidRPr="005D5FF7" w:rsidRDefault="00F134F4" w:rsidP="006C3BB3">
            <w:pPr>
              <w:pStyle w:val="Body"/>
              <w:jc w:val="center"/>
              <w:rPr>
                <w:lang w:val="sk-SK"/>
              </w:rPr>
            </w:pPr>
            <w:r w:rsidRPr="005D5FF7">
              <w:rPr>
                <w:lang w:val="sk-SK"/>
              </w:rPr>
              <w:t>n=56</w:t>
            </w:r>
          </w:p>
        </w:tc>
      </w:tr>
      <w:tr w:rsidR="00F134F4" w:rsidRPr="00D73A56" w:rsidTr="00AA1E3A">
        <w:trPr>
          <w:trHeight w:val="584"/>
        </w:trPr>
        <w:tc>
          <w:tcPr>
            <w:tcW w:w="1586" w:type="pct"/>
          </w:tcPr>
          <w:p w:rsidR="00F134F4" w:rsidRPr="005D5FF7" w:rsidRDefault="00F134F4" w:rsidP="005D5FF7">
            <w:pPr>
              <w:pStyle w:val="Body"/>
              <w:rPr>
                <w:sz w:val="22"/>
                <w:lang w:val="sk-SK"/>
              </w:rPr>
            </w:pPr>
            <w:r w:rsidRPr="005D5FF7">
              <w:rPr>
                <w:sz w:val="22"/>
                <w:lang w:val="sk-SK"/>
              </w:rPr>
              <w:t>LS priemerná zmena</w:t>
            </w:r>
            <w:r>
              <w:rPr>
                <w:sz w:val="22"/>
                <w:lang w:val="sk-SK"/>
              </w:rPr>
              <w:t xml:space="preserve"> svalového tonu flexora prstu</w:t>
            </w:r>
            <w:r w:rsidRPr="005D5FF7">
              <w:rPr>
                <w:sz w:val="22"/>
                <w:lang w:val="sk-SK"/>
              </w:rPr>
              <w:t xml:space="preserve"> z východiskovej hodnoty na MAS</w:t>
            </w:r>
          </w:p>
        </w:tc>
        <w:tc>
          <w:tcPr>
            <w:tcW w:w="547" w:type="pct"/>
            <w:vAlign w:val="center"/>
          </w:tcPr>
          <w:p w:rsidR="00F134F4" w:rsidRPr="005D5FF7" w:rsidRDefault="00F134F4" w:rsidP="006C3BB3">
            <w:pPr>
              <w:pStyle w:val="Body"/>
              <w:jc w:val="center"/>
              <w:rPr>
                <w:lang w:val="sk-SK"/>
              </w:rPr>
            </w:pPr>
            <w:r w:rsidRPr="005D5FF7">
              <w:rPr>
                <w:lang w:val="sk-SK"/>
              </w:rPr>
              <w:t>-0.3</w:t>
            </w:r>
          </w:p>
          <w:p w:rsidR="00F134F4" w:rsidRPr="005D5FF7" w:rsidRDefault="00F134F4" w:rsidP="006C3BB3">
            <w:pPr>
              <w:pStyle w:val="Body"/>
              <w:jc w:val="center"/>
              <w:rPr>
                <w:lang w:val="sk-SK"/>
              </w:rPr>
            </w:pPr>
            <w:r w:rsidRPr="005D5FF7">
              <w:rPr>
                <w:lang w:val="sk-SK"/>
              </w:rPr>
              <w:t>n=70</w:t>
            </w:r>
          </w:p>
        </w:tc>
        <w:tc>
          <w:tcPr>
            <w:tcW w:w="578" w:type="pct"/>
            <w:vAlign w:val="center"/>
          </w:tcPr>
          <w:p w:rsidR="00F134F4" w:rsidRPr="005D5FF7" w:rsidRDefault="00F134F4" w:rsidP="006C3BB3">
            <w:pPr>
              <w:pStyle w:val="Body"/>
              <w:jc w:val="center"/>
              <w:rPr>
                <w:lang w:val="sk-SK"/>
              </w:rPr>
            </w:pPr>
            <w:r w:rsidRPr="005D5FF7">
              <w:rPr>
                <w:lang w:val="sk-SK"/>
              </w:rPr>
              <w:t>-0.9*</w:t>
            </w:r>
          </w:p>
          <w:p w:rsidR="00F134F4" w:rsidRPr="005D5FF7" w:rsidRDefault="00F134F4" w:rsidP="006C3BB3">
            <w:pPr>
              <w:pStyle w:val="Body"/>
              <w:jc w:val="center"/>
              <w:rPr>
                <w:lang w:val="sk-SK"/>
              </w:rPr>
            </w:pPr>
            <w:r w:rsidRPr="005D5FF7">
              <w:rPr>
                <w:lang w:val="sk-SK"/>
              </w:rPr>
              <w:t>n=66</w:t>
            </w:r>
          </w:p>
        </w:tc>
        <w:tc>
          <w:tcPr>
            <w:tcW w:w="580" w:type="pct"/>
            <w:vAlign w:val="center"/>
          </w:tcPr>
          <w:p w:rsidR="00F134F4" w:rsidRPr="005D5FF7" w:rsidRDefault="00F134F4" w:rsidP="006C3BB3">
            <w:pPr>
              <w:pStyle w:val="Body"/>
              <w:jc w:val="center"/>
              <w:rPr>
                <w:lang w:val="sk-SK"/>
              </w:rPr>
            </w:pPr>
            <w:r w:rsidRPr="005D5FF7">
              <w:rPr>
                <w:lang w:val="sk-SK"/>
              </w:rPr>
              <w:t>-1.2**</w:t>
            </w:r>
          </w:p>
          <w:p w:rsidR="00F134F4" w:rsidRPr="005D5FF7" w:rsidRDefault="00F134F4" w:rsidP="006C3BB3">
            <w:pPr>
              <w:pStyle w:val="Body"/>
              <w:jc w:val="center"/>
              <w:rPr>
                <w:lang w:val="sk-SK"/>
              </w:rPr>
            </w:pPr>
            <w:r w:rsidRPr="005D5FF7">
              <w:rPr>
                <w:lang w:val="sk-SK"/>
              </w:rPr>
              <w:t>n=73</w:t>
            </w:r>
          </w:p>
        </w:tc>
        <w:tc>
          <w:tcPr>
            <w:tcW w:w="525" w:type="pct"/>
            <w:vAlign w:val="center"/>
          </w:tcPr>
          <w:p w:rsidR="00F134F4" w:rsidRPr="005D5FF7" w:rsidRDefault="00F134F4" w:rsidP="006C3BB3">
            <w:pPr>
              <w:pStyle w:val="Body"/>
              <w:jc w:val="center"/>
              <w:rPr>
                <w:lang w:val="sk-SK"/>
              </w:rPr>
            </w:pPr>
            <w:r w:rsidRPr="005D5FF7">
              <w:rPr>
                <w:lang w:val="sk-SK"/>
              </w:rPr>
              <w:t>-0.1</w:t>
            </w:r>
          </w:p>
          <w:p w:rsidR="00F134F4" w:rsidRPr="005D5FF7" w:rsidRDefault="00F134F4" w:rsidP="006C3BB3">
            <w:pPr>
              <w:pStyle w:val="Body"/>
              <w:jc w:val="center"/>
              <w:rPr>
                <w:lang w:val="sk-SK"/>
              </w:rPr>
            </w:pPr>
            <w:r w:rsidRPr="005D5FF7">
              <w:rPr>
                <w:lang w:val="sk-SK"/>
              </w:rPr>
              <w:t>n=67</w:t>
            </w:r>
          </w:p>
        </w:tc>
        <w:tc>
          <w:tcPr>
            <w:tcW w:w="657" w:type="pct"/>
            <w:vAlign w:val="center"/>
          </w:tcPr>
          <w:p w:rsidR="00F134F4" w:rsidRPr="005D5FF7" w:rsidRDefault="00F134F4" w:rsidP="006C3BB3">
            <w:pPr>
              <w:pStyle w:val="Body"/>
              <w:jc w:val="center"/>
              <w:rPr>
                <w:lang w:val="sk-SK"/>
              </w:rPr>
            </w:pPr>
            <w:r w:rsidRPr="005D5FF7">
              <w:rPr>
                <w:lang w:val="sk-SK"/>
              </w:rPr>
              <w:t>-0.4*</w:t>
            </w:r>
          </w:p>
          <w:p w:rsidR="00F134F4" w:rsidRPr="005D5FF7" w:rsidRDefault="00F134F4" w:rsidP="006C3BB3">
            <w:pPr>
              <w:pStyle w:val="Body"/>
              <w:jc w:val="center"/>
              <w:rPr>
                <w:lang w:val="sk-SK"/>
              </w:rPr>
            </w:pPr>
            <w:r w:rsidRPr="005D5FF7">
              <w:rPr>
                <w:lang w:val="sk-SK"/>
              </w:rPr>
              <w:t>n=62</w:t>
            </w:r>
          </w:p>
        </w:tc>
        <w:tc>
          <w:tcPr>
            <w:tcW w:w="527" w:type="pct"/>
            <w:vAlign w:val="center"/>
          </w:tcPr>
          <w:p w:rsidR="00F134F4" w:rsidRPr="005D5FF7" w:rsidRDefault="00F134F4" w:rsidP="006C3BB3">
            <w:pPr>
              <w:pStyle w:val="Body"/>
              <w:jc w:val="center"/>
              <w:rPr>
                <w:lang w:val="sk-SK"/>
              </w:rPr>
            </w:pPr>
            <w:r w:rsidRPr="005D5FF7">
              <w:rPr>
                <w:lang w:val="sk-SK"/>
              </w:rPr>
              <w:t>-0.6*</w:t>
            </w:r>
          </w:p>
          <w:p w:rsidR="00F134F4" w:rsidRPr="005D5FF7" w:rsidRDefault="00F134F4" w:rsidP="006C3BB3">
            <w:pPr>
              <w:pStyle w:val="Body"/>
              <w:jc w:val="center"/>
              <w:rPr>
                <w:lang w:val="sk-SK"/>
              </w:rPr>
            </w:pPr>
            <w:r w:rsidRPr="005D5FF7">
              <w:rPr>
                <w:lang w:val="sk-SK"/>
              </w:rPr>
              <w:t>n=70</w:t>
            </w:r>
          </w:p>
        </w:tc>
      </w:tr>
      <w:tr w:rsidR="00F134F4" w:rsidRPr="00D73A56" w:rsidTr="00AA1E3A">
        <w:trPr>
          <w:trHeight w:val="584"/>
        </w:trPr>
        <w:tc>
          <w:tcPr>
            <w:tcW w:w="1586" w:type="pct"/>
          </w:tcPr>
          <w:p w:rsidR="00F134F4" w:rsidRPr="005D5FF7" w:rsidRDefault="00F134F4" w:rsidP="005D5FF7">
            <w:pPr>
              <w:pStyle w:val="Body"/>
              <w:rPr>
                <w:sz w:val="22"/>
                <w:lang w:val="sk-SK"/>
              </w:rPr>
            </w:pPr>
            <w:r w:rsidRPr="005D5FF7">
              <w:rPr>
                <w:sz w:val="22"/>
                <w:lang w:val="sk-SK"/>
              </w:rPr>
              <w:t xml:space="preserve">LS priemerná zmena </w:t>
            </w:r>
            <w:r>
              <w:rPr>
                <w:sz w:val="22"/>
                <w:lang w:val="sk-SK"/>
              </w:rPr>
              <w:t xml:space="preserve">svalového tonu flexora lakťa </w:t>
            </w:r>
            <w:r w:rsidRPr="005D5FF7">
              <w:rPr>
                <w:sz w:val="22"/>
                <w:lang w:val="sk-SK"/>
              </w:rPr>
              <w:t>z východiskovej hodnoty na MAS</w:t>
            </w:r>
          </w:p>
        </w:tc>
        <w:tc>
          <w:tcPr>
            <w:tcW w:w="547" w:type="pct"/>
            <w:vAlign w:val="center"/>
          </w:tcPr>
          <w:p w:rsidR="00F134F4" w:rsidRPr="005D5FF7" w:rsidRDefault="00F134F4" w:rsidP="006C3BB3">
            <w:pPr>
              <w:pStyle w:val="Body"/>
              <w:jc w:val="center"/>
              <w:rPr>
                <w:lang w:val="sk-SK"/>
              </w:rPr>
            </w:pPr>
            <w:r w:rsidRPr="005D5FF7">
              <w:rPr>
                <w:lang w:val="sk-SK"/>
              </w:rPr>
              <w:t>-0.3</w:t>
            </w:r>
          </w:p>
          <w:p w:rsidR="00F134F4" w:rsidRPr="005D5FF7" w:rsidRDefault="00F134F4" w:rsidP="006C3BB3">
            <w:pPr>
              <w:pStyle w:val="Body"/>
              <w:jc w:val="center"/>
              <w:rPr>
                <w:lang w:val="sk-SK"/>
              </w:rPr>
            </w:pPr>
            <w:r w:rsidRPr="005D5FF7">
              <w:rPr>
                <w:lang w:val="sk-SK"/>
              </w:rPr>
              <w:t>n=56</w:t>
            </w:r>
          </w:p>
        </w:tc>
        <w:tc>
          <w:tcPr>
            <w:tcW w:w="578" w:type="pct"/>
            <w:vAlign w:val="center"/>
          </w:tcPr>
          <w:p w:rsidR="00F134F4" w:rsidRPr="005D5FF7" w:rsidRDefault="00F134F4" w:rsidP="006C3BB3">
            <w:pPr>
              <w:pStyle w:val="Body"/>
              <w:jc w:val="center"/>
              <w:rPr>
                <w:lang w:val="sk-SK"/>
              </w:rPr>
            </w:pPr>
            <w:r w:rsidRPr="005D5FF7">
              <w:rPr>
                <w:lang w:val="sk-SK"/>
              </w:rPr>
              <w:t>-1.0*</w:t>
            </w:r>
          </w:p>
          <w:p w:rsidR="00F134F4" w:rsidRPr="005D5FF7" w:rsidRDefault="00F134F4" w:rsidP="006C3BB3">
            <w:pPr>
              <w:pStyle w:val="Body"/>
              <w:jc w:val="center"/>
              <w:rPr>
                <w:lang w:val="sk-SK"/>
              </w:rPr>
            </w:pPr>
            <w:r w:rsidRPr="005D5FF7">
              <w:rPr>
                <w:lang w:val="sk-SK"/>
              </w:rPr>
              <w:t>n=61</w:t>
            </w:r>
          </w:p>
        </w:tc>
        <w:tc>
          <w:tcPr>
            <w:tcW w:w="580" w:type="pct"/>
            <w:vAlign w:val="center"/>
          </w:tcPr>
          <w:p w:rsidR="00F134F4" w:rsidRPr="005D5FF7" w:rsidRDefault="00F134F4" w:rsidP="006C3BB3">
            <w:pPr>
              <w:pStyle w:val="Body"/>
              <w:jc w:val="center"/>
              <w:rPr>
                <w:lang w:val="sk-SK"/>
              </w:rPr>
            </w:pPr>
            <w:r w:rsidRPr="005D5FF7">
              <w:rPr>
                <w:lang w:val="sk-SK"/>
              </w:rPr>
              <w:t>-1.2**</w:t>
            </w:r>
          </w:p>
          <w:p w:rsidR="00F134F4" w:rsidRPr="005D5FF7" w:rsidRDefault="00F134F4" w:rsidP="006C3BB3">
            <w:pPr>
              <w:pStyle w:val="Body"/>
              <w:jc w:val="center"/>
              <w:rPr>
                <w:lang w:val="sk-SK"/>
              </w:rPr>
            </w:pPr>
            <w:r w:rsidRPr="005D5FF7">
              <w:rPr>
                <w:lang w:val="sk-SK"/>
              </w:rPr>
              <w:t>n=48</w:t>
            </w:r>
          </w:p>
        </w:tc>
        <w:tc>
          <w:tcPr>
            <w:tcW w:w="525" w:type="pct"/>
            <w:vAlign w:val="center"/>
          </w:tcPr>
          <w:p w:rsidR="00F134F4" w:rsidRPr="005D5FF7" w:rsidRDefault="00F134F4" w:rsidP="006C3BB3">
            <w:pPr>
              <w:pStyle w:val="Body"/>
              <w:jc w:val="center"/>
              <w:rPr>
                <w:lang w:val="sk-SK"/>
              </w:rPr>
            </w:pPr>
            <w:r w:rsidRPr="005D5FF7">
              <w:rPr>
                <w:lang w:val="sk-SK"/>
              </w:rPr>
              <w:t>-0.3</w:t>
            </w:r>
          </w:p>
          <w:p w:rsidR="00F134F4" w:rsidRPr="005D5FF7" w:rsidRDefault="00F134F4" w:rsidP="006C3BB3">
            <w:pPr>
              <w:pStyle w:val="Body"/>
              <w:jc w:val="center"/>
              <w:rPr>
                <w:lang w:val="sk-SK"/>
              </w:rPr>
            </w:pPr>
            <w:r w:rsidRPr="005D5FF7">
              <w:rPr>
                <w:lang w:val="sk-SK"/>
              </w:rPr>
              <w:t>n=53</w:t>
            </w:r>
          </w:p>
        </w:tc>
        <w:tc>
          <w:tcPr>
            <w:tcW w:w="657" w:type="pct"/>
            <w:vAlign w:val="center"/>
          </w:tcPr>
          <w:p w:rsidR="00F134F4" w:rsidRPr="005D5FF7" w:rsidRDefault="00F134F4" w:rsidP="006C3BB3">
            <w:pPr>
              <w:pStyle w:val="Body"/>
              <w:jc w:val="center"/>
              <w:rPr>
                <w:lang w:val="sk-SK"/>
              </w:rPr>
            </w:pPr>
            <w:r w:rsidRPr="005D5FF7">
              <w:rPr>
                <w:lang w:val="sk-SK"/>
              </w:rPr>
              <w:t>-0.7*</w:t>
            </w:r>
          </w:p>
          <w:p w:rsidR="00F134F4" w:rsidRPr="005D5FF7" w:rsidRDefault="00F134F4" w:rsidP="006C3BB3">
            <w:pPr>
              <w:pStyle w:val="Body"/>
              <w:jc w:val="center"/>
              <w:rPr>
                <w:lang w:val="sk-SK"/>
              </w:rPr>
            </w:pPr>
            <w:r w:rsidRPr="005D5FF7">
              <w:rPr>
                <w:lang w:val="sk-SK"/>
              </w:rPr>
              <w:t>n=58</w:t>
            </w:r>
          </w:p>
        </w:tc>
        <w:tc>
          <w:tcPr>
            <w:tcW w:w="527" w:type="pct"/>
            <w:vAlign w:val="center"/>
          </w:tcPr>
          <w:p w:rsidR="00F134F4" w:rsidRPr="005D5FF7" w:rsidRDefault="00F134F4" w:rsidP="006C3BB3">
            <w:pPr>
              <w:pStyle w:val="Body"/>
              <w:jc w:val="center"/>
              <w:rPr>
                <w:lang w:val="sk-SK"/>
              </w:rPr>
            </w:pPr>
            <w:r w:rsidRPr="005D5FF7">
              <w:rPr>
                <w:lang w:val="sk-SK"/>
              </w:rPr>
              <w:t>-0.8*</w:t>
            </w:r>
          </w:p>
          <w:p w:rsidR="00F134F4" w:rsidRPr="005D5FF7" w:rsidRDefault="00F134F4" w:rsidP="006C3BB3">
            <w:pPr>
              <w:pStyle w:val="Body"/>
              <w:jc w:val="center"/>
              <w:rPr>
                <w:lang w:val="sk-SK"/>
              </w:rPr>
            </w:pPr>
            <w:r w:rsidRPr="005D5FF7">
              <w:rPr>
                <w:lang w:val="sk-SK"/>
              </w:rPr>
              <w:t>n=46</w:t>
            </w:r>
          </w:p>
        </w:tc>
      </w:tr>
      <w:tr w:rsidR="00F134F4" w:rsidRPr="00D73A56" w:rsidTr="00AA1E3A">
        <w:trPr>
          <w:trHeight w:val="584"/>
        </w:trPr>
        <w:tc>
          <w:tcPr>
            <w:tcW w:w="1586" w:type="pct"/>
          </w:tcPr>
          <w:p w:rsidR="00F134F4" w:rsidRPr="005D5FF7" w:rsidRDefault="00F134F4" w:rsidP="005D5FF7">
            <w:pPr>
              <w:pStyle w:val="Body"/>
              <w:rPr>
                <w:sz w:val="22"/>
                <w:lang w:val="sk-SK"/>
              </w:rPr>
            </w:pPr>
            <w:r w:rsidRPr="005D5FF7">
              <w:rPr>
                <w:sz w:val="22"/>
                <w:lang w:val="sk-SK"/>
              </w:rPr>
              <w:t xml:space="preserve">Priemerná zmena </w:t>
            </w:r>
            <w:r>
              <w:rPr>
                <w:sz w:val="22"/>
                <w:lang w:val="sk-SK"/>
              </w:rPr>
              <w:t xml:space="preserve">svalového tonu extenzorov ramena </w:t>
            </w:r>
            <w:r w:rsidRPr="005D5FF7">
              <w:rPr>
                <w:sz w:val="22"/>
                <w:lang w:val="sk-SK"/>
              </w:rPr>
              <w:t>z východiskovej hodnoty na MAS (1)</w:t>
            </w:r>
          </w:p>
        </w:tc>
        <w:tc>
          <w:tcPr>
            <w:tcW w:w="547" w:type="pct"/>
            <w:vAlign w:val="center"/>
          </w:tcPr>
          <w:p w:rsidR="00F134F4" w:rsidRPr="005D5FF7" w:rsidRDefault="00F134F4" w:rsidP="006C3BB3">
            <w:pPr>
              <w:pStyle w:val="Body"/>
              <w:jc w:val="center"/>
              <w:rPr>
                <w:lang w:val="sk-SK"/>
              </w:rPr>
            </w:pPr>
            <w:r w:rsidRPr="005D5FF7">
              <w:rPr>
                <w:lang w:val="sk-SK"/>
              </w:rPr>
              <w:t>-0.4</w:t>
            </w:r>
            <w:r w:rsidRPr="005D5FF7">
              <w:rPr>
                <w:lang w:val="sk-SK"/>
              </w:rPr>
              <w:br/>
              <w:t>n=12</w:t>
            </w:r>
          </w:p>
        </w:tc>
        <w:tc>
          <w:tcPr>
            <w:tcW w:w="578" w:type="pct"/>
            <w:vAlign w:val="center"/>
          </w:tcPr>
          <w:p w:rsidR="00F134F4" w:rsidRPr="005D5FF7" w:rsidRDefault="00F134F4" w:rsidP="006C3BB3">
            <w:pPr>
              <w:pStyle w:val="Body"/>
              <w:jc w:val="center"/>
              <w:rPr>
                <w:lang w:val="sk-SK"/>
              </w:rPr>
            </w:pPr>
            <w:r w:rsidRPr="005D5FF7">
              <w:rPr>
                <w:lang w:val="sk-SK"/>
              </w:rPr>
              <w:t>-0.6</w:t>
            </w:r>
          </w:p>
          <w:p w:rsidR="00F134F4" w:rsidRPr="005D5FF7" w:rsidRDefault="00F134F4" w:rsidP="006C3BB3">
            <w:pPr>
              <w:pStyle w:val="Body"/>
              <w:jc w:val="center"/>
              <w:rPr>
                <w:lang w:val="sk-SK"/>
              </w:rPr>
            </w:pPr>
            <w:r w:rsidRPr="005D5FF7">
              <w:rPr>
                <w:lang w:val="sk-SK"/>
              </w:rPr>
              <w:t>n=7</w:t>
            </w:r>
          </w:p>
        </w:tc>
        <w:tc>
          <w:tcPr>
            <w:tcW w:w="580" w:type="pct"/>
            <w:vAlign w:val="center"/>
          </w:tcPr>
          <w:p w:rsidR="00F134F4" w:rsidRPr="005D5FF7" w:rsidRDefault="00F134F4" w:rsidP="006C3BB3">
            <w:pPr>
              <w:pStyle w:val="Body"/>
              <w:jc w:val="center"/>
              <w:rPr>
                <w:lang w:val="sk-SK"/>
              </w:rPr>
            </w:pPr>
            <w:r w:rsidRPr="005D5FF7">
              <w:rPr>
                <w:lang w:val="sk-SK"/>
              </w:rPr>
              <w:t>-0.7</w:t>
            </w:r>
          </w:p>
          <w:p w:rsidR="00F134F4" w:rsidRPr="005D5FF7" w:rsidRDefault="00F134F4" w:rsidP="006C3BB3">
            <w:pPr>
              <w:pStyle w:val="Body"/>
              <w:jc w:val="center"/>
              <w:rPr>
                <w:lang w:val="sk-SK"/>
              </w:rPr>
            </w:pPr>
            <w:r w:rsidRPr="005D5FF7">
              <w:rPr>
                <w:lang w:val="sk-SK"/>
              </w:rPr>
              <w:t>n=6</w:t>
            </w:r>
          </w:p>
        </w:tc>
        <w:tc>
          <w:tcPr>
            <w:tcW w:w="525" w:type="pct"/>
            <w:vAlign w:val="center"/>
          </w:tcPr>
          <w:p w:rsidR="00F134F4" w:rsidRPr="005D5FF7" w:rsidRDefault="00F134F4" w:rsidP="006C3BB3">
            <w:pPr>
              <w:pStyle w:val="Body"/>
              <w:jc w:val="center"/>
              <w:rPr>
                <w:lang w:val="sk-SK"/>
              </w:rPr>
            </w:pPr>
            <w:r w:rsidRPr="005D5FF7">
              <w:rPr>
                <w:lang w:val="sk-SK"/>
              </w:rPr>
              <w:t>0.0</w:t>
            </w:r>
          </w:p>
          <w:p w:rsidR="00F134F4" w:rsidRPr="005D5FF7" w:rsidRDefault="00F134F4" w:rsidP="006C3BB3">
            <w:pPr>
              <w:pStyle w:val="Body"/>
              <w:jc w:val="center"/>
              <w:rPr>
                <w:lang w:val="sk-SK"/>
              </w:rPr>
            </w:pPr>
            <w:r w:rsidRPr="005D5FF7">
              <w:rPr>
                <w:lang w:val="sk-SK"/>
              </w:rPr>
              <w:t>n=12</w:t>
            </w:r>
          </w:p>
        </w:tc>
        <w:tc>
          <w:tcPr>
            <w:tcW w:w="657" w:type="pct"/>
            <w:vAlign w:val="center"/>
          </w:tcPr>
          <w:p w:rsidR="00F134F4" w:rsidRPr="005D5FF7" w:rsidRDefault="00F134F4" w:rsidP="006C3BB3">
            <w:pPr>
              <w:pStyle w:val="Body"/>
              <w:jc w:val="center"/>
              <w:rPr>
                <w:lang w:val="sk-SK"/>
              </w:rPr>
            </w:pPr>
            <w:r w:rsidRPr="005D5FF7">
              <w:rPr>
                <w:lang w:val="sk-SK"/>
              </w:rPr>
              <w:t>-0.9</w:t>
            </w:r>
          </w:p>
          <w:p w:rsidR="00F134F4" w:rsidRPr="005D5FF7" w:rsidRDefault="00F134F4" w:rsidP="006C3BB3">
            <w:pPr>
              <w:pStyle w:val="Body"/>
              <w:jc w:val="center"/>
              <w:rPr>
                <w:lang w:val="sk-SK"/>
              </w:rPr>
            </w:pPr>
            <w:r w:rsidRPr="005D5FF7">
              <w:rPr>
                <w:lang w:val="sk-SK"/>
              </w:rPr>
              <w:t>n=7</w:t>
            </w:r>
          </w:p>
        </w:tc>
        <w:tc>
          <w:tcPr>
            <w:tcW w:w="527" w:type="pct"/>
            <w:vAlign w:val="center"/>
          </w:tcPr>
          <w:p w:rsidR="00F134F4" w:rsidRPr="005D5FF7" w:rsidRDefault="00F134F4" w:rsidP="006C3BB3">
            <w:pPr>
              <w:pStyle w:val="Body"/>
              <w:jc w:val="center"/>
              <w:rPr>
                <w:lang w:val="sk-SK"/>
              </w:rPr>
            </w:pPr>
            <w:r w:rsidRPr="005D5FF7">
              <w:rPr>
                <w:lang w:val="sk-SK"/>
              </w:rPr>
              <w:t>0.0</w:t>
            </w:r>
          </w:p>
          <w:p w:rsidR="00F134F4" w:rsidRPr="005D5FF7" w:rsidRDefault="00F134F4" w:rsidP="006C3BB3">
            <w:pPr>
              <w:pStyle w:val="Body"/>
              <w:jc w:val="center"/>
              <w:rPr>
                <w:lang w:val="sk-SK"/>
              </w:rPr>
            </w:pPr>
            <w:r w:rsidRPr="005D5FF7">
              <w:rPr>
                <w:lang w:val="sk-SK"/>
              </w:rPr>
              <w:t>n=6</w:t>
            </w:r>
          </w:p>
        </w:tc>
      </w:tr>
      <w:tr w:rsidR="00F134F4" w:rsidRPr="00D73A56" w:rsidTr="006C3BB3">
        <w:trPr>
          <w:trHeight w:val="277"/>
        </w:trPr>
        <w:tc>
          <w:tcPr>
            <w:tcW w:w="5000" w:type="pct"/>
            <w:gridSpan w:val="7"/>
          </w:tcPr>
          <w:p w:rsidR="00F134F4" w:rsidRPr="005D5FF7" w:rsidRDefault="00F134F4" w:rsidP="00D73A56">
            <w:pPr>
              <w:spacing w:before="100" w:beforeAutospacing="1" w:after="100" w:afterAutospacing="1"/>
              <w:rPr>
                <w:rFonts w:ascii="Times New Roman" w:hAnsi="Times New Roman"/>
                <w:sz w:val="20"/>
                <w:szCs w:val="24"/>
                <w:highlight w:val="yellow"/>
                <w:lang w:val="sk-SK"/>
              </w:rPr>
            </w:pPr>
            <w:r w:rsidRPr="005D5FF7">
              <w:rPr>
                <w:rFonts w:ascii="Times New Roman" w:hAnsi="Times New Roman"/>
                <w:sz w:val="20"/>
                <w:szCs w:val="24"/>
                <w:lang w:val="sk-SK"/>
              </w:rPr>
              <w:t xml:space="preserve">*p&lt;0.05; ** p&lt;0.0001; </w:t>
            </w:r>
            <w:r w:rsidRPr="005D5FF7">
              <w:rPr>
                <w:rFonts w:ascii="Times New Roman" w:hAnsi="Times New Roman"/>
                <w:sz w:val="20"/>
                <w:szCs w:val="24"/>
                <w:lang w:val="sk-SK"/>
              </w:rPr>
              <w:br/>
              <w:t>LS = Least Square (Metóda n</w:t>
            </w:r>
            <w:r>
              <w:rPr>
                <w:rFonts w:ascii="Times New Roman" w:hAnsi="Times New Roman"/>
                <w:sz w:val="20"/>
                <w:szCs w:val="24"/>
                <w:lang w:val="sk-SK"/>
              </w:rPr>
              <w:t>a</w:t>
            </w:r>
            <w:r w:rsidRPr="005D5FF7">
              <w:rPr>
                <w:rFonts w:ascii="Times New Roman" w:hAnsi="Times New Roman"/>
                <w:sz w:val="20"/>
                <w:szCs w:val="24"/>
                <w:lang w:val="sk-SK"/>
              </w:rPr>
              <w:t>jmenších štvorcov)</w:t>
            </w:r>
            <w:r w:rsidRPr="005D5FF7">
              <w:rPr>
                <w:rFonts w:ascii="Times New Roman" w:hAnsi="Times New Roman"/>
                <w:sz w:val="20"/>
                <w:szCs w:val="24"/>
                <w:lang w:val="sk-SK"/>
              </w:rPr>
              <w:br/>
              <w:t xml:space="preserve">(1) Žiadne štatistické testy neboli vykonávané v dôsledku nízkej početnosti placebo skupiny a liečenej skupiny </w:t>
            </w:r>
          </w:p>
        </w:tc>
      </w:tr>
    </w:tbl>
    <w:p w:rsidR="00F134F4" w:rsidRPr="00D73A56"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5D5FF7">
        <w:rPr>
          <w:rFonts w:ascii="Times New Roman" w:hAnsi="Times New Roman" w:cs="Times New Roman"/>
          <w:sz w:val="22"/>
          <w:szCs w:val="22"/>
          <w:lang w:val="sk-SK"/>
        </w:rPr>
        <w:t>Na h</w:t>
      </w:r>
      <w:r w:rsidRPr="00D73A56">
        <w:rPr>
          <w:rFonts w:ascii="Times New Roman" w:hAnsi="Times New Roman" w:cs="Times New Roman"/>
          <w:sz w:val="22"/>
          <w:szCs w:val="22"/>
          <w:lang w:val="sk-SK"/>
        </w:rPr>
        <w:t>odnotenie účinnosti liečb</w:t>
      </w:r>
      <w:r w:rsidRPr="005D5FF7">
        <w:rPr>
          <w:rFonts w:ascii="Times New Roman" w:hAnsi="Times New Roman" w:cs="Times New Roman"/>
          <w:sz w:val="22"/>
          <w:szCs w:val="22"/>
          <w:lang w:val="sk-SK"/>
        </w:rPr>
        <w:t>y na funkčné poškodenie</w:t>
      </w:r>
      <w:r w:rsidRPr="00D73A56">
        <w:rPr>
          <w:rFonts w:ascii="Times New Roman" w:hAnsi="Times New Roman" w:cs="Times New Roman"/>
          <w:sz w:val="22"/>
          <w:szCs w:val="22"/>
          <w:lang w:val="sk-SK"/>
        </w:rPr>
        <w:t xml:space="preserve"> sa vykonalo hodnote</w:t>
      </w:r>
      <w:r w:rsidRPr="005D5FF7">
        <w:rPr>
          <w:rFonts w:ascii="Times New Roman" w:hAnsi="Times New Roman" w:cs="Times New Roman"/>
          <w:sz w:val="22"/>
          <w:szCs w:val="22"/>
          <w:lang w:val="sk-SK"/>
        </w:rPr>
        <w:t>nie</w:t>
      </w:r>
      <w:r w:rsidRPr="00D73A56">
        <w:rPr>
          <w:rFonts w:ascii="Times New Roman" w:hAnsi="Times New Roman" w:cs="Times New Roman"/>
          <w:sz w:val="22"/>
          <w:szCs w:val="22"/>
          <w:lang w:val="sk-SK"/>
        </w:rPr>
        <w:t xml:space="preserve"> s použitím Disability Assessment Scale (DAS).  DA</w:t>
      </w:r>
      <w:r w:rsidRPr="005D5FF7">
        <w:rPr>
          <w:rFonts w:ascii="Times New Roman" w:hAnsi="Times New Roman" w:cs="Times New Roman"/>
          <w:sz w:val="22"/>
          <w:szCs w:val="22"/>
          <w:lang w:val="sk-SK"/>
        </w:rPr>
        <w:t>S skóre respondentov pre hlavný</w:t>
      </w:r>
      <w:r w:rsidRPr="00D73A56">
        <w:rPr>
          <w:rFonts w:ascii="Times New Roman" w:hAnsi="Times New Roman" w:cs="Times New Roman"/>
          <w:sz w:val="22"/>
          <w:szCs w:val="22"/>
          <w:lang w:val="sk-SK"/>
        </w:rPr>
        <w:t xml:space="preserve"> cieľ liečby (</w:t>
      </w:r>
      <w:r>
        <w:rPr>
          <w:rFonts w:ascii="Times New Roman" w:hAnsi="Times New Roman" w:cs="Times New Roman"/>
          <w:sz w:val="22"/>
          <w:szCs w:val="22"/>
          <w:lang w:val="sk-SK"/>
        </w:rPr>
        <w:t xml:space="preserve">v </w:t>
      </w:r>
      <w:r w:rsidRPr="00D73A56">
        <w:rPr>
          <w:rFonts w:ascii="Times New Roman" w:hAnsi="Times New Roman" w:cs="Times New Roman"/>
          <w:sz w:val="22"/>
          <w:szCs w:val="22"/>
          <w:lang w:val="sk-SK"/>
        </w:rPr>
        <w:t xml:space="preserve">ITT </w:t>
      </w:r>
      <w:r>
        <w:rPr>
          <w:rFonts w:ascii="Times New Roman" w:hAnsi="Times New Roman" w:cs="Times New Roman"/>
          <w:sz w:val="22"/>
          <w:szCs w:val="22"/>
          <w:lang w:val="sk-SK"/>
        </w:rPr>
        <w:t>populácii</w:t>
      </w:r>
      <w:r w:rsidRPr="00D73A56">
        <w:rPr>
          <w:rFonts w:ascii="Times New Roman" w:hAnsi="Times New Roman" w:cs="Times New Roman"/>
          <w:sz w:val="22"/>
          <w:szCs w:val="22"/>
          <w:lang w:val="sk-SK"/>
        </w:rPr>
        <w:t>) je uvedené nižšie.</w:t>
      </w:r>
    </w:p>
    <w:p w:rsidR="00F134F4" w:rsidRPr="00F00DE4" w:rsidRDefault="00F134F4" w:rsidP="00FE4006">
      <w:pPr>
        <w:jc w:val="both"/>
        <w:rPr>
          <w:rFonts w:ascii="Times New Roman" w:hAnsi="Times New Roman" w:cs="Times New Roman"/>
          <w:sz w:val="22"/>
          <w:szCs w:val="22"/>
          <w:lang w:val="sk-SK"/>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777"/>
        <w:gridCol w:w="1890"/>
        <w:gridCol w:w="1800"/>
      </w:tblGrid>
      <w:tr w:rsidR="00F134F4" w:rsidRPr="00D73A56" w:rsidTr="006C3BB3">
        <w:trPr>
          <w:jc w:val="center"/>
        </w:trPr>
        <w:tc>
          <w:tcPr>
            <w:tcW w:w="1777" w:type="dxa"/>
          </w:tcPr>
          <w:p w:rsidR="00F134F4" w:rsidRPr="005D5FF7" w:rsidRDefault="00F134F4" w:rsidP="006C3BB3">
            <w:pPr>
              <w:rPr>
                <w:rFonts w:ascii="Times New Roman" w:hAnsi="Times New Roman"/>
                <w:sz w:val="24"/>
                <w:szCs w:val="24"/>
                <w:lang w:val="sk-SK"/>
              </w:rPr>
            </w:pPr>
            <w:r w:rsidRPr="005D5FF7">
              <w:rPr>
                <w:rFonts w:ascii="Times New Roman" w:hAnsi="Times New Roman"/>
                <w:sz w:val="24"/>
                <w:szCs w:val="24"/>
                <w:lang w:val="sk-SK"/>
              </w:rPr>
              <w:t>Liečená skupina</w:t>
            </w:r>
          </w:p>
        </w:tc>
        <w:tc>
          <w:tcPr>
            <w:tcW w:w="1890" w:type="dxa"/>
          </w:tcPr>
          <w:p w:rsidR="00F134F4" w:rsidRPr="005D5FF7" w:rsidRDefault="00F134F4" w:rsidP="00AA1E3A">
            <w:pPr>
              <w:jc w:val="center"/>
              <w:rPr>
                <w:rFonts w:ascii="Times New Roman" w:hAnsi="Times New Roman"/>
                <w:sz w:val="24"/>
                <w:szCs w:val="24"/>
                <w:lang w:val="sk-SK"/>
              </w:rPr>
            </w:pPr>
            <w:r w:rsidRPr="005D5FF7">
              <w:rPr>
                <w:rFonts w:ascii="Times New Roman" w:hAnsi="Times New Roman"/>
                <w:sz w:val="24"/>
                <w:szCs w:val="24"/>
                <w:lang w:val="sk-SK"/>
              </w:rPr>
              <w:t>4. týždeň % respondentov</w:t>
            </w:r>
          </w:p>
        </w:tc>
        <w:tc>
          <w:tcPr>
            <w:tcW w:w="1800" w:type="dxa"/>
          </w:tcPr>
          <w:p w:rsidR="00F134F4" w:rsidRPr="005D5FF7" w:rsidRDefault="00F134F4" w:rsidP="00AA1E3A">
            <w:pPr>
              <w:jc w:val="center"/>
              <w:rPr>
                <w:rFonts w:ascii="Times New Roman" w:hAnsi="Times New Roman"/>
                <w:sz w:val="24"/>
                <w:szCs w:val="24"/>
                <w:lang w:val="sk-SK"/>
              </w:rPr>
            </w:pPr>
            <w:r w:rsidRPr="005D5FF7">
              <w:rPr>
                <w:rFonts w:ascii="Times New Roman" w:hAnsi="Times New Roman"/>
                <w:sz w:val="24"/>
                <w:szCs w:val="24"/>
                <w:lang w:val="sk-SK"/>
              </w:rPr>
              <w:t>12. týždeň % respondentov</w:t>
            </w:r>
          </w:p>
        </w:tc>
      </w:tr>
      <w:tr w:rsidR="00F134F4" w:rsidRPr="00D73A56" w:rsidTr="006C3BB3">
        <w:trPr>
          <w:jc w:val="center"/>
        </w:trPr>
        <w:tc>
          <w:tcPr>
            <w:tcW w:w="1777" w:type="dxa"/>
          </w:tcPr>
          <w:p w:rsidR="00F134F4" w:rsidRPr="005D5FF7" w:rsidRDefault="00F134F4" w:rsidP="006C3BB3">
            <w:pPr>
              <w:rPr>
                <w:rFonts w:ascii="Times New Roman" w:hAnsi="Times New Roman"/>
                <w:sz w:val="24"/>
                <w:szCs w:val="24"/>
                <w:lang w:val="sk-SK"/>
              </w:rPr>
            </w:pPr>
            <w:r w:rsidRPr="005D5FF7">
              <w:rPr>
                <w:rFonts w:ascii="Times New Roman" w:hAnsi="Times New Roman"/>
                <w:sz w:val="24"/>
                <w:szCs w:val="24"/>
                <w:lang w:val="sk-SK"/>
              </w:rPr>
              <w:t>Dysport 500U</w:t>
            </w:r>
          </w:p>
        </w:tc>
        <w:tc>
          <w:tcPr>
            <w:tcW w:w="1890" w:type="dxa"/>
          </w:tcPr>
          <w:p w:rsidR="00F134F4" w:rsidRPr="005D5FF7" w:rsidRDefault="00F134F4" w:rsidP="006C3BB3">
            <w:pPr>
              <w:jc w:val="center"/>
              <w:rPr>
                <w:rFonts w:ascii="Times New Roman" w:hAnsi="Times New Roman"/>
                <w:sz w:val="24"/>
                <w:szCs w:val="24"/>
                <w:lang w:val="sk-SK"/>
              </w:rPr>
            </w:pPr>
            <w:r w:rsidRPr="005D5FF7">
              <w:rPr>
                <w:rFonts w:ascii="Times New Roman" w:hAnsi="Times New Roman"/>
                <w:sz w:val="24"/>
                <w:szCs w:val="24"/>
                <w:lang w:val="sk-SK"/>
              </w:rPr>
              <w:t>50.0</w:t>
            </w:r>
            <w:r w:rsidRPr="005D5FF7">
              <w:rPr>
                <w:rFonts w:ascii="Times New Roman" w:hAnsi="Times New Roman"/>
                <w:sz w:val="24"/>
                <w:szCs w:val="24"/>
                <w:lang w:val="sk-SK"/>
              </w:rPr>
              <w:br/>
              <w:t>n=80</w:t>
            </w:r>
          </w:p>
          <w:p w:rsidR="00F134F4" w:rsidRPr="005D5FF7" w:rsidRDefault="00F134F4" w:rsidP="006C3BB3">
            <w:pPr>
              <w:jc w:val="center"/>
              <w:rPr>
                <w:rFonts w:ascii="Times New Roman" w:hAnsi="Times New Roman"/>
                <w:sz w:val="24"/>
                <w:szCs w:val="24"/>
                <w:lang w:val="sk-SK"/>
              </w:rPr>
            </w:pPr>
            <w:r w:rsidRPr="005D5FF7">
              <w:rPr>
                <w:rFonts w:ascii="Times New Roman" w:hAnsi="Times New Roman"/>
                <w:sz w:val="24"/>
                <w:szCs w:val="24"/>
                <w:lang w:val="sk-SK"/>
              </w:rPr>
              <w:t>p = 0.13</w:t>
            </w:r>
          </w:p>
        </w:tc>
        <w:tc>
          <w:tcPr>
            <w:tcW w:w="1800" w:type="dxa"/>
          </w:tcPr>
          <w:p w:rsidR="00F134F4" w:rsidRPr="005D5FF7" w:rsidRDefault="00F134F4" w:rsidP="006C3BB3">
            <w:pPr>
              <w:jc w:val="center"/>
              <w:rPr>
                <w:rFonts w:ascii="Times New Roman" w:hAnsi="Times New Roman"/>
                <w:sz w:val="24"/>
                <w:szCs w:val="24"/>
                <w:lang w:val="sk-SK"/>
              </w:rPr>
            </w:pPr>
            <w:r w:rsidRPr="005D5FF7">
              <w:rPr>
                <w:rFonts w:ascii="Times New Roman" w:hAnsi="Times New Roman"/>
                <w:sz w:val="24"/>
                <w:szCs w:val="24"/>
                <w:lang w:val="sk-SK"/>
              </w:rPr>
              <w:t>41.3</w:t>
            </w:r>
            <w:r w:rsidRPr="005D5FF7">
              <w:rPr>
                <w:rFonts w:ascii="Times New Roman" w:hAnsi="Times New Roman"/>
                <w:sz w:val="24"/>
                <w:szCs w:val="24"/>
                <w:lang w:val="sk-SK"/>
              </w:rPr>
              <w:br/>
              <w:t>n=76</w:t>
            </w:r>
          </w:p>
          <w:p w:rsidR="00F134F4" w:rsidRPr="005D5FF7" w:rsidRDefault="00F134F4" w:rsidP="006C3BB3">
            <w:pPr>
              <w:jc w:val="center"/>
              <w:rPr>
                <w:rFonts w:ascii="Times New Roman" w:hAnsi="Times New Roman"/>
                <w:sz w:val="24"/>
                <w:szCs w:val="24"/>
                <w:lang w:val="sk-SK"/>
              </w:rPr>
            </w:pPr>
            <w:r w:rsidRPr="005D5FF7">
              <w:rPr>
                <w:rFonts w:ascii="Times New Roman" w:hAnsi="Times New Roman"/>
                <w:sz w:val="24"/>
                <w:szCs w:val="24"/>
                <w:lang w:val="sk-SK"/>
              </w:rPr>
              <w:t>p = 0.11</w:t>
            </w:r>
          </w:p>
        </w:tc>
      </w:tr>
      <w:tr w:rsidR="00F134F4" w:rsidRPr="00D73A56" w:rsidTr="006C3BB3">
        <w:trPr>
          <w:jc w:val="center"/>
        </w:trPr>
        <w:tc>
          <w:tcPr>
            <w:tcW w:w="1777" w:type="dxa"/>
          </w:tcPr>
          <w:p w:rsidR="00F134F4" w:rsidRPr="005D5FF7" w:rsidRDefault="00F134F4" w:rsidP="006C3BB3">
            <w:pPr>
              <w:rPr>
                <w:rFonts w:ascii="Times New Roman" w:hAnsi="Times New Roman"/>
                <w:sz w:val="24"/>
                <w:szCs w:val="24"/>
                <w:lang w:val="sk-SK"/>
              </w:rPr>
            </w:pPr>
            <w:r w:rsidRPr="005D5FF7">
              <w:rPr>
                <w:rFonts w:ascii="Times New Roman" w:hAnsi="Times New Roman"/>
                <w:sz w:val="24"/>
                <w:szCs w:val="24"/>
                <w:lang w:val="sk-SK"/>
              </w:rPr>
              <w:t>Dysport 1000U</w:t>
            </w:r>
          </w:p>
        </w:tc>
        <w:tc>
          <w:tcPr>
            <w:tcW w:w="1890" w:type="dxa"/>
          </w:tcPr>
          <w:p w:rsidR="00F134F4" w:rsidRPr="005D5FF7" w:rsidRDefault="00F134F4" w:rsidP="006C3BB3">
            <w:pPr>
              <w:jc w:val="center"/>
              <w:rPr>
                <w:rFonts w:ascii="Times New Roman" w:hAnsi="Times New Roman"/>
                <w:sz w:val="24"/>
                <w:szCs w:val="24"/>
                <w:lang w:val="sk-SK"/>
              </w:rPr>
            </w:pPr>
            <w:r w:rsidRPr="005D5FF7">
              <w:rPr>
                <w:rFonts w:ascii="Times New Roman" w:hAnsi="Times New Roman"/>
                <w:sz w:val="24"/>
                <w:szCs w:val="24"/>
                <w:lang w:val="sk-SK"/>
              </w:rPr>
              <w:t>62.0</w:t>
            </w:r>
            <w:r w:rsidRPr="005D5FF7">
              <w:rPr>
                <w:rFonts w:ascii="Times New Roman" w:hAnsi="Times New Roman"/>
                <w:sz w:val="24"/>
                <w:szCs w:val="24"/>
                <w:lang w:val="sk-SK"/>
              </w:rPr>
              <w:br/>
              <w:t>n=78</w:t>
            </w:r>
          </w:p>
          <w:p w:rsidR="00F134F4" w:rsidRPr="005D5FF7" w:rsidRDefault="00F134F4" w:rsidP="006C3BB3">
            <w:pPr>
              <w:jc w:val="center"/>
              <w:rPr>
                <w:rFonts w:ascii="Times New Roman" w:hAnsi="Times New Roman"/>
                <w:sz w:val="24"/>
                <w:szCs w:val="24"/>
                <w:lang w:val="sk-SK"/>
              </w:rPr>
            </w:pPr>
            <w:r w:rsidRPr="005D5FF7">
              <w:rPr>
                <w:rFonts w:ascii="Times New Roman" w:hAnsi="Times New Roman"/>
                <w:sz w:val="24"/>
                <w:szCs w:val="24"/>
                <w:lang w:val="sk-SK"/>
              </w:rPr>
              <w:t>p = 0.0018</w:t>
            </w:r>
          </w:p>
        </w:tc>
        <w:tc>
          <w:tcPr>
            <w:tcW w:w="1800" w:type="dxa"/>
          </w:tcPr>
          <w:p w:rsidR="00F134F4" w:rsidRPr="005D5FF7" w:rsidRDefault="00F134F4" w:rsidP="006C3BB3">
            <w:pPr>
              <w:jc w:val="center"/>
              <w:rPr>
                <w:rFonts w:ascii="Times New Roman" w:hAnsi="Times New Roman"/>
                <w:sz w:val="24"/>
                <w:szCs w:val="24"/>
                <w:lang w:val="sk-SK"/>
              </w:rPr>
            </w:pPr>
            <w:r w:rsidRPr="005D5FF7">
              <w:rPr>
                <w:rFonts w:ascii="Times New Roman" w:hAnsi="Times New Roman"/>
                <w:sz w:val="24"/>
                <w:szCs w:val="24"/>
                <w:lang w:val="sk-SK"/>
              </w:rPr>
              <w:t>55.7</w:t>
            </w:r>
            <w:r w:rsidRPr="005D5FF7">
              <w:rPr>
                <w:rFonts w:ascii="Times New Roman" w:hAnsi="Times New Roman"/>
                <w:sz w:val="24"/>
                <w:szCs w:val="24"/>
                <w:lang w:val="sk-SK"/>
              </w:rPr>
              <w:br/>
              <w:t>n=76</w:t>
            </w:r>
          </w:p>
          <w:p w:rsidR="00F134F4" w:rsidRPr="005D5FF7" w:rsidRDefault="00F134F4" w:rsidP="006C3BB3">
            <w:pPr>
              <w:jc w:val="center"/>
              <w:rPr>
                <w:rFonts w:ascii="Times New Roman" w:hAnsi="Times New Roman"/>
                <w:sz w:val="24"/>
                <w:szCs w:val="24"/>
                <w:lang w:val="sk-SK"/>
              </w:rPr>
            </w:pPr>
            <w:r w:rsidRPr="005D5FF7">
              <w:rPr>
                <w:rFonts w:ascii="Times New Roman" w:hAnsi="Times New Roman"/>
                <w:sz w:val="24"/>
                <w:szCs w:val="24"/>
                <w:lang w:val="sk-SK"/>
              </w:rPr>
              <w:t>p = 0.0004</w:t>
            </w:r>
          </w:p>
        </w:tc>
      </w:tr>
      <w:tr w:rsidR="00F134F4" w:rsidRPr="00D73A56" w:rsidTr="006C3BB3">
        <w:trPr>
          <w:jc w:val="center"/>
        </w:trPr>
        <w:tc>
          <w:tcPr>
            <w:tcW w:w="1777" w:type="dxa"/>
          </w:tcPr>
          <w:p w:rsidR="00F134F4" w:rsidRPr="005D5FF7" w:rsidRDefault="00F134F4" w:rsidP="006C3BB3">
            <w:pPr>
              <w:rPr>
                <w:rFonts w:ascii="Times New Roman" w:hAnsi="Times New Roman"/>
                <w:sz w:val="24"/>
                <w:szCs w:val="24"/>
                <w:lang w:val="sk-SK"/>
              </w:rPr>
            </w:pPr>
            <w:r w:rsidRPr="005D5FF7">
              <w:rPr>
                <w:rFonts w:ascii="Times New Roman" w:hAnsi="Times New Roman"/>
                <w:sz w:val="24"/>
                <w:szCs w:val="24"/>
                <w:lang w:val="sk-SK"/>
              </w:rPr>
              <w:t>Placebo</w:t>
            </w:r>
          </w:p>
        </w:tc>
        <w:tc>
          <w:tcPr>
            <w:tcW w:w="1890" w:type="dxa"/>
          </w:tcPr>
          <w:p w:rsidR="00F134F4" w:rsidRPr="005D5FF7" w:rsidRDefault="00F134F4" w:rsidP="006C3BB3">
            <w:pPr>
              <w:jc w:val="center"/>
              <w:rPr>
                <w:rFonts w:ascii="Times New Roman" w:hAnsi="Times New Roman"/>
                <w:sz w:val="24"/>
                <w:szCs w:val="24"/>
                <w:lang w:val="sk-SK"/>
              </w:rPr>
            </w:pPr>
            <w:r w:rsidRPr="005D5FF7">
              <w:rPr>
                <w:rFonts w:ascii="Times New Roman" w:hAnsi="Times New Roman"/>
                <w:sz w:val="24"/>
                <w:szCs w:val="24"/>
                <w:lang w:val="sk-SK"/>
              </w:rPr>
              <w:t>39.2</w:t>
            </w:r>
            <w:r w:rsidRPr="005D5FF7">
              <w:rPr>
                <w:rFonts w:ascii="Times New Roman" w:hAnsi="Times New Roman"/>
                <w:sz w:val="24"/>
                <w:szCs w:val="24"/>
                <w:lang w:val="sk-SK"/>
              </w:rPr>
              <w:br/>
              <w:t>n=79</w:t>
            </w:r>
          </w:p>
        </w:tc>
        <w:tc>
          <w:tcPr>
            <w:tcW w:w="1800" w:type="dxa"/>
          </w:tcPr>
          <w:p w:rsidR="00F134F4" w:rsidRPr="005D5FF7" w:rsidRDefault="00F134F4" w:rsidP="006C3BB3">
            <w:pPr>
              <w:jc w:val="center"/>
              <w:rPr>
                <w:rFonts w:ascii="Times New Roman" w:hAnsi="Times New Roman"/>
                <w:sz w:val="24"/>
                <w:szCs w:val="24"/>
                <w:lang w:val="sk-SK"/>
              </w:rPr>
            </w:pPr>
            <w:r w:rsidRPr="005D5FF7">
              <w:rPr>
                <w:rFonts w:ascii="Times New Roman" w:hAnsi="Times New Roman"/>
                <w:sz w:val="24"/>
                <w:szCs w:val="24"/>
                <w:lang w:val="sk-SK"/>
              </w:rPr>
              <w:t>32.9</w:t>
            </w:r>
            <w:r w:rsidRPr="005D5FF7">
              <w:rPr>
                <w:rFonts w:ascii="Times New Roman" w:hAnsi="Times New Roman"/>
                <w:sz w:val="24"/>
                <w:szCs w:val="24"/>
                <w:lang w:val="sk-SK"/>
              </w:rPr>
              <w:br/>
              <w:t>n=75</w:t>
            </w:r>
          </w:p>
        </w:tc>
      </w:tr>
      <w:tr w:rsidR="00F134F4" w:rsidRPr="00D73A56" w:rsidTr="006C3BB3">
        <w:trPr>
          <w:jc w:val="center"/>
        </w:trPr>
        <w:tc>
          <w:tcPr>
            <w:tcW w:w="5467" w:type="dxa"/>
            <w:gridSpan w:val="3"/>
            <w:tcBorders>
              <w:left w:val="nil"/>
              <w:bottom w:val="nil"/>
              <w:right w:val="nil"/>
            </w:tcBorders>
          </w:tcPr>
          <w:p w:rsidR="00F134F4" w:rsidRPr="005D5FF7" w:rsidRDefault="00F134F4" w:rsidP="00F21B90">
            <w:pPr>
              <w:rPr>
                <w:rFonts w:ascii="Times New Roman" w:hAnsi="Times New Roman"/>
                <w:szCs w:val="24"/>
                <w:lang w:val="sk-SK"/>
              </w:rPr>
            </w:pPr>
            <w:r w:rsidRPr="005D5FF7">
              <w:rPr>
                <w:rFonts w:ascii="Times New Roman" w:hAnsi="Times New Roman"/>
                <w:sz w:val="20"/>
                <w:szCs w:val="24"/>
                <w:lang w:val="sk-SK"/>
              </w:rPr>
              <w:t>* Domény zahrnuté v DAS sú hygiena, postavenie končatiny, obliekanie a bolestivosť</w:t>
            </w:r>
          </w:p>
        </w:tc>
      </w:tr>
    </w:tbl>
    <w:p w:rsidR="00F134F4" w:rsidRPr="005D5FF7" w:rsidRDefault="00F134F4" w:rsidP="00FE4006">
      <w:pPr>
        <w:jc w:val="both"/>
        <w:rPr>
          <w:rFonts w:ascii="Times New Roman" w:hAnsi="Times New Roman" w:cs="Times New Roman"/>
          <w:sz w:val="22"/>
          <w:szCs w:val="22"/>
          <w:highlight w:val="yellow"/>
          <w:lang w:val="sk-SK"/>
        </w:rPr>
      </w:pPr>
    </w:p>
    <w:p w:rsidR="00F134F4" w:rsidRPr="00D73A56" w:rsidRDefault="00F134F4" w:rsidP="006C3BB3">
      <w:pPr>
        <w:jc w:val="both"/>
        <w:rPr>
          <w:rFonts w:ascii="Times New Roman" w:hAnsi="Times New Roman" w:cs="Times New Roman"/>
          <w:sz w:val="22"/>
          <w:szCs w:val="22"/>
          <w:lang w:val="sk-SK"/>
        </w:rPr>
      </w:pPr>
      <w:r>
        <w:rPr>
          <w:rFonts w:ascii="Times New Roman" w:hAnsi="Times New Roman" w:cs="Times New Roman"/>
          <w:sz w:val="22"/>
          <w:szCs w:val="22"/>
          <w:lang w:val="sk-SK"/>
        </w:rPr>
        <w:t>V</w:t>
      </w:r>
      <w:r w:rsidRPr="00D73A56">
        <w:rPr>
          <w:rFonts w:ascii="Times New Roman" w:hAnsi="Times New Roman" w:cs="Times New Roman"/>
          <w:sz w:val="22"/>
          <w:szCs w:val="22"/>
          <w:lang w:val="sk-SK"/>
        </w:rPr>
        <w:t xml:space="preserve"> oboch  skup</w:t>
      </w:r>
      <w:r>
        <w:rPr>
          <w:rFonts w:ascii="Times New Roman" w:hAnsi="Times New Roman" w:cs="Times New Roman"/>
          <w:sz w:val="22"/>
          <w:szCs w:val="22"/>
          <w:lang w:val="sk-SK"/>
        </w:rPr>
        <w:t xml:space="preserve">inách </w:t>
      </w:r>
      <w:r w:rsidRPr="00D73A56">
        <w:rPr>
          <w:rFonts w:ascii="Times New Roman" w:hAnsi="Times New Roman" w:cs="Times New Roman"/>
          <w:sz w:val="22"/>
          <w:szCs w:val="22"/>
          <w:lang w:val="sk-SK"/>
        </w:rPr>
        <w:t>500 U aj 1000 U boli výsledkom štatisticky signifikantné zlepšenia v uhle  a stupni spasticity, ktoré boli hodnotené pomocou Tardieu Scale v</w:t>
      </w:r>
      <w:r w:rsidRPr="00F00DE4">
        <w:rPr>
          <w:rFonts w:ascii="Times New Roman" w:hAnsi="Times New Roman" w:cs="Times New Roman"/>
          <w:sz w:val="22"/>
          <w:szCs w:val="22"/>
          <w:lang w:val="sk-SK"/>
        </w:rPr>
        <w:t> 4. týždni vo všetkých svalových skupinách (flexory prstov, zápästia a lakťa) pri porovnaní s placebo</w:t>
      </w:r>
      <w:r>
        <w:rPr>
          <w:rFonts w:ascii="Times New Roman" w:hAnsi="Times New Roman" w:cs="Times New Roman"/>
          <w:sz w:val="22"/>
          <w:szCs w:val="22"/>
          <w:lang w:val="sk-SK"/>
        </w:rPr>
        <w:t>m</w:t>
      </w:r>
      <w:r w:rsidRPr="00F00DE4">
        <w:rPr>
          <w:rFonts w:ascii="Times New Roman" w:hAnsi="Times New Roman" w:cs="Times New Roman"/>
          <w:sz w:val="22"/>
          <w:szCs w:val="22"/>
          <w:lang w:val="sk-SK"/>
        </w:rPr>
        <w:t xml:space="preserve">. </w:t>
      </w:r>
      <w:r>
        <w:rPr>
          <w:rFonts w:ascii="Times New Roman" w:hAnsi="Times New Roman" w:cs="Times New Roman"/>
          <w:sz w:val="22"/>
          <w:szCs w:val="22"/>
          <w:lang w:val="sk-SK"/>
        </w:rPr>
        <w:t xml:space="preserve">Zníženie </w:t>
      </w:r>
      <w:r w:rsidRPr="00F00DE4">
        <w:rPr>
          <w:rFonts w:ascii="Times New Roman" w:hAnsi="Times New Roman" w:cs="Times New Roman"/>
          <w:sz w:val="22"/>
          <w:szCs w:val="22"/>
          <w:lang w:val="sk-SK"/>
        </w:rPr>
        <w:t>stupňa spasticity boli pri dávke 1000 U</w:t>
      </w:r>
      <w:r w:rsidRPr="00EE6233">
        <w:rPr>
          <w:rFonts w:ascii="Times New Roman" w:hAnsi="Times New Roman" w:cs="Times New Roman"/>
          <w:sz w:val="22"/>
          <w:szCs w:val="22"/>
          <w:lang w:val="sk-SK"/>
        </w:rPr>
        <w:t> </w:t>
      </w:r>
      <w:r w:rsidRPr="00F00DE4">
        <w:rPr>
          <w:rFonts w:ascii="Times New Roman" w:hAnsi="Times New Roman" w:cs="Times New Roman"/>
          <w:sz w:val="22"/>
          <w:szCs w:val="22"/>
          <w:lang w:val="sk-SK"/>
        </w:rPr>
        <w:t xml:space="preserve"> signifikantné</w:t>
      </w:r>
      <w:r>
        <w:rPr>
          <w:rFonts w:ascii="Times New Roman" w:hAnsi="Times New Roman" w:cs="Times New Roman"/>
          <w:sz w:val="22"/>
          <w:szCs w:val="22"/>
          <w:lang w:val="sk-SK"/>
        </w:rPr>
        <w:t xml:space="preserve"> tiež</w:t>
      </w:r>
      <w:r w:rsidRPr="00F00DE4">
        <w:rPr>
          <w:rFonts w:ascii="Times New Roman" w:hAnsi="Times New Roman" w:cs="Times New Roman"/>
          <w:sz w:val="22"/>
          <w:szCs w:val="22"/>
          <w:lang w:val="sk-SK"/>
        </w:rPr>
        <w:t xml:space="preserve"> v 12. týždni vo všetkých svalových skupinách </w:t>
      </w:r>
      <w:r w:rsidRPr="005D5FF7">
        <w:rPr>
          <w:rFonts w:ascii="Times New Roman" w:hAnsi="Times New Roman" w:cs="Times New Roman"/>
          <w:sz w:val="22"/>
          <w:szCs w:val="22"/>
          <w:lang w:val="sk-SK"/>
        </w:rPr>
        <w:t xml:space="preserve">v </w:t>
      </w:r>
      <w:r w:rsidRPr="00D73A56">
        <w:rPr>
          <w:rFonts w:ascii="Times New Roman" w:hAnsi="Times New Roman" w:cs="Times New Roman"/>
          <w:sz w:val="22"/>
          <w:szCs w:val="22"/>
          <w:lang w:val="sk-SK"/>
        </w:rPr>
        <w:t>porovnaní s placebo</w:t>
      </w:r>
      <w:r>
        <w:rPr>
          <w:rFonts w:ascii="Times New Roman" w:hAnsi="Times New Roman" w:cs="Times New Roman"/>
          <w:sz w:val="22"/>
          <w:szCs w:val="22"/>
          <w:lang w:val="sk-SK"/>
        </w:rPr>
        <w:t>m</w:t>
      </w:r>
      <w:r w:rsidRPr="00D73A56">
        <w:rPr>
          <w:rFonts w:ascii="Times New Roman" w:hAnsi="Times New Roman" w:cs="Times New Roman"/>
          <w:sz w:val="22"/>
          <w:szCs w:val="22"/>
          <w:lang w:val="sk-SK"/>
        </w:rPr>
        <w:t xml:space="preserve">. </w:t>
      </w:r>
    </w:p>
    <w:p w:rsidR="00F134F4" w:rsidRPr="00F00DE4" w:rsidRDefault="00F134F4" w:rsidP="006C3BB3">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Dysport 1000 U štatisticky zlepšil v 4. týždni aktívny rozsah pohybu (AROM) klinicky významný</w:t>
      </w:r>
      <w:r>
        <w:rPr>
          <w:rFonts w:ascii="Times New Roman" w:hAnsi="Times New Roman" w:cs="Times New Roman"/>
          <w:sz w:val="22"/>
          <w:szCs w:val="22"/>
          <w:lang w:val="sk-SK"/>
        </w:rPr>
        <w:t>m</w:t>
      </w:r>
      <w:r w:rsidRPr="00F00DE4">
        <w:rPr>
          <w:rFonts w:ascii="Times New Roman" w:hAnsi="Times New Roman" w:cs="Times New Roman"/>
          <w:sz w:val="22"/>
          <w:szCs w:val="22"/>
          <w:lang w:val="sk-SK"/>
        </w:rPr>
        <w:t xml:space="preserve"> </w:t>
      </w:r>
      <w:r>
        <w:rPr>
          <w:rFonts w:ascii="Times New Roman" w:hAnsi="Times New Roman" w:cs="Times New Roman"/>
          <w:sz w:val="22"/>
          <w:szCs w:val="22"/>
          <w:lang w:val="sk-SK"/>
        </w:rPr>
        <w:t>rozdielom</w:t>
      </w:r>
      <w:r w:rsidRPr="00F00DE4">
        <w:rPr>
          <w:rFonts w:ascii="Times New Roman" w:hAnsi="Times New Roman" w:cs="Times New Roman"/>
          <w:sz w:val="22"/>
          <w:szCs w:val="22"/>
          <w:lang w:val="sk-SK"/>
        </w:rPr>
        <w:t xml:space="preserve"> v lakti (+18,3 stupňa), zápäst</w:t>
      </w:r>
      <w:r>
        <w:rPr>
          <w:rFonts w:ascii="Times New Roman" w:hAnsi="Times New Roman" w:cs="Times New Roman"/>
          <w:sz w:val="22"/>
          <w:szCs w:val="22"/>
          <w:lang w:val="sk-SK"/>
        </w:rPr>
        <w:t>í</w:t>
      </w:r>
      <w:r w:rsidRPr="00D73A56">
        <w:rPr>
          <w:rFonts w:ascii="Times New Roman" w:hAnsi="Times New Roman" w:cs="Times New Roman"/>
          <w:sz w:val="22"/>
          <w:szCs w:val="22"/>
          <w:lang w:val="sk-SK"/>
        </w:rPr>
        <w:t xml:space="preserve"> (+35,2 stupňa) a svalo</w:t>
      </w:r>
      <w:r w:rsidRPr="00F00DE4">
        <w:rPr>
          <w:rFonts w:ascii="Times New Roman" w:hAnsi="Times New Roman" w:cs="Times New Roman"/>
          <w:sz w:val="22"/>
          <w:szCs w:val="22"/>
          <w:lang w:val="sk-SK"/>
        </w:rPr>
        <w:t xml:space="preserve">ch prstov (+11,8 stupňa), zatiaľ čo žiadne zlepšenie nebolo pozorované v placebo skupine. Dysport 500 U preukázal podobný benefit </w:t>
      </w:r>
      <w:r>
        <w:rPr>
          <w:rFonts w:ascii="Times New Roman" w:hAnsi="Times New Roman" w:cs="Times New Roman"/>
          <w:sz w:val="22"/>
          <w:szCs w:val="22"/>
          <w:lang w:val="sk-SK"/>
        </w:rPr>
        <w:t xml:space="preserve">pri AROM </w:t>
      </w:r>
      <w:r w:rsidRPr="00F00DE4">
        <w:rPr>
          <w:rFonts w:ascii="Times New Roman" w:hAnsi="Times New Roman" w:cs="Times New Roman"/>
          <w:sz w:val="22"/>
          <w:szCs w:val="22"/>
          <w:lang w:val="sk-SK"/>
        </w:rPr>
        <w:t>na svaly prstov.</w:t>
      </w:r>
    </w:p>
    <w:p w:rsidR="00F134F4" w:rsidRDefault="00F134F4" w:rsidP="006C3BB3">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Zlepšenia v ľahkosti na</w:t>
      </w:r>
      <w:r w:rsidRPr="005D5FF7">
        <w:rPr>
          <w:rFonts w:ascii="Times New Roman" w:hAnsi="Times New Roman" w:cs="Times New Roman"/>
          <w:sz w:val="22"/>
          <w:szCs w:val="22"/>
          <w:lang w:val="sk-SK"/>
        </w:rPr>
        <w:t>sadenia</w:t>
      </w:r>
      <w:r w:rsidRPr="00D73A56">
        <w:rPr>
          <w:rFonts w:ascii="Times New Roman" w:hAnsi="Times New Roman" w:cs="Times New Roman"/>
          <w:sz w:val="22"/>
          <w:szCs w:val="22"/>
          <w:lang w:val="sk-SK"/>
        </w:rPr>
        <w:t xml:space="preserve"> fixačnej dlahy sledovaným subjektom boli štatisticky signifikantne </w:t>
      </w:r>
      <w:r>
        <w:rPr>
          <w:rFonts w:ascii="Times New Roman" w:hAnsi="Times New Roman" w:cs="Times New Roman"/>
          <w:sz w:val="22"/>
          <w:szCs w:val="22"/>
          <w:lang w:val="sk-SK"/>
        </w:rPr>
        <w:t>väčšie</w:t>
      </w:r>
      <w:r w:rsidRPr="00D73A56">
        <w:rPr>
          <w:rFonts w:ascii="Times New Roman" w:hAnsi="Times New Roman" w:cs="Times New Roman"/>
          <w:sz w:val="22"/>
          <w:szCs w:val="22"/>
          <w:lang w:val="sk-SK"/>
        </w:rPr>
        <w:t xml:space="preserve"> v skupinách liečených </w:t>
      </w:r>
      <w:r w:rsidRPr="00F00DE4">
        <w:rPr>
          <w:rFonts w:ascii="Times New Roman" w:hAnsi="Times New Roman" w:cs="Times New Roman"/>
          <w:sz w:val="22"/>
          <w:szCs w:val="22"/>
          <w:lang w:val="sk-SK"/>
        </w:rPr>
        <w:t>dávkami Dysportu 1000 U a 500 U než v placebo skupine v</w:t>
      </w:r>
      <w:r w:rsidRPr="005D5FF7">
        <w:rPr>
          <w:rFonts w:ascii="Times New Roman" w:hAnsi="Times New Roman" w:cs="Times New Roman"/>
          <w:sz w:val="22"/>
          <w:szCs w:val="22"/>
          <w:lang w:val="sk-SK"/>
        </w:rPr>
        <w:t> 4. a 12. týždni</w:t>
      </w:r>
      <w:r w:rsidRPr="00D73A56">
        <w:rPr>
          <w:rFonts w:ascii="Times New Roman" w:hAnsi="Times New Roman" w:cs="Times New Roman"/>
          <w:sz w:val="22"/>
          <w:szCs w:val="22"/>
          <w:lang w:val="sk-SK"/>
        </w:rPr>
        <w:t>.</w:t>
      </w:r>
    </w:p>
    <w:p w:rsidR="00F134F4" w:rsidRDefault="00F134F4" w:rsidP="006C3BB3">
      <w:pPr>
        <w:jc w:val="both"/>
        <w:rPr>
          <w:rFonts w:ascii="Times New Roman" w:hAnsi="Times New Roman" w:cs="Times New Roman"/>
          <w:sz w:val="22"/>
          <w:szCs w:val="22"/>
          <w:lang w:val="sk-SK"/>
        </w:rPr>
      </w:pPr>
    </w:p>
    <w:p w:rsidR="00F134F4" w:rsidRPr="00F00DE4" w:rsidRDefault="00F134F4" w:rsidP="004866F1">
      <w:pPr>
        <w:jc w:val="both"/>
        <w:rPr>
          <w:rFonts w:ascii="Times New Roman" w:hAnsi="Times New Roman" w:cs="Times New Roman"/>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5.2</w:t>
      </w:r>
      <w:r w:rsidRPr="00F00DE4">
        <w:rPr>
          <w:rFonts w:ascii="Times New Roman" w:hAnsi="Times New Roman" w:cs="Times New Roman"/>
          <w:b/>
          <w:sz w:val="22"/>
          <w:szCs w:val="22"/>
          <w:lang w:val="sk-SK"/>
        </w:rPr>
        <w:tab/>
        <w:t>Farmakokinetické vlastnosti</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Farmakokinetické štúdie s botulínovým toxínom robia u zvierat problémy z dôvodu veľkej sily, použitej nepatrnej dávky, veľkej molekulárnej hmotnosti zlúčeniny a problémami s označením toxínu k dosiahnutiu dostatočne vysokej špecifickej aktivity. Štúdie používajúce toxín označený I</w:t>
      </w:r>
      <w:r w:rsidRPr="00F00DE4">
        <w:rPr>
          <w:rFonts w:ascii="Times New Roman" w:hAnsi="Times New Roman" w:cs="Times New Roman"/>
          <w:sz w:val="22"/>
          <w:szCs w:val="22"/>
          <w:vertAlign w:val="superscript"/>
          <w:lang w:val="sk-SK"/>
        </w:rPr>
        <w:t>125</w:t>
      </w:r>
      <w:r w:rsidRPr="00F00DE4">
        <w:rPr>
          <w:rFonts w:ascii="Times New Roman" w:hAnsi="Times New Roman" w:cs="Times New Roman"/>
          <w:sz w:val="22"/>
          <w:szCs w:val="22"/>
          <w:lang w:val="sk-SK"/>
        </w:rPr>
        <w:t xml:space="preserve"> ukázali, že naviazanie na receptor je špecifické a nasýtiteľné, a že vysoká hustota receptorov pre toxín je faktor prispievajúci k vysokej sile. Odozva na dávku a dobu u opíc ukázala, že </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v prípade nízkych dávok bolo oneskorenie 2-3 dni s maximálnym účinkom pozorovaným 5-6 dní po aplikácii. Trvanie pôsobenia, meraného zmenami vyrovnania očí a svalovej paralýzy kolísalo medzi 2 týždňami až 8 mesiacmi. Tento charakter je pozorovaný aj u ľudí a je prisudzovaný procesu naviazania, internalizácie a zmien na neuromuskulárnom spojení.</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5.3</w:t>
      </w:r>
      <w:r w:rsidRPr="00F00DE4">
        <w:rPr>
          <w:rFonts w:ascii="Times New Roman" w:hAnsi="Times New Roman" w:cs="Times New Roman"/>
          <w:b/>
          <w:sz w:val="22"/>
          <w:szCs w:val="22"/>
          <w:lang w:val="sk-SK"/>
        </w:rPr>
        <w:tab/>
        <w:t>Predklinické údaje o bezpečnosti</w:t>
      </w:r>
    </w:p>
    <w:p w:rsidR="00F134F4" w:rsidRPr="00F00DE4" w:rsidRDefault="00F134F4" w:rsidP="004A316D">
      <w:pPr>
        <w:jc w:val="both"/>
        <w:rPr>
          <w:rFonts w:ascii="Times New Roman" w:hAnsi="Times New Roman" w:cs="Times New Roman"/>
          <w:sz w:val="22"/>
          <w:szCs w:val="22"/>
          <w:lang w:val="sk-SK"/>
        </w:rPr>
      </w:pPr>
    </w:p>
    <w:p w:rsidR="00F134F4" w:rsidRPr="00F00DE4" w:rsidRDefault="00F134F4" w:rsidP="00B40A1C">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Štúdie reprodukčnej toxicity u gravidných samíc potkanov a králikov, ktorým bol podaný komplex botulotoxín typu A - hemaglutinín, ako denná intramuskulárna injekcia v dávke 79 U/kg pre potkany a 42 U/kg pre králiky, nepoukázali na embryonálnu/fetálnu toxicitu.</w:t>
      </w:r>
    </w:p>
    <w:p w:rsidR="00F134F4" w:rsidRPr="00F00DE4" w:rsidRDefault="00F134F4" w:rsidP="00682658">
      <w:pPr>
        <w:jc w:val="both"/>
        <w:rPr>
          <w:rFonts w:ascii="Times New Roman" w:hAnsi="Times New Roman" w:cs="Times New Roman"/>
          <w:sz w:val="22"/>
          <w:szCs w:val="22"/>
          <w:lang w:val="sk-SK"/>
        </w:rPr>
      </w:pPr>
    </w:p>
    <w:p w:rsidR="00F134F4" w:rsidRPr="00F00DE4" w:rsidRDefault="00F134F4" w:rsidP="00682658">
      <w:pPr>
        <w:spacing w:line="240" w:lineRule="atLeast"/>
        <w:jc w:val="both"/>
        <w:rPr>
          <w:rFonts w:ascii="Times New Roman" w:hAnsi="Times New Roman" w:cs="Times New Roman"/>
          <w:b/>
          <w:sz w:val="22"/>
          <w:szCs w:val="22"/>
          <w:lang w:val="sk-SK"/>
        </w:rPr>
      </w:pPr>
      <w:r w:rsidRPr="00F00DE4">
        <w:rPr>
          <w:rFonts w:ascii="Times New Roman" w:hAnsi="Times New Roman" w:cs="Times New Roman"/>
          <w:sz w:val="22"/>
          <w:szCs w:val="22"/>
          <w:lang w:val="sk-SK"/>
        </w:rPr>
        <w:t>Bolo pozorovaných niekoľko prípadov maternálnej toxicity spojených so stratou implantácie pri vysokých dávkach u oboch druhov zvierat. Komplex botulotoxín typu A - hemaglutinín nevykázal žiadnu teratogénnu aktivitu u potkanov a ani u králikov, taktiež neboli pozorované účinky na F1 generáciu u potkanov. Fertilita samcov a samíc bola znížená v dôsledku zníženého párenia  ako dôsledok svalovej paralýzy pri vysokých dávkach.</w:t>
      </w:r>
    </w:p>
    <w:p w:rsidR="00F134F4" w:rsidRPr="00F00DE4" w:rsidRDefault="00F134F4" w:rsidP="00682658">
      <w:pPr>
        <w:spacing w:line="240" w:lineRule="atLeast"/>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V štúdiách chronickej toxicity uskutočnených na potkanoch až do 12 U/zviera neboli pozorované žiadne náznaky systémovej toxicity. Účinky reprodukčných štúdií a neklinických štúdií chronickej toxicity boli obmedzené na zmeny injikovaných svalov súvisiacich s mechanizmom účinku komplexu botulotoxín typu A-hemaglutinín.</w:t>
      </w:r>
    </w:p>
    <w:p w:rsidR="00F134F4" w:rsidRPr="00F00DE4" w:rsidRDefault="00F134F4" w:rsidP="00C25C19">
      <w:pPr>
        <w:spacing w:line="240" w:lineRule="atLeast"/>
        <w:rPr>
          <w:rFonts w:ascii="Times New Roman" w:hAnsi="Times New Roman" w:cs="Times New Roman"/>
          <w:sz w:val="22"/>
          <w:szCs w:val="22"/>
          <w:highlight w:val="yellow"/>
          <w:lang w:val="sk-SK"/>
        </w:rPr>
      </w:pPr>
    </w:p>
    <w:p w:rsidR="00F134F4" w:rsidRPr="00F00DE4" w:rsidRDefault="00F134F4" w:rsidP="00C25C19">
      <w:pPr>
        <w:spacing w:line="240" w:lineRule="atLeast"/>
        <w:rPr>
          <w:rFonts w:ascii="Times New Roman" w:hAnsi="Times New Roman" w:cs="Times New Roman"/>
          <w:sz w:val="22"/>
          <w:szCs w:val="22"/>
          <w:lang w:val="sk-SK"/>
        </w:rPr>
      </w:pPr>
      <w:r w:rsidRPr="00F00DE4">
        <w:rPr>
          <w:rFonts w:ascii="Times New Roman" w:hAnsi="Times New Roman" w:cs="Times New Roman"/>
          <w:sz w:val="22"/>
          <w:szCs w:val="22"/>
          <w:lang w:val="sk-SK"/>
        </w:rPr>
        <w:t>Po podaní komplexu botulotoxín typu A - hemaglutinín do oka králika nedošlo k žiadnemu podráždeniu očí.</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rPr>
          <w:rFonts w:ascii="Times New Roman" w:hAnsi="Times New Roman" w:cs="Times New Roman"/>
          <w:b/>
          <w:noProof/>
          <w:sz w:val="22"/>
          <w:szCs w:val="22"/>
          <w:lang w:val="sk-SK"/>
        </w:rPr>
      </w:pPr>
      <w:r w:rsidRPr="00F00DE4">
        <w:rPr>
          <w:rFonts w:ascii="Times New Roman" w:hAnsi="Times New Roman" w:cs="Times New Roman"/>
          <w:b/>
          <w:noProof/>
          <w:sz w:val="22"/>
          <w:szCs w:val="22"/>
          <w:lang w:val="sk-SK"/>
        </w:rPr>
        <w:t>6.</w:t>
      </w:r>
      <w:r w:rsidRPr="00F00DE4">
        <w:rPr>
          <w:rFonts w:ascii="Times New Roman" w:hAnsi="Times New Roman" w:cs="Times New Roman"/>
          <w:b/>
          <w:noProof/>
          <w:sz w:val="22"/>
          <w:szCs w:val="22"/>
          <w:lang w:val="sk-SK"/>
        </w:rPr>
        <w:tab/>
        <w:t>FARMACEUTICKÉ INFORMÁCIE</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6.1</w:t>
      </w:r>
      <w:r w:rsidRPr="00F00DE4">
        <w:rPr>
          <w:rFonts w:ascii="Times New Roman" w:hAnsi="Times New Roman" w:cs="Times New Roman"/>
          <w:b/>
          <w:sz w:val="22"/>
          <w:szCs w:val="22"/>
          <w:lang w:val="sk-SK"/>
        </w:rPr>
        <w:tab/>
        <w:t>Zoznam pomocných látok</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06E5E">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roztok ľudského albumínu 20 %</w:t>
      </w: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sz w:val="22"/>
          <w:szCs w:val="22"/>
          <w:lang w:val="sk-SK"/>
        </w:rPr>
        <w:t>laktóza</w:t>
      </w: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6.2</w:t>
      </w:r>
      <w:r w:rsidRPr="00F00DE4">
        <w:rPr>
          <w:rFonts w:ascii="Times New Roman" w:hAnsi="Times New Roman" w:cs="Times New Roman"/>
          <w:b/>
          <w:sz w:val="22"/>
          <w:szCs w:val="22"/>
          <w:lang w:val="sk-SK"/>
        </w:rPr>
        <w:tab/>
        <w:t>Inkompatibility</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461A2F">
        <w:t xml:space="preserve"> </w:t>
      </w:r>
      <w:r w:rsidRPr="00461A2F">
        <w:rPr>
          <w:rFonts w:ascii="Times New Roman" w:hAnsi="Times New Roman" w:cs="Times New Roman"/>
          <w:sz w:val="22"/>
          <w:szCs w:val="22"/>
          <w:lang w:val="sk-SK"/>
        </w:rPr>
        <w:t>Tento liek sa nesmie miešať s inými liekmi okrem tých, ktoré sú uvedené v časti 4.2. Neboli vykonané štúdie inkompatibility okrem tých, ktoré sú uvedené v časti 4.2.</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6.3</w:t>
      </w:r>
      <w:r w:rsidRPr="00F00DE4">
        <w:rPr>
          <w:rFonts w:ascii="Times New Roman" w:hAnsi="Times New Roman" w:cs="Times New Roman"/>
          <w:b/>
          <w:sz w:val="22"/>
          <w:szCs w:val="22"/>
          <w:lang w:val="sk-SK"/>
        </w:rPr>
        <w:tab/>
        <w:t>Čas použiteľnosti</w:t>
      </w:r>
    </w:p>
    <w:p w:rsidR="00F134F4" w:rsidRPr="00F00DE4" w:rsidRDefault="00F134F4" w:rsidP="00FE4006">
      <w:pPr>
        <w:spacing w:line="240" w:lineRule="atLeast"/>
        <w:rPr>
          <w:rFonts w:ascii="Times New Roman" w:hAnsi="Times New Roman" w:cs="Times New Roman"/>
          <w:b/>
          <w:sz w:val="22"/>
          <w:szCs w:val="22"/>
          <w:lang w:val="sk-SK"/>
        </w:rPr>
      </w:pPr>
    </w:p>
    <w:p w:rsidR="00F134F4" w:rsidRDefault="00F134F4" w:rsidP="00B40A1C">
      <w:pPr>
        <w:jc w:val="both"/>
        <w:rPr>
          <w:rFonts w:ascii="Times New Roman" w:hAnsi="Times New Roman" w:cs="Times New Roman"/>
          <w:sz w:val="22"/>
          <w:szCs w:val="22"/>
          <w:lang w:val="sk-SK"/>
        </w:rPr>
      </w:pPr>
      <w:r>
        <w:rPr>
          <w:rFonts w:ascii="Times New Roman" w:hAnsi="Times New Roman" w:cs="Times New Roman"/>
          <w:sz w:val="22"/>
          <w:szCs w:val="22"/>
          <w:lang w:val="sk-SK"/>
        </w:rPr>
        <w:t>V originálnom obale: 2 roky pri teplote 2 – 8 °C</w:t>
      </w:r>
    </w:p>
    <w:p w:rsidR="00F134F4" w:rsidRPr="00F00DE4" w:rsidRDefault="00F134F4" w:rsidP="00682658">
      <w:pPr>
        <w:jc w:val="both"/>
        <w:rPr>
          <w:rFonts w:ascii="Times New Roman" w:hAnsi="Times New Roman" w:cs="Times New Roman"/>
          <w:sz w:val="22"/>
          <w:szCs w:val="22"/>
          <w:lang w:val="sk-SK"/>
        </w:rPr>
      </w:pPr>
    </w:p>
    <w:p w:rsidR="00F134F4" w:rsidRPr="00F00DE4" w:rsidRDefault="00F134F4" w:rsidP="00682658">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Rekonštituovaný roztok:</w:t>
      </w:r>
    </w:p>
    <w:p w:rsidR="00F134F4" w:rsidRPr="00F00DE4" w:rsidRDefault="00F134F4" w:rsidP="00682658">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Chemická a fyzikálna stabilita sa stanovila na 24 hodín pri teplote 2°C – 8 °C.</w:t>
      </w:r>
    </w:p>
    <w:p w:rsidR="00F134F4" w:rsidRPr="00F00DE4" w:rsidRDefault="00F134F4" w:rsidP="00682658">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Z mikrobiologického hľadiska sa má liek použiť ihneď. Ak liek nie je použitý ihneď, čas uchovávania a podmienky pred použitím sú v zodpovednosti používateľa a za normálnych okolností nemá byť dlhší ako 24 hodín pri teplote 2 - 8 </w:t>
      </w:r>
      <w:r w:rsidRPr="00F00DE4">
        <w:rPr>
          <w:rFonts w:ascii="Times New Roman" w:hAnsi="Times New Roman" w:cs="Times New Roman"/>
          <w:sz w:val="22"/>
          <w:szCs w:val="22"/>
          <w:vertAlign w:val="superscript"/>
          <w:lang w:val="sk-SK"/>
        </w:rPr>
        <w:t>o</w:t>
      </w:r>
      <w:r w:rsidRPr="00F00DE4">
        <w:rPr>
          <w:rFonts w:ascii="Times New Roman" w:hAnsi="Times New Roman" w:cs="Times New Roman"/>
          <w:sz w:val="22"/>
          <w:szCs w:val="22"/>
          <w:lang w:val="sk-SK"/>
        </w:rPr>
        <w:t xml:space="preserve">C. </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b/>
          <w:noProof/>
          <w:sz w:val="22"/>
          <w:szCs w:val="22"/>
          <w:lang w:val="sk-SK"/>
        </w:rPr>
      </w:pPr>
      <w:r w:rsidRPr="00F00DE4">
        <w:rPr>
          <w:rFonts w:ascii="Times New Roman" w:hAnsi="Times New Roman" w:cs="Times New Roman"/>
          <w:b/>
          <w:noProof/>
          <w:sz w:val="22"/>
          <w:szCs w:val="22"/>
          <w:lang w:val="sk-SK"/>
        </w:rPr>
        <w:t>6.4</w:t>
      </w:r>
      <w:r w:rsidRPr="00F00DE4">
        <w:rPr>
          <w:rFonts w:ascii="Times New Roman" w:hAnsi="Times New Roman" w:cs="Times New Roman"/>
          <w:b/>
          <w:noProof/>
          <w:sz w:val="22"/>
          <w:szCs w:val="22"/>
          <w:lang w:val="sk-SK"/>
        </w:rPr>
        <w:tab/>
        <w:t>Špeciálne upozornenia na uchovávanie</w:t>
      </w:r>
    </w:p>
    <w:p w:rsidR="00F134F4" w:rsidRPr="00F00DE4" w:rsidRDefault="00F134F4" w:rsidP="00FE4006">
      <w:pPr>
        <w:rPr>
          <w:rFonts w:ascii="Times New Roman" w:hAnsi="Times New Roman" w:cs="Times New Roman"/>
          <w:noProof/>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Neotvorené injekčné liekovky sa musia uchovávať pri teplote medzi 2 – 8 </w:t>
      </w:r>
      <w:r w:rsidRPr="00F00DE4">
        <w:rPr>
          <w:rFonts w:ascii="Times New Roman" w:hAnsi="Times New Roman" w:cs="Times New Roman"/>
          <w:sz w:val="22"/>
          <w:szCs w:val="22"/>
          <w:vertAlign w:val="superscript"/>
          <w:lang w:val="sk-SK"/>
        </w:rPr>
        <w:t>o</w:t>
      </w:r>
      <w:r w:rsidRPr="00F00DE4">
        <w:rPr>
          <w:rFonts w:ascii="Times New Roman" w:hAnsi="Times New Roman" w:cs="Times New Roman"/>
          <w:sz w:val="22"/>
          <w:szCs w:val="22"/>
          <w:lang w:val="sk-SK"/>
        </w:rPr>
        <w:t xml:space="preserve">C. </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Dysport 500 U sa musí uchovávať v chladničke na pracovisku, kde sa aplikujú injekcie a nemá sa dávať pacientovi k skladovaniu doma.</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Nariedený Dysport 500 U sa môže uchovávať v chladničke pri teplote 2 – 8 </w:t>
      </w:r>
      <w:r w:rsidRPr="00F00DE4">
        <w:rPr>
          <w:rFonts w:ascii="Times New Roman" w:hAnsi="Times New Roman" w:cs="Times New Roman"/>
          <w:sz w:val="22"/>
          <w:szCs w:val="22"/>
          <w:vertAlign w:val="superscript"/>
          <w:lang w:val="sk-SK"/>
        </w:rPr>
        <w:t>o</w:t>
      </w:r>
      <w:r w:rsidRPr="00F00DE4">
        <w:rPr>
          <w:rFonts w:ascii="Times New Roman" w:hAnsi="Times New Roman" w:cs="Times New Roman"/>
          <w:sz w:val="22"/>
          <w:szCs w:val="22"/>
          <w:lang w:val="sk-SK"/>
        </w:rPr>
        <w:t>C 24 hodín pred použitím.</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Dysport 500 U nemá byť zmrazený. </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b/>
          <w:noProof/>
          <w:color w:val="0000FF"/>
          <w:sz w:val="22"/>
          <w:szCs w:val="22"/>
          <w:lang w:val="sk-SK"/>
        </w:rPr>
      </w:pPr>
      <w:r w:rsidRPr="00F00DE4">
        <w:rPr>
          <w:rFonts w:ascii="Times New Roman" w:hAnsi="Times New Roman" w:cs="Times New Roman"/>
          <w:b/>
          <w:noProof/>
          <w:sz w:val="22"/>
          <w:szCs w:val="22"/>
          <w:lang w:val="sk-SK"/>
        </w:rPr>
        <w:t>6.5</w:t>
      </w:r>
      <w:r w:rsidRPr="00F00DE4">
        <w:rPr>
          <w:rFonts w:ascii="Times New Roman" w:hAnsi="Times New Roman" w:cs="Times New Roman"/>
          <w:b/>
          <w:noProof/>
          <w:sz w:val="22"/>
          <w:szCs w:val="22"/>
          <w:lang w:val="sk-SK"/>
        </w:rPr>
        <w:tab/>
        <w:t>Druh obalu a obsah balenia</w:t>
      </w:r>
      <w:r w:rsidRPr="00F00DE4">
        <w:rPr>
          <w:rFonts w:ascii="Times New Roman" w:hAnsi="Times New Roman" w:cs="Times New Roman"/>
          <w:b/>
          <w:noProof/>
          <w:color w:val="0000FF"/>
          <w:sz w:val="22"/>
          <w:szCs w:val="22"/>
          <w:lang w:val="sk-SK"/>
        </w:rPr>
        <w:t xml:space="preserve"> </w:t>
      </w:r>
    </w:p>
    <w:p w:rsidR="00F134F4" w:rsidRPr="00F00DE4" w:rsidRDefault="00F134F4" w:rsidP="00FE4006">
      <w:pPr>
        <w:rPr>
          <w:rFonts w:ascii="Times New Roman" w:hAnsi="Times New Roman" w:cs="Times New Roman"/>
          <w:noProof/>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i/>
          <w:sz w:val="22"/>
          <w:szCs w:val="22"/>
          <w:u w:val="single"/>
          <w:lang w:val="sk-SK"/>
        </w:rPr>
        <w:t>Vonkajší obal:</w:t>
      </w:r>
      <w:r w:rsidRPr="00F00DE4">
        <w:rPr>
          <w:rFonts w:ascii="Times New Roman" w:hAnsi="Times New Roman" w:cs="Times New Roman"/>
          <w:sz w:val="22"/>
          <w:szCs w:val="22"/>
          <w:lang w:val="sk-SK"/>
        </w:rPr>
        <w:t xml:space="preserve"> papierová škatuľka, písomná informácia pre používateľa. </w:t>
      </w: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i/>
          <w:sz w:val="22"/>
          <w:szCs w:val="22"/>
          <w:u w:val="single"/>
          <w:lang w:val="sk-SK"/>
        </w:rPr>
        <w:t>Vnútorný obal:</w:t>
      </w:r>
      <w:r w:rsidRPr="00F00DE4">
        <w:rPr>
          <w:rFonts w:ascii="Times New Roman" w:hAnsi="Times New Roman" w:cs="Times New Roman"/>
          <w:sz w:val="22"/>
          <w:szCs w:val="22"/>
          <w:lang w:val="sk-SK"/>
        </w:rPr>
        <w:t xml:space="preserve"> sklenená injekčná liekovka typ I. s kapacitou 3 ml, 13 mm lyofilizovaný chlorobutylový uzáver utesnený 13 mm alumíniovou plombou s centrálnym otvorom, </w:t>
      </w:r>
      <w:r>
        <w:rPr>
          <w:rFonts w:ascii="Times New Roman" w:hAnsi="Times New Roman" w:cs="Times New Roman"/>
          <w:sz w:val="22"/>
          <w:szCs w:val="22"/>
          <w:lang w:val="sk-SK"/>
        </w:rPr>
        <w:t xml:space="preserve">s </w:t>
      </w:r>
      <w:r w:rsidRPr="00F00DE4">
        <w:rPr>
          <w:rFonts w:ascii="Times New Roman" w:hAnsi="Times New Roman" w:cs="Times New Roman"/>
          <w:sz w:val="22"/>
          <w:szCs w:val="22"/>
          <w:lang w:val="sk-SK"/>
        </w:rPr>
        <w:t>prekryt</w:t>
      </w:r>
      <w:r>
        <w:rPr>
          <w:rFonts w:ascii="Times New Roman" w:hAnsi="Times New Roman" w:cs="Times New Roman"/>
          <w:sz w:val="22"/>
          <w:szCs w:val="22"/>
          <w:lang w:val="sk-SK"/>
        </w:rPr>
        <w:t>í</w:t>
      </w:r>
      <w:r w:rsidRPr="00F00DE4">
        <w:rPr>
          <w:rFonts w:ascii="Times New Roman" w:hAnsi="Times New Roman" w:cs="Times New Roman"/>
          <w:sz w:val="22"/>
          <w:szCs w:val="22"/>
          <w:lang w:val="sk-SK"/>
        </w:rPr>
        <w:t>m.</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Obsah liekovky: biely prášok</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i/>
          <w:sz w:val="22"/>
          <w:szCs w:val="22"/>
          <w:u w:val="single"/>
          <w:lang w:val="sk-SK"/>
        </w:rPr>
        <w:t>Veľkosť balenia:</w:t>
      </w:r>
      <w:r w:rsidRPr="00F00DE4">
        <w:rPr>
          <w:rFonts w:ascii="Times New Roman" w:hAnsi="Times New Roman" w:cs="Times New Roman"/>
          <w:sz w:val="22"/>
          <w:szCs w:val="22"/>
          <w:lang w:val="sk-SK"/>
        </w:rPr>
        <w:t xml:space="preserve"> 1 alebo 2 injekčné liekovky po 500 U. </w:t>
      </w:r>
    </w:p>
    <w:p w:rsidR="00F134F4" w:rsidRPr="00F00DE4" w:rsidRDefault="00F134F4" w:rsidP="00BA6FE9">
      <w:pPr>
        <w:rPr>
          <w:rFonts w:ascii="Times New Roman" w:hAnsi="Times New Roman" w:cs="Times New Roman"/>
          <w:noProof/>
          <w:sz w:val="22"/>
          <w:szCs w:val="22"/>
          <w:lang w:val="sk-SK"/>
        </w:rPr>
      </w:pPr>
      <w:r w:rsidRPr="00F00DE4">
        <w:rPr>
          <w:rFonts w:ascii="Times New Roman" w:hAnsi="Times New Roman" w:cs="Times New Roman"/>
          <w:noProof/>
          <w:sz w:val="22"/>
          <w:szCs w:val="22"/>
          <w:lang w:val="sk-SK"/>
        </w:rPr>
        <w:t>Na trh nemusia byť uvedené všetky veľkosti balenia.</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b/>
          <w:bCs/>
          <w:noProof/>
          <w:sz w:val="22"/>
          <w:szCs w:val="22"/>
          <w:lang w:val="sk-SK"/>
        </w:rPr>
      </w:pPr>
      <w:r w:rsidRPr="00F00DE4">
        <w:rPr>
          <w:rFonts w:ascii="Times New Roman" w:hAnsi="Times New Roman" w:cs="Times New Roman"/>
          <w:b/>
          <w:noProof/>
          <w:sz w:val="22"/>
          <w:szCs w:val="22"/>
          <w:lang w:val="sk-SK"/>
        </w:rPr>
        <w:t>6.6</w:t>
      </w:r>
      <w:r w:rsidRPr="00F00DE4">
        <w:rPr>
          <w:rFonts w:ascii="Times New Roman" w:hAnsi="Times New Roman" w:cs="Times New Roman"/>
          <w:b/>
          <w:noProof/>
          <w:sz w:val="22"/>
          <w:szCs w:val="22"/>
          <w:lang w:val="sk-SK"/>
        </w:rPr>
        <w:tab/>
      </w:r>
      <w:r w:rsidRPr="00F00DE4">
        <w:rPr>
          <w:rFonts w:ascii="Times New Roman" w:hAnsi="Times New Roman" w:cs="Times New Roman"/>
          <w:b/>
          <w:bCs/>
          <w:noProof/>
          <w:sz w:val="22"/>
          <w:szCs w:val="22"/>
          <w:lang w:val="sk-SK"/>
        </w:rPr>
        <w:t>Špeciálne opatrenia na likvidáciu a iné zaobchádzanie s liekom</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 xml:space="preserve">Bezprostredne po liečbe pacienta má byť akýkoľvek zvyšok Dysportu 500 U (v injekčnej liekovke alebo injekčnej striekačke) inaktivovaný riedeným roztokom chlórnanu (1 % voľného chlóru). Potom sa majú všetky súčasti odstrániť v súlade so štandardnou nemocničnou praxou. </w:t>
      </w:r>
    </w:p>
    <w:p w:rsidR="00F134F4" w:rsidRPr="00F00DE4" w:rsidRDefault="00F134F4" w:rsidP="00FE4006">
      <w:pPr>
        <w:jc w:val="both"/>
        <w:rPr>
          <w:rFonts w:ascii="Times New Roman" w:hAnsi="Times New Roman" w:cs="Times New Roman"/>
          <w:sz w:val="22"/>
          <w:szCs w:val="22"/>
          <w:lang w:val="sk-SK"/>
        </w:rPr>
      </w:pPr>
    </w:p>
    <w:p w:rsidR="00F134F4" w:rsidRPr="00F00DE4" w:rsidRDefault="00F134F4" w:rsidP="00FE4006">
      <w:pPr>
        <w:jc w:val="both"/>
        <w:rPr>
          <w:rFonts w:ascii="Times New Roman" w:hAnsi="Times New Roman" w:cs="Times New Roman"/>
          <w:sz w:val="22"/>
          <w:szCs w:val="22"/>
          <w:lang w:val="sk-SK"/>
        </w:rPr>
      </w:pPr>
      <w:r w:rsidRPr="00F00DE4">
        <w:rPr>
          <w:rFonts w:ascii="Times New Roman" w:hAnsi="Times New Roman" w:cs="Times New Roman"/>
          <w:sz w:val="22"/>
          <w:szCs w:val="22"/>
          <w:lang w:val="sk-SK"/>
        </w:rPr>
        <w:t>Rozliaty Dysport 500 U sa má utrieť nasávajúcou handrou namočenou v riedenom roztoku chlórnanu.</w:t>
      </w: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p>
    <w:p w:rsidR="00F134F4" w:rsidRPr="00F00DE4" w:rsidRDefault="00F134F4" w:rsidP="00FE4006">
      <w:pPr>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7.</w:t>
      </w:r>
      <w:r w:rsidRPr="00F00DE4">
        <w:rPr>
          <w:rFonts w:ascii="Times New Roman" w:hAnsi="Times New Roman" w:cs="Times New Roman"/>
          <w:b/>
          <w:sz w:val="22"/>
          <w:szCs w:val="22"/>
          <w:lang w:val="sk-SK"/>
        </w:rPr>
        <w:tab/>
        <w:t>DRŽITEĽ ROZHODNUTIA O REGISTRÁCII</w:t>
      </w:r>
    </w:p>
    <w:p w:rsidR="00F134F4" w:rsidRPr="00F00DE4" w:rsidRDefault="00F134F4" w:rsidP="00FE4006">
      <w:pPr>
        <w:tabs>
          <w:tab w:val="left" w:pos="851"/>
        </w:tabs>
        <w:spacing w:line="240" w:lineRule="atLeast"/>
        <w:rPr>
          <w:rFonts w:ascii="Times New Roman" w:hAnsi="Times New Roman" w:cs="Times New Roman"/>
          <w:sz w:val="22"/>
          <w:szCs w:val="22"/>
          <w:lang w:val="sk-SK"/>
        </w:rPr>
      </w:pPr>
    </w:p>
    <w:p w:rsidR="00F134F4" w:rsidRPr="00F00DE4" w:rsidRDefault="00F134F4" w:rsidP="00FE4006">
      <w:pPr>
        <w:tabs>
          <w:tab w:val="left" w:pos="851"/>
        </w:tabs>
        <w:spacing w:line="240" w:lineRule="atLeast"/>
        <w:rPr>
          <w:rFonts w:ascii="Times New Roman" w:hAnsi="Times New Roman" w:cs="Times New Roman"/>
          <w:sz w:val="22"/>
          <w:szCs w:val="22"/>
          <w:lang w:val="sk-SK"/>
        </w:rPr>
      </w:pPr>
      <w:r w:rsidRPr="00F00DE4">
        <w:rPr>
          <w:rFonts w:ascii="Times New Roman" w:hAnsi="Times New Roman" w:cs="Times New Roman"/>
          <w:sz w:val="22"/>
          <w:szCs w:val="22"/>
          <w:lang w:val="sk-SK"/>
        </w:rPr>
        <w:t>Ipsen Pharma</w:t>
      </w:r>
    </w:p>
    <w:p w:rsidR="00F134F4" w:rsidRPr="00F00DE4" w:rsidRDefault="00F134F4" w:rsidP="00FE4006">
      <w:pPr>
        <w:tabs>
          <w:tab w:val="left" w:pos="851"/>
        </w:tabs>
        <w:spacing w:line="240" w:lineRule="atLeast"/>
        <w:rPr>
          <w:rFonts w:ascii="Times New Roman" w:hAnsi="Times New Roman" w:cs="Times New Roman"/>
          <w:sz w:val="22"/>
          <w:szCs w:val="22"/>
          <w:lang w:val="sk-SK"/>
        </w:rPr>
      </w:pPr>
      <w:r w:rsidRPr="00F00DE4">
        <w:rPr>
          <w:rFonts w:ascii="Times New Roman" w:hAnsi="Times New Roman" w:cs="Times New Roman"/>
          <w:sz w:val="22"/>
          <w:szCs w:val="22"/>
          <w:lang w:val="sk-SK"/>
        </w:rPr>
        <w:t>65 Quai Georges Gorse</w:t>
      </w:r>
    </w:p>
    <w:p w:rsidR="00F134F4" w:rsidRPr="00F00DE4" w:rsidRDefault="00F134F4" w:rsidP="00FE4006">
      <w:pPr>
        <w:tabs>
          <w:tab w:val="left" w:pos="851"/>
        </w:tabs>
        <w:spacing w:line="240" w:lineRule="atLeast"/>
        <w:rPr>
          <w:rFonts w:ascii="Times New Roman" w:hAnsi="Times New Roman" w:cs="Times New Roman"/>
          <w:sz w:val="22"/>
          <w:szCs w:val="22"/>
          <w:lang w:val="sk-SK"/>
        </w:rPr>
      </w:pPr>
      <w:r w:rsidRPr="00F00DE4">
        <w:rPr>
          <w:rFonts w:ascii="Times New Roman" w:hAnsi="Times New Roman" w:cs="Times New Roman"/>
          <w:sz w:val="22"/>
          <w:szCs w:val="22"/>
          <w:lang w:val="sk-SK"/>
        </w:rPr>
        <w:t>92100 Boulogne Billancourt</w:t>
      </w:r>
    </w:p>
    <w:p w:rsidR="00F134F4" w:rsidRPr="00F00DE4" w:rsidRDefault="00F134F4" w:rsidP="00FE4006">
      <w:pPr>
        <w:tabs>
          <w:tab w:val="left" w:pos="851"/>
        </w:tabs>
        <w:spacing w:line="240" w:lineRule="atLeast"/>
        <w:rPr>
          <w:rFonts w:ascii="Times New Roman" w:hAnsi="Times New Roman" w:cs="Times New Roman"/>
          <w:sz w:val="22"/>
          <w:szCs w:val="22"/>
          <w:lang w:val="sk-SK"/>
        </w:rPr>
      </w:pPr>
      <w:r w:rsidRPr="00F00DE4">
        <w:rPr>
          <w:rFonts w:ascii="Times New Roman" w:hAnsi="Times New Roman" w:cs="Times New Roman"/>
          <w:sz w:val="22"/>
          <w:szCs w:val="22"/>
          <w:lang w:val="sk-SK"/>
        </w:rPr>
        <w:t>Francúzsko</w:t>
      </w:r>
    </w:p>
    <w:p w:rsidR="00F134F4" w:rsidRPr="00F00DE4" w:rsidRDefault="00F134F4" w:rsidP="00FE4006">
      <w:pPr>
        <w:tabs>
          <w:tab w:val="left" w:pos="851"/>
        </w:tabs>
        <w:spacing w:line="240" w:lineRule="atLeast"/>
        <w:rPr>
          <w:rFonts w:ascii="Times New Roman" w:hAnsi="Times New Roman" w:cs="Times New Roman"/>
          <w:b/>
          <w:sz w:val="22"/>
          <w:szCs w:val="22"/>
          <w:lang w:val="sk-SK"/>
        </w:rPr>
      </w:pPr>
    </w:p>
    <w:p w:rsidR="00F134F4" w:rsidRPr="00F00DE4" w:rsidRDefault="00F134F4" w:rsidP="00FE4006">
      <w:pPr>
        <w:tabs>
          <w:tab w:val="left" w:pos="851"/>
        </w:tabs>
        <w:spacing w:line="240" w:lineRule="atLeast"/>
        <w:rPr>
          <w:rFonts w:ascii="Times New Roman" w:hAnsi="Times New Roman" w:cs="Times New Roman"/>
          <w:b/>
          <w:sz w:val="22"/>
          <w:szCs w:val="22"/>
          <w:lang w:val="sk-SK"/>
        </w:rPr>
      </w:pPr>
    </w:p>
    <w:p w:rsidR="00F134F4" w:rsidRPr="00F00DE4" w:rsidRDefault="00F134F4" w:rsidP="00FE4006">
      <w:pPr>
        <w:tabs>
          <w:tab w:val="left" w:pos="851"/>
        </w:tabs>
        <w:spacing w:line="240" w:lineRule="atLeast"/>
        <w:rPr>
          <w:rFonts w:ascii="Times New Roman" w:hAnsi="Times New Roman" w:cs="Times New Roman"/>
          <w:b/>
          <w:sz w:val="22"/>
          <w:szCs w:val="22"/>
          <w:lang w:val="sk-SK"/>
        </w:rPr>
      </w:pPr>
      <w:r w:rsidRPr="00F00DE4">
        <w:rPr>
          <w:rFonts w:ascii="Times New Roman" w:hAnsi="Times New Roman" w:cs="Times New Roman"/>
          <w:b/>
          <w:sz w:val="22"/>
          <w:szCs w:val="22"/>
          <w:lang w:val="sk-SK"/>
        </w:rPr>
        <w:t>8.</w:t>
      </w:r>
      <w:r w:rsidRPr="00F00DE4">
        <w:rPr>
          <w:rFonts w:ascii="Times New Roman" w:hAnsi="Times New Roman" w:cs="Times New Roman"/>
          <w:b/>
          <w:sz w:val="22"/>
          <w:szCs w:val="22"/>
          <w:lang w:val="sk-SK"/>
        </w:rPr>
        <w:tab/>
        <w:t>REGISTRAČNÉ ČÍSLO</w:t>
      </w:r>
    </w:p>
    <w:p w:rsidR="00F134F4" w:rsidRPr="00F00DE4" w:rsidRDefault="00F134F4" w:rsidP="00FE4006">
      <w:pPr>
        <w:tabs>
          <w:tab w:val="left" w:pos="851"/>
        </w:tabs>
        <w:spacing w:line="240" w:lineRule="atLeast"/>
        <w:rPr>
          <w:rFonts w:ascii="Times New Roman" w:hAnsi="Times New Roman" w:cs="Times New Roman"/>
          <w:b/>
          <w:sz w:val="22"/>
          <w:szCs w:val="22"/>
          <w:lang w:val="sk-SK"/>
        </w:rPr>
      </w:pPr>
    </w:p>
    <w:p w:rsidR="00F134F4" w:rsidRPr="00F00DE4" w:rsidRDefault="00F134F4" w:rsidP="00FE4006">
      <w:pPr>
        <w:tabs>
          <w:tab w:val="left" w:pos="851"/>
        </w:tabs>
        <w:spacing w:line="240" w:lineRule="atLeast"/>
        <w:rPr>
          <w:rFonts w:ascii="Times New Roman" w:hAnsi="Times New Roman" w:cs="Times New Roman"/>
          <w:sz w:val="22"/>
          <w:szCs w:val="22"/>
          <w:lang w:val="sk-SK"/>
        </w:rPr>
      </w:pPr>
      <w:r w:rsidRPr="00F00DE4">
        <w:rPr>
          <w:rFonts w:ascii="Times New Roman" w:hAnsi="Times New Roman" w:cs="Times New Roman"/>
          <w:sz w:val="22"/>
          <w:szCs w:val="22"/>
          <w:lang w:val="sk-SK"/>
        </w:rPr>
        <w:t>63/0060/91-S</w:t>
      </w:r>
    </w:p>
    <w:p w:rsidR="00F134F4" w:rsidRPr="00F00DE4" w:rsidRDefault="00F134F4" w:rsidP="00FE4006">
      <w:pPr>
        <w:tabs>
          <w:tab w:val="left" w:pos="851"/>
        </w:tabs>
        <w:spacing w:line="240" w:lineRule="atLeast"/>
        <w:rPr>
          <w:rFonts w:ascii="Times New Roman" w:hAnsi="Times New Roman" w:cs="Times New Roman"/>
          <w:sz w:val="22"/>
          <w:szCs w:val="22"/>
          <w:lang w:val="sk-SK"/>
        </w:rPr>
      </w:pPr>
    </w:p>
    <w:p w:rsidR="00F134F4" w:rsidRPr="00F00DE4" w:rsidRDefault="00F134F4" w:rsidP="00FE4006">
      <w:pPr>
        <w:tabs>
          <w:tab w:val="left" w:pos="851"/>
        </w:tabs>
        <w:spacing w:line="240" w:lineRule="atLeast"/>
        <w:rPr>
          <w:rFonts w:ascii="Times New Roman" w:hAnsi="Times New Roman" w:cs="Times New Roman"/>
          <w:sz w:val="22"/>
          <w:szCs w:val="22"/>
          <w:lang w:val="sk-SK"/>
        </w:rPr>
      </w:pPr>
    </w:p>
    <w:p w:rsidR="00F134F4" w:rsidRPr="00F00DE4" w:rsidRDefault="00F134F4" w:rsidP="00FE4006">
      <w:pPr>
        <w:rPr>
          <w:rFonts w:ascii="Times New Roman" w:hAnsi="Times New Roman" w:cs="Times New Roman"/>
          <w:b/>
          <w:noProof/>
          <w:sz w:val="22"/>
          <w:szCs w:val="22"/>
          <w:lang w:val="sk-SK"/>
        </w:rPr>
      </w:pPr>
      <w:r w:rsidRPr="00F00DE4">
        <w:rPr>
          <w:rFonts w:ascii="Times New Roman" w:hAnsi="Times New Roman" w:cs="Times New Roman"/>
          <w:b/>
          <w:noProof/>
          <w:sz w:val="22"/>
          <w:szCs w:val="22"/>
          <w:lang w:val="sk-SK"/>
        </w:rPr>
        <w:t>9.</w:t>
      </w:r>
      <w:r w:rsidRPr="00F00DE4">
        <w:rPr>
          <w:rFonts w:ascii="Times New Roman" w:hAnsi="Times New Roman" w:cs="Times New Roman"/>
          <w:b/>
          <w:noProof/>
          <w:sz w:val="22"/>
          <w:szCs w:val="22"/>
          <w:lang w:val="sk-SK"/>
        </w:rPr>
        <w:tab/>
        <w:t>DÁTUM PRVEJ REGISTRÁCIE/ DÁTUM PREDĹŽENIA REGISTRÁCIE</w:t>
      </w:r>
    </w:p>
    <w:p w:rsidR="00F134F4" w:rsidRPr="00F00DE4" w:rsidRDefault="00F134F4" w:rsidP="00FE4006">
      <w:pPr>
        <w:rPr>
          <w:rFonts w:ascii="Times New Roman" w:hAnsi="Times New Roman" w:cs="Times New Roman"/>
          <w:noProof/>
          <w:sz w:val="22"/>
          <w:szCs w:val="22"/>
          <w:lang w:val="sk-SK"/>
        </w:rPr>
      </w:pPr>
    </w:p>
    <w:p w:rsidR="00F134F4" w:rsidRPr="00F00DE4" w:rsidRDefault="00F134F4" w:rsidP="00FE4006">
      <w:pPr>
        <w:tabs>
          <w:tab w:val="left" w:pos="851"/>
        </w:tabs>
        <w:spacing w:line="240" w:lineRule="atLeast"/>
        <w:rPr>
          <w:rFonts w:ascii="Times New Roman" w:hAnsi="Times New Roman" w:cs="Times New Roman"/>
          <w:sz w:val="22"/>
          <w:szCs w:val="22"/>
          <w:lang w:val="sk-SK"/>
        </w:rPr>
      </w:pPr>
      <w:r w:rsidRPr="00F00DE4">
        <w:rPr>
          <w:rFonts w:ascii="Times New Roman" w:hAnsi="Times New Roman" w:cs="Times New Roman"/>
          <w:sz w:val="22"/>
          <w:szCs w:val="22"/>
          <w:lang w:val="sk-SK"/>
        </w:rPr>
        <w:t>Dátum prvej registrácie: 03.10.1991</w:t>
      </w:r>
    </w:p>
    <w:p w:rsidR="00F134F4" w:rsidRPr="00F00DE4" w:rsidRDefault="00F134F4" w:rsidP="00FE4006">
      <w:pPr>
        <w:tabs>
          <w:tab w:val="left" w:pos="851"/>
        </w:tabs>
        <w:spacing w:line="240" w:lineRule="atLeast"/>
        <w:rPr>
          <w:rFonts w:ascii="Times New Roman" w:hAnsi="Times New Roman" w:cs="Times New Roman"/>
          <w:sz w:val="22"/>
          <w:szCs w:val="22"/>
          <w:lang w:val="sk-SK"/>
        </w:rPr>
      </w:pPr>
      <w:r w:rsidRPr="00F00DE4">
        <w:rPr>
          <w:rFonts w:ascii="Times New Roman" w:hAnsi="Times New Roman" w:cs="Times New Roman"/>
          <w:sz w:val="22"/>
          <w:szCs w:val="22"/>
          <w:lang w:val="sk-SK"/>
        </w:rPr>
        <w:t>Dátum posledného predĺženia registrácie: 09.10.2006</w:t>
      </w:r>
    </w:p>
    <w:p w:rsidR="00F134F4" w:rsidRPr="00F00DE4" w:rsidRDefault="00F134F4" w:rsidP="00FE4006">
      <w:pPr>
        <w:tabs>
          <w:tab w:val="left" w:pos="851"/>
        </w:tabs>
        <w:spacing w:line="240" w:lineRule="atLeast"/>
        <w:rPr>
          <w:rFonts w:ascii="Times New Roman" w:hAnsi="Times New Roman" w:cs="Times New Roman"/>
          <w:b/>
          <w:sz w:val="22"/>
          <w:szCs w:val="22"/>
          <w:lang w:val="sk-SK"/>
        </w:rPr>
      </w:pPr>
    </w:p>
    <w:p w:rsidR="00F134F4" w:rsidRPr="00F00DE4" w:rsidRDefault="00F134F4" w:rsidP="00FE4006">
      <w:pPr>
        <w:tabs>
          <w:tab w:val="left" w:pos="851"/>
        </w:tabs>
        <w:spacing w:line="240" w:lineRule="atLeast"/>
        <w:rPr>
          <w:rFonts w:ascii="Times New Roman" w:hAnsi="Times New Roman" w:cs="Times New Roman"/>
          <w:b/>
          <w:sz w:val="22"/>
          <w:szCs w:val="22"/>
          <w:lang w:val="sk-SK"/>
        </w:rPr>
      </w:pPr>
    </w:p>
    <w:p w:rsidR="00F134F4" w:rsidRPr="00F00DE4" w:rsidRDefault="00F134F4" w:rsidP="0032454E">
      <w:pPr>
        <w:rPr>
          <w:rFonts w:ascii="Times New Roman" w:hAnsi="Times New Roman" w:cs="Times New Roman"/>
          <w:b/>
          <w:noProof/>
          <w:sz w:val="22"/>
          <w:szCs w:val="22"/>
          <w:lang w:val="sk-SK"/>
        </w:rPr>
      </w:pPr>
      <w:r w:rsidRPr="00F00DE4">
        <w:rPr>
          <w:rFonts w:ascii="Times New Roman" w:hAnsi="Times New Roman" w:cs="Times New Roman"/>
          <w:b/>
          <w:noProof/>
          <w:sz w:val="22"/>
          <w:szCs w:val="22"/>
          <w:lang w:val="sk-SK"/>
        </w:rPr>
        <w:t>10.</w:t>
      </w:r>
      <w:r w:rsidRPr="00F00DE4">
        <w:rPr>
          <w:rFonts w:ascii="Times New Roman" w:hAnsi="Times New Roman" w:cs="Times New Roman"/>
          <w:b/>
          <w:noProof/>
          <w:sz w:val="22"/>
          <w:szCs w:val="22"/>
          <w:lang w:val="sk-SK"/>
        </w:rPr>
        <w:tab/>
        <w:t>DÁTUM REVÍZIE TEXTU</w:t>
      </w:r>
    </w:p>
    <w:p w:rsidR="00F134F4" w:rsidRPr="00F00DE4" w:rsidRDefault="00F134F4">
      <w:pPr>
        <w:rPr>
          <w:rFonts w:ascii="Times New Roman" w:hAnsi="Times New Roman" w:cs="Times New Roman"/>
          <w:sz w:val="22"/>
          <w:szCs w:val="22"/>
          <w:lang w:val="sk-SK"/>
        </w:rPr>
      </w:pPr>
    </w:p>
    <w:p w:rsidR="00F134F4" w:rsidRPr="00F00DE4" w:rsidRDefault="00F134F4">
      <w:pPr>
        <w:rPr>
          <w:rFonts w:ascii="Times New Roman" w:hAnsi="Times New Roman" w:cs="Times New Roman"/>
          <w:sz w:val="22"/>
          <w:szCs w:val="22"/>
          <w:lang w:val="sk-SK"/>
        </w:rPr>
      </w:pPr>
      <w:r>
        <w:rPr>
          <w:rFonts w:ascii="Times New Roman" w:hAnsi="Times New Roman" w:cs="Times New Roman"/>
          <w:sz w:val="22"/>
          <w:szCs w:val="22"/>
          <w:lang w:val="sk-SK"/>
        </w:rPr>
        <w:t>Júl 2016</w:t>
      </w:r>
    </w:p>
    <w:sectPr w:rsidR="00F134F4" w:rsidRPr="00F00DE4" w:rsidSect="00E21A83">
      <w:headerReference w:type="default" r:id="rId11"/>
      <w:footerReference w:type="even" r:id="rId12"/>
      <w:footerReference w:type="default" r:id="rId13"/>
      <w:footnotePr>
        <w:pos w:val="beneathText"/>
      </w:footnotePr>
      <w:pgSz w:w="11905" w:h="16837"/>
      <w:pgMar w:top="1411" w:right="1872" w:bottom="1411" w:left="141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34F4" w:rsidRDefault="00F134F4">
      <w:r>
        <w:separator/>
      </w:r>
    </w:p>
  </w:endnote>
  <w:endnote w:type="continuationSeparator" w:id="0">
    <w:p w:rsidR="00F134F4" w:rsidRDefault="00F134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 w:name="Tahoma">
    <w:altName w:val="Tahoma"/>
    <w:panose1 w:val="020B0604030504040204"/>
    <w:charset w:val="EE"/>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F4" w:rsidRDefault="00F134F4" w:rsidP="009E2589">
    <w:pPr>
      <w:pStyle w:val="Footer"/>
      <w:framePr w:wrap="around" w:vAnchor="text" w:hAnchor="margin" w:xAlign="center" w:y="1"/>
      <w:rPr>
        <w:rStyle w:val="PageNumber"/>
        <w:rFonts w:cs="Tms Rmn"/>
      </w:rPr>
    </w:pPr>
    <w:r>
      <w:rPr>
        <w:rStyle w:val="PageNumber"/>
        <w:rFonts w:cs="Tms Rmn"/>
      </w:rPr>
      <w:fldChar w:fldCharType="begin"/>
    </w:r>
    <w:r>
      <w:rPr>
        <w:rStyle w:val="PageNumber"/>
        <w:rFonts w:cs="Tms Rmn"/>
      </w:rPr>
      <w:instrText xml:space="preserve">PAGE  </w:instrText>
    </w:r>
    <w:r>
      <w:rPr>
        <w:rStyle w:val="PageNumber"/>
        <w:rFonts w:cs="Tms Rmn"/>
      </w:rPr>
      <w:fldChar w:fldCharType="end"/>
    </w:r>
  </w:p>
  <w:p w:rsidR="00F134F4" w:rsidRDefault="00F134F4" w:rsidP="00EB4AD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F4" w:rsidRDefault="00F134F4" w:rsidP="009E2589">
    <w:pPr>
      <w:pStyle w:val="Footer"/>
      <w:framePr w:wrap="around" w:vAnchor="text" w:hAnchor="margin" w:xAlign="center" w:y="1"/>
      <w:rPr>
        <w:rStyle w:val="PageNumber"/>
        <w:rFonts w:cs="Tms Rmn"/>
      </w:rPr>
    </w:pPr>
    <w:r>
      <w:rPr>
        <w:rStyle w:val="PageNumber"/>
        <w:rFonts w:cs="Tms Rmn"/>
      </w:rPr>
      <w:fldChar w:fldCharType="begin"/>
    </w:r>
    <w:r>
      <w:rPr>
        <w:rStyle w:val="PageNumber"/>
        <w:rFonts w:cs="Tms Rmn"/>
      </w:rPr>
      <w:instrText xml:space="preserve">PAGE  </w:instrText>
    </w:r>
    <w:r>
      <w:rPr>
        <w:rStyle w:val="PageNumber"/>
        <w:rFonts w:cs="Tms Rmn"/>
      </w:rPr>
      <w:fldChar w:fldCharType="separate"/>
    </w:r>
    <w:r>
      <w:rPr>
        <w:rStyle w:val="PageNumber"/>
        <w:rFonts w:cs="Tms Rmn"/>
        <w:noProof/>
      </w:rPr>
      <w:t>1</w:t>
    </w:r>
    <w:r>
      <w:rPr>
        <w:rStyle w:val="PageNumber"/>
        <w:rFonts w:cs="Tms Rmn"/>
      </w:rPr>
      <w:fldChar w:fldCharType="end"/>
    </w:r>
  </w:p>
  <w:p w:rsidR="00F134F4" w:rsidRDefault="00F134F4" w:rsidP="00EB4AD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34F4" w:rsidRDefault="00F134F4">
      <w:r>
        <w:separator/>
      </w:r>
    </w:p>
  </w:footnote>
  <w:footnote w:type="continuationSeparator" w:id="0">
    <w:p w:rsidR="00F134F4" w:rsidRDefault="00F134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4F4" w:rsidRDefault="00F134F4">
    <w:pPr>
      <w:pStyle w:val="Header"/>
    </w:pPr>
    <w:r>
      <w:rPr>
        <w:noProof/>
        <w:lang w:val="sk-SK" w:eastAsia="sk-SK"/>
      </w:rPr>
      <w:pict>
        <v:shapetype id="_x0000_t202" coordsize="21600,21600" o:spt="202" path="m,l,21600r21600,l21600,xe">
          <v:stroke joinstyle="miter"/>
          <v:path gradientshapeok="t" o:connecttype="rect"/>
        </v:shapetype>
        <v:shape id="Text Box 1" o:spid="_x0000_s2049" type="#_x0000_t202" style="position:absolute;margin-left:0;margin-top:.05pt;width:12.65pt;height:8.65pt;z-index:-251656192;visibility:visible;mso-wrap-distance-left:0;mso-wrap-distance-right:0;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" stroked="f">
          <v:textbox inset="0,0,0,0">
            <w:txbxContent>
              <w:p w:rsidR="00F134F4" w:rsidRDefault="00F134F4">
                <w:pPr>
                  <w:pStyle w:val="Header"/>
                </w:pPr>
              </w:p>
            </w:txbxContent>
          </v:textbox>
          <w10:wrap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pStyle w:val="Heading3"/>
      <w:suff w:val="nothing"/>
      <w:lvlText w:val=""/>
      <w:lvlJc w:val="left"/>
      <w:pPr>
        <w:tabs>
          <w:tab w:val="num" w:pos="0"/>
        </w:tabs>
      </w:pPr>
      <w:rPr>
        <w:rFonts w:cs="Times New Roman"/>
      </w:rPr>
    </w:lvl>
    <w:lvl w:ilvl="3">
      <w:start w:val="1"/>
      <w:numFmt w:val="none"/>
      <w:pStyle w:val="Heading4"/>
      <w:suff w:val="nothing"/>
      <w:lvlText w:val=""/>
      <w:lvlJc w:val="left"/>
      <w:pPr>
        <w:tabs>
          <w:tab w:val="num" w:pos="0"/>
        </w:tabs>
      </w:pPr>
      <w:rPr>
        <w:rFonts w:cs="Times New Roman"/>
      </w:rPr>
    </w:lvl>
    <w:lvl w:ilvl="4">
      <w:start w:val="1"/>
      <w:numFmt w:val="none"/>
      <w:pStyle w:val="Heading5"/>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5786E12"/>
    <w:multiLevelType w:val="hybridMultilevel"/>
    <w:tmpl w:val="131C5E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nsid w:val="3E5E6FFB"/>
    <w:multiLevelType w:val="hybridMultilevel"/>
    <w:tmpl w:val="855A6790"/>
    <w:lvl w:ilvl="0" w:tplc="74E26B9C">
      <w:start w:val="4"/>
      <w:numFmt w:val="bullet"/>
      <w:lvlText w:val="-"/>
      <w:lvlJc w:val="left"/>
      <w:pPr>
        <w:tabs>
          <w:tab w:val="num" w:pos="720"/>
        </w:tabs>
        <w:ind w:left="720" w:hanging="360"/>
      </w:pPr>
      <w:rPr>
        <w:rFonts w:ascii="Times New Roman" w:eastAsia="Times New Roman" w:hAnsi="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nsid w:val="4A6A1378"/>
    <w:multiLevelType w:val="multilevel"/>
    <w:tmpl w:val="4EA22832"/>
    <w:lvl w:ilvl="0">
      <w:start w:val="4"/>
      <w:numFmt w:val="decimal"/>
      <w:lvlText w:val="%1"/>
      <w:lvlJc w:val="left"/>
      <w:pPr>
        <w:tabs>
          <w:tab w:val="num" w:pos="705"/>
        </w:tabs>
        <w:ind w:left="705" w:hanging="705"/>
      </w:pPr>
      <w:rPr>
        <w:rFonts w:cs="Times New Roman" w:hint="default"/>
      </w:rPr>
    </w:lvl>
    <w:lvl w:ilvl="1">
      <w:start w:val="7"/>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nsid w:val="5E4A7DF9"/>
    <w:multiLevelType w:val="multilevel"/>
    <w:tmpl w:val="855A6790"/>
    <w:lvl w:ilvl="0">
      <w:start w:val="4"/>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08"/>
  <w:hyphenationZone w:val="425"/>
  <w:characterSpacingControl w:val="doNotCompress"/>
  <w:hdrShapeDefaults>
    <o:shapedefaults v:ext="edit" spidmax="2050"/>
    <o:shapelayout v:ext="edit">
      <o:idmap v:ext="edit" data="2"/>
    </o:shapelayout>
  </w:hdrShapeDefaults>
  <w:footnotePr>
    <w:pos w:val="beneathTex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4006"/>
    <w:rsid w:val="000007BD"/>
    <w:rsid w:val="00002639"/>
    <w:rsid w:val="0000469E"/>
    <w:rsid w:val="000058A6"/>
    <w:rsid w:val="000109EC"/>
    <w:rsid w:val="000120EC"/>
    <w:rsid w:val="00020655"/>
    <w:rsid w:val="0002299D"/>
    <w:rsid w:val="00032607"/>
    <w:rsid w:val="00033B6A"/>
    <w:rsid w:val="00036655"/>
    <w:rsid w:val="0004116D"/>
    <w:rsid w:val="000433C4"/>
    <w:rsid w:val="000443C8"/>
    <w:rsid w:val="00044529"/>
    <w:rsid w:val="000528D5"/>
    <w:rsid w:val="000557E5"/>
    <w:rsid w:val="00066AF1"/>
    <w:rsid w:val="00073AAB"/>
    <w:rsid w:val="000770FF"/>
    <w:rsid w:val="00096979"/>
    <w:rsid w:val="000A08E7"/>
    <w:rsid w:val="000A624F"/>
    <w:rsid w:val="000B607C"/>
    <w:rsid w:val="000C37DF"/>
    <w:rsid w:val="000C4B20"/>
    <w:rsid w:val="000D09CD"/>
    <w:rsid w:val="000E074E"/>
    <w:rsid w:val="000E2F3F"/>
    <w:rsid w:val="000E6CD7"/>
    <w:rsid w:val="000F1510"/>
    <w:rsid w:val="000F2675"/>
    <w:rsid w:val="000F49B3"/>
    <w:rsid w:val="000F4C59"/>
    <w:rsid w:val="000F7363"/>
    <w:rsid w:val="00106D48"/>
    <w:rsid w:val="0011707B"/>
    <w:rsid w:val="00121EF2"/>
    <w:rsid w:val="0012569C"/>
    <w:rsid w:val="00132597"/>
    <w:rsid w:val="00134488"/>
    <w:rsid w:val="00135BAF"/>
    <w:rsid w:val="00146823"/>
    <w:rsid w:val="00146BB7"/>
    <w:rsid w:val="0014700B"/>
    <w:rsid w:val="0015114B"/>
    <w:rsid w:val="001552E4"/>
    <w:rsid w:val="0017358F"/>
    <w:rsid w:val="00174BF6"/>
    <w:rsid w:val="0017514F"/>
    <w:rsid w:val="0019653A"/>
    <w:rsid w:val="00197CAA"/>
    <w:rsid w:val="001B1884"/>
    <w:rsid w:val="001B3C80"/>
    <w:rsid w:val="001C5A65"/>
    <w:rsid w:val="001D097C"/>
    <w:rsid w:val="001E171B"/>
    <w:rsid w:val="001E3873"/>
    <w:rsid w:val="001E4AC4"/>
    <w:rsid w:val="001E6145"/>
    <w:rsid w:val="00206052"/>
    <w:rsid w:val="00216F4F"/>
    <w:rsid w:val="00217FF2"/>
    <w:rsid w:val="002211E0"/>
    <w:rsid w:val="00227207"/>
    <w:rsid w:val="00227CA0"/>
    <w:rsid w:val="00233E9E"/>
    <w:rsid w:val="0023744A"/>
    <w:rsid w:val="00244608"/>
    <w:rsid w:val="00245439"/>
    <w:rsid w:val="002454A7"/>
    <w:rsid w:val="002502C9"/>
    <w:rsid w:val="00252371"/>
    <w:rsid w:val="00264A27"/>
    <w:rsid w:val="00265A1C"/>
    <w:rsid w:val="00267A13"/>
    <w:rsid w:val="002707F1"/>
    <w:rsid w:val="00272F71"/>
    <w:rsid w:val="002740EE"/>
    <w:rsid w:val="00284E59"/>
    <w:rsid w:val="002A2630"/>
    <w:rsid w:val="002A29EE"/>
    <w:rsid w:val="002A7D5A"/>
    <w:rsid w:val="002B5FA1"/>
    <w:rsid w:val="002D5D77"/>
    <w:rsid w:val="002E4305"/>
    <w:rsid w:val="002E5DDF"/>
    <w:rsid w:val="002E7E86"/>
    <w:rsid w:val="002F0811"/>
    <w:rsid w:val="00305478"/>
    <w:rsid w:val="003101FE"/>
    <w:rsid w:val="00311346"/>
    <w:rsid w:val="003147D0"/>
    <w:rsid w:val="00316CA4"/>
    <w:rsid w:val="0032454E"/>
    <w:rsid w:val="003333C9"/>
    <w:rsid w:val="00334FBE"/>
    <w:rsid w:val="00342D79"/>
    <w:rsid w:val="003450FA"/>
    <w:rsid w:val="0034798A"/>
    <w:rsid w:val="003514A0"/>
    <w:rsid w:val="00352FC9"/>
    <w:rsid w:val="003576CA"/>
    <w:rsid w:val="00360081"/>
    <w:rsid w:val="0036257D"/>
    <w:rsid w:val="00364576"/>
    <w:rsid w:val="00372491"/>
    <w:rsid w:val="00392BB9"/>
    <w:rsid w:val="003C66FE"/>
    <w:rsid w:val="003E3E8A"/>
    <w:rsid w:val="003E6A94"/>
    <w:rsid w:val="003F23C8"/>
    <w:rsid w:val="003F3535"/>
    <w:rsid w:val="00400689"/>
    <w:rsid w:val="00400FB3"/>
    <w:rsid w:val="00401783"/>
    <w:rsid w:val="004037DE"/>
    <w:rsid w:val="00410C42"/>
    <w:rsid w:val="00412525"/>
    <w:rsid w:val="004200BA"/>
    <w:rsid w:val="00425AA4"/>
    <w:rsid w:val="00444937"/>
    <w:rsid w:val="004459C6"/>
    <w:rsid w:val="00461A2F"/>
    <w:rsid w:val="004724CF"/>
    <w:rsid w:val="004725C2"/>
    <w:rsid w:val="004731B4"/>
    <w:rsid w:val="00483305"/>
    <w:rsid w:val="00486345"/>
    <w:rsid w:val="004866F1"/>
    <w:rsid w:val="00487AD4"/>
    <w:rsid w:val="004A2BF5"/>
    <w:rsid w:val="004A316D"/>
    <w:rsid w:val="004A3A8D"/>
    <w:rsid w:val="004A7CD0"/>
    <w:rsid w:val="004B274C"/>
    <w:rsid w:val="004B2CB2"/>
    <w:rsid w:val="004C0CD6"/>
    <w:rsid w:val="004C1D15"/>
    <w:rsid w:val="004C3D03"/>
    <w:rsid w:val="004D14B5"/>
    <w:rsid w:val="004D1DC5"/>
    <w:rsid w:val="004D6315"/>
    <w:rsid w:val="004E0D24"/>
    <w:rsid w:val="004F1079"/>
    <w:rsid w:val="004F4864"/>
    <w:rsid w:val="004F5519"/>
    <w:rsid w:val="004F7DEF"/>
    <w:rsid w:val="004F7FDB"/>
    <w:rsid w:val="00512E48"/>
    <w:rsid w:val="005135DA"/>
    <w:rsid w:val="00514EEA"/>
    <w:rsid w:val="00534179"/>
    <w:rsid w:val="00537D9D"/>
    <w:rsid w:val="00540C2E"/>
    <w:rsid w:val="00543FB6"/>
    <w:rsid w:val="005531C0"/>
    <w:rsid w:val="0055610B"/>
    <w:rsid w:val="00563D8F"/>
    <w:rsid w:val="00575EE4"/>
    <w:rsid w:val="00581971"/>
    <w:rsid w:val="00586302"/>
    <w:rsid w:val="005934F8"/>
    <w:rsid w:val="00593B1B"/>
    <w:rsid w:val="005A170F"/>
    <w:rsid w:val="005A7CB1"/>
    <w:rsid w:val="005B4005"/>
    <w:rsid w:val="005C6468"/>
    <w:rsid w:val="005D21CB"/>
    <w:rsid w:val="005D2959"/>
    <w:rsid w:val="005D5FF7"/>
    <w:rsid w:val="005E1A56"/>
    <w:rsid w:val="005E56E7"/>
    <w:rsid w:val="005E7B95"/>
    <w:rsid w:val="005F71F5"/>
    <w:rsid w:val="00603053"/>
    <w:rsid w:val="00610A89"/>
    <w:rsid w:val="0061324E"/>
    <w:rsid w:val="00622EA3"/>
    <w:rsid w:val="0063043B"/>
    <w:rsid w:val="00635D83"/>
    <w:rsid w:val="00640470"/>
    <w:rsid w:val="006425A3"/>
    <w:rsid w:val="00642EBA"/>
    <w:rsid w:val="00645E82"/>
    <w:rsid w:val="006474BA"/>
    <w:rsid w:val="00654271"/>
    <w:rsid w:val="0067150A"/>
    <w:rsid w:val="006728F4"/>
    <w:rsid w:val="0068050D"/>
    <w:rsid w:val="00682658"/>
    <w:rsid w:val="00682B06"/>
    <w:rsid w:val="0068349B"/>
    <w:rsid w:val="00692D86"/>
    <w:rsid w:val="006A1F0C"/>
    <w:rsid w:val="006A41F4"/>
    <w:rsid w:val="006A77FA"/>
    <w:rsid w:val="006B3122"/>
    <w:rsid w:val="006B5336"/>
    <w:rsid w:val="006B5C41"/>
    <w:rsid w:val="006C3681"/>
    <w:rsid w:val="006C3BB3"/>
    <w:rsid w:val="006C5565"/>
    <w:rsid w:val="006D0A56"/>
    <w:rsid w:val="006E6E4D"/>
    <w:rsid w:val="00702CA5"/>
    <w:rsid w:val="00707599"/>
    <w:rsid w:val="00711A9B"/>
    <w:rsid w:val="00717A22"/>
    <w:rsid w:val="0072382D"/>
    <w:rsid w:val="00724BF4"/>
    <w:rsid w:val="00725A62"/>
    <w:rsid w:val="00727084"/>
    <w:rsid w:val="0073791C"/>
    <w:rsid w:val="00742F91"/>
    <w:rsid w:val="0074700F"/>
    <w:rsid w:val="007520F9"/>
    <w:rsid w:val="0075714E"/>
    <w:rsid w:val="00764E61"/>
    <w:rsid w:val="00766A5A"/>
    <w:rsid w:val="0076736D"/>
    <w:rsid w:val="00773D9E"/>
    <w:rsid w:val="00782477"/>
    <w:rsid w:val="00787468"/>
    <w:rsid w:val="0079110F"/>
    <w:rsid w:val="00792CF9"/>
    <w:rsid w:val="00796CB4"/>
    <w:rsid w:val="007A1559"/>
    <w:rsid w:val="007B1240"/>
    <w:rsid w:val="007B142F"/>
    <w:rsid w:val="007B668B"/>
    <w:rsid w:val="007C7C33"/>
    <w:rsid w:val="007D1DD5"/>
    <w:rsid w:val="007D26F7"/>
    <w:rsid w:val="007D7197"/>
    <w:rsid w:val="007D79A7"/>
    <w:rsid w:val="007E3412"/>
    <w:rsid w:val="007F18C7"/>
    <w:rsid w:val="007F6D9F"/>
    <w:rsid w:val="0080367B"/>
    <w:rsid w:val="00805322"/>
    <w:rsid w:val="00807D98"/>
    <w:rsid w:val="00813F5B"/>
    <w:rsid w:val="00816094"/>
    <w:rsid w:val="008265DE"/>
    <w:rsid w:val="008302C2"/>
    <w:rsid w:val="008344C0"/>
    <w:rsid w:val="008344D9"/>
    <w:rsid w:val="008373C7"/>
    <w:rsid w:val="008677A5"/>
    <w:rsid w:val="00881CB1"/>
    <w:rsid w:val="0088255D"/>
    <w:rsid w:val="00884F5B"/>
    <w:rsid w:val="00885E0A"/>
    <w:rsid w:val="008937BA"/>
    <w:rsid w:val="00897BCF"/>
    <w:rsid w:val="00897DB9"/>
    <w:rsid w:val="008A3A82"/>
    <w:rsid w:val="008A448F"/>
    <w:rsid w:val="008A734F"/>
    <w:rsid w:val="008B5A7A"/>
    <w:rsid w:val="008C7728"/>
    <w:rsid w:val="008D25E5"/>
    <w:rsid w:val="008D3529"/>
    <w:rsid w:val="008D4A9A"/>
    <w:rsid w:val="008D7194"/>
    <w:rsid w:val="008E40DF"/>
    <w:rsid w:val="008E7CFF"/>
    <w:rsid w:val="008F5A72"/>
    <w:rsid w:val="008F67FD"/>
    <w:rsid w:val="009029E0"/>
    <w:rsid w:val="009033A0"/>
    <w:rsid w:val="0090466A"/>
    <w:rsid w:val="0090581D"/>
    <w:rsid w:val="0090715D"/>
    <w:rsid w:val="0092224C"/>
    <w:rsid w:val="0094589C"/>
    <w:rsid w:val="00950B03"/>
    <w:rsid w:val="0095585D"/>
    <w:rsid w:val="00960752"/>
    <w:rsid w:val="009650CB"/>
    <w:rsid w:val="009760CC"/>
    <w:rsid w:val="00991F2B"/>
    <w:rsid w:val="009977F9"/>
    <w:rsid w:val="009B3624"/>
    <w:rsid w:val="009B5691"/>
    <w:rsid w:val="009C1A79"/>
    <w:rsid w:val="009C2EA4"/>
    <w:rsid w:val="009D333E"/>
    <w:rsid w:val="009D7013"/>
    <w:rsid w:val="009E2589"/>
    <w:rsid w:val="009E59FC"/>
    <w:rsid w:val="009E6C40"/>
    <w:rsid w:val="009F5F9E"/>
    <w:rsid w:val="009F783D"/>
    <w:rsid w:val="00A13315"/>
    <w:rsid w:val="00A14DE5"/>
    <w:rsid w:val="00A15AF8"/>
    <w:rsid w:val="00A15EDC"/>
    <w:rsid w:val="00A234DF"/>
    <w:rsid w:val="00A338B4"/>
    <w:rsid w:val="00A34580"/>
    <w:rsid w:val="00A400E0"/>
    <w:rsid w:val="00A40223"/>
    <w:rsid w:val="00A4469D"/>
    <w:rsid w:val="00A47DA6"/>
    <w:rsid w:val="00A5383D"/>
    <w:rsid w:val="00A67C00"/>
    <w:rsid w:val="00A747C5"/>
    <w:rsid w:val="00A755B8"/>
    <w:rsid w:val="00A82902"/>
    <w:rsid w:val="00A90E0C"/>
    <w:rsid w:val="00A9598C"/>
    <w:rsid w:val="00A971B4"/>
    <w:rsid w:val="00AA06FF"/>
    <w:rsid w:val="00AA1E3A"/>
    <w:rsid w:val="00AB5400"/>
    <w:rsid w:val="00AD4478"/>
    <w:rsid w:val="00AD7D12"/>
    <w:rsid w:val="00AE077C"/>
    <w:rsid w:val="00AF1192"/>
    <w:rsid w:val="00AF2DAA"/>
    <w:rsid w:val="00B259B2"/>
    <w:rsid w:val="00B3208F"/>
    <w:rsid w:val="00B33252"/>
    <w:rsid w:val="00B352AF"/>
    <w:rsid w:val="00B40A1C"/>
    <w:rsid w:val="00B417D3"/>
    <w:rsid w:val="00B4200C"/>
    <w:rsid w:val="00B43E89"/>
    <w:rsid w:val="00B4500C"/>
    <w:rsid w:val="00B4786D"/>
    <w:rsid w:val="00B5009C"/>
    <w:rsid w:val="00B53561"/>
    <w:rsid w:val="00B54094"/>
    <w:rsid w:val="00B54DDF"/>
    <w:rsid w:val="00B61960"/>
    <w:rsid w:val="00B71837"/>
    <w:rsid w:val="00B84989"/>
    <w:rsid w:val="00B86A05"/>
    <w:rsid w:val="00B86C1F"/>
    <w:rsid w:val="00BA53C9"/>
    <w:rsid w:val="00BA6FE9"/>
    <w:rsid w:val="00BB4178"/>
    <w:rsid w:val="00BD34EF"/>
    <w:rsid w:val="00BD406F"/>
    <w:rsid w:val="00BE1D9F"/>
    <w:rsid w:val="00BE2C54"/>
    <w:rsid w:val="00BF0925"/>
    <w:rsid w:val="00BF159A"/>
    <w:rsid w:val="00BF4B2F"/>
    <w:rsid w:val="00C14259"/>
    <w:rsid w:val="00C15582"/>
    <w:rsid w:val="00C15F30"/>
    <w:rsid w:val="00C22C98"/>
    <w:rsid w:val="00C25C19"/>
    <w:rsid w:val="00C42F83"/>
    <w:rsid w:val="00C475AC"/>
    <w:rsid w:val="00C55397"/>
    <w:rsid w:val="00C55A16"/>
    <w:rsid w:val="00C5765F"/>
    <w:rsid w:val="00C57922"/>
    <w:rsid w:val="00C57E39"/>
    <w:rsid w:val="00C6362A"/>
    <w:rsid w:val="00C64BFC"/>
    <w:rsid w:val="00C67280"/>
    <w:rsid w:val="00C80A3D"/>
    <w:rsid w:val="00C81924"/>
    <w:rsid w:val="00C82D4B"/>
    <w:rsid w:val="00C8561E"/>
    <w:rsid w:val="00C85673"/>
    <w:rsid w:val="00C92A71"/>
    <w:rsid w:val="00CA4ADC"/>
    <w:rsid w:val="00CA7FEA"/>
    <w:rsid w:val="00CB3307"/>
    <w:rsid w:val="00CC32B2"/>
    <w:rsid w:val="00CD21D3"/>
    <w:rsid w:val="00CD2F06"/>
    <w:rsid w:val="00CD3187"/>
    <w:rsid w:val="00CD34AB"/>
    <w:rsid w:val="00CD3B2C"/>
    <w:rsid w:val="00CE2DFE"/>
    <w:rsid w:val="00CE4452"/>
    <w:rsid w:val="00CE4D6D"/>
    <w:rsid w:val="00CE6C01"/>
    <w:rsid w:val="00CE716E"/>
    <w:rsid w:val="00CF7E8B"/>
    <w:rsid w:val="00D02CDD"/>
    <w:rsid w:val="00D0473E"/>
    <w:rsid w:val="00D06250"/>
    <w:rsid w:val="00D15E7E"/>
    <w:rsid w:val="00D27070"/>
    <w:rsid w:val="00D27989"/>
    <w:rsid w:val="00D4661F"/>
    <w:rsid w:val="00D47320"/>
    <w:rsid w:val="00D539D8"/>
    <w:rsid w:val="00D602A7"/>
    <w:rsid w:val="00D62E4D"/>
    <w:rsid w:val="00D6647F"/>
    <w:rsid w:val="00D67636"/>
    <w:rsid w:val="00D724B8"/>
    <w:rsid w:val="00D7272D"/>
    <w:rsid w:val="00D72823"/>
    <w:rsid w:val="00D72A41"/>
    <w:rsid w:val="00D72C35"/>
    <w:rsid w:val="00D73A56"/>
    <w:rsid w:val="00D77C72"/>
    <w:rsid w:val="00D84F75"/>
    <w:rsid w:val="00D911D1"/>
    <w:rsid w:val="00DA0B07"/>
    <w:rsid w:val="00DA2584"/>
    <w:rsid w:val="00DA2E53"/>
    <w:rsid w:val="00DB48E1"/>
    <w:rsid w:val="00DB4B9F"/>
    <w:rsid w:val="00DB4EA4"/>
    <w:rsid w:val="00DC2DB7"/>
    <w:rsid w:val="00DC40B3"/>
    <w:rsid w:val="00DD4ADA"/>
    <w:rsid w:val="00DD4E2F"/>
    <w:rsid w:val="00DD529E"/>
    <w:rsid w:val="00DD5BBC"/>
    <w:rsid w:val="00DE1640"/>
    <w:rsid w:val="00DE2C57"/>
    <w:rsid w:val="00DE7A5B"/>
    <w:rsid w:val="00DF28BA"/>
    <w:rsid w:val="00DF5F22"/>
    <w:rsid w:val="00DF7738"/>
    <w:rsid w:val="00E01551"/>
    <w:rsid w:val="00E048F1"/>
    <w:rsid w:val="00E10796"/>
    <w:rsid w:val="00E12229"/>
    <w:rsid w:val="00E21A83"/>
    <w:rsid w:val="00E22780"/>
    <w:rsid w:val="00E25C12"/>
    <w:rsid w:val="00E3192A"/>
    <w:rsid w:val="00E31FCB"/>
    <w:rsid w:val="00E32184"/>
    <w:rsid w:val="00E3443E"/>
    <w:rsid w:val="00E44453"/>
    <w:rsid w:val="00E454C0"/>
    <w:rsid w:val="00E53216"/>
    <w:rsid w:val="00E73451"/>
    <w:rsid w:val="00E74333"/>
    <w:rsid w:val="00E74C2C"/>
    <w:rsid w:val="00E76236"/>
    <w:rsid w:val="00E77671"/>
    <w:rsid w:val="00E81B58"/>
    <w:rsid w:val="00E82603"/>
    <w:rsid w:val="00E831D9"/>
    <w:rsid w:val="00E839A2"/>
    <w:rsid w:val="00E858F1"/>
    <w:rsid w:val="00E86E1F"/>
    <w:rsid w:val="00E95DD2"/>
    <w:rsid w:val="00EA5853"/>
    <w:rsid w:val="00EA7289"/>
    <w:rsid w:val="00EB2A6F"/>
    <w:rsid w:val="00EB4117"/>
    <w:rsid w:val="00EB4AD4"/>
    <w:rsid w:val="00EB6FEB"/>
    <w:rsid w:val="00EC1115"/>
    <w:rsid w:val="00EC2403"/>
    <w:rsid w:val="00EC3641"/>
    <w:rsid w:val="00EC60F4"/>
    <w:rsid w:val="00ED077C"/>
    <w:rsid w:val="00ED16F3"/>
    <w:rsid w:val="00ED2189"/>
    <w:rsid w:val="00ED4F85"/>
    <w:rsid w:val="00EE5D94"/>
    <w:rsid w:val="00EE6233"/>
    <w:rsid w:val="00EF0BA8"/>
    <w:rsid w:val="00EF61B9"/>
    <w:rsid w:val="00EF747E"/>
    <w:rsid w:val="00F00B99"/>
    <w:rsid w:val="00F00DE4"/>
    <w:rsid w:val="00F013DC"/>
    <w:rsid w:val="00F033A6"/>
    <w:rsid w:val="00F04D54"/>
    <w:rsid w:val="00F06E5E"/>
    <w:rsid w:val="00F12DB9"/>
    <w:rsid w:val="00F134F4"/>
    <w:rsid w:val="00F21B90"/>
    <w:rsid w:val="00F26922"/>
    <w:rsid w:val="00F30217"/>
    <w:rsid w:val="00F31CE9"/>
    <w:rsid w:val="00F32316"/>
    <w:rsid w:val="00F37369"/>
    <w:rsid w:val="00F40CBE"/>
    <w:rsid w:val="00F42A57"/>
    <w:rsid w:val="00F42B21"/>
    <w:rsid w:val="00F56759"/>
    <w:rsid w:val="00F579E1"/>
    <w:rsid w:val="00F60C04"/>
    <w:rsid w:val="00F66231"/>
    <w:rsid w:val="00F742F6"/>
    <w:rsid w:val="00F8389E"/>
    <w:rsid w:val="00F84AAA"/>
    <w:rsid w:val="00F91E22"/>
    <w:rsid w:val="00FA3F2C"/>
    <w:rsid w:val="00FA64EF"/>
    <w:rsid w:val="00FB5239"/>
    <w:rsid w:val="00FC1815"/>
    <w:rsid w:val="00FC2F6C"/>
    <w:rsid w:val="00FC59B2"/>
    <w:rsid w:val="00FE4006"/>
    <w:rsid w:val="00FE421B"/>
    <w:rsid w:val="00FE49CC"/>
    <w:rsid w:val="00FE5A8F"/>
    <w:rsid w:val="00FF35F4"/>
    <w:rsid w:val="00FF56FA"/>
    <w:rsid w:val="00FF66A9"/>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006"/>
    <w:pPr>
      <w:suppressAutoHyphens/>
    </w:pPr>
    <w:rPr>
      <w:rFonts w:ascii="Arial" w:hAnsi="Arial" w:cs="Tms Rmn"/>
      <w:sz w:val="16"/>
      <w:szCs w:val="20"/>
      <w:lang w:val="cs-CZ" w:eastAsia="ar-SA"/>
    </w:rPr>
  </w:style>
  <w:style w:type="paragraph" w:styleId="Heading1">
    <w:name w:val="heading 1"/>
    <w:basedOn w:val="Normal"/>
    <w:next w:val="Normal"/>
    <w:link w:val="Heading1Char"/>
    <w:uiPriority w:val="99"/>
    <w:qFormat/>
    <w:rsid w:val="00FE4006"/>
    <w:pPr>
      <w:keepNext/>
      <w:numPr>
        <w:numId w:val="1"/>
      </w:numPr>
      <w:jc w:val="both"/>
      <w:outlineLvl w:val="0"/>
    </w:pPr>
    <w:rPr>
      <w:sz w:val="24"/>
    </w:rPr>
  </w:style>
  <w:style w:type="paragraph" w:styleId="Heading3">
    <w:name w:val="heading 3"/>
    <w:basedOn w:val="Normal"/>
    <w:next w:val="Normal"/>
    <w:link w:val="Heading3Char"/>
    <w:uiPriority w:val="99"/>
    <w:qFormat/>
    <w:rsid w:val="00FE4006"/>
    <w:pPr>
      <w:keepNext/>
      <w:numPr>
        <w:ilvl w:val="2"/>
        <w:numId w:val="1"/>
      </w:numPr>
      <w:tabs>
        <w:tab w:val="left" w:pos="284"/>
        <w:tab w:val="left" w:pos="567"/>
        <w:tab w:val="left" w:pos="851"/>
      </w:tabs>
      <w:jc w:val="both"/>
      <w:outlineLvl w:val="2"/>
    </w:pPr>
    <w:rPr>
      <w:rFonts w:ascii="Times New Roman" w:hAnsi="Times New Roman"/>
      <w:b/>
      <w:sz w:val="24"/>
      <w:lang w:val="sk-SK"/>
    </w:rPr>
  </w:style>
  <w:style w:type="paragraph" w:styleId="Heading4">
    <w:name w:val="heading 4"/>
    <w:basedOn w:val="Normal"/>
    <w:next w:val="Normal"/>
    <w:link w:val="Heading4Char"/>
    <w:uiPriority w:val="99"/>
    <w:qFormat/>
    <w:rsid w:val="00FE4006"/>
    <w:pPr>
      <w:keepNext/>
      <w:numPr>
        <w:ilvl w:val="3"/>
        <w:numId w:val="1"/>
      </w:numPr>
      <w:tabs>
        <w:tab w:val="left" w:pos="284"/>
        <w:tab w:val="left" w:pos="567"/>
        <w:tab w:val="left" w:pos="851"/>
      </w:tabs>
      <w:jc w:val="both"/>
      <w:outlineLvl w:val="3"/>
    </w:pPr>
    <w:rPr>
      <w:rFonts w:ascii="Times New Roman" w:hAnsi="Times New Roman"/>
      <w:b/>
      <w:i/>
      <w:sz w:val="24"/>
      <w:lang w:val="sk-SK"/>
    </w:rPr>
  </w:style>
  <w:style w:type="paragraph" w:styleId="Heading5">
    <w:name w:val="heading 5"/>
    <w:basedOn w:val="Normal"/>
    <w:next w:val="Normal"/>
    <w:link w:val="Heading5Char"/>
    <w:uiPriority w:val="99"/>
    <w:qFormat/>
    <w:rsid w:val="00FE4006"/>
    <w:pPr>
      <w:keepNext/>
      <w:numPr>
        <w:ilvl w:val="4"/>
        <w:numId w:val="1"/>
      </w:numPr>
      <w:outlineLvl w:val="4"/>
    </w:pPr>
    <w:rPr>
      <w:sz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3BA6"/>
    <w:rPr>
      <w:rFonts w:asciiTheme="majorHAnsi" w:eastAsiaTheme="majorEastAsia" w:hAnsiTheme="majorHAnsi" w:cstheme="majorBidi"/>
      <w:b/>
      <w:bCs/>
      <w:kern w:val="32"/>
      <w:sz w:val="32"/>
      <w:szCs w:val="32"/>
      <w:lang w:val="cs-CZ" w:eastAsia="ar-SA"/>
    </w:rPr>
  </w:style>
  <w:style w:type="character" w:customStyle="1" w:styleId="Heading3Char">
    <w:name w:val="Heading 3 Char"/>
    <w:basedOn w:val="DefaultParagraphFont"/>
    <w:link w:val="Heading3"/>
    <w:uiPriority w:val="9"/>
    <w:semiHidden/>
    <w:rsid w:val="00873BA6"/>
    <w:rPr>
      <w:rFonts w:asciiTheme="majorHAnsi" w:eastAsiaTheme="majorEastAsia" w:hAnsiTheme="majorHAnsi" w:cstheme="majorBidi"/>
      <w:b/>
      <w:bCs/>
      <w:sz w:val="26"/>
      <w:szCs w:val="26"/>
      <w:lang w:val="cs-CZ" w:eastAsia="ar-SA"/>
    </w:rPr>
  </w:style>
  <w:style w:type="character" w:customStyle="1" w:styleId="Heading4Char">
    <w:name w:val="Heading 4 Char"/>
    <w:basedOn w:val="DefaultParagraphFont"/>
    <w:link w:val="Heading4"/>
    <w:uiPriority w:val="9"/>
    <w:semiHidden/>
    <w:rsid w:val="00873BA6"/>
    <w:rPr>
      <w:rFonts w:asciiTheme="minorHAnsi" w:eastAsiaTheme="minorEastAsia" w:hAnsiTheme="minorHAnsi" w:cstheme="minorBidi"/>
      <w:b/>
      <w:bCs/>
      <w:sz w:val="28"/>
      <w:szCs w:val="28"/>
      <w:lang w:val="cs-CZ" w:eastAsia="ar-SA"/>
    </w:rPr>
  </w:style>
  <w:style w:type="character" w:customStyle="1" w:styleId="Heading5Char">
    <w:name w:val="Heading 5 Char"/>
    <w:basedOn w:val="DefaultParagraphFont"/>
    <w:link w:val="Heading5"/>
    <w:uiPriority w:val="9"/>
    <w:semiHidden/>
    <w:rsid w:val="00873BA6"/>
    <w:rPr>
      <w:rFonts w:asciiTheme="minorHAnsi" w:eastAsiaTheme="minorEastAsia" w:hAnsiTheme="minorHAnsi" w:cstheme="minorBidi"/>
      <w:b/>
      <w:bCs/>
      <w:i/>
      <w:iCs/>
      <w:sz w:val="26"/>
      <w:szCs w:val="26"/>
      <w:lang w:val="cs-CZ" w:eastAsia="ar-SA"/>
    </w:rPr>
  </w:style>
  <w:style w:type="character" w:styleId="PageNumber">
    <w:name w:val="page number"/>
    <w:basedOn w:val="DefaultParagraphFont"/>
    <w:uiPriority w:val="99"/>
    <w:rsid w:val="00FE4006"/>
    <w:rPr>
      <w:rFonts w:cs="Times New Roman"/>
    </w:rPr>
  </w:style>
  <w:style w:type="paragraph" w:styleId="BodyText">
    <w:name w:val="Body Text"/>
    <w:basedOn w:val="Normal"/>
    <w:link w:val="BodyTextChar"/>
    <w:uiPriority w:val="99"/>
    <w:rsid w:val="00FE4006"/>
    <w:pPr>
      <w:jc w:val="both"/>
    </w:pPr>
    <w:rPr>
      <w:b/>
      <w:i/>
      <w:sz w:val="24"/>
    </w:rPr>
  </w:style>
  <w:style w:type="character" w:customStyle="1" w:styleId="BodyTextChar">
    <w:name w:val="Body Text Char"/>
    <w:basedOn w:val="DefaultParagraphFont"/>
    <w:link w:val="BodyText"/>
    <w:uiPriority w:val="99"/>
    <w:semiHidden/>
    <w:rsid w:val="00873BA6"/>
    <w:rPr>
      <w:rFonts w:ascii="Arial" w:hAnsi="Arial" w:cs="Tms Rmn"/>
      <w:sz w:val="16"/>
      <w:szCs w:val="20"/>
      <w:lang w:val="cs-CZ" w:eastAsia="ar-SA"/>
    </w:rPr>
  </w:style>
  <w:style w:type="paragraph" w:styleId="Header">
    <w:name w:val="header"/>
    <w:basedOn w:val="Normal"/>
    <w:link w:val="HeaderChar"/>
    <w:uiPriority w:val="99"/>
    <w:rsid w:val="00FE4006"/>
    <w:pPr>
      <w:tabs>
        <w:tab w:val="center" w:pos="4703"/>
        <w:tab w:val="right" w:pos="9406"/>
      </w:tabs>
    </w:pPr>
  </w:style>
  <w:style w:type="character" w:customStyle="1" w:styleId="HeaderChar">
    <w:name w:val="Header Char"/>
    <w:basedOn w:val="DefaultParagraphFont"/>
    <w:link w:val="Header"/>
    <w:uiPriority w:val="99"/>
    <w:semiHidden/>
    <w:rsid w:val="00873BA6"/>
    <w:rPr>
      <w:rFonts w:ascii="Arial" w:hAnsi="Arial" w:cs="Tms Rmn"/>
      <w:sz w:val="16"/>
      <w:szCs w:val="20"/>
      <w:lang w:val="cs-CZ" w:eastAsia="ar-SA"/>
    </w:rPr>
  </w:style>
  <w:style w:type="paragraph" w:customStyle="1" w:styleId="WW-Zkladntext2">
    <w:name w:val="WW-Základní text 2"/>
    <w:basedOn w:val="Normal"/>
    <w:uiPriority w:val="99"/>
    <w:rsid w:val="00FE4006"/>
    <w:pPr>
      <w:jc w:val="both"/>
    </w:pPr>
    <w:rPr>
      <w:sz w:val="24"/>
      <w:lang w:val="sk-SK"/>
    </w:rPr>
  </w:style>
  <w:style w:type="paragraph" w:customStyle="1" w:styleId="Body">
    <w:name w:val="Body"/>
    <w:link w:val="BodyChar"/>
    <w:uiPriority w:val="99"/>
    <w:rsid w:val="00FE4006"/>
    <w:rPr>
      <w:sz w:val="24"/>
      <w:szCs w:val="24"/>
      <w:lang w:val="en-GB" w:eastAsia="en-US"/>
    </w:rPr>
  </w:style>
  <w:style w:type="paragraph" w:customStyle="1" w:styleId="Text">
    <w:name w:val="Text"/>
    <w:basedOn w:val="Body"/>
    <w:link w:val="TextChar1"/>
    <w:uiPriority w:val="99"/>
    <w:rsid w:val="00FE4006"/>
    <w:pPr>
      <w:suppressAutoHyphens/>
      <w:spacing w:before="60" w:after="60"/>
      <w:ind w:left="935"/>
      <w:jc w:val="both"/>
    </w:pPr>
    <w:rPr>
      <w:rFonts w:ascii="Arial" w:hAnsi="Arial"/>
    </w:rPr>
  </w:style>
  <w:style w:type="character" w:customStyle="1" w:styleId="TextChar1">
    <w:name w:val="Text Char1"/>
    <w:link w:val="Text"/>
    <w:uiPriority w:val="99"/>
    <w:locked/>
    <w:rsid w:val="00FE4006"/>
    <w:rPr>
      <w:rFonts w:ascii="Arial" w:hAnsi="Arial"/>
      <w:sz w:val="24"/>
      <w:lang w:val="en-GB" w:eastAsia="en-US"/>
    </w:rPr>
  </w:style>
  <w:style w:type="paragraph" w:styleId="EndnoteText">
    <w:name w:val="endnote text"/>
    <w:basedOn w:val="Normal"/>
    <w:link w:val="EndnoteTextChar"/>
    <w:uiPriority w:val="99"/>
    <w:semiHidden/>
    <w:rsid w:val="00FE4006"/>
    <w:pPr>
      <w:suppressAutoHyphens w:val="0"/>
    </w:pPr>
    <w:rPr>
      <w:rFonts w:ascii="Times New Roman" w:hAnsi="Times New Roman" w:cs="Times New Roman"/>
      <w:sz w:val="20"/>
      <w:lang w:val="en-US" w:eastAsia="en-US"/>
    </w:rPr>
  </w:style>
  <w:style w:type="character" w:customStyle="1" w:styleId="EndnoteTextChar">
    <w:name w:val="Endnote Text Char"/>
    <w:basedOn w:val="DefaultParagraphFont"/>
    <w:link w:val="EndnoteText"/>
    <w:uiPriority w:val="99"/>
    <w:semiHidden/>
    <w:rsid w:val="00873BA6"/>
    <w:rPr>
      <w:rFonts w:ascii="Arial" w:hAnsi="Arial" w:cs="Tms Rmn"/>
      <w:sz w:val="20"/>
      <w:szCs w:val="20"/>
      <w:lang w:val="cs-CZ" w:eastAsia="ar-SA"/>
    </w:rPr>
  </w:style>
  <w:style w:type="paragraph" w:styleId="BodyTextIndent2">
    <w:name w:val="Body Text Indent 2"/>
    <w:basedOn w:val="Normal"/>
    <w:link w:val="BodyTextIndent2Char"/>
    <w:uiPriority w:val="99"/>
    <w:rsid w:val="00FE4006"/>
    <w:pPr>
      <w:suppressAutoHyphens w:val="0"/>
      <w:spacing w:after="120" w:line="480" w:lineRule="auto"/>
      <w:ind w:left="283"/>
    </w:pPr>
    <w:rPr>
      <w:rFonts w:ascii="Times New Roman" w:hAnsi="Times New Roman" w:cs="Times New Roman"/>
      <w:sz w:val="24"/>
      <w:szCs w:val="24"/>
      <w:lang w:val="en-GB" w:eastAsia="en-GB"/>
    </w:rPr>
  </w:style>
  <w:style w:type="character" w:customStyle="1" w:styleId="BodyTextIndent2Char">
    <w:name w:val="Body Text Indent 2 Char"/>
    <w:basedOn w:val="DefaultParagraphFont"/>
    <w:link w:val="BodyTextIndent2"/>
    <w:uiPriority w:val="99"/>
    <w:semiHidden/>
    <w:rsid w:val="00873BA6"/>
    <w:rPr>
      <w:rFonts w:ascii="Arial" w:hAnsi="Arial" w:cs="Tms Rmn"/>
      <w:sz w:val="16"/>
      <w:szCs w:val="20"/>
      <w:lang w:val="cs-CZ" w:eastAsia="ar-SA"/>
    </w:rPr>
  </w:style>
  <w:style w:type="paragraph" w:styleId="Footer">
    <w:name w:val="footer"/>
    <w:basedOn w:val="Normal"/>
    <w:link w:val="FooterChar"/>
    <w:uiPriority w:val="99"/>
    <w:rsid w:val="00FE4006"/>
    <w:pPr>
      <w:tabs>
        <w:tab w:val="center" w:pos="4536"/>
        <w:tab w:val="right" w:pos="9072"/>
      </w:tabs>
    </w:pPr>
  </w:style>
  <w:style w:type="character" w:customStyle="1" w:styleId="FooterChar">
    <w:name w:val="Footer Char"/>
    <w:basedOn w:val="DefaultParagraphFont"/>
    <w:link w:val="Footer"/>
    <w:uiPriority w:val="99"/>
    <w:semiHidden/>
    <w:rsid w:val="00873BA6"/>
    <w:rPr>
      <w:rFonts w:ascii="Arial" w:hAnsi="Arial" w:cs="Tms Rmn"/>
      <w:sz w:val="16"/>
      <w:szCs w:val="20"/>
      <w:lang w:val="cs-CZ" w:eastAsia="ar-SA"/>
    </w:rPr>
  </w:style>
  <w:style w:type="paragraph" w:styleId="BalloonText">
    <w:name w:val="Balloon Text"/>
    <w:basedOn w:val="Normal"/>
    <w:link w:val="BalloonTextChar"/>
    <w:uiPriority w:val="99"/>
    <w:semiHidden/>
    <w:rsid w:val="00CC32B2"/>
    <w:rPr>
      <w:rFonts w:ascii="Tahoma" w:hAnsi="Tahoma" w:cs="Tahoma"/>
      <w:szCs w:val="16"/>
    </w:rPr>
  </w:style>
  <w:style w:type="character" w:customStyle="1" w:styleId="BalloonTextChar">
    <w:name w:val="Balloon Text Char"/>
    <w:basedOn w:val="DefaultParagraphFont"/>
    <w:link w:val="BalloonText"/>
    <w:uiPriority w:val="99"/>
    <w:semiHidden/>
    <w:rsid w:val="00873BA6"/>
    <w:rPr>
      <w:rFonts w:cs="Tms Rmn"/>
      <w:sz w:val="0"/>
      <w:szCs w:val="0"/>
      <w:lang w:val="cs-CZ" w:eastAsia="ar-SA"/>
    </w:rPr>
  </w:style>
  <w:style w:type="character" w:styleId="CommentReference">
    <w:name w:val="annotation reference"/>
    <w:basedOn w:val="DefaultParagraphFont"/>
    <w:uiPriority w:val="99"/>
    <w:rsid w:val="009029E0"/>
    <w:rPr>
      <w:rFonts w:cs="Times New Roman"/>
      <w:sz w:val="16"/>
    </w:rPr>
  </w:style>
  <w:style w:type="paragraph" w:styleId="CommentText">
    <w:name w:val="annotation text"/>
    <w:basedOn w:val="Normal"/>
    <w:link w:val="CommentTextChar"/>
    <w:uiPriority w:val="99"/>
    <w:rsid w:val="009029E0"/>
    <w:rPr>
      <w:rFonts w:cs="Times New Roman"/>
      <w:sz w:val="20"/>
    </w:rPr>
  </w:style>
  <w:style w:type="character" w:customStyle="1" w:styleId="CommentTextChar">
    <w:name w:val="Comment Text Char"/>
    <w:basedOn w:val="DefaultParagraphFont"/>
    <w:link w:val="CommentText"/>
    <w:uiPriority w:val="99"/>
    <w:locked/>
    <w:rsid w:val="009029E0"/>
    <w:rPr>
      <w:rFonts w:ascii="Arial" w:hAnsi="Arial"/>
      <w:lang w:val="cs-CZ" w:eastAsia="ar-SA" w:bidi="ar-SA"/>
    </w:rPr>
  </w:style>
  <w:style w:type="paragraph" w:styleId="CommentSubject">
    <w:name w:val="annotation subject"/>
    <w:basedOn w:val="CommentText"/>
    <w:next w:val="CommentText"/>
    <w:link w:val="CommentSubjectChar"/>
    <w:uiPriority w:val="99"/>
    <w:rsid w:val="009029E0"/>
    <w:rPr>
      <w:b/>
      <w:bCs/>
    </w:rPr>
  </w:style>
  <w:style w:type="character" w:customStyle="1" w:styleId="CommentSubjectChar">
    <w:name w:val="Comment Subject Char"/>
    <w:basedOn w:val="CommentTextChar"/>
    <w:link w:val="CommentSubject"/>
    <w:uiPriority w:val="99"/>
    <w:locked/>
    <w:rsid w:val="009029E0"/>
    <w:rPr>
      <w:b/>
    </w:rPr>
  </w:style>
  <w:style w:type="paragraph" w:styleId="Revision">
    <w:name w:val="Revision"/>
    <w:hidden/>
    <w:uiPriority w:val="99"/>
    <w:semiHidden/>
    <w:rsid w:val="009029E0"/>
    <w:rPr>
      <w:rFonts w:ascii="Arial" w:hAnsi="Arial" w:cs="Tms Rmn"/>
      <w:sz w:val="16"/>
      <w:szCs w:val="20"/>
      <w:lang w:val="cs-CZ" w:eastAsia="ar-SA"/>
    </w:rPr>
  </w:style>
  <w:style w:type="character" w:styleId="Hyperlink">
    <w:name w:val="Hyperlink"/>
    <w:basedOn w:val="DefaultParagraphFont"/>
    <w:uiPriority w:val="99"/>
    <w:rsid w:val="0032454E"/>
    <w:rPr>
      <w:rFonts w:cs="Times New Roman"/>
      <w:color w:val="0000FF"/>
      <w:u w:val="single"/>
    </w:rPr>
  </w:style>
  <w:style w:type="paragraph" w:customStyle="1" w:styleId="CM6">
    <w:name w:val="CM6"/>
    <w:basedOn w:val="Normal"/>
    <w:next w:val="Normal"/>
    <w:uiPriority w:val="99"/>
    <w:rsid w:val="0055610B"/>
    <w:pPr>
      <w:widowControl w:val="0"/>
      <w:suppressAutoHyphens w:val="0"/>
      <w:autoSpaceDE w:val="0"/>
      <w:autoSpaceDN w:val="0"/>
      <w:adjustRightInd w:val="0"/>
      <w:spacing w:line="258" w:lineRule="atLeast"/>
    </w:pPr>
    <w:rPr>
      <w:rFonts w:ascii="Times New Roman" w:hAnsi="Times New Roman" w:cs="Times New Roman"/>
      <w:sz w:val="24"/>
      <w:szCs w:val="24"/>
      <w:lang w:val="sv-SE" w:eastAsia="sv-SE"/>
    </w:rPr>
  </w:style>
  <w:style w:type="paragraph" w:customStyle="1" w:styleId="CM7">
    <w:name w:val="CM7"/>
    <w:basedOn w:val="Normal"/>
    <w:next w:val="Normal"/>
    <w:uiPriority w:val="99"/>
    <w:rsid w:val="0055610B"/>
    <w:pPr>
      <w:widowControl w:val="0"/>
      <w:suppressAutoHyphens w:val="0"/>
      <w:autoSpaceDE w:val="0"/>
      <w:autoSpaceDN w:val="0"/>
      <w:adjustRightInd w:val="0"/>
      <w:spacing w:line="258" w:lineRule="atLeast"/>
    </w:pPr>
    <w:rPr>
      <w:rFonts w:ascii="Times New Roman" w:hAnsi="Times New Roman" w:cs="Times New Roman"/>
      <w:sz w:val="24"/>
      <w:szCs w:val="24"/>
      <w:lang w:val="sv-SE" w:eastAsia="sv-SE"/>
    </w:rPr>
  </w:style>
  <w:style w:type="paragraph" w:customStyle="1" w:styleId="Default">
    <w:name w:val="Default"/>
    <w:uiPriority w:val="99"/>
    <w:rsid w:val="000528D5"/>
    <w:pPr>
      <w:widowControl w:val="0"/>
      <w:autoSpaceDE w:val="0"/>
      <w:autoSpaceDN w:val="0"/>
      <w:adjustRightInd w:val="0"/>
    </w:pPr>
    <w:rPr>
      <w:color w:val="000000"/>
      <w:sz w:val="24"/>
      <w:szCs w:val="24"/>
      <w:lang w:val="sv-SE" w:eastAsia="sv-SE"/>
    </w:rPr>
  </w:style>
  <w:style w:type="character" w:customStyle="1" w:styleId="BodyChar">
    <w:name w:val="Body Char"/>
    <w:link w:val="Body"/>
    <w:uiPriority w:val="99"/>
    <w:locked/>
    <w:rsid w:val="006D0A56"/>
    <w:rPr>
      <w:sz w:val="24"/>
      <w:lang w:val="en-GB" w:eastAsia="en-US"/>
    </w:rPr>
  </w:style>
  <w:style w:type="paragraph" w:customStyle="1" w:styleId="CM16">
    <w:name w:val="CM16"/>
    <w:basedOn w:val="Default"/>
    <w:next w:val="Default"/>
    <w:uiPriority w:val="99"/>
    <w:rsid w:val="00BD406F"/>
    <w:rPr>
      <w:color w:val="auto"/>
    </w:rPr>
  </w:style>
</w:styles>
</file>

<file path=word/webSettings.xml><?xml version="1.0" encoding="utf-8"?>
<w:webSettings xmlns:r="http://schemas.openxmlformats.org/officeDocument/2006/relationships" xmlns:w="http://schemas.openxmlformats.org/wordprocessingml/2006/main">
  <w:divs>
    <w:div w:id="255675276">
      <w:marLeft w:val="0"/>
      <w:marRight w:val="0"/>
      <w:marTop w:val="0"/>
      <w:marBottom w:val="0"/>
      <w:divBdr>
        <w:top w:val="none" w:sz="0" w:space="0" w:color="auto"/>
        <w:left w:val="none" w:sz="0" w:space="0" w:color="auto"/>
        <w:bottom w:val="none" w:sz="0" w:space="0" w:color="auto"/>
        <w:right w:val="none" w:sz="0" w:space="0" w:color="auto"/>
      </w:divBdr>
    </w:div>
    <w:div w:id="255675277">
      <w:marLeft w:val="0"/>
      <w:marRight w:val="0"/>
      <w:marTop w:val="0"/>
      <w:marBottom w:val="0"/>
      <w:divBdr>
        <w:top w:val="none" w:sz="0" w:space="0" w:color="auto"/>
        <w:left w:val="none" w:sz="0" w:space="0" w:color="auto"/>
        <w:bottom w:val="none" w:sz="0" w:space="0" w:color="auto"/>
        <w:right w:val="none" w:sz="0" w:space="0" w:color="auto"/>
      </w:divBdr>
    </w:div>
    <w:div w:id="2556752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ema.europa.eu/docs/en_GB/document_library/Template_or_form/2013/03/WC500139752.doc"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17</Pages>
  <Words>5882</Words>
  <Characters>-32766</Characters>
  <Application>Microsoft Office Outlook</Application>
  <DocSecurity>0</DocSecurity>
  <Lines>0</Lines>
  <Paragraphs>0</Paragraphs>
  <ScaleCrop>false</ScaleCrop>
  <Company>liek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LZuzkacova</dc:creator>
  <cp:keywords/>
  <dc:description/>
  <cp:lastModifiedBy>zuzana.michalcova</cp:lastModifiedBy>
  <cp:revision>2</cp:revision>
  <cp:lastPrinted>2016-03-30T08:46:00Z</cp:lastPrinted>
  <dcterms:created xsi:type="dcterms:W3CDTF">2016-07-20T13:02:00Z</dcterms:created>
  <dcterms:modified xsi:type="dcterms:W3CDTF">2016-07-20T13:02:00Z</dcterms:modified>
</cp:coreProperties>
</file>